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6"/>
        <w:gridCol w:w="425"/>
        <w:gridCol w:w="57"/>
        <w:gridCol w:w="709"/>
        <w:gridCol w:w="455"/>
        <w:gridCol w:w="253"/>
        <w:gridCol w:w="709"/>
        <w:gridCol w:w="709"/>
        <w:gridCol w:w="204"/>
        <w:gridCol w:w="77"/>
        <w:gridCol w:w="428"/>
        <w:gridCol w:w="433"/>
        <w:gridCol w:w="275"/>
        <w:gridCol w:w="257"/>
        <w:gridCol w:w="405"/>
        <w:gridCol w:w="47"/>
        <w:gridCol w:w="709"/>
        <w:gridCol w:w="420"/>
        <w:gridCol w:w="289"/>
        <w:gridCol w:w="567"/>
        <w:gridCol w:w="82"/>
        <w:gridCol w:w="485"/>
        <w:gridCol w:w="937"/>
        <w:gridCol w:w="12"/>
      </w:tblGrid>
      <w:tr w:rsidR="006A701A" w:rsidRPr="00A87B3A" w14:paraId="543CF14B" w14:textId="77777777" w:rsidTr="002069ED">
        <w:trPr>
          <w:gridAfter w:val="1"/>
          <w:wAfter w:w="12" w:type="dxa"/>
          <w:trHeight w:val="1611"/>
        </w:trPr>
        <w:tc>
          <w:tcPr>
            <w:tcW w:w="5839" w:type="dxa"/>
            <w:gridSpan w:val="11"/>
          </w:tcPr>
          <w:p w14:paraId="722B91EF" w14:textId="77777777" w:rsidR="006A701A" w:rsidRPr="00E2357B" w:rsidRDefault="006A701A" w:rsidP="00E2357B">
            <w:pPr>
              <w:spacing w:line="240" w:lineRule="auto"/>
              <w:ind w:hanging="45"/>
              <w:jc w:val="both"/>
              <w:rPr>
                <w:rFonts w:ascii="Times New Roman" w:hAnsi="Times New Roman"/>
                <w:b/>
                <w:color w:val="000000"/>
              </w:rPr>
            </w:pPr>
            <w:bookmarkStart w:id="0" w:name="t1"/>
            <w:r w:rsidRPr="00A87B3A">
              <w:rPr>
                <w:rFonts w:ascii="Times New Roman" w:hAnsi="Times New Roman"/>
                <w:b/>
                <w:color w:val="000000"/>
              </w:rPr>
              <w:t xml:space="preserve">Nazwa </w:t>
            </w:r>
            <w:r w:rsidR="001B75D8" w:rsidRPr="00A87B3A">
              <w:rPr>
                <w:rFonts w:ascii="Times New Roman" w:hAnsi="Times New Roman"/>
                <w:b/>
                <w:color w:val="000000"/>
              </w:rPr>
              <w:t>projektu</w:t>
            </w:r>
          </w:p>
          <w:p w14:paraId="714F6F81" w14:textId="77777777" w:rsidR="00FC2027" w:rsidRDefault="00FC2027" w:rsidP="002B4094">
            <w:pPr>
              <w:spacing w:line="240" w:lineRule="auto"/>
              <w:ind w:hanging="45"/>
              <w:rPr>
                <w:rFonts w:ascii="Times New Roman" w:hAnsi="Times New Roman"/>
                <w:bCs/>
                <w:color w:val="000000"/>
              </w:rPr>
            </w:pPr>
            <w:r w:rsidRPr="00FC2027">
              <w:rPr>
                <w:rFonts w:ascii="Times New Roman" w:hAnsi="Times New Roman"/>
                <w:bCs/>
                <w:color w:val="000000"/>
              </w:rPr>
              <w:t>Projekt ustawy o zmianie ustawy o odnawialnych źródłach energii oraz niektórych innych ustaw</w:t>
            </w:r>
          </w:p>
          <w:p w14:paraId="00843E80" w14:textId="77777777" w:rsidR="002B4094" w:rsidRPr="00FC2027" w:rsidRDefault="002B4094" w:rsidP="00E2357B">
            <w:pPr>
              <w:spacing w:line="240" w:lineRule="auto"/>
              <w:ind w:hanging="45"/>
              <w:rPr>
                <w:rFonts w:ascii="Times New Roman" w:hAnsi="Times New Roman"/>
                <w:bCs/>
                <w:color w:val="000000"/>
              </w:rPr>
            </w:pPr>
          </w:p>
          <w:p w14:paraId="276A2334" w14:textId="77777777" w:rsidR="006A701A" w:rsidRPr="00A87B3A" w:rsidRDefault="006A701A" w:rsidP="009629CE">
            <w:pPr>
              <w:spacing w:line="240" w:lineRule="auto"/>
              <w:ind w:hanging="45"/>
              <w:rPr>
                <w:rFonts w:ascii="Times New Roman" w:hAnsi="Times New Roman"/>
                <w:b/>
                <w:color w:val="000000"/>
              </w:rPr>
            </w:pPr>
            <w:r w:rsidRPr="00A87B3A">
              <w:rPr>
                <w:rFonts w:ascii="Times New Roman" w:hAnsi="Times New Roman"/>
                <w:b/>
                <w:color w:val="000000"/>
              </w:rPr>
              <w:t>Ministerstwo wiodące i ministerstwa współpracujące</w:t>
            </w:r>
          </w:p>
          <w:p w14:paraId="64145BEE" w14:textId="77777777" w:rsidR="00FC2027" w:rsidRPr="002B4094" w:rsidRDefault="00FC2027" w:rsidP="00FC2027">
            <w:pPr>
              <w:spacing w:line="240" w:lineRule="auto"/>
              <w:ind w:hanging="45"/>
              <w:rPr>
                <w:rFonts w:ascii="Times New Roman" w:hAnsi="Times New Roman"/>
                <w:bCs/>
                <w:color w:val="000000"/>
              </w:rPr>
            </w:pPr>
            <w:r w:rsidRPr="002B4094">
              <w:rPr>
                <w:rFonts w:ascii="Times New Roman" w:hAnsi="Times New Roman"/>
                <w:bCs/>
                <w:color w:val="000000"/>
              </w:rPr>
              <w:t>Ministerstwo Klimatu i Środowiska</w:t>
            </w:r>
          </w:p>
          <w:bookmarkEnd w:id="0"/>
          <w:p w14:paraId="6AE840BA" w14:textId="77777777" w:rsidR="00A87B3A" w:rsidRPr="00A87B3A" w:rsidRDefault="00A87B3A" w:rsidP="00E2357B">
            <w:pPr>
              <w:spacing w:line="240" w:lineRule="auto"/>
              <w:rPr>
                <w:rFonts w:ascii="Times New Roman" w:hAnsi="Times New Roman"/>
                <w:color w:val="000000"/>
              </w:rPr>
            </w:pPr>
          </w:p>
          <w:p w14:paraId="6B0813C8" w14:textId="77777777" w:rsidR="001B3460" w:rsidRPr="00A87B3A" w:rsidRDefault="001B3460" w:rsidP="009629CE">
            <w:pPr>
              <w:spacing w:line="240" w:lineRule="auto"/>
              <w:rPr>
                <w:rFonts w:ascii="Times New Roman" w:hAnsi="Times New Roman"/>
                <w:b/>
              </w:rPr>
            </w:pPr>
            <w:r w:rsidRPr="00A87B3A">
              <w:rPr>
                <w:rFonts w:ascii="Times New Roman" w:hAnsi="Times New Roman"/>
                <w:b/>
              </w:rPr>
              <w:t xml:space="preserve">Osoba odpowiedzialna za projekt w randze Ministra, Sekretarza Stanu lub Podsekretarza Stanu </w:t>
            </w:r>
          </w:p>
          <w:p w14:paraId="62BAA563" w14:textId="2E2FDFA4" w:rsidR="002A6C35" w:rsidRDefault="002A6C35" w:rsidP="009629CE">
            <w:pPr>
              <w:spacing w:line="240" w:lineRule="auto"/>
              <w:rPr>
                <w:rFonts w:ascii="Times New Roman" w:hAnsi="Times New Roman"/>
              </w:rPr>
            </w:pPr>
            <w:r>
              <w:rPr>
                <w:rFonts w:ascii="Times New Roman" w:hAnsi="Times New Roman"/>
              </w:rPr>
              <w:t>Miłosz Motyka – Podsekretarz Stanu, Ministerstwo Klimatu i</w:t>
            </w:r>
            <w:r w:rsidR="00231C84">
              <w:rPr>
                <w:rFonts w:ascii="Times New Roman" w:hAnsi="Times New Roman"/>
              </w:rPr>
              <w:t xml:space="preserve"> </w:t>
            </w:r>
            <w:r>
              <w:rPr>
                <w:rFonts w:ascii="Times New Roman" w:hAnsi="Times New Roman"/>
              </w:rPr>
              <w:t>Środowiska</w:t>
            </w:r>
          </w:p>
          <w:p w14:paraId="05655EC7" w14:textId="77777777" w:rsidR="00A87B3A" w:rsidRPr="00A87B3A" w:rsidRDefault="00A87B3A" w:rsidP="009629CE">
            <w:pPr>
              <w:spacing w:line="240" w:lineRule="auto"/>
              <w:rPr>
                <w:rFonts w:ascii="Times New Roman" w:hAnsi="Times New Roman"/>
              </w:rPr>
            </w:pPr>
          </w:p>
          <w:p w14:paraId="1CF1B3CA" w14:textId="77777777" w:rsidR="006A701A" w:rsidRPr="003838B0" w:rsidRDefault="006A701A" w:rsidP="00E2357B">
            <w:pPr>
              <w:spacing w:line="240" w:lineRule="auto"/>
              <w:rPr>
                <w:rFonts w:ascii="Times New Roman" w:hAnsi="Times New Roman"/>
                <w:b/>
              </w:rPr>
            </w:pPr>
            <w:r w:rsidRPr="003838B0">
              <w:rPr>
                <w:rFonts w:ascii="Times New Roman" w:hAnsi="Times New Roman"/>
                <w:b/>
              </w:rPr>
              <w:t>Kontakt do opiekuna merytorycznego projektu</w:t>
            </w:r>
          </w:p>
          <w:p w14:paraId="6D55B03C" w14:textId="0CEA0FC6" w:rsidR="002A6C35" w:rsidRPr="00E2357B" w:rsidRDefault="00D92CAD" w:rsidP="00AA0B0F">
            <w:pPr>
              <w:pStyle w:val="Akapitzlist"/>
              <w:spacing w:line="240" w:lineRule="auto"/>
              <w:ind w:left="0"/>
              <w:rPr>
                <w:rFonts w:ascii="Times New Roman" w:hAnsi="Times New Roman"/>
              </w:rPr>
            </w:pPr>
            <w:r>
              <w:rPr>
                <w:rFonts w:ascii="Times New Roman" w:hAnsi="Times New Roman"/>
              </w:rPr>
              <w:t>Michał Łęski</w:t>
            </w:r>
            <w:r w:rsidR="002A6C35" w:rsidRPr="00E2357B">
              <w:rPr>
                <w:rFonts w:ascii="Times New Roman" w:hAnsi="Times New Roman"/>
              </w:rPr>
              <w:t xml:space="preserve"> </w:t>
            </w:r>
            <w:r w:rsidR="00F72029" w:rsidRPr="00E2357B">
              <w:rPr>
                <w:rFonts w:ascii="Times New Roman" w:hAnsi="Times New Roman"/>
              </w:rPr>
              <w:t>–</w:t>
            </w:r>
            <w:r w:rsidR="002A6C35" w:rsidRPr="00E2357B">
              <w:rPr>
                <w:rFonts w:ascii="Times New Roman" w:hAnsi="Times New Roman"/>
              </w:rPr>
              <w:t xml:space="preserve"> </w:t>
            </w:r>
            <w:r>
              <w:rPr>
                <w:rFonts w:ascii="Times New Roman" w:hAnsi="Times New Roman"/>
              </w:rPr>
              <w:t>Zastępca</w:t>
            </w:r>
            <w:r w:rsidR="002A6C35" w:rsidRPr="00E2357B">
              <w:rPr>
                <w:rFonts w:ascii="Times New Roman" w:hAnsi="Times New Roman"/>
              </w:rPr>
              <w:t xml:space="preserve"> </w:t>
            </w:r>
            <w:r>
              <w:rPr>
                <w:rFonts w:ascii="Times New Roman" w:hAnsi="Times New Roman"/>
              </w:rPr>
              <w:t xml:space="preserve">Dyrektora </w:t>
            </w:r>
            <w:r w:rsidR="002A6C35" w:rsidRPr="00E2357B">
              <w:rPr>
                <w:rFonts w:ascii="Times New Roman" w:hAnsi="Times New Roman"/>
              </w:rPr>
              <w:t xml:space="preserve">Departamentu Odnawialnych Źródeł Energii, email: </w:t>
            </w:r>
            <w:r>
              <w:rPr>
                <w:rFonts w:ascii="Times New Roman" w:hAnsi="Times New Roman"/>
              </w:rPr>
              <w:t>michal.leski</w:t>
            </w:r>
            <w:r w:rsidR="002A6C35" w:rsidRPr="00E2357B">
              <w:rPr>
                <w:rFonts w:ascii="Times New Roman" w:hAnsi="Times New Roman"/>
              </w:rPr>
              <w:t>@klimat.gov.pl</w:t>
            </w:r>
            <w:r w:rsidR="00B80F1F">
              <w:rPr>
                <w:rFonts w:ascii="Times New Roman" w:hAnsi="Times New Roman"/>
              </w:rPr>
              <w:t>,</w:t>
            </w:r>
          </w:p>
          <w:p w14:paraId="3943FF26" w14:textId="20A3D05A" w:rsidR="00FC2027" w:rsidRPr="00E2357B" w:rsidRDefault="00FC2027" w:rsidP="00AA0B0F">
            <w:pPr>
              <w:pStyle w:val="Akapitzlist"/>
              <w:spacing w:line="240" w:lineRule="auto"/>
              <w:ind w:left="0"/>
              <w:rPr>
                <w:rFonts w:ascii="Times New Roman" w:hAnsi="Times New Roman"/>
              </w:rPr>
            </w:pPr>
            <w:r w:rsidRPr="00E2357B">
              <w:rPr>
                <w:rFonts w:ascii="Times New Roman" w:hAnsi="Times New Roman"/>
              </w:rPr>
              <w:t xml:space="preserve">Paweł Wysocki </w:t>
            </w:r>
            <w:r w:rsidR="00F72029" w:rsidRPr="00E2357B">
              <w:rPr>
                <w:rFonts w:ascii="Times New Roman" w:hAnsi="Times New Roman"/>
              </w:rPr>
              <w:t>–</w:t>
            </w:r>
            <w:r w:rsidRPr="00E2357B">
              <w:rPr>
                <w:rFonts w:ascii="Times New Roman" w:hAnsi="Times New Roman"/>
              </w:rPr>
              <w:t xml:space="preserve"> Naczelnik Wydziału Regulacji i Mechanizmów Wsparcia Odnawialnych Źródeł Energii, e-mail: </w:t>
            </w:r>
            <w:hyperlink r:id="rId8" w:history="1">
              <w:r w:rsidR="00CF7655" w:rsidRPr="00E2357B">
                <w:rPr>
                  <w:rFonts w:ascii="Times New Roman" w:hAnsi="Times New Roman"/>
                </w:rPr>
                <w:t>pawel.wysocki@klimat.gov.pl</w:t>
              </w:r>
            </w:hyperlink>
            <w:r w:rsidR="00B80F1F">
              <w:rPr>
                <w:rFonts w:ascii="Times New Roman" w:hAnsi="Times New Roman"/>
              </w:rPr>
              <w:t>,</w:t>
            </w:r>
            <w:r w:rsidR="00CF7655" w:rsidRPr="00E2357B">
              <w:rPr>
                <w:rFonts w:ascii="Times New Roman" w:hAnsi="Times New Roman"/>
              </w:rPr>
              <w:t xml:space="preserve"> </w:t>
            </w:r>
          </w:p>
          <w:p w14:paraId="7F8B0866" w14:textId="60AB9558" w:rsidR="006A701A" w:rsidRPr="00A87B3A" w:rsidRDefault="00FC2027" w:rsidP="00AA0B0F">
            <w:pPr>
              <w:pStyle w:val="Akapitzlist"/>
              <w:spacing w:line="240" w:lineRule="auto"/>
              <w:ind w:left="0"/>
              <w:rPr>
                <w:rFonts w:ascii="Times New Roman" w:hAnsi="Times New Roman"/>
                <w:color w:val="000000"/>
              </w:rPr>
            </w:pPr>
            <w:r w:rsidRPr="00E2357B">
              <w:rPr>
                <w:rFonts w:ascii="Times New Roman" w:hAnsi="Times New Roman"/>
              </w:rPr>
              <w:t>Łukasz Zdzieszyński – główny specjalista, Wydział Regulacji i</w:t>
            </w:r>
            <w:r w:rsidR="00F53AC3">
              <w:rPr>
                <w:rFonts w:ascii="Times New Roman" w:hAnsi="Times New Roman"/>
              </w:rPr>
              <w:t> </w:t>
            </w:r>
            <w:r w:rsidRPr="00E2357B">
              <w:rPr>
                <w:rFonts w:ascii="Times New Roman" w:hAnsi="Times New Roman"/>
              </w:rPr>
              <w:t xml:space="preserve">Mechanizmów Wsparcia Odnawialnych Źródeł Energii, e-mail: </w:t>
            </w:r>
            <w:hyperlink r:id="rId9" w:history="1">
              <w:r w:rsidRPr="00E2357B">
                <w:rPr>
                  <w:rFonts w:ascii="Times New Roman" w:hAnsi="Times New Roman"/>
                </w:rPr>
                <w:t>lukasz.zdzieszynski@klimat.gov.pl</w:t>
              </w:r>
            </w:hyperlink>
            <w:r w:rsidRPr="00E2357B">
              <w:rPr>
                <w:rFonts w:ascii="Times New Roman" w:hAnsi="Times New Roman"/>
              </w:rPr>
              <w:t>.</w:t>
            </w:r>
          </w:p>
        </w:tc>
        <w:tc>
          <w:tcPr>
            <w:tcW w:w="5334" w:type="dxa"/>
            <w:gridSpan w:val="13"/>
            <w:shd w:val="clear" w:color="auto" w:fill="FFFFFF"/>
          </w:tcPr>
          <w:p w14:paraId="13CE1DDB" w14:textId="3A252621" w:rsidR="001B3460" w:rsidRPr="00A87B3A" w:rsidRDefault="001B3460" w:rsidP="009629CE">
            <w:pPr>
              <w:spacing w:line="240" w:lineRule="auto"/>
              <w:rPr>
                <w:rFonts w:ascii="Times New Roman" w:hAnsi="Times New Roman"/>
                <w:b/>
              </w:rPr>
            </w:pPr>
            <w:r w:rsidRPr="00A87B3A">
              <w:rPr>
                <w:rFonts w:ascii="Times New Roman" w:hAnsi="Times New Roman"/>
                <w:b/>
              </w:rPr>
              <w:t>Data sporządzenia</w:t>
            </w:r>
            <w:r w:rsidRPr="00A87B3A">
              <w:rPr>
                <w:rFonts w:ascii="Times New Roman" w:hAnsi="Times New Roman"/>
                <w:b/>
              </w:rPr>
              <w:br/>
            </w:r>
            <w:r w:rsidR="003D2DDE">
              <w:rPr>
                <w:rFonts w:ascii="Times New Roman" w:hAnsi="Times New Roman"/>
              </w:rPr>
              <w:t>27</w:t>
            </w:r>
            <w:r w:rsidR="00FC2027">
              <w:rPr>
                <w:rFonts w:ascii="Times New Roman" w:hAnsi="Times New Roman"/>
              </w:rPr>
              <w:t>.</w:t>
            </w:r>
            <w:r w:rsidR="00F966AD">
              <w:rPr>
                <w:rFonts w:ascii="Times New Roman" w:hAnsi="Times New Roman"/>
              </w:rPr>
              <w:t>0</w:t>
            </w:r>
            <w:r w:rsidR="00220CC0">
              <w:rPr>
                <w:rFonts w:ascii="Times New Roman" w:hAnsi="Times New Roman"/>
              </w:rPr>
              <w:t>5</w:t>
            </w:r>
            <w:r w:rsidR="00FC2027">
              <w:rPr>
                <w:rFonts w:ascii="Times New Roman" w:hAnsi="Times New Roman"/>
              </w:rPr>
              <w:t>.202</w:t>
            </w:r>
            <w:r w:rsidR="002B4094">
              <w:rPr>
                <w:rFonts w:ascii="Times New Roman" w:hAnsi="Times New Roman"/>
              </w:rPr>
              <w:t>4</w:t>
            </w:r>
          </w:p>
          <w:p w14:paraId="655C0424" w14:textId="77777777" w:rsidR="00F76884" w:rsidRPr="00A87B3A" w:rsidRDefault="00F76884" w:rsidP="009629CE">
            <w:pPr>
              <w:spacing w:line="240" w:lineRule="auto"/>
              <w:rPr>
                <w:rFonts w:ascii="Times New Roman" w:hAnsi="Times New Roman"/>
                <w:b/>
              </w:rPr>
            </w:pPr>
          </w:p>
          <w:p w14:paraId="1617D204" w14:textId="77777777" w:rsidR="00F76884" w:rsidRPr="00A87B3A" w:rsidRDefault="00F76884" w:rsidP="009629CE">
            <w:pPr>
              <w:spacing w:line="240" w:lineRule="auto"/>
              <w:rPr>
                <w:rFonts w:ascii="Times New Roman" w:hAnsi="Times New Roman"/>
                <w:b/>
              </w:rPr>
            </w:pPr>
            <w:r w:rsidRPr="00A87B3A">
              <w:rPr>
                <w:rFonts w:ascii="Times New Roman" w:hAnsi="Times New Roman"/>
                <w:b/>
              </w:rPr>
              <w:t xml:space="preserve">Źródło: </w:t>
            </w:r>
            <w:bookmarkStart w:id="1" w:name="Lista1"/>
          </w:p>
          <w:bookmarkEnd w:id="1"/>
          <w:p w14:paraId="2AE09D60" w14:textId="1D084500" w:rsidR="00F76884" w:rsidRDefault="00E52AA7" w:rsidP="00231C84">
            <w:pPr>
              <w:spacing w:line="240" w:lineRule="auto"/>
              <w:rPr>
                <w:rFonts w:ascii="Times New Roman" w:hAnsi="Times New Roman"/>
              </w:rPr>
            </w:pPr>
            <w:r>
              <w:rPr>
                <w:rFonts w:ascii="Times New Roman" w:hAnsi="Times New Roman"/>
              </w:rPr>
              <w:t xml:space="preserve">- </w:t>
            </w:r>
            <w:r w:rsidR="00FC2027">
              <w:rPr>
                <w:rFonts w:ascii="Times New Roman" w:hAnsi="Times New Roman"/>
              </w:rPr>
              <w:t>Inicjatywa własna</w:t>
            </w:r>
            <w:r w:rsidR="00B17BC9">
              <w:rPr>
                <w:rFonts w:ascii="Times New Roman" w:hAnsi="Times New Roman"/>
              </w:rPr>
              <w:t>,</w:t>
            </w:r>
          </w:p>
          <w:p w14:paraId="787DF848" w14:textId="77777777" w:rsidR="00E072A9" w:rsidRDefault="00E52AA7" w:rsidP="00DD5EFA">
            <w:pPr>
              <w:spacing w:line="240" w:lineRule="auto"/>
              <w:jc w:val="both"/>
              <w:rPr>
                <w:rFonts w:ascii="Times New Roman" w:hAnsi="Times New Roman"/>
              </w:rPr>
            </w:pPr>
            <w:r>
              <w:rPr>
                <w:rFonts w:ascii="Times New Roman" w:hAnsi="Times New Roman"/>
              </w:rPr>
              <w:t xml:space="preserve">- </w:t>
            </w:r>
            <w:r w:rsidR="00006B5A" w:rsidRPr="00DB05F5">
              <w:rPr>
                <w:rFonts w:ascii="Times New Roman" w:hAnsi="Times New Roman"/>
              </w:rPr>
              <w:t>Prawo UE:</w:t>
            </w:r>
            <w:r w:rsidR="00006B5A">
              <w:rPr>
                <w:rFonts w:ascii="Times New Roman" w:hAnsi="Times New Roman"/>
              </w:rPr>
              <w:t xml:space="preserve"> </w:t>
            </w:r>
            <w:r w:rsidR="00595F1C">
              <w:rPr>
                <w:rFonts w:ascii="Times New Roman" w:hAnsi="Times New Roman"/>
              </w:rPr>
              <w:t>R</w:t>
            </w:r>
            <w:r w:rsidR="00595F1C" w:rsidRPr="00595F1C">
              <w:rPr>
                <w:rFonts w:ascii="Times New Roman" w:hAnsi="Times New Roman"/>
              </w:rPr>
              <w:t>ozporządzenie Komisji (UE) 2023/1315 z dnia 23 czerwca 2023 r. zmieniając</w:t>
            </w:r>
            <w:r w:rsidR="009A30CF">
              <w:rPr>
                <w:rFonts w:ascii="Times New Roman" w:hAnsi="Times New Roman"/>
              </w:rPr>
              <w:t>e</w:t>
            </w:r>
            <w:r w:rsidR="00595F1C" w:rsidRPr="00595F1C">
              <w:rPr>
                <w:rFonts w:ascii="Times New Roman" w:hAnsi="Times New Roman"/>
              </w:rPr>
              <w:t xml:space="preserve"> rozporządzenie (UE) nr 651/2014 uznające niektóre rodzaje pomocy za zgodne z rynkiem wewnętrznym w zastosowaniu art. 107 i 108 Traktatu oraz rozporządzenie (UE) 2022/2473 uznające niektóre kategorie pomocy udzielanej przedsiębiorstwom prowadzącym działalność w zakresie produkcji, przetwórstwa i wprowadzania do obrotu produktów rybołówstwa i akwakultury za zgodne z rynkiem wewnętrznym w zastosowaniu art. 107 i 108 Traktatu</w:t>
            </w:r>
            <w:r w:rsidR="00C21E68">
              <w:rPr>
                <w:rFonts w:ascii="Times New Roman" w:hAnsi="Times New Roman"/>
              </w:rPr>
              <w:t xml:space="preserve"> </w:t>
            </w:r>
            <w:r w:rsidR="00964025" w:rsidRPr="005B60D6">
              <w:rPr>
                <w:rFonts w:ascii="Times New Roman" w:hAnsi="Times New Roman"/>
              </w:rPr>
              <w:t>(</w:t>
            </w:r>
            <w:r w:rsidR="00964025" w:rsidRPr="00B373DB">
              <w:rPr>
                <w:rFonts w:ascii="Times New Roman" w:hAnsi="Times New Roman"/>
              </w:rPr>
              <w:t>Dz.U. L 167 z 30.6.2023, str. 1</w:t>
            </w:r>
            <w:r w:rsidR="00F72029" w:rsidRPr="00E2357B">
              <w:rPr>
                <w:rFonts w:ascii="Times New Roman" w:hAnsi="Times New Roman"/>
              </w:rPr>
              <w:t>–</w:t>
            </w:r>
            <w:r w:rsidR="00964025" w:rsidRPr="00B373DB">
              <w:rPr>
                <w:rFonts w:ascii="Times New Roman" w:hAnsi="Times New Roman"/>
              </w:rPr>
              <w:t>90)</w:t>
            </w:r>
            <w:r w:rsidR="006A183B">
              <w:rPr>
                <w:rFonts w:ascii="Times New Roman" w:hAnsi="Times New Roman"/>
              </w:rPr>
              <w:t>,</w:t>
            </w:r>
          </w:p>
          <w:p w14:paraId="469037E9" w14:textId="3E349CD3" w:rsidR="006A183B" w:rsidRPr="006A183B" w:rsidRDefault="00E52AA7" w:rsidP="00DD5EFA">
            <w:pPr>
              <w:spacing w:line="240" w:lineRule="auto"/>
              <w:jc w:val="both"/>
              <w:rPr>
                <w:rFonts w:ascii="Times New Roman" w:hAnsi="Times New Roman"/>
              </w:rPr>
            </w:pPr>
            <w:r>
              <w:rPr>
                <w:rFonts w:ascii="Times New Roman" w:hAnsi="Times New Roman"/>
              </w:rPr>
              <w:t xml:space="preserve">- </w:t>
            </w:r>
            <w:r w:rsidR="006A183B" w:rsidRPr="006A183B">
              <w:rPr>
                <w:rFonts w:ascii="Times New Roman" w:hAnsi="Times New Roman"/>
              </w:rPr>
              <w:t xml:space="preserve">Komunikat Komisji </w:t>
            </w:r>
            <w:r w:rsidR="00B844D8" w:rsidRPr="006A183B">
              <w:rPr>
                <w:rFonts w:ascii="Times New Roman" w:hAnsi="Times New Roman"/>
              </w:rPr>
              <w:t>–</w:t>
            </w:r>
            <w:r w:rsidR="006A183B" w:rsidRPr="006A183B">
              <w:rPr>
                <w:rFonts w:ascii="Times New Roman" w:hAnsi="Times New Roman"/>
              </w:rPr>
              <w:t xml:space="preserve"> Wytyczne w sprawie pomocy państwa na ochronę klimatu i środowiska oraz cele związane z energią z 2022 r. (Dz.U. C 80 z 18.2.2022, str. 1–89)</w:t>
            </w:r>
            <w:r w:rsidR="003D2DDE">
              <w:rPr>
                <w:rFonts w:ascii="Times New Roman" w:hAnsi="Times New Roman"/>
              </w:rPr>
              <w:t>.</w:t>
            </w:r>
          </w:p>
          <w:p w14:paraId="27359EC9" w14:textId="25BDB31F" w:rsidR="00595F1C" w:rsidRPr="00B373DB" w:rsidRDefault="00595F1C" w:rsidP="009F11EF">
            <w:pPr>
              <w:spacing w:line="240" w:lineRule="auto"/>
              <w:rPr>
                <w:rFonts w:ascii="Times New Roman" w:hAnsi="Times New Roman"/>
              </w:rPr>
            </w:pPr>
          </w:p>
          <w:p w14:paraId="1CD25657" w14:textId="6958483B" w:rsidR="006A701A" w:rsidRPr="00A87B3A" w:rsidRDefault="006A701A" w:rsidP="009629CE">
            <w:pPr>
              <w:spacing w:line="240" w:lineRule="auto"/>
              <w:rPr>
                <w:rFonts w:ascii="Times New Roman" w:hAnsi="Times New Roman"/>
                <w:b/>
                <w:color w:val="000000"/>
              </w:rPr>
            </w:pPr>
            <w:r w:rsidRPr="00A87B3A">
              <w:rPr>
                <w:rFonts w:ascii="Times New Roman" w:hAnsi="Times New Roman"/>
                <w:b/>
                <w:color w:val="000000"/>
              </w:rPr>
              <w:t xml:space="preserve">Nr </w:t>
            </w:r>
            <w:r w:rsidR="0057668E" w:rsidRPr="00A87B3A">
              <w:rPr>
                <w:rFonts w:ascii="Times New Roman" w:hAnsi="Times New Roman"/>
                <w:b/>
                <w:color w:val="000000"/>
              </w:rPr>
              <w:t>w</w:t>
            </w:r>
            <w:r w:rsidRPr="00A87B3A">
              <w:rPr>
                <w:rFonts w:ascii="Times New Roman" w:hAnsi="Times New Roman"/>
                <w:b/>
                <w:color w:val="000000"/>
              </w:rPr>
              <w:t xml:space="preserve"> wykaz</w:t>
            </w:r>
            <w:r w:rsidR="0057668E" w:rsidRPr="00A87B3A">
              <w:rPr>
                <w:rFonts w:ascii="Times New Roman" w:hAnsi="Times New Roman"/>
                <w:b/>
                <w:color w:val="000000"/>
              </w:rPr>
              <w:t>ie</w:t>
            </w:r>
            <w:r w:rsidRPr="00A87B3A">
              <w:rPr>
                <w:rFonts w:ascii="Times New Roman" w:hAnsi="Times New Roman"/>
                <w:b/>
                <w:color w:val="000000"/>
              </w:rPr>
              <w:t xml:space="preserve"> prac </w:t>
            </w:r>
          </w:p>
          <w:p w14:paraId="5D31A2BC" w14:textId="7AD7FF7C" w:rsidR="006A701A" w:rsidRPr="00A87B3A" w:rsidRDefault="00A21751" w:rsidP="00AA0B0F">
            <w:pPr>
              <w:spacing w:after="120" w:line="240" w:lineRule="auto"/>
              <w:rPr>
                <w:rFonts w:ascii="Times New Roman" w:hAnsi="Times New Roman"/>
                <w:color w:val="000000"/>
              </w:rPr>
            </w:pPr>
            <w:r>
              <w:rPr>
                <w:rFonts w:ascii="Times New Roman" w:hAnsi="Times New Roman"/>
                <w:color w:val="000000"/>
              </w:rPr>
              <w:t>UD41</w:t>
            </w:r>
          </w:p>
        </w:tc>
      </w:tr>
      <w:tr w:rsidR="006A701A" w:rsidRPr="00A87B3A" w14:paraId="79341850" w14:textId="77777777" w:rsidTr="002069ED">
        <w:trPr>
          <w:gridAfter w:val="1"/>
          <w:wAfter w:w="12" w:type="dxa"/>
          <w:trHeight w:val="142"/>
        </w:trPr>
        <w:tc>
          <w:tcPr>
            <w:tcW w:w="11173" w:type="dxa"/>
            <w:gridSpan w:val="24"/>
            <w:shd w:val="clear" w:color="auto" w:fill="99CCFF"/>
          </w:tcPr>
          <w:p w14:paraId="4101B2C5" w14:textId="77777777" w:rsidR="006A701A" w:rsidRPr="00E74A9F" w:rsidRDefault="006A701A" w:rsidP="009629CE">
            <w:pPr>
              <w:spacing w:line="240" w:lineRule="auto"/>
              <w:ind w:left="57"/>
              <w:jc w:val="center"/>
              <w:rPr>
                <w:rFonts w:ascii="Times New Roman" w:hAnsi="Times New Roman"/>
                <w:b/>
                <w:color w:val="FFFFFF"/>
                <w:sz w:val="28"/>
                <w:szCs w:val="28"/>
              </w:rPr>
            </w:pPr>
            <w:r w:rsidRPr="00E74A9F">
              <w:rPr>
                <w:rFonts w:ascii="Times New Roman" w:hAnsi="Times New Roman"/>
                <w:b/>
                <w:color w:val="FFFFFF"/>
                <w:sz w:val="28"/>
                <w:szCs w:val="28"/>
              </w:rPr>
              <w:t>OCENA SKUTKÓW REGULACJI</w:t>
            </w:r>
          </w:p>
        </w:tc>
      </w:tr>
      <w:tr w:rsidR="006A701A" w:rsidRPr="00A87B3A" w14:paraId="2FF607D9" w14:textId="77777777" w:rsidTr="002069ED">
        <w:trPr>
          <w:gridAfter w:val="1"/>
          <w:wAfter w:w="12" w:type="dxa"/>
          <w:trHeight w:val="333"/>
        </w:trPr>
        <w:tc>
          <w:tcPr>
            <w:tcW w:w="11173" w:type="dxa"/>
            <w:gridSpan w:val="24"/>
            <w:shd w:val="clear" w:color="auto" w:fill="99CCFF"/>
            <w:vAlign w:val="center"/>
          </w:tcPr>
          <w:p w14:paraId="5E95B2B7" w14:textId="77777777" w:rsidR="006A701A" w:rsidRPr="00A87B3A" w:rsidRDefault="003D12F6">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rPr>
              <w:t xml:space="preserve">Jaki problem jest </w:t>
            </w:r>
            <w:r w:rsidR="00CC6305" w:rsidRPr="00A87B3A">
              <w:rPr>
                <w:rFonts w:ascii="Times New Roman" w:hAnsi="Times New Roman"/>
                <w:b/>
              </w:rPr>
              <w:t>rozwiązywany?</w:t>
            </w:r>
            <w:bookmarkStart w:id="2" w:name="Wybór1"/>
            <w:bookmarkEnd w:id="2"/>
          </w:p>
        </w:tc>
      </w:tr>
      <w:tr w:rsidR="006A701A" w:rsidRPr="00A87B3A" w14:paraId="0A804BFE" w14:textId="77777777" w:rsidTr="00524C6B">
        <w:trPr>
          <w:gridAfter w:val="1"/>
          <w:wAfter w:w="12" w:type="dxa"/>
          <w:trHeight w:val="142"/>
        </w:trPr>
        <w:tc>
          <w:tcPr>
            <w:tcW w:w="11173" w:type="dxa"/>
            <w:gridSpan w:val="24"/>
            <w:shd w:val="clear" w:color="auto" w:fill="FFFFFF"/>
            <w:vAlign w:val="center"/>
          </w:tcPr>
          <w:p w14:paraId="6747A7A0" w14:textId="4B712225" w:rsidR="00786764" w:rsidRDefault="00810738" w:rsidP="00E423B5">
            <w:pPr>
              <w:spacing w:before="120" w:after="120" w:line="240" w:lineRule="auto"/>
              <w:jc w:val="both"/>
              <w:rPr>
                <w:rFonts w:ascii="Times New Roman" w:hAnsi="Times New Roman"/>
                <w:color w:val="000000"/>
              </w:rPr>
            </w:pPr>
            <w:r>
              <w:rPr>
                <w:rFonts w:ascii="Times New Roman" w:hAnsi="Times New Roman"/>
                <w:color w:val="000000"/>
              </w:rPr>
              <w:t xml:space="preserve">Obecnie obowiązujące przepisy prawa nie zapewniają pełnej zgodności z </w:t>
            </w:r>
            <w:r w:rsidR="002A2BD2">
              <w:rPr>
                <w:rFonts w:ascii="Times New Roman" w:hAnsi="Times New Roman"/>
                <w:color w:val="000000"/>
              </w:rPr>
              <w:t xml:space="preserve">nowymi </w:t>
            </w:r>
            <w:r>
              <w:rPr>
                <w:rFonts w:ascii="Times New Roman" w:hAnsi="Times New Roman"/>
                <w:color w:val="000000"/>
              </w:rPr>
              <w:t>dokumentami europejskimi, które odnoszą się do zakresu udzielanej pomocy publicznej w systemach wsparcia OZE</w:t>
            </w:r>
            <w:r w:rsidR="000A385B">
              <w:rPr>
                <w:rFonts w:ascii="Times New Roman" w:hAnsi="Times New Roman"/>
                <w:color w:val="000000"/>
              </w:rPr>
              <w:t>, kogeneracji oraz ulg dla odbiorców energochłonnych</w:t>
            </w:r>
            <w:r>
              <w:rPr>
                <w:rFonts w:ascii="Times New Roman" w:hAnsi="Times New Roman"/>
                <w:color w:val="000000"/>
              </w:rPr>
              <w:t xml:space="preserve">. </w:t>
            </w:r>
            <w:r w:rsidRPr="00810738">
              <w:rPr>
                <w:rFonts w:ascii="Times New Roman" w:hAnsi="Times New Roman"/>
                <w:color w:val="000000"/>
              </w:rPr>
              <w:t xml:space="preserve">Brak </w:t>
            </w:r>
            <w:r w:rsidR="00E52AA7">
              <w:rPr>
                <w:rFonts w:ascii="Times New Roman" w:hAnsi="Times New Roman"/>
                <w:color w:val="000000"/>
              </w:rPr>
              <w:t>regulacji</w:t>
            </w:r>
            <w:r w:rsidR="00E52AA7" w:rsidRPr="00810738">
              <w:rPr>
                <w:rFonts w:ascii="Times New Roman" w:hAnsi="Times New Roman"/>
                <w:color w:val="000000"/>
              </w:rPr>
              <w:t xml:space="preserve"> </w:t>
            </w:r>
            <w:r w:rsidRPr="00810738">
              <w:rPr>
                <w:rFonts w:ascii="Times New Roman" w:hAnsi="Times New Roman"/>
                <w:color w:val="000000"/>
              </w:rPr>
              <w:t>w powyższym zakresie</w:t>
            </w:r>
            <w:r w:rsidR="00820959">
              <w:rPr>
                <w:rFonts w:ascii="Times New Roman" w:hAnsi="Times New Roman"/>
                <w:color w:val="000000"/>
              </w:rPr>
              <w:t xml:space="preserve"> </w:t>
            </w:r>
            <w:r w:rsidRPr="00810738">
              <w:rPr>
                <w:rFonts w:ascii="Times New Roman" w:hAnsi="Times New Roman"/>
                <w:color w:val="000000"/>
              </w:rPr>
              <w:t xml:space="preserve">i kontynuowanie przydzielania wsparcia na zasadach dotychczasowych powoduje ryzyko uznania przez </w:t>
            </w:r>
            <w:r>
              <w:rPr>
                <w:rFonts w:ascii="Times New Roman" w:hAnsi="Times New Roman"/>
                <w:color w:val="000000"/>
              </w:rPr>
              <w:t>Komisj</w:t>
            </w:r>
            <w:r w:rsidR="00E52AA7">
              <w:rPr>
                <w:rFonts w:ascii="Times New Roman" w:hAnsi="Times New Roman"/>
                <w:color w:val="000000"/>
              </w:rPr>
              <w:t>ę</w:t>
            </w:r>
            <w:r>
              <w:rPr>
                <w:rFonts w:ascii="Times New Roman" w:hAnsi="Times New Roman"/>
                <w:color w:val="000000"/>
              </w:rPr>
              <w:t xml:space="preserve"> Europejską</w:t>
            </w:r>
            <w:r w:rsidRPr="00810738">
              <w:rPr>
                <w:rFonts w:ascii="Times New Roman" w:hAnsi="Times New Roman"/>
                <w:color w:val="000000"/>
              </w:rPr>
              <w:t>, że pomoc udzielana jest niezgodnie z </w:t>
            </w:r>
            <w:r>
              <w:rPr>
                <w:rFonts w:ascii="Times New Roman" w:hAnsi="Times New Roman"/>
                <w:color w:val="000000"/>
              </w:rPr>
              <w:t xml:space="preserve">europejskimi </w:t>
            </w:r>
            <w:r w:rsidRPr="00810738">
              <w:rPr>
                <w:rFonts w:ascii="Times New Roman" w:hAnsi="Times New Roman"/>
                <w:color w:val="000000"/>
              </w:rPr>
              <w:t>zasadami</w:t>
            </w:r>
            <w:r>
              <w:rPr>
                <w:rFonts w:ascii="Times New Roman" w:hAnsi="Times New Roman"/>
                <w:color w:val="000000"/>
              </w:rPr>
              <w:t xml:space="preserve">. </w:t>
            </w:r>
          </w:p>
          <w:p w14:paraId="22E942BB" w14:textId="4E37C713" w:rsidR="00AA7D50" w:rsidRPr="00FE7519" w:rsidRDefault="002A2BD2" w:rsidP="009A0BD4">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Zgodnie z powyższym</w:t>
            </w:r>
            <w:r w:rsidR="00E52AA7">
              <w:rPr>
                <w:rFonts w:ascii="Times New Roman" w:hAnsi="Times New Roman"/>
                <w:color w:val="000000"/>
                <w:spacing w:val="-2"/>
              </w:rPr>
              <w:t>,</w:t>
            </w:r>
            <w:r w:rsidRPr="00FE7519">
              <w:rPr>
                <w:rFonts w:ascii="Times New Roman" w:hAnsi="Times New Roman"/>
                <w:color w:val="000000"/>
                <w:spacing w:val="-2"/>
              </w:rPr>
              <w:t xml:space="preserve"> </w:t>
            </w:r>
            <w:r w:rsidR="00786764" w:rsidRPr="00FE7519">
              <w:rPr>
                <w:rFonts w:ascii="Times New Roman" w:hAnsi="Times New Roman"/>
                <w:color w:val="000000"/>
                <w:spacing w:val="-2"/>
              </w:rPr>
              <w:t>p</w:t>
            </w:r>
            <w:r w:rsidR="00531A8F" w:rsidRPr="00FE7519">
              <w:rPr>
                <w:rFonts w:ascii="Times New Roman" w:hAnsi="Times New Roman"/>
                <w:color w:val="000000"/>
                <w:spacing w:val="-2"/>
              </w:rPr>
              <w:t xml:space="preserve">odstawowym celem projektu </w:t>
            </w:r>
            <w:r w:rsidR="0069777D" w:rsidRPr="00FE7519">
              <w:rPr>
                <w:rFonts w:ascii="Times New Roman" w:hAnsi="Times New Roman"/>
                <w:color w:val="000000"/>
                <w:spacing w:val="-2"/>
              </w:rPr>
              <w:t xml:space="preserve">ustawy o zmianie ustawy o odnawialnych źródłach energii oraz niektórych innych ustaw, </w:t>
            </w:r>
            <w:r w:rsidR="00531A8F" w:rsidRPr="00FE7519">
              <w:rPr>
                <w:rFonts w:ascii="Times New Roman" w:hAnsi="Times New Roman"/>
                <w:color w:val="000000"/>
                <w:spacing w:val="-2"/>
              </w:rPr>
              <w:t xml:space="preserve">zwanego </w:t>
            </w:r>
            <w:r w:rsidR="0069777D" w:rsidRPr="00FE7519">
              <w:rPr>
                <w:rFonts w:ascii="Times New Roman" w:hAnsi="Times New Roman"/>
                <w:color w:val="000000"/>
                <w:spacing w:val="-2"/>
              </w:rPr>
              <w:t xml:space="preserve">dalej „projektem ustawy”, </w:t>
            </w:r>
            <w:r w:rsidR="009A01B3" w:rsidRPr="00FE7519">
              <w:rPr>
                <w:rFonts w:ascii="Times New Roman" w:hAnsi="Times New Roman"/>
                <w:color w:val="000000"/>
                <w:spacing w:val="-2"/>
              </w:rPr>
              <w:t xml:space="preserve">jest zapewnienie zgodności prawa krajowego z </w:t>
            </w:r>
            <w:r w:rsidR="00531A8F" w:rsidRPr="00FE7519">
              <w:rPr>
                <w:rFonts w:ascii="Times New Roman" w:hAnsi="Times New Roman"/>
                <w:color w:val="000000"/>
                <w:spacing w:val="-2"/>
              </w:rPr>
              <w:t>prawem unijnym</w:t>
            </w:r>
            <w:r w:rsidR="009A01B3" w:rsidRPr="00FE7519">
              <w:rPr>
                <w:rFonts w:ascii="Times New Roman" w:hAnsi="Times New Roman"/>
                <w:color w:val="000000"/>
                <w:spacing w:val="-2"/>
              </w:rPr>
              <w:t>, przede wszystkim w zakresie udzielanej pomocy publicznej w systemach wsparcia OZE</w:t>
            </w:r>
            <w:r w:rsidR="00E11AF6" w:rsidRPr="00FE7519">
              <w:rPr>
                <w:rFonts w:ascii="Times New Roman" w:hAnsi="Times New Roman"/>
                <w:color w:val="000000"/>
                <w:spacing w:val="-2"/>
              </w:rPr>
              <w:t>, tj.</w:t>
            </w:r>
            <w:r w:rsidR="009A01B3" w:rsidRPr="00FE7519">
              <w:rPr>
                <w:rFonts w:ascii="Times New Roman" w:hAnsi="Times New Roman"/>
                <w:color w:val="000000"/>
                <w:spacing w:val="-2"/>
              </w:rPr>
              <w:t xml:space="preserve"> z </w:t>
            </w:r>
            <w:r w:rsidR="00E64D79" w:rsidRPr="00FE7519">
              <w:rPr>
                <w:rFonts w:ascii="Times New Roman" w:hAnsi="Times New Roman"/>
                <w:color w:val="000000"/>
                <w:spacing w:val="-2"/>
              </w:rPr>
              <w:t xml:space="preserve">komunikatem </w:t>
            </w:r>
            <w:r w:rsidR="009A01B3" w:rsidRPr="00FE7519">
              <w:rPr>
                <w:rFonts w:ascii="Times New Roman" w:hAnsi="Times New Roman"/>
                <w:color w:val="000000"/>
                <w:spacing w:val="-2"/>
              </w:rPr>
              <w:t>Komisji</w:t>
            </w:r>
            <w:r w:rsidR="00D14E01" w:rsidRPr="00FE7519">
              <w:rPr>
                <w:rFonts w:ascii="Times New Roman" w:hAnsi="Times New Roman"/>
                <w:color w:val="000000"/>
                <w:spacing w:val="-2"/>
              </w:rPr>
              <w:t xml:space="preserve"> </w:t>
            </w:r>
            <w:r w:rsidR="00A86F3F" w:rsidRPr="00FE7519">
              <w:rPr>
                <w:rFonts w:ascii="Times New Roman" w:hAnsi="Times New Roman"/>
                <w:color w:val="000000"/>
                <w:spacing w:val="-2"/>
              </w:rPr>
              <w:t>–</w:t>
            </w:r>
            <w:r w:rsidR="009A01B3" w:rsidRPr="00FE7519">
              <w:rPr>
                <w:rFonts w:ascii="Times New Roman" w:hAnsi="Times New Roman"/>
                <w:color w:val="000000"/>
                <w:spacing w:val="-2"/>
              </w:rPr>
              <w:t xml:space="preserve"> Wytyczne w sprawie pomocy państwa na ochronę klimatu i środowiska oraz cele związane z energią z 2022 r. </w:t>
            </w:r>
            <w:r w:rsidR="00F77246" w:rsidRPr="00FE7519">
              <w:rPr>
                <w:rFonts w:ascii="Times New Roman" w:hAnsi="Times New Roman"/>
                <w:color w:val="000000"/>
                <w:spacing w:val="-2"/>
              </w:rPr>
              <w:t>(Dz.U. C 80 z 18.2.2022, str. 1</w:t>
            </w:r>
            <w:r w:rsidR="00F72029" w:rsidRPr="00FE7519">
              <w:rPr>
                <w:rFonts w:ascii="Times New Roman" w:hAnsi="Times New Roman"/>
                <w:color w:val="000000"/>
                <w:spacing w:val="-2"/>
              </w:rPr>
              <w:t>–</w:t>
            </w:r>
            <w:r w:rsidR="00F77246" w:rsidRPr="00FE7519">
              <w:rPr>
                <w:rFonts w:ascii="Times New Roman" w:hAnsi="Times New Roman"/>
                <w:color w:val="000000"/>
                <w:spacing w:val="-2"/>
              </w:rPr>
              <w:t xml:space="preserve">89), </w:t>
            </w:r>
            <w:r w:rsidR="009A01B3" w:rsidRPr="00FE7519">
              <w:rPr>
                <w:rFonts w:ascii="Times New Roman" w:hAnsi="Times New Roman"/>
                <w:color w:val="000000"/>
                <w:spacing w:val="-2"/>
              </w:rPr>
              <w:t>zwany</w:t>
            </w:r>
            <w:r w:rsidR="009B08ED" w:rsidRPr="00FE7519">
              <w:rPr>
                <w:rFonts w:ascii="Times New Roman" w:hAnsi="Times New Roman"/>
                <w:color w:val="000000"/>
                <w:spacing w:val="-2"/>
              </w:rPr>
              <w:t>m</w:t>
            </w:r>
            <w:r w:rsidR="009A01B3" w:rsidRPr="00FE7519">
              <w:rPr>
                <w:rFonts w:ascii="Times New Roman" w:hAnsi="Times New Roman"/>
                <w:color w:val="000000"/>
                <w:spacing w:val="-2"/>
              </w:rPr>
              <w:t xml:space="preserve"> dalej „Wytyczne CEEAG” lub „CEEAG” oraz </w:t>
            </w:r>
            <w:r w:rsidR="00E64D79" w:rsidRPr="00FE7519">
              <w:rPr>
                <w:rFonts w:ascii="Times New Roman" w:hAnsi="Times New Roman"/>
                <w:color w:val="000000"/>
                <w:spacing w:val="-2"/>
              </w:rPr>
              <w:t>rozporządzeniem</w:t>
            </w:r>
            <w:r w:rsidR="00730498" w:rsidRPr="00FE7519">
              <w:rPr>
                <w:rFonts w:ascii="Times New Roman" w:hAnsi="Times New Roman"/>
                <w:color w:val="000000"/>
                <w:spacing w:val="-2"/>
              </w:rPr>
              <w:t xml:space="preserve"> Komisji (UE) nr 651/2014 uznającym niektóre rodzaje pomocy za zgodne z rynkiem wewnętrznym w zastosowaniu art. 107 i 108 Traktatu (Dz. Urz. UE L187 z 26.06.2014 r., str. 1, z późn. zm.), zwanym dalej „rozporządzeniem GBER”, znowelizowanym rozporządzeniem</w:t>
            </w:r>
            <w:r w:rsidR="00E64D79" w:rsidRPr="00FE7519">
              <w:rPr>
                <w:rFonts w:ascii="Times New Roman" w:hAnsi="Times New Roman"/>
                <w:color w:val="000000"/>
                <w:spacing w:val="-2"/>
              </w:rPr>
              <w:t xml:space="preserve"> </w:t>
            </w:r>
            <w:r w:rsidR="009A01B3" w:rsidRPr="00FE7519">
              <w:rPr>
                <w:rFonts w:ascii="Times New Roman" w:hAnsi="Times New Roman"/>
                <w:color w:val="000000"/>
                <w:spacing w:val="-2"/>
              </w:rPr>
              <w:t>Komisji (UE) 2023/1315 z dnia 23 czerwca 2023 r. zmieniającym rozporządzenie (UE) nr 651/2014 uznające niektóre rodzaje pomocy za zgodne z rynkiem wewnętrznym w zastosowaniu art. 107 i 108 Traktatu oraz rozporządzenie (UE) 2022/2473 uznające niektóre kategorie pomocy udzielanej przedsiębiorstwom prowadzącym działalność w zakresie produkcji, przetwórstwa i wprowadzania do obrotu produktów rybołówstwa i akwakultury za zgodne z rynkiem wewnętrznym w zastosowaniu art. 107 i 108 Traktatu</w:t>
            </w:r>
            <w:r w:rsidR="00EC243C" w:rsidRPr="00FE7519">
              <w:rPr>
                <w:rFonts w:ascii="Times New Roman" w:hAnsi="Times New Roman"/>
                <w:color w:val="000000"/>
                <w:spacing w:val="-2"/>
              </w:rPr>
              <w:t xml:space="preserve"> (Dz.U. L 167 z 30.6.2023, str. 1</w:t>
            </w:r>
            <w:r w:rsidR="00F72029" w:rsidRPr="00FE7519">
              <w:rPr>
                <w:rFonts w:ascii="Times New Roman" w:hAnsi="Times New Roman"/>
                <w:color w:val="000000"/>
                <w:spacing w:val="-2"/>
              </w:rPr>
              <w:t>–</w:t>
            </w:r>
            <w:r w:rsidR="00EC243C" w:rsidRPr="00FE7519">
              <w:rPr>
                <w:rFonts w:ascii="Times New Roman" w:hAnsi="Times New Roman"/>
                <w:color w:val="000000"/>
                <w:spacing w:val="-2"/>
              </w:rPr>
              <w:t>90)</w:t>
            </w:r>
            <w:r w:rsidR="009B08ED" w:rsidRPr="00FE7519">
              <w:rPr>
                <w:rFonts w:ascii="Times New Roman" w:hAnsi="Times New Roman"/>
                <w:color w:val="000000"/>
                <w:spacing w:val="-2"/>
              </w:rPr>
              <w:t>,</w:t>
            </w:r>
            <w:r w:rsidR="00FD4DB1" w:rsidRPr="00FE7519">
              <w:rPr>
                <w:rFonts w:ascii="Times New Roman" w:hAnsi="Times New Roman"/>
                <w:color w:val="000000"/>
                <w:spacing w:val="-2"/>
              </w:rPr>
              <w:t xml:space="preserve"> </w:t>
            </w:r>
            <w:r w:rsidR="00730498" w:rsidRPr="00FE7519">
              <w:rPr>
                <w:rFonts w:ascii="Times New Roman" w:hAnsi="Times New Roman"/>
                <w:color w:val="000000"/>
                <w:spacing w:val="-2"/>
              </w:rPr>
              <w:t>zwanym dalej „rozporządzeniem 2023/1315”</w:t>
            </w:r>
            <w:r w:rsidR="00296088">
              <w:rPr>
                <w:rFonts w:ascii="Times New Roman" w:hAnsi="Times New Roman"/>
                <w:color w:val="000000"/>
                <w:spacing w:val="-2"/>
              </w:rPr>
              <w:t xml:space="preserve">, jak również </w:t>
            </w:r>
            <w:r w:rsidR="00296088" w:rsidRPr="00296088">
              <w:rPr>
                <w:rFonts w:ascii="Times New Roman" w:hAnsi="Times New Roman"/>
                <w:color w:val="000000"/>
                <w:spacing w:val="-2"/>
              </w:rPr>
              <w:t>rozporządzeni</w:t>
            </w:r>
            <w:r w:rsidR="00296088">
              <w:rPr>
                <w:rFonts w:ascii="Times New Roman" w:hAnsi="Times New Roman"/>
                <w:color w:val="000000"/>
                <w:spacing w:val="-2"/>
              </w:rPr>
              <w:t>em</w:t>
            </w:r>
            <w:r w:rsidR="00296088" w:rsidRPr="00296088">
              <w:rPr>
                <w:rFonts w:ascii="Times New Roman" w:hAnsi="Times New Roman"/>
                <w:color w:val="000000"/>
                <w:spacing w:val="-2"/>
              </w:rPr>
              <w:t xml:space="preserve"> Parlamentu Europejskiego i Rady (UE) 2019/943 z dnia 5 czerwca 2019 r. w sprawie rynku wewnętrznego energii elektrycznej (Dz.U. L 158 z 14.6.2019, str. 54–124),</w:t>
            </w:r>
            <w:r w:rsidR="00296088">
              <w:rPr>
                <w:rFonts w:ascii="Times New Roman" w:hAnsi="Times New Roman"/>
                <w:color w:val="000000"/>
                <w:spacing w:val="-2"/>
              </w:rPr>
              <w:t xml:space="preserve"> zwanym dalej „rozporządzeniem rynkowym”</w:t>
            </w:r>
            <w:r w:rsidR="009A01B3" w:rsidRPr="00FE7519">
              <w:rPr>
                <w:rFonts w:ascii="Times New Roman" w:hAnsi="Times New Roman"/>
                <w:color w:val="000000"/>
                <w:spacing w:val="-2"/>
              </w:rPr>
              <w:t>.</w:t>
            </w:r>
            <w:r w:rsidR="00296088">
              <w:t xml:space="preserve"> </w:t>
            </w:r>
            <w:r w:rsidR="003A2EC0" w:rsidRPr="00FE7519">
              <w:rPr>
                <w:rFonts w:ascii="Times New Roman" w:hAnsi="Times New Roman"/>
                <w:color w:val="000000"/>
                <w:spacing w:val="-2"/>
              </w:rPr>
              <w:t>W</w:t>
            </w:r>
            <w:r w:rsidR="0069777D" w:rsidRPr="00FE7519">
              <w:rPr>
                <w:rFonts w:ascii="Times New Roman" w:hAnsi="Times New Roman"/>
                <w:color w:val="000000"/>
                <w:spacing w:val="-2"/>
              </w:rPr>
              <w:t xml:space="preserve">spólnym celem </w:t>
            </w:r>
            <w:r w:rsidR="003A2EC0" w:rsidRPr="00FE7519">
              <w:rPr>
                <w:rFonts w:ascii="Times New Roman" w:hAnsi="Times New Roman"/>
                <w:color w:val="000000"/>
                <w:spacing w:val="-2"/>
              </w:rPr>
              <w:t xml:space="preserve">tych zmian </w:t>
            </w:r>
            <w:r w:rsidR="0069777D" w:rsidRPr="00FE7519">
              <w:rPr>
                <w:rFonts w:ascii="Times New Roman" w:hAnsi="Times New Roman"/>
                <w:color w:val="000000"/>
                <w:spacing w:val="-2"/>
              </w:rPr>
              <w:t xml:space="preserve">jest </w:t>
            </w:r>
            <w:r w:rsidR="009A01B3" w:rsidRPr="00FE7519">
              <w:rPr>
                <w:rFonts w:ascii="Times New Roman" w:hAnsi="Times New Roman"/>
                <w:color w:val="000000"/>
                <w:spacing w:val="-2"/>
              </w:rPr>
              <w:t xml:space="preserve">także </w:t>
            </w:r>
            <w:r w:rsidR="0069777D" w:rsidRPr="00FE7519">
              <w:rPr>
                <w:rFonts w:ascii="Times New Roman" w:hAnsi="Times New Roman"/>
                <w:color w:val="000000"/>
                <w:spacing w:val="-2"/>
              </w:rPr>
              <w:t>zwiększenie udziału źródeł odnawialnych w krajowym zużyciu energii brutto</w:t>
            </w:r>
            <w:r w:rsidR="00A86F3F" w:rsidRPr="00FE7519">
              <w:rPr>
                <w:rFonts w:ascii="Times New Roman" w:hAnsi="Times New Roman"/>
                <w:color w:val="000000"/>
                <w:spacing w:val="-2"/>
              </w:rPr>
              <w:t xml:space="preserve"> oraz</w:t>
            </w:r>
            <w:r w:rsidR="0069777D" w:rsidRPr="00FE7519">
              <w:rPr>
                <w:rFonts w:ascii="Times New Roman" w:hAnsi="Times New Roman"/>
                <w:color w:val="000000"/>
                <w:spacing w:val="-2"/>
              </w:rPr>
              <w:t xml:space="preserve"> szeroko pojęty rozwój sektora energii zgodny z ambicjami redukcji emisyjności gospodarki i zobowiąza</w:t>
            </w:r>
            <w:r w:rsidR="00F01EF6" w:rsidRPr="00FE7519">
              <w:rPr>
                <w:rFonts w:ascii="Times New Roman" w:hAnsi="Times New Roman"/>
                <w:color w:val="000000"/>
                <w:spacing w:val="-2"/>
              </w:rPr>
              <w:t>niami</w:t>
            </w:r>
            <w:r w:rsidR="0069777D" w:rsidRPr="00FE7519">
              <w:rPr>
                <w:rFonts w:ascii="Times New Roman" w:hAnsi="Times New Roman"/>
                <w:color w:val="000000"/>
                <w:spacing w:val="-2"/>
              </w:rPr>
              <w:t xml:space="preserve"> </w:t>
            </w:r>
            <w:r w:rsidR="00CF7655" w:rsidRPr="00FE7519">
              <w:rPr>
                <w:rFonts w:ascii="Times New Roman" w:hAnsi="Times New Roman"/>
                <w:color w:val="000000"/>
                <w:spacing w:val="-2"/>
              </w:rPr>
              <w:t>międzynarodowymi.</w:t>
            </w:r>
          </w:p>
          <w:p w14:paraId="10455142" w14:textId="4573429A" w:rsidR="00982CE7" w:rsidRPr="00AB180A" w:rsidRDefault="00982CE7" w:rsidP="00E423B5">
            <w:pPr>
              <w:autoSpaceDE w:val="0"/>
              <w:autoSpaceDN w:val="0"/>
              <w:adjustRightInd w:val="0"/>
              <w:spacing w:after="120" w:line="240" w:lineRule="auto"/>
              <w:jc w:val="both"/>
              <w:rPr>
                <w:rFonts w:ascii="Times New Roman" w:hAnsi="Times New Roman"/>
                <w:b/>
                <w:bCs/>
                <w:color w:val="000000"/>
                <w:u w:val="single"/>
              </w:rPr>
            </w:pPr>
            <w:bookmarkStart w:id="3" w:name="_Hlk148610556"/>
            <w:r w:rsidRPr="00AB180A">
              <w:rPr>
                <w:rFonts w:ascii="Times New Roman" w:hAnsi="Times New Roman"/>
                <w:b/>
                <w:bCs/>
                <w:color w:val="000000"/>
                <w:u w:val="single"/>
              </w:rPr>
              <w:t xml:space="preserve">I. </w:t>
            </w:r>
            <w:r w:rsidR="00B56796" w:rsidRPr="00AB180A">
              <w:rPr>
                <w:rFonts w:ascii="Times New Roman" w:hAnsi="Times New Roman"/>
                <w:b/>
                <w:bCs/>
                <w:color w:val="000000"/>
                <w:u w:val="single"/>
              </w:rPr>
              <w:t>Dostosowanie ulg dla odbiorców energochłonnych do CEEAG</w:t>
            </w:r>
          </w:p>
          <w:bookmarkEnd w:id="3"/>
          <w:p w14:paraId="3C8DA88A" w14:textId="77080426" w:rsidR="0026165B" w:rsidRPr="00FE7519" w:rsidRDefault="00982CE7" w:rsidP="009A0BD4">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Proponowane zmiany do ustawy </w:t>
            </w:r>
            <w:r w:rsidR="00941031" w:rsidRPr="00FE7519">
              <w:rPr>
                <w:rFonts w:ascii="Times New Roman" w:hAnsi="Times New Roman"/>
                <w:color w:val="000000"/>
                <w:spacing w:val="-2"/>
              </w:rPr>
              <w:t xml:space="preserve">z dnia 20 lutego 2015 r. </w:t>
            </w:r>
            <w:r w:rsidRPr="00FE7519">
              <w:rPr>
                <w:rFonts w:ascii="Times New Roman" w:hAnsi="Times New Roman"/>
                <w:color w:val="000000"/>
                <w:spacing w:val="-2"/>
              </w:rPr>
              <w:t xml:space="preserve">o odnawialnych źródłach energii </w:t>
            </w:r>
            <w:r w:rsidR="00941031" w:rsidRPr="00FE7519">
              <w:rPr>
                <w:rFonts w:ascii="Times New Roman" w:hAnsi="Times New Roman"/>
                <w:color w:val="000000"/>
                <w:spacing w:val="-2"/>
              </w:rPr>
              <w:t>(Dz.</w:t>
            </w:r>
            <w:r w:rsidR="00FD4DB1" w:rsidRPr="00FE7519">
              <w:rPr>
                <w:rFonts w:ascii="Times New Roman" w:hAnsi="Times New Roman"/>
                <w:color w:val="000000"/>
                <w:spacing w:val="-2"/>
              </w:rPr>
              <w:t> </w:t>
            </w:r>
            <w:r w:rsidR="00941031" w:rsidRPr="00FE7519">
              <w:rPr>
                <w:rFonts w:ascii="Times New Roman" w:hAnsi="Times New Roman"/>
                <w:color w:val="000000"/>
                <w:spacing w:val="-2"/>
              </w:rPr>
              <w:t>U.</w:t>
            </w:r>
            <w:r w:rsidR="000F1247" w:rsidRPr="00FE7519">
              <w:rPr>
                <w:rFonts w:ascii="Times New Roman" w:hAnsi="Times New Roman"/>
                <w:color w:val="000000"/>
                <w:spacing w:val="-2"/>
              </w:rPr>
              <w:t xml:space="preserve"> </w:t>
            </w:r>
            <w:r w:rsidR="00941031" w:rsidRPr="00FE7519">
              <w:rPr>
                <w:rFonts w:ascii="Times New Roman" w:hAnsi="Times New Roman"/>
                <w:color w:val="000000"/>
                <w:spacing w:val="-2"/>
              </w:rPr>
              <w:t>z 2023 r. poz. 1436</w:t>
            </w:r>
            <w:r w:rsidR="00E64D79" w:rsidRPr="00FE7519">
              <w:rPr>
                <w:rFonts w:ascii="Times New Roman" w:hAnsi="Times New Roman"/>
                <w:color w:val="000000"/>
                <w:spacing w:val="-2"/>
              </w:rPr>
              <w:t>,</w:t>
            </w:r>
            <w:r w:rsidR="00A86F3F" w:rsidRPr="00FE7519">
              <w:rPr>
                <w:rFonts w:ascii="Times New Roman" w:hAnsi="Times New Roman"/>
                <w:color w:val="000000"/>
                <w:spacing w:val="-2"/>
              </w:rPr>
              <w:t xml:space="preserve"> z</w:t>
            </w:r>
            <w:r w:rsidR="006C7E7B" w:rsidRPr="00FE7519">
              <w:rPr>
                <w:rFonts w:ascii="Times New Roman" w:hAnsi="Times New Roman"/>
                <w:color w:val="000000"/>
                <w:spacing w:val="-2"/>
              </w:rPr>
              <w:t> </w:t>
            </w:r>
            <w:r w:rsidR="00A86F3F" w:rsidRPr="00FE7519">
              <w:rPr>
                <w:rFonts w:ascii="Times New Roman" w:hAnsi="Times New Roman"/>
                <w:color w:val="000000"/>
                <w:spacing w:val="-2"/>
              </w:rPr>
              <w:t>późn. zm.</w:t>
            </w:r>
            <w:r w:rsidR="00941031" w:rsidRPr="00FE7519">
              <w:rPr>
                <w:rFonts w:ascii="Times New Roman" w:hAnsi="Times New Roman"/>
                <w:color w:val="000000"/>
                <w:spacing w:val="-2"/>
              </w:rPr>
              <w:t>), zwanej dalej „ustaw</w:t>
            </w:r>
            <w:r w:rsidR="00E64D79" w:rsidRPr="00FE7519">
              <w:rPr>
                <w:rFonts w:ascii="Times New Roman" w:hAnsi="Times New Roman"/>
                <w:color w:val="000000"/>
                <w:spacing w:val="-2"/>
              </w:rPr>
              <w:t>ą</w:t>
            </w:r>
            <w:r w:rsidR="00941031" w:rsidRPr="00FE7519">
              <w:rPr>
                <w:rFonts w:ascii="Times New Roman" w:hAnsi="Times New Roman"/>
                <w:color w:val="000000"/>
                <w:spacing w:val="-2"/>
              </w:rPr>
              <w:t xml:space="preserve"> o OZE”</w:t>
            </w:r>
            <w:r w:rsidR="00E64D79" w:rsidRPr="00FE7519">
              <w:rPr>
                <w:rFonts w:ascii="Times New Roman" w:hAnsi="Times New Roman"/>
                <w:color w:val="000000"/>
                <w:spacing w:val="-2"/>
              </w:rPr>
              <w:t>,</w:t>
            </w:r>
            <w:r w:rsidR="00941031" w:rsidRPr="00FE7519">
              <w:rPr>
                <w:rFonts w:ascii="Times New Roman" w:hAnsi="Times New Roman"/>
                <w:color w:val="000000"/>
                <w:spacing w:val="-2"/>
              </w:rPr>
              <w:t xml:space="preserve"> </w:t>
            </w:r>
            <w:r w:rsidRPr="00FE7519">
              <w:rPr>
                <w:rFonts w:ascii="Times New Roman" w:hAnsi="Times New Roman"/>
                <w:color w:val="000000"/>
                <w:spacing w:val="-2"/>
              </w:rPr>
              <w:t xml:space="preserve">wynikają z konieczności </w:t>
            </w:r>
            <w:r w:rsidR="00E64D79" w:rsidRPr="00FE7519">
              <w:rPr>
                <w:rFonts w:ascii="Times New Roman" w:hAnsi="Times New Roman"/>
                <w:color w:val="000000"/>
                <w:spacing w:val="-2"/>
              </w:rPr>
              <w:t>dostosowania krajowych przepisów do</w:t>
            </w:r>
            <w:r w:rsidRPr="00FE7519">
              <w:rPr>
                <w:rFonts w:ascii="Times New Roman" w:hAnsi="Times New Roman"/>
                <w:color w:val="000000"/>
                <w:spacing w:val="-2"/>
              </w:rPr>
              <w:t xml:space="preserve"> Wytycznych CEEAG. </w:t>
            </w:r>
            <w:r w:rsidR="00911B08" w:rsidRPr="00FE7519">
              <w:rPr>
                <w:rFonts w:ascii="Times New Roman" w:hAnsi="Times New Roman"/>
                <w:color w:val="000000"/>
                <w:spacing w:val="-2"/>
              </w:rPr>
              <w:t xml:space="preserve">Wytyczne CEEAG zastępują poprzednie wytyczne w sprawie pomocy państwa na ochronę środowiska i cele związane z energią w latach 2014-2020 (2014/C 200/01), które zostały zaimplementowane do polskich ustaw: ustawy o OZE oraz </w:t>
            </w:r>
            <w:r w:rsidR="00911B08" w:rsidRPr="00FE7519" w:rsidDel="00DD7D12">
              <w:rPr>
                <w:rFonts w:ascii="Times New Roman" w:hAnsi="Times New Roman"/>
                <w:color w:val="000000"/>
                <w:spacing w:val="-2"/>
              </w:rPr>
              <w:t>ustawy</w:t>
            </w:r>
            <w:r w:rsidR="00911B08" w:rsidRPr="00FE7519">
              <w:rPr>
                <w:rFonts w:ascii="Times New Roman" w:hAnsi="Times New Roman"/>
                <w:color w:val="000000"/>
                <w:spacing w:val="-2"/>
              </w:rPr>
              <w:t xml:space="preserve"> z dnia 14 grudnia 2018 r. o promowaniu energii elektrycznej z wysokosprawnej kogeneracji (Dz.</w:t>
            </w:r>
            <w:r w:rsidR="00FD4DB1" w:rsidRPr="00FE7519">
              <w:rPr>
                <w:rFonts w:ascii="Times New Roman" w:hAnsi="Times New Roman"/>
                <w:color w:val="000000"/>
                <w:spacing w:val="-2"/>
              </w:rPr>
              <w:t> </w:t>
            </w:r>
            <w:r w:rsidR="00911B08" w:rsidRPr="00FE7519">
              <w:rPr>
                <w:rFonts w:ascii="Times New Roman" w:hAnsi="Times New Roman"/>
                <w:color w:val="000000"/>
                <w:spacing w:val="-2"/>
              </w:rPr>
              <w:t>U. z 2022 r. poz. 553), zwan</w:t>
            </w:r>
            <w:r w:rsidR="008D3BFC">
              <w:rPr>
                <w:rFonts w:ascii="Times New Roman" w:hAnsi="Times New Roman"/>
                <w:color w:val="000000"/>
                <w:spacing w:val="-2"/>
              </w:rPr>
              <w:t>ej</w:t>
            </w:r>
            <w:r w:rsidR="00911B08" w:rsidRPr="00FE7519">
              <w:rPr>
                <w:rFonts w:ascii="Times New Roman" w:hAnsi="Times New Roman"/>
                <w:color w:val="000000"/>
                <w:spacing w:val="-2"/>
              </w:rPr>
              <w:t xml:space="preserve"> dalej: „ustawa CHP”. </w:t>
            </w:r>
            <w:r w:rsidRPr="00FE7519">
              <w:rPr>
                <w:rFonts w:ascii="Times New Roman" w:hAnsi="Times New Roman"/>
                <w:color w:val="000000"/>
                <w:spacing w:val="-2"/>
              </w:rPr>
              <w:t xml:space="preserve">Wytyczne </w:t>
            </w:r>
            <w:r w:rsidR="000F1247" w:rsidRPr="00FE7519">
              <w:rPr>
                <w:rFonts w:ascii="Times New Roman" w:hAnsi="Times New Roman"/>
                <w:color w:val="000000"/>
                <w:spacing w:val="-2"/>
              </w:rPr>
              <w:t xml:space="preserve">te </w:t>
            </w:r>
            <w:r w:rsidRPr="00FE7519">
              <w:rPr>
                <w:rFonts w:ascii="Times New Roman" w:hAnsi="Times New Roman"/>
                <w:color w:val="000000"/>
                <w:spacing w:val="-2"/>
              </w:rPr>
              <w:t xml:space="preserve">określają zasady dotyczące </w:t>
            </w:r>
            <w:r w:rsidR="00E64D79" w:rsidRPr="00FE7519">
              <w:rPr>
                <w:rFonts w:ascii="Times New Roman" w:hAnsi="Times New Roman"/>
                <w:color w:val="000000"/>
                <w:spacing w:val="-2"/>
              </w:rPr>
              <w:t xml:space="preserve">przyznawania </w:t>
            </w:r>
            <w:r w:rsidR="008D3BFC">
              <w:rPr>
                <w:rFonts w:ascii="Times New Roman" w:hAnsi="Times New Roman"/>
                <w:color w:val="000000"/>
                <w:spacing w:val="-2"/>
              </w:rPr>
              <w:t>większości</w:t>
            </w:r>
            <w:r w:rsidRPr="00FE7519">
              <w:rPr>
                <w:rFonts w:ascii="Times New Roman" w:hAnsi="Times New Roman"/>
                <w:color w:val="000000"/>
                <w:spacing w:val="-2"/>
              </w:rPr>
              <w:t xml:space="preserve"> podlegającej zgłoszeniu pomocy na ochronę klimatu i środowiska oraz </w:t>
            </w:r>
            <w:r w:rsidR="008D3BFC">
              <w:rPr>
                <w:rFonts w:ascii="Times New Roman" w:hAnsi="Times New Roman"/>
                <w:color w:val="000000"/>
                <w:spacing w:val="-2"/>
              </w:rPr>
              <w:t xml:space="preserve">na </w:t>
            </w:r>
            <w:r w:rsidRPr="00FE7519">
              <w:rPr>
                <w:rFonts w:ascii="Times New Roman" w:hAnsi="Times New Roman"/>
                <w:color w:val="000000"/>
                <w:spacing w:val="-2"/>
              </w:rPr>
              <w:t>cele związane z energią</w:t>
            </w:r>
            <w:r w:rsidR="003E53E3" w:rsidRPr="00FE7519">
              <w:rPr>
                <w:rFonts w:ascii="Times New Roman" w:hAnsi="Times New Roman"/>
                <w:color w:val="000000"/>
                <w:spacing w:val="-2"/>
              </w:rPr>
              <w:t xml:space="preserve">. </w:t>
            </w:r>
            <w:r w:rsidRPr="00FE7519">
              <w:rPr>
                <w:rFonts w:ascii="Times New Roman" w:hAnsi="Times New Roman"/>
                <w:color w:val="000000"/>
                <w:spacing w:val="-2"/>
              </w:rPr>
              <w:t>W związku z tym</w:t>
            </w:r>
            <w:r w:rsidR="000B616E" w:rsidRPr="00FE7519">
              <w:rPr>
                <w:rFonts w:ascii="Times New Roman" w:hAnsi="Times New Roman"/>
                <w:color w:val="000000"/>
                <w:spacing w:val="-2"/>
              </w:rPr>
              <w:t>,</w:t>
            </w:r>
            <w:r w:rsidRPr="00FE7519">
              <w:rPr>
                <w:rFonts w:ascii="Times New Roman" w:hAnsi="Times New Roman"/>
                <w:color w:val="000000"/>
                <w:spacing w:val="-2"/>
              </w:rPr>
              <w:t xml:space="preserve"> tam gdzie jest to wymagane</w:t>
            </w:r>
            <w:r w:rsidR="000B616E" w:rsidRPr="00FE7519">
              <w:rPr>
                <w:rFonts w:ascii="Times New Roman" w:hAnsi="Times New Roman"/>
                <w:color w:val="000000"/>
                <w:spacing w:val="-2"/>
              </w:rPr>
              <w:t>,</w:t>
            </w:r>
            <w:r w:rsidRPr="00FE7519">
              <w:rPr>
                <w:rFonts w:ascii="Times New Roman" w:hAnsi="Times New Roman"/>
                <w:color w:val="000000"/>
                <w:spacing w:val="-2"/>
              </w:rPr>
              <w:t xml:space="preserve"> państwa członkowskie powinny dokonać modyfikacji w istniejących programach pomocy w celu dostosowania ich do CEEAG</w:t>
            </w:r>
            <w:r w:rsidR="003E53E3" w:rsidRPr="00FE7519">
              <w:rPr>
                <w:rFonts w:ascii="Times New Roman" w:hAnsi="Times New Roman"/>
                <w:color w:val="000000"/>
                <w:spacing w:val="-2"/>
              </w:rPr>
              <w:t xml:space="preserve">. Realizacja wymogów CEEAG ma na celu utrzymanie konkurencyjności polskiego sektora </w:t>
            </w:r>
            <w:r w:rsidR="00A86F3F" w:rsidRPr="00FE7519">
              <w:rPr>
                <w:rFonts w:ascii="Times New Roman" w:hAnsi="Times New Roman"/>
                <w:color w:val="000000"/>
                <w:spacing w:val="-2"/>
              </w:rPr>
              <w:t>energochłonnego,</w:t>
            </w:r>
            <w:r w:rsidR="003E53E3" w:rsidRPr="00FE7519">
              <w:rPr>
                <w:rFonts w:ascii="Times New Roman" w:hAnsi="Times New Roman"/>
                <w:color w:val="000000"/>
                <w:spacing w:val="-2"/>
              </w:rPr>
              <w:t xml:space="preserve"> dlatego powinna </w:t>
            </w:r>
            <w:r w:rsidR="009E2D34" w:rsidRPr="00FE7519">
              <w:rPr>
                <w:rFonts w:ascii="Times New Roman" w:hAnsi="Times New Roman"/>
                <w:color w:val="000000"/>
                <w:spacing w:val="-2"/>
              </w:rPr>
              <w:t xml:space="preserve">ona </w:t>
            </w:r>
            <w:r w:rsidR="003E53E3" w:rsidRPr="00FE7519">
              <w:rPr>
                <w:rFonts w:ascii="Times New Roman" w:hAnsi="Times New Roman"/>
                <w:color w:val="000000"/>
                <w:spacing w:val="-2"/>
              </w:rPr>
              <w:t>nastąpić w możliwie najkrótszym terminie pozwalając przedsiębiorcom i U</w:t>
            </w:r>
            <w:r w:rsidR="009E2D34" w:rsidRPr="00FE7519">
              <w:rPr>
                <w:rFonts w:ascii="Times New Roman" w:hAnsi="Times New Roman"/>
                <w:color w:val="000000"/>
                <w:spacing w:val="-2"/>
              </w:rPr>
              <w:t>rzędowi Regulacji Energetyki</w:t>
            </w:r>
            <w:r w:rsidR="00911B08" w:rsidRPr="00FE7519">
              <w:rPr>
                <w:rFonts w:ascii="Times New Roman" w:hAnsi="Times New Roman"/>
                <w:color w:val="000000"/>
                <w:spacing w:val="-2"/>
              </w:rPr>
              <w:t>,</w:t>
            </w:r>
            <w:r w:rsidR="009E2D34" w:rsidRPr="00FE7519">
              <w:rPr>
                <w:rFonts w:ascii="Times New Roman" w:hAnsi="Times New Roman"/>
                <w:color w:val="000000"/>
                <w:spacing w:val="-2"/>
              </w:rPr>
              <w:t xml:space="preserve"> zwanemu dalej: „URE”</w:t>
            </w:r>
            <w:r w:rsidR="00911B08" w:rsidRPr="00FE7519">
              <w:rPr>
                <w:rFonts w:ascii="Times New Roman" w:hAnsi="Times New Roman"/>
                <w:color w:val="000000"/>
                <w:spacing w:val="-2"/>
              </w:rPr>
              <w:t>,</w:t>
            </w:r>
            <w:r w:rsidR="009E2D34" w:rsidRPr="00FE7519">
              <w:rPr>
                <w:rFonts w:ascii="Times New Roman" w:hAnsi="Times New Roman"/>
                <w:color w:val="000000"/>
                <w:spacing w:val="-2"/>
              </w:rPr>
              <w:t xml:space="preserve"> </w:t>
            </w:r>
            <w:r w:rsidR="00A86F3F" w:rsidRPr="00FE7519">
              <w:rPr>
                <w:rFonts w:ascii="Times New Roman" w:hAnsi="Times New Roman"/>
                <w:color w:val="000000"/>
                <w:spacing w:val="-2"/>
              </w:rPr>
              <w:t>na</w:t>
            </w:r>
            <w:r w:rsidR="003E53E3" w:rsidRPr="00FE7519">
              <w:rPr>
                <w:rFonts w:ascii="Times New Roman" w:hAnsi="Times New Roman"/>
                <w:color w:val="000000"/>
                <w:spacing w:val="-2"/>
              </w:rPr>
              <w:t xml:space="preserve"> przygotowanie się do nowych reguł</w:t>
            </w:r>
            <w:r w:rsidR="00911B08" w:rsidRPr="00FE7519">
              <w:rPr>
                <w:rFonts w:ascii="Times New Roman" w:hAnsi="Times New Roman"/>
                <w:color w:val="000000"/>
                <w:spacing w:val="-2"/>
              </w:rPr>
              <w:t>.</w:t>
            </w:r>
            <w:r w:rsidR="003E53E3" w:rsidRPr="00FE7519">
              <w:rPr>
                <w:rFonts w:ascii="Times New Roman" w:hAnsi="Times New Roman"/>
                <w:color w:val="000000"/>
                <w:spacing w:val="-2"/>
              </w:rPr>
              <w:t xml:space="preserve"> </w:t>
            </w:r>
          </w:p>
          <w:p w14:paraId="23D20F6B" w14:textId="78DC3100" w:rsidR="00982CE7" w:rsidRPr="00982CE7" w:rsidRDefault="00982CE7" w:rsidP="00E423B5">
            <w:pPr>
              <w:spacing w:before="120" w:after="120" w:line="240" w:lineRule="auto"/>
              <w:jc w:val="both"/>
              <w:rPr>
                <w:rFonts w:ascii="Times New Roman" w:hAnsi="Times New Roman"/>
                <w:b/>
                <w:bCs/>
                <w:color w:val="000000"/>
              </w:rPr>
            </w:pPr>
            <w:r w:rsidRPr="00982CE7">
              <w:rPr>
                <w:rFonts w:ascii="Times New Roman" w:hAnsi="Times New Roman"/>
                <w:b/>
                <w:bCs/>
                <w:color w:val="000000"/>
              </w:rPr>
              <w:lastRenderedPageBreak/>
              <w:t>Konieczność aktualizacji listy sektorów objętych systemem wsparcia</w:t>
            </w:r>
          </w:p>
          <w:p w14:paraId="4CA64B25" w14:textId="3250BCB8" w:rsidR="00982CE7" w:rsidRPr="00FE7519" w:rsidRDefault="00982CE7" w:rsidP="00FE7519">
            <w:pPr>
              <w:spacing w:before="120" w:after="240" w:line="240" w:lineRule="auto"/>
              <w:jc w:val="both"/>
              <w:rPr>
                <w:rFonts w:ascii="Times New Roman" w:hAnsi="Times New Roman"/>
                <w:color w:val="000000"/>
                <w:spacing w:val="-2"/>
              </w:rPr>
            </w:pPr>
            <w:r w:rsidRPr="00FE7519">
              <w:rPr>
                <w:rFonts w:ascii="Times New Roman" w:hAnsi="Times New Roman"/>
                <w:color w:val="000000"/>
                <w:spacing w:val="-2"/>
              </w:rPr>
              <w:t>W ramach CEEAG zaktualizowana została lista sektorów, którym może być przyznawana pomoc</w:t>
            </w:r>
            <w:r w:rsidR="005D0EE0" w:rsidRPr="00FE7519">
              <w:rPr>
                <w:rFonts w:ascii="Times New Roman" w:hAnsi="Times New Roman"/>
                <w:color w:val="000000"/>
                <w:spacing w:val="-2"/>
              </w:rPr>
              <w:t xml:space="preserve"> w postaci ulg</w:t>
            </w:r>
            <w:r w:rsidRPr="00FE7519">
              <w:rPr>
                <w:rFonts w:ascii="Times New Roman" w:hAnsi="Times New Roman"/>
                <w:color w:val="000000"/>
                <w:spacing w:val="-2"/>
              </w:rPr>
              <w:t>. Została ona podzielona na dwie grupy przedsiębiorstw:</w:t>
            </w:r>
          </w:p>
          <w:p w14:paraId="229DAB07" w14:textId="4098959E" w:rsidR="00982CE7" w:rsidRPr="00982CE7" w:rsidRDefault="00982CE7">
            <w:pPr>
              <w:numPr>
                <w:ilvl w:val="0"/>
                <w:numId w:val="4"/>
              </w:numPr>
              <w:spacing w:line="240" w:lineRule="auto"/>
              <w:jc w:val="both"/>
              <w:rPr>
                <w:rFonts w:ascii="Times New Roman" w:hAnsi="Times New Roman"/>
                <w:color w:val="000000"/>
              </w:rPr>
            </w:pPr>
            <w:r w:rsidRPr="00982CE7">
              <w:rPr>
                <w:rFonts w:ascii="Times New Roman" w:hAnsi="Times New Roman"/>
                <w:color w:val="000000"/>
              </w:rPr>
              <w:t xml:space="preserve">sektory narażone na szczególne ryzyko, w przypadku których iloczyn ich intensywności handlu i </w:t>
            </w:r>
            <w:proofErr w:type="spellStart"/>
            <w:r w:rsidRPr="00982CE7">
              <w:rPr>
                <w:rFonts w:ascii="Times New Roman" w:hAnsi="Times New Roman"/>
                <w:color w:val="000000"/>
              </w:rPr>
              <w:t>elektrochłonności</w:t>
            </w:r>
            <w:proofErr w:type="spellEnd"/>
            <w:r w:rsidRPr="00982CE7">
              <w:rPr>
                <w:rFonts w:ascii="Times New Roman" w:hAnsi="Times New Roman"/>
                <w:color w:val="000000"/>
              </w:rPr>
              <w:t xml:space="preserve"> na poziomie </w:t>
            </w:r>
            <w:r w:rsidR="00411617" w:rsidRPr="00982CE7">
              <w:rPr>
                <w:rFonts w:ascii="Times New Roman" w:hAnsi="Times New Roman"/>
                <w:color w:val="000000"/>
              </w:rPr>
              <w:t>U</w:t>
            </w:r>
            <w:r w:rsidR="00411617">
              <w:rPr>
                <w:rFonts w:ascii="Times New Roman" w:hAnsi="Times New Roman"/>
                <w:color w:val="000000"/>
              </w:rPr>
              <w:t>E</w:t>
            </w:r>
            <w:r w:rsidR="00411617" w:rsidRPr="00982CE7">
              <w:rPr>
                <w:rFonts w:ascii="Times New Roman" w:hAnsi="Times New Roman"/>
                <w:color w:val="000000"/>
              </w:rPr>
              <w:t xml:space="preserve"> </w:t>
            </w:r>
            <w:r w:rsidRPr="00982CE7">
              <w:rPr>
                <w:rFonts w:ascii="Times New Roman" w:hAnsi="Times New Roman"/>
                <w:color w:val="000000"/>
              </w:rPr>
              <w:t xml:space="preserve">wynosi co najmniej 2% i których intensywność handlu i </w:t>
            </w:r>
            <w:proofErr w:type="spellStart"/>
            <w:r w:rsidRPr="00982CE7">
              <w:rPr>
                <w:rFonts w:ascii="Times New Roman" w:hAnsi="Times New Roman"/>
                <w:color w:val="000000"/>
              </w:rPr>
              <w:t>elektrochłonność</w:t>
            </w:r>
            <w:proofErr w:type="spellEnd"/>
            <w:r w:rsidRPr="00982CE7">
              <w:rPr>
                <w:rFonts w:ascii="Times New Roman" w:hAnsi="Times New Roman"/>
                <w:color w:val="000000"/>
              </w:rPr>
              <w:t xml:space="preserve"> na poziomie Unii wynosi co najmniej 5% dla każdego wskaźnika;</w:t>
            </w:r>
          </w:p>
          <w:p w14:paraId="15B6E431" w14:textId="6CC5973C" w:rsidR="00982CE7" w:rsidRDefault="00982CE7">
            <w:pPr>
              <w:numPr>
                <w:ilvl w:val="0"/>
                <w:numId w:val="4"/>
              </w:numPr>
              <w:spacing w:after="120" w:line="240" w:lineRule="auto"/>
              <w:ind w:left="714" w:hanging="357"/>
              <w:jc w:val="both"/>
              <w:rPr>
                <w:rFonts w:ascii="Times New Roman" w:hAnsi="Times New Roman"/>
                <w:color w:val="000000"/>
              </w:rPr>
            </w:pPr>
            <w:r w:rsidRPr="00982CE7">
              <w:rPr>
                <w:rFonts w:ascii="Times New Roman" w:hAnsi="Times New Roman"/>
                <w:color w:val="000000"/>
              </w:rPr>
              <w:t xml:space="preserve">sektory narażone na ryzyko, w przypadku których iloczyn ich intensywności handlu i </w:t>
            </w:r>
            <w:proofErr w:type="spellStart"/>
            <w:r w:rsidRPr="00982CE7">
              <w:rPr>
                <w:rFonts w:ascii="Times New Roman" w:hAnsi="Times New Roman"/>
                <w:color w:val="000000"/>
              </w:rPr>
              <w:t>elektrochłonności</w:t>
            </w:r>
            <w:proofErr w:type="spellEnd"/>
            <w:r w:rsidRPr="00982CE7">
              <w:rPr>
                <w:rFonts w:ascii="Times New Roman" w:hAnsi="Times New Roman"/>
                <w:color w:val="000000"/>
              </w:rPr>
              <w:t xml:space="preserve"> na poziomie </w:t>
            </w:r>
            <w:r w:rsidR="00437E14" w:rsidRPr="00982CE7">
              <w:rPr>
                <w:rFonts w:ascii="Times New Roman" w:hAnsi="Times New Roman"/>
                <w:color w:val="000000"/>
              </w:rPr>
              <w:t>U</w:t>
            </w:r>
            <w:r w:rsidR="00437E14">
              <w:rPr>
                <w:rFonts w:ascii="Times New Roman" w:hAnsi="Times New Roman"/>
                <w:color w:val="000000"/>
              </w:rPr>
              <w:t>E</w:t>
            </w:r>
            <w:r w:rsidR="00437E14" w:rsidRPr="00982CE7">
              <w:rPr>
                <w:rFonts w:ascii="Times New Roman" w:hAnsi="Times New Roman"/>
                <w:color w:val="000000"/>
              </w:rPr>
              <w:t xml:space="preserve"> </w:t>
            </w:r>
            <w:r w:rsidRPr="00982CE7">
              <w:rPr>
                <w:rFonts w:ascii="Times New Roman" w:hAnsi="Times New Roman"/>
                <w:color w:val="000000"/>
              </w:rPr>
              <w:t xml:space="preserve">wynosi co najmniej 0,6% i których intensywność handlu i </w:t>
            </w:r>
            <w:proofErr w:type="spellStart"/>
            <w:r w:rsidRPr="00982CE7">
              <w:rPr>
                <w:rFonts w:ascii="Times New Roman" w:hAnsi="Times New Roman"/>
                <w:color w:val="000000"/>
              </w:rPr>
              <w:t>elektrochłonność</w:t>
            </w:r>
            <w:proofErr w:type="spellEnd"/>
            <w:r w:rsidRPr="00982CE7">
              <w:rPr>
                <w:rFonts w:ascii="Times New Roman" w:hAnsi="Times New Roman"/>
                <w:color w:val="000000"/>
              </w:rPr>
              <w:t xml:space="preserve"> na poziomie </w:t>
            </w:r>
            <w:r w:rsidR="00411617" w:rsidRPr="00982CE7">
              <w:rPr>
                <w:rFonts w:ascii="Times New Roman" w:hAnsi="Times New Roman"/>
                <w:color w:val="000000"/>
              </w:rPr>
              <w:t>U</w:t>
            </w:r>
            <w:r w:rsidR="00411617">
              <w:rPr>
                <w:rFonts w:ascii="Times New Roman" w:hAnsi="Times New Roman"/>
                <w:color w:val="000000"/>
              </w:rPr>
              <w:t>E</w:t>
            </w:r>
            <w:r w:rsidR="00411617" w:rsidRPr="00982CE7">
              <w:rPr>
                <w:rFonts w:ascii="Times New Roman" w:hAnsi="Times New Roman"/>
                <w:color w:val="000000"/>
              </w:rPr>
              <w:t xml:space="preserve"> </w:t>
            </w:r>
            <w:r w:rsidRPr="00982CE7">
              <w:rPr>
                <w:rFonts w:ascii="Times New Roman" w:hAnsi="Times New Roman"/>
                <w:color w:val="000000"/>
              </w:rPr>
              <w:t>wynosi odpowiednio co najmniej 4% i 5%.</w:t>
            </w:r>
          </w:p>
          <w:p w14:paraId="590DECEC" w14:textId="7347C630" w:rsidR="007D137B" w:rsidRPr="00982CE7" w:rsidRDefault="00982CE7" w:rsidP="00E423B5">
            <w:pPr>
              <w:spacing w:before="120" w:after="120" w:line="240" w:lineRule="auto"/>
              <w:jc w:val="both"/>
              <w:rPr>
                <w:rFonts w:ascii="Times New Roman" w:hAnsi="Times New Roman"/>
                <w:color w:val="000000"/>
              </w:rPr>
            </w:pPr>
            <w:r w:rsidRPr="00982CE7">
              <w:rPr>
                <w:rFonts w:ascii="Times New Roman" w:hAnsi="Times New Roman"/>
                <w:color w:val="000000"/>
              </w:rPr>
              <w:t>Lista sektorów w podziale na powyższe grupy została opublikowana w formie załącznika do Wytycznych CEEAG.</w:t>
            </w:r>
          </w:p>
          <w:p w14:paraId="2166212E" w14:textId="53608EAF" w:rsidR="00982CE7" w:rsidRPr="00FE7519" w:rsidRDefault="00982CE7" w:rsidP="009A0BD4">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Ustawa </w:t>
            </w:r>
            <w:r w:rsidR="00D26D95" w:rsidRPr="00FE7519">
              <w:rPr>
                <w:rFonts w:ascii="Times New Roman" w:hAnsi="Times New Roman"/>
                <w:color w:val="000000"/>
                <w:spacing w:val="-2"/>
              </w:rPr>
              <w:t xml:space="preserve">o </w:t>
            </w:r>
            <w:r w:rsidRPr="00FE7519">
              <w:rPr>
                <w:rFonts w:ascii="Times New Roman" w:hAnsi="Times New Roman"/>
                <w:color w:val="000000"/>
                <w:spacing w:val="-2"/>
              </w:rPr>
              <w:t>OZE</w:t>
            </w:r>
            <w:r w:rsidR="00820959">
              <w:rPr>
                <w:rFonts w:ascii="Times New Roman" w:hAnsi="Times New Roman"/>
                <w:color w:val="000000"/>
                <w:spacing w:val="-2"/>
              </w:rPr>
              <w:t xml:space="preserve"> w obecnym brzmieniu</w:t>
            </w:r>
            <w:r w:rsidR="008D3BFC">
              <w:rPr>
                <w:rFonts w:ascii="Times New Roman" w:hAnsi="Times New Roman"/>
                <w:color w:val="000000"/>
                <w:spacing w:val="-2"/>
              </w:rPr>
              <w:t>,</w:t>
            </w:r>
            <w:r w:rsidRPr="00FE7519">
              <w:rPr>
                <w:rFonts w:ascii="Times New Roman" w:hAnsi="Times New Roman"/>
                <w:color w:val="000000"/>
                <w:spacing w:val="-2"/>
              </w:rPr>
              <w:t xml:space="preserve"> </w:t>
            </w:r>
            <w:r w:rsidR="00B47AAA" w:rsidRPr="00FE7519">
              <w:rPr>
                <w:rFonts w:ascii="Times New Roman" w:hAnsi="Times New Roman"/>
                <w:color w:val="000000"/>
                <w:spacing w:val="-2"/>
              </w:rPr>
              <w:t>definiując odbiorcę przemysłowego w art. 52 ust. 6 pkt 1</w:t>
            </w:r>
            <w:r w:rsidR="008D3BFC">
              <w:rPr>
                <w:rFonts w:ascii="Times New Roman" w:hAnsi="Times New Roman"/>
                <w:color w:val="000000"/>
                <w:spacing w:val="-2"/>
              </w:rPr>
              <w:t>,</w:t>
            </w:r>
            <w:r w:rsidR="00B47AAA" w:rsidRPr="00FE7519">
              <w:rPr>
                <w:rFonts w:ascii="Times New Roman" w:hAnsi="Times New Roman"/>
                <w:color w:val="000000"/>
                <w:spacing w:val="-2"/>
              </w:rPr>
              <w:t xml:space="preserve"> nie </w:t>
            </w:r>
            <w:r w:rsidRPr="00FE7519">
              <w:rPr>
                <w:rFonts w:ascii="Times New Roman" w:hAnsi="Times New Roman"/>
                <w:color w:val="000000"/>
                <w:spacing w:val="-2"/>
              </w:rPr>
              <w:t xml:space="preserve">uwzględnia </w:t>
            </w:r>
            <w:r w:rsidR="00B47AAA" w:rsidRPr="00FE7519">
              <w:rPr>
                <w:rFonts w:ascii="Times New Roman" w:hAnsi="Times New Roman"/>
                <w:color w:val="000000"/>
                <w:spacing w:val="-2"/>
              </w:rPr>
              <w:t xml:space="preserve">powyższego </w:t>
            </w:r>
            <w:r w:rsidRPr="00FE7519">
              <w:rPr>
                <w:rFonts w:ascii="Times New Roman" w:hAnsi="Times New Roman"/>
                <w:color w:val="000000"/>
                <w:spacing w:val="-2"/>
              </w:rPr>
              <w:t>podział</w:t>
            </w:r>
            <w:r w:rsidR="00B47AAA" w:rsidRPr="00FE7519">
              <w:rPr>
                <w:rFonts w:ascii="Times New Roman" w:hAnsi="Times New Roman"/>
                <w:color w:val="000000"/>
                <w:spacing w:val="-2"/>
              </w:rPr>
              <w:t>u</w:t>
            </w:r>
            <w:r w:rsidRPr="00FE7519">
              <w:rPr>
                <w:rFonts w:ascii="Times New Roman" w:hAnsi="Times New Roman"/>
                <w:color w:val="000000"/>
                <w:spacing w:val="-2"/>
              </w:rPr>
              <w:t xml:space="preserve">. </w:t>
            </w:r>
            <w:r w:rsidR="005B70F9" w:rsidRPr="00FE7519">
              <w:rPr>
                <w:rFonts w:ascii="Times New Roman" w:hAnsi="Times New Roman"/>
                <w:color w:val="000000"/>
                <w:spacing w:val="-2"/>
              </w:rPr>
              <w:t xml:space="preserve">Wymagane jest przy tym </w:t>
            </w:r>
            <w:r w:rsidR="00B317A9" w:rsidRPr="00FE7519">
              <w:rPr>
                <w:rFonts w:ascii="Times New Roman" w:hAnsi="Times New Roman"/>
                <w:color w:val="000000"/>
                <w:spacing w:val="-2"/>
              </w:rPr>
              <w:t>wskazanie</w:t>
            </w:r>
            <w:r w:rsidRPr="00FE7519">
              <w:rPr>
                <w:rFonts w:ascii="Times New Roman" w:hAnsi="Times New Roman"/>
                <w:color w:val="000000"/>
                <w:spacing w:val="-2"/>
              </w:rPr>
              <w:t xml:space="preserve"> listy sektorów narażonych na ryzyko i na szczególne ryzyko ucieczki emisji</w:t>
            </w:r>
            <w:r w:rsidR="005B70F9" w:rsidRPr="00FE7519">
              <w:rPr>
                <w:rFonts w:ascii="Times New Roman" w:hAnsi="Times New Roman"/>
                <w:color w:val="000000"/>
                <w:spacing w:val="-2"/>
              </w:rPr>
              <w:t xml:space="preserve">, o których mowa w </w:t>
            </w:r>
            <w:r w:rsidRPr="00FE7519">
              <w:rPr>
                <w:rFonts w:ascii="Times New Roman" w:hAnsi="Times New Roman"/>
                <w:color w:val="000000"/>
                <w:spacing w:val="-2"/>
              </w:rPr>
              <w:t>CEEAG</w:t>
            </w:r>
            <w:r w:rsidR="00911B08" w:rsidRPr="00FE7519">
              <w:rPr>
                <w:rFonts w:ascii="Times New Roman" w:hAnsi="Times New Roman"/>
                <w:color w:val="000000"/>
                <w:spacing w:val="-2"/>
              </w:rPr>
              <w:t>,</w:t>
            </w:r>
            <w:r w:rsidRPr="00FE7519">
              <w:rPr>
                <w:rFonts w:ascii="Times New Roman" w:hAnsi="Times New Roman"/>
                <w:color w:val="000000"/>
                <w:spacing w:val="-2"/>
              </w:rPr>
              <w:t xml:space="preserve"> </w:t>
            </w:r>
            <w:r w:rsidR="005B70F9" w:rsidRPr="00FE7519">
              <w:rPr>
                <w:rFonts w:ascii="Times New Roman" w:hAnsi="Times New Roman"/>
                <w:color w:val="000000"/>
                <w:spacing w:val="-2"/>
              </w:rPr>
              <w:t>poprzez</w:t>
            </w:r>
            <w:r w:rsidRPr="00FE7519">
              <w:rPr>
                <w:rFonts w:ascii="Times New Roman" w:hAnsi="Times New Roman"/>
                <w:color w:val="000000"/>
                <w:spacing w:val="-2"/>
              </w:rPr>
              <w:t xml:space="preserve"> </w:t>
            </w:r>
            <w:r w:rsidR="005B70F9" w:rsidRPr="00FE7519">
              <w:rPr>
                <w:rFonts w:ascii="Times New Roman" w:hAnsi="Times New Roman"/>
                <w:color w:val="000000"/>
                <w:spacing w:val="-2"/>
              </w:rPr>
              <w:t xml:space="preserve">adekwatne </w:t>
            </w:r>
            <w:r w:rsidRPr="00FE7519">
              <w:rPr>
                <w:rFonts w:ascii="Times New Roman" w:hAnsi="Times New Roman"/>
                <w:color w:val="000000"/>
                <w:spacing w:val="-2"/>
              </w:rPr>
              <w:t>dostosowani</w:t>
            </w:r>
            <w:r w:rsidR="005B70F9" w:rsidRPr="00FE7519">
              <w:rPr>
                <w:rFonts w:ascii="Times New Roman" w:hAnsi="Times New Roman"/>
                <w:color w:val="000000"/>
                <w:spacing w:val="-2"/>
              </w:rPr>
              <w:t>e</w:t>
            </w:r>
            <w:r w:rsidRPr="00FE7519">
              <w:rPr>
                <w:rFonts w:ascii="Times New Roman" w:hAnsi="Times New Roman"/>
                <w:color w:val="000000"/>
                <w:spacing w:val="-2"/>
              </w:rPr>
              <w:t xml:space="preserve"> kodów </w:t>
            </w:r>
            <w:r w:rsidR="006610EF" w:rsidRPr="00FE7519">
              <w:rPr>
                <w:rFonts w:ascii="Times New Roman" w:hAnsi="Times New Roman"/>
                <w:color w:val="000000"/>
                <w:spacing w:val="-2"/>
              </w:rPr>
              <w:t>Polskiej Klasyfikacji Działalności, zwane</w:t>
            </w:r>
            <w:r w:rsidR="008D3BFC">
              <w:rPr>
                <w:rFonts w:ascii="Times New Roman" w:hAnsi="Times New Roman"/>
                <w:color w:val="000000"/>
                <w:spacing w:val="-2"/>
              </w:rPr>
              <w:t>j</w:t>
            </w:r>
            <w:r w:rsidR="006610EF" w:rsidRPr="00FE7519">
              <w:rPr>
                <w:rFonts w:ascii="Times New Roman" w:hAnsi="Times New Roman"/>
                <w:color w:val="000000"/>
                <w:spacing w:val="-2"/>
              </w:rPr>
              <w:t xml:space="preserve"> dalej: „PKD”</w:t>
            </w:r>
            <w:r w:rsidRPr="00FE7519">
              <w:rPr>
                <w:rFonts w:ascii="Times New Roman" w:hAnsi="Times New Roman"/>
                <w:color w:val="000000"/>
                <w:spacing w:val="-2"/>
              </w:rPr>
              <w:t>.</w:t>
            </w:r>
            <w:r w:rsidR="00B317A9" w:rsidRPr="00FE7519">
              <w:rPr>
                <w:rFonts w:ascii="Times New Roman" w:hAnsi="Times New Roman"/>
                <w:color w:val="000000"/>
                <w:spacing w:val="-2"/>
              </w:rPr>
              <w:t xml:space="preserve"> </w:t>
            </w:r>
            <w:r w:rsidR="000B616E" w:rsidRPr="00FE7519">
              <w:rPr>
                <w:rFonts w:ascii="Times New Roman" w:hAnsi="Times New Roman"/>
                <w:color w:val="000000"/>
                <w:spacing w:val="-2"/>
              </w:rPr>
              <w:t>W obecnym</w:t>
            </w:r>
            <w:r w:rsidR="00B317A9" w:rsidRPr="00FE7519">
              <w:rPr>
                <w:rFonts w:ascii="Times New Roman" w:hAnsi="Times New Roman"/>
                <w:color w:val="000000"/>
                <w:spacing w:val="-2"/>
              </w:rPr>
              <w:t xml:space="preserve"> brzmieniu ustawy o OZE</w:t>
            </w:r>
            <w:r w:rsidRPr="00FE7519">
              <w:rPr>
                <w:rFonts w:ascii="Times New Roman" w:hAnsi="Times New Roman"/>
                <w:color w:val="000000"/>
                <w:spacing w:val="-2"/>
              </w:rPr>
              <w:t xml:space="preserve"> </w:t>
            </w:r>
            <w:r w:rsidR="00B317A9" w:rsidRPr="00FE7519">
              <w:rPr>
                <w:rFonts w:ascii="Times New Roman" w:hAnsi="Times New Roman"/>
                <w:color w:val="000000"/>
                <w:spacing w:val="-2"/>
              </w:rPr>
              <w:t>przedsiębiorc</w:t>
            </w:r>
            <w:r w:rsidR="000B616E" w:rsidRPr="00FE7519">
              <w:rPr>
                <w:rFonts w:ascii="Times New Roman" w:hAnsi="Times New Roman"/>
                <w:color w:val="000000"/>
                <w:spacing w:val="-2"/>
              </w:rPr>
              <w:t>ami</w:t>
            </w:r>
            <w:r w:rsidR="00B317A9" w:rsidRPr="00FE7519">
              <w:rPr>
                <w:rFonts w:ascii="Times New Roman" w:hAnsi="Times New Roman"/>
                <w:color w:val="000000"/>
                <w:spacing w:val="-2"/>
              </w:rPr>
              <w:t xml:space="preserve"> przemysłowym</w:t>
            </w:r>
            <w:r w:rsidR="000B616E" w:rsidRPr="00FE7519">
              <w:rPr>
                <w:rFonts w:ascii="Times New Roman" w:hAnsi="Times New Roman"/>
                <w:color w:val="000000"/>
                <w:spacing w:val="-2"/>
              </w:rPr>
              <w:t>i</w:t>
            </w:r>
            <w:r w:rsidR="00B317A9" w:rsidRPr="00FE7519">
              <w:rPr>
                <w:rFonts w:ascii="Times New Roman" w:hAnsi="Times New Roman"/>
                <w:color w:val="000000"/>
                <w:spacing w:val="-2"/>
              </w:rPr>
              <w:t xml:space="preserve"> są </w:t>
            </w:r>
            <w:r w:rsidR="003A64FC" w:rsidRPr="00FE7519">
              <w:rPr>
                <w:rFonts w:ascii="Times New Roman" w:hAnsi="Times New Roman"/>
                <w:color w:val="000000"/>
                <w:spacing w:val="-2"/>
              </w:rPr>
              <w:t xml:space="preserve">np. </w:t>
            </w:r>
            <w:r w:rsidR="00B317A9" w:rsidRPr="00FE7519">
              <w:rPr>
                <w:rFonts w:ascii="Times New Roman" w:hAnsi="Times New Roman"/>
                <w:color w:val="000000"/>
                <w:spacing w:val="-2"/>
              </w:rPr>
              <w:t>przedsiębiorcy</w:t>
            </w:r>
            <w:r w:rsidRPr="00FE7519">
              <w:rPr>
                <w:rFonts w:ascii="Times New Roman" w:hAnsi="Times New Roman"/>
                <w:color w:val="000000"/>
                <w:spacing w:val="-2"/>
              </w:rPr>
              <w:t xml:space="preserve">, </w:t>
            </w:r>
            <w:r w:rsidR="00B317A9" w:rsidRPr="00FE7519">
              <w:rPr>
                <w:rFonts w:ascii="Times New Roman" w:hAnsi="Times New Roman"/>
                <w:color w:val="000000"/>
                <w:spacing w:val="-2"/>
              </w:rPr>
              <w:t xml:space="preserve">których </w:t>
            </w:r>
            <w:r w:rsidRPr="00FE7519">
              <w:rPr>
                <w:rFonts w:ascii="Times New Roman" w:hAnsi="Times New Roman"/>
                <w:color w:val="000000"/>
                <w:spacing w:val="-2"/>
              </w:rPr>
              <w:t>przeważającą działalnością gospodarcz</w:t>
            </w:r>
            <w:r w:rsidR="000B616E" w:rsidRPr="00FE7519">
              <w:rPr>
                <w:rFonts w:ascii="Times New Roman" w:hAnsi="Times New Roman"/>
                <w:color w:val="000000"/>
                <w:spacing w:val="-2"/>
              </w:rPr>
              <w:t>ą</w:t>
            </w:r>
            <w:r w:rsidRPr="00FE7519">
              <w:rPr>
                <w:rFonts w:ascii="Times New Roman" w:hAnsi="Times New Roman"/>
                <w:color w:val="000000"/>
                <w:spacing w:val="-2"/>
              </w:rPr>
              <w:t xml:space="preserve"> </w:t>
            </w:r>
            <w:r w:rsidR="003A64FC" w:rsidRPr="00FE7519">
              <w:rPr>
                <w:rFonts w:ascii="Times New Roman" w:hAnsi="Times New Roman"/>
                <w:color w:val="000000"/>
                <w:spacing w:val="-2"/>
              </w:rPr>
              <w:t>jest</w:t>
            </w:r>
            <w:r w:rsidR="00B317A9" w:rsidRPr="00FE7519">
              <w:rPr>
                <w:rFonts w:ascii="Times New Roman" w:hAnsi="Times New Roman"/>
                <w:color w:val="000000"/>
                <w:spacing w:val="-2"/>
              </w:rPr>
              <w:t xml:space="preserve"> </w:t>
            </w:r>
            <w:r w:rsidRPr="00FE7519">
              <w:rPr>
                <w:rFonts w:ascii="Times New Roman" w:hAnsi="Times New Roman"/>
                <w:color w:val="000000"/>
                <w:spacing w:val="-2"/>
              </w:rPr>
              <w:t xml:space="preserve">działalność </w:t>
            </w:r>
            <w:r w:rsidR="008D3BFC">
              <w:rPr>
                <w:rFonts w:ascii="Times New Roman" w:hAnsi="Times New Roman"/>
                <w:color w:val="000000"/>
                <w:spacing w:val="-2"/>
              </w:rPr>
              <w:t>oznaczona</w:t>
            </w:r>
            <w:r w:rsidR="008D3BFC" w:rsidRPr="00FE7519">
              <w:rPr>
                <w:rFonts w:ascii="Times New Roman" w:hAnsi="Times New Roman"/>
                <w:color w:val="000000"/>
                <w:spacing w:val="-2"/>
              </w:rPr>
              <w:t xml:space="preserve"> </w:t>
            </w:r>
            <w:r w:rsidRPr="00FE7519">
              <w:rPr>
                <w:rFonts w:ascii="Times New Roman" w:hAnsi="Times New Roman"/>
                <w:color w:val="000000"/>
                <w:spacing w:val="-2"/>
              </w:rPr>
              <w:t xml:space="preserve">w PKD kodami: 2441, 3299, 2454, 2680, 3832. </w:t>
            </w:r>
            <w:r w:rsidR="00F90A2E" w:rsidRPr="00FE7519">
              <w:rPr>
                <w:rFonts w:ascii="Times New Roman" w:hAnsi="Times New Roman"/>
                <w:color w:val="000000"/>
                <w:spacing w:val="-2"/>
              </w:rPr>
              <w:t>Te Kody PKD nie znajdują odzwierciedlenia w Wytycznych CEAAG.</w:t>
            </w:r>
          </w:p>
          <w:p w14:paraId="6613AA64" w14:textId="77777777" w:rsidR="00982CE7" w:rsidRPr="00982CE7" w:rsidRDefault="00982CE7" w:rsidP="00E423B5">
            <w:pPr>
              <w:spacing w:before="120" w:after="120" w:line="240" w:lineRule="auto"/>
              <w:jc w:val="both"/>
              <w:rPr>
                <w:rFonts w:ascii="Times New Roman" w:hAnsi="Times New Roman"/>
                <w:b/>
                <w:bCs/>
                <w:color w:val="000000"/>
              </w:rPr>
            </w:pPr>
            <w:r w:rsidRPr="00982CE7">
              <w:rPr>
                <w:rFonts w:ascii="Times New Roman" w:hAnsi="Times New Roman"/>
                <w:b/>
                <w:bCs/>
                <w:color w:val="000000"/>
              </w:rPr>
              <w:t>Konieczność wprowadzenia kryterium warunkowości</w:t>
            </w:r>
          </w:p>
          <w:p w14:paraId="1B7C9F83" w14:textId="5324E908" w:rsidR="00982CE7" w:rsidRPr="00FE7519" w:rsidRDefault="008D3BFC" w:rsidP="009A0BD4">
            <w:pPr>
              <w:spacing w:before="120" w:after="120" w:line="240" w:lineRule="auto"/>
              <w:jc w:val="both"/>
              <w:rPr>
                <w:rFonts w:ascii="Times New Roman" w:hAnsi="Times New Roman"/>
                <w:color w:val="000000"/>
                <w:spacing w:val="-2"/>
              </w:rPr>
            </w:pPr>
            <w:r w:rsidRPr="00820959">
              <w:rPr>
                <w:rFonts w:ascii="Times New Roman" w:hAnsi="Times New Roman"/>
                <w:color w:val="000000"/>
                <w:spacing w:val="-2"/>
              </w:rPr>
              <w:t>U</w:t>
            </w:r>
            <w:r w:rsidR="00373EAE" w:rsidRPr="00820959">
              <w:rPr>
                <w:rFonts w:ascii="Times New Roman" w:hAnsi="Times New Roman"/>
                <w:color w:val="000000"/>
                <w:spacing w:val="-2"/>
              </w:rPr>
              <w:t>stawa</w:t>
            </w:r>
            <w:r w:rsidR="00F75C04" w:rsidRPr="00820959">
              <w:rPr>
                <w:rFonts w:ascii="Times New Roman" w:hAnsi="Times New Roman"/>
                <w:color w:val="000000"/>
                <w:spacing w:val="-2"/>
              </w:rPr>
              <w:t xml:space="preserve"> o OZE</w:t>
            </w:r>
            <w:r w:rsidRPr="00820959">
              <w:rPr>
                <w:rFonts w:ascii="Times New Roman" w:hAnsi="Times New Roman"/>
                <w:color w:val="000000"/>
                <w:spacing w:val="-2"/>
              </w:rPr>
              <w:t xml:space="preserve"> w obecnym brzmieniu</w:t>
            </w:r>
            <w:r w:rsidR="00092533" w:rsidRPr="00820959">
              <w:rPr>
                <w:rFonts w:ascii="Times New Roman" w:hAnsi="Times New Roman"/>
                <w:color w:val="000000"/>
                <w:spacing w:val="-2"/>
              </w:rPr>
              <w:t>,</w:t>
            </w:r>
            <w:r w:rsidR="00373EAE" w:rsidRPr="00820959">
              <w:rPr>
                <w:rFonts w:ascii="Times New Roman" w:hAnsi="Times New Roman"/>
                <w:color w:val="000000"/>
                <w:spacing w:val="-2"/>
              </w:rPr>
              <w:t xml:space="preserve"> dostosowując pomoc dla odbiorców energochłonnych do </w:t>
            </w:r>
            <w:r w:rsidR="00F75C04" w:rsidRPr="00820959">
              <w:rPr>
                <w:rFonts w:ascii="Times New Roman" w:hAnsi="Times New Roman"/>
                <w:color w:val="000000"/>
                <w:spacing w:val="-2"/>
              </w:rPr>
              <w:t>poprzednio obowiązujących W</w:t>
            </w:r>
            <w:r w:rsidR="00373EAE" w:rsidRPr="00820959">
              <w:rPr>
                <w:rFonts w:ascii="Times New Roman" w:hAnsi="Times New Roman"/>
                <w:color w:val="000000"/>
                <w:spacing w:val="-2"/>
              </w:rPr>
              <w:t>ytycznych EEAG</w:t>
            </w:r>
            <w:r w:rsidR="00092533" w:rsidRPr="00820959">
              <w:rPr>
                <w:rFonts w:ascii="Times New Roman" w:hAnsi="Times New Roman"/>
                <w:color w:val="000000"/>
                <w:spacing w:val="-2"/>
              </w:rPr>
              <w:t>,</w:t>
            </w:r>
            <w:r w:rsidR="00373EAE" w:rsidRPr="00820959">
              <w:rPr>
                <w:rFonts w:ascii="Times New Roman" w:hAnsi="Times New Roman"/>
                <w:color w:val="000000"/>
                <w:spacing w:val="-2"/>
              </w:rPr>
              <w:t xml:space="preserve"> umożliwia tym odbiorcom „bezpieczne” korzystanie z przyznanych im ulg</w:t>
            </w:r>
            <w:r w:rsidRPr="00820959">
              <w:rPr>
                <w:rFonts w:ascii="Times New Roman" w:hAnsi="Times New Roman"/>
                <w:color w:val="000000"/>
                <w:spacing w:val="-2"/>
              </w:rPr>
              <w:t>,</w:t>
            </w:r>
            <w:r w:rsidR="00373EAE" w:rsidRPr="00820959">
              <w:rPr>
                <w:rFonts w:ascii="Times New Roman" w:hAnsi="Times New Roman"/>
                <w:color w:val="000000"/>
                <w:spacing w:val="-2"/>
              </w:rPr>
              <w:t xml:space="preserve"> bez ryzyka zwrotu </w:t>
            </w:r>
            <w:r w:rsidR="003F5FFD" w:rsidRPr="00820959">
              <w:rPr>
                <w:rFonts w:ascii="Times New Roman" w:hAnsi="Times New Roman"/>
                <w:color w:val="000000"/>
                <w:spacing w:val="-2"/>
              </w:rPr>
              <w:t xml:space="preserve">w przyszłości </w:t>
            </w:r>
            <w:r w:rsidR="00373EAE" w:rsidRPr="00820959">
              <w:rPr>
                <w:rFonts w:ascii="Times New Roman" w:hAnsi="Times New Roman"/>
                <w:color w:val="000000"/>
                <w:spacing w:val="-2"/>
              </w:rPr>
              <w:t>pomocy publicznej wynikającej z tych ulg.</w:t>
            </w:r>
            <w:r w:rsidR="00373EAE" w:rsidRPr="00FE7519">
              <w:rPr>
                <w:rFonts w:ascii="Times New Roman" w:hAnsi="Times New Roman"/>
                <w:color w:val="000000"/>
                <w:spacing w:val="-2"/>
              </w:rPr>
              <w:t xml:space="preserve"> W przypadku niewprowadzenia </w:t>
            </w:r>
            <w:r>
              <w:rPr>
                <w:rFonts w:ascii="Times New Roman" w:hAnsi="Times New Roman"/>
                <w:color w:val="000000"/>
                <w:spacing w:val="-2"/>
              </w:rPr>
              <w:t xml:space="preserve">określonych w projekcie </w:t>
            </w:r>
            <w:r w:rsidR="00F75C04" w:rsidRPr="00FE7519">
              <w:rPr>
                <w:rFonts w:ascii="Times New Roman" w:hAnsi="Times New Roman"/>
                <w:color w:val="000000"/>
                <w:spacing w:val="-2"/>
              </w:rPr>
              <w:t>ustawy zmian</w:t>
            </w:r>
            <w:r w:rsidR="00DF141F" w:rsidRPr="00FE7519">
              <w:rPr>
                <w:rFonts w:ascii="Times New Roman" w:hAnsi="Times New Roman"/>
                <w:color w:val="000000"/>
                <w:spacing w:val="-2"/>
              </w:rPr>
              <w:t>,</w:t>
            </w:r>
            <w:r w:rsidR="00373EAE" w:rsidRPr="00FE7519">
              <w:rPr>
                <w:rFonts w:ascii="Times New Roman" w:hAnsi="Times New Roman"/>
                <w:color w:val="000000"/>
                <w:spacing w:val="-2"/>
              </w:rPr>
              <w:t xml:space="preserve"> K</w:t>
            </w:r>
            <w:r w:rsidR="00092533" w:rsidRPr="00FE7519">
              <w:rPr>
                <w:rFonts w:ascii="Times New Roman" w:hAnsi="Times New Roman"/>
                <w:color w:val="000000"/>
                <w:spacing w:val="-2"/>
              </w:rPr>
              <w:t xml:space="preserve">omisja </w:t>
            </w:r>
            <w:r w:rsidR="00373EAE" w:rsidRPr="00FE7519">
              <w:rPr>
                <w:rFonts w:ascii="Times New Roman" w:hAnsi="Times New Roman"/>
                <w:color w:val="000000"/>
                <w:spacing w:val="-2"/>
              </w:rPr>
              <w:t>E</w:t>
            </w:r>
            <w:r w:rsidR="00092533" w:rsidRPr="00FE7519">
              <w:rPr>
                <w:rFonts w:ascii="Times New Roman" w:hAnsi="Times New Roman"/>
                <w:color w:val="000000"/>
                <w:spacing w:val="-2"/>
              </w:rPr>
              <w:t>uropejska</w:t>
            </w:r>
            <w:r w:rsidR="00373EAE" w:rsidRPr="00FE7519">
              <w:rPr>
                <w:rFonts w:ascii="Times New Roman" w:hAnsi="Times New Roman"/>
                <w:color w:val="000000"/>
                <w:spacing w:val="-2"/>
              </w:rPr>
              <w:t xml:space="preserve"> mogłaby uznać taką pomoc za </w:t>
            </w:r>
            <w:r w:rsidR="00820959">
              <w:rPr>
                <w:rFonts w:ascii="Times New Roman" w:hAnsi="Times New Roman"/>
                <w:color w:val="000000"/>
                <w:spacing w:val="-2"/>
              </w:rPr>
              <w:t>nienależnie</w:t>
            </w:r>
            <w:r w:rsidR="00820959" w:rsidRPr="00FE7519">
              <w:rPr>
                <w:rFonts w:ascii="Times New Roman" w:hAnsi="Times New Roman"/>
                <w:color w:val="000000"/>
                <w:spacing w:val="-2"/>
              </w:rPr>
              <w:t xml:space="preserve"> </w:t>
            </w:r>
            <w:r w:rsidR="00373EAE" w:rsidRPr="00FE7519">
              <w:rPr>
                <w:rFonts w:ascii="Times New Roman" w:hAnsi="Times New Roman"/>
                <w:color w:val="000000"/>
                <w:spacing w:val="-2"/>
              </w:rPr>
              <w:t xml:space="preserve">przyznaną </w:t>
            </w:r>
            <w:r w:rsidR="00F75C04" w:rsidRPr="00FE7519">
              <w:rPr>
                <w:rFonts w:ascii="Times New Roman" w:hAnsi="Times New Roman"/>
                <w:color w:val="000000"/>
                <w:spacing w:val="-2"/>
              </w:rPr>
              <w:t xml:space="preserve">w związku ze zmianą Wytycznych CEEAG </w:t>
            </w:r>
            <w:r w:rsidR="00373EAE" w:rsidRPr="00FE7519">
              <w:rPr>
                <w:rFonts w:ascii="Times New Roman" w:hAnsi="Times New Roman"/>
                <w:color w:val="000000"/>
                <w:spacing w:val="-2"/>
              </w:rPr>
              <w:t>i zażądać jej zwrotu</w:t>
            </w:r>
            <w:r w:rsidR="003F5FFD" w:rsidRPr="00FE7519">
              <w:rPr>
                <w:rFonts w:ascii="Times New Roman" w:hAnsi="Times New Roman"/>
                <w:color w:val="000000"/>
                <w:spacing w:val="-2"/>
              </w:rPr>
              <w:t xml:space="preserve">. </w:t>
            </w:r>
            <w:r w:rsidR="00982CE7" w:rsidRPr="00E072A9">
              <w:rPr>
                <w:rFonts w:ascii="Times New Roman" w:hAnsi="Times New Roman"/>
                <w:color w:val="000000"/>
                <w:spacing w:val="-2"/>
              </w:rPr>
              <w:t>Wprowadzenie dodatkowych obowiązków</w:t>
            </w:r>
            <w:r w:rsidR="00E072A9" w:rsidRPr="002B4096">
              <w:rPr>
                <w:rFonts w:ascii="Times New Roman" w:hAnsi="Times New Roman"/>
                <w:color w:val="000000"/>
                <w:spacing w:val="-2"/>
              </w:rPr>
              <w:t xml:space="preserve"> związanych z działaniem na rzecz zmniejszania emisyjności prowadzonej działalności (tzw. warunkowość)</w:t>
            </w:r>
            <w:r w:rsidR="00982CE7" w:rsidRPr="00E072A9">
              <w:rPr>
                <w:rFonts w:ascii="Times New Roman" w:hAnsi="Times New Roman"/>
                <w:color w:val="000000"/>
                <w:spacing w:val="-2"/>
              </w:rPr>
              <w:t xml:space="preserve"> dla </w:t>
            </w:r>
            <w:r w:rsidR="00DF141F" w:rsidRPr="00E072A9">
              <w:rPr>
                <w:rFonts w:ascii="Times New Roman" w:hAnsi="Times New Roman"/>
                <w:color w:val="000000"/>
                <w:spacing w:val="-2"/>
              </w:rPr>
              <w:t>podmiotów ubiegających się o pomoc publiczną (np. w postaci ulg przy zakupie energii elektrycznej)</w:t>
            </w:r>
            <w:r w:rsidR="00982CE7" w:rsidRPr="00E072A9">
              <w:rPr>
                <w:rFonts w:ascii="Times New Roman" w:hAnsi="Times New Roman"/>
                <w:color w:val="000000"/>
                <w:spacing w:val="-2"/>
              </w:rPr>
              <w:t xml:space="preserve">, </w:t>
            </w:r>
            <w:r w:rsidR="00092533" w:rsidRPr="00E072A9">
              <w:rPr>
                <w:rFonts w:ascii="Times New Roman" w:hAnsi="Times New Roman"/>
                <w:color w:val="000000"/>
                <w:spacing w:val="-2"/>
              </w:rPr>
              <w:t>wynika z</w:t>
            </w:r>
            <w:r w:rsidR="00E54264" w:rsidRPr="00E072A9">
              <w:rPr>
                <w:rFonts w:ascii="Times New Roman" w:hAnsi="Times New Roman"/>
                <w:color w:val="000000"/>
                <w:spacing w:val="-2"/>
              </w:rPr>
              <w:t xml:space="preserve"> Wytyczny</w:t>
            </w:r>
            <w:r w:rsidR="00092533" w:rsidRPr="00E072A9">
              <w:rPr>
                <w:rFonts w:ascii="Times New Roman" w:hAnsi="Times New Roman"/>
                <w:color w:val="000000"/>
                <w:spacing w:val="-2"/>
              </w:rPr>
              <w:t>ch CEEAG</w:t>
            </w:r>
            <w:r w:rsidR="00E54264" w:rsidRPr="00E072A9">
              <w:rPr>
                <w:rFonts w:ascii="Times New Roman" w:hAnsi="Times New Roman"/>
                <w:color w:val="000000"/>
                <w:spacing w:val="-2"/>
              </w:rPr>
              <w:t xml:space="preserve"> i </w:t>
            </w:r>
            <w:r w:rsidR="00982CE7" w:rsidRPr="00E072A9">
              <w:rPr>
                <w:rFonts w:ascii="Times New Roman" w:hAnsi="Times New Roman"/>
                <w:color w:val="000000"/>
                <w:spacing w:val="-2"/>
              </w:rPr>
              <w:t>ma stanowić zachętę dla podejmowania wysiłku redukcyjnego gazów cieplarnianych</w:t>
            </w:r>
            <w:r w:rsidR="00C72CDE" w:rsidRPr="00E072A9">
              <w:rPr>
                <w:rFonts w:ascii="Times New Roman" w:hAnsi="Times New Roman"/>
                <w:color w:val="000000"/>
                <w:spacing w:val="-2"/>
              </w:rPr>
              <w:t>.</w:t>
            </w:r>
            <w:r w:rsidR="00982CE7" w:rsidRPr="00FE7519">
              <w:rPr>
                <w:rFonts w:ascii="Times New Roman" w:hAnsi="Times New Roman"/>
                <w:color w:val="000000"/>
                <w:spacing w:val="-2"/>
              </w:rPr>
              <w:t xml:space="preserve"> Zgodnie z CEEAG uprawnienie do ulgi powiązane zostało ze spełnieniem następujących warunków (alternatywnie):</w:t>
            </w:r>
          </w:p>
          <w:p w14:paraId="17002E9F" w14:textId="3333E2C5" w:rsidR="00982CE7" w:rsidRPr="00F01EF6" w:rsidRDefault="00982CE7">
            <w:pPr>
              <w:pStyle w:val="Akapitzlist"/>
              <w:numPr>
                <w:ilvl w:val="0"/>
                <w:numId w:val="10"/>
              </w:numPr>
              <w:spacing w:line="240" w:lineRule="auto"/>
              <w:jc w:val="both"/>
              <w:rPr>
                <w:rFonts w:ascii="Times New Roman" w:hAnsi="Times New Roman"/>
                <w:color w:val="000000"/>
              </w:rPr>
            </w:pPr>
            <w:r w:rsidRPr="00F01EF6">
              <w:rPr>
                <w:rFonts w:ascii="Times New Roman" w:hAnsi="Times New Roman"/>
                <w:color w:val="000000"/>
              </w:rPr>
              <w:t>wdrożenie zaleceń zawart</w:t>
            </w:r>
            <w:r w:rsidR="00E11AF6">
              <w:rPr>
                <w:rFonts w:ascii="Times New Roman" w:hAnsi="Times New Roman"/>
                <w:color w:val="000000"/>
              </w:rPr>
              <w:t>ych</w:t>
            </w:r>
            <w:r w:rsidRPr="00F01EF6">
              <w:rPr>
                <w:rFonts w:ascii="Times New Roman" w:hAnsi="Times New Roman"/>
                <w:color w:val="000000"/>
              </w:rPr>
              <w:t xml:space="preserve"> w sprawozdaniu z audytu w zakresie, w jakim okres zwrotu odpowiednich inwestycji nie przekracza 3 lat, a koszty </w:t>
            </w:r>
            <w:r w:rsidR="00E11AF6">
              <w:rPr>
                <w:rFonts w:ascii="Times New Roman" w:hAnsi="Times New Roman"/>
                <w:color w:val="000000"/>
              </w:rPr>
              <w:t>tyc</w:t>
            </w:r>
            <w:r w:rsidR="001943E9" w:rsidRPr="002464A8">
              <w:rPr>
                <w:rFonts w:ascii="Times New Roman" w:hAnsi="Times New Roman"/>
                <w:color w:val="000000"/>
              </w:rPr>
              <w:t>h</w:t>
            </w:r>
            <w:r w:rsidRPr="00F01EF6">
              <w:rPr>
                <w:rFonts w:ascii="Times New Roman" w:hAnsi="Times New Roman"/>
                <w:color w:val="000000"/>
              </w:rPr>
              <w:t xml:space="preserve"> inwestycji są proporcjonalne;</w:t>
            </w:r>
          </w:p>
          <w:p w14:paraId="7D094EEB" w14:textId="70AE3BD9" w:rsidR="00982CE7" w:rsidRPr="00F01EF6" w:rsidRDefault="00982CE7">
            <w:pPr>
              <w:pStyle w:val="Akapitzlist"/>
              <w:numPr>
                <w:ilvl w:val="0"/>
                <w:numId w:val="10"/>
              </w:numPr>
              <w:spacing w:line="240" w:lineRule="auto"/>
              <w:jc w:val="both"/>
              <w:rPr>
                <w:rFonts w:ascii="Times New Roman" w:hAnsi="Times New Roman"/>
                <w:color w:val="000000"/>
              </w:rPr>
            </w:pPr>
            <w:r w:rsidRPr="00F01EF6">
              <w:rPr>
                <w:rFonts w:ascii="Times New Roman" w:hAnsi="Times New Roman"/>
                <w:color w:val="000000"/>
              </w:rPr>
              <w:t xml:space="preserve">ograniczenie śladu węglowego zużycia energii elektrycznej, tak aby co najmniej 30% zużywanej przez nich energii elektrycznej pochodziło ze źródeł </w:t>
            </w:r>
            <w:proofErr w:type="spellStart"/>
            <w:r w:rsidRPr="00F01EF6">
              <w:rPr>
                <w:rFonts w:ascii="Times New Roman" w:hAnsi="Times New Roman"/>
                <w:color w:val="000000"/>
              </w:rPr>
              <w:t>bezemisyjnych</w:t>
            </w:r>
            <w:proofErr w:type="spellEnd"/>
            <w:r w:rsidRPr="00F01EF6">
              <w:rPr>
                <w:rFonts w:ascii="Times New Roman" w:hAnsi="Times New Roman"/>
                <w:color w:val="000000"/>
              </w:rPr>
              <w:t>;</w:t>
            </w:r>
          </w:p>
          <w:p w14:paraId="5EB8491D" w14:textId="0276EE0A" w:rsidR="00982CE7" w:rsidRPr="00070A0C" w:rsidRDefault="00982CE7">
            <w:pPr>
              <w:pStyle w:val="Akapitzlist"/>
              <w:numPr>
                <w:ilvl w:val="0"/>
                <w:numId w:val="10"/>
              </w:numPr>
              <w:spacing w:line="240" w:lineRule="auto"/>
              <w:jc w:val="both"/>
              <w:rPr>
                <w:rFonts w:ascii="Times New Roman" w:hAnsi="Times New Roman"/>
                <w:color w:val="000000"/>
              </w:rPr>
            </w:pPr>
            <w:r w:rsidRPr="00F01EF6">
              <w:rPr>
                <w:rFonts w:ascii="Times New Roman" w:hAnsi="Times New Roman"/>
                <w:color w:val="000000"/>
              </w:rPr>
              <w:t xml:space="preserve">inwestycja co najmniej 50% wartości pomocy w projekty prowadzące do znacznej redukcji emisji gazów cieplarnianych z </w:t>
            </w:r>
            <w:r w:rsidR="000E1FF7">
              <w:rPr>
                <w:rFonts w:ascii="Times New Roman" w:hAnsi="Times New Roman"/>
                <w:color w:val="000000"/>
              </w:rPr>
              <w:t>działalności odbiorcy energochłonnego</w:t>
            </w:r>
            <w:r w:rsidRPr="00F01EF6">
              <w:rPr>
                <w:rFonts w:ascii="Times New Roman" w:hAnsi="Times New Roman"/>
                <w:color w:val="000000"/>
              </w:rPr>
              <w:t>; w stosownych przypadkach inwestycje powinny prowadzić do redukcji znacznie poniżej odpowiedniego poziomu odniesienia stosowanego do celów bezpłatnego przydziału w ramach unijnego systemu handlu emisjami.</w:t>
            </w:r>
            <w:r w:rsidR="00483DE6">
              <w:rPr>
                <w:rFonts w:ascii="Times New Roman" w:hAnsi="Times New Roman"/>
                <w:color w:val="000000"/>
              </w:rPr>
              <w:t xml:space="preserve"> </w:t>
            </w:r>
          </w:p>
          <w:p w14:paraId="5ED9C562" w14:textId="6580F41F" w:rsidR="00982CE7" w:rsidRPr="00F22499" w:rsidRDefault="008E57FB" w:rsidP="00E423B5">
            <w:pPr>
              <w:spacing w:before="120" w:after="120" w:line="240" w:lineRule="auto"/>
              <w:jc w:val="both"/>
              <w:rPr>
                <w:rFonts w:ascii="Times New Roman" w:hAnsi="Times New Roman"/>
                <w:b/>
                <w:bCs/>
              </w:rPr>
            </w:pPr>
            <w:r>
              <w:rPr>
                <w:rFonts w:ascii="Times New Roman" w:hAnsi="Times New Roman"/>
                <w:b/>
                <w:bCs/>
                <w:color w:val="000000"/>
              </w:rPr>
              <w:t>Zapewnienie</w:t>
            </w:r>
            <w:r w:rsidRPr="00982CE7">
              <w:rPr>
                <w:rFonts w:ascii="Times New Roman" w:hAnsi="Times New Roman"/>
                <w:b/>
                <w:bCs/>
                <w:color w:val="000000"/>
              </w:rPr>
              <w:t xml:space="preserve"> </w:t>
            </w:r>
            <w:r w:rsidR="00982CE7" w:rsidRPr="00982CE7">
              <w:rPr>
                <w:rFonts w:ascii="Times New Roman" w:hAnsi="Times New Roman"/>
                <w:b/>
                <w:bCs/>
                <w:color w:val="000000"/>
              </w:rPr>
              <w:t>minimalnej stawki opłat po ulgach</w:t>
            </w:r>
            <w:r w:rsidR="00F22499">
              <w:rPr>
                <w:rFonts w:ascii="Times New Roman" w:hAnsi="Times New Roman"/>
                <w:b/>
                <w:bCs/>
                <w:color w:val="000000"/>
              </w:rPr>
              <w:t xml:space="preserve"> </w:t>
            </w:r>
            <w:r w:rsidR="00E864D1" w:rsidRPr="00F22499">
              <w:rPr>
                <w:rFonts w:ascii="Times New Roman" w:hAnsi="Times New Roman"/>
                <w:b/>
                <w:bCs/>
              </w:rPr>
              <w:t>(konieczność wprowadzenia kryterium proporcjonalności)</w:t>
            </w:r>
          </w:p>
          <w:p w14:paraId="606AE1BD" w14:textId="6C9378D7" w:rsidR="00767B25" w:rsidRPr="00FE7519" w:rsidRDefault="00982CE7" w:rsidP="009A0BD4">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Określona w Wytycznych CEEAG stawka opłat po ulgach nie może być niższa niż 0,5 EUR/MWh (ok. 2,</w:t>
            </w:r>
            <w:r w:rsidR="00BE14BA" w:rsidRPr="00FE7519">
              <w:rPr>
                <w:rFonts w:ascii="Times New Roman" w:hAnsi="Times New Roman"/>
                <w:color w:val="000000"/>
                <w:spacing w:val="-2"/>
              </w:rPr>
              <w:t>1717</w:t>
            </w:r>
            <w:r w:rsidR="005D0EE0" w:rsidRPr="00FE7519">
              <w:rPr>
                <w:rFonts w:ascii="Times New Roman" w:hAnsi="Times New Roman"/>
                <w:color w:val="000000"/>
                <w:spacing w:val="-2"/>
              </w:rPr>
              <w:t xml:space="preserve"> </w:t>
            </w:r>
            <w:r w:rsidRPr="00FE7519">
              <w:rPr>
                <w:rFonts w:ascii="Times New Roman" w:hAnsi="Times New Roman"/>
                <w:color w:val="000000"/>
                <w:spacing w:val="-2"/>
              </w:rPr>
              <w:t>zł przy kursie EUR=4,</w:t>
            </w:r>
            <w:r w:rsidR="00450C53" w:rsidRPr="00FE7519">
              <w:rPr>
                <w:rFonts w:ascii="Times New Roman" w:hAnsi="Times New Roman"/>
                <w:color w:val="000000"/>
                <w:spacing w:val="-2"/>
              </w:rPr>
              <w:t>3434</w:t>
            </w:r>
            <w:r w:rsidR="00503B2C" w:rsidRPr="00FE7519">
              <w:rPr>
                <w:rFonts w:ascii="Times New Roman" w:hAnsi="Times New Roman"/>
                <w:color w:val="000000"/>
                <w:spacing w:val="-2"/>
              </w:rPr>
              <w:t xml:space="preserve"> ogłoszonym przez N</w:t>
            </w:r>
            <w:r w:rsidR="00F72029" w:rsidRPr="00FE7519">
              <w:rPr>
                <w:rFonts w:ascii="Times New Roman" w:hAnsi="Times New Roman"/>
                <w:color w:val="000000"/>
                <w:spacing w:val="-2"/>
              </w:rPr>
              <w:t xml:space="preserve">arodowy </w:t>
            </w:r>
            <w:r w:rsidR="00503B2C" w:rsidRPr="00FE7519">
              <w:rPr>
                <w:rFonts w:ascii="Times New Roman" w:hAnsi="Times New Roman"/>
                <w:color w:val="000000"/>
                <w:spacing w:val="-2"/>
              </w:rPr>
              <w:t>B</w:t>
            </w:r>
            <w:r w:rsidR="00F72029" w:rsidRPr="00FE7519">
              <w:rPr>
                <w:rFonts w:ascii="Times New Roman" w:hAnsi="Times New Roman"/>
                <w:color w:val="000000"/>
                <w:spacing w:val="-2"/>
              </w:rPr>
              <w:t xml:space="preserve">ank </w:t>
            </w:r>
            <w:r w:rsidR="00503B2C" w:rsidRPr="00FE7519">
              <w:rPr>
                <w:rFonts w:ascii="Times New Roman" w:hAnsi="Times New Roman"/>
                <w:color w:val="000000"/>
                <w:spacing w:val="-2"/>
              </w:rPr>
              <w:t>P</w:t>
            </w:r>
            <w:r w:rsidR="00F72029" w:rsidRPr="00FE7519">
              <w:rPr>
                <w:rFonts w:ascii="Times New Roman" w:hAnsi="Times New Roman"/>
                <w:color w:val="000000"/>
                <w:spacing w:val="-2"/>
              </w:rPr>
              <w:t>olski</w:t>
            </w:r>
            <w:r w:rsidR="00503B2C" w:rsidRPr="00FE7519">
              <w:rPr>
                <w:rFonts w:ascii="Times New Roman" w:hAnsi="Times New Roman"/>
                <w:color w:val="000000"/>
                <w:spacing w:val="-2"/>
              </w:rPr>
              <w:t xml:space="preserve"> na dzień </w:t>
            </w:r>
            <w:r w:rsidR="00F72029" w:rsidRPr="00FE7519">
              <w:rPr>
                <w:rFonts w:ascii="Times New Roman" w:hAnsi="Times New Roman"/>
                <w:color w:val="000000"/>
                <w:spacing w:val="-2"/>
              </w:rPr>
              <w:t xml:space="preserve">2 stycznia </w:t>
            </w:r>
            <w:r w:rsidR="00503B2C" w:rsidRPr="00FE7519">
              <w:rPr>
                <w:rFonts w:ascii="Times New Roman" w:hAnsi="Times New Roman"/>
                <w:color w:val="000000"/>
                <w:spacing w:val="-2"/>
              </w:rPr>
              <w:t>2024</w:t>
            </w:r>
            <w:r w:rsidR="00F72029" w:rsidRPr="00FE7519">
              <w:rPr>
                <w:rFonts w:ascii="Times New Roman" w:hAnsi="Times New Roman"/>
                <w:color w:val="000000"/>
                <w:spacing w:val="-2"/>
              </w:rPr>
              <w:t xml:space="preserve"> r.</w:t>
            </w:r>
            <w:r w:rsidRPr="00FE7519">
              <w:rPr>
                <w:rFonts w:ascii="Times New Roman" w:hAnsi="Times New Roman"/>
                <w:color w:val="000000"/>
                <w:spacing w:val="-2"/>
              </w:rPr>
              <w:t xml:space="preserve">). Warunek ten dotyczy sumy wszystkich opłat </w:t>
            </w:r>
            <w:r w:rsidR="005D0EE0" w:rsidRPr="00FE7519">
              <w:rPr>
                <w:rFonts w:ascii="Times New Roman" w:hAnsi="Times New Roman"/>
                <w:color w:val="000000"/>
                <w:spacing w:val="-2"/>
              </w:rPr>
              <w:t>objętych ulgami</w:t>
            </w:r>
            <w:r w:rsidRPr="00FE7519">
              <w:rPr>
                <w:rFonts w:ascii="Times New Roman" w:hAnsi="Times New Roman"/>
                <w:color w:val="000000"/>
                <w:spacing w:val="-2"/>
              </w:rPr>
              <w:t xml:space="preserve">. Jako że kryteria stosowania ulg odnoszą się zarówno do systemu </w:t>
            </w:r>
            <w:r w:rsidR="005D0EE0" w:rsidRPr="00FE7519">
              <w:rPr>
                <w:rFonts w:ascii="Times New Roman" w:hAnsi="Times New Roman"/>
                <w:color w:val="000000"/>
                <w:spacing w:val="-2"/>
              </w:rPr>
              <w:t xml:space="preserve">świadectw pochodzenia </w:t>
            </w:r>
            <w:r w:rsidRPr="00FE7519">
              <w:rPr>
                <w:rFonts w:ascii="Times New Roman" w:hAnsi="Times New Roman"/>
                <w:color w:val="000000"/>
                <w:spacing w:val="-2"/>
              </w:rPr>
              <w:t>jak i opłat</w:t>
            </w:r>
            <w:r w:rsidR="00E8739D" w:rsidRPr="00FE7519">
              <w:rPr>
                <w:rFonts w:ascii="Times New Roman" w:hAnsi="Times New Roman"/>
                <w:color w:val="000000"/>
                <w:spacing w:val="-2"/>
              </w:rPr>
              <w:t xml:space="preserve">y, o której mowa w art. 96 ust. 2 </w:t>
            </w:r>
            <w:r w:rsidR="00382960" w:rsidRPr="00FE7519">
              <w:rPr>
                <w:rFonts w:ascii="Times New Roman" w:hAnsi="Times New Roman"/>
                <w:color w:val="000000"/>
                <w:spacing w:val="-2"/>
              </w:rPr>
              <w:t>ustawy o OZE</w:t>
            </w:r>
            <w:r w:rsidR="004C3843" w:rsidRPr="00FE7519">
              <w:rPr>
                <w:rFonts w:ascii="Times New Roman" w:hAnsi="Times New Roman"/>
                <w:color w:val="000000"/>
                <w:spacing w:val="-2"/>
              </w:rPr>
              <w:t>,</w:t>
            </w:r>
            <w:r w:rsidR="00203EA1" w:rsidRPr="00FE7519">
              <w:rPr>
                <w:rFonts w:ascii="Times New Roman" w:hAnsi="Times New Roman"/>
                <w:color w:val="000000"/>
                <w:spacing w:val="-2"/>
              </w:rPr>
              <w:t xml:space="preserve"> </w:t>
            </w:r>
            <w:r w:rsidR="00382960" w:rsidRPr="00FE7519">
              <w:rPr>
                <w:rFonts w:ascii="Times New Roman" w:hAnsi="Times New Roman"/>
                <w:color w:val="000000"/>
                <w:spacing w:val="-2"/>
              </w:rPr>
              <w:t>zwan</w:t>
            </w:r>
            <w:r w:rsidR="00092533" w:rsidRPr="00FE7519">
              <w:rPr>
                <w:rFonts w:ascii="Times New Roman" w:hAnsi="Times New Roman"/>
                <w:color w:val="000000"/>
                <w:spacing w:val="-2"/>
              </w:rPr>
              <w:t>ą</w:t>
            </w:r>
            <w:r w:rsidR="00382960" w:rsidRPr="00FE7519">
              <w:rPr>
                <w:rFonts w:ascii="Times New Roman" w:hAnsi="Times New Roman"/>
                <w:color w:val="000000"/>
                <w:spacing w:val="-2"/>
              </w:rPr>
              <w:t xml:space="preserve"> dalej: „opłat</w:t>
            </w:r>
            <w:r w:rsidR="00092533" w:rsidRPr="00FE7519">
              <w:rPr>
                <w:rFonts w:ascii="Times New Roman" w:hAnsi="Times New Roman"/>
                <w:color w:val="000000"/>
                <w:spacing w:val="-2"/>
              </w:rPr>
              <w:t>a</w:t>
            </w:r>
            <w:r w:rsidR="00382960" w:rsidRPr="00FE7519">
              <w:rPr>
                <w:rFonts w:ascii="Times New Roman" w:hAnsi="Times New Roman"/>
                <w:color w:val="000000"/>
                <w:spacing w:val="-2"/>
              </w:rPr>
              <w:t xml:space="preserve"> OZE” </w:t>
            </w:r>
            <w:r w:rsidR="00203EA1" w:rsidRPr="00FE7519">
              <w:rPr>
                <w:rFonts w:ascii="Times New Roman" w:hAnsi="Times New Roman"/>
                <w:color w:val="000000"/>
                <w:spacing w:val="-2"/>
              </w:rPr>
              <w:t xml:space="preserve">oraz opłaty, o której mowa w art. 62 ust. 2 ustawy </w:t>
            </w:r>
            <w:r w:rsidR="00382960" w:rsidRPr="00FE7519">
              <w:rPr>
                <w:rFonts w:ascii="Times New Roman" w:hAnsi="Times New Roman"/>
                <w:color w:val="000000"/>
                <w:spacing w:val="-2"/>
              </w:rPr>
              <w:t>CHP, zwan</w:t>
            </w:r>
            <w:r w:rsidR="00092533" w:rsidRPr="00FE7519">
              <w:rPr>
                <w:rFonts w:ascii="Times New Roman" w:hAnsi="Times New Roman"/>
                <w:color w:val="000000"/>
                <w:spacing w:val="-2"/>
              </w:rPr>
              <w:t>ą</w:t>
            </w:r>
            <w:r w:rsidR="00382960" w:rsidRPr="00FE7519">
              <w:rPr>
                <w:rFonts w:ascii="Times New Roman" w:hAnsi="Times New Roman"/>
                <w:color w:val="000000"/>
                <w:spacing w:val="-2"/>
              </w:rPr>
              <w:t xml:space="preserve"> dalej: „opłat</w:t>
            </w:r>
            <w:r w:rsidR="00092533" w:rsidRPr="00FE7519">
              <w:rPr>
                <w:rFonts w:ascii="Times New Roman" w:hAnsi="Times New Roman"/>
                <w:color w:val="000000"/>
                <w:spacing w:val="-2"/>
              </w:rPr>
              <w:t>a</w:t>
            </w:r>
            <w:r w:rsidR="00382960" w:rsidRPr="00FE7519">
              <w:rPr>
                <w:rFonts w:ascii="Times New Roman" w:hAnsi="Times New Roman"/>
                <w:color w:val="000000"/>
                <w:spacing w:val="-2"/>
              </w:rPr>
              <w:t xml:space="preserve"> CHP”</w:t>
            </w:r>
            <w:r w:rsidRPr="00FE7519">
              <w:rPr>
                <w:rFonts w:ascii="Times New Roman" w:hAnsi="Times New Roman"/>
                <w:color w:val="000000"/>
                <w:spacing w:val="-2"/>
              </w:rPr>
              <w:t xml:space="preserve">, kryterium opłaty minimalnej traktowane jest w odniesieniu do ich łącznej wartości. </w:t>
            </w:r>
          </w:p>
          <w:p w14:paraId="0D91A628" w14:textId="561126C4" w:rsidR="00767B25" w:rsidRPr="00767B25" w:rsidRDefault="00767B25" w:rsidP="00767B25">
            <w:pPr>
              <w:spacing w:before="120" w:after="240" w:line="240" w:lineRule="auto"/>
              <w:jc w:val="both"/>
              <w:rPr>
                <w:rFonts w:ascii="Times New Roman" w:hAnsi="Times New Roman"/>
                <w:color w:val="000000"/>
              </w:rPr>
            </w:pPr>
            <w:r w:rsidRPr="00767B25">
              <w:rPr>
                <w:rFonts w:ascii="Times New Roman" w:hAnsi="Times New Roman"/>
                <w:color w:val="000000"/>
              </w:rPr>
              <w:t>W styczniu 2024 r. koszty objęte ulgami zgodnie z projektowanymi przepisami przedstawiałyby się następująco</w:t>
            </w:r>
            <w:r>
              <w:rPr>
                <w:rFonts w:ascii="Times New Roman" w:hAnsi="Times New Roman"/>
                <w:color w:val="000000"/>
              </w:rPr>
              <w:t>:</w:t>
            </w:r>
          </w:p>
          <w:tbl>
            <w:tblPr>
              <w:tblW w:w="105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2258"/>
              <w:gridCol w:w="2165"/>
              <w:gridCol w:w="3047"/>
              <w:gridCol w:w="3048"/>
            </w:tblGrid>
            <w:tr w:rsidR="003C5385" w:rsidRPr="00F72029" w14:paraId="05C88D7A" w14:textId="77777777" w:rsidTr="003C5385">
              <w:trPr>
                <w:trHeight w:val="20"/>
                <w:jc w:val="center"/>
              </w:trPr>
              <w:tc>
                <w:tcPr>
                  <w:tcW w:w="2258" w:type="dxa"/>
                  <w:vMerge w:val="restart"/>
                  <w:shd w:val="clear" w:color="auto" w:fill="auto"/>
                  <w:tcMar>
                    <w:top w:w="72" w:type="dxa"/>
                    <w:left w:w="144" w:type="dxa"/>
                    <w:bottom w:w="72" w:type="dxa"/>
                    <w:right w:w="144" w:type="dxa"/>
                  </w:tcMar>
                  <w:vAlign w:val="center"/>
                </w:tcPr>
                <w:p w14:paraId="4C5D7181" w14:textId="77777777" w:rsidR="003C5385" w:rsidRPr="00F72029" w:rsidRDefault="003C5385" w:rsidP="00524C6B">
                  <w:pPr>
                    <w:spacing w:line="240" w:lineRule="auto"/>
                    <w:jc w:val="center"/>
                    <w:rPr>
                      <w:rFonts w:ascii="Times New Roman" w:hAnsi="Times New Roman"/>
                      <w:b/>
                      <w:bCs/>
                      <w:color w:val="000000"/>
                    </w:rPr>
                  </w:pPr>
                </w:p>
              </w:tc>
              <w:tc>
                <w:tcPr>
                  <w:tcW w:w="8260" w:type="dxa"/>
                  <w:gridSpan w:val="3"/>
                  <w:shd w:val="clear" w:color="auto" w:fill="auto"/>
                  <w:tcMar>
                    <w:top w:w="72" w:type="dxa"/>
                    <w:left w:w="144" w:type="dxa"/>
                    <w:bottom w:w="72" w:type="dxa"/>
                    <w:right w:w="144" w:type="dxa"/>
                  </w:tcMar>
                </w:tcPr>
                <w:p w14:paraId="7B123D5A" w14:textId="64D41D8E" w:rsidR="003C5385" w:rsidRPr="00F72029" w:rsidRDefault="003C5385" w:rsidP="00524C6B">
                  <w:pPr>
                    <w:spacing w:line="240" w:lineRule="auto"/>
                    <w:jc w:val="center"/>
                    <w:rPr>
                      <w:rFonts w:ascii="Times New Roman" w:hAnsi="Times New Roman"/>
                      <w:color w:val="000000"/>
                    </w:rPr>
                  </w:pPr>
                  <w:r w:rsidRPr="00F72029">
                    <w:rPr>
                      <w:rFonts w:ascii="Times New Roman" w:hAnsi="Times New Roman"/>
                      <w:b/>
                      <w:bCs/>
                      <w:color w:val="000000"/>
                    </w:rPr>
                    <w:t>Koszty objęte zakresem CEEAG (zł/MWh</w:t>
                  </w:r>
                  <w:r>
                    <w:rPr>
                      <w:rFonts w:ascii="Times New Roman" w:hAnsi="Times New Roman"/>
                      <w:b/>
                      <w:bCs/>
                      <w:color w:val="000000"/>
                    </w:rPr>
                    <w:t>)</w:t>
                  </w:r>
                </w:p>
              </w:tc>
            </w:tr>
            <w:tr w:rsidR="003C5385" w:rsidRPr="00F72029" w14:paraId="73EBF3FE" w14:textId="77777777" w:rsidTr="003C5385">
              <w:trPr>
                <w:trHeight w:val="20"/>
                <w:jc w:val="center"/>
              </w:trPr>
              <w:tc>
                <w:tcPr>
                  <w:tcW w:w="2258" w:type="dxa"/>
                  <w:vMerge/>
                  <w:shd w:val="clear" w:color="auto" w:fill="auto"/>
                  <w:tcMar>
                    <w:top w:w="72" w:type="dxa"/>
                    <w:left w:w="144" w:type="dxa"/>
                    <w:bottom w:w="72" w:type="dxa"/>
                    <w:right w:w="144" w:type="dxa"/>
                  </w:tcMar>
                  <w:vAlign w:val="center"/>
                  <w:hideMark/>
                </w:tcPr>
                <w:p w14:paraId="4936C0CD" w14:textId="387EB3A4" w:rsidR="003C5385" w:rsidRPr="00F72029" w:rsidRDefault="003C5385" w:rsidP="00524C6B">
                  <w:pPr>
                    <w:spacing w:line="240" w:lineRule="auto"/>
                    <w:jc w:val="center"/>
                    <w:rPr>
                      <w:rFonts w:ascii="Times New Roman" w:hAnsi="Times New Roman"/>
                      <w:color w:val="000000"/>
                    </w:rPr>
                  </w:pPr>
                </w:p>
              </w:tc>
              <w:tc>
                <w:tcPr>
                  <w:tcW w:w="2165" w:type="dxa"/>
                  <w:shd w:val="clear" w:color="auto" w:fill="auto"/>
                  <w:tcMar>
                    <w:top w:w="72" w:type="dxa"/>
                    <w:left w:w="144" w:type="dxa"/>
                    <w:bottom w:w="72" w:type="dxa"/>
                    <w:right w:w="144" w:type="dxa"/>
                  </w:tcMar>
                  <w:hideMark/>
                </w:tcPr>
                <w:p w14:paraId="548F6664" w14:textId="77777777" w:rsidR="003C5385" w:rsidRPr="00F72029" w:rsidRDefault="003C5385" w:rsidP="00524C6B">
                  <w:pPr>
                    <w:spacing w:line="240" w:lineRule="auto"/>
                    <w:jc w:val="center"/>
                    <w:rPr>
                      <w:rFonts w:ascii="Times New Roman" w:hAnsi="Times New Roman"/>
                      <w:color w:val="000000"/>
                    </w:rPr>
                  </w:pPr>
                  <w:r w:rsidRPr="00F72029">
                    <w:rPr>
                      <w:rFonts w:ascii="Times New Roman" w:hAnsi="Times New Roman"/>
                      <w:color w:val="000000"/>
                    </w:rPr>
                    <w:t>Koszty bez ulg</w:t>
                  </w:r>
                </w:p>
              </w:tc>
              <w:tc>
                <w:tcPr>
                  <w:tcW w:w="3047" w:type="dxa"/>
                  <w:shd w:val="clear" w:color="auto" w:fill="auto"/>
                  <w:tcMar>
                    <w:top w:w="72" w:type="dxa"/>
                    <w:left w:w="144" w:type="dxa"/>
                    <w:bottom w:w="72" w:type="dxa"/>
                    <w:right w:w="144" w:type="dxa"/>
                  </w:tcMar>
                  <w:hideMark/>
                </w:tcPr>
                <w:p w14:paraId="1C57F614" w14:textId="77777777" w:rsidR="003C5385" w:rsidRPr="00F72029" w:rsidRDefault="003C5385" w:rsidP="00524C6B">
                  <w:pPr>
                    <w:spacing w:line="240" w:lineRule="auto"/>
                    <w:jc w:val="center"/>
                    <w:rPr>
                      <w:rFonts w:ascii="Times New Roman" w:hAnsi="Times New Roman"/>
                      <w:color w:val="000000"/>
                    </w:rPr>
                  </w:pPr>
                  <w:r w:rsidRPr="00F72029">
                    <w:rPr>
                      <w:rFonts w:ascii="Times New Roman" w:hAnsi="Times New Roman"/>
                      <w:color w:val="000000"/>
                    </w:rPr>
                    <w:t>Odbiorcy szczególnie narażeni</w:t>
                  </w:r>
                </w:p>
                <w:p w14:paraId="75881862" w14:textId="77777777" w:rsidR="003C5385" w:rsidRPr="00F72029" w:rsidRDefault="003C5385" w:rsidP="00524C6B">
                  <w:pPr>
                    <w:spacing w:line="240" w:lineRule="auto"/>
                    <w:jc w:val="center"/>
                    <w:rPr>
                      <w:rFonts w:ascii="Times New Roman" w:hAnsi="Times New Roman"/>
                      <w:color w:val="000000"/>
                    </w:rPr>
                  </w:pPr>
                  <w:r w:rsidRPr="00F72029">
                    <w:rPr>
                      <w:rFonts w:ascii="Times New Roman" w:hAnsi="Times New Roman"/>
                      <w:color w:val="000000"/>
                    </w:rPr>
                    <w:t>(85%)</w:t>
                  </w:r>
                </w:p>
              </w:tc>
              <w:tc>
                <w:tcPr>
                  <w:tcW w:w="3048" w:type="dxa"/>
                  <w:shd w:val="clear" w:color="auto" w:fill="auto"/>
                  <w:tcMar>
                    <w:top w:w="72" w:type="dxa"/>
                    <w:left w:w="144" w:type="dxa"/>
                    <w:bottom w:w="72" w:type="dxa"/>
                    <w:right w:w="144" w:type="dxa"/>
                  </w:tcMar>
                  <w:hideMark/>
                </w:tcPr>
                <w:p w14:paraId="011C4D82" w14:textId="77777777" w:rsidR="003C5385" w:rsidRPr="00F72029" w:rsidRDefault="003C5385" w:rsidP="00524C6B">
                  <w:pPr>
                    <w:spacing w:line="240" w:lineRule="auto"/>
                    <w:jc w:val="center"/>
                    <w:rPr>
                      <w:rFonts w:ascii="Times New Roman" w:hAnsi="Times New Roman"/>
                      <w:color w:val="000000"/>
                    </w:rPr>
                  </w:pPr>
                  <w:r w:rsidRPr="00F72029">
                    <w:rPr>
                      <w:rFonts w:ascii="Times New Roman" w:hAnsi="Times New Roman"/>
                      <w:color w:val="000000"/>
                    </w:rPr>
                    <w:t>Odbiorcy narażeni</w:t>
                  </w:r>
                </w:p>
                <w:p w14:paraId="35D628E7" w14:textId="77777777" w:rsidR="003C5385" w:rsidRPr="00F72029" w:rsidRDefault="003C5385" w:rsidP="00524C6B">
                  <w:pPr>
                    <w:spacing w:line="240" w:lineRule="auto"/>
                    <w:jc w:val="center"/>
                    <w:rPr>
                      <w:rFonts w:ascii="Times New Roman" w:hAnsi="Times New Roman"/>
                      <w:color w:val="000000"/>
                    </w:rPr>
                  </w:pPr>
                  <w:r w:rsidRPr="00F72029">
                    <w:rPr>
                      <w:rFonts w:ascii="Times New Roman" w:hAnsi="Times New Roman"/>
                      <w:color w:val="000000"/>
                    </w:rPr>
                    <w:t>(75%)</w:t>
                  </w:r>
                </w:p>
              </w:tc>
            </w:tr>
            <w:tr w:rsidR="006F4D80" w:rsidRPr="00F72029" w14:paraId="2C888329" w14:textId="77777777" w:rsidTr="003C5385">
              <w:trPr>
                <w:trHeight w:val="20"/>
                <w:jc w:val="center"/>
              </w:trPr>
              <w:tc>
                <w:tcPr>
                  <w:tcW w:w="2258" w:type="dxa"/>
                  <w:shd w:val="clear" w:color="auto" w:fill="auto"/>
                  <w:tcMar>
                    <w:top w:w="72" w:type="dxa"/>
                    <w:left w:w="144" w:type="dxa"/>
                    <w:bottom w:w="72" w:type="dxa"/>
                    <w:right w:w="144" w:type="dxa"/>
                  </w:tcMar>
                  <w:vAlign w:val="center"/>
                  <w:hideMark/>
                </w:tcPr>
                <w:p w14:paraId="3DFC46EB" w14:textId="2D83F4F9" w:rsidR="006F4D80" w:rsidRPr="00F72029" w:rsidRDefault="006F4D80" w:rsidP="002B2D94">
                  <w:pPr>
                    <w:spacing w:line="240" w:lineRule="auto"/>
                    <w:jc w:val="center"/>
                    <w:rPr>
                      <w:rFonts w:ascii="Times New Roman" w:hAnsi="Times New Roman"/>
                      <w:color w:val="000000"/>
                    </w:rPr>
                  </w:pPr>
                  <w:r w:rsidRPr="00F72029">
                    <w:rPr>
                      <w:rFonts w:ascii="Times New Roman" w:hAnsi="Times New Roman"/>
                      <w:color w:val="000000"/>
                    </w:rPr>
                    <w:t>Umorzenie świadectw pochodzenia</w:t>
                  </w:r>
                </w:p>
              </w:tc>
              <w:tc>
                <w:tcPr>
                  <w:tcW w:w="2165" w:type="dxa"/>
                  <w:shd w:val="clear" w:color="auto" w:fill="auto"/>
                  <w:tcMar>
                    <w:top w:w="72" w:type="dxa"/>
                    <w:left w:w="144" w:type="dxa"/>
                    <w:bottom w:w="72" w:type="dxa"/>
                    <w:right w:w="144" w:type="dxa"/>
                  </w:tcMar>
                  <w:vAlign w:val="center"/>
                  <w:hideMark/>
                </w:tcPr>
                <w:p w14:paraId="123971BA" w14:textId="0488EF4D"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4,40</w:t>
                  </w:r>
                </w:p>
              </w:tc>
              <w:tc>
                <w:tcPr>
                  <w:tcW w:w="3047" w:type="dxa"/>
                  <w:shd w:val="clear" w:color="auto" w:fill="auto"/>
                  <w:tcMar>
                    <w:top w:w="72" w:type="dxa"/>
                    <w:left w:w="144" w:type="dxa"/>
                    <w:bottom w:w="72" w:type="dxa"/>
                    <w:right w:w="144" w:type="dxa"/>
                  </w:tcMar>
                  <w:vAlign w:val="center"/>
                  <w:hideMark/>
                </w:tcPr>
                <w:p w14:paraId="40CCA391" w14:textId="1476A0A0"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0,66</w:t>
                  </w:r>
                </w:p>
              </w:tc>
              <w:tc>
                <w:tcPr>
                  <w:tcW w:w="3048" w:type="dxa"/>
                  <w:shd w:val="clear" w:color="auto" w:fill="auto"/>
                  <w:tcMar>
                    <w:top w:w="72" w:type="dxa"/>
                    <w:left w:w="144" w:type="dxa"/>
                    <w:bottom w:w="72" w:type="dxa"/>
                    <w:right w:w="144" w:type="dxa"/>
                  </w:tcMar>
                  <w:vAlign w:val="center"/>
                  <w:hideMark/>
                </w:tcPr>
                <w:p w14:paraId="05ABD7F5" w14:textId="378A312F"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1,10</w:t>
                  </w:r>
                </w:p>
              </w:tc>
            </w:tr>
            <w:tr w:rsidR="006F4D80" w:rsidRPr="00F72029" w14:paraId="09FDC1C8" w14:textId="77777777" w:rsidTr="003C5385">
              <w:trPr>
                <w:trHeight w:val="20"/>
                <w:jc w:val="center"/>
              </w:trPr>
              <w:tc>
                <w:tcPr>
                  <w:tcW w:w="2258" w:type="dxa"/>
                  <w:shd w:val="clear" w:color="auto" w:fill="auto"/>
                  <w:tcMar>
                    <w:top w:w="72" w:type="dxa"/>
                    <w:left w:w="144" w:type="dxa"/>
                    <w:bottom w:w="72" w:type="dxa"/>
                    <w:right w:w="144" w:type="dxa"/>
                  </w:tcMar>
                  <w:vAlign w:val="center"/>
                  <w:hideMark/>
                </w:tcPr>
                <w:p w14:paraId="0C1C755E" w14:textId="77777777" w:rsidR="006F4D80" w:rsidRPr="00F72029" w:rsidRDefault="006F4D80" w:rsidP="002B2D94">
                  <w:pPr>
                    <w:spacing w:line="240" w:lineRule="auto"/>
                    <w:jc w:val="center"/>
                    <w:rPr>
                      <w:rFonts w:ascii="Times New Roman" w:hAnsi="Times New Roman"/>
                      <w:color w:val="000000"/>
                    </w:rPr>
                  </w:pPr>
                  <w:r w:rsidRPr="00F72029">
                    <w:rPr>
                      <w:rFonts w:ascii="Times New Roman" w:hAnsi="Times New Roman"/>
                      <w:color w:val="000000"/>
                    </w:rPr>
                    <w:t>Opłata OZE</w:t>
                  </w:r>
                </w:p>
              </w:tc>
              <w:tc>
                <w:tcPr>
                  <w:tcW w:w="2165" w:type="dxa"/>
                  <w:shd w:val="clear" w:color="auto" w:fill="auto"/>
                  <w:tcMar>
                    <w:top w:w="72" w:type="dxa"/>
                    <w:left w:w="144" w:type="dxa"/>
                    <w:bottom w:w="72" w:type="dxa"/>
                    <w:right w:w="144" w:type="dxa"/>
                  </w:tcMar>
                  <w:vAlign w:val="center"/>
                  <w:hideMark/>
                </w:tcPr>
                <w:p w14:paraId="3ACF56D7" w14:textId="14510EBA"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0,0</w:t>
                  </w:r>
                </w:p>
              </w:tc>
              <w:tc>
                <w:tcPr>
                  <w:tcW w:w="3047" w:type="dxa"/>
                  <w:shd w:val="clear" w:color="auto" w:fill="auto"/>
                  <w:tcMar>
                    <w:top w:w="72" w:type="dxa"/>
                    <w:left w:w="144" w:type="dxa"/>
                    <w:bottom w:w="72" w:type="dxa"/>
                    <w:right w:w="144" w:type="dxa"/>
                  </w:tcMar>
                  <w:vAlign w:val="center"/>
                  <w:hideMark/>
                </w:tcPr>
                <w:p w14:paraId="3F4338B8" w14:textId="04AEC06D"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0,0</w:t>
                  </w:r>
                </w:p>
              </w:tc>
              <w:tc>
                <w:tcPr>
                  <w:tcW w:w="3048" w:type="dxa"/>
                  <w:shd w:val="clear" w:color="auto" w:fill="auto"/>
                  <w:tcMar>
                    <w:top w:w="72" w:type="dxa"/>
                    <w:left w:w="144" w:type="dxa"/>
                    <w:bottom w:w="72" w:type="dxa"/>
                    <w:right w:w="144" w:type="dxa"/>
                  </w:tcMar>
                  <w:vAlign w:val="center"/>
                  <w:hideMark/>
                </w:tcPr>
                <w:p w14:paraId="10E3B0AE" w14:textId="3F18DAAF"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0,0</w:t>
                  </w:r>
                </w:p>
              </w:tc>
            </w:tr>
            <w:tr w:rsidR="006F4D80" w:rsidRPr="00F72029" w14:paraId="2626042C" w14:textId="77777777" w:rsidTr="003C5385">
              <w:trPr>
                <w:trHeight w:val="20"/>
                <w:jc w:val="center"/>
              </w:trPr>
              <w:tc>
                <w:tcPr>
                  <w:tcW w:w="2258" w:type="dxa"/>
                  <w:shd w:val="clear" w:color="auto" w:fill="auto"/>
                  <w:tcMar>
                    <w:top w:w="72" w:type="dxa"/>
                    <w:left w:w="144" w:type="dxa"/>
                    <w:bottom w:w="72" w:type="dxa"/>
                    <w:right w:w="144" w:type="dxa"/>
                  </w:tcMar>
                  <w:vAlign w:val="center"/>
                  <w:hideMark/>
                </w:tcPr>
                <w:p w14:paraId="66FFBC78" w14:textId="7DE99358" w:rsidR="006F4D80" w:rsidRPr="00F72029" w:rsidRDefault="006F4D80" w:rsidP="002B2D94">
                  <w:pPr>
                    <w:spacing w:line="240" w:lineRule="auto"/>
                    <w:jc w:val="center"/>
                    <w:rPr>
                      <w:rFonts w:ascii="Times New Roman" w:hAnsi="Times New Roman"/>
                      <w:color w:val="000000"/>
                    </w:rPr>
                  </w:pPr>
                  <w:r w:rsidRPr="00F72029">
                    <w:rPr>
                      <w:rFonts w:ascii="Times New Roman" w:hAnsi="Times New Roman"/>
                      <w:color w:val="000000"/>
                    </w:rPr>
                    <w:t xml:space="preserve">Opłata </w:t>
                  </w:r>
                  <w:r w:rsidR="00987C33">
                    <w:rPr>
                      <w:rFonts w:ascii="Times New Roman" w:hAnsi="Times New Roman"/>
                      <w:color w:val="000000"/>
                    </w:rPr>
                    <w:t>CHP</w:t>
                  </w:r>
                </w:p>
              </w:tc>
              <w:tc>
                <w:tcPr>
                  <w:tcW w:w="2165" w:type="dxa"/>
                  <w:shd w:val="clear" w:color="auto" w:fill="auto"/>
                  <w:tcMar>
                    <w:top w:w="72" w:type="dxa"/>
                    <w:left w:w="144" w:type="dxa"/>
                    <w:bottom w:w="72" w:type="dxa"/>
                    <w:right w:w="144" w:type="dxa"/>
                  </w:tcMar>
                  <w:vAlign w:val="center"/>
                  <w:hideMark/>
                </w:tcPr>
                <w:p w14:paraId="7BEE24E0" w14:textId="182B33DE"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6,18</w:t>
                  </w:r>
                </w:p>
              </w:tc>
              <w:tc>
                <w:tcPr>
                  <w:tcW w:w="3047" w:type="dxa"/>
                  <w:shd w:val="clear" w:color="auto" w:fill="auto"/>
                  <w:tcMar>
                    <w:top w:w="72" w:type="dxa"/>
                    <w:left w:w="144" w:type="dxa"/>
                    <w:bottom w:w="72" w:type="dxa"/>
                    <w:right w:w="144" w:type="dxa"/>
                  </w:tcMar>
                  <w:vAlign w:val="center"/>
                  <w:hideMark/>
                </w:tcPr>
                <w:p w14:paraId="7A09AB0B" w14:textId="6EC17A9B"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0,9</w:t>
                  </w:r>
                  <w:r w:rsidR="003C5385">
                    <w:rPr>
                      <w:rFonts w:ascii="Times New Roman" w:hAnsi="Times New Roman"/>
                      <w:color w:val="000000"/>
                    </w:rPr>
                    <w:t>3</w:t>
                  </w:r>
                </w:p>
              </w:tc>
              <w:tc>
                <w:tcPr>
                  <w:tcW w:w="3048" w:type="dxa"/>
                  <w:shd w:val="clear" w:color="auto" w:fill="auto"/>
                  <w:tcMar>
                    <w:top w:w="72" w:type="dxa"/>
                    <w:left w:w="144" w:type="dxa"/>
                    <w:bottom w:w="72" w:type="dxa"/>
                    <w:right w:w="144" w:type="dxa"/>
                  </w:tcMar>
                  <w:vAlign w:val="center"/>
                  <w:hideMark/>
                </w:tcPr>
                <w:p w14:paraId="5FF3C6FF" w14:textId="28E945E5"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color w:val="000000"/>
                    </w:rPr>
                    <w:t>1,5</w:t>
                  </w:r>
                  <w:r w:rsidR="003C5385">
                    <w:rPr>
                      <w:rFonts w:ascii="Times New Roman" w:hAnsi="Times New Roman"/>
                      <w:color w:val="000000"/>
                    </w:rPr>
                    <w:t>5</w:t>
                  </w:r>
                </w:p>
              </w:tc>
            </w:tr>
            <w:tr w:rsidR="006F4D80" w:rsidRPr="00F72029" w14:paraId="04B200D8" w14:textId="77777777" w:rsidTr="003C5385">
              <w:trPr>
                <w:trHeight w:val="20"/>
                <w:jc w:val="center"/>
              </w:trPr>
              <w:tc>
                <w:tcPr>
                  <w:tcW w:w="2258" w:type="dxa"/>
                  <w:shd w:val="clear" w:color="auto" w:fill="auto"/>
                  <w:tcMar>
                    <w:top w:w="72" w:type="dxa"/>
                    <w:left w:w="144" w:type="dxa"/>
                    <w:bottom w:w="72" w:type="dxa"/>
                    <w:right w:w="144" w:type="dxa"/>
                  </w:tcMar>
                  <w:vAlign w:val="center"/>
                  <w:hideMark/>
                </w:tcPr>
                <w:p w14:paraId="1B7AD62A" w14:textId="1C9F5AE6" w:rsidR="006F4D80" w:rsidRPr="00F72029" w:rsidRDefault="006F4D80" w:rsidP="002B2D94">
                  <w:pPr>
                    <w:spacing w:line="240" w:lineRule="auto"/>
                    <w:jc w:val="center"/>
                    <w:rPr>
                      <w:rFonts w:ascii="Times New Roman" w:hAnsi="Times New Roman"/>
                      <w:color w:val="000000"/>
                    </w:rPr>
                  </w:pPr>
                  <w:r w:rsidRPr="00F72029">
                    <w:rPr>
                      <w:rFonts w:ascii="Times New Roman" w:hAnsi="Times New Roman"/>
                      <w:b/>
                      <w:bCs/>
                      <w:color w:val="000000"/>
                    </w:rPr>
                    <w:t>Suma</w:t>
                  </w:r>
                </w:p>
              </w:tc>
              <w:tc>
                <w:tcPr>
                  <w:tcW w:w="2165" w:type="dxa"/>
                  <w:shd w:val="clear" w:color="auto" w:fill="auto"/>
                  <w:tcMar>
                    <w:top w:w="72" w:type="dxa"/>
                    <w:left w:w="144" w:type="dxa"/>
                    <w:bottom w:w="72" w:type="dxa"/>
                    <w:right w:w="144" w:type="dxa"/>
                  </w:tcMar>
                  <w:vAlign w:val="center"/>
                  <w:hideMark/>
                </w:tcPr>
                <w:p w14:paraId="5276DC5A" w14:textId="04D4F179"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b/>
                      <w:bCs/>
                      <w:color w:val="000000"/>
                    </w:rPr>
                    <w:t>10,</w:t>
                  </w:r>
                  <w:r w:rsidR="00767B25">
                    <w:rPr>
                      <w:rFonts w:ascii="Times New Roman" w:hAnsi="Times New Roman"/>
                      <w:b/>
                      <w:bCs/>
                      <w:color w:val="000000"/>
                    </w:rPr>
                    <w:t>58</w:t>
                  </w:r>
                </w:p>
              </w:tc>
              <w:tc>
                <w:tcPr>
                  <w:tcW w:w="3047" w:type="dxa"/>
                  <w:shd w:val="clear" w:color="auto" w:fill="auto"/>
                  <w:tcMar>
                    <w:top w:w="72" w:type="dxa"/>
                    <w:left w:w="144" w:type="dxa"/>
                    <w:bottom w:w="72" w:type="dxa"/>
                    <w:right w:w="144" w:type="dxa"/>
                  </w:tcMar>
                  <w:vAlign w:val="center"/>
                  <w:hideMark/>
                </w:tcPr>
                <w:p w14:paraId="34F05365" w14:textId="7F5DEB9B" w:rsidR="006F4D80" w:rsidRPr="00E21C06" w:rsidRDefault="006F4D80" w:rsidP="006F4D80">
                  <w:pPr>
                    <w:spacing w:line="240" w:lineRule="auto"/>
                    <w:jc w:val="center"/>
                    <w:rPr>
                      <w:rFonts w:ascii="Times New Roman" w:hAnsi="Times New Roman"/>
                      <w:color w:val="000000"/>
                      <w:u w:val="single"/>
                    </w:rPr>
                  </w:pPr>
                  <w:r w:rsidRPr="00E21C06">
                    <w:rPr>
                      <w:rFonts w:ascii="Times New Roman" w:hAnsi="Times New Roman"/>
                      <w:b/>
                      <w:bCs/>
                      <w:color w:val="000000"/>
                      <w:u w:val="single"/>
                    </w:rPr>
                    <w:t>1,5</w:t>
                  </w:r>
                  <w:r w:rsidR="003C5385" w:rsidRPr="00E21C06">
                    <w:rPr>
                      <w:rFonts w:ascii="Times New Roman" w:hAnsi="Times New Roman"/>
                      <w:b/>
                      <w:bCs/>
                      <w:color w:val="000000"/>
                      <w:u w:val="single"/>
                    </w:rPr>
                    <w:t>9</w:t>
                  </w:r>
                </w:p>
              </w:tc>
              <w:tc>
                <w:tcPr>
                  <w:tcW w:w="3048" w:type="dxa"/>
                  <w:shd w:val="clear" w:color="auto" w:fill="auto"/>
                  <w:tcMar>
                    <w:top w:w="72" w:type="dxa"/>
                    <w:left w:w="144" w:type="dxa"/>
                    <w:bottom w:w="72" w:type="dxa"/>
                    <w:right w:w="144" w:type="dxa"/>
                  </w:tcMar>
                  <w:vAlign w:val="center"/>
                  <w:hideMark/>
                </w:tcPr>
                <w:p w14:paraId="02BC1659" w14:textId="0355F173" w:rsidR="006F4D80" w:rsidRPr="00F72029" w:rsidRDefault="006F4D80" w:rsidP="006F4D80">
                  <w:pPr>
                    <w:spacing w:line="240" w:lineRule="auto"/>
                    <w:jc w:val="center"/>
                    <w:rPr>
                      <w:rFonts w:ascii="Times New Roman" w:hAnsi="Times New Roman"/>
                      <w:color w:val="000000"/>
                    </w:rPr>
                  </w:pPr>
                  <w:r w:rsidRPr="00F72029">
                    <w:rPr>
                      <w:rFonts w:ascii="Times New Roman" w:hAnsi="Times New Roman"/>
                      <w:b/>
                      <w:bCs/>
                      <w:color w:val="000000"/>
                    </w:rPr>
                    <w:t>2,6</w:t>
                  </w:r>
                  <w:r w:rsidR="003C5385">
                    <w:rPr>
                      <w:rFonts w:ascii="Times New Roman" w:hAnsi="Times New Roman"/>
                      <w:b/>
                      <w:bCs/>
                      <w:color w:val="000000"/>
                    </w:rPr>
                    <w:t>5</w:t>
                  </w:r>
                </w:p>
              </w:tc>
            </w:tr>
          </w:tbl>
          <w:p w14:paraId="4BF93112" w14:textId="77777777" w:rsidR="004C1C72" w:rsidRDefault="004C1C72" w:rsidP="00E423B5">
            <w:pPr>
              <w:spacing w:before="120" w:after="120" w:line="240" w:lineRule="auto"/>
              <w:jc w:val="both"/>
              <w:rPr>
                <w:rFonts w:ascii="Times New Roman" w:hAnsi="Times New Roman"/>
                <w:color w:val="000000"/>
              </w:rPr>
            </w:pPr>
          </w:p>
          <w:p w14:paraId="3BD70DE7" w14:textId="07E0891F" w:rsidR="00982CE7" w:rsidRPr="00F72029" w:rsidRDefault="00982CE7" w:rsidP="00E423B5">
            <w:pPr>
              <w:spacing w:before="120" w:after="120" w:line="240" w:lineRule="auto"/>
              <w:jc w:val="both"/>
              <w:rPr>
                <w:rFonts w:ascii="Times New Roman" w:hAnsi="Times New Roman"/>
                <w:color w:val="000000"/>
              </w:rPr>
            </w:pPr>
            <w:r w:rsidRPr="00F72029">
              <w:rPr>
                <w:rFonts w:ascii="Times New Roman" w:hAnsi="Times New Roman"/>
                <w:color w:val="000000"/>
              </w:rPr>
              <w:lastRenderedPageBreak/>
              <w:t>Założenia:</w:t>
            </w:r>
          </w:p>
          <w:p w14:paraId="443D2090" w14:textId="756AED1C" w:rsidR="00982CE7" w:rsidRPr="00F72029" w:rsidRDefault="00731C62">
            <w:pPr>
              <w:numPr>
                <w:ilvl w:val="0"/>
                <w:numId w:val="3"/>
              </w:numPr>
              <w:spacing w:line="240" w:lineRule="auto"/>
              <w:ind w:left="714" w:hanging="357"/>
              <w:jc w:val="both"/>
              <w:rPr>
                <w:rFonts w:ascii="Times New Roman" w:hAnsi="Times New Roman"/>
                <w:color w:val="000000"/>
              </w:rPr>
            </w:pPr>
            <w:r>
              <w:rPr>
                <w:rFonts w:ascii="Times New Roman" w:hAnsi="Times New Roman"/>
                <w:color w:val="000000"/>
              </w:rPr>
              <w:t xml:space="preserve">za </w:t>
            </w:r>
            <w:r w:rsidR="00FA778A">
              <w:rPr>
                <w:rFonts w:ascii="Times New Roman" w:hAnsi="Times New Roman"/>
                <w:color w:val="000000"/>
              </w:rPr>
              <w:t>c</w:t>
            </w:r>
            <w:r w:rsidR="00FA778A" w:rsidRPr="00F72029">
              <w:rPr>
                <w:rFonts w:ascii="Times New Roman" w:hAnsi="Times New Roman"/>
                <w:color w:val="000000"/>
              </w:rPr>
              <w:t xml:space="preserve">eny </w:t>
            </w:r>
            <w:r w:rsidR="005D0EE0" w:rsidRPr="00F72029">
              <w:rPr>
                <w:rFonts w:ascii="Times New Roman" w:hAnsi="Times New Roman"/>
                <w:color w:val="000000"/>
              </w:rPr>
              <w:t>praw majątkowych wynikających ze świadectw pochodzenia</w:t>
            </w:r>
            <w:r>
              <w:rPr>
                <w:rFonts w:ascii="Times New Roman" w:hAnsi="Times New Roman"/>
                <w:color w:val="000000"/>
              </w:rPr>
              <w:t xml:space="preserve"> przyjmuje się </w:t>
            </w:r>
            <w:r w:rsidR="00982CE7" w:rsidRPr="00F72029">
              <w:rPr>
                <w:rFonts w:ascii="Times New Roman" w:hAnsi="Times New Roman"/>
                <w:color w:val="000000"/>
              </w:rPr>
              <w:t xml:space="preserve">średnie </w:t>
            </w:r>
            <w:r w:rsidR="00F72029" w:rsidRPr="00F72029">
              <w:rPr>
                <w:rFonts w:ascii="Times New Roman" w:hAnsi="Times New Roman"/>
                <w:color w:val="000000"/>
              </w:rPr>
              <w:t xml:space="preserve">ważone wolumenem transakcji sesyjnych zawartych na Towarowej Giełdzie Energii S.A. </w:t>
            </w:r>
            <w:r w:rsidR="005A4AB7" w:rsidRPr="00F72029">
              <w:rPr>
                <w:rFonts w:ascii="Times New Roman" w:hAnsi="Times New Roman"/>
                <w:color w:val="000000"/>
              </w:rPr>
              <w:t xml:space="preserve">za styczeń </w:t>
            </w:r>
            <w:r w:rsidR="00982CE7" w:rsidRPr="00F72029">
              <w:rPr>
                <w:rFonts w:ascii="Times New Roman" w:hAnsi="Times New Roman"/>
                <w:color w:val="000000"/>
              </w:rPr>
              <w:t>202</w:t>
            </w:r>
            <w:r w:rsidR="005A4AB7" w:rsidRPr="00F72029">
              <w:rPr>
                <w:rFonts w:ascii="Times New Roman" w:hAnsi="Times New Roman"/>
                <w:color w:val="000000"/>
              </w:rPr>
              <w:t>4</w:t>
            </w:r>
            <w:r w:rsidR="00982CE7" w:rsidRPr="00F72029">
              <w:rPr>
                <w:rFonts w:ascii="Times New Roman" w:hAnsi="Times New Roman"/>
                <w:color w:val="000000"/>
              </w:rPr>
              <w:t xml:space="preserve"> r. –</w:t>
            </w:r>
            <w:r w:rsidR="005A4AB7" w:rsidRPr="00F72029">
              <w:rPr>
                <w:rFonts w:ascii="Times New Roman" w:hAnsi="Times New Roman"/>
                <w:color w:val="000000"/>
              </w:rPr>
              <w:t xml:space="preserve"> </w:t>
            </w:r>
            <w:r w:rsidR="00F72029" w:rsidRPr="00F72029">
              <w:rPr>
                <w:rFonts w:ascii="Times New Roman" w:hAnsi="Times New Roman"/>
                <w:color w:val="000000"/>
              </w:rPr>
              <w:t xml:space="preserve">ogłoszone przez TGE S.A. </w:t>
            </w:r>
            <w:r w:rsidR="005A4AB7" w:rsidRPr="00F72029">
              <w:rPr>
                <w:rFonts w:ascii="Times New Roman" w:hAnsi="Times New Roman"/>
                <w:color w:val="000000"/>
              </w:rPr>
              <w:t xml:space="preserve">zgodnie </w:t>
            </w:r>
            <w:r w:rsidR="00F72029" w:rsidRPr="00F72029">
              <w:rPr>
                <w:rFonts w:ascii="Times New Roman" w:hAnsi="Times New Roman"/>
                <w:color w:val="000000"/>
              </w:rPr>
              <w:t>z a</w:t>
            </w:r>
            <w:r w:rsidR="005A4AB7" w:rsidRPr="00F72029">
              <w:rPr>
                <w:rFonts w:ascii="Times New Roman" w:hAnsi="Times New Roman"/>
                <w:color w:val="000000"/>
              </w:rPr>
              <w:t xml:space="preserve">rt. 47 </w:t>
            </w:r>
            <w:r w:rsidR="00F72029" w:rsidRPr="00F72029">
              <w:rPr>
                <w:rFonts w:ascii="Times New Roman" w:hAnsi="Times New Roman"/>
                <w:color w:val="000000"/>
              </w:rPr>
              <w:t>ust. 3 u</w:t>
            </w:r>
            <w:r w:rsidR="005A4AB7" w:rsidRPr="00F72029">
              <w:rPr>
                <w:rFonts w:ascii="Times New Roman" w:hAnsi="Times New Roman"/>
                <w:color w:val="000000"/>
              </w:rPr>
              <w:t xml:space="preserve">stawy o </w:t>
            </w:r>
            <w:r w:rsidR="00F72029" w:rsidRPr="00F72029">
              <w:rPr>
                <w:rFonts w:ascii="Times New Roman" w:hAnsi="Times New Roman"/>
                <w:color w:val="000000"/>
              </w:rPr>
              <w:t>OZE</w:t>
            </w:r>
            <w:r w:rsidR="00982CE7" w:rsidRPr="00F72029">
              <w:rPr>
                <w:rFonts w:ascii="Times New Roman" w:hAnsi="Times New Roman"/>
                <w:color w:val="000000"/>
              </w:rPr>
              <w:t>;</w:t>
            </w:r>
            <w:r w:rsidR="005A4AB7" w:rsidRPr="00F72029">
              <w:rPr>
                <w:rFonts w:ascii="Times New Roman" w:hAnsi="Times New Roman"/>
                <w:color w:val="000000"/>
              </w:rPr>
              <w:t xml:space="preserve"> </w:t>
            </w:r>
          </w:p>
          <w:p w14:paraId="75EC56F1" w14:textId="46C14342" w:rsidR="009A01B3" w:rsidRPr="00F72029" w:rsidRDefault="00731C62">
            <w:pPr>
              <w:numPr>
                <w:ilvl w:val="0"/>
                <w:numId w:val="3"/>
              </w:numPr>
              <w:spacing w:line="240" w:lineRule="auto"/>
              <w:ind w:left="714" w:hanging="357"/>
              <w:jc w:val="both"/>
              <w:rPr>
                <w:rFonts w:ascii="Times New Roman" w:hAnsi="Times New Roman"/>
                <w:color w:val="000000"/>
              </w:rPr>
            </w:pPr>
            <w:r>
              <w:rPr>
                <w:rFonts w:ascii="Times New Roman" w:hAnsi="Times New Roman"/>
                <w:color w:val="000000"/>
              </w:rPr>
              <w:t xml:space="preserve">za </w:t>
            </w:r>
            <w:r w:rsidR="00FA778A">
              <w:rPr>
                <w:rFonts w:ascii="Times New Roman" w:hAnsi="Times New Roman"/>
                <w:color w:val="000000"/>
              </w:rPr>
              <w:t>p</w:t>
            </w:r>
            <w:r w:rsidR="00FA778A" w:rsidRPr="00F72029">
              <w:rPr>
                <w:rFonts w:ascii="Times New Roman" w:hAnsi="Times New Roman"/>
                <w:color w:val="000000"/>
              </w:rPr>
              <w:t xml:space="preserve">oziom </w:t>
            </w:r>
            <w:r w:rsidR="00982CE7" w:rsidRPr="00F72029">
              <w:rPr>
                <w:rFonts w:ascii="Times New Roman" w:hAnsi="Times New Roman"/>
                <w:color w:val="000000"/>
              </w:rPr>
              <w:t xml:space="preserve">obowiązku umorzenia </w:t>
            </w:r>
            <w:r w:rsidR="005D0EE0" w:rsidRPr="00F72029">
              <w:rPr>
                <w:rFonts w:ascii="Times New Roman" w:hAnsi="Times New Roman"/>
                <w:color w:val="000000"/>
              </w:rPr>
              <w:t xml:space="preserve">świadectw pochodzenia </w:t>
            </w:r>
            <w:r w:rsidR="00982CE7" w:rsidRPr="00F72029">
              <w:rPr>
                <w:rFonts w:ascii="Times New Roman" w:hAnsi="Times New Roman"/>
                <w:color w:val="000000"/>
              </w:rPr>
              <w:t>w 202</w:t>
            </w:r>
            <w:r w:rsidR="005A4AB7" w:rsidRPr="00F72029">
              <w:rPr>
                <w:rFonts w:ascii="Times New Roman" w:hAnsi="Times New Roman"/>
                <w:color w:val="000000"/>
              </w:rPr>
              <w:t>4</w:t>
            </w:r>
            <w:r w:rsidR="00982CE7" w:rsidRPr="00F72029">
              <w:rPr>
                <w:rFonts w:ascii="Times New Roman" w:hAnsi="Times New Roman"/>
                <w:color w:val="000000"/>
              </w:rPr>
              <w:t xml:space="preserve"> r.</w:t>
            </w:r>
            <w:r>
              <w:rPr>
                <w:rFonts w:ascii="Times New Roman" w:hAnsi="Times New Roman"/>
                <w:color w:val="000000"/>
              </w:rPr>
              <w:t xml:space="preserve"> przyjmuje się</w:t>
            </w:r>
            <w:r w:rsidR="00982CE7" w:rsidRPr="00F72029">
              <w:rPr>
                <w:rFonts w:ascii="Times New Roman" w:hAnsi="Times New Roman"/>
                <w:color w:val="000000"/>
              </w:rPr>
              <w:t xml:space="preserve"> </w:t>
            </w:r>
            <w:r w:rsidR="005A4AB7" w:rsidRPr="00F72029">
              <w:rPr>
                <w:rFonts w:ascii="Times New Roman" w:hAnsi="Times New Roman"/>
                <w:color w:val="000000"/>
              </w:rPr>
              <w:t>5</w:t>
            </w:r>
            <w:r w:rsidR="00982CE7" w:rsidRPr="00F72029">
              <w:rPr>
                <w:rFonts w:ascii="Times New Roman" w:hAnsi="Times New Roman"/>
                <w:color w:val="000000"/>
              </w:rPr>
              <w:t xml:space="preserve">% dla </w:t>
            </w:r>
            <w:r w:rsidR="005D0EE0" w:rsidRPr="00F72029">
              <w:rPr>
                <w:rFonts w:ascii="Times New Roman" w:hAnsi="Times New Roman"/>
                <w:color w:val="000000"/>
              </w:rPr>
              <w:t xml:space="preserve">tzw. </w:t>
            </w:r>
            <w:r w:rsidR="00092533" w:rsidRPr="00F72029">
              <w:rPr>
                <w:rFonts w:ascii="Times New Roman" w:hAnsi="Times New Roman"/>
                <w:color w:val="000000"/>
              </w:rPr>
              <w:t xml:space="preserve">zielonych </w:t>
            </w:r>
            <w:r w:rsidR="00982CE7" w:rsidRPr="00F72029">
              <w:rPr>
                <w:rFonts w:ascii="Times New Roman" w:hAnsi="Times New Roman"/>
                <w:color w:val="000000"/>
              </w:rPr>
              <w:t>certyfikatów</w:t>
            </w:r>
            <w:r>
              <w:rPr>
                <w:rFonts w:ascii="Times New Roman" w:hAnsi="Times New Roman"/>
                <w:color w:val="000000"/>
              </w:rPr>
              <w:t xml:space="preserve"> i</w:t>
            </w:r>
            <w:r w:rsidR="00982CE7" w:rsidRPr="00F72029">
              <w:rPr>
                <w:rFonts w:ascii="Times New Roman" w:hAnsi="Times New Roman"/>
                <w:color w:val="000000"/>
              </w:rPr>
              <w:t xml:space="preserve"> 0,5% dla </w:t>
            </w:r>
            <w:r w:rsidR="005D0EE0" w:rsidRPr="00F72029">
              <w:rPr>
                <w:rFonts w:ascii="Times New Roman" w:hAnsi="Times New Roman"/>
                <w:color w:val="000000"/>
              </w:rPr>
              <w:t xml:space="preserve">tzw. </w:t>
            </w:r>
            <w:r w:rsidR="00092533" w:rsidRPr="00F72029">
              <w:rPr>
                <w:rFonts w:ascii="Times New Roman" w:hAnsi="Times New Roman"/>
                <w:color w:val="000000"/>
              </w:rPr>
              <w:t xml:space="preserve">błękitnych </w:t>
            </w:r>
            <w:r w:rsidR="00982CE7" w:rsidRPr="00F72029">
              <w:rPr>
                <w:rFonts w:ascii="Times New Roman" w:hAnsi="Times New Roman"/>
                <w:color w:val="000000"/>
              </w:rPr>
              <w:t>certyfikatów;</w:t>
            </w:r>
          </w:p>
          <w:p w14:paraId="79A57A0E" w14:textId="34334C11" w:rsidR="001E1781" w:rsidRDefault="00FA778A">
            <w:pPr>
              <w:numPr>
                <w:ilvl w:val="0"/>
                <w:numId w:val="3"/>
              </w:numPr>
              <w:spacing w:after="120" w:line="240" w:lineRule="auto"/>
              <w:ind w:left="714" w:hanging="357"/>
              <w:jc w:val="both"/>
              <w:rPr>
                <w:rFonts w:ascii="Times New Roman" w:hAnsi="Times New Roman"/>
                <w:color w:val="000000"/>
              </w:rPr>
            </w:pPr>
            <w:r>
              <w:rPr>
                <w:rFonts w:ascii="Times New Roman" w:hAnsi="Times New Roman"/>
                <w:color w:val="000000"/>
              </w:rPr>
              <w:t>s</w:t>
            </w:r>
            <w:r w:rsidRPr="00F72029">
              <w:rPr>
                <w:rFonts w:ascii="Times New Roman" w:hAnsi="Times New Roman"/>
                <w:color w:val="000000"/>
              </w:rPr>
              <w:t xml:space="preserve">tawki </w:t>
            </w:r>
            <w:r w:rsidR="00982CE7" w:rsidRPr="00F72029">
              <w:rPr>
                <w:rFonts w:ascii="Times New Roman" w:hAnsi="Times New Roman"/>
                <w:color w:val="000000"/>
              </w:rPr>
              <w:t xml:space="preserve">opłat na </w:t>
            </w:r>
            <w:r w:rsidR="001943E9" w:rsidRPr="00F72029">
              <w:rPr>
                <w:rFonts w:ascii="Times New Roman" w:hAnsi="Times New Roman"/>
                <w:color w:val="000000"/>
              </w:rPr>
              <w:t>202</w:t>
            </w:r>
            <w:r w:rsidR="00BE14BA" w:rsidRPr="00F72029">
              <w:rPr>
                <w:rFonts w:ascii="Times New Roman" w:hAnsi="Times New Roman"/>
                <w:color w:val="000000"/>
              </w:rPr>
              <w:t>4</w:t>
            </w:r>
            <w:r w:rsidR="00982CE7" w:rsidRPr="00F72029">
              <w:rPr>
                <w:rFonts w:ascii="Times New Roman" w:hAnsi="Times New Roman"/>
                <w:color w:val="000000"/>
              </w:rPr>
              <w:t xml:space="preserve"> r.</w:t>
            </w:r>
            <w:r w:rsidR="00731C62">
              <w:rPr>
                <w:rFonts w:ascii="Times New Roman" w:hAnsi="Times New Roman"/>
                <w:color w:val="000000"/>
              </w:rPr>
              <w:t xml:space="preserve"> </w:t>
            </w:r>
            <w:r w:rsidR="002B2D94">
              <w:rPr>
                <w:rFonts w:ascii="Times New Roman" w:hAnsi="Times New Roman"/>
                <w:color w:val="000000"/>
              </w:rPr>
              <w:t xml:space="preserve">wynoszą: </w:t>
            </w:r>
            <w:r w:rsidR="002B2D94" w:rsidRPr="00F72029">
              <w:rPr>
                <w:rFonts w:ascii="Times New Roman" w:hAnsi="Times New Roman"/>
                <w:color w:val="000000"/>
              </w:rPr>
              <w:t>CHP</w:t>
            </w:r>
            <w:r w:rsidR="00987C33" w:rsidRPr="00F72029">
              <w:rPr>
                <w:rFonts w:ascii="Times New Roman" w:hAnsi="Times New Roman"/>
                <w:color w:val="000000"/>
              </w:rPr>
              <w:t xml:space="preserve"> </w:t>
            </w:r>
            <w:r w:rsidR="000B616E" w:rsidRPr="00F72029">
              <w:rPr>
                <w:rFonts w:ascii="Times New Roman" w:hAnsi="Times New Roman"/>
                <w:color w:val="000000"/>
              </w:rPr>
              <w:t>–</w:t>
            </w:r>
            <w:r w:rsidR="00982CE7" w:rsidRPr="00F72029">
              <w:rPr>
                <w:rFonts w:ascii="Times New Roman" w:hAnsi="Times New Roman"/>
                <w:color w:val="000000"/>
              </w:rPr>
              <w:t xml:space="preserve"> </w:t>
            </w:r>
            <w:r w:rsidR="005A4AB7" w:rsidRPr="00F72029">
              <w:rPr>
                <w:rFonts w:ascii="Times New Roman" w:hAnsi="Times New Roman"/>
                <w:color w:val="000000"/>
              </w:rPr>
              <w:t>6</w:t>
            </w:r>
            <w:r w:rsidR="000B616E" w:rsidRPr="00F72029">
              <w:rPr>
                <w:rFonts w:ascii="Times New Roman" w:hAnsi="Times New Roman"/>
                <w:color w:val="000000"/>
              </w:rPr>
              <w:t>,</w:t>
            </w:r>
            <w:r w:rsidR="005A4AB7" w:rsidRPr="00F72029">
              <w:rPr>
                <w:rFonts w:ascii="Times New Roman" w:hAnsi="Times New Roman"/>
                <w:color w:val="000000"/>
              </w:rPr>
              <w:t>18</w:t>
            </w:r>
            <w:r w:rsidR="000B616E" w:rsidRPr="00F72029">
              <w:rPr>
                <w:rFonts w:ascii="Times New Roman" w:hAnsi="Times New Roman"/>
                <w:color w:val="000000"/>
              </w:rPr>
              <w:t xml:space="preserve"> </w:t>
            </w:r>
            <w:r w:rsidR="00982CE7" w:rsidRPr="00F72029">
              <w:rPr>
                <w:rFonts w:ascii="Times New Roman" w:hAnsi="Times New Roman"/>
                <w:color w:val="000000"/>
              </w:rPr>
              <w:t>zł/MWh, OZE – 0,00 zł/MWh.</w:t>
            </w:r>
          </w:p>
          <w:p w14:paraId="462D3A9E" w14:textId="6B0916DA" w:rsidR="00767B25" w:rsidRPr="00F72029" w:rsidRDefault="00767B25" w:rsidP="00767B25">
            <w:pPr>
              <w:spacing w:after="120" w:line="240" w:lineRule="auto"/>
              <w:jc w:val="both"/>
              <w:rPr>
                <w:rFonts w:ascii="Times New Roman" w:hAnsi="Times New Roman"/>
                <w:color w:val="000000"/>
              </w:rPr>
            </w:pPr>
            <w:r w:rsidRPr="00767B25">
              <w:rPr>
                <w:rFonts w:ascii="Times New Roman" w:hAnsi="Times New Roman"/>
                <w:color w:val="000000"/>
              </w:rPr>
              <w:t xml:space="preserve">Dane </w:t>
            </w:r>
            <w:r>
              <w:rPr>
                <w:rFonts w:ascii="Times New Roman" w:hAnsi="Times New Roman"/>
                <w:color w:val="000000"/>
              </w:rPr>
              <w:t>przedstawione w tabeli</w:t>
            </w:r>
            <w:r w:rsidRPr="00767B25">
              <w:rPr>
                <w:rFonts w:ascii="Times New Roman" w:hAnsi="Times New Roman"/>
                <w:color w:val="000000"/>
              </w:rPr>
              <w:t xml:space="preserve"> uzasadniają potrzebę dostosowania </w:t>
            </w:r>
            <w:r>
              <w:rPr>
                <w:rFonts w:ascii="Times New Roman" w:hAnsi="Times New Roman"/>
                <w:color w:val="000000"/>
              </w:rPr>
              <w:t xml:space="preserve">przepisów krajowych </w:t>
            </w:r>
            <w:r w:rsidRPr="00767B25">
              <w:rPr>
                <w:rFonts w:ascii="Times New Roman" w:hAnsi="Times New Roman"/>
                <w:color w:val="000000"/>
              </w:rPr>
              <w:t>do wytycznych CEEAG</w:t>
            </w:r>
            <w:r>
              <w:rPr>
                <w:rFonts w:ascii="Times New Roman" w:hAnsi="Times New Roman"/>
                <w:color w:val="000000"/>
              </w:rPr>
              <w:t>.</w:t>
            </w:r>
          </w:p>
          <w:p w14:paraId="0DB9000C" w14:textId="0CEF8A6B" w:rsidR="0054517B" w:rsidRPr="00203A1E" w:rsidRDefault="0054517B" w:rsidP="00E423B5">
            <w:pPr>
              <w:spacing w:before="120" w:after="120" w:line="240" w:lineRule="auto"/>
              <w:jc w:val="both"/>
              <w:rPr>
                <w:rFonts w:ascii="Times New Roman" w:hAnsi="Times New Roman"/>
                <w:b/>
                <w:bCs/>
                <w:color w:val="000000"/>
              </w:rPr>
            </w:pPr>
            <w:r>
              <w:rPr>
                <w:rFonts w:ascii="Times New Roman" w:hAnsi="Times New Roman"/>
                <w:b/>
                <w:bCs/>
                <w:color w:val="000000"/>
              </w:rPr>
              <w:t xml:space="preserve">Zawężenie pomocy publicznej dla </w:t>
            </w:r>
            <w:r w:rsidR="00E32EAA">
              <w:rPr>
                <w:rFonts w:ascii="Times New Roman" w:hAnsi="Times New Roman"/>
                <w:b/>
                <w:bCs/>
                <w:color w:val="000000"/>
              </w:rPr>
              <w:t>i</w:t>
            </w:r>
            <w:r>
              <w:rPr>
                <w:rFonts w:ascii="Times New Roman" w:hAnsi="Times New Roman"/>
                <w:b/>
                <w:bCs/>
                <w:color w:val="000000"/>
              </w:rPr>
              <w:t xml:space="preserve">nstalacji </w:t>
            </w:r>
            <w:r w:rsidR="00E32EAA">
              <w:rPr>
                <w:rFonts w:ascii="Times New Roman" w:hAnsi="Times New Roman"/>
                <w:b/>
                <w:bCs/>
                <w:color w:val="000000"/>
              </w:rPr>
              <w:t>t</w:t>
            </w:r>
            <w:r>
              <w:rPr>
                <w:rFonts w:ascii="Times New Roman" w:hAnsi="Times New Roman"/>
                <w:b/>
                <w:bCs/>
                <w:color w:val="000000"/>
              </w:rPr>
              <w:t xml:space="preserve">ermicznego </w:t>
            </w:r>
            <w:r w:rsidR="00E32EAA">
              <w:rPr>
                <w:rFonts w:ascii="Times New Roman" w:hAnsi="Times New Roman"/>
                <w:b/>
                <w:bCs/>
                <w:color w:val="000000"/>
              </w:rPr>
              <w:t>p</w:t>
            </w:r>
            <w:r>
              <w:rPr>
                <w:rFonts w:ascii="Times New Roman" w:hAnsi="Times New Roman"/>
                <w:b/>
                <w:bCs/>
                <w:color w:val="000000"/>
              </w:rPr>
              <w:t xml:space="preserve">rzekształcania </w:t>
            </w:r>
            <w:r w:rsidR="00E32EAA">
              <w:rPr>
                <w:rFonts w:ascii="Times New Roman" w:hAnsi="Times New Roman"/>
                <w:b/>
                <w:bCs/>
                <w:color w:val="000000"/>
              </w:rPr>
              <w:t>o</w:t>
            </w:r>
            <w:r>
              <w:rPr>
                <w:rFonts w:ascii="Times New Roman" w:hAnsi="Times New Roman"/>
                <w:b/>
                <w:bCs/>
                <w:color w:val="000000"/>
              </w:rPr>
              <w:t>dpadów</w:t>
            </w:r>
          </w:p>
          <w:p w14:paraId="40CD82DD" w14:textId="2ABFCB4B" w:rsidR="0054517B" w:rsidRPr="00FE7519" w:rsidRDefault="0054517B"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Określona w Wytycznych CEEAG pomoc publiczna na produkcję energii z odpadów</w:t>
            </w:r>
            <w:r w:rsidR="00203A1E" w:rsidRPr="00FE7519">
              <w:rPr>
                <w:rFonts w:ascii="Times New Roman" w:hAnsi="Times New Roman"/>
                <w:color w:val="000000"/>
                <w:spacing w:val="-2"/>
              </w:rPr>
              <w:t xml:space="preserve">, zgodnie z </w:t>
            </w:r>
            <w:r w:rsidR="006B6F18" w:rsidRPr="00FE7519">
              <w:rPr>
                <w:rFonts w:ascii="Times New Roman" w:hAnsi="Times New Roman"/>
                <w:color w:val="000000"/>
                <w:spacing w:val="-2"/>
              </w:rPr>
              <w:t>pkt</w:t>
            </w:r>
            <w:r w:rsidR="002F538E">
              <w:rPr>
                <w:rFonts w:ascii="Times New Roman" w:hAnsi="Times New Roman"/>
                <w:color w:val="000000"/>
                <w:spacing w:val="-2"/>
              </w:rPr>
              <w:t>.</w:t>
            </w:r>
            <w:r w:rsidR="00203A1E" w:rsidRPr="00FE7519">
              <w:rPr>
                <w:rFonts w:ascii="Times New Roman" w:hAnsi="Times New Roman"/>
                <w:color w:val="000000"/>
                <w:spacing w:val="-2"/>
              </w:rPr>
              <w:t xml:space="preserve"> 86</w:t>
            </w:r>
            <w:r w:rsidR="00FA778A" w:rsidRPr="00FE7519">
              <w:rPr>
                <w:rFonts w:ascii="Times New Roman" w:hAnsi="Times New Roman"/>
                <w:color w:val="000000"/>
                <w:spacing w:val="-2"/>
              </w:rPr>
              <w:t xml:space="preserve"> CEEAG</w:t>
            </w:r>
            <w:r w:rsidR="00203A1E" w:rsidRPr="00FE7519">
              <w:rPr>
                <w:rFonts w:ascii="Times New Roman" w:hAnsi="Times New Roman"/>
                <w:color w:val="000000"/>
                <w:spacing w:val="-2"/>
              </w:rPr>
              <w:t>,</w:t>
            </w:r>
            <w:r w:rsidRPr="00FE7519">
              <w:rPr>
                <w:rFonts w:ascii="Times New Roman" w:hAnsi="Times New Roman"/>
                <w:color w:val="000000"/>
                <w:spacing w:val="-2"/>
              </w:rPr>
              <w:t xml:space="preserve"> może być uznana za zgodną </w:t>
            </w:r>
            <w:r w:rsidR="00731C62" w:rsidRPr="00731C62">
              <w:rPr>
                <w:rFonts w:ascii="Times New Roman" w:hAnsi="Times New Roman"/>
                <w:color w:val="000000"/>
                <w:spacing w:val="-2"/>
              </w:rPr>
              <w:t xml:space="preserve">z wytycznymi CEEAG </w:t>
            </w:r>
            <w:r w:rsidRPr="00FE7519">
              <w:rPr>
                <w:rFonts w:ascii="Times New Roman" w:hAnsi="Times New Roman"/>
                <w:color w:val="000000"/>
                <w:spacing w:val="-2"/>
              </w:rPr>
              <w:t>w zakresie pomocy państwa na ochronę klimatu, środowiska, w zakresie, w jakim jest ona ograniczona do odpadów wykorzystywanych do zasilania instalacji wchodzących w zakres definicji wysokosprawnej kogeneracji. Biorąc powyższe pod uwagę</w:t>
            </w:r>
            <w:r w:rsidR="00E32EAA" w:rsidRPr="00FE7519">
              <w:rPr>
                <w:rFonts w:ascii="Times New Roman" w:hAnsi="Times New Roman"/>
                <w:color w:val="000000"/>
                <w:spacing w:val="-2"/>
              </w:rPr>
              <w:t>,</w:t>
            </w:r>
            <w:r w:rsidRPr="00FE7519">
              <w:rPr>
                <w:rFonts w:ascii="Times New Roman" w:hAnsi="Times New Roman"/>
                <w:color w:val="000000"/>
                <w:spacing w:val="-2"/>
              </w:rPr>
              <w:t xml:space="preserve"> </w:t>
            </w:r>
            <w:r w:rsidR="00EF784E" w:rsidRPr="00FE7519">
              <w:rPr>
                <w:rFonts w:ascii="Times New Roman" w:hAnsi="Times New Roman"/>
                <w:color w:val="000000"/>
                <w:spacing w:val="-2"/>
              </w:rPr>
              <w:t>należy wprowadzić</w:t>
            </w:r>
            <w:r w:rsidRPr="00FE7519">
              <w:rPr>
                <w:rFonts w:ascii="Times New Roman" w:hAnsi="Times New Roman"/>
                <w:color w:val="000000"/>
                <w:spacing w:val="-2"/>
              </w:rPr>
              <w:t xml:space="preserve"> przepisy przyznające pomoc publiczną tylko instalacjom termicznego przekształcania odpadów (ITPO), które </w:t>
            </w:r>
            <w:r w:rsidR="00E32EAA" w:rsidRPr="00FE7519">
              <w:rPr>
                <w:rFonts w:ascii="Times New Roman" w:hAnsi="Times New Roman"/>
                <w:color w:val="000000"/>
                <w:spacing w:val="-2"/>
              </w:rPr>
              <w:t>wytwarzają energię elektryczną w wysokosprawnej kogeneracji.</w:t>
            </w:r>
            <w:r w:rsidR="00731C62">
              <w:rPr>
                <w:rFonts w:ascii="Times New Roman" w:hAnsi="Times New Roman"/>
                <w:color w:val="000000"/>
                <w:spacing w:val="-2"/>
              </w:rPr>
              <w:t xml:space="preserve"> </w:t>
            </w:r>
          </w:p>
          <w:p w14:paraId="0B8C4F66" w14:textId="77777777" w:rsidR="001943E9" w:rsidRPr="00DD096A" w:rsidRDefault="001943E9" w:rsidP="00E423B5">
            <w:pPr>
              <w:spacing w:before="120" w:after="120"/>
              <w:jc w:val="both"/>
              <w:rPr>
                <w:rFonts w:ascii="Times New Roman" w:hAnsi="Times New Roman"/>
              </w:rPr>
            </w:pPr>
            <w:r w:rsidRPr="00DD096A">
              <w:rPr>
                <w:rFonts w:ascii="Times New Roman" w:hAnsi="Times New Roman"/>
                <w:b/>
                <w:bCs/>
                <w:color w:val="000000"/>
                <w:spacing w:val="-2"/>
              </w:rPr>
              <w:t>W</w:t>
            </w:r>
            <w:r w:rsidRPr="00DD096A">
              <w:rPr>
                <w:rFonts w:ascii="Times New Roman" w:hAnsi="Times New Roman"/>
                <w:b/>
                <w:bCs/>
              </w:rPr>
              <w:t>yłączenie wsparcia kogeneracji opartej na paliwach węglowych</w:t>
            </w:r>
          </w:p>
          <w:p w14:paraId="43080EEC" w14:textId="1AE6BEC9" w:rsidR="001943E9" w:rsidRPr="00FE7519" w:rsidRDefault="001943E9" w:rsidP="00FE7519">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Konieczność wyłączenia możliwości udzielania pomocy publicznej na infrastrukturę wytwórczą zasilaną paliwami węglowymi w sektorze ciepłownictwa systemowego wynika</w:t>
            </w:r>
            <w:r w:rsidR="006C798F" w:rsidRPr="00FE7519">
              <w:rPr>
                <w:rFonts w:ascii="Times New Roman" w:hAnsi="Times New Roman"/>
                <w:color w:val="000000"/>
                <w:spacing w:val="-2"/>
              </w:rPr>
              <w:t xml:space="preserve"> </w:t>
            </w:r>
            <w:r w:rsidRPr="00FE7519">
              <w:rPr>
                <w:rFonts w:ascii="Times New Roman" w:hAnsi="Times New Roman"/>
                <w:color w:val="000000"/>
                <w:spacing w:val="-2"/>
              </w:rPr>
              <w:t xml:space="preserve">z </w:t>
            </w:r>
            <w:r w:rsidR="006B6F18" w:rsidRPr="00FE7519">
              <w:rPr>
                <w:rFonts w:ascii="Times New Roman" w:hAnsi="Times New Roman"/>
                <w:color w:val="000000"/>
                <w:spacing w:val="-2"/>
              </w:rPr>
              <w:t>pkt</w:t>
            </w:r>
            <w:r w:rsidR="002F538E">
              <w:rPr>
                <w:rFonts w:ascii="Times New Roman" w:hAnsi="Times New Roman"/>
                <w:color w:val="000000"/>
                <w:spacing w:val="-2"/>
              </w:rPr>
              <w:t>.</w:t>
            </w:r>
            <w:r w:rsidRPr="00FE7519">
              <w:rPr>
                <w:rFonts w:ascii="Times New Roman" w:hAnsi="Times New Roman"/>
                <w:color w:val="000000"/>
                <w:spacing w:val="-2"/>
              </w:rPr>
              <w:t xml:space="preserve"> 396 CEEAG. Należy również wskazać, że od momentu uzyskania pozytywnej decyzji KE w sprawie przedmiotowego mechanizmu wsparcia (tj. </w:t>
            </w:r>
            <w:r w:rsidR="00E32EAA" w:rsidRPr="00FE7519">
              <w:rPr>
                <w:rFonts w:ascii="Times New Roman" w:hAnsi="Times New Roman"/>
                <w:color w:val="000000"/>
                <w:spacing w:val="-2"/>
              </w:rPr>
              <w:t xml:space="preserve">od dnia </w:t>
            </w:r>
            <w:r w:rsidRPr="00FE7519">
              <w:rPr>
                <w:rFonts w:ascii="Times New Roman" w:hAnsi="Times New Roman"/>
                <w:color w:val="000000"/>
                <w:spacing w:val="-2"/>
              </w:rPr>
              <w:t>15 kwietnia 2019 r.), aukcji na premię kogeneracyjną oraz naboru na premię kogeneracyjną indywidualną nie wygrała żadna jednostka opalana paliwami węglowymi.</w:t>
            </w:r>
          </w:p>
          <w:p w14:paraId="1D2AEB3B" w14:textId="5283A1C5" w:rsidR="009A01B3" w:rsidRPr="007138BB" w:rsidRDefault="009A01B3" w:rsidP="00E423B5">
            <w:pPr>
              <w:spacing w:before="120" w:after="120"/>
              <w:jc w:val="both"/>
              <w:rPr>
                <w:rFonts w:ascii="Times New Roman" w:hAnsi="Times New Roman"/>
                <w:b/>
                <w:bCs/>
                <w:color w:val="000000"/>
                <w:u w:val="single"/>
              </w:rPr>
            </w:pPr>
            <w:r>
              <w:rPr>
                <w:rFonts w:ascii="Times New Roman" w:hAnsi="Times New Roman"/>
                <w:b/>
                <w:bCs/>
                <w:color w:val="000000"/>
                <w:u w:val="single"/>
              </w:rPr>
              <w:t>II</w:t>
            </w:r>
            <w:r w:rsidRPr="007138BB">
              <w:rPr>
                <w:rFonts w:ascii="Times New Roman" w:hAnsi="Times New Roman"/>
                <w:b/>
                <w:bCs/>
                <w:color w:val="000000"/>
                <w:u w:val="single"/>
              </w:rPr>
              <w:t xml:space="preserve">. </w:t>
            </w:r>
            <w:r w:rsidR="009B08ED">
              <w:rPr>
                <w:rFonts w:ascii="Times New Roman" w:hAnsi="Times New Roman"/>
                <w:b/>
                <w:bCs/>
                <w:color w:val="000000"/>
                <w:u w:val="single"/>
              </w:rPr>
              <w:t xml:space="preserve">Dostosowanie przepisów krajowych do rozporządzenia </w:t>
            </w:r>
            <w:r w:rsidRPr="007138BB">
              <w:rPr>
                <w:rFonts w:ascii="Times New Roman" w:hAnsi="Times New Roman"/>
                <w:b/>
                <w:bCs/>
                <w:color w:val="000000"/>
                <w:u w:val="single"/>
              </w:rPr>
              <w:t>GBER</w:t>
            </w:r>
            <w:r w:rsidR="00DC4BA3">
              <w:rPr>
                <w:rFonts w:ascii="Times New Roman" w:hAnsi="Times New Roman"/>
                <w:b/>
                <w:bCs/>
                <w:color w:val="000000"/>
                <w:u w:val="single"/>
              </w:rPr>
              <w:t xml:space="preserve"> i rozporządzenia rynkowego</w:t>
            </w:r>
          </w:p>
          <w:p w14:paraId="128EEABD" w14:textId="01686645" w:rsidR="009A01B3" w:rsidRPr="00FE7519" w:rsidRDefault="009A01B3"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Od dnia 1 stycznia 2024 r. obowiązuj</w:t>
            </w:r>
            <w:r w:rsidR="00730498" w:rsidRPr="00FE7519">
              <w:rPr>
                <w:rFonts w:ascii="Times New Roman" w:hAnsi="Times New Roman"/>
                <w:color w:val="000000"/>
                <w:spacing w:val="-2"/>
              </w:rPr>
              <w:t xml:space="preserve">ą zmiany w </w:t>
            </w:r>
            <w:r w:rsidR="00E32EAA" w:rsidRPr="00FE7519">
              <w:rPr>
                <w:rFonts w:ascii="Times New Roman" w:hAnsi="Times New Roman"/>
                <w:color w:val="000000"/>
                <w:spacing w:val="-2"/>
              </w:rPr>
              <w:t>r</w:t>
            </w:r>
            <w:r w:rsidRPr="00FE7519">
              <w:rPr>
                <w:rFonts w:ascii="Times New Roman" w:hAnsi="Times New Roman"/>
                <w:color w:val="000000"/>
                <w:spacing w:val="-2"/>
              </w:rPr>
              <w:t>ozporządzeni</w:t>
            </w:r>
            <w:r w:rsidR="00730498" w:rsidRPr="00FE7519">
              <w:rPr>
                <w:rFonts w:ascii="Times New Roman" w:hAnsi="Times New Roman"/>
                <w:color w:val="000000"/>
                <w:spacing w:val="-2"/>
              </w:rPr>
              <w:t>u</w:t>
            </w:r>
            <w:r w:rsidR="004C067E" w:rsidRPr="00FE7519">
              <w:rPr>
                <w:rFonts w:ascii="Times New Roman" w:hAnsi="Times New Roman"/>
                <w:color w:val="000000"/>
                <w:spacing w:val="-2"/>
              </w:rPr>
              <w:t xml:space="preserve"> GBER</w:t>
            </w:r>
            <w:r w:rsidR="00730498" w:rsidRPr="00FE7519">
              <w:rPr>
                <w:rFonts w:ascii="Times New Roman" w:hAnsi="Times New Roman"/>
                <w:color w:val="000000"/>
                <w:spacing w:val="-2"/>
              </w:rPr>
              <w:t xml:space="preserve"> wprowadzone rozporządzeniem 2023/1315</w:t>
            </w:r>
            <w:r w:rsidR="00232082" w:rsidRPr="00FE7519">
              <w:rPr>
                <w:rFonts w:ascii="Times New Roman" w:hAnsi="Times New Roman"/>
                <w:color w:val="000000"/>
                <w:spacing w:val="-2"/>
              </w:rPr>
              <w:t xml:space="preserve">, które </w:t>
            </w:r>
            <w:r w:rsidRPr="00FE7519">
              <w:rPr>
                <w:rFonts w:ascii="Times New Roman" w:hAnsi="Times New Roman"/>
                <w:color w:val="000000"/>
                <w:spacing w:val="-2"/>
              </w:rPr>
              <w:t>zmieni</w:t>
            </w:r>
            <w:r w:rsidR="00232082" w:rsidRPr="00FE7519">
              <w:rPr>
                <w:rFonts w:ascii="Times New Roman" w:hAnsi="Times New Roman"/>
                <w:color w:val="000000"/>
                <w:spacing w:val="-2"/>
              </w:rPr>
              <w:t>ło</w:t>
            </w:r>
            <w:r w:rsidRPr="00FE7519">
              <w:rPr>
                <w:rFonts w:ascii="Times New Roman" w:hAnsi="Times New Roman"/>
                <w:color w:val="000000"/>
                <w:spacing w:val="-2"/>
              </w:rPr>
              <w:t xml:space="preserve"> zasady udzielania pomocy operacyjnej na propagowanie energii ze źródeł odnawialnych w małych projektach </w:t>
            </w:r>
            <w:r w:rsidR="00203A1E" w:rsidRPr="00FE7519">
              <w:rPr>
                <w:rFonts w:ascii="Times New Roman" w:hAnsi="Times New Roman"/>
                <w:color w:val="000000"/>
                <w:spacing w:val="-2"/>
              </w:rPr>
              <w:t>OZE</w:t>
            </w:r>
            <w:r w:rsidRPr="00FE7519">
              <w:rPr>
                <w:rFonts w:ascii="Times New Roman" w:hAnsi="Times New Roman"/>
                <w:color w:val="000000"/>
                <w:spacing w:val="-2"/>
              </w:rPr>
              <w:t>.</w:t>
            </w:r>
          </w:p>
          <w:p w14:paraId="0FCFFFE6" w14:textId="18F6DBC2" w:rsidR="009A01B3" w:rsidRPr="00FE7519" w:rsidRDefault="009A01B3"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Jednocześnie</w:t>
            </w:r>
            <w:r w:rsidR="00203A1E" w:rsidRPr="00FE7519">
              <w:rPr>
                <w:rFonts w:ascii="Times New Roman" w:hAnsi="Times New Roman"/>
                <w:color w:val="000000"/>
                <w:spacing w:val="-2"/>
              </w:rPr>
              <w:t>,</w:t>
            </w:r>
            <w:r w:rsidRPr="00FE7519">
              <w:rPr>
                <w:rFonts w:ascii="Times New Roman" w:hAnsi="Times New Roman"/>
                <w:color w:val="000000"/>
                <w:spacing w:val="-2"/>
              </w:rPr>
              <w:t xml:space="preserve"> zgodnie z art. 58 ust. </w:t>
            </w:r>
            <w:r w:rsidR="00D31B31" w:rsidRPr="00FE7519">
              <w:rPr>
                <w:rFonts w:ascii="Times New Roman" w:hAnsi="Times New Roman"/>
                <w:color w:val="000000"/>
                <w:spacing w:val="-2"/>
              </w:rPr>
              <w:t xml:space="preserve">4 </w:t>
            </w:r>
            <w:r w:rsidRPr="00FE7519">
              <w:rPr>
                <w:rFonts w:ascii="Times New Roman" w:hAnsi="Times New Roman"/>
                <w:color w:val="000000"/>
                <w:spacing w:val="-2"/>
              </w:rPr>
              <w:t xml:space="preserve">rozporządzenia </w:t>
            </w:r>
            <w:r w:rsidR="00D31B31" w:rsidRPr="00FE7519">
              <w:rPr>
                <w:rFonts w:ascii="Times New Roman" w:hAnsi="Times New Roman"/>
                <w:color w:val="000000"/>
                <w:spacing w:val="-2"/>
              </w:rPr>
              <w:t>Komisji (UE) nr 651/2014 z dnia 17 czerwca 2014 r. uznającym niektóre rodzaje pomocy za zgodne z rynkiem wewnętrznym w zastosowaniu art. 107 i 108 Traktatu (Dz.U. L 187 z 26.6.2014, str. 1</w:t>
            </w:r>
            <w:r w:rsidR="00F72029" w:rsidRPr="00FE7519">
              <w:rPr>
                <w:rFonts w:ascii="Times New Roman" w:hAnsi="Times New Roman"/>
                <w:color w:val="000000"/>
                <w:spacing w:val="-2"/>
              </w:rPr>
              <w:t>–</w:t>
            </w:r>
            <w:r w:rsidR="00D31B31" w:rsidRPr="00FE7519">
              <w:rPr>
                <w:rFonts w:ascii="Times New Roman" w:hAnsi="Times New Roman"/>
                <w:color w:val="000000"/>
                <w:spacing w:val="-2"/>
              </w:rPr>
              <w:t>78)</w:t>
            </w:r>
            <w:r w:rsidRPr="00FE7519">
              <w:rPr>
                <w:rFonts w:ascii="Times New Roman" w:hAnsi="Times New Roman"/>
                <w:color w:val="000000"/>
                <w:spacing w:val="-2"/>
              </w:rPr>
              <w:t>, w przypadku zmian tego rozporządzenia wszelkie programy pomocy wyłączone z obowiązku zgłoszenia na jego mocy w dniu wejścia w życie danego programu</w:t>
            </w:r>
            <w:r w:rsidR="00D61294">
              <w:rPr>
                <w:rFonts w:ascii="Times New Roman" w:hAnsi="Times New Roman"/>
                <w:color w:val="000000"/>
                <w:spacing w:val="-2"/>
              </w:rPr>
              <w:t>, po zmianach</w:t>
            </w:r>
            <w:r w:rsidRPr="00FE7519">
              <w:rPr>
                <w:rFonts w:ascii="Times New Roman" w:hAnsi="Times New Roman"/>
                <w:color w:val="000000"/>
                <w:spacing w:val="-2"/>
              </w:rPr>
              <w:t xml:space="preserve"> pozostają wyłączone z tego obowiązku przez 6-miesięczny okres dostosowawczy. Niezbędne staje się zatem zmodyfikowanie krajowych podstaw prawnych, na podstawie których ma miejsce udzielanie pomocy publicznej na warunkach określonych w rozporządzeniu </w:t>
            </w:r>
            <w:r w:rsidR="00232082" w:rsidRPr="00FE7519">
              <w:rPr>
                <w:rFonts w:ascii="Times New Roman" w:hAnsi="Times New Roman"/>
                <w:color w:val="000000"/>
                <w:spacing w:val="-2"/>
              </w:rPr>
              <w:t>GBER zmienionym rozporządzeniem 2023/1315</w:t>
            </w:r>
            <w:r w:rsidR="001435AE" w:rsidRPr="00FE7519">
              <w:rPr>
                <w:rFonts w:ascii="Times New Roman" w:hAnsi="Times New Roman"/>
                <w:color w:val="000000"/>
                <w:spacing w:val="-2"/>
              </w:rPr>
              <w:t>.</w:t>
            </w:r>
          </w:p>
          <w:p w14:paraId="3998C69D" w14:textId="6BEC18EE" w:rsidR="009A01B3" w:rsidRPr="00FE7519" w:rsidRDefault="009A01B3"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W szczególności zaś niezbędne jest dostosowanie </w:t>
            </w:r>
            <w:r w:rsidR="00232082" w:rsidRPr="00FE7519">
              <w:rPr>
                <w:rFonts w:ascii="Times New Roman" w:hAnsi="Times New Roman"/>
                <w:color w:val="000000"/>
                <w:spacing w:val="-2"/>
              </w:rPr>
              <w:t xml:space="preserve">do GBER </w:t>
            </w:r>
            <w:r w:rsidRPr="00FE7519">
              <w:rPr>
                <w:rFonts w:ascii="Times New Roman" w:hAnsi="Times New Roman"/>
                <w:color w:val="000000"/>
                <w:spacing w:val="-2"/>
              </w:rPr>
              <w:t xml:space="preserve">programu wsparcia FiT/FiP (tj. </w:t>
            </w:r>
            <w:r w:rsidR="00232082" w:rsidRPr="00FE7519">
              <w:rPr>
                <w:rFonts w:ascii="Times New Roman" w:hAnsi="Times New Roman"/>
                <w:color w:val="000000"/>
                <w:spacing w:val="-2"/>
              </w:rPr>
              <w:t xml:space="preserve">systemu </w:t>
            </w:r>
            <w:r w:rsidR="00E32EAA" w:rsidRPr="00FE7519">
              <w:rPr>
                <w:rFonts w:ascii="Times New Roman" w:hAnsi="Times New Roman"/>
                <w:color w:val="000000"/>
                <w:spacing w:val="-2"/>
              </w:rPr>
              <w:t xml:space="preserve">taryf </w:t>
            </w:r>
            <w:r w:rsidR="001435AE" w:rsidRPr="00FE7519">
              <w:rPr>
                <w:rFonts w:ascii="Times New Roman" w:hAnsi="Times New Roman"/>
                <w:color w:val="000000"/>
                <w:spacing w:val="-2"/>
              </w:rPr>
              <w:t xml:space="preserve">gwarantowanych </w:t>
            </w:r>
            <w:r w:rsidR="00E32EAA" w:rsidRPr="00FE7519">
              <w:rPr>
                <w:rFonts w:ascii="Times New Roman" w:hAnsi="Times New Roman"/>
                <w:color w:val="000000"/>
                <w:spacing w:val="-2"/>
              </w:rPr>
              <w:t>i dopłat do ceny rynkowej</w:t>
            </w:r>
            <w:r w:rsidRPr="00FE7519">
              <w:rPr>
                <w:rFonts w:ascii="Times New Roman" w:hAnsi="Times New Roman"/>
                <w:color w:val="000000"/>
                <w:spacing w:val="-2"/>
              </w:rPr>
              <w:t xml:space="preserve">) w obszarze zastosowania progu określonego w art. 5 ust. 2 lit. b lub art. 5 ust. 4 </w:t>
            </w:r>
            <w:r w:rsidR="008116AE" w:rsidRPr="00FE7519">
              <w:rPr>
                <w:rFonts w:ascii="Times New Roman" w:hAnsi="Times New Roman"/>
                <w:color w:val="000000"/>
                <w:spacing w:val="-2"/>
              </w:rPr>
              <w:t xml:space="preserve">rozporządzenia </w:t>
            </w:r>
            <w:r w:rsidR="00DC4BA3">
              <w:rPr>
                <w:rFonts w:ascii="Times New Roman" w:hAnsi="Times New Roman"/>
                <w:color w:val="000000"/>
                <w:spacing w:val="-2"/>
              </w:rPr>
              <w:t>rynkowego</w:t>
            </w:r>
            <w:r w:rsidRPr="00FE7519">
              <w:rPr>
                <w:rFonts w:ascii="Times New Roman" w:hAnsi="Times New Roman"/>
                <w:color w:val="000000"/>
                <w:spacing w:val="-2"/>
              </w:rPr>
              <w:t>, tj.</w:t>
            </w:r>
            <w:r w:rsidR="00232082" w:rsidRPr="00FE7519">
              <w:rPr>
                <w:rFonts w:ascii="Times New Roman" w:hAnsi="Times New Roman"/>
                <w:color w:val="000000"/>
                <w:spacing w:val="-2"/>
              </w:rPr>
              <w:t xml:space="preserve"> w odniesieniu do instalacji służących do wytwarzania energii</w:t>
            </w:r>
            <w:r w:rsidRPr="00FE7519">
              <w:rPr>
                <w:rFonts w:ascii="Times New Roman" w:hAnsi="Times New Roman"/>
                <w:color w:val="000000"/>
                <w:spacing w:val="-2"/>
              </w:rPr>
              <w:t xml:space="preserve"> </w:t>
            </w:r>
            <w:r w:rsidR="002C7855" w:rsidRPr="00FE7519">
              <w:rPr>
                <w:rFonts w:ascii="Times New Roman" w:hAnsi="Times New Roman"/>
                <w:color w:val="000000"/>
                <w:spacing w:val="-2"/>
              </w:rPr>
              <w:t>o mocy zainstalowanej elektrycznej nie większej niż</w:t>
            </w:r>
            <w:r w:rsidRPr="00FE7519">
              <w:rPr>
                <w:rFonts w:ascii="Times New Roman" w:hAnsi="Times New Roman"/>
                <w:color w:val="000000"/>
                <w:spacing w:val="-2"/>
              </w:rPr>
              <w:t xml:space="preserve"> 400 kW</w:t>
            </w:r>
            <w:r w:rsidR="00232082" w:rsidRPr="00FE7519">
              <w:rPr>
                <w:rFonts w:ascii="Times New Roman" w:hAnsi="Times New Roman"/>
                <w:color w:val="000000"/>
                <w:spacing w:val="-2"/>
              </w:rPr>
              <w:t xml:space="preserve">, </w:t>
            </w:r>
            <w:r w:rsidR="00A33435" w:rsidRPr="00FE7519">
              <w:rPr>
                <w:rFonts w:ascii="Times New Roman" w:hAnsi="Times New Roman"/>
                <w:color w:val="000000"/>
                <w:spacing w:val="-2"/>
              </w:rPr>
              <w:t xml:space="preserve">a od </w:t>
            </w:r>
            <w:r w:rsidR="00092533" w:rsidRPr="00FE7519">
              <w:rPr>
                <w:rFonts w:ascii="Times New Roman" w:hAnsi="Times New Roman"/>
                <w:color w:val="000000"/>
                <w:spacing w:val="-2"/>
              </w:rPr>
              <w:t xml:space="preserve">dnia </w:t>
            </w:r>
            <w:r w:rsidR="00A33435" w:rsidRPr="00FE7519">
              <w:rPr>
                <w:rFonts w:ascii="Times New Roman" w:hAnsi="Times New Roman"/>
                <w:color w:val="000000"/>
                <w:spacing w:val="-2"/>
              </w:rPr>
              <w:t>1 stycznia 2026 r. nie większej niż 200 kW</w:t>
            </w:r>
            <w:r w:rsidR="00D61294">
              <w:rPr>
                <w:rFonts w:ascii="Times New Roman" w:hAnsi="Times New Roman"/>
                <w:color w:val="000000"/>
                <w:spacing w:val="-2"/>
              </w:rPr>
              <w:t>,</w:t>
            </w:r>
            <w:r w:rsidR="00A33435" w:rsidRPr="00FE7519">
              <w:rPr>
                <w:rFonts w:ascii="Times New Roman" w:hAnsi="Times New Roman"/>
                <w:color w:val="000000"/>
                <w:spacing w:val="-2"/>
              </w:rPr>
              <w:t xml:space="preserve"> </w:t>
            </w:r>
            <w:r w:rsidR="00232082" w:rsidRPr="00FE7519">
              <w:rPr>
                <w:rFonts w:ascii="Times New Roman" w:hAnsi="Times New Roman"/>
                <w:color w:val="000000"/>
                <w:spacing w:val="-2"/>
              </w:rPr>
              <w:t xml:space="preserve">ponieważ zgodnie z ww. rozporządzeniem </w:t>
            </w:r>
            <w:r w:rsidRPr="00FE7519">
              <w:rPr>
                <w:rFonts w:ascii="Times New Roman" w:hAnsi="Times New Roman"/>
                <w:color w:val="000000"/>
                <w:spacing w:val="-2"/>
              </w:rPr>
              <w:t xml:space="preserve">tylko </w:t>
            </w:r>
            <w:r w:rsidR="00232082" w:rsidRPr="00FE7519">
              <w:rPr>
                <w:rFonts w:ascii="Times New Roman" w:hAnsi="Times New Roman"/>
                <w:color w:val="000000"/>
                <w:spacing w:val="-2"/>
              </w:rPr>
              <w:t xml:space="preserve">te </w:t>
            </w:r>
            <w:r w:rsidRPr="00FE7519">
              <w:rPr>
                <w:rFonts w:ascii="Times New Roman" w:hAnsi="Times New Roman"/>
                <w:color w:val="000000"/>
                <w:spacing w:val="-2"/>
              </w:rPr>
              <w:t xml:space="preserve">instalacje </w:t>
            </w:r>
            <w:r w:rsidR="00232082" w:rsidRPr="00FE7519">
              <w:rPr>
                <w:rFonts w:ascii="Times New Roman" w:hAnsi="Times New Roman"/>
                <w:color w:val="000000"/>
                <w:spacing w:val="-2"/>
              </w:rPr>
              <w:t xml:space="preserve">mogą </w:t>
            </w:r>
            <w:r w:rsidRPr="00FE7519">
              <w:rPr>
                <w:rFonts w:ascii="Times New Roman" w:hAnsi="Times New Roman"/>
                <w:color w:val="000000"/>
                <w:spacing w:val="-2"/>
              </w:rPr>
              <w:t>uzyskiwać prawo do gwarantowanego odbioru energii przez sprzedawcę zobowiązanego oraz być zwolnione z obciążeń w zakresie bilansowania handlowego.</w:t>
            </w:r>
          </w:p>
          <w:p w14:paraId="1C2393EF" w14:textId="1166ABFF" w:rsidR="00D4321B" w:rsidRPr="00FE7519" w:rsidRDefault="009A01B3"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Brak uregulowania w powyższym zakresie, tj. </w:t>
            </w:r>
            <w:r w:rsidR="00D61294" w:rsidRPr="00FE7519">
              <w:rPr>
                <w:rFonts w:ascii="Times New Roman" w:hAnsi="Times New Roman"/>
                <w:color w:val="000000"/>
                <w:spacing w:val="-2"/>
              </w:rPr>
              <w:t>kontynuowani</w:t>
            </w:r>
            <w:r w:rsidR="00D61294">
              <w:rPr>
                <w:rFonts w:ascii="Times New Roman" w:hAnsi="Times New Roman"/>
                <w:color w:val="000000"/>
                <w:spacing w:val="-2"/>
              </w:rPr>
              <w:t>e</w:t>
            </w:r>
            <w:r w:rsidR="00D61294" w:rsidRPr="00FE7519">
              <w:rPr>
                <w:rFonts w:ascii="Times New Roman" w:hAnsi="Times New Roman"/>
                <w:color w:val="000000"/>
                <w:spacing w:val="-2"/>
              </w:rPr>
              <w:t xml:space="preserve"> </w:t>
            </w:r>
            <w:r w:rsidRPr="00FE7519">
              <w:rPr>
                <w:rFonts w:ascii="Times New Roman" w:hAnsi="Times New Roman"/>
                <w:color w:val="000000"/>
                <w:spacing w:val="-2"/>
              </w:rPr>
              <w:t>przydzielania wsparcia dla instalacji do 500 kW na zasadach dotychczasowych, powoduje ryzyko uznania przez Komisję, że pomoc dla tych instalacji udzielana jest niezgodnie z zasadami rynku wewnętrznego.</w:t>
            </w:r>
          </w:p>
          <w:p w14:paraId="5339F24F" w14:textId="7FF0ED3B" w:rsidR="00723B29" w:rsidRPr="00FE7519" w:rsidRDefault="00723B29"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Ponadto</w:t>
            </w:r>
            <w:r w:rsidR="00232082" w:rsidRPr="00FE7519">
              <w:rPr>
                <w:rFonts w:ascii="Times New Roman" w:hAnsi="Times New Roman"/>
                <w:color w:val="000000"/>
                <w:spacing w:val="-2"/>
              </w:rPr>
              <w:t>,</w:t>
            </w:r>
            <w:r w:rsidRPr="00FE7519">
              <w:rPr>
                <w:rFonts w:ascii="Times New Roman" w:hAnsi="Times New Roman"/>
                <w:color w:val="000000"/>
                <w:spacing w:val="-2"/>
              </w:rPr>
              <w:t xml:space="preserve"> zgodnie z art. 4 ust. 1 </w:t>
            </w:r>
            <w:r w:rsidR="006A476B" w:rsidRPr="00FE7519">
              <w:rPr>
                <w:rFonts w:ascii="Times New Roman" w:hAnsi="Times New Roman"/>
                <w:color w:val="000000"/>
                <w:spacing w:val="-2"/>
              </w:rPr>
              <w:t xml:space="preserve">lit. </w:t>
            </w:r>
            <w:r w:rsidRPr="00FE7519">
              <w:rPr>
                <w:rFonts w:ascii="Times New Roman" w:hAnsi="Times New Roman"/>
                <w:color w:val="000000"/>
                <w:spacing w:val="-2"/>
              </w:rPr>
              <w:t xml:space="preserve">v rozporządzenia </w:t>
            </w:r>
            <w:r w:rsidR="00232082" w:rsidRPr="00FE7519">
              <w:rPr>
                <w:rFonts w:ascii="Times New Roman" w:hAnsi="Times New Roman"/>
                <w:color w:val="000000"/>
                <w:spacing w:val="-2"/>
              </w:rPr>
              <w:t>GBER</w:t>
            </w:r>
            <w:r w:rsidR="006A476B" w:rsidRPr="00FE7519">
              <w:rPr>
                <w:rFonts w:ascii="Times New Roman" w:hAnsi="Times New Roman"/>
                <w:color w:val="000000"/>
                <w:spacing w:val="-2"/>
              </w:rPr>
              <w:t>,</w:t>
            </w:r>
            <w:r w:rsidRPr="00FE7519">
              <w:rPr>
                <w:rFonts w:ascii="Times New Roman" w:hAnsi="Times New Roman"/>
                <w:color w:val="000000"/>
                <w:spacing w:val="-2"/>
              </w:rPr>
              <w:t xml:space="preserve"> pomoc operacyjna na propagowanie energii elektrycznej ze źródeł </w:t>
            </w:r>
            <w:r w:rsidR="00AC268D" w:rsidRPr="00FE7519">
              <w:rPr>
                <w:rFonts w:ascii="Times New Roman" w:hAnsi="Times New Roman"/>
                <w:color w:val="000000"/>
                <w:spacing w:val="-2"/>
              </w:rPr>
              <w:t>odnawialnych (</w:t>
            </w:r>
            <w:r w:rsidRPr="00FE7519">
              <w:rPr>
                <w:rFonts w:ascii="Times New Roman" w:hAnsi="Times New Roman"/>
                <w:color w:val="000000"/>
                <w:spacing w:val="-2"/>
              </w:rPr>
              <w:t xml:space="preserve">art. 42 </w:t>
            </w:r>
            <w:r w:rsidR="00AC268D" w:rsidRPr="00FE7519">
              <w:rPr>
                <w:rFonts w:ascii="Times New Roman" w:hAnsi="Times New Roman"/>
                <w:color w:val="000000"/>
                <w:spacing w:val="-2"/>
              </w:rPr>
              <w:t xml:space="preserve">ww. </w:t>
            </w:r>
            <w:r w:rsidRPr="00FE7519">
              <w:rPr>
                <w:rFonts w:ascii="Times New Roman" w:hAnsi="Times New Roman"/>
                <w:color w:val="000000"/>
                <w:spacing w:val="-2"/>
              </w:rPr>
              <w:t xml:space="preserve">rozporządzenia) oraz pomoc operacyjna na propagowanie energii ze źródeł odnawialnych i wodoru odnawialnego w projektach na małą skalę oraz na społeczności energetyczne działające w zakresie energii </w:t>
            </w:r>
            <w:r w:rsidR="00AC268D" w:rsidRPr="00FE7519">
              <w:rPr>
                <w:rFonts w:ascii="Times New Roman" w:hAnsi="Times New Roman"/>
                <w:color w:val="000000"/>
                <w:spacing w:val="-2"/>
              </w:rPr>
              <w:t>odnawialnej (</w:t>
            </w:r>
            <w:r w:rsidRPr="00FE7519">
              <w:rPr>
                <w:rFonts w:ascii="Times New Roman" w:hAnsi="Times New Roman"/>
                <w:color w:val="000000"/>
                <w:spacing w:val="-2"/>
              </w:rPr>
              <w:t xml:space="preserve">art. 43 </w:t>
            </w:r>
            <w:r w:rsidR="00AC268D" w:rsidRPr="00FE7519">
              <w:rPr>
                <w:rFonts w:ascii="Times New Roman" w:hAnsi="Times New Roman"/>
                <w:color w:val="000000"/>
                <w:spacing w:val="-2"/>
              </w:rPr>
              <w:t xml:space="preserve">ww. </w:t>
            </w:r>
            <w:r w:rsidRPr="00FE7519">
              <w:rPr>
                <w:rFonts w:ascii="Times New Roman" w:hAnsi="Times New Roman"/>
                <w:color w:val="000000"/>
                <w:spacing w:val="-2"/>
              </w:rPr>
              <w:t>rozporządzenia) nie może wynosić więcej niż 30 mln EUR na przedsiębiorstwo na projekt. Ponadto</w:t>
            </w:r>
            <w:r w:rsidR="006A476B" w:rsidRPr="00FE7519">
              <w:rPr>
                <w:rFonts w:ascii="Times New Roman" w:hAnsi="Times New Roman"/>
                <w:color w:val="000000"/>
                <w:spacing w:val="-2"/>
              </w:rPr>
              <w:t>,</w:t>
            </w:r>
            <w:r w:rsidRPr="00FE7519">
              <w:rPr>
                <w:rFonts w:ascii="Times New Roman" w:hAnsi="Times New Roman"/>
                <w:color w:val="000000"/>
                <w:spacing w:val="-2"/>
              </w:rPr>
              <w:t xml:space="preserve"> suma budżetów wszystkich programów objętych art. 42 GBER i suma budżetów wszystkich programów objętych art. 43 GBER nie </w:t>
            </w:r>
            <w:r w:rsidR="00753F46" w:rsidRPr="00FE7519">
              <w:rPr>
                <w:rFonts w:ascii="Times New Roman" w:hAnsi="Times New Roman"/>
                <w:color w:val="000000"/>
                <w:spacing w:val="-2"/>
              </w:rPr>
              <w:t>może</w:t>
            </w:r>
            <w:r w:rsidRPr="00FE7519">
              <w:rPr>
                <w:rFonts w:ascii="Times New Roman" w:hAnsi="Times New Roman"/>
                <w:color w:val="000000"/>
                <w:spacing w:val="-2"/>
              </w:rPr>
              <w:t xml:space="preserve"> przekraczać odpowiednio 300 mln EUR rocznie każda.</w:t>
            </w:r>
          </w:p>
          <w:p w14:paraId="7111AB78" w14:textId="3A5378BE" w:rsidR="00723B29" w:rsidRDefault="00723B29"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Tym samym </w:t>
            </w:r>
            <w:r w:rsidR="00AC268D" w:rsidRPr="00FE7519">
              <w:rPr>
                <w:rFonts w:ascii="Times New Roman" w:hAnsi="Times New Roman"/>
                <w:color w:val="000000"/>
                <w:spacing w:val="-2"/>
              </w:rPr>
              <w:t>konieczne jest</w:t>
            </w:r>
            <w:r w:rsidRPr="00FE7519">
              <w:rPr>
                <w:rFonts w:ascii="Times New Roman" w:hAnsi="Times New Roman"/>
                <w:color w:val="000000"/>
                <w:spacing w:val="-2"/>
              </w:rPr>
              <w:t xml:space="preserve"> stworzeni</w:t>
            </w:r>
            <w:r w:rsidR="00AC268D" w:rsidRPr="00FE7519">
              <w:rPr>
                <w:rFonts w:ascii="Times New Roman" w:hAnsi="Times New Roman"/>
                <w:color w:val="000000"/>
                <w:spacing w:val="-2"/>
              </w:rPr>
              <w:t>e</w:t>
            </w:r>
            <w:r w:rsidRPr="00FE7519">
              <w:rPr>
                <w:rFonts w:ascii="Times New Roman" w:hAnsi="Times New Roman"/>
                <w:color w:val="000000"/>
                <w:spacing w:val="-2"/>
              </w:rPr>
              <w:t xml:space="preserve"> mechanizmu monitoringu progów pomocy operacyjnej udzielanej ww. projektom oraz monitoringu całości przydzielonego wsparcia operacyjnego dla instalacji </w:t>
            </w:r>
            <w:r w:rsidR="00AC268D" w:rsidRPr="00FE7519">
              <w:rPr>
                <w:rFonts w:ascii="Times New Roman" w:hAnsi="Times New Roman"/>
                <w:color w:val="000000"/>
                <w:spacing w:val="-2"/>
              </w:rPr>
              <w:t>OZE</w:t>
            </w:r>
            <w:r w:rsidRPr="00FE7519">
              <w:rPr>
                <w:rFonts w:ascii="Times New Roman" w:hAnsi="Times New Roman"/>
                <w:color w:val="000000"/>
                <w:spacing w:val="-2"/>
              </w:rPr>
              <w:t xml:space="preserve"> i małych instalacji </w:t>
            </w:r>
            <w:r w:rsidR="00AC268D" w:rsidRPr="00FE7519">
              <w:rPr>
                <w:rFonts w:ascii="Times New Roman" w:hAnsi="Times New Roman"/>
                <w:color w:val="000000"/>
                <w:spacing w:val="-2"/>
              </w:rPr>
              <w:t>OZE</w:t>
            </w:r>
            <w:r w:rsidRPr="00FE7519">
              <w:rPr>
                <w:rFonts w:ascii="Times New Roman" w:hAnsi="Times New Roman"/>
                <w:color w:val="000000"/>
                <w:spacing w:val="-2"/>
              </w:rPr>
              <w:t>.</w:t>
            </w:r>
          </w:p>
          <w:p w14:paraId="6EFF65A1" w14:textId="390385B8" w:rsidR="00DC4BA3" w:rsidRPr="00FE7519" w:rsidRDefault="0000510E" w:rsidP="00DC4BA3">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Należy również podkreślić, że </w:t>
            </w:r>
            <w:r w:rsidR="00DC4BA3">
              <w:rPr>
                <w:rFonts w:ascii="Times New Roman" w:hAnsi="Times New Roman"/>
                <w:color w:val="000000"/>
                <w:spacing w:val="-2"/>
              </w:rPr>
              <w:t>rozporządzenie rynkowe w art. 5 wskazuje, iż odpowiedzialne za bilansowanie są instalacje OZE</w:t>
            </w:r>
            <w:r w:rsidR="00DC4BA3" w:rsidRPr="00DC4BA3">
              <w:rPr>
                <w:rFonts w:ascii="Times New Roman" w:hAnsi="Times New Roman"/>
                <w:color w:val="000000"/>
                <w:spacing w:val="-2"/>
              </w:rPr>
              <w:t xml:space="preserve"> o zainstalowanej mocy elektrycznej poniżej 400 kW</w:t>
            </w:r>
            <w:r w:rsidR="00DC4BA3">
              <w:rPr>
                <w:rFonts w:ascii="Times New Roman" w:hAnsi="Times New Roman"/>
                <w:color w:val="000000"/>
                <w:spacing w:val="-2"/>
              </w:rPr>
              <w:t>, a w</w:t>
            </w:r>
            <w:r w:rsidR="00DC4BA3" w:rsidRPr="00DC4BA3">
              <w:rPr>
                <w:rFonts w:ascii="Times New Roman" w:hAnsi="Times New Roman"/>
                <w:color w:val="000000"/>
                <w:spacing w:val="-2"/>
              </w:rPr>
              <w:t xml:space="preserve"> przypadku </w:t>
            </w:r>
            <w:r w:rsidR="00DC4BA3">
              <w:rPr>
                <w:rFonts w:ascii="Times New Roman" w:hAnsi="Times New Roman"/>
                <w:color w:val="000000"/>
                <w:spacing w:val="-2"/>
              </w:rPr>
              <w:t>instalacji OZE</w:t>
            </w:r>
            <w:r w:rsidR="00DC4BA3" w:rsidRPr="00DC4BA3">
              <w:rPr>
                <w:rFonts w:ascii="Times New Roman" w:hAnsi="Times New Roman"/>
                <w:color w:val="000000"/>
                <w:spacing w:val="-2"/>
              </w:rPr>
              <w:t xml:space="preserve"> uruchamianych od dnia 1 stycznia 2026 r. o zainstalowanej mocy elektrycznej poniżej 200 kW</w:t>
            </w:r>
            <w:r>
              <w:rPr>
                <w:rFonts w:ascii="Times New Roman" w:hAnsi="Times New Roman"/>
                <w:color w:val="000000"/>
                <w:spacing w:val="-2"/>
              </w:rPr>
              <w:t xml:space="preserve">. Wymaga więc to zmian w szerszym zakresie niż wyłącznie w systemach wsparcia zgłoszonych Komisji w oparciu o GBER. Tym samym projektodawca zdecydował się na wprowadzenie stosownych zmian również w </w:t>
            </w:r>
            <w:r w:rsidR="00452A76">
              <w:rPr>
                <w:rFonts w:ascii="Times New Roman" w:hAnsi="Times New Roman"/>
                <w:color w:val="000000"/>
                <w:spacing w:val="-2"/>
              </w:rPr>
              <w:t>pozostałych przepisach odnoszących się do odpowiedzialności za bilansowanie i obowiązków sprzedawcy zobowiązanego.</w:t>
            </w:r>
          </w:p>
          <w:p w14:paraId="52BF6F87" w14:textId="1FE7C83F" w:rsidR="00AB180A" w:rsidRPr="00D4321B" w:rsidRDefault="00D4321B" w:rsidP="00E423B5">
            <w:pPr>
              <w:spacing w:before="120" w:after="120" w:line="240" w:lineRule="auto"/>
              <w:jc w:val="both"/>
              <w:rPr>
                <w:rFonts w:ascii="Times New Roman" w:hAnsi="Times New Roman"/>
                <w:b/>
                <w:bCs/>
                <w:color w:val="000000"/>
              </w:rPr>
            </w:pPr>
            <w:r w:rsidRPr="00161DF0">
              <w:rPr>
                <w:rFonts w:ascii="Times New Roman" w:hAnsi="Times New Roman"/>
                <w:b/>
                <w:bCs/>
                <w:color w:val="000000"/>
                <w:u w:val="single"/>
              </w:rPr>
              <w:t>II</w:t>
            </w:r>
            <w:r w:rsidR="009A01B3">
              <w:rPr>
                <w:rFonts w:ascii="Times New Roman" w:hAnsi="Times New Roman"/>
                <w:b/>
                <w:bCs/>
                <w:color w:val="000000"/>
                <w:u w:val="single"/>
              </w:rPr>
              <w:t>I</w:t>
            </w:r>
            <w:r w:rsidRPr="00161DF0">
              <w:rPr>
                <w:rFonts w:ascii="Times New Roman" w:hAnsi="Times New Roman"/>
                <w:b/>
                <w:bCs/>
                <w:color w:val="000000"/>
                <w:u w:val="single"/>
              </w:rPr>
              <w:t xml:space="preserve">. </w:t>
            </w:r>
            <w:r w:rsidR="00B5062A" w:rsidRPr="00161DF0">
              <w:rPr>
                <w:rFonts w:ascii="Times New Roman" w:hAnsi="Times New Roman"/>
                <w:b/>
                <w:bCs/>
                <w:color w:val="000000"/>
                <w:u w:val="single"/>
              </w:rPr>
              <w:t>Przy</w:t>
            </w:r>
            <w:r w:rsidR="00B5062A">
              <w:rPr>
                <w:rFonts w:ascii="Times New Roman" w:hAnsi="Times New Roman"/>
                <w:b/>
                <w:bCs/>
                <w:color w:val="000000"/>
                <w:u w:val="single"/>
              </w:rPr>
              <w:t>s</w:t>
            </w:r>
            <w:r w:rsidR="00B5062A" w:rsidRPr="00161DF0">
              <w:rPr>
                <w:rFonts w:ascii="Times New Roman" w:hAnsi="Times New Roman"/>
                <w:b/>
                <w:bCs/>
                <w:color w:val="000000"/>
                <w:u w:val="single"/>
              </w:rPr>
              <w:t xml:space="preserve">pieszenie </w:t>
            </w:r>
            <w:r w:rsidRPr="00161DF0">
              <w:rPr>
                <w:rFonts w:ascii="Times New Roman" w:hAnsi="Times New Roman"/>
                <w:b/>
                <w:bCs/>
                <w:color w:val="000000"/>
                <w:u w:val="single"/>
              </w:rPr>
              <w:t>wydawania zezwoleń w obszarze OZE</w:t>
            </w:r>
          </w:p>
          <w:p w14:paraId="7124C987" w14:textId="77E78E36" w:rsidR="008921BD" w:rsidRPr="00FE7519" w:rsidRDefault="008921BD"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W dniu 30 grudnia 2022 r. weszło w życie rozporządzenie Rady (UE) 2022/2577 z dnia 22 grudnia 2022 r. ustanawiające ramy służące przyspieszeniu wdrażania rozwiązań w zakresie energii odnawialnej</w:t>
            </w:r>
            <w:r w:rsidR="00FE0F2A" w:rsidRPr="00FE7519">
              <w:rPr>
                <w:rFonts w:ascii="Times New Roman" w:hAnsi="Times New Roman"/>
                <w:color w:val="000000"/>
                <w:spacing w:val="-2"/>
              </w:rPr>
              <w:t xml:space="preserve"> (Dz.U. L 335 z 29.12.2022, str. 36</w:t>
            </w:r>
            <w:r w:rsidR="00F72029" w:rsidRPr="00FE7519">
              <w:rPr>
                <w:rFonts w:ascii="Times New Roman" w:hAnsi="Times New Roman"/>
                <w:color w:val="000000"/>
                <w:spacing w:val="-2"/>
              </w:rPr>
              <w:t>–</w:t>
            </w:r>
            <w:r w:rsidR="00FE0F2A" w:rsidRPr="00FE7519">
              <w:rPr>
                <w:rFonts w:ascii="Times New Roman" w:hAnsi="Times New Roman"/>
                <w:color w:val="000000"/>
                <w:spacing w:val="-2"/>
              </w:rPr>
              <w:t>44)</w:t>
            </w:r>
            <w:r w:rsidR="004571AE" w:rsidRPr="00FE7519">
              <w:rPr>
                <w:rFonts w:ascii="Times New Roman" w:hAnsi="Times New Roman"/>
                <w:color w:val="000000"/>
                <w:spacing w:val="-2"/>
              </w:rPr>
              <w:t xml:space="preserve">, zwane </w:t>
            </w:r>
            <w:r w:rsidR="004571AE" w:rsidRPr="00FE7519">
              <w:rPr>
                <w:rFonts w:ascii="Times New Roman" w:hAnsi="Times New Roman"/>
                <w:color w:val="000000"/>
                <w:spacing w:val="-2"/>
              </w:rPr>
              <w:lastRenderedPageBreak/>
              <w:t xml:space="preserve">dalej: </w:t>
            </w:r>
            <w:r w:rsidR="00EC184C" w:rsidRPr="00FE7519">
              <w:rPr>
                <w:rFonts w:ascii="Times New Roman" w:hAnsi="Times New Roman"/>
                <w:color w:val="000000"/>
                <w:spacing w:val="-2"/>
              </w:rPr>
              <w:t>„</w:t>
            </w:r>
            <w:r w:rsidR="004571AE" w:rsidRPr="00FE7519">
              <w:rPr>
                <w:rFonts w:ascii="Times New Roman" w:hAnsi="Times New Roman"/>
                <w:color w:val="000000"/>
                <w:spacing w:val="-2"/>
              </w:rPr>
              <w:t>rozporządzenie</w:t>
            </w:r>
            <w:r w:rsidR="00075592" w:rsidRPr="00FE7519">
              <w:rPr>
                <w:rFonts w:ascii="Times New Roman" w:hAnsi="Times New Roman"/>
                <w:color w:val="000000"/>
                <w:spacing w:val="-2"/>
              </w:rPr>
              <w:t>m</w:t>
            </w:r>
            <w:r w:rsidR="004571AE" w:rsidRPr="00FE7519">
              <w:rPr>
                <w:rFonts w:ascii="Times New Roman" w:hAnsi="Times New Roman"/>
                <w:color w:val="000000"/>
                <w:spacing w:val="-2"/>
              </w:rPr>
              <w:t xml:space="preserve"> Rady (UE) 2022/2577”</w:t>
            </w:r>
            <w:r w:rsidRPr="00FE7519">
              <w:rPr>
                <w:rFonts w:ascii="Times New Roman" w:hAnsi="Times New Roman"/>
                <w:color w:val="000000"/>
                <w:spacing w:val="-2"/>
              </w:rPr>
              <w:t xml:space="preserve">, </w:t>
            </w:r>
            <w:r w:rsidR="00DD6E27" w:rsidRPr="00FE7519">
              <w:rPr>
                <w:rFonts w:ascii="Times New Roman" w:hAnsi="Times New Roman"/>
                <w:color w:val="000000"/>
                <w:spacing w:val="-2"/>
              </w:rPr>
              <w:t xml:space="preserve">mające na celu </w:t>
            </w:r>
            <w:r w:rsidRPr="00FE7519">
              <w:rPr>
                <w:rFonts w:ascii="Times New Roman" w:hAnsi="Times New Roman"/>
                <w:color w:val="000000"/>
                <w:spacing w:val="-2"/>
              </w:rPr>
              <w:t>przyspieszeni</w:t>
            </w:r>
            <w:r w:rsidR="00DD6E27" w:rsidRPr="00FE7519">
              <w:rPr>
                <w:rFonts w:ascii="Times New Roman" w:hAnsi="Times New Roman"/>
                <w:color w:val="000000"/>
                <w:spacing w:val="-2"/>
              </w:rPr>
              <w:t>e</w:t>
            </w:r>
            <w:r w:rsidRPr="00FE7519">
              <w:rPr>
                <w:rFonts w:ascii="Times New Roman" w:hAnsi="Times New Roman"/>
                <w:color w:val="000000"/>
                <w:spacing w:val="-2"/>
              </w:rPr>
              <w:t xml:space="preserve"> procedur wydawania zezwoleń dla wybranych </w:t>
            </w:r>
            <w:r w:rsidR="002A7EE0" w:rsidRPr="00FE7519">
              <w:rPr>
                <w:rFonts w:ascii="Times New Roman" w:hAnsi="Times New Roman"/>
                <w:color w:val="000000"/>
                <w:spacing w:val="-2"/>
              </w:rPr>
              <w:t>instalacji OZE</w:t>
            </w:r>
            <w:r w:rsidRPr="00FE7519">
              <w:rPr>
                <w:rFonts w:ascii="Times New Roman" w:hAnsi="Times New Roman"/>
                <w:color w:val="000000"/>
                <w:spacing w:val="-2"/>
              </w:rPr>
              <w:t>, ze szczególnym uwzględnieniem technologii lub projektów, które w szybki</w:t>
            </w:r>
            <w:r w:rsidR="00D61294" w:rsidRPr="00D61294">
              <w:rPr>
                <w:rFonts w:ascii="Times New Roman" w:hAnsi="Times New Roman"/>
                <w:color w:val="000000"/>
                <w:spacing w:val="-2"/>
              </w:rPr>
              <w:t xml:space="preserve"> sposób</w:t>
            </w:r>
            <w:r w:rsidRPr="00FE7519">
              <w:rPr>
                <w:rFonts w:ascii="Times New Roman" w:hAnsi="Times New Roman"/>
                <w:color w:val="000000"/>
                <w:spacing w:val="-2"/>
              </w:rPr>
              <w:t xml:space="preserve"> mają wpłynąć na rozwój OZE, tj. montowanych na budynkach instalacji odnawialnego źródła energii wykorzystując</w:t>
            </w:r>
            <w:r w:rsidR="00DD6E27" w:rsidRPr="00FE7519">
              <w:rPr>
                <w:rFonts w:ascii="Times New Roman" w:hAnsi="Times New Roman"/>
                <w:color w:val="000000"/>
                <w:spacing w:val="-2"/>
              </w:rPr>
              <w:t>ych</w:t>
            </w:r>
            <w:r w:rsidRPr="00FE7519">
              <w:rPr>
                <w:rFonts w:ascii="Times New Roman" w:hAnsi="Times New Roman"/>
                <w:color w:val="000000"/>
                <w:spacing w:val="-2"/>
              </w:rPr>
              <w:t xml:space="preserve"> do wytwarzania energii energię promieniowania słonecznego</w:t>
            </w:r>
            <w:r w:rsidR="00A33435" w:rsidRPr="00FE7519">
              <w:rPr>
                <w:rFonts w:ascii="Times New Roman" w:hAnsi="Times New Roman"/>
                <w:color w:val="000000"/>
                <w:spacing w:val="-2"/>
              </w:rPr>
              <w:t xml:space="preserve"> i położonych na tym samym terenie </w:t>
            </w:r>
            <w:r w:rsidR="00945067">
              <w:rPr>
                <w:rFonts w:ascii="Times New Roman" w:hAnsi="Times New Roman"/>
                <w:color w:val="000000"/>
                <w:spacing w:val="-2"/>
              </w:rPr>
              <w:t xml:space="preserve">magazynów </w:t>
            </w:r>
            <w:r w:rsidR="00A33435" w:rsidRPr="00FE7519">
              <w:rPr>
                <w:rFonts w:ascii="Times New Roman" w:hAnsi="Times New Roman"/>
                <w:color w:val="000000"/>
                <w:spacing w:val="-2"/>
              </w:rPr>
              <w:t>energii</w:t>
            </w:r>
            <w:r w:rsidR="00945067">
              <w:rPr>
                <w:rFonts w:ascii="Times New Roman" w:hAnsi="Times New Roman"/>
                <w:color w:val="000000"/>
                <w:spacing w:val="-2"/>
              </w:rPr>
              <w:t xml:space="preserve"> elektrycznej</w:t>
            </w:r>
            <w:r w:rsidRPr="00FE7519">
              <w:rPr>
                <w:rFonts w:ascii="Times New Roman" w:hAnsi="Times New Roman"/>
                <w:color w:val="000000"/>
                <w:spacing w:val="-2"/>
              </w:rPr>
              <w:t>, pomp ciepła, urządzeń i instalacji niezbędnych do przyłączenia do sieci danej instalacji OZE oraz remontu, odbudowy, przebudowy, nadbudowy lub rozbudowy instalacji OZE.</w:t>
            </w:r>
            <w:r w:rsidR="00D61294">
              <w:rPr>
                <w:rFonts w:ascii="Times New Roman" w:hAnsi="Times New Roman"/>
                <w:color w:val="000000"/>
                <w:spacing w:val="-2"/>
              </w:rPr>
              <w:t xml:space="preserve"> </w:t>
            </w:r>
          </w:p>
          <w:p w14:paraId="7A36D37E" w14:textId="6F243313" w:rsidR="00901412" w:rsidRPr="00FE7519" w:rsidRDefault="005D5FC3"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Pierwotnie </w:t>
            </w:r>
            <w:r w:rsidR="00901412" w:rsidRPr="00FE7519">
              <w:rPr>
                <w:rFonts w:ascii="Times New Roman" w:hAnsi="Times New Roman"/>
                <w:color w:val="000000"/>
                <w:spacing w:val="-2"/>
              </w:rPr>
              <w:t xml:space="preserve">ww. </w:t>
            </w:r>
            <w:r w:rsidR="00D61294" w:rsidRPr="00FE7519">
              <w:rPr>
                <w:rFonts w:ascii="Times New Roman" w:hAnsi="Times New Roman"/>
                <w:color w:val="000000"/>
                <w:spacing w:val="-2"/>
              </w:rPr>
              <w:t>przepis</w:t>
            </w:r>
            <w:r w:rsidR="00D61294">
              <w:rPr>
                <w:rFonts w:ascii="Times New Roman" w:hAnsi="Times New Roman"/>
                <w:color w:val="000000"/>
                <w:spacing w:val="-2"/>
              </w:rPr>
              <w:t>y</w:t>
            </w:r>
            <w:r w:rsidR="00D61294" w:rsidRPr="00FE7519">
              <w:rPr>
                <w:rFonts w:ascii="Times New Roman" w:hAnsi="Times New Roman"/>
                <w:color w:val="000000"/>
                <w:spacing w:val="-2"/>
              </w:rPr>
              <w:t xml:space="preserve"> miał</w:t>
            </w:r>
            <w:r w:rsidR="00D61294">
              <w:rPr>
                <w:rFonts w:ascii="Times New Roman" w:hAnsi="Times New Roman"/>
                <w:color w:val="000000"/>
                <w:spacing w:val="-2"/>
              </w:rPr>
              <w:t>y być stosowane</w:t>
            </w:r>
            <w:r w:rsidR="00D61294" w:rsidRPr="00FE7519">
              <w:rPr>
                <w:rFonts w:ascii="Times New Roman" w:hAnsi="Times New Roman"/>
                <w:color w:val="000000"/>
                <w:spacing w:val="-2"/>
              </w:rPr>
              <w:t xml:space="preserve"> </w:t>
            </w:r>
            <w:r w:rsidR="00901412" w:rsidRPr="00FE7519">
              <w:rPr>
                <w:rFonts w:ascii="Times New Roman" w:hAnsi="Times New Roman"/>
                <w:color w:val="000000"/>
                <w:spacing w:val="-2"/>
              </w:rPr>
              <w:t xml:space="preserve">do </w:t>
            </w:r>
            <w:r w:rsidR="00E32EAA" w:rsidRPr="00FE7519">
              <w:rPr>
                <w:rFonts w:ascii="Times New Roman" w:hAnsi="Times New Roman"/>
                <w:color w:val="000000"/>
                <w:spacing w:val="-2"/>
              </w:rPr>
              <w:t xml:space="preserve">dnia </w:t>
            </w:r>
            <w:r w:rsidR="00901412" w:rsidRPr="00FE7519">
              <w:rPr>
                <w:rFonts w:ascii="Times New Roman" w:hAnsi="Times New Roman"/>
                <w:color w:val="000000"/>
                <w:spacing w:val="-2"/>
              </w:rPr>
              <w:t xml:space="preserve">30 czerwca 2024 r., jednakże </w:t>
            </w:r>
            <w:r w:rsidR="00D61294" w:rsidRPr="00FE7519">
              <w:rPr>
                <w:rFonts w:ascii="Times New Roman" w:hAnsi="Times New Roman"/>
                <w:color w:val="000000"/>
                <w:spacing w:val="-2"/>
              </w:rPr>
              <w:t>rozporządzeni</w:t>
            </w:r>
            <w:r w:rsidR="00D61294">
              <w:rPr>
                <w:rFonts w:ascii="Times New Roman" w:hAnsi="Times New Roman"/>
                <w:color w:val="000000"/>
                <w:spacing w:val="-2"/>
              </w:rPr>
              <w:t>em</w:t>
            </w:r>
            <w:r w:rsidR="00D61294" w:rsidRPr="00FE7519">
              <w:rPr>
                <w:rFonts w:ascii="Times New Roman" w:hAnsi="Times New Roman"/>
                <w:color w:val="000000"/>
                <w:spacing w:val="-2"/>
              </w:rPr>
              <w:t xml:space="preserve"> </w:t>
            </w:r>
            <w:r w:rsidR="00901412" w:rsidRPr="00FE7519">
              <w:rPr>
                <w:rFonts w:ascii="Times New Roman" w:hAnsi="Times New Roman"/>
                <w:color w:val="000000"/>
                <w:spacing w:val="-2"/>
              </w:rPr>
              <w:t xml:space="preserve">Rady (UE) 2024/223 z dnia 22 grudnia 2023 r. w sprawie zmiany rozporządzenia (UE) 2022/2577 </w:t>
            </w:r>
            <w:r w:rsidR="00DA41EB" w:rsidRPr="00FE7519">
              <w:rPr>
                <w:rFonts w:ascii="Times New Roman" w:hAnsi="Times New Roman"/>
                <w:color w:val="000000"/>
                <w:spacing w:val="-2"/>
              </w:rPr>
              <w:t>ustanawiającego ramy służące przyspieszeniu wdrażania rozwiązań w zakresie energii odnawialnej (Dz.</w:t>
            </w:r>
            <w:r w:rsidR="00D61294">
              <w:rPr>
                <w:rFonts w:ascii="Times New Roman" w:hAnsi="Times New Roman"/>
                <w:color w:val="000000"/>
                <w:spacing w:val="-2"/>
              </w:rPr>
              <w:t xml:space="preserve"> </w:t>
            </w:r>
            <w:r w:rsidR="00DA41EB" w:rsidRPr="00FE7519">
              <w:rPr>
                <w:rFonts w:ascii="Times New Roman" w:hAnsi="Times New Roman"/>
                <w:color w:val="000000"/>
                <w:spacing w:val="-2"/>
              </w:rPr>
              <w:t>U</w:t>
            </w:r>
            <w:r w:rsidR="00D61294">
              <w:rPr>
                <w:rFonts w:ascii="Times New Roman" w:hAnsi="Times New Roman"/>
                <w:color w:val="000000"/>
                <w:spacing w:val="-2"/>
              </w:rPr>
              <w:t>rz</w:t>
            </w:r>
            <w:r w:rsidR="00DA41EB" w:rsidRPr="00FE7519">
              <w:rPr>
                <w:rFonts w:ascii="Times New Roman" w:hAnsi="Times New Roman"/>
                <w:color w:val="000000"/>
                <w:spacing w:val="-2"/>
              </w:rPr>
              <w:t>.</w:t>
            </w:r>
            <w:r w:rsidR="00D61294">
              <w:rPr>
                <w:rFonts w:ascii="Times New Roman" w:hAnsi="Times New Roman"/>
                <w:color w:val="000000"/>
                <w:spacing w:val="-2"/>
              </w:rPr>
              <w:t xml:space="preserve"> UE</w:t>
            </w:r>
            <w:r w:rsidR="00DA41EB" w:rsidRPr="00FE7519">
              <w:rPr>
                <w:rFonts w:ascii="Times New Roman" w:hAnsi="Times New Roman"/>
                <w:color w:val="000000"/>
                <w:spacing w:val="-2"/>
              </w:rPr>
              <w:t xml:space="preserve"> L</w:t>
            </w:r>
            <w:r w:rsidR="002A7EE0" w:rsidRPr="00FE7519">
              <w:rPr>
                <w:rFonts w:ascii="Times New Roman" w:hAnsi="Times New Roman"/>
                <w:color w:val="000000"/>
                <w:spacing w:val="-2"/>
              </w:rPr>
              <w:t xml:space="preserve"> </w:t>
            </w:r>
            <w:r w:rsidR="00DA41EB" w:rsidRPr="00FE7519">
              <w:rPr>
                <w:rFonts w:ascii="Times New Roman" w:hAnsi="Times New Roman"/>
                <w:color w:val="000000"/>
                <w:spacing w:val="-2"/>
              </w:rPr>
              <w:t>2024/223</w:t>
            </w:r>
            <w:r w:rsidR="002A7EE0" w:rsidRPr="00FE7519">
              <w:rPr>
                <w:rFonts w:ascii="Times New Roman" w:hAnsi="Times New Roman"/>
                <w:color w:val="000000"/>
                <w:spacing w:val="-2"/>
              </w:rPr>
              <w:t xml:space="preserve"> z</w:t>
            </w:r>
            <w:r w:rsidR="00DA41EB" w:rsidRPr="00FE7519">
              <w:rPr>
                <w:rFonts w:ascii="Times New Roman" w:hAnsi="Times New Roman"/>
                <w:color w:val="000000"/>
                <w:spacing w:val="-2"/>
              </w:rPr>
              <w:t xml:space="preserve"> 10.01.2024), zwane</w:t>
            </w:r>
            <w:r w:rsidR="00265905" w:rsidRPr="00FE7519">
              <w:rPr>
                <w:rFonts w:ascii="Times New Roman" w:hAnsi="Times New Roman"/>
                <w:color w:val="000000"/>
                <w:spacing w:val="-2"/>
              </w:rPr>
              <w:t>go</w:t>
            </w:r>
            <w:r w:rsidR="00DA41EB" w:rsidRPr="00FE7519">
              <w:rPr>
                <w:rFonts w:ascii="Times New Roman" w:hAnsi="Times New Roman"/>
                <w:color w:val="000000"/>
                <w:spacing w:val="-2"/>
              </w:rPr>
              <w:t xml:space="preserve"> dalej: </w:t>
            </w:r>
            <w:r w:rsidR="00901412" w:rsidRPr="00FE7519">
              <w:rPr>
                <w:rFonts w:ascii="Times New Roman" w:hAnsi="Times New Roman"/>
                <w:color w:val="000000"/>
                <w:spacing w:val="-2"/>
              </w:rPr>
              <w:t>„rozporządzenie</w:t>
            </w:r>
            <w:r w:rsidR="002A7EE0" w:rsidRPr="00FE7519">
              <w:rPr>
                <w:rFonts w:ascii="Times New Roman" w:hAnsi="Times New Roman"/>
                <w:color w:val="000000"/>
                <w:spacing w:val="-2"/>
              </w:rPr>
              <w:t>m</w:t>
            </w:r>
            <w:r w:rsidR="00901412" w:rsidRPr="00FE7519">
              <w:rPr>
                <w:rFonts w:ascii="Times New Roman" w:hAnsi="Times New Roman"/>
                <w:color w:val="000000"/>
                <w:spacing w:val="-2"/>
              </w:rPr>
              <w:t xml:space="preserve"> </w:t>
            </w:r>
            <w:proofErr w:type="spellStart"/>
            <w:r w:rsidR="002A7EE0" w:rsidRPr="00FE7519">
              <w:rPr>
                <w:rFonts w:ascii="Times New Roman" w:hAnsi="Times New Roman"/>
                <w:color w:val="000000"/>
                <w:spacing w:val="-2"/>
              </w:rPr>
              <w:t>permittingowym</w:t>
            </w:r>
            <w:proofErr w:type="spellEnd"/>
            <w:r w:rsidR="00901412" w:rsidRPr="00FE7519">
              <w:rPr>
                <w:rFonts w:ascii="Times New Roman" w:hAnsi="Times New Roman"/>
                <w:color w:val="000000"/>
                <w:spacing w:val="-2"/>
              </w:rPr>
              <w:t xml:space="preserve">”, przedłużono </w:t>
            </w:r>
            <w:r w:rsidR="002A7EE0" w:rsidRPr="00FE7519">
              <w:rPr>
                <w:rFonts w:ascii="Times New Roman" w:hAnsi="Times New Roman"/>
                <w:color w:val="000000"/>
                <w:spacing w:val="-2"/>
              </w:rPr>
              <w:t xml:space="preserve">do dnia 30 czerwca 2025 r. </w:t>
            </w:r>
            <w:r w:rsidR="00901412" w:rsidRPr="00FE7519">
              <w:rPr>
                <w:rFonts w:ascii="Times New Roman" w:hAnsi="Times New Roman"/>
                <w:color w:val="000000"/>
                <w:spacing w:val="-2"/>
              </w:rPr>
              <w:t xml:space="preserve">okres obowiązywania przepisów, które wykazały największy potencjał natychmiastowego przyspieszenia </w:t>
            </w:r>
            <w:r w:rsidR="001C6AD1">
              <w:rPr>
                <w:rFonts w:ascii="Times New Roman" w:hAnsi="Times New Roman"/>
                <w:color w:val="000000"/>
                <w:spacing w:val="-2"/>
              </w:rPr>
              <w:t xml:space="preserve">realizacji </w:t>
            </w:r>
            <w:r w:rsidR="00901412" w:rsidRPr="00FE7519">
              <w:rPr>
                <w:rFonts w:ascii="Times New Roman" w:hAnsi="Times New Roman"/>
                <w:color w:val="000000"/>
                <w:spacing w:val="-2"/>
              </w:rPr>
              <w:t>rozwiązań w zakresie odnawialnych źródeł energii</w:t>
            </w:r>
            <w:r w:rsidR="002A7EE0" w:rsidRPr="00FE7519">
              <w:rPr>
                <w:rFonts w:ascii="Times New Roman" w:hAnsi="Times New Roman"/>
                <w:color w:val="000000"/>
                <w:spacing w:val="-2"/>
              </w:rPr>
              <w:t>.</w:t>
            </w:r>
            <w:r w:rsidR="00901412" w:rsidRPr="00FE7519">
              <w:rPr>
                <w:rFonts w:ascii="Times New Roman" w:hAnsi="Times New Roman"/>
                <w:color w:val="000000"/>
                <w:spacing w:val="-2"/>
              </w:rPr>
              <w:t xml:space="preserve"> Tym samym</w:t>
            </w:r>
            <w:r w:rsidR="009B48A3" w:rsidRPr="00FE7519">
              <w:rPr>
                <w:rFonts w:ascii="Times New Roman" w:hAnsi="Times New Roman"/>
                <w:color w:val="000000"/>
                <w:spacing w:val="-2"/>
              </w:rPr>
              <w:t>, skrócenie</w:t>
            </w:r>
            <w:r w:rsidR="00901412" w:rsidRPr="00FE7519">
              <w:rPr>
                <w:rFonts w:ascii="Times New Roman" w:hAnsi="Times New Roman"/>
                <w:color w:val="000000"/>
                <w:spacing w:val="-2"/>
              </w:rPr>
              <w:t xml:space="preserve"> </w:t>
            </w:r>
            <w:r w:rsidR="009B48A3" w:rsidRPr="00FE7519">
              <w:rPr>
                <w:rFonts w:ascii="Times New Roman" w:hAnsi="Times New Roman"/>
                <w:color w:val="000000"/>
                <w:spacing w:val="-2"/>
              </w:rPr>
              <w:t xml:space="preserve">łącznego </w:t>
            </w:r>
            <w:r w:rsidR="00901412" w:rsidRPr="00FE7519">
              <w:rPr>
                <w:rFonts w:ascii="Times New Roman" w:hAnsi="Times New Roman"/>
                <w:color w:val="000000"/>
                <w:spacing w:val="-2"/>
              </w:rPr>
              <w:t>czas</w:t>
            </w:r>
            <w:r w:rsidR="009B48A3" w:rsidRPr="00FE7519">
              <w:rPr>
                <w:rFonts w:ascii="Times New Roman" w:hAnsi="Times New Roman"/>
                <w:color w:val="000000"/>
                <w:spacing w:val="-2"/>
              </w:rPr>
              <w:t>u</w:t>
            </w:r>
            <w:r w:rsidR="00901412" w:rsidRPr="00FE7519">
              <w:rPr>
                <w:rFonts w:ascii="Times New Roman" w:hAnsi="Times New Roman"/>
                <w:color w:val="000000"/>
                <w:spacing w:val="-2"/>
              </w:rPr>
              <w:t xml:space="preserve"> trwania wymaganych w przypadku konkretnych technologii OZE procedur</w:t>
            </w:r>
            <w:r w:rsidR="009B48A3" w:rsidRPr="00FE7519">
              <w:rPr>
                <w:rFonts w:ascii="Times New Roman" w:hAnsi="Times New Roman"/>
                <w:color w:val="000000"/>
                <w:spacing w:val="-2"/>
              </w:rPr>
              <w:t xml:space="preserve"> zostało podtrzymane do </w:t>
            </w:r>
            <w:r w:rsidR="00FE7519" w:rsidRPr="00FE7519">
              <w:rPr>
                <w:rFonts w:ascii="Times New Roman" w:hAnsi="Times New Roman"/>
                <w:color w:val="000000"/>
                <w:spacing w:val="-2"/>
              </w:rPr>
              <w:t xml:space="preserve">dnia </w:t>
            </w:r>
            <w:r w:rsidR="009B48A3" w:rsidRPr="00FE7519">
              <w:rPr>
                <w:rFonts w:ascii="Times New Roman" w:hAnsi="Times New Roman"/>
                <w:color w:val="000000"/>
                <w:spacing w:val="-2"/>
              </w:rPr>
              <w:t>30 czerwca 2025 r.</w:t>
            </w:r>
          </w:p>
          <w:p w14:paraId="74C25800" w14:textId="09479CD0" w:rsidR="00901412" w:rsidRDefault="00901412" w:rsidP="00E423B5">
            <w:pPr>
              <w:spacing w:line="240" w:lineRule="auto"/>
              <w:jc w:val="both"/>
              <w:rPr>
                <w:rFonts w:ascii="Times New Roman" w:hAnsi="Times New Roman"/>
                <w:color w:val="000000"/>
              </w:rPr>
            </w:pPr>
            <w:r w:rsidRPr="00901412">
              <w:rPr>
                <w:rFonts w:ascii="Times New Roman" w:hAnsi="Times New Roman"/>
                <w:color w:val="000000"/>
              </w:rPr>
              <w:t xml:space="preserve">Ze względu na wywołany agresją Rosji na Ukrainę kryzys energetyczny, jak również potrzebę dalszej dynamizacji rozwoju OZE w Polsce, projektodawca uznał, że stosowane w sposób bezpośredni regulacje określone w rozporządzeniu </w:t>
            </w:r>
            <w:r w:rsidR="007166C8" w:rsidRPr="007166C8">
              <w:rPr>
                <w:rFonts w:ascii="Times New Roman" w:hAnsi="Times New Roman"/>
                <w:color w:val="000000"/>
              </w:rPr>
              <w:t>Rady (UE) 2022/2577</w:t>
            </w:r>
            <w:r w:rsidRPr="00901412">
              <w:rPr>
                <w:rFonts w:ascii="Times New Roman" w:hAnsi="Times New Roman"/>
                <w:color w:val="000000"/>
              </w:rPr>
              <w:t xml:space="preserve"> są niewystarczające. W celu zwiększenia dynamiki transformacji energetycznej kraju, zasadne jest </w:t>
            </w:r>
            <w:r w:rsidR="007166C8">
              <w:rPr>
                <w:rFonts w:ascii="Times New Roman" w:hAnsi="Times New Roman"/>
                <w:color w:val="000000"/>
              </w:rPr>
              <w:t>zatem</w:t>
            </w:r>
            <w:r w:rsidRPr="00901412">
              <w:rPr>
                <w:rFonts w:ascii="Times New Roman" w:hAnsi="Times New Roman"/>
                <w:color w:val="000000"/>
              </w:rPr>
              <w:t xml:space="preserve"> wprowadzenie tych uproszczeń do krajowego porządku prawnego na stałe i stosowanie skróconych terminów wydawania zezwoleń dla montowanych na budynkach instalacji odnawialnego źródła energii wykorzystujących do wytwarzania energii energię promieniowania słonecznego</w:t>
            </w:r>
            <w:r w:rsidR="0028298B">
              <w:t xml:space="preserve"> </w:t>
            </w:r>
            <w:r w:rsidR="0028298B" w:rsidRPr="0028298B">
              <w:rPr>
                <w:rFonts w:ascii="Times New Roman" w:hAnsi="Times New Roman"/>
                <w:color w:val="000000"/>
              </w:rPr>
              <w:t xml:space="preserve">i położonych na tym samym terenie </w:t>
            </w:r>
            <w:r w:rsidR="00945067">
              <w:rPr>
                <w:rFonts w:ascii="Times New Roman" w:hAnsi="Times New Roman"/>
                <w:color w:val="000000"/>
              </w:rPr>
              <w:t>magazynów</w:t>
            </w:r>
            <w:r w:rsidR="0028298B" w:rsidRPr="0028298B">
              <w:rPr>
                <w:rFonts w:ascii="Times New Roman" w:hAnsi="Times New Roman"/>
                <w:color w:val="000000"/>
              </w:rPr>
              <w:t xml:space="preserve"> energi</w:t>
            </w:r>
            <w:r w:rsidR="0028298B">
              <w:rPr>
                <w:rFonts w:ascii="Times New Roman" w:hAnsi="Times New Roman"/>
                <w:color w:val="000000"/>
              </w:rPr>
              <w:t>i</w:t>
            </w:r>
            <w:r w:rsidR="00945067">
              <w:rPr>
                <w:rFonts w:ascii="Times New Roman" w:hAnsi="Times New Roman"/>
                <w:color w:val="000000"/>
              </w:rPr>
              <w:t xml:space="preserve"> elektrycznej</w:t>
            </w:r>
            <w:r w:rsidRPr="00901412">
              <w:rPr>
                <w:rFonts w:ascii="Times New Roman" w:hAnsi="Times New Roman"/>
                <w:color w:val="000000"/>
              </w:rPr>
              <w:t xml:space="preserve">, pomp ciepła, urządzeń i instalacji niezbędnych do przyłączenia do sieci danej instalacji OZE oraz remontu, odbudowy, przebudowy, nadbudowy lub rozbudowy instalacji OZE </w:t>
            </w:r>
            <w:r w:rsidR="009B48A3" w:rsidRPr="00901412">
              <w:rPr>
                <w:rFonts w:ascii="Times New Roman" w:hAnsi="Times New Roman"/>
                <w:color w:val="000000"/>
              </w:rPr>
              <w:t>niezależn</w:t>
            </w:r>
            <w:r w:rsidR="009B48A3">
              <w:rPr>
                <w:rFonts w:ascii="Times New Roman" w:hAnsi="Times New Roman"/>
                <w:color w:val="000000"/>
              </w:rPr>
              <w:t>ie</w:t>
            </w:r>
            <w:r w:rsidR="009B48A3" w:rsidRPr="00901412">
              <w:rPr>
                <w:rFonts w:ascii="Times New Roman" w:hAnsi="Times New Roman"/>
                <w:color w:val="000000"/>
              </w:rPr>
              <w:t xml:space="preserve"> </w:t>
            </w:r>
            <w:r w:rsidRPr="00901412">
              <w:rPr>
                <w:rFonts w:ascii="Times New Roman" w:hAnsi="Times New Roman"/>
                <w:color w:val="000000"/>
              </w:rPr>
              <w:t xml:space="preserve">od rozporządzenia </w:t>
            </w:r>
            <w:proofErr w:type="spellStart"/>
            <w:r w:rsidRPr="00901412">
              <w:rPr>
                <w:rFonts w:ascii="Times New Roman" w:hAnsi="Times New Roman"/>
                <w:color w:val="000000"/>
              </w:rPr>
              <w:t>permittingowego</w:t>
            </w:r>
            <w:proofErr w:type="spellEnd"/>
            <w:r w:rsidRPr="00901412">
              <w:rPr>
                <w:rFonts w:ascii="Times New Roman" w:hAnsi="Times New Roman"/>
                <w:color w:val="000000"/>
              </w:rPr>
              <w:t>.</w:t>
            </w:r>
          </w:p>
          <w:p w14:paraId="7EBA57AD" w14:textId="3E4DE387" w:rsidR="00702CA3" w:rsidRDefault="00FF2E05" w:rsidP="00E423B5">
            <w:pPr>
              <w:spacing w:before="120" w:after="120" w:line="240" w:lineRule="auto"/>
              <w:jc w:val="both"/>
              <w:rPr>
                <w:rFonts w:ascii="Times New Roman" w:hAnsi="Times New Roman"/>
                <w:b/>
                <w:bCs/>
                <w:color w:val="000000"/>
                <w:u w:val="single"/>
              </w:rPr>
            </w:pPr>
            <w:r w:rsidRPr="007138BB">
              <w:rPr>
                <w:rFonts w:ascii="Times New Roman" w:hAnsi="Times New Roman"/>
                <w:b/>
                <w:bCs/>
                <w:color w:val="000000"/>
                <w:u w:val="single"/>
              </w:rPr>
              <w:t>I</w:t>
            </w:r>
            <w:r w:rsidR="009A01B3">
              <w:rPr>
                <w:rFonts w:ascii="Times New Roman" w:hAnsi="Times New Roman"/>
                <w:b/>
                <w:bCs/>
                <w:color w:val="000000"/>
                <w:u w:val="single"/>
              </w:rPr>
              <w:t>V</w:t>
            </w:r>
            <w:r w:rsidRPr="007138BB">
              <w:rPr>
                <w:rFonts w:ascii="Times New Roman" w:hAnsi="Times New Roman"/>
                <w:b/>
                <w:bCs/>
                <w:color w:val="000000"/>
                <w:u w:val="single"/>
              </w:rPr>
              <w:t xml:space="preserve">. </w:t>
            </w:r>
            <w:r w:rsidR="00F715BB" w:rsidRPr="007138BB">
              <w:rPr>
                <w:rFonts w:ascii="Times New Roman" w:hAnsi="Times New Roman"/>
                <w:b/>
                <w:bCs/>
                <w:color w:val="000000"/>
                <w:u w:val="single"/>
              </w:rPr>
              <w:t>Zmiany porządkujące w związku z wejściem w życie Centralnego Systemu Informacji rynku energii (CSIRE)</w:t>
            </w:r>
          </w:p>
          <w:p w14:paraId="1DAE4DB1" w14:textId="01FB8D3B" w:rsidR="005E51D1" w:rsidRDefault="00702CA3" w:rsidP="00FE7519">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Ustawa z dnia 28 lipca</w:t>
            </w:r>
            <w:r w:rsidR="0077539C" w:rsidRPr="00FE7519">
              <w:rPr>
                <w:rFonts w:ascii="Times New Roman" w:hAnsi="Times New Roman"/>
                <w:color w:val="000000"/>
                <w:spacing w:val="-2"/>
              </w:rPr>
              <w:t xml:space="preserve"> </w:t>
            </w:r>
            <w:r w:rsidRPr="00FE7519">
              <w:rPr>
                <w:rFonts w:ascii="Times New Roman" w:hAnsi="Times New Roman"/>
                <w:color w:val="000000"/>
                <w:spacing w:val="-2"/>
              </w:rPr>
              <w:t xml:space="preserve">2023 r. o zmianie ustawy – </w:t>
            </w:r>
            <w:r w:rsidR="001C6AD1">
              <w:rPr>
                <w:rFonts w:ascii="Times New Roman" w:hAnsi="Times New Roman"/>
                <w:color w:val="000000"/>
                <w:spacing w:val="-2"/>
              </w:rPr>
              <w:t>p</w:t>
            </w:r>
            <w:r w:rsidRPr="00FE7519">
              <w:rPr>
                <w:rFonts w:ascii="Times New Roman" w:hAnsi="Times New Roman"/>
                <w:color w:val="000000"/>
                <w:spacing w:val="-2"/>
              </w:rPr>
              <w:t xml:space="preserve">rawo energetyczne oraz niektórych innych ustaw (Dz. U. z 2023 r. poz. 1681) </w:t>
            </w:r>
            <w:r w:rsidR="009B48A3" w:rsidRPr="00FE7519">
              <w:rPr>
                <w:rFonts w:ascii="Times New Roman" w:hAnsi="Times New Roman"/>
                <w:color w:val="000000"/>
                <w:spacing w:val="-2"/>
              </w:rPr>
              <w:t xml:space="preserve">przesunęła rozpoczęcie działania Centralnego </w:t>
            </w:r>
            <w:r w:rsidRPr="00FE7519">
              <w:rPr>
                <w:rFonts w:ascii="Times New Roman" w:hAnsi="Times New Roman"/>
                <w:color w:val="000000"/>
                <w:spacing w:val="-2"/>
              </w:rPr>
              <w:t>System</w:t>
            </w:r>
            <w:r w:rsidR="009B48A3" w:rsidRPr="00FE7519">
              <w:rPr>
                <w:rFonts w:ascii="Times New Roman" w:hAnsi="Times New Roman"/>
                <w:color w:val="000000"/>
                <w:spacing w:val="-2"/>
              </w:rPr>
              <w:t>u</w:t>
            </w:r>
            <w:r w:rsidRPr="00FE7519">
              <w:rPr>
                <w:rFonts w:ascii="Times New Roman" w:hAnsi="Times New Roman"/>
                <w:color w:val="000000"/>
                <w:spacing w:val="-2"/>
              </w:rPr>
              <w:t xml:space="preserve"> Informacji Rynku Energii (CSIRE) </w:t>
            </w:r>
            <w:r w:rsidR="009B48A3" w:rsidRPr="00FE7519">
              <w:rPr>
                <w:rFonts w:ascii="Times New Roman" w:hAnsi="Times New Roman"/>
                <w:color w:val="000000"/>
                <w:spacing w:val="-2"/>
              </w:rPr>
              <w:t>na</w:t>
            </w:r>
            <w:r w:rsidR="005E51D1">
              <w:rPr>
                <w:rFonts w:ascii="Times New Roman" w:hAnsi="Times New Roman"/>
                <w:color w:val="000000"/>
                <w:spacing w:val="-2"/>
              </w:rPr>
              <w:t xml:space="preserve"> dzień 1</w:t>
            </w:r>
            <w:r w:rsidRPr="00FE7519">
              <w:rPr>
                <w:rFonts w:ascii="Times New Roman" w:hAnsi="Times New Roman"/>
                <w:color w:val="000000"/>
                <w:spacing w:val="-2"/>
              </w:rPr>
              <w:t xml:space="preserve"> lipca 2025 r. </w:t>
            </w:r>
            <w:r w:rsidR="009B48A3" w:rsidRPr="00FE7519">
              <w:rPr>
                <w:rFonts w:ascii="Times New Roman" w:hAnsi="Times New Roman"/>
                <w:color w:val="000000"/>
                <w:spacing w:val="-2"/>
              </w:rPr>
              <w:t xml:space="preserve">W związku z tym, konieczne jest </w:t>
            </w:r>
            <w:proofErr w:type="spellStart"/>
            <w:r w:rsidR="009B48A3" w:rsidRPr="00FE7519">
              <w:rPr>
                <w:rFonts w:ascii="Times New Roman" w:hAnsi="Times New Roman"/>
                <w:color w:val="000000"/>
                <w:spacing w:val="-2"/>
              </w:rPr>
              <w:t>uspójnienie</w:t>
            </w:r>
            <w:proofErr w:type="spellEnd"/>
            <w:r w:rsidR="009B48A3" w:rsidRPr="00FE7519">
              <w:rPr>
                <w:rFonts w:ascii="Times New Roman" w:hAnsi="Times New Roman"/>
                <w:color w:val="000000"/>
                <w:spacing w:val="-2"/>
              </w:rPr>
              <w:t xml:space="preserve"> przepisów i przesunięcie na tę datę wejścia w życie regulacji, których stosowanie jest uzależnione od funkcjonowania </w:t>
            </w:r>
            <w:proofErr w:type="spellStart"/>
            <w:r w:rsidR="009B48A3" w:rsidRPr="00FE7519">
              <w:rPr>
                <w:rFonts w:ascii="Times New Roman" w:hAnsi="Times New Roman"/>
                <w:color w:val="000000"/>
                <w:spacing w:val="-2"/>
              </w:rPr>
              <w:t>CSiRE</w:t>
            </w:r>
            <w:proofErr w:type="spellEnd"/>
            <w:r w:rsidR="009B48A3" w:rsidRPr="00FE7519">
              <w:rPr>
                <w:rFonts w:ascii="Times New Roman" w:hAnsi="Times New Roman"/>
                <w:color w:val="000000"/>
                <w:spacing w:val="-2"/>
              </w:rPr>
              <w:t xml:space="preserve">, tj. instytucji prosumenta wirtualnego. Należy wyjaśnić, </w:t>
            </w:r>
            <w:r w:rsidR="00FE7519" w:rsidRPr="00FE7519">
              <w:rPr>
                <w:rFonts w:ascii="Times New Roman" w:hAnsi="Times New Roman"/>
                <w:color w:val="000000"/>
                <w:spacing w:val="-2"/>
              </w:rPr>
              <w:t>że koncepcja</w:t>
            </w:r>
            <w:r w:rsidRPr="00FE7519">
              <w:rPr>
                <w:rFonts w:ascii="Times New Roman" w:hAnsi="Times New Roman"/>
                <w:color w:val="000000"/>
                <w:spacing w:val="-2"/>
              </w:rPr>
              <w:t xml:space="preserve"> wirtualnego prosumenta energii odnawialnej jest komplementarna z CSIRE na tyle, iż nie jest w stanie funkcjonować samodzielnie bez tego systemu</w:t>
            </w:r>
            <w:r w:rsidR="009B48A3" w:rsidRPr="00FE7519">
              <w:rPr>
                <w:rFonts w:ascii="Times New Roman" w:hAnsi="Times New Roman"/>
                <w:color w:val="000000"/>
                <w:spacing w:val="-2"/>
              </w:rPr>
              <w:t>, bez</w:t>
            </w:r>
            <w:r w:rsidRPr="00FE7519">
              <w:rPr>
                <w:rFonts w:ascii="Times New Roman" w:hAnsi="Times New Roman"/>
                <w:color w:val="000000"/>
                <w:spacing w:val="-2"/>
              </w:rPr>
              <w:t xml:space="preserve"> CSIRE nie ma </w:t>
            </w:r>
            <w:r w:rsidR="009B48A3" w:rsidRPr="00FE7519">
              <w:rPr>
                <w:rFonts w:ascii="Times New Roman" w:hAnsi="Times New Roman"/>
                <w:color w:val="000000"/>
                <w:spacing w:val="-2"/>
              </w:rPr>
              <w:t xml:space="preserve">bowiem </w:t>
            </w:r>
            <w:r w:rsidRPr="00FE7519">
              <w:rPr>
                <w:rFonts w:ascii="Times New Roman" w:hAnsi="Times New Roman"/>
                <w:color w:val="000000"/>
                <w:spacing w:val="-2"/>
              </w:rPr>
              <w:t>możliwości prowadzenia rozliczeń dla tego rodzaju prosumenta.</w:t>
            </w:r>
            <w:r w:rsidR="00753F46" w:rsidRPr="00FE7519">
              <w:rPr>
                <w:rFonts w:ascii="Times New Roman" w:hAnsi="Times New Roman"/>
                <w:color w:val="000000"/>
                <w:spacing w:val="-2"/>
              </w:rPr>
              <w:t xml:space="preserve"> </w:t>
            </w:r>
          </w:p>
          <w:p w14:paraId="183FA4F8" w14:textId="1638D774" w:rsidR="00377FE2" w:rsidRPr="00FE7519" w:rsidRDefault="00157732" w:rsidP="00FE7519">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Co więcej</w:t>
            </w:r>
            <w:r w:rsidR="0091579F" w:rsidRPr="00FE7519">
              <w:rPr>
                <w:rFonts w:ascii="Times New Roman" w:hAnsi="Times New Roman"/>
                <w:color w:val="000000"/>
                <w:spacing w:val="-2"/>
              </w:rPr>
              <w:t xml:space="preserve">, </w:t>
            </w:r>
            <w:r w:rsidRPr="00FE7519">
              <w:rPr>
                <w:rFonts w:ascii="Times New Roman" w:hAnsi="Times New Roman"/>
                <w:color w:val="000000"/>
                <w:spacing w:val="-2"/>
              </w:rPr>
              <w:t xml:space="preserve"> z instytucją prosumenta wirtualnego powiązane jest rozwiązanie proponowane w ustawie </w:t>
            </w:r>
            <w:r w:rsidR="0091579F" w:rsidRPr="00FE7519">
              <w:rPr>
                <w:rFonts w:ascii="Times New Roman" w:hAnsi="Times New Roman"/>
                <w:color w:val="000000"/>
                <w:spacing w:val="-2"/>
              </w:rPr>
              <w:t>z dnia 20 maja 2016 r. o inwestycjach w zakresie elektrowni wiatrowych (Dz.</w:t>
            </w:r>
            <w:r w:rsidR="00E32EAA" w:rsidRPr="00FE7519">
              <w:rPr>
                <w:rFonts w:ascii="Times New Roman" w:hAnsi="Times New Roman"/>
                <w:color w:val="000000"/>
                <w:spacing w:val="-2"/>
              </w:rPr>
              <w:t> </w:t>
            </w:r>
            <w:r w:rsidR="0091579F" w:rsidRPr="00FE7519">
              <w:rPr>
                <w:rFonts w:ascii="Times New Roman" w:hAnsi="Times New Roman"/>
                <w:color w:val="000000"/>
                <w:spacing w:val="-2"/>
              </w:rPr>
              <w:t>U. z 2021 r. poz. 724)</w:t>
            </w:r>
            <w:r w:rsidR="006F49AE" w:rsidRPr="00FE7519">
              <w:rPr>
                <w:rFonts w:ascii="Times New Roman" w:hAnsi="Times New Roman"/>
                <w:color w:val="000000"/>
                <w:spacing w:val="-2"/>
              </w:rPr>
              <w:t xml:space="preserve">, </w:t>
            </w:r>
            <w:r w:rsidRPr="00FE7519">
              <w:rPr>
                <w:rFonts w:ascii="Times New Roman" w:hAnsi="Times New Roman"/>
                <w:color w:val="000000"/>
                <w:spacing w:val="-2"/>
              </w:rPr>
              <w:t xml:space="preserve">zwanej </w:t>
            </w:r>
            <w:r w:rsidR="006F49AE" w:rsidRPr="00FE7519">
              <w:rPr>
                <w:rFonts w:ascii="Times New Roman" w:hAnsi="Times New Roman"/>
                <w:color w:val="000000"/>
                <w:spacing w:val="-2"/>
              </w:rPr>
              <w:t>dalej: „</w:t>
            </w:r>
            <w:r w:rsidRPr="00FE7519">
              <w:rPr>
                <w:rFonts w:ascii="Times New Roman" w:hAnsi="Times New Roman"/>
                <w:color w:val="000000"/>
                <w:spacing w:val="-2"/>
              </w:rPr>
              <w:t xml:space="preserve">ustawą </w:t>
            </w:r>
            <w:r w:rsidR="00E32EAA" w:rsidRPr="00FE7519">
              <w:rPr>
                <w:rFonts w:ascii="Times New Roman" w:hAnsi="Times New Roman"/>
                <w:color w:val="000000"/>
                <w:spacing w:val="-2"/>
              </w:rPr>
              <w:t>wiatrakowa”</w:t>
            </w:r>
            <w:r w:rsidRPr="00FE7519">
              <w:rPr>
                <w:rFonts w:ascii="Times New Roman" w:hAnsi="Times New Roman"/>
                <w:color w:val="000000"/>
                <w:spacing w:val="-2"/>
              </w:rPr>
              <w:t>, zgodnie z którym</w:t>
            </w:r>
            <w:r w:rsidR="00E32EAA" w:rsidRPr="00FE7519">
              <w:rPr>
                <w:rFonts w:ascii="Times New Roman" w:hAnsi="Times New Roman"/>
                <w:color w:val="000000"/>
                <w:spacing w:val="-2"/>
              </w:rPr>
              <w:t xml:space="preserve"> </w:t>
            </w:r>
            <w:r w:rsidR="0091579F" w:rsidRPr="00FE7519">
              <w:rPr>
                <w:rFonts w:ascii="Times New Roman" w:hAnsi="Times New Roman"/>
                <w:color w:val="000000"/>
                <w:spacing w:val="-2"/>
              </w:rPr>
              <w:t xml:space="preserve">inwestor </w:t>
            </w:r>
            <w:r w:rsidRPr="00FE7519">
              <w:rPr>
                <w:rFonts w:ascii="Times New Roman" w:hAnsi="Times New Roman"/>
                <w:color w:val="000000"/>
                <w:spacing w:val="-2"/>
              </w:rPr>
              <w:t xml:space="preserve">planujący </w:t>
            </w:r>
            <w:r w:rsidR="0091579F" w:rsidRPr="00FE7519">
              <w:rPr>
                <w:rFonts w:ascii="Times New Roman" w:hAnsi="Times New Roman"/>
                <w:color w:val="000000"/>
                <w:spacing w:val="-2"/>
              </w:rPr>
              <w:t xml:space="preserve">inwestycję budowy elektrowni wiatrowej na terenie danej gminy </w:t>
            </w:r>
            <w:r w:rsidRPr="00FE7519">
              <w:rPr>
                <w:rFonts w:ascii="Times New Roman" w:hAnsi="Times New Roman"/>
                <w:color w:val="000000"/>
                <w:spacing w:val="-2"/>
              </w:rPr>
              <w:t xml:space="preserve">ma </w:t>
            </w:r>
            <w:r w:rsidR="0091579F" w:rsidRPr="00FE7519">
              <w:rPr>
                <w:rFonts w:ascii="Times New Roman" w:hAnsi="Times New Roman"/>
                <w:color w:val="000000"/>
                <w:spacing w:val="-2"/>
              </w:rPr>
              <w:t>obowiązek wydzielenia co najmniej 10% mocy zainstalowanej projektowanego przedsięwzięcia i umożliwienia zainteresowanym mieszkańcom objęcia udziału w wytwarzanej energii – w formule prosumenta wirtualnego. Ten mechanizm partycypacji społecznej nie zafunkcjonuje bez wejścia w życie instytucji prosumenta wirtualnego energii odnawialnej.</w:t>
            </w:r>
          </w:p>
          <w:p w14:paraId="3518046B" w14:textId="5A8835C2" w:rsidR="00753F46" w:rsidRPr="00FE7519" w:rsidRDefault="00753F46" w:rsidP="00FE7519">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Tym samym konieczne jest dostosowanie terminów </w:t>
            </w:r>
            <w:r w:rsidR="00157732" w:rsidRPr="00FE7519">
              <w:rPr>
                <w:rFonts w:ascii="Times New Roman" w:hAnsi="Times New Roman"/>
                <w:color w:val="000000"/>
                <w:spacing w:val="-2"/>
              </w:rPr>
              <w:t xml:space="preserve">wejścia w życie przepisów wprowadzających ww. instytucje i mechanizmy </w:t>
            </w:r>
            <w:r w:rsidRPr="00FE7519">
              <w:rPr>
                <w:rFonts w:ascii="Times New Roman" w:hAnsi="Times New Roman"/>
                <w:color w:val="000000"/>
                <w:spacing w:val="-2"/>
              </w:rPr>
              <w:t xml:space="preserve">do </w:t>
            </w:r>
            <w:r w:rsidR="00157732" w:rsidRPr="00FE7519">
              <w:rPr>
                <w:rFonts w:ascii="Times New Roman" w:hAnsi="Times New Roman"/>
                <w:color w:val="000000"/>
                <w:spacing w:val="-2"/>
              </w:rPr>
              <w:t xml:space="preserve">terminu </w:t>
            </w:r>
            <w:r w:rsidRPr="00FE7519">
              <w:rPr>
                <w:rFonts w:ascii="Times New Roman" w:hAnsi="Times New Roman"/>
                <w:color w:val="000000"/>
                <w:spacing w:val="-2"/>
              </w:rPr>
              <w:t>uruchomienia systemu CSIRE.</w:t>
            </w:r>
          </w:p>
          <w:p w14:paraId="732370B6" w14:textId="76828F12" w:rsidR="005D63AA" w:rsidRDefault="00945802" w:rsidP="00E423B5">
            <w:pPr>
              <w:spacing w:before="120" w:after="120" w:line="240" w:lineRule="auto"/>
              <w:jc w:val="both"/>
              <w:rPr>
                <w:rFonts w:ascii="Times New Roman" w:hAnsi="Times New Roman"/>
                <w:b/>
                <w:bCs/>
                <w:color w:val="000000"/>
                <w:u w:val="single"/>
              </w:rPr>
            </w:pPr>
            <w:r>
              <w:rPr>
                <w:rFonts w:ascii="Times New Roman" w:hAnsi="Times New Roman"/>
                <w:b/>
                <w:bCs/>
                <w:color w:val="000000"/>
                <w:u w:val="single"/>
              </w:rPr>
              <w:t>V</w:t>
            </w:r>
            <w:r w:rsidRPr="007138BB">
              <w:rPr>
                <w:rFonts w:ascii="Times New Roman" w:hAnsi="Times New Roman"/>
                <w:b/>
                <w:bCs/>
                <w:color w:val="000000"/>
                <w:u w:val="single"/>
              </w:rPr>
              <w:t xml:space="preserve">. </w:t>
            </w:r>
            <w:r w:rsidR="005D63AA" w:rsidRPr="007138BB">
              <w:rPr>
                <w:rFonts w:ascii="Times New Roman" w:hAnsi="Times New Roman"/>
                <w:b/>
                <w:bCs/>
                <w:color w:val="000000"/>
                <w:u w:val="single"/>
              </w:rPr>
              <w:t xml:space="preserve">Zmiany </w:t>
            </w:r>
            <w:r w:rsidR="005D63AA">
              <w:rPr>
                <w:rFonts w:ascii="Times New Roman" w:hAnsi="Times New Roman"/>
                <w:b/>
                <w:bCs/>
                <w:color w:val="000000"/>
                <w:u w:val="single"/>
              </w:rPr>
              <w:t>w systemie rozliczeń net-billing</w:t>
            </w:r>
          </w:p>
          <w:p w14:paraId="7AB25E01" w14:textId="2B7EE0DF" w:rsidR="00753F46" w:rsidRPr="00FE7519" w:rsidRDefault="005D63AA"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Zgodnie z art. 4b ust. 1 </w:t>
            </w:r>
            <w:r w:rsidR="00E32EAA" w:rsidRPr="00FE7519">
              <w:rPr>
                <w:rFonts w:ascii="Times New Roman" w:hAnsi="Times New Roman"/>
                <w:color w:val="000000"/>
                <w:spacing w:val="-2"/>
              </w:rPr>
              <w:t>ustawy o</w:t>
            </w:r>
            <w:r w:rsidR="00452C5B" w:rsidRPr="00FE7519">
              <w:rPr>
                <w:rFonts w:ascii="Times New Roman" w:hAnsi="Times New Roman"/>
                <w:color w:val="000000"/>
                <w:spacing w:val="-2"/>
              </w:rPr>
              <w:t xml:space="preserve"> OZE</w:t>
            </w:r>
            <w:r w:rsidR="00157732" w:rsidRPr="00FE7519">
              <w:rPr>
                <w:rFonts w:ascii="Times New Roman" w:hAnsi="Times New Roman"/>
                <w:color w:val="000000"/>
                <w:spacing w:val="-2"/>
              </w:rPr>
              <w:t>,</w:t>
            </w:r>
            <w:r w:rsidR="00452C5B" w:rsidRPr="00FE7519">
              <w:rPr>
                <w:rFonts w:ascii="Times New Roman" w:hAnsi="Times New Roman"/>
                <w:color w:val="000000"/>
                <w:spacing w:val="-2"/>
              </w:rPr>
              <w:t xml:space="preserve"> </w:t>
            </w:r>
            <w:r w:rsidRPr="00FE7519">
              <w:rPr>
                <w:rFonts w:ascii="Times New Roman" w:hAnsi="Times New Roman"/>
                <w:color w:val="000000"/>
                <w:spacing w:val="-2"/>
              </w:rPr>
              <w:t xml:space="preserve">wyliczenie wartości energii </w:t>
            </w:r>
            <w:r w:rsidR="00A33435" w:rsidRPr="00FE7519">
              <w:rPr>
                <w:rFonts w:ascii="Times New Roman" w:hAnsi="Times New Roman"/>
                <w:color w:val="000000"/>
                <w:spacing w:val="-2"/>
              </w:rPr>
              <w:t xml:space="preserve">elektrycznej </w:t>
            </w:r>
            <w:r w:rsidRPr="00FE7519">
              <w:rPr>
                <w:rFonts w:ascii="Times New Roman" w:hAnsi="Times New Roman"/>
                <w:color w:val="000000"/>
                <w:spacing w:val="-2"/>
              </w:rPr>
              <w:t>wprowadzonej do sieci elektroenergetycznej przez prosumenta energii odnawialnej i prosumenta zbiorowego energii odnawialnej w</w:t>
            </w:r>
            <w:r w:rsidR="00157732" w:rsidRPr="00FE7519">
              <w:rPr>
                <w:rFonts w:ascii="Times New Roman" w:hAnsi="Times New Roman"/>
                <w:color w:val="000000"/>
                <w:spacing w:val="-2"/>
              </w:rPr>
              <w:t>edłu</w:t>
            </w:r>
            <w:r w:rsidRPr="00FE7519">
              <w:rPr>
                <w:rFonts w:ascii="Times New Roman" w:hAnsi="Times New Roman"/>
                <w:color w:val="000000"/>
                <w:spacing w:val="-2"/>
              </w:rPr>
              <w:t xml:space="preserve">g rynkowej miesięcznej ceny energii </w:t>
            </w:r>
            <w:r w:rsidR="00A33435" w:rsidRPr="00FE7519">
              <w:rPr>
                <w:rFonts w:ascii="Times New Roman" w:hAnsi="Times New Roman"/>
                <w:color w:val="000000"/>
                <w:spacing w:val="-2"/>
              </w:rPr>
              <w:t xml:space="preserve">elektrycznej </w:t>
            </w:r>
            <w:r w:rsidRPr="00FE7519">
              <w:rPr>
                <w:rFonts w:ascii="Times New Roman" w:hAnsi="Times New Roman"/>
                <w:color w:val="000000"/>
                <w:spacing w:val="-2"/>
              </w:rPr>
              <w:t xml:space="preserve">będzie prowadzone do </w:t>
            </w:r>
            <w:r w:rsidR="004253F2" w:rsidRPr="00FE7519">
              <w:rPr>
                <w:rFonts w:ascii="Times New Roman" w:hAnsi="Times New Roman"/>
                <w:color w:val="000000"/>
                <w:spacing w:val="-2"/>
              </w:rPr>
              <w:t xml:space="preserve">dnia </w:t>
            </w:r>
            <w:r w:rsidRPr="00FE7519">
              <w:rPr>
                <w:rFonts w:ascii="Times New Roman" w:hAnsi="Times New Roman"/>
                <w:color w:val="000000"/>
                <w:spacing w:val="-2"/>
              </w:rPr>
              <w:t>30</w:t>
            </w:r>
            <w:r w:rsidR="004253F2" w:rsidRPr="00FE7519">
              <w:rPr>
                <w:rFonts w:ascii="Times New Roman" w:hAnsi="Times New Roman"/>
                <w:color w:val="000000"/>
                <w:spacing w:val="-2"/>
              </w:rPr>
              <w:t xml:space="preserve"> czerwca </w:t>
            </w:r>
            <w:r w:rsidRPr="00FE7519">
              <w:rPr>
                <w:rFonts w:ascii="Times New Roman" w:hAnsi="Times New Roman"/>
                <w:color w:val="000000"/>
                <w:spacing w:val="-2"/>
              </w:rPr>
              <w:t>2024 r</w:t>
            </w:r>
            <w:r w:rsidR="004253F2" w:rsidRPr="00FE7519">
              <w:rPr>
                <w:rFonts w:ascii="Times New Roman" w:hAnsi="Times New Roman"/>
                <w:color w:val="000000"/>
                <w:spacing w:val="-2"/>
              </w:rPr>
              <w:t>.</w:t>
            </w:r>
            <w:r w:rsidRPr="00FE7519">
              <w:rPr>
                <w:rFonts w:ascii="Times New Roman" w:hAnsi="Times New Roman"/>
                <w:color w:val="000000"/>
                <w:spacing w:val="-2"/>
              </w:rPr>
              <w:t xml:space="preserve">, a od </w:t>
            </w:r>
            <w:r w:rsidR="004253F2" w:rsidRPr="00FE7519">
              <w:rPr>
                <w:rFonts w:ascii="Times New Roman" w:hAnsi="Times New Roman"/>
                <w:color w:val="000000"/>
                <w:spacing w:val="-2"/>
              </w:rPr>
              <w:t xml:space="preserve">dnia </w:t>
            </w:r>
            <w:r w:rsidRPr="00FE7519">
              <w:rPr>
                <w:rFonts w:ascii="Times New Roman" w:hAnsi="Times New Roman"/>
                <w:color w:val="000000"/>
                <w:spacing w:val="-2"/>
              </w:rPr>
              <w:t>1 lipca 2024 r</w:t>
            </w:r>
            <w:r w:rsidR="004253F2" w:rsidRPr="00FE7519">
              <w:rPr>
                <w:rFonts w:ascii="Times New Roman" w:hAnsi="Times New Roman"/>
                <w:color w:val="000000"/>
                <w:spacing w:val="-2"/>
              </w:rPr>
              <w:t>.</w:t>
            </w:r>
            <w:r w:rsidRPr="00FE7519">
              <w:rPr>
                <w:rFonts w:ascii="Times New Roman" w:hAnsi="Times New Roman"/>
                <w:color w:val="000000"/>
                <w:spacing w:val="-2"/>
              </w:rPr>
              <w:t xml:space="preserve"> wartość energii będzie wyliczana w oparciu o rynkową</w:t>
            </w:r>
            <w:r w:rsidR="00753F46" w:rsidRPr="00FE7519">
              <w:rPr>
                <w:rFonts w:ascii="Times New Roman" w:hAnsi="Times New Roman"/>
                <w:color w:val="000000"/>
                <w:spacing w:val="-2"/>
              </w:rPr>
              <w:t>, godzinową</w:t>
            </w:r>
            <w:r w:rsidRPr="00FE7519">
              <w:rPr>
                <w:rFonts w:ascii="Times New Roman" w:hAnsi="Times New Roman"/>
                <w:color w:val="000000"/>
                <w:spacing w:val="-2"/>
              </w:rPr>
              <w:t xml:space="preserve"> cenę energii elektrycznej</w:t>
            </w:r>
            <w:r w:rsidR="00753F46" w:rsidRPr="00FE7519">
              <w:rPr>
                <w:rFonts w:ascii="Times New Roman" w:hAnsi="Times New Roman"/>
                <w:color w:val="000000"/>
                <w:spacing w:val="-2"/>
              </w:rPr>
              <w:t>, co</w:t>
            </w:r>
            <w:r w:rsidR="00157732" w:rsidRPr="00FE7519">
              <w:rPr>
                <w:rFonts w:ascii="Times New Roman" w:hAnsi="Times New Roman"/>
                <w:color w:val="000000"/>
                <w:spacing w:val="-2"/>
              </w:rPr>
              <w:t>,</w:t>
            </w:r>
            <w:r w:rsidR="00753F46" w:rsidRPr="00FE7519">
              <w:rPr>
                <w:rFonts w:ascii="Times New Roman" w:hAnsi="Times New Roman"/>
                <w:color w:val="000000"/>
                <w:spacing w:val="-2"/>
              </w:rPr>
              <w:t xml:space="preserve"> zależnie od profilu zużycia energii elektrycznej przez prosumenta</w:t>
            </w:r>
            <w:r w:rsidR="00157732" w:rsidRPr="00FE7519">
              <w:rPr>
                <w:rFonts w:ascii="Times New Roman" w:hAnsi="Times New Roman"/>
                <w:color w:val="000000"/>
                <w:spacing w:val="-2"/>
              </w:rPr>
              <w:t>,</w:t>
            </w:r>
            <w:r w:rsidR="00753F46" w:rsidRPr="00FE7519">
              <w:rPr>
                <w:rFonts w:ascii="Times New Roman" w:hAnsi="Times New Roman"/>
                <w:color w:val="000000"/>
                <w:spacing w:val="-2"/>
              </w:rPr>
              <w:t xml:space="preserve"> może zmniejszyć opłacalność funkcjonowania instalacji fotowoltaicznej. </w:t>
            </w:r>
          </w:p>
          <w:p w14:paraId="34EEDD1D" w14:textId="3791C7F6" w:rsidR="00945802" w:rsidRDefault="00D24B07" w:rsidP="00E423B5">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Dodatkowo, </w:t>
            </w:r>
            <w:r w:rsidR="002F538E">
              <w:rPr>
                <w:rFonts w:ascii="Times New Roman" w:hAnsi="Times New Roman"/>
                <w:color w:val="000000"/>
                <w:spacing w:val="-2"/>
              </w:rPr>
              <w:t>rozpatrując</w:t>
            </w:r>
            <w:r w:rsidR="002F538E" w:rsidRPr="00FE7519">
              <w:rPr>
                <w:rFonts w:ascii="Times New Roman" w:hAnsi="Times New Roman"/>
                <w:color w:val="000000"/>
                <w:spacing w:val="-2"/>
              </w:rPr>
              <w:t xml:space="preserve"> </w:t>
            </w:r>
            <w:r w:rsidRPr="00FE7519">
              <w:rPr>
                <w:rFonts w:ascii="Times New Roman" w:hAnsi="Times New Roman"/>
                <w:color w:val="000000"/>
                <w:spacing w:val="-2"/>
              </w:rPr>
              <w:t>cen</w:t>
            </w:r>
            <w:r w:rsidR="002F538E">
              <w:rPr>
                <w:rFonts w:ascii="Times New Roman" w:hAnsi="Times New Roman"/>
                <w:color w:val="000000"/>
                <w:spacing w:val="-2"/>
              </w:rPr>
              <w:t>y</w:t>
            </w:r>
            <w:r w:rsidRPr="00FE7519">
              <w:rPr>
                <w:rFonts w:ascii="Times New Roman" w:hAnsi="Times New Roman"/>
                <w:color w:val="000000"/>
                <w:spacing w:val="-2"/>
              </w:rPr>
              <w:t xml:space="preserve"> energii elektrycznej wynikającej z taryfy sprzedawcy</w:t>
            </w:r>
            <w:r w:rsidR="00FE7519" w:rsidRPr="00FE7519">
              <w:rPr>
                <w:rFonts w:ascii="Times New Roman" w:hAnsi="Times New Roman"/>
                <w:color w:val="000000"/>
                <w:spacing w:val="-2"/>
              </w:rPr>
              <w:t>,</w:t>
            </w:r>
            <w:r w:rsidRPr="00FE7519">
              <w:rPr>
                <w:rFonts w:ascii="Times New Roman" w:hAnsi="Times New Roman"/>
                <w:color w:val="000000"/>
                <w:spacing w:val="-2"/>
              </w:rPr>
              <w:t xml:space="preserve"> po której prosument jest rozliczany za pobraną energię</w:t>
            </w:r>
            <w:r w:rsidR="002F538E">
              <w:rPr>
                <w:rFonts w:ascii="Times New Roman" w:hAnsi="Times New Roman"/>
                <w:color w:val="000000"/>
                <w:spacing w:val="-2"/>
              </w:rPr>
              <w:t xml:space="preserve"> oraz </w:t>
            </w:r>
            <w:r w:rsidRPr="00FE7519">
              <w:rPr>
                <w:rFonts w:ascii="Times New Roman" w:hAnsi="Times New Roman"/>
                <w:color w:val="000000"/>
                <w:spacing w:val="-2"/>
              </w:rPr>
              <w:t xml:space="preserve">ceną, po której energia ta jest rozliczna po wprowadzeniu do sieci elektroenergetycznej i zapisywana </w:t>
            </w:r>
            <w:r w:rsidR="00FE7519" w:rsidRPr="00FE7519">
              <w:rPr>
                <w:rFonts w:ascii="Times New Roman" w:hAnsi="Times New Roman"/>
                <w:color w:val="000000"/>
                <w:spacing w:val="-2"/>
              </w:rPr>
              <w:t>jako depozyt</w:t>
            </w:r>
            <w:r w:rsidRPr="00FE7519">
              <w:rPr>
                <w:rFonts w:ascii="Times New Roman" w:hAnsi="Times New Roman"/>
                <w:color w:val="000000"/>
                <w:spacing w:val="-2"/>
              </w:rPr>
              <w:t xml:space="preserve"> </w:t>
            </w:r>
            <w:proofErr w:type="spellStart"/>
            <w:r w:rsidRPr="00FE7519">
              <w:rPr>
                <w:rFonts w:ascii="Times New Roman" w:hAnsi="Times New Roman"/>
                <w:color w:val="000000"/>
                <w:spacing w:val="-2"/>
              </w:rPr>
              <w:t>prosumencki</w:t>
            </w:r>
            <w:proofErr w:type="spellEnd"/>
            <w:r w:rsidRPr="00FE7519">
              <w:rPr>
                <w:rFonts w:ascii="Times New Roman" w:hAnsi="Times New Roman"/>
                <w:color w:val="000000"/>
                <w:spacing w:val="-2"/>
              </w:rPr>
              <w:t xml:space="preserve"> na koncie prosumenta, </w:t>
            </w:r>
            <w:r w:rsidR="002F538E">
              <w:rPr>
                <w:rFonts w:ascii="Times New Roman" w:hAnsi="Times New Roman"/>
                <w:color w:val="000000"/>
                <w:spacing w:val="-2"/>
              </w:rPr>
              <w:t>należy stwierdzić, że konieczne jest wprowadzanie</w:t>
            </w:r>
            <w:r w:rsidRPr="00FE7519">
              <w:rPr>
                <w:rFonts w:ascii="Times New Roman" w:hAnsi="Times New Roman"/>
                <w:color w:val="000000"/>
                <w:spacing w:val="-2"/>
              </w:rPr>
              <w:t xml:space="preserve"> rozwiązań mających na celu </w:t>
            </w:r>
            <w:r w:rsidR="00383452" w:rsidRPr="00383452">
              <w:rPr>
                <w:rFonts w:ascii="Times New Roman" w:hAnsi="Times New Roman"/>
                <w:color w:val="000000"/>
                <w:spacing w:val="-2"/>
              </w:rPr>
              <w:t>zwiększenie wartości środków na depozycie prosumenckim. W efekcie, poprzez zmniejszenie różnicy między rynkową ceną energii dla prosumenta energii odnawialnej, a oferowaną stawką z taryfy operatora, wzrośnie opłacalność rozliczeń w systemie net-billing i zwiększy się także opłacalność inwestycji w instalacje fotowoltaiczne.</w:t>
            </w:r>
          </w:p>
          <w:p w14:paraId="0FC78505" w14:textId="4FE7DA92" w:rsidR="00AD6198" w:rsidRPr="009A0BD4" w:rsidRDefault="00AD6198" w:rsidP="00E423B5">
            <w:pPr>
              <w:spacing w:before="120" w:after="120" w:line="240" w:lineRule="auto"/>
              <w:jc w:val="both"/>
              <w:rPr>
                <w:rFonts w:ascii="Times New Roman" w:hAnsi="Times New Roman"/>
                <w:b/>
                <w:bCs/>
                <w:color w:val="000000"/>
                <w:spacing w:val="-2"/>
              </w:rPr>
            </w:pPr>
            <w:r>
              <w:rPr>
                <w:rFonts w:ascii="Times New Roman" w:hAnsi="Times New Roman"/>
                <w:b/>
                <w:bCs/>
                <w:color w:val="000000"/>
                <w:spacing w:val="-2"/>
              </w:rPr>
              <w:t xml:space="preserve">VI. </w:t>
            </w:r>
            <w:r w:rsidRPr="00AD6198">
              <w:rPr>
                <w:rFonts w:ascii="Times New Roman" w:hAnsi="Times New Roman"/>
                <w:b/>
                <w:bCs/>
                <w:color w:val="000000"/>
                <w:spacing w:val="-2"/>
              </w:rPr>
              <w:t>Rozliczanie prosumenta energii odnawialnej – przejście z systemu net-metering do net-billing.</w:t>
            </w:r>
          </w:p>
          <w:p w14:paraId="701FF1EB" w14:textId="77777777" w:rsidR="00AD390A" w:rsidRDefault="00AD390A" w:rsidP="00E423B5">
            <w:pPr>
              <w:spacing w:before="120" w:after="120" w:line="240" w:lineRule="auto"/>
              <w:jc w:val="both"/>
              <w:rPr>
                <w:rFonts w:ascii="Times New Roman" w:hAnsi="Times New Roman"/>
                <w:color w:val="000000"/>
                <w:spacing w:val="-2"/>
              </w:rPr>
            </w:pPr>
            <w:r>
              <w:rPr>
                <w:rFonts w:ascii="Times New Roman" w:hAnsi="Times New Roman"/>
                <w:color w:val="000000"/>
                <w:spacing w:val="-2"/>
              </w:rPr>
              <w:t>U</w:t>
            </w:r>
            <w:r w:rsidRPr="00AD390A">
              <w:rPr>
                <w:rFonts w:ascii="Times New Roman" w:hAnsi="Times New Roman"/>
                <w:color w:val="000000"/>
                <w:spacing w:val="-2"/>
              </w:rPr>
              <w:t xml:space="preserve">stawa </w:t>
            </w:r>
            <w:r>
              <w:rPr>
                <w:rFonts w:ascii="Times New Roman" w:hAnsi="Times New Roman"/>
                <w:color w:val="000000"/>
                <w:spacing w:val="-2"/>
              </w:rPr>
              <w:t xml:space="preserve">o </w:t>
            </w:r>
            <w:r w:rsidRPr="00AD390A">
              <w:rPr>
                <w:rFonts w:ascii="Times New Roman" w:hAnsi="Times New Roman"/>
                <w:color w:val="000000"/>
                <w:spacing w:val="-2"/>
              </w:rPr>
              <w:t>OZE zakłada dwie podstawowe metody rozliczania się prosumenta energii odnawialnej</w:t>
            </w:r>
            <w:r>
              <w:rPr>
                <w:rFonts w:ascii="Times New Roman" w:hAnsi="Times New Roman"/>
                <w:color w:val="000000"/>
                <w:spacing w:val="-2"/>
              </w:rPr>
              <w:t>.</w:t>
            </w:r>
            <w:r w:rsidRPr="00AD390A">
              <w:rPr>
                <w:rFonts w:ascii="Times New Roman" w:hAnsi="Times New Roman"/>
                <w:color w:val="000000"/>
                <w:spacing w:val="-2"/>
              </w:rPr>
              <w:t xml:space="preserve"> System oparty na metrycznym rozliczaniu energii (tj. w kilowatogodzinach) nazwany net-</w:t>
            </w:r>
            <w:proofErr w:type="spellStart"/>
            <w:r w:rsidRPr="00AD390A">
              <w:rPr>
                <w:rFonts w:ascii="Times New Roman" w:hAnsi="Times New Roman"/>
                <w:color w:val="000000"/>
                <w:spacing w:val="-2"/>
              </w:rPr>
              <w:t>meteringiem</w:t>
            </w:r>
            <w:proofErr w:type="spellEnd"/>
            <w:r w:rsidRPr="00AD390A">
              <w:rPr>
                <w:rFonts w:ascii="Times New Roman" w:hAnsi="Times New Roman"/>
                <w:color w:val="000000"/>
                <w:spacing w:val="-2"/>
              </w:rPr>
              <w:t xml:space="preserve"> oraz system polegający na rozliczaniu pieniężnym (tj. net-billing), który będzie systemem docelowym dla prosumenta energii odnawialnej. Powyższe doprowadza do powstania okresu przejściowego, który nie został w sposób właściwy skonkretyzowany w ustawie OZE. Brak jest szczegółowych wyjaśnień dotyczących rozliczenia wyprodukowanej energii w przypadku przejścia z systemu rozliczeń net-metering do systemu rozliczeń net-billing, w sytuacji, gdy prosument energii odnawialnej wprowadził ją do sieci elektroenergetycznej i jej nie wykorzystał przed przejściem do systemu rozliczeń net-billing.</w:t>
            </w:r>
          </w:p>
          <w:p w14:paraId="78D47C38" w14:textId="63D5BB88" w:rsidR="00AD6198" w:rsidRDefault="00AD6198" w:rsidP="00AD6198">
            <w:pPr>
              <w:spacing w:before="120" w:after="120" w:line="240" w:lineRule="auto"/>
              <w:jc w:val="both"/>
              <w:rPr>
                <w:rFonts w:ascii="Times New Roman" w:hAnsi="Times New Roman"/>
                <w:b/>
                <w:bCs/>
                <w:color w:val="000000"/>
                <w:spacing w:val="-2"/>
              </w:rPr>
            </w:pPr>
            <w:r>
              <w:rPr>
                <w:rFonts w:ascii="Times New Roman" w:hAnsi="Times New Roman"/>
                <w:b/>
                <w:bCs/>
                <w:color w:val="000000"/>
                <w:spacing w:val="-2"/>
              </w:rPr>
              <w:lastRenderedPageBreak/>
              <w:t xml:space="preserve">VII. </w:t>
            </w:r>
            <w:r w:rsidRPr="00AD6198">
              <w:rPr>
                <w:rFonts w:ascii="Times New Roman" w:hAnsi="Times New Roman"/>
                <w:b/>
                <w:bCs/>
                <w:color w:val="000000"/>
                <w:spacing w:val="-2"/>
              </w:rPr>
              <w:t>Korekta rynkowej ceny energii</w:t>
            </w:r>
          </w:p>
          <w:p w14:paraId="245780CD" w14:textId="6EB0EB47" w:rsidR="00D129E2" w:rsidRDefault="00AD6198" w:rsidP="009A0BD4">
            <w:pPr>
              <w:spacing w:before="120" w:after="120" w:line="240" w:lineRule="auto"/>
              <w:jc w:val="both"/>
              <w:rPr>
                <w:rFonts w:ascii="Times New Roman" w:hAnsi="Times New Roman"/>
                <w:color w:val="000000"/>
                <w:spacing w:val="-2"/>
              </w:rPr>
            </w:pPr>
            <w:r w:rsidRPr="00AD6198">
              <w:rPr>
                <w:rFonts w:ascii="Times New Roman" w:hAnsi="Times New Roman"/>
                <w:color w:val="000000"/>
                <w:spacing w:val="-2"/>
              </w:rPr>
              <w:t xml:space="preserve">Korekta rynkowej ceny energii, o której mowa w art. 11 w ust 1 ustawy z dnia 10 kwietnia 1997 r. </w:t>
            </w:r>
            <w:r w:rsidR="00D3772E">
              <w:rPr>
                <w:rFonts w:ascii="Times New Roman" w:hAnsi="Times New Roman"/>
                <w:color w:val="000000"/>
                <w:spacing w:val="-2"/>
              </w:rPr>
              <w:t>–</w:t>
            </w:r>
            <w:r w:rsidRPr="00AD6198">
              <w:rPr>
                <w:rFonts w:ascii="Times New Roman" w:hAnsi="Times New Roman"/>
                <w:color w:val="000000"/>
                <w:spacing w:val="-2"/>
              </w:rPr>
              <w:t xml:space="preserve"> Prawo energetyczne jest stosowana w przypadku zmiany danych wykorzystywanych do ustalenia cen energii elektrycznej, wynikającej z korekt przekazywanych przez operatorów systemów dystrybucyjnych elektroenergetycznych lub inne podmioty. Jeżeli skorygowana cena różni się od poprzednio obliczonej o więcej niż 0,1%, stosuje się nową wartość cen energii elektrycznej. Sprzedawcy identyfikują negatywny wpływ, jaki korekta rynkowej ceny miesięcznej ma na proces rozliczenia prosumentów korzystających z systemu rozliczeń net-billing. Korekta ta, mimo uwzględnienia w rozliczeniu (na fakturze) prosumenta, wymaga często skorygowania kilku faktur, w których był uwzględniony depozyt z miesiąca objętego korektą.</w:t>
            </w:r>
          </w:p>
          <w:p w14:paraId="5827D0C0" w14:textId="069BDC1A" w:rsidR="00AD6198" w:rsidRPr="00383452" w:rsidRDefault="00AD6198" w:rsidP="009A0BD4">
            <w:pPr>
              <w:spacing w:before="120" w:after="120" w:line="240" w:lineRule="auto"/>
              <w:jc w:val="both"/>
              <w:rPr>
                <w:rFonts w:ascii="Times New Roman" w:hAnsi="Times New Roman"/>
                <w:color w:val="000000"/>
                <w:spacing w:val="-2"/>
              </w:rPr>
            </w:pPr>
            <w:r w:rsidRPr="00AD6198">
              <w:rPr>
                <w:rFonts w:ascii="Times New Roman" w:hAnsi="Times New Roman"/>
                <w:color w:val="000000"/>
                <w:spacing w:val="-2"/>
              </w:rPr>
              <w:t>To spotyka się z niezrozumieniem przez prosumentów, szczególnie gdy korekty faktur dotyczą niewielkich kwot (zmiany w kolejnych iteracjach rynkowej ceny miesięcznej są często minimalne). Co więcej, dla sprzedawcy koszt wprowadzenia korekt faktur przeważa często nad wartością samej korygowanej faktury. Podobne trudności pojawiają się w przypadku wypłaty depozytu na konto bankowe wskazane przez prosumenta. W takiej sytuacji korekta rynkowej ceny miesięcznej wymaga wyrównania wcześniej wypłaconej kwoty depozytu prosumentowi (jeśli cena rynkowa wzrośnie) lub zwrotu środków przez prosumenta (jeśli cena rynkowa spadnie).</w:t>
            </w:r>
          </w:p>
        </w:tc>
      </w:tr>
      <w:tr w:rsidR="006A701A" w:rsidRPr="00A87B3A" w14:paraId="6E8429FE" w14:textId="77777777" w:rsidTr="00524C6B">
        <w:trPr>
          <w:gridAfter w:val="1"/>
          <w:wAfter w:w="12" w:type="dxa"/>
          <w:trHeight w:val="142"/>
        </w:trPr>
        <w:tc>
          <w:tcPr>
            <w:tcW w:w="11173" w:type="dxa"/>
            <w:gridSpan w:val="24"/>
            <w:shd w:val="clear" w:color="auto" w:fill="99CCFF"/>
            <w:vAlign w:val="center"/>
          </w:tcPr>
          <w:p w14:paraId="76EFF483" w14:textId="77777777" w:rsidR="006A701A" w:rsidRPr="00A87B3A" w:rsidRDefault="0013216E">
            <w:pPr>
              <w:numPr>
                <w:ilvl w:val="0"/>
                <w:numId w:val="1"/>
              </w:numPr>
              <w:spacing w:line="240" w:lineRule="auto"/>
              <w:ind w:left="318" w:hanging="284"/>
              <w:jc w:val="center"/>
              <w:rPr>
                <w:rFonts w:ascii="Times New Roman" w:hAnsi="Times New Roman"/>
                <w:b/>
                <w:color w:val="000000"/>
              </w:rPr>
            </w:pPr>
            <w:r w:rsidRPr="00A87B3A">
              <w:rPr>
                <w:rFonts w:ascii="Times New Roman" w:hAnsi="Times New Roman"/>
                <w:b/>
                <w:color w:val="000000"/>
                <w:spacing w:val="-2"/>
              </w:rPr>
              <w:lastRenderedPageBreak/>
              <w:t>Rekomendowane rozwiązanie, w tym planowane narzędzia interwencji, i oczekiwany efekt</w:t>
            </w:r>
          </w:p>
        </w:tc>
      </w:tr>
      <w:tr w:rsidR="006A701A" w:rsidRPr="00A87B3A" w14:paraId="1C6658FE" w14:textId="77777777" w:rsidTr="002069ED">
        <w:trPr>
          <w:gridAfter w:val="1"/>
          <w:wAfter w:w="12" w:type="dxa"/>
          <w:trHeight w:val="1130"/>
        </w:trPr>
        <w:tc>
          <w:tcPr>
            <w:tcW w:w="11173" w:type="dxa"/>
            <w:gridSpan w:val="24"/>
            <w:shd w:val="clear" w:color="auto" w:fill="auto"/>
          </w:tcPr>
          <w:p w14:paraId="632ABF97" w14:textId="622EE09D" w:rsidR="00C64F7D" w:rsidRPr="009A01B3" w:rsidRDefault="00B56796" w:rsidP="00070A0C">
            <w:pPr>
              <w:spacing w:before="120" w:after="120" w:line="240" w:lineRule="auto"/>
              <w:jc w:val="both"/>
              <w:rPr>
                <w:rFonts w:ascii="Times New Roman" w:hAnsi="Times New Roman"/>
                <w:color w:val="000000"/>
                <w:spacing w:val="-2"/>
              </w:rPr>
            </w:pPr>
            <w:r w:rsidRPr="009A01B3">
              <w:rPr>
                <w:rFonts w:ascii="Times New Roman" w:hAnsi="Times New Roman"/>
                <w:b/>
                <w:bCs/>
                <w:color w:val="000000"/>
                <w:spacing w:val="-2"/>
                <w:u w:val="single"/>
              </w:rPr>
              <w:t>I. Dostosowanie ulg dla odbiorców energochłonnych do CEEAG</w:t>
            </w:r>
          </w:p>
          <w:p w14:paraId="6686F5D4" w14:textId="54C7FAEF" w:rsidR="004C5A5A" w:rsidRPr="009A01B3" w:rsidRDefault="00982CE7" w:rsidP="00070A0C">
            <w:pPr>
              <w:spacing w:before="120" w:after="120" w:line="240" w:lineRule="auto"/>
              <w:jc w:val="both"/>
              <w:rPr>
                <w:rFonts w:ascii="Times New Roman" w:hAnsi="Times New Roman"/>
                <w:b/>
                <w:bCs/>
                <w:color w:val="000000"/>
                <w:spacing w:val="-2"/>
              </w:rPr>
            </w:pPr>
            <w:r w:rsidRPr="009A01B3">
              <w:rPr>
                <w:rFonts w:ascii="Times New Roman" w:hAnsi="Times New Roman"/>
                <w:b/>
                <w:bCs/>
                <w:color w:val="000000"/>
                <w:spacing w:val="-2"/>
              </w:rPr>
              <w:t xml:space="preserve">Aktualizacja listy sektorów uprawnionych do ulg dla odbiorców energochłonnych zgodnie z </w:t>
            </w:r>
            <w:r w:rsidR="00D561C3">
              <w:rPr>
                <w:rFonts w:ascii="Times New Roman" w:hAnsi="Times New Roman"/>
                <w:b/>
                <w:bCs/>
                <w:color w:val="000000"/>
                <w:spacing w:val="-2"/>
              </w:rPr>
              <w:t xml:space="preserve">katalogiem </w:t>
            </w:r>
            <w:r w:rsidR="00D561C3" w:rsidRPr="009A01B3">
              <w:rPr>
                <w:rFonts w:ascii="Times New Roman" w:hAnsi="Times New Roman"/>
                <w:b/>
                <w:bCs/>
                <w:color w:val="000000"/>
                <w:spacing w:val="-2"/>
              </w:rPr>
              <w:t>określon</w:t>
            </w:r>
            <w:r w:rsidR="00D561C3">
              <w:rPr>
                <w:rFonts w:ascii="Times New Roman" w:hAnsi="Times New Roman"/>
                <w:b/>
                <w:bCs/>
                <w:color w:val="000000"/>
                <w:spacing w:val="-2"/>
              </w:rPr>
              <w:t>ym</w:t>
            </w:r>
            <w:r w:rsidR="00D561C3" w:rsidRPr="009A01B3">
              <w:rPr>
                <w:rFonts w:ascii="Times New Roman" w:hAnsi="Times New Roman"/>
                <w:b/>
                <w:bCs/>
                <w:color w:val="000000"/>
                <w:spacing w:val="-2"/>
              </w:rPr>
              <w:t xml:space="preserve"> </w:t>
            </w:r>
            <w:r w:rsidRPr="009A01B3">
              <w:rPr>
                <w:rFonts w:ascii="Times New Roman" w:hAnsi="Times New Roman"/>
                <w:b/>
                <w:bCs/>
                <w:color w:val="000000"/>
                <w:spacing w:val="-2"/>
              </w:rPr>
              <w:t>w CEEAG</w:t>
            </w:r>
          </w:p>
          <w:p w14:paraId="7E2BDBEF" w14:textId="5769C18A" w:rsidR="00982CE7" w:rsidRPr="009A01B3" w:rsidRDefault="00982CE7" w:rsidP="00982CE7">
            <w:pPr>
              <w:spacing w:line="240" w:lineRule="auto"/>
              <w:jc w:val="both"/>
              <w:rPr>
                <w:rFonts w:ascii="Times New Roman" w:hAnsi="Times New Roman"/>
                <w:color w:val="000000"/>
                <w:spacing w:val="-2"/>
              </w:rPr>
            </w:pPr>
            <w:r w:rsidRPr="009A01B3">
              <w:rPr>
                <w:rFonts w:ascii="Times New Roman" w:hAnsi="Times New Roman"/>
                <w:color w:val="000000"/>
                <w:spacing w:val="-2"/>
              </w:rPr>
              <w:t xml:space="preserve">Sektory spełniające kryteria kwalifikowalności wymieniono w załączniku I CEEAG. W odniesieniu do dotychczasowego stanu prawnego </w:t>
            </w:r>
            <w:r w:rsidR="00D561C3">
              <w:rPr>
                <w:rFonts w:ascii="Times New Roman" w:hAnsi="Times New Roman"/>
                <w:color w:val="000000"/>
                <w:spacing w:val="-2"/>
              </w:rPr>
              <w:t>konieczne jest</w:t>
            </w:r>
            <w:r w:rsidRPr="009A01B3">
              <w:rPr>
                <w:rFonts w:ascii="Times New Roman" w:hAnsi="Times New Roman"/>
                <w:color w:val="000000"/>
                <w:spacing w:val="-2"/>
              </w:rPr>
              <w:t xml:space="preserve"> rozszerzenie listy o 32 sektory narażone na szczególne ryzyko (0620, 0710, 1020, 1031, 1081, 1086, 1330, 1391, 1393, 1396, 1431, 1511, 1622, 1629, 1724, 2059, 2211, 2219, 2229, 2344, 2391, 2550, 2561, 2571, 2593, 2594, 2731, 2732, 2790, 2815, 3091, 3099), 21 sektorów narażonych na ryzyko (1011, 1012, 1042, 1051, 1061, 1072, 1073, 1082, 1085, 1089, 1091, 1092, 1107, 1723, 1729, 2051, 2052, 2365, 2591, 2592, 2932), </w:t>
            </w:r>
            <w:r w:rsidR="00D561C3">
              <w:rPr>
                <w:rFonts w:ascii="Times New Roman" w:hAnsi="Times New Roman"/>
                <w:color w:val="000000"/>
                <w:spacing w:val="-2"/>
              </w:rPr>
              <w:t xml:space="preserve">oraz </w:t>
            </w:r>
            <w:r w:rsidRPr="009A01B3">
              <w:rPr>
                <w:rFonts w:ascii="Times New Roman" w:hAnsi="Times New Roman"/>
                <w:color w:val="000000"/>
                <w:spacing w:val="-2"/>
              </w:rPr>
              <w:t xml:space="preserve">pozostawienie bez zmian 59 sektorów narażonych na szczególne ryzyko (0510, 0729, 0811, 0891, 0893, 0899, 1032, 1039, 1041, 1062, 1104, 1106, 1310, 1320, 1394, 1395, 1411, 1610, 1621, 1711, 1712, 1722, 1920, 2011, 2012, 2013, 2014, 2015, 2016, 2017, 2060, 2110, 2221, 2222, 2311, 2312, 2313, 2314, 2319, 2320, 2331, 2342, 2343, 2349, 2351, 2399, 2410, 2420, 2431, 2432, 2434, 2442, 2443, 2444, 2445, 2446, 2451, 2611, 2720) i 4 narażonych na ryzyko (2332, 2352, 2452, 2453). Prawo do objęcia wsparciem utraciło 5 sektorów (2441, 2454, 2680, 3299, 3832). </w:t>
            </w:r>
          </w:p>
          <w:p w14:paraId="2C8DD4B2" w14:textId="1BB003EE" w:rsidR="00A81F0E" w:rsidRPr="00070A0C" w:rsidRDefault="00D561C3" w:rsidP="00070A0C">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Proponuje się wprowadzić </w:t>
            </w:r>
            <w:r w:rsidR="00A81F0E">
              <w:rPr>
                <w:rFonts w:ascii="Times New Roman" w:hAnsi="Times New Roman"/>
                <w:color w:val="000000"/>
                <w:spacing w:val="-2"/>
              </w:rPr>
              <w:t>dwa poziomy ulg</w:t>
            </w:r>
            <w:r>
              <w:rPr>
                <w:rFonts w:ascii="Times New Roman" w:hAnsi="Times New Roman"/>
                <w:color w:val="000000"/>
                <w:spacing w:val="-2"/>
              </w:rPr>
              <w:t>:</w:t>
            </w:r>
            <w:r w:rsidR="00A81F0E">
              <w:rPr>
                <w:rFonts w:ascii="Times New Roman" w:hAnsi="Times New Roman"/>
                <w:color w:val="000000"/>
                <w:spacing w:val="-2"/>
              </w:rPr>
              <w:t xml:space="preserve"> dla przedsiębiorstw w sektorach narażonych na szczególnie ryzyko ucieczki emisji</w:t>
            </w:r>
            <w:r w:rsidR="00B50049">
              <w:rPr>
                <w:rFonts w:ascii="Times New Roman" w:hAnsi="Times New Roman"/>
                <w:color w:val="000000"/>
                <w:spacing w:val="-2"/>
              </w:rPr>
              <w:t xml:space="preserve"> -</w:t>
            </w:r>
            <w:r w:rsidR="00A81F0E">
              <w:rPr>
                <w:rFonts w:ascii="Times New Roman" w:hAnsi="Times New Roman"/>
                <w:color w:val="000000"/>
                <w:spacing w:val="-2"/>
              </w:rPr>
              <w:t xml:space="preserve"> w wysokości 85% obowiązku oraz dla przedsiębiorstw w sektorach narażonych na ryzyko ucieczki emisji</w:t>
            </w:r>
            <w:r w:rsidR="00B50049">
              <w:rPr>
                <w:rFonts w:ascii="Times New Roman" w:hAnsi="Times New Roman"/>
                <w:color w:val="000000"/>
                <w:spacing w:val="-2"/>
              </w:rPr>
              <w:t xml:space="preserve"> -</w:t>
            </w:r>
            <w:r w:rsidR="00A81F0E">
              <w:rPr>
                <w:rFonts w:ascii="Times New Roman" w:hAnsi="Times New Roman"/>
                <w:color w:val="000000"/>
                <w:spacing w:val="-2"/>
              </w:rPr>
              <w:t xml:space="preserve"> na poziomie 75% obowiązku w odniesieniu do</w:t>
            </w:r>
            <w:r w:rsidR="00753F46">
              <w:rPr>
                <w:rFonts w:ascii="Times New Roman" w:hAnsi="Times New Roman"/>
                <w:color w:val="000000"/>
                <w:spacing w:val="-2"/>
              </w:rPr>
              <w:t>:</w:t>
            </w:r>
            <w:r w:rsidR="00A81F0E">
              <w:rPr>
                <w:rFonts w:ascii="Times New Roman" w:hAnsi="Times New Roman"/>
                <w:color w:val="000000"/>
                <w:spacing w:val="-2"/>
              </w:rPr>
              <w:t xml:space="preserve"> </w:t>
            </w:r>
          </w:p>
          <w:p w14:paraId="1C2E59B5" w14:textId="77777777" w:rsidR="00A81F0E" w:rsidRPr="009A01B3" w:rsidRDefault="00A81F0E">
            <w:pPr>
              <w:numPr>
                <w:ilvl w:val="0"/>
                <w:numId w:val="5"/>
              </w:numPr>
              <w:spacing w:line="240" w:lineRule="auto"/>
              <w:jc w:val="both"/>
              <w:rPr>
                <w:rFonts w:ascii="Times New Roman" w:hAnsi="Times New Roman"/>
                <w:color w:val="000000"/>
                <w:spacing w:val="-2"/>
              </w:rPr>
            </w:pPr>
            <w:r w:rsidRPr="009A01B3">
              <w:rPr>
                <w:rFonts w:ascii="Times New Roman" w:hAnsi="Times New Roman"/>
                <w:color w:val="000000"/>
                <w:spacing w:val="-2"/>
              </w:rPr>
              <w:t xml:space="preserve">obowiązku uzyskania i przedstawiania do umorzenia świadectw pochodzenia, </w:t>
            </w:r>
          </w:p>
          <w:p w14:paraId="7C09E4B2" w14:textId="3B542CC4" w:rsidR="00A81F0E" w:rsidRPr="00070A0C" w:rsidRDefault="00A81F0E">
            <w:pPr>
              <w:numPr>
                <w:ilvl w:val="0"/>
                <w:numId w:val="5"/>
              </w:numPr>
              <w:spacing w:line="240" w:lineRule="auto"/>
              <w:jc w:val="both"/>
              <w:rPr>
                <w:rFonts w:ascii="Times New Roman" w:hAnsi="Times New Roman"/>
                <w:color w:val="000000"/>
                <w:spacing w:val="-2"/>
              </w:rPr>
            </w:pPr>
            <w:r w:rsidRPr="009A01B3">
              <w:rPr>
                <w:rFonts w:ascii="Times New Roman" w:hAnsi="Times New Roman"/>
                <w:color w:val="000000"/>
                <w:spacing w:val="-2"/>
              </w:rPr>
              <w:t>ilości energii elektrycznej zakupionej i zużytej przez odbiorcę przemysłowego objętej opłatami OZE i CHP</w:t>
            </w:r>
            <w:r w:rsidR="00753F46">
              <w:rPr>
                <w:rFonts w:ascii="Times New Roman" w:hAnsi="Times New Roman"/>
                <w:color w:val="000000"/>
                <w:spacing w:val="-2"/>
              </w:rPr>
              <w:t>.</w:t>
            </w:r>
          </w:p>
          <w:p w14:paraId="244F5519" w14:textId="6A0DA39D" w:rsidR="00982CE7" w:rsidRPr="009A01B3" w:rsidRDefault="00D561C3" w:rsidP="00070A0C">
            <w:pPr>
              <w:spacing w:before="120" w:after="120" w:line="240" w:lineRule="auto"/>
              <w:jc w:val="both"/>
              <w:rPr>
                <w:rFonts w:ascii="Times New Roman" w:hAnsi="Times New Roman"/>
                <w:color w:val="000000"/>
                <w:spacing w:val="-2"/>
              </w:rPr>
            </w:pPr>
            <w:r w:rsidRPr="00CC552D">
              <w:rPr>
                <w:rFonts w:ascii="Times New Roman" w:hAnsi="Times New Roman"/>
                <w:spacing w:val="-2"/>
              </w:rPr>
              <w:t>Proponuje</w:t>
            </w:r>
            <w:r>
              <w:rPr>
                <w:rFonts w:ascii="Times New Roman" w:hAnsi="Times New Roman"/>
                <w:color w:val="000000"/>
                <w:spacing w:val="-2"/>
              </w:rPr>
              <w:t xml:space="preserve"> się odstąpić </w:t>
            </w:r>
            <w:r w:rsidR="00A81F0E">
              <w:rPr>
                <w:rFonts w:ascii="Times New Roman" w:hAnsi="Times New Roman"/>
                <w:color w:val="000000"/>
                <w:spacing w:val="-2"/>
              </w:rPr>
              <w:t>od ustalania dodatkowych warunków dotyczących energochłonności działalności przedsiębiorstw poza minimalnym progiem w wysokości 3%</w:t>
            </w:r>
            <w:r w:rsidR="004C5A5A">
              <w:rPr>
                <w:rFonts w:ascii="Times New Roman" w:hAnsi="Times New Roman"/>
                <w:color w:val="000000"/>
                <w:spacing w:val="-2"/>
              </w:rPr>
              <w:t>.</w:t>
            </w:r>
          </w:p>
          <w:p w14:paraId="658767C4" w14:textId="4BD0FB18" w:rsidR="00982CE7" w:rsidRPr="009A01B3" w:rsidRDefault="00982CE7" w:rsidP="00070A0C">
            <w:pPr>
              <w:spacing w:before="120" w:after="120" w:line="240" w:lineRule="auto"/>
              <w:jc w:val="both"/>
              <w:rPr>
                <w:rFonts w:ascii="Times New Roman" w:hAnsi="Times New Roman"/>
                <w:color w:val="000000"/>
                <w:spacing w:val="-2"/>
              </w:rPr>
            </w:pPr>
            <w:r w:rsidRPr="009A01B3">
              <w:rPr>
                <w:rFonts w:ascii="Times New Roman" w:hAnsi="Times New Roman"/>
                <w:color w:val="000000"/>
                <w:spacing w:val="-2"/>
              </w:rPr>
              <w:t xml:space="preserve">Dla podmiotów prowadzących działalność w sektorach PKD objętych ulgami </w:t>
            </w:r>
            <w:r w:rsidR="000530A2" w:rsidRPr="00CC552D">
              <w:rPr>
                <w:rFonts w:ascii="Times New Roman" w:hAnsi="Times New Roman"/>
                <w:spacing w:val="-2"/>
              </w:rPr>
              <w:t xml:space="preserve">na zasadach </w:t>
            </w:r>
            <w:r w:rsidRPr="00CC552D">
              <w:rPr>
                <w:rFonts w:ascii="Times New Roman" w:hAnsi="Times New Roman"/>
                <w:spacing w:val="-2"/>
              </w:rPr>
              <w:t>dotychczas</w:t>
            </w:r>
            <w:r w:rsidR="000530A2" w:rsidRPr="00CC552D">
              <w:rPr>
                <w:rFonts w:ascii="Times New Roman" w:hAnsi="Times New Roman"/>
                <w:spacing w:val="-2"/>
              </w:rPr>
              <w:t>owych</w:t>
            </w:r>
            <w:r w:rsidRPr="00CC552D">
              <w:rPr>
                <w:rFonts w:ascii="Times New Roman" w:hAnsi="Times New Roman"/>
                <w:spacing w:val="-2"/>
              </w:rPr>
              <w:t>, zaliczających się do grupy podmiotów szczególnie narażonych na ryzyko ucieczki</w:t>
            </w:r>
            <w:r w:rsidR="000530A2" w:rsidRPr="00CC552D">
              <w:rPr>
                <w:rFonts w:ascii="Times New Roman" w:hAnsi="Times New Roman"/>
                <w:spacing w:val="-2"/>
              </w:rPr>
              <w:t xml:space="preserve"> emisji wg klasyfikacji wprowadzonej przez wytyczne CEEAG</w:t>
            </w:r>
            <w:r w:rsidR="00203A1E">
              <w:rPr>
                <w:rFonts w:ascii="Times New Roman" w:hAnsi="Times New Roman"/>
                <w:color w:val="000000"/>
                <w:spacing w:val="-2"/>
              </w:rPr>
              <w:t>,</w:t>
            </w:r>
            <w:r w:rsidRPr="009A01B3">
              <w:rPr>
                <w:rFonts w:ascii="Times New Roman" w:hAnsi="Times New Roman"/>
                <w:color w:val="000000"/>
                <w:spacing w:val="-2"/>
              </w:rPr>
              <w:t xml:space="preserve"> </w:t>
            </w:r>
            <w:r w:rsidR="00FE7519" w:rsidRPr="009A01B3">
              <w:rPr>
                <w:rFonts w:ascii="Times New Roman" w:hAnsi="Times New Roman"/>
                <w:color w:val="000000"/>
                <w:spacing w:val="-2"/>
              </w:rPr>
              <w:t>poziom</w:t>
            </w:r>
            <w:r w:rsidR="00FE7519">
              <w:rPr>
                <w:rFonts w:ascii="Times New Roman" w:hAnsi="Times New Roman"/>
                <w:color w:val="000000"/>
                <w:spacing w:val="-2"/>
              </w:rPr>
              <w:t xml:space="preserve"> ulgi</w:t>
            </w:r>
            <w:r w:rsidR="00F96298">
              <w:rPr>
                <w:rFonts w:ascii="Times New Roman" w:hAnsi="Times New Roman"/>
                <w:color w:val="000000"/>
                <w:spacing w:val="-2"/>
              </w:rPr>
              <w:t xml:space="preserve"> pozostanie bez zmia</w:t>
            </w:r>
            <w:r w:rsidR="00A531E2">
              <w:rPr>
                <w:rFonts w:ascii="Times New Roman" w:hAnsi="Times New Roman"/>
                <w:color w:val="000000"/>
                <w:spacing w:val="-2"/>
              </w:rPr>
              <w:t>n.</w:t>
            </w:r>
          </w:p>
          <w:p w14:paraId="643FA31C" w14:textId="7F147554" w:rsidR="004C5A5A" w:rsidRPr="009A01B3" w:rsidRDefault="00982CE7" w:rsidP="00070A0C">
            <w:pPr>
              <w:spacing w:before="120" w:after="120" w:line="240" w:lineRule="auto"/>
              <w:jc w:val="both"/>
              <w:rPr>
                <w:rFonts w:ascii="Times New Roman" w:hAnsi="Times New Roman"/>
                <w:b/>
                <w:bCs/>
                <w:color w:val="000000"/>
                <w:spacing w:val="-2"/>
              </w:rPr>
            </w:pPr>
            <w:r w:rsidRPr="009A01B3">
              <w:rPr>
                <w:rFonts w:ascii="Times New Roman" w:hAnsi="Times New Roman"/>
                <w:b/>
                <w:bCs/>
                <w:color w:val="000000"/>
                <w:spacing w:val="-2"/>
              </w:rPr>
              <w:t>Kwalifikacja przedsiębiorstwa jako odbiorcy przemysłowego</w:t>
            </w:r>
          </w:p>
          <w:p w14:paraId="616A4CCD" w14:textId="78234F52" w:rsidR="006C798F" w:rsidRDefault="00982CE7" w:rsidP="006C798F">
            <w:pPr>
              <w:spacing w:line="240" w:lineRule="auto"/>
              <w:jc w:val="both"/>
              <w:rPr>
                <w:rFonts w:ascii="Times New Roman" w:hAnsi="Times New Roman"/>
                <w:color w:val="000000"/>
                <w:spacing w:val="-2"/>
              </w:rPr>
            </w:pPr>
            <w:r w:rsidRPr="009A01B3">
              <w:rPr>
                <w:rFonts w:ascii="Times New Roman" w:hAnsi="Times New Roman"/>
                <w:color w:val="000000"/>
                <w:spacing w:val="-2"/>
              </w:rPr>
              <w:t>Utrzymane zosta</w:t>
            </w:r>
            <w:r w:rsidR="00F96298">
              <w:rPr>
                <w:rFonts w:ascii="Times New Roman" w:hAnsi="Times New Roman"/>
                <w:color w:val="000000"/>
                <w:spacing w:val="-2"/>
              </w:rPr>
              <w:t>ni</w:t>
            </w:r>
            <w:r w:rsidRPr="009A01B3">
              <w:rPr>
                <w:rFonts w:ascii="Times New Roman" w:hAnsi="Times New Roman"/>
                <w:color w:val="000000"/>
                <w:spacing w:val="-2"/>
              </w:rPr>
              <w:t xml:space="preserve">e kryterium kwalifikacji przedsiębiorstwa jako odbiorcy przemysłowego w odniesieniu do minimalnego progu na poziomie 3% energochłonności. Pozostawienie tego warunku pozwala na ograniczenie ryzyka rozszerzenia listy beneficjentów na podmioty o niskim udziale kosztów energii w kosztach działalności oraz związanego z tym ryzyka nadmiernego wzrostu kosztów </w:t>
            </w:r>
            <w:r w:rsidR="00203A1E">
              <w:rPr>
                <w:rFonts w:ascii="Times New Roman" w:hAnsi="Times New Roman"/>
                <w:color w:val="000000"/>
                <w:spacing w:val="-2"/>
              </w:rPr>
              <w:t>wynikających z przyznanych ulg</w:t>
            </w:r>
            <w:r w:rsidRPr="009A01B3">
              <w:rPr>
                <w:rFonts w:ascii="Times New Roman" w:hAnsi="Times New Roman"/>
                <w:color w:val="000000"/>
                <w:spacing w:val="-2"/>
              </w:rPr>
              <w:t xml:space="preserve"> dla pozostałych odbiorców (w przypadku opłaty OZE i CHP). </w:t>
            </w:r>
          </w:p>
          <w:p w14:paraId="6B1D37D4" w14:textId="08256000" w:rsidR="008E57FB" w:rsidRDefault="008E57FB" w:rsidP="004253F2">
            <w:pPr>
              <w:spacing w:before="120" w:after="120" w:line="240" w:lineRule="auto"/>
              <w:jc w:val="both"/>
              <w:rPr>
                <w:rFonts w:ascii="Times New Roman" w:hAnsi="Times New Roman"/>
                <w:b/>
                <w:bCs/>
                <w:color w:val="000000"/>
              </w:rPr>
            </w:pPr>
            <w:r w:rsidRPr="00982CE7">
              <w:rPr>
                <w:rFonts w:ascii="Times New Roman" w:hAnsi="Times New Roman"/>
                <w:b/>
                <w:bCs/>
                <w:color w:val="000000"/>
              </w:rPr>
              <w:t>Wprowadzenie minimalnej stawki opłat po ulgach</w:t>
            </w:r>
          </w:p>
          <w:p w14:paraId="37540701" w14:textId="0AB2AC64" w:rsidR="00EF6E0D" w:rsidRPr="00FE7519" w:rsidRDefault="008E57FB" w:rsidP="00FE7519">
            <w:pPr>
              <w:spacing w:line="240" w:lineRule="auto"/>
              <w:jc w:val="both"/>
              <w:rPr>
                <w:rFonts w:ascii="Times New Roman" w:hAnsi="Times New Roman"/>
                <w:color w:val="000000"/>
                <w:spacing w:val="-2"/>
              </w:rPr>
            </w:pPr>
            <w:r w:rsidRPr="00FE7519">
              <w:rPr>
                <w:rFonts w:ascii="Times New Roman" w:hAnsi="Times New Roman"/>
                <w:color w:val="000000"/>
                <w:spacing w:val="-2"/>
              </w:rPr>
              <w:t>W celu zapewnienia spełnienia warunku</w:t>
            </w:r>
            <w:r w:rsidR="00EC184C" w:rsidRPr="00FE7519">
              <w:rPr>
                <w:rFonts w:ascii="Times New Roman" w:hAnsi="Times New Roman"/>
                <w:color w:val="000000"/>
                <w:spacing w:val="-2"/>
              </w:rPr>
              <w:t xml:space="preserve">, </w:t>
            </w:r>
            <w:r w:rsidR="00867808" w:rsidRPr="00FE7519">
              <w:rPr>
                <w:rFonts w:ascii="Times New Roman" w:hAnsi="Times New Roman"/>
                <w:color w:val="000000"/>
                <w:spacing w:val="-2"/>
              </w:rPr>
              <w:t>a</w:t>
            </w:r>
            <w:r w:rsidR="00EC184C" w:rsidRPr="00FE7519">
              <w:rPr>
                <w:rFonts w:ascii="Times New Roman" w:hAnsi="Times New Roman"/>
                <w:color w:val="000000"/>
                <w:spacing w:val="-2"/>
              </w:rPr>
              <w:t xml:space="preserve">by </w:t>
            </w:r>
            <w:r w:rsidR="00867808" w:rsidRPr="00FE7519">
              <w:rPr>
                <w:rFonts w:ascii="Times New Roman" w:hAnsi="Times New Roman"/>
                <w:color w:val="000000"/>
                <w:spacing w:val="-2"/>
              </w:rPr>
              <w:t xml:space="preserve">energia elektryczna </w:t>
            </w:r>
            <w:r w:rsidR="00EF6E0D" w:rsidRPr="00FE7519">
              <w:rPr>
                <w:rFonts w:ascii="Times New Roman" w:hAnsi="Times New Roman"/>
                <w:color w:val="000000"/>
                <w:spacing w:val="-2"/>
              </w:rPr>
              <w:t>nabywan</w:t>
            </w:r>
            <w:r w:rsidR="00BB7F4F" w:rsidRPr="00FE7519">
              <w:rPr>
                <w:rFonts w:ascii="Times New Roman" w:hAnsi="Times New Roman"/>
                <w:color w:val="000000"/>
                <w:spacing w:val="-2"/>
              </w:rPr>
              <w:t>a</w:t>
            </w:r>
            <w:r w:rsidR="00EF6E0D" w:rsidRPr="00FE7519">
              <w:rPr>
                <w:rFonts w:ascii="Times New Roman" w:hAnsi="Times New Roman"/>
                <w:color w:val="000000"/>
                <w:spacing w:val="-2"/>
              </w:rPr>
              <w:t xml:space="preserve"> przez odbiorców przemysłowych </w:t>
            </w:r>
            <w:r w:rsidR="00EC184C" w:rsidRPr="00FE7519">
              <w:rPr>
                <w:rFonts w:ascii="Times New Roman" w:hAnsi="Times New Roman"/>
                <w:color w:val="000000"/>
                <w:spacing w:val="-2"/>
              </w:rPr>
              <w:t>objęt</w:t>
            </w:r>
            <w:r w:rsidR="00EF6E0D" w:rsidRPr="00FE7519">
              <w:rPr>
                <w:rFonts w:ascii="Times New Roman" w:hAnsi="Times New Roman"/>
                <w:color w:val="000000"/>
                <w:spacing w:val="-2"/>
              </w:rPr>
              <w:t>a była</w:t>
            </w:r>
            <w:r w:rsidR="00126E5B">
              <w:rPr>
                <w:rFonts w:ascii="Times New Roman" w:hAnsi="Times New Roman"/>
                <w:color w:val="000000"/>
                <w:spacing w:val="-2"/>
              </w:rPr>
              <w:t>,</w:t>
            </w:r>
            <w:r w:rsidR="00EC184C" w:rsidRPr="00FE7519">
              <w:rPr>
                <w:rFonts w:ascii="Times New Roman" w:hAnsi="Times New Roman"/>
                <w:color w:val="000000"/>
                <w:spacing w:val="-2"/>
              </w:rPr>
              <w:t xml:space="preserve"> </w:t>
            </w:r>
            <w:r w:rsidR="00EF6E0D" w:rsidRPr="00FE7519">
              <w:rPr>
                <w:rFonts w:ascii="Times New Roman" w:hAnsi="Times New Roman"/>
                <w:color w:val="000000"/>
                <w:spacing w:val="-2"/>
              </w:rPr>
              <w:t>po uwzględnieniu ulg</w:t>
            </w:r>
            <w:r w:rsidR="00126E5B">
              <w:rPr>
                <w:rFonts w:ascii="Times New Roman" w:hAnsi="Times New Roman"/>
                <w:color w:val="000000"/>
                <w:spacing w:val="-2"/>
              </w:rPr>
              <w:t>,</w:t>
            </w:r>
            <w:r w:rsidR="00EF6E0D" w:rsidRPr="00FE7519">
              <w:rPr>
                <w:rFonts w:ascii="Times New Roman" w:hAnsi="Times New Roman"/>
                <w:color w:val="000000"/>
                <w:spacing w:val="-2"/>
              </w:rPr>
              <w:t xml:space="preserve"> </w:t>
            </w:r>
            <w:r w:rsidR="00126E5B">
              <w:rPr>
                <w:rFonts w:ascii="Times New Roman" w:hAnsi="Times New Roman"/>
                <w:color w:val="000000"/>
                <w:spacing w:val="-2"/>
              </w:rPr>
              <w:t>opłatami o łącznej wysokości</w:t>
            </w:r>
            <w:r w:rsidR="00EF6E0D" w:rsidRPr="00FE7519">
              <w:rPr>
                <w:rFonts w:ascii="Times New Roman" w:hAnsi="Times New Roman"/>
                <w:color w:val="000000"/>
                <w:spacing w:val="-2"/>
              </w:rPr>
              <w:t xml:space="preserve"> nie </w:t>
            </w:r>
            <w:r w:rsidR="00126E5B" w:rsidRPr="00FE7519">
              <w:rPr>
                <w:rFonts w:ascii="Times New Roman" w:hAnsi="Times New Roman"/>
                <w:color w:val="000000"/>
                <w:spacing w:val="-2"/>
              </w:rPr>
              <w:t>niższ</w:t>
            </w:r>
            <w:r w:rsidR="00126E5B">
              <w:rPr>
                <w:rFonts w:ascii="Times New Roman" w:hAnsi="Times New Roman"/>
                <w:color w:val="000000"/>
                <w:spacing w:val="-2"/>
              </w:rPr>
              <w:t>ej</w:t>
            </w:r>
            <w:r w:rsidR="00126E5B" w:rsidRPr="00FE7519">
              <w:rPr>
                <w:rFonts w:ascii="Times New Roman" w:hAnsi="Times New Roman"/>
                <w:color w:val="000000"/>
                <w:spacing w:val="-2"/>
              </w:rPr>
              <w:t xml:space="preserve"> </w:t>
            </w:r>
            <w:r w:rsidR="00EF6E0D" w:rsidRPr="00FE7519">
              <w:rPr>
                <w:rFonts w:ascii="Times New Roman" w:hAnsi="Times New Roman"/>
                <w:color w:val="000000"/>
                <w:spacing w:val="-2"/>
              </w:rPr>
              <w:t>niż</w:t>
            </w:r>
            <w:r w:rsidR="00EC184C" w:rsidRPr="00FE7519">
              <w:rPr>
                <w:rFonts w:ascii="Times New Roman" w:hAnsi="Times New Roman"/>
                <w:color w:val="000000"/>
                <w:spacing w:val="-2"/>
              </w:rPr>
              <w:t xml:space="preserve"> </w:t>
            </w:r>
            <w:r w:rsidRPr="00FE7519">
              <w:rPr>
                <w:rFonts w:ascii="Times New Roman" w:hAnsi="Times New Roman"/>
                <w:color w:val="000000"/>
                <w:spacing w:val="-2"/>
              </w:rPr>
              <w:t>0,5 EUR/MWh wprowadza się opłatę wyrównawczą, która będzie wnoszona przez odbiorców energochłonnych uprawnionych do ulg w przypadku, gdy ulgi te spowodują</w:t>
            </w:r>
            <w:r w:rsidR="00126E5B">
              <w:rPr>
                <w:rFonts w:ascii="Times New Roman" w:hAnsi="Times New Roman"/>
                <w:color w:val="000000"/>
                <w:spacing w:val="-2"/>
              </w:rPr>
              <w:t>, że łączna wysokość opłat</w:t>
            </w:r>
            <w:r w:rsidRPr="00FE7519">
              <w:rPr>
                <w:rFonts w:ascii="Times New Roman" w:hAnsi="Times New Roman"/>
                <w:color w:val="000000"/>
                <w:spacing w:val="-2"/>
              </w:rPr>
              <w:t xml:space="preserve"> spadnie poniżej </w:t>
            </w:r>
            <w:r w:rsidR="00126E5B">
              <w:rPr>
                <w:rFonts w:ascii="Times New Roman" w:hAnsi="Times New Roman"/>
                <w:color w:val="000000"/>
                <w:spacing w:val="-2"/>
              </w:rPr>
              <w:t xml:space="preserve">ww. </w:t>
            </w:r>
            <w:r w:rsidR="00EC184C" w:rsidRPr="00FE7519">
              <w:rPr>
                <w:rFonts w:ascii="Times New Roman" w:hAnsi="Times New Roman"/>
                <w:color w:val="000000"/>
                <w:spacing w:val="-2"/>
              </w:rPr>
              <w:t>poziomu</w:t>
            </w:r>
            <w:r w:rsidR="00126E5B">
              <w:rPr>
                <w:rFonts w:ascii="Times New Roman" w:hAnsi="Times New Roman"/>
                <w:color w:val="000000"/>
                <w:spacing w:val="-2"/>
              </w:rPr>
              <w:t xml:space="preserve"> wynikającego z CEEAG</w:t>
            </w:r>
            <w:r w:rsidRPr="00FE7519">
              <w:rPr>
                <w:rFonts w:ascii="Times New Roman" w:hAnsi="Times New Roman"/>
                <w:color w:val="000000"/>
                <w:spacing w:val="-2"/>
              </w:rPr>
              <w:t>.</w:t>
            </w:r>
          </w:p>
          <w:p w14:paraId="15346624" w14:textId="04EA9B4A" w:rsidR="004C5A5A" w:rsidRPr="00FE7519" w:rsidRDefault="006C798F" w:rsidP="00FE7519">
            <w:pPr>
              <w:spacing w:before="120" w:after="120" w:line="240" w:lineRule="auto"/>
              <w:jc w:val="both"/>
              <w:rPr>
                <w:rFonts w:ascii="Times New Roman" w:hAnsi="Times New Roman"/>
                <w:b/>
                <w:bCs/>
                <w:color w:val="000000"/>
              </w:rPr>
            </w:pPr>
            <w:r w:rsidRPr="00FE7519">
              <w:rPr>
                <w:rFonts w:ascii="Times New Roman" w:hAnsi="Times New Roman"/>
                <w:b/>
                <w:bCs/>
                <w:color w:val="000000"/>
              </w:rPr>
              <w:t>Odstąpienie od możliwości wsparcia kogeneracji opartej na paliwach węglowych</w:t>
            </w:r>
          </w:p>
          <w:p w14:paraId="6378EB9B" w14:textId="7205D3B3" w:rsidR="006C798F" w:rsidRPr="006C798F" w:rsidRDefault="006C798F" w:rsidP="00070A0C">
            <w:pPr>
              <w:spacing w:before="120" w:after="120" w:line="240" w:lineRule="auto"/>
              <w:jc w:val="both"/>
              <w:rPr>
                <w:rFonts w:ascii="Times New Roman" w:hAnsi="Times New Roman"/>
                <w:color w:val="000000"/>
                <w:spacing w:val="-2"/>
              </w:rPr>
            </w:pPr>
            <w:r w:rsidRPr="006C798F">
              <w:rPr>
                <w:rFonts w:ascii="Times New Roman" w:hAnsi="Times New Roman"/>
                <w:color w:val="000000"/>
                <w:spacing w:val="-2"/>
              </w:rPr>
              <w:t>Proponowana zmiana pozwoli na wyłączenie możliwości udzielania pomocy operacyjnej w ramach mechanizmu wsparcia energii elektrycznej z wysokosprawnej kogeneracji na budowę nowych jednostek kogeneracji, opalanych paliwami węglowymi.</w:t>
            </w:r>
          </w:p>
          <w:p w14:paraId="30F387D4" w14:textId="7E2E922D" w:rsidR="006C798F" w:rsidRPr="006C798F" w:rsidRDefault="006C798F" w:rsidP="00070A0C">
            <w:pPr>
              <w:spacing w:before="120" w:after="120" w:line="240" w:lineRule="auto"/>
              <w:jc w:val="both"/>
              <w:rPr>
                <w:rFonts w:ascii="Times New Roman" w:hAnsi="Times New Roman"/>
                <w:color w:val="000000"/>
                <w:spacing w:val="-2"/>
              </w:rPr>
            </w:pPr>
            <w:r w:rsidRPr="006C798F">
              <w:rPr>
                <w:rFonts w:ascii="Times New Roman" w:hAnsi="Times New Roman"/>
                <w:color w:val="000000"/>
                <w:spacing w:val="-2"/>
              </w:rPr>
              <w:t xml:space="preserve">Proponowana zmiana doprecyzowuje definicję paliw węglowych, które nie będą podlegały wsparciu, jednocześnie zastępując zdefiniowane dotychczas paliwa stałe. </w:t>
            </w:r>
          </w:p>
          <w:p w14:paraId="09AEA6C9" w14:textId="64975ECE" w:rsidR="006C798F" w:rsidRPr="006C798F" w:rsidRDefault="006C798F" w:rsidP="00070A0C">
            <w:pPr>
              <w:spacing w:before="120" w:after="120" w:line="240" w:lineRule="auto"/>
              <w:jc w:val="both"/>
              <w:rPr>
                <w:rFonts w:ascii="Times New Roman" w:hAnsi="Times New Roman"/>
                <w:color w:val="000000"/>
                <w:spacing w:val="-2"/>
              </w:rPr>
            </w:pPr>
            <w:r w:rsidRPr="006C798F">
              <w:rPr>
                <w:rFonts w:ascii="Times New Roman" w:hAnsi="Times New Roman"/>
                <w:color w:val="000000"/>
                <w:spacing w:val="-2"/>
              </w:rPr>
              <w:lastRenderedPageBreak/>
              <w:t>Zmiany w kolejnych wskazanych przepisach wynika</w:t>
            </w:r>
            <w:r w:rsidR="008A026C">
              <w:rPr>
                <w:rFonts w:ascii="Times New Roman" w:hAnsi="Times New Roman"/>
                <w:color w:val="000000"/>
                <w:spacing w:val="-2"/>
              </w:rPr>
              <w:t>ć będą</w:t>
            </w:r>
            <w:r w:rsidRPr="006C798F">
              <w:rPr>
                <w:rFonts w:ascii="Times New Roman" w:hAnsi="Times New Roman"/>
                <w:color w:val="000000"/>
                <w:spacing w:val="-2"/>
              </w:rPr>
              <w:t xml:space="preserve"> z konieczności wyłączenia możliwości wspierania w ramach mechanizmu jednostek kogeneracji opalanych paliwami węglowymi:</w:t>
            </w:r>
          </w:p>
          <w:p w14:paraId="0E9F91D7" w14:textId="4B010685" w:rsidR="009645DA" w:rsidRPr="00070A0C" w:rsidRDefault="006C798F">
            <w:pPr>
              <w:pStyle w:val="Akapitzlist"/>
              <w:numPr>
                <w:ilvl w:val="0"/>
                <w:numId w:val="11"/>
              </w:numPr>
              <w:spacing w:line="240" w:lineRule="auto"/>
              <w:jc w:val="both"/>
              <w:rPr>
                <w:rFonts w:ascii="Times New Roman" w:hAnsi="Times New Roman"/>
                <w:color w:val="000000"/>
                <w:spacing w:val="-2"/>
              </w:rPr>
            </w:pPr>
            <w:r w:rsidRPr="00070A0C">
              <w:rPr>
                <w:rFonts w:ascii="Times New Roman" w:hAnsi="Times New Roman"/>
                <w:color w:val="000000"/>
                <w:spacing w:val="-2"/>
              </w:rPr>
              <w:t xml:space="preserve">usunięcie wymogu w zakresie jednostkowego wskaźnika emisji dwutlenku węgla </w:t>
            </w:r>
            <w:r w:rsidR="00E60110">
              <w:rPr>
                <w:rFonts w:ascii="Times New Roman" w:hAnsi="Times New Roman"/>
                <w:color w:val="000000"/>
                <w:spacing w:val="-2"/>
              </w:rPr>
              <w:t>n</w:t>
            </w:r>
            <w:r w:rsidRPr="00070A0C">
              <w:rPr>
                <w:rFonts w:ascii="Times New Roman" w:hAnsi="Times New Roman"/>
                <w:color w:val="000000"/>
                <w:spacing w:val="-2"/>
              </w:rPr>
              <w:t>a poziomie nie wyższym niż 450 kg na 1 MWh</w:t>
            </w:r>
            <w:r w:rsidR="008D4355">
              <w:rPr>
                <w:rFonts w:ascii="Times New Roman" w:hAnsi="Times New Roman"/>
                <w:color w:val="000000"/>
                <w:spacing w:val="-2"/>
              </w:rPr>
              <w:t>;</w:t>
            </w:r>
          </w:p>
          <w:p w14:paraId="0CB33F4D" w14:textId="4A898865" w:rsidR="009645DA" w:rsidRPr="00070A0C" w:rsidRDefault="006C798F">
            <w:pPr>
              <w:pStyle w:val="Akapitzlist"/>
              <w:numPr>
                <w:ilvl w:val="0"/>
                <w:numId w:val="11"/>
              </w:numPr>
              <w:spacing w:line="240" w:lineRule="auto"/>
              <w:jc w:val="both"/>
              <w:rPr>
                <w:rFonts w:ascii="Times New Roman" w:hAnsi="Times New Roman"/>
                <w:color w:val="000000"/>
                <w:spacing w:val="-2"/>
              </w:rPr>
            </w:pPr>
            <w:r w:rsidRPr="00070A0C">
              <w:rPr>
                <w:rFonts w:ascii="Times New Roman" w:hAnsi="Times New Roman"/>
                <w:color w:val="000000"/>
                <w:spacing w:val="-2"/>
              </w:rPr>
              <w:t>zniesienie obowiązku załączania ekspertyzy potwierdzającej brak możliwości zasilenia nowobudowanej lub znacznie modernizowanej jednostki kogeneracji paliwem innym niż węgiel</w:t>
            </w:r>
            <w:r w:rsidR="008D4355">
              <w:rPr>
                <w:rFonts w:ascii="Times New Roman" w:hAnsi="Times New Roman"/>
                <w:color w:val="000000"/>
                <w:spacing w:val="-2"/>
              </w:rPr>
              <w:t>;</w:t>
            </w:r>
          </w:p>
          <w:p w14:paraId="7197C83A" w14:textId="208F9B49" w:rsidR="008A026C" w:rsidRPr="006C798F" w:rsidRDefault="006C798F">
            <w:pPr>
              <w:pStyle w:val="Akapitzlist"/>
              <w:numPr>
                <w:ilvl w:val="0"/>
                <w:numId w:val="11"/>
              </w:numPr>
              <w:spacing w:line="240" w:lineRule="auto"/>
              <w:jc w:val="both"/>
            </w:pPr>
            <w:r w:rsidRPr="00070A0C">
              <w:rPr>
                <w:rFonts w:ascii="Times New Roman" w:hAnsi="Times New Roman"/>
                <w:color w:val="000000"/>
                <w:spacing w:val="-2"/>
              </w:rPr>
              <w:t>zmiana regulacji w art. 66 ust.</w:t>
            </w:r>
            <w:r w:rsidR="00A94E61" w:rsidRPr="00070A0C">
              <w:rPr>
                <w:rFonts w:ascii="Times New Roman" w:hAnsi="Times New Roman"/>
                <w:color w:val="000000"/>
                <w:spacing w:val="-2"/>
              </w:rPr>
              <w:t xml:space="preserve"> </w:t>
            </w:r>
            <w:r w:rsidRPr="00070A0C">
              <w:rPr>
                <w:rFonts w:ascii="Times New Roman" w:hAnsi="Times New Roman"/>
                <w:color w:val="000000"/>
                <w:spacing w:val="-2"/>
              </w:rPr>
              <w:t xml:space="preserve">2 </w:t>
            </w:r>
            <w:r w:rsidR="00A94E61" w:rsidRPr="00070A0C">
              <w:rPr>
                <w:rFonts w:ascii="Times New Roman" w:hAnsi="Times New Roman"/>
                <w:color w:val="000000"/>
                <w:spacing w:val="-2"/>
              </w:rPr>
              <w:t>ustawy CHP</w:t>
            </w:r>
            <w:r w:rsidRPr="00070A0C">
              <w:rPr>
                <w:rFonts w:ascii="Times New Roman" w:hAnsi="Times New Roman"/>
                <w:color w:val="000000"/>
                <w:spacing w:val="-2"/>
              </w:rPr>
              <w:t xml:space="preserve"> wynikająca z braku zasadności przekazywania Prezesowi URE danych, o których mowa w art. 66 ust. 2 tej ustawy</w:t>
            </w:r>
            <w:r w:rsidR="004D456A" w:rsidRPr="00070A0C">
              <w:rPr>
                <w:rFonts w:ascii="Times New Roman" w:hAnsi="Times New Roman"/>
                <w:color w:val="000000"/>
                <w:spacing w:val="-2"/>
              </w:rPr>
              <w:t>.</w:t>
            </w:r>
            <w:r w:rsidRPr="00070A0C">
              <w:rPr>
                <w:rFonts w:ascii="Times New Roman" w:hAnsi="Times New Roman"/>
                <w:color w:val="000000"/>
                <w:spacing w:val="-2"/>
              </w:rPr>
              <w:t xml:space="preserve"> </w:t>
            </w:r>
            <w:r w:rsidR="004D456A" w:rsidRPr="00070A0C">
              <w:rPr>
                <w:rFonts w:ascii="Times New Roman" w:hAnsi="Times New Roman"/>
                <w:color w:val="000000"/>
                <w:spacing w:val="-2"/>
              </w:rPr>
              <w:t>O</w:t>
            </w:r>
            <w:r w:rsidRPr="00070A0C">
              <w:rPr>
                <w:rFonts w:ascii="Times New Roman" w:hAnsi="Times New Roman"/>
                <w:color w:val="000000"/>
                <w:spacing w:val="-2"/>
              </w:rPr>
              <w:t xml:space="preserve">bowiązek ten jest nadmiarowy. Jednocześnie, zmiana brzmienia tego przepisu powinna zostać powiązana z uchyleniem art. 87 ust. 1 pkt 2 </w:t>
            </w:r>
            <w:r w:rsidR="00A94E61" w:rsidRPr="00070A0C">
              <w:rPr>
                <w:rFonts w:ascii="Times New Roman" w:hAnsi="Times New Roman"/>
                <w:color w:val="000000"/>
                <w:spacing w:val="-2"/>
              </w:rPr>
              <w:t xml:space="preserve">tej ustawy </w:t>
            </w:r>
            <w:r w:rsidRPr="00070A0C">
              <w:rPr>
                <w:rFonts w:ascii="Times New Roman" w:hAnsi="Times New Roman"/>
                <w:color w:val="000000"/>
                <w:spacing w:val="-2"/>
              </w:rPr>
              <w:t>przewidującym możliwość wymierzenia kary pieniężnej z tytułu nie przesłania informacji</w:t>
            </w:r>
            <w:r w:rsidR="004D456A" w:rsidRPr="00070A0C">
              <w:rPr>
                <w:rFonts w:ascii="Times New Roman" w:hAnsi="Times New Roman"/>
                <w:color w:val="000000"/>
                <w:spacing w:val="-2"/>
              </w:rPr>
              <w:t>,</w:t>
            </w:r>
            <w:r w:rsidRPr="00070A0C">
              <w:rPr>
                <w:rFonts w:ascii="Times New Roman" w:hAnsi="Times New Roman"/>
                <w:color w:val="000000"/>
                <w:spacing w:val="-2"/>
              </w:rPr>
              <w:t xml:space="preserve"> o których mowa w art. 66 ust. 2 lub 3</w:t>
            </w:r>
            <w:r w:rsidR="00A94E61" w:rsidRPr="00070A0C">
              <w:rPr>
                <w:rFonts w:ascii="Times New Roman" w:hAnsi="Times New Roman"/>
                <w:color w:val="000000"/>
                <w:spacing w:val="-2"/>
              </w:rPr>
              <w:t xml:space="preserve"> tej ustawy</w:t>
            </w:r>
            <w:r w:rsidRPr="00070A0C">
              <w:rPr>
                <w:rFonts w:ascii="Times New Roman" w:hAnsi="Times New Roman"/>
                <w:color w:val="000000"/>
                <w:spacing w:val="-2"/>
              </w:rPr>
              <w:t>, albo przesłania informacji niepełnej lub nieprawdziwej.</w:t>
            </w:r>
          </w:p>
          <w:p w14:paraId="50FBEB40" w14:textId="77777777" w:rsidR="00764DF9" w:rsidRPr="00764DF9" w:rsidRDefault="00764DF9" w:rsidP="00070A0C">
            <w:pPr>
              <w:spacing w:before="120" w:after="120" w:line="240" w:lineRule="auto"/>
              <w:jc w:val="both"/>
              <w:rPr>
                <w:rFonts w:ascii="Times New Roman" w:hAnsi="Times New Roman"/>
                <w:b/>
                <w:bCs/>
                <w:iCs/>
                <w:color w:val="000000"/>
                <w:spacing w:val="-2"/>
              </w:rPr>
            </w:pPr>
            <w:r w:rsidRPr="00764DF9">
              <w:rPr>
                <w:rFonts w:ascii="Times New Roman" w:hAnsi="Times New Roman"/>
                <w:b/>
                <w:bCs/>
                <w:iCs/>
                <w:color w:val="000000"/>
                <w:spacing w:val="-2"/>
              </w:rPr>
              <w:t>Skutki proponowanych zmian</w:t>
            </w:r>
          </w:p>
          <w:p w14:paraId="6B7CCC0A" w14:textId="77777777" w:rsidR="00764DF9" w:rsidRPr="00070A0C" w:rsidRDefault="00764DF9" w:rsidP="00764DF9">
            <w:pPr>
              <w:spacing w:line="240" w:lineRule="auto"/>
              <w:jc w:val="both"/>
              <w:rPr>
                <w:rFonts w:ascii="Times New Roman" w:hAnsi="Times New Roman"/>
                <w:iCs/>
                <w:color w:val="000000"/>
                <w:spacing w:val="-2"/>
              </w:rPr>
            </w:pPr>
            <w:r w:rsidRPr="00070A0C">
              <w:rPr>
                <w:rFonts w:ascii="Times New Roman" w:hAnsi="Times New Roman"/>
                <w:iCs/>
                <w:color w:val="000000"/>
                <w:spacing w:val="-2"/>
              </w:rPr>
              <w:t xml:space="preserve">Skutkami proponowanych zmian legislacyjnych będzie: </w:t>
            </w:r>
          </w:p>
          <w:p w14:paraId="2DAC9B03" w14:textId="16468559" w:rsidR="00764DF9" w:rsidRPr="00070A0C" w:rsidRDefault="00B50049">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o</w:t>
            </w:r>
            <w:r w:rsidRPr="00070A0C">
              <w:rPr>
                <w:rFonts w:ascii="Times New Roman" w:hAnsi="Times New Roman"/>
                <w:iCs/>
                <w:color w:val="000000"/>
                <w:spacing w:val="-2"/>
              </w:rPr>
              <w:t xml:space="preserve">bjęcie </w:t>
            </w:r>
            <w:r w:rsidR="00764DF9" w:rsidRPr="00070A0C">
              <w:rPr>
                <w:rFonts w:ascii="Times New Roman" w:hAnsi="Times New Roman"/>
                <w:iCs/>
                <w:color w:val="000000"/>
                <w:spacing w:val="-2"/>
              </w:rPr>
              <w:t xml:space="preserve">programem pomocowym – ulga 85% </w:t>
            </w:r>
            <w:r w:rsidR="004253F2" w:rsidRPr="00070A0C">
              <w:rPr>
                <w:rFonts w:ascii="Times New Roman" w:hAnsi="Times New Roman"/>
                <w:iCs/>
                <w:color w:val="000000"/>
                <w:spacing w:val="-2"/>
              </w:rPr>
              <w:t>–</w:t>
            </w:r>
            <w:r w:rsidR="00764DF9" w:rsidRPr="00070A0C">
              <w:rPr>
                <w:rFonts w:ascii="Times New Roman" w:hAnsi="Times New Roman"/>
                <w:iCs/>
                <w:color w:val="000000"/>
                <w:spacing w:val="-2"/>
              </w:rPr>
              <w:t xml:space="preserve"> podmiotów prowadzących działalność w dodatkowych sektorach szczególnie narażonych na ucieczkę emisji</w:t>
            </w:r>
            <w:r w:rsidR="008D4355">
              <w:rPr>
                <w:rFonts w:ascii="Times New Roman" w:hAnsi="Times New Roman"/>
                <w:iCs/>
                <w:color w:val="000000"/>
                <w:spacing w:val="-2"/>
              </w:rPr>
              <w:t>;</w:t>
            </w:r>
          </w:p>
          <w:p w14:paraId="51C393D6" w14:textId="241D5CCA" w:rsidR="00764DF9" w:rsidRPr="00070A0C" w:rsidRDefault="00B50049">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d</w:t>
            </w:r>
            <w:r w:rsidRPr="00070A0C">
              <w:rPr>
                <w:rFonts w:ascii="Times New Roman" w:hAnsi="Times New Roman"/>
                <w:iCs/>
                <w:color w:val="000000"/>
                <w:spacing w:val="-2"/>
              </w:rPr>
              <w:t xml:space="preserve">ostosowanie </w:t>
            </w:r>
            <w:r w:rsidR="00764DF9" w:rsidRPr="00070A0C">
              <w:rPr>
                <w:rFonts w:ascii="Times New Roman" w:hAnsi="Times New Roman"/>
                <w:iCs/>
                <w:color w:val="000000"/>
                <w:spacing w:val="-2"/>
              </w:rPr>
              <w:t>maksymalnego poziomu ulgi do 75% dla przedsiębiorstw z sektorów narażonych na ucieczkę emisji, objętych dotychczas wsparciem</w:t>
            </w:r>
            <w:r w:rsidR="008D4355">
              <w:rPr>
                <w:rFonts w:ascii="Times New Roman" w:hAnsi="Times New Roman"/>
                <w:iCs/>
                <w:color w:val="000000"/>
                <w:spacing w:val="-2"/>
              </w:rPr>
              <w:t>;</w:t>
            </w:r>
          </w:p>
          <w:p w14:paraId="187F0F42" w14:textId="4583A59E" w:rsidR="004C1C72" w:rsidRPr="00070A0C" w:rsidRDefault="00B50049">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u</w:t>
            </w:r>
            <w:r w:rsidRPr="00070A0C">
              <w:rPr>
                <w:rFonts w:ascii="Times New Roman" w:hAnsi="Times New Roman"/>
                <w:iCs/>
                <w:color w:val="000000"/>
                <w:spacing w:val="-2"/>
              </w:rPr>
              <w:t xml:space="preserve">trata </w:t>
            </w:r>
            <w:r w:rsidR="00764DF9" w:rsidRPr="00070A0C">
              <w:rPr>
                <w:rFonts w:ascii="Times New Roman" w:hAnsi="Times New Roman"/>
                <w:iCs/>
                <w:color w:val="000000"/>
                <w:spacing w:val="-2"/>
              </w:rPr>
              <w:t>ulgi dla przedsiębiorstw w sektorach wyłączonych z listy sektorów uprawnionych do ulgi zgodnie z CEEAG</w:t>
            </w:r>
            <w:r>
              <w:rPr>
                <w:rFonts w:ascii="Times New Roman" w:hAnsi="Times New Roman"/>
                <w:iCs/>
                <w:color w:val="000000"/>
                <w:spacing w:val="-2"/>
              </w:rPr>
              <w:t>;</w:t>
            </w:r>
          </w:p>
          <w:p w14:paraId="03F9467A" w14:textId="5BE888E2" w:rsidR="00982CE7" w:rsidRPr="000671B3" w:rsidRDefault="00B50049" w:rsidP="004C1C72">
            <w:pPr>
              <w:numPr>
                <w:ilvl w:val="0"/>
                <w:numId w:val="6"/>
              </w:numPr>
              <w:spacing w:line="240" w:lineRule="auto"/>
              <w:ind w:left="714" w:hanging="357"/>
              <w:jc w:val="both"/>
              <w:rPr>
                <w:rFonts w:ascii="Times New Roman" w:hAnsi="Times New Roman"/>
                <w:color w:val="000000"/>
                <w:spacing w:val="-2"/>
              </w:rPr>
            </w:pPr>
            <w:r>
              <w:rPr>
                <w:rFonts w:ascii="Times New Roman" w:hAnsi="Times New Roman"/>
                <w:bCs/>
                <w:color w:val="000000"/>
                <w:spacing w:val="-2"/>
              </w:rPr>
              <w:t>w</w:t>
            </w:r>
            <w:r w:rsidRPr="004C1C72">
              <w:rPr>
                <w:rFonts w:ascii="Times New Roman" w:hAnsi="Times New Roman"/>
                <w:bCs/>
                <w:color w:val="000000"/>
                <w:spacing w:val="-2"/>
              </w:rPr>
              <w:t xml:space="preserve"> </w:t>
            </w:r>
            <w:r w:rsidR="006C798F" w:rsidRPr="004C1C72">
              <w:rPr>
                <w:rFonts w:ascii="Times New Roman" w:hAnsi="Times New Roman"/>
                <w:bCs/>
                <w:color w:val="000000"/>
                <w:spacing w:val="-2"/>
              </w:rPr>
              <w:t>związku z wyłączeniem segmentu rynku obejmującego kogenerację opartą na paliwach węglowych powstanie możliwość przesunięcia zaoszczędzonych w ten sposób, wcześniej zabezpieczonych środków finansowych</w:t>
            </w:r>
            <w:r w:rsidR="004B7D31" w:rsidRPr="004C1C72">
              <w:rPr>
                <w:rFonts w:ascii="Times New Roman" w:hAnsi="Times New Roman"/>
                <w:bCs/>
                <w:color w:val="000000"/>
                <w:spacing w:val="-2"/>
              </w:rPr>
              <w:t>,</w:t>
            </w:r>
            <w:r w:rsidR="006C798F" w:rsidRPr="004C1C72">
              <w:rPr>
                <w:rFonts w:ascii="Times New Roman" w:hAnsi="Times New Roman"/>
                <w:bCs/>
                <w:color w:val="000000"/>
                <w:spacing w:val="-2"/>
              </w:rPr>
              <w:t xml:space="preserve"> </w:t>
            </w:r>
            <w:r w:rsidR="004253F2" w:rsidRPr="004C1C72">
              <w:rPr>
                <w:rFonts w:ascii="Times New Roman" w:hAnsi="Times New Roman"/>
                <w:bCs/>
                <w:color w:val="000000"/>
                <w:spacing w:val="-2"/>
              </w:rPr>
              <w:t>na kogenerację</w:t>
            </w:r>
            <w:r w:rsidR="006C798F" w:rsidRPr="004C1C72">
              <w:rPr>
                <w:rFonts w:ascii="Times New Roman" w:hAnsi="Times New Roman"/>
                <w:bCs/>
                <w:color w:val="000000"/>
                <w:spacing w:val="-2"/>
              </w:rPr>
              <w:t xml:space="preserve"> opartą na pozostałych paliwach, objętych mechanizmem wsparcia. Zgodnie z obowiązująca ustawą</w:t>
            </w:r>
            <w:r w:rsidR="00192A65">
              <w:rPr>
                <w:rFonts w:ascii="Times New Roman" w:hAnsi="Times New Roman"/>
                <w:bCs/>
                <w:color w:val="000000"/>
                <w:spacing w:val="-2"/>
              </w:rPr>
              <w:t xml:space="preserve"> CHP</w:t>
            </w:r>
            <w:r w:rsidR="006C798F" w:rsidRPr="004C1C72">
              <w:rPr>
                <w:rFonts w:ascii="Times New Roman" w:hAnsi="Times New Roman"/>
                <w:bCs/>
                <w:color w:val="000000"/>
                <w:spacing w:val="-2"/>
              </w:rPr>
              <w:t xml:space="preserve"> wsparcie miało obejmować w latach 2019-2028 wolumen 695 MW mocy zainstalowanej elektrycznej jednostek kogeneracji opartej na paliwach węglowych. </w:t>
            </w:r>
          </w:p>
          <w:p w14:paraId="615A454D" w14:textId="49F9E1CF" w:rsidR="0091274E" w:rsidRDefault="0091274E" w:rsidP="0091274E">
            <w:pPr>
              <w:spacing w:before="120" w:after="120" w:line="240" w:lineRule="auto"/>
              <w:jc w:val="both"/>
              <w:rPr>
                <w:rFonts w:ascii="Times New Roman" w:hAnsi="Times New Roman"/>
                <w:b/>
                <w:bCs/>
                <w:iCs/>
                <w:color w:val="000000"/>
                <w:spacing w:val="-2"/>
              </w:rPr>
            </w:pPr>
            <w:r w:rsidRPr="00764DF9">
              <w:rPr>
                <w:rFonts w:ascii="Times New Roman" w:hAnsi="Times New Roman"/>
                <w:b/>
                <w:bCs/>
                <w:iCs/>
                <w:color w:val="000000"/>
                <w:spacing w:val="-2"/>
              </w:rPr>
              <w:t xml:space="preserve">Skutki </w:t>
            </w:r>
            <w:r>
              <w:rPr>
                <w:rFonts w:ascii="Times New Roman" w:hAnsi="Times New Roman"/>
                <w:b/>
                <w:bCs/>
                <w:iCs/>
                <w:color w:val="000000"/>
                <w:spacing w:val="-2"/>
              </w:rPr>
              <w:t xml:space="preserve">finansowe </w:t>
            </w:r>
            <w:r w:rsidRPr="00764DF9">
              <w:rPr>
                <w:rFonts w:ascii="Times New Roman" w:hAnsi="Times New Roman"/>
                <w:b/>
                <w:bCs/>
                <w:iCs/>
                <w:color w:val="000000"/>
                <w:spacing w:val="-2"/>
              </w:rPr>
              <w:t>proponowanych zmian</w:t>
            </w:r>
          </w:p>
          <w:p w14:paraId="53585A7B" w14:textId="21D2EA41" w:rsidR="0091274E" w:rsidRPr="00070A0C" w:rsidRDefault="0091274E" w:rsidP="0091274E">
            <w:pPr>
              <w:spacing w:line="240" w:lineRule="auto"/>
              <w:jc w:val="both"/>
              <w:rPr>
                <w:rFonts w:ascii="Times New Roman" w:hAnsi="Times New Roman"/>
                <w:iCs/>
                <w:color w:val="000000"/>
                <w:spacing w:val="-2"/>
              </w:rPr>
            </w:pPr>
            <w:r>
              <w:rPr>
                <w:rFonts w:ascii="Times New Roman" w:hAnsi="Times New Roman"/>
                <w:iCs/>
                <w:color w:val="000000"/>
                <w:spacing w:val="-2"/>
              </w:rPr>
              <w:t>W zakresie kosztów s</w:t>
            </w:r>
            <w:r w:rsidRPr="00070A0C">
              <w:rPr>
                <w:rFonts w:ascii="Times New Roman" w:hAnsi="Times New Roman"/>
                <w:iCs/>
                <w:color w:val="000000"/>
                <w:spacing w:val="-2"/>
              </w:rPr>
              <w:t xml:space="preserve">kutkami proponowanych zmian będzie: </w:t>
            </w:r>
          </w:p>
          <w:p w14:paraId="44978FBD" w14:textId="21EBB0CD" w:rsidR="0091274E" w:rsidRDefault="000671B3" w:rsidP="0091274E">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w</w:t>
            </w:r>
            <w:r w:rsidR="00DF307A">
              <w:rPr>
                <w:rFonts w:ascii="Times New Roman" w:hAnsi="Times New Roman"/>
                <w:iCs/>
                <w:color w:val="000000"/>
                <w:spacing w:val="-2"/>
              </w:rPr>
              <w:t>zrost</w:t>
            </w:r>
            <w:r w:rsidR="0091274E">
              <w:rPr>
                <w:rFonts w:ascii="Times New Roman" w:hAnsi="Times New Roman"/>
                <w:iCs/>
                <w:color w:val="000000"/>
                <w:spacing w:val="-2"/>
              </w:rPr>
              <w:t xml:space="preserve"> kosztów dla </w:t>
            </w:r>
            <w:r w:rsidR="00DF307A">
              <w:rPr>
                <w:rFonts w:ascii="Times New Roman" w:hAnsi="Times New Roman"/>
                <w:iCs/>
                <w:color w:val="000000"/>
                <w:spacing w:val="-2"/>
              </w:rPr>
              <w:t xml:space="preserve">części </w:t>
            </w:r>
            <w:r w:rsidR="0091274E">
              <w:rPr>
                <w:rFonts w:ascii="Times New Roman" w:hAnsi="Times New Roman"/>
                <w:iCs/>
                <w:color w:val="000000"/>
                <w:spacing w:val="-2"/>
              </w:rPr>
              <w:t xml:space="preserve">sektorów dotychczas korzystających z ulg dla odbiorców energochłonnych </w:t>
            </w:r>
            <w:r w:rsidR="0058300F">
              <w:rPr>
                <w:rFonts w:ascii="Times New Roman" w:hAnsi="Times New Roman"/>
                <w:iCs/>
                <w:color w:val="000000"/>
                <w:spacing w:val="-2"/>
              </w:rPr>
              <w:t>wynikając</w:t>
            </w:r>
            <w:r w:rsidR="00B50049">
              <w:rPr>
                <w:rFonts w:ascii="Times New Roman" w:hAnsi="Times New Roman"/>
                <w:iCs/>
                <w:color w:val="000000"/>
                <w:spacing w:val="-2"/>
              </w:rPr>
              <w:t>y</w:t>
            </w:r>
            <w:r w:rsidR="0058300F">
              <w:rPr>
                <w:rFonts w:ascii="Times New Roman" w:hAnsi="Times New Roman"/>
                <w:iCs/>
                <w:color w:val="000000"/>
                <w:spacing w:val="-2"/>
              </w:rPr>
              <w:t xml:space="preserve"> z ponoszenia mniejszych kosztów zakupu lub umorzenia świadectw pochodzenia oraz opłaty OZE i opłaty </w:t>
            </w:r>
            <w:r w:rsidR="00F846A9">
              <w:rPr>
                <w:rFonts w:ascii="Times New Roman" w:hAnsi="Times New Roman"/>
                <w:iCs/>
                <w:color w:val="000000"/>
                <w:spacing w:val="-2"/>
              </w:rPr>
              <w:t xml:space="preserve">CHP </w:t>
            </w:r>
            <w:r w:rsidR="0091274E">
              <w:rPr>
                <w:rFonts w:ascii="Times New Roman" w:hAnsi="Times New Roman"/>
                <w:iCs/>
                <w:color w:val="000000"/>
                <w:spacing w:val="-2"/>
              </w:rPr>
              <w:t>na poziomie ok.</w:t>
            </w:r>
            <w:r w:rsidR="00DF307A">
              <w:rPr>
                <w:rFonts w:ascii="Times New Roman" w:hAnsi="Times New Roman"/>
                <w:iCs/>
                <w:color w:val="000000"/>
                <w:spacing w:val="-2"/>
              </w:rPr>
              <w:t xml:space="preserve"> 0,72 mln zł</w:t>
            </w:r>
            <w:r>
              <w:rPr>
                <w:rFonts w:ascii="Times New Roman" w:hAnsi="Times New Roman"/>
                <w:iCs/>
                <w:color w:val="000000"/>
                <w:spacing w:val="-2"/>
              </w:rPr>
              <w:t>;</w:t>
            </w:r>
          </w:p>
          <w:p w14:paraId="7AC9CDDC" w14:textId="7DAC6681" w:rsidR="0091274E" w:rsidRDefault="000671B3" w:rsidP="0091274E">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s</w:t>
            </w:r>
            <w:r w:rsidR="0091274E">
              <w:rPr>
                <w:rFonts w:ascii="Times New Roman" w:hAnsi="Times New Roman"/>
                <w:iCs/>
                <w:color w:val="000000"/>
                <w:spacing w:val="-2"/>
              </w:rPr>
              <w:t xml:space="preserve">padek kosztów dla </w:t>
            </w:r>
            <w:r w:rsidR="00DF307A">
              <w:rPr>
                <w:rFonts w:ascii="Times New Roman" w:hAnsi="Times New Roman"/>
                <w:iCs/>
                <w:color w:val="000000"/>
                <w:spacing w:val="-2"/>
              </w:rPr>
              <w:t xml:space="preserve">nowych </w:t>
            </w:r>
            <w:r w:rsidR="0091274E">
              <w:rPr>
                <w:rFonts w:ascii="Times New Roman" w:hAnsi="Times New Roman"/>
                <w:iCs/>
                <w:color w:val="000000"/>
                <w:spacing w:val="-2"/>
              </w:rPr>
              <w:t xml:space="preserve">sektorów obejmowanych ulgami dla odbiorców energochłonnych </w:t>
            </w:r>
            <w:r w:rsidR="0058300F">
              <w:rPr>
                <w:rFonts w:ascii="Times New Roman" w:hAnsi="Times New Roman"/>
                <w:iCs/>
                <w:color w:val="000000"/>
                <w:spacing w:val="-2"/>
              </w:rPr>
              <w:t xml:space="preserve">wynikając z ponoszenia mniejszych kosztów zakupu lub umorzenia świadectw pochodzenia oraz opłaty OZE i opłaty </w:t>
            </w:r>
            <w:r w:rsidR="00F846A9">
              <w:rPr>
                <w:rFonts w:ascii="Times New Roman" w:hAnsi="Times New Roman"/>
                <w:iCs/>
                <w:color w:val="000000"/>
                <w:spacing w:val="-2"/>
              </w:rPr>
              <w:t xml:space="preserve">CHP </w:t>
            </w:r>
            <w:r w:rsidR="0091274E">
              <w:rPr>
                <w:rFonts w:ascii="Times New Roman" w:hAnsi="Times New Roman"/>
                <w:iCs/>
                <w:color w:val="000000"/>
                <w:spacing w:val="-2"/>
              </w:rPr>
              <w:t>na poziomie ok.</w:t>
            </w:r>
            <w:r w:rsidR="00DF307A">
              <w:rPr>
                <w:rFonts w:ascii="Times New Roman" w:hAnsi="Times New Roman"/>
                <w:iCs/>
                <w:color w:val="000000"/>
                <w:spacing w:val="-2"/>
              </w:rPr>
              <w:t xml:space="preserve"> </w:t>
            </w:r>
            <w:r w:rsidR="00B72FC8">
              <w:rPr>
                <w:rFonts w:ascii="Times New Roman" w:hAnsi="Times New Roman"/>
                <w:iCs/>
                <w:color w:val="000000"/>
                <w:spacing w:val="-2"/>
              </w:rPr>
              <w:t>89,8</w:t>
            </w:r>
            <w:r w:rsidR="002B2D94">
              <w:rPr>
                <w:rFonts w:ascii="Times New Roman" w:hAnsi="Times New Roman"/>
                <w:iCs/>
                <w:color w:val="000000"/>
                <w:spacing w:val="-2"/>
              </w:rPr>
              <w:t> </w:t>
            </w:r>
            <w:r w:rsidR="00DF307A">
              <w:rPr>
                <w:rFonts w:ascii="Times New Roman" w:hAnsi="Times New Roman"/>
                <w:iCs/>
                <w:color w:val="000000"/>
                <w:spacing w:val="-2"/>
              </w:rPr>
              <w:t>mln zł;</w:t>
            </w:r>
          </w:p>
          <w:p w14:paraId="7F9400F7" w14:textId="491ABA64" w:rsidR="0091274E" w:rsidRDefault="000671B3" w:rsidP="0091274E">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w</w:t>
            </w:r>
            <w:r w:rsidR="0091274E">
              <w:rPr>
                <w:rFonts w:ascii="Times New Roman" w:hAnsi="Times New Roman"/>
                <w:iCs/>
                <w:color w:val="000000"/>
                <w:spacing w:val="-2"/>
              </w:rPr>
              <w:t xml:space="preserve">zrost kosztów dla sektorów wykluczonych z ulg dla odbiorców energochłonnych </w:t>
            </w:r>
            <w:r w:rsidR="0058300F">
              <w:rPr>
                <w:rFonts w:ascii="Times New Roman" w:hAnsi="Times New Roman"/>
                <w:iCs/>
                <w:color w:val="000000"/>
                <w:spacing w:val="-2"/>
              </w:rPr>
              <w:t xml:space="preserve">wynikający z ponoszenia pełnych kosztów zakupu lub umorzenia świadectw pochodzenia oraz opłaty OZE i opłaty </w:t>
            </w:r>
            <w:r w:rsidR="00F846A9">
              <w:rPr>
                <w:rFonts w:ascii="Times New Roman" w:hAnsi="Times New Roman"/>
                <w:iCs/>
                <w:color w:val="000000"/>
                <w:spacing w:val="-2"/>
              </w:rPr>
              <w:t xml:space="preserve">CHP </w:t>
            </w:r>
            <w:r w:rsidR="0091274E">
              <w:rPr>
                <w:rFonts w:ascii="Times New Roman" w:hAnsi="Times New Roman"/>
                <w:iCs/>
                <w:color w:val="000000"/>
                <w:spacing w:val="-2"/>
              </w:rPr>
              <w:t>na poziomie ok.</w:t>
            </w:r>
            <w:r w:rsidR="0058300F">
              <w:rPr>
                <w:rFonts w:ascii="Times New Roman" w:hAnsi="Times New Roman"/>
                <w:iCs/>
                <w:color w:val="000000"/>
                <w:spacing w:val="-2"/>
              </w:rPr>
              <w:t xml:space="preserve"> 1,0</w:t>
            </w:r>
            <w:r w:rsidR="002B2D94">
              <w:rPr>
                <w:rFonts w:ascii="Times New Roman" w:hAnsi="Times New Roman"/>
                <w:iCs/>
                <w:color w:val="000000"/>
                <w:spacing w:val="-2"/>
              </w:rPr>
              <w:t>8</w:t>
            </w:r>
            <w:r w:rsidR="0058300F">
              <w:rPr>
                <w:rFonts w:ascii="Times New Roman" w:hAnsi="Times New Roman"/>
                <w:iCs/>
                <w:color w:val="000000"/>
                <w:spacing w:val="-2"/>
              </w:rPr>
              <w:t xml:space="preserve"> mln zł rocznie;</w:t>
            </w:r>
          </w:p>
          <w:p w14:paraId="19BB6B46" w14:textId="659FF640" w:rsidR="0091274E" w:rsidRPr="00070A0C" w:rsidRDefault="000671B3" w:rsidP="0091274E">
            <w:pPr>
              <w:numPr>
                <w:ilvl w:val="0"/>
                <w:numId w:val="6"/>
              </w:numPr>
              <w:spacing w:line="240" w:lineRule="auto"/>
              <w:ind w:left="714" w:hanging="357"/>
              <w:jc w:val="both"/>
              <w:rPr>
                <w:rFonts w:ascii="Times New Roman" w:hAnsi="Times New Roman"/>
                <w:iCs/>
                <w:color w:val="000000"/>
                <w:spacing w:val="-2"/>
              </w:rPr>
            </w:pPr>
            <w:r>
              <w:rPr>
                <w:rFonts w:ascii="Times New Roman" w:hAnsi="Times New Roman"/>
                <w:iCs/>
                <w:color w:val="000000"/>
                <w:spacing w:val="-2"/>
              </w:rPr>
              <w:t>w</w:t>
            </w:r>
            <w:r w:rsidR="0091274E">
              <w:rPr>
                <w:rFonts w:ascii="Times New Roman" w:hAnsi="Times New Roman"/>
                <w:iCs/>
                <w:color w:val="000000"/>
                <w:spacing w:val="-2"/>
              </w:rPr>
              <w:t xml:space="preserve">zrost kosztów opłaty kogeneracyjnej dla </w:t>
            </w:r>
            <w:r w:rsidR="0058300F">
              <w:rPr>
                <w:rFonts w:ascii="Times New Roman" w:hAnsi="Times New Roman"/>
                <w:iCs/>
                <w:color w:val="000000"/>
                <w:spacing w:val="-2"/>
              </w:rPr>
              <w:t>pozostałych odbiorców końcowych na poziomie ok.</w:t>
            </w:r>
            <w:r w:rsidR="00DF307A">
              <w:rPr>
                <w:rFonts w:ascii="Times New Roman" w:hAnsi="Times New Roman"/>
                <w:iCs/>
                <w:color w:val="000000"/>
                <w:spacing w:val="-2"/>
              </w:rPr>
              <w:t xml:space="preserve"> 0,</w:t>
            </w:r>
            <w:r w:rsidR="00671B1F">
              <w:rPr>
                <w:rFonts w:ascii="Times New Roman" w:hAnsi="Times New Roman"/>
                <w:iCs/>
                <w:color w:val="000000"/>
                <w:spacing w:val="-2"/>
              </w:rPr>
              <w:t>27</w:t>
            </w:r>
            <w:r w:rsidR="00DF307A">
              <w:rPr>
                <w:rFonts w:ascii="Times New Roman" w:hAnsi="Times New Roman"/>
                <w:iCs/>
                <w:color w:val="000000"/>
                <w:spacing w:val="-2"/>
              </w:rPr>
              <w:t xml:space="preserve"> zł/MWh.</w:t>
            </w:r>
          </w:p>
          <w:p w14:paraId="7ABF49B0" w14:textId="3B58B200" w:rsidR="0091274E" w:rsidRPr="00F87E42" w:rsidRDefault="0058300F" w:rsidP="00F87E42">
            <w:pPr>
              <w:spacing w:before="120" w:after="120" w:line="240" w:lineRule="auto"/>
              <w:jc w:val="both"/>
              <w:rPr>
                <w:rFonts w:ascii="Times New Roman" w:hAnsi="Times New Roman"/>
                <w:i/>
                <w:color w:val="000000"/>
                <w:spacing w:val="-2"/>
              </w:rPr>
            </w:pPr>
            <w:r w:rsidRPr="00F87E42">
              <w:rPr>
                <w:rFonts w:ascii="Times New Roman" w:hAnsi="Times New Roman"/>
                <w:i/>
                <w:color w:val="000000"/>
                <w:spacing w:val="-2"/>
              </w:rPr>
              <w:t>(szacu</w:t>
            </w:r>
            <w:r>
              <w:rPr>
                <w:rFonts w:ascii="Times New Roman" w:hAnsi="Times New Roman"/>
                <w:i/>
                <w:color w:val="000000"/>
                <w:spacing w:val="-2"/>
              </w:rPr>
              <w:t xml:space="preserve">nki własne </w:t>
            </w:r>
            <w:proofErr w:type="spellStart"/>
            <w:r>
              <w:rPr>
                <w:rFonts w:ascii="Times New Roman" w:hAnsi="Times New Roman"/>
                <w:i/>
                <w:color w:val="000000"/>
                <w:spacing w:val="-2"/>
              </w:rPr>
              <w:t>MKiŚ</w:t>
            </w:r>
            <w:proofErr w:type="spellEnd"/>
            <w:r>
              <w:rPr>
                <w:rFonts w:ascii="Times New Roman" w:hAnsi="Times New Roman"/>
                <w:i/>
                <w:color w:val="000000"/>
                <w:spacing w:val="-2"/>
              </w:rPr>
              <w:t>).</w:t>
            </w:r>
          </w:p>
          <w:p w14:paraId="695D67B0" w14:textId="6A4F2D28" w:rsidR="0079333E" w:rsidRPr="009A01B3" w:rsidRDefault="009A01B3" w:rsidP="00070A0C">
            <w:pPr>
              <w:spacing w:before="120" w:after="120"/>
              <w:jc w:val="both"/>
              <w:rPr>
                <w:rFonts w:ascii="Times New Roman" w:hAnsi="Times New Roman"/>
                <w:b/>
                <w:bCs/>
                <w:u w:val="single"/>
              </w:rPr>
            </w:pPr>
            <w:r w:rsidRPr="009A01B3">
              <w:rPr>
                <w:rFonts w:ascii="Times New Roman" w:hAnsi="Times New Roman"/>
                <w:b/>
                <w:bCs/>
                <w:u w:val="single"/>
              </w:rPr>
              <w:t xml:space="preserve">II. </w:t>
            </w:r>
            <w:r w:rsidR="009B08ED">
              <w:rPr>
                <w:rFonts w:ascii="Times New Roman" w:hAnsi="Times New Roman"/>
                <w:b/>
                <w:bCs/>
                <w:u w:val="single"/>
              </w:rPr>
              <w:t xml:space="preserve">Dostosowanie przepisów ustawy OZE do rozporządzenia </w:t>
            </w:r>
            <w:r w:rsidRPr="009A01B3">
              <w:rPr>
                <w:rFonts w:ascii="Times New Roman" w:hAnsi="Times New Roman"/>
                <w:b/>
                <w:bCs/>
                <w:u w:val="single"/>
              </w:rPr>
              <w:t>GBER</w:t>
            </w:r>
            <w:r w:rsidR="00452A76">
              <w:rPr>
                <w:rFonts w:ascii="Times New Roman" w:hAnsi="Times New Roman"/>
                <w:b/>
                <w:bCs/>
                <w:u w:val="single"/>
              </w:rPr>
              <w:t xml:space="preserve"> i rozporządzenia rynkowego</w:t>
            </w:r>
          </w:p>
          <w:p w14:paraId="6F08C089" w14:textId="426665C4" w:rsidR="001E1781" w:rsidRDefault="009A01B3" w:rsidP="00AC268D">
            <w:pPr>
              <w:spacing w:before="120" w:after="120" w:line="240" w:lineRule="auto"/>
              <w:jc w:val="both"/>
              <w:rPr>
                <w:rFonts w:ascii="Times New Roman" w:hAnsi="Times New Roman"/>
                <w:color w:val="000000"/>
                <w:spacing w:val="-2"/>
              </w:rPr>
            </w:pPr>
            <w:r w:rsidRPr="009A01B3">
              <w:rPr>
                <w:rFonts w:ascii="Times New Roman" w:hAnsi="Times New Roman"/>
                <w:color w:val="000000"/>
                <w:spacing w:val="-2"/>
              </w:rPr>
              <w:t xml:space="preserve">W zakresie </w:t>
            </w:r>
            <w:r w:rsidR="009B08ED">
              <w:rPr>
                <w:rFonts w:ascii="Times New Roman" w:hAnsi="Times New Roman"/>
                <w:color w:val="000000"/>
                <w:spacing w:val="-2"/>
              </w:rPr>
              <w:t>d</w:t>
            </w:r>
            <w:r w:rsidR="009B08ED" w:rsidRPr="009B08ED">
              <w:rPr>
                <w:rFonts w:ascii="Times New Roman" w:hAnsi="Times New Roman"/>
                <w:color w:val="000000"/>
                <w:spacing w:val="-2"/>
              </w:rPr>
              <w:t>ostosowani</w:t>
            </w:r>
            <w:r w:rsidR="009B08ED">
              <w:rPr>
                <w:rFonts w:ascii="Times New Roman" w:hAnsi="Times New Roman"/>
                <w:color w:val="000000"/>
                <w:spacing w:val="-2"/>
              </w:rPr>
              <w:t>a</w:t>
            </w:r>
            <w:r w:rsidR="009B08ED" w:rsidRPr="009B08ED">
              <w:rPr>
                <w:rFonts w:ascii="Times New Roman" w:hAnsi="Times New Roman"/>
                <w:color w:val="000000"/>
                <w:spacing w:val="-2"/>
              </w:rPr>
              <w:t xml:space="preserve"> przepisów ustawy </w:t>
            </w:r>
            <w:r w:rsidR="007E4376">
              <w:rPr>
                <w:rFonts w:ascii="Times New Roman" w:hAnsi="Times New Roman"/>
                <w:color w:val="000000"/>
                <w:spacing w:val="-2"/>
              </w:rPr>
              <w:t xml:space="preserve">o </w:t>
            </w:r>
            <w:r w:rsidR="009B08ED" w:rsidRPr="009B08ED">
              <w:rPr>
                <w:rFonts w:ascii="Times New Roman" w:hAnsi="Times New Roman"/>
                <w:color w:val="000000"/>
                <w:spacing w:val="-2"/>
              </w:rPr>
              <w:t>OZE</w:t>
            </w:r>
            <w:r w:rsidR="000C62C1">
              <w:rPr>
                <w:rFonts w:ascii="Times New Roman" w:hAnsi="Times New Roman"/>
                <w:color w:val="000000"/>
                <w:spacing w:val="-2"/>
              </w:rPr>
              <w:t xml:space="preserve"> do znowelizowanego rozporządzenia GBER</w:t>
            </w:r>
            <w:r w:rsidR="009B08ED" w:rsidRPr="009B08ED">
              <w:rPr>
                <w:rFonts w:ascii="Times New Roman" w:hAnsi="Times New Roman"/>
                <w:color w:val="000000"/>
                <w:spacing w:val="-2"/>
              </w:rPr>
              <w:t xml:space="preserve"> </w:t>
            </w:r>
            <w:r w:rsidR="000C62C1">
              <w:rPr>
                <w:rFonts w:ascii="Times New Roman" w:hAnsi="Times New Roman"/>
                <w:color w:val="000000"/>
                <w:spacing w:val="-2"/>
              </w:rPr>
              <w:t>proponuje się wprowadzić zmiany</w:t>
            </w:r>
            <w:r w:rsidRPr="00070A0C">
              <w:rPr>
                <w:rFonts w:ascii="Times New Roman" w:hAnsi="Times New Roman"/>
                <w:color w:val="000000"/>
                <w:spacing w:val="-2"/>
              </w:rPr>
              <w:t xml:space="preserve"> w ramach programów wsparcia FiT/FiP</w:t>
            </w:r>
            <w:r w:rsidR="0052419A">
              <w:rPr>
                <w:rFonts w:ascii="Times New Roman" w:hAnsi="Times New Roman"/>
                <w:color w:val="000000"/>
                <w:spacing w:val="-2"/>
              </w:rPr>
              <w:t xml:space="preserve"> dla wytwórców energii elektrycznej w instalacjach OZE i wytwórców biometanu</w:t>
            </w:r>
            <w:r w:rsidR="00192A65">
              <w:rPr>
                <w:rFonts w:ascii="Times New Roman" w:hAnsi="Times New Roman"/>
                <w:color w:val="000000"/>
                <w:spacing w:val="-2"/>
              </w:rPr>
              <w:t>.</w:t>
            </w:r>
            <w:r w:rsidR="002B2D94">
              <w:rPr>
                <w:rFonts w:ascii="Times New Roman" w:hAnsi="Times New Roman"/>
                <w:color w:val="000000"/>
                <w:spacing w:val="-2"/>
              </w:rPr>
              <w:t xml:space="preserve"> </w:t>
            </w:r>
            <w:r w:rsidR="0052419A">
              <w:rPr>
                <w:rFonts w:ascii="Times New Roman" w:hAnsi="Times New Roman"/>
                <w:color w:val="000000"/>
                <w:spacing w:val="-2"/>
              </w:rPr>
              <w:t xml:space="preserve">Docelowo, od 1 stycznia 2026 r. tylko wytwórcy w instalacjach o mocy poniżej 200 kW będą </w:t>
            </w:r>
            <w:r w:rsidR="0052419A" w:rsidRPr="00070A0C">
              <w:rPr>
                <w:rFonts w:ascii="Times New Roman" w:hAnsi="Times New Roman"/>
                <w:color w:val="000000"/>
                <w:spacing w:val="-2"/>
              </w:rPr>
              <w:t>mog</w:t>
            </w:r>
            <w:r w:rsidR="0052419A">
              <w:rPr>
                <w:rFonts w:ascii="Times New Roman" w:hAnsi="Times New Roman"/>
                <w:color w:val="000000"/>
                <w:spacing w:val="-2"/>
              </w:rPr>
              <w:t>li</w:t>
            </w:r>
            <w:r w:rsidR="0052419A" w:rsidRPr="00070A0C">
              <w:rPr>
                <w:rFonts w:ascii="Times New Roman" w:hAnsi="Times New Roman"/>
                <w:color w:val="000000"/>
                <w:spacing w:val="-2"/>
              </w:rPr>
              <w:t xml:space="preserve"> uzyskiwać prawo do gwarantowanego odbioru energii przez sprzedawcę zobowiązanego oraz być </w:t>
            </w:r>
            <w:r w:rsidR="0052419A">
              <w:rPr>
                <w:rFonts w:ascii="Times New Roman" w:hAnsi="Times New Roman"/>
                <w:color w:val="000000"/>
                <w:spacing w:val="-2"/>
              </w:rPr>
              <w:t xml:space="preserve">zwolnieni </w:t>
            </w:r>
            <w:r w:rsidR="0052419A" w:rsidRPr="00070A0C">
              <w:rPr>
                <w:rFonts w:ascii="Times New Roman" w:hAnsi="Times New Roman"/>
                <w:color w:val="000000"/>
                <w:spacing w:val="-2"/>
              </w:rPr>
              <w:t>z obciążeń w zakresie bilansowania handlowego</w:t>
            </w:r>
            <w:r w:rsidR="0052419A">
              <w:rPr>
                <w:rFonts w:ascii="Times New Roman" w:hAnsi="Times New Roman"/>
                <w:color w:val="000000"/>
                <w:spacing w:val="-2"/>
              </w:rPr>
              <w:t>. W okresie przejściowym, to jest od dnia wejścia w życie przepisów ustawy do dnia 31</w:t>
            </w:r>
            <w:r w:rsidR="00570D4C">
              <w:rPr>
                <w:rFonts w:ascii="Times New Roman" w:hAnsi="Times New Roman"/>
                <w:color w:val="000000"/>
                <w:spacing w:val="-2"/>
              </w:rPr>
              <w:t xml:space="preserve"> grudnia</w:t>
            </w:r>
            <w:r w:rsidR="0052419A">
              <w:rPr>
                <w:rFonts w:ascii="Times New Roman" w:hAnsi="Times New Roman"/>
                <w:color w:val="000000"/>
                <w:spacing w:val="-2"/>
              </w:rPr>
              <w:t xml:space="preserve"> 2025 r. takie prawo będzie przysługiwało wytwórcom w </w:t>
            </w:r>
            <w:r w:rsidRPr="00070A0C">
              <w:rPr>
                <w:rFonts w:ascii="Times New Roman" w:hAnsi="Times New Roman"/>
                <w:color w:val="000000"/>
                <w:spacing w:val="-2"/>
              </w:rPr>
              <w:t>instalacj</w:t>
            </w:r>
            <w:r w:rsidR="0052419A">
              <w:rPr>
                <w:rFonts w:ascii="Times New Roman" w:hAnsi="Times New Roman"/>
                <w:color w:val="000000"/>
                <w:spacing w:val="-2"/>
              </w:rPr>
              <w:t>ach</w:t>
            </w:r>
            <w:r w:rsidRPr="00070A0C">
              <w:rPr>
                <w:rFonts w:ascii="Times New Roman" w:hAnsi="Times New Roman"/>
                <w:color w:val="000000"/>
                <w:spacing w:val="-2"/>
              </w:rPr>
              <w:t xml:space="preserve"> </w:t>
            </w:r>
            <w:r w:rsidR="000C62C1">
              <w:rPr>
                <w:rFonts w:ascii="Times New Roman" w:hAnsi="Times New Roman"/>
                <w:color w:val="000000"/>
                <w:spacing w:val="-2"/>
              </w:rPr>
              <w:t xml:space="preserve">o mocy zainstalowanej elektrycznej </w:t>
            </w:r>
            <w:r w:rsidR="002B2D94">
              <w:rPr>
                <w:rFonts w:ascii="Times New Roman" w:hAnsi="Times New Roman"/>
                <w:color w:val="000000"/>
                <w:spacing w:val="-2"/>
              </w:rPr>
              <w:t xml:space="preserve">nie większej niż </w:t>
            </w:r>
            <w:r w:rsidR="00192A65">
              <w:rPr>
                <w:rFonts w:ascii="Times New Roman" w:hAnsi="Times New Roman"/>
                <w:color w:val="000000"/>
                <w:spacing w:val="-2"/>
              </w:rPr>
              <w:t>400</w:t>
            </w:r>
            <w:r w:rsidR="002B2D94">
              <w:rPr>
                <w:rFonts w:ascii="Times New Roman" w:hAnsi="Times New Roman"/>
                <w:color w:val="000000"/>
                <w:spacing w:val="-2"/>
              </w:rPr>
              <w:t> </w:t>
            </w:r>
            <w:r w:rsidR="00192A65">
              <w:rPr>
                <w:rFonts w:ascii="Times New Roman" w:hAnsi="Times New Roman"/>
                <w:color w:val="000000"/>
                <w:spacing w:val="-2"/>
              </w:rPr>
              <w:t>kW</w:t>
            </w:r>
            <w:r w:rsidR="005E49C8">
              <w:rPr>
                <w:rFonts w:ascii="Times New Roman" w:hAnsi="Times New Roman"/>
                <w:color w:val="000000"/>
                <w:spacing w:val="-2"/>
              </w:rPr>
              <w:t>.</w:t>
            </w:r>
            <w:r w:rsidR="008F6017">
              <w:rPr>
                <w:rFonts w:ascii="Times New Roman" w:hAnsi="Times New Roman"/>
                <w:color w:val="000000"/>
                <w:spacing w:val="-2"/>
              </w:rPr>
              <w:t xml:space="preserve"> Powyższe rozwiązanie wynika z </w:t>
            </w:r>
            <w:r w:rsidR="008F6017" w:rsidRPr="008F6017">
              <w:rPr>
                <w:rFonts w:ascii="Times New Roman" w:hAnsi="Times New Roman"/>
                <w:color w:val="000000"/>
                <w:spacing w:val="-2"/>
              </w:rPr>
              <w:t xml:space="preserve">art. 5 ust. 4 rozporządzenia </w:t>
            </w:r>
            <w:r w:rsidR="00452A76">
              <w:rPr>
                <w:rFonts w:ascii="Times New Roman" w:hAnsi="Times New Roman"/>
                <w:color w:val="000000"/>
                <w:spacing w:val="-2"/>
              </w:rPr>
              <w:t>rynkowego</w:t>
            </w:r>
            <w:r w:rsidR="008F6017">
              <w:rPr>
                <w:rFonts w:ascii="Times New Roman" w:hAnsi="Times New Roman"/>
                <w:color w:val="000000"/>
                <w:spacing w:val="-2"/>
              </w:rPr>
              <w:t>.</w:t>
            </w:r>
          </w:p>
          <w:p w14:paraId="0AB13360" w14:textId="3BAE6E32" w:rsidR="0052419A" w:rsidRDefault="0052419A" w:rsidP="00AC268D">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Konsekwencją jest także wpływ na system aukcyjny, to jest </w:t>
            </w:r>
            <w:r w:rsidR="00570D4C">
              <w:rPr>
                <w:rFonts w:ascii="Times New Roman" w:hAnsi="Times New Roman"/>
                <w:color w:val="000000"/>
                <w:spacing w:val="-2"/>
              </w:rPr>
              <w:t>wytwórców energii elektrycznej w instalacjach OZE</w:t>
            </w:r>
            <w:r>
              <w:rPr>
                <w:rFonts w:ascii="Times New Roman" w:hAnsi="Times New Roman"/>
                <w:color w:val="000000"/>
                <w:spacing w:val="-2"/>
              </w:rPr>
              <w:t xml:space="preserve"> o mocy</w:t>
            </w:r>
            <w:r w:rsidR="00570D4C">
              <w:rPr>
                <w:rFonts w:ascii="Times New Roman" w:hAnsi="Times New Roman"/>
                <w:color w:val="000000"/>
                <w:spacing w:val="-2"/>
              </w:rPr>
              <w:t xml:space="preserve"> poniżej 500 kW, które wygrały aukcję, a od których </w:t>
            </w:r>
            <w:r w:rsidR="00570D4C" w:rsidRPr="009A0BD4">
              <w:rPr>
                <w:rFonts w:ascii="Times New Roman" w:hAnsi="Times New Roman"/>
                <w:color w:val="000000"/>
                <w:spacing w:val="-2"/>
              </w:rPr>
              <w:t xml:space="preserve">zakupu energii elektrycznej wytworzonej w instalacji odnawialnego źródła </w:t>
            </w:r>
            <w:r w:rsidR="00FB3255" w:rsidRPr="00FB3255">
              <w:rPr>
                <w:rFonts w:ascii="Times New Roman" w:hAnsi="Times New Roman"/>
                <w:color w:val="000000"/>
                <w:spacing w:val="-2"/>
              </w:rPr>
              <w:t xml:space="preserve">energii </w:t>
            </w:r>
            <w:r w:rsidR="00FB3255">
              <w:rPr>
                <w:rFonts w:ascii="Times New Roman" w:hAnsi="Times New Roman"/>
                <w:color w:val="000000"/>
                <w:spacing w:val="-2"/>
              </w:rPr>
              <w:t>dokonuje</w:t>
            </w:r>
            <w:r w:rsidR="00570D4C">
              <w:rPr>
                <w:rFonts w:ascii="Times New Roman" w:hAnsi="Times New Roman"/>
                <w:color w:val="000000"/>
                <w:spacing w:val="-2"/>
              </w:rPr>
              <w:t xml:space="preserve"> sprzedawca zobowiązany. Podobnie i do nich stosowane będą ww. ograniczenia mocowe w okresie od dnia wejścia w życie przepisów ustawy do dnia 31 grudnia 2025 r. (ograniczenie do 400 kW) oraz </w:t>
            </w:r>
            <w:r w:rsidR="00D3772E">
              <w:rPr>
                <w:rFonts w:ascii="Times New Roman" w:hAnsi="Times New Roman"/>
                <w:color w:val="000000"/>
                <w:spacing w:val="-2"/>
              </w:rPr>
              <w:t xml:space="preserve">dla uruchomionych po dniu </w:t>
            </w:r>
            <w:r w:rsidR="00570D4C">
              <w:rPr>
                <w:rFonts w:ascii="Times New Roman" w:hAnsi="Times New Roman"/>
                <w:color w:val="000000"/>
                <w:spacing w:val="-2"/>
              </w:rPr>
              <w:t xml:space="preserve">1 stycznia 2026 r. </w:t>
            </w:r>
            <w:r w:rsidR="00D3772E">
              <w:rPr>
                <w:rFonts w:ascii="Times New Roman" w:hAnsi="Times New Roman"/>
                <w:color w:val="000000"/>
                <w:spacing w:val="-2"/>
              </w:rPr>
              <w:t xml:space="preserve">– </w:t>
            </w:r>
            <w:r w:rsidR="00570D4C">
              <w:rPr>
                <w:rFonts w:ascii="Times New Roman" w:hAnsi="Times New Roman"/>
                <w:color w:val="000000"/>
                <w:spacing w:val="-2"/>
              </w:rPr>
              <w:t>200 kW</w:t>
            </w:r>
            <w:r w:rsidR="00FB3255">
              <w:rPr>
                <w:rFonts w:ascii="Times New Roman" w:hAnsi="Times New Roman"/>
                <w:color w:val="000000"/>
                <w:spacing w:val="-2"/>
              </w:rPr>
              <w:t xml:space="preserve"> oraz tzw. obowiązek zakupu, regulowany przepisami art. 40</w:t>
            </w:r>
            <w:r w:rsidR="00143E56">
              <w:rPr>
                <w:rFonts w:ascii="Times New Roman" w:hAnsi="Times New Roman"/>
                <w:color w:val="000000"/>
                <w:spacing w:val="-2"/>
              </w:rPr>
              <w:t>-43</w:t>
            </w:r>
            <w:r w:rsidR="00D3772E">
              <w:rPr>
                <w:rFonts w:ascii="Times New Roman" w:hAnsi="Times New Roman"/>
                <w:color w:val="000000"/>
                <w:spacing w:val="-2"/>
              </w:rPr>
              <w:t xml:space="preserve"> ustawy OZE</w:t>
            </w:r>
            <w:r w:rsidR="00570D4C">
              <w:rPr>
                <w:rFonts w:ascii="Times New Roman" w:hAnsi="Times New Roman"/>
                <w:color w:val="000000"/>
                <w:spacing w:val="-2"/>
              </w:rPr>
              <w:t>.</w:t>
            </w:r>
          </w:p>
          <w:p w14:paraId="640F056C" w14:textId="4A37FB41" w:rsidR="00723B29" w:rsidRPr="009A01B3" w:rsidRDefault="00723B29" w:rsidP="00AC268D">
            <w:pPr>
              <w:spacing w:before="120" w:after="120" w:line="240" w:lineRule="auto"/>
              <w:jc w:val="both"/>
              <w:rPr>
                <w:rFonts w:ascii="Times New Roman" w:hAnsi="Times New Roman"/>
                <w:color w:val="000000"/>
                <w:spacing w:val="-2"/>
              </w:rPr>
            </w:pPr>
            <w:r w:rsidRPr="00AC268D">
              <w:rPr>
                <w:rFonts w:ascii="Times New Roman" w:hAnsi="Times New Roman"/>
                <w:color w:val="000000"/>
                <w:spacing w:val="-2"/>
              </w:rPr>
              <w:t>Ponadto</w:t>
            </w:r>
            <w:r w:rsidR="000C62C1">
              <w:rPr>
                <w:rFonts w:ascii="Times New Roman" w:hAnsi="Times New Roman"/>
                <w:color w:val="000000"/>
                <w:spacing w:val="-2"/>
              </w:rPr>
              <w:t>,</w:t>
            </w:r>
            <w:r w:rsidRPr="00AC268D">
              <w:rPr>
                <w:rFonts w:ascii="Times New Roman" w:hAnsi="Times New Roman"/>
                <w:color w:val="000000"/>
                <w:spacing w:val="-2"/>
              </w:rPr>
              <w:t xml:space="preserve"> </w:t>
            </w:r>
            <w:r w:rsidR="00570D4C">
              <w:rPr>
                <w:rFonts w:ascii="Times New Roman" w:hAnsi="Times New Roman"/>
                <w:color w:val="000000"/>
                <w:spacing w:val="-2"/>
              </w:rPr>
              <w:t xml:space="preserve">Prezes </w:t>
            </w:r>
            <w:r w:rsidR="00D5238D">
              <w:rPr>
                <w:rFonts w:ascii="Times New Roman" w:hAnsi="Times New Roman"/>
                <w:color w:val="000000"/>
                <w:spacing w:val="-2"/>
              </w:rPr>
              <w:t>Urzędu</w:t>
            </w:r>
            <w:r w:rsidR="00570D4C">
              <w:rPr>
                <w:rFonts w:ascii="Times New Roman" w:hAnsi="Times New Roman"/>
                <w:color w:val="000000"/>
                <w:spacing w:val="-2"/>
              </w:rPr>
              <w:t xml:space="preserve"> Regulacji Energetyki </w:t>
            </w:r>
            <w:r w:rsidR="000C62C1" w:rsidRPr="00AC268D">
              <w:rPr>
                <w:rFonts w:ascii="Times New Roman" w:hAnsi="Times New Roman"/>
                <w:color w:val="000000"/>
                <w:spacing w:val="-2"/>
              </w:rPr>
              <w:t>wyznaczon</w:t>
            </w:r>
            <w:r w:rsidR="00570D4C">
              <w:rPr>
                <w:rFonts w:ascii="Times New Roman" w:hAnsi="Times New Roman"/>
                <w:color w:val="000000"/>
                <w:spacing w:val="-2"/>
              </w:rPr>
              <w:t>y</w:t>
            </w:r>
            <w:r w:rsidR="000C62C1">
              <w:rPr>
                <w:rFonts w:ascii="Times New Roman" w:hAnsi="Times New Roman"/>
                <w:color w:val="000000"/>
                <w:spacing w:val="-2"/>
              </w:rPr>
              <w:t xml:space="preserve"> zostanie</w:t>
            </w:r>
            <w:r w:rsidR="000C62C1" w:rsidRPr="00AC268D">
              <w:rPr>
                <w:rFonts w:ascii="Times New Roman" w:hAnsi="Times New Roman"/>
                <w:color w:val="000000"/>
                <w:spacing w:val="-2"/>
              </w:rPr>
              <w:t xml:space="preserve"> </w:t>
            </w:r>
            <w:r w:rsidR="00570D4C">
              <w:rPr>
                <w:rFonts w:ascii="Times New Roman" w:hAnsi="Times New Roman"/>
                <w:color w:val="000000"/>
                <w:spacing w:val="-2"/>
              </w:rPr>
              <w:t xml:space="preserve">do </w:t>
            </w:r>
            <w:r w:rsidRPr="00AC268D">
              <w:rPr>
                <w:rFonts w:ascii="Times New Roman" w:hAnsi="Times New Roman"/>
                <w:color w:val="000000"/>
                <w:spacing w:val="-2"/>
              </w:rPr>
              <w:t>realiz</w:t>
            </w:r>
            <w:r w:rsidR="00570D4C">
              <w:rPr>
                <w:rFonts w:ascii="Times New Roman" w:hAnsi="Times New Roman"/>
                <w:color w:val="000000"/>
                <w:spacing w:val="-2"/>
              </w:rPr>
              <w:t>acji</w:t>
            </w:r>
            <w:r w:rsidRPr="00AC268D">
              <w:rPr>
                <w:rFonts w:ascii="Times New Roman" w:hAnsi="Times New Roman"/>
                <w:color w:val="000000"/>
                <w:spacing w:val="-2"/>
              </w:rPr>
              <w:t xml:space="preserve"> monitoring</w:t>
            </w:r>
            <w:r w:rsidR="00570D4C">
              <w:rPr>
                <w:rFonts w:ascii="Times New Roman" w:hAnsi="Times New Roman"/>
                <w:color w:val="000000"/>
                <w:spacing w:val="-2"/>
              </w:rPr>
              <w:t>u</w:t>
            </w:r>
            <w:r w:rsidRPr="00AC268D">
              <w:rPr>
                <w:rFonts w:ascii="Times New Roman" w:hAnsi="Times New Roman"/>
                <w:color w:val="000000"/>
                <w:spacing w:val="-2"/>
              </w:rPr>
              <w:t xml:space="preserve"> progów przyznanej pomocy operacyjnej</w:t>
            </w:r>
            <w:r>
              <w:rPr>
                <w:rFonts w:ascii="Times New Roman" w:hAnsi="Times New Roman"/>
                <w:color w:val="000000"/>
                <w:spacing w:val="-2"/>
              </w:rPr>
              <w:t xml:space="preserve"> </w:t>
            </w:r>
            <w:r w:rsidRPr="00AC268D">
              <w:rPr>
                <w:rFonts w:ascii="Times New Roman" w:hAnsi="Times New Roman"/>
                <w:color w:val="000000"/>
                <w:spacing w:val="-2"/>
              </w:rPr>
              <w:t xml:space="preserve">na </w:t>
            </w:r>
            <w:r w:rsidR="00D70D2F">
              <w:rPr>
                <w:rFonts w:ascii="Times New Roman" w:hAnsi="Times New Roman"/>
                <w:color w:val="000000"/>
                <w:spacing w:val="-2"/>
              </w:rPr>
              <w:t>„</w:t>
            </w:r>
            <w:r w:rsidRPr="00231893">
              <w:rPr>
                <w:rFonts w:ascii="Times New Roman" w:hAnsi="Times New Roman"/>
                <w:i/>
                <w:iCs/>
                <w:color w:val="000000"/>
                <w:spacing w:val="-2"/>
              </w:rPr>
              <w:t>propagowanie energii elektrycznej ze źródeł odnawialnych oraz na propagowanie energii ze źródeł odnawialnych i wodoru odnawialnego w projektach na małą skalę oraz na społeczności energetyczne działające w zakresie energii odnawialnej</w:t>
            </w:r>
            <w:r w:rsidR="00D70D2F">
              <w:rPr>
                <w:rFonts w:ascii="Times New Roman" w:hAnsi="Times New Roman"/>
                <w:color w:val="000000"/>
                <w:spacing w:val="-2"/>
              </w:rPr>
              <w:t>”</w:t>
            </w:r>
            <w:r w:rsidR="007941E6">
              <w:rPr>
                <w:rFonts w:ascii="Times New Roman" w:hAnsi="Times New Roman"/>
                <w:color w:val="000000"/>
                <w:spacing w:val="-2"/>
              </w:rPr>
              <w:t xml:space="preserve"> (zgodnie z GBER)</w:t>
            </w:r>
            <w:r>
              <w:rPr>
                <w:rFonts w:ascii="Times New Roman" w:hAnsi="Times New Roman"/>
                <w:color w:val="000000"/>
                <w:spacing w:val="-2"/>
              </w:rPr>
              <w:t xml:space="preserve">. </w:t>
            </w:r>
            <w:r w:rsidR="00570D4C">
              <w:rPr>
                <w:rFonts w:ascii="Times New Roman" w:hAnsi="Times New Roman"/>
                <w:color w:val="000000"/>
                <w:spacing w:val="-2"/>
              </w:rPr>
              <w:t xml:space="preserve">Jego </w:t>
            </w:r>
            <w:r w:rsidRPr="00AC268D">
              <w:rPr>
                <w:rFonts w:ascii="Times New Roman" w:hAnsi="Times New Roman"/>
                <w:color w:val="000000"/>
                <w:spacing w:val="-2"/>
              </w:rPr>
              <w:t xml:space="preserve">zadaniem będzie </w:t>
            </w:r>
            <w:r w:rsidR="00D5238D">
              <w:rPr>
                <w:rFonts w:ascii="Times New Roman" w:hAnsi="Times New Roman"/>
                <w:color w:val="000000"/>
                <w:spacing w:val="-2"/>
              </w:rPr>
              <w:t>bieżąca</w:t>
            </w:r>
            <w:r w:rsidR="00D5238D" w:rsidRPr="00AC268D">
              <w:rPr>
                <w:rFonts w:ascii="Times New Roman" w:hAnsi="Times New Roman"/>
                <w:color w:val="000000"/>
                <w:spacing w:val="-2"/>
              </w:rPr>
              <w:t xml:space="preserve"> </w:t>
            </w:r>
            <w:r w:rsidRPr="00AC268D">
              <w:rPr>
                <w:rFonts w:ascii="Times New Roman" w:hAnsi="Times New Roman"/>
                <w:color w:val="000000"/>
                <w:spacing w:val="-2"/>
              </w:rPr>
              <w:t xml:space="preserve">kontrola wysokości wsparcia operacyjnego </w:t>
            </w:r>
            <w:r w:rsidR="00D5238D">
              <w:rPr>
                <w:rFonts w:ascii="Times New Roman" w:hAnsi="Times New Roman"/>
                <w:color w:val="000000"/>
                <w:spacing w:val="-2"/>
              </w:rPr>
              <w:t xml:space="preserve">udzielanego </w:t>
            </w:r>
            <w:r w:rsidRPr="00AC268D">
              <w:rPr>
                <w:rFonts w:ascii="Times New Roman" w:hAnsi="Times New Roman"/>
                <w:color w:val="000000"/>
                <w:spacing w:val="-2"/>
              </w:rPr>
              <w:t>w ramach systemów F</w:t>
            </w:r>
            <w:r w:rsidR="00AC268D">
              <w:rPr>
                <w:rFonts w:ascii="Times New Roman" w:hAnsi="Times New Roman"/>
                <w:color w:val="000000"/>
                <w:spacing w:val="-2"/>
              </w:rPr>
              <w:t>i</w:t>
            </w:r>
            <w:r w:rsidRPr="00AC268D">
              <w:rPr>
                <w:rFonts w:ascii="Times New Roman" w:hAnsi="Times New Roman"/>
                <w:color w:val="000000"/>
                <w:spacing w:val="-2"/>
              </w:rPr>
              <w:t>T i F</w:t>
            </w:r>
            <w:r w:rsidR="00AC268D">
              <w:rPr>
                <w:rFonts w:ascii="Times New Roman" w:hAnsi="Times New Roman"/>
                <w:color w:val="000000"/>
                <w:spacing w:val="-2"/>
              </w:rPr>
              <w:t>i</w:t>
            </w:r>
            <w:r w:rsidRPr="00AC268D">
              <w:rPr>
                <w:rFonts w:ascii="Times New Roman" w:hAnsi="Times New Roman"/>
                <w:color w:val="000000"/>
                <w:spacing w:val="-2"/>
              </w:rPr>
              <w:t>P</w:t>
            </w:r>
            <w:r w:rsidR="00D5238D">
              <w:rPr>
                <w:rFonts w:ascii="Times New Roman" w:hAnsi="Times New Roman"/>
                <w:color w:val="000000"/>
                <w:spacing w:val="-2"/>
              </w:rPr>
              <w:t xml:space="preserve"> tak w odniesieniu do progów określonych w rozporządzeniu GBER jak i wysokości pomocy zgłoszonej przez Polskę do Komisji Europejskiej na jego podstawie</w:t>
            </w:r>
            <w:r w:rsidRPr="00AC268D">
              <w:rPr>
                <w:rFonts w:ascii="Times New Roman" w:hAnsi="Times New Roman"/>
                <w:color w:val="000000"/>
                <w:spacing w:val="-2"/>
              </w:rPr>
              <w:t>.</w:t>
            </w:r>
            <w:r w:rsidR="00D5238D">
              <w:rPr>
                <w:rFonts w:ascii="Times New Roman" w:hAnsi="Times New Roman"/>
                <w:color w:val="000000"/>
                <w:spacing w:val="-2"/>
              </w:rPr>
              <w:t xml:space="preserve"> </w:t>
            </w:r>
            <w:r w:rsidR="009472DF">
              <w:rPr>
                <w:rFonts w:ascii="Times New Roman" w:hAnsi="Times New Roman"/>
                <w:color w:val="000000"/>
                <w:spacing w:val="-2"/>
              </w:rPr>
              <w:t xml:space="preserve">Po osiągnięciu tych progów w danym roku, Prezes URE zaprzestanie wydawania zaświadczeń wytwórcom w związku z wymogami rozporządzenia GBER. </w:t>
            </w:r>
          </w:p>
          <w:p w14:paraId="3A78CC16" w14:textId="2DB54A9A" w:rsidR="008921BD" w:rsidRPr="009A01B3" w:rsidRDefault="008921BD" w:rsidP="00070A0C">
            <w:pPr>
              <w:spacing w:before="120" w:after="120" w:line="240" w:lineRule="auto"/>
              <w:jc w:val="both"/>
              <w:rPr>
                <w:rFonts w:ascii="Times New Roman" w:hAnsi="Times New Roman"/>
                <w:color w:val="000000"/>
                <w:spacing w:val="-2"/>
              </w:rPr>
            </w:pPr>
            <w:r w:rsidRPr="009A01B3">
              <w:rPr>
                <w:rFonts w:ascii="Times New Roman" w:hAnsi="Times New Roman"/>
                <w:b/>
                <w:bCs/>
                <w:color w:val="000000"/>
                <w:spacing w:val="-2"/>
                <w:u w:val="single"/>
              </w:rPr>
              <w:lastRenderedPageBreak/>
              <w:t>I</w:t>
            </w:r>
            <w:r w:rsidR="009A01B3" w:rsidRPr="009A01B3">
              <w:rPr>
                <w:rFonts w:ascii="Times New Roman" w:hAnsi="Times New Roman"/>
                <w:b/>
                <w:bCs/>
                <w:color w:val="000000"/>
                <w:spacing w:val="-2"/>
                <w:u w:val="single"/>
              </w:rPr>
              <w:t>I</w:t>
            </w:r>
            <w:r w:rsidRPr="009A01B3">
              <w:rPr>
                <w:rFonts w:ascii="Times New Roman" w:hAnsi="Times New Roman"/>
                <w:b/>
                <w:bCs/>
                <w:color w:val="000000"/>
                <w:spacing w:val="-2"/>
                <w:u w:val="single"/>
              </w:rPr>
              <w:t>I. Przy</w:t>
            </w:r>
            <w:r w:rsidR="005322D5">
              <w:rPr>
                <w:rFonts w:ascii="Times New Roman" w:hAnsi="Times New Roman"/>
                <w:b/>
                <w:bCs/>
                <w:color w:val="000000"/>
                <w:spacing w:val="-2"/>
                <w:u w:val="single"/>
              </w:rPr>
              <w:t>s</w:t>
            </w:r>
            <w:r w:rsidRPr="009A01B3">
              <w:rPr>
                <w:rFonts w:ascii="Times New Roman" w:hAnsi="Times New Roman"/>
                <w:b/>
                <w:bCs/>
                <w:color w:val="000000"/>
                <w:spacing w:val="-2"/>
                <w:u w:val="single"/>
              </w:rPr>
              <w:t>pieszenie wydawania zezwoleń w obszarze OZE</w:t>
            </w:r>
          </w:p>
          <w:p w14:paraId="473A4C79" w14:textId="77777777" w:rsidR="008921BD" w:rsidRPr="009A01B3" w:rsidRDefault="008921BD" w:rsidP="00070A0C">
            <w:pPr>
              <w:spacing w:before="120" w:after="120" w:line="240" w:lineRule="auto"/>
              <w:jc w:val="both"/>
              <w:rPr>
                <w:rFonts w:ascii="Times New Roman" w:hAnsi="Times New Roman"/>
                <w:b/>
                <w:bCs/>
                <w:color w:val="000000"/>
                <w:spacing w:val="-2"/>
              </w:rPr>
            </w:pPr>
            <w:r w:rsidRPr="009A01B3">
              <w:rPr>
                <w:rFonts w:ascii="Times New Roman" w:hAnsi="Times New Roman"/>
                <w:b/>
                <w:bCs/>
                <w:color w:val="000000"/>
                <w:spacing w:val="-2"/>
              </w:rPr>
              <w:t xml:space="preserve">Opis szczegółowych zmian: </w:t>
            </w:r>
          </w:p>
          <w:p w14:paraId="229487B0" w14:textId="6D01764F" w:rsidR="008921BD" w:rsidRPr="009A01B3" w:rsidRDefault="008921BD" w:rsidP="00070A0C">
            <w:pPr>
              <w:spacing w:before="120" w:after="120" w:line="240" w:lineRule="auto"/>
              <w:jc w:val="both"/>
              <w:rPr>
                <w:rFonts w:ascii="Times New Roman" w:hAnsi="Times New Roman"/>
                <w:b/>
                <w:bCs/>
                <w:color w:val="000000"/>
                <w:spacing w:val="-2"/>
              </w:rPr>
            </w:pPr>
            <w:r w:rsidRPr="009A01B3">
              <w:rPr>
                <w:rFonts w:ascii="Times New Roman" w:hAnsi="Times New Roman"/>
                <w:b/>
                <w:bCs/>
                <w:color w:val="000000"/>
                <w:spacing w:val="-2"/>
              </w:rPr>
              <w:t xml:space="preserve">Zmiany w zakresie ustawy </w:t>
            </w:r>
            <w:r w:rsidR="005322D5">
              <w:rPr>
                <w:rFonts w:ascii="Times New Roman" w:hAnsi="Times New Roman"/>
                <w:b/>
                <w:bCs/>
                <w:color w:val="000000"/>
                <w:spacing w:val="-2"/>
              </w:rPr>
              <w:t xml:space="preserve">z dnia 7 lipca 1994 r. </w:t>
            </w:r>
            <w:r w:rsidRPr="009A01B3">
              <w:rPr>
                <w:rFonts w:ascii="Times New Roman" w:hAnsi="Times New Roman"/>
                <w:b/>
                <w:bCs/>
                <w:color w:val="000000"/>
                <w:spacing w:val="-2"/>
              </w:rPr>
              <w:t xml:space="preserve">– Prawo budowlane </w:t>
            </w:r>
            <w:r w:rsidR="005322D5">
              <w:rPr>
                <w:rFonts w:ascii="Times New Roman" w:hAnsi="Times New Roman"/>
                <w:b/>
                <w:bCs/>
                <w:color w:val="000000"/>
                <w:spacing w:val="-2"/>
              </w:rPr>
              <w:t>(</w:t>
            </w:r>
            <w:r w:rsidR="005322D5" w:rsidRPr="005322D5">
              <w:rPr>
                <w:rFonts w:ascii="Times New Roman" w:hAnsi="Times New Roman"/>
                <w:b/>
                <w:bCs/>
                <w:color w:val="000000"/>
                <w:spacing w:val="-2"/>
              </w:rPr>
              <w:t>Dz.</w:t>
            </w:r>
            <w:r w:rsidR="005322D5">
              <w:rPr>
                <w:rFonts w:ascii="Times New Roman" w:hAnsi="Times New Roman"/>
                <w:b/>
                <w:bCs/>
                <w:color w:val="000000"/>
                <w:spacing w:val="-2"/>
              </w:rPr>
              <w:t> </w:t>
            </w:r>
            <w:r w:rsidR="005322D5" w:rsidRPr="005322D5">
              <w:rPr>
                <w:rFonts w:ascii="Times New Roman" w:hAnsi="Times New Roman"/>
                <w:b/>
                <w:bCs/>
                <w:color w:val="000000"/>
                <w:spacing w:val="-2"/>
              </w:rPr>
              <w:t>U. z 2023 r. poz. 682</w:t>
            </w:r>
            <w:r w:rsidR="005322D5">
              <w:rPr>
                <w:rFonts w:ascii="Times New Roman" w:hAnsi="Times New Roman"/>
                <w:b/>
                <w:bCs/>
                <w:color w:val="000000"/>
                <w:spacing w:val="-2"/>
              </w:rPr>
              <w:t>, z późn. zm.</w:t>
            </w:r>
            <w:r w:rsidR="005322D5" w:rsidRPr="005322D5">
              <w:rPr>
                <w:rFonts w:ascii="Times New Roman" w:hAnsi="Times New Roman"/>
                <w:b/>
                <w:bCs/>
                <w:color w:val="000000"/>
                <w:spacing w:val="-2"/>
              </w:rPr>
              <w:t>)</w:t>
            </w:r>
          </w:p>
          <w:p w14:paraId="37263A96" w14:textId="29233DA9" w:rsidR="008921BD" w:rsidRPr="009A01B3" w:rsidRDefault="000C62C1" w:rsidP="00AC268D">
            <w:pPr>
              <w:spacing w:before="120" w:after="120" w:line="240" w:lineRule="auto"/>
              <w:jc w:val="both"/>
              <w:rPr>
                <w:rFonts w:ascii="Times New Roman" w:hAnsi="Times New Roman"/>
                <w:color w:val="000000"/>
                <w:spacing w:val="-2"/>
              </w:rPr>
            </w:pPr>
            <w:r w:rsidRPr="009A01B3">
              <w:rPr>
                <w:rFonts w:ascii="Times New Roman" w:hAnsi="Times New Roman"/>
                <w:color w:val="000000"/>
                <w:spacing w:val="-2"/>
              </w:rPr>
              <w:t>Pr</w:t>
            </w:r>
            <w:r>
              <w:rPr>
                <w:rFonts w:ascii="Times New Roman" w:hAnsi="Times New Roman"/>
                <w:color w:val="000000"/>
                <w:spacing w:val="-2"/>
              </w:rPr>
              <w:t>oponuje się przyjąć</w:t>
            </w:r>
            <w:r w:rsidRPr="009A01B3">
              <w:rPr>
                <w:rFonts w:ascii="Times New Roman" w:hAnsi="Times New Roman"/>
                <w:color w:val="000000"/>
                <w:spacing w:val="-2"/>
              </w:rPr>
              <w:t xml:space="preserve"> </w:t>
            </w:r>
            <w:r w:rsidR="008921BD" w:rsidRPr="009A01B3">
              <w:rPr>
                <w:rFonts w:ascii="Times New Roman" w:hAnsi="Times New Roman"/>
                <w:color w:val="000000"/>
                <w:spacing w:val="-2"/>
              </w:rPr>
              <w:t>30</w:t>
            </w:r>
            <w:r w:rsidR="005322D5">
              <w:rPr>
                <w:rFonts w:ascii="Times New Roman" w:hAnsi="Times New Roman"/>
                <w:color w:val="000000"/>
                <w:spacing w:val="-2"/>
              </w:rPr>
              <w:t>-</w:t>
            </w:r>
            <w:r w:rsidR="008921BD" w:rsidRPr="009A01B3">
              <w:rPr>
                <w:rFonts w:ascii="Times New Roman" w:hAnsi="Times New Roman"/>
                <w:color w:val="000000"/>
                <w:spacing w:val="-2"/>
              </w:rPr>
              <w:t>dniowy termin na wydanie decyzji o pozwoleniu na budowę w przedmiocie robót budowlanych:</w:t>
            </w:r>
          </w:p>
          <w:p w14:paraId="50A2698D" w14:textId="1EB08DBD" w:rsidR="008921BD" w:rsidRPr="009B08ED" w:rsidRDefault="008921BD">
            <w:pPr>
              <w:numPr>
                <w:ilvl w:val="0"/>
                <w:numId w:val="5"/>
              </w:numPr>
              <w:spacing w:line="240" w:lineRule="auto"/>
              <w:jc w:val="both"/>
              <w:rPr>
                <w:rFonts w:ascii="Times New Roman" w:hAnsi="Times New Roman"/>
                <w:color w:val="000000"/>
                <w:spacing w:val="-2"/>
              </w:rPr>
            </w:pPr>
            <w:r w:rsidRPr="009B08ED">
              <w:rPr>
                <w:rFonts w:ascii="Times New Roman" w:hAnsi="Times New Roman"/>
                <w:color w:val="000000"/>
                <w:spacing w:val="-2"/>
              </w:rPr>
              <w:t xml:space="preserve">polegających na budowie </w:t>
            </w:r>
            <w:bookmarkStart w:id="4" w:name="_Hlk139901880"/>
            <w:r w:rsidRPr="009B08ED">
              <w:rPr>
                <w:rFonts w:ascii="Times New Roman" w:hAnsi="Times New Roman"/>
                <w:color w:val="000000"/>
                <w:spacing w:val="-2"/>
              </w:rPr>
              <w:t>montowanych na budynku instalacji odnawialnego źródła energii wykorzystujących do wytwarzania energii energię promieniowania słonecznego</w:t>
            </w:r>
            <w:r w:rsidR="005D5FC3">
              <w:rPr>
                <w:rFonts w:ascii="Times New Roman" w:hAnsi="Times New Roman"/>
                <w:color w:val="000000"/>
                <w:spacing w:val="-2"/>
              </w:rPr>
              <w:t xml:space="preserve"> </w:t>
            </w:r>
            <w:r w:rsidR="005D5FC3" w:rsidRPr="005D5FC3">
              <w:rPr>
                <w:rFonts w:ascii="Times New Roman" w:hAnsi="Times New Roman"/>
                <w:color w:val="000000"/>
                <w:spacing w:val="-2"/>
              </w:rPr>
              <w:t>o mocy zainstalowanej elektrycznej większej niż 150 kW</w:t>
            </w:r>
            <w:r w:rsidR="001F54A6">
              <w:rPr>
                <w:rFonts w:ascii="Times New Roman" w:hAnsi="Times New Roman"/>
                <w:color w:val="000000"/>
                <w:spacing w:val="-2"/>
              </w:rPr>
              <w:t xml:space="preserve"> </w:t>
            </w:r>
            <w:r w:rsidR="001F54A6" w:rsidRPr="000A5EA0">
              <w:rPr>
                <w:rFonts w:ascii="Times New Roman" w:hAnsi="Times New Roman"/>
                <w:color w:val="000000"/>
                <w:spacing w:val="-2"/>
              </w:rPr>
              <w:t>i położonych na tym samym terenie magazyn</w:t>
            </w:r>
            <w:r w:rsidR="00945067">
              <w:rPr>
                <w:rFonts w:ascii="Times New Roman" w:hAnsi="Times New Roman"/>
                <w:color w:val="000000"/>
                <w:spacing w:val="-2"/>
              </w:rPr>
              <w:t>ów</w:t>
            </w:r>
            <w:r w:rsidR="001F54A6" w:rsidRPr="000A5EA0">
              <w:rPr>
                <w:rFonts w:ascii="Times New Roman" w:hAnsi="Times New Roman"/>
                <w:color w:val="000000"/>
                <w:spacing w:val="-2"/>
              </w:rPr>
              <w:t xml:space="preserve"> energii</w:t>
            </w:r>
            <w:r w:rsidR="0028298B">
              <w:rPr>
                <w:rFonts w:ascii="Times New Roman" w:hAnsi="Times New Roman"/>
                <w:color w:val="000000"/>
                <w:spacing w:val="-2"/>
              </w:rPr>
              <w:t xml:space="preserve"> </w:t>
            </w:r>
            <w:r w:rsidR="00945067">
              <w:rPr>
                <w:rFonts w:ascii="Times New Roman" w:hAnsi="Times New Roman"/>
                <w:color w:val="000000"/>
                <w:spacing w:val="-2"/>
              </w:rPr>
              <w:t>elektrycznej</w:t>
            </w:r>
            <w:r w:rsidR="007166C8">
              <w:rPr>
                <w:rFonts w:ascii="Times New Roman" w:hAnsi="Times New Roman"/>
                <w:color w:val="000000"/>
                <w:spacing w:val="-2"/>
              </w:rPr>
              <w:t xml:space="preserve"> o</w:t>
            </w:r>
            <w:r w:rsidR="0028298B">
              <w:rPr>
                <w:rFonts w:ascii="Times New Roman" w:hAnsi="Times New Roman"/>
                <w:color w:val="000000"/>
                <w:spacing w:val="-2"/>
              </w:rPr>
              <w:t xml:space="preserve"> pojemności nominalnej większej niż 20 kWh</w:t>
            </w:r>
            <w:r w:rsidRPr="009B08ED">
              <w:rPr>
                <w:rFonts w:ascii="Times New Roman" w:hAnsi="Times New Roman"/>
                <w:color w:val="000000"/>
                <w:spacing w:val="-2"/>
              </w:rPr>
              <w:t>;</w:t>
            </w:r>
          </w:p>
          <w:bookmarkEnd w:id="4"/>
          <w:p w14:paraId="3EBD33CA" w14:textId="19A39477" w:rsidR="008921BD" w:rsidRPr="00B726D3" w:rsidRDefault="008921BD">
            <w:pPr>
              <w:numPr>
                <w:ilvl w:val="0"/>
                <w:numId w:val="5"/>
              </w:numPr>
              <w:spacing w:line="240" w:lineRule="auto"/>
              <w:jc w:val="both"/>
              <w:rPr>
                <w:rFonts w:ascii="Times New Roman" w:hAnsi="Times New Roman"/>
                <w:color w:val="000000"/>
                <w:spacing w:val="-2"/>
              </w:rPr>
            </w:pPr>
            <w:r w:rsidRPr="009B08ED">
              <w:rPr>
                <w:rFonts w:ascii="Times New Roman" w:hAnsi="Times New Roman"/>
                <w:color w:val="000000"/>
                <w:spacing w:val="-2"/>
              </w:rPr>
              <w:t>wynikających z remontu, odbudowy, przebudowy, nadbudowy lub rozbudowy urządzeń i instalacji niezbędnych do przyłączenia do sieci danej instalacji odnawialnego źródła energii</w:t>
            </w:r>
            <w:r w:rsidR="001F54A6">
              <w:rPr>
                <w:rFonts w:ascii="Times New Roman" w:hAnsi="Times New Roman"/>
                <w:color w:val="000000"/>
                <w:spacing w:val="-2"/>
              </w:rPr>
              <w:t xml:space="preserve"> </w:t>
            </w:r>
            <w:r w:rsidR="001F54A6" w:rsidRPr="000A5EA0">
              <w:rPr>
                <w:rFonts w:ascii="Times New Roman" w:hAnsi="Times New Roman"/>
                <w:color w:val="000000"/>
                <w:spacing w:val="-2"/>
              </w:rPr>
              <w:t>i położonych na tym samym terenie magazyn</w:t>
            </w:r>
            <w:r w:rsidR="00945067">
              <w:rPr>
                <w:rFonts w:ascii="Times New Roman" w:hAnsi="Times New Roman"/>
                <w:color w:val="000000"/>
                <w:spacing w:val="-2"/>
              </w:rPr>
              <w:t>ów</w:t>
            </w:r>
            <w:r w:rsidR="001F54A6" w:rsidRPr="000A5EA0">
              <w:rPr>
                <w:rFonts w:ascii="Times New Roman" w:hAnsi="Times New Roman"/>
                <w:color w:val="000000"/>
                <w:spacing w:val="-2"/>
              </w:rPr>
              <w:t xml:space="preserve"> </w:t>
            </w:r>
            <w:r w:rsidR="001F54A6" w:rsidRPr="007166C8">
              <w:rPr>
                <w:rFonts w:ascii="Times New Roman" w:hAnsi="Times New Roman"/>
                <w:color w:val="000000"/>
                <w:spacing w:val="-2"/>
              </w:rPr>
              <w:t>energii</w:t>
            </w:r>
            <w:r w:rsidR="0028298B" w:rsidRPr="0011074B">
              <w:rPr>
                <w:rFonts w:ascii="Times New Roman" w:hAnsi="Times New Roman"/>
              </w:rPr>
              <w:t xml:space="preserve"> </w:t>
            </w:r>
            <w:r w:rsidR="00945067" w:rsidRPr="0011074B">
              <w:rPr>
                <w:rFonts w:ascii="Times New Roman" w:hAnsi="Times New Roman"/>
              </w:rPr>
              <w:t xml:space="preserve">elektrycznej </w:t>
            </w:r>
            <w:r w:rsidR="0028298B" w:rsidRPr="007166C8">
              <w:rPr>
                <w:rFonts w:ascii="Times New Roman" w:hAnsi="Times New Roman"/>
                <w:color w:val="000000"/>
                <w:spacing w:val="-2"/>
              </w:rPr>
              <w:t>o pojemności nominalnej większej niż 20 kWh</w:t>
            </w:r>
            <w:r w:rsidRPr="007166C8">
              <w:rPr>
                <w:rFonts w:ascii="Times New Roman" w:hAnsi="Times New Roman"/>
                <w:color w:val="000000"/>
                <w:spacing w:val="-2"/>
              </w:rPr>
              <w:t>.</w:t>
            </w:r>
          </w:p>
          <w:p w14:paraId="2B2C1BFC" w14:textId="3EAB1C01" w:rsidR="008921BD" w:rsidRPr="009A01B3" w:rsidRDefault="008921BD" w:rsidP="00070A0C">
            <w:pPr>
              <w:spacing w:before="120" w:after="120" w:line="240" w:lineRule="auto"/>
              <w:jc w:val="both"/>
              <w:rPr>
                <w:rFonts w:ascii="Times New Roman" w:hAnsi="Times New Roman"/>
                <w:b/>
                <w:bCs/>
                <w:color w:val="000000"/>
                <w:spacing w:val="-2"/>
              </w:rPr>
            </w:pPr>
            <w:bookmarkStart w:id="5" w:name="_Hlk139901753"/>
            <w:r w:rsidRPr="009A01B3">
              <w:rPr>
                <w:rFonts w:ascii="Times New Roman" w:hAnsi="Times New Roman"/>
                <w:b/>
                <w:bCs/>
                <w:color w:val="000000"/>
                <w:spacing w:val="-2"/>
              </w:rPr>
              <w:t xml:space="preserve">Zmiany w zakresie ustawy – Prawo </w:t>
            </w:r>
            <w:r w:rsidR="00E60110">
              <w:rPr>
                <w:rFonts w:ascii="Times New Roman" w:hAnsi="Times New Roman"/>
                <w:b/>
                <w:bCs/>
                <w:color w:val="000000"/>
                <w:spacing w:val="-2"/>
              </w:rPr>
              <w:t>e</w:t>
            </w:r>
            <w:r w:rsidRPr="009A01B3">
              <w:rPr>
                <w:rFonts w:ascii="Times New Roman" w:hAnsi="Times New Roman"/>
                <w:b/>
                <w:bCs/>
                <w:color w:val="000000"/>
                <w:spacing w:val="-2"/>
              </w:rPr>
              <w:t xml:space="preserve">nergetyczne: </w:t>
            </w:r>
          </w:p>
          <w:bookmarkEnd w:id="5"/>
          <w:p w14:paraId="7901D5BB" w14:textId="2B7D62DC" w:rsidR="009B08ED" w:rsidRPr="00777993" w:rsidRDefault="000C62C1" w:rsidP="004253F2">
            <w:pPr>
              <w:spacing w:before="120" w:line="240" w:lineRule="auto"/>
              <w:jc w:val="both"/>
              <w:rPr>
                <w:rFonts w:ascii="Times New Roman" w:hAnsi="Times New Roman"/>
                <w:color w:val="000000"/>
                <w:spacing w:val="-2"/>
              </w:rPr>
            </w:pPr>
            <w:r w:rsidRPr="009A01B3">
              <w:rPr>
                <w:rFonts w:ascii="Times New Roman" w:hAnsi="Times New Roman"/>
                <w:color w:val="000000"/>
                <w:spacing w:val="-2"/>
              </w:rPr>
              <w:t>Pr</w:t>
            </w:r>
            <w:r>
              <w:rPr>
                <w:rFonts w:ascii="Times New Roman" w:hAnsi="Times New Roman"/>
                <w:color w:val="000000"/>
                <w:spacing w:val="-2"/>
              </w:rPr>
              <w:t>oponuje się przyjąć</w:t>
            </w:r>
            <w:r w:rsidRPr="009A01B3">
              <w:rPr>
                <w:rFonts w:ascii="Times New Roman" w:hAnsi="Times New Roman"/>
                <w:color w:val="000000"/>
                <w:spacing w:val="-2"/>
              </w:rPr>
              <w:t xml:space="preserve"> </w:t>
            </w:r>
            <w:r w:rsidR="008921BD" w:rsidRPr="009A01B3">
              <w:rPr>
                <w:rFonts w:ascii="Times New Roman" w:hAnsi="Times New Roman"/>
                <w:color w:val="000000"/>
                <w:spacing w:val="-2"/>
              </w:rPr>
              <w:t>45</w:t>
            </w:r>
            <w:r w:rsidR="005322D5">
              <w:rPr>
                <w:rFonts w:ascii="Times New Roman" w:hAnsi="Times New Roman"/>
                <w:color w:val="000000"/>
                <w:spacing w:val="-2"/>
              </w:rPr>
              <w:t>-</w:t>
            </w:r>
            <w:r w:rsidR="008921BD" w:rsidRPr="009A01B3">
              <w:rPr>
                <w:rFonts w:ascii="Times New Roman" w:hAnsi="Times New Roman"/>
                <w:color w:val="000000"/>
                <w:spacing w:val="-2"/>
              </w:rPr>
              <w:t>dniowy termin na wydanie warunków przyłączenia do sieci</w:t>
            </w:r>
            <w:r w:rsidR="00901412">
              <w:t xml:space="preserve"> </w:t>
            </w:r>
            <w:r w:rsidR="00901412" w:rsidRPr="00901412">
              <w:rPr>
                <w:rFonts w:ascii="Times New Roman" w:hAnsi="Times New Roman"/>
                <w:color w:val="000000"/>
                <w:spacing w:val="-2"/>
              </w:rPr>
              <w:t>elektroenergetycznej</w:t>
            </w:r>
            <w:r w:rsidR="008921BD" w:rsidRPr="009A01B3">
              <w:rPr>
                <w:rFonts w:ascii="Times New Roman" w:hAnsi="Times New Roman"/>
                <w:color w:val="000000"/>
                <w:spacing w:val="-2"/>
              </w:rPr>
              <w:t xml:space="preserve"> dla</w:t>
            </w:r>
            <w:r w:rsidR="004253F2">
              <w:rPr>
                <w:rFonts w:ascii="Times New Roman" w:hAnsi="Times New Roman"/>
                <w:color w:val="000000"/>
                <w:spacing w:val="-2"/>
              </w:rPr>
              <w:t xml:space="preserve"> </w:t>
            </w:r>
            <w:r w:rsidR="008921BD" w:rsidRPr="009A01B3">
              <w:rPr>
                <w:rFonts w:ascii="Times New Roman" w:hAnsi="Times New Roman"/>
                <w:color w:val="000000"/>
                <w:spacing w:val="-2"/>
              </w:rPr>
              <w:t>montowanych na budynku instalacji odnawialnego źródła energii wykorzystujących do wytwarzania energii energię promieniowania słonecznego</w:t>
            </w:r>
            <w:r w:rsidR="004253F2">
              <w:rPr>
                <w:rFonts w:ascii="Times New Roman" w:hAnsi="Times New Roman"/>
                <w:color w:val="000000"/>
                <w:spacing w:val="-2"/>
              </w:rPr>
              <w:t xml:space="preserve"> </w:t>
            </w:r>
            <w:r w:rsidR="001F54A6" w:rsidRPr="000A5EA0">
              <w:rPr>
                <w:rFonts w:ascii="Times New Roman" w:hAnsi="Times New Roman"/>
                <w:color w:val="000000"/>
                <w:spacing w:val="-2"/>
              </w:rPr>
              <w:t>i położonych na tym samym terenie magazyn</w:t>
            </w:r>
            <w:r w:rsidR="00945067">
              <w:rPr>
                <w:rFonts w:ascii="Times New Roman" w:hAnsi="Times New Roman"/>
                <w:color w:val="000000"/>
                <w:spacing w:val="-2"/>
              </w:rPr>
              <w:t>ów</w:t>
            </w:r>
            <w:r w:rsidR="001F54A6" w:rsidRPr="000A5EA0">
              <w:rPr>
                <w:rFonts w:ascii="Times New Roman" w:hAnsi="Times New Roman"/>
                <w:color w:val="000000"/>
                <w:spacing w:val="-2"/>
              </w:rPr>
              <w:t xml:space="preserve"> energii</w:t>
            </w:r>
            <w:r w:rsidR="001F54A6">
              <w:rPr>
                <w:rFonts w:ascii="Times New Roman" w:hAnsi="Times New Roman"/>
                <w:color w:val="000000"/>
                <w:spacing w:val="-2"/>
              </w:rPr>
              <w:t xml:space="preserve"> </w:t>
            </w:r>
            <w:r w:rsidR="00945067">
              <w:rPr>
                <w:rFonts w:ascii="Times New Roman" w:hAnsi="Times New Roman"/>
                <w:color w:val="000000"/>
                <w:spacing w:val="-2"/>
              </w:rPr>
              <w:t xml:space="preserve">elektrycznej </w:t>
            </w:r>
            <w:r w:rsidR="00901412" w:rsidRPr="00901412">
              <w:rPr>
                <w:rFonts w:ascii="Times New Roman" w:hAnsi="Times New Roman"/>
                <w:color w:val="000000"/>
                <w:spacing w:val="-2"/>
              </w:rPr>
              <w:t>oraz 30</w:t>
            </w:r>
            <w:r w:rsidR="005322D5">
              <w:rPr>
                <w:rFonts w:ascii="Times New Roman" w:hAnsi="Times New Roman"/>
                <w:color w:val="000000"/>
                <w:spacing w:val="-2"/>
              </w:rPr>
              <w:t>-</w:t>
            </w:r>
            <w:r w:rsidR="00901412" w:rsidRPr="00901412">
              <w:rPr>
                <w:rFonts w:ascii="Times New Roman" w:hAnsi="Times New Roman"/>
                <w:color w:val="000000"/>
                <w:spacing w:val="-2"/>
              </w:rPr>
              <w:t>dniowy termin na wydanie warunków przyłączenia do sieci ciepłowniczej dla</w:t>
            </w:r>
            <w:r w:rsidR="004253F2">
              <w:rPr>
                <w:rFonts w:ascii="Times New Roman" w:hAnsi="Times New Roman"/>
                <w:color w:val="000000"/>
                <w:spacing w:val="-2"/>
              </w:rPr>
              <w:t xml:space="preserve"> </w:t>
            </w:r>
            <w:r w:rsidR="00DD6E27" w:rsidRPr="009A01B3">
              <w:rPr>
                <w:rFonts w:ascii="Times New Roman" w:hAnsi="Times New Roman"/>
                <w:color w:val="000000"/>
                <w:spacing w:val="-2"/>
              </w:rPr>
              <w:t>p</w:t>
            </w:r>
            <w:r w:rsidR="008921BD" w:rsidRPr="009A01B3">
              <w:rPr>
                <w:rFonts w:ascii="Times New Roman" w:hAnsi="Times New Roman"/>
                <w:color w:val="000000"/>
                <w:spacing w:val="-2"/>
              </w:rPr>
              <w:t xml:space="preserve">omp ciepła o mocy do 50 MW. </w:t>
            </w:r>
            <w:r>
              <w:rPr>
                <w:rFonts w:ascii="Times New Roman" w:hAnsi="Times New Roman"/>
                <w:color w:val="000000"/>
                <w:spacing w:val="-2"/>
              </w:rPr>
              <w:t xml:space="preserve">Regulacje dotyczące </w:t>
            </w:r>
            <w:r w:rsidR="00504707" w:rsidRPr="00504707">
              <w:rPr>
                <w:rFonts w:ascii="Times New Roman" w:hAnsi="Times New Roman"/>
                <w:color w:val="000000"/>
                <w:spacing w:val="-2"/>
              </w:rPr>
              <w:t>przyłączania do sieci elektroenergetycznej</w:t>
            </w:r>
            <w:r w:rsidR="00504707" w:rsidRPr="00504707" w:rsidDel="00901412">
              <w:rPr>
                <w:rFonts w:ascii="Times New Roman" w:hAnsi="Times New Roman"/>
                <w:color w:val="000000"/>
                <w:spacing w:val="-2"/>
              </w:rPr>
              <w:t xml:space="preserve"> </w:t>
            </w:r>
            <w:r w:rsidR="00BC4692">
              <w:rPr>
                <w:rFonts w:ascii="Times New Roman" w:hAnsi="Times New Roman"/>
                <w:color w:val="000000"/>
                <w:spacing w:val="-2"/>
              </w:rPr>
              <w:t xml:space="preserve">ww. </w:t>
            </w:r>
            <w:r w:rsidR="00504707" w:rsidRPr="00504707">
              <w:rPr>
                <w:rFonts w:ascii="Times New Roman" w:hAnsi="Times New Roman"/>
                <w:color w:val="000000"/>
                <w:spacing w:val="-2"/>
              </w:rPr>
              <w:t>instalacji zaliczanych do IV, V i VI grupy przyłączeniowej</w:t>
            </w:r>
            <w:r w:rsidR="00504707">
              <w:rPr>
                <w:rFonts w:ascii="Times New Roman" w:hAnsi="Times New Roman"/>
                <w:color w:val="000000"/>
                <w:spacing w:val="-2"/>
              </w:rPr>
              <w:t xml:space="preserve"> pozostaną bez zmian.</w:t>
            </w:r>
          </w:p>
          <w:p w14:paraId="138EB779" w14:textId="621D4F30" w:rsidR="008921BD" w:rsidRPr="009A01B3" w:rsidRDefault="00504707" w:rsidP="00AC268D">
            <w:pPr>
              <w:spacing w:before="120" w:after="120" w:line="240" w:lineRule="auto"/>
              <w:jc w:val="both"/>
              <w:rPr>
                <w:rFonts w:ascii="Times New Roman" w:hAnsi="Times New Roman"/>
                <w:color w:val="000000"/>
                <w:spacing w:val="-2"/>
              </w:rPr>
            </w:pPr>
            <w:r>
              <w:rPr>
                <w:rFonts w:ascii="Times New Roman" w:hAnsi="Times New Roman"/>
                <w:color w:val="000000"/>
                <w:spacing w:val="-2"/>
              </w:rPr>
              <w:t>Proponuje się p</w:t>
            </w:r>
            <w:r w:rsidRPr="009A01B3">
              <w:rPr>
                <w:rFonts w:ascii="Times New Roman" w:hAnsi="Times New Roman"/>
                <w:color w:val="000000"/>
                <w:spacing w:val="-2"/>
              </w:rPr>
              <w:t>rzyj</w:t>
            </w:r>
            <w:r>
              <w:rPr>
                <w:rFonts w:ascii="Times New Roman" w:hAnsi="Times New Roman"/>
                <w:color w:val="000000"/>
                <w:spacing w:val="-2"/>
              </w:rPr>
              <w:t>ąć</w:t>
            </w:r>
            <w:r w:rsidRPr="009A01B3">
              <w:rPr>
                <w:rFonts w:ascii="Times New Roman" w:hAnsi="Times New Roman"/>
                <w:color w:val="000000"/>
                <w:spacing w:val="-2"/>
              </w:rPr>
              <w:t xml:space="preserve"> </w:t>
            </w:r>
            <w:r w:rsidR="008921BD" w:rsidRPr="009A01B3">
              <w:rPr>
                <w:rFonts w:ascii="Times New Roman" w:hAnsi="Times New Roman"/>
                <w:color w:val="000000"/>
                <w:spacing w:val="-2"/>
              </w:rPr>
              <w:t>30</w:t>
            </w:r>
            <w:r w:rsidR="005E51D1">
              <w:rPr>
                <w:rFonts w:ascii="Times New Roman" w:hAnsi="Times New Roman"/>
                <w:color w:val="000000"/>
                <w:spacing w:val="-2"/>
              </w:rPr>
              <w:t>-</w:t>
            </w:r>
            <w:r w:rsidR="008921BD" w:rsidRPr="009A01B3">
              <w:rPr>
                <w:rFonts w:ascii="Times New Roman" w:hAnsi="Times New Roman"/>
                <w:color w:val="000000"/>
                <w:spacing w:val="-2"/>
              </w:rPr>
              <w:t xml:space="preserve">dniowy termin na wydanie koncesji na wytwarzanie energii elektrycznej lub koncesji na wytwarzanie ciepła </w:t>
            </w:r>
            <w:r w:rsidR="00CF12E8">
              <w:rPr>
                <w:rFonts w:ascii="Times New Roman" w:hAnsi="Times New Roman"/>
                <w:color w:val="000000"/>
                <w:spacing w:val="-2"/>
              </w:rPr>
              <w:t xml:space="preserve">lub koncesji na magazynowanie energii elektrycznej </w:t>
            </w:r>
            <w:r w:rsidR="008921BD" w:rsidRPr="009A01B3">
              <w:rPr>
                <w:rFonts w:ascii="Times New Roman" w:hAnsi="Times New Roman"/>
                <w:color w:val="000000"/>
                <w:spacing w:val="-2"/>
              </w:rPr>
              <w:t>dla:</w:t>
            </w:r>
          </w:p>
          <w:p w14:paraId="652158F9" w14:textId="3095A9FA" w:rsidR="008921BD" w:rsidRPr="009A01B3" w:rsidRDefault="008921BD">
            <w:pPr>
              <w:numPr>
                <w:ilvl w:val="0"/>
                <w:numId w:val="5"/>
              </w:numPr>
              <w:spacing w:line="240" w:lineRule="auto"/>
              <w:jc w:val="both"/>
              <w:rPr>
                <w:rFonts w:ascii="Times New Roman" w:hAnsi="Times New Roman"/>
                <w:color w:val="000000"/>
                <w:spacing w:val="-2"/>
              </w:rPr>
            </w:pPr>
            <w:r w:rsidRPr="009A01B3">
              <w:rPr>
                <w:rFonts w:ascii="Times New Roman" w:hAnsi="Times New Roman"/>
                <w:color w:val="000000"/>
                <w:spacing w:val="-2"/>
              </w:rPr>
              <w:t>montowanych na budynku instalacji odnawialnego źródła energii wykorzystując</w:t>
            </w:r>
            <w:r w:rsidR="00DD6E27" w:rsidRPr="009A01B3">
              <w:rPr>
                <w:rFonts w:ascii="Times New Roman" w:hAnsi="Times New Roman"/>
                <w:color w:val="000000"/>
                <w:spacing w:val="-2"/>
              </w:rPr>
              <w:t>ych</w:t>
            </w:r>
            <w:r w:rsidRPr="009A01B3">
              <w:rPr>
                <w:rFonts w:ascii="Times New Roman" w:hAnsi="Times New Roman"/>
                <w:color w:val="000000"/>
                <w:spacing w:val="-2"/>
              </w:rPr>
              <w:t xml:space="preserve"> do wytwarzania energii energię promieniowania słonecznego o mocy </w:t>
            </w:r>
            <w:r w:rsidR="00DD6E27" w:rsidRPr="009A01B3">
              <w:rPr>
                <w:rFonts w:ascii="Times New Roman" w:hAnsi="Times New Roman"/>
                <w:color w:val="000000"/>
                <w:spacing w:val="-2"/>
              </w:rPr>
              <w:t xml:space="preserve">zainstalowanej elektrycznej </w:t>
            </w:r>
            <w:r w:rsidRPr="009A01B3">
              <w:rPr>
                <w:rFonts w:ascii="Times New Roman" w:hAnsi="Times New Roman"/>
                <w:color w:val="000000"/>
                <w:spacing w:val="-2"/>
              </w:rPr>
              <w:t>większej niż 1 MW</w:t>
            </w:r>
            <w:r w:rsidR="00CF12E8">
              <w:rPr>
                <w:rFonts w:ascii="Times New Roman" w:hAnsi="Times New Roman"/>
                <w:color w:val="000000"/>
                <w:spacing w:val="-2"/>
              </w:rPr>
              <w:t xml:space="preserve"> lub</w:t>
            </w:r>
            <w:r w:rsidR="00CF12E8">
              <w:t xml:space="preserve"> </w:t>
            </w:r>
            <w:r w:rsidR="00CF12E8" w:rsidRPr="00CF12E8">
              <w:rPr>
                <w:rFonts w:ascii="Times New Roman" w:hAnsi="Times New Roman"/>
                <w:color w:val="000000"/>
                <w:spacing w:val="-2"/>
              </w:rPr>
              <w:t>położonych na tym samym terenie magazyn</w:t>
            </w:r>
            <w:r w:rsidR="00945067">
              <w:rPr>
                <w:rFonts w:ascii="Times New Roman" w:hAnsi="Times New Roman"/>
                <w:color w:val="000000"/>
                <w:spacing w:val="-2"/>
              </w:rPr>
              <w:t xml:space="preserve">ów </w:t>
            </w:r>
            <w:r w:rsidR="00CF12E8" w:rsidRPr="00CF12E8">
              <w:rPr>
                <w:rFonts w:ascii="Times New Roman" w:hAnsi="Times New Roman"/>
                <w:color w:val="000000"/>
                <w:spacing w:val="-2"/>
              </w:rPr>
              <w:t>energii</w:t>
            </w:r>
            <w:r w:rsidR="00CF12E8">
              <w:rPr>
                <w:rFonts w:ascii="Times New Roman" w:hAnsi="Times New Roman"/>
                <w:color w:val="000000"/>
                <w:spacing w:val="-2"/>
              </w:rPr>
              <w:t xml:space="preserve"> </w:t>
            </w:r>
            <w:r w:rsidR="00945067">
              <w:rPr>
                <w:rFonts w:ascii="Times New Roman" w:hAnsi="Times New Roman"/>
                <w:color w:val="000000"/>
                <w:spacing w:val="-2"/>
              </w:rPr>
              <w:t xml:space="preserve">elektrycznej </w:t>
            </w:r>
            <w:r w:rsidR="00CF12E8">
              <w:rPr>
                <w:rFonts w:ascii="Times New Roman" w:hAnsi="Times New Roman"/>
                <w:color w:val="000000"/>
                <w:spacing w:val="-2"/>
              </w:rPr>
              <w:t>o łącznej mocy zainstalowanej elektrycznej większej niż 10 MW</w:t>
            </w:r>
            <w:r w:rsidRPr="009A01B3">
              <w:rPr>
                <w:rFonts w:ascii="Times New Roman" w:hAnsi="Times New Roman"/>
                <w:color w:val="000000"/>
                <w:spacing w:val="-2"/>
              </w:rPr>
              <w:t>;</w:t>
            </w:r>
          </w:p>
          <w:p w14:paraId="4B5F3541" w14:textId="7600BCF0" w:rsidR="008921BD" w:rsidRPr="00B726D3" w:rsidRDefault="008921BD">
            <w:pPr>
              <w:numPr>
                <w:ilvl w:val="0"/>
                <w:numId w:val="5"/>
              </w:numPr>
              <w:spacing w:line="240" w:lineRule="auto"/>
              <w:jc w:val="both"/>
              <w:rPr>
                <w:rFonts w:ascii="Times New Roman" w:hAnsi="Times New Roman"/>
                <w:color w:val="000000"/>
                <w:spacing w:val="-2"/>
              </w:rPr>
            </w:pPr>
            <w:r w:rsidRPr="009A01B3">
              <w:rPr>
                <w:rFonts w:ascii="Times New Roman" w:hAnsi="Times New Roman"/>
                <w:color w:val="000000"/>
                <w:spacing w:val="-2"/>
              </w:rPr>
              <w:t xml:space="preserve">pomp ciepła o mocy </w:t>
            </w:r>
            <w:r w:rsidR="005D5FC3">
              <w:rPr>
                <w:rFonts w:ascii="Times New Roman" w:hAnsi="Times New Roman"/>
                <w:color w:val="000000"/>
                <w:spacing w:val="-2"/>
              </w:rPr>
              <w:t xml:space="preserve">zainstalowanej cieplnej przekraczającej </w:t>
            </w:r>
            <w:r w:rsidRPr="009A01B3">
              <w:rPr>
                <w:rFonts w:ascii="Times New Roman" w:hAnsi="Times New Roman"/>
                <w:color w:val="000000"/>
                <w:spacing w:val="-2"/>
              </w:rPr>
              <w:t>5 MW.</w:t>
            </w:r>
          </w:p>
          <w:p w14:paraId="4A98C421" w14:textId="5B5F49DC" w:rsidR="00E60110" w:rsidRPr="004253F2" w:rsidRDefault="00E60110" w:rsidP="00E60110">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Ważne podkreślenia </w:t>
            </w:r>
            <w:r w:rsidR="005E51D1">
              <w:rPr>
                <w:rFonts w:ascii="Times New Roman" w:hAnsi="Times New Roman"/>
                <w:color w:val="000000"/>
                <w:spacing w:val="-2"/>
              </w:rPr>
              <w:t>jest,</w:t>
            </w:r>
            <w:r>
              <w:rPr>
                <w:rFonts w:ascii="Times New Roman" w:hAnsi="Times New Roman"/>
                <w:color w:val="000000"/>
                <w:spacing w:val="-2"/>
              </w:rPr>
              <w:t xml:space="preserve"> że ww. termin</w:t>
            </w:r>
            <w:r w:rsidR="00BC4692">
              <w:rPr>
                <w:rFonts w:ascii="Times New Roman" w:hAnsi="Times New Roman"/>
                <w:color w:val="000000"/>
                <w:spacing w:val="-2"/>
              </w:rPr>
              <w:t>y</w:t>
            </w:r>
            <w:r>
              <w:rPr>
                <w:rFonts w:ascii="Times New Roman" w:hAnsi="Times New Roman"/>
                <w:color w:val="000000"/>
                <w:spacing w:val="-2"/>
              </w:rPr>
              <w:t xml:space="preserve"> dotycz</w:t>
            </w:r>
            <w:r w:rsidR="00BC4692">
              <w:rPr>
                <w:rFonts w:ascii="Times New Roman" w:hAnsi="Times New Roman"/>
                <w:color w:val="000000"/>
                <w:spacing w:val="-2"/>
              </w:rPr>
              <w:t>ą</w:t>
            </w:r>
            <w:r>
              <w:rPr>
                <w:rFonts w:ascii="Times New Roman" w:hAnsi="Times New Roman"/>
                <w:color w:val="000000"/>
                <w:spacing w:val="-2"/>
              </w:rPr>
              <w:t xml:space="preserve"> okres</w:t>
            </w:r>
            <w:r w:rsidR="00BC4692">
              <w:rPr>
                <w:rFonts w:ascii="Times New Roman" w:hAnsi="Times New Roman"/>
                <w:color w:val="000000"/>
                <w:spacing w:val="-2"/>
              </w:rPr>
              <w:t>ów</w:t>
            </w:r>
            <w:r>
              <w:rPr>
                <w:rFonts w:ascii="Times New Roman" w:hAnsi="Times New Roman"/>
                <w:color w:val="000000"/>
                <w:spacing w:val="-2"/>
              </w:rPr>
              <w:t xml:space="preserve"> rozpatrywania spraw, do któr</w:t>
            </w:r>
            <w:r w:rsidR="00BC4692">
              <w:rPr>
                <w:rFonts w:ascii="Times New Roman" w:hAnsi="Times New Roman"/>
                <w:color w:val="000000"/>
                <w:spacing w:val="-2"/>
              </w:rPr>
              <w:t>ych</w:t>
            </w:r>
            <w:r>
              <w:rPr>
                <w:rFonts w:ascii="Times New Roman" w:hAnsi="Times New Roman"/>
                <w:color w:val="000000"/>
                <w:spacing w:val="-2"/>
              </w:rPr>
              <w:t xml:space="preserve"> nie włącza się np. wezwań do uzupełnień dokumentów przez wnioskodawców</w:t>
            </w:r>
            <w:r w:rsidR="00BC4692">
              <w:rPr>
                <w:rFonts w:ascii="Times New Roman" w:hAnsi="Times New Roman"/>
                <w:color w:val="000000"/>
                <w:spacing w:val="-2"/>
              </w:rPr>
              <w:t xml:space="preserve"> czy odwołania</w:t>
            </w:r>
            <w:r>
              <w:rPr>
                <w:rFonts w:ascii="Times New Roman" w:hAnsi="Times New Roman"/>
                <w:color w:val="000000"/>
                <w:spacing w:val="-2"/>
              </w:rPr>
              <w:t xml:space="preserve">. </w:t>
            </w:r>
          </w:p>
          <w:p w14:paraId="03157691" w14:textId="77777777" w:rsidR="008921BD" w:rsidRPr="009A01B3" w:rsidRDefault="008921BD" w:rsidP="004253F2">
            <w:pPr>
              <w:spacing w:before="120" w:after="120" w:line="240" w:lineRule="auto"/>
              <w:jc w:val="both"/>
              <w:rPr>
                <w:rFonts w:ascii="Times New Roman" w:hAnsi="Times New Roman"/>
                <w:b/>
                <w:bCs/>
                <w:color w:val="000000"/>
                <w:spacing w:val="-2"/>
              </w:rPr>
            </w:pPr>
            <w:r w:rsidRPr="009A01B3">
              <w:rPr>
                <w:rFonts w:ascii="Times New Roman" w:hAnsi="Times New Roman"/>
                <w:b/>
                <w:bCs/>
                <w:color w:val="000000"/>
                <w:spacing w:val="-2"/>
              </w:rPr>
              <w:t xml:space="preserve">Zmiany w zakresie ustawy o odnawialnych źródłach energii </w:t>
            </w:r>
          </w:p>
          <w:p w14:paraId="607E8A3D" w14:textId="19785364" w:rsidR="008921BD" w:rsidRPr="009A01B3" w:rsidRDefault="00504707" w:rsidP="008921BD">
            <w:pPr>
              <w:spacing w:line="240" w:lineRule="auto"/>
              <w:jc w:val="both"/>
              <w:rPr>
                <w:rFonts w:ascii="Times New Roman" w:hAnsi="Times New Roman"/>
                <w:bCs/>
                <w:color w:val="000000"/>
                <w:spacing w:val="-2"/>
              </w:rPr>
            </w:pPr>
            <w:r>
              <w:rPr>
                <w:rFonts w:ascii="Times New Roman" w:hAnsi="Times New Roman"/>
                <w:color w:val="000000"/>
                <w:spacing w:val="-2"/>
              </w:rPr>
              <w:t>Proponuje się w</w:t>
            </w:r>
            <w:r w:rsidRPr="009A01B3">
              <w:rPr>
                <w:rFonts w:ascii="Times New Roman" w:hAnsi="Times New Roman"/>
                <w:color w:val="000000"/>
                <w:spacing w:val="-2"/>
              </w:rPr>
              <w:t>prowadz</w:t>
            </w:r>
            <w:r>
              <w:rPr>
                <w:rFonts w:ascii="Times New Roman" w:hAnsi="Times New Roman"/>
                <w:color w:val="000000"/>
                <w:spacing w:val="-2"/>
              </w:rPr>
              <w:t>ić</w:t>
            </w:r>
            <w:r w:rsidRPr="009A01B3">
              <w:rPr>
                <w:rFonts w:ascii="Times New Roman" w:hAnsi="Times New Roman"/>
                <w:color w:val="000000"/>
                <w:spacing w:val="-2"/>
              </w:rPr>
              <w:t xml:space="preserve"> </w:t>
            </w:r>
            <w:r w:rsidR="008921BD" w:rsidRPr="009A01B3">
              <w:rPr>
                <w:rFonts w:ascii="Times New Roman" w:hAnsi="Times New Roman"/>
                <w:color w:val="000000"/>
                <w:spacing w:val="-2"/>
              </w:rPr>
              <w:t>14</w:t>
            </w:r>
            <w:r w:rsidR="004253F2">
              <w:rPr>
                <w:rFonts w:ascii="Times New Roman" w:hAnsi="Times New Roman"/>
                <w:color w:val="000000"/>
                <w:spacing w:val="-2"/>
              </w:rPr>
              <w:t>-</w:t>
            </w:r>
            <w:r w:rsidR="008921BD" w:rsidRPr="009A01B3">
              <w:rPr>
                <w:rFonts w:ascii="Times New Roman" w:hAnsi="Times New Roman"/>
                <w:color w:val="000000"/>
                <w:spacing w:val="-2"/>
              </w:rPr>
              <w:t xml:space="preserve">dniowy termin na </w:t>
            </w:r>
            <w:r w:rsidR="008921BD" w:rsidRPr="009A01B3">
              <w:rPr>
                <w:rFonts w:ascii="Times New Roman" w:hAnsi="Times New Roman"/>
                <w:bCs/>
                <w:color w:val="000000"/>
                <w:spacing w:val="-2"/>
              </w:rPr>
              <w:t xml:space="preserve">dokonanie wpisu do rejestru wytwórców wykonujących działalność gospodarczą w małej instalacji w zakresie małych instalacji wykorzystujących do wytwarzania energii energię promieniowania słonecznego montowanych na budynku. </w:t>
            </w:r>
          </w:p>
          <w:p w14:paraId="718A2936" w14:textId="71A15376" w:rsidR="008921BD" w:rsidRPr="009A01B3" w:rsidRDefault="008921BD" w:rsidP="004253F2">
            <w:pPr>
              <w:spacing w:before="120" w:after="120" w:line="240" w:lineRule="auto"/>
              <w:jc w:val="both"/>
              <w:rPr>
                <w:rFonts w:ascii="Times New Roman" w:hAnsi="Times New Roman"/>
                <w:b/>
                <w:bCs/>
                <w:color w:val="000000"/>
                <w:spacing w:val="-2"/>
              </w:rPr>
            </w:pPr>
            <w:r w:rsidRPr="009A01B3">
              <w:rPr>
                <w:rFonts w:ascii="Times New Roman" w:hAnsi="Times New Roman"/>
                <w:b/>
                <w:bCs/>
                <w:color w:val="000000"/>
                <w:spacing w:val="-2"/>
              </w:rPr>
              <w:t xml:space="preserve">Nadrzędny </w:t>
            </w:r>
            <w:r w:rsidR="00782C1C">
              <w:rPr>
                <w:rFonts w:ascii="Times New Roman" w:hAnsi="Times New Roman"/>
                <w:b/>
                <w:bCs/>
                <w:color w:val="000000"/>
                <w:spacing w:val="-2"/>
              </w:rPr>
              <w:t xml:space="preserve">interes </w:t>
            </w:r>
            <w:r w:rsidRPr="009A01B3">
              <w:rPr>
                <w:rFonts w:ascii="Times New Roman" w:hAnsi="Times New Roman"/>
                <w:b/>
                <w:bCs/>
                <w:color w:val="000000"/>
                <w:spacing w:val="-2"/>
              </w:rPr>
              <w:t>publiczny</w:t>
            </w:r>
          </w:p>
          <w:p w14:paraId="3BF946C2" w14:textId="79D97924" w:rsidR="00896822" w:rsidRDefault="001F4955" w:rsidP="0011074B">
            <w:pPr>
              <w:spacing w:before="120" w:after="240" w:line="240" w:lineRule="auto"/>
              <w:jc w:val="both"/>
              <w:rPr>
                <w:rFonts w:ascii="Times New Roman" w:hAnsi="Times New Roman"/>
                <w:color w:val="000000"/>
                <w:spacing w:val="-2"/>
              </w:rPr>
            </w:pPr>
            <w:r>
              <w:rPr>
                <w:rFonts w:ascii="Times New Roman" w:hAnsi="Times New Roman"/>
                <w:bCs/>
                <w:color w:val="000000"/>
                <w:spacing w:val="-2"/>
              </w:rPr>
              <w:t xml:space="preserve">Wskazane w projekcie </w:t>
            </w:r>
            <w:r w:rsidRPr="001F4955">
              <w:rPr>
                <w:rFonts w:ascii="Times New Roman" w:hAnsi="Times New Roman"/>
                <w:bCs/>
                <w:color w:val="000000"/>
                <w:spacing w:val="-2"/>
              </w:rPr>
              <w:t>działania dotyczące</w:t>
            </w:r>
            <w:r>
              <w:t xml:space="preserve"> </w:t>
            </w:r>
            <w:r w:rsidRPr="001F4955">
              <w:rPr>
                <w:rFonts w:ascii="Times New Roman" w:hAnsi="Times New Roman"/>
                <w:bCs/>
                <w:color w:val="000000"/>
                <w:spacing w:val="-2"/>
              </w:rPr>
              <w:t>budowy lub modernizacji</w:t>
            </w:r>
            <w:r>
              <w:rPr>
                <w:rFonts w:ascii="Times New Roman" w:hAnsi="Times New Roman"/>
                <w:bCs/>
                <w:color w:val="000000"/>
                <w:spacing w:val="-2"/>
              </w:rPr>
              <w:t xml:space="preserve"> </w:t>
            </w:r>
            <w:r w:rsidR="008921BD" w:rsidRPr="009A01B3">
              <w:rPr>
                <w:rFonts w:ascii="Times New Roman" w:hAnsi="Times New Roman"/>
                <w:bCs/>
                <w:color w:val="000000"/>
                <w:spacing w:val="-2"/>
              </w:rPr>
              <w:t>instalacji OZE</w:t>
            </w:r>
            <w:r w:rsidR="00CF12E8">
              <w:rPr>
                <w:rFonts w:ascii="Times New Roman" w:hAnsi="Times New Roman"/>
                <w:bCs/>
                <w:color w:val="000000"/>
                <w:spacing w:val="-2"/>
              </w:rPr>
              <w:t xml:space="preserve">, </w:t>
            </w:r>
            <w:r w:rsidRPr="001F4955">
              <w:rPr>
                <w:rFonts w:ascii="Times New Roman" w:hAnsi="Times New Roman"/>
                <w:bCs/>
                <w:color w:val="000000"/>
                <w:spacing w:val="-2"/>
              </w:rPr>
              <w:t xml:space="preserve">urządzeń i instalacji niezbędnych do przyłączenia do sieci danej instalacji OZE oraz </w:t>
            </w:r>
            <w:r w:rsidR="00A9398C">
              <w:rPr>
                <w:rFonts w:ascii="Times New Roman" w:hAnsi="Times New Roman"/>
                <w:bCs/>
                <w:color w:val="000000"/>
                <w:spacing w:val="-2"/>
              </w:rPr>
              <w:t xml:space="preserve">instalacji </w:t>
            </w:r>
            <w:r w:rsidRPr="001F4955">
              <w:rPr>
                <w:rFonts w:ascii="Times New Roman" w:hAnsi="Times New Roman"/>
                <w:bCs/>
                <w:color w:val="000000"/>
                <w:spacing w:val="-2"/>
              </w:rPr>
              <w:t>pomp ciepła o mocy do 50 MW</w:t>
            </w:r>
            <w:r w:rsidR="00945067">
              <w:rPr>
                <w:rFonts w:ascii="Times New Roman" w:hAnsi="Times New Roman"/>
                <w:bCs/>
                <w:color w:val="000000"/>
                <w:spacing w:val="-2"/>
              </w:rPr>
              <w:t xml:space="preserve"> </w:t>
            </w:r>
            <w:r w:rsidR="008921BD" w:rsidRPr="009A01B3">
              <w:rPr>
                <w:rFonts w:ascii="Times New Roman" w:hAnsi="Times New Roman"/>
                <w:bCs/>
                <w:color w:val="000000"/>
                <w:spacing w:val="-2"/>
              </w:rPr>
              <w:t xml:space="preserve">zostały uznane jako </w:t>
            </w:r>
            <w:r w:rsidR="008921BD" w:rsidRPr="004253F2">
              <w:rPr>
                <w:rFonts w:ascii="Times New Roman" w:hAnsi="Times New Roman"/>
                <w:color w:val="000000"/>
                <w:spacing w:val="-2"/>
              </w:rPr>
              <w:t xml:space="preserve">stanowiące realizację nadrzędnego </w:t>
            </w:r>
            <w:r w:rsidR="00782C1C">
              <w:rPr>
                <w:rFonts w:ascii="Times New Roman" w:hAnsi="Times New Roman"/>
                <w:color w:val="000000"/>
                <w:spacing w:val="-2"/>
              </w:rPr>
              <w:t>interesu</w:t>
            </w:r>
            <w:r w:rsidR="00782C1C" w:rsidRPr="004253F2">
              <w:rPr>
                <w:rFonts w:ascii="Times New Roman" w:hAnsi="Times New Roman"/>
                <w:color w:val="000000"/>
                <w:spacing w:val="-2"/>
              </w:rPr>
              <w:t xml:space="preserve"> </w:t>
            </w:r>
            <w:r w:rsidR="008921BD" w:rsidRPr="004253F2">
              <w:rPr>
                <w:rFonts w:ascii="Times New Roman" w:hAnsi="Times New Roman"/>
                <w:color w:val="000000"/>
                <w:spacing w:val="-2"/>
              </w:rPr>
              <w:t xml:space="preserve">publicznego oraz są uznawane za służące zdrowiu i bezpieczeństwu publicznemu. Zaproponowane rozwiązania są zgodne z przepisami o nadrzędnym interesie publicznym </w:t>
            </w:r>
            <w:r w:rsidR="00A9398C">
              <w:rPr>
                <w:rFonts w:ascii="Times New Roman" w:hAnsi="Times New Roman"/>
                <w:color w:val="000000"/>
                <w:spacing w:val="-2"/>
              </w:rPr>
              <w:t xml:space="preserve">stosowanego bezpośrednio </w:t>
            </w:r>
            <w:r w:rsidR="008921BD" w:rsidRPr="004253F2">
              <w:rPr>
                <w:rFonts w:ascii="Times New Roman" w:hAnsi="Times New Roman"/>
                <w:color w:val="000000"/>
                <w:spacing w:val="-2"/>
              </w:rPr>
              <w:t>rozporządzenia Rady (UE) 2022/2577 oraz dyrektywy</w:t>
            </w:r>
            <w:r w:rsidR="002530B6">
              <w:rPr>
                <w:rFonts w:ascii="Times New Roman" w:hAnsi="Times New Roman"/>
                <w:color w:val="000000"/>
                <w:spacing w:val="-2"/>
              </w:rPr>
              <w:t xml:space="preserve"> </w:t>
            </w:r>
            <w:r w:rsidR="002530B6" w:rsidRPr="002530B6">
              <w:rPr>
                <w:rFonts w:ascii="Times New Roman" w:hAnsi="Times New Roman"/>
                <w:color w:val="000000"/>
                <w:spacing w:val="-2"/>
              </w:rPr>
              <w:t>2023/2413</w:t>
            </w:r>
            <w:r w:rsidR="002530B6">
              <w:rPr>
                <w:rFonts w:ascii="Times New Roman" w:hAnsi="Times New Roman"/>
                <w:color w:val="000000"/>
                <w:spacing w:val="-2"/>
              </w:rPr>
              <w:t>/EU zmieniając</w:t>
            </w:r>
            <w:r>
              <w:rPr>
                <w:rFonts w:ascii="Times New Roman" w:hAnsi="Times New Roman"/>
                <w:color w:val="000000"/>
                <w:spacing w:val="-2"/>
              </w:rPr>
              <w:t>ej</w:t>
            </w:r>
            <w:r w:rsidR="002530B6">
              <w:rPr>
                <w:rFonts w:ascii="Times New Roman" w:hAnsi="Times New Roman"/>
                <w:color w:val="000000"/>
                <w:spacing w:val="-2"/>
              </w:rPr>
              <w:t xml:space="preserve"> dyrektywę</w:t>
            </w:r>
            <w:r w:rsidR="008921BD" w:rsidRPr="004253F2">
              <w:rPr>
                <w:rFonts w:ascii="Times New Roman" w:hAnsi="Times New Roman"/>
                <w:color w:val="000000"/>
                <w:spacing w:val="-2"/>
              </w:rPr>
              <w:t xml:space="preserve"> </w:t>
            </w:r>
            <w:r w:rsidR="00AC5843" w:rsidRPr="00AC5843">
              <w:rPr>
                <w:rFonts w:ascii="Times New Roman" w:hAnsi="Times New Roman"/>
                <w:color w:val="000000"/>
                <w:spacing w:val="-2"/>
              </w:rPr>
              <w:t>Parlamentu Europejskiego i Rady (UE) 2018/2001 z dnia 11 grudnia 2018 r. w sprawie promowania stosowania energii ze źródeł odnawialnych (</w:t>
            </w:r>
            <w:r w:rsidR="00AC5843">
              <w:rPr>
                <w:rFonts w:ascii="Times New Roman" w:hAnsi="Times New Roman"/>
                <w:color w:val="000000"/>
                <w:spacing w:val="-2"/>
              </w:rPr>
              <w:t>Dz. Urz. UE L 328 21.12.2018, str. 82, z późn. zm.)</w:t>
            </w:r>
            <w:r w:rsidR="008921BD" w:rsidRPr="004253F2">
              <w:rPr>
                <w:rFonts w:ascii="Times New Roman" w:hAnsi="Times New Roman"/>
                <w:color w:val="000000"/>
                <w:spacing w:val="-2"/>
              </w:rPr>
              <w:t>.</w:t>
            </w:r>
          </w:p>
          <w:p w14:paraId="41A58B88" w14:textId="27094587" w:rsidR="009A0BD4" w:rsidRPr="009A01B3" w:rsidRDefault="005E51D1" w:rsidP="005E51D1">
            <w:pPr>
              <w:spacing w:after="240" w:line="240" w:lineRule="auto"/>
              <w:jc w:val="both"/>
              <w:rPr>
                <w:rFonts w:ascii="Times New Roman" w:hAnsi="Times New Roman"/>
                <w:color w:val="000000"/>
                <w:spacing w:val="-2"/>
              </w:rPr>
            </w:pPr>
            <w:r w:rsidRPr="005E51D1">
              <w:rPr>
                <w:rFonts w:ascii="Times New Roman" w:hAnsi="Times New Roman"/>
                <w:color w:val="000000"/>
                <w:spacing w:val="-2"/>
              </w:rPr>
              <w:t xml:space="preserve">Efektem </w:t>
            </w:r>
            <w:r w:rsidR="00896822">
              <w:rPr>
                <w:rFonts w:ascii="Times New Roman" w:hAnsi="Times New Roman"/>
                <w:color w:val="000000"/>
                <w:spacing w:val="-2"/>
              </w:rPr>
              <w:t xml:space="preserve">proponowanych </w:t>
            </w:r>
            <w:r w:rsidRPr="005E51D1">
              <w:rPr>
                <w:rFonts w:ascii="Times New Roman" w:hAnsi="Times New Roman"/>
                <w:color w:val="000000"/>
                <w:spacing w:val="-2"/>
              </w:rPr>
              <w:t>zmian będzie skrócenie termin</w:t>
            </w:r>
            <w:r w:rsidR="00896822">
              <w:rPr>
                <w:rFonts w:ascii="Times New Roman" w:hAnsi="Times New Roman"/>
                <w:color w:val="000000"/>
                <w:spacing w:val="-2"/>
              </w:rPr>
              <w:t>ów</w:t>
            </w:r>
            <w:r w:rsidRPr="005E51D1">
              <w:rPr>
                <w:rFonts w:ascii="Times New Roman" w:hAnsi="Times New Roman"/>
                <w:color w:val="000000"/>
                <w:spacing w:val="-2"/>
              </w:rPr>
              <w:t xml:space="preserve"> trwania procedur dla instalacji i projektów, o których mowa powyżej, tj. montowanych na budynkach instalacji odnawialnego źródła energii wykorzystujących do wytwarzania energii energię promieniowania słonecznego</w:t>
            </w:r>
            <w:r w:rsidR="009F6365">
              <w:rPr>
                <w:rFonts w:ascii="Times New Roman" w:hAnsi="Times New Roman"/>
                <w:color w:val="000000"/>
                <w:spacing w:val="-2"/>
              </w:rPr>
              <w:t>,</w:t>
            </w:r>
            <w:r w:rsidRPr="005E51D1">
              <w:rPr>
                <w:rFonts w:ascii="Times New Roman" w:hAnsi="Times New Roman"/>
                <w:color w:val="000000"/>
                <w:spacing w:val="-2"/>
              </w:rPr>
              <w:t xml:space="preserve"> i położonych na tym samym terenie magazyn</w:t>
            </w:r>
            <w:r w:rsidR="00945067">
              <w:rPr>
                <w:rFonts w:ascii="Times New Roman" w:hAnsi="Times New Roman"/>
                <w:color w:val="000000"/>
                <w:spacing w:val="-2"/>
              </w:rPr>
              <w:t>ów</w:t>
            </w:r>
            <w:r w:rsidRPr="005E51D1">
              <w:rPr>
                <w:rFonts w:ascii="Times New Roman" w:hAnsi="Times New Roman"/>
                <w:color w:val="000000"/>
                <w:spacing w:val="-2"/>
              </w:rPr>
              <w:t xml:space="preserve"> energii</w:t>
            </w:r>
            <w:r w:rsidR="00945067">
              <w:rPr>
                <w:rFonts w:ascii="Times New Roman" w:hAnsi="Times New Roman"/>
                <w:color w:val="000000"/>
                <w:spacing w:val="-2"/>
              </w:rPr>
              <w:t xml:space="preserve"> elektrycznej</w:t>
            </w:r>
            <w:r w:rsidRPr="005E51D1">
              <w:rPr>
                <w:rFonts w:ascii="Times New Roman" w:hAnsi="Times New Roman"/>
                <w:color w:val="000000"/>
                <w:spacing w:val="-2"/>
              </w:rPr>
              <w:t>, pomp ciepła, urządzeń i instalacji niezbędnych do przyłączenia do sieci danej instalacji OZE oraz remontu, odbudowy, przebudowy, nadbudowy lub rozbudowy instalacji OZE.</w:t>
            </w:r>
          </w:p>
          <w:tbl>
            <w:tblPr>
              <w:tblStyle w:val="Tabela-Siatka"/>
              <w:tblW w:w="10550" w:type="dxa"/>
              <w:tblLayout w:type="fixed"/>
              <w:tblLook w:val="04A0" w:firstRow="1" w:lastRow="0" w:firstColumn="1" w:lastColumn="0" w:noHBand="0" w:noVBand="1"/>
            </w:tblPr>
            <w:tblGrid>
              <w:gridCol w:w="3316"/>
              <w:gridCol w:w="3260"/>
              <w:gridCol w:w="3974"/>
            </w:tblGrid>
            <w:tr w:rsidR="008921BD" w:rsidRPr="009A01B3" w14:paraId="1159A6D3" w14:textId="77777777" w:rsidTr="004253F2">
              <w:trPr>
                <w:trHeight w:val="175"/>
              </w:trPr>
              <w:tc>
                <w:tcPr>
                  <w:tcW w:w="3316" w:type="dxa"/>
                  <w:tcBorders>
                    <w:top w:val="single" w:sz="4" w:space="0" w:color="auto"/>
                    <w:left w:val="single" w:sz="4" w:space="0" w:color="auto"/>
                    <w:bottom w:val="single" w:sz="4" w:space="0" w:color="auto"/>
                    <w:right w:val="single" w:sz="4" w:space="0" w:color="auto"/>
                  </w:tcBorders>
                  <w:shd w:val="clear" w:color="auto" w:fill="BFBFBF"/>
                </w:tcPr>
                <w:p w14:paraId="762A0AC6" w14:textId="77777777" w:rsidR="008921BD" w:rsidRPr="009A01B3" w:rsidRDefault="008921BD" w:rsidP="009A01B3">
                  <w:pPr>
                    <w:spacing w:after="160" w:line="259" w:lineRule="auto"/>
                    <w:jc w:val="center"/>
                    <w:rPr>
                      <w:rFonts w:ascii="Times New Roman" w:eastAsiaTheme="minorHAnsi" w:hAnsi="Times New Roman"/>
                      <w:b/>
                      <w:bCs/>
                      <w:color w:val="000000"/>
                      <w:spacing w:val="-2"/>
                      <w:kern w:val="2"/>
                      <w14:ligatures w14:val="standardContextual"/>
                    </w:rPr>
                  </w:pPr>
                </w:p>
              </w:tc>
              <w:tc>
                <w:tcPr>
                  <w:tcW w:w="723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5EC327C" w14:textId="4AB59526" w:rsidR="008921BD" w:rsidRPr="009A01B3" w:rsidRDefault="008921BD" w:rsidP="009A01B3">
                  <w:pPr>
                    <w:spacing w:after="160" w:line="259" w:lineRule="auto"/>
                    <w:jc w:val="center"/>
                    <w:rPr>
                      <w:rFonts w:ascii="Times New Roman" w:eastAsiaTheme="minorHAnsi" w:hAnsi="Times New Roman"/>
                      <w:b/>
                      <w:bCs/>
                      <w:color w:val="000000"/>
                      <w:spacing w:val="-2"/>
                      <w:kern w:val="2"/>
                      <w14:ligatures w14:val="standardContextual"/>
                    </w:rPr>
                  </w:pPr>
                  <w:r w:rsidRPr="009A01B3">
                    <w:rPr>
                      <w:rFonts w:ascii="Times New Roman" w:eastAsiaTheme="minorHAnsi" w:hAnsi="Times New Roman"/>
                      <w:b/>
                      <w:bCs/>
                      <w:color w:val="000000"/>
                      <w:spacing w:val="-2"/>
                      <w:kern w:val="2"/>
                      <w14:ligatures w14:val="standardContextual"/>
                    </w:rPr>
                    <w:t>Ustawowy czas trwania poszczególnych procedur administracyjnych</w:t>
                  </w:r>
                  <w:r w:rsidR="00481279">
                    <w:rPr>
                      <w:rFonts w:ascii="Times New Roman" w:eastAsiaTheme="minorHAnsi" w:hAnsi="Times New Roman"/>
                      <w:b/>
                      <w:bCs/>
                      <w:color w:val="000000"/>
                      <w:spacing w:val="-2"/>
                      <w:kern w:val="2"/>
                      <w14:ligatures w14:val="standardContextual"/>
                    </w:rPr>
                    <w:t xml:space="preserve"> dla ww. rodzajów instalacji OZE</w:t>
                  </w:r>
                </w:p>
              </w:tc>
            </w:tr>
            <w:tr w:rsidR="008921BD" w:rsidRPr="009A01B3" w14:paraId="7DB9EFA7" w14:textId="77777777" w:rsidTr="004253F2">
              <w:trPr>
                <w:trHeight w:val="190"/>
              </w:trPr>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3761B615" w14:textId="77777777" w:rsidR="008921BD" w:rsidRPr="009A01B3" w:rsidRDefault="008921BD" w:rsidP="009A01B3">
                  <w:pPr>
                    <w:spacing w:after="160" w:line="259" w:lineRule="auto"/>
                    <w:jc w:val="center"/>
                    <w:rPr>
                      <w:rFonts w:ascii="Times New Roman" w:eastAsiaTheme="minorHAnsi" w:hAnsi="Times New Roman"/>
                      <w:b/>
                      <w:bCs/>
                      <w:color w:val="000000"/>
                      <w:spacing w:val="-2"/>
                      <w:kern w:val="2"/>
                      <w14:ligatures w14:val="standardContextual"/>
                    </w:rPr>
                  </w:pPr>
                  <w:r w:rsidRPr="009A01B3">
                    <w:rPr>
                      <w:rFonts w:ascii="Times New Roman" w:eastAsiaTheme="minorHAnsi" w:hAnsi="Times New Roman"/>
                      <w:b/>
                      <w:bCs/>
                      <w:color w:val="000000"/>
                      <w:spacing w:val="-2"/>
                      <w:kern w:val="2"/>
                      <w14:ligatures w14:val="standardContextual"/>
                    </w:rPr>
                    <w:t>Procedura</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14:paraId="3A931DC5" w14:textId="77777777" w:rsidR="008921BD" w:rsidRPr="009A01B3" w:rsidRDefault="008921BD" w:rsidP="009A01B3">
                  <w:pPr>
                    <w:spacing w:after="160" w:line="259" w:lineRule="auto"/>
                    <w:jc w:val="center"/>
                    <w:rPr>
                      <w:rFonts w:ascii="Times New Roman" w:eastAsiaTheme="minorHAnsi" w:hAnsi="Times New Roman"/>
                      <w:b/>
                      <w:bCs/>
                      <w:color w:val="000000"/>
                      <w:spacing w:val="-2"/>
                      <w:kern w:val="2"/>
                      <w14:ligatures w14:val="standardContextual"/>
                    </w:rPr>
                  </w:pPr>
                  <w:r w:rsidRPr="009A01B3">
                    <w:rPr>
                      <w:rFonts w:ascii="Times New Roman" w:eastAsiaTheme="minorHAnsi" w:hAnsi="Times New Roman"/>
                      <w:b/>
                      <w:bCs/>
                      <w:color w:val="000000"/>
                      <w:spacing w:val="-2"/>
                      <w:kern w:val="2"/>
                      <w14:ligatures w14:val="standardContextual"/>
                    </w:rPr>
                    <w:t>Obecnie</w:t>
                  </w:r>
                </w:p>
              </w:tc>
              <w:tc>
                <w:tcPr>
                  <w:tcW w:w="3974" w:type="dxa"/>
                  <w:tcBorders>
                    <w:top w:val="single" w:sz="4" w:space="0" w:color="auto"/>
                    <w:left w:val="single" w:sz="4" w:space="0" w:color="auto"/>
                    <w:bottom w:val="single" w:sz="4" w:space="0" w:color="auto"/>
                    <w:right w:val="single" w:sz="4" w:space="0" w:color="auto"/>
                  </w:tcBorders>
                  <w:shd w:val="clear" w:color="auto" w:fill="D9D9D9"/>
                  <w:hideMark/>
                </w:tcPr>
                <w:p w14:paraId="38E9D5C0" w14:textId="77777777" w:rsidR="008921BD" w:rsidRPr="009A01B3" w:rsidRDefault="008921BD" w:rsidP="009A01B3">
                  <w:pPr>
                    <w:spacing w:after="160" w:line="259" w:lineRule="auto"/>
                    <w:jc w:val="center"/>
                    <w:rPr>
                      <w:rFonts w:ascii="Times New Roman" w:eastAsiaTheme="minorHAnsi" w:hAnsi="Times New Roman"/>
                      <w:b/>
                      <w:bCs/>
                      <w:color w:val="000000"/>
                      <w:spacing w:val="-2"/>
                      <w:kern w:val="2"/>
                      <w14:ligatures w14:val="standardContextual"/>
                    </w:rPr>
                  </w:pPr>
                  <w:r w:rsidRPr="009A01B3">
                    <w:rPr>
                      <w:rFonts w:ascii="Times New Roman" w:eastAsiaTheme="minorHAnsi" w:hAnsi="Times New Roman"/>
                      <w:b/>
                      <w:bCs/>
                      <w:color w:val="000000"/>
                      <w:spacing w:val="-2"/>
                      <w:kern w:val="2"/>
                      <w14:ligatures w14:val="standardContextual"/>
                    </w:rPr>
                    <w:t>Docelowo</w:t>
                  </w:r>
                </w:p>
              </w:tc>
            </w:tr>
            <w:tr w:rsidR="008921BD" w:rsidRPr="009A01B3" w14:paraId="6C982B9E" w14:textId="77777777" w:rsidTr="004253F2">
              <w:trPr>
                <w:trHeight w:val="558"/>
              </w:trPr>
              <w:tc>
                <w:tcPr>
                  <w:tcW w:w="3316" w:type="dxa"/>
                  <w:tcBorders>
                    <w:top w:val="single" w:sz="4" w:space="0" w:color="auto"/>
                    <w:left w:val="single" w:sz="4" w:space="0" w:color="auto"/>
                    <w:bottom w:val="single" w:sz="4" w:space="0" w:color="auto"/>
                    <w:right w:val="single" w:sz="4" w:space="0" w:color="auto"/>
                  </w:tcBorders>
                  <w:hideMark/>
                </w:tcPr>
                <w:p w14:paraId="70FCC2F6" w14:textId="58CDF16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Uzyskanie warunków przyłączenia</w:t>
                  </w:r>
                  <w:r w:rsidR="00901412">
                    <w:rPr>
                      <w:rFonts w:ascii="Times New Roman" w:eastAsiaTheme="minorHAnsi" w:hAnsi="Times New Roman"/>
                      <w:color w:val="000000"/>
                      <w:spacing w:val="-2"/>
                      <w:kern w:val="2"/>
                      <w14:ligatures w14:val="standardContextual"/>
                    </w:rPr>
                    <w:t xml:space="preserve"> </w:t>
                  </w:r>
                  <w:r w:rsidR="00901412" w:rsidRPr="00901412">
                    <w:rPr>
                      <w:rFonts w:ascii="Times New Roman" w:eastAsiaTheme="minorHAnsi" w:hAnsi="Times New Roman"/>
                      <w:color w:val="000000"/>
                      <w:spacing w:val="-2"/>
                      <w:kern w:val="2"/>
                      <w14:ligatures w14:val="standardContextual"/>
                    </w:rPr>
                    <w:t>do sieci elektroenergetycznej</w:t>
                  </w:r>
                </w:p>
              </w:tc>
              <w:tc>
                <w:tcPr>
                  <w:tcW w:w="3260" w:type="dxa"/>
                  <w:tcBorders>
                    <w:top w:val="single" w:sz="4" w:space="0" w:color="auto"/>
                    <w:left w:val="single" w:sz="4" w:space="0" w:color="auto"/>
                    <w:bottom w:val="single" w:sz="4" w:space="0" w:color="auto"/>
                    <w:right w:val="single" w:sz="4" w:space="0" w:color="auto"/>
                  </w:tcBorders>
                  <w:hideMark/>
                </w:tcPr>
                <w:p w14:paraId="2BD04A62" w14:textId="29BD11CE"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120 lub 150 dni</w:t>
                  </w:r>
                  <w:r w:rsidR="009A01B3" w:rsidRPr="009A01B3">
                    <w:rPr>
                      <w:rFonts w:ascii="Times New Roman" w:eastAsiaTheme="minorHAnsi" w:hAnsi="Times New Roman"/>
                      <w:color w:val="000000"/>
                      <w:spacing w:val="-2"/>
                      <w:kern w:val="2"/>
                      <w14:ligatures w14:val="standardContextual"/>
                    </w:rPr>
                    <w:t xml:space="preserve"> </w:t>
                  </w:r>
                  <w:r w:rsidRPr="009A01B3">
                    <w:rPr>
                      <w:rFonts w:ascii="Times New Roman" w:eastAsiaTheme="minorHAnsi" w:hAnsi="Times New Roman"/>
                      <w:color w:val="000000"/>
                      <w:spacing w:val="-2"/>
                      <w:kern w:val="2"/>
                      <w14:ligatures w14:val="standardContextual"/>
                    </w:rPr>
                    <w:t>(w zależności od grupy przyłączeniowej)</w:t>
                  </w:r>
                </w:p>
              </w:tc>
              <w:tc>
                <w:tcPr>
                  <w:tcW w:w="3974" w:type="dxa"/>
                  <w:tcBorders>
                    <w:top w:val="single" w:sz="4" w:space="0" w:color="auto"/>
                    <w:left w:val="single" w:sz="4" w:space="0" w:color="auto"/>
                    <w:bottom w:val="single" w:sz="4" w:space="0" w:color="auto"/>
                    <w:right w:val="single" w:sz="4" w:space="0" w:color="auto"/>
                  </w:tcBorders>
                  <w:hideMark/>
                </w:tcPr>
                <w:p w14:paraId="70C2648B" w14:textId="760F72EC"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45 dni</w:t>
                  </w:r>
                  <w:r w:rsidR="002E41D8">
                    <w:rPr>
                      <w:rFonts w:ascii="Times New Roman" w:eastAsiaTheme="minorHAnsi" w:hAnsi="Times New Roman"/>
                      <w:color w:val="000000"/>
                      <w:spacing w:val="-2"/>
                      <w:kern w:val="2"/>
                      <w14:ligatures w14:val="standardContextual"/>
                    </w:rPr>
                    <w:t xml:space="preserve"> (nie dotyczy IV, V i VI grupy przyłączeniowej)</w:t>
                  </w:r>
                </w:p>
              </w:tc>
            </w:tr>
            <w:tr w:rsidR="00901412" w:rsidRPr="009A01B3" w14:paraId="733B46B2" w14:textId="77777777" w:rsidTr="004253F2">
              <w:trPr>
                <w:trHeight w:val="558"/>
              </w:trPr>
              <w:tc>
                <w:tcPr>
                  <w:tcW w:w="3316" w:type="dxa"/>
                  <w:tcBorders>
                    <w:top w:val="single" w:sz="4" w:space="0" w:color="auto"/>
                    <w:left w:val="single" w:sz="4" w:space="0" w:color="auto"/>
                    <w:bottom w:val="single" w:sz="4" w:space="0" w:color="auto"/>
                    <w:right w:val="single" w:sz="4" w:space="0" w:color="auto"/>
                  </w:tcBorders>
                </w:tcPr>
                <w:p w14:paraId="28B198B5" w14:textId="0FA528DD" w:rsidR="00901412" w:rsidRPr="009A01B3" w:rsidRDefault="00901412" w:rsidP="008921BD">
                  <w:pPr>
                    <w:spacing w:after="160" w:line="259" w:lineRule="auto"/>
                    <w:jc w:val="both"/>
                    <w:rPr>
                      <w:rFonts w:ascii="Times New Roman" w:eastAsiaTheme="minorHAnsi" w:hAnsi="Times New Roman"/>
                      <w:color w:val="000000"/>
                      <w:spacing w:val="-2"/>
                      <w:kern w:val="2"/>
                      <w14:ligatures w14:val="standardContextual"/>
                    </w:rPr>
                  </w:pPr>
                  <w:r w:rsidRPr="00901412">
                    <w:rPr>
                      <w:rFonts w:ascii="Times New Roman" w:eastAsiaTheme="minorHAnsi" w:hAnsi="Times New Roman"/>
                      <w:color w:val="000000"/>
                      <w:spacing w:val="-2"/>
                      <w:kern w:val="2"/>
                      <w14:ligatures w14:val="standardContextual"/>
                    </w:rPr>
                    <w:t>Uzyskanie warunków przyłączenia do sieci ciepłowniczej</w:t>
                  </w:r>
                </w:p>
              </w:tc>
              <w:tc>
                <w:tcPr>
                  <w:tcW w:w="3260" w:type="dxa"/>
                  <w:tcBorders>
                    <w:top w:val="single" w:sz="4" w:space="0" w:color="auto"/>
                    <w:left w:val="single" w:sz="4" w:space="0" w:color="auto"/>
                    <w:bottom w:val="single" w:sz="4" w:space="0" w:color="auto"/>
                    <w:right w:val="single" w:sz="4" w:space="0" w:color="auto"/>
                  </w:tcBorders>
                </w:tcPr>
                <w:p w14:paraId="403C29BA" w14:textId="426A799A" w:rsidR="00901412" w:rsidRPr="009A01B3" w:rsidRDefault="00901412" w:rsidP="008921BD">
                  <w:pPr>
                    <w:spacing w:after="160" w:line="259" w:lineRule="auto"/>
                    <w:jc w:val="both"/>
                    <w:rPr>
                      <w:rFonts w:ascii="Times New Roman" w:eastAsiaTheme="minorHAnsi" w:hAnsi="Times New Roman"/>
                      <w:color w:val="000000"/>
                      <w:spacing w:val="-2"/>
                      <w:kern w:val="2"/>
                      <w14:ligatures w14:val="standardContextual"/>
                    </w:rPr>
                  </w:pPr>
                  <w:r>
                    <w:rPr>
                      <w:rFonts w:ascii="Times New Roman" w:eastAsiaTheme="minorHAnsi" w:hAnsi="Times New Roman"/>
                      <w:color w:val="000000"/>
                      <w:spacing w:val="-2"/>
                      <w:kern w:val="2"/>
                      <w14:ligatures w14:val="standardContextual"/>
                    </w:rPr>
                    <w:t>120 dni</w:t>
                  </w:r>
                </w:p>
              </w:tc>
              <w:tc>
                <w:tcPr>
                  <w:tcW w:w="3974" w:type="dxa"/>
                  <w:tcBorders>
                    <w:top w:val="single" w:sz="4" w:space="0" w:color="auto"/>
                    <w:left w:val="single" w:sz="4" w:space="0" w:color="auto"/>
                    <w:bottom w:val="single" w:sz="4" w:space="0" w:color="auto"/>
                    <w:right w:val="single" w:sz="4" w:space="0" w:color="auto"/>
                  </w:tcBorders>
                </w:tcPr>
                <w:p w14:paraId="5F199378" w14:textId="49CD6BF1" w:rsidR="00901412" w:rsidRPr="009A01B3" w:rsidRDefault="00901412" w:rsidP="008921BD">
                  <w:pPr>
                    <w:spacing w:after="160" w:line="259" w:lineRule="auto"/>
                    <w:jc w:val="both"/>
                    <w:rPr>
                      <w:rFonts w:ascii="Times New Roman" w:eastAsiaTheme="minorHAnsi" w:hAnsi="Times New Roman"/>
                      <w:color w:val="000000"/>
                      <w:spacing w:val="-2"/>
                      <w:kern w:val="2"/>
                      <w14:ligatures w14:val="standardContextual"/>
                    </w:rPr>
                  </w:pPr>
                  <w:r>
                    <w:rPr>
                      <w:rFonts w:ascii="Times New Roman" w:eastAsiaTheme="minorHAnsi" w:hAnsi="Times New Roman"/>
                      <w:color w:val="000000"/>
                      <w:spacing w:val="-2"/>
                      <w:kern w:val="2"/>
                      <w14:ligatures w14:val="standardContextual"/>
                    </w:rPr>
                    <w:t>30 dni</w:t>
                  </w:r>
                </w:p>
              </w:tc>
            </w:tr>
            <w:tr w:rsidR="008921BD" w:rsidRPr="009A01B3" w14:paraId="302D6786" w14:textId="77777777" w:rsidTr="004253F2">
              <w:trPr>
                <w:trHeight w:val="572"/>
              </w:trPr>
              <w:tc>
                <w:tcPr>
                  <w:tcW w:w="3316" w:type="dxa"/>
                  <w:tcBorders>
                    <w:top w:val="single" w:sz="4" w:space="0" w:color="auto"/>
                    <w:left w:val="single" w:sz="4" w:space="0" w:color="auto"/>
                    <w:bottom w:val="single" w:sz="4" w:space="0" w:color="auto"/>
                    <w:right w:val="single" w:sz="4" w:space="0" w:color="auto"/>
                  </w:tcBorders>
                  <w:hideMark/>
                </w:tcPr>
                <w:p w14:paraId="24CE47CF"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Uzyskanie pozwolenia na budowę</w:t>
                  </w:r>
                </w:p>
              </w:tc>
              <w:tc>
                <w:tcPr>
                  <w:tcW w:w="3260" w:type="dxa"/>
                  <w:tcBorders>
                    <w:top w:val="single" w:sz="4" w:space="0" w:color="auto"/>
                    <w:left w:val="single" w:sz="4" w:space="0" w:color="auto"/>
                    <w:bottom w:val="single" w:sz="4" w:space="0" w:color="auto"/>
                    <w:right w:val="single" w:sz="4" w:space="0" w:color="auto"/>
                  </w:tcBorders>
                  <w:hideMark/>
                </w:tcPr>
                <w:p w14:paraId="18A589F9" w14:textId="0900C15E"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65 dni</w:t>
                  </w:r>
                </w:p>
              </w:tc>
              <w:tc>
                <w:tcPr>
                  <w:tcW w:w="3974" w:type="dxa"/>
                  <w:tcBorders>
                    <w:top w:val="single" w:sz="4" w:space="0" w:color="auto"/>
                    <w:left w:val="single" w:sz="4" w:space="0" w:color="auto"/>
                    <w:bottom w:val="single" w:sz="4" w:space="0" w:color="auto"/>
                    <w:right w:val="single" w:sz="4" w:space="0" w:color="auto"/>
                  </w:tcBorders>
                  <w:hideMark/>
                </w:tcPr>
                <w:p w14:paraId="21AACAA9"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30 dni</w:t>
                  </w:r>
                </w:p>
              </w:tc>
            </w:tr>
            <w:tr w:rsidR="008921BD" w:rsidRPr="009A01B3" w14:paraId="36A9811E" w14:textId="77777777" w:rsidTr="004253F2">
              <w:trPr>
                <w:trHeight w:val="366"/>
              </w:trPr>
              <w:tc>
                <w:tcPr>
                  <w:tcW w:w="3316" w:type="dxa"/>
                  <w:tcBorders>
                    <w:top w:val="single" w:sz="4" w:space="0" w:color="auto"/>
                    <w:left w:val="single" w:sz="4" w:space="0" w:color="auto"/>
                    <w:bottom w:val="single" w:sz="4" w:space="0" w:color="auto"/>
                    <w:right w:val="single" w:sz="4" w:space="0" w:color="auto"/>
                  </w:tcBorders>
                  <w:hideMark/>
                </w:tcPr>
                <w:p w14:paraId="58E94703"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lastRenderedPageBreak/>
                    <w:t>Uzyskanie wpisu do rejestru wytwórców energii w małej instalacji</w:t>
                  </w:r>
                </w:p>
              </w:tc>
              <w:tc>
                <w:tcPr>
                  <w:tcW w:w="3260" w:type="dxa"/>
                  <w:tcBorders>
                    <w:top w:val="single" w:sz="4" w:space="0" w:color="auto"/>
                    <w:left w:val="single" w:sz="4" w:space="0" w:color="auto"/>
                    <w:bottom w:val="single" w:sz="4" w:space="0" w:color="auto"/>
                    <w:right w:val="single" w:sz="4" w:space="0" w:color="auto"/>
                  </w:tcBorders>
                  <w:hideMark/>
                </w:tcPr>
                <w:p w14:paraId="085614EF"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21 dni</w:t>
                  </w:r>
                </w:p>
              </w:tc>
              <w:tc>
                <w:tcPr>
                  <w:tcW w:w="3974" w:type="dxa"/>
                  <w:tcBorders>
                    <w:top w:val="single" w:sz="4" w:space="0" w:color="auto"/>
                    <w:left w:val="single" w:sz="4" w:space="0" w:color="auto"/>
                    <w:bottom w:val="single" w:sz="4" w:space="0" w:color="auto"/>
                    <w:right w:val="single" w:sz="4" w:space="0" w:color="auto"/>
                  </w:tcBorders>
                  <w:hideMark/>
                </w:tcPr>
                <w:p w14:paraId="696DDC4E"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14 dni</w:t>
                  </w:r>
                </w:p>
              </w:tc>
            </w:tr>
            <w:tr w:rsidR="008921BD" w:rsidRPr="009A01B3" w14:paraId="4B14B84F" w14:textId="77777777" w:rsidTr="004253F2">
              <w:trPr>
                <w:trHeight w:val="190"/>
              </w:trPr>
              <w:tc>
                <w:tcPr>
                  <w:tcW w:w="3316" w:type="dxa"/>
                  <w:tcBorders>
                    <w:top w:val="single" w:sz="4" w:space="0" w:color="auto"/>
                    <w:left w:val="single" w:sz="4" w:space="0" w:color="auto"/>
                    <w:bottom w:val="single" w:sz="4" w:space="0" w:color="auto"/>
                    <w:right w:val="single" w:sz="4" w:space="0" w:color="auto"/>
                  </w:tcBorders>
                  <w:hideMark/>
                </w:tcPr>
                <w:p w14:paraId="1FCB1B24" w14:textId="603F1723"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Uzyskanie koncesji</w:t>
                  </w:r>
                  <w:r w:rsidR="00074C3F">
                    <w:rPr>
                      <w:rFonts w:ascii="Times New Roman" w:eastAsiaTheme="minorHAnsi" w:hAnsi="Times New Roman"/>
                      <w:color w:val="000000"/>
                      <w:spacing w:val="-2"/>
                      <w:kern w:val="2"/>
                      <w14:ligatures w14:val="standardContextual"/>
                    </w:rPr>
                    <w:t xml:space="preserve"> </w:t>
                  </w:r>
                  <w:r w:rsidR="00074C3F" w:rsidRPr="00860D06">
                    <w:rPr>
                      <w:rFonts w:ascii="Times New Roman" w:eastAsiaTheme="minorHAnsi" w:hAnsi="Times New Roman"/>
                      <w:color w:val="000000"/>
                      <w:spacing w:val="-2"/>
                      <w:kern w:val="2"/>
                      <w14:ligatures w14:val="standardContextual"/>
                    </w:rPr>
                    <w:t>na wytwarzanie energii elektrycznej lub koncesji na wytwarzanie ciepła lub koncesji na magazynowanie energii elektrycznej</w:t>
                  </w:r>
                </w:p>
              </w:tc>
              <w:tc>
                <w:tcPr>
                  <w:tcW w:w="3260" w:type="dxa"/>
                  <w:tcBorders>
                    <w:top w:val="single" w:sz="4" w:space="0" w:color="auto"/>
                    <w:left w:val="single" w:sz="4" w:space="0" w:color="auto"/>
                    <w:bottom w:val="single" w:sz="4" w:space="0" w:color="auto"/>
                    <w:right w:val="single" w:sz="4" w:space="0" w:color="auto"/>
                  </w:tcBorders>
                  <w:hideMark/>
                </w:tcPr>
                <w:p w14:paraId="4DDCF33E"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30-60 dni</w:t>
                  </w:r>
                </w:p>
              </w:tc>
              <w:tc>
                <w:tcPr>
                  <w:tcW w:w="3974" w:type="dxa"/>
                  <w:tcBorders>
                    <w:top w:val="single" w:sz="4" w:space="0" w:color="auto"/>
                    <w:left w:val="single" w:sz="4" w:space="0" w:color="auto"/>
                    <w:bottom w:val="single" w:sz="4" w:space="0" w:color="auto"/>
                    <w:right w:val="single" w:sz="4" w:space="0" w:color="auto"/>
                  </w:tcBorders>
                  <w:hideMark/>
                </w:tcPr>
                <w:p w14:paraId="306C7016" w14:textId="77777777"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30 dni</w:t>
                  </w:r>
                </w:p>
              </w:tc>
            </w:tr>
            <w:tr w:rsidR="008921BD" w:rsidRPr="009A01B3" w14:paraId="37F6FD14" w14:textId="77777777" w:rsidTr="004253F2">
              <w:trPr>
                <w:trHeight w:val="366"/>
              </w:trPr>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74EF9101" w14:textId="222657BA" w:rsidR="008921BD" w:rsidRPr="009A01B3" w:rsidRDefault="005D5FC3" w:rsidP="008921BD">
                  <w:pPr>
                    <w:spacing w:after="160" w:line="259" w:lineRule="auto"/>
                    <w:jc w:val="both"/>
                    <w:rPr>
                      <w:rFonts w:ascii="Times New Roman" w:eastAsiaTheme="minorHAnsi" w:hAnsi="Times New Roman"/>
                      <w:color w:val="000000"/>
                      <w:spacing w:val="-2"/>
                      <w:kern w:val="2"/>
                      <w14:ligatures w14:val="standardContextual"/>
                    </w:rPr>
                  </w:pPr>
                  <w:r>
                    <w:rPr>
                      <w:rFonts w:ascii="Times New Roman" w:eastAsiaTheme="minorHAnsi" w:hAnsi="Times New Roman"/>
                      <w:color w:val="000000"/>
                      <w:spacing w:val="-2"/>
                      <w:kern w:val="2"/>
                      <w14:ligatures w14:val="standardContextual"/>
                    </w:rPr>
                    <w:t>Łączny</w:t>
                  </w:r>
                  <w:r w:rsidR="008921BD" w:rsidRPr="009A01B3">
                    <w:rPr>
                      <w:rFonts w:ascii="Times New Roman" w:eastAsiaTheme="minorHAnsi" w:hAnsi="Times New Roman"/>
                      <w:color w:val="000000"/>
                      <w:spacing w:val="-2"/>
                      <w:kern w:val="2"/>
                      <w14:ligatures w14:val="standardContextual"/>
                    </w:rPr>
                    <w:t xml:space="preserve"> czas trwania </w:t>
                  </w:r>
                  <w:r>
                    <w:rPr>
                      <w:rFonts w:ascii="Times New Roman" w:eastAsiaTheme="minorHAnsi" w:hAnsi="Times New Roman"/>
                      <w:color w:val="000000"/>
                      <w:spacing w:val="-2"/>
                      <w:kern w:val="2"/>
                      <w14:ligatures w14:val="standardContextual"/>
                    </w:rPr>
                    <w:t>ww. procedur</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14:paraId="259AB931" w14:textId="4E47B5BD" w:rsidR="008921BD" w:rsidRPr="009A01B3" w:rsidRDefault="001F69AD" w:rsidP="008921BD">
                  <w:pPr>
                    <w:spacing w:after="160" w:line="259" w:lineRule="auto"/>
                    <w:jc w:val="both"/>
                    <w:rPr>
                      <w:rFonts w:ascii="Times New Roman" w:eastAsiaTheme="minorHAnsi" w:hAnsi="Times New Roman"/>
                      <w:color w:val="000000"/>
                      <w:spacing w:val="-2"/>
                      <w:kern w:val="2"/>
                      <w14:ligatures w14:val="standardContextual"/>
                    </w:rPr>
                  </w:pPr>
                  <w:r>
                    <w:rPr>
                      <w:rFonts w:ascii="Times New Roman" w:eastAsiaTheme="minorHAnsi" w:hAnsi="Times New Roman"/>
                      <w:color w:val="000000"/>
                      <w:spacing w:val="-2"/>
                      <w:kern w:val="2"/>
                      <w14:ligatures w14:val="standardContextual"/>
                    </w:rPr>
                    <w:t>35</w:t>
                  </w:r>
                  <w:r w:rsidR="00CC0CFC">
                    <w:rPr>
                      <w:rFonts w:ascii="Times New Roman" w:eastAsiaTheme="minorHAnsi" w:hAnsi="Times New Roman"/>
                      <w:color w:val="000000"/>
                      <w:spacing w:val="-2"/>
                      <w:kern w:val="2"/>
                      <w14:ligatures w14:val="standardContextual"/>
                    </w:rPr>
                    <w:t>6</w:t>
                  </w:r>
                  <w:r w:rsidR="008921BD" w:rsidRPr="009A01B3">
                    <w:rPr>
                      <w:rFonts w:ascii="Times New Roman" w:eastAsiaTheme="minorHAnsi" w:hAnsi="Times New Roman"/>
                      <w:color w:val="000000"/>
                      <w:spacing w:val="-2"/>
                      <w:kern w:val="2"/>
                      <w14:ligatures w14:val="standardContextual"/>
                    </w:rPr>
                    <w:t>-4</w:t>
                  </w:r>
                  <w:r>
                    <w:rPr>
                      <w:rFonts w:ascii="Times New Roman" w:eastAsiaTheme="minorHAnsi" w:hAnsi="Times New Roman"/>
                      <w:color w:val="000000"/>
                      <w:spacing w:val="-2"/>
                      <w:kern w:val="2"/>
                      <w14:ligatures w14:val="standardContextual"/>
                    </w:rPr>
                    <w:t>16</w:t>
                  </w:r>
                  <w:r w:rsidR="008921BD" w:rsidRPr="009A01B3">
                    <w:rPr>
                      <w:rFonts w:ascii="Times New Roman" w:eastAsiaTheme="minorHAnsi" w:hAnsi="Times New Roman"/>
                      <w:color w:val="000000"/>
                      <w:spacing w:val="-2"/>
                      <w:kern w:val="2"/>
                      <w14:ligatures w14:val="standardContextual"/>
                    </w:rPr>
                    <w:t xml:space="preserve"> dni</w:t>
                  </w:r>
                </w:p>
              </w:tc>
              <w:tc>
                <w:tcPr>
                  <w:tcW w:w="3974" w:type="dxa"/>
                  <w:tcBorders>
                    <w:top w:val="single" w:sz="4" w:space="0" w:color="auto"/>
                    <w:left w:val="single" w:sz="4" w:space="0" w:color="auto"/>
                    <w:bottom w:val="single" w:sz="4" w:space="0" w:color="auto"/>
                    <w:right w:val="single" w:sz="4" w:space="0" w:color="auto"/>
                  </w:tcBorders>
                  <w:shd w:val="clear" w:color="auto" w:fill="D9D9D9"/>
                  <w:hideMark/>
                </w:tcPr>
                <w:p w14:paraId="3BBF60F2" w14:textId="089C2CE4" w:rsidR="008921BD" w:rsidRPr="009A01B3" w:rsidRDefault="008921BD" w:rsidP="008921BD">
                  <w:pPr>
                    <w:spacing w:after="160" w:line="259" w:lineRule="auto"/>
                    <w:jc w:val="both"/>
                    <w:rPr>
                      <w:rFonts w:ascii="Times New Roman" w:eastAsiaTheme="minorHAnsi" w:hAnsi="Times New Roman"/>
                      <w:color w:val="000000"/>
                      <w:spacing w:val="-2"/>
                      <w:kern w:val="2"/>
                      <w14:ligatures w14:val="standardContextual"/>
                    </w:rPr>
                  </w:pPr>
                  <w:r w:rsidRPr="009A01B3">
                    <w:rPr>
                      <w:rFonts w:ascii="Times New Roman" w:eastAsiaTheme="minorHAnsi" w:hAnsi="Times New Roman"/>
                      <w:color w:val="000000"/>
                      <w:spacing w:val="-2"/>
                      <w:kern w:val="2"/>
                      <w14:ligatures w14:val="standardContextual"/>
                    </w:rPr>
                    <w:t>1</w:t>
                  </w:r>
                  <w:r w:rsidR="001F69AD">
                    <w:rPr>
                      <w:rFonts w:ascii="Times New Roman" w:eastAsiaTheme="minorHAnsi" w:hAnsi="Times New Roman"/>
                      <w:color w:val="000000"/>
                      <w:spacing w:val="-2"/>
                      <w:kern w:val="2"/>
                      <w14:ligatures w14:val="standardContextual"/>
                    </w:rPr>
                    <w:t>49</w:t>
                  </w:r>
                  <w:r w:rsidRPr="009A01B3">
                    <w:rPr>
                      <w:rFonts w:ascii="Times New Roman" w:eastAsiaTheme="minorHAnsi" w:hAnsi="Times New Roman"/>
                      <w:color w:val="000000"/>
                      <w:spacing w:val="-2"/>
                      <w:kern w:val="2"/>
                      <w14:ligatures w14:val="standardContextual"/>
                    </w:rPr>
                    <w:t xml:space="preserve"> dni</w:t>
                  </w:r>
                </w:p>
              </w:tc>
            </w:tr>
          </w:tbl>
          <w:p w14:paraId="0E3F236E" w14:textId="3ED5FED3" w:rsidR="00762CAD" w:rsidRPr="0011074B" w:rsidRDefault="00762CAD" w:rsidP="00070A0C">
            <w:pPr>
              <w:spacing w:before="120" w:after="120"/>
              <w:jc w:val="both"/>
              <w:rPr>
                <w:rFonts w:ascii="Times New Roman" w:hAnsi="Times New Roman"/>
                <w:bCs/>
              </w:rPr>
            </w:pPr>
            <w:r w:rsidRPr="00762CAD">
              <w:rPr>
                <w:rFonts w:ascii="Times New Roman" w:hAnsi="Times New Roman"/>
                <w:bCs/>
              </w:rPr>
              <w:t>Projektowane zmiany przy</w:t>
            </w:r>
            <w:r>
              <w:rPr>
                <w:rFonts w:ascii="Times New Roman" w:hAnsi="Times New Roman"/>
                <w:bCs/>
              </w:rPr>
              <w:t>czynią się do skrócenia</w:t>
            </w:r>
            <w:r w:rsidR="003F1F1C">
              <w:t xml:space="preserve"> </w:t>
            </w:r>
            <w:r w:rsidR="003F1F1C" w:rsidRPr="003F1F1C">
              <w:rPr>
                <w:rFonts w:ascii="Times New Roman" w:hAnsi="Times New Roman"/>
                <w:bCs/>
              </w:rPr>
              <w:t>ustawow</w:t>
            </w:r>
            <w:r w:rsidR="003F1F1C">
              <w:rPr>
                <w:rFonts w:ascii="Times New Roman" w:hAnsi="Times New Roman"/>
                <w:bCs/>
              </w:rPr>
              <w:t>ego</w:t>
            </w:r>
            <w:r w:rsidR="003F1F1C" w:rsidRPr="003F1F1C">
              <w:rPr>
                <w:rFonts w:ascii="Times New Roman" w:hAnsi="Times New Roman"/>
                <w:bCs/>
              </w:rPr>
              <w:t xml:space="preserve"> cza</w:t>
            </w:r>
            <w:r w:rsidR="003F1F1C">
              <w:rPr>
                <w:rFonts w:ascii="Times New Roman" w:hAnsi="Times New Roman"/>
                <w:bCs/>
              </w:rPr>
              <w:t>su</w:t>
            </w:r>
            <w:r w:rsidR="003F1F1C" w:rsidRPr="003F1F1C">
              <w:rPr>
                <w:rFonts w:ascii="Times New Roman" w:hAnsi="Times New Roman"/>
                <w:bCs/>
              </w:rPr>
              <w:t xml:space="preserve"> trwania poszczególnych procedur administracyjnych</w:t>
            </w:r>
            <w:r>
              <w:rPr>
                <w:rFonts w:ascii="Times New Roman" w:hAnsi="Times New Roman"/>
                <w:bCs/>
              </w:rPr>
              <w:t xml:space="preserve"> </w:t>
            </w:r>
            <w:r w:rsidR="00262352">
              <w:rPr>
                <w:rFonts w:ascii="Times New Roman" w:hAnsi="Times New Roman"/>
                <w:bCs/>
              </w:rPr>
              <w:t xml:space="preserve">dla wybranych instalacji OZE </w:t>
            </w:r>
            <w:r>
              <w:rPr>
                <w:rFonts w:ascii="Times New Roman" w:hAnsi="Times New Roman"/>
                <w:bCs/>
              </w:rPr>
              <w:t xml:space="preserve">o </w:t>
            </w:r>
            <w:r w:rsidR="00262352">
              <w:rPr>
                <w:rFonts w:ascii="Times New Roman" w:hAnsi="Times New Roman"/>
                <w:bCs/>
              </w:rPr>
              <w:t>ok. 34 do nawet 70</w:t>
            </w:r>
            <w:r w:rsidRPr="00762CAD">
              <w:rPr>
                <w:rFonts w:ascii="Times New Roman" w:hAnsi="Times New Roman"/>
                <w:bCs/>
              </w:rPr>
              <w:t xml:space="preserve">% </w:t>
            </w:r>
            <w:r w:rsidR="00701938">
              <w:rPr>
                <w:rFonts w:ascii="Times New Roman" w:hAnsi="Times New Roman"/>
                <w:bCs/>
              </w:rPr>
              <w:t xml:space="preserve">oraz o nawet 65% w przypadku całego procesu inwestycyjnego </w:t>
            </w:r>
            <w:r w:rsidR="00A9398C">
              <w:rPr>
                <w:rFonts w:ascii="Times New Roman" w:hAnsi="Times New Roman"/>
                <w:bCs/>
              </w:rPr>
              <w:t xml:space="preserve">dla niektórych procedur </w:t>
            </w:r>
            <w:r w:rsidRPr="00762CAD">
              <w:rPr>
                <w:rFonts w:ascii="Times New Roman" w:hAnsi="Times New Roman"/>
                <w:bCs/>
              </w:rPr>
              <w:t>w porównaniu z obecnym stanem prawnym.</w:t>
            </w:r>
          </w:p>
          <w:p w14:paraId="55B47223" w14:textId="52C943E9" w:rsidR="009404C6" w:rsidRPr="009A01B3" w:rsidRDefault="008921BD" w:rsidP="00070A0C">
            <w:pPr>
              <w:spacing w:before="120" w:after="120"/>
              <w:jc w:val="both"/>
              <w:rPr>
                <w:rFonts w:ascii="Times New Roman" w:hAnsi="Times New Roman"/>
                <w:b/>
                <w:bCs/>
                <w:u w:val="single"/>
              </w:rPr>
            </w:pPr>
            <w:r w:rsidRPr="009A01B3">
              <w:rPr>
                <w:rFonts w:ascii="Times New Roman" w:hAnsi="Times New Roman"/>
                <w:b/>
                <w:bCs/>
                <w:u w:val="single"/>
              </w:rPr>
              <w:t>I</w:t>
            </w:r>
            <w:r w:rsidR="009A01B3" w:rsidRPr="009A01B3">
              <w:rPr>
                <w:rFonts w:ascii="Times New Roman" w:hAnsi="Times New Roman"/>
                <w:b/>
                <w:bCs/>
                <w:u w:val="single"/>
              </w:rPr>
              <w:t>V</w:t>
            </w:r>
            <w:r w:rsidRPr="009A01B3">
              <w:rPr>
                <w:rFonts w:ascii="Times New Roman" w:hAnsi="Times New Roman"/>
                <w:b/>
                <w:bCs/>
                <w:u w:val="single"/>
              </w:rPr>
              <w:t xml:space="preserve">. </w:t>
            </w:r>
            <w:r w:rsidR="009404C6" w:rsidRPr="009A01B3">
              <w:rPr>
                <w:rFonts w:ascii="Times New Roman" w:hAnsi="Times New Roman"/>
                <w:b/>
                <w:bCs/>
                <w:u w:val="single"/>
              </w:rPr>
              <w:t xml:space="preserve">Zmiany porządkujące w związku z wejściem w życie Centralnego Systemu Informacji rynku energii (CSIRE) </w:t>
            </w:r>
          </w:p>
          <w:p w14:paraId="18F2D891" w14:textId="2F19B246" w:rsidR="006F49AE" w:rsidRPr="006471CB" w:rsidRDefault="009404C6" w:rsidP="006471CB">
            <w:pPr>
              <w:spacing w:before="120" w:after="120" w:line="240" w:lineRule="auto"/>
              <w:jc w:val="both"/>
              <w:rPr>
                <w:rFonts w:ascii="Times New Roman" w:hAnsi="Times New Roman"/>
                <w:color w:val="000000"/>
                <w:spacing w:val="-2"/>
              </w:rPr>
            </w:pPr>
            <w:r w:rsidRPr="006471CB">
              <w:rPr>
                <w:rFonts w:ascii="Times New Roman" w:hAnsi="Times New Roman"/>
                <w:color w:val="000000"/>
                <w:spacing w:val="-2"/>
              </w:rPr>
              <w:t xml:space="preserve">Ze względu na </w:t>
            </w:r>
            <w:r w:rsidR="00AD21D9">
              <w:rPr>
                <w:rFonts w:ascii="Times New Roman" w:hAnsi="Times New Roman"/>
                <w:color w:val="000000"/>
                <w:spacing w:val="-2"/>
              </w:rPr>
              <w:t>brak możliwości</w:t>
            </w:r>
            <w:r w:rsidR="00AD21D9" w:rsidRPr="006471CB">
              <w:rPr>
                <w:rFonts w:ascii="Times New Roman" w:hAnsi="Times New Roman"/>
                <w:color w:val="000000"/>
                <w:spacing w:val="-2"/>
              </w:rPr>
              <w:t xml:space="preserve"> </w:t>
            </w:r>
            <w:r w:rsidRPr="006471CB">
              <w:rPr>
                <w:rFonts w:ascii="Times New Roman" w:hAnsi="Times New Roman"/>
                <w:color w:val="000000"/>
                <w:spacing w:val="-2"/>
              </w:rPr>
              <w:t xml:space="preserve">działania instytucji prosumenta wirtualnego energii odnawialnej bez funkcjonowania CSIRE, należy odsunąć wejście w życie przepisów </w:t>
            </w:r>
            <w:r w:rsidR="001406B2">
              <w:rPr>
                <w:rFonts w:ascii="Times New Roman" w:hAnsi="Times New Roman"/>
                <w:color w:val="000000"/>
                <w:spacing w:val="-2"/>
              </w:rPr>
              <w:t>regulujących tę instytucję</w:t>
            </w:r>
            <w:r w:rsidRPr="006471CB">
              <w:rPr>
                <w:rFonts w:ascii="Times New Roman" w:hAnsi="Times New Roman"/>
                <w:color w:val="000000"/>
                <w:spacing w:val="-2"/>
              </w:rPr>
              <w:t xml:space="preserve"> do dnia 2 lipca 2025 r.</w:t>
            </w:r>
            <w:r w:rsidR="00AD21D9">
              <w:rPr>
                <w:rFonts w:ascii="Times New Roman" w:hAnsi="Times New Roman"/>
                <w:color w:val="000000"/>
                <w:spacing w:val="-2"/>
              </w:rPr>
              <w:t xml:space="preserve"> </w:t>
            </w:r>
            <w:r w:rsidR="00AD21D9" w:rsidRPr="006471CB">
              <w:rPr>
                <w:rFonts w:ascii="Times New Roman" w:hAnsi="Times New Roman"/>
                <w:color w:val="000000"/>
                <w:spacing w:val="-2"/>
              </w:rPr>
              <w:t>Analogiczn</w:t>
            </w:r>
            <w:r w:rsidR="00AD21D9">
              <w:rPr>
                <w:rFonts w:ascii="Times New Roman" w:hAnsi="Times New Roman"/>
                <w:color w:val="000000"/>
                <w:spacing w:val="-2"/>
              </w:rPr>
              <w:t>ą</w:t>
            </w:r>
            <w:r w:rsidR="00AD21D9" w:rsidRPr="006471CB">
              <w:rPr>
                <w:rFonts w:ascii="Times New Roman" w:hAnsi="Times New Roman"/>
                <w:color w:val="000000"/>
                <w:spacing w:val="-2"/>
              </w:rPr>
              <w:t xml:space="preserve"> zmian</w:t>
            </w:r>
            <w:r w:rsidR="00AD21D9">
              <w:rPr>
                <w:rFonts w:ascii="Times New Roman" w:hAnsi="Times New Roman"/>
                <w:color w:val="000000"/>
                <w:spacing w:val="-2"/>
              </w:rPr>
              <w:t xml:space="preserve">ę terminu wejścia w życie należy wprowadzić w </w:t>
            </w:r>
            <w:r w:rsidR="006F49AE" w:rsidRPr="006471CB">
              <w:rPr>
                <w:rFonts w:ascii="Times New Roman" w:hAnsi="Times New Roman"/>
                <w:color w:val="000000"/>
                <w:spacing w:val="-2"/>
              </w:rPr>
              <w:t>art. 6g ustawy wiatrakowej</w:t>
            </w:r>
            <w:r w:rsidR="00673B17">
              <w:rPr>
                <w:rFonts w:ascii="Times New Roman" w:hAnsi="Times New Roman"/>
                <w:color w:val="000000"/>
                <w:spacing w:val="-2"/>
              </w:rPr>
              <w:t>.</w:t>
            </w:r>
            <w:r w:rsidR="00AD21D9">
              <w:rPr>
                <w:rFonts w:ascii="Times New Roman" w:hAnsi="Times New Roman"/>
                <w:color w:val="000000"/>
                <w:spacing w:val="-2"/>
              </w:rPr>
              <w:t xml:space="preserve"> </w:t>
            </w:r>
          </w:p>
          <w:p w14:paraId="516CFBE8" w14:textId="77777777" w:rsidR="005D63AA" w:rsidRDefault="00945802" w:rsidP="005D63AA">
            <w:pPr>
              <w:spacing w:before="120" w:after="120" w:line="240" w:lineRule="auto"/>
              <w:jc w:val="both"/>
              <w:rPr>
                <w:rFonts w:ascii="Times New Roman" w:hAnsi="Times New Roman"/>
                <w:b/>
                <w:bCs/>
                <w:color w:val="000000"/>
                <w:u w:val="single"/>
              </w:rPr>
            </w:pPr>
            <w:r>
              <w:rPr>
                <w:rFonts w:ascii="Times New Roman" w:hAnsi="Times New Roman"/>
                <w:b/>
                <w:bCs/>
                <w:color w:val="000000"/>
                <w:u w:val="single"/>
              </w:rPr>
              <w:t>V</w:t>
            </w:r>
            <w:r w:rsidRPr="007138BB">
              <w:rPr>
                <w:rFonts w:ascii="Times New Roman" w:hAnsi="Times New Roman"/>
                <w:b/>
                <w:bCs/>
                <w:color w:val="000000"/>
                <w:u w:val="single"/>
              </w:rPr>
              <w:t xml:space="preserve">. </w:t>
            </w:r>
            <w:r w:rsidR="005D63AA" w:rsidRPr="007138BB">
              <w:rPr>
                <w:rFonts w:ascii="Times New Roman" w:hAnsi="Times New Roman"/>
                <w:b/>
                <w:bCs/>
                <w:color w:val="000000"/>
                <w:u w:val="single"/>
              </w:rPr>
              <w:t xml:space="preserve">Zmiany </w:t>
            </w:r>
            <w:r w:rsidR="005D63AA">
              <w:rPr>
                <w:rFonts w:ascii="Times New Roman" w:hAnsi="Times New Roman"/>
                <w:b/>
                <w:bCs/>
                <w:color w:val="000000"/>
                <w:u w:val="single"/>
              </w:rPr>
              <w:t>w systemie rozliczeń net-billing</w:t>
            </w:r>
          </w:p>
          <w:p w14:paraId="216BE4DB" w14:textId="4DFEE3A3" w:rsidR="005D63AA" w:rsidRPr="006471CB" w:rsidRDefault="005D63AA" w:rsidP="006471CB">
            <w:pPr>
              <w:spacing w:before="120" w:after="120" w:line="240" w:lineRule="auto"/>
              <w:jc w:val="both"/>
              <w:rPr>
                <w:rFonts w:ascii="Times New Roman" w:hAnsi="Times New Roman"/>
                <w:color w:val="000000"/>
                <w:spacing w:val="-2"/>
              </w:rPr>
            </w:pPr>
            <w:r w:rsidRPr="00882AFB">
              <w:rPr>
                <w:rFonts w:ascii="Times New Roman" w:hAnsi="Times New Roman"/>
              </w:rPr>
              <w:t xml:space="preserve">Projektowana </w:t>
            </w:r>
            <w:r w:rsidR="00AD21D9" w:rsidRPr="00882AFB">
              <w:rPr>
                <w:rFonts w:ascii="Times New Roman" w:hAnsi="Times New Roman"/>
              </w:rPr>
              <w:t>zmian</w:t>
            </w:r>
            <w:r w:rsidR="00AD21D9">
              <w:rPr>
                <w:rFonts w:ascii="Times New Roman" w:hAnsi="Times New Roman"/>
              </w:rPr>
              <w:t>a</w:t>
            </w:r>
            <w:r w:rsidR="00AD21D9" w:rsidRPr="00882AFB">
              <w:rPr>
                <w:rFonts w:ascii="Times New Roman" w:hAnsi="Times New Roman"/>
              </w:rPr>
              <w:t xml:space="preserve"> </w:t>
            </w:r>
            <w:r w:rsidRPr="00882AFB">
              <w:rPr>
                <w:rFonts w:ascii="Times New Roman" w:hAnsi="Times New Roman"/>
              </w:rPr>
              <w:t xml:space="preserve">w systemie rozliczeń net-billing ma na celu zwiększenie korzyści </w:t>
            </w:r>
            <w:r w:rsidRPr="006471CB">
              <w:rPr>
                <w:rFonts w:ascii="Times New Roman" w:hAnsi="Times New Roman"/>
                <w:color w:val="000000"/>
                <w:spacing w:val="-2"/>
              </w:rPr>
              <w:t>wynikających z produkcji energii elektrycznej przez prosumenta energii odnawialnej, prosumenta zbiorowego energii odnawialnej lub prosumenta wirtualnego energii odnawialnej, co w efekcie wpłynie na poprawę rentownoś</w:t>
            </w:r>
            <w:r w:rsidR="006471CB" w:rsidRPr="006471CB">
              <w:rPr>
                <w:rFonts w:ascii="Times New Roman" w:hAnsi="Times New Roman"/>
                <w:color w:val="000000"/>
                <w:spacing w:val="-2"/>
              </w:rPr>
              <w:t>ć ich</w:t>
            </w:r>
            <w:r w:rsidRPr="006471CB">
              <w:rPr>
                <w:rFonts w:ascii="Times New Roman" w:hAnsi="Times New Roman"/>
                <w:color w:val="000000"/>
                <w:spacing w:val="-2"/>
              </w:rPr>
              <w:t xml:space="preserve"> inwestycji w instalacje fotowoltaiczne. </w:t>
            </w:r>
            <w:r w:rsidR="00D24B07">
              <w:rPr>
                <w:rFonts w:ascii="Times New Roman" w:hAnsi="Times New Roman"/>
                <w:color w:val="000000"/>
                <w:spacing w:val="-2"/>
              </w:rPr>
              <w:t xml:space="preserve">Zmiana ta również zakłada możliwość pozostania przy rozliczaniu się w oparciu o rynkową cenę energii miesięczną. </w:t>
            </w:r>
          </w:p>
          <w:p w14:paraId="3766DC47" w14:textId="33EE957C" w:rsidR="005D63AA" w:rsidRDefault="005D63AA" w:rsidP="006471CB">
            <w:pPr>
              <w:spacing w:before="120" w:after="120" w:line="240" w:lineRule="auto"/>
              <w:jc w:val="both"/>
              <w:rPr>
                <w:rFonts w:ascii="Times New Roman" w:hAnsi="Times New Roman"/>
                <w:color w:val="000000"/>
                <w:spacing w:val="-2"/>
              </w:rPr>
            </w:pPr>
            <w:r w:rsidRPr="006471CB">
              <w:rPr>
                <w:rFonts w:ascii="Times New Roman" w:hAnsi="Times New Roman"/>
                <w:color w:val="000000"/>
                <w:spacing w:val="-2"/>
              </w:rPr>
              <w:t xml:space="preserve">Zmiana </w:t>
            </w:r>
            <w:r w:rsidR="00AD21D9">
              <w:rPr>
                <w:rFonts w:ascii="Times New Roman" w:hAnsi="Times New Roman"/>
                <w:color w:val="000000"/>
                <w:spacing w:val="-2"/>
              </w:rPr>
              <w:t xml:space="preserve">będzie </w:t>
            </w:r>
            <w:r w:rsidRPr="006471CB">
              <w:rPr>
                <w:rFonts w:ascii="Times New Roman" w:hAnsi="Times New Roman"/>
                <w:color w:val="000000"/>
                <w:spacing w:val="-2"/>
              </w:rPr>
              <w:t>polega</w:t>
            </w:r>
            <w:r w:rsidR="00AD21D9">
              <w:rPr>
                <w:rFonts w:ascii="Times New Roman" w:hAnsi="Times New Roman"/>
                <w:color w:val="000000"/>
                <w:spacing w:val="-2"/>
              </w:rPr>
              <w:t>ć</w:t>
            </w:r>
            <w:r w:rsidRPr="006471CB">
              <w:rPr>
                <w:rFonts w:ascii="Times New Roman" w:hAnsi="Times New Roman"/>
                <w:color w:val="000000"/>
                <w:spacing w:val="-2"/>
              </w:rPr>
              <w:t xml:space="preserve"> na </w:t>
            </w:r>
            <w:r w:rsidR="00436BAC">
              <w:rPr>
                <w:rFonts w:ascii="Times New Roman" w:hAnsi="Times New Roman"/>
                <w:color w:val="000000"/>
                <w:spacing w:val="-2"/>
              </w:rPr>
              <w:t>utrzymaniu po</w:t>
            </w:r>
            <w:r w:rsidR="00B844D8">
              <w:rPr>
                <w:rFonts w:ascii="Times New Roman" w:hAnsi="Times New Roman"/>
                <w:color w:val="000000"/>
                <w:spacing w:val="-2"/>
              </w:rPr>
              <w:t xml:space="preserve"> dniu</w:t>
            </w:r>
            <w:r w:rsidR="00436BAC">
              <w:rPr>
                <w:rFonts w:ascii="Times New Roman" w:hAnsi="Times New Roman"/>
                <w:color w:val="000000"/>
                <w:spacing w:val="-2"/>
              </w:rPr>
              <w:t xml:space="preserve"> 1 lipca 2024 r. możliwości rozliczania się w systemie net-billing </w:t>
            </w:r>
            <w:r w:rsidR="00436BAC" w:rsidRPr="00436BAC">
              <w:rPr>
                <w:rFonts w:ascii="Times New Roman" w:hAnsi="Times New Roman"/>
                <w:color w:val="000000"/>
                <w:spacing w:val="-2"/>
              </w:rPr>
              <w:t>w oparciu o rynkową miesięczną cenę energii elektrycznej</w:t>
            </w:r>
            <w:r w:rsidR="00436BAC">
              <w:rPr>
                <w:rFonts w:ascii="Times New Roman" w:hAnsi="Times New Roman"/>
                <w:color w:val="000000"/>
                <w:spacing w:val="-2"/>
              </w:rPr>
              <w:t xml:space="preserve">. </w:t>
            </w:r>
            <w:r w:rsidR="00B844D8">
              <w:rPr>
                <w:rFonts w:ascii="Times New Roman" w:hAnsi="Times New Roman"/>
                <w:color w:val="000000"/>
                <w:spacing w:val="-2"/>
              </w:rPr>
              <w:t>Prosumenci</w:t>
            </w:r>
            <w:r w:rsidR="00436BAC">
              <w:rPr>
                <w:rFonts w:ascii="Times New Roman" w:hAnsi="Times New Roman"/>
                <w:color w:val="000000"/>
                <w:spacing w:val="-2"/>
              </w:rPr>
              <w:t xml:space="preserve"> będą jednak mogli, składając oświadczenie sprzedawcy, zmienić sposób rozliczeń na </w:t>
            </w:r>
            <w:r w:rsidR="00436BAC" w:rsidRPr="00436BAC">
              <w:rPr>
                <w:rFonts w:ascii="Times New Roman" w:hAnsi="Times New Roman"/>
                <w:color w:val="000000"/>
                <w:spacing w:val="-2"/>
              </w:rPr>
              <w:t>rozliczenie w oparciu o rynkową cenę energii elektrycznej</w:t>
            </w:r>
            <w:r w:rsidR="00AF1D9C">
              <w:rPr>
                <w:rFonts w:ascii="Times New Roman" w:hAnsi="Times New Roman"/>
                <w:color w:val="000000"/>
                <w:spacing w:val="-2"/>
              </w:rPr>
              <w:t xml:space="preserve"> obowiązującą w okresach rozliczenia niezbilansowania</w:t>
            </w:r>
            <w:r w:rsidR="00436BAC">
              <w:rPr>
                <w:rFonts w:ascii="Times New Roman" w:hAnsi="Times New Roman"/>
                <w:color w:val="000000"/>
                <w:spacing w:val="-2"/>
              </w:rPr>
              <w:t xml:space="preserve">. Zachętą do zmiany systemu rozliczenia będzie </w:t>
            </w:r>
            <w:r w:rsidR="00554746">
              <w:rPr>
                <w:rFonts w:ascii="Times New Roman" w:hAnsi="Times New Roman"/>
                <w:color w:val="000000"/>
                <w:spacing w:val="-2"/>
              </w:rPr>
              <w:t xml:space="preserve">możliwość </w:t>
            </w:r>
            <w:r w:rsidR="00436BAC" w:rsidRPr="006471CB">
              <w:rPr>
                <w:rFonts w:ascii="Times New Roman" w:hAnsi="Times New Roman"/>
                <w:color w:val="000000"/>
                <w:spacing w:val="-2"/>
              </w:rPr>
              <w:t>zwiększeni</w:t>
            </w:r>
            <w:r w:rsidR="00FD4DB1">
              <w:rPr>
                <w:rFonts w:ascii="Times New Roman" w:hAnsi="Times New Roman"/>
                <w:color w:val="000000"/>
                <w:spacing w:val="-2"/>
              </w:rPr>
              <w:t>a</w:t>
            </w:r>
            <w:r w:rsidR="00554746">
              <w:rPr>
                <w:rFonts w:ascii="Times New Roman" w:hAnsi="Times New Roman"/>
                <w:color w:val="000000"/>
                <w:spacing w:val="-2"/>
              </w:rPr>
              <w:t xml:space="preserve"> </w:t>
            </w:r>
            <w:r w:rsidRPr="006471CB">
              <w:rPr>
                <w:rFonts w:ascii="Times New Roman" w:hAnsi="Times New Roman"/>
                <w:color w:val="000000"/>
                <w:spacing w:val="-2"/>
              </w:rPr>
              <w:t xml:space="preserve">wartości zwrotu niewykorzystanych przez prosumenta środków za wprowadzoną do sieci energię elektryczną w okresie kolejnych 12 miesięcy </w:t>
            </w:r>
            <w:r w:rsidR="00867B70">
              <w:rPr>
                <w:rFonts w:ascii="Times New Roman" w:hAnsi="Times New Roman"/>
                <w:color w:val="000000"/>
                <w:spacing w:val="-2"/>
              </w:rPr>
              <w:t>(</w:t>
            </w:r>
            <w:r w:rsidRPr="006471CB">
              <w:rPr>
                <w:rFonts w:ascii="Times New Roman" w:hAnsi="Times New Roman"/>
                <w:color w:val="000000"/>
                <w:spacing w:val="-2"/>
              </w:rPr>
              <w:t>tzw. nadpłaty</w:t>
            </w:r>
            <w:r w:rsidR="00867B70">
              <w:rPr>
                <w:rFonts w:ascii="Times New Roman" w:hAnsi="Times New Roman"/>
                <w:color w:val="000000"/>
                <w:spacing w:val="-2"/>
              </w:rPr>
              <w:t>)</w:t>
            </w:r>
            <w:r w:rsidRPr="006471CB">
              <w:rPr>
                <w:rFonts w:ascii="Times New Roman" w:hAnsi="Times New Roman"/>
                <w:color w:val="000000"/>
                <w:spacing w:val="-2"/>
              </w:rPr>
              <w:t xml:space="preserve"> do 30%</w:t>
            </w:r>
            <w:r w:rsidR="00AF1D9C">
              <w:rPr>
                <w:rFonts w:ascii="Times New Roman" w:hAnsi="Times New Roman"/>
                <w:color w:val="000000"/>
                <w:spacing w:val="-2"/>
              </w:rPr>
              <w:t>.</w:t>
            </w:r>
          </w:p>
          <w:p w14:paraId="5EF58681" w14:textId="3AE412CE" w:rsidR="005D63AA" w:rsidRPr="006471CB" w:rsidRDefault="00554746" w:rsidP="00554746">
            <w:pPr>
              <w:spacing w:before="120" w:after="120" w:line="240" w:lineRule="auto"/>
              <w:jc w:val="both"/>
              <w:rPr>
                <w:rFonts w:ascii="Times New Roman" w:hAnsi="Times New Roman"/>
                <w:color w:val="000000"/>
                <w:spacing w:val="-2"/>
              </w:rPr>
            </w:pPr>
            <w:r>
              <w:rPr>
                <w:rFonts w:ascii="Times New Roman" w:hAnsi="Times New Roman"/>
                <w:color w:val="000000"/>
                <w:spacing w:val="-2"/>
              </w:rPr>
              <w:t>Jeżeli natomiast dany prosument zdecyduje się nadal stosować dotychczasowy sposób rozliczeń, wysokość</w:t>
            </w:r>
            <w:r w:rsidR="001406B2">
              <w:rPr>
                <w:rFonts w:ascii="Times New Roman" w:hAnsi="Times New Roman"/>
                <w:color w:val="000000"/>
                <w:spacing w:val="-2"/>
              </w:rPr>
              <w:t xml:space="preserve"> zwrotu</w:t>
            </w:r>
            <w:r>
              <w:rPr>
                <w:rFonts w:ascii="Times New Roman" w:hAnsi="Times New Roman"/>
                <w:color w:val="000000"/>
                <w:spacing w:val="-2"/>
              </w:rPr>
              <w:t xml:space="preserve"> jego nadpłaty nie ulegnie podwyższeniu i </w:t>
            </w:r>
            <w:r w:rsidR="005D63AA" w:rsidRPr="006471CB">
              <w:rPr>
                <w:rFonts w:ascii="Times New Roman" w:hAnsi="Times New Roman"/>
                <w:color w:val="000000"/>
                <w:spacing w:val="-2"/>
              </w:rPr>
              <w:t xml:space="preserve">jak dotychczas </w:t>
            </w:r>
            <w:r>
              <w:rPr>
                <w:rFonts w:ascii="Times New Roman" w:hAnsi="Times New Roman"/>
                <w:color w:val="000000"/>
                <w:spacing w:val="-2"/>
              </w:rPr>
              <w:t xml:space="preserve">będzie wynosić </w:t>
            </w:r>
            <w:r w:rsidR="005D63AA" w:rsidRPr="006471CB">
              <w:rPr>
                <w:rFonts w:ascii="Times New Roman" w:hAnsi="Times New Roman"/>
                <w:color w:val="000000"/>
                <w:spacing w:val="-2"/>
              </w:rPr>
              <w:t>do 20% wartości energii elektrycznej wprowadzonej do sieci w miesiącu kalendarzowym, którego dotyczy zwrot nadpłaty.</w:t>
            </w:r>
          </w:p>
          <w:p w14:paraId="01761408" w14:textId="62E9986D" w:rsidR="005D63AA" w:rsidRPr="006471CB" w:rsidRDefault="005D63AA" w:rsidP="006471CB">
            <w:pPr>
              <w:spacing w:before="120" w:after="120" w:line="240" w:lineRule="auto"/>
              <w:jc w:val="both"/>
              <w:rPr>
                <w:rFonts w:ascii="Times New Roman" w:hAnsi="Times New Roman"/>
                <w:color w:val="000000"/>
                <w:spacing w:val="-2"/>
              </w:rPr>
            </w:pPr>
            <w:r w:rsidRPr="006471CB">
              <w:rPr>
                <w:rFonts w:ascii="Times New Roman" w:hAnsi="Times New Roman"/>
                <w:color w:val="000000"/>
                <w:spacing w:val="-2"/>
              </w:rPr>
              <w:t xml:space="preserve">Wybór sposobu rozliczeń w systemie net-billing przez prosumenta będzie </w:t>
            </w:r>
            <w:r w:rsidR="00554746">
              <w:rPr>
                <w:rFonts w:ascii="Times New Roman" w:hAnsi="Times New Roman"/>
                <w:color w:val="000000"/>
                <w:spacing w:val="-2"/>
              </w:rPr>
              <w:t xml:space="preserve">zatem </w:t>
            </w:r>
            <w:r w:rsidRPr="006471CB">
              <w:rPr>
                <w:rFonts w:ascii="Times New Roman" w:hAnsi="Times New Roman"/>
                <w:color w:val="000000"/>
                <w:spacing w:val="-2"/>
              </w:rPr>
              <w:t xml:space="preserve">stanowić jasną i świadomą deklarację prosumenta o </w:t>
            </w:r>
            <w:r w:rsidR="006471CB" w:rsidRPr="006471CB">
              <w:rPr>
                <w:rFonts w:ascii="Times New Roman" w:hAnsi="Times New Roman"/>
                <w:color w:val="000000"/>
                <w:spacing w:val="-2"/>
              </w:rPr>
              <w:t>przejściu na</w:t>
            </w:r>
            <w:r w:rsidRPr="006471CB">
              <w:rPr>
                <w:rFonts w:ascii="Times New Roman" w:hAnsi="Times New Roman"/>
                <w:color w:val="000000"/>
                <w:spacing w:val="-2"/>
              </w:rPr>
              <w:t xml:space="preserve"> rozliczenie w oparciu o rynkową cenę energii</w:t>
            </w:r>
            <w:r w:rsidR="00AF1D9C">
              <w:rPr>
                <w:rFonts w:ascii="Times New Roman" w:hAnsi="Times New Roman"/>
                <w:color w:val="000000"/>
                <w:spacing w:val="-2"/>
              </w:rPr>
              <w:t xml:space="preserve"> obowiązującą w okresach rozliczenia niezbilansowania</w:t>
            </w:r>
            <w:r w:rsidRPr="006471CB">
              <w:rPr>
                <w:rFonts w:ascii="Times New Roman" w:hAnsi="Times New Roman"/>
                <w:color w:val="000000"/>
                <w:spacing w:val="-2"/>
              </w:rPr>
              <w:t xml:space="preserve">. Zmiana ta zostanie zastosowana wraz z następnym okresem rozliczeniowym.  </w:t>
            </w:r>
          </w:p>
          <w:p w14:paraId="55DE37C6" w14:textId="77777777" w:rsidR="00945802" w:rsidRDefault="005D63AA" w:rsidP="006471CB">
            <w:pPr>
              <w:spacing w:before="120" w:after="120" w:line="240" w:lineRule="auto"/>
              <w:jc w:val="both"/>
              <w:rPr>
                <w:rFonts w:ascii="Times New Roman" w:hAnsi="Times New Roman"/>
                <w:color w:val="000000"/>
                <w:spacing w:val="-2"/>
              </w:rPr>
            </w:pPr>
            <w:r w:rsidRPr="006471CB">
              <w:rPr>
                <w:rFonts w:ascii="Times New Roman" w:hAnsi="Times New Roman"/>
                <w:color w:val="000000"/>
                <w:spacing w:val="-2"/>
              </w:rPr>
              <w:t>Możliwość samodzielnego wyboru sposobu rozliczenia przez prosumenta zwiększy jego poczucie wpływu na kształtowanie zużycia energii elektrycznej w zależności od ceny energii elektrycznej i w ten sposób obniżenie kosztów jej zużycia, a także przyczyni się do wzrostu zaufania społecznego.</w:t>
            </w:r>
          </w:p>
          <w:p w14:paraId="3BE2AF2A" w14:textId="51EEA25D" w:rsidR="009A0BD4" w:rsidRDefault="00AF1D9C" w:rsidP="006471CB">
            <w:pPr>
              <w:spacing w:before="120" w:after="120" w:line="240" w:lineRule="auto"/>
              <w:jc w:val="both"/>
              <w:rPr>
                <w:rFonts w:ascii="Times New Roman" w:hAnsi="Times New Roman"/>
                <w:color w:val="000000"/>
                <w:spacing w:val="-2"/>
              </w:rPr>
            </w:pPr>
            <w:r w:rsidRPr="00FE7519">
              <w:rPr>
                <w:rFonts w:ascii="Times New Roman" w:hAnsi="Times New Roman"/>
                <w:color w:val="000000"/>
                <w:spacing w:val="-2"/>
              </w:rPr>
              <w:t xml:space="preserve">Dodatkowo, </w:t>
            </w:r>
            <w:r>
              <w:rPr>
                <w:rFonts w:ascii="Times New Roman" w:hAnsi="Times New Roman"/>
                <w:color w:val="000000"/>
                <w:spacing w:val="-2"/>
              </w:rPr>
              <w:t xml:space="preserve">zakłada się wprowadzenie modyfikacji mechanizmu rozliczeń prosumentów w systemie net-billing poprzez zwiększenie wartości środków za energię wprowadzaną do sieci i ujmowaną na </w:t>
            </w:r>
            <w:r w:rsidRPr="00FE7519">
              <w:rPr>
                <w:rFonts w:ascii="Times New Roman" w:hAnsi="Times New Roman"/>
                <w:color w:val="000000"/>
                <w:spacing w:val="-2"/>
              </w:rPr>
              <w:t>depozy</w:t>
            </w:r>
            <w:r>
              <w:rPr>
                <w:rFonts w:ascii="Times New Roman" w:hAnsi="Times New Roman"/>
                <w:color w:val="000000"/>
                <w:spacing w:val="-2"/>
              </w:rPr>
              <w:t>cie</w:t>
            </w:r>
            <w:r w:rsidRPr="00FE7519">
              <w:rPr>
                <w:rFonts w:ascii="Times New Roman" w:hAnsi="Times New Roman"/>
                <w:color w:val="000000"/>
                <w:spacing w:val="-2"/>
              </w:rPr>
              <w:t xml:space="preserve"> prosumencki</w:t>
            </w:r>
            <w:r>
              <w:rPr>
                <w:rFonts w:ascii="Times New Roman" w:hAnsi="Times New Roman"/>
                <w:color w:val="000000"/>
                <w:spacing w:val="-2"/>
              </w:rPr>
              <w:t xml:space="preserve">m. Ma to na celu </w:t>
            </w:r>
            <w:r w:rsidRPr="00FE7519">
              <w:rPr>
                <w:rFonts w:ascii="Times New Roman" w:hAnsi="Times New Roman"/>
                <w:color w:val="000000"/>
                <w:spacing w:val="-2"/>
              </w:rPr>
              <w:t>zwiększeni</w:t>
            </w:r>
            <w:r>
              <w:rPr>
                <w:rFonts w:ascii="Times New Roman" w:hAnsi="Times New Roman"/>
                <w:color w:val="000000"/>
                <w:spacing w:val="-2"/>
              </w:rPr>
              <w:t>e</w:t>
            </w:r>
            <w:r w:rsidRPr="00FE7519">
              <w:rPr>
                <w:rFonts w:ascii="Times New Roman" w:hAnsi="Times New Roman"/>
                <w:color w:val="000000"/>
                <w:spacing w:val="-2"/>
              </w:rPr>
              <w:t xml:space="preserve"> opłacalności instalacji fotowoltaicznej.</w:t>
            </w:r>
          </w:p>
          <w:p w14:paraId="159CEFD1" w14:textId="2F027F28" w:rsidR="00AD6198" w:rsidRPr="009A0BD4" w:rsidRDefault="00AD6198" w:rsidP="00143E56">
            <w:pPr>
              <w:spacing w:before="120" w:after="120" w:line="240" w:lineRule="auto"/>
              <w:jc w:val="both"/>
              <w:rPr>
                <w:rFonts w:ascii="Times New Roman" w:hAnsi="Times New Roman"/>
                <w:b/>
                <w:bCs/>
                <w:color w:val="000000"/>
                <w:u w:val="single"/>
              </w:rPr>
            </w:pPr>
            <w:r w:rsidRPr="009A0BD4">
              <w:rPr>
                <w:rFonts w:ascii="Times New Roman" w:hAnsi="Times New Roman"/>
                <w:b/>
                <w:bCs/>
                <w:color w:val="000000"/>
                <w:u w:val="single"/>
              </w:rPr>
              <w:t>VI. Rozliczanie prosumenta energii odnawialnej – przejście z systemu net-metering do net-billing</w:t>
            </w:r>
          </w:p>
          <w:p w14:paraId="3C55B5B0" w14:textId="5ACCE952" w:rsidR="00AD6198" w:rsidRDefault="00AD390A" w:rsidP="009A0BD4">
            <w:pPr>
              <w:spacing w:before="120" w:after="120" w:line="240" w:lineRule="auto"/>
              <w:jc w:val="both"/>
              <w:rPr>
                <w:rFonts w:ascii="Times New Roman" w:hAnsi="Times New Roman"/>
                <w:b/>
                <w:bCs/>
              </w:rPr>
            </w:pPr>
            <w:r w:rsidRPr="00AD390A">
              <w:rPr>
                <w:rFonts w:ascii="Times New Roman" w:hAnsi="Times New Roman"/>
                <w:color w:val="000000"/>
                <w:spacing w:val="-2"/>
              </w:rPr>
              <w:t xml:space="preserve">Z powodu braku jednoznacznego sposobu rozliczenia nadwyżek energii z systemu net-metering proponuje się wprowadzenie zmiany w ustawie </w:t>
            </w:r>
            <w:r>
              <w:rPr>
                <w:rFonts w:ascii="Times New Roman" w:hAnsi="Times New Roman"/>
                <w:color w:val="000000"/>
                <w:spacing w:val="-2"/>
              </w:rPr>
              <w:t>o OZE</w:t>
            </w:r>
            <w:r w:rsidRPr="00AD390A">
              <w:rPr>
                <w:rFonts w:ascii="Times New Roman" w:hAnsi="Times New Roman"/>
                <w:color w:val="000000"/>
                <w:spacing w:val="-2"/>
              </w:rPr>
              <w:t xml:space="preserve"> poprzez dodanie </w:t>
            </w:r>
            <w:r w:rsidR="00D3772E">
              <w:rPr>
                <w:rFonts w:ascii="Times New Roman" w:hAnsi="Times New Roman"/>
                <w:color w:val="000000"/>
                <w:spacing w:val="-2"/>
              </w:rPr>
              <w:t>przepisu</w:t>
            </w:r>
            <w:r w:rsidRPr="00AD390A">
              <w:rPr>
                <w:rFonts w:ascii="Times New Roman" w:hAnsi="Times New Roman"/>
                <w:color w:val="000000"/>
                <w:spacing w:val="-2"/>
              </w:rPr>
              <w:t xml:space="preserve"> do art. 4c. Zgodnie z proponowaną zmianą, w przypadku zmiany systemu rozliczania wprowadzonej energii do sieci, do konta prosumenta zostaje doliczona wartość energii elektrycznej wytworzonej i  niezużytej przez prosumenta energii odnawialnej lub prosumenta zbiorowego energii odnawialnej, który korzystał z  rozliczenia w systemie net-metering. Wartość tej energii jest ustalana na podstawie średniej miesięcznej ceny rynkowej obowiązującej dla miesiąca poprzedzającego miesiąc, w którym prosument kończy rozliczanie się w oparciu o system rozliczeń net-metering. </w:t>
            </w:r>
          </w:p>
          <w:p w14:paraId="4AE6AE04" w14:textId="7AC2DA6B" w:rsidR="00AD6198" w:rsidRPr="009A0BD4" w:rsidRDefault="00AD6198" w:rsidP="009A0BD4">
            <w:pPr>
              <w:spacing w:before="120" w:after="120" w:line="240" w:lineRule="auto"/>
              <w:jc w:val="both"/>
              <w:rPr>
                <w:rFonts w:ascii="Times New Roman" w:hAnsi="Times New Roman"/>
                <w:b/>
                <w:bCs/>
                <w:color w:val="000000"/>
                <w:u w:val="single"/>
              </w:rPr>
            </w:pPr>
            <w:r w:rsidRPr="009A0BD4">
              <w:rPr>
                <w:rFonts w:ascii="Times New Roman" w:hAnsi="Times New Roman"/>
                <w:b/>
                <w:bCs/>
                <w:color w:val="000000"/>
                <w:u w:val="single"/>
              </w:rPr>
              <w:t xml:space="preserve">VII. Korekta rynkowej ceny energii </w:t>
            </w:r>
          </w:p>
          <w:p w14:paraId="2C1AD4E6" w14:textId="021FD2F9" w:rsidR="00AD6198" w:rsidRPr="009A0BD4" w:rsidRDefault="00AD6198" w:rsidP="009A0BD4">
            <w:pPr>
              <w:spacing w:before="120" w:after="120"/>
              <w:jc w:val="both"/>
              <w:rPr>
                <w:rFonts w:ascii="Times New Roman" w:hAnsi="Times New Roman"/>
              </w:rPr>
            </w:pPr>
            <w:r w:rsidRPr="009A0BD4">
              <w:rPr>
                <w:rFonts w:ascii="Times New Roman" w:hAnsi="Times New Roman"/>
                <w:color w:val="000000"/>
                <w:spacing w:val="-2"/>
              </w:rPr>
              <w:t xml:space="preserve">Z powodu problemu podnoszonego przez spółki obrotu proponuje się wprowadzenie modyfikacji w Art. 11y ust. 1 ustawy- Prawo Energetyczne w zakresie korekty rynkowej ceny energii. Zgodnie z zaproponowaną zmianą, w przypadku zmiany danych wykorzystywanych do ustalenia cen energii elektrycznej, wynikającej z korekt przekazywanych przez operatorów systemów </w:t>
            </w:r>
            <w:r w:rsidRPr="009A0BD4">
              <w:rPr>
                <w:rFonts w:ascii="Times New Roman" w:hAnsi="Times New Roman"/>
                <w:color w:val="000000"/>
                <w:spacing w:val="-2"/>
              </w:rPr>
              <w:lastRenderedPageBreak/>
              <w:t xml:space="preserve">dystrybucyjnych elektroenergetycznych lub inne podmioty, oblicza się skorygowaną wartość tych cen. Skorygowana cena zostaje obliczona, jeśli różnica między nią a poprzednio obliczoną ceną wynosi więcej niż 2%. Zastosowanie tej modyfikacji w przepisach znacznie pozwoli wyeliminować problem z korektą faktur </w:t>
            </w:r>
            <w:proofErr w:type="spellStart"/>
            <w:r w:rsidRPr="009A0BD4">
              <w:rPr>
                <w:rFonts w:ascii="Times New Roman" w:hAnsi="Times New Roman"/>
                <w:color w:val="000000"/>
                <w:spacing w:val="-2"/>
              </w:rPr>
              <w:t>prosumenckich</w:t>
            </w:r>
            <w:proofErr w:type="spellEnd"/>
            <w:r w:rsidRPr="009A0BD4">
              <w:rPr>
                <w:rFonts w:ascii="Times New Roman" w:hAnsi="Times New Roman"/>
                <w:color w:val="000000"/>
                <w:spacing w:val="-2"/>
              </w:rPr>
              <w:t>.</w:t>
            </w:r>
          </w:p>
        </w:tc>
      </w:tr>
      <w:tr w:rsidR="006A701A" w:rsidRPr="00A87B3A" w14:paraId="0BC804EE" w14:textId="77777777" w:rsidTr="002069ED">
        <w:trPr>
          <w:gridAfter w:val="1"/>
          <w:wAfter w:w="12" w:type="dxa"/>
          <w:trHeight w:val="307"/>
        </w:trPr>
        <w:tc>
          <w:tcPr>
            <w:tcW w:w="11173" w:type="dxa"/>
            <w:gridSpan w:val="24"/>
            <w:shd w:val="clear" w:color="auto" w:fill="99CCFF"/>
            <w:vAlign w:val="center"/>
          </w:tcPr>
          <w:p w14:paraId="1D70CF28" w14:textId="77777777" w:rsidR="006A701A" w:rsidRPr="00A87B3A" w:rsidRDefault="009E3C4B">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spacing w:val="-2"/>
              </w:rPr>
              <w:lastRenderedPageBreak/>
              <w:t>Jak problem został rozwiązany w innych krajach, w szczególności krajach członkowskich OECD/UE</w:t>
            </w:r>
            <w:r w:rsidR="006A701A" w:rsidRPr="00A87B3A">
              <w:rPr>
                <w:rFonts w:ascii="Times New Roman" w:hAnsi="Times New Roman"/>
                <w:b/>
                <w:color w:val="000000"/>
              </w:rPr>
              <w:t>?</w:t>
            </w:r>
            <w:r w:rsidR="006A701A" w:rsidRPr="00A87B3A">
              <w:rPr>
                <w:rFonts w:ascii="Times New Roman" w:hAnsi="Times New Roman"/>
                <w:i/>
                <w:color w:val="000000"/>
              </w:rPr>
              <w:t xml:space="preserve"> </w:t>
            </w:r>
          </w:p>
        </w:tc>
      </w:tr>
      <w:tr w:rsidR="006A701A" w:rsidRPr="00A87B3A" w14:paraId="6643E08E" w14:textId="77777777" w:rsidTr="002069ED">
        <w:trPr>
          <w:gridAfter w:val="1"/>
          <w:wAfter w:w="12" w:type="dxa"/>
          <w:trHeight w:val="142"/>
        </w:trPr>
        <w:tc>
          <w:tcPr>
            <w:tcW w:w="11173" w:type="dxa"/>
            <w:gridSpan w:val="24"/>
            <w:shd w:val="clear" w:color="auto" w:fill="auto"/>
          </w:tcPr>
          <w:p w14:paraId="4E7A5D43" w14:textId="36613F90" w:rsidR="00204145" w:rsidRDefault="00EC7BFD" w:rsidP="00AC268D">
            <w:pPr>
              <w:spacing w:before="120" w:after="120" w:line="240" w:lineRule="auto"/>
              <w:jc w:val="both"/>
              <w:rPr>
                <w:rFonts w:ascii="Times New Roman" w:hAnsi="Times New Roman"/>
                <w:color w:val="000000"/>
                <w:spacing w:val="-2"/>
              </w:rPr>
            </w:pPr>
            <w:r w:rsidRPr="006471CB">
              <w:rPr>
                <w:rFonts w:ascii="Times New Roman" w:hAnsi="Times New Roman"/>
                <w:color w:val="000000"/>
                <w:spacing w:val="-2"/>
              </w:rPr>
              <w:t xml:space="preserve">W odniesieniu do kwestii </w:t>
            </w:r>
            <w:r w:rsidR="000B00B3" w:rsidRPr="006471CB">
              <w:rPr>
                <w:rFonts w:ascii="Times New Roman" w:hAnsi="Times New Roman"/>
                <w:color w:val="000000"/>
                <w:spacing w:val="-2"/>
              </w:rPr>
              <w:t>przy</w:t>
            </w:r>
            <w:r w:rsidR="009716E3">
              <w:rPr>
                <w:rFonts w:ascii="Times New Roman" w:hAnsi="Times New Roman"/>
                <w:color w:val="000000"/>
                <w:spacing w:val="-2"/>
              </w:rPr>
              <w:t>s</w:t>
            </w:r>
            <w:r w:rsidR="000B00B3" w:rsidRPr="006471CB">
              <w:rPr>
                <w:rFonts w:ascii="Times New Roman" w:hAnsi="Times New Roman"/>
                <w:color w:val="000000"/>
                <w:spacing w:val="-2"/>
              </w:rPr>
              <w:t>pieszenia wydawania zezwoleń w obszarze OZE</w:t>
            </w:r>
            <w:r w:rsidRPr="006471CB">
              <w:rPr>
                <w:rFonts w:ascii="Times New Roman" w:hAnsi="Times New Roman"/>
                <w:color w:val="000000"/>
                <w:spacing w:val="-2"/>
              </w:rPr>
              <w:t>,</w:t>
            </w:r>
            <w:r w:rsidR="000B00B3" w:rsidRPr="006471CB">
              <w:rPr>
                <w:rFonts w:ascii="Times New Roman" w:hAnsi="Times New Roman"/>
                <w:color w:val="000000"/>
                <w:spacing w:val="-2"/>
              </w:rPr>
              <w:t xml:space="preserve"> </w:t>
            </w:r>
            <w:r w:rsidRPr="006471CB">
              <w:rPr>
                <w:rFonts w:ascii="Times New Roman" w:hAnsi="Times New Roman"/>
                <w:color w:val="000000"/>
                <w:spacing w:val="-2"/>
              </w:rPr>
              <w:t>należy wskazać, że p</w:t>
            </w:r>
            <w:r w:rsidR="000B00B3" w:rsidRPr="006471CB">
              <w:rPr>
                <w:rFonts w:ascii="Times New Roman" w:hAnsi="Times New Roman"/>
                <w:color w:val="000000"/>
                <w:spacing w:val="-2"/>
              </w:rPr>
              <w:t>rojektowane r</w:t>
            </w:r>
            <w:r w:rsidR="00204145" w:rsidRPr="006471CB">
              <w:rPr>
                <w:rFonts w:ascii="Times New Roman" w:hAnsi="Times New Roman"/>
                <w:color w:val="000000"/>
                <w:spacing w:val="-2"/>
              </w:rPr>
              <w:t xml:space="preserve">egulacje </w:t>
            </w:r>
            <w:r w:rsidR="007063BD" w:rsidRPr="006471CB">
              <w:rPr>
                <w:rFonts w:ascii="Times New Roman" w:hAnsi="Times New Roman"/>
                <w:color w:val="000000"/>
                <w:spacing w:val="-2"/>
              </w:rPr>
              <w:t>wynikając</w:t>
            </w:r>
            <w:r w:rsidR="00CF12E8">
              <w:rPr>
                <w:rFonts w:ascii="Times New Roman" w:hAnsi="Times New Roman"/>
                <w:color w:val="000000"/>
                <w:spacing w:val="-2"/>
              </w:rPr>
              <w:t>e</w:t>
            </w:r>
            <w:r w:rsidR="007063BD" w:rsidRPr="006471CB">
              <w:rPr>
                <w:rFonts w:ascii="Times New Roman" w:hAnsi="Times New Roman"/>
                <w:color w:val="000000"/>
                <w:spacing w:val="-2"/>
              </w:rPr>
              <w:t xml:space="preserve"> </w:t>
            </w:r>
            <w:r w:rsidR="00204145" w:rsidRPr="006471CB">
              <w:rPr>
                <w:rFonts w:ascii="Times New Roman" w:hAnsi="Times New Roman"/>
                <w:color w:val="000000"/>
                <w:spacing w:val="-2"/>
              </w:rPr>
              <w:t>z rozporządzenia Rady (UE) 2022/2577 z dnia 22 grudnia 2022</w:t>
            </w:r>
            <w:r w:rsidR="006471CB" w:rsidRPr="006471CB">
              <w:rPr>
                <w:rFonts w:ascii="Times New Roman" w:hAnsi="Times New Roman"/>
                <w:color w:val="000000"/>
                <w:spacing w:val="-2"/>
              </w:rPr>
              <w:t> </w:t>
            </w:r>
            <w:r w:rsidR="00204145" w:rsidRPr="006471CB">
              <w:rPr>
                <w:rFonts w:ascii="Times New Roman" w:hAnsi="Times New Roman"/>
                <w:color w:val="000000"/>
                <w:spacing w:val="-2"/>
              </w:rPr>
              <w:t>r. ustanawiającego ramy służące przyspieszeniu wdrażania rozwiązań w zakresie energii odnawialnej</w:t>
            </w:r>
            <w:r w:rsidR="00CF12E8">
              <w:rPr>
                <w:rFonts w:ascii="Times New Roman" w:hAnsi="Times New Roman"/>
                <w:color w:val="000000"/>
                <w:spacing w:val="-2"/>
              </w:rPr>
              <w:t xml:space="preserve"> stosuje się bezpośrednio</w:t>
            </w:r>
            <w:r w:rsidR="00B34920">
              <w:rPr>
                <w:rFonts w:ascii="Times New Roman" w:hAnsi="Times New Roman"/>
                <w:color w:val="000000"/>
                <w:spacing w:val="-2"/>
              </w:rPr>
              <w:t>, w związku z czym powinny one obowiązywać w zaproponowanym kształcie w każdym kraju członkowskim UE</w:t>
            </w:r>
            <w:r w:rsidR="00204145" w:rsidRPr="006471CB">
              <w:rPr>
                <w:rFonts w:ascii="Times New Roman" w:hAnsi="Times New Roman"/>
                <w:color w:val="000000"/>
                <w:spacing w:val="-2"/>
              </w:rPr>
              <w:t>.</w:t>
            </w:r>
            <w:r w:rsidR="00B34920">
              <w:rPr>
                <w:rFonts w:ascii="Times New Roman" w:hAnsi="Times New Roman"/>
                <w:color w:val="000000"/>
                <w:spacing w:val="-2"/>
              </w:rPr>
              <w:t xml:space="preserve"> Należy jednak zauważyć, że regulacje zawarte w przedmiotowym projekcie wykraczają poza terminy zawarte w rozporządzeniu </w:t>
            </w:r>
            <w:proofErr w:type="spellStart"/>
            <w:r w:rsidR="00B34920">
              <w:rPr>
                <w:rFonts w:ascii="Times New Roman" w:hAnsi="Times New Roman"/>
                <w:color w:val="000000"/>
                <w:spacing w:val="-2"/>
              </w:rPr>
              <w:t>permittingowym</w:t>
            </w:r>
            <w:proofErr w:type="spellEnd"/>
            <w:r w:rsidR="00B34920">
              <w:rPr>
                <w:rFonts w:ascii="Times New Roman" w:hAnsi="Times New Roman"/>
                <w:color w:val="000000"/>
                <w:spacing w:val="-2"/>
              </w:rPr>
              <w:t xml:space="preserve"> i mają obowiązywać na stałe. Dlatego też</w:t>
            </w:r>
            <w:r w:rsidR="001406B2">
              <w:rPr>
                <w:rFonts w:ascii="Times New Roman" w:hAnsi="Times New Roman"/>
                <w:color w:val="000000"/>
                <w:spacing w:val="-2"/>
              </w:rPr>
              <w:t>,</w:t>
            </w:r>
            <w:r w:rsidR="00B34920">
              <w:rPr>
                <w:rFonts w:ascii="Times New Roman" w:hAnsi="Times New Roman"/>
                <w:color w:val="000000"/>
                <w:spacing w:val="-2"/>
              </w:rPr>
              <w:t xml:space="preserve"> porównując podejście do omawianej problematyki w poszczególnych krajach, warto mieć na uwadze specyfikę postępowań administracyjnych, która jest bardzo zróżnicowana</w:t>
            </w:r>
            <w:r w:rsidR="009716E3">
              <w:rPr>
                <w:rFonts w:ascii="Times New Roman" w:hAnsi="Times New Roman"/>
                <w:color w:val="000000"/>
                <w:spacing w:val="-2"/>
              </w:rPr>
              <w:t>.</w:t>
            </w:r>
            <w:r w:rsidR="00B34920">
              <w:rPr>
                <w:rFonts w:ascii="Times New Roman" w:hAnsi="Times New Roman"/>
                <w:color w:val="000000"/>
                <w:spacing w:val="-2"/>
              </w:rPr>
              <w:t xml:space="preserve"> </w:t>
            </w:r>
            <w:r w:rsidR="00A83080" w:rsidRPr="006471CB">
              <w:rPr>
                <w:rFonts w:ascii="Times New Roman" w:hAnsi="Times New Roman"/>
                <w:color w:val="000000"/>
                <w:spacing w:val="-2"/>
              </w:rPr>
              <w:t xml:space="preserve">Na terminy trwania postępowań </w:t>
            </w:r>
            <w:r w:rsidR="00B34920">
              <w:rPr>
                <w:rFonts w:ascii="Times New Roman" w:hAnsi="Times New Roman"/>
                <w:color w:val="000000"/>
                <w:spacing w:val="-2"/>
              </w:rPr>
              <w:t xml:space="preserve">istotny </w:t>
            </w:r>
            <w:r w:rsidR="00A83080" w:rsidRPr="006471CB">
              <w:rPr>
                <w:rFonts w:ascii="Times New Roman" w:hAnsi="Times New Roman"/>
                <w:color w:val="000000"/>
                <w:spacing w:val="-2"/>
              </w:rPr>
              <w:t xml:space="preserve">wpływ </w:t>
            </w:r>
            <w:r w:rsidR="00B34920">
              <w:rPr>
                <w:rFonts w:ascii="Times New Roman" w:hAnsi="Times New Roman"/>
                <w:color w:val="000000"/>
                <w:spacing w:val="-2"/>
              </w:rPr>
              <w:t xml:space="preserve">ma także </w:t>
            </w:r>
            <w:r w:rsidR="00A83080" w:rsidRPr="006471CB">
              <w:rPr>
                <w:rFonts w:ascii="Times New Roman" w:hAnsi="Times New Roman"/>
                <w:color w:val="000000"/>
                <w:spacing w:val="-2"/>
              </w:rPr>
              <w:t xml:space="preserve">stopień skomplikowania sprawy, co </w:t>
            </w:r>
            <w:r w:rsidR="00B34920">
              <w:rPr>
                <w:rFonts w:ascii="Times New Roman" w:hAnsi="Times New Roman"/>
                <w:color w:val="000000"/>
                <w:spacing w:val="-2"/>
              </w:rPr>
              <w:t xml:space="preserve">dodatkowo </w:t>
            </w:r>
            <w:r w:rsidR="00A83080" w:rsidRPr="006471CB">
              <w:rPr>
                <w:rFonts w:ascii="Times New Roman" w:hAnsi="Times New Roman"/>
                <w:color w:val="000000"/>
                <w:spacing w:val="-2"/>
              </w:rPr>
              <w:t xml:space="preserve">przekłada się na czas trwania postepowania wyjaśniającego. </w:t>
            </w:r>
            <w:r w:rsidR="0066453E">
              <w:rPr>
                <w:rFonts w:ascii="Times New Roman" w:hAnsi="Times New Roman"/>
                <w:color w:val="000000"/>
                <w:spacing w:val="-2"/>
              </w:rPr>
              <w:t xml:space="preserve">Pomimo iż </w:t>
            </w:r>
            <w:r w:rsidR="00AF1D9C">
              <w:rPr>
                <w:rFonts w:ascii="Times New Roman" w:hAnsi="Times New Roman"/>
                <w:color w:val="000000"/>
                <w:spacing w:val="-2"/>
              </w:rPr>
              <w:t xml:space="preserve">w </w:t>
            </w:r>
            <w:r w:rsidR="00A83080" w:rsidRPr="006471CB">
              <w:rPr>
                <w:rFonts w:ascii="Times New Roman" w:hAnsi="Times New Roman"/>
                <w:color w:val="000000"/>
                <w:spacing w:val="-2"/>
              </w:rPr>
              <w:t xml:space="preserve">Państwach Członkowskich występuje </w:t>
            </w:r>
            <w:r w:rsidR="00B34920">
              <w:rPr>
                <w:rFonts w:ascii="Times New Roman" w:hAnsi="Times New Roman"/>
                <w:color w:val="000000"/>
                <w:spacing w:val="-2"/>
              </w:rPr>
              <w:t xml:space="preserve">proces </w:t>
            </w:r>
            <w:r w:rsidR="00A83080" w:rsidRPr="006471CB">
              <w:rPr>
                <w:rFonts w:ascii="Times New Roman" w:hAnsi="Times New Roman"/>
                <w:color w:val="000000"/>
                <w:spacing w:val="-2"/>
              </w:rPr>
              <w:t>wydawani</w:t>
            </w:r>
            <w:r w:rsidR="00B34920">
              <w:rPr>
                <w:rFonts w:ascii="Times New Roman" w:hAnsi="Times New Roman"/>
                <w:color w:val="000000"/>
                <w:spacing w:val="-2"/>
              </w:rPr>
              <w:t>a</w:t>
            </w:r>
            <w:r w:rsidR="00A83080" w:rsidRPr="006471CB">
              <w:rPr>
                <w:rFonts w:ascii="Times New Roman" w:hAnsi="Times New Roman"/>
                <w:color w:val="000000"/>
                <w:spacing w:val="-2"/>
              </w:rPr>
              <w:t xml:space="preserve"> </w:t>
            </w:r>
            <w:r w:rsidR="00B73FD7" w:rsidRPr="006471CB">
              <w:rPr>
                <w:rFonts w:ascii="Times New Roman" w:hAnsi="Times New Roman"/>
                <w:color w:val="000000"/>
                <w:spacing w:val="-2"/>
              </w:rPr>
              <w:t>pozwoleń</w:t>
            </w:r>
            <w:r w:rsidR="00A83080" w:rsidRPr="006471CB">
              <w:rPr>
                <w:rFonts w:ascii="Times New Roman" w:hAnsi="Times New Roman"/>
                <w:color w:val="000000"/>
                <w:spacing w:val="-2"/>
              </w:rPr>
              <w:t xml:space="preserve"> w podobnych obszarach</w:t>
            </w:r>
            <w:r w:rsidR="00B73FD7" w:rsidRPr="006471CB">
              <w:rPr>
                <w:rFonts w:ascii="Times New Roman" w:hAnsi="Times New Roman"/>
                <w:color w:val="000000"/>
                <w:spacing w:val="-2"/>
              </w:rPr>
              <w:t xml:space="preserve"> tematycznych</w:t>
            </w:r>
            <w:r w:rsidR="00A83080" w:rsidRPr="006471CB">
              <w:rPr>
                <w:rFonts w:ascii="Times New Roman" w:hAnsi="Times New Roman"/>
                <w:color w:val="000000"/>
                <w:spacing w:val="-2"/>
              </w:rPr>
              <w:t xml:space="preserve">, to jednak system prawa krajowego, każdego z tych Państw może wymagać zarówno od wytwórcy energii z OZE starającego się o </w:t>
            </w:r>
            <w:r w:rsidR="001406B2">
              <w:rPr>
                <w:rFonts w:ascii="Times New Roman" w:hAnsi="Times New Roman"/>
                <w:color w:val="000000"/>
                <w:spacing w:val="-2"/>
              </w:rPr>
              <w:t>dane</w:t>
            </w:r>
            <w:r w:rsidR="001406B2" w:rsidRPr="006471CB">
              <w:rPr>
                <w:rFonts w:ascii="Times New Roman" w:hAnsi="Times New Roman"/>
                <w:color w:val="000000"/>
                <w:spacing w:val="-2"/>
              </w:rPr>
              <w:t xml:space="preserve"> </w:t>
            </w:r>
            <w:r w:rsidR="00A83080" w:rsidRPr="006471CB">
              <w:rPr>
                <w:rFonts w:ascii="Times New Roman" w:hAnsi="Times New Roman"/>
                <w:color w:val="000000"/>
                <w:spacing w:val="-2"/>
              </w:rPr>
              <w:t>pozwolenie, jak również od organu administracyjnego wydającego to pozwolenie innych działań</w:t>
            </w:r>
            <w:r w:rsidR="009549C9" w:rsidRPr="006471CB">
              <w:rPr>
                <w:rFonts w:ascii="Times New Roman" w:hAnsi="Times New Roman"/>
                <w:color w:val="000000"/>
                <w:spacing w:val="-2"/>
              </w:rPr>
              <w:t>,</w:t>
            </w:r>
            <w:r w:rsidR="00A83080" w:rsidRPr="006471CB">
              <w:rPr>
                <w:rFonts w:ascii="Times New Roman" w:hAnsi="Times New Roman"/>
                <w:color w:val="000000"/>
                <w:spacing w:val="-2"/>
              </w:rPr>
              <w:t xml:space="preserve"> co przekłada się na </w:t>
            </w:r>
            <w:r w:rsidR="009549C9" w:rsidRPr="006471CB">
              <w:rPr>
                <w:rFonts w:ascii="Times New Roman" w:hAnsi="Times New Roman"/>
                <w:color w:val="000000"/>
                <w:spacing w:val="-2"/>
              </w:rPr>
              <w:t xml:space="preserve">różny </w:t>
            </w:r>
            <w:r w:rsidR="00A83080" w:rsidRPr="006471CB">
              <w:rPr>
                <w:rFonts w:ascii="Times New Roman" w:hAnsi="Times New Roman"/>
                <w:color w:val="000000"/>
                <w:spacing w:val="-2"/>
              </w:rPr>
              <w:t>czas trwania pozwoleń.</w:t>
            </w:r>
          </w:p>
          <w:p w14:paraId="10B9B455" w14:textId="3D2881E8" w:rsidR="00AC268D" w:rsidRDefault="00AC268D" w:rsidP="003049E7">
            <w:pPr>
              <w:pStyle w:val="NormalnyWeb"/>
              <w:spacing w:before="120" w:beforeAutospacing="0" w:after="120" w:afterAutospacing="0"/>
              <w:jc w:val="both"/>
              <w:rPr>
                <w:rFonts w:eastAsia="Calibri"/>
                <w:color w:val="000000"/>
                <w:spacing w:val="-2"/>
                <w:sz w:val="22"/>
                <w:szCs w:val="22"/>
                <w:lang w:eastAsia="en-US"/>
              </w:rPr>
            </w:pPr>
            <w:r w:rsidRPr="00AC268D">
              <w:rPr>
                <w:rFonts w:eastAsia="Calibri"/>
                <w:color w:val="000000"/>
                <w:spacing w:val="-2"/>
                <w:sz w:val="22"/>
                <w:szCs w:val="22"/>
                <w:lang w:eastAsia="en-US"/>
              </w:rPr>
              <w:t>Realizacja Wytycznych CEEAG oraz rozporządzenia GBER</w:t>
            </w:r>
            <w:r w:rsidR="00143E56">
              <w:rPr>
                <w:rFonts w:eastAsia="Calibri"/>
                <w:color w:val="000000"/>
                <w:spacing w:val="-2"/>
                <w:sz w:val="22"/>
                <w:szCs w:val="22"/>
                <w:lang w:eastAsia="en-US"/>
              </w:rPr>
              <w:t>, jak również rozporządzenia rynkowego</w:t>
            </w:r>
            <w:r w:rsidRPr="00AC268D">
              <w:rPr>
                <w:rFonts w:eastAsia="Calibri"/>
                <w:color w:val="000000"/>
                <w:spacing w:val="-2"/>
                <w:sz w:val="22"/>
                <w:szCs w:val="22"/>
                <w:lang w:eastAsia="en-US"/>
              </w:rPr>
              <w:t xml:space="preserve"> wymaga </w:t>
            </w:r>
            <w:r w:rsidR="00FA6B20">
              <w:rPr>
                <w:rFonts w:eastAsia="Calibri"/>
                <w:color w:val="000000"/>
                <w:spacing w:val="-2"/>
                <w:sz w:val="22"/>
                <w:szCs w:val="22"/>
                <w:lang w:eastAsia="en-US"/>
              </w:rPr>
              <w:t>dostosowania w zakresie konkretnych parametrów poszczególnych systemów wsparcia odnawialnych źródeł energii.</w:t>
            </w:r>
            <w:r w:rsidR="003049E7">
              <w:rPr>
                <w:rFonts w:eastAsia="Calibri"/>
                <w:color w:val="000000"/>
                <w:spacing w:val="-2"/>
                <w:sz w:val="22"/>
                <w:szCs w:val="22"/>
                <w:lang w:eastAsia="en-US"/>
              </w:rPr>
              <w:t xml:space="preserve"> Państwa członkowskie, jeżeli posiadają programy wsparcia OZE, muszą albo zmodyfikować je w analogiczny sposób albo, jeśli regulacje te są na tyle ogólne, że nie wymagają dostosowania do znowelizowanego GBER, pozostawić je bez zmian i od razu stosować rozporządzenie wprost. </w:t>
            </w:r>
            <w:r w:rsidR="00FA6B20">
              <w:rPr>
                <w:rFonts w:eastAsia="Calibri"/>
                <w:color w:val="000000"/>
                <w:spacing w:val="-2"/>
                <w:sz w:val="22"/>
                <w:szCs w:val="22"/>
                <w:lang w:eastAsia="en-US"/>
              </w:rPr>
              <w:t xml:space="preserve"> Ponieważ polskie przepisy dot. wsparcia są na tyle szczegółowe, że wymagają zmian w celu zapewnienia stosowania rozporządzenia GBER i dostosowania do CEAAG, nie jest możliwe ograniczenie s</w:t>
            </w:r>
            <w:r w:rsidR="003049E7">
              <w:rPr>
                <w:rFonts w:eastAsia="Calibri"/>
                <w:color w:val="000000"/>
                <w:spacing w:val="-2"/>
                <w:sz w:val="22"/>
                <w:szCs w:val="22"/>
                <w:lang w:eastAsia="en-US"/>
              </w:rPr>
              <w:t xml:space="preserve">ię do pozostawienia tej kwestii wyłącznie na poziomie unijnym. </w:t>
            </w:r>
            <w:r w:rsidRPr="00AC268D">
              <w:rPr>
                <w:rFonts w:eastAsia="Calibri"/>
                <w:color w:val="000000"/>
                <w:spacing w:val="-2"/>
                <w:sz w:val="22"/>
                <w:szCs w:val="22"/>
                <w:lang w:eastAsia="en-US"/>
              </w:rPr>
              <w:t xml:space="preserve">Dlatego też opisywanie rozwiązań wypracowanych w innych krajach UE w tym przypadku </w:t>
            </w:r>
            <w:r w:rsidR="009716E3">
              <w:rPr>
                <w:rFonts w:eastAsia="Calibri"/>
                <w:color w:val="000000"/>
                <w:spacing w:val="-2"/>
                <w:sz w:val="22"/>
                <w:szCs w:val="22"/>
                <w:lang w:eastAsia="en-US"/>
              </w:rPr>
              <w:t>wydaje się nie być</w:t>
            </w:r>
            <w:r w:rsidRPr="00AC268D">
              <w:rPr>
                <w:rFonts w:eastAsia="Calibri"/>
                <w:color w:val="000000"/>
                <w:spacing w:val="-2"/>
                <w:sz w:val="22"/>
                <w:szCs w:val="22"/>
                <w:lang w:eastAsia="en-US"/>
              </w:rPr>
              <w:t xml:space="preserve"> zasadne.</w:t>
            </w:r>
          </w:p>
          <w:p w14:paraId="3C1755D0" w14:textId="16696067" w:rsidR="00C04A78" w:rsidRPr="00AC268D" w:rsidRDefault="00C04A78" w:rsidP="00AA0B0F">
            <w:pPr>
              <w:pStyle w:val="NormalnyWeb"/>
              <w:spacing w:before="120" w:beforeAutospacing="0" w:after="120" w:afterAutospacing="0"/>
              <w:jc w:val="both"/>
              <w:rPr>
                <w:rFonts w:eastAsia="Calibri"/>
                <w:color w:val="000000"/>
                <w:spacing w:val="-2"/>
                <w:sz w:val="22"/>
                <w:szCs w:val="22"/>
                <w:lang w:eastAsia="en-US"/>
              </w:rPr>
            </w:pPr>
            <w:r>
              <w:rPr>
                <w:rFonts w:eastAsia="Calibri"/>
                <w:color w:val="000000"/>
                <w:spacing w:val="-2"/>
                <w:sz w:val="22"/>
                <w:szCs w:val="22"/>
                <w:lang w:eastAsia="en-US"/>
              </w:rPr>
              <w:t xml:space="preserve">W zakresie zmian wprowadzanych w systemie rozliczeń </w:t>
            </w:r>
            <w:proofErr w:type="spellStart"/>
            <w:r>
              <w:rPr>
                <w:rFonts w:eastAsia="Calibri"/>
                <w:color w:val="000000"/>
                <w:spacing w:val="-2"/>
                <w:sz w:val="22"/>
                <w:szCs w:val="22"/>
                <w:lang w:eastAsia="en-US"/>
              </w:rPr>
              <w:t>prosumenckich</w:t>
            </w:r>
            <w:proofErr w:type="spellEnd"/>
            <w:r>
              <w:rPr>
                <w:rFonts w:eastAsia="Calibri"/>
                <w:color w:val="000000"/>
                <w:spacing w:val="-2"/>
                <w:sz w:val="22"/>
                <w:szCs w:val="22"/>
                <w:lang w:eastAsia="en-US"/>
              </w:rPr>
              <w:t xml:space="preserve"> należy zauważyć, że choć sam system </w:t>
            </w:r>
            <w:r w:rsidR="00AC5843">
              <w:rPr>
                <w:rFonts w:eastAsia="Calibri"/>
                <w:color w:val="000000"/>
                <w:spacing w:val="-2"/>
                <w:sz w:val="22"/>
                <w:szCs w:val="22"/>
                <w:lang w:eastAsia="en-US"/>
              </w:rPr>
              <w:t xml:space="preserve">polegający na otrzymywaniu przez prosumentów wynagrodzenia </w:t>
            </w:r>
            <w:r w:rsidR="00AC5843" w:rsidRPr="00AC5843">
              <w:rPr>
                <w:rFonts w:eastAsia="Calibri"/>
                <w:color w:val="000000"/>
                <w:spacing w:val="-2"/>
                <w:sz w:val="22"/>
                <w:szCs w:val="22"/>
                <w:lang w:eastAsia="en-US"/>
              </w:rPr>
              <w:t xml:space="preserve">odzwierciedlającego wartość rynkową energii </w:t>
            </w:r>
            <w:r w:rsidR="00AC5843">
              <w:rPr>
                <w:rFonts w:eastAsia="Calibri"/>
                <w:color w:val="000000"/>
                <w:spacing w:val="-2"/>
                <w:sz w:val="22"/>
                <w:szCs w:val="22"/>
                <w:lang w:eastAsia="en-US"/>
              </w:rPr>
              <w:t>(</w:t>
            </w:r>
            <w:r>
              <w:rPr>
                <w:rFonts w:eastAsia="Calibri"/>
                <w:color w:val="000000"/>
                <w:spacing w:val="-2"/>
                <w:sz w:val="22"/>
                <w:szCs w:val="22"/>
                <w:lang w:eastAsia="en-US"/>
              </w:rPr>
              <w:t>net-billing</w:t>
            </w:r>
            <w:r w:rsidR="00AC5843">
              <w:rPr>
                <w:rFonts w:eastAsia="Calibri"/>
                <w:color w:val="000000"/>
                <w:spacing w:val="-2"/>
                <w:sz w:val="22"/>
                <w:szCs w:val="22"/>
                <w:lang w:eastAsia="en-US"/>
              </w:rPr>
              <w:t>)</w:t>
            </w:r>
            <w:r>
              <w:rPr>
                <w:rFonts w:eastAsia="Calibri"/>
                <w:color w:val="000000"/>
                <w:spacing w:val="-2"/>
                <w:sz w:val="22"/>
                <w:szCs w:val="22"/>
                <w:lang w:eastAsia="en-US"/>
              </w:rPr>
              <w:t xml:space="preserve"> wynika z</w:t>
            </w:r>
            <w:r w:rsidR="003523C1">
              <w:rPr>
                <w:rFonts w:eastAsia="Calibri"/>
                <w:color w:val="000000"/>
                <w:spacing w:val="-2"/>
                <w:sz w:val="22"/>
                <w:szCs w:val="22"/>
                <w:lang w:eastAsia="en-US"/>
              </w:rPr>
              <w:t xml:space="preserve"> przepisów dyrektywy RED II, </w:t>
            </w:r>
            <w:r w:rsidR="001406B2">
              <w:rPr>
                <w:rFonts w:eastAsia="Calibri"/>
                <w:color w:val="000000"/>
                <w:spacing w:val="-2"/>
                <w:sz w:val="22"/>
                <w:szCs w:val="22"/>
                <w:lang w:eastAsia="en-US"/>
              </w:rPr>
              <w:t xml:space="preserve">to </w:t>
            </w:r>
            <w:r w:rsidR="003523C1">
              <w:rPr>
                <w:rFonts w:eastAsia="Calibri"/>
                <w:color w:val="000000"/>
                <w:spacing w:val="-2"/>
                <w:sz w:val="22"/>
                <w:szCs w:val="22"/>
                <w:lang w:eastAsia="en-US"/>
              </w:rPr>
              <w:t xml:space="preserve">jego szczegółowe rozwiązania są pochodną </w:t>
            </w:r>
            <w:r w:rsidR="00BE2BEA">
              <w:rPr>
                <w:rFonts w:eastAsia="Calibri"/>
                <w:color w:val="000000"/>
                <w:spacing w:val="-2"/>
                <w:sz w:val="22"/>
                <w:szCs w:val="22"/>
                <w:lang w:eastAsia="en-US"/>
              </w:rPr>
              <w:t xml:space="preserve">z </w:t>
            </w:r>
            <w:r w:rsidR="003523C1">
              <w:rPr>
                <w:rFonts w:eastAsia="Calibri"/>
                <w:color w:val="000000"/>
                <w:spacing w:val="-2"/>
                <w:sz w:val="22"/>
                <w:szCs w:val="22"/>
                <w:lang w:eastAsia="en-US"/>
              </w:rPr>
              <w:t xml:space="preserve">wielu lokalnych czynników – między innymi efektów wprowadzonych wcześniej innych mechanizmów wsparcia dla prosumentów, zarówno operacyjnych jak i inwestycyjnych, czy zdolności </w:t>
            </w:r>
            <w:r w:rsidR="00295A60">
              <w:rPr>
                <w:rFonts w:eastAsia="Calibri"/>
                <w:color w:val="000000"/>
                <w:spacing w:val="-2"/>
                <w:sz w:val="22"/>
                <w:szCs w:val="22"/>
                <w:lang w:eastAsia="en-US"/>
              </w:rPr>
              <w:t xml:space="preserve">integracji OZE w </w:t>
            </w:r>
            <w:r w:rsidR="003523C1">
              <w:rPr>
                <w:rFonts w:eastAsia="Calibri"/>
                <w:color w:val="000000"/>
                <w:spacing w:val="-2"/>
                <w:sz w:val="22"/>
                <w:szCs w:val="22"/>
                <w:lang w:eastAsia="en-US"/>
              </w:rPr>
              <w:t>sieci</w:t>
            </w:r>
            <w:r w:rsidR="00295A60">
              <w:rPr>
                <w:rFonts w:eastAsia="Calibri"/>
                <w:color w:val="000000"/>
                <w:spacing w:val="-2"/>
                <w:sz w:val="22"/>
                <w:szCs w:val="22"/>
                <w:lang w:eastAsia="en-US"/>
              </w:rPr>
              <w:t>ach</w:t>
            </w:r>
            <w:r w:rsidR="003523C1">
              <w:rPr>
                <w:rFonts w:eastAsia="Calibri"/>
                <w:color w:val="000000"/>
                <w:spacing w:val="-2"/>
                <w:sz w:val="22"/>
                <w:szCs w:val="22"/>
                <w:lang w:eastAsia="en-US"/>
              </w:rPr>
              <w:t xml:space="preserve"> elektroenergetycznych w zakresie przyłączanych mocy. W</w:t>
            </w:r>
            <w:r w:rsidRPr="00C04A78">
              <w:rPr>
                <w:rFonts w:eastAsia="Calibri"/>
                <w:color w:val="000000"/>
                <w:spacing w:val="-2"/>
                <w:sz w:val="22"/>
                <w:szCs w:val="22"/>
                <w:lang w:eastAsia="en-US"/>
              </w:rPr>
              <w:t>nioski płynące z analiz porównawczych</w:t>
            </w:r>
            <w:r w:rsidR="003523C1">
              <w:rPr>
                <w:rFonts w:eastAsia="Calibri"/>
                <w:color w:val="000000"/>
                <w:spacing w:val="-2"/>
                <w:sz w:val="22"/>
                <w:szCs w:val="22"/>
                <w:lang w:eastAsia="en-US"/>
              </w:rPr>
              <w:t xml:space="preserve"> między szczegółowymi rozwiązaniami dla net-billingu</w:t>
            </w:r>
            <w:r w:rsidRPr="00C04A78">
              <w:rPr>
                <w:rFonts w:eastAsia="Calibri"/>
                <w:color w:val="000000"/>
                <w:spacing w:val="-2"/>
                <w:sz w:val="22"/>
                <w:szCs w:val="22"/>
                <w:lang w:eastAsia="en-US"/>
              </w:rPr>
              <w:t xml:space="preserve">, nie mogłyby być w prosty sposób przeniesione na grunt krajowy. </w:t>
            </w:r>
            <w:r w:rsidR="003523C1">
              <w:rPr>
                <w:rFonts w:eastAsia="Calibri"/>
                <w:color w:val="000000"/>
                <w:spacing w:val="-2"/>
                <w:sz w:val="22"/>
                <w:szCs w:val="22"/>
                <w:lang w:eastAsia="en-US"/>
              </w:rPr>
              <w:t>W</w:t>
            </w:r>
            <w:r w:rsidRPr="00C04A78">
              <w:rPr>
                <w:rFonts w:eastAsia="Calibri"/>
                <w:color w:val="000000"/>
                <w:spacing w:val="-2"/>
                <w:sz w:val="22"/>
                <w:szCs w:val="22"/>
                <w:lang w:eastAsia="en-US"/>
              </w:rPr>
              <w:t>yniki analiz</w:t>
            </w:r>
            <w:r w:rsidR="003523C1">
              <w:rPr>
                <w:rFonts w:eastAsia="Calibri"/>
                <w:color w:val="000000"/>
                <w:spacing w:val="-2"/>
                <w:sz w:val="22"/>
                <w:szCs w:val="22"/>
                <w:lang w:eastAsia="en-US"/>
              </w:rPr>
              <w:t xml:space="preserve"> </w:t>
            </w:r>
            <w:r w:rsidRPr="00C04A78">
              <w:rPr>
                <w:rFonts w:eastAsia="Calibri"/>
                <w:color w:val="000000"/>
                <w:spacing w:val="-2"/>
                <w:sz w:val="22"/>
                <w:szCs w:val="22"/>
                <w:lang w:eastAsia="en-US"/>
              </w:rPr>
              <w:t xml:space="preserve">porównawczych </w:t>
            </w:r>
            <w:r w:rsidR="00AA0B0F">
              <w:rPr>
                <w:rFonts w:eastAsia="Calibri"/>
                <w:color w:val="000000"/>
                <w:spacing w:val="-2"/>
                <w:sz w:val="22"/>
                <w:szCs w:val="22"/>
                <w:lang w:eastAsia="en-US"/>
              </w:rPr>
              <w:t>nie byłyby miarodajne</w:t>
            </w:r>
            <w:r w:rsidRPr="00C04A78">
              <w:rPr>
                <w:rFonts w:eastAsia="Calibri"/>
                <w:color w:val="000000"/>
                <w:spacing w:val="-2"/>
                <w:sz w:val="22"/>
                <w:szCs w:val="22"/>
                <w:lang w:eastAsia="en-US"/>
              </w:rPr>
              <w:t xml:space="preserve">, </w:t>
            </w:r>
            <w:r w:rsidR="00AA0B0F">
              <w:rPr>
                <w:rFonts w:eastAsia="Calibri"/>
                <w:color w:val="000000"/>
                <w:spacing w:val="-2"/>
                <w:sz w:val="22"/>
                <w:szCs w:val="22"/>
                <w:lang w:eastAsia="en-US"/>
              </w:rPr>
              <w:t>a więc ich</w:t>
            </w:r>
            <w:r w:rsidRPr="00C04A78">
              <w:rPr>
                <w:rFonts w:eastAsia="Calibri"/>
                <w:color w:val="000000"/>
                <w:spacing w:val="-2"/>
                <w:sz w:val="22"/>
                <w:szCs w:val="22"/>
                <w:lang w:eastAsia="en-US"/>
              </w:rPr>
              <w:t xml:space="preserve"> wskazywanie w tym</w:t>
            </w:r>
            <w:r w:rsidR="003523C1">
              <w:rPr>
                <w:rFonts w:eastAsia="Calibri"/>
                <w:color w:val="000000"/>
                <w:spacing w:val="-2"/>
                <w:sz w:val="22"/>
                <w:szCs w:val="22"/>
                <w:lang w:eastAsia="en-US"/>
              </w:rPr>
              <w:t xml:space="preserve"> </w:t>
            </w:r>
            <w:r w:rsidRPr="00C04A78">
              <w:rPr>
                <w:rFonts w:eastAsia="Calibri"/>
                <w:color w:val="000000"/>
                <w:spacing w:val="-2"/>
                <w:sz w:val="22"/>
                <w:szCs w:val="22"/>
                <w:lang w:eastAsia="en-US"/>
              </w:rPr>
              <w:t>dokumencie nie jest rekomendowane.</w:t>
            </w:r>
          </w:p>
        </w:tc>
      </w:tr>
      <w:tr w:rsidR="006A701A" w:rsidRPr="00A87B3A" w14:paraId="12A33B47" w14:textId="77777777" w:rsidTr="002069ED">
        <w:trPr>
          <w:gridAfter w:val="1"/>
          <w:wAfter w:w="12" w:type="dxa"/>
          <w:trHeight w:val="359"/>
        </w:trPr>
        <w:tc>
          <w:tcPr>
            <w:tcW w:w="11173" w:type="dxa"/>
            <w:gridSpan w:val="24"/>
            <w:shd w:val="clear" w:color="auto" w:fill="99CCFF"/>
            <w:vAlign w:val="center"/>
          </w:tcPr>
          <w:p w14:paraId="550A992D" w14:textId="77777777" w:rsidR="006A701A" w:rsidRPr="00A87B3A" w:rsidRDefault="006A701A">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color w:val="000000"/>
              </w:rPr>
              <w:t>Podmioty, na które oddziałuje projekt</w:t>
            </w:r>
          </w:p>
        </w:tc>
      </w:tr>
      <w:tr w:rsidR="00260F33" w:rsidRPr="00A87B3A" w14:paraId="05552CDB" w14:textId="77777777" w:rsidTr="002069ED">
        <w:trPr>
          <w:trHeight w:val="142"/>
        </w:trPr>
        <w:tc>
          <w:tcPr>
            <w:tcW w:w="2666" w:type="dxa"/>
            <w:gridSpan w:val="3"/>
            <w:shd w:val="clear" w:color="auto" w:fill="auto"/>
          </w:tcPr>
          <w:p w14:paraId="1B25C3CC" w14:textId="77777777" w:rsidR="00260F33" w:rsidRPr="00A87B3A" w:rsidRDefault="00260F33" w:rsidP="00DB7434">
            <w:pPr>
              <w:spacing w:line="240" w:lineRule="auto"/>
              <w:rPr>
                <w:rFonts w:ascii="Times New Roman" w:hAnsi="Times New Roman"/>
                <w:color w:val="000000"/>
                <w:spacing w:val="-2"/>
              </w:rPr>
            </w:pPr>
            <w:r w:rsidRPr="00A87B3A">
              <w:rPr>
                <w:rFonts w:ascii="Times New Roman" w:hAnsi="Times New Roman"/>
                <w:color w:val="000000"/>
                <w:spacing w:val="-2"/>
              </w:rPr>
              <w:t>Grupa</w:t>
            </w:r>
          </w:p>
        </w:tc>
        <w:tc>
          <w:tcPr>
            <w:tcW w:w="2183" w:type="dxa"/>
            <w:gridSpan w:val="5"/>
            <w:shd w:val="clear" w:color="auto" w:fill="auto"/>
          </w:tcPr>
          <w:p w14:paraId="12D53B02" w14:textId="77777777" w:rsidR="00260F33" w:rsidRPr="00A87B3A" w:rsidRDefault="00563199" w:rsidP="00DB7434">
            <w:pPr>
              <w:spacing w:line="240" w:lineRule="auto"/>
              <w:rPr>
                <w:rFonts w:ascii="Times New Roman" w:hAnsi="Times New Roman"/>
                <w:color w:val="000000"/>
                <w:spacing w:val="-2"/>
              </w:rPr>
            </w:pPr>
            <w:r w:rsidRPr="00A87B3A">
              <w:rPr>
                <w:rFonts w:ascii="Times New Roman" w:hAnsi="Times New Roman"/>
                <w:color w:val="000000"/>
                <w:spacing w:val="-2"/>
              </w:rPr>
              <w:t>Wielkość</w:t>
            </w:r>
          </w:p>
        </w:tc>
        <w:tc>
          <w:tcPr>
            <w:tcW w:w="3544" w:type="dxa"/>
            <w:gridSpan w:val="10"/>
            <w:shd w:val="clear" w:color="auto" w:fill="auto"/>
          </w:tcPr>
          <w:p w14:paraId="194583A9" w14:textId="77777777" w:rsidR="00260F33" w:rsidRPr="00A87B3A" w:rsidRDefault="00260F33" w:rsidP="009629CE">
            <w:pPr>
              <w:spacing w:line="240" w:lineRule="auto"/>
              <w:jc w:val="center"/>
              <w:rPr>
                <w:rFonts w:ascii="Times New Roman" w:hAnsi="Times New Roman"/>
                <w:color w:val="000000"/>
                <w:spacing w:val="-2"/>
              </w:rPr>
            </w:pPr>
            <w:r w:rsidRPr="00A87B3A">
              <w:rPr>
                <w:rFonts w:ascii="Times New Roman" w:hAnsi="Times New Roman"/>
                <w:color w:val="000000"/>
                <w:spacing w:val="-2"/>
              </w:rPr>
              <w:t>Źródło danych</w:t>
            </w:r>
            <w:r w:rsidRPr="00A87B3A" w:rsidDel="00260F33">
              <w:rPr>
                <w:rFonts w:ascii="Times New Roman" w:hAnsi="Times New Roman"/>
                <w:color w:val="000000"/>
                <w:spacing w:val="-2"/>
              </w:rPr>
              <w:t xml:space="preserve"> </w:t>
            </w:r>
          </w:p>
        </w:tc>
        <w:tc>
          <w:tcPr>
            <w:tcW w:w="2792" w:type="dxa"/>
            <w:gridSpan w:val="7"/>
            <w:shd w:val="clear" w:color="auto" w:fill="auto"/>
          </w:tcPr>
          <w:p w14:paraId="1AD8AC42" w14:textId="77777777" w:rsidR="00260F33" w:rsidRPr="00A87B3A" w:rsidRDefault="00260F33" w:rsidP="009629CE">
            <w:pPr>
              <w:spacing w:line="240" w:lineRule="auto"/>
              <w:jc w:val="center"/>
              <w:rPr>
                <w:rFonts w:ascii="Times New Roman" w:hAnsi="Times New Roman"/>
                <w:color w:val="000000"/>
                <w:spacing w:val="-2"/>
              </w:rPr>
            </w:pPr>
            <w:r w:rsidRPr="00A87B3A">
              <w:rPr>
                <w:rFonts w:ascii="Times New Roman" w:hAnsi="Times New Roman"/>
                <w:color w:val="000000"/>
                <w:spacing w:val="-2"/>
              </w:rPr>
              <w:t>Oddziaływanie</w:t>
            </w:r>
          </w:p>
        </w:tc>
      </w:tr>
      <w:tr w:rsidR="00260F33" w:rsidRPr="00A87B3A" w14:paraId="53AAC0AE" w14:textId="77777777" w:rsidTr="002069ED">
        <w:trPr>
          <w:trHeight w:val="142"/>
        </w:trPr>
        <w:tc>
          <w:tcPr>
            <w:tcW w:w="2666" w:type="dxa"/>
            <w:gridSpan w:val="3"/>
            <w:shd w:val="clear" w:color="auto" w:fill="auto"/>
          </w:tcPr>
          <w:p w14:paraId="2FA68EF9" w14:textId="26FF5178"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Odbiorcy prowadzący działalność przeważającą w sektorach </w:t>
            </w:r>
            <w:r w:rsidR="002B2D94" w:rsidRPr="00BA77A8">
              <w:rPr>
                <w:rFonts w:ascii="Times New Roman" w:hAnsi="Times New Roman"/>
                <w:color w:val="000000"/>
                <w:spacing w:val="-2"/>
              </w:rPr>
              <w:t>PKD</w:t>
            </w:r>
            <w:r w:rsidR="002B2D94">
              <w:rPr>
                <w:rFonts w:ascii="Times New Roman" w:hAnsi="Times New Roman"/>
                <w:color w:val="000000"/>
                <w:spacing w:val="-2"/>
              </w:rPr>
              <w:t xml:space="preserve"> </w:t>
            </w:r>
            <w:r w:rsidR="002B2D94" w:rsidRPr="00BA77A8">
              <w:rPr>
                <w:rFonts w:ascii="Times New Roman" w:hAnsi="Times New Roman"/>
                <w:color w:val="000000"/>
                <w:spacing w:val="-2"/>
              </w:rPr>
              <w:t>wskazanych</w:t>
            </w:r>
            <w:r w:rsidRPr="00BA77A8">
              <w:rPr>
                <w:rFonts w:ascii="Times New Roman" w:hAnsi="Times New Roman"/>
                <w:color w:val="000000"/>
                <w:spacing w:val="-2"/>
              </w:rPr>
              <w:t xml:space="preserve"> w Wytycznych CEEAG (dotychczas uprawnieni do ulg dla odbiorców przemysłowych) – </w:t>
            </w:r>
            <w:r w:rsidRPr="00BA77A8">
              <w:rPr>
                <w:rFonts w:ascii="Times New Roman" w:hAnsi="Times New Roman"/>
                <w:b/>
                <w:bCs/>
                <w:color w:val="000000"/>
                <w:spacing w:val="-2"/>
              </w:rPr>
              <w:t>podmioty</w:t>
            </w:r>
            <w:r w:rsidRPr="00BA77A8">
              <w:rPr>
                <w:rFonts w:ascii="Times New Roman" w:hAnsi="Times New Roman"/>
                <w:color w:val="000000"/>
                <w:spacing w:val="-2"/>
              </w:rPr>
              <w:t xml:space="preserve"> </w:t>
            </w:r>
            <w:r w:rsidRPr="00BA77A8">
              <w:rPr>
                <w:rFonts w:ascii="Times New Roman" w:hAnsi="Times New Roman"/>
                <w:b/>
                <w:bCs/>
                <w:color w:val="000000"/>
                <w:spacing w:val="-2"/>
              </w:rPr>
              <w:t>szczególnie narażone na ryzyko ucieczki emisji</w:t>
            </w:r>
          </w:p>
        </w:tc>
        <w:tc>
          <w:tcPr>
            <w:tcW w:w="2183" w:type="dxa"/>
            <w:gridSpan w:val="5"/>
            <w:shd w:val="clear" w:color="auto" w:fill="auto"/>
          </w:tcPr>
          <w:p w14:paraId="23C7AFE4" w14:textId="71AB7C76"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59 sektorów PKD (większość spośród obecnych ok. 380 przedsiębiorstw w Wykazie </w:t>
            </w:r>
            <w:r w:rsidR="003049E7">
              <w:rPr>
                <w:rFonts w:ascii="Times New Roman" w:hAnsi="Times New Roman"/>
                <w:color w:val="000000"/>
                <w:spacing w:val="-2"/>
              </w:rPr>
              <w:t xml:space="preserve">Prezesa </w:t>
            </w:r>
            <w:r w:rsidRPr="00BA77A8">
              <w:rPr>
                <w:rFonts w:ascii="Times New Roman" w:hAnsi="Times New Roman"/>
                <w:color w:val="000000"/>
                <w:spacing w:val="-2"/>
              </w:rPr>
              <w:t xml:space="preserve">URE) zużywających rocznie ok. 28 540 </w:t>
            </w:r>
            <w:proofErr w:type="spellStart"/>
            <w:r w:rsidRPr="00BA77A8">
              <w:rPr>
                <w:rFonts w:ascii="Times New Roman" w:hAnsi="Times New Roman"/>
                <w:color w:val="000000"/>
                <w:spacing w:val="-2"/>
              </w:rPr>
              <w:t>GWh</w:t>
            </w:r>
            <w:proofErr w:type="spellEnd"/>
            <w:r w:rsidRPr="00BA77A8">
              <w:rPr>
                <w:rFonts w:ascii="Times New Roman" w:hAnsi="Times New Roman"/>
                <w:color w:val="000000"/>
                <w:spacing w:val="-2"/>
              </w:rPr>
              <w:t xml:space="preserve"> energii elektrycznej</w:t>
            </w:r>
          </w:p>
        </w:tc>
        <w:tc>
          <w:tcPr>
            <w:tcW w:w="3544" w:type="dxa"/>
            <w:gridSpan w:val="10"/>
            <w:shd w:val="clear" w:color="auto" w:fill="auto"/>
          </w:tcPr>
          <w:p w14:paraId="1D03E32B" w14:textId="77777777" w:rsidR="00BA77A8" w:rsidRPr="00BA77A8"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Dane URE – wykaz odbiorców przemysłowych na 2021 r.</w:t>
            </w:r>
          </w:p>
          <w:p w14:paraId="3EB3719B" w14:textId="52D2B84E"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Dane </w:t>
            </w:r>
            <w:r w:rsidR="00673B17" w:rsidRPr="00BA77A8">
              <w:rPr>
                <w:rFonts w:ascii="Times New Roman" w:hAnsi="Times New Roman"/>
                <w:color w:val="000000"/>
                <w:spacing w:val="-2"/>
              </w:rPr>
              <w:t>M</w:t>
            </w:r>
            <w:r w:rsidR="00673B17">
              <w:rPr>
                <w:rFonts w:ascii="Times New Roman" w:hAnsi="Times New Roman"/>
                <w:color w:val="000000"/>
                <w:spacing w:val="-2"/>
              </w:rPr>
              <w:t>inistra Klimatu i Środowiska</w:t>
            </w:r>
            <w:r w:rsidR="00673B17" w:rsidRPr="00BA77A8">
              <w:rPr>
                <w:rFonts w:ascii="Times New Roman" w:hAnsi="Times New Roman"/>
                <w:color w:val="000000"/>
                <w:spacing w:val="-2"/>
              </w:rPr>
              <w:t xml:space="preserve"> </w:t>
            </w:r>
            <w:r w:rsidRPr="00BA77A8">
              <w:rPr>
                <w:rFonts w:ascii="Times New Roman" w:hAnsi="Times New Roman"/>
                <w:color w:val="000000"/>
                <w:spacing w:val="-2"/>
              </w:rPr>
              <w:t>na podstawie rocznych sprawozdań G</w:t>
            </w:r>
            <w:r w:rsidR="00FD68E0">
              <w:rPr>
                <w:rFonts w:ascii="Times New Roman" w:hAnsi="Times New Roman"/>
                <w:color w:val="000000"/>
                <w:spacing w:val="-2"/>
              </w:rPr>
              <w:t xml:space="preserve">łównego </w:t>
            </w:r>
            <w:r w:rsidRPr="00BA77A8">
              <w:rPr>
                <w:rFonts w:ascii="Times New Roman" w:hAnsi="Times New Roman"/>
                <w:color w:val="000000"/>
                <w:spacing w:val="-2"/>
              </w:rPr>
              <w:t>U</w:t>
            </w:r>
            <w:r w:rsidR="00FD68E0">
              <w:rPr>
                <w:rFonts w:ascii="Times New Roman" w:hAnsi="Times New Roman"/>
                <w:color w:val="000000"/>
                <w:spacing w:val="-2"/>
              </w:rPr>
              <w:t xml:space="preserve">rzędu </w:t>
            </w:r>
            <w:r w:rsidRPr="00BA77A8">
              <w:rPr>
                <w:rFonts w:ascii="Times New Roman" w:hAnsi="Times New Roman"/>
                <w:color w:val="000000"/>
                <w:spacing w:val="-2"/>
              </w:rPr>
              <w:t>S</w:t>
            </w:r>
            <w:r w:rsidR="00FD68E0">
              <w:rPr>
                <w:rFonts w:ascii="Times New Roman" w:hAnsi="Times New Roman"/>
                <w:color w:val="000000"/>
                <w:spacing w:val="-2"/>
              </w:rPr>
              <w:t>tatystycznego (GUS)</w:t>
            </w:r>
          </w:p>
        </w:tc>
        <w:tc>
          <w:tcPr>
            <w:tcW w:w="2792" w:type="dxa"/>
            <w:gridSpan w:val="7"/>
            <w:shd w:val="clear" w:color="auto" w:fill="auto"/>
          </w:tcPr>
          <w:p w14:paraId="051A0E7F" w14:textId="03C6D41F"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Brak zmian względem dotychczas stosowanych zasad wsparcia</w:t>
            </w:r>
            <w:r w:rsidR="00AB5A9B">
              <w:rPr>
                <w:rFonts w:ascii="Times New Roman" w:hAnsi="Times New Roman"/>
                <w:color w:val="000000"/>
                <w:spacing w:val="-2"/>
              </w:rPr>
              <w:t>.</w:t>
            </w:r>
          </w:p>
        </w:tc>
      </w:tr>
      <w:tr w:rsidR="00260F33" w:rsidRPr="00A87B3A" w14:paraId="2FDE3E7F" w14:textId="77777777" w:rsidTr="002069ED">
        <w:trPr>
          <w:trHeight w:val="142"/>
        </w:trPr>
        <w:tc>
          <w:tcPr>
            <w:tcW w:w="2666" w:type="dxa"/>
            <w:gridSpan w:val="3"/>
            <w:shd w:val="clear" w:color="auto" w:fill="auto"/>
          </w:tcPr>
          <w:p w14:paraId="58AEA2EF" w14:textId="0A59B46B"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rPr>
              <w:t xml:space="preserve">Odbiorcy prowadzący działalność przeważającą w sektorach </w:t>
            </w:r>
            <w:r w:rsidR="002B2D94" w:rsidRPr="00BA77A8">
              <w:rPr>
                <w:rFonts w:ascii="Times New Roman" w:hAnsi="Times New Roman"/>
                <w:color w:val="000000"/>
              </w:rPr>
              <w:t>PKD</w:t>
            </w:r>
            <w:r w:rsidR="002B2D94">
              <w:rPr>
                <w:rFonts w:ascii="Times New Roman" w:hAnsi="Times New Roman"/>
                <w:color w:val="000000"/>
              </w:rPr>
              <w:t xml:space="preserve"> </w:t>
            </w:r>
            <w:r w:rsidR="002B2D94" w:rsidRPr="00BA77A8">
              <w:rPr>
                <w:rFonts w:ascii="Times New Roman" w:hAnsi="Times New Roman"/>
                <w:color w:val="000000"/>
              </w:rPr>
              <w:t>wskazanych</w:t>
            </w:r>
            <w:r w:rsidRPr="00BA77A8">
              <w:rPr>
                <w:rFonts w:ascii="Times New Roman" w:hAnsi="Times New Roman"/>
                <w:color w:val="000000"/>
              </w:rPr>
              <w:t xml:space="preserve"> w Wytycznych CEEAG (dotychczas uprawnieni do ulg dla odbiorców przemysłowych) – </w:t>
            </w:r>
            <w:r w:rsidRPr="00BA77A8">
              <w:rPr>
                <w:rFonts w:ascii="Times New Roman" w:hAnsi="Times New Roman"/>
                <w:b/>
                <w:bCs/>
                <w:color w:val="000000"/>
              </w:rPr>
              <w:t>podmioty</w:t>
            </w:r>
            <w:r w:rsidRPr="00BA77A8">
              <w:rPr>
                <w:rFonts w:ascii="Times New Roman" w:hAnsi="Times New Roman"/>
                <w:color w:val="000000"/>
              </w:rPr>
              <w:t xml:space="preserve"> </w:t>
            </w:r>
            <w:r w:rsidRPr="00BA77A8">
              <w:rPr>
                <w:rFonts w:ascii="Times New Roman" w:hAnsi="Times New Roman"/>
                <w:b/>
                <w:bCs/>
                <w:color w:val="000000"/>
              </w:rPr>
              <w:t>narażone na ryzyko ucieczki emisji</w:t>
            </w:r>
          </w:p>
        </w:tc>
        <w:tc>
          <w:tcPr>
            <w:tcW w:w="2183" w:type="dxa"/>
            <w:gridSpan w:val="5"/>
            <w:shd w:val="clear" w:color="auto" w:fill="auto"/>
          </w:tcPr>
          <w:p w14:paraId="3EAD8EDB" w14:textId="5C97BF90"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4 sektory PKD, zużywające rocznie ok. 491 </w:t>
            </w:r>
            <w:proofErr w:type="spellStart"/>
            <w:r w:rsidRPr="00BA77A8">
              <w:rPr>
                <w:rFonts w:ascii="Times New Roman" w:hAnsi="Times New Roman"/>
                <w:color w:val="000000"/>
                <w:spacing w:val="-2"/>
              </w:rPr>
              <w:t>GWh</w:t>
            </w:r>
            <w:proofErr w:type="spellEnd"/>
            <w:r w:rsidRPr="00BA77A8">
              <w:rPr>
                <w:rFonts w:ascii="Times New Roman" w:hAnsi="Times New Roman"/>
                <w:color w:val="000000"/>
                <w:spacing w:val="-2"/>
              </w:rPr>
              <w:t xml:space="preserve"> energii elektrycznej</w:t>
            </w:r>
          </w:p>
        </w:tc>
        <w:tc>
          <w:tcPr>
            <w:tcW w:w="3544" w:type="dxa"/>
            <w:gridSpan w:val="10"/>
            <w:shd w:val="clear" w:color="auto" w:fill="auto"/>
          </w:tcPr>
          <w:p w14:paraId="234E2DD8" w14:textId="36AC6BFA" w:rsidR="00260F33" w:rsidRPr="00A87B3A" w:rsidRDefault="009C3E33" w:rsidP="00DB7434">
            <w:pPr>
              <w:spacing w:line="240" w:lineRule="auto"/>
              <w:rPr>
                <w:rFonts w:ascii="Times New Roman" w:hAnsi="Times New Roman"/>
                <w:color w:val="000000"/>
                <w:spacing w:val="-2"/>
              </w:rPr>
            </w:pPr>
            <w:r w:rsidRPr="00BA77A8">
              <w:rPr>
                <w:rFonts w:ascii="Times New Roman" w:hAnsi="Times New Roman"/>
                <w:color w:val="000000"/>
                <w:spacing w:val="-2"/>
              </w:rPr>
              <w:t>Dane M</w:t>
            </w:r>
            <w:r w:rsidR="0092279F">
              <w:rPr>
                <w:rFonts w:ascii="Times New Roman" w:hAnsi="Times New Roman"/>
                <w:color w:val="000000"/>
                <w:spacing w:val="-2"/>
              </w:rPr>
              <w:t xml:space="preserve">inistra Klimatu i Środowiska </w:t>
            </w:r>
            <w:r w:rsidRPr="00BA77A8">
              <w:rPr>
                <w:rFonts w:ascii="Times New Roman" w:hAnsi="Times New Roman"/>
                <w:color w:val="000000"/>
                <w:spacing w:val="-2"/>
              </w:rPr>
              <w:t>na podstawie rocznych sprawozdań GUS</w:t>
            </w:r>
            <w:r>
              <w:rPr>
                <w:rFonts w:ascii="Times New Roman" w:hAnsi="Times New Roman"/>
                <w:color w:val="000000"/>
                <w:spacing w:val="-2"/>
              </w:rPr>
              <w:t xml:space="preserve"> oraz szacunków własnych</w:t>
            </w:r>
          </w:p>
        </w:tc>
        <w:tc>
          <w:tcPr>
            <w:tcW w:w="2792" w:type="dxa"/>
            <w:gridSpan w:val="7"/>
            <w:shd w:val="clear" w:color="auto" w:fill="auto"/>
          </w:tcPr>
          <w:p w14:paraId="0941797C" w14:textId="610EFB90"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Możliwy wzrost kosztów</w:t>
            </w:r>
            <w:r w:rsidR="00FD68E0">
              <w:rPr>
                <w:rFonts w:ascii="Times New Roman" w:hAnsi="Times New Roman"/>
                <w:color w:val="000000"/>
                <w:spacing w:val="-2"/>
              </w:rPr>
              <w:t xml:space="preserve"> </w:t>
            </w:r>
            <w:r w:rsidR="00FD68E0" w:rsidRPr="0092279F">
              <w:rPr>
                <w:rFonts w:ascii="Times New Roman" w:hAnsi="Times New Roman"/>
                <w:spacing w:val="-2"/>
              </w:rPr>
              <w:t>zakup</w:t>
            </w:r>
            <w:r w:rsidR="008F26D0">
              <w:rPr>
                <w:rFonts w:ascii="Times New Roman" w:hAnsi="Times New Roman"/>
                <w:spacing w:val="-2"/>
              </w:rPr>
              <w:t>u</w:t>
            </w:r>
            <w:r w:rsidR="00FD68E0" w:rsidRPr="0092279F">
              <w:rPr>
                <w:rFonts w:ascii="Times New Roman" w:hAnsi="Times New Roman"/>
                <w:spacing w:val="-2"/>
              </w:rPr>
              <w:t xml:space="preserve"> energii elektrycznej</w:t>
            </w:r>
            <w:r w:rsidRPr="00BA77A8">
              <w:rPr>
                <w:rFonts w:ascii="Times New Roman" w:hAnsi="Times New Roman"/>
                <w:color w:val="000000"/>
                <w:spacing w:val="-2"/>
              </w:rPr>
              <w:t xml:space="preserve"> o ok. </w:t>
            </w:r>
            <w:r w:rsidR="00DF307A">
              <w:rPr>
                <w:rFonts w:ascii="Times New Roman" w:hAnsi="Times New Roman"/>
                <w:color w:val="000000"/>
                <w:spacing w:val="-2"/>
              </w:rPr>
              <w:t>0,72</w:t>
            </w:r>
            <w:r w:rsidRPr="00BA77A8">
              <w:rPr>
                <w:rFonts w:ascii="Times New Roman" w:hAnsi="Times New Roman"/>
                <w:color w:val="000000"/>
                <w:spacing w:val="-2"/>
              </w:rPr>
              <w:t xml:space="preserve"> mln zł rocznie.</w:t>
            </w:r>
          </w:p>
        </w:tc>
      </w:tr>
      <w:tr w:rsidR="00260F33" w:rsidRPr="00A87B3A" w14:paraId="441B8BA0" w14:textId="77777777" w:rsidTr="002069ED">
        <w:trPr>
          <w:trHeight w:val="142"/>
        </w:trPr>
        <w:tc>
          <w:tcPr>
            <w:tcW w:w="2666" w:type="dxa"/>
            <w:gridSpan w:val="3"/>
            <w:shd w:val="clear" w:color="auto" w:fill="auto"/>
          </w:tcPr>
          <w:p w14:paraId="7C106DAB" w14:textId="3A544D96"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rPr>
              <w:t xml:space="preserve">Odbiorcy przemysłowi prowadzący działalność przeważającą w sektorach </w:t>
            </w:r>
            <w:r w:rsidRPr="00BA77A8">
              <w:rPr>
                <w:rFonts w:ascii="Times New Roman" w:hAnsi="Times New Roman"/>
                <w:color w:val="000000"/>
              </w:rPr>
              <w:lastRenderedPageBreak/>
              <w:t xml:space="preserve">PKD wskazanych w Wytycznych </w:t>
            </w:r>
            <w:r w:rsidR="00AB5A9B">
              <w:rPr>
                <w:rFonts w:ascii="Times New Roman" w:hAnsi="Times New Roman"/>
                <w:color w:val="000000"/>
              </w:rPr>
              <w:t>C</w:t>
            </w:r>
            <w:r w:rsidRPr="00BA77A8">
              <w:rPr>
                <w:rFonts w:ascii="Times New Roman" w:hAnsi="Times New Roman"/>
                <w:color w:val="000000"/>
              </w:rPr>
              <w:t xml:space="preserve">EEAG (nabywający prawo do korzystania z ulg) – </w:t>
            </w:r>
            <w:r w:rsidRPr="00BA77A8">
              <w:rPr>
                <w:rFonts w:ascii="Times New Roman" w:hAnsi="Times New Roman"/>
                <w:b/>
                <w:bCs/>
                <w:color w:val="000000"/>
              </w:rPr>
              <w:t>podmioty</w:t>
            </w:r>
            <w:r w:rsidRPr="00BA77A8">
              <w:rPr>
                <w:rFonts w:ascii="Times New Roman" w:hAnsi="Times New Roman"/>
                <w:color w:val="000000"/>
              </w:rPr>
              <w:t xml:space="preserve"> </w:t>
            </w:r>
            <w:r w:rsidRPr="00BA77A8">
              <w:rPr>
                <w:rFonts w:ascii="Times New Roman" w:hAnsi="Times New Roman"/>
                <w:b/>
                <w:bCs/>
                <w:color w:val="000000"/>
              </w:rPr>
              <w:t>szczególnie narażone na ryzyko ucieczki emisji</w:t>
            </w:r>
          </w:p>
        </w:tc>
        <w:tc>
          <w:tcPr>
            <w:tcW w:w="2183" w:type="dxa"/>
            <w:gridSpan w:val="5"/>
            <w:shd w:val="clear" w:color="auto" w:fill="auto"/>
          </w:tcPr>
          <w:p w14:paraId="1D4C29AA" w14:textId="74F4FFE8"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lastRenderedPageBreak/>
              <w:t>32 sektory PKD</w:t>
            </w:r>
            <w:r w:rsidR="00EC184C">
              <w:rPr>
                <w:rFonts w:ascii="Times New Roman" w:hAnsi="Times New Roman"/>
                <w:color w:val="000000"/>
                <w:spacing w:val="-2"/>
              </w:rPr>
              <w:t xml:space="preserve"> </w:t>
            </w:r>
            <w:r w:rsidRPr="00BA77A8">
              <w:rPr>
                <w:rFonts w:ascii="Times New Roman" w:hAnsi="Times New Roman"/>
                <w:color w:val="000000"/>
                <w:spacing w:val="-2"/>
              </w:rPr>
              <w:t xml:space="preserve">(maksymalnie ok. 1100 </w:t>
            </w:r>
            <w:r w:rsidRPr="00BA77A8">
              <w:rPr>
                <w:rFonts w:ascii="Times New Roman" w:hAnsi="Times New Roman"/>
                <w:color w:val="000000"/>
                <w:spacing w:val="-2"/>
              </w:rPr>
              <w:lastRenderedPageBreak/>
              <w:t>przedsiębiorstw)</w:t>
            </w:r>
            <w:r w:rsidR="00EC184C">
              <w:rPr>
                <w:rFonts w:ascii="Times New Roman" w:hAnsi="Times New Roman"/>
                <w:color w:val="000000"/>
                <w:spacing w:val="-2"/>
              </w:rPr>
              <w:t>,</w:t>
            </w:r>
            <w:r w:rsidRPr="00BA77A8">
              <w:rPr>
                <w:rFonts w:ascii="Times New Roman" w:hAnsi="Times New Roman"/>
                <w:color w:val="000000"/>
                <w:spacing w:val="-2"/>
              </w:rPr>
              <w:t xml:space="preserve"> zużywające rocznie ok. 3 228 </w:t>
            </w:r>
            <w:proofErr w:type="spellStart"/>
            <w:r w:rsidRPr="00BA77A8">
              <w:rPr>
                <w:rFonts w:ascii="Times New Roman" w:hAnsi="Times New Roman"/>
                <w:color w:val="000000"/>
                <w:spacing w:val="-2"/>
              </w:rPr>
              <w:t>GWh</w:t>
            </w:r>
            <w:proofErr w:type="spellEnd"/>
            <w:r w:rsidRPr="00BA77A8">
              <w:rPr>
                <w:rFonts w:ascii="Times New Roman" w:hAnsi="Times New Roman"/>
                <w:color w:val="000000"/>
                <w:spacing w:val="-2"/>
              </w:rPr>
              <w:t xml:space="preserve"> energii elektrycznej</w:t>
            </w:r>
          </w:p>
        </w:tc>
        <w:tc>
          <w:tcPr>
            <w:tcW w:w="3544" w:type="dxa"/>
            <w:gridSpan w:val="10"/>
            <w:shd w:val="clear" w:color="auto" w:fill="auto"/>
          </w:tcPr>
          <w:p w14:paraId="63C28DD1" w14:textId="0CD9110B" w:rsidR="00BA77A8" w:rsidRPr="00BA77A8"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lastRenderedPageBreak/>
              <w:t xml:space="preserve">Dane </w:t>
            </w:r>
            <w:r w:rsidR="00010AAF" w:rsidRPr="00BA77A8">
              <w:rPr>
                <w:rFonts w:ascii="Times New Roman" w:hAnsi="Times New Roman"/>
                <w:color w:val="000000"/>
                <w:spacing w:val="-2"/>
              </w:rPr>
              <w:t>M</w:t>
            </w:r>
            <w:r w:rsidR="00010AAF">
              <w:rPr>
                <w:rFonts w:ascii="Times New Roman" w:hAnsi="Times New Roman"/>
                <w:color w:val="000000"/>
                <w:spacing w:val="-2"/>
              </w:rPr>
              <w:t>inistra Klimatu i Środowiska</w:t>
            </w:r>
            <w:r w:rsidR="00010AAF" w:rsidRPr="00BA77A8">
              <w:rPr>
                <w:rFonts w:ascii="Times New Roman" w:hAnsi="Times New Roman"/>
                <w:color w:val="000000"/>
                <w:spacing w:val="-2"/>
              </w:rPr>
              <w:t xml:space="preserve"> </w:t>
            </w:r>
            <w:r w:rsidRPr="00BA77A8">
              <w:rPr>
                <w:rFonts w:ascii="Times New Roman" w:hAnsi="Times New Roman"/>
                <w:color w:val="000000"/>
                <w:spacing w:val="-2"/>
              </w:rPr>
              <w:t>na podstawie rocznych sprawozdań GUS</w:t>
            </w:r>
          </w:p>
          <w:p w14:paraId="0DE73202" w14:textId="77777777" w:rsidR="00260F33" w:rsidRPr="00A87B3A" w:rsidRDefault="00260F33" w:rsidP="00DB7434">
            <w:pPr>
              <w:spacing w:line="240" w:lineRule="auto"/>
              <w:rPr>
                <w:rFonts w:ascii="Times New Roman" w:hAnsi="Times New Roman"/>
                <w:color w:val="000000"/>
                <w:spacing w:val="-2"/>
              </w:rPr>
            </w:pPr>
          </w:p>
        </w:tc>
        <w:tc>
          <w:tcPr>
            <w:tcW w:w="2792" w:type="dxa"/>
            <w:gridSpan w:val="7"/>
            <w:shd w:val="clear" w:color="auto" w:fill="auto"/>
          </w:tcPr>
          <w:p w14:paraId="797622A2" w14:textId="16D5AFBD"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lastRenderedPageBreak/>
              <w:t xml:space="preserve">Spadek kosztów </w:t>
            </w:r>
            <w:r w:rsidR="00F62350">
              <w:rPr>
                <w:rFonts w:ascii="Times New Roman" w:hAnsi="Times New Roman"/>
                <w:color w:val="000000"/>
                <w:spacing w:val="-2"/>
              </w:rPr>
              <w:t>zakupu energii elektrycznej o ok. 40,16 mln zł</w:t>
            </w:r>
            <w:r w:rsidRPr="00BA77A8">
              <w:rPr>
                <w:rFonts w:ascii="Times New Roman" w:hAnsi="Times New Roman"/>
                <w:color w:val="000000"/>
                <w:spacing w:val="-2"/>
              </w:rPr>
              <w:t>.</w:t>
            </w:r>
          </w:p>
        </w:tc>
      </w:tr>
      <w:tr w:rsidR="00260F33" w:rsidRPr="00A87B3A" w14:paraId="5F1F4EF6" w14:textId="77777777" w:rsidTr="002069ED">
        <w:trPr>
          <w:trHeight w:val="142"/>
        </w:trPr>
        <w:tc>
          <w:tcPr>
            <w:tcW w:w="2666" w:type="dxa"/>
            <w:gridSpan w:val="3"/>
            <w:shd w:val="clear" w:color="auto" w:fill="auto"/>
          </w:tcPr>
          <w:p w14:paraId="6FC84CD1" w14:textId="5132720F" w:rsidR="00260F33" w:rsidRPr="00A87B3A" w:rsidRDefault="00BA77A8" w:rsidP="00DB7434">
            <w:pPr>
              <w:tabs>
                <w:tab w:val="left" w:pos="1560"/>
              </w:tabs>
              <w:spacing w:line="240" w:lineRule="auto"/>
              <w:rPr>
                <w:rFonts w:ascii="Times New Roman" w:hAnsi="Times New Roman"/>
                <w:color w:val="000000"/>
              </w:rPr>
            </w:pPr>
            <w:r w:rsidRPr="00BA77A8">
              <w:rPr>
                <w:rFonts w:ascii="Times New Roman" w:hAnsi="Times New Roman"/>
                <w:color w:val="000000"/>
              </w:rPr>
              <w:t xml:space="preserve">Odbiorcy przemysłowi prowadzący działalność przeważającą w sektorach PKD wskazanych w Wytycznych </w:t>
            </w:r>
            <w:r w:rsidR="00AB5A9B">
              <w:rPr>
                <w:rFonts w:ascii="Times New Roman" w:hAnsi="Times New Roman"/>
                <w:color w:val="000000"/>
              </w:rPr>
              <w:t>C</w:t>
            </w:r>
            <w:r w:rsidRPr="00BA77A8">
              <w:rPr>
                <w:rFonts w:ascii="Times New Roman" w:hAnsi="Times New Roman"/>
                <w:color w:val="000000"/>
              </w:rPr>
              <w:t xml:space="preserve">EEAG (nabywający prawo do korzystania z ulg) – </w:t>
            </w:r>
            <w:r w:rsidRPr="00BA77A8">
              <w:rPr>
                <w:rFonts w:ascii="Times New Roman" w:hAnsi="Times New Roman"/>
                <w:b/>
                <w:bCs/>
                <w:color w:val="000000"/>
              </w:rPr>
              <w:t>podmioty</w:t>
            </w:r>
            <w:r w:rsidRPr="00BA77A8">
              <w:rPr>
                <w:rFonts w:ascii="Times New Roman" w:hAnsi="Times New Roman"/>
                <w:color w:val="000000"/>
              </w:rPr>
              <w:t xml:space="preserve"> </w:t>
            </w:r>
            <w:r w:rsidRPr="00BA77A8">
              <w:rPr>
                <w:rFonts w:ascii="Times New Roman" w:hAnsi="Times New Roman"/>
                <w:b/>
                <w:bCs/>
                <w:color w:val="000000"/>
              </w:rPr>
              <w:t>narażone na ryzyko ucieczki emisji</w:t>
            </w:r>
          </w:p>
        </w:tc>
        <w:tc>
          <w:tcPr>
            <w:tcW w:w="2183" w:type="dxa"/>
            <w:gridSpan w:val="5"/>
            <w:shd w:val="clear" w:color="auto" w:fill="auto"/>
          </w:tcPr>
          <w:p w14:paraId="7237EA01" w14:textId="5E7540DB"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21 sektorów zużywające rocznie ok. 4 519 </w:t>
            </w:r>
            <w:proofErr w:type="spellStart"/>
            <w:r w:rsidRPr="00BA77A8">
              <w:rPr>
                <w:rFonts w:ascii="Times New Roman" w:hAnsi="Times New Roman"/>
                <w:color w:val="000000"/>
                <w:spacing w:val="-2"/>
              </w:rPr>
              <w:t>GWh</w:t>
            </w:r>
            <w:proofErr w:type="spellEnd"/>
            <w:r w:rsidRPr="00BA77A8">
              <w:rPr>
                <w:rFonts w:ascii="Times New Roman" w:hAnsi="Times New Roman"/>
                <w:color w:val="000000"/>
                <w:spacing w:val="-2"/>
              </w:rPr>
              <w:t xml:space="preserve"> energii elektrycznej</w:t>
            </w:r>
          </w:p>
        </w:tc>
        <w:tc>
          <w:tcPr>
            <w:tcW w:w="3544" w:type="dxa"/>
            <w:gridSpan w:val="10"/>
            <w:shd w:val="clear" w:color="auto" w:fill="auto"/>
          </w:tcPr>
          <w:p w14:paraId="661920C5" w14:textId="4F4D7337" w:rsidR="00260F33" w:rsidRPr="00A87B3A" w:rsidRDefault="00010AAF" w:rsidP="00DB7434">
            <w:pPr>
              <w:spacing w:line="240" w:lineRule="auto"/>
              <w:rPr>
                <w:rFonts w:ascii="Times New Roman" w:hAnsi="Times New Roman"/>
                <w:color w:val="000000"/>
                <w:spacing w:val="-2"/>
              </w:rPr>
            </w:pPr>
            <w:r w:rsidRPr="00BA77A8">
              <w:rPr>
                <w:rFonts w:ascii="Times New Roman" w:hAnsi="Times New Roman"/>
                <w:color w:val="000000"/>
                <w:spacing w:val="-2"/>
              </w:rPr>
              <w:t>Dane M</w:t>
            </w:r>
            <w:r>
              <w:rPr>
                <w:rFonts w:ascii="Times New Roman" w:hAnsi="Times New Roman"/>
                <w:color w:val="000000"/>
                <w:spacing w:val="-2"/>
              </w:rPr>
              <w:t>inistra Klimatu i Środowiska</w:t>
            </w:r>
            <w:r w:rsidR="009C3E33" w:rsidRPr="00BA77A8">
              <w:rPr>
                <w:rFonts w:ascii="Times New Roman" w:hAnsi="Times New Roman"/>
                <w:color w:val="000000"/>
                <w:spacing w:val="-2"/>
              </w:rPr>
              <w:t xml:space="preserve"> na podstawie rocznych sprawozdań GUS</w:t>
            </w:r>
            <w:r w:rsidR="009C3E33">
              <w:rPr>
                <w:rFonts w:ascii="Times New Roman" w:hAnsi="Times New Roman"/>
                <w:color w:val="000000"/>
                <w:spacing w:val="-2"/>
              </w:rPr>
              <w:t xml:space="preserve"> oraz szacunków własnych</w:t>
            </w:r>
          </w:p>
        </w:tc>
        <w:tc>
          <w:tcPr>
            <w:tcW w:w="2792" w:type="dxa"/>
            <w:gridSpan w:val="7"/>
            <w:shd w:val="clear" w:color="auto" w:fill="auto"/>
          </w:tcPr>
          <w:p w14:paraId="6D0B21DF" w14:textId="4FE25061" w:rsidR="00260F33" w:rsidRPr="00A87B3A" w:rsidRDefault="00F62350"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Spadek kosztów </w:t>
            </w:r>
            <w:r>
              <w:rPr>
                <w:rFonts w:ascii="Times New Roman" w:hAnsi="Times New Roman"/>
                <w:color w:val="000000"/>
                <w:spacing w:val="-2"/>
              </w:rPr>
              <w:t>zakupu energii elektrycznej o ok. 49,62 mln zł</w:t>
            </w:r>
            <w:r w:rsidRPr="00BA77A8">
              <w:rPr>
                <w:rFonts w:ascii="Times New Roman" w:hAnsi="Times New Roman"/>
                <w:color w:val="000000"/>
                <w:spacing w:val="-2"/>
              </w:rPr>
              <w:t>.</w:t>
            </w:r>
          </w:p>
        </w:tc>
      </w:tr>
      <w:tr w:rsidR="00260F33" w:rsidRPr="00A87B3A" w14:paraId="08FD6F32" w14:textId="77777777" w:rsidTr="002069ED">
        <w:trPr>
          <w:trHeight w:val="142"/>
        </w:trPr>
        <w:tc>
          <w:tcPr>
            <w:tcW w:w="2666" w:type="dxa"/>
            <w:gridSpan w:val="3"/>
            <w:shd w:val="clear" w:color="auto" w:fill="auto"/>
          </w:tcPr>
          <w:p w14:paraId="4F252362" w14:textId="7DA3E1C1" w:rsidR="00260F33" w:rsidRPr="00A87B3A" w:rsidRDefault="00BA77A8" w:rsidP="00DB7434">
            <w:pPr>
              <w:tabs>
                <w:tab w:val="left" w:pos="1560"/>
              </w:tabs>
              <w:spacing w:line="240" w:lineRule="auto"/>
              <w:rPr>
                <w:rFonts w:ascii="Times New Roman" w:hAnsi="Times New Roman"/>
                <w:color w:val="000000"/>
              </w:rPr>
            </w:pPr>
            <w:r w:rsidRPr="00BA77A8">
              <w:rPr>
                <w:rFonts w:ascii="Times New Roman" w:hAnsi="Times New Roman"/>
                <w:color w:val="000000"/>
              </w:rPr>
              <w:t xml:space="preserve">Podmioty z sektorów, które utraciły prawo do wsparcia względem Wytycznych </w:t>
            </w:r>
            <w:r w:rsidR="00FD68E0" w:rsidRPr="00010AAF">
              <w:rPr>
                <w:rFonts w:ascii="Times New Roman" w:hAnsi="Times New Roman"/>
              </w:rPr>
              <w:t>C</w:t>
            </w:r>
            <w:r w:rsidRPr="00010AAF">
              <w:rPr>
                <w:rFonts w:ascii="Times New Roman" w:hAnsi="Times New Roman"/>
              </w:rPr>
              <w:t>EEAG</w:t>
            </w:r>
            <w:r w:rsidRPr="00BA77A8">
              <w:rPr>
                <w:rFonts w:ascii="Times New Roman" w:hAnsi="Times New Roman"/>
                <w:color w:val="000000"/>
              </w:rPr>
              <w:t xml:space="preserve"> (Sektory oznaczone kodami PKD</w:t>
            </w:r>
          </w:p>
        </w:tc>
        <w:tc>
          <w:tcPr>
            <w:tcW w:w="2183" w:type="dxa"/>
            <w:gridSpan w:val="5"/>
            <w:shd w:val="clear" w:color="auto" w:fill="auto"/>
          </w:tcPr>
          <w:p w14:paraId="5ECB55A5" w14:textId="44E4D462"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5 sektorów zużywające rocznie ok. 184 </w:t>
            </w:r>
            <w:proofErr w:type="spellStart"/>
            <w:r w:rsidRPr="00BA77A8">
              <w:rPr>
                <w:rFonts w:ascii="Times New Roman" w:hAnsi="Times New Roman"/>
                <w:color w:val="000000"/>
                <w:spacing w:val="-2"/>
              </w:rPr>
              <w:t>GWh</w:t>
            </w:r>
            <w:proofErr w:type="spellEnd"/>
            <w:r w:rsidRPr="00BA77A8">
              <w:rPr>
                <w:rFonts w:ascii="Times New Roman" w:hAnsi="Times New Roman"/>
                <w:color w:val="000000"/>
                <w:spacing w:val="-2"/>
              </w:rPr>
              <w:t xml:space="preserve"> energii elektrycznej</w:t>
            </w:r>
          </w:p>
        </w:tc>
        <w:tc>
          <w:tcPr>
            <w:tcW w:w="3544" w:type="dxa"/>
            <w:gridSpan w:val="10"/>
            <w:shd w:val="clear" w:color="auto" w:fill="auto"/>
          </w:tcPr>
          <w:p w14:paraId="39A17C20" w14:textId="45B31AC3" w:rsidR="00260F33" w:rsidRPr="00A87B3A" w:rsidRDefault="00010AAF" w:rsidP="00DB7434">
            <w:pPr>
              <w:spacing w:line="240" w:lineRule="auto"/>
              <w:rPr>
                <w:rFonts w:ascii="Times New Roman" w:hAnsi="Times New Roman"/>
                <w:color w:val="000000"/>
                <w:spacing w:val="-2"/>
              </w:rPr>
            </w:pPr>
            <w:r w:rsidRPr="00BA77A8">
              <w:rPr>
                <w:rFonts w:ascii="Times New Roman" w:hAnsi="Times New Roman"/>
                <w:color w:val="000000"/>
                <w:spacing w:val="-2"/>
              </w:rPr>
              <w:t>Dane M</w:t>
            </w:r>
            <w:r>
              <w:rPr>
                <w:rFonts w:ascii="Times New Roman" w:hAnsi="Times New Roman"/>
                <w:color w:val="000000"/>
                <w:spacing w:val="-2"/>
              </w:rPr>
              <w:t>inistra Klimatu i Środowiska</w:t>
            </w:r>
            <w:r w:rsidRPr="00BA77A8">
              <w:rPr>
                <w:rFonts w:ascii="Times New Roman" w:hAnsi="Times New Roman"/>
                <w:color w:val="000000"/>
                <w:spacing w:val="-2"/>
              </w:rPr>
              <w:t xml:space="preserve"> </w:t>
            </w:r>
            <w:r w:rsidR="009C3E33" w:rsidRPr="00BA77A8">
              <w:rPr>
                <w:rFonts w:ascii="Times New Roman" w:hAnsi="Times New Roman"/>
                <w:color w:val="000000"/>
                <w:spacing w:val="-2"/>
              </w:rPr>
              <w:t>na podstawie rocznych sprawozdań GUS</w:t>
            </w:r>
            <w:r w:rsidR="009C3E33">
              <w:rPr>
                <w:rFonts w:ascii="Times New Roman" w:hAnsi="Times New Roman"/>
                <w:color w:val="000000"/>
                <w:spacing w:val="-2"/>
              </w:rPr>
              <w:t xml:space="preserve"> oraz szacunków własnych</w:t>
            </w:r>
          </w:p>
        </w:tc>
        <w:tc>
          <w:tcPr>
            <w:tcW w:w="2792" w:type="dxa"/>
            <w:gridSpan w:val="7"/>
            <w:shd w:val="clear" w:color="auto" w:fill="auto"/>
          </w:tcPr>
          <w:p w14:paraId="0323A1A8" w14:textId="3B19E6E8" w:rsidR="00260F33"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Wzrost kosztów </w:t>
            </w:r>
            <w:r w:rsidR="004C41AA">
              <w:rPr>
                <w:rFonts w:ascii="Times New Roman" w:hAnsi="Times New Roman"/>
                <w:color w:val="000000"/>
                <w:spacing w:val="-2"/>
              </w:rPr>
              <w:t xml:space="preserve">zakupu energii elektrycznej </w:t>
            </w:r>
            <w:r w:rsidRPr="00BA77A8">
              <w:rPr>
                <w:rFonts w:ascii="Times New Roman" w:hAnsi="Times New Roman"/>
                <w:color w:val="000000"/>
                <w:spacing w:val="-2"/>
              </w:rPr>
              <w:t xml:space="preserve">o ok. </w:t>
            </w:r>
            <w:r w:rsidR="0058300F">
              <w:rPr>
                <w:rFonts w:ascii="Times New Roman" w:hAnsi="Times New Roman"/>
                <w:color w:val="000000"/>
                <w:spacing w:val="-2"/>
              </w:rPr>
              <w:t>1,1</w:t>
            </w:r>
            <w:r w:rsidRPr="00BA77A8">
              <w:rPr>
                <w:rFonts w:ascii="Times New Roman" w:hAnsi="Times New Roman"/>
                <w:color w:val="000000"/>
                <w:spacing w:val="-2"/>
              </w:rPr>
              <w:t xml:space="preserve"> mln zł rocznie.</w:t>
            </w:r>
          </w:p>
        </w:tc>
      </w:tr>
      <w:tr w:rsidR="00BA77A8" w:rsidRPr="00A87B3A" w14:paraId="07AA5BEE" w14:textId="77777777" w:rsidTr="002069ED">
        <w:trPr>
          <w:trHeight w:val="142"/>
        </w:trPr>
        <w:tc>
          <w:tcPr>
            <w:tcW w:w="2666" w:type="dxa"/>
            <w:gridSpan w:val="3"/>
            <w:shd w:val="clear" w:color="auto" w:fill="auto"/>
          </w:tcPr>
          <w:p w14:paraId="7A76E6A2" w14:textId="4B0BC100" w:rsidR="00BA77A8" w:rsidRPr="00BA77A8" w:rsidRDefault="00BA77A8" w:rsidP="00DB7434">
            <w:pPr>
              <w:tabs>
                <w:tab w:val="left" w:pos="1560"/>
              </w:tabs>
              <w:spacing w:line="240" w:lineRule="auto"/>
              <w:rPr>
                <w:rFonts w:ascii="Times New Roman" w:hAnsi="Times New Roman"/>
                <w:color w:val="000000"/>
              </w:rPr>
            </w:pPr>
            <w:r w:rsidRPr="00BA77A8">
              <w:rPr>
                <w:rFonts w:ascii="Times New Roman" w:hAnsi="Times New Roman"/>
                <w:color w:val="000000"/>
              </w:rPr>
              <w:t>Pozostali odbiorcy końcowi energii elektrycznej</w:t>
            </w:r>
          </w:p>
        </w:tc>
        <w:tc>
          <w:tcPr>
            <w:tcW w:w="2183" w:type="dxa"/>
            <w:gridSpan w:val="5"/>
            <w:shd w:val="clear" w:color="auto" w:fill="auto"/>
          </w:tcPr>
          <w:p w14:paraId="3E7AD401" w14:textId="3DEF1AE4" w:rsidR="00BA77A8"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Pozostali odbiorcy </w:t>
            </w:r>
          </w:p>
        </w:tc>
        <w:tc>
          <w:tcPr>
            <w:tcW w:w="3544" w:type="dxa"/>
            <w:gridSpan w:val="10"/>
            <w:shd w:val="clear" w:color="auto" w:fill="auto"/>
          </w:tcPr>
          <w:p w14:paraId="09240DA6" w14:textId="2E8BEF8E" w:rsidR="00BA77A8"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Dane statystyczne </w:t>
            </w:r>
            <w:r w:rsidR="00473EED" w:rsidRPr="00BA77A8">
              <w:rPr>
                <w:rFonts w:ascii="Times New Roman" w:hAnsi="Times New Roman"/>
                <w:color w:val="000000"/>
                <w:spacing w:val="-2"/>
              </w:rPr>
              <w:t>A</w:t>
            </w:r>
            <w:r w:rsidR="00473EED">
              <w:rPr>
                <w:rFonts w:ascii="Times New Roman" w:hAnsi="Times New Roman"/>
                <w:color w:val="000000"/>
                <w:spacing w:val="-2"/>
              </w:rPr>
              <w:t>gencja Rynku Energii</w:t>
            </w:r>
            <w:r w:rsidR="002B2D94">
              <w:rPr>
                <w:rFonts w:ascii="Times New Roman" w:hAnsi="Times New Roman"/>
                <w:color w:val="000000"/>
                <w:spacing w:val="-2"/>
              </w:rPr>
              <w:t xml:space="preserve"> S.A.</w:t>
            </w:r>
          </w:p>
        </w:tc>
        <w:tc>
          <w:tcPr>
            <w:tcW w:w="2792" w:type="dxa"/>
            <w:gridSpan w:val="7"/>
            <w:shd w:val="clear" w:color="auto" w:fill="auto"/>
          </w:tcPr>
          <w:p w14:paraId="472C4044" w14:textId="1AD46C0A" w:rsidR="00BA77A8"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Wzrost kosztów opłaty CHP o 0,</w:t>
            </w:r>
            <w:r w:rsidR="00671B1F">
              <w:rPr>
                <w:rFonts w:ascii="Times New Roman" w:hAnsi="Times New Roman"/>
                <w:color w:val="000000"/>
                <w:spacing w:val="-2"/>
              </w:rPr>
              <w:t>27</w:t>
            </w:r>
            <w:r w:rsidR="00B72FC8" w:rsidRPr="00BA77A8">
              <w:rPr>
                <w:rFonts w:ascii="Times New Roman" w:hAnsi="Times New Roman"/>
                <w:color w:val="000000"/>
                <w:spacing w:val="-2"/>
              </w:rPr>
              <w:t xml:space="preserve"> </w:t>
            </w:r>
            <w:r w:rsidRPr="00BA77A8">
              <w:rPr>
                <w:rFonts w:ascii="Times New Roman" w:hAnsi="Times New Roman"/>
                <w:color w:val="000000"/>
                <w:spacing w:val="-2"/>
              </w:rPr>
              <w:t>zł/MWh.</w:t>
            </w:r>
          </w:p>
        </w:tc>
      </w:tr>
      <w:tr w:rsidR="00BA77A8" w:rsidRPr="00A87B3A" w14:paraId="6E7046CA" w14:textId="77777777" w:rsidTr="002069ED">
        <w:trPr>
          <w:trHeight w:val="142"/>
        </w:trPr>
        <w:tc>
          <w:tcPr>
            <w:tcW w:w="2666" w:type="dxa"/>
            <w:gridSpan w:val="3"/>
            <w:shd w:val="clear" w:color="auto" w:fill="auto"/>
          </w:tcPr>
          <w:p w14:paraId="5DB8073A" w14:textId="4A63624A" w:rsidR="00BA77A8" w:rsidRPr="00BA77A8" w:rsidRDefault="00BA77A8" w:rsidP="00DB7434">
            <w:pPr>
              <w:tabs>
                <w:tab w:val="left" w:pos="1560"/>
              </w:tabs>
              <w:spacing w:line="240" w:lineRule="auto"/>
              <w:rPr>
                <w:rFonts w:ascii="Times New Roman" w:hAnsi="Times New Roman"/>
                <w:color w:val="000000"/>
              </w:rPr>
            </w:pPr>
            <w:r w:rsidRPr="00BA77A8">
              <w:rPr>
                <w:rFonts w:ascii="Times New Roman" w:hAnsi="Times New Roman"/>
                <w:color w:val="000000"/>
              </w:rPr>
              <w:t>Urząd Regulacji Energetyki</w:t>
            </w:r>
          </w:p>
        </w:tc>
        <w:tc>
          <w:tcPr>
            <w:tcW w:w="2183" w:type="dxa"/>
            <w:gridSpan w:val="5"/>
            <w:shd w:val="clear" w:color="auto" w:fill="auto"/>
          </w:tcPr>
          <w:p w14:paraId="77FA1E00" w14:textId="0D22D357" w:rsidR="00BA77A8"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1</w:t>
            </w:r>
          </w:p>
        </w:tc>
        <w:tc>
          <w:tcPr>
            <w:tcW w:w="3544" w:type="dxa"/>
            <w:gridSpan w:val="10"/>
            <w:shd w:val="clear" w:color="auto" w:fill="auto"/>
          </w:tcPr>
          <w:p w14:paraId="515DCF59" w14:textId="585102C8" w:rsidR="00BA77A8" w:rsidRPr="00A87B3A" w:rsidRDefault="00BA77A8" w:rsidP="00DB7434">
            <w:pPr>
              <w:spacing w:line="240" w:lineRule="auto"/>
              <w:rPr>
                <w:rFonts w:ascii="Times New Roman" w:hAnsi="Times New Roman"/>
                <w:color w:val="000000"/>
                <w:spacing w:val="-2"/>
              </w:rPr>
            </w:pPr>
            <w:r>
              <w:rPr>
                <w:rFonts w:ascii="Times New Roman" w:hAnsi="Times New Roman"/>
                <w:color w:val="000000"/>
                <w:spacing w:val="-2"/>
              </w:rPr>
              <w:t>-</w:t>
            </w:r>
          </w:p>
        </w:tc>
        <w:tc>
          <w:tcPr>
            <w:tcW w:w="2792" w:type="dxa"/>
            <w:gridSpan w:val="7"/>
            <w:shd w:val="clear" w:color="auto" w:fill="auto"/>
          </w:tcPr>
          <w:p w14:paraId="5375D332" w14:textId="77777777" w:rsidR="00BA77A8" w:rsidRDefault="00BA77A8" w:rsidP="00DB7434">
            <w:pPr>
              <w:spacing w:line="240" w:lineRule="auto"/>
              <w:rPr>
                <w:rFonts w:ascii="Times New Roman" w:hAnsi="Times New Roman"/>
                <w:color w:val="000000"/>
                <w:spacing w:val="-2"/>
              </w:rPr>
            </w:pPr>
            <w:bookmarkStart w:id="6" w:name="_Hlk160528561"/>
            <w:r w:rsidRPr="00BA77A8">
              <w:rPr>
                <w:rFonts w:ascii="Times New Roman" w:hAnsi="Times New Roman"/>
                <w:color w:val="000000"/>
                <w:spacing w:val="-2"/>
              </w:rPr>
              <w:t>Dodatkowe zadania związane z weryfikacją spełnienia warunkowości</w:t>
            </w:r>
          </w:p>
          <w:p w14:paraId="0691DA2B" w14:textId="1E8DCC36" w:rsidR="00544E35" w:rsidRDefault="00CB40AF" w:rsidP="00DB7434">
            <w:pPr>
              <w:spacing w:line="240" w:lineRule="auto"/>
              <w:rPr>
                <w:rFonts w:ascii="Times New Roman" w:hAnsi="Times New Roman"/>
                <w:color w:val="000000"/>
                <w:spacing w:val="-2"/>
              </w:rPr>
            </w:pPr>
            <w:r w:rsidRPr="00CB40AF">
              <w:rPr>
                <w:rFonts w:ascii="Times New Roman" w:hAnsi="Times New Roman"/>
                <w:color w:val="000000"/>
                <w:spacing w:val="-2"/>
              </w:rPr>
              <w:t xml:space="preserve">Zwiększenie obciążeń </w:t>
            </w:r>
            <w:r w:rsidR="009716E3" w:rsidRPr="00CB40AF">
              <w:rPr>
                <w:rFonts w:ascii="Times New Roman" w:hAnsi="Times New Roman"/>
                <w:color w:val="000000"/>
                <w:spacing w:val="-2"/>
              </w:rPr>
              <w:t xml:space="preserve">wynikające </w:t>
            </w:r>
            <w:r w:rsidR="009716E3">
              <w:rPr>
                <w:rFonts w:ascii="Times New Roman" w:hAnsi="Times New Roman"/>
                <w:color w:val="000000"/>
                <w:spacing w:val="-2"/>
              </w:rPr>
              <w:t>z</w:t>
            </w:r>
            <w:r w:rsidR="00544E35">
              <w:rPr>
                <w:rFonts w:ascii="Times New Roman" w:hAnsi="Times New Roman"/>
                <w:color w:val="000000"/>
                <w:spacing w:val="-2"/>
              </w:rPr>
              <w:t xml:space="preserve"> przyjęci</w:t>
            </w:r>
            <w:r>
              <w:rPr>
                <w:rFonts w:ascii="Times New Roman" w:hAnsi="Times New Roman"/>
                <w:color w:val="000000"/>
                <w:spacing w:val="-2"/>
              </w:rPr>
              <w:t>a</w:t>
            </w:r>
            <w:r w:rsidR="00544E35">
              <w:rPr>
                <w:rFonts w:ascii="Times New Roman" w:hAnsi="Times New Roman"/>
                <w:color w:val="000000"/>
                <w:spacing w:val="-2"/>
              </w:rPr>
              <w:t xml:space="preserve"> szybszego trybu wydawania koncesji</w:t>
            </w:r>
            <w:r w:rsidR="00C04ED2">
              <w:rPr>
                <w:rFonts w:ascii="Times New Roman" w:hAnsi="Times New Roman"/>
                <w:color w:val="000000"/>
                <w:spacing w:val="-2"/>
              </w:rPr>
              <w:t xml:space="preserve"> </w:t>
            </w:r>
            <w:r w:rsidR="00C04ED2" w:rsidRPr="00C04ED2">
              <w:rPr>
                <w:rFonts w:ascii="Times New Roman" w:hAnsi="Times New Roman"/>
                <w:color w:val="000000"/>
                <w:spacing w:val="-2"/>
              </w:rPr>
              <w:t>na wytwarzanie energii elektrycznej w odnawialnych źródłach energii</w:t>
            </w:r>
            <w:r>
              <w:rPr>
                <w:rFonts w:ascii="Times New Roman" w:hAnsi="Times New Roman"/>
                <w:color w:val="000000"/>
                <w:spacing w:val="-2"/>
              </w:rPr>
              <w:t>,</w:t>
            </w:r>
            <w:r>
              <w:t xml:space="preserve"> </w:t>
            </w:r>
            <w:r w:rsidRPr="00CB40AF">
              <w:rPr>
                <w:rFonts w:ascii="Times New Roman" w:hAnsi="Times New Roman"/>
                <w:color w:val="000000"/>
                <w:spacing w:val="-2"/>
              </w:rPr>
              <w:t>mogące skutkować koniecznością zwiększenia zatrudnienia lub zwiększenia obciążenia zadaniami obecnych pracowników urzędu obsługującego organ</w:t>
            </w:r>
            <w:r w:rsidR="00544E35">
              <w:rPr>
                <w:rFonts w:ascii="Times New Roman" w:hAnsi="Times New Roman"/>
                <w:color w:val="000000"/>
                <w:spacing w:val="-2"/>
              </w:rPr>
              <w:t>.</w:t>
            </w:r>
            <w:r w:rsidR="00E725F2">
              <w:rPr>
                <w:rFonts w:ascii="Times New Roman" w:hAnsi="Times New Roman"/>
                <w:color w:val="000000"/>
                <w:spacing w:val="-2"/>
              </w:rPr>
              <w:t xml:space="preserve"> </w:t>
            </w:r>
          </w:p>
          <w:p w14:paraId="6C817D1B" w14:textId="77777777" w:rsidR="000913CB" w:rsidRDefault="000913CB" w:rsidP="00DB7434">
            <w:pPr>
              <w:spacing w:line="240" w:lineRule="auto"/>
              <w:rPr>
                <w:rFonts w:ascii="Times New Roman" w:hAnsi="Times New Roman"/>
                <w:color w:val="000000"/>
                <w:spacing w:val="-2"/>
              </w:rPr>
            </w:pPr>
            <w:r w:rsidRPr="000913CB">
              <w:rPr>
                <w:rFonts w:ascii="Times New Roman" w:hAnsi="Times New Roman"/>
                <w:color w:val="000000"/>
                <w:spacing w:val="-2"/>
              </w:rPr>
              <w:t>Zmiana zasad działania Internetowej Platformy Aukcyjnej w zakresie instalacji do 500 kW.</w:t>
            </w:r>
          </w:p>
          <w:p w14:paraId="07DDF013" w14:textId="77777777" w:rsidR="00945802" w:rsidRDefault="00945802" w:rsidP="00DB7434">
            <w:pPr>
              <w:spacing w:line="240" w:lineRule="auto"/>
              <w:rPr>
                <w:rFonts w:ascii="Times New Roman" w:hAnsi="Times New Roman"/>
                <w:color w:val="000000"/>
                <w:spacing w:val="-2"/>
              </w:rPr>
            </w:pPr>
            <w:r>
              <w:rPr>
                <w:rFonts w:ascii="Times New Roman" w:hAnsi="Times New Roman"/>
                <w:color w:val="000000"/>
                <w:spacing w:val="-2"/>
              </w:rPr>
              <w:t>Wzrost liczby zapytań związanych ze zmianą sposobu rozliczania nadwyżek finansowych zgromadzonych w ramach depozytu prosumenckiego</w:t>
            </w:r>
            <w:bookmarkEnd w:id="6"/>
            <w:r w:rsidR="00BE2BEA">
              <w:rPr>
                <w:rFonts w:ascii="Times New Roman" w:hAnsi="Times New Roman"/>
                <w:color w:val="000000"/>
                <w:spacing w:val="-2"/>
              </w:rPr>
              <w:t>.</w:t>
            </w:r>
          </w:p>
          <w:p w14:paraId="51BB4AA1" w14:textId="77777777" w:rsidR="00010AAF" w:rsidRDefault="00010AAF" w:rsidP="00DB7434">
            <w:pPr>
              <w:spacing w:line="240" w:lineRule="auto"/>
              <w:rPr>
                <w:rFonts w:ascii="Times New Roman" w:hAnsi="Times New Roman"/>
                <w:color w:val="000000"/>
                <w:spacing w:val="-2"/>
              </w:rPr>
            </w:pPr>
          </w:p>
          <w:p w14:paraId="16E87229" w14:textId="6EF963D5" w:rsidR="00BE2BEA" w:rsidRPr="00A87B3A" w:rsidRDefault="004344DA" w:rsidP="00DB7434">
            <w:pPr>
              <w:spacing w:line="240" w:lineRule="auto"/>
              <w:rPr>
                <w:rFonts w:ascii="Times New Roman" w:hAnsi="Times New Roman"/>
                <w:color w:val="000000"/>
                <w:spacing w:val="-2"/>
              </w:rPr>
            </w:pPr>
            <w:r>
              <w:rPr>
                <w:rFonts w:ascii="Times New Roman" w:hAnsi="Times New Roman"/>
                <w:color w:val="000000"/>
                <w:spacing w:val="-2"/>
              </w:rPr>
              <w:t xml:space="preserve">Zwiększenie liczby </w:t>
            </w:r>
            <w:r w:rsidR="00BE2BEA">
              <w:rPr>
                <w:rFonts w:ascii="Times New Roman" w:hAnsi="Times New Roman"/>
                <w:color w:val="000000"/>
                <w:spacing w:val="-2"/>
              </w:rPr>
              <w:t xml:space="preserve">zadań </w:t>
            </w:r>
            <w:r w:rsidR="009873F3">
              <w:rPr>
                <w:rFonts w:ascii="Times New Roman" w:hAnsi="Times New Roman"/>
                <w:color w:val="000000"/>
                <w:spacing w:val="-2"/>
              </w:rPr>
              <w:t xml:space="preserve">wynikający z dodania </w:t>
            </w:r>
            <w:r>
              <w:rPr>
                <w:rFonts w:ascii="Times New Roman" w:hAnsi="Times New Roman"/>
                <w:color w:val="000000"/>
                <w:spacing w:val="-2"/>
              </w:rPr>
              <w:t xml:space="preserve">w przepisach nowego obowiązku </w:t>
            </w:r>
            <w:r w:rsidR="00BE2BEA">
              <w:rPr>
                <w:rFonts w:ascii="Times New Roman" w:hAnsi="Times New Roman"/>
                <w:color w:val="000000"/>
                <w:spacing w:val="-2"/>
              </w:rPr>
              <w:t>związan</w:t>
            </w:r>
            <w:r>
              <w:rPr>
                <w:rFonts w:ascii="Times New Roman" w:hAnsi="Times New Roman"/>
                <w:color w:val="000000"/>
                <w:spacing w:val="-2"/>
              </w:rPr>
              <w:t>ego</w:t>
            </w:r>
            <w:r w:rsidR="00BE2BEA">
              <w:rPr>
                <w:rFonts w:ascii="Times New Roman" w:hAnsi="Times New Roman"/>
                <w:color w:val="000000"/>
                <w:spacing w:val="-2"/>
              </w:rPr>
              <w:t xml:space="preserve"> z</w:t>
            </w:r>
            <w:r>
              <w:rPr>
                <w:rFonts w:ascii="Times New Roman" w:hAnsi="Times New Roman"/>
                <w:color w:val="000000"/>
                <w:spacing w:val="-2"/>
              </w:rPr>
              <w:t xml:space="preserve"> koniecznością</w:t>
            </w:r>
            <w:r w:rsidR="00BE2BEA">
              <w:rPr>
                <w:rFonts w:ascii="Times New Roman" w:hAnsi="Times New Roman"/>
                <w:color w:val="000000"/>
                <w:spacing w:val="-2"/>
              </w:rPr>
              <w:t xml:space="preserve"> monitoring</w:t>
            </w:r>
            <w:r>
              <w:rPr>
                <w:rFonts w:ascii="Times New Roman" w:hAnsi="Times New Roman"/>
                <w:color w:val="000000"/>
                <w:spacing w:val="-2"/>
              </w:rPr>
              <w:t>u</w:t>
            </w:r>
            <w:r w:rsidR="00BE2BEA">
              <w:rPr>
                <w:rFonts w:ascii="Times New Roman" w:hAnsi="Times New Roman"/>
                <w:color w:val="000000"/>
                <w:spacing w:val="-2"/>
              </w:rPr>
              <w:t xml:space="preserve"> poziomu przyznanej pomocy publicznej.</w:t>
            </w:r>
          </w:p>
        </w:tc>
      </w:tr>
      <w:tr w:rsidR="00BA77A8" w:rsidRPr="00A87B3A" w14:paraId="1D926837" w14:textId="77777777" w:rsidTr="002069ED">
        <w:trPr>
          <w:trHeight w:val="142"/>
        </w:trPr>
        <w:tc>
          <w:tcPr>
            <w:tcW w:w="2666" w:type="dxa"/>
            <w:gridSpan w:val="3"/>
            <w:shd w:val="clear" w:color="auto" w:fill="auto"/>
          </w:tcPr>
          <w:p w14:paraId="16E7AE0F" w14:textId="55B3D670" w:rsidR="00BA77A8" w:rsidRPr="00BA77A8" w:rsidRDefault="00BA77A8" w:rsidP="00DB7434">
            <w:pPr>
              <w:tabs>
                <w:tab w:val="left" w:pos="1560"/>
              </w:tabs>
              <w:spacing w:line="240" w:lineRule="auto"/>
              <w:rPr>
                <w:rFonts w:ascii="Times New Roman" w:hAnsi="Times New Roman"/>
                <w:color w:val="000000"/>
              </w:rPr>
            </w:pPr>
            <w:r w:rsidRPr="00BA77A8">
              <w:rPr>
                <w:rFonts w:ascii="Times New Roman" w:hAnsi="Times New Roman"/>
                <w:color w:val="000000"/>
              </w:rPr>
              <w:t xml:space="preserve">Sprzedawcy </w:t>
            </w:r>
            <w:r w:rsidR="00671B1F">
              <w:rPr>
                <w:rFonts w:ascii="Times New Roman" w:hAnsi="Times New Roman"/>
                <w:color w:val="000000"/>
              </w:rPr>
              <w:t xml:space="preserve">świadectw </w:t>
            </w:r>
            <w:r w:rsidR="00671B1F" w:rsidRPr="00BA77A8">
              <w:rPr>
                <w:rFonts w:ascii="Times New Roman" w:hAnsi="Times New Roman"/>
                <w:color w:val="000000"/>
              </w:rPr>
              <w:t>pochodzenia</w:t>
            </w:r>
            <w:r w:rsidR="00BE2BEA">
              <w:rPr>
                <w:rFonts w:ascii="Times New Roman" w:hAnsi="Times New Roman"/>
                <w:color w:val="000000"/>
              </w:rPr>
              <w:t xml:space="preserve"> energii elektrycznej</w:t>
            </w:r>
          </w:p>
        </w:tc>
        <w:tc>
          <w:tcPr>
            <w:tcW w:w="2183" w:type="dxa"/>
            <w:gridSpan w:val="5"/>
            <w:shd w:val="clear" w:color="auto" w:fill="auto"/>
          </w:tcPr>
          <w:p w14:paraId="510D4386" w14:textId="560D187F" w:rsidR="00BA77A8" w:rsidRPr="00A87B3A" w:rsidRDefault="00BA77A8" w:rsidP="00DB7434">
            <w:pPr>
              <w:spacing w:line="240" w:lineRule="auto"/>
              <w:rPr>
                <w:rFonts w:ascii="Times New Roman" w:hAnsi="Times New Roman"/>
                <w:color w:val="000000"/>
                <w:spacing w:val="-2"/>
              </w:rPr>
            </w:pPr>
            <w:r>
              <w:rPr>
                <w:rFonts w:ascii="Times New Roman" w:hAnsi="Times New Roman"/>
                <w:color w:val="000000"/>
                <w:spacing w:val="-2"/>
              </w:rPr>
              <w:t>b/d</w:t>
            </w:r>
          </w:p>
        </w:tc>
        <w:tc>
          <w:tcPr>
            <w:tcW w:w="3544" w:type="dxa"/>
            <w:gridSpan w:val="10"/>
            <w:shd w:val="clear" w:color="auto" w:fill="auto"/>
          </w:tcPr>
          <w:p w14:paraId="04E44FDD" w14:textId="445B4FC7" w:rsidR="00BA77A8" w:rsidRPr="00A87B3A" w:rsidRDefault="00BA77A8" w:rsidP="00DB7434">
            <w:pPr>
              <w:spacing w:line="240" w:lineRule="auto"/>
              <w:rPr>
                <w:rFonts w:ascii="Times New Roman" w:hAnsi="Times New Roman"/>
                <w:color w:val="000000"/>
                <w:spacing w:val="-2"/>
              </w:rPr>
            </w:pPr>
            <w:r>
              <w:rPr>
                <w:rFonts w:ascii="Times New Roman" w:hAnsi="Times New Roman"/>
                <w:color w:val="000000"/>
                <w:spacing w:val="-2"/>
              </w:rPr>
              <w:t>n/d</w:t>
            </w:r>
          </w:p>
        </w:tc>
        <w:tc>
          <w:tcPr>
            <w:tcW w:w="2792" w:type="dxa"/>
            <w:gridSpan w:val="7"/>
            <w:shd w:val="clear" w:color="auto" w:fill="auto"/>
          </w:tcPr>
          <w:p w14:paraId="45D87F24" w14:textId="6C2072EC" w:rsidR="00BA77A8" w:rsidRPr="00A87B3A" w:rsidRDefault="00BA77A8" w:rsidP="00DB7434">
            <w:pPr>
              <w:spacing w:line="240" w:lineRule="auto"/>
              <w:rPr>
                <w:rFonts w:ascii="Times New Roman" w:hAnsi="Times New Roman"/>
                <w:color w:val="000000"/>
                <w:spacing w:val="-2"/>
              </w:rPr>
            </w:pPr>
            <w:r w:rsidRPr="00BA77A8">
              <w:rPr>
                <w:rFonts w:ascii="Times New Roman" w:hAnsi="Times New Roman"/>
                <w:color w:val="000000"/>
                <w:spacing w:val="-2"/>
              </w:rPr>
              <w:t xml:space="preserve">Spadek popytu na certyfikaty OZE o 737,5 </w:t>
            </w:r>
            <w:proofErr w:type="spellStart"/>
            <w:r w:rsidRPr="00BA77A8">
              <w:rPr>
                <w:rFonts w:ascii="Times New Roman" w:hAnsi="Times New Roman"/>
                <w:color w:val="000000"/>
                <w:spacing w:val="-2"/>
              </w:rPr>
              <w:t>GWh</w:t>
            </w:r>
            <w:proofErr w:type="spellEnd"/>
            <w:r w:rsidRPr="00BA77A8">
              <w:rPr>
                <w:rFonts w:ascii="Times New Roman" w:hAnsi="Times New Roman"/>
                <w:color w:val="000000"/>
                <w:spacing w:val="-2"/>
              </w:rPr>
              <w:t xml:space="preserve"> rocznie</w:t>
            </w:r>
            <w:r w:rsidR="00BE2BEA">
              <w:rPr>
                <w:rFonts w:ascii="Times New Roman" w:hAnsi="Times New Roman"/>
                <w:color w:val="000000"/>
                <w:spacing w:val="-2"/>
              </w:rPr>
              <w:t>.</w:t>
            </w:r>
          </w:p>
        </w:tc>
      </w:tr>
      <w:tr w:rsidR="000B00B3" w:rsidRPr="00A87B3A" w14:paraId="4C91A152" w14:textId="77777777" w:rsidTr="002069ED">
        <w:trPr>
          <w:trHeight w:val="142"/>
        </w:trPr>
        <w:tc>
          <w:tcPr>
            <w:tcW w:w="2666" w:type="dxa"/>
            <w:gridSpan w:val="3"/>
            <w:shd w:val="clear" w:color="auto" w:fill="auto"/>
          </w:tcPr>
          <w:p w14:paraId="294934D2" w14:textId="42DA97AD" w:rsidR="000B00B3" w:rsidRPr="0066705B" w:rsidRDefault="00225408" w:rsidP="00DB7434">
            <w:pPr>
              <w:tabs>
                <w:tab w:val="left" w:pos="1560"/>
              </w:tabs>
              <w:spacing w:line="240" w:lineRule="auto"/>
              <w:rPr>
                <w:rFonts w:ascii="Times New Roman" w:hAnsi="Times New Roman"/>
                <w:color w:val="000000"/>
              </w:rPr>
            </w:pPr>
            <w:r w:rsidRPr="0066705B">
              <w:rPr>
                <w:rFonts w:ascii="Times New Roman" w:hAnsi="Times New Roman"/>
                <w:color w:val="000000"/>
              </w:rPr>
              <w:lastRenderedPageBreak/>
              <w:t>Starosta</w:t>
            </w:r>
          </w:p>
        </w:tc>
        <w:tc>
          <w:tcPr>
            <w:tcW w:w="2183" w:type="dxa"/>
            <w:gridSpan w:val="5"/>
            <w:shd w:val="clear" w:color="auto" w:fill="auto"/>
          </w:tcPr>
          <w:p w14:paraId="787C2424" w14:textId="7E3AC66F" w:rsidR="000B00B3" w:rsidRPr="0066705B" w:rsidRDefault="00350038" w:rsidP="00DB7434">
            <w:pPr>
              <w:spacing w:line="240" w:lineRule="auto"/>
              <w:rPr>
                <w:rFonts w:ascii="Times New Roman" w:hAnsi="Times New Roman"/>
                <w:color w:val="000000"/>
                <w:spacing w:val="-2"/>
              </w:rPr>
            </w:pPr>
            <w:r w:rsidRPr="0066705B">
              <w:rPr>
                <w:rFonts w:ascii="Times New Roman" w:hAnsi="Times New Roman"/>
                <w:color w:val="000000"/>
                <w:spacing w:val="-2"/>
              </w:rPr>
              <w:t>373</w:t>
            </w:r>
          </w:p>
        </w:tc>
        <w:tc>
          <w:tcPr>
            <w:tcW w:w="3544" w:type="dxa"/>
            <w:gridSpan w:val="10"/>
            <w:shd w:val="clear" w:color="auto" w:fill="auto"/>
          </w:tcPr>
          <w:p w14:paraId="4D8380B3" w14:textId="2DFC312B" w:rsidR="000B00B3" w:rsidRPr="0066705B" w:rsidRDefault="00350038" w:rsidP="00DB7434">
            <w:pPr>
              <w:spacing w:line="240" w:lineRule="auto"/>
              <w:rPr>
                <w:rFonts w:ascii="Times New Roman" w:hAnsi="Times New Roman"/>
                <w:color w:val="000000"/>
                <w:spacing w:val="-2"/>
              </w:rPr>
            </w:pPr>
            <w:r w:rsidRPr="0066705B">
              <w:rPr>
                <w:rFonts w:ascii="Times New Roman" w:hAnsi="Times New Roman"/>
                <w:color w:val="000000"/>
                <w:spacing w:val="-2"/>
              </w:rPr>
              <w:t>Dane GUS</w:t>
            </w:r>
          </w:p>
        </w:tc>
        <w:tc>
          <w:tcPr>
            <w:tcW w:w="2792" w:type="dxa"/>
            <w:gridSpan w:val="7"/>
            <w:shd w:val="clear" w:color="auto" w:fill="auto"/>
          </w:tcPr>
          <w:p w14:paraId="48ED242D" w14:textId="773CE318" w:rsidR="000B00B3" w:rsidRPr="0066705B" w:rsidRDefault="00CB40AF" w:rsidP="00DB7434">
            <w:pPr>
              <w:spacing w:line="240" w:lineRule="auto"/>
              <w:rPr>
                <w:rFonts w:ascii="Times New Roman" w:hAnsi="Times New Roman"/>
                <w:color w:val="000000"/>
                <w:spacing w:val="-2"/>
              </w:rPr>
            </w:pPr>
            <w:r>
              <w:rPr>
                <w:rFonts w:ascii="Times New Roman" w:hAnsi="Times New Roman"/>
                <w:color w:val="000000"/>
                <w:spacing w:val="-2"/>
              </w:rPr>
              <w:t xml:space="preserve">Zwiększenie obciążeń wynikające ze skrócenia terminów </w:t>
            </w:r>
            <w:r w:rsidR="00350038" w:rsidRPr="0066705B">
              <w:rPr>
                <w:rFonts w:ascii="Times New Roman" w:hAnsi="Times New Roman"/>
                <w:color w:val="000000"/>
                <w:spacing w:val="-2"/>
              </w:rPr>
              <w:t>wydawania pozwoleń na budowę</w:t>
            </w:r>
            <w:r>
              <w:rPr>
                <w:rFonts w:ascii="Times New Roman" w:hAnsi="Times New Roman"/>
                <w:color w:val="000000"/>
                <w:spacing w:val="-2"/>
              </w:rPr>
              <w:t>, mogące skutkować koniecznością zwiększenia zatrudnienia lub zwiększenia obciążenia zadaniami obecnych pracowników urzędu obsługującego organ</w:t>
            </w:r>
            <w:r w:rsidR="00350038" w:rsidRPr="0066705B">
              <w:rPr>
                <w:rFonts w:ascii="Times New Roman" w:hAnsi="Times New Roman"/>
                <w:color w:val="000000"/>
                <w:spacing w:val="-2"/>
              </w:rPr>
              <w:t>.</w:t>
            </w:r>
          </w:p>
        </w:tc>
      </w:tr>
      <w:tr w:rsidR="000B00B3" w:rsidRPr="00A87B3A" w14:paraId="716297F3" w14:textId="77777777" w:rsidTr="002069ED">
        <w:trPr>
          <w:trHeight w:val="142"/>
        </w:trPr>
        <w:tc>
          <w:tcPr>
            <w:tcW w:w="2666" w:type="dxa"/>
            <w:gridSpan w:val="3"/>
            <w:shd w:val="clear" w:color="auto" w:fill="auto"/>
          </w:tcPr>
          <w:p w14:paraId="09E6B1DD" w14:textId="56F99C24" w:rsidR="000B00B3" w:rsidRPr="0066705B" w:rsidRDefault="00350038" w:rsidP="00DB7434">
            <w:pPr>
              <w:tabs>
                <w:tab w:val="left" w:pos="1560"/>
              </w:tabs>
              <w:spacing w:line="240" w:lineRule="auto"/>
              <w:rPr>
                <w:rFonts w:ascii="Times New Roman" w:hAnsi="Times New Roman"/>
                <w:color w:val="000000"/>
              </w:rPr>
            </w:pPr>
            <w:r w:rsidRPr="0066705B">
              <w:rPr>
                <w:rFonts w:ascii="Times New Roman" w:hAnsi="Times New Roman"/>
                <w:color w:val="000000"/>
              </w:rPr>
              <w:t>Operatorzy systemów dystrybucyjnych</w:t>
            </w:r>
          </w:p>
        </w:tc>
        <w:tc>
          <w:tcPr>
            <w:tcW w:w="2183" w:type="dxa"/>
            <w:gridSpan w:val="5"/>
            <w:shd w:val="clear" w:color="auto" w:fill="auto"/>
          </w:tcPr>
          <w:p w14:paraId="7242346A" w14:textId="4EEA6176" w:rsidR="000B00B3" w:rsidRPr="0066705B" w:rsidRDefault="006F5814" w:rsidP="00DB7434">
            <w:pPr>
              <w:spacing w:line="240" w:lineRule="auto"/>
              <w:rPr>
                <w:rFonts w:ascii="Times New Roman" w:hAnsi="Times New Roman"/>
                <w:color w:val="000000"/>
                <w:spacing w:val="-2"/>
              </w:rPr>
            </w:pPr>
            <w:r w:rsidRPr="0066705B">
              <w:rPr>
                <w:rFonts w:ascii="Times New Roman" w:hAnsi="Times New Roman"/>
                <w:color w:val="000000"/>
                <w:spacing w:val="-2"/>
              </w:rPr>
              <w:t xml:space="preserve">189 podmiotów </w:t>
            </w:r>
          </w:p>
        </w:tc>
        <w:tc>
          <w:tcPr>
            <w:tcW w:w="3544" w:type="dxa"/>
            <w:gridSpan w:val="10"/>
            <w:shd w:val="clear" w:color="auto" w:fill="auto"/>
          </w:tcPr>
          <w:p w14:paraId="5CF26980" w14:textId="77777777" w:rsidR="006F5814" w:rsidRPr="00070A0C" w:rsidRDefault="006F5814" w:rsidP="00DB7434">
            <w:pPr>
              <w:autoSpaceDE w:val="0"/>
              <w:autoSpaceDN w:val="0"/>
              <w:adjustRightInd w:val="0"/>
              <w:spacing w:line="240" w:lineRule="auto"/>
              <w:rPr>
                <w:rFonts w:ascii="Times New Roman" w:hAnsi="Times New Roman"/>
                <w:lang w:eastAsia="pl-PL"/>
              </w:rPr>
            </w:pPr>
            <w:r w:rsidRPr="00070A0C">
              <w:rPr>
                <w:rFonts w:ascii="Times New Roman" w:hAnsi="Times New Roman"/>
                <w:lang w:eastAsia="pl-PL"/>
              </w:rPr>
              <w:t>Sprawozdanie Prezesa</w:t>
            </w:r>
          </w:p>
          <w:p w14:paraId="70E1AB22" w14:textId="1EE24BC7" w:rsidR="000B00B3" w:rsidRPr="0066705B" w:rsidRDefault="006F5814" w:rsidP="00DB7434">
            <w:pPr>
              <w:spacing w:line="240" w:lineRule="auto"/>
              <w:rPr>
                <w:rFonts w:ascii="Times New Roman" w:hAnsi="Times New Roman"/>
                <w:color w:val="000000"/>
                <w:spacing w:val="-2"/>
              </w:rPr>
            </w:pPr>
            <w:r w:rsidRPr="00070A0C">
              <w:rPr>
                <w:rFonts w:ascii="Times New Roman" w:hAnsi="Times New Roman"/>
                <w:lang w:eastAsia="pl-PL"/>
              </w:rPr>
              <w:t>URE za 2022 r.</w:t>
            </w:r>
          </w:p>
        </w:tc>
        <w:tc>
          <w:tcPr>
            <w:tcW w:w="2792" w:type="dxa"/>
            <w:gridSpan w:val="7"/>
            <w:shd w:val="clear" w:color="auto" w:fill="auto"/>
          </w:tcPr>
          <w:p w14:paraId="1C6F3575" w14:textId="406B7E6E" w:rsidR="000B00B3" w:rsidRPr="0066705B" w:rsidRDefault="00CB40AF" w:rsidP="00DB7434">
            <w:pPr>
              <w:spacing w:line="240" w:lineRule="auto"/>
              <w:rPr>
                <w:rFonts w:ascii="Times New Roman" w:hAnsi="Times New Roman"/>
                <w:color w:val="000000"/>
                <w:spacing w:val="-2"/>
              </w:rPr>
            </w:pPr>
            <w:r w:rsidRPr="00CB40AF">
              <w:rPr>
                <w:rFonts w:ascii="Times New Roman" w:hAnsi="Times New Roman"/>
                <w:color w:val="000000"/>
                <w:spacing w:val="-2"/>
              </w:rPr>
              <w:t>Zwiększenie obciążeń wynikające</w:t>
            </w:r>
            <w:r w:rsidR="006F5814" w:rsidRPr="0066705B">
              <w:rPr>
                <w:rFonts w:ascii="Times New Roman" w:hAnsi="Times New Roman"/>
                <w:color w:val="000000"/>
                <w:spacing w:val="-2"/>
              </w:rPr>
              <w:t xml:space="preserve"> z przyjęci</w:t>
            </w:r>
            <w:r>
              <w:rPr>
                <w:rFonts w:ascii="Times New Roman" w:hAnsi="Times New Roman"/>
                <w:color w:val="000000"/>
                <w:spacing w:val="-2"/>
              </w:rPr>
              <w:t>a</w:t>
            </w:r>
            <w:r w:rsidR="006F5814" w:rsidRPr="0066705B">
              <w:rPr>
                <w:rFonts w:ascii="Times New Roman" w:hAnsi="Times New Roman"/>
                <w:color w:val="000000"/>
                <w:spacing w:val="-2"/>
              </w:rPr>
              <w:t xml:space="preserve"> szybszego trybu wydawania warunków przyłączenia</w:t>
            </w:r>
            <w:r>
              <w:rPr>
                <w:rFonts w:ascii="Times New Roman" w:hAnsi="Times New Roman"/>
                <w:color w:val="000000"/>
                <w:spacing w:val="-2"/>
              </w:rPr>
              <w:t>,</w:t>
            </w:r>
            <w:r>
              <w:t xml:space="preserve"> </w:t>
            </w:r>
            <w:r w:rsidRPr="00CB40AF">
              <w:rPr>
                <w:rFonts w:ascii="Times New Roman" w:hAnsi="Times New Roman"/>
                <w:color w:val="000000"/>
                <w:spacing w:val="-2"/>
              </w:rPr>
              <w:t xml:space="preserve">mogące skutkować koniecznością zwiększenia zatrudnienia lub zwiększenia obciążenia zadaniami obecnych pracowników </w:t>
            </w:r>
            <w:r>
              <w:rPr>
                <w:rFonts w:ascii="Times New Roman" w:hAnsi="Times New Roman"/>
                <w:color w:val="000000"/>
                <w:spacing w:val="-2"/>
              </w:rPr>
              <w:t>właściwych podmiotów</w:t>
            </w:r>
            <w:r w:rsidR="006F5814" w:rsidRPr="0066705B">
              <w:rPr>
                <w:rFonts w:ascii="Times New Roman" w:hAnsi="Times New Roman"/>
                <w:color w:val="000000"/>
                <w:spacing w:val="-2"/>
              </w:rPr>
              <w:t>.</w:t>
            </w:r>
          </w:p>
        </w:tc>
      </w:tr>
      <w:tr w:rsidR="006720B9" w:rsidRPr="00A87B3A" w14:paraId="381123B4" w14:textId="77777777" w:rsidTr="002069ED">
        <w:trPr>
          <w:trHeight w:val="142"/>
        </w:trPr>
        <w:tc>
          <w:tcPr>
            <w:tcW w:w="2666" w:type="dxa"/>
            <w:gridSpan w:val="3"/>
            <w:shd w:val="clear" w:color="auto" w:fill="auto"/>
          </w:tcPr>
          <w:p w14:paraId="5AAE1DB7" w14:textId="57BC13A2" w:rsidR="006720B9" w:rsidRPr="0066705B" w:rsidRDefault="006720B9" w:rsidP="006720B9">
            <w:pPr>
              <w:tabs>
                <w:tab w:val="left" w:pos="1560"/>
              </w:tabs>
              <w:spacing w:line="240" w:lineRule="auto"/>
              <w:rPr>
                <w:rFonts w:ascii="Times New Roman" w:hAnsi="Times New Roman"/>
                <w:color w:val="000000"/>
              </w:rPr>
            </w:pPr>
            <w:r w:rsidRPr="0066705B">
              <w:rPr>
                <w:rFonts w:ascii="Times New Roman" w:hAnsi="Times New Roman"/>
                <w:color w:val="000000"/>
              </w:rPr>
              <w:t>Operator systemu przesyłowego</w:t>
            </w:r>
          </w:p>
          <w:p w14:paraId="14B4BB2F" w14:textId="77777777" w:rsidR="006720B9" w:rsidRPr="0066705B" w:rsidRDefault="006720B9" w:rsidP="006720B9">
            <w:pPr>
              <w:tabs>
                <w:tab w:val="left" w:pos="1560"/>
              </w:tabs>
              <w:spacing w:line="240" w:lineRule="auto"/>
              <w:rPr>
                <w:rFonts w:ascii="Times New Roman" w:hAnsi="Times New Roman"/>
                <w:color w:val="000000"/>
              </w:rPr>
            </w:pPr>
          </w:p>
        </w:tc>
        <w:tc>
          <w:tcPr>
            <w:tcW w:w="2183" w:type="dxa"/>
            <w:gridSpan w:val="5"/>
            <w:shd w:val="clear" w:color="auto" w:fill="auto"/>
          </w:tcPr>
          <w:p w14:paraId="747DAC33" w14:textId="46EEA7E5" w:rsidR="006720B9" w:rsidRPr="0066705B" w:rsidRDefault="006720B9" w:rsidP="006720B9">
            <w:pPr>
              <w:spacing w:line="240" w:lineRule="auto"/>
              <w:rPr>
                <w:rFonts w:ascii="Times New Roman" w:hAnsi="Times New Roman"/>
                <w:color w:val="000000"/>
                <w:spacing w:val="-2"/>
              </w:rPr>
            </w:pPr>
            <w:r w:rsidRPr="0066705B">
              <w:rPr>
                <w:rFonts w:ascii="Times New Roman" w:hAnsi="Times New Roman"/>
                <w:color w:val="000000"/>
                <w:spacing w:val="-2"/>
              </w:rPr>
              <w:t>Polskie Sieci Elektroenergetyczne S.A.</w:t>
            </w:r>
          </w:p>
        </w:tc>
        <w:tc>
          <w:tcPr>
            <w:tcW w:w="3544" w:type="dxa"/>
            <w:gridSpan w:val="10"/>
            <w:shd w:val="clear" w:color="auto" w:fill="auto"/>
          </w:tcPr>
          <w:p w14:paraId="14440E3A" w14:textId="4E57002D" w:rsidR="006720B9" w:rsidRPr="0066705B" w:rsidRDefault="00192A65" w:rsidP="006720B9">
            <w:pPr>
              <w:spacing w:line="240" w:lineRule="auto"/>
              <w:rPr>
                <w:rFonts w:ascii="Times New Roman" w:hAnsi="Times New Roman"/>
                <w:color w:val="000000"/>
                <w:spacing w:val="-2"/>
              </w:rPr>
            </w:pPr>
            <w:r>
              <w:rPr>
                <w:rFonts w:ascii="Times New Roman" w:hAnsi="Times New Roman"/>
                <w:color w:val="000000"/>
                <w:spacing w:val="-2"/>
              </w:rPr>
              <w:t>a</w:t>
            </w:r>
            <w:r w:rsidRPr="00192A65">
              <w:rPr>
                <w:rFonts w:ascii="Times New Roman" w:hAnsi="Times New Roman"/>
                <w:color w:val="000000"/>
                <w:spacing w:val="-2"/>
              </w:rPr>
              <w:t>rt. 9h ust.2 ustawy – Prawo energetyczne</w:t>
            </w:r>
          </w:p>
        </w:tc>
        <w:tc>
          <w:tcPr>
            <w:tcW w:w="2792" w:type="dxa"/>
            <w:gridSpan w:val="7"/>
            <w:shd w:val="clear" w:color="auto" w:fill="auto"/>
          </w:tcPr>
          <w:p w14:paraId="11E2778D" w14:textId="24E6F8C4" w:rsidR="006720B9" w:rsidRPr="0066705B" w:rsidRDefault="00CB40AF" w:rsidP="006720B9">
            <w:pPr>
              <w:spacing w:line="240" w:lineRule="auto"/>
              <w:rPr>
                <w:rFonts w:ascii="Times New Roman" w:hAnsi="Times New Roman"/>
                <w:color w:val="000000"/>
                <w:spacing w:val="-2"/>
              </w:rPr>
            </w:pPr>
            <w:r w:rsidRPr="00CB40AF">
              <w:rPr>
                <w:rFonts w:ascii="Times New Roman" w:hAnsi="Times New Roman"/>
                <w:color w:val="000000"/>
                <w:spacing w:val="-2"/>
              </w:rPr>
              <w:t>Zwiększenie obciążeń wynikające</w:t>
            </w:r>
            <w:r w:rsidR="006720B9" w:rsidRPr="0066705B">
              <w:rPr>
                <w:rFonts w:ascii="Times New Roman" w:hAnsi="Times New Roman"/>
                <w:color w:val="000000"/>
                <w:spacing w:val="-2"/>
              </w:rPr>
              <w:t xml:space="preserve"> z przyjęci</w:t>
            </w:r>
            <w:r>
              <w:rPr>
                <w:rFonts w:ascii="Times New Roman" w:hAnsi="Times New Roman"/>
                <w:color w:val="000000"/>
                <w:spacing w:val="-2"/>
              </w:rPr>
              <w:t>a</w:t>
            </w:r>
            <w:r w:rsidR="006720B9" w:rsidRPr="0066705B">
              <w:rPr>
                <w:rFonts w:ascii="Times New Roman" w:hAnsi="Times New Roman"/>
                <w:color w:val="000000"/>
                <w:spacing w:val="-2"/>
              </w:rPr>
              <w:t xml:space="preserve"> szybszego trybu wydawania warunków przyłączenia</w:t>
            </w:r>
            <w:r>
              <w:rPr>
                <w:rFonts w:ascii="Times New Roman" w:hAnsi="Times New Roman"/>
                <w:color w:val="000000"/>
                <w:spacing w:val="-2"/>
              </w:rPr>
              <w:t>,</w:t>
            </w:r>
            <w:r>
              <w:t xml:space="preserve"> </w:t>
            </w:r>
            <w:r w:rsidRPr="00CB40AF">
              <w:rPr>
                <w:rFonts w:ascii="Times New Roman" w:hAnsi="Times New Roman"/>
                <w:color w:val="000000"/>
                <w:spacing w:val="-2"/>
              </w:rPr>
              <w:t xml:space="preserve">mogące skutkować koniecznością zwiększenia zatrudnienia lub zwiększenia obciążenia zadaniami obecnych pracowników </w:t>
            </w:r>
            <w:r>
              <w:rPr>
                <w:rFonts w:ascii="Times New Roman" w:hAnsi="Times New Roman"/>
                <w:color w:val="000000"/>
                <w:spacing w:val="-2"/>
              </w:rPr>
              <w:t>podmiotu</w:t>
            </w:r>
            <w:r w:rsidR="006720B9" w:rsidRPr="0066705B">
              <w:rPr>
                <w:rFonts w:ascii="Times New Roman" w:hAnsi="Times New Roman"/>
                <w:color w:val="000000"/>
                <w:spacing w:val="-2"/>
              </w:rPr>
              <w:t>.</w:t>
            </w:r>
          </w:p>
        </w:tc>
      </w:tr>
      <w:tr w:rsidR="000913CB" w:rsidRPr="00A87B3A" w14:paraId="2DBE3727" w14:textId="77777777" w:rsidTr="002069ED">
        <w:trPr>
          <w:trHeight w:val="142"/>
        </w:trPr>
        <w:tc>
          <w:tcPr>
            <w:tcW w:w="2666" w:type="dxa"/>
            <w:gridSpan w:val="3"/>
            <w:shd w:val="clear" w:color="auto" w:fill="auto"/>
          </w:tcPr>
          <w:p w14:paraId="6A42E582" w14:textId="190E8B39" w:rsidR="000913CB" w:rsidRDefault="000913CB" w:rsidP="006720B9">
            <w:pPr>
              <w:tabs>
                <w:tab w:val="left" w:pos="1560"/>
              </w:tabs>
              <w:spacing w:line="240" w:lineRule="auto"/>
              <w:rPr>
                <w:rFonts w:ascii="Times New Roman" w:hAnsi="Times New Roman"/>
                <w:color w:val="000000"/>
              </w:rPr>
            </w:pPr>
            <w:r>
              <w:rPr>
                <w:rFonts w:ascii="Times New Roman" w:hAnsi="Times New Roman"/>
                <w:color w:val="000000"/>
              </w:rPr>
              <w:t xml:space="preserve">Zarządca Rozliczeń S.A. </w:t>
            </w:r>
          </w:p>
        </w:tc>
        <w:tc>
          <w:tcPr>
            <w:tcW w:w="2183" w:type="dxa"/>
            <w:gridSpan w:val="5"/>
            <w:shd w:val="clear" w:color="auto" w:fill="auto"/>
          </w:tcPr>
          <w:p w14:paraId="236B89D1" w14:textId="5DFFD263" w:rsidR="000913CB" w:rsidRDefault="000913CB" w:rsidP="006720B9">
            <w:pPr>
              <w:spacing w:line="240" w:lineRule="auto"/>
              <w:rPr>
                <w:rFonts w:ascii="Times New Roman" w:hAnsi="Times New Roman"/>
                <w:sz w:val="20"/>
                <w:szCs w:val="20"/>
                <w:lang w:eastAsia="pl-PL"/>
              </w:rPr>
            </w:pPr>
            <w:r>
              <w:rPr>
                <w:rFonts w:ascii="Times New Roman" w:hAnsi="Times New Roman"/>
                <w:sz w:val="20"/>
                <w:szCs w:val="20"/>
                <w:lang w:eastAsia="pl-PL"/>
              </w:rPr>
              <w:t>1</w:t>
            </w:r>
          </w:p>
        </w:tc>
        <w:tc>
          <w:tcPr>
            <w:tcW w:w="3544" w:type="dxa"/>
            <w:gridSpan w:val="10"/>
            <w:shd w:val="clear" w:color="auto" w:fill="auto"/>
          </w:tcPr>
          <w:p w14:paraId="6F92D3C4" w14:textId="221AF0A1" w:rsidR="000913CB" w:rsidRPr="002731BB" w:rsidRDefault="002B2D94" w:rsidP="00AE2685">
            <w:pPr>
              <w:spacing w:line="240" w:lineRule="auto"/>
              <w:rPr>
                <w:rFonts w:ascii="Times New Roman" w:hAnsi="Times New Roman"/>
                <w:color w:val="000000"/>
                <w:spacing w:val="-2"/>
              </w:rPr>
            </w:pPr>
            <w:bookmarkStart w:id="7" w:name="_ftnref1"/>
            <w:bookmarkEnd w:id="7"/>
            <w:r>
              <w:rPr>
                <w:rFonts w:ascii="Times New Roman" w:hAnsi="Times New Roman"/>
                <w:color w:val="000000"/>
                <w:spacing w:val="-2"/>
              </w:rPr>
              <w:t>U</w:t>
            </w:r>
            <w:r w:rsidR="00192A65" w:rsidRPr="00192A65">
              <w:rPr>
                <w:rFonts w:ascii="Times New Roman" w:hAnsi="Times New Roman"/>
                <w:color w:val="000000"/>
                <w:spacing w:val="-2"/>
              </w:rPr>
              <w:t>staw</w:t>
            </w:r>
            <w:r w:rsidR="00192A65">
              <w:rPr>
                <w:rFonts w:ascii="Times New Roman" w:hAnsi="Times New Roman"/>
                <w:color w:val="000000"/>
                <w:spacing w:val="-2"/>
              </w:rPr>
              <w:t>a</w:t>
            </w:r>
            <w:r w:rsidR="00192A65" w:rsidRPr="00192A65">
              <w:rPr>
                <w:rFonts w:ascii="Times New Roman" w:hAnsi="Times New Roman"/>
                <w:color w:val="000000"/>
                <w:spacing w:val="-2"/>
              </w:rPr>
              <w:t xml:space="preserve"> z dnia 29 czerwca 2007 r. o zasadach pokrywania kosztów powstałych u wytwórców w związku z przedterminowym rozwiązaniem umów długoterminowych sprzedaży mocy i energii elektrycznej</w:t>
            </w:r>
          </w:p>
        </w:tc>
        <w:tc>
          <w:tcPr>
            <w:tcW w:w="2792" w:type="dxa"/>
            <w:gridSpan w:val="7"/>
            <w:shd w:val="clear" w:color="auto" w:fill="auto"/>
          </w:tcPr>
          <w:p w14:paraId="6ED2F2EC" w14:textId="3F124EE7" w:rsidR="000913CB" w:rsidRDefault="000913CB" w:rsidP="006720B9">
            <w:pPr>
              <w:spacing w:line="240" w:lineRule="auto"/>
              <w:rPr>
                <w:rFonts w:ascii="Times New Roman" w:hAnsi="Times New Roman"/>
                <w:color w:val="000000"/>
                <w:spacing w:val="-2"/>
              </w:rPr>
            </w:pPr>
            <w:r w:rsidRPr="000913CB">
              <w:rPr>
                <w:rFonts w:ascii="Times New Roman" w:hAnsi="Times New Roman"/>
                <w:color w:val="000000"/>
                <w:spacing w:val="-2"/>
              </w:rPr>
              <w:t>Zwiększenie ilości wytwórców podlegających uprawnieniu do zwrotu ujemnego salda o instalacje o mocy 400-500 kW.</w:t>
            </w:r>
          </w:p>
        </w:tc>
      </w:tr>
      <w:tr w:rsidR="00D93E4F" w:rsidRPr="00A87B3A" w14:paraId="1656A80A" w14:textId="77777777" w:rsidTr="002069ED">
        <w:trPr>
          <w:trHeight w:val="142"/>
        </w:trPr>
        <w:tc>
          <w:tcPr>
            <w:tcW w:w="2666" w:type="dxa"/>
            <w:gridSpan w:val="3"/>
            <w:shd w:val="clear" w:color="auto" w:fill="auto"/>
          </w:tcPr>
          <w:p w14:paraId="2B1BB4D8" w14:textId="2AC8D1BE" w:rsidR="00D93E4F" w:rsidRDefault="00D93E4F" w:rsidP="006720B9">
            <w:pPr>
              <w:tabs>
                <w:tab w:val="left" w:pos="1560"/>
              </w:tabs>
              <w:spacing w:line="240" w:lineRule="auto"/>
              <w:rPr>
                <w:rFonts w:ascii="Times New Roman" w:hAnsi="Times New Roman"/>
                <w:color w:val="000000"/>
              </w:rPr>
            </w:pPr>
            <w:r>
              <w:rPr>
                <w:rFonts w:ascii="Times New Roman" w:hAnsi="Times New Roman"/>
                <w:color w:val="000000"/>
              </w:rPr>
              <w:t>Sprzedawcy zobowiązani</w:t>
            </w:r>
          </w:p>
        </w:tc>
        <w:tc>
          <w:tcPr>
            <w:tcW w:w="2183" w:type="dxa"/>
            <w:gridSpan w:val="5"/>
            <w:shd w:val="clear" w:color="auto" w:fill="auto"/>
          </w:tcPr>
          <w:p w14:paraId="60F59EDB" w14:textId="57A2E93D" w:rsidR="00D93E4F" w:rsidRDefault="00D93E4F" w:rsidP="006720B9">
            <w:pPr>
              <w:spacing w:line="240" w:lineRule="auto"/>
              <w:rPr>
                <w:rFonts w:ascii="Times New Roman" w:hAnsi="Times New Roman"/>
                <w:sz w:val="20"/>
                <w:szCs w:val="20"/>
                <w:lang w:eastAsia="pl-PL"/>
              </w:rPr>
            </w:pPr>
            <w:r>
              <w:rPr>
                <w:rFonts w:ascii="Times New Roman" w:hAnsi="Times New Roman"/>
                <w:sz w:val="20"/>
                <w:szCs w:val="20"/>
                <w:lang w:eastAsia="pl-PL"/>
              </w:rPr>
              <w:t>183</w:t>
            </w:r>
          </w:p>
        </w:tc>
        <w:tc>
          <w:tcPr>
            <w:tcW w:w="3544" w:type="dxa"/>
            <w:gridSpan w:val="10"/>
            <w:shd w:val="clear" w:color="auto" w:fill="auto"/>
          </w:tcPr>
          <w:p w14:paraId="49DC0FF9" w14:textId="29936E7C" w:rsidR="00D93E4F" w:rsidRPr="00DD70F7" w:rsidRDefault="00D93E4F" w:rsidP="00DD70F7">
            <w:pPr>
              <w:spacing w:line="240" w:lineRule="auto"/>
              <w:rPr>
                <w:rFonts w:ascii="Times New Roman" w:hAnsi="Times New Roman"/>
                <w:color w:val="000000"/>
                <w:spacing w:val="-2"/>
              </w:rPr>
            </w:pPr>
            <w:r>
              <w:rPr>
                <w:rFonts w:ascii="Times New Roman" w:hAnsi="Times New Roman"/>
                <w:color w:val="000000"/>
                <w:spacing w:val="-2"/>
              </w:rPr>
              <w:t>Sprawozdanie Prezesa URE za 2022 r.</w:t>
            </w:r>
          </w:p>
        </w:tc>
        <w:tc>
          <w:tcPr>
            <w:tcW w:w="2792" w:type="dxa"/>
            <w:gridSpan w:val="7"/>
            <w:shd w:val="clear" w:color="auto" w:fill="auto"/>
          </w:tcPr>
          <w:p w14:paraId="1A5DAA30" w14:textId="49A3CDC6" w:rsidR="00D93E4F" w:rsidRPr="000913CB" w:rsidRDefault="00D93E4F" w:rsidP="006720B9">
            <w:pPr>
              <w:spacing w:line="240" w:lineRule="auto"/>
              <w:rPr>
                <w:rFonts w:ascii="Times New Roman" w:hAnsi="Times New Roman"/>
                <w:color w:val="000000"/>
                <w:spacing w:val="-2"/>
              </w:rPr>
            </w:pPr>
            <w:r>
              <w:rPr>
                <w:rFonts w:ascii="Times New Roman" w:hAnsi="Times New Roman"/>
                <w:color w:val="000000"/>
                <w:spacing w:val="-2"/>
              </w:rPr>
              <w:t xml:space="preserve">Konieczność zmian dotychczasowych umów zawartych z wytwórcami, którzy </w:t>
            </w:r>
            <w:r w:rsidR="00250974">
              <w:rPr>
                <w:rFonts w:ascii="Times New Roman" w:hAnsi="Times New Roman"/>
                <w:color w:val="000000"/>
                <w:spacing w:val="-2"/>
              </w:rPr>
              <w:t>zostaną obciążeni kosztami bilansowania handlowego.</w:t>
            </w:r>
          </w:p>
        </w:tc>
      </w:tr>
      <w:tr w:rsidR="000913CB" w:rsidRPr="00A87B3A" w14:paraId="4FF3D3C6" w14:textId="77777777" w:rsidTr="002069ED">
        <w:trPr>
          <w:trHeight w:val="142"/>
        </w:trPr>
        <w:tc>
          <w:tcPr>
            <w:tcW w:w="2666" w:type="dxa"/>
            <w:gridSpan w:val="3"/>
            <w:shd w:val="clear" w:color="auto" w:fill="auto"/>
          </w:tcPr>
          <w:p w14:paraId="0728980C" w14:textId="656041BA" w:rsidR="000913CB" w:rsidRPr="00EC7BFD" w:rsidRDefault="008C23E8" w:rsidP="006720B9">
            <w:pPr>
              <w:tabs>
                <w:tab w:val="left" w:pos="1560"/>
              </w:tabs>
              <w:spacing w:line="240" w:lineRule="auto"/>
              <w:rPr>
                <w:rFonts w:ascii="Times New Roman" w:hAnsi="Times New Roman"/>
                <w:color w:val="000000"/>
              </w:rPr>
            </w:pPr>
            <w:r>
              <w:rPr>
                <w:rFonts w:ascii="Times New Roman" w:hAnsi="Times New Roman"/>
                <w:color w:val="000000"/>
              </w:rPr>
              <w:t>Wytwórcy oraz p</w:t>
            </w:r>
            <w:r w:rsidR="000913CB" w:rsidRPr="00EC7BFD">
              <w:rPr>
                <w:rFonts w:ascii="Times New Roman" w:hAnsi="Times New Roman"/>
                <w:color w:val="000000"/>
              </w:rPr>
              <w:t xml:space="preserve">otencjalni wytwórcy energii elektrycznej z odnawialnych źródeł energii w instalacjach odnawialnych źródeł energii o mocy </w:t>
            </w:r>
            <w:r w:rsidR="00143E56">
              <w:rPr>
                <w:rFonts w:ascii="Times New Roman" w:hAnsi="Times New Roman"/>
                <w:color w:val="000000"/>
              </w:rPr>
              <w:t>2</w:t>
            </w:r>
            <w:r w:rsidR="00143E56" w:rsidRPr="00EC7BFD">
              <w:rPr>
                <w:rFonts w:ascii="Times New Roman" w:hAnsi="Times New Roman"/>
                <w:color w:val="000000"/>
              </w:rPr>
              <w:t>0</w:t>
            </w:r>
            <w:r w:rsidR="00143E56">
              <w:rPr>
                <w:rFonts w:ascii="Times New Roman" w:hAnsi="Times New Roman"/>
                <w:color w:val="000000"/>
              </w:rPr>
              <w:t>0</w:t>
            </w:r>
            <w:r w:rsidR="000913CB" w:rsidRPr="00EC7BFD">
              <w:rPr>
                <w:rFonts w:ascii="Times New Roman" w:hAnsi="Times New Roman"/>
                <w:color w:val="000000"/>
              </w:rPr>
              <w:t>-500 kW</w:t>
            </w:r>
          </w:p>
        </w:tc>
        <w:tc>
          <w:tcPr>
            <w:tcW w:w="2183" w:type="dxa"/>
            <w:gridSpan w:val="5"/>
            <w:shd w:val="clear" w:color="auto" w:fill="auto"/>
          </w:tcPr>
          <w:p w14:paraId="3B5DB24B" w14:textId="38C6725C" w:rsidR="000913CB" w:rsidRPr="00070A0C" w:rsidRDefault="00143E56" w:rsidP="006720B9">
            <w:pPr>
              <w:spacing w:line="240" w:lineRule="auto"/>
              <w:rPr>
                <w:rFonts w:ascii="Times New Roman" w:hAnsi="Times New Roman"/>
                <w:lang w:eastAsia="pl-PL"/>
              </w:rPr>
            </w:pPr>
            <w:r>
              <w:rPr>
                <w:rFonts w:ascii="Times New Roman" w:hAnsi="Times New Roman"/>
              </w:rPr>
              <w:t>Trudna do oszacowania</w:t>
            </w:r>
          </w:p>
        </w:tc>
        <w:tc>
          <w:tcPr>
            <w:tcW w:w="3544" w:type="dxa"/>
            <w:gridSpan w:val="10"/>
            <w:shd w:val="clear" w:color="auto" w:fill="auto"/>
          </w:tcPr>
          <w:p w14:paraId="148DA7FD" w14:textId="2DD4264D" w:rsidR="000913CB" w:rsidRPr="00EC7BFD" w:rsidRDefault="000913CB" w:rsidP="006720B9">
            <w:pPr>
              <w:spacing w:line="240" w:lineRule="auto"/>
              <w:rPr>
                <w:rFonts w:ascii="Times New Roman" w:hAnsi="Times New Roman"/>
                <w:color w:val="000000"/>
                <w:spacing w:val="-2"/>
              </w:rPr>
            </w:pPr>
            <w:r w:rsidRPr="002B2D94">
              <w:rPr>
                <w:rFonts w:ascii="Times New Roman" w:hAnsi="Times New Roman"/>
                <w:color w:val="000000"/>
                <w:spacing w:val="-2"/>
              </w:rPr>
              <w:t>Szacunki własne, w tym na podstawie danych URE i KOWR</w:t>
            </w:r>
          </w:p>
        </w:tc>
        <w:tc>
          <w:tcPr>
            <w:tcW w:w="2792" w:type="dxa"/>
            <w:gridSpan w:val="7"/>
            <w:shd w:val="clear" w:color="auto" w:fill="auto"/>
          </w:tcPr>
          <w:p w14:paraId="197245FE" w14:textId="584ACF48" w:rsidR="000913CB" w:rsidRPr="00EC7BFD" w:rsidRDefault="00143E56" w:rsidP="006720B9">
            <w:pPr>
              <w:spacing w:line="240" w:lineRule="auto"/>
              <w:rPr>
                <w:rFonts w:ascii="Times New Roman" w:hAnsi="Times New Roman"/>
                <w:color w:val="000000"/>
                <w:spacing w:val="-2"/>
              </w:rPr>
            </w:pPr>
            <w:r>
              <w:rPr>
                <w:rFonts w:ascii="Times New Roman" w:hAnsi="Times New Roman"/>
              </w:rPr>
              <w:t>Objęcie obowiązkiem ponoszenia kosztów</w:t>
            </w:r>
            <w:r w:rsidR="000913CB" w:rsidRPr="00070A0C">
              <w:rPr>
                <w:rFonts w:ascii="Times New Roman" w:hAnsi="Times New Roman"/>
              </w:rPr>
              <w:t xml:space="preserve"> bilansowania handlowego.</w:t>
            </w:r>
          </w:p>
        </w:tc>
      </w:tr>
      <w:tr w:rsidR="00143E56" w:rsidRPr="00A87B3A" w14:paraId="70B83B68" w14:textId="77777777" w:rsidTr="002069ED">
        <w:trPr>
          <w:trHeight w:val="142"/>
        </w:trPr>
        <w:tc>
          <w:tcPr>
            <w:tcW w:w="2666" w:type="dxa"/>
            <w:gridSpan w:val="3"/>
            <w:shd w:val="clear" w:color="auto" w:fill="auto"/>
          </w:tcPr>
          <w:p w14:paraId="30FA99B2" w14:textId="404C8075" w:rsidR="00143E56" w:rsidRPr="00EC7BFD" w:rsidRDefault="00143E56" w:rsidP="00143E56">
            <w:pPr>
              <w:tabs>
                <w:tab w:val="left" w:pos="1560"/>
              </w:tabs>
              <w:spacing w:line="240" w:lineRule="auto"/>
              <w:rPr>
                <w:rFonts w:ascii="Times New Roman" w:hAnsi="Times New Roman"/>
                <w:color w:val="000000"/>
              </w:rPr>
            </w:pPr>
            <w:r>
              <w:rPr>
                <w:rFonts w:ascii="Times New Roman" w:hAnsi="Times New Roman"/>
                <w:color w:val="000000"/>
              </w:rPr>
              <w:t>Potencjalni wytwórcy energii w montowanych na budynkach instalacjach PV oraz pompach ciepła o mocy do 50 MW</w:t>
            </w:r>
          </w:p>
        </w:tc>
        <w:tc>
          <w:tcPr>
            <w:tcW w:w="2183" w:type="dxa"/>
            <w:gridSpan w:val="5"/>
            <w:shd w:val="clear" w:color="auto" w:fill="auto"/>
          </w:tcPr>
          <w:p w14:paraId="18E70EFE" w14:textId="11F3B286" w:rsidR="00143E56" w:rsidRPr="0066705B" w:rsidRDefault="00143E56" w:rsidP="00143E56">
            <w:pPr>
              <w:spacing w:line="240" w:lineRule="auto"/>
              <w:rPr>
                <w:rFonts w:ascii="Times New Roman" w:hAnsi="Times New Roman"/>
              </w:rPr>
            </w:pPr>
            <w:r>
              <w:rPr>
                <w:rFonts w:ascii="Times New Roman" w:hAnsi="Times New Roman"/>
              </w:rPr>
              <w:t>Trudna do oszacowania</w:t>
            </w:r>
          </w:p>
        </w:tc>
        <w:tc>
          <w:tcPr>
            <w:tcW w:w="3544" w:type="dxa"/>
            <w:gridSpan w:val="10"/>
            <w:shd w:val="clear" w:color="auto" w:fill="auto"/>
          </w:tcPr>
          <w:p w14:paraId="7336EB21" w14:textId="113F936C" w:rsidR="00143E56" w:rsidRPr="0066705B" w:rsidRDefault="00143E56" w:rsidP="00143E56">
            <w:pPr>
              <w:spacing w:line="240" w:lineRule="auto"/>
              <w:rPr>
                <w:rFonts w:ascii="Times New Roman" w:hAnsi="Times New Roman"/>
              </w:rPr>
            </w:pPr>
            <w:r>
              <w:rPr>
                <w:rFonts w:ascii="Times New Roman" w:hAnsi="Times New Roman"/>
              </w:rPr>
              <w:t>-</w:t>
            </w:r>
          </w:p>
        </w:tc>
        <w:tc>
          <w:tcPr>
            <w:tcW w:w="2792" w:type="dxa"/>
            <w:gridSpan w:val="7"/>
            <w:shd w:val="clear" w:color="auto" w:fill="auto"/>
          </w:tcPr>
          <w:p w14:paraId="1CE74E6C" w14:textId="03E56BC2" w:rsidR="00143E56" w:rsidRPr="0066705B" w:rsidRDefault="00143E56" w:rsidP="00143E56">
            <w:pPr>
              <w:spacing w:line="240" w:lineRule="auto"/>
              <w:rPr>
                <w:rFonts w:ascii="Times New Roman" w:hAnsi="Times New Roman"/>
              </w:rPr>
            </w:pPr>
            <w:r>
              <w:rPr>
                <w:rFonts w:ascii="Times New Roman" w:hAnsi="Times New Roman"/>
              </w:rPr>
              <w:t>Zmniejszenie obciążeń administracyjnych, wynikające ze skrócenia procedur wydawania zezwoleń oraz przyspieszenie procesów inwestycyjnych.</w:t>
            </w:r>
          </w:p>
        </w:tc>
      </w:tr>
      <w:tr w:rsidR="00143E56" w:rsidRPr="00A87B3A" w14:paraId="6E2BA29E" w14:textId="77777777" w:rsidTr="002069ED">
        <w:trPr>
          <w:trHeight w:val="142"/>
        </w:trPr>
        <w:tc>
          <w:tcPr>
            <w:tcW w:w="2666" w:type="dxa"/>
            <w:gridSpan w:val="3"/>
            <w:shd w:val="clear" w:color="auto" w:fill="auto"/>
          </w:tcPr>
          <w:p w14:paraId="5982A844" w14:textId="48FEE60E" w:rsidR="00143E56" w:rsidRPr="00EC7BFD" w:rsidRDefault="00143E56" w:rsidP="00143E56">
            <w:pPr>
              <w:tabs>
                <w:tab w:val="left" w:pos="1560"/>
              </w:tabs>
              <w:spacing w:line="240" w:lineRule="auto"/>
              <w:rPr>
                <w:rFonts w:ascii="Times New Roman" w:hAnsi="Times New Roman"/>
                <w:color w:val="000000"/>
              </w:rPr>
            </w:pPr>
            <w:r w:rsidRPr="00070A0C">
              <w:rPr>
                <w:rFonts w:ascii="Times New Roman" w:hAnsi="Times New Roman"/>
              </w:rPr>
              <w:t>Wytwórcy, którzy złożyli do P</w:t>
            </w:r>
            <w:r>
              <w:rPr>
                <w:rFonts w:ascii="Times New Roman" w:hAnsi="Times New Roman"/>
              </w:rPr>
              <w:t xml:space="preserve">rezesa </w:t>
            </w:r>
            <w:r w:rsidRPr="00070A0C">
              <w:rPr>
                <w:rFonts w:ascii="Times New Roman" w:hAnsi="Times New Roman"/>
              </w:rPr>
              <w:t>URE deklarację o zamiarze sprzedaży energii</w:t>
            </w:r>
          </w:p>
        </w:tc>
        <w:tc>
          <w:tcPr>
            <w:tcW w:w="2183" w:type="dxa"/>
            <w:gridSpan w:val="5"/>
            <w:shd w:val="clear" w:color="auto" w:fill="auto"/>
          </w:tcPr>
          <w:p w14:paraId="047E2B0C" w14:textId="75CC8C50" w:rsidR="00143E56" w:rsidRPr="00070A0C" w:rsidRDefault="00143E56" w:rsidP="00143E56">
            <w:pPr>
              <w:spacing w:line="240" w:lineRule="auto"/>
              <w:rPr>
                <w:rFonts w:ascii="Times New Roman" w:hAnsi="Times New Roman"/>
              </w:rPr>
            </w:pPr>
            <w:r w:rsidRPr="00070A0C">
              <w:rPr>
                <w:rFonts w:ascii="Times New Roman" w:hAnsi="Times New Roman"/>
              </w:rPr>
              <w:t>Ok</w:t>
            </w:r>
            <w:r>
              <w:rPr>
                <w:rFonts w:ascii="Times New Roman" w:hAnsi="Times New Roman"/>
              </w:rPr>
              <w:t>.</w:t>
            </w:r>
            <w:r w:rsidRPr="00070A0C">
              <w:rPr>
                <w:rFonts w:ascii="Times New Roman" w:hAnsi="Times New Roman"/>
              </w:rPr>
              <w:t xml:space="preserve"> 50</w:t>
            </w:r>
          </w:p>
        </w:tc>
        <w:tc>
          <w:tcPr>
            <w:tcW w:w="3544" w:type="dxa"/>
            <w:gridSpan w:val="10"/>
            <w:shd w:val="clear" w:color="auto" w:fill="auto"/>
          </w:tcPr>
          <w:p w14:paraId="774625E0" w14:textId="72434D68" w:rsidR="00143E56" w:rsidRPr="002B2D94" w:rsidRDefault="00143E56" w:rsidP="00143E56">
            <w:pPr>
              <w:spacing w:line="240" w:lineRule="auto"/>
              <w:rPr>
                <w:rFonts w:ascii="Times New Roman" w:hAnsi="Times New Roman"/>
                <w:color w:val="000000"/>
                <w:spacing w:val="-2"/>
              </w:rPr>
            </w:pPr>
            <w:r w:rsidRPr="002B2D94">
              <w:rPr>
                <w:rFonts w:ascii="Times New Roman" w:hAnsi="Times New Roman"/>
                <w:color w:val="000000"/>
                <w:spacing w:val="-2"/>
              </w:rPr>
              <w:t>URE</w:t>
            </w:r>
          </w:p>
        </w:tc>
        <w:tc>
          <w:tcPr>
            <w:tcW w:w="2792" w:type="dxa"/>
            <w:gridSpan w:val="7"/>
            <w:shd w:val="clear" w:color="auto" w:fill="auto"/>
          </w:tcPr>
          <w:p w14:paraId="5927FD42" w14:textId="0792A51F" w:rsidR="00143E56" w:rsidRPr="00070A0C" w:rsidRDefault="00143E56" w:rsidP="00143E56">
            <w:pPr>
              <w:spacing w:line="240" w:lineRule="auto"/>
              <w:rPr>
                <w:rFonts w:ascii="Times New Roman" w:hAnsi="Times New Roman"/>
              </w:rPr>
            </w:pPr>
            <w:r w:rsidRPr="00070A0C">
              <w:rPr>
                <w:rFonts w:ascii="Times New Roman" w:hAnsi="Times New Roman"/>
              </w:rPr>
              <w:t>Zmiana zasad przydzielania wsparcia.</w:t>
            </w:r>
          </w:p>
        </w:tc>
      </w:tr>
      <w:tr w:rsidR="00143E56" w:rsidRPr="00A87B3A" w14:paraId="2AB9B1D6" w14:textId="77777777" w:rsidTr="002069ED">
        <w:trPr>
          <w:trHeight w:val="142"/>
        </w:trPr>
        <w:tc>
          <w:tcPr>
            <w:tcW w:w="2666" w:type="dxa"/>
            <w:gridSpan w:val="3"/>
            <w:shd w:val="clear" w:color="auto" w:fill="auto"/>
          </w:tcPr>
          <w:p w14:paraId="6308B244" w14:textId="5BE6ABBC" w:rsidR="00143E56" w:rsidRPr="00070A0C" w:rsidRDefault="00143E56" w:rsidP="00143E56">
            <w:pPr>
              <w:tabs>
                <w:tab w:val="left" w:pos="1560"/>
              </w:tabs>
              <w:spacing w:line="240" w:lineRule="auto"/>
              <w:rPr>
                <w:rFonts w:ascii="Times New Roman" w:hAnsi="Times New Roman"/>
              </w:rPr>
            </w:pPr>
            <w:r w:rsidRPr="00070A0C">
              <w:rPr>
                <w:rFonts w:ascii="Times New Roman" w:hAnsi="Times New Roman"/>
              </w:rPr>
              <w:lastRenderedPageBreak/>
              <w:t>Sprzedawcy zobowiązani</w:t>
            </w:r>
          </w:p>
        </w:tc>
        <w:tc>
          <w:tcPr>
            <w:tcW w:w="2183" w:type="dxa"/>
            <w:gridSpan w:val="5"/>
            <w:shd w:val="clear" w:color="auto" w:fill="auto"/>
          </w:tcPr>
          <w:p w14:paraId="5FABBD3B" w14:textId="3BE386F7" w:rsidR="00143E56" w:rsidRPr="00070A0C" w:rsidRDefault="00143E56" w:rsidP="00143E56">
            <w:pPr>
              <w:spacing w:line="240" w:lineRule="auto"/>
              <w:rPr>
                <w:rFonts w:ascii="Times New Roman" w:hAnsi="Times New Roman"/>
              </w:rPr>
            </w:pPr>
            <w:r w:rsidRPr="00070A0C">
              <w:rPr>
                <w:rFonts w:ascii="Times New Roman" w:hAnsi="Times New Roman"/>
              </w:rPr>
              <w:t>183</w:t>
            </w:r>
          </w:p>
        </w:tc>
        <w:tc>
          <w:tcPr>
            <w:tcW w:w="3544" w:type="dxa"/>
            <w:gridSpan w:val="10"/>
            <w:shd w:val="clear" w:color="auto" w:fill="auto"/>
          </w:tcPr>
          <w:p w14:paraId="5A877B2A" w14:textId="55D97227" w:rsidR="00143E56" w:rsidRPr="002B2D94" w:rsidRDefault="00143E56" w:rsidP="00143E56">
            <w:pPr>
              <w:spacing w:line="240" w:lineRule="auto"/>
              <w:rPr>
                <w:rFonts w:ascii="Times New Roman" w:hAnsi="Times New Roman"/>
                <w:color w:val="000000"/>
                <w:spacing w:val="-2"/>
              </w:rPr>
            </w:pPr>
            <w:r w:rsidRPr="002B2D94">
              <w:rPr>
                <w:rFonts w:ascii="Times New Roman" w:hAnsi="Times New Roman"/>
                <w:color w:val="000000"/>
                <w:spacing w:val="-2"/>
              </w:rPr>
              <w:t>Sprawozdanie Prezesa URE za 2022 r.</w:t>
            </w:r>
          </w:p>
        </w:tc>
        <w:tc>
          <w:tcPr>
            <w:tcW w:w="2792" w:type="dxa"/>
            <w:gridSpan w:val="7"/>
            <w:shd w:val="clear" w:color="auto" w:fill="auto"/>
          </w:tcPr>
          <w:p w14:paraId="1A8CE855" w14:textId="241059DF" w:rsidR="00143E56" w:rsidRPr="00070A0C" w:rsidRDefault="00143E56" w:rsidP="00143E56">
            <w:pPr>
              <w:spacing w:line="240" w:lineRule="auto"/>
              <w:rPr>
                <w:rFonts w:ascii="Times New Roman" w:hAnsi="Times New Roman"/>
              </w:rPr>
            </w:pPr>
            <w:r w:rsidRPr="00070A0C">
              <w:rPr>
                <w:rFonts w:ascii="Times New Roman" w:hAnsi="Times New Roman"/>
              </w:rPr>
              <w:t>Zmniejszenie liczby wytwórców, za których dokonuje się bilansowania handlowego i wobec których sprzedawca ma obowiązek odkupu energii.</w:t>
            </w:r>
          </w:p>
        </w:tc>
      </w:tr>
      <w:tr w:rsidR="00143E56" w:rsidRPr="00A87B3A" w14:paraId="59D9A6CE" w14:textId="77777777" w:rsidTr="002069ED">
        <w:trPr>
          <w:trHeight w:val="142"/>
        </w:trPr>
        <w:tc>
          <w:tcPr>
            <w:tcW w:w="2666" w:type="dxa"/>
            <w:gridSpan w:val="3"/>
            <w:shd w:val="clear" w:color="auto" w:fill="auto"/>
          </w:tcPr>
          <w:p w14:paraId="11025DA4" w14:textId="39E7FFA3" w:rsidR="00143E56" w:rsidRPr="00070A0C" w:rsidRDefault="00143E56" w:rsidP="00143E56">
            <w:pPr>
              <w:tabs>
                <w:tab w:val="left" w:pos="1560"/>
              </w:tabs>
              <w:spacing w:line="240" w:lineRule="auto"/>
              <w:rPr>
                <w:rFonts w:ascii="Times New Roman" w:hAnsi="Times New Roman"/>
              </w:rPr>
            </w:pPr>
            <w:r>
              <w:rPr>
                <w:rFonts w:ascii="Times New Roman" w:hAnsi="Times New Roman"/>
              </w:rPr>
              <w:t>Spółki obrotu energią</w:t>
            </w:r>
          </w:p>
        </w:tc>
        <w:tc>
          <w:tcPr>
            <w:tcW w:w="2183" w:type="dxa"/>
            <w:gridSpan w:val="5"/>
            <w:shd w:val="clear" w:color="auto" w:fill="auto"/>
          </w:tcPr>
          <w:p w14:paraId="22CF0E2F" w14:textId="3D00B804" w:rsidR="00143E56" w:rsidRPr="00070A0C" w:rsidRDefault="00143E56" w:rsidP="00143E56">
            <w:pPr>
              <w:spacing w:line="240" w:lineRule="auto"/>
              <w:rPr>
                <w:rFonts w:ascii="Times New Roman" w:hAnsi="Times New Roman"/>
              </w:rPr>
            </w:pPr>
            <w:r>
              <w:rPr>
                <w:rFonts w:ascii="Times New Roman" w:hAnsi="Times New Roman"/>
              </w:rPr>
              <w:t>390</w:t>
            </w:r>
          </w:p>
        </w:tc>
        <w:tc>
          <w:tcPr>
            <w:tcW w:w="3544" w:type="dxa"/>
            <w:gridSpan w:val="10"/>
            <w:shd w:val="clear" w:color="auto" w:fill="auto"/>
          </w:tcPr>
          <w:p w14:paraId="7C5FDDFD" w14:textId="2B9C50FD" w:rsidR="00143E56" w:rsidRPr="002B2D94" w:rsidRDefault="00143E56" w:rsidP="00143E56">
            <w:pPr>
              <w:spacing w:line="240" w:lineRule="auto"/>
              <w:rPr>
                <w:rFonts w:ascii="Times New Roman" w:hAnsi="Times New Roman"/>
                <w:color w:val="000000"/>
                <w:spacing w:val="-2"/>
              </w:rPr>
            </w:pPr>
            <w:r w:rsidRPr="002B2D94">
              <w:rPr>
                <w:rFonts w:ascii="Times New Roman" w:hAnsi="Times New Roman"/>
                <w:color w:val="000000"/>
                <w:spacing w:val="-2"/>
              </w:rPr>
              <w:t>Sprawozdanie Prezesa URE za 2022 r.</w:t>
            </w:r>
          </w:p>
        </w:tc>
        <w:tc>
          <w:tcPr>
            <w:tcW w:w="2792" w:type="dxa"/>
            <w:gridSpan w:val="7"/>
            <w:shd w:val="clear" w:color="auto" w:fill="auto"/>
          </w:tcPr>
          <w:p w14:paraId="04D4269A" w14:textId="5BD01313" w:rsidR="00143E56" w:rsidRPr="00070A0C" w:rsidRDefault="00143E56" w:rsidP="00143E56">
            <w:pPr>
              <w:spacing w:line="240" w:lineRule="auto"/>
              <w:rPr>
                <w:rFonts w:ascii="Times New Roman" w:hAnsi="Times New Roman"/>
              </w:rPr>
            </w:pPr>
            <w:r>
              <w:rPr>
                <w:rFonts w:ascii="Times New Roman" w:hAnsi="Times New Roman"/>
                <w:color w:val="000000"/>
                <w:spacing w:val="-2"/>
              </w:rPr>
              <w:t>Możliwy wzrost liczby zapytań związanych ze zmianą sposobu rozliczania nadwyżek finansowych zgromadzonych w ramach depozytu prosumenckiego.</w:t>
            </w:r>
          </w:p>
        </w:tc>
      </w:tr>
      <w:tr w:rsidR="00143E56" w:rsidRPr="00A87B3A" w14:paraId="6B244CD4" w14:textId="77777777" w:rsidTr="002069ED">
        <w:trPr>
          <w:trHeight w:val="142"/>
        </w:trPr>
        <w:tc>
          <w:tcPr>
            <w:tcW w:w="2666" w:type="dxa"/>
            <w:gridSpan w:val="3"/>
            <w:shd w:val="clear" w:color="auto" w:fill="auto"/>
          </w:tcPr>
          <w:p w14:paraId="663B450B" w14:textId="5DBC09A7" w:rsidR="00143E56" w:rsidRDefault="00143E56" w:rsidP="00143E56">
            <w:pPr>
              <w:tabs>
                <w:tab w:val="left" w:pos="1560"/>
              </w:tabs>
              <w:spacing w:line="240" w:lineRule="auto"/>
              <w:rPr>
                <w:rFonts w:ascii="Times New Roman" w:hAnsi="Times New Roman"/>
                <w:color w:val="000000"/>
              </w:rPr>
            </w:pPr>
            <w:r>
              <w:rPr>
                <w:rFonts w:ascii="Times New Roman" w:hAnsi="Times New Roman"/>
                <w:color w:val="000000"/>
              </w:rPr>
              <w:t>Ministerstwo Klimatu i Środowiska</w:t>
            </w:r>
          </w:p>
        </w:tc>
        <w:tc>
          <w:tcPr>
            <w:tcW w:w="2183" w:type="dxa"/>
            <w:gridSpan w:val="5"/>
            <w:shd w:val="clear" w:color="auto" w:fill="auto"/>
          </w:tcPr>
          <w:p w14:paraId="0AD4AD50" w14:textId="364E68C3" w:rsidR="00143E56" w:rsidRDefault="00143E56" w:rsidP="00143E56">
            <w:pPr>
              <w:spacing w:line="240" w:lineRule="auto"/>
              <w:rPr>
                <w:rFonts w:ascii="Times New Roman" w:hAnsi="Times New Roman"/>
              </w:rPr>
            </w:pPr>
            <w:r>
              <w:rPr>
                <w:rFonts w:ascii="Times New Roman" w:hAnsi="Times New Roman"/>
              </w:rPr>
              <w:t>1</w:t>
            </w:r>
          </w:p>
        </w:tc>
        <w:tc>
          <w:tcPr>
            <w:tcW w:w="3544" w:type="dxa"/>
            <w:gridSpan w:val="10"/>
            <w:shd w:val="clear" w:color="auto" w:fill="auto"/>
          </w:tcPr>
          <w:p w14:paraId="1C098246" w14:textId="04FA0743" w:rsidR="00143E56" w:rsidRPr="00070A0C" w:rsidRDefault="00143E56" w:rsidP="00143E56">
            <w:pPr>
              <w:spacing w:line="240" w:lineRule="auto"/>
              <w:rPr>
                <w:rFonts w:ascii="Times New Roman" w:hAnsi="Times New Roman"/>
              </w:rPr>
            </w:pPr>
            <w:r>
              <w:rPr>
                <w:rFonts w:ascii="Times New Roman" w:hAnsi="Times New Roman"/>
              </w:rPr>
              <w:t>-</w:t>
            </w:r>
          </w:p>
        </w:tc>
        <w:tc>
          <w:tcPr>
            <w:tcW w:w="2792" w:type="dxa"/>
            <w:gridSpan w:val="7"/>
            <w:shd w:val="clear" w:color="auto" w:fill="auto"/>
          </w:tcPr>
          <w:p w14:paraId="33D7715A" w14:textId="0645ABBE" w:rsidR="00143E56" w:rsidRDefault="00143E56" w:rsidP="00143E56">
            <w:pPr>
              <w:spacing w:line="240" w:lineRule="auto"/>
              <w:rPr>
                <w:rFonts w:ascii="Times New Roman" w:hAnsi="Times New Roman"/>
                <w:color w:val="000000"/>
                <w:spacing w:val="-2"/>
              </w:rPr>
            </w:pPr>
            <w:r>
              <w:rPr>
                <w:rFonts w:ascii="Times New Roman" w:hAnsi="Times New Roman"/>
                <w:color w:val="000000"/>
                <w:spacing w:val="-2"/>
              </w:rPr>
              <w:t>Możliwy wzrost liczby zapytań prosumentów – osób fizycznych nie będących przedsiębiorcami związanych ze zmianą sposobu rozliczania nadwyżek finansowych zgromadzonych w ramach depozytu prosumenckiego.</w:t>
            </w:r>
          </w:p>
        </w:tc>
      </w:tr>
      <w:tr w:rsidR="00143E56" w:rsidRPr="00A87B3A" w14:paraId="29843413" w14:textId="77777777" w:rsidTr="002069ED">
        <w:trPr>
          <w:trHeight w:val="142"/>
        </w:trPr>
        <w:tc>
          <w:tcPr>
            <w:tcW w:w="2666" w:type="dxa"/>
            <w:gridSpan w:val="3"/>
            <w:shd w:val="clear" w:color="auto" w:fill="auto"/>
          </w:tcPr>
          <w:p w14:paraId="2BACC875" w14:textId="1FA931CD" w:rsidR="00143E56" w:rsidRDefault="00143E56" w:rsidP="00143E56">
            <w:pPr>
              <w:tabs>
                <w:tab w:val="left" w:pos="1560"/>
              </w:tabs>
              <w:spacing w:line="240" w:lineRule="auto"/>
              <w:rPr>
                <w:rFonts w:ascii="Times New Roman" w:hAnsi="Times New Roman"/>
                <w:color w:val="000000"/>
              </w:rPr>
            </w:pPr>
            <w:r>
              <w:rPr>
                <w:rFonts w:ascii="Times New Roman" w:hAnsi="Times New Roman"/>
                <w:color w:val="000000"/>
              </w:rPr>
              <w:t>Ministerstwo Rozwoju i Technologii</w:t>
            </w:r>
          </w:p>
        </w:tc>
        <w:tc>
          <w:tcPr>
            <w:tcW w:w="2183" w:type="dxa"/>
            <w:gridSpan w:val="5"/>
            <w:shd w:val="clear" w:color="auto" w:fill="auto"/>
          </w:tcPr>
          <w:p w14:paraId="1E92E8A1" w14:textId="46F44D62" w:rsidR="00143E56" w:rsidRDefault="00143E56" w:rsidP="00143E56">
            <w:pPr>
              <w:spacing w:line="240" w:lineRule="auto"/>
              <w:rPr>
                <w:rFonts w:ascii="Times New Roman" w:hAnsi="Times New Roman"/>
              </w:rPr>
            </w:pPr>
            <w:r>
              <w:rPr>
                <w:rFonts w:ascii="Times New Roman" w:hAnsi="Times New Roman"/>
              </w:rPr>
              <w:t>1</w:t>
            </w:r>
          </w:p>
        </w:tc>
        <w:tc>
          <w:tcPr>
            <w:tcW w:w="3544" w:type="dxa"/>
            <w:gridSpan w:val="10"/>
            <w:shd w:val="clear" w:color="auto" w:fill="auto"/>
          </w:tcPr>
          <w:p w14:paraId="04F31DD7" w14:textId="3ABEE695" w:rsidR="00143E56" w:rsidRPr="00070A0C" w:rsidRDefault="00143E56" w:rsidP="00143E56">
            <w:pPr>
              <w:spacing w:line="240" w:lineRule="auto"/>
              <w:rPr>
                <w:rFonts w:ascii="Times New Roman" w:hAnsi="Times New Roman"/>
              </w:rPr>
            </w:pPr>
            <w:r>
              <w:rPr>
                <w:rFonts w:ascii="Times New Roman" w:hAnsi="Times New Roman"/>
              </w:rPr>
              <w:t>-</w:t>
            </w:r>
          </w:p>
        </w:tc>
        <w:tc>
          <w:tcPr>
            <w:tcW w:w="2792" w:type="dxa"/>
            <w:gridSpan w:val="7"/>
            <w:shd w:val="clear" w:color="auto" w:fill="auto"/>
          </w:tcPr>
          <w:p w14:paraId="7DCC812A" w14:textId="7A5B6C3A" w:rsidR="00143E56" w:rsidRDefault="00143E56" w:rsidP="00143E56">
            <w:pPr>
              <w:spacing w:line="240" w:lineRule="auto"/>
              <w:rPr>
                <w:rFonts w:ascii="Times New Roman" w:hAnsi="Times New Roman"/>
                <w:color w:val="000000"/>
                <w:spacing w:val="-2"/>
              </w:rPr>
            </w:pPr>
            <w:r>
              <w:rPr>
                <w:rFonts w:ascii="Times New Roman" w:hAnsi="Times New Roman"/>
                <w:color w:val="000000"/>
                <w:spacing w:val="-2"/>
              </w:rPr>
              <w:t>Możliwy wzrost liczby zapytań przedsiębiorców będących prosumentami związanych ze zmianą sposobu rozliczania nadwyżek finansowych zgromadzonych w ramach depozytu prosumenckiego.</w:t>
            </w:r>
          </w:p>
        </w:tc>
      </w:tr>
      <w:tr w:rsidR="00143E56" w:rsidRPr="00A87B3A" w14:paraId="69B3A722" w14:textId="77777777" w:rsidTr="002069ED">
        <w:trPr>
          <w:gridAfter w:val="1"/>
          <w:wAfter w:w="12" w:type="dxa"/>
          <w:trHeight w:val="302"/>
        </w:trPr>
        <w:tc>
          <w:tcPr>
            <w:tcW w:w="11173" w:type="dxa"/>
            <w:gridSpan w:val="24"/>
            <w:shd w:val="clear" w:color="auto" w:fill="99CCFF"/>
            <w:vAlign w:val="center"/>
          </w:tcPr>
          <w:p w14:paraId="7D9F7760" w14:textId="77777777" w:rsidR="00143E56" w:rsidRPr="00A87B3A" w:rsidRDefault="00143E56" w:rsidP="00143E56">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color w:val="000000"/>
              </w:rPr>
              <w:t>Informacje na temat zakresu, czasu trwania i podsumowanie wyników konsultacji</w:t>
            </w:r>
          </w:p>
        </w:tc>
      </w:tr>
      <w:tr w:rsidR="00143E56" w:rsidRPr="00A87B3A" w14:paraId="0A8C817F" w14:textId="77777777" w:rsidTr="002069ED">
        <w:trPr>
          <w:gridAfter w:val="1"/>
          <w:wAfter w:w="12" w:type="dxa"/>
          <w:trHeight w:val="342"/>
        </w:trPr>
        <w:tc>
          <w:tcPr>
            <w:tcW w:w="11173" w:type="dxa"/>
            <w:gridSpan w:val="24"/>
            <w:shd w:val="clear" w:color="auto" w:fill="FFFFFF"/>
          </w:tcPr>
          <w:p w14:paraId="0FC8CA59" w14:textId="4D146A5D" w:rsidR="00143E56" w:rsidRDefault="00143E56" w:rsidP="00143E56">
            <w:pPr>
              <w:spacing w:before="120" w:after="120" w:line="240" w:lineRule="auto"/>
              <w:jc w:val="both"/>
              <w:rPr>
                <w:rFonts w:ascii="Times New Roman" w:hAnsi="Times New Roman"/>
                <w:color w:val="000000"/>
                <w:spacing w:val="-2"/>
              </w:rPr>
            </w:pPr>
            <w:r w:rsidRPr="00CB6F96">
              <w:rPr>
                <w:rFonts w:ascii="Times New Roman" w:hAnsi="Times New Roman"/>
                <w:color w:val="000000"/>
                <w:spacing w:val="-2"/>
              </w:rPr>
              <w:t xml:space="preserve">Projekt nie był przedmiotem </w:t>
            </w:r>
            <w:proofErr w:type="spellStart"/>
            <w:r w:rsidRPr="00CB6F96">
              <w:rPr>
                <w:rFonts w:ascii="Times New Roman" w:hAnsi="Times New Roman"/>
                <w:color w:val="000000"/>
                <w:spacing w:val="-2"/>
              </w:rPr>
              <w:t>pre</w:t>
            </w:r>
            <w:proofErr w:type="spellEnd"/>
            <w:r w:rsidRPr="00CB6F96">
              <w:rPr>
                <w:rFonts w:ascii="Times New Roman" w:hAnsi="Times New Roman"/>
                <w:color w:val="000000"/>
                <w:spacing w:val="-2"/>
              </w:rPr>
              <w:t xml:space="preserve">-konsultacji. </w:t>
            </w:r>
          </w:p>
          <w:p w14:paraId="37906173" w14:textId="234147A8" w:rsidR="00143E56" w:rsidRDefault="00143E56" w:rsidP="00143E56">
            <w:pPr>
              <w:spacing w:before="120" w:after="120" w:line="240" w:lineRule="auto"/>
              <w:jc w:val="both"/>
              <w:rPr>
                <w:rFonts w:ascii="Times New Roman" w:hAnsi="Times New Roman"/>
                <w:color w:val="000000"/>
                <w:spacing w:val="-2"/>
              </w:rPr>
            </w:pPr>
            <w:r w:rsidRPr="00CB6F96">
              <w:rPr>
                <w:rFonts w:ascii="Times New Roman" w:hAnsi="Times New Roman"/>
                <w:color w:val="000000"/>
                <w:spacing w:val="-2"/>
              </w:rPr>
              <w:t>Projekt</w:t>
            </w:r>
            <w:r>
              <w:rPr>
                <w:rFonts w:ascii="Times New Roman" w:hAnsi="Times New Roman"/>
                <w:color w:val="000000"/>
                <w:spacing w:val="-2"/>
              </w:rPr>
              <w:t>,</w:t>
            </w:r>
            <w:r w:rsidRPr="00CB6F96">
              <w:rPr>
                <w:rFonts w:ascii="Times New Roman" w:hAnsi="Times New Roman"/>
                <w:color w:val="000000"/>
                <w:spacing w:val="-2"/>
              </w:rPr>
              <w:t xml:space="preserve"> zgodnie z art. 5 ustawy z dnia 7 lipca 2005 r. o działalności lobbingowej w procesie stanowienia prawa i § 52 uchwały nr 190 Rady Ministrów z dnia 29 października 2013 r. – Regulamin pracy Rady Ministrów</w:t>
            </w:r>
            <w:r>
              <w:rPr>
                <w:rFonts w:ascii="Times New Roman" w:hAnsi="Times New Roman"/>
                <w:color w:val="000000"/>
                <w:spacing w:val="-2"/>
              </w:rPr>
              <w:t>,</w:t>
            </w:r>
            <w:r w:rsidRPr="00CB6F96">
              <w:rPr>
                <w:rFonts w:ascii="Times New Roman" w:hAnsi="Times New Roman"/>
                <w:color w:val="000000"/>
                <w:spacing w:val="-2"/>
              </w:rPr>
              <w:t xml:space="preserve"> zostanie udostępniony w Biuletynie Informacji Publicznej</w:t>
            </w:r>
            <w:r>
              <w:rPr>
                <w:rFonts w:ascii="Times New Roman" w:hAnsi="Times New Roman"/>
                <w:color w:val="000000"/>
                <w:spacing w:val="-2"/>
              </w:rPr>
              <w:t>,</w:t>
            </w:r>
            <w:r w:rsidRPr="00CB6F96">
              <w:rPr>
                <w:rFonts w:ascii="Times New Roman" w:hAnsi="Times New Roman"/>
                <w:color w:val="000000"/>
                <w:spacing w:val="-2"/>
              </w:rPr>
              <w:t xml:space="preserve"> na stronie podmiotowej Rządowego Centrum Legislacji</w:t>
            </w:r>
            <w:r>
              <w:rPr>
                <w:rFonts w:ascii="Times New Roman" w:hAnsi="Times New Roman"/>
                <w:color w:val="000000"/>
                <w:spacing w:val="-2"/>
              </w:rPr>
              <w:t>,</w:t>
            </w:r>
            <w:r w:rsidRPr="00CB6F96">
              <w:rPr>
                <w:rFonts w:ascii="Times New Roman" w:hAnsi="Times New Roman"/>
                <w:color w:val="000000"/>
                <w:spacing w:val="-2"/>
              </w:rPr>
              <w:t xml:space="preserve"> w serwisie Rządowy Proces Legislacyjny. </w:t>
            </w:r>
          </w:p>
          <w:p w14:paraId="6685BC92" w14:textId="2E0678DA" w:rsidR="00143E56" w:rsidRPr="00CB6F96" w:rsidRDefault="00143E56" w:rsidP="00143E56">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Projekt </w:t>
            </w:r>
            <w:r w:rsidRPr="00CB6F96">
              <w:rPr>
                <w:rFonts w:ascii="Times New Roman" w:hAnsi="Times New Roman"/>
                <w:color w:val="000000"/>
                <w:spacing w:val="-2"/>
              </w:rPr>
              <w:t xml:space="preserve">zostanie przekazany do konsultacji </w:t>
            </w:r>
            <w:r>
              <w:rPr>
                <w:rFonts w:ascii="Times New Roman" w:hAnsi="Times New Roman"/>
                <w:color w:val="000000"/>
                <w:spacing w:val="-2"/>
              </w:rPr>
              <w:t xml:space="preserve">(21 dni) </w:t>
            </w:r>
            <w:r w:rsidRPr="00CB6F96">
              <w:rPr>
                <w:rFonts w:ascii="Times New Roman" w:hAnsi="Times New Roman"/>
                <w:color w:val="000000"/>
                <w:spacing w:val="-2"/>
              </w:rPr>
              <w:t xml:space="preserve">do następujących podmiotów: </w:t>
            </w:r>
          </w:p>
          <w:p w14:paraId="1C719AB4"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color w:val="000000"/>
                <w:spacing w:val="-2"/>
              </w:rPr>
              <w:t>Client Earth</w:t>
            </w:r>
            <w:r>
              <w:rPr>
                <w:rFonts w:ascii="Times New Roman" w:hAnsi="Times New Roman"/>
                <w:color w:val="000000"/>
                <w:spacing w:val="-2"/>
              </w:rPr>
              <w:t>,</w:t>
            </w:r>
          </w:p>
          <w:p w14:paraId="4D48A95B"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EC BREC Instytut Energetyki Odnawialnej,</w:t>
            </w:r>
          </w:p>
          <w:p w14:paraId="7795EA36"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color w:val="000000"/>
                <w:spacing w:val="-2"/>
              </w:rPr>
              <w:t>Enea Operator Sp. z o.o.</w:t>
            </w:r>
            <w:r>
              <w:rPr>
                <w:rFonts w:ascii="Times New Roman" w:hAnsi="Times New Roman"/>
                <w:color w:val="000000"/>
                <w:spacing w:val="-2"/>
              </w:rPr>
              <w:t>,</w:t>
            </w:r>
          </w:p>
          <w:p w14:paraId="4D4717DF"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color w:val="000000"/>
                <w:spacing w:val="-2"/>
              </w:rPr>
              <w:t>Energa-Operator S.A.</w:t>
            </w:r>
            <w:r>
              <w:rPr>
                <w:rFonts w:ascii="Times New Roman" w:hAnsi="Times New Roman"/>
                <w:color w:val="000000"/>
                <w:spacing w:val="-2"/>
              </w:rPr>
              <w:t>,</w:t>
            </w:r>
          </w:p>
          <w:p w14:paraId="3B6BA266"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color w:val="000000"/>
                <w:spacing w:val="-2"/>
              </w:rPr>
              <w:t xml:space="preserve">Fundacja </w:t>
            </w:r>
            <w:proofErr w:type="spellStart"/>
            <w:r w:rsidRPr="00BD0980">
              <w:rPr>
                <w:rFonts w:ascii="Times New Roman" w:hAnsi="Times New Roman"/>
                <w:color w:val="000000"/>
                <w:spacing w:val="-2"/>
              </w:rPr>
              <w:t>Greenpeace</w:t>
            </w:r>
            <w:proofErr w:type="spellEnd"/>
            <w:r w:rsidRPr="00BD0980">
              <w:rPr>
                <w:rFonts w:ascii="Times New Roman" w:hAnsi="Times New Roman"/>
                <w:color w:val="000000"/>
                <w:spacing w:val="-2"/>
              </w:rPr>
              <w:t xml:space="preserve"> Polska</w:t>
            </w:r>
            <w:r>
              <w:rPr>
                <w:rFonts w:ascii="Times New Roman" w:hAnsi="Times New Roman"/>
                <w:color w:val="000000"/>
                <w:spacing w:val="-2"/>
              </w:rPr>
              <w:t>,</w:t>
            </w:r>
          </w:p>
          <w:p w14:paraId="2B41FB79"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Fundacja na rzecz Energetyki Zrównoważonej,</w:t>
            </w:r>
          </w:p>
          <w:p w14:paraId="1D591153"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Fundacja WWF Polska</w:t>
            </w:r>
            <w:r>
              <w:rPr>
                <w:rFonts w:ascii="Times New Roman" w:hAnsi="Times New Roman"/>
              </w:rPr>
              <w:t>,</w:t>
            </w:r>
          </w:p>
          <w:p w14:paraId="7CFA51C0"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Inicjatywa dla Środowiska, Energii i Elektromobilności,</w:t>
            </w:r>
          </w:p>
          <w:p w14:paraId="2A1F2039" w14:textId="532944A4"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color w:val="000000"/>
                <w:spacing w:val="-2"/>
              </w:rPr>
              <w:t>Stoen Operator Sp. z o.o.</w:t>
            </w:r>
            <w:r>
              <w:rPr>
                <w:rFonts w:ascii="Times New Roman" w:hAnsi="Times New Roman"/>
                <w:color w:val="000000"/>
                <w:spacing w:val="-2"/>
              </w:rPr>
              <w:t>,</w:t>
            </w:r>
          </w:p>
          <w:p w14:paraId="0723ECB9"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Instytut Gospodarki Nieruchomościami,</w:t>
            </w:r>
          </w:p>
          <w:p w14:paraId="083D29A9"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Instytut na Rzecz Ekorozwoju,</w:t>
            </w:r>
          </w:p>
          <w:p w14:paraId="2D73F191"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Izba Energetyki Przemysłowej i Odbiorców Energii,</w:t>
            </w:r>
          </w:p>
          <w:p w14:paraId="540711DB"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Izba Gospodarcza Ciepłownictwo Polskie,</w:t>
            </w:r>
          </w:p>
          <w:p w14:paraId="2E44D1A8"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Izba Gospodarcza Energetyki i Ochrony Środowiska,</w:t>
            </w:r>
          </w:p>
          <w:p w14:paraId="212BDE5E"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Izba Gospodarcza Wodociągi Polskie,</w:t>
            </w:r>
          </w:p>
          <w:p w14:paraId="2AFE88CD"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Krajowa Izba Gospodarcza,</w:t>
            </w:r>
          </w:p>
          <w:p w14:paraId="01D2F359" w14:textId="77777777" w:rsidR="00143E56" w:rsidRPr="009A0BD4"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Krajowa Izba Gospodarki Nieruchomościami</w:t>
            </w:r>
            <w:r>
              <w:rPr>
                <w:rFonts w:ascii="Times New Roman" w:hAnsi="Times New Roman"/>
              </w:rPr>
              <w:t>,</w:t>
            </w:r>
          </w:p>
          <w:p w14:paraId="6F1F669C" w14:textId="131CE87F" w:rsidR="000069B8" w:rsidRPr="00BD0980" w:rsidRDefault="000069B8" w:rsidP="00143E56">
            <w:pPr>
              <w:numPr>
                <w:ilvl w:val="0"/>
                <w:numId w:val="8"/>
              </w:numPr>
              <w:spacing w:line="240" w:lineRule="auto"/>
              <w:ind w:left="357" w:hanging="357"/>
              <w:jc w:val="both"/>
              <w:rPr>
                <w:rFonts w:ascii="Times New Roman" w:hAnsi="Times New Roman"/>
                <w:color w:val="000000"/>
                <w:spacing w:val="-2"/>
              </w:rPr>
            </w:pPr>
            <w:r>
              <w:rPr>
                <w:rFonts w:ascii="Times New Roman" w:hAnsi="Times New Roman"/>
              </w:rPr>
              <w:t>Krajowa Rada Drobiarstwa – Izba Gospodarcza,</w:t>
            </w:r>
          </w:p>
          <w:p w14:paraId="14CE4CC4" w14:textId="713B1A25"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color w:val="000000"/>
                <w:spacing w:val="-2"/>
              </w:rPr>
              <w:t>PGE S.A.</w:t>
            </w:r>
            <w:r>
              <w:rPr>
                <w:rFonts w:ascii="Times New Roman" w:hAnsi="Times New Roman"/>
                <w:color w:val="000000"/>
                <w:spacing w:val="-2"/>
              </w:rPr>
              <w:t>,</w:t>
            </w:r>
          </w:p>
          <w:p w14:paraId="4963ADDB"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PKN Orlen S.A.</w:t>
            </w:r>
          </w:p>
          <w:p w14:paraId="10119350" w14:textId="0367041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proofErr w:type="spellStart"/>
            <w:r w:rsidRPr="00BD0980">
              <w:rPr>
                <w:rFonts w:ascii="Times New Roman" w:hAnsi="Times New Roman"/>
                <w:color w:val="000000"/>
                <w:spacing w:val="-2"/>
              </w:rPr>
              <w:t>Polenergia</w:t>
            </w:r>
            <w:proofErr w:type="spellEnd"/>
            <w:r w:rsidRPr="00BD0980">
              <w:rPr>
                <w:rFonts w:ascii="Times New Roman" w:hAnsi="Times New Roman"/>
                <w:color w:val="000000"/>
                <w:spacing w:val="-2"/>
              </w:rPr>
              <w:t xml:space="preserve"> </w:t>
            </w:r>
            <w:r>
              <w:rPr>
                <w:rFonts w:ascii="Times New Roman" w:hAnsi="Times New Roman"/>
                <w:color w:val="000000"/>
                <w:spacing w:val="-2"/>
              </w:rPr>
              <w:t>S.A,</w:t>
            </w:r>
          </w:p>
          <w:p w14:paraId="0D4D14FE"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Polska Geotermalna Asocjacja,</w:t>
            </w:r>
          </w:p>
          <w:p w14:paraId="612B1F33"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Polska Izba Biomasy</w:t>
            </w:r>
            <w:r>
              <w:rPr>
                <w:rFonts w:ascii="Times New Roman" w:hAnsi="Times New Roman"/>
              </w:rPr>
              <w:t>,</w:t>
            </w:r>
          </w:p>
          <w:p w14:paraId="4E58D9F1"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Polska Izba Gospodarcza Energii Odnawialnej i Rozproszonej,</w:t>
            </w:r>
          </w:p>
          <w:p w14:paraId="41ADDA67"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lastRenderedPageBreak/>
              <w:t>Polska Organizacja Rozwoju Technologii Pomp Ciepła,</w:t>
            </w:r>
          </w:p>
          <w:p w14:paraId="45A071D1"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 Komitet Energii Elektrycznej,</w:t>
            </w:r>
          </w:p>
          <w:p w14:paraId="373B34F2" w14:textId="77777777" w:rsidR="00143E56" w:rsidRPr="00067FDF" w:rsidRDefault="00143E56" w:rsidP="00143E56">
            <w:pPr>
              <w:numPr>
                <w:ilvl w:val="0"/>
                <w:numId w:val="8"/>
              </w:numPr>
              <w:spacing w:line="240" w:lineRule="auto"/>
              <w:ind w:left="357" w:hanging="357"/>
              <w:jc w:val="both"/>
              <w:rPr>
                <w:rFonts w:ascii="Times New Roman" w:hAnsi="Times New Roman"/>
                <w:color w:val="000000"/>
                <w:spacing w:val="-2"/>
              </w:rPr>
            </w:pPr>
            <w:r>
              <w:rPr>
                <w:rFonts w:ascii="Times New Roman" w:hAnsi="Times New Roman"/>
                <w:color w:val="000000"/>
                <w:spacing w:val="-2"/>
              </w:rPr>
              <w:t>Polskie Centrum Akredytacji,</w:t>
            </w:r>
          </w:p>
          <w:p w14:paraId="756AEF78"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Sieci Elektroenergetyczne S.A.</w:t>
            </w:r>
            <w:r>
              <w:rPr>
                <w:rFonts w:ascii="Times New Roman" w:hAnsi="Times New Roman"/>
                <w:color w:val="000000"/>
                <w:spacing w:val="-2"/>
              </w:rPr>
              <w:t>,</w:t>
            </w:r>
          </w:p>
          <w:p w14:paraId="2271BA58"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Polskie Stowarzyszenie Biogazu</w:t>
            </w:r>
            <w:r>
              <w:rPr>
                <w:rFonts w:ascii="Times New Roman" w:hAnsi="Times New Roman"/>
              </w:rPr>
              <w:t>,</w:t>
            </w:r>
          </w:p>
          <w:p w14:paraId="00067D3E"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Stowarzyszenie Energetyki Słonecznej,</w:t>
            </w:r>
          </w:p>
          <w:p w14:paraId="13FF5AA4"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Stowarzyszenie Energetyki Wiatrowej,</w:t>
            </w:r>
          </w:p>
          <w:p w14:paraId="4644F203"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 xml:space="preserve">Polskie Stowarzyszenie </w:t>
            </w:r>
            <w:proofErr w:type="spellStart"/>
            <w:r w:rsidRPr="00457344">
              <w:rPr>
                <w:rFonts w:ascii="Times New Roman" w:hAnsi="Times New Roman"/>
                <w:color w:val="000000"/>
                <w:spacing w:val="-2"/>
              </w:rPr>
              <w:t>Fotowoltaiki</w:t>
            </w:r>
            <w:proofErr w:type="spellEnd"/>
            <w:r w:rsidRPr="00457344">
              <w:rPr>
                <w:rFonts w:ascii="Times New Roman" w:hAnsi="Times New Roman"/>
                <w:color w:val="000000"/>
                <w:spacing w:val="-2"/>
              </w:rPr>
              <w:t>,</w:t>
            </w:r>
          </w:p>
          <w:p w14:paraId="5E053992"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Stowarzyszenie Geotermiczne,</w:t>
            </w:r>
          </w:p>
          <w:p w14:paraId="097E6D8F"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Polskie Stowarzyszenie Pomp Ciepła</w:t>
            </w:r>
            <w:r>
              <w:rPr>
                <w:rFonts w:ascii="Times New Roman" w:hAnsi="Times New Roman"/>
              </w:rPr>
              <w:t>,</w:t>
            </w:r>
          </w:p>
          <w:p w14:paraId="523DC06B"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Stowarzyszenie Producentów Biogazu Rolniczego,</w:t>
            </w:r>
          </w:p>
          <w:p w14:paraId="260BAEED"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Towarzystwo Elektrociepłowni Zawodowych,</w:t>
            </w:r>
          </w:p>
          <w:p w14:paraId="29427CB6"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Polskie Towarzystwo Energetyki Słonecznej PTES-ISES</w:t>
            </w:r>
            <w:r>
              <w:rPr>
                <w:rFonts w:ascii="Times New Roman" w:hAnsi="Times New Roman"/>
              </w:rPr>
              <w:t>,</w:t>
            </w:r>
          </w:p>
          <w:p w14:paraId="76B717F3"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 xml:space="preserve">Polskie Towarzystwo </w:t>
            </w:r>
            <w:proofErr w:type="spellStart"/>
            <w:r w:rsidRPr="00457344">
              <w:rPr>
                <w:rFonts w:ascii="Times New Roman" w:hAnsi="Times New Roman"/>
                <w:color w:val="000000"/>
                <w:spacing w:val="-2"/>
              </w:rPr>
              <w:t>Fotowoltaiki</w:t>
            </w:r>
            <w:proofErr w:type="spellEnd"/>
            <w:r w:rsidRPr="00457344">
              <w:rPr>
                <w:rFonts w:ascii="Times New Roman" w:hAnsi="Times New Roman"/>
                <w:color w:val="000000"/>
                <w:spacing w:val="-2"/>
              </w:rPr>
              <w:t>,</w:t>
            </w:r>
          </w:p>
          <w:p w14:paraId="691EAA34"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Polskie Towarzystwo Morskiej Energetyki Wiatrowej</w:t>
            </w:r>
            <w:r>
              <w:rPr>
                <w:rFonts w:ascii="Times New Roman" w:hAnsi="Times New Roman"/>
              </w:rPr>
              <w:t>,</w:t>
            </w:r>
          </w:p>
          <w:p w14:paraId="58748081"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Polskie Towarzystwo Przesyłu i Rozdziału Energii Elektrycznej,</w:t>
            </w:r>
          </w:p>
          <w:p w14:paraId="0872B91F"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Branży Fotowoltaicznej – Polska PV,</w:t>
            </w:r>
          </w:p>
          <w:p w14:paraId="34348F16"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Energii Odnawialnej,</w:t>
            </w:r>
          </w:p>
          <w:p w14:paraId="5F621B01"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Forum Rozwoju Efektywnej Energii,</w:t>
            </w:r>
          </w:p>
          <w:p w14:paraId="51B2D14D"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Małej Energetyki Wiatrowej,</w:t>
            </w:r>
          </w:p>
          <w:p w14:paraId="54144BF1"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Papierników Polskich,</w:t>
            </w:r>
          </w:p>
          <w:p w14:paraId="29B235A4" w14:textId="77777777" w:rsidR="00143E56" w:rsidRPr="006B2785" w:rsidRDefault="00143E56" w:rsidP="00143E56">
            <w:pPr>
              <w:numPr>
                <w:ilvl w:val="0"/>
                <w:numId w:val="8"/>
              </w:numPr>
              <w:spacing w:line="240" w:lineRule="auto"/>
              <w:ind w:left="357" w:hanging="357"/>
              <w:jc w:val="both"/>
              <w:rPr>
                <w:rFonts w:ascii="Times New Roman" w:hAnsi="Times New Roman"/>
                <w:color w:val="000000"/>
                <w:spacing w:val="-2"/>
              </w:rPr>
            </w:pPr>
            <w:r w:rsidRPr="00AE2685">
              <w:rPr>
                <w:rFonts w:ascii="Times New Roman" w:hAnsi="Times New Roman"/>
                <w:color w:val="000000"/>
                <w:spacing w:val="-2"/>
              </w:rPr>
              <w:t>Stowarzyszenie Polska Izba Magazynowania Energii</w:t>
            </w:r>
            <w:r>
              <w:rPr>
                <w:rFonts w:ascii="Times New Roman" w:hAnsi="Times New Roman"/>
                <w:color w:val="000000"/>
                <w:spacing w:val="-2"/>
              </w:rPr>
              <w:t>.</w:t>
            </w:r>
          </w:p>
          <w:p w14:paraId="34C0AD4B"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Stowarzyszenie Polska Izba Urbanistów</w:t>
            </w:r>
            <w:r>
              <w:rPr>
                <w:rFonts w:ascii="Times New Roman" w:hAnsi="Times New Roman"/>
              </w:rPr>
              <w:t>,</w:t>
            </w:r>
          </w:p>
          <w:p w14:paraId="5EC4F27B"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Producentów Cementu,</w:t>
            </w:r>
          </w:p>
          <w:p w14:paraId="44974987"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Stowarzyszenie Producentów Energii z Odpadów,</w:t>
            </w:r>
          </w:p>
          <w:p w14:paraId="7AEC88A5"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Stowarzyszenie Producentów i Importerów Urządzeń Grzewczych</w:t>
            </w:r>
            <w:r>
              <w:rPr>
                <w:rFonts w:ascii="Times New Roman" w:hAnsi="Times New Roman"/>
              </w:rPr>
              <w:t>,</w:t>
            </w:r>
          </w:p>
          <w:p w14:paraId="5F432284"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Stowarzyszenie Urbanistów ZOIU</w:t>
            </w:r>
            <w:r>
              <w:rPr>
                <w:rFonts w:ascii="Times New Roman" w:hAnsi="Times New Roman"/>
              </w:rPr>
              <w:t>,</w:t>
            </w:r>
          </w:p>
          <w:p w14:paraId="2D901678" w14:textId="2214A991"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151E8F">
              <w:rPr>
                <w:rFonts w:ascii="Times New Roman" w:hAnsi="Times New Roman"/>
                <w:color w:val="000000"/>
                <w:spacing w:val="-2"/>
              </w:rPr>
              <w:t>Tauron Polska Energia S.A.</w:t>
            </w:r>
            <w:r>
              <w:rPr>
                <w:rFonts w:ascii="Times New Roman" w:hAnsi="Times New Roman"/>
                <w:color w:val="000000"/>
                <w:spacing w:val="-2"/>
              </w:rPr>
              <w:t>,</w:t>
            </w:r>
          </w:p>
          <w:p w14:paraId="0BBABE62"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Towarowa Giełda Energii S.A.</w:t>
            </w:r>
            <w:r>
              <w:rPr>
                <w:rFonts w:ascii="Times New Roman" w:hAnsi="Times New Roman"/>
              </w:rPr>
              <w:t>,</w:t>
            </w:r>
          </w:p>
          <w:p w14:paraId="16265F57"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Towarzystwo Elektrowni Wodnych,</w:t>
            </w:r>
          </w:p>
          <w:p w14:paraId="592446C0"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Towarzystwo Gospodarcze Polskie Elektrownie,</w:t>
            </w:r>
          </w:p>
          <w:p w14:paraId="5FBB0BCA" w14:textId="77777777" w:rsidR="00143E56" w:rsidRPr="00BD0980"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hAnsi="Times New Roman"/>
              </w:rPr>
              <w:t>Towarzystwo Obrotu Energią (TOE)</w:t>
            </w:r>
            <w:r>
              <w:rPr>
                <w:rFonts w:ascii="Times New Roman" w:hAnsi="Times New Roman"/>
              </w:rPr>
              <w:t>,</w:t>
            </w:r>
          </w:p>
          <w:p w14:paraId="25C02EA2"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Towarzystwo Rozwoju Małych Elektrowni Wodnych,</w:t>
            </w:r>
          </w:p>
          <w:p w14:paraId="58C9C60E" w14:textId="77777777" w:rsidR="00143E56" w:rsidRPr="00457344"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Unia Producentów i Pracodawców Przemysłu Biogazowego,</w:t>
            </w:r>
          </w:p>
          <w:p w14:paraId="4FBFF2AF" w14:textId="7ECD0C6B" w:rsidR="00143E56" w:rsidRDefault="00143E56" w:rsidP="00143E56">
            <w:pPr>
              <w:numPr>
                <w:ilvl w:val="0"/>
                <w:numId w:val="8"/>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Związek Banków Polskich</w:t>
            </w:r>
            <w:r>
              <w:rPr>
                <w:rFonts w:ascii="Times New Roman" w:hAnsi="Times New Roman"/>
                <w:color w:val="000000"/>
                <w:spacing w:val="-2"/>
              </w:rPr>
              <w:t>,</w:t>
            </w:r>
          </w:p>
          <w:p w14:paraId="11CDF71F" w14:textId="3A5C7FFA" w:rsidR="00143E56" w:rsidRDefault="00143E56" w:rsidP="00143E56">
            <w:pPr>
              <w:numPr>
                <w:ilvl w:val="0"/>
                <w:numId w:val="8"/>
              </w:numPr>
              <w:spacing w:line="240" w:lineRule="auto"/>
              <w:ind w:left="357" w:hanging="357"/>
              <w:jc w:val="both"/>
              <w:rPr>
                <w:rFonts w:ascii="Times New Roman" w:hAnsi="Times New Roman"/>
                <w:color w:val="000000"/>
                <w:spacing w:val="-2"/>
              </w:rPr>
            </w:pPr>
            <w:r w:rsidRPr="00BD0980">
              <w:rPr>
                <w:rFonts w:ascii="Times New Roman" w:eastAsia="Times New Roman" w:hAnsi="Times New Roman"/>
                <w:color w:val="000000"/>
                <w:lang w:eastAsia="pl-PL"/>
              </w:rPr>
              <w:t>Związek Gmin Wiejskich Rzeczypospolitej Polskiej</w:t>
            </w:r>
            <w:r>
              <w:rPr>
                <w:rFonts w:ascii="Times New Roman" w:eastAsia="Times New Roman" w:hAnsi="Times New Roman"/>
                <w:color w:val="000000"/>
                <w:lang w:eastAsia="pl-PL"/>
              </w:rPr>
              <w:t>.</w:t>
            </w:r>
          </w:p>
          <w:p w14:paraId="404BE278" w14:textId="7DBFE212" w:rsidR="00143E56" w:rsidRDefault="00143E56" w:rsidP="00143E56">
            <w:pPr>
              <w:spacing w:before="120" w:after="120" w:line="240" w:lineRule="auto"/>
              <w:jc w:val="both"/>
              <w:rPr>
                <w:rFonts w:ascii="Times New Roman" w:hAnsi="Times New Roman"/>
                <w:color w:val="000000"/>
                <w:spacing w:val="-2"/>
              </w:rPr>
            </w:pPr>
            <w:r>
              <w:rPr>
                <w:rFonts w:ascii="Times New Roman" w:hAnsi="Times New Roman"/>
                <w:color w:val="000000"/>
                <w:spacing w:val="-2"/>
              </w:rPr>
              <w:t>P</w:t>
            </w:r>
            <w:r w:rsidRPr="00CB6F96">
              <w:rPr>
                <w:rFonts w:ascii="Times New Roman" w:hAnsi="Times New Roman"/>
                <w:color w:val="000000"/>
                <w:spacing w:val="-2"/>
              </w:rPr>
              <w:t>rojekt zostanie przekazany do zaopiniowania (</w:t>
            </w:r>
            <w:r>
              <w:rPr>
                <w:rFonts w:ascii="Times New Roman" w:hAnsi="Times New Roman"/>
                <w:color w:val="000000"/>
                <w:spacing w:val="-2"/>
              </w:rPr>
              <w:t>21</w:t>
            </w:r>
            <w:r w:rsidRPr="00CB6F96">
              <w:rPr>
                <w:rFonts w:ascii="Times New Roman" w:hAnsi="Times New Roman"/>
                <w:color w:val="000000"/>
                <w:spacing w:val="-2"/>
              </w:rPr>
              <w:t xml:space="preserve"> dni) następującym podmiotom:</w:t>
            </w:r>
            <w:bookmarkStart w:id="8" w:name="_Hlk107225656"/>
          </w:p>
          <w:p w14:paraId="74AFB67A" w14:textId="2FC1C7B6" w:rsidR="00143E56" w:rsidRPr="00457344" w:rsidRDefault="00143E56" w:rsidP="00143E56">
            <w:pPr>
              <w:numPr>
                <w:ilvl w:val="0"/>
                <w:numId w:val="9"/>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Urz</w:t>
            </w:r>
            <w:r>
              <w:rPr>
                <w:rFonts w:ascii="Times New Roman" w:hAnsi="Times New Roman"/>
                <w:color w:val="000000"/>
                <w:spacing w:val="-2"/>
              </w:rPr>
              <w:t>ą</w:t>
            </w:r>
            <w:r w:rsidRPr="00457344">
              <w:rPr>
                <w:rFonts w:ascii="Times New Roman" w:hAnsi="Times New Roman"/>
                <w:color w:val="000000"/>
                <w:spacing w:val="-2"/>
              </w:rPr>
              <w:t>d Ochrony Konkurencji i Konsumentów,</w:t>
            </w:r>
          </w:p>
          <w:p w14:paraId="13F85F7B" w14:textId="3064F068" w:rsidR="00143E56" w:rsidRPr="00457344" w:rsidRDefault="00143E56" w:rsidP="00143E56">
            <w:pPr>
              <w:numPr>
                <w:ilvl w:val="0"/>
                <w:numId w:val="9"/>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Urz</w:t>
            </w:r>
            <w:r>
              <w:rPr>
                <w:rFonts w:ascii="Times New Roman" w:hAnsi="Times New Roman"/>
                <w:color w:val="000000"/>
                <w:spacing w:val="-2"/>
              </w:rPr>
              <w:t>ą</w:t>
            </w:r>
            <w:r w:rsidRPr="00457344">
              <w:rPr>
                <w:rFonts w:ascii="Times New Roman" w:hAnsi="Times New Roman"/>
                <w:color w:val="000000"/>
                <w:spacing w:val="-2"/>
              </w:rPr>
              <w:t>d Regulacji Energetyki,</w:t>
            </w:r>
          </w:p>
          <w:p w14:paraId="3A73C095" w14:textId="17F59786" w:rsidR="00143E56" w:rsidRPr="00457344" w:rsidRDefault="00143E56" w:rsidP="00143E56">
            <w:pPr>
              <w:numPr>
                <w:ilvl w:val="0"/>
                <w:numId w:val="9"/>
              </w:numPr>
              <w:spacing w:line="240" w:lineRule="auto"/>
              <w:ind w:left="357" w:hanging="357"/>
              <w:jc w:val="both"/>
              <w:rPr>
                <w:rFonts w:ascii="Times New Roman" w:hAnsi="Times New Roman"/>
                <w:color w:val="000000"/>
                <w:spacing w:val="-2"/>
              </w:rPr>
            </w:pPr>
            <w:bookmarkStart w:id="9" w:name="_Hlk107224683"/>
            <w:r w:rsidRPr="00457344">
              <w:rPr>
                <w:rFonts w:ascii="Times New Roman" w:hAnsi="Times New Roman"/>
                <w:color w:val="000000"/>
                <w:spacing w:val="-2"/>
              </w:rPr>
              <w:t>Krajow</w:t>
            </w:r>
            <w:r>
              <w:rPr>
                <w:rFonts w:ascii="Times New Roman" w:hAnsi="Times New Roman"/>
                <w:color w:val="000000"/>
                <w:spacing w:val="-2"/>
              </w:rPr>
              <w:t>y</w:t>
            </w:r>
            <w:r w:rsidRPr="00457344">
              <w:rPr>
                <w:rFonts w:ascii="Times New Roman" w:hAnsi="Times New Roman"/>
                <w:color w:val="000000"/>
                <w:spacing w:val="-2"/>
              </w:rPr>
              <w:t xml:space="preserve"> Ośrod</w:t>
            </w:r>
            <w:r>
              <w:rPr>
                <w:rFonts w:ascii="Times New Roman" w:hAnsi="Times New Roman"/>
                <w:color w:val="000000"/>
                <w:spacing w:val="-2"/>
              </w:rPr>
              <w:t>e</w:t>
            </w:r>
            <w:r w:rsidRPr="00457344">
              <w:rPr>
                <w:rFonts w:ascii="Times New Roman" w:hAnsi="Times New Roman"/>
                <w:color w:val="000000"/>
                <w:spacing w:val="-2"/>
              </w:rPr>
              <w:t>k Wsparcia Rolnictwa,</w:t>
            </w:r>
            <w:bookmarkEnd w:id="9"/>
          </w:p>
          <w:p w14:paraId="05AFF83D" w14:textId="7771454E" w:rsidR="00143E56" w:rsidRPr="00457344" w:rsidRDefault="00143E56" w:rsidP="00143E56">
            <w:pPr>
              <w:numPr>
                <w:ilvl w:val="0"/>
                <w:numId w:val="9"/>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Prokuratori</w:t>
            </w:r>
            <w:r>
              <w:rPr>
                <w:rFonts w:ascii="Times New Roman" w:hAnsi="Times New Roman"/>
                <w:color w:val="000000"/>
                <w:spacing w:val="-2"/>
              </w:rPr>
              <w:t>a</w:t>
            </w:r>
            <w:r w:rsidRPr="00457344">
              <w:rPr>
                <w:rFonts w:ascii="Times New Roman" w:hAnsi="Times New Roman"/>
                <w:color w:val="000000"/>
                <w:spacing w:val="-2"/>
              </w:rPr>
              <w:t xml:space="preserve"> Generaln</w:t>
            </w:r>
            <w:r>
              <w:rPr>
                <w:rFonts w:ascii="Times New Roman" w:hAnsi="Times New Roman"/>
                <w:color w:val="000000"/>
                <w:spacing w:val="-2"/>
              </w:rPr>
              <w:t>a</w:t>
            </w:r>
            <w:r w:rsidRPr="00457344">
              <w:rPr>
                <w:rFonts w:ascii="Times New Roman" w:hAnsi="Times New Roman"/>
                <w:color w:val="000000"/>
                <w:spacing w:val="-2"/>
              </w:rPr>
              <w:t xml:space="preserve"> Rzeczypospolitej Polskiej,</w:t>
            </w:r>
          </w:p>
          <w:p w14:paraId="4AD2E30C" w14:textId="77777777" w:rsidR="00143E56" w:rsidRPr="00457344" w:rsidRDefault="00143E56" w:rsidP="00143E56">
            <w:pPr>
              <w:numPr>
                <w:ilvl w:val="0"/>
                <w:numId w:val="9"/>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Rzecznik Małych i Średnich Przedsiębiorców,</w:t>
            </w:r>
          </w:p>
          <w:p w14:paraId="50D6D4D8" w14:textId="77777777" w:rsidR="00143E56" w:rsidRDefault="00143E56" w:rsidP="00143E56">
            <w:pPr>
              <w:numPr>
                <w:ilvl w:val="0"/>
                <w:numId w:val="9"/>
              </w:numPr>
              <w:spacing w:line="240" w:lineRule="auto"/>
              <w:ind w:left="357" w:hanging="357"/>
              <w:jc w:val="both"/>
              <w:rPr>
                <w:rFonts w:ascii="Times New Roman" w:hAnsi="Times New Roman"/>
                <w:color w:val="000000"/>
                <w:spacing w:val="-2"/>
              </w:rPr>
            </w:pPr>
            <w:r w:rsidRPr="00457344">
              <w:rPr>
                <w:rFonts w:ascii="Times New Roman" w:hAnsi="Times New Roman"/>
                <w:color w:val="000000"/>
                <w:spacing w:val="-2"/>
              </w:rPr>
              <w:t>Młodzieżowa Rada Klimatyczna</w:t>
            </w:r>
            <w:r>
              <w:rPr>
                <w:rFonts w:ascii="Times New Roman" w:hAnsi="Times New Roman"/>
                <w:color w:val="000000"/>
                <w:spacing w:val="-2"/>
              </w:rPr>
              <w:t>,</w:t>
            </w:r>
          </w:p>
          <w:p w14:paraId="616A1F4C" w14:textId="169D5954" w:rsidR="00143E56" w:rsidRDefault="00143E56" w:rsidP="00143E56">
            <w:pPr>
              <w:numPr>
                <w:ilvl w:val="0"/>
                <w:numId w:val="9"/>
              </w:numPr>
              <w:spacing w:line="240" w:lineRule="auto"/>
              <w:ind w:left="357" w:hanging="357"/>
              <w:jc w:val="both"/>
              <w:rPr>
                <w:rFonts w:ascii="Times New Roman" w:hAnsi="Times New Roman"/>
                <w:color w:val="000000"/>
                <w:spacing w:val="-2"/>
              </w:rPr>
            </w:pPr>
            <w:r>
              <w:rPr>
                <w:rFonts w:ascii="Times New Roman" w:hAnsi="Times New Roman"/>
                <w:color w:val="000000"/>
                <w:spacing w:val="-2"/>
              </w:rPr>
              <w:t>Generalna Dyrekcja Ochrony Środowiska,</w:t>
            </w:r>
          </w:p>
          <w:p w14:paraId="7048E964" w14:textId="00B29FA1" w:rsidR="00143E56" w:rsidRDefault="00143E56" w:rsidP="00143E56">
            <w:pPr>
              <w:numPr>
                <w:ilvl w:val="0"/>
                <w:numId w:val="9"/>
              </w:numPr>
              <w:spacing w:line="240" w:lineRule="auto"/>
              <w:ind w:left="357" w:hanging="357"/>
              <w:jc w:val="both"/>
              <w:rPr>
                <w:rFonts w:ascii="Times New Roman" w:hAnsi="Times New Roman"/>
                <w:color w:val="000000"/>
                <w:spacing w:val="-2"/>
              </w:rPr>
            </w:pPr>
            <w:r>
              <w:rPr>
                <w:rFonts w:ascii="Times New Roman" w:hAnsi="Times New Roman"/>
                <w:color w:val="000000"/>
                <w:spacing w:val="-2"/>
              </w:rPr>
              <w:t>Główny Urząd Nadzoru Budowlanego</w:t>
            </w:r>
            <w:bookmarkEnd w:id="8"/>
            <w:r w:rsidR="008A4BB1">
              <w:rPr>
                <w:rFonts w:ascii="Times New Roman" w:hAnsi="Times New Roman"/>
                <w:color w:val="000000"/>
                <w:spacing w:val="-2"/>
              </w:rPr>
              <w:t>.</w:t>
            </w:r>
          </w:p>
          <w:p w14:paraId="145216E5" w14:textId="67C00C93" w:rsidR="00143E56" w:rsidRDefault="00143E56" w:rsidP="00143E56">
            <w:pPr>
              <w:spacing w:before="120" w:after="120" w:line="240" w:lineRule="auto"/>
              <w:jc w:val="both"/>
              <w:rPr>
                <w:rFonts w:ascii="Times New Roman" w:hAnsi="Times New Roman"/>
                <w:color w:val="000000"/>
                <w:spacing w:val="-2"/>
              </w:rPr>
            </w:pPr>
            <w:r w:rsidRPr="00384004">
              <w:rPr>
                <w:rFonts w:ascii="Times New Roman" w:hAnsi="Times New Roman"/>
                <w:color w:val="000000"/>
                <w:spacing w:val="-2"/>
              </w:rPr>
              <w:t xml:space="preserve">Z uwagi na zakres projektu, który nie dotyczy zadań związków zawodowych, projekt nie podlega opiniowaniu przez reprezentatywne związki zawodowe. </w:t>
            </w:r>
          </w:p>
          <w:p w14:paraId="1017E83C" w14:textId="36BD3975" w:rsidR="00143E56" w:rsidRPr="002D7FA9" w:rsidRDefault="00143E56" w:rsidP="00143E56">
            <w:pPr>
              <w:spacing w:before="120" w:after="120" w:line="240" w:lineRule="auto"/>
              <w:jc w:val="both"/>
              <w:rPr>
                <w:rFonts w:ascii="Times New Roman" w:hAnsi="Times New Roman"/>
                <w:color w:val="000000"/>
                <w:spacing w:val="-2"/>
              </w:rPr>
            </w:pPr>
            <w:r w:rsidRPr="002D7FA9">
              <w:rPr>
                <w:rFonts w:ascii="Times New Roman" w:hAnsi="Times New Roman"/>
                <w:color w:val="000000"/>
                <w:spacing w:val="-2"/>
              </w:rPr>
              <w:t>Z uwagi na zakres projektu, który dotyczy praw i interesów związków pracodawców, projekt podlega opiniowaniu przez reprezentatywne organizacje pracodawców</w:t>
            </w:r>
            <w:r>
              <w:rPr>
                <w:rFonts w:ascii="Times New Roman" w:hAnsi="Times New Roman"/>
                <w:color w:val="000000"/>
                <w:spacing w:val="-2"/>
              </w:rPr>
              <w:t xml:space="preserve">. </w:t>
            </w:r>
            <w:r w:rsidRPr="00384004">
              <w:rPr>
                <w:rFonts w:ascii="Times New Roman" w:hAnsi="Times New Roman"/>
                <w:color w:val="000000"/>
                <w:spacing w:val="-2"/>
              </w:rPr>
              <w:t>Projekt zostanie przekazany (21 dni) do następujących reprezentatywnych organizacji pracodawców:</w:t>
            </w:r>
          </w:p>
          <w:p w14:paraId="79DFD1C9" w14:textId="77777777" w:rsidR="00143E56" w:rsidRPr="002D7FA9" w:rsidRDefault="00143E56" w:rsidP="00143E56">
            <w:pPr>
              <w:pStyle w:val="Akapitzlist"/>
              <w:numPr>
                <w:ilvl w:val="0"/>
                <w:numId w:val="2"/>
              </w:numPr>
              <w:spacing w:line="240" w:lineRule="auto"/>
              <w:ind w:left="284" w:hanging="284"/>
              <w:jc w:val="both"/>
              <w:rPr>
                <w:rFonts w:ascii="Times New Roman" w:hAnsi="Times New Roman"/>
              </w:rPr>
            </w:pPr>
            <w:r w:rsidRPr="002D7FA9">
              <w:rPr>
                <w:rFonts w:ascii="Times New Roman" w:hAnsi="Times New Roman"/>
              </w:rPr>
              <w:t>Pracodawcy RP,</w:t>
            </w:r>
          </w:p>
          <w:p w14:paraId="1A80167D" w14:textId="77777777" w:rsidR="00143E56" w:rsidRPr="002D7FA9" w:rsidRDefault="00143E56" w:rsidP="00143E56">
            <w:pPr>
              <w:pStyle w:val="Akapitzlist"/>
              <w:numPr>
                <w:ilvl w:val="0"/>
                <w:numId w:val="2"/>
              </w:numPr>
              <w:spacing w:line="240" w:lineRule="auto"/>
              <w:ind w:left="284" w:hanging="284"/>
              <w:jc w:val="both"/>
              <w:rPr>
                <w:rFonts w:ascii="Times New Roman" w:hAnsi="Times New Roman"/>
              </w:rPr>
            </w:pPr>
            <w:r w:rsidRPr="002D7FA9">
              <w:rPr>
                <w:rFonts w:ascii="Times New Roman" w:hAnsi="Times New Roman"/>
              </w:rPr>
              <w:t>Konfederacja Lewiatan,</w:t>
            </w:r>
          </w:p>
          <w:p w14:paraId="3EEB86A9" w14:textId="77777777" w:rsidR="00143E56" w:rsidRPr="002D7FA9" w:rsidRDefault="00143E56" w:rsidP="00143E56">
            <w:pPr>
              <w:pStyle w:val="Akapitzlist"/>
              <w:numPr>
                <w:ilvl w:val="0"/>
                <w:numId w:val="2"/>
              </w:numPr>
              <w:spacing w:line="240" w:lineRule="auto"/>
              <w:ind w:left="284" w:hanging="284"/>
              <w:jc w:val="both"/>
              <w:rPr>
                <w:rFonts w:ascii="Times New Roman" w:hAnsi="Times New Roman"/>
              </w:rPr>
            </w:pPr>
            <w:r w:rsidRPr="002D7FA9">
              <w:rPr>
                <w:rFonts w:ascii="Times New Roman" w:hAnsi="Times New Roman"/>
              </w:rPr>
              <w:t>Związek Rzemiosła Polskiego,</w:t>
            </w:r>
          </w:p>
          <w:p w14:paraId="6C99E5A5" w14:textId="4DAF44E2" w:rsidR="00143E56" w:rsidRPr="002D7FA9" w:rsidRDefault="00143E56" w:rsidP="00143E56">
            <w:pPr>
              <w:pStyle w:val="Akapitzlist"/>
              <w:numPr>
                <w:ilvl w:val="0"/>
                <w:numId w:val="2"/>
              </w:numPr>
              <w:spacing w:line="240" w:lineRule="auto"/>
              <w:ind w:left="284" w:hanging="284"/>
              <w:jc w:val="both"/>
              <w:rPr>
                <w:rFonts w:ascii="Times New Roman" w:hAnsi="Times New Roman"/>
              </w:rPr>
            </w:pPr>
            <w:r w:rsidRPr="002D7FA9">
              <w:rPr>
                <w:rFonts w:ascii="Times New Roman" w:hAnsi="Times New Roman"/>
              </w:rPr>
              <w:t>Związek Pracodawców Business Centre Club,</w:t>
            </w:r>
          </w:p>
          <w:p w14:paraId="3CED22D7" w14:textId="77777777" w:rsidR="00143E56" w:rsidRDefault="00143E56" w:rsidP="00143E56">
            <w:pPr>
              <w:pStyle w:val="Akapitzlist"/>
              <w:numPr>
                <w:ilvl w:val="0"/>
                <w:numId w:val="2"/>
              </w:numPr>
              <w:spacing w:line="240" w:lineRule="auto"/>
              <w:ind w:left="284" w:hanging="284"/>
              <w:jc w:val="both"/>
              <w:rPr>
                <w:rFonts w:ascii="Times New Roman" w:hAnsi="Times New Roman"/>
              </w:rPr>
            </w:pPr>
            <w:r w:rsidRPr="002D7FA9">
              <w:rPr>
                <w:rFonts w:ascii="Times New Roman" w:hAnsi="Times New Roman"/>
              </w:rPr>
              <w:t>Związek Przedsiębiorców i Pracodawców</w:t>
            </w:r>
            <w:r>
              <w:rPr>
                <w:rFonts w:ascii="Times New Roman" w:hAnsi="Times New Roman"/>
              </w:rPr>
              <w:t>,</w:t>
            </w:r>
          </w:p>
          <w:p w14:paraId="087FA5AD" w14:textId="084482E8" w:rsidR="00143E56" w:rsidRDefault="00143E56" w:rsidP="00143E56">
            <w:pPr>
              <w:pStyle w:val="Akapitzlist"/>
              <w:numPr>
                <w:ilvl w:val="0"/>
                <w:numId w:val="2"/>
              </w:numPr>
              <w:spacing w:line="240" w:lineRule="auto"/>
              <w:ind w:left="284" w:hanging="284"/>
              <w:jc w:val="both"/>
              <w:rPr>
                <w:rFonts w:ascii="Times New Roman" w:hAnsi="Times New Roman"/>
              </w:rPr>
            </w:pPr>
            <w:r w:rsidRPr="00D84736">
              <w:rPr>
                <w:rFonts w:ascii="Times New Roman" w:hAnsi="Times New Roman"/>
              </w:rPr>
              <w:t>Federacja Przedsiębiorców Polskich</w:t>
            </w:r>
            <w:r w:rsidR="008A4BB1">
              <w:rPr>
                <w:rFonts w:ascii="Times New Roman" w:hAnsi="Times New Roman"/>
              </w:rPr>
              <w:t>,</w:t>
            </w:r>
          </w:p>
          <w:p w14:paraId="16BF3230" w14:textId="18E68881" w:rsidR="008A4BB1" w:rsidRPr="00070A0C" w:rsidRDefault="008A4BB1" w:rsidP="00143E56">
            <w:pPr>
              <w:pStyle w:val="Akapitzlist"/>
              <w:numPr>
                <w:ilvl w:val="0"/>
                <w:numId w:val="2"/>
              </w:numPr>
              <w:spacing w:line="240" w:lineRule="auto"/>
              <w:ind w:left="284" w:hanging="284"/>
              <w:jc w:val="both"/>
              <w:rPr>
                <w:rFonts w:ascii="Times New Roman" w:hAnsi="Times New Roman"/>
              </w:rPr>
            </w:pPr>
            <w:r w:rsidRPr="008A4BB1">
              <w:rPr>
                <w:rFonts w:ascii="Times New Roman" w:hAnsi="Times New Roman"/>
              </w:rPr>
              <w:t>Polskie Towarzystwo Gospodarcze</w:t>
            </w:r>
            <w:r>
              <w:rPr>
                <w:rFonts w:ascii="Times New Roman" w:hAnsi="Times New Roman"/>
              </w:rPr>
              <w:t>.</w:t>
            </w:r>
          </w:p>
          <w:p w14:paraId="1D63F52E" w14:textId="0BF29968" w:rsidR="00143E56" w:rsidRPr="00384004" w:rsidRDefault="00143E56" w:rsidP="00143E56">
            <w:pPr>
              <w:spacing w:before="120" w:after="120" w:line="240" w:lineRule="auto"/>
              <w:jc w:val="both"/>
              <w:rPr>
                <w:rFonts w:ascii="Times New Roman" w:hAnsi="Times New Roman"/>
                <w:color w:val="000000"/>
                <w:spacing w:val="-2"/>
              </w:rPr>
            </w:pPr>
            <w:r w:rsidRPr="00384004">
              <w:rPr>
                <w:rFonts w:ascii="Times New Roman" w:hAnsi="Times New Roman"/>
                <w:color w:val="000000"/>
                <w:spacing w:val="-2"/>
              </w:rPr>
              <w:lastRenderedPageBreak/>
              <w:t xml:space="preserve">Projekt podlega opiniowaniu przez Komisję Wspólną Rządu i Samorządu Terytorialnego, gdyż dotyczy spraw związanych z samorządem terytorialnym, o których mowa w ustawie z dnia 6 maja 2005 r. o Komisji Wspólnej Rządu i Samorządu Terytorialnego oraz o przedstawicielach Rzeczypospolitej Polskiej w Komitecie Regionów Unii Europejskiej. </w:t>
            </w:r>
          </w:p>
          <w:p w14:paraId="5A27BEDE" w14:textId="74F3D27E" w:rsidR="00143E56" w:rsidRPr="00384004" w:rsidRDefault="00143E56" w:rsidP="00143E56">
            <w:pPr>
              <w:spacing w:before="120" w:after="120" w:line="240" w:lineRule="auto"/>
              <w:jc w:val="both"/>
              <w:rPr>
                <w:rFonts w:ascii="Times New Roman" w:hAnsi="Times New Roman"/>
                <w:color w:val="000000"/>
                <w:spacing w:val="-2"/>
              </w:rPr>
            </w:pPr>
            <w:r w:rsidRPr="00384004">
              <w:rPr>
                <w:rFonts w:ascii="Times New Roman" w:hAnsi="Times New Roman"/>
                <w:color w:val="000000"/>
                <w:spacing w:val="-2"/>
              </w:rPr>
              <w:t>Projekt nie dotyczy spraw, o których mowa w art. 1 ustawy z dnia 24 lipca 2015 r. o Radzie Dialogu Społecznego i innych instytucjach dialogu społecznego, wobec czego nie wymaga zaopiniowania przez RDS.</w:t>
            </w:r>
          </w:p>
          <w:p w14:paraId="4EA0B021" w14:textId="48DF0FF4" w:rsidR="00143E56" w:rsidRPr="00384004" w:rsidRDefault="00143E56" w:rsidP="00143E56">
            <w:pPr>
              <w:spacing w:before="120" w:after="120" w:line="240" w:lineRule="auto"/>
              <w:jc w:val="both"/>
              <w:rPr>
                <w:rFonts w:ascii="Times New Roman" w:hAnsi="Times New Roman"/>
                <w:color w:val="000000"/>
                <w:spacing w:val="-2"/>
              </w:rPr>
            </w:pPr>
            <w:r w:rsidRPr="00384004">
              <w:rPr>
                <w:rFonts w:ascii="Times New Roman" w:hAnsi="Times New Roman"/>
                <w:color w:val="000000"/>
                <w:spacing w:val="-2"/>
              </w:rPr>
              <w:t>Projekt ustawy nie wymaga przedstawienia właściwym instytucjom i organom Unii Europejskiej, w tym Europejskiemu Bankowi Centralnemu, celem uzyskania opinii, dokonania powiadomienia, konsultacji albo uzgodnienia projektu.</w:t>
            </w:r>
          </w:p>
          <w:p w14:paraId="5553CA80" w14:textId="4832668E" w:rsidR="00143E56" w:rsidRPr="002E7EB1" w:rsidRDefault="00143E56" w:rsidP="00143E56">
            <w:pPr>
              <w:spacing w:before="120" w:after="120" w:line="240" w:lineRule="auto"/>
              <w:jc w:val="both"/>
            </w:pPr>
            <w:r w:rsidRPr="00DB62B5">
              <w:rPr>
                <w:rFonts w:ascii="Times New Roman" w:hAnsi="Times New Roman"/>
                <w:color w:val="000000"/>
                <w:spacing w:val="-2"/>
              </w:rPr>
              <w:t>Wyniki opiniowania i konsultacji publicznych zostaną omówione w raporcie z konsultacji, zawierającym zestawienie przedstawionych stanowisk lub opinii i odniesienie się do nich przez organ wnioskujący, udostępnionym na stronie Rządowego Centrum Legislacji, w zakładce Rządowy Proces Legislacyjny, najpóźniej z dniem przekazania projektu na kolejny etap prac legislacyjnych.</w:t>
            </w:r>
            <w:r>
              <w:rPr>
                <w:rFonts w:ascii="Times New Roman" w:hAnsi="Times New Roman"/>
                <w:color w:val="000000"/>
                <w:spacing w:val="-2"/>
              </w:rPr>
              <w:t xml:space="preserve"> </w:t>
            </w:r>
          </w:p>
        </w:tc>
      </w:tr>
      <w:tr w:rsidR="00143E56" w:rsidRPr="00A87B3A" w14:paraId="6D7D1665" w14:textId="77777777" w:rsidTr="002069ED">
        <w:trPr>
          <w:gridAfter w:val="1"/>
          <w:wAfter w:w="12" w:type="dxa"/>
          <w:trHeight w:val="363"/>
        </w:trPr>
        <w:tc>
          <w:tcPr>
            <w:tcW w:w="11173" w:type="dxa"/>
            <w:gridSpan w:val="24"/>
            <w:shd w:val="clear" w:color="auto" w:fill="99CCFF"/>
            <w:vAlign w:val="center"/>
          </w:tcPr>
          <w:p w14:paraId="4B509551" w14:textId="77777777" w:rsidR="00143E56" w:rsidRPr="00A87B3A" w:rsidRDefault="00143E56" w:rsidP="00143E56">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color w:val="000000"/>
              </w:rPr>
              <w:lastRenderedPageBreak/>
              <w:t xml:space="preserve"> Wpływ na sektor finansów publicznych</w:t>
            </w:r>
          </w:p>
        </w:tc>
      </w:tr>
      <w:tr w:rsidR="00143E56" w:rsidRPr="00A87B3A" w14:paraId="0105ED96" w14:textId="77777777" w:rsidTr="00532E75">
        <w:trPr>
          <w:gridAfter w:val="1"/>
          <w:wAfter w:w="12" w:type="dxa"/>
          <w:trHeight w:val="142"/>
        </w:trPr>
        <w:tc>
          <w:tcPr>
            <w:tcW w:w="2723" w:type="dxa"/>
            <w:gridSpan w:val="4"/>
            <w:vMerge w:val="restart"/>
            <w:shd w:val="clear" w:color="auto" w:fill="FFFFFF"/>
          </w:tcPr>
          <w:p w14:paraId="72D115F4" w14:textId="77777777" w:rsidR="00143E56" w:rsidRPr="00A87B3A" w:rsidRDefault="00143E56" w:rsidP="00143E56">
            <w:pPr>
              <w:spacing w:line="240" w:lineRule="auto"/>
              <w:rPr>
                <w:rFonts w:ascii="Times New Roman" w:hAnsi="Times New Roman"/>
                <w:i/>
                <w:color w:val="000000"/>
              </w:rPr>
            </w:pPr>
            <w:r w:rsidRPr="00A87B3A">
              <w:rPr>
                <w:rFonts w:ascii="Times New Roman" w:hAnsi="Times New Roman"/>
                <w:color w:val="000000"/>
              </w:rPr>
              <w:t>(ceny stałe z …… r.)</w:t>
            </w:r>
          </w:p>
        </w:tc>
        <w:tc>
          <w:tcPr>
            <w:tcW w:w="8450" w:type="dxa"/>
            <w:gridSpan w:val="20"/>
            <w:shd w:val="clear" w:color="auto" w:fill="FFFFFF"/>
          </w:tcPr>
          <w:p w14:paraId="5A4415D2" w14:textId="77777777" w:rsidR="00143E56" w:rsidRPr="00A87B3A" w:rsidRDefault="00143E56" w:rsidP="00143E56">
            <w:pPr>
              <w:spacing w:line="240" w:lineRule="auto"/>
              <w:jc w:val="center"/>
              <w:rPr>
                <w:rFonts w:ascii="Times New Roman" w:hAnsi="Times New Roman"/>
                <w:i/>
                <w:color w:val="000000"/>
                <w:spacing w:val="-2"/>
              </w:rPr>
            </w:pPr>
            <w:r w:rsidRPr="00A87B3A">
              <w:rPr>
                <w:rFonts w:ascii="Times New Roman" w:hAnsi="Times New Roman"/>
                <w:color w:val="000000"/>
              </w:rPr>
              <w:t>Skutki w okresie 10 lat od wejścia w życie zmian [mln zł]</w:t>
            </w:r>
          </w:p>
        </w:tc>
      </w:tr>
      <w:tr w:rsidR="00143E56" w:rsidRPr="00A87B3A" w14:paraId="703AD465" w14:textId="77777777" w:rsidTr="00532E75">
        <w:trPr>
          <w:gridAfter w:val="1"/>
          <w:wAfter w:w="12" w:type="dxa"/>
          <w:trHeight w:val="142"/>
        </w:trPr>
        <w:tc>
          <w:tcPr>
            <w:tcW w:w="2723" w:type="dxa"/>
            <w:gridSpan w:val="4"/>
            <w:vMerge/>
            <w:shd w:val="clear" w:color="auto" w:fill="FFFFFF"/>
          </w:tcPr>
          <w:p w14:paraId="5B78543B" w14:textId="77777777" w:rsidR="00143E56" w:rsidRPr="00A87B3A" w:rsidRDefault="00143E56" w:rsidP="00143E56">
            <w:pPr>
              <w:spacing w:line="240" w:lineRule="auto"/>
              <w:rPr>
                <w:rFonts w:ascii="Times New Roman" w:hAnsi="Times New Roman"/>
                <w:i/>
                <w:color w:val="000000"/>
              </w:rPr>
            </w:pPr>
          </w:p>
        </w:tc>
        <w:tc>
          <w:tcPr>
            <w:tcW w:w="709" w:type="dxa"/>
            <w:shd w:val="clear" w:color="auto" w:fill="FFFFFF"/>
          </w:tcPr>
          <w:p w14:paraId="324432E1" w14:textId="07200C32"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0</w:t>
            </w:r>
          </w:p>
        </w:tc>
        <w:tc>
          <w:tcPr>
            <w:tcW w:w="708" w:type="dxa"/>
            <w:gridSpan w:val="2"/>
            <w:shd w:val="clear" w:color="auto" w:fill="FFFFFF"/>
          </w:tcPr>
          <w:p w14:paraId="7D609FB3" w14:textId="26F470AC"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1</w:t>
            </w:r>
          </w:p>
        </w:tc>
        <w:tc>
          <w:tcPr>
            <w:tcW w:w="709" w:type="dxa"/>
            <w:shd w:val="clear" w:color="auto" w:fill="FFFFFF"/>
          </w:tcPr>
          <w:p w14:paraId="7EDB9E8B" w14:textId="4ED3E4F7"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2</w:t>
            </w:r>
          </w:p>
        </w:tc>
        <w:tc>
          <w:tcPr>
            <w:tcW w:w="709" w:type="dxa"/>
            <w:shd w:val="clear" w:color="auto" w:fill="FFFFFF"/>
          </w:tcPr>
          <w:p w14:paraId="4A5E38E6" w14:textId="52194736"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3</w:t>
            </w:r>
          </w:p>
        </w:tc>
        <w:tc>
          <w:tcPr>
            <w:tcW w:w="709" w:type="dxa"/>
            <w:gridSpan w:val="3"/>
            <w:shd w:val="clear" w:color="auto" w:fill="FFFFFF"/>
          </w:tcPr>
          <w:p w14:paraId="1BB9B9E1" w14:textId="270597B1"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4</w:t>
            </w:r>
          </w:p>
        </w:tc>
        <w:tc>
          <w:tcPr>
            <w:tcW w:w="708" w:type="dxa"/>
            <w:gridSpan w:val="2"/>
            <w:shd w:val="clear" w:color="auto" w:fill="FFFFFF"/>
          </w:tcPr>
          <w:p w14:paraId="3F1CBCE9" w14:textId="3D3F6898"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5</w:t>
            </w:r>
          </w:p>
        </w:tc>
        <w:tc>
          <w:tcPr>
            <w:tcW w:w="709" w:type="dxa"/>
            <w:gridSpan w:val="3"/>
            <w:shd w:val="clear" w:color="auto" w:fill="FFFFFF"/>
          </w:tcPr>
          <w:p w14:paraId="4C881E1F" w14:textId="417C9ED8"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6</w:t>
            </w:r>
          </w:p>
        </w:tc>
        <w:tc>
          <w:tcPr>
            <w:tcW w:w="709" w:type="dxa"/>
            <w:shd w:val="clear" w:color="auto" w:fill="FFFFFF"/>
          </w:tcPr>
          <w:p w14:paraId="1CF85F2F" w14:textId="7C546563"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7</w:t>
            </w:r>
          </w:p>
        </w:tc>
        <w:tc>
          <w:tcPr>
            <w:tcW w:w="709" w:type="dxa"/>
            <w:gridSpan w:val="2"/>
            <w:shd w:val="clear" w:color="auto" w:fill="FFFFFF"/>
          </w:tcPr>
          <w:p w14:paraId="7F685255" w14:textId="5E694720"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8</w:t>
            </w:r>
          </w:p>
        </w:tc>
        <w:tc>
          <w:tcPr>
            <w:tcW w:w="567" w:type="dxa"/>
            <w:shd w:val="clear" w:color="auto" w:fill="FFFFFF"/>
          </w:tcPr>
          <w:p w14:paraId="602B72ED" w14:textId="62FC6CAF"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9</w:t>
            </w:r>
          </w:p>
        </w:tc>
        <w:tc>
          <w:tcPr>
            <w:tcW w:w="567" w:type="dxa"/>
            <w:gridSpan w:val="2"/>
            <w:shd w:val="clear" w:color="auto" w:fill="FFFFFF"/>
          </w:tcPr>
          <w:p w14:paraId="7DE4C53C" w14:textId="6FF025F1" w:rsidR="00143E56" w:rsidRPr="00A87B3A" w:rsidRDefault="00143E56" w:rsidP="00143E56">
            <w:pPr>
              <w:spacing w:line="240" w:lineRule="auto"/>
              <w:jc w:val="center"/>
              <w:rPr>
                <w:rFonts w:ascii="Times New Roman" w:hAnsi="Times New Roman"/>
                <w:color w:val="000000"/>
              </w:rPr>
            </w:pPr>
            <w:r>
              <w:rPr>
                <w:rFonts w:ascii="Times New Roman" w:hAnsi="Times New Roman"/>
                <w:color w:val="000000"/>
              </w:rPr>
              <w:t>10</w:t>
            </w:r>
          </w:p>
        </w:tc>
        <w:tc>
          <w:tcPr>
            <w:tcW w:w="937" w:type="dxa"/>
            <w:shd w:val="clear" w:color="auto" w:fill="FFFFFF"/>
          </w:tcPr>
          <w:p w14:paraId="4C6F9884" w14:textId="0C9E1CEF" w:rsidR="00143E56" w:rsidRPr="00A87B3A" w:rsidRDefault="00143E56" w:rsidP="00143E56">
            <w:pPr>
              <w:spacing w:line="240" w:lineRule="auto"/>
              <w:jc w:val="center"/>
              <w:rPr>
                <w:rFonts w:ascii="Times New Roman" w:hAnsi="Times New Roman"/>
                <w:i/>
                <w:color w:val="000000"/>
                <w:spacing w:val="-2"/>
              </w:rPr>
            </w:pPr>
            <w:r>
              <w:rPr>
                <w:rFonts w:ascii="Times New Roman" w:hAnsi="Times New Roman"/>
                <w:i/>
                <w:color w:val="000000"/>
                <w:spacing w:val="-2"/>
              </w:rPr>
              <w:t>Łącznie (0-10)</w:t>
            </w:r>
          </w:p>
        </w:tc>
      </w:tr>
      <w:tr w:rsidR="00143E56" w:rsidRPr="00A87B3A" w14:paraId="48DDC944" w14:textId="77777777" w:rsidTr="00532E75">
        <w:trPr>
          <w:trHeight w:val="321"/>
        </w:trPr>
        <w:tc>
          <w:tcPr>
            <w:tcW w:w="2723" w:type="dxa"/>
            <w:gridSpan w:val="4"/>
            <w:shd w:val="clear" w:color="auto" w:fill="FFFFFF"/>
            <w:vAlign w:val="center"/>
          </w:tcPr>
          <w:p w14:paraId="1BF31BBB"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b/>
                <w:color w:val="000000"/>
              </w:rPr>
              <w:t>Dochody ogółem</w:t>
            </w:r>
          </w:p>
        </w:tc>
        <w:tc>
          <w:tcPr>
            <w:tcW w:w="709" w:type="dxa"/>
            <w:shd w:val="clear" w:color="auto" w:fill="FFFFFF"/>
          </w:tcPr>
          <w:p w14:paraId="587BA448" w14:textId="387630BF"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8" w:type="dxa"/>
            <w:gridSpan w:val="2"/>
            <w:shd w:val="clear" w:color="auto" w:fill="FFFFFF"/>
          </w:tcPr>
          <w:p w14:paraId="1A5A45B6" w14:textId="054CFF49"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9" w:type="dxa"/>
            <w:shd w:val="clear" w:color="auto" w:fill="FFFFFF"/>
          </w:tcPr>
          <w:p w14:paraId="14310BA5" w14:textId="350C14D5"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9" w:type="dxa"/>
            <w:shd w:val="clear" w:color="auto" w:fill="FFFFFF"/>
          </w:tcPr>
          <w:p w14:paraId="38987915" w14:textId="1910A679"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9" w:type="dxa"/>
            <w:gridSpan w:val="3"/>
            <w:shd w:val="clear" w:color="auto" w:fill="FFFFFF"/>
          </w:tcPr>
          <w:p w14:paraId="4C69E0B0" w14:textId="5C07E590"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8" w:type="dxa"/>
            <w:gridSpan w:val="2"/>
            <w:shd w:val="clear" w:color="auto" w:fill="FFFFFF"/>
          </w:tcPr>
          <w:p w14:paraId="14DD9369" w14:textId="06E9CD4A"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9" w:type="dxa"/>
            <w:gridSpan w:val="3"/>
            <w:shd w:val="clear" w:color="auto" w:fill="FFFFFF"/>
          </w:tcPr>
          <w:p w14:paraId="136CE3F6" w14:textId="765E40D5"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9" w:type="dxa"/>
            <w:shd w:val="clear" w:color="auto" w:fill="FFFFFF"/>
          </w:tcPr>
          <w:p w14:paraId="53720C6A" w14:textId="6BEFB55B"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9" w:type="dxa"/>
            <w:gridSpan w:val="2"/>
            <w:shd w:val="clear" w:color="auto" w:fill="FFFFFF"/>
          </w:tcPr>
          <w:p w14:paraId="59531340" w14:textId="26A77FE2"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567" w:type="dxa"/>
            <w:shd w:val="clear" w:color="auto" w:fill="FFFFFF"/>
          </w:tcPr>
          <w:p w14:paraId="631668CC" w14:textId="2D8AC1DF"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567" w:type="dxa"/>
            <w:gridSpan w:val="2"/>
            <w:shd w:val="clear" w:color="auto" w:fill="FFFFFF"/>
          </w:tcPr>
          <w:p w14:paraId="6DBF3F2F" w14:textId="07C8504D"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949" w:type="dxa"/>
            <w:gridSpan w:val="2"/>
            <w:shd w:val="clear" w:color="auto" w:fill="FFFFFF"/>
          </w:tcPr>
          <w:p w14:paraId="5CE7EF8D" w14:textId="3A7C5005" w:rsidR="00143E56" w:rsidRPr="009A26DE" w:rsidRDefault="00143E56" w:rsidP="00143E56">
            <w:pPr>
              <w:spacing w:line="240" w:lineRule="auto"/>
              <w:rPr>
                <w:rFonts w:ascii="Times New Roman" w:hAnsi="Times New Roman"/>
                <w:b/>
                <w:bCs/>
                <w:color w:val="000000"/>
                <w:spacing w:val="-2"/>
                <w:sz w:val="18"/>
                <w:szCs w:val="18"/>
              </w:rPr>
            </w:pPr>
            <w:r>
              <w:rPr>
                <w:rFonts w:ascii="Times New Roman" w:hAnsi="Times New Roman"/>
                <w:b/>
                <w:bCs/>
                <w:color w:val="000000"/>
                <w:spacing w:val="-2"/>
                <w:sz w:val="18"/>
                <w:szCs w:val="18"/>
              </w:rPr>
              <w:t>0</w:t>
            </w:r>
          </w:p>
        </w:tc>
      </w:tr>
      <w:tr w:rsidR="00143E56" w:rsidRPr="00A87B3A" w14:paraId="52B39938" w14:textId="77777777" w:rsidTr="00532E75">
        <w:trPr>
          <w:trHeight w:val="321"/>
        </w:trPr>
        <w:tc>
          <w:tcPr>
            <w:tcW w:w="2723" w:type="dxa"/>
            <w:gridSpan w:val="4"/>
            <w:shd w:val="clear" w:color="auto" w:fill="FFFFFF"/>
            <w:vAlign w:val="center"/>
          </w:tcPr>
          <w:p w14:paraId="7F7F15C2"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budżet państwa</w:t>
            </w:r>
          </w:p>
        </w:tc>
        <w:tc>
          <w:tcPr>
            <w:tcW w:w="709" w:type="dxa"/>
            <w:shd w:val="clear" w:color="auto" w:fill="FFFFFF"/>
          </w:tcPr>
          <w:p w14:paraId="4972AE6F" w14:textId="561B67D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4F9AB503" w14:textId="5D17C56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D1F0203" w14:textId="3856088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299D29B3" w14:textId="1A37126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0D556E34" w14:textId="3F41FCE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217180E2" w14:textId="68A8AC4A"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1A6A163A" w14:textId="0C8BD15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2E3646B" w14:textId="4A829729"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1890434D" w14:textId="53AA6B4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7172A022" w14:textId="4CD6762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55763D46" w14:textId="6A2375A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34198943" w14:textId="54211049" w:rsidR="00143E56" w:rsidRPr="009A26DE" w:rsidRDefault="00143E56" w:rsidP="00143E56">
            <w:pPr>
              <w:spacing w:line="240" w:lineRule="auto"/>
              <w:rPr>
                <w:rFonts w:ascii="Times New Roman" w:hAnsi="Times New Roman"/>
                <w:color w:val="000000"/>
                <w:spacing w:val="-2"/>
                <w:sz w:val="18"/>
                <w:szCs w:val="18"/>
              </w:rPr>
            </w:pPr>
            <w:r>
              <w:rPr>
                <w:rFonts w:ascii="Times New Roman" w:hAnsi="Times New Roman"/>
                <w:color w:val="000000"/>
                <w:spacing w:val="-2"/>
                <w:sz w:val="18"/>
                <w:szCs w:val="18"/>
              </w:rPr>
              <w:t>0</w:t>
            </w:r>
          </w:p>
        </w:tc>
      </w:tr>
      <w:tr w:rsidR="00143E56" w:rsidRPr="00A87B3A" w14:paraId="122514D3" w14:textId="77777777" w:rsidTr="00532E75">
        <w:trPr>
          <w:trHeight w:val="344"/>
        </w:trPr>
        <w:tc>
          <w:tcPr>
            <w:tcW w:w="2723" w:type="dxa"/>
            <w:gridSpan w:val="4"/>
            <w:shd w:val="clear" w:color="auto" w:fill="FFFFFF"/>
            <w:vAlign w:val="center"/>
          </w:tcPr>
          <w:p w14:paraId="4F09D6EE"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JST</w:t>
            </w:r>
          </w:p>
        </w:tc>
        <w:tc>
          <w:tcPr>
            <w:tcW w:w="709" w:type="dxa"/>
            <w:shd w:val="clear" w:color="auto" w:fill="FFFFFF"/>
          </w:tcPr>
          <w:p w14:paraId="47873D48" w14:textId="60331C1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2A46BE50" w14:textId="0B69C7E1"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6FFBDA7" w14:textId="676A1B0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4C1BB185" w14:textId="2F8C9F9E"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5D760CE9" w14:textId="269C0C99"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14DA3F6F" w14:textId="3EF98410"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13C0314F" w14:textId="57E4D9A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4F306F14" w14:textId="70C77EC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102221C5" w14:textId="2EEBF61C"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08762B55" w14:textId="0AF4C8C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3869082A" w14:textId="54954055"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306AF426" w14:textId="17DF714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r>
      <w:tr w:rsidR="00143E56" w:rsidRPr="00A87B3A" w14:paraId="6D98B0A1" w14:textId="77777777" w:rsidTr="00532E75">
        <w:trPr>
          <w:trHeight w:val="344"/>
        </w:trPr>
        <w:tc>
          <w:tcPr>
            <w:tcW w:w="2723" w:type="dxa"/>
            <w:gridSpan w:val="4"/>
            <w:shd w:val="clear" w:color="auto" w:fill="FFFFFF"/>
            <w:vAlign w:val="center"/>
          </w:tcPr>
          <w:p w14:paraId="339C8CEA"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709" w:type="dxa"/>
            <w:shd w:val="clear" w:color="auto" w:fill="FFFFFF"/>
          </w:tcPr>
          <w:p w14:paraId="17D6B192" w14:textId="57B2761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2266E93C" w14:textId="70DAD1C1"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610E694D" w14:textId="460CF17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00EAAC42" w14:textId="01C3EE70"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45DF0810" w14:textId="6E27E4A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18452E79" w14:textId="47F9303B"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3114A309" w14:textId="7615E36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FBF6A41" w14:textId="16838F8E"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6D5C4595" w14:textId="034DAD8B"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07E65CA5" w14:textId="76BDC3F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2B7CCEA1" w14:textId="6537201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6E0FC22A" w14:textId="578314D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r>
      <w:tr w:rsidR="00143E56" w:rsidRPr="00A87B3A" w14:paraId="68C088A6" w14:textId="77777777" w:rsidTr="00532E75">
        <w:trPr>
          <w:trHeight w:val="330"/>
        </w:trPr>
        <w:tc>
          <w:tcPr>
            <w:tcW w:w="2723" w:type="dxa"/>
            <w:gridSpan w:val="4"/>
            <w:shd w:val="clear" w:color="auto" w:fill="FFFFFF"/>
            <w:vAlign w:val="center"/>
          </w:tcPr>
          <w:p w14:paraId="15BCF592" w14:textId="77777777" w:rsidR="00143E56" w:rsidRPr="00A87B3A" w:rsidRDefault="00143E56" w:rsidP="00143E56">
            <w:pPr>
              <w:spacing w:line="240" w:lineRule="auto"/>
              <w:rPr>
                <w:rFonts w:ascii="Times New Roman" w:hAnsi="Times New Roman"/>
                <w:color w:val="000000"/>
              </w:rPr>
            </w:pPr>
            <w:bookmarkStart w:id="10" w:name="_Hlk160526770"/>
            <w:r w:rsidRPr="00A87B3A">
              <w:rPr>
                <w:rFonts w:ascii="Times New Roman" w:hAnsi="Times New Roman"/>
                <w:b/>
                <w:color w:val="000000"/>
              </w:rPr>
              <w:t>Wydatki ogółem</w:t>
            </w:r>
          </w:p>
        </w:tc>
        <w:tc>
          <w:tcPr>
            <w:tcW w:w="709" w:type="dxa"/>
            <w:shd w:val="clear" w:color="auto" w:fill="FFFFFF"/>
          </w:tcPr>
          <w:p w14:paraId="0D2596DE" w14:textId="377F6F90"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w:t>
            </w:r>
          </w:p>
        </w:tc>
        <w:tc>
          <w:tcPr>
            <w:tcW w:w="708" w:type="dxa"/>
            <w:gridSpan w:val="2"/>
            <w:shd w:val="clear" w:color="auto" w:fill="FFFFFF"/>
          </w:tcPr>
          <w:p w14:paraId="7619784B" w14:textId="09ADC094"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0,751</w:t>
            </w:r>
          </w:p>
        </w:tc>
        <w:tc>
          <w:tcPr>
            <w:tcW w:w="709" w:type="dxa"/>
            <w:shd w:val="clear" w:color="auto" w:fill="FFFFFF"/>
          </w:tcPr>
          <w:p w14:paraId="4A28D78C" w14:textId="466D2103"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0,765</w:t>
            </w:r>
          </w:p>
        </w:tc>
        <w:tc>
          <w:tcPr>
            <w:tcW w:w="709" w:type="dxa"/>
            <w:shd w:val="clear" w:color="auto" w:fill="FFFFFF"/>
          </w:tcPr>
          <w:p w14:paraId="1BE1EAE8" w14:textId="63C667BA"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0,77</w:t>
            </w:r>
          </w:p>
        </w:tc>
        <w:tc>
          <w:tcPr>
            <w:tcW w:w="709" w:type="dxa"/>
            <w:gridSpan w:val="3"/>
            <w:shd w:val="clear" w:color="auto" w:fill="FFFFFF"/>
          </w:tcPr>
          <w:p w14:paraId="44FD7FFA" w14:textId="30DEA2E9"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0,775</w:t>
            </w:r>
          </w:p>
        </w:tc>
        <w:tc>
          <w:tcPr>
            <w:tcW w:w="708" w:type="dxa"/>
            <w:gridSpan w:val="2"/>
            <w:shd w:val="clear" w:color="auto" w:fill="FFFFFF"/>
          </w:tcPr>
          <w:p w14:paraId="4C236E6A" w14:textId="2907DA1D"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0,78</w:t>
            </w:r>
          </w:p>
        </w:tc>
        <w:tc>
          <w:tcPr>
            <w:tcW w:w="709" w:type="dxa"/>
            <w:gridSpan w:val="3"/>
            <w:shd w:val="clear" w:color="auto" w:fill="FFFFFF"/>
          </w:tcPr>
          <w:p w14:paraId="064FB51F" w14:textId="251F3CDA"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0,786</w:t>
            </w:r>
          </w:p>
        </w:tc>
        <w:tc>
          <w:tcPr>
            <w:tcW w:w="709" w:type="dxa"/>
            <w:shd w:val="clear" w:color="auto" w:fill="FFFFFF"/>
          </w:tcPr>
          <w:p w14:paraId="3AE42D38" w14:textId="345001A4"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0,791</w:t>
            </w:r>
          </w:p>
        </w:tc>
        <w:tc>
          <w:tcPr>
            <w:tcW w:w="709" w:type="dxa"/>
            <w:gridSpan w:val="2"/>
            <w:shd w:val="clear" w:color="auto" w:fill="FFFFFF"/>
          </w:tcPr>
          <w:p w14:paraId="5EA797B5" w14:textId="68B35991"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0,797</w:t>
            </w:r>
          </w:p>
        </w:tc>
        <w:tc>
          <w:tcPr>
            <w:tcW w:w="567" w:type="dxa"/>
            <w:shd w:val="clear" w:color="auto" w:fill="FFFFFF"/>
          </w:tcPr>
          <w:p w14:paraId="5E73D6D7" w14:textId="202ADC3A"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0,8</w:t>
            </w:r>
          </w:p>
        </w:tc>
        <w:tc>
          <w:tcPr>
            <w:tcW w:w="567" w:type="dxa"/>
            <w:gridSpan w:val="2"/>
            <w:shd w:val="clear" w:color="auto" w:fill="FFFFFF"/>
          </w:tcPr>
          <w:p w14:paraId="1D05D903" w14:textId="2B33411E"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0,8</w:t>
            </w:r>
          </w:p>
        </w:tc>
        <w:tc>
          <w:tcPr>
            <w:tcW w:w="949" w:type="dxa"/>
            <w:gridSpan w:val="2"/>
            <w:shd w:val="clear" w:color="auto" w:fill="FFFFFF"/>
          </w:tcPr>
          <w:p w14:paraId="046318F1" w14:textId="403D9952" w:rsidR="00143E56" w:rsidRPr="00E33108"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7,832</w:t>
            </w:r>
          </w:p>
        </w:tc>
      </w:tr>
      <w:bookmarkEnd w:id="10"/>
      <w:tr w:rsidR="00143E56" w:rsidRPr="00A87B3A" w14:paraId="3B80F11F" w14:textId="77777777" w:rsidTr="00532E75">
        <w:trPr>
          <w:trHeight w:val="330"/>
        </w:trPr>
        <w:tc>
          <w:tcPr>
            <w:tcW w:w="2723" w:type="dxa"/>
            <w:gridSpan w:val="4"/>
            <w:shd w:val="clear" w:color="auto" w:fill="FFFFFF"/>
            <w:vAlign w:val="center"/>
          </w:tcPr>
          <w:p w14:paraId="3D4743DD"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budżet państwa</w:t>
            </w:r>
          </w:p>
        </w:tc>
        <w:tc>
          <w:tcPr>
            <w:tcW w:w="709" w:type="dxa"/>
            <w:shd w:val="clear" w:color="auto" w:fill="FFFFFF"/>
          </w:tcPr>
          <w:p w14:paraId="72033CEA" w14:textId="40C7BEC8" w:rsidR="00143E56" w:rsidRPr="00A3726F"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0144CFBA" w14:textId="6848309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0,751</w:t>
            </w:r>
          </w:p>
        </w:tc>
        <w:tc>
          <w:tcPr>
            <w:tcW w:w="709" w:type="dxa"/>
            <w:shd w:val="clear" w:color="auto" w:fill="FFFFFF"/>
          </w:tcPr>
          <w:p w14:paraId="47E1C9A4" w14:textId="34B51DD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0,765</w:t>
            </w:r>
          </w:p>
        </w:tc>
        <w:tc>
          <w:tcPr>
            <w:tcW w:w="709" w:type="dxa"/>
            <w:shd w:val="clear" w:color="auto" w:fill="FFFFFF"/>
          </w:tcPr>
          <w:p w14:paraId="3C0185D3" w14:textId="4CB772D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0,77</w:t>
            </w:r>
          </w:p>
        </w:tc>
        <w:tc>
          <w:tcPr>
            <w:tcW w:w="709" w:type="dxa"/>
            <w:gridSpan w:val="3"/>
            <w:shd w:val="clear" w:color="auto" w:fill="FFFFFF"/>
          </w:tcPr>
          <w:p w14:paraId="2177CE84" w14:textId="6D445D1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0,775</w:t>
            </w:r>
          </w:p>
        </w:tc>
        <w:tc>
          <w:tcPr>
            <w:tcW w:w="708" w:type="dxa"/>
            <w:gridSpan w:val="2"/>
            <w:shd w:val="clear" w:color="auto" w:fill="FFFFFF"/>
          </w:tcPr>
          <w:p w14:paraId="0C3A4FC9" w14:textId="35A6599E"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0,78</w:t>
            </w:r>
          </w:p>
        </w:tc>
        <w:tc>
          <w:tcPr>
            <w:tcW w:w="709" w:type="dxa"/>
            <w:gridSpan w:val="3"/>
            <w:shd w:val="clear" w:color="auto" w:fill="FFFFFF"/>
          </w:tcPr>
          <w:p w14:paraId="34137D7B" w14:textId="3623CAF5"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0,786</w:t>
            </w:r>
          </w:p>
        </w:tc>
        <w:tc>
          <w:tcPr>
            <w:tcW w:w="709" w:type="dxa"/>
            <w:shd w:val="clear" w:color="auto" w:fill="FFFFFF"/>
          </w:tcPr>
          <w:p w14:paraId="6AC198A5" w14:textId="7CA4904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0,791</w:t>
            </w:r>
          </w:p>
        </w:tc>
        <w:tc>
          <w:tcPr>
            <w:tcW w:w="709" w:type="dxa"/>
            <w:gridSpan w:val="2"/>
            <w:shd w:val="clear" w:color="auto" w:fill="FFFFFF"/>
          </w:tcPr>
          <w:p w14:paraId="2009DE4A" w14:textId="6D7B894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0,797</w:t>
            </w:r>
          </w:p>
        </w:tc>
        <w:tc>
          <w:tcPr>
            <w:tcW w:w="567" w:type="dxa"/>
            <w:shd w:val="clear" w:color="auto" w:fill="FFFFFF"/>
          </w:tcPr>
          <w:p w14:paraId="35A18963" w14:textId="77AEADC0"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0,8</w:t>
            </w:r>
          </w:p>
        </w:tc>
        <w:tc>
          <w:tcPr>
            <w:tcW w:w="567" w:type="dxa"/>
            <w:gridSpan w:val="2"/>
            <w:shd w:val="clear" w:color="auto" w:fill="FFFFFF"/>
          </w:tcPr>
          <w:p w14:paraId="11205FE7" w14:textId="2CEDEEC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0,8</w:t>
            </w:r>
          </w:p>
        </w:tc>
        <w:tc>
          <w:tcPr>
            <w:tcW w:w="949" w:type="dxa"/>
            <w:gridSpan w:val="2"/>
            <w:shd w:val="clear" w:color="auto" w:fill="FFFFFF"/>
          </w:tcPr>
          <w:p w14:paraId="220BD898" w14:textId="70E88736" w:rsidR="00143E56" w:rsidRPr="000E1B49"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7,832</w:t>
            </w:r>
          </w:p>
        </w:tc>
      </w:tr>
      <w:tr w:rsidR="00143E56" w:rsidRPr="00A87B3A" w14:paraId="3769D6FE" w14:textId="77777777" w:rsidTr="00532E75">
        <w:trPr>
          <w:trHeight w:val="351"/>
        </w:trPr>
        <w:tc>
          <w:tcPr>
            <w:tcW w:w="2723" w:type="dxa"/>
            <w:gridSpan w:val="4"/>
            <w:shd w:val="clear" w:color="auto" w:fill="FFFFFF"/>
            <w:vAlign w:val="center"/>
          </w:tcPr>
          <w:p w14:paraId="5CAF0B0D"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JST</w:t>
            </w:r>
          </w:p>
        </w:tc>
        <w:tc>
          <w:tcPr>
            <w:tcW w:w="709" w:type="dxa"/>
            <w:shd w:val="clear" w:color="auto" w:fill="FFFFFF"/>
          </w:tcPr>
          <w:p w14:paraId="4247D4EE" w14:textId="1DFE29BB"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58C074D1" w14:textId="4B989AAC"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6A4E6544" w14:textId="1C8FC0E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5C8FDEC2" w14:textId="578CDE2B"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16619863" w14:textId="312FC619"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391FD49F" w14:textId="0002B0C1"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152CBC9E" w14:textId="72CEDDB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04CBF9B" w14:textId="307636D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4B5F7EB7" w14:textId="3021D8D1"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298D116B" w14:textId="78464080"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23E1EEAB" w14:textId="484E6A2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2D8DE3D3" w14:textId="5EBC3AE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r>
      <w:tr w:rsidR="00143E56" w:rsidRPr="00A87B3A" w14:paraId="47C3A97C" w14:textId="77777777" w:rsidTr="00532E75">
        <w:trPr>
          <w:trHeight w:val="351"/>
        </w:trPr>
        <w:tc>
          <w:tcPr>
            <w:tcW w:w="2723" w:type="dxa"/>
            <w:gridSpan w:val="4"/>
            <w:shd w:val="clear" w:color="auto" w:fill="FFFFFF"/>
            <w:vAlign w:val="center"/>
          </w:tcPr>
          <w:p w14:paraId="726990BB"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709" w:type="dxa"/>
            <w:shd w:val="clear" w:color="auto" w:fill="FFFFFF"/>
          </w:tcPr>
          <w:p w14:paraId="56E25A8E" w14:textId="2B595ED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44B8E6E8" w14:textId="53926EF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047F2CA6" w14:textId="28D2D80C"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1DE09208" w14:textId="79B56BB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4B4EF973" w14:textId="4C9C125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2FC481A0" w14:textId="18116B5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20ADB097" w14:textId="5E0F2D2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425C660D" w14:textId="09F7228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6DC3C85A" w14:textId="2B8FE1A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0AEA176A" w14:textId="60013AE2"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5190F494" w14:textId="7D324525"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4103BF03" w14:textId="15467F31"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r>
      <w:tr w:rsidR="00143E56" w:rsidRPr="00A87B3A" w14:paraId="2862AAE0" w14:textId="77777777" w:rsidTr="00532E75">
        <w:trPr>
          <w:trHeight w:val="360"/>
        </w:trPr>
        <w:tc>
          <w:tcPr>
            <w:tcW w:w="2723" w:type="dxa"/>
            <w:gridSpan w:val="4"/>
            <w:shd w:val="clear" w:color="auto" w:fill="FFFFFF"/>
            <w:vAlign w:val="center"/>
          </w:tcPr>
          <w:p w14:paraId="3849DA41"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b/>
                <w:color w:val="000000"/>
              </w:rPr>
              <w:t>Saldo ogółem</w:t>
            </w:r>
          </w:p>
        </w:tc>
        <w:tc>
          <w:tcPr>
            <w:tcW w:w="709" w:type="dxa"/>
            <w:shd w:val="clear" w:color="auto" w:fill="FFFFFF"/>
          </w:tcPr>
          <w:p w14:paraId="0446D226" w14:textId="6E6B70F3" w:rsidR="00143E56" w:rsidRPr="00850CD5" w:rsidRDefault="00143E56" w:rsidP="00143E56">
            <w:pPr>
              <w:spacing w:line="240" w:lineRule="auto"/>
              <w:rPr>
                <w:rFonts w:ascii="Times New Roman" w:hAnsi="Times New Roman"/>
                <w:b/>
                <w:bCs/>
                <w:color w:val="000000"/>
                <w:sz w:val="18"/>
                <w:szCs w:val="18"/>
              </w:rPr>
            </w:pPr>
            <w:r>
              <w:rPr>
                <w:rFonts w:ascii="Times New Roman" w:hAnsi="Times New Roman"/>
                <w:color w:val="000000"/>
                <w:sz w:val="18"/>
                <w:szCs w:val="18"/>
              </w:rPr>
              <w:t>0</w:t>
            </w:r>
          </w:p>
        </w:tc>
        <w:tc>
          <w:tcPr>
            <w:tcW w:w="708" w:type="dxa"/>
            <w:gridSpan w:val="2"/>
            <w:shd w:val="clear" w:color="auto" w:fill="FFFFFF"/>
          </w:tcPr>
          <w:p w14:paraId="2BF8A9D0" w14:textId="65A8D4B4"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-0,751</w:t>
            </w:r>
          </w:p>
        </w:tc>
        <w:tc>
          <w:tcPr>
            <w:tcW w:w="709" w:type="dxa"/>
            <w:shd w:val="clear" w:color="auto" w:fill="FFFFFF"/>
          </w:tcPr>
          <w:p w14:paraId="7D975844" w14:textId="04F75857"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-0,765</w:t>
            </w:r>
          </w:p>
        </w:tc>
        <w:tc>
          <w:tcPr>
            <w:tcW w:w="709" w:type="dxa"/>
            <w:shd w:val="clear" w:color="auto" w:fill="FFFFFF"/>
          </w:tcPr>
          <w:p w14:paraId="32222263" w14:textId="70DD0A34"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-0,77</w:t>
            </w:r>
          </w:p>
        </w:tc>
        <w:tc>
          <w:tcPr>
            <w:tcW w:w="709" w:type="dxa"/>
            <w:gridSpan w:val="3"/>
            <w:shd w:val="clear" w:color="auto" w:fill="FFFFFF"/>
          </w:tcPr>
          <w:p w14:paraId="628E0934" w14:textId="478A5343"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-0,775</w:t>
            </w:r>
          </w:p>
        </w:tc>
        <w:tc>
          <w:tcPr>
            <w:tcW w:w="708" w:type="dxa"/>
            <w:gridSpan w:val="2"/>
            <w:shd w:val="clear" w:color="auto" w:fill="FFFFFF"/>
          </w:tcPr>
          <w:p w14:paraId="7E03F68A" w14:textId="101335E7"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-0,78</w:t>
            </w:r>
          </w:p>
        </w:tc>
        <w:tc>
          <w:tcPr>
            <w:tcW w:w="709" w:type="dxa"/>
            <w:gridSpan w:val="3"/>
            <w:shd w:val="clear" w:color="auto" w:fill="FFFFFF"/>
          </w:tcPr>
          <w:p w14:paraId="7916067D" w14:textId="5BEF22B0"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-0,786</w:t>
            </w:r>
          </w:p>
        </w:tc>
        <w:tc>
          <w:tcPr>
            <w:tcW w:w="709" w:type="dxa"/>
            <w:shd w:val="clear" w:color="auto" w:fill="FFFFFF"/>
          </w:tcPr>
          <w:p w14:paraId="5D03DB13" w14:textId="63BC0AF7"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-0,791</w:t>
            </w:r>
          </w:p>
        </w:tc>
        <w:tc>
          <w:tcPr>
            <w:tcW w:w="709" w:type="dxa"/>
            <w:gridSpan w:val="2"/>
            <w:shd w:val="clear" w:color="auto" w:fill="FFFFFF"/>
          </w:tcPr>
          <w:p w14:paraId="77F856DE" w14:textId="7B02A41F"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-0,797</w:t>
            </w:r>
          </w:p>
        </w:tc>
        <w:tc>
          <w:tcPr>
            <w:tcW w:w="567" w:type="dxa"/>
            <w:shd w:val="clear" w:color="auto" w:fill="FFFFFF"/>
          </w:tcPr>
          <w:p w14:paraId="0D29833B" w14:textId="71663068"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-0,8</w:t>
            </w:r>
          </w:p>
        </w:tc>
        <w:tc>
          <w:tcPr>
            <w:tcW w:w="567" w:type="dxa"/>
            <w:gridSpan w:val="2"/>
            <w:shd w:val="clear" w:color="auto" w:fill="FFFFFF"/>
          </w:tcPr>
          <w:p w14:paraId="0C9C1639" w14:textId="7E303CC6"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-0,8</w:t>
            </w:r>
          </w:p>
        </w:tc>
        <w:tc>
          <w:tcPr>
            <w:tcW w:w="949" w:type="dxa"/>
            <w:gridSpan w:val="2"/>
            <w:shd w:val="clear" w:color="auto" w:fill="FFFFFF"/>
          </w:tcPr>
          <w:p w14:paraId="5B0D4D7D" w14:textId="441FF845" w:rsidR="00143E56" w:rsidRPr="009A26DE" w:rsidRDefault="00143E56" w:rsidP="00143E56">
            <w:pPr>
              <w:spacing w:line="240" w:lineRule="auto"/>
              <w:rPr>
                <w:rFonts w:ascii="Times New Roman" w:hAnsi="Times New Roman"/>
                <w:b/>
                <w:bCs/>
                <w:color w:val="000000"/>
                <w:sz w:val="18"/>
                <w:szCs w:val="18"/>
              </w:rPr>
            </w:pPr>
            <w:r>
              <w:rPr>
                <w:rFonts w:ascii="Times New Roman" w:hAnsi="Times New Roman"/>
                <w:b/>
                <w:bCs/>
                <w:color w:val="000000"/>
                <w:sz w:val="18"/>
                <w:szCs w:val="18"/>
              </w:rPr>
              <w:t>-7,832</w:t>
            </w:r>
          </w:p>
        </w:tc>
      </w:tr>
      <w:tr w:rsidR="00143E56" w:rsidRPr="00A87B3A" w14:paraId="651BF372" w14:textId="77777777" w:rsidTr="00532E75">
        <w:trPr>
          <w:trHeight w:val="360"/>
        </w:trPr>
        <w:tc>
          <w:tcPr>
            <w:tcW w:w="2723" w:type="dxa"/>
            <w:gridSpan w:val="4"/>
            <w:shd w:val="clear" w:color="auto" w:fill="FFFFFF"/>
            <w:vAlign w:val="center"/>
          </w:tcPr>
          <w:p w14:paraId="6C420D84"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budżet państwa</w:t>
            </w:r>
          </w:p>
        </w:tc>
        <w:tc>
          <w:tcPr>
            <w:tcW w:w="709" w:type="dxa"/>
            <w:shd w:val="clear" w:color="auto" w:fill="FFFFFF"/>
          </w:tcPr>
          <w:p w14:paraId="3D0D7F5C" w14:textId="02F65D92"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49DBB062" w14:textId="2FD4D8BE"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-0,751</w:t>
            </w:r>
          </w:p>
        </w:tc>
        <w:tc>
          <w:tcPr>
            <w:tcW w:w="709" w:type="dxa"/>
            <w:shd w:val="clear" w:color="auto" w:fill="FFFFFF"/>
          </w:tcPr>
          <w:p w14:paraId="0C0A6FC7" w14:textId="74B314C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-0,765</w:t>
            </w:r>
          </w:p>
        </w:tc>
        <w:tc>
          <w:tcPr>
            <w:tcW w:w="709" w:type="dxa"/>
            <w:shd w:val="clear" w:color="auto" w:fill="FFFFFF"/>
          </w:tcPr>
          <w:p w14:paraId="076EE669" w14:textId="35FCF58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-0,77</w:t>
            </w:r>
          </w:p>
        </w:tc>
        <w:tc>
          <w:tcPr>
            <w:tcW w:w="709" w:type="dxa"/>
            <w:gridSpan w:val="3"/>
            <w:shd w:val="clear" w:color="auto" w:fill="FFFFFF"/>
          </w:tcPr>
          <w:p w14:paraId="4489F7B3" w14:textId="5373B98D"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-0,775</w:t>
            </w:r>
          </w:p>
        </w:tc>
        <w:tc>
          <w:tcPr>
            <w:tcW w:w="708" w:type="dxa"/>
            <w:gridSpan w:val="2"/>
            <w:shd w:val="clear" w:color="auto" w:fill="FFFFFF"/>
          </w:tcPr>
          <w:p w14:paraId="7BF078A6" w14:textId="7EC9FF9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-0,78</w:t>
            </w:r>
          </w:p>
        </w:tc>
        <w:tc>
          <w:tcPr>
            <w:tcW w:w="709" w:type="dxa"/>
            <w:gridSpan w:val="3"/>
            <w:shd w:val="clear" w:color="auto" w:fill="FFFFFF"/>
          </w:tcPr>
          <w:p w14:paraId="5351645A" w14:textId="3243C86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-0,786</w:t>
            </w:r>
          </w:p>
        </w:tc>
        <w:tc>
          <w:tcPr>
            <w:tcW w:w="709" w:type="dxa"/>
            <w:shd w:val="clear" w:color="auto" w:fill="FFFFFF"/>
          </w:tcPr>
          <w:p w14:paraId="7483A7D6" w14:textId="0B98F8E5"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-0,791</w:t>
            </w:r>
          </w:p>
        </w:tc>
        <w:tc>
          <w:tcPr>
            <w:tcW w:w="709" w:type="dxa"/>
            <w:gridSpan w:val="2"/>
            <w:shd w:val="clear" w:color="auto" w:fill="FFFFFF"/>
          </w:tcPr>
          <w:p w14:paraId="79CAA018" w14:textId="0913D1A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-0,797</w:t>
            </w:r>
          </w:p>
        </w:tc>
        <w:tc>
          <w:tcPr>
            <w:tcW w:w="567" w:type="dxa"/>
            <w:shd w:val="clear" w:color="auto" w:fill="FFFFFF"/>
          </w:tcPr>
          <w:p w14:paraId="6D6CB386" w14:textId="305ED600"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-0,8</w:t>
            </w:r>
          </w:p>
        </w:tc>
        <w:tc>
          <w:tcPr>
            <w:tcW w:w="567" w:type="dxa"/>
            <w:gridSpan w:val="2"/>
            <w:shd w:val="clear" w:color="auto" w:fill="FFFFFF"/>
          </w:tcPr>
          <w:p w14:paraId="7E3010CA" w14:textId="7F87A48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-0,8</w:t>
            </w:r>
          </w:p>
        </w:tc>
        <w:tc>
          <w:tcPr>
            <w:tcW w:w="949" w:type="dxa"/>
            <w:gridSpan w:val="2"/>
            <w:shd w:val="clear" w:color="auto" w:fill="FFFFFF"/>
          </w:tcPr>
          <w:p w14:paraId="150111FE" w14:textId="73F1CB47" w:rsidR="00143E56" w:rsidRPr="006414CD"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-7,832</w:t>
            </w:r>
          </w:p>
        </w:tc>
      </w:tr>
      <w:tr w:rsidR="00143E56" w:rsidRPr="00A87B3A" w14:paraId="351D6B19" w14:textId="77777777" w:rsidTr="00532E75">
        <w:trPr>
          <w:trHeight w:val="357"/>
        </w:trPr>
        <w:tc>
          <w:tcPr>
            <w:tcW w:w="2723" w:type="dxa"/>
            <w:gridSpan w:val="4"/>
            <w:shd w:val="clear" w:color="auto" w:fill="FFFFFF"/>
            <w:vAlign w:val="center"/>
          </w:tcPr>
          <w:p w14:paraId="7C5742C3"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JST</w:t>
            </w:r>
          </w:p>
        </w:tc>
        <w:tc>
          <w:tcPr>
            <w:tcW w:w="709" w:type="dxa"/>
            <w:shd w:val="clear" w:color="auto" w:fill="FFFFFF"/>
          </w:tcPr>
          <w:p w14:paraId="3AA937B0" w14:textId="73935AE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08CA36BA" w14:textId="33390031"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50A2449A" w14:textId="39DEDC2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C2EA946" w14:textId="5279D21B"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2520E0C3" w14:textId="541EAC25"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795B55E7" w14:textId="32EC00C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3FFB808B" w14:textId="00B227BA"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2E7F37A1" w14:textId="27C0014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6185DAE0" w14:textId="0B39503A"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672AB6D6" w14:textId="6E7B9447"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6CB52C6C" w14:textId="5CDECC7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7D760EA9" w14:textId="0F2C1655"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r>
      <w:tr w:rsidR="00143E56" w:rsidRPr="00A87B3A" w14:paraId="7FC2FE31" w14:textId="77777777" w:rsidTr="00532E75">
        <w:trPr>
          <w:trHeight w:val="357"/>
        </w:trPr>
        <w:tc>
          <w:tcPr>
            <w:tcW w:w="2723" w:type="dxa"/>
            <w:gridSpan w:val="4"/>
            <w:shd w:val="clear" w:color="auto" w:fill="FFFFFF"/>
            <w:vAlign w:val="center"/>
          </w:tcPr>
          <w:p w14:paraId="44A261BE"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709" w:type="dxa"/>
            <w:shd w:val="clear" w:color="auto" w:fill="FFFFFF"/>
          </w:tcPr>
          <w:p w14:paraId="248C90B0" w14:textId="187D5A1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3F978189" w14:textId="73D3333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32513731" w14:textId="2EEAD963"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70BF2525" w14:textId="2C32EE0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7000EE2E" w14:textId="5634498A"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8" w:type="dxa"/>
            <w:gridSpan w:val="2"/>
            <w:shd w:val="clear" w:color="auto" w:fill="FFFFFF"/>
          </w:tcPr>
          <w:p w14:paraId="6EBE50B8" w14:textId="2F93472F"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3"/>
            <w:shd w:val="clear" w:color="auto" w:fill="FFFFFF"/>
          </w:tcPr>
          <w:p w14:paraId="162BA659" w14:textId="717B1644"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FFFFFF"/>
          </w:tcPr>
          <w:p w14:paraId="23994F6B" w14:textId="46F4882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709" w:type="dxa"/>
            <w:gridSpan w:val="2"/>
            <w:shd w:val="clear" w:color="auto" w:fill="FFFFFF"/>
          </w:tcPr>
          <w:p w14:paraId="4B88805B" w14:textId="679D361A"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tcPr>
          <w:p w14:paraId="4EB0FDA5" w14:textId="26F0705A"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567" w:type="dxa"/>
            <w:gridSpan w:val="2"/>
            <w:shd w:val="clear" w:color="auto" w:fill="FFFFFF"/>
          </w:tcPr>
          <w:p w14:paraId="76FF93EE" w14:textId="7CD2A248"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c>
          <w:tcPr>
            <w:tcW w:w="949" w:type="dxa"/>
            <w:gridSpan w:val="2"/>
            <w:shd w:val="clear" w:color="auto" w:fill="FFFFFF"/>
          </w:tcPr>
          <w:p w14:paraId="45DB0E5E" w14:textId="5AF2B7F6" w:rsidR="00143E56" w:rsidRPr="009A26DE" w:rsidRDefault="00143E56" w:rsidP="00143E56">
            <w:pPr>
              <w:spacing w:line="240" w:lineRule="auto"/>
              <w:rPr>
                <w:rFonts w:ascii="Times New Roman" w:hAnsi="Times New Roman"/>
                <w:color w:val="000000"/>
                <w:sz w:val="18"/>
                <w:szCs w:val="18"/>
              </w:rPr>
            </w:pPr>
            <w:r>
              <w:rPr>
                <w:rFonts w:ascii="Times New Roman" w:hAnsi="Times New Roman"/>
                <w:color w:val="000000"/>
                <w:sz w:val="18"/>
                <w:szCs w:val="18"/>
              </w:rPr>
              <w:t>0</w:t>
            </w:r>
          </w:p>
        </w:tc>
      </w:tr>
      <w:tr w:rsidR="00143E56" w:rsidRPr="00A87B3A" w14:paraId="37982841" w14:textId="77777777" w:rsidTr="002069ED">
        <w:trPr>
          <w:gridAfter w:val="1"/>
          <w:wAfter w:w="12" w:type="dxa"/>
          <w:trHeight w:val="348"/>
        </w:trPr>
        <w:tc>
          <w:tcPr>
            <w:tcW w:w="2241" w:type="dxa"/>
            <w:gridSpan w:val="2"/>
            <w:shd w:val="clear" w:color="auto" w:fill="FFFFFF"/>
            <w:vAlign w:val="center"/>
          </w:tcPr>
          <w:p w14:paraId="769E9A07"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 xml:space="preserve">Źródła finansowania </w:t>
            </w:r>
          </w:p>
        </w:tc>
        <w:tc>
          <w:tcPr>
            <w:tcW w:w="8932" w:type="dxa"/>
            <w:gridSpan w:val="22"/>
            <w:shd w:val="clear" w:color="auto" w:fill="FFFFFF"/>
            <w:vAlign w:val="center"/>
          </w:tcPr>
          <w:p w14:paraId="074D3287" w14:textId="133841AE" w:rsidR="00143E56" w:rsidRPr="00A87B3A" w:rsidRDefault="00143E56" w:rsidP="00143E56">
            <w:pPr>
              <w:spacing w:before="120" w:after="120" w:line="240" w:lineRule="auto"/>
              <w:jc w:val="both"/>
              <w:rPr>
                <w:rFonts w:ascii="Times New Roman" w:hAnsi="Times New Roman"/>
                <w:color w:val="000000"/>
              </w:rPr>
            </w:pPr>
            <w:r w:rsidRPr="00384004">
              <w:rPr>
                <w:rFonts w:ascii="Times New Roman" w:hAnsi="Times New Roman"/>
                <w:color w:val="000000"/>
                <w:spacing w:val="-2"/>
              </w:rPr>
              <w:t>Planowane koszty będą pokrywane w ramach podniesienia limitu wydatków odpowiednich części budżetu państwa w części budżetowej 50 (dysponent – Prezes URE).</w:t>
            </w:r>
          </w:p>
        </w:tc>
      </w:tr>
      <w:tr w:rsidR="00143E56" w:rsidRPr="00A87B3A" w14:paraId="1AB60188" w14:textId="77777777" w:rsidTr="002069ED">
        <w:trPr>
          <w:gridAfter w:val="1"/>
          <w:wAfter w:w="12" w:type="dxa"/>
          <w:trHeight w:val="1266"/>
        </w:trPr>
        <w:tc>
          <w:tcPr>
            <w:tcW w:w="2241" w:type="dxa"/>
            <w:gridSpan w:val="2"/>
            <w:shd w:val="clear" w:color="auto" w:fill="FFFFFF"/>
          </w:tcPr>
          <w:p w14:paraId="634D1CD4"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Dodatkowe informacje, w tym wskazanie źródeł danych i przyjętych do obliczeń założeń</w:t>
            </w:r>
          </w:p>
        </w:tc>
        <w:tc>
          <w:tcPr>
            <w:tcW w:w="8932" w:type="dxa"/>
            <w:gridSpan w:val="22"/>
            <w:shd w:val="clear" w:color="auto" w:fill="FFFFFF"/>
          </w:tcPr>
          <w:p w14:paraId="25E4E9DB" w14:textId="6955AC14" w:rsidR="00143E56" w:rsidRDefault="00143E56" w:rsidP="00143E56">
            <w:pPr>
              <w:spacing w:before="120" w:after="120" w:line="240" w:lineRule="auto"/>
              <w:jc w:val="both"/>
              <w:rPr>
                <w:rFonts w:ascii="Times New Roman" w:hAnsi="Times New Roman"/>
                <w:b/>
                <w:bCs/>
                <w:color w:val="000000"/>
                <w:u w:val="single"/>
              </w:rPr>
            </w:pPr>
            <w:r w:rsidRPr="0089053C">
              <w:rPr>
                <w:rFonts w:ascii="Times New Roman" w:hAnsi="Times New Roman"/>
                <w:b/>
                <w:bCs/>
                <w:color w:val="000000"/>
                <w:u w:val="single"/>
              </w:rPr>
              <w:t>Wpływ na budżet państwa</w:t>
            </w:r>
          </w:p>
          <w:p w14:paraId="0A7B7ED6" w14:textId="1A369F7D" w:rsidR="00143E56" w:rsidRDefault="00143E56" w:rsidP="00143E56">
            <w:pPr>
              <w:spacing w:before="120" w:line="240" w:lineRule="auto"/>
              <w:jc w:val="both"/>
              <w:rPr>
                <w:rFonts w:ascii="Times New Roman" w:hAnsi="Times New Roman"/>
                <w:color w:val="000000"/>
                <w:spacing w:val="-2"/>
              </w:rPr>
            </w:pPr>
            <w:r w:rsidRPr="00384004">
              <w:rPr>
                <w:rFonts w:ascii="Times New Roman" w:hAnsi="Times New Roman"/>
                <w:color w:val="000000"/>
                <w:spacing w:val="-2"/>
              </w:rPr>
              <w:t>Projekt ustawy nakłada dodatkowe obowiązki na Prezesa URE wynikając</w:t>
            </w:r>
            <w:r>
              <w:rPr>
                <w:rFonts w:ascii="Times New Roman" w:hAnsi="Times New Roman"/>
                <w:color w:val="000000"/>
                <w:spacing w:val="-2"/>
              </w:rPr>
              <w:t>e</w:t>
            </w:r>
            <w:r w:rsidRPr="00384004">
              <w:rPr>
                <w:rFonts w:ascii="Times New Roman" w:hAnsi="Times New Roman"/>
                <w:color w:val="000000"/>
                <w:spacing w:val="-2"/>
              </w:rPr>
              <w:t xml:space="preserve"> z dostosowania przepisów polskiego prawa do Wytycznych CEEAG.</w:t>
            </w:r>
            <w:r>
              <w:rPr>
                <w:rFonts w:ascii="Times New Roman" w:hAnsi="Times New Roman"/>
                <w:color w:val="000000"/>
                <w:spacing w:val="-2"/>
              </w:rPr>
              <w:t xml:space="preserve"> Projekt zakłada także dostosowanie do GBER. </w:t>
            </w:r>
          </w:p>
          <w:p w14:paraId="152A5E2B" w14:textId="51F21951" w:rsidR="00143E56" w:rsidRPr="009A0BD4" w:rsidRDefault="00143E56" w:rsidP="00143E56">
            <w:pPr>
              <w:spacing w:before="120" w:line="240" w:lineRule="auto"/>
              <w:jc w:val="both"/>
              <w:rPr>
                <w:rFonts w:ascii="Times New Roman" w:hAnsi="Times New Roman"/>
                <w:color w:val="000000"/>
                <w:spacing w:val="-2"/>
                <w:u w:val="single"/>
              </w:rPr>
            </w:pPr>
            <w:r w:rsidRPr="009A0BD4">
              <w:rPr>
                <w:rFonts w:ascii="Times New Roman" w:hAnsi="Times New Roman"/>
                <w:color w:val="000000"/>
                <w:spacing w:val="-2"/>
                <w:u w:val="single"/>
              </w:rPr>
              <w:t xml:space="preserve">W obszarze realizacji zadań wynikających dostosowania przepisów polskiego prawa do GBER przewiduje się </w:t>
            </w:r>
            <w:r w:rsidRPr="009A0BD4">
              <w:rPr>
                <w:rFonts w:ascii="Times New Roman" w:hAnsi="Times New Roman"/>
                <w:b/>
                <w:bCs/>
                <w:color w:val="000000"/>
                <w:spacing w:val="-2"/>
                <w:u w:val="single"/>
              </w:rPr>
              <w:t>utworzenie 1 (jednego) stanowiska pracy</w:t>
            </w:r>
            <w:r w:rsidRPr="009A0BD4">
              <w:rPr>
                <w:rFonts w:ascii="Times New Roman" w:hAnsi="Times New Roman"/>
                <w:color w:val="000000"/>
                <w:spacing w:val="-2"/>
                <w:u w:val="single"/>
              </w:rPr>
              <w:t>.</w:t>
            </w:r>
          </w:p>
          <w:p w14:paraId="52AA2409" w14:textId="3C9146CB" w:rsidR="00143E56" w:rsidRDefault="00143E56" w:rsidP="00143E56">
            <w:pPr>
              <w:spacing w:before="120" w:line="240" w:lineRule="auto"/>
              <w:jc w:val="both"/>
              <w:rPr>
                <w:rFonts w:ascii="Times New Roman" w:hAnsi="Times New Roman"/>
                <w:color w:val="000000"/>
                <w:spacing w:val="-2"/>
              </w:rPr>
            </w:pPr>
            <w:r w:rsidRPr="00EC437D">
              <w:rPr>
                <w:rFonts w:ascii="Times New Roman" w:hAnsi="Times New Roman"/>
                <w:color w:val="000000"/>
                <w:spacing w:val="-2"/>
              </w:rPr>
              <w:t>Zadania te nie były wcześniej realizowane przez Prezesa URE i wynikają z potrzeby</w:t>
            </w:r>
            <w:r>
              <w:rPr>
                <w:rFonts w:ascii="Times New Roman" w:hAnsi="Times New Roman"/>
                <w:color w:val="000000"/>
                <w:spacing w:val="-2"/>
              </w:rPr>
              <w:t xml:space="preserve"> </w:t>
            </w:r>
            <w:r w:rsidRPr="00EC437D">
              <w:rPr>
                <w:rFonts w:ascii="Times New Roman" w:hAnsi="Times New Roman"/>
                <w:color w:val="000000"/>
                <w:spacing w:val="-2"/>
              </w:rPr>
              <w:t xml:space="preserve">uwzględnienia w krajowym porządku prawnym nowych </w:t>
            </w:r>
            <w:r w:rsidR="008C23E8">
              <w:rPr>
                <w:rFonts w:ascii="Times New Roman" w:hAnsi="Times New Roman"/>
                <w:color w:val="000000"/>
                <w:spacing w:val="-2"/>
              </w:rPr>
              <w:t>przepisów</w:t>
            </w:r>
            <w:r w:rsidRPr="00EC437D">
              <w:rPr>
                <w:rFonts w:ascii="Times New Roman" w:hAnsi="Times New Roman"/>
                <w:color w:val="000000"/>
                <w:spacing w:val="-2"/>
              </w:rPr>
              <w:t xml:space="preserve"> </w:t>
            </w:r>
            <w:r w:rsidR="008C23E8">
              <w:rPr>
                <w:rFonts w:ascii="Times New Roman" w:hAnsi="Times New Roman"/>
                <w:color w:val="000000"/>
                <w:spacing w:val="-2"/>
              </w:rPr>
              <w:t xml:space="preserve">z </w:t>
            </w:r>
            <w:r w:rsidRPr="00EC437D">
              <w:rPr>
                <w:rFonts w:ascii="Times New Roman" w:hAnsi="Times New Roman"/>
                <w:color w:val="000000"/>
                <w:spacing w:val="-2"/>
              </w:rPr>
              <w:t>art. 4 ust. 1 lit. v</w:t>
            </w:r>
            <w:r>
              <w:rPr>
                <w:rFonts w:ascii="Times New Roman" w:hAnsi="Times New Roman"/>
                <w:color w:val="000000"/>
                <w:spacing w:val="-2"/>
              </w:rPr>
              <w:t xml:space="preserve"> </w:t>
            </w:r>
            <w:r w:rsidRPr="00EC437D">
              <w:rPr>
                <w:rFonts w:ascii="Times New Roman" w:hAnsi="Times New Roman"/>
                <w:color w:val="000000"/>
                <w:spacing w:val="-2"/>
              </w:rPr>
              <w:t>rozporządzenia GBER, zgodnie z którymi pomoc operacyjna na propagowanie energii</w:t>
            </w:r>
            <w:r>
              <w:rPr>
                <w:rFonts w:ascii="Times New Roman" w:hAnsi="Times New Roman"/>
                <w:color w:val="000000"/>
                <w:spacing w:val="-2"/>
              </w:rPr>
              <w:t xml:space="preserve"> </w:t>
            </w:r>
            <w:r w:rsidRPr="00EC437D">
              <w:rPr>
                <w:rFonts w:ascii="Times New Roman" w:hAnsi="Times New Roman"/>
                <w:color w:val="000000"/>
                <w:spacing w:val="-2"/>
              </w:rPr>
              <w:t>elektrycznej ze źródeł odnawialnych nie może wynosić więcej niż 30 mln EUR na</w:t>
            </w:r>
            <w:r>
              <w:rPr>
                <w:rFonts w:ascii="Times New Roman" w:hAnsi="Times New Roman"/>
                <w:color w:val="000000"/>
                <w:spacing w:val="-2"/>
              </w:rPr>
              <w:t xml:space="preserve"> </w:t>
            </w:r>
            <w:r w:rsidRPr="00EC437D">
              <w:rPr>
                <w:rFonts w:ascii="Times New Roman" w:hAnsi="Times New Roman"/>
                <w:color w:val="000000"/>
                <w:spacing w:val="-2"/>
              </w:rPr>
              <w:t>przedsiębiorstwo na projekt. Zaś suma budżetów wszystkich programów objętych art. 42</w:t>
            </w:r>
            <w:r>
              <w:rPr>
                <w:rFonts w:ascii="Times New Roman" w:hAnsi="Times New Roman"/>
                <w:color w:val="000000"/>
                <w:spacing w:val="-2"/>
              </w:rPr>
              <w:t xml:space="preserve"> </w:t>
            </w:r>
            <w:r w:rsidRPr="00EC437D">
              <w:rPr>
                <w:rFonts w:ascii="Times New Roman" w:hAnsi="Times New Roman"/>
                <w:color w:val="000000"/>
                <w:spacing w:val="-2"/>
              </w:rPr>
              <w:t>i art. 43 rozporządzenia GBER nie może przekraczać 300 mln EUR.</w:t>
            </w:r>
          </w:p>
          <w:p w14:paraId="296FE701" w14:textId="537B64AF" w:rsidR="00143E56" w:rsidRPr="00EC437D" w:rsidRDefault="00143E56" w:rsidP="00143E56">
            <w:pPr>
              <w:spacing w:before="120" w:line="240" w:lineRule="auto"/>
              <w:jc w:val="both"/>
              <w:rPr>
                <w:rFonts w:ascii="Times New Roman" w:hAnsi="Times New Roman"/>
                <w:color w:val="000000"/>
                <w:spacing w:val="-2"/>
              </w:rPr>
            </w:pPr>
            <w:r w:rsidRPr="00EC437D">
              <w:rPr>
                <w:rFonts w:ascii="Times New Roman" w:hAnsi="Times New Roman"/>
                <w:color w:val="000000"/>
                <w:spacing w:val="-2"/>
              </w:rPr>
              <w:t>Zadania będą wiązały się z utworzeniem przez Prezesa URE od podstaw narzędzia</w:t>
            </w:r>
            <w:r>
              <w:rPr>
                <w:rFonts w:ascii="Times New Roman" w:hAnsi="Times New Roman"/>
                <w:color w:val="000000"/>
                <w:spacing w:val="-2"/>
              </w:rPr>
              <w:t xml:space="preserve"> </w:t>
            </w:r>
            <w:r w:rsidRPr="00EC437D">
              <w:rPr>
                <w:rFonts w:ascii="Times New Roman" w:hAnsi="Times New Roman"/>
                <w:color w:val="000000"/>
                <w:spacing w:val="-2"/>
              </w:rPr>
              <w:t>umożliwiającego dokonywanie monitoringu oraz modelu/algorytmu</w:t>
            </w:r>
            <w:r>
              <w:rPr>
                <w:rFonts w:ascii="Times New Roman" w:hAnsi="Times New Roman"/>
                <w:color w:val="000000"/>
                <w:spacing w:val="-2"/>
              </w:rPr>
              <w:t xml:space="preserve"> </w:t>
            </w:r>
            <w:r w:rsidRPr="00EC437D">
              <w:rPr>
                <w:rFonts w:ascii="Times New Roman" w:hAnsi="Times New Roman"/>
                <w:color w:val="000000"/>
                <w:spacing w:val="-2"/>
              </w:rPr>
              <w:t>umożliwiającego skuteczne śledzenie wysokości udzielanego wsparcia. Należy wskazać, że</w:t>
            </w:r>
            <w:r>
              <w:rPr>
                <w:rFonts w:ascii="Times New Roman" w:hAnsi="Times New Roman"/>
                <w:color w:val="000000"/>
                <w:spacing w:val="-2"/>
              </w:rPr>
              <w:t xml:space="preserve"> </w:t>
            </w:r>
            <w:r w:rsidRPr="00EC437D">
              <w:rPr>
                <w:rFonts w:ascii="Times New Roman" w:hAnsi="Times New Roman"/>
                <w:color w:val="000000"/>
                <w:spacing w:val="-2"/>
              </w:rPr>
              <w:t>sposób liczenia wysokości wsparcia w ramach FIT/FIP musi uwzględniać analizę</w:t>
            </w:r>
            <w:r>
              <w:rPr>
                <w:rFonts w:ascii="Times New Roman" w:hAnsi="Times New Roman"/>
                <w:color w:val="000000"/>
                <w:spacing w:val="-2"/>
              </w:rPr>
              <w:t xml:space="preserve"> </w:t>
            </w:r>
            <w:r w:rsidRPr="00EC437D">
              <w:rPr>
                <w:rFonts w:ascii="Times New Roman" w:hAnsi="Times New Roman"/>
                <w:color w:val="000000"/>
                <w:spacing w:val="-2"/>
              </w:rPr>
              <w:t>prognostyczną, w tym ujmowanie w procesie monitoringu zmieniających się cen energii czy</w:t>
            </w:r>
            <w:r>
              <w:rPr>
                <w:rFonts w:ascii="Times New Roman" w:hAnsi="Times New Roman"/>
                <w:color w:val="000000"/>
                <w:spacing w:val="-2"/>
              </w:rPr>
              <w:t xml:space="preserve"> </w:t>
            </w:r>
            <w:r w:rsidRPr="00EC437D">
              <w:rPr>
                <w:rFonts w:ascii="Times New Roman" w:hAnsi="Times New Roman"/>
                <w:color w:val="000000"/>
                <w:spacing w:val="-2"/>
              </w:rPr>
              <w:t>prognoz dotyczących inflacji, średnich cen energii w danym okresie lub innych zmiennych.</w:t>
            </w:r>
          </w:p>
          <w:p w14:paraId="44FDEBF4" w14:textId="20D8C507" w:rsidR="00143E56" w:rsidRPr="00EC437D" w:rsidRDefault="00143E56" w:rsidP="00143E56">
            <w:pPr>
              <w:spacing w:before="120" w:line="240" w:lineRule="auto"/>
              <w:jc w:val="both"/>
              <w:rPr>
                <w:rFonts w:ascii="Times New Roman" w:hAnsi="Times New Roman"/>
                <w:color w:val="000000"/>
                <w:spacing w:val="-2"/>
              </w:rPr>
            </w:pPr>
            <w:r w:rsidRPr="00EC437D">
              <w:rPr>
                <w:rFonts w:ascii="Times New Roman" w:hAnsi="Times New Roman"/>
                <w:color w:val="000000"/>
                <w:spacing w:val="-2"/>
              </w:rPr>
              <w:t>Tym samym obowiązki przydzielone w ramach nowotworzo</w:t>
            </w:r>
            <w:r>
              <w:rPr>
                <w:rFonts w:ascii="Times New Roman" w:hAnsi="Times New Roman"/>
                <w:color w:val="000000"/>
                <w:spacing w:val="-2"/>
              </w:rPr>
              <w:t>nego</w:t>
            </w:r>
            <w:r w:rsidRPr="00EC437D">
              <w:rPr>
                <w:rFonts w:ascii="Times New Roman" w:hAnsi="Times New Roman"/>
                <w:color w:val="000000"/>
                <w:spacing w:val="-2"/>
              </w:rPr>
              <w:t xml:space="preserve"> etat</w:t>
            </w:r>
            <w:r>
              <w:rPr>
                <w:rFonts w:ascii="Times New Roman" w:hAnsi="Times New Roman"/>
                <w:color w:val="000000"/>
                <w:spacing w:val="-2"/>
              </w:rPr>
              <w:t>u</w:t>
            </w:r>
            <w:r w:rsidRPr="00EC437D">
              <w:rPr>
                <w:rFonts w:ascii="Times New Roman" w:hAnsi="Times New Roman"/>
                <w:color w:val="000000"/>
                <w:spacing w:val="-2"/>
              </w:rPr>
              <w:t xml:space="preserve"> będą polegały m.in.</w:t>
            </w:r>
          </w:p>
          <w:p w14:paraId="5C51BA45" w14:textId="77777777" w:rsidR="00143E56" w:rsidRPr="00EC437D" w:rsidRDefault="00143E56" w:rsidP="00143E56">
            <w:pPr>
              <w:spacing w:before="120" w:line="240" w:lineRule="auto"/>
              <w:jc w:val="both"/>
              <w:rPr>
                <w:rFonts w:ascii="Times New Roman" w:hAnsi="Times New Roman"/>
                <w:color w:val="000000"/>
                <w:spacing w:val="-2"/>
              </w:rPr>
            </w:pPr>
            <w:r w:rsidRPr="00EC437D">
              <w:rPr>
                <w:rFonts w:ascii="Times New Roman" w:hAnsi="Times New Roman"/>
                <w:color w:val="000000"/>
                <w:spacing w:val="-2"/>
              </w:rPr>
              <w:t>na:</w:t>
            </w:r>
          </w:p>
          <w:p w14:paraId="014B2F37" w14:textId="77777777" w:rsidR="00143E56" w:rsidRDefault="00143E56" w:rsidP="00143E56">
            <w:pPr>
              <w:pStyle w:val="Akapitzlist"/>
              <w:numPr>
                <w:ilvl w:val="0"/>
                <w:numId w:val="15"/>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lastRenderedPageBreak/>
              <w:t>utworzeniu algorytmu/modelu obejmującego dane niezbędne do monitorowania</w:t>
            </w:r>
            <w:r>
              <w:rPr>
                <w:rFonts w:ascii="Times New Roman" w:hAnsi="Times New Roman"/>
                <w:color w:val="000000"/>
                <w:spacing w:val="-2"/>
              </w:rPr>
              <w:t xml:space="preserve"> </w:t>
            </w:r>
            <w:r w:rsidRPr="009A0BD4">
              <w:rPr>
                <w:rFonts w:ascii="Times New Roman" w:hAnsi="Times New Roman"/>
                <w:color w:val="000000"/>
                <w:spacing w:val="-2"/>
              </w:rPr>
              <w:t>poziomu pomocy publicznej w ujęciu danego roku oraz danego projektu;</w:t>
            </w:r>
          </w:p>
          <w:p w14:paraId="33CB0027" w14:textId="710BD8EF" w:rsidR="00143E56" w:rsidRDefault="00143E56" w:rsidP="00143E56">
            <w:pPr>
              <w:pStyle w:val="Akapitzlist"/>
              <w:numPr>
                <w:ilvl w:val="0"/>
                <w:numId w:val="15"/>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analizie deklaracji wytwórców złożonych do Prezesa URE celem uzyskania</w:t>
            </w:r>
            <w:r>
              <w:rPr>
                <w:rFonts w:ascii="Times New Roman" w:hAnsi="Times New Roman"/>
                <w:color w:val="000000"/>
                <w:spacing w:val="-2"/>
              </w:rPr>
              <w:t>;</w:t>
            </w:r>
          </w:p>
          <w:p w14:paraId="6E9DE53C" w14:textId="77777777" w:rsidR="00143E56" w:rsidRDefault="00143E56" w:rsidP="00143E56">
            <w:pPr>
              <w:pStyle w:val="Akapitzlist"/>
              <w:numPr>
                <w:ilvl w:val="0"/>
                <w:numId w:val="15"/>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zaświadczenia umożliwiającego udział w systemach wsparcia, w tym ilości energii</w:t>
            </w:r>
            <w:r>
              <w:rPr>
                <w:rFonts w:ascii="Times New Roman" w:hAnsi="Times New Roman"/>
                <w:color w:val="000000"/>
                <w:spacing w:val="-2"/>
              </w:rPr>
              <w:t xml:space="preserve"> </w:t>
            </w:r>
            <w:r w:rsidRPr="009A0BD4">
              <w:rPr>
                <w:rFonts w:ascii="Times New Roman" w:hAnsi="Times New Roman"/>
                <w:color w:val="000000"/>
                <w:spacing w:val="-2"/>
              </w:rPr>
              <w:t>elektrycznej zadeklarowanej przez wytwórcę do sprzedaży oraz parametrów</w:t>
            </w:r>
            <w:r>
              <w:rPr>
                <w:rFonts w:ascii="Times New Roman" w:hAnsi="Times New Roman"/>
                <w:color w:val="000000"/>
                <w:spacing w:val="-2"/>
              </w:rPr>
              <w:t xml:space="preserve"> </w:t>
            </w:r>
            <w:r w:rsidRPr="009A0BD4">
              <w:rPr>
                <w:rFonts w:ascii="Times New Roman" w:hAnsi="Times New Roman"/>
                <w:color w:val="000000"/>
                <w:spacing w:val="-2"/>
              </w:rPr>
              <w:t>efektywnościowych właściwych dla danej instalacji (różnych w zależności od</w:t>
            </w:r>
            <w:r>
              <w:rPr>
                <w:rFonts w:ascii="Times New Roman" w:hAnsi="Times New Roman"/>
                <w:color w:val="000000"/>
                <w:spacing w:val="-2"/>
              </w:rPr>
              <w:t xml:space="preserve"> </w:t>
            </w:r>
            <w:r w:rsidRPr="009A0BD4">
              <w:rPr>
                <w:rFonts w:ascii="Times New Roman" w:hAnsi="Times New Roman"/>
                <w:color w:val="000000"/>
                <w:spacing w:val="-2"/>
              </w:rPr>
              <w:t>różnych instalacji OZE);</w:t>
            </w:r>
          </w:p>
          <w:p w14:paraId="70553B09" w14:textId="77777777" w:rsidR="00143E56" w:rsidRDefault="00143E56" w:rsidP="00143E56">
            <w:pPr>
              <w:pStyle w:val="Akapitzlist"/>
              <w:numPr>
                <w:ilvl w:val="0"/>
                <w:numId w:val="15"/>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wprowadzaniu zebranych danych do algorytmu/modelu oraz zaprognozowanie za</w:t>
            </w:r>
            <w:r>
              <w:rPr>
                <w:rFonts w:ascii="Times New Roman" w:hAnsi="Times New Roman"/>
                <w:color w:val="000000"/>
                <w:spacing w:val="-2"/>
              </w:rPr>
              <w:t xml:space="preserve"> </w:t>
            </w:r>
            <w:r w:rsidRPr="009A0BD4">
              <w:rPr>
                <w:rFonts w:ascii="Times New Roman" w:hAnsi="Times New Roman"/>
                <w:color w:val="000000"/>
                <w:spacing w:val="-2"/>
              </w:rPr>
              <w:t>pomocą stworzonego algorytmu/modelu pomocy publicznej w całym okresie</w:t>
            </w:r>
            <w:r>
              <w:rPr>
                <w:rFonts w:ascii="Times New Roman" w:hAnsi="Times New Roman"/>
                <w:color w:val="000000"/>
                <w:spacing w:val="-2"/>
              </w:rPr>
              <w:t xml:space="preserve"> </w:t>
            </w:r>
            <w:r w:rsidRPr="009A0BD4">
              <w:rPr>
                <w:rFonts w:ascii="Times New Roman" w:hAnsi="Times New Roman"/>
                <w:color w:val="000000"/>
                <w:spacing w:val="-2"/>
              </w:rPr>
              <w:t>planowanego wsparcia (tj. 15 lub 20 lat w zależności od źródła);</w:t>
            </w:r>
          </w:p>
          <w:p w14:paraId="3A077C93" w14:textId="77777777" w:rsidR="00143E56" w:rsidRDefault="00143E56" w:rsidP="00143E56">
            <w:pPr>
              <w:pStyle w:val="Akapitzlist"/>
              <w:numPr>
                <w:ilvl w:val="0"/>
                <w:numId w:val="15"/>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stałej weryfikacji i wprowadzaniu aktualnych danych dotyczących zmiennych</w:t>
            </w:r>
            <w:r>
              <w:rPr>
                <w:rFonts w:ascii="Times New Roman" w:hAnsi="Times New Roman"/>
                <w:color w:val="000000"/>
                <w:spacing w:val="-2"/>
              </w:rPr>
              <w:t xml:space="preserve"> </w:t>
            </w:r>
            <w:r w:rsidRPr="009A0BD4">
              <w:rPr>
                <w:rFonts w:ascii="Times New Roman" w:hAnsi="Times New Roman"/>
                <w:color w:val="000000"/>
                <w:spacing w:val="-2"/>
              </w:rPr>
              <w:t>wielkości makroekonomicznych;</w:t>
            </w:r>
          </w:p>
          <w:p w14:paraId="7830C4F0" w14:textId="468B76E2" w:rsidR="00143E56" w:rsidRPr="009A0BD4" w:rsidRDefault="00143E56" w:rsidP="009A0BD4">
            <w:pPr>
              <w:pStyle w:val="Akapitzlist"/>
              <w:numPr>
                <w:ilvl w:val="0"/>
                <w:numId w:val="15"/>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zagregowaniu uzyskanych danych dla danego projektu z pomocą publiczną już</w:t>
            </w:r>
            <w:r>
              <w:rPr>
                <w:rFonts w:ascii="Times New Roman" w:hAnsi="Times New Roman"/>
                <w:color w:val="000000"/>
                <w:spacing w:val="-2"/>
              </w:rPr>
              <w:t xml:space="preserve"> </w:t>
            </w:r>
            <w:r w:rsidRPr="009A0BD4">
              <w:rPr>
                <w:rFonts w:ascii="Times New Roman" w:hAnsi="Times New Roman"/>
                <w:color w:val="000000"/>
                <w:spacing w:val="-2"/>
              </w:rPr>
              <w:t>udzieloną w danym roku w ramach całego systemu w celu weryfikacji limitu.</w:t>
            </w:r>
          </w:p>
          <w:p w14:paraId="21D4DC1D" w14:textId="39CA1D9E" w:rsidR="00143E56" w:rsidRPr="00EC437D" w:rsidRDefault="00143E56" w:rsidP="00143E56">
            <w:pPr>
              <w:spacing w:before="120" w:line="240" w:lineRule="auto"/>
              <w:jc w:val="both"/>
              <w:rPr>
                <w:rFonts w:ascii="Times New Roman" w:hAnsi="Times New Roman"/>
                <w:color w:val="000000"/>
                <w:spacing w:val="-2"/>
              </w:rPr>
            </w:pPr>
            <w:r w:rsidRPr="00EC437D">
              <w:rPr>
                <w:rFonts w:ascii="Times New Roman" w:hAnsi="Times New Roman"/>
                <w:color w:val="000000"/>
                <w:spacing w:val="-2"/>
              </w:rPr>
              <w:t>Ponadto po potwierdzeniu, że dana deklaracja nie wyczerpuje przewidzianego limitu</w:t>
            </w:r>
            <w:r>
              <w:rPr>
                <w:rFonts w:ascii="Times New Roman" w:hAnsi="Times New Roman"/>
                <w:color w:val="000000"/>
                <w:spacing w:val="-2"/>
              </w:rPr>
              <w:t xml:space="preserve"> </w:t>
            </w:r>
            <w:r w:rsidRPr="00EC437D">
              <w:rPr>
                <w:rFonts w:ascii="Times New Roman" w:hAnsi="Times New Roman"/>
                <w:color w:val="000000"/>
                <w:spacing w:val="-2"/>
              </w:rPr>
              <w:t>wsparcia w określonym czasie, do obowiązków pracownik</w:t>
            </w:r>
            <w:r>
              <w:rPr>
                <w:rFonts w:ascii="Times New Roman" w:hAnsi="Times New Roman"/>
                <w:color w:val="000000"/>
                <w:spacing w:val="-2"/>
              </w:rPr>
              <w:t>a</w:t>
            </w:r>
            <w:r w:rsidRPr="00EC437D">
              <w:rPr>
                <w:rFonts w:ascii="Times New Roman" w:hAnsi="Times New Roman"/>
                <w:color w:val="000000"/>
                <w:spacing w:val="-2"/>
              </w:rPr>
              <w:t xml:space="preserve"> zajmując</w:t>
            </w:r>
            <w:r>
              <w:rPr>
                <w:rFonts w:ascii="Times New Roman" w:hAnsi="Times New Roman"/>
                <w:color w:val="000000"/>
                <w:spacing w:val="-2"/>
              </w:rPr>
              <w:t>ego</w:t>
            </w:r>
            <w:r w:rsidRPr="00EC437D">
              <w:rPr>
                <w:rFonts w:ascii="Times New Roman" w:hAnsi="Times New Roman"/>
                <w:color w:val="000000"/>
                <w:spacing w:val="-2"/>
              </w:rPr>
              <w:t xml:space="preserve"> wskazany etat</w:t>
            </w:r>
            <w:r>
              <w:rPr>
                <w:rFonts w:ascii="Times New Roman" w:hAnsi="Times New Roman"/>
                <w:color w:val="000000"/>
                <w:spacing w:val="-2"/>
              </w:rPr>
              <w:t xml:space="preserve"> </w:t>
            </w:r>
            <w:r w:rsidRPr="00EC437D">
              <w:rPr>
                <w:rFonts w:ascii="Times New Roman" w:hAnsi="Times New Roman"/>
                <w:color w:val="000000"/>
                <w:spacing w:val="-2"/>
              </w:rPr>
              <w:t>będzie należało wydanie zaświadczenia dla danego wytwórcy umożliwiającego jego udział</w:t>
            </w:r>
            <w:r>
              <w:rPr>
                <w:rFonts w:ascii="Times New Roman" w:hAnsi="Times New Roman"/>
                <w:color w:val="000000"/>
                <w:spacing w:val="-2"/>
              </w:rPr>
              <w:t xml:space="preserve"> </w:t>
            </w:r>
            <w:r w:rsidRPr="00EC437D">
              <w:rPr>
                <w:rFonts w:ascii="Times New Roman" w:hAnsi="Times New Roman"/>
                <w:color w:val="000000"/>
                <w:spacing w:val="-2"/>
              </w:rPr>
              <w:t>w systemie wsparcia.</w:t>
            </w:r>
          </w:p>
          <w:p w14:paraId="1B93B089" w14:textId="5E4BD0AF" w:rsidR="00143E56" w:rsidRDefault="00143E56" w:rsidP="00143E56">
            <w:pPr>
              <w:spacing w:before="120" w:line="240" w:lineRule="auto"/>
              <w:jc w:val="both"/>
              <w:rPr>
                <w:rFonts w:ascii="Times New Roman" w:hAnsi="Times New Roman"/>
                <w:color w:val="000000"/>
                <w:spacing w:val="-2"/>
              </w:rPr>
            </w:pPr>
            <w:r w:rsidRPr="00EC437D">
              <w:rPr>
                <w:rFonts w:ascii="Times New Roman" w:hAnsi="Times New Roman"/>
                <w:color w:val="000000"/>
                <w:spacing w:val="-2"/>
              </w:rPr>
              <w:t>Jednocześnie należy wskazać, że realizacja nowych zadań na wskazanym etacie w URE nie</w:t>
            </w:r>
            <w:r>
              <w:rPr>
                <w:rFonts w:ascii="Times New Roman" w:hAnsi="Times New Roman"/>
                <w:color w:val="000000"/>
                <w:spacing w:val="-2"/>
              </w:rPr>
              <w:t xml:space="preserve"> </w:t>
            </w:r>
            <w:r w:rsidRPr="00EC437D">
              <w:rPr>
                <w:rFonts w:ascii="Times New Roman" w:hAnsi="Times New Roman"/>
                <w:color w:val="000000"/>
                <w:spacing w:val="-2"/>
              </w:rPr>
              <w:t>ma charakteru wyłącznie administracyjnego, ale wymagać będzie eksperckiej wiedzy</w:t>
            </w:r>
            <w:r>
              <w:rPr>
                <w:rFonts w:ascii="Times New Roman" w:hAnsi="Times New Roman"/>
                <w:color w:val="000000"/>
                <w:spacing w:val="-2"/>
              </w:rPr>
              <w:t xml:space="preserve"> </w:t>
            </w:r>
            <w:r w:rsidRPr="00EC437D">
              <w:rPr>
                <w:rFonts w:ascii="Times New Roman" w:hAnsi="Times New Roman"/>
                <w:color w:val="000000"/>
                <w:spacing w:val="-2"/>
              </w:rPr>
              <w:t>w zakresie m.in. ekonomii, wpływu wielu wskaźników na kształtowanie się cen energii</w:t>
            </w:r>
            <w:r>
              <w:rPr>
                <w:rFonts w:ascii="Times New Roman" w:hAnsi="Times New Roman"/>
                <w:color w:val="000000"/>
                <w:spacing w:val="-2"/>
              </w:rPr>
              <w:t xml:space="preserve"> </w:t>
            </w:r>
            <w:r w:rsidRPr="00EC437D">
              <w:rPr>
                <w:rFonts w:ascii="Times New Roman" w:hAnsi="Times New Roman"/>
                <w:color w:val="000000"/>
                <w:spacing w:val="-2"/>
              </w:rPr>
              <w:t>w długim okresie, wytwarzania energii elektrycznej i ciepła w skojarzeniu, uwarunkowań</w:t>
            </w:r>
            <w:r>
              <w:rPr>
                <w:rFonts w:ascii="Times New Roman" w:hAnsi="Times New Roman"/>
                <w:color w:val="000000"/>
                <w:spacing w:val="-2"/>
              </w:rPr>
              <w:t xml:space="preserve"> </w:t>
            </w:r>
            <w:r w:rsidRPr="00EC437D">
              <w:rPr>
                <w:rFonts w:ascii="Times New Roman" w:hAnsi="Times New Roman"/>
                <w:color w:val="000000"/>
                <w:spacing w:val="-2"/>
              </w:rPr>
              <w:t>rynku energii elektrycznej oraz uwarunkowań prawnych prowadzenia działalności</w:t>
            </w:r>
            <w:r>
              <w:rPr>
                <w:rFonts w:ascii="Times New Roman" w:hAnsi="Times New Roman"/>
                <w:color w:val="000000"/>
                <w:spacing w:val="-2"/>
              </w:rPr>
              <w:t xml:space="preserve"> </w:t>
            </w:r>
            <w:r w:rsidRPr="00EC437D">
              <w:rPr>
                <w:rFonts w:ascii="Times New Roman" w:hAnsi="Times New Roman"/>
                <w:color w:val="000000"/>
                <w:spacing w:val="-2"/>
              </w:rPr>
              <w:t>w zakresie wytwarzania energii elektrycznej. W związku z powyższym, niezbędne będzie</w:t>
            </w:r>
            <w:r>
              <w:rPr>
                <w:rFonts w:ascii="Times New Roman" w:hAnsi="Times New Roman"/>
                <w:color w:val="000000"/>
                <w:spacing w:val="-2"/>
              </w:rPr>
              <w:t xml:space="preserve"> </w:t>
            </w:r>
            <w:r w:rsidRPr="00EC437D">
              <w:rPr>
                <w:rFonts w:ascii="Times New Roman" w:hAnsi="Times New Roman"/>
                <w:color w:val="000000"/>
                <w:spacing w:val="-2"/>
              </w:rPr>
              <w:t>zatrudnienie pracownika posiadającego odpowiednie wykształcenie</w:t>
            </w:r>
            <w:r>
              <w:rPr>
                <w:rFonts w:ascii="Times New Roman" w:hAnsi="Times New Roman"/>
                <w:color w:val="000000"/>
                <w:spacing w:val="-2"/>
              </w:rPr>
              <w:t xml:space="preserve"> i</w:t>
            </w:r>
            <w:r w:rsidRPr="00EC437D">
              <w:rPr>
                <w:rFonts w:ascii="Times New Roman" w:hAnsi="Times New Roman"/>
                <w:color w:val="000000"/>
                <w:spacing w:val="-2"/>
              </w:rPr>
              <w:t xml:space="preserve"> doświadczenie.</w:t>
            </w:r>
          </w:p>
          <w:p w14:paraId="5A848FFD" w14:textId="7A8FEB4F" w:rsidR="00143E56" w:rsidRPr="009A0BD4" w:rsidRDefault="00143E56" w:rsidP="00143E56">
            <w:pPr>
              <w:spacing w:before="120" w:line="240" w:lineRule="auto"/>
              <w:jc w:val="both"/>
              <w:rPr>
                <w:rFonts w:ascii="Times New Roman" w:hAnsi="Times New Roman"/>
                <w:b/>
                <w:bCs/>
                <w:color w:val="000000"/>
                <w:spacing w:val="-2"/>
                <w:u w:val="single"/>
              </w:rPr>
            </w:pPr>
            <w:r w:rsidRPr="009A0BD4">
              <w:rPr>
                <w:rFonts w:ascii="Times New Roman" w:hAnsi="Times New Roman"/>
                <w:color w:val="000000"/>
                <w:spacing w:val="-2"/>
                <w:u w:val="single"/>
              </w:rPr>
              <w:t xml:space="preserve">W obszarze realizacji zadań wynikających z dostosowania przepisów polskiego prawa do CEEAG przewiduje się </w:t>
            </w:r>
            <w:r w:rsidRPr="009A0BD4">
              <w:rPr>
                <w:rFonts w:ascii="Times New Roman" w:hAnsi="Times New Roman"/>
                <w:b/>
                <w:bCs/>
                <w:color w:val="000000"/>
                <w:spacing w:val="-2"/>
                <w:u w:val="single"/>
              </w:rPr>
              <w:t>utworzenie 2 (dwóch) stanowisk pracy.</w:t>
            </w:r>
          </w:p>
          <w:p w14:paraId="6E0B8684" w14:textId="4E7C7EF0" w:rsidR="00143E56" w:rsidRDefault="00143E56" w:rsidP="00143E56">
            <w:pPr>
              <w:spacing w:before="120" w:line="240" w:lineRule="auto"/>
              <w:jc w:val="both"/>
              <w:rPr>
                <w:rFonts w:ascii="Times New Roman" w:hAnsi="Times New Roman"/>
                <w:color w:val="000000"/>
                <w:spacing w:val="-2"/>
              </w:rPr>
            </w:pPr>
            <w:r w:rsidRPr="009A0BD4">
              <w:rPr>
                <w:rFonts w:ascii="Times New Roman" w:hAnsi="Times New Roman"/>
                <w:color w:val="000000"/>
                <w:spacing w:val="-2"/>
              </w:rPr>
              <w:t xml:space="preserve">Wytyczne CEEAG wprowadzają obowiązek spełnienia w sposób alternatywny konkretnych wymogów. </w:t>
            </w:r>
          </w:p>
          <w:p w14:paraId="2889BA28" w14:textId="2D91989D" w:rsidR="00143E56" w:rsidRPr="00836E5F" w:rsidRDefault="00143E56" w:rsidP="00143E56">
            <w:pPr>
              <w:spacing w:before="120" w:line="240" w:lineRule="auto"/>
              <w:jc w:val="both"/>
              <w:rPr>
                <w:rFonts w:ascii="Times New Roman" w:hAnsi="Times New Roman"/>
                <w:color w:val="000000"/>
                <w:spacing w:val="-2"/>
              </w:rPr>
            </w:pPr>
            <w:r>
              <w:rPr>
                <w:rFonts w:ascii="Times New Roman" w:hAnsi="Times New Roman"/>
                <w:color w:val="000000"/>
                <w:spacing w:val="-2"/>
              </w:rPr>
              <w:t>Wprowadzane regulacje</w:t>
            </w:r>
            <w:r w:rsidRPr="00836E5F">
              <w:rPr>
                <w:rFonts w:ascii="Times New Roman" w:hAnsi="Times New Roman"/>
                <w:color w:val="000000"/>
                <w:spacing w:val="-2"/>
              </w:rPr>
              <w:t xml:space="preserve"> przełożą się na obowiązek wykazania przez odbiorcę</w:t>
            </w:r>
            <w:r>
              <w:rPr>
                <w:rFonts w:ascii="Times New Roman" w:hAnsi="Times New Roman"/>
                <w:color w:val="000000"/>
                <w:spacing w:val="-2"/>
              </w:rPr>
              <w:t xml:space="preserve"> </w:t>
            </w:r>
            <w:r w:rsidRPr="00836E5F">
              <w:rPr>
                <w:rFonts w:ascii="Times New Roman" w:hAnsi="Times New Roman"/>
                <w:color w:val="000000"/>
                <w:spacing w:val="-2"/>
              </w:rPr>
              <w:t xml:space="preserve">przemysłowego wykonania </w:t>
            </w:r>
            <w:r>
              <w:rPr>
                <w:rFonts w:ascii="Times New Roman" w:hAnsi="Times New Roman"/>
                <w:color w:val="000000"/>
                <w:spacing w:val="-2"/>
              </w:rPr>
              <w:t xml:space="preserve">nowych </w:t>
            </w:r>
            <w:r w:rsidRPr="00836E5F">
              <w:rPr>
                <w:rFonts w:ascii="Times New Roman" w:hAnsi="Times New Roman"/>
                <w:color w:val="000000"/>
                <w:spacing w:val="-2"/>
              </w:rPr>
              <w:t>obowiązków, wynikiem czego będzie składane do Prezesa URE</w:t>
            </w:r>
            <w:r>
              <w:rPr>
                <w:rFonts w:ascii="Times New Roman" w:hAnsi="Times New Roman"/>
                <w:color w:val="000000"/>
                <w:spacing w:val="-2"/>
              </w:rPr>
              <w:t xml:space="preserve"> </w:t>
            </w:r>
            <w:r w:rsidRPr="00836E5F">
              <w:rPr>
                <w:rFonts w:ascii="Times New Roman" w:hAnsi="Times New Roman"/>
                <w:color w:val="000000"/>
                <w:spacing w:val="-2"/>
              </w:rPr>
              <w:t>sprawozdanie potwierdzające wykonanie obowiązku ograniczenia emisji gazów</w:t>
            </w:r>
            <w:r>
              <w:rPr>
                <w:rFonts w:ascii="Times New Roman" w:hAnsi="Times New Roman"/>
                <w:color w:val="000000"/>
                <w:spacing w:val="-2"/>
              </w:rPr>
              <w:t xml:space="preserve"> </w:t>
            </w:r>
            <w:r w:rsidRPr="00836E5F">
              <w:rPr>
                <w:rFonts w:ascii="Times New Roman" w:hAnsi="Times New Roman"/>
                <w:color w:val="000000"/>
                <w:spacing w:val="-2"/>
              </w:rPr>
              <w:t>cieplarnianych.</w:t>
            </w:r>
          </w:p>
          <w:p w14:paraId="0A8368B1" w14:textId="77777777" w:rsidR="00143E56" w:rsidRDefault="00143E56" w:rsidP="00143E56">
            <w:pPr>
              <w:spacing w:before="120" w:line="240" w:lineRule="auto"/>
              <w:jc w:val="both"/>
              <w:rPr>
                <w:rFonts w:ascii="Times New Roman" w:hAnsi="Times New Roman"/>
                <w:color w:val="000000"/>
                <w:spacing w:val="-2"/>
              </w:rPr>
            </w:pPr>
            <w:r w:rsidRPr="00836E5F">
              <w:rPr>
                <w:rFonts w:ascii="Times New Roman" w:hAnsi="Times New Roman"/>
                <w:color w:val="000000"/>
                <w:spacing w:val="-2"/>
              </w:rPr>
              <w:t xml:space="preserve">Do zakresu obowiązków </w:t>
            </w:r>
            <w:r>
              <w:rPr>
                <w:rFonts w:ascii="Times New Roman" w:hAnsi="Times New Roman"/>
                <w:color w:val="000000"/>
                <w:spacing w:val="-2"/>
              </w:rPr>
              <w:t>dwóch pracowników</w:t>
            </w:r>
            <w:r w:rsidRPr="00836E5F">
              <w:rPr>
                <w:rFonts w:ascii="Times New Roman" w:hAnsi="Times New Roman"/>
                <w:color w:val="000000"/>
                <w:spacing w:val="-2"/>
              </w:rPr>
              <w:t xml:space="preserve"> URE posiadając</w:t>
            </w:r>
            <w:r>
              <w:rPr>
                <w:rFonts w:ascii="Times New Roman" w:hAnsi="Times New Roman"/>
                <w:color w:val="000000"/>
                <w:spacing w:val="-2"/>
              </w:rPr>
              <w:t>ych</w:t>
            </w:r>
            <w:r w:rsidRPr="00836E5F">
              <w:rPr>
                <w:rFonts w:ascii="Times New Roman" w:hAnsi="Times New Roman"/>
                <w:color w:val="000000"/>
                <w:spacing w:val="-2"/>
              </w:rPr>
              <w:t xml:space="preserve"> adekwatne kwalifikacje,</w:t>
            </w:r>
            <w:r>
              <w:rPr>
                <w:rFonts w:ascii="Times New Roman" w:hAnsi="Times New Roman"/>
                <w:color w:val="000000"/>
                <w:spacing w:val="-2"/>
              </w:rPr>
              <w:t xml:space="preserve"> </w:t>
            </w:r>
            <w:r w:rsidRPr="00836E5F">
              <w:rPr>
                <w:rFonts w:ascii="Times New Roman" w:hAnsi="Times New Roman"/>
                <w:color w:val="000000"/>
                <w:spacing w:val="-2"/>
              </w:rPr>
              <w:t>dedykowane realizacji zadań w tym obszarze będzie</w:t>
            </w:r>
            <w:r>
              <w:rPr>
                <w:rFonts w:ascii="Times New Roman" w:hAnsi="Times New Roman"/>
                <w:color w:val="000000"/>
                <w:spacing w:val="-2"/>
              </w:rPr>
              <w:t>:</w:t>
            </w:r>
          </w:p>
          <w:p w14:paraId="2468CE78" w14:textId="54C1E831" w:rsidR="00143E56" w:rsidRDefault="00143E56" w:rsidP="00143E56">
            <w:pPr>
              <w:pStyle w:val="Akapitzlist"/>
              <w:numPr>
                <w:ilvl w:val="0"/>
                <w:numId w:val="16"/>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analizowanie poprawności złożonych sprawozdań</w:t>
            </w:r>
            <w:r>
              <w:rPr>
                <w:rFonts w:ascii="Times New Roman" w:hAnsi="Times New Roman"/>
                <w:color w:val="000000"/>
                <w:spacing w:val="-2"/>
              </w:rPr>
              <w:t>;</w:t>
            </w:r>
            <w:r w:rsidRPr="009A0BD4">
              <w:rPr>
                <w:rFonts w:ascii="Times New Roman" w:hAnsi="Times New Roman"/>
                <w:color w:val="000000"/>
                <w:spacing w:val="-2"/>
              </w:rPr>
              <w:t xml:space="preserve"> </w:t>
            </w:r>
          </w:p>
          <w:p w14:paraId="4B8A1A7E" w14:textId="005F9D25" w:rsidR="00143E56" w:rsidRDefault="00143E56" w:rsidP="00143E56">
            <w:pPr>
              <w:pStyle w:val="Akapitzlist"/>
              <w:numPr>
                <w:ilvl w:val="0"/>
                <w:numId w:val="16"/>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weryfikacja danych zawartych w sprawozdaniu</w:t>
            </w:r>
            <w:r>
              <w:rPr>
                <w:rFonts w:ascii="Times New Roman" w:hAnsi="Times New Roman"/>
                <w:color w:val="000000"/>
                <w:spacing w:val="-2"/>
              </w:rPr>
              <w:t>;</w:t>
            </w:r>
            <w:r w:rsidRPr="009A0BD4">
              <w:rPr>
                <w:rFonts w:ascii="Times New Roman" w:hAnsi="Times New Roman"/>
                <w:color w:val="000000"/>
                <w:spacing w:val="-2"/>
              </w:rPr>
              <w:t xml:space="preserve"> </w:t>
            </w:r>
          </w:p>
          <w:p w14:paraId="72A77DA6" w14:textId="50A45628" w:rsidR="00143E56" w:rsidRPr="009A0BD4" w:rsidRDefault="00143E56" w:rsidP="009A0BD4">
            <w:pPr>
              <w:pStyle w:val="Akapitzlist"/>
              <w:numPr>
                <w:ilvl w:val="0"/>
                <w:numId w:val="16"/>
              </w:numPr>
              <w:spacing w:before="120" w:line="240" w:lineRule="auto"/>
              <w:jc w:val="both"/>
              <w:rPr>
                <w:rFonts w:ascii="Times New Roman" w:hAnsi="Times New Roman"/>
                <w:color w:val="000000"/>
                <w:spacing w:val="-2"/>
              </w:rPr>
            </w:pPr>
            <w:r w:rsidRPr="009A0BD4">
              <w:rPr>
                <w:rFonts w:ascii="Times New Roman" w:hAnsi="Times New Roman"/>
                <w:color w:val="000000"/>
                <w:spacing w:val="-2"/>
              </w:rPr>
              <w:t>obsługa zapytań wnioskodawców.</w:t>
            </w:r>
          </w:p>
          <w:p w14:paraId="2F403153" w14:textId="7C99F2A7" w:rsidR="00143E56" w:rsidRPr="00836E5F" w:rsidRDefault="00143E56" w:rsidP="00143E56">
            <w:pPr>
              <w:spacing w:before="120" w:line="240" w:lineRule="auto"/>
              <w:jc w:val="both"/>
              <w:rPr>
                <w:rFonts w:ascii="Times New Roman" w:hAnsi="Times New Roman"/>
                <w:color w:val="000000"/>
                <w:spacing w:val="-2"/>
              </w:rPr>
            </w:pPr>
            <w:r w:rsidRPr="00836E5F">
              <w:rPr>
                <w:rFonts w:ascii="Times New Roman" w:hAnsi="Times New Roman"/>
                <w:color w:val="000000"/>
                <w:spacing w:val="-2"/>
              </w:rPr>
              <w:t>Warto podkreślić, że ze względu na szeroki zakres danych zawartych w sprawozdaniu,</w:t>
            </w:r>
            <w:r>
              <w:rPr>
                <w:rFonts w:ascii="Times New Roman" w:hAnsi="Times New Roman"/>
                <w:color w:val="000000"/>
                <w:spacing w:val="-2"/>
              </w:rPr>
              <w:t xml:space="preserve"> </w:t>
            </w:r>
            <w:r w:rsidRPr="00836E5F">
              <w:rPr>
                <w:rFonts w:ascii="Times New Roman" w:hAnsi="Times New Roman"/>
                <w:color w:val="000000"/>
                <w:spacing w:val="-2"/>
              </w:rPr>
              <w:t xml:space="preserve">wymagane będzie zatrudnienie </w:t>
            </w:r>
            <w:r>
              <w:rPr>
                <w:rFonts w:ascii="Times New Roman" w:hAnsi="Times New Roman"/>
                <w:color w:val="000000"/>
                <w:spacing w:val="-2"/>
              </w:rPr>
              <w:t>osób</w:t>
            </w:r>
            <w:r w:rsidRPr="00836E5F">
              <w:rPr>
                <w:rFonts w:ascii="Times New Roman" w:hAnsi="Times New Roman"/>
                <w:color w:val="000000"/>
                <w:spacing w:val="-2"/>
              </w:rPr>
              <w:t xml:space="preserve"> posiadając</w:t>
            </w:r>
            <w:r>
              <w:rPr>
                <w:rFonts w:ascii="Times New Roman" w:hAnsi="Times New Roman"/>
                <w:color w:val="000000"/>
                <w:spacing w:val="-2"/>
              </w:rPr>
              <w:t>ych</w:t>
            </w:r>
            <w:r w:rsidRPr="00836E5F">
              <w:rPr>
                <w:rFonts w:ascii="Times New Roman" w:hAnsi="Times New Roman"/>
                <w:color w:val="000000"/>
                <w:spacing w:val="-2"/>
              </w:rPr>
              <w:t xml:space="preserve"> wiedzę o charakterze</w:t>
            </w:r>
            <w:r>
              <w:rPr>
                <w:rFonts w:ascii="Times New Roman" w:hAnsi="Times New Roman"/>
                <w:color w:val="000000"/>
                <w:spacing w:val="-2"/>
              </w:rPr>
              <w:t xml:space="preserve"> </w:t>
            </w:r>
            <w:r w:rsidRPr="00836E5F">
              <w:rPr>
                <w:rFonts w:ascii="Times New Roman" w:hAnsi="Times New Roman"/>
                <w:color w:val="000000"/>
                <w:spacing w:val="-2"/>
              </w:rPr>
              <w:t>interdyscyplinarnym.</w:t>
            </w:r>
          </w:p>
          <w:p w14:paraId="55E18B50" w14:textId="0B2638C4" w:rsidR="00143E56" w:rsidRDefault="00143E56" w:rsidP="00143E56">
            <w:pPr>
              <w:spacing w:before="120" w:line="240" w:lineRule="auto"/>
              <w:jc w:val="both"/>
              <w:rPr>
                <w:rFonts w:ascii="Times New Roman" w:hAnsi="Times New Roman"/>
                <w:color w:val="000000"/>
                <w:spacing w:val="-2"/>
              </w:rPr>
            </w:pPr>
            <w:r w:rsidRPr="00836E5F">
              <w:rPr>
                <w:rFonts w:ascii="Times New Roman" w:hAnsi="Times New Roman"/>
                <w:color w:val="000000"/>
                <w:spacing w:val="-2"/>
              </w:rPr>
              <w:t>Wytyczne CEEAG wskazują, że Komisja będzie uznawać pomoc za proporcjonalną, jeżeli</w:t>
            </w:r>
            <w:r>
              <w:rPr>
                <w:rFonts w:ascii="Times New Roman" w:hAnsi="Times New Roman"/>
                <w:color w:val="000000"/>
                <w:spacing w:val="-2"/>
              </w:rPr>
              <w:t xml:space="preserve"> </w:t>
            </w:r>
            <w:r w:rsidRPr="00836E5F">
              <w:rPr>
                <w:rFonts w:ascii="Times New Roman" w:hAnsi="Times New Roman"/>
                <w:color w:val="000000"/>
                <w:spacing w:val="-2"/>
              </w:rPr>
              <w:t>suma ulg dla odbiorców energochłonnych nie spowoduje, że opłaty dotyczące stricte energii</w:t>
            </w:r>
            <w:r>
              <w:rPr>
                <w:rFonts w:ascii="Times New Roman" w:hAnsi="Times New Roman"/>
                <w:color w:val="000000"/>
                <w:spacing w:val="-2"/>
              </w:rPr>
              <w:t xml:space="preserve"> </w:t>
            </w:r>
            <w:r w:rsidRPr="00836E5F">
              <w:rPr>
                <w:rFonts w:ascii="Times New Roman" w:hAnsi="Times New Roman"/>
                <w:color w:val="000000"/>
                <w:spacing w:val="-2"/>
              </w:rPr>
              <w:t>będę niższe niż 0,5 EUR. Ustawa przewiduje mechanizm opłaty wyrównawczej w przypadku,</w:t>
            </w:r>
            <w:r>
              <w:rPr>
                <w:rFonts w:ascii="Times New Roman" w:hAnsi="Times New Roman"/>
                <w:color w:val="000000"/>
                <w:spacing w:val="-2"/>
              </w:rPr>
              <w:t xml:space="preserve"> </w:t>
            </w:r>
            <w:r w:rsidRPr="00836E5F">
              <w:rPr>
                <w:rFonts w:ascii="Times New Roman" w:hAnsi="Times New Roman"/>
                <w:color w:val="000000"/>
                <w:spacing w:val="-2"/>
              </w:rPr>
              <w:t>gdy energia zużywana przez odbiorcę przemysłowego będzie obciążona niższymi opłatami,</w:t>
            </w:r>
            <w:r>
              <w:rPr>
                <w:rFonts w:ascii="Times New Roman" w:hAnsi="Times New Roman"/>
                <w:color w:val="000000"/>
                <w:spacing w:val="-2"/>
              </w:rPr>
              <w:t xml:space="preserve"> </w:t>
            </w:r>
            <w:r w:rsidRPr="00836E5F">
              <w:rPr>
                <w:rFonts w:ascii="Times New Roman" w:hAnsi="Times New Roman"/>
                <w:color w:val="000000"/>
                <w:spacing w:val="-2"/>
              </w:rPr>
              <w:t>zatem Prezes URE będzie musiał również weryfikować, czy przedmiotowa opłata</w:t>
            </w:r>
            <w:r>
              <w:rPr>
                <w:rFonts w:ascii="Times New Roman" w:hAnsi="Times New Roman"/>
                <w:color w:val="000000"/>
                <w:spacing w:val="-2"/>
              </w:rPr>
              <w:t xml:space="preserve"> </w:t>
            </w:r>
            <w:r w:rsidRPr="00836E5F">
              <w:rPr>
                <w:rFonts w:ascii="Times New Roman" w:hAnsi="Times New Roman"/>
                <w:color w:val="000000"/>
                <w:spacing w:val="-2"/>
              </w:rPr>
              <w:t>wyrównawcza nie powinna zostać wniesiona. Oznacza to dodatkowe obciążenie urzędu</w:t>
            </w:r>
            <w:r>
              <w:rPr>
                <w:rFonts w:ascii="Times New Roman" w:hAnsi="Times New Roman"/>
                <w:color w:val="000000"/>
                <w:spacing w:val="-2"/>
              </w:rPr>
              <w:t xml:space="preserve"> </w:t>
            </w:r>
            <w:r w:rsidRPr="00836E5F">
              <w:rPr>
                <w:rFonts w:ascii="Times New Roman" w:hAnsi="Times New Roman"/>
                <w:color w:val="000000"/>
                <w:spacing w:val="-2"/>
              </w:rPr>
              <w:t>nowymi zadaniami wynikającymi z regulacji unijnych.</w:t>
            </w:r>
          </w:p>
          <w:p w14:paraId="69EF91FD" w14:textId="1609C526" w:rsidR="00143E56" w:rsidRPr="00836E5F" w:rsidRDefault="00143E56" w:rsidP="00143E56">
            <w:pPr>
              <w:spacing w:before="120" w:line="240" w:lineRule="auto"/>
              <w:jc w:val="both"/>
              <w:rPr>
                <w:rFonts w:ascii="Times New Roman" w:hAnsi="Times New Roman"/>
                <w:color w:val="000000"/>
                <w:spacing w:val="-2"/>
              </w:rPr>
            </w:pPr>
            <w:r w:rsidRPr="00EE594E">
              <w:rPr>
                <w:rFonts w:ascii="Times New Roman" w:hAnsi="Times New Roman"/>
                <w:color w:val="000000"/>
                <w:spacing w:val="-2"/>
              </w:rPr>
              <w:t>Jeśli zaś chodzi o skalę obrazującą nakład nowych zadań, należy podkreślić, że do uprawnienia do korzystania z ulg stracili odbiorcy przemysłowi z 5 sektorów PKD a prawo do skorzystania z ulg uzyskali odbiorcy przemysłowi z 43 sektorów PKD, a więc wraz z rozszerzeniem wymogów, co do analizy sprawozdania potwierdzającego wykonanie obowiązku ograniczenia emisji gazów cieplarnianych dochodzi ogólnie większa liczba podmiotów partycypujących w tym systemie.</w:t>
            </w:r>
          </w:p>
          <w:p w14:paraId="59EC3B91" w14:textId="2A6F8491" w:rsidR="00143E56" w:rsidRPr="00384004" w:rsidRDefault="00143E56" w:rsidP="00143E56">
            <w:pPr>
              <w:spacing w:before="120" w:line="240" w:lineRule="auto"/>
              <w:jc w:val="both"/>
              <w:rPr>
                <w:rFonts w:ascii="Times New Roman" w:hAnsi="Times New Roman"/>
                <w:color w:val="000000"/>
                <w:spacing w:val="-2"/>
              </w:rPr>
            </w:pPr>
            <w:r w:rsidRPr="00384004">
              <w:rPr>
                <w:rFonts w:ascii="Times New Roman" w:hAnsi="Times New Roman"/>
                <w:color w:val="000000"/>
                <w:spacing w:val="-2"/>
              </w:rPr>
              <w:t xml:space="preserve">Wydatki </w:t>
            </w:r>
            <w:r>
              <w:rPr>
                <w:rFonts w:ascii="Times New Roman" w:hAnsi="Times New Roman"/>
                <w:color w:val="000000"/>
                <w:spacing w:val="-2"/>
              </w:rPr>
              <w:t xml:space="preserve">dla 3 etatów </w:t>
            </w:r>
            <w:r w:rsidRPr="00384004">
              <w:rPr>
                <w:rFonts w:ascii="Times New Roman" w:hAnsi="Times New Roman"/>
                <w:color w:val="000000"/>
                <w:spacing w:val="-2"/>
              </w:rPr>
              <w:t>zostały oszacowane w zakresie wpływu regulacji na sektor finansów publicznych (tabela powyżej). Wydatki zostały oszacowane w oparciu o dotychczasowe doświadczenie i wiedzę w zakresie kosztów osobowych oraz biorąc pod uwagę zakres i specyfikę nałożonych zadań na Prezesa URE.</w:t>
            </w:r>
          </w:p>
          <w:p w14:paraId="56B60EAE" w14:textId="77777777" w:rsidR="00143E56" w:rsidRPr="00384004" w:rsidRDefault="00143E56" w:rsidP="00143E56">
            <w:pPr>
              <w:spacing w:before="120" w:line="240" w:lineRule="auto"/>
              <w:jc w:val="both"/>
              <w:rPr>
                <w:rFonts w:ascii="Times New Roman" w:hAnsi="Times New Roman"/>
                <w:color w:val="000000"/>
                <w:spacing w:val="-2"/>
              </w:rPr>
            </w:pPr>
            <w:r w:rsidRPr="00384004">
              <w:rPr>
                <w:rFonts w:ascii="Times New Roman" w:hAnsi="Times New Roman"/>
                <w:color w:val="000000"/>
                <w:spacing w:val="-2"/>
              </w:rPr>
              <w:t>Realizowane działania będą się wiązały z dodatkowymi kosztami po stronie URE w zakresie:</w:t>
            </w:r>
          </w:p>
          <w:p w14:paraId="215DFD5C" w14:textId="77777777" w:rsidR="00143E56" w:rsidRPr="00875305" w:rsidRDefault="00143E56" w:rsidP="00143E56">
            <w:pPr>
              <w:spacing w:before="120" w:after="120" w:line="240" w:lineRule="auto"/>
              <w:jc w:val="both"/>
              <w:rPr>
                <w:rFonts w:ascii="Times New Roman" w:hAnsi="Times New Roman"/>
                <w:b/>
                <w:bCs/>
                <w:color w:val="000000"/>
              </w:rPr>
            </w:pPr>
            <w:r w:rsidRPr="00875305">
              <w:rPr>
                <w:rFonts w:ascii="Times New Roman" w:hAnsi="Times New Roman"/>
                <w:b/>
                <w:bCs/>
                <w:color w:val="000000"/>
              </w:rPr>
              <w:lastRenderedPageBreak/>
              <w:t>Pozycja 1 – koszty infrastruktury</w:t>
            </w:r>
            <w:r>
              <w:rPr>
                <w:rFonts w:ascii="Times New Roman" w:hAnsi="Times New Roman"/>
                <w:b/>
                <w:bCs/>
                <w:color w:val="000000"/>
              </w:rPr>
              <w:t>:</w:t>
            </w:r>
          </w:p>
          <w:p w14:paraId="2DCD653A" w14:textId="5D45632B" w:rsidR="00143E56" w:rsidRPr="00EC184C" w:rsidRDefault="00143E56" w:rsidP="00143E56">
            <w:pPr>
              <w:pStyle w:val="Akapitzlist"/>
              <w:numPr>
                <w:ilvl w:val="0"/>
                <w:numId w:val="7"/>
              </w:numPr>
              <w:spacing w:before="120" w:after="120" w:line="240" w:lineRule="auto"/>
              <w:jc w:val="both"/>
              <w:rPr>
                <w:rFonts w:ascii="Times New Roman" w:hAnsi="Times New Roman"/>
                <w:color w:val="000000"/>
              </w:rPr>
            </w:pPr>
            <w:r w:rsidRPr="00EC184C">
              <w:rPr>
                <w:rFonts w:ascii="Times New Roman" w:hAnsi="Times New Roman"/>
                <w:color w:val="000000"/>
              </w:rPr>
              <w:t>wynajem powierzchni biurowej, koszty energii elektrycznej, sprzątanie, itp.</w:t>
            </w:r>
            <w:r>
              <w:rPr>
                <w:rFonts w:ascii="Times New Roman" w:hAnsi="Times New Roman"/>
                <w:color w:val="000000"/>
              </w:rPr>
              <w:t>;</w:t>
            </w:r>
          </w:p>
          <w:p w14:paraId="3BB11B64" w14:textId="77777777" w:rsidR="00143E56" w:rsidRPr="00EC184C" w:rsidRDefault="00143E56" w:rsidP="00143E56">
            <w:pPr>
              <w:pStyle w:val="Akapitzlist"/>
              <w:numPr>
                <w:ilvl w:val="0"/>
                <w:numId w:val="7"/>
              </w:numPr>
              <w:spacing w:before="120" w:after="120" w:line="240" w:lineRule="auto"/>
              <w:jc w:val="both"/>
              <w:rPr>
                <w:rFonts w:ascii="Times New Roman" w:hAnsi="Times New Roman"/>
                <w:color w:val="000000"/>
              </w:rPr>
            </w:pPr>
            <w:r w:rsidRPr="00EC184C">
              <w:rPr>
                <w:rFonts w:ascii="Times New Roman" w:hAnsi="Times New Roman"/>
                <w:color w:val="000000"/>
              </w:rPr>
              <w:t>utworzenie stanowiska pracy (w tym niezbędnej infrastruktury) oraz jej utrzymania (szkolenia, itp.).</w:t>
            </w:r>
          </w:p>
          <w:p w14:paraId="1474A372" w14:textId="77777777" w:rsidR="00143E56" w:rsidRPr="00875305" w:rsidRDefault="00143E56" w:rsidP="00143E56">
            <w:pPr>
              <w:spacing w:before="120" w:after="120" w:line="240" w:lineRule="auto"/>
              <w:jc w:val="both"/>
              <w:rPr>
                <w:rFonts w:ascii="Times New Roman" w:hAnsi="Times New Roman"/>
                <w:b/>
                <w:bCs/>
                <w:color w:val="000000"/>
              </w:rPr>
            </w:pPr>
            <w:r w:rsidRPr="00875305">
              <w:rPr>
                <w:rFonts w:ascii="Times New Roman" w:hAnsi="Times New Roman"/>
                <w:b/>
                <w:bCs/>
                <w:color w:val="000000"/>
              </w:rPr>
              <w:t>Pozycja 2 – koszty osobowe:</w:t>
            </w:r>
          </w:p>
          <w:p w14:paraId="59AF1744" w14:textId="6FB27397" w:rsidR="00143E56" w:rsidRDefault="00143E56" w:rsidP="00143E56">
            <w:pPr>
              <w:spacing w:before="120" w:line="240" w:lineRule="auto"/>
              <w:jc w:val="both"/>
              <w:rPr>
                <w:rFonts w:ascii="Times New Roman" w:hAnsi="Times New Roman"/>
                <w:color w:val="000000"/>
                <w:spacing w:val="-2"/>
              </w:rPr>
            </w:pPr>
            <w:r w:rsidRPr="00384004">
              <w:rPr>
                <w:rFonts w:ascii="Times New Roman" w:hAnsi="Times New Roman"/>
                <w:color w:val="000000"/>
                <w:spacing w:val="-2"/>
              </w:rPr>
              <w:t xml:space="preserve">Zgodnie z informacjami przekazanymi przez URE, bazując na dotychczasowym doświadczeniu w zakresie obsługi prowadzenia spraw niezbędne dla skutecznej realizacji nowych zadań będzie zatrudnienie dodatkowych </w:t>
            </w:r>
            <w:r>
              <w:rPr>
                <w:rFonts w:ascii="Times New Roman" w:hAnsi="Times New Roman"/>
                <w:color w:val="000000"/>
                <w:spacing w:val="-2"/>
              </w:rPr>
              <w:t xml:space="preserve">trzech </w:t>
            </w:r>
            <w:r w:rsidRPr="00384004">
              <w:rPr>
                <w:rFonts w:ascii="Times New Roman" w:hAnsi="Times New Roman"/>
                <w:color w:val="000000"/>
                <w:spacing w:val="-2"/>
              </w:rPr>
              <w:t xml:space="preserve">(3) osób na stanowiskach eksperckich. </w:t>
            </w:r>
          </w:p>
          <w:tbl>
            <w:tblPr>
              <w:tblpPr w:leftFromText="141" w:rightFromText="141" w:vertAnchor="text" w:horzAnchor="margin" w:tblpX="-157" w:tblpY="357"/>
              <w:tblOverlap w:val="neve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97"/>
              <w:gridCol w:w="798"/>
              <w:gridCol w:w="797"/>
              <w:gridCol w:w="798"/>
              <w:gridCol w:w="798"/>
              <w:gridCol w:w="797"/>
              <w:gridCol w:w="798"/>
              <w:gridCol w:w="798"/>
              <w:gridCol w:w="797"/>
              <w:gridCol w:w="798"/>
              <w:gridCol w:w="798"/>
            </w:tblGrid>
            <w:tr w:rsidR="00143E56" w:rsidRPr="00D433EA" w14:paraId="47E8FC23" w14:textId="77777777" w:rsidTr="00211ED9">
              <w:trPr>
                <w:trHeight w:val="367"/>
              </w:trPr>
              <w:tc>
                <w:tcPr>
                  <w:tcW w:w="797" w:type="dxa"/>
                  <w:shd w:val="clear" w:color="auto" w:fill="AEAAAA" w:themeFill="background2" w:themeFillShade="BF"/>
                  <w:noWrap/>
                  <w:vAlign w:val="center"/>
                  <w:hideMark/>
                </w:tcPr>
                <w:p w14:paraId="198E515B" w14:textId="77777777" w:rsidR="00143E56" w:rsidRPr="00D433EA" w:rsidRDefault="00143E56" w:rsidP="00143E56">
                  <w:pPr>
                    <w:spacing w:line="240" w:lineRule="auto"/>
                    <w:jc w:val="center"/>
                    <w:rPr>
                      <w:rFonts w:ascii="Times New Roman" w:eastAsia="Times New Roman" w:hAnsi="Times New Roman"/>
                      <w:b/>
                      <w:bCs/>
                      <w:sz w:val="18"/>
                      <w:szCs w:val="18"/>
                      <w:lang w:eastAsia="pl-PL"/>
                    </w:rPr>
                  </w:pPr>
                  <w:r w:rsidRPr="00006B03">
                    <w:rPr>
                      <w:rFonts w:ascii="Times New Roman" w:eastAsia="Times New Roman" w:hAnsi="Times New Roman"/>
                      <w:b/>
                      <w:bCs/>
                      <w:sz w:val="18"/>
                      <w:szCs w:val="18"/>
                      <w:lang w:eastAsia="pl-PL"/>
                    </w:rPr>
                    <w:t>Pozycja</w:t>
                  </w:r>
                </w:p>
              </w:tc>
              <w:tc>
                <w:tcPr>
                  <w:tcW w:w="798" w:type="dxa"/>
                  <w:shd w:val="clear" w:color="auto" w:fill="AEAAAA" w:themeFill="background2" w:themeFillShade="BF"/>
                  <w:noWrap/>
                  <w:vAlign w:val="center"/>
                  <w:hideMark/>
                </w:tcPr>
                <w:p w14:paraId="03D3DE36"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202</w:t>
                  </w:r>
                  <w:r>
                    <w:rPr>
                      <w:rFonts w:ascii="Times New Roman" w:eastAsia="Times New Roman" w:hAnsi="Times New Roman"/>
                      <w:b/>
                      <w:bCs/>
                      <w:color w:val="000000"/>
                      <w:sz w:val="18"/>
                      <w:szCs w:val="18"/>
                      <w:lang w:eastAsia="pl-PL"/>
                    </w:rPr>
                    <w:t>5</w:t>
                  </w:r>
                </w:p>
              </w:tc>
              <w:tc>
                <w:tcPr>
                  <w:tcW w:w="797" w:type="dxa"/>
                  <w:shd w:val="clear" w:color="auto" w:fill="AEAAAA" w:themeFill="background2" w:themeFillShade="BF"/>
                  <w:noWrap/>
                  <w:vAlign w:val="center"/>
                  <w:hideMark/>
                </w:tcPr>
                <w:p w14:paraId="72008266"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2026</w:t>
                  </w:r>
                </w:p>
              </w:tc>
              <w:tc>
                <w:tcPr>
                  <w:tcW w:w="798" w:type="dxa"/>
                  <w:shd w:val="clear" w:color="auto" w:fill="AEAAAA" w:themeFill="background2" w:themeFillShade="BF"/>
                  <w:noWrap/>
                  <w:vAlign w:val="center"/>
                  <w:hideMark/>
                </w:tcPr>
                <w:p w14:paraId="18977985"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2027</w:t>
                  </w:r>
                </w:p>
              </w:tc>
              <w:tc>
                <w:tcPr>
                  <w:tcW w:w="798" w:type="dxa"/>
                  <w:shd w:val="clear" w:color="auto" w:fill="AEAAAA" w:themeFill="background2" w:themeFillShade="BF"/>
                  <w:noWrap/>
                  <w:vAlign w:val="center"/>
                  <w:hideMark/>
                </w:tcPr>
                <w:p w14:paraId="061D9D8A"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2028</w:t>
                  </w:r>
                </w:p>
              </w:tc>
              <w:tc>
                <w:tcPr>
                  <w:tcW w:w="797" w:type="dxa"/>
                  <w:shd w:val="clear" w:color="auto" w:fill="AEAAAA" w:themeFill="background2" w:themeFillShade="BF"/>
                  <w:noWrap/>
                  <w:vAlign w:val="center"/>
                  <w:hideMark/>
                </w:tcPr>
                <w:p w14:paraId="39316FC8"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2029</w:t>
                  </w:r>
                </w:p>
              </w:tc>
              <w:tc>
                <w:tcPr>
                  <w:tcW w:w="798" w:type="dxa"/>
                  <w:shd w:val="clear" w:color="auto" w:fill="AEAAAA" w:themeFill="background2" w:themeFillShade="BF"/>
                  <w:noWrap/>
                  <w:vAlign w:val="center"/>
                  <w:hideMark/>
                </w:tcPr>
                <w:p w14:paraId="389A0B6C"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2030</w:t>
                  </w:r>
                </w:p>
              </w:tc>
              <w:tc>
                <w:tcPr>
                  <w:tcW w:w="798" w:type="dxa"/>
                  <w:shd w:val="clear" w:color="auto" w:fill="AEAAAA" w:themeFill="background2" w:themeFillShade="BF"/>
                  <w:noWrap/>
                  <w:vAlign w:val="center"/>
                  <w:hideMark/>
                </w:tcPr>
                <w:p w14:paraId="08B4F7D1"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2031</w:t>
                  </w:r>
                </w:p>
              </w:tc>
              <w:tc>
                <w:tcPr>
                  <w:tcW w:w="797" w:type="dxa"/>
                  <w:shd w:val="clear" w:color="auto" w:fill="AEAAAA" w:themeFill="background2" w:themeFillShade="BF"/>
                  <w:noWrap/>
                  <w:vAlign w:val="center"/>
                  <w:hideMark/>
                </w:tcPr>
                <w:p w14:paraId="2193CEA4"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2032</w:t>
                  </w:r>
                </w:p>
              </w:tc>
              <w:tc>
                <w:tcPr>
                  <w:tcW w:w="798" w:type="dxa"/>
                  <w:shd w:val="clear" w:color="auto" w:fill="AEAAAA" w:themeFill="background2" w:themeFillShade="BF"/>
                  <w:noWrap/>
                  <w:vAlign w:val="center"/>
                  <w:hideMark/>
                </w:tcPr>
                <w:p w14:paraId="3E6B2885"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2033</w:t>
                  </w:r>
                </w:p>
              </w:tc>
              <w:tc>
                <w:tcPr>
                  <w:tcW w:w="798" w:type="dxa"/>
                  <w:shd w:val="clear" w:color="auto" w:fill="AEAAAA" w:themeFill="background2" w:themeFillShade="BF"/>
                  <w:noWrap/>
                  <w:vAlign w:val="center"/>
                  <w:hideMark/>
                </w:tcPr>
                <w:p w14:paraId="2FFE3FF9"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2034</w:t>
                  </w:r>
                </w:p>
              </w:tc>
            </w:tr>
            <w:tr w:rsidR="00143E56" w:rsidRPr="00D433EA" w14:paraId="7EDFBE55" w14:textId="77777777" w:rsidTr="00211ED9">
              <w:trPr>
                <w:trHeight w:val="742"/>
              </w:trPr>
              <w:tc>
                <w:tcPr>
                  <w:tcW w:w="797" w:type="dxa"/>
                  <w:shd w:val="clear" w:color="auto" w:fill="auto"/>
                  <w:vAlign w:val="center"/>
                  <w:hideMark/>
                </w:tcPr>
                <w:p w14:paraId="501DABE5"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Pozycja 1</w:t>
                  </w:r>
                </w:p>
              </w:tc>
              <w:tc>
                <w:tcPr>
                  <w:tcW w:w="798" w:type="dxa"/>
                  <w:shd w:val="clear" w:color="auto" w:fill="FFFFFF" w:themeFill="background1"/>
                  <w:noWrap/>
                  <w:vAlign w:val="center"/>
                  <w:hideMark/>
                </w:tcPr>
                <w:p w14:paraId="1D586096"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225 321,89</w:t>
                  </w:r>
                </w:p>
              </w:tc>
              <w:tc>
                <w:tcPr>
                  <w:tcW w:w="797" w:type="dxa"/>
                  <w:shd w:val="clear" w:color="auto" w:fill="FFFFFF" w:themeFill="background1"/>
                  <w:noWrap/>
                  <w:vAlign w:val="center"/>
                  <w:hideMark/>
                </w:tcPr>
                <w:p w14:paraId="627E1FA6"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195 278,97</w:t>
                  </w:r>
                </w:p>
              </w:tc>
              <w:tc>
                <w:tcPr>
                  <w:tcW w:w="798" w:type="dxa"/>
                  <w:shd w:val="clear" w:color="auto" w:fill="FFFFFF" w:themeFill="background1"/>
                  <w:noWrap/>
                  <w:vAlign w:val="center"/>
                  <w:hideMark/>
                </w:tcPr>
                <w:p w14:paraId="1B91163F"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200 214,59</w:t>
                  </w:r>
                </w:p>
              </w:tc>
              <w:tc>
                <w:tcPr>
                  <w:tcW w:w="798" w:type="dxa"/>
                  <w:shd w:val="clear" w:color="auto" w:fill="FFFFFF" w:themeFill="background1"/>
                  <w:noWrap/>
                  <w:vAlign w:val="center"/>
                  <w:hideMark/>
                </w:tcPr>
                <w:p w14:paraId="280F3ACA"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205 364,81</w:t>
                  </w:r>
                </w:p>
              </w:tc>
              <w:tc>
                <w:tcPr>
                  <w:tcW w:w="797" w:type="dxa"/>
                  <w:shd w:val="clear" w:color="auto" w:fill="FFFFFF" w:themeFill="background1"/>
                  <w:noWrap/>
                  <w:vAlign w:val="center"/>
                  <w:hideMark/>
                </w:tcPr>
                <w:p w14:paraId="6B4F314B"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210 515,02</w:t>
                  </w:r>
                </w:p>
              </w:tc>
              <w:tc>
                <w:tcPr>
                  <w:tcW w:w="798" w:type="dxa"/>
                  <w:shd w:val="clear" w:color="auto" w:fill="auto"/>
                  <w:noWrap/>
                  <w:vAlign w:val="center"/>
                  <w:hideMark/>
                </w:tcPr>
                <w:p w14:paraId="58230940"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215 879,83</w:t>
                  </w:r>
                </w:p>
              </w:tc>
              <w:tc>
                <w:tcPr>
                  <w:tcW w:w="798" w:type="dxa"/>
                  <w:shd w:val="clear" w:color="auto" w:fill="auto"/>
                  <w:noWrap/>
                  <w:vAlign w:val="center"/>
                  <w:hideMark/>
                </w:tcPr>
                <w:p w14:paraId="5326B198"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221 459,23</w:t>
                  </w:r>
                </w:p>
              </w:tc>
              <w:tc>
                <w:tcPr>
                  <w:tcW w:w="797" w:type="dxa"/>
                  <w:shd w:val="clear" w:color="auto" w:fill="auto"/>
                  <w:noWrap/>
                  <w:vAlign w:val="center"/>
                  <w:hideMark/>
                </w:tcPr>
                <w:p w14:paraId="0E77E9CA"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227 038,63</w:t>
                  </w:r>
                </w:p>
              </w:tc>
              <w:tc>
                <w:tcPr>
                  <w:tcW w:w="798" w:type="dxa"/>
                  <w:shd w:val="clear" w:color="auto" w:fill="auto"/>
                  <w:noWrap/>
                  <w:vAlign w:val="center"/>
                  <w:hideMark/>
                </w:tcPr>
                <w:p w14:paraId="2950AE7F"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232 832,62</w:t>
                  </w:r>
                </w:p>
              </w:tc>
              <w:tc>
                <w:tcPr>
                  <w:tcW w:w="798" w:type="dxa"/>
                  <w:shd w:val="clear" w:color="auto" w:fill="auto"/>
                  <w:noWrap/>
                  <w:vAlign w:val="center"/>
                  <w:hideMark/>
                </w:tcPr>
                <w:p w14:paraId="1742F5E3"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238 841,20</w:t>
                  </w:r>
                </w:p>
              </w:tc>
            </w:tr>
            <w:tr w:rsidR="00143E56" w:rsidRPr="00D433EA" w14:paraId="27B4AB61" w14:textId="77777777" w:rsidTr="00211ED9">
              <w:trPr>
                <w:trHeight w:val="367"/>
              </w:trPr>
              <w:tc>
                <w:tcPr>
                  <w:tcW w:w="797" w:type="dxa"/>
                  <w:shd w:val="clear" w:color="auto" w:fill="auto"/>
                  <w:vAlign w:val="center"/>
                  <w:hideMark/>
                </w:tcPr>
                <w:p w14:paraId="6895BDE9"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Pozycja 2</w:t>
                  </w:r>
                </w:p>
              </w:tc>
              <w:tc>
                <w:tcPr>
                  <w:tcW w:w="798" w:type="dxa"/>
                  <w:shd w:val="clear" w:color="auto" w:fill="FFFFFF" w:themeFill="background1"/>
                  <w:noWrap/>
                  <w:vAlign w:val="center"/>
                  <w:hideMark/>
                </w:tcPr>
                <w:p w14:paraId="53A37760"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525 751,07</w:t>
                  </w:r>
                </w:p>
              </w:tc>
              <w:tc>
                <w:tcPr>
                  <w:tcW w:w="797" w:type="dxa"/>
                  <w:shd w:val="clear" w:color="auto" w:fill="FFFFFF" w:themeFill="background1"/>
                  <w:noWrap/>
                  <w:vAlign w:val="center"/>
                  <w:hideMark/>
                </w:tcPr>
                <w:p w14:paraId="41276EA6"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8" w:type="dxa"/>
                  <w:shd w:val="clear" w:color="auto" w:fill="FFFFFF" w:themeFill="background1"/>
                  <w:noWrap/>
                  <w:vAlign w:val="center"/>
                  <w:hideMark/>
                </w:tcPr>
                <w:p w14:paraId="20CCA8CE"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8" w:type="dxa"/>
                  <w:shd w:val="clear" w:color="auto" w:fill="FFFFFF" w:themeFill="background1"/>
                  <w:noWrap/>
                  <w:vAlign w:val="center"/>
                  <w:hideMark/>
                </w:tcPr>
                <w:p w14:paraId="667499C9"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7" w:type="dxa"/>
                  <w:shd w:val="clear" w:color="auto" w:fill="FFFFFF" w:themeFill="background1"/>
                  <w:noWrap/>
                  <w:vAlign w:val="center"/>
                  <w:hideMark/>
                </w:tcPr>
                <w:p w14:paraId="223CA1A4"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8" w:type="dxa"/>
                  <w:shd w:val="clear" w:color="auto" w:fill="auto"/>
                  <w:noWrap/>
                  <w:vAlign w:val="center"/>
                  <w:hideMark/>
                </w:tcPr>
                <w:p w14:paraId="0B11E075"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8" w:type="dxa"/>
                  <w:shd w:val="clear" w:color="auto" w:fill="auto"/>
                  <w:noWrap/>
                  <w:vAlign w:val="center"/>
                  <w:hideMark/>
                </w:tcPr>
                <w:p w14:paraId="47DC8DBE"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7" w:type="dxa"/>
                  <w:shd w:val="clear" w:color="auto" w:fill="auto"/>
                  <w:noWrap/>
                  <w:vAlign w:val="center"/>
                  <w:hideMark/>
                </w:tcPr>
                <w:p w14:paraId="7336966D"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8" w:type="dxa"/>
                  <w:shd w:val="clear" w:color="auto" w:fill="auto"/>
                  <w:noWrap/>
                  <w:vAlign w:val="center"/>
                  <w:hideMark/>
                </w:tcPr>
                <w:p w14:paraId="1035BCBA"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c>
                <w:tcPr>
                  <w:tcW w:w="798" w:type="dxa"/>
                  <w:shd w:val="clear" w:color="auto" w:fill="auto"/>
                  <w:noWrap/>
                  <w:vAlign w:val="center"/>
                  <w:hideMark/>
                </w:tcPr>
                <w:p w14:paraId="7895D90C" w14:textId="77777777" w:rsidR="00143E56" w:rsidRPr="00D433EA" w:rsidRDefault="00143E56" w:rsidP="00143E56">
                  <w:pPr>
                    <w:spacing w:line="240" w:lineRule="auto"/>
                    <w:jc w:val="center"/>
                    <w:rPr>
                      <w:rFonts w:ascii="Times New Roman" w:eastAsia="Times New Roman" w:hAnsi="Times New Roman"/>
                      <w:color w:val="000000"/>
                      <w:sz w:val="18"/>
                      <w:szCs w:val="18"/>
                      <w:lang w:eastAsia="pl-PL"/>
                    </w:rPr>
                  </w:pPr>
                  <w:r w:rsidRPr="00D433EA">
                    <w:rPr>
                      <w:rFonts w:ascii="Times New Roman" w:eastAsia="Times New Roman" w:hAnsi="Times New Roman"/>
                      <w:color w:val="000000"/>
                      <w:sz w:val="18"/>
                      <w:szCs w:val="18"/>
                      <w:lang w:eastAsia="pl-PL"/>
                    </w:rPr>
                    <w:t>570 439,91</w:t>
                  </w:r>
                </w:p>
              </w:tc>
            </w:tr>
            <w:tr w:rsidR="00143E56" w:rsidRPr="00D433EA" w14:paraId="3040EEDF" w14:textId="77777777" w:rsidTr="00211ED9">
              <w:trPr>
                <w:trHeight w:val="367"/>
              </w:trPr>
              <w:tc>
                <w:tcPr>
                  <w:tcW w:w="797" w:type="dxa"/>
                  <w:shd w:val="clear" w:color="auto" w:fill="auto"/>
                  <w:vAlign w:val="center"/>
                  <w:hideMark/>
                </w:tcPr>
                <w:p w14:paraId="591F7231"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suma</w:t>
                  </w:r>
                </w:p>
              </w:tc>
              <w:tc>
                <w:tcPr>
                  <w:tcW w:w="798" w:type="dxa"/>
                  <w:shd w:val="clear" w:color="auto" w:fill="FFFFFF" w:themeFill="background1"/>
                  <w:noWrap/>
                  <w:vAlign w:val="center"/>
                  <w:hideMark/>
                </w:tcPr>
                <w:p w14:paraId="266CA65B"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751 072,96</w:t>
                  </w:r>
                </w:p>
              </w:tc>
              <w:tc>
                <w:tcPr>
                  <w:tcW w:w="797" w:type="dxa"/>
                  <w:shd w:val="clear" w:color="auto" w:fill="FFFFFF" w:themeFill="background1"/>
                  <w:noWrap/>
                  <w:vAlign w:val="center"/>
                  <w:hideMark/>
                </w:tcPr>
                <w:p w14:paraId="3136C1C2"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765 718,88</w:t>
                  </w:r>
                </w:p>
              </w:tc>
              <w:tc>
                <w:tcPr>
                  <w:tcW w:w="798" w:type="dxa"/>
                  <w:shd w:val="clear" w:color="auto" w:fill="FFFFFF" w:themeFill="background1"/>
                  <w:noWrap/>
                  <w:vAlign w:val="center"/>
                  <w:hideMark/>
                </w:tcPr>
                <w:p w14:paraId="1CB3FB02"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770 654,51</w:t>
                  </w:r>
                </w:p>
              </w:tc>
              <w:tc>
                <w:tcPr>
                  <w:tcW w:w="798" w:type="dxa"/>
                  <w:shd w:val="clear" w:color="auto" w:fill="FFFFFF" w:themeFill="background1"/>
                  <w:noWrap/>
                  <w:vAlign w:val="center"/>
                  <w:hideMark/>
                </w:tcPr>
                <w:p w14:paraId="3FB132CD"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775 804,72</w:t>
                  </w:r>
                </w:p>
              </w:tc>
              <w:tc>
                <w:tcPr>
                  <w:tcW w:w="797" w:type="dxa"/>
                  <w:shd w:val="clear" w:color="auto" w:fill="FFFFFF" w:themeFill="background1"/>
                  <w:noWrap/>
                  <w:vAlign w:val="center"/>
                  <w:hideMark/>
                </w:tcPr>
                <w:p w14:paraId="0BF6A95C"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780 954,94</w:t>
                  </w:r>
                </w:p>
              </w:tc>
              <w:tc>
                <w:tcPr>
                  <w:tcW w:w="798" w:type="dxa"/>
                  <w:shd w:val="clear" w:color="auto" w:fill="auto"/>
                  <w:noWrap/>
                  <w:vAlign w:val="center"/>
                  <w:hideMark/>
                </w:tcPr>
                <w:p w14:paraId="10CBDB75"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786 319,74</w:t>
                  </w:r>
                </w:p>
              </w:tc>
              <w:tc>
                <w:tcPr>
                  <w:tcW w:w="798" w:type="dxa"/>
                  <w:shd w:val="clear" w:color="auto" w:fill="auto"/>
                  <w:noWrap/>
                  <w:vAlign w:val="center"/>
                  <w:hideMark/>
                </w:tcPr>
                <w:p w14:paraId="77AED158"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791 899,14</w:t>
                  </w:r>
                </w:p>
              </w:tc>
              <w:tc>
                <w:tcPr>
                  <w:tcW w:w="797" w:type="dxa"/>
                  <w:shd w:val="clear" w:color="auto" w:fill="auto"/>
                  <w:noWrap/>
                  <w:vAlign w:val="center"/>
                  <w:hideMark/>
                </w:tcPr>
                <w:p w14:paraId="08A225DE"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797 478,54</w:t>
                  </w:r>
                </w:p>
              </w:tc>
              <w:tc>
                <w:tcPr>
                  <w:tcW w:w="798" w:type="dxa"/>
                  <w:shd w:val="clear" w:color="auto" w:fill="auto"/>
                  <w:noWrap/>
                  <w:vAlign w:val="center"/>
                  <w:hideMark/>
                </w:tcPr>
                <w:p w14:paraId="4F9363BB"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803 272,53</w:t>
                  </w:r>
                </w:p>
              </w:tc>
              <w:tc>
                <w:tcPr>
                  <w:tcW w:w="798" w:type="dxa"/>
                  <w:shd w:val="clear" w:color="auto" w:fill="auto"/>
                  <w:noWrap/>
                  <w:vAlign w:val="center"/>
                  <w:hideMark/>
                </w:tcPr>
                <w:p w14:paraId="6465CB9B" w14:textId="77777777" w:rsidR="00143E56" w:rsidRPr="00D433EA" w:rsidRDefault="00143E56" w:rsidP="00143E56">
                  <w:pPr>
                    <w:spacing w:line="240" w:lineRule="auto"/>
                    <w:jc w:val="center"/>
                    <w:rPr>
                      <w:rFonts w:ascii="Times New Roman" w:eastAsia="Times New Roman" w:hAnsi="Times New Roman"/>
                      <w:b/>
                      <w:bCs/>
                      <w:color w:val="000000"/>
                      <w:sz w:val="18"/>
                      <w:szCs w:val="18"/>
                      <w:lang w:eastAsia="pl-PL"/>
                    </w:rPr>
                  </w:pPr>
                  <w:r w:rsidRPr="00D433EA">
                    <w:rPr>
                      <w:rFonts w:ascii="Times New Roman" w:eastAsia="Times New Roman" w:hAnsi="Times New Roman"/>
                      <w:b/>
                      <w:bCs/>
                      <w:color w:val="000000"/>
                      <w:sz w:val="18"/>
                      <w:szCs w:val="18"/>
                      <w:lang w:eastAsia="pl-PL"/>
                    </w:rPr>
                    <w:t>809 281,12</w:t>
                  </w:r>
                </w:p>
              </w:tc>
            </w:tr>
          </w:tbl>
          <w:p w14:paraId="56D3E99D" w14:textId="5EA7AAC6" w:rsidR="00143E56" w:rsidRPr="00A87B3A" w:rsidRDefault="00143E56" w:rsidP="00143E56">
            <w:pPr>
              <w:spacing w:before="120" w:after="120" w:line="240" w:lineRule="auto"/>
              <w:jc w:val="both"/>
              <w:rPr>
                <w:rFonts w:ascii="Times New Roman" w:hAnsi="Times New Roman"/>
                <w:color w:val="000000"/>
              </w:rPr>
            </w:pPr>
            <w:r>
              <w:rPr>
                <w:rFonts w:ascii="Times New Roman" w:hAnsi="Times New Roman"/>
                <w:color w:val="000000"/>
              </w:rPr>
              <w:t xml:space="preserve"> </w:t>
            </w:r>
          </w:p>
        </w:tc>
      </w:tr>
      <w:tr w:rsidR="00143E56" w:rsidRPr="00A87B3A" w14:paraId="77418C16" w14:textId="77777777" w:rsidTr="002069ED">
        <w:trPr>
          <w:gridAfter w:val="1"/>
          <w:wAfter w:w="12" w:type="dxa"/>
          <w:trHeight w:val="345"/>
        </w:trPr>
        <w:tc>
          <w:tcPr>
            <w:tcW w:w="11173" w:type="dxa"/>
            <w:gridSpan w:val="24"/>
            <w:shd w:val="clear" w:color="auto" w:fill="99CCFF"/>
          </w:tcPr>
          <w:p w14:paraId="53657B8C" w14:textId="77777777" w:rsidR="00143E56" w:rsidRPr="00A87B3A" w:rsidRDefault="00143E56" w:rsidP="00143E56">
            <w:pPr>
              <w:numPr>
                <w:ilvl w:val="0"/>
                <w:numId w:val="1"/>
              </w:numPr>
              <w:spacing w:line="240" w:lineRule="auto"/>
              <w:jc w:val="both"/>
              <w:rPr>
                <w:rFonts w:ascii="Times New Roman" w:hAnsi="Times New Roman"/>
                <w:b/>
                <w:color w:val="000000"/>
                <w:spacing w:val="-2"/>
              </w:rPr>
            </w:pPr>
            <w:r w:rsidRPr="00A87B3A">
              <w:rPr>
                <w:rFonts w:ascii="Times New Roman" w:hAnsi="Times New Roman"/>
                <w:b/>
                <w:color w:val="000000"/>
                <w:spacing w:val="-2"/>
              </w:rPr>
              <w:lastRenderedPageBreak/>
              <w:t xml:space="preserve">Wpływ na </w:t>
            </w:r>
            <w:r w:rsidRPr="00A87B3A">
              <w:rPr>
                <w:rFonts w:ascii="Times New Roman" w:hAnsi="Times New Roman"/>
                <w:b/>
                <w:color w:val="000000"/>
              </w:rPr>
              <w:t xml:space="preserve">konkurencyjność gospodarki i przedsiębiorczość, w tym funkcjonowanie przedsiębiorców oraz na rodzinę, obywateli i gospodarstwa domowe </w:t>
            </w:r>
          </w:p>
        </w:tc>
      </w:tr>
      <w:tr w:rsidR="00143E56" w:rsidRPr="00A87B3A" w14:paraId="56DB6F52" w14:textId="77777777" w:rsidTr="002069ED">
        <w:trPr>
          <w:gridAfter w:val="1"/>
          <w:wAfter w:w="12" w:type="dxa"/>
          <w:trHeight w:val="142"/>
        </w:trPr>
        <w:tc>
          <w:tcPr>
            <w:tcW w:w="11173" w:type="dxa"/>
            <w:gridSpan w:val="24"/>
            <w:shd w:val="clear" w:color="auto" w:fill="FFFFFF"/>
          </w:tcPr>
          <w:p w14:paraId="28A82D37" w14:textId="77777777" w:rsidR="00143E56" w:rsidRPr="00A87B3A" w:rsidRDefault="00143E56" w:rsidP="00143E56">
            <w:pPr>
              <w:spacing w:line="240" w:lineRule="auto"/>
              <w:jc w:val="center"/>
              <w:rPr>
                <w:rFonts w:ascii="Times New Roman" w:hAnsi="Times New Roman"/>
                <w:color w:val="000000"/>
                <w:spacing w:val="-2"/>
              </w:rPr>
            </w:pPr>
            <w:r w:rsidRPr="00A87B3A">
              <w:rPr>
                <w:rFonts w:ascii="Times New Roman" w:hAnsi="Times New Roman"/>
                <w:color w:val="000000"/>
                <w:spacing w:val="-2"/>
              </w:rPr>
              <w:t>Skutki</w:t>
            </w:r>
          </w:p>
        </w:tc>
      </w:tr>
      <w:tr w:rsidR="00143E56" w:rsidRPr="00A87B3A" w14:paraId="0C0C1E25" w14:textId="77777777" w:rsidTr="002069ED">
        <w:trPr>
          <w:gridAfter w:val="1"/>
          <w:wAfter w:w="12" w:type="dxa"/>
          <w:trHeight w:val="142"/>
        </w:trPr>
        <w:tc>
          <w:tcPr>
            <w:tcW w:w="3887" w:type="dxa"/>
            <w:gridSpan w:val="6"/>
            <w:shd w:val="clear" w:color="auto" w:fill="FFFFFF"/>
          </w:tcPr>
          <w:p w14:paraId="3B4A7C8C"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Czas w latach od wejścia w życie zmian</w:t>
            </w:r>
          </w:p>
        </w:tc>
        <w:tc>
          <w:tcPr>
            <w:tcW w:w="962" w:type="dxa"/>
            <w:gridSpan w:val="2"/>
            <w:shd w:val="clear" w:color="auto" w:fill="FFFFFF"/>
          </w:tcPr>
          <w:p w14:paraId="3398E5F2" w14:textId="77777777" w:rsidR="00143E56" w:rsidRPr="00A87B3A" w:rsidRDefault="00143E56" w:rsidP="00143E56">
            <w:pPr>
              <w:spacing w:line="240" w:lineRule="auto"/>
              <w:jc w:val="center"/>
              <w:rPr>
                <w:rFonts w:ascii="Times New Roman" w:hAnsi="Times New Roman"/>
                <w:color w:val="000000"/>
              </w:rPr>
            </w:pPr>
            <w:r w:rsidRPr="00A87B3A">
              <w:rPr>
                <w:rFonts w:ascii="Times New Roman" w:hAnsi="Times New Roman"/>
                <w:color w:val="000000"/>
              </w:rPr>
              <w:t>0</w:t>
            </w:r>
          </w:p>
        </w:tc>
        <w:tc>
          <w:tcPr>
            <w:tcW w:w="913" w:type="dxa"/>
            <w:gridSpan w:val="2"/>
            <w:shd w:val="clear" w:color="auto" w:fill="FFFFFF"/>
          </w:tcPr>
          <w:p w14:paraId="0BBA3BA6" w14:textId="77777777" w:rsidR="00143E56" w:rsidRPr="00A87B3A" w:rsidRDefault="00143E56" w:rsidP="00143E56">
            <w:pPr>
              <w:spacing w:line="240" w:lineRule="auto"/>
              <w:jc w:val="center"/>
              <w:rPr>
                <w:rFonts w:ascii="Times New Roman" w:hAnsi="Times New Roman"/>
                <w:color w:val="000000"/>
              </w:rPr>
            </w:pPr>
            <w:r w:rsidRPr="00A87B3A">
              <w:rPr>
                <w:rFonts w:ascii="Times New Roman" w:hAnsi="Times New Roman"/>
                <w:color w:val="000000"/>
              </w:rPr>
              <w:t>1</w:t>
            </w:r>
          </w:p>
        </w:tc>
        <w:tc>
          <w:tcPr>
            <w:tcW w:w="938" w:type="dxa"/>
            <w:gridSpan w:val="3"/>
            <w:shd w:val="clear" w:color="auto" w:fill="FFFFFF"/>
          </w:tcPr>
          <w:p w14:paraId="028F14C4" w14:textId="77777777" w:rsidR="00143E56" w:rsidRPr="00A87B3A" w:rsidRDefault="00143E56" w:rsidP="00143E56">
            <w:pPr>
              <w:spacing w:line="240" w:lineRule="auto"/>
              <w:jc w:val="center"/>
              <w:rPr>
                <w:rFonts w:ascii="Times New Roman" w:hAnsi="Times New Roman"/>
                <w:color w:val="000000"/>
              </w:rPr>
            </w:pPr>
            <w:r w:rsidRPr="00A87B3A">
              <w:rPr>
                <w:rFonts w:ascii="Times New Roman" w:hAnsi="Times New Roman"/>
                <w:color w:val="000000"/>
              </w:rPr>
              <w:t>2</w:t>
            </w:r>
          </w:p>
        </w:tc>
        <w:tc>
          <w:tcPr>
            <w:tcW w:w="937" w:type="dxa"/>
            <w:gridSpan w:val="3"/>
            <w:shd w:val="clear" w:color="auto" w:fill="FFFFFF"/>
          </w:tcPr>
          <w:p w14:paraId="461C654A" w14:textId="77777777" w:rsidR="00143E56" w:rsidRPr="00A87B3A" w:rsidRDefault="00143E56" w:rsidP="00143E56">
            <w:pPr>
              <w:spacing w:line="240" w:lineRule="auto"/>
              <w:jc w:val="center"/>
              <w:rPr>
                <w:rFonts w:ascii="Times New Roman" w:hAnsi="Times New Roman"/>
                <w:color w:val="000000"/>
              </w:rPr>
            </w:pPr>
            <w:r w:rsidRPr="00A87B3A">
              <w:rPr>
                <w:rFonts w:ascii="Times New Roman" w:hAnsi="Times New Roman"/>
                <w:color w:val="000000"/>
              </w:rPr>
              <w:t>3</w:t>
            </w:r>
          </w:p>
        </w:tc>
        <w:tc>
          <w:tcPr>
            <w:tcW w:w="1176" w:type="dxa"/>
            <w:gridSpan w:val="3"/>
            <w:shd w:val="clear" w:color="auto" w:fill="FFFFFF"/>
          </w:tcPr>
          <w:p w14:paraId="4A66A9AB" w14:textId="77777777" w:rsidR="00143E56" w:rsidRPr="00A87B3A" w:rsidRDefault="00143E56" w:rsidP="00143E56">
            <w:pPr>
              <w:spacing w:line="240" w:lineRule="auto"/>
              <w:jc w:val="center"/>
              <w:rPr>
                <w:rFonts w:ascii="Times New Roman" w:hAnsi="Times New Roman"/>
                <w:color w:val="000000"/>
              </w:rPr>
            </w:pPr>
            <w:r w:rsidRPr="00A87B3A">
              <w:rPr>
                <w:rFonts w:ascii="Times New Roman" w:hAnsi="Times New Roman"/>
                <w:color w:val="000000"/>
              </w:rPr>
              <w:t>5</w:t>
            </w:r>
          </w:p>
        </w:tc>
        <w:tc>
          <w:tcPr>
            <w:tcW w:w="938" w:type="dxa"/>
            <w:gridSpan w:val="3"/>
            <w:shd w:val="clear" w:color="auto" w:fill="FFFFFF"/>
          </w:tcPr>
          <w:p w14:paraId="5F87D12C" w14:textId="77777777" w:rsidR="00143E56" w:rsidRPr="00A87B3A" w:rsidRDefault="00143E56" w:rsidP="00143E56">
            <w:pPr>
              <w:spacing w:line="240" w:lineRule="auto"/>
              <w:jc w:val="center"/>
              <w:rPr>
                <w:rFonts w:ascii="Times New Roman" w:hAnsi="Times New Roman"/>
                <w:color w:val="000000"/>
              </w:rPr>
            </w:pPr>
            <w:r w:rsidRPr="00A87B3A">
              <w:rPr>
                <w:rFonts w:ascii="Times New Roman" w:hAnsi="Times New Roman"/>
                <w:color w:val="000000"/>
              </w:rPr>
              <w:t>10</w:t>
            </w:r>
          </w:p>
        </w:tc>
        <w:tc>
          <w:tcPr>
            <w:tcW w:w="1422" w:type="dxa"/>
            <w:gridSpan w:val="2"/>
            <w:shd w:val="clear" w:color="auto" w:fill="FFFFFF"/>
          </w:tcPr>
          <w:p w14:paraId="78706CD5" w14:textId="77777777" w:rsidR="00143E56" w:rsidRPr="00A87B3A" w:rsidRDefault="00143E56" w:rsidP="00143E56">
            <w:pPr>
              <w:spacing w:line="240" w:lineRule="auto"/>
              <w:jc w:val="center"/>
              <w:rPr>
                <w:rFonts w:ascii="Times New Roman" w:hAnsi="Times New Roman"/>
                <w:i/>
                <w:color w:val="000000"/>
                <w:spacing w:val="-2"/>
              </w:rPr>
            </w:pPr>
            <w:r w:rsidRPr="00A87B3A">
              <w:rPr>
                <w:rFonts w:ascii="Times New Roman" w:hAnsi="Times New Roman"/>
                <w:i/>
                <w:color w:val="000000"/>
                <w:spacing w:val="-2"/>
              </w:rPr>
              <w:t>Łącznie</w:t>
            </w:r>
            <w:r w:rsidRPr="00A87B3A" w:rsidDel="0073273A">
              <w:rPr>
                <w:rFonts w:ascii="Times New Roman" w:hAnsi="Times New Roman"/>
                <w:i/>
                <w:color w:val="000000"/>
                <w:spacing w:val="-2"/>
              </w:rPr>
              <w:t xml:space="preserve"> </w:t>
            </w:r>
            <w:r w:rsidRPr="00A87B3A">
              <w:rPr>
                <w:rFonts w:ascii="Times New Roman" w:hAnsi="Times New Roman"/>
                <w:i/>
                <w:color w:val="000000"/>
                <w:spacing w:val="-2"/>
              </w:rPr>
              <w:t>(0-10)</w:t>
            </w:r>
          </w:p>
        </w:tc>
      </w:tr>
      <w:tr w:rsidR="00143E56" w:rsidRPr="00A87B3A" w14:paraId="39BC1B40" w14:textId="77777777" w:rsidTr="002069ED">
        <w:trPr>
          <w:gridAfter w:val="1"/>
          <w:wAfter w:w="12" w:type="dxa"/>
          <w:trHeight w:val="142"/>
        </w:trPr>
        <w:tc>
          <w:tcPr>
            <w:tcW w:w="1595" w:type="dxa"/>
            <w:vMerge w:val="restart"/>
            <w:shd w:val="clear" w:color="auto" w:fill="FFFFFF"/>
          </w:tcPr>
          <w:p w14:paraId="47ED212C"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W ujęciu pieniężnym</w:t>
            </w:r>
          </w:p>
          <w:p w14:paraId="6F1E6382" w14:textId="77777777" w:rsidR="00143E56" w:rsidRPr="00A87B3A" w:rsidRDefault="00143E56" w:rsidP="00143E56">
            <w:pPr>
              <w:spacing w:line="240" w:lineRule="auto"/>
              <w:rPr>
                <w:rFonts w:ascii="Times New Roman" w:hAnsi="Times New Roman"/>
                <w:spacing w:val="-2"/>
              </w:rPr>
            </w:pPr>
            <w:r w:rsidRPr="00A87B3A">
              <w:rPr>
                <w:rFonts w:ascii="Times New Roman" w:hAnsi="Times New Roman"/>
                <w:spacing w:val="-2"/>
              </w:rPr>
              <w:t xml:space="preserve">(w mln zł, </w:t>
            </w:r>
          </w:p>
          <w:p w14:paraId="7BDC59D9" w14:textId="2C094B70" w:rsidR="00143E56" w:rsidRPr="00A87B3A" w:rsidRDefault="00143E56" w:rsidP="00143E56">
            <w:pPr>
              <w:spacing w:line="240" w:lineRule="auto"/>
              <w:rPr>
                <w:rFonts w:ascii="Times New Roman" w:hAnsi="Times New Roman"/>
                <w:color w:val="000000"/>
              </w:rPr>
            </w:pPr>
            <w:r w:rsidRPr="00A87B3A">
              <w:rPr>
                <w:rFonts w:ascii="Times New Roman" w:hAnsi="Times New Roman"/>
                <w:spacing w:val="-2"/>
              </w:rPr>
              <w:t xml:space="preserve">ceny stałe z </w:t>
            </w:r>
            <w:r>
              <w:rPr>
                <w:rFonts w:ascii="Times New Roman" w:hAnsi="Times New Roman"/>
                <w:spacing w:val="-2"/>
              </w:rPr>
              <w:t>2024</w:t>
            </w:r>
            <w:r w:rsidRPr="00A87B3A">
              <w:rPr>
                <w:rFonts w:ascii="Times New Roman" w:hAnsi="Times New Roman"/>
                <w:spacing w:val="-2"/>
              </w:rPr>
              <w:t xml:space="preserve"> r.)</w:t>
            </w:r>
          </w:p>
        </w:tc>
        <w:tc>
          <w:tcPr>
            <w:tcW w:w="2292" w:type="dxa"/>
            <w:gridSpan w:val="5"/>
            <w:shd w:val="clear" w:color="auto" w:fill="FFFFFF"/>
          </w:tcPr>
          <w:p w14:paraId="4F6FE220"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duże przedsiębiorstwa</w:t>
            </w:r>
          </w:p>
        </w:tc>
        <w:tc>
          <w:tcPr>
            <w:tcW w:w="962" w:type="dxa"/>
            <w:gridSpan w:val="2"/>
            <w:shd w:val="clear" w:color="auto" w:fill="FFFFFF"/>
          </w:tcPr>
          <w:p w14:paraId="1242CF0D" w14:textId="77ECBCAD"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13" w:type="dxa"/>
            <w:gridSpan w:val="2"/>
            <w:shd w:val="clear" w:color="auto" w:fill="FFFFFF"/>
          </w:tcPr>
          <w:p w14:paraId="280DEF01" w14:textId="7B9FCA98" w:rsidR="00143E56" w:rsidRPr="00A87B3A" w:rsidRDefault="00143E56" w:rsidP="00143E56">
            <w:pPr>
              <w:spacing w:line="240" w:lineRule="auto"/>
              <w:rPr>
                <w:rFonts w:ascii="Times New Roman" w:hAnsi="Times New Roman"/>
                <w:color w:val="000000"/>
              </w:rPr>
            </w:pPr>
            <w:r>
              <w:rPr>
                <w:rFonts w:ascii="Times New Roman" w:hAnsi="Times New Roman"/>
                <w:color w:val="000000"/>
              </w:rPr>
              <w:t>-88,7 mln zł</w:t>
            </w:r>
          </w:p>
        </w:tc>
        <w:tc>
          <w:tcPr>
            <w:tcW w:w="938" w:type="dxa"/>
            <w:gridSpan w:val="3"/>
            <w:shd w:val="clear" w:color="auto" w:fill="FFFFFF"/>
          </w:tcPr>
          <w:p w14:paraId="3996C591" w14:textId="3C2C314A" w:rsidR="00143E56" w:rsidRPr="00A87B3A" w:rsidRDefault="00143E56" w:rsidP="00143E56">
            <w:pPr>
              <w:spacing w:line="240" w:lineRule="auto"/>
              <w:rPr>
                <w:rFonts w:ascii="Times New Roman" w:hAnsi="Times New Roman"/>
                <w:color w:val="000000"/>
              </w:rPr>
            </w:pPr>
            <w:r>
              <w:rPr>
                <w:rFonts w:ascii="Times New Roman" w:hAnsi="Times New Roman"/>
                <w:color w:val="000000"/>
              </w:rPr>
              <w:t>-88,7 mln zł</w:t>
            </w:r>
            <w:r w:rsidDel="004609BE">
              <w:rPr>
                <w:rFonts w:ascii="Times New Roman" w:hAnsi="Times New Roman"/>
                <w:color w:val="000000"/>
              </w:rPr>
              <w:t xml:space="preserve"> </w:t>
            </w:r>
          </w:p>
        </w:tc>
        <w:tc>
          <w:tcPr>
            <w:tcW w:w="937" w:type="dxa"/>
            <w:gridSpan w:val="3"/>
            <w:shd w:val="clear" w:color="auto" w:fill="FFFFFF"/>
          </w:tcPr>
          <w:p w14:paraId="68261B19" w14:textId="066BB855" w:rsidR="00143E56" w:rsidRPr="00A87B3A" w:rsidRDefault="00143E56" w:rsidP="00143E56">
            <w:pPr>
              <w:spacing w:line="240" w:lineRule="auto"/>
              <w:rPr>
                <w:rFonts w:ascii="Times New Roman" w:hAnsi="Times New Roman"/>
                <w:color w:val="000000"/>
              </w:rPr>
            </w:pPr>
            <w:r>
              <w:rPr>
                <w:rFonts w:ascii="Times New Roman" w:hAnsi="Times New Roman"/>
                <w:color w:val="000000"/>
              </w:rPr>
              <w:t>-88,7 mln zł</w:t>
            </w:r>
            <w:r w:rsidDel="004609BE">
              <w:rPr>
                <w:rFonts w:ascii="Times New Roman" w:hAnsi="Times New Roman"/>
                <w:color w:val="000000"/>
              </w:rPr>
              <w:t xml:space="preserve"> </w:t>
            </w:r>
          </w:p>
        </w:tc>
        <w:tc>
          <w:tcPr>
            <w:tcW w:w="1176" w:type="dxa"/>
            <w:gridSpan w:val="3"/>
            <w:shd w:val="clear" w:color="auto" w:fill="FFFFFF"/>
          </w:tcPr>
          <w:p w14:paraId="18EA7C9B" w14:textId="6D8B3D30" w:rsidR="00143E56" w:rsidRPr="00A87B3A" w:rsidRDefault="00143E56" w:rsidP="00143E56">
            <w:pPr>
              <w:spacing w:line="240" w:lineRule="auto"/>
              <w:rPr>
                <w:rFonts w:ascii="Times New Roman" w:hAnsi="Times New Roman"/>
                <w:color w:val="000000"/>
              </w:rPr>
            </w:pPr>
            <w:r>
              <w:rPr>
                <w:rFonts w:ascii="Times New Roman" w:hAnsi="Times New Roman"/>
                <w:color w:val="000000"/>
              </w:rPr>
              <w:t>-88,7 mln zł</w:t>
            </w:r>
            <w:r w:rsidDel="004609BE">
              <w:rPr>
                <w:rFonts w:ascii="Times New Roman" w:hAnsi="Times New Roman"/>
                <w:color w:val="000000"/>
              </w:rPr>
              <w:t xml:space="preserve"> </w:t>
            </w:r>
          </w:p>
        </w:tc>
        <w:tc>
          <w:tcPr>
            <w:tcW w:w="938" w:type="dxa"/>
            <w:gridSpan w:val="3"/>
            <w:shd w:val="clear" w:color="auto" w:fill="FFFFFF"/>
          </w:tcPr>
          <w:p w14:paraId="76BAF6B6" w14:textId="11B75001" w:rsidR="00143E56" w:rsidRPr="00A87B3A" w:rsidRDefault="00143E56" w:rsidP="00143E56">
            <w:pPr>
              <w:spacing w:line="240" w:lineRule="auto"/>
              <w:rPr>
                <w:rFonts w:ascii="Times New Roman" w:hAnsi="Times New Roman"/>
                <w:color w:val="000000"/>
              </w:rPr>
            </w:pPr>
            <w:r>
              <w:rPr>
                <w:rFonts w:ascii="Times New Roman" w:hAnsi="Times New Roman"/>
                <w:color w:val="000000"/>
              </w:rPr>
              <w:t>-88,7 mln zł</w:t>
            </w:r>
            <w:r w:rsidDel="004609BE">
              <w:rPr>
                <w:rFonts w:ascii="Times New Roman" w:hAnsi="Times New Roman"/>
                <w:color w:val="000000"/>
              </w:rPr>
              <w:t xml:space="preserve"> </w:t>
            </w:r>
          </w:p>
        </w:tc>
        <w:tc>
          <w:tcPr>
            <w:tcW w:w="1422" w:type="dxa"/>
            <w:gridSpan w:val="2"/>
            <w:shd w:val="clear" w:color="auto" w:fill="FFFFFF"/>
          </w:tcPr>
          <w:p w14:paraId="7D978AFE" w14:textId="4084E9B1"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spacing w:val="-2"/>
              </w:rPr>
              <w:t>-887 mln zł</w:t>
            </w:r>
          </w:p>
        </w:tc>
      </w:tr>
      <w:tr w:rsidR="00143E56" w:rsidRPr="00A87B3A" w14:paraId="3199E7B4" w14:textId="77777777" w:rsidTr="002069ED">
        <w:trPr>
          <w:gridAfter w:val="1"/>
          <w:wAfter w:w="12" w:type="dxa"/>
          <w:trHeight w:val="142"/>
        </w:trPr>
        <w:tc>
          <w:tcPr>
            <w:tcW w:w="1595" w:type="dxa"/>
            <w:vMerge/>
            <w:shd w:val="clear" w:color="auto" w:fill="FFFFFF"/>
          </w:tcPr>
          <w:p w14:paraId="006E2C2A" w14:textId="77777777" w:rsidR="00143E56" w:rsidRPr="00A87B3A" w:rsidRDefault="00143E56" w:rsidP="00143E56">
            <w:pPr>
              <w:spacing w:line="240" w:lineRule="auto"/>
              <w:rPr>
                <w:rFonts w:ascii="Times New Roman" w:hAnsi="Times New Roman"/>
                <w:color w:val="000000"/>
              </w:rPr>
            </w:pPr>
          </w:p>
        </w:tc>
        <w:tc>
          <w:tcPr>
            <w:tcW w:w="2292" w:type="dxa"/>
            <w:gridSpan w:val="5"/>
            <w:shd w:val="clear" w:color="auto" w:fill="FFFFFF"/>
          </w:tcPr>
          <w:p w14:paraId="1DA0E66E"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sektor mikro-, małych i średnich przedsiębiorstw</w:t>
            </w:r>
          </w:p>
        </w:tc>
        <w:tc>
          <w:tcPr>
            <w:tcW w:w="962" w:type="dxa"/>
            <w:gridSpan w:val="2"/>
            <w:shd w:val="clear" w:color="auto" w:fill="FFFFFF"/>
          </w:tcPr>
          <w:p w14:paraId="40B4D304" w14:textId="2BAAF4EF"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13" w:type="dxa"/>
            <w:gridSpan w:val="2"/>
            <w:shd w:val="clear" w:color="auto" w:fill="FFFFFF"/>
          </w:tcPr>
          <w:p w14:paraId="7410299D" w14:textId="4605EF09" w:rsidR="00143E56" w:rsidRPr="00A87B3A" w:rsidRDefault="00143E56" w:rsidP="00143E56">
            <w:pPr>
              <w:spacing w:line="240" w:lineRule="auto"/>
              <w:rPr>
                <w:rFonts w:ascii="Times New Roman" w:hAnsi="Times New Roman"/>
                <w:color w:val="000000"/>
              </w:rPr>
            </w:pPr>
            <w:r>
              <w:rPr>
                <w:rFonts w:ascii="Times New Roman" w:hAnsi="Times New Roman"/>
                <w:color w:val="000000"/>
              </w:rPr>
              <w:t>19 mln zł</w:t>
            </w:r>
          </w:p>
        </w:tc>
        <w:tc>
          <w:tcPr>
            <w:tcW w:w="938" w:type="dxa"/>
            <w:gridSpan w:val="3"/>
            <w:shd w:val="clear" w:color="auto" w:fill="FFFFFF"/>
          </w:tcPr>
          <w:p w14:paraId="2B19566F" w14:textId="6CB00DE6" w:rsidR="00143E56" w:rsidRPr="00A87B3A" w:rsidRDefault="00143E56" w:rsidP="00143E56">
            <w:pPr>
              <w:spacing w:line="240" w:lineRule="auto"/>
              <w:rPr>
                <w:rFonts w:ascii="Times New Roman" w:hAnsi="Times New Roman"/>
                <w:color w:val="000000"/>
              </w:rPr>
            </w:pPr>
            <w:r>
              <w:rPr>
                <w:rFonts w:ascii="Times New Roman" w:hAnsi="Times New Roman"/>
                <w:color w:val="000000"/>
              </w:rPr>
              <w:t>19 mln zł</w:t>
            </w:r>
            <w:r w:rsidDel="004609BE">
              <w:rPr>
                <w:rFonts w:ascii="Times New Roman" w:hAnsi="Times New Roman"/>
                <w:color w:val="000000"/>
              </w:rPr>
              <w:t xml:space="preserve"> </w:t>
            </w:r>
          </w:p>
        </w:tc>
        <w:tc>
          <w:tcPr>
            <w:tcW w:w="937" w:type="dxa"/>
            <w:gridSpan w:val="3"/>
            <w:shd w:val="clear" w:color="auto" w:fill="FFFFFF"/>
          </w:tcPr>
          <w:p w14:paraId="0615B778" w14:textId="39122465" w:rsidR="00143E56" w:rsidRPr="00A87B3A" w:rsidRDefault="00143E56" w:rsidP="00143E56">
            <w:pPr>
              <w:spacing w:line="240" w:lineRule="auto"/>
              <w:rPr>
                <w:rFonts w:ascii="Times New Roman" w:hAnsi="Times New Roman"/>
                <w:color w:val="000000"/>
              </w:rPr>
            </w:pPr>
            <w:r>
              <w:rPr>
                <w:rFonts w:ascii="Times New Roman" w:hAnsi="Times New Roman"/>
                <w:color w:val="000000"/>
              </w:rPr>
              <w:t>19 mln zł</w:t>
            </w:r>
            <w:r w:rsidDel="004609BE">
              <w:rPr>
                <w:rFonts w:ascii="Times New Roman" w:hAnsi="Times New Roman"/>
                <w:color w:val="000000"/>
              </w:rPr>
              <w:t xml:space="preserve"> </w:t>
            </w:r>
          </w:p>
        </w:tc>
        <w:tc>
          <w:tcPr>
            <w:tcW w:w="1176" w:type="dxa"/>
            <w:gridSpan w:val="3"/>
            <w:shd w:val="clear" w:color="auto" w:fill="FFFFFF"/>
          </w:tcPr>
          <w:p w14:paraId="0A2C3397" w14:textId="080B09A4" w:rsidR="00143E56" w:rsidRPr="00A87B3A" w:rsidRDefault="00143E56" w:rsidP="00143E56">
            <w:pPr>
              <w:spacing w:line="240" w:lineRule="auto"/>
              <w:rPr>
                <w:rFonts w:ascii="Times New Roman" w:hAnsi="Times New Roman"/>
                <w:color w:val="000000"/>
              </w:rPr>
            </w:pPr>
            <w:r>
              <w:rPr>
                <w:rFonts w:ascii="Times New Roman" w:hAnsi="Times New Roman"/>
                <w:color w:val="000000"/>
              </w:rPr>
              <w:t>19 mln zł</w:t>
            </w:r>
            <w:r w:rsidDel="004609BE">
              <w:rPr>
                <w:rFonts w:ascii="Times New Roman" w:hAnsi="Times New Roman"/>
                <w:color w:val="000000"/>
              </w:rPr>
              <w:t xml:space="preserve"> </w:t>
            </w:r>
          </w:p>
        </w:tc>
        <w:tc>
          <w:tcPr>
            <w:tcW w:w="938" w:type="dxa"/>
            <w:gridSpan w:val="3"/>
            <w:shd w:val="clear" w:color="auto" w:fill="FFFFFF"/>
          </w:tcPr>
          <w:p w14:paraId="5CC3D5C9" w14:textId="2A7D8EFA" w:rsidR="00143E56" w:rsidRPr="00A87B3A" w:rsidRDefault="00143E56" w:rsidP="00143E56">
            <w:pPr>
              <w:spacing w:line="240" w:lineRule="auto"/>
              <w:rPr>
                <w:rFonts w:ascii="Times New Roman" w:hAnsi="Times New Roman"/>
                <w:color w:val="000000"/>
              </w:rPr>
            </w:pPr>
            <w:r>
              <w:rPr>
                <w:rFonts w:ascii="Times New Roman" w:hAnsi="Times New Roman"/>
                <w:color w:val="000000"/>
              </w:rPr>
              <w:t>19 mln zł</w:t>
            </w:r>
            <w:r w:rsidDel="004609BE">
              <w:rPr>
                <w:rFonts w:ascii="Times New Roman" w:hAnsi="Times New Roman"/>
                <w:color w:val="000000"/>
              </w:rPr>
              <w:t xml:space="preserve"> </w:t>
            </w:r>
          </w:p>
        </w:tc>
        <w:tc>
          <w:tcPr>
            <w:tcW w:w="1422" w:type="dxa"/>
            <w:gridSpan w:val="2"/>
            <w:shd w:val="clear" w:color="auto" w:fill="FFFFFF"/>
          </w:tcPr>
          <w:p w14:paraId="5FED671F" w14:textId="2DE2E1B7"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spacing w:val="-2"/>
              </w:rPr>
              <w:t>190,3 mln zł</w:t>
            </w:r>
          </w:p>
        </w:tc>
      </w:tr>
      <w:tr w:rsidR="00143E56" w:rsidRPr="00A87B3A" w14:paraId="4EB06198" w14:textId="77777777" w:rsidTr="002069ED">
        <w:trPr>
          <w:gridAfter w:val="1"/>
          <w:wAfter w:w="12" w:type="dxa"/>
          <w:trHeight w:val="142"/>
        </w:trPr>
        <w:tc>
          <w:tcPr>
            <w:tcW w:w="1595" w:type="dxa"/>
            <w:vMerge/>
            <w:shd w:val="clear" w:color="auto" w:fill="FFFFFF"/>
          </w:tcPr>
          <w:p w14:paraId="785ABD41" w14:textId="77777777" w:rsidR="00143E56" w:rsidRPr="00A87B3A" w:rsidRDefault="00143E56" w:rsidP="00143E56">
            <w:pPr>
              <w:spacing w:line="240" w:lineRule="auto"/>
              <w:rPr>
                <w:rFonts w:ascii="Times New Roman" w:hAnsi="Times New Roman"/>
                <w:color w:val="000000"/>
              </w:rPr>
            </w:pPr>
          </w:p>
        </w:tc>
        <w:tc>
          <w:tcPr>
            <w:tcW w:w="2292" w:type="dxa"/>
            <w:gridSpan w:val="5"/>
            <w:shd w:val="clear" w:color="auto" w:fill="FFFFFF"/>
          </w:tcPr>
          <w:p w14:paraId="4C1B50C9"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rPr>
              <w:t>rodzina, obywatele oraz gospodarstwa domowe</w:t>
            </w:r>
          </w:p>
        </w:tc>
        <w:tc>
          <w:tcPr>
            <w:tcW w:w="962" w:type="dxa"/>
            <w:gridSpan w:val="2"/>
            <w:shd w:val="clear" w:color="auto" w:fill="FFFFFF"/>
          </w:tcPr>
          <w:p w14:paraId="4EF717B2" w14:textId="73F9FB99"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13" w:type="dxa"/>
            <w:gridSpan w:val="2"/>
            <w:shd w:val="clear" w:color="auto" w:fill="FFFFFF"/>
          </w:tcPr>
          <w:p w14:paraId="7854D7FC" w14:textId="58361FC8" w:rsidR="00143E56" w:rsidRPr="00A87B3A" w:rsidRDefault="00143E56" w:rsidP="00143E56">
            <w:pPr>
              <w:spacing w:line="240" w:lineRule="auto"/>
              <w:rPr>
                <w:rFonts w:ascii="Times New Roman" w:hAnsi="Times New Roman"/>
                <w:color w:val="000000"/>
              </w:rPr>
            </w:pPr>
            <w:r>
              <w:rPr>
                <w:rFonts w:ascii="Times New Roman" w:hAnsi="Times New Roman"/>
                <w:color w:val="000000"/>
              </w:rPr>
              <w:t>8,75 mln zł</w:t>
            </w:r>
          </w:p>
        </w:tc>
        <w:tc>
          <w:tcPr>
            <w:tcW w:w="938" w:type="dxa"/>
            <w:gridSpan w:val="3"/>
            <w:shd w:val="clear" w:color="auto" w:fill="FFFFFF"/>
          </w:tcPr>
          <w:p w14:paraId="69EED3F5" w14:textId="2F6E1798" w:rsidR="00143E56" w:rsidRPr="00A87B3A" w:rsidRDefault="00143E56" w:rsidP="00143E56">
            <w:pPr>
              <w:spacing w:line="240" w:lineRule="auto"/>
              <w:rPr>
                <w:rFonts w:ascii="Times New Roman" w:hAnsi="Times New Roman"/>
                <w:color w:val="000000"/>
              </w:rPr>
            </w:pPr>
            <w:r>
              <w:rPr>
                <w:rFonts w:ascii="Times New Roman" w:hAnsi="Times New Roman"/>
                <w:color w:val="000000"/>
              </w:rPr>
              <w:t>8,75 mln zł</w:t>
            </w:r>
            <w:r w:rsidDel="00F62350">
              <w:rPr>
                <w:rFonts w:ascii="Times New Roman" w:hAnsi="Times New Roman"/>
                <w:color w:val="000000"/>
              </w:rPr>
              <w:t xml:space="preserve"> </w:t>
            </w:r>
          </w:p>
        </w:tc>
        <w:tc>
          <w:tcPr>
            <w:tcW w:w="937" w:type="dxa"/>
            <w:gridSpan w:val="3"/>
            <w:shd w:val="clear" w:color="auto" w:fill="FFFFFF"/>
          </w:tcPr>
          <w:p w14:paraId="0A465020" w14:textId="2D8BF730" w:rsidR="00143E56" w:rsidRPr="00A87B3A" w:rsidRDefault="00143E56" w:rsidP="00143E56">
            <w:pPr>
              <w:spacing w:line="240" w:lineRule="auto"/>
              <w:rPr>
                <w:rFonts w:ascii="Times New Roman" w:hAnsi="Times New Roman"/>
                <w:color w:val="000000"/>
              </w:rPr>
            </w:pPr>
            <w:r>
              <w:rPr>
                <w:rFonts w:ascii="Times New Roman" w:hAnsi="Times New Roman"/>
                <w:color w:val="000000"/>
              </w:rPr>
              <w:t>8,75 mln zł</w:t>
            </w:r>
            <w:r w:rsidDel="00F62350">
              <w:rPr>
                <w:rFonts w:ascii="Times New Roman" w:hAnsi="Times New Roman"/>
                <w:color w:val="000000"/>
              </w:rPr>
              <w:t xml:space="preserve"> </w:t>
            </w:r>
          </w:p>
        </w:tc>
        <w:tc>
          <w:tcPr>
            <w:tcW w:w="1176" w:type="dxa"/>
            <w:gridSpan w:val="3"/>
            <w:shd w:val="clear" w:color="auto" w:fill="FFFFFF"/>
          </w:tcPr>
          <w:p w14:paraId="467C813D" w14:textId="6D96C586" w:rsidR="00143E56" w:rsidRPr="00A87B3A" w:rsidRDefault="00143E56" w:rsidP="00143E56">
            <w:pPr>
              <w:spacing w:line="240" w:lineRule="auto"/>
              <w:rPr>
                <w:rFonts w:ascii="Times New Roman" w:hAnsi="Times New Roman"/>
                <w:color w:val="000000"/>
              </w:rPr>
            </w:pPr>
            <w:r>
              <w:rPr>
                <w:rFonts w:ascii="Times New Roman" w:hAnsi="Times New Roman"/>
                <w:color w:val="000000"/>
              </w:rPr>
              <w:t>8,75 mln zł</w:t>
            </w:r>
            <w:r w:rsidDel="00F62350">
              <w:rPr>
                <w:rFonts w:ascii="Times New Roman" w:hAnsi="Times New Roman"/>
                <w:color w:val="000000"/>
              </w:rPr>
              <w:t xml:space="preserve"> </w:t>
            </w:r>
          </w:p>
        </w:tc>
        <w:tc>
          <w:tcPr>
            <w:tcW w:w="938" w:type="dxa"/>
            <w:gridSpan w:val="3"/>
            <w:shd w:val="clear" w:color="auto" w:fill="FFFFFF"/>
          </w:tcPr>
          <w:p w14:paraId="3176E20B" w14:textId="4C24A4C2" w:rsidR="00143E56" w:rsidRPr="00A87B3A" w:rsidRDefault="00143E56" w:rsidP="00143E56">
            <w:pPr>
              <w:spacing w:line="240" w:lineRule="auto"/>
              <w:rPr>
                <w:rFonts w:ascii="Times New Roman" w:hAnsi="Times New Roman"/>
                <w:color w:val="000000"/>
              </w:rPr>
            </w:pPr>
            <w:r>
              <w:rPr>
                <w:rFonts w:ascii="Times New Roman" w:hAnsi="Times New Roman"/>
                <w:color w:val="000000"/>
              </w:rPr>
              <w:t>8,75 mln zł</w:t>
            </w:r>
            <w:r w:rsidDel="00F62350">
              <w:rPr>
                <w:rFonts w:ascii="Times New Roman" w:hAnsi="Times New Roman"/>
                <w:color w:val="000000"/>
              </w:rPr>
              <w:t xml:space="preserve"> </w:t>
            </w:r>
          </w:p>
        </w:tc>
        <w:tc>
          <w:tcPr>
            <w:tcW w:w="1422" w:type="dxa"/>
            <w:gridSpan w:val="2"/>
            <w:shd w:val="clear" w:color="auto" w:fill="FFFFFF"/>
          </w:tcPr>
          <w:p w14:paraId="38CA9484" w14:textId="34D182B7"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spacing w:val="-2"/>
              </w:rPr>
              <w:t>87,5 mln zł</w:t>
            </w:r>
          </w:p>
        </w:tc>
      </w:tr>
      <w:tr w:rsidR="00143E56" w:rsidRPr="00A87B3A" w14:paraId="094EC534" w14:textId="77777777" w:rsidTr="002069ED">
        <w:trPr>
          <w:gridAfter w:val="1"/>
          <w:wAfter w:w="12" w:type="dxa"/>
          <w:trHeight w:val="142"/>
        </w:trPr>
        <w:tc>
          <w:tcPr>
            <w:tcW w:w="1595" w:type="dxa"/>
            <w:vMerge/>
            <w:shd w:val="clear" w:color="auto" w:fill="FFFFFF"/>
          </w:tcPr>
          <w:p w14:paraId="411276E6" w14:textId="77777777" w:rsidR="00143E56" w:rsidRPr="00A87B3A" w:rsidRDefault="00143E56" w:rsidP="00143E56">
            <w:pPr>
              <w:spacing w:line="240" w:lineRule="auto"/>
              <w:rPr>
                <w:rFonts w:ascii="Times New Roman" w:hAnsi="Times New Roman"/>
                <w:color w:val="000000"/>
              </w:rPr>
            </w:pPr>
          </w:p>
        </w:tc>
        <w:tc>
          <w:tcPr>
            <w:tcW w:w="2292" w:type="dxa"/>
            <w:gridSpan w:val="5"/>
            <w:shd w:val="clear" w:color="auto" w:fill="auto"/>
          </w:tcPr>
          <w:p w14:paraId="7C6824FA" w14:textId="06E1650B" w:rsidR="00143E56" w:rsidRPr="00A87B3A" w:rsidRDefault="00143E56" w:rsidP="00143E56">
            <w:pPr>
              <w:spacing w:line="240" w:lineRule="auto"/>
              <w:rPr>
                <w:rFonts w:ascii="Times New Roman" w:hAnsi="Times New Roman"/>
              </w:rPr>
            </w:pPr>
            <w:r w:rsidRPr="00C73DC2">
              <w:rPr>
                <w:rFonts w:ascii="Times New Roman" w:hAnsi="Times New Roman"/>
              </w:rPr>
              <w:t>osoby niepełnosprawne oraz osoby starsze</w:t>
            </w:r>
          </w:p>
        </w:tc>
        <w:tc>
          <w:tcPr>
            <w:tcW w:w="962" w:type="dxa"/>
            <w:gridSpan w:val="2"/>
            <w:shd w:val="clear" w:color="auto" w:fill="FFFFFF"/>
          </w:tcPr>
          <w:p w14:paraId="425F7957" w14:textId="5E5BFD12"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13" w:type="dxa"/>
            <w:gridSpan w:val="2"/>
            <w:shd w:val="clear" w:color="auto" w:fill="FFFFFF"/>
          </w:tcPr>
          <w:p w14:paraId="63BED572" w14:textId="4BC849A9"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38" w:type="dxa"/>
            <w:gridSpan w:val="3"/>
            <w:shd w:val="clear" w:color="auto" w:fill="FFFFFF"/>
          </w:tcPr>
          <w:p w14:paraId="2B0F6443" w14:textId="0C874327"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37" w:type="dxa"/>
            <w:gridSpan w:val="3"/>
            <w:shd w:val="clear" w:color="auto" w:fill="FFFFFF"/>
          </w:tcPr>
          <w:p w14:paraId="08861CC2" w14:textId="1404EF27"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1176" w:type="dxa"/>
            <w:gridSpan w:val="3"/>
            <w:shd w:val="clear" w:color="auto" w:fill="FFFFFF"/>
          </w:tcPr>
          <w:p w14:paraId="1C09FDB8" w14:textId="7470C0E0"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938" w:type="dxa"/>
            <w:gridSpan w:val="3"/>
            <w:shd w:val="clear" w:color="auto" w:fill="FFFFFF"/>
          </w:tcPr>
          <w:p w14:paraId="46573B02" w14:textId="4C599FF8" w:rsidR="00143E56" w:rsidRPr="00A87B3A" w:rsidRDefault="00143E56" w:rsidP="00143E56">
            <w:pPr>
              <w:spacing w:line="240" w:lineRule="auto"/>
              <w:rPr>
                <w:rFonts w:ascii="Times New Roman" w:hAnsi="Times New Roman"/>
                <w:color w:val="000000"/>
              </w:rPr>
            </w:pPr>
            <w:r>
              <w:rPr>
                <w:rFonts w:ascii="Times New Roman" w:hAnsi="Times New Roman"/>
                <w:color w:val="000000"/>
              </w:rPr>
              <w:t>0</w:t>
            </w:r>
          </w:p>
        </w:tc>
        <w:tc>
          <w:tcPr>
            <w:tcW w:w="1422" w:type="dxa"/>
            <w:gridSpan w:val="2"/>
            <w:shd w:val="clear" w:color="auto" w:fill="FFFFFF"/>
          </w:tcPr>
          <w:p w14:paraId="1B7F9A4A" w14:textId="426449B8"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spacing w:val="-2"/>
              </w:rPr>
              <w:t>0</w:t>
            </w:r>
          </w:p>
        </w:tc>
      </w:tr>
      <w:tr w:rsidR="00143E56" w:rsidRPr="00A87B3A" w14:paraId="5CF2071C" w14:textId="77777777" w:rsidTr="002069ED">
        <w:trPr>
          <w:gridAfter w:val="1"/>
          <w:wAfter w:w="12" w:type="dxa"/>
          <w:trHeight w:val="142"/>
        </w:trPr>
        <w:tc>
          <w:tcPr>
            <w:tcW w:w="1595" w:type="dxa"/>
            <w:vMerge w:val="restart"/>
            <w:shd w:val="clear" w:color="auto" w:fill="FFFFFF"/>
          </w:tcPr>
          <w:p w14:paraId="48D920EC"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W ujęciu niepieniężnym</w:t>
            </w:r>
          </w:p>
        </w:tc>
        <w:tc>
          <w:tcPr>
            <w:tcW w:w="2292" w:type="dxa"/>
            <w:gridSpan w:val="5"/>
            <w:shd w:val="clear" w:color="auto" w:fill="FFFFFF"/>
          </w:tcPr>
          <w:p w14:paraId="4CD0E775"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duże przedsiębiorstwa</w:t>
            </w:r>
          </w:p>
        </w:tc>
        <w:tc>
          <w:tcPr>
            <w:tcW w:w="7286" w:type="dxa"/>
            <w:gridSpan w:val="18"/>
            <w:vMerge w:val="restart"/>
            <w:shd w:val="clear" w:color="auto" w:fill="FFFFFF"/>
          </w:tcPr>
          <w:p w14:paraId="019649FA" w14:textId="02D10BAD" w:rsidR="00143E56" w:rsidRDefault="00143E56" w:rsidP="00143E56">
            <w:pPr>
              <w:spacing w:before="120" w:after="120" w:line="240" w:lineRule="auto"/>
              <w:jc w:val="both"/>
              <w:rPr>
                <w:rFonts w:ascii="Times New Roman" w:hAnsi="Times New Roman"/>
                <w:color w:val="000000"/>
                <w:spacing w:val="-2"/>
              </w:rPr>
            </w:pPr>
            <w:r w:rsidRPr="002F0DC2">
              <w:rPr>
                <w:rFonts w:ascii="Times New Roman" w:hAnsi="Times New Roman"/>
                <w:color w:val="000000"/>
                <w:spacing w:val="-2"/>
              </w:rPr>
              <w:t>Niższe koszty związane z</w:t>
            </w:r>
            <w:r>
              <w:rPr>
                <w:rFonts w:ascii="Times New Roman" w:hAnsi="Times New Roman"/>
                <w:color w:val="000000"/>
                <w:spacing w:val="-2"/>
              </w:rPr>
              <w:t>e</w:t>
            </w:r>
            <w:r w:rsidRPr="002F0DC2">
              <w:rPr>
                <w:rFonts w:ascii="Times New Roman" w:hAnsi="Times New Roman"/>
                <w:color w:val="000000"/>
                <w:spacing w:val="-2"/>
              </w:rPr>
              <w:t xml:space="preserve"> wsparciem rozwoju OZE (umorzenie certyfikatów, opłat</w:t>
            </w:r>
            <w:r>
              <w:rPr>
                <w:rFonts w:ascii="Times New Roman" w:hAnsi="Times New Roman"/>
                <w:color w:val="000000"/>
                <w:spacing w:val="-2"/>
              </w:rPr>
              <w:t>a</w:t>
            </w:r>
            <w:r w:rsidRPr="002F0DC2">
              <w:rPr>
                <w:rFonts w:ascii="Times New Roman" w:hAnsi="Times New Roman"/>
                <w:color w:val="000000"/>
                <w:spacing w:val="-2"/>
              </w:rPr>
              <w:t xml:space="preserve"> CHP)</w:t>
            </w:r>
            <w:r>
              <w:rPr>
                <w:rFonts w:ascii="Times New Roman" w:hAnsi="Times New Roman"/>
                <w:color w:val="000000"/>
                <w:spacing w:val="-2"/>
              </w:rPr>
              <w:t xml:space="preserve"> – nowe podmioty objęte ulgami dla odbiorców energochłonnych.</w:t>
            </w:r>
          </w:p>
          <w:p w14:paraId="4D12212D" w14:textId="15583C6F" w:rsidR="00143E56" w:rsidRDefault="00143E56" w:rsidP="00143E56">
            <w:pPr>
              <w:spacing w:before="120" w:after="120" w:line="240" w:lineRule="auto"/>
              <w:jc w:val="both"/>
              <w:rPr>
                <w:rFonts w:ascii="Times New Roman" w:hAnsi="Times New Roman"/>
                <w:color w:val="000000"/>
                <w:spacing w:val="-2"/>
              </w:rPr>
            </w:pPr>
            <w:r>
              <w:rPr>
                <w:rFonts w:ascii="Times New Roman" w:hAnsi="Times New Roman"/>
                <w:color w:val="000000"/>
                <w:spacing w:val="-2"/>
              </w:rPr>
              <w:t>Wyższe</w:t>
            </w:r>
            <w:r w:rsidRPr="002F0DC2">
              <w:rPr>
                <w:rFonts w:ascii="Times New Roman" w:hAnsi="Times New Roman"/>
                <w:color w:val="000000"/>
                <w:spacing w:val="-2"/>
              </w:rPr>
              <w:t xml:space="preserve"> koszty związane z</w:t>
            </w:r>
            <w:r>
              <w:rPr>
                <w:rFonts w:ascii="Times New Roman" w:hAnsi="Times New Roman"/>
                <w:color w:val="000000"/>
                <w:spacing w:val="-2"/>
              </w:rPr>
              <w:t>e</w:t>
            </w:r>
            <w:r w:rsidRPr="002F0DC2">
              <w:rPr>
                <w:rFonts w:ascii="Times New Roman" w:hAnsi="Times New Roman"/>
                <w:color w:val="000000"/>
                <w:spacing w:val="-2"/>
              </w:rPr>
              <w:t xml:space="preserve"> wsparciem rozwoju OZE (umorzenie certyfikatów, opłat</w:t>
            </w:r>
            <w:r>
              <w:rPr>
                <w:rFonts w:ascii="Times New Roman" w:hAnsi="Times New Roman"/>
                <w:color w:val="000000"/>
                <w:spacing w:val="-2"/>
              </w:rPr>
              <w:t>a</w:t>
            </w:r>
            <w:r w:rsidRPr="002F0DC2">
              <w:rPr>
                <w:rFonts w:ascii="Times New Roman" w:hAnsi="Times New Roman"/>
                <w:color w:val="000000"/>
                <w:spacing w:val="-2"/>
              </w:rPr>
              <w:t xml:space="preserve"> CHP)</w:t>
            </w:r>
            <w:r>
              <w:rPr>
                <w:rFonts w:ascii="Times New Roman" w:hAnsi="Times New Roman"/>
                <w:color w:val="000000"/>
                <w:spacing w:val="-2"/>
              </w:rPr>
              <w:t xml:space="preserve"> –podmioty tracące ulgi dla odbiorców energochłonnych.</w:t>
            </w:r>
          </w:p>
          <w:p w14:paraId="054C58A9" w14:textId="418AC96B" w:rsidR="00143E56" w:rsidRPr="00A87B3A" w:rsidRDefault="00143E56" w:rsidP="00143E56">
            <w:pPr>
              <w:spacing w:before="120" w:after="120" w:line="240" w:lineRule="auto"/>
              <w:jc w:val="both"/>
              <w:rPr>
                <w:rFonts w:ascii="Times New Roman" w:hAnsi="Times New Roman"/>
                <w:color w:val="000000"/>
                <w:spacing w:val="-2"/>
              </w:rPr>
            </w:pPr>
            <w:r>
              <w:rPr>
                <w:rFonts w:ascii="Times New Roman" w:hAnsi="Times New Roman"/>
                <w:color w:val="000000"/>
                <w:spacing w:val="-2"/>
              </w:rPr>
              <w:t>Skrócenie</w:t>
            </w:r>
            <w:r w:rsidRPr="005D00CB">
              <w:rPr>
                <w:rFonts w:ascii="Times New Roman" w:hAnsi="Times New Roman"/>
                <w:color w:val="000000"/>
                <w:spacing w:val="-2"/>
              </w:rPr>
              <w:t xml:space="preserve"> procedur wydawania zezwoleń </w:t>
            </w:r>
            <w:r>
              <w:rPr>
                <w:rFonts w:ascii="Times New Roman" w:hAnsi="Times New Roman"/>
                <w:color w:val="000000"/>
                <w:spacing w:val="-2"/>
              </w:rPr>
              <w:t>i</w:t>
            </w:r>
            <w:r w:rsidRPr="005D00CB">
              <w:rPr>
                <w:rFonts w:ascii="Times New Roman" w:hAnsi="Times New Roman"/>
                <w:color w:val="000000"/>
                <w:spacing w:val="-2"/>
              </w:rPr>
              <w:t xml:space="preserve"> przyspieszenie procesów inwestycyjnych</w:t>
            </w:r>
            <w:r>
              <w:rPr>
                <w:rFonts w:ascii="Times New Roman" w:hAnsi="Times New Roman"/>
                <w:color w:val="000000"/>
                <w:spacing w:val="-2"/>
              </w:rPr>
              <w:t xml:space="preserve"> OZE w zakresie montowanych na budynkach instalacji PV oraz pomp ciepła o mocy do 50 MW.</w:t>
            </w:r>
          </w:p>
        </w:tc>
      </w:tr>
      <w:tr w:rsidR="00143E56" w:rsidRPr="00A87B3A" w14:paraId="6BEDA658" w14:textId="77777777" w:rsidTr="002069ED">
        <w:trPr>
          <w:gridAfter w:val="1"/>
          <w:wAfter w:w="12" w:type="dxa"/>
          <w:trHeight w:val="142"/>
        </w:trPr>
        <w:tc>
          <w:tcPr>
            <w:tcW w:w="1595" w:type="dxa"/>
            <w:vMerge/>
            <w:shd w:val="clear" w:color="auto" w:fill="FFFFFF"/>
          </w:tcPr>
          <w:p w14:paraId="4C07B475" w14:textId="77777777" w:rsidR="00143E56" w:rsidRPr="00A87B3A" w:rsidRDefault="00143E56" w:rsidP="00143E56">
            <w:pPr>
              <w:spacing w:line="240" w:lineRule="auto"/>
              <w:rPr>
                <w:rFonts w:ascii="Times New Roman" w:hAnsi="Times New Roman"/>
                <w:color w:val="000000"/>
              </w:rPr>
            </w:pPr>
          </w:p>
        </w:tc>
        <w:tc>
          <w:tcPr>
            <w:tcW w:w="2292" w:type="dxa"/>
            <w:gridSpan w:val="5"/>
            <w:shd w:val="clear" w:color="auto" w:fill="FFFFFF"/>
          </w:tcPr>
          <w:p w14:paraId="5EA2CCEF"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sektor mikro-, małych i średnich przedsiębiorstw</w:t>
            </w:r>
          </w:p>
        </w:tc>
        <w:tc>
          <w:tcPr>
            <w:tcW w:w="7286" w:type="dxa"/>
            <w:gridSpan w:val="18"/>
            <w:vMerge/>
            <w:shd w:val="clear" w:color="auto" w:fill="FFFFFF"/>
          </w:tcPr>
          <w:p w14:paraId="269CE443" w14:textId="77777777" w:rsidR="00143E56" w:rsidRPr="00A87B3A" w:rsidRDefault="00143E56" w:rsidP="00143E56">
            <w:pPr>
              <w:spacing w:line="240" w:lineRule="auto"/>
              <w:rPr>
                <w:rFonts w:ascii="Times New Roman" w:hAnsi="Times New Roman"/>
                <w:color w:val="000000"/>
                <w:spacing w:val="-2"/>
              </w:rPr>
            </w:pPr>
          </w:p>
        </w:tc>
      </w:tr>
      <w:tr w:rsidR="00143E56" w:rsidRPr="00A87B3A" w14:paraId="25B9F46F" w14:textId="77777777" w:rsidTr="002069ED">
        <w:trPr>
          <w:gridAfter w:val="1"/>
          <w:wAfter w:w="12" w:type="dxa"/>
          <w:trHeight w:val="596"/>
        </w:trPr>
        <w:tc>
          <w:tcPr>
            <w:tcW w:w="1595" w:type="dxa"/>
            <w:vMerge/>
            <w:shd w:val="clear" w:color="auto" w:fill="FFFFFF"/>
          </w:tcPr>
          <w:p w14:paraId="17136D2A" w14:textId="77777777" w:rsidR="00143E56" w:rsidRPr="00A87B3A" w:rsidRDefault="00143E56" w:rsidP="00143E56">
            <w:pPr>
              <w:spacing w:line="240" w:lineRule="auto"/>
              <w:rPr>
                <w:rFonts w:ascii="Times New Roman" w:hAnsi="Times New Roman"/>
                <w:color w:val="000000"/>
              </w:rPr>
            </w:pPr>
          </w:p>
        </w:tc>
        <w:tc>
          <w:tcPr>
            <w:tcW w:w="2292" w:type="dxa"/>
            <w:gridSpan w:val="5"/>
            <w:shd w:val="clear" w:color="auto" w:fill="FFFFFF"/>
          </w:tcPr>
          <w:p w14:paraId="5F4FAD03" w14:textId="77777777" w:rsidR="00143E56" w:rsidRPr="00A87B3A" w:rsidRDefault="00143E56" w:rsidP="00143E56">
            <w:pPr>
              <w:tabs>
                <w:tab w:val="right" w:pos="1936"/>
              </w:tabs>
              <w:spacing w:line="240" w:lineRule="auto"/>
              <w:rPr>
                <w:rFonts w:ascii="Times New Roman" w:hAnsi="Times New Roman"/>
                <w:color w:val="000000"/>
              </w:rPr>
            </w:pPr>
            <w:r w:rsidRPr="00A87B3A">
              <w:rPr>
                <w:rFonts w:ascii="Times New Roman" w:hAnsi="Times New Roman"/>
              </w:rPr>
              <w:t>rodzina, obywatele oraz gospodarstwa domowe</w:t>
            </w:r>
            <w:r w:rsidRPr="00A87B3A">
              <w:rPr>
                <w:rFonts w:ascii="Times New Roman" w:hAnsi="Times New Roman"/>
                <w:color w:val="000000"/>
              </w:rPr>
              <w:t xml:space="preserve"> </w:t>
            </w:r>
          </w:p>
        </w:tc>
        <w:tc>
          <w:tcPr>
            <w:tcW w:w="7286" w:type="dxa"/>
            <w:gridSpan w:val="18"/>
            <w:vMerge w:val="restart"/>
            <w:shd w:val="clear" w:color="auto" w:fill="FFFFFF"/>
          </w:tcPr>
          <w:p w14:paraId="0EAD343E" w14:textId="25377C1A"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spacing w:val="-2"/>
              </w:rPr>
              <w:t>Wzrost opłaty CHP.</w:t>
            </w:r>
          </w:p>
        </w:tc>
      </w:tr>
      <w:tr w:rsidR="00143E56" w:rsidRPr="00A87B3A" w14:paraId="5592C578" w14:textId="77777777" w:rsidTr="002069ED">
        <w:trPr>
          <w:gridAfter w:val="1"/>
          <w:wAfter w:w="12" w:type="dxa"/>
          <w:trHeight w:val="240"/>
        </w:trPr>
        <w:tc>
          <w:tcPr>
            <w:tcW w:w="1595" w:type="dxa"/>
            <w:vMerge/>
            <w:shd w:val="clear" w:color="auto" w:fill="FFFFFF"/>
          </w:tcPr>
          <w:p w14:paraId="69E30BDB" w14:textId="77777777" w:rsidR="00143E56" w:rsidRPr="00A87B3A" w:rsidRDefault="00143E56" w:rsidP="00143E56">
            <w:pPr>
              <w:spacing w:line="240" w:lineRule="auto"/>
              <w:rPr>
                <w:rFonts w:ascii="Times New Roman" w:hAnsi="Times New Roman"/>
                <w:color w:val="000000"/>
              </w:rPr>
            </w:pPr>
          </w:p>
        </w:tc>
        <w:tc>
          <w:tcPr>
            <w:tcW w:w="2292" w:type="dxa"/>
            <w:gridSpan w:val="5"/>
            <w:shd w:val="clear" w:color="auto" w:fill="FFFFFF"/>
          </w:tcPr>
          <w:p w14:paraId="464ABFFA" w14:textId="187A0F6B" w:rsidR="00143E56" w:rsidRPr="00A87B3A" w:rsidRDefault="00143E56" w:rsidP="00143E56">
            <w:pPr>
              <w:tabs>
                <w:tab w:val="right" w:pos="1936"/>
              </w:tabs>
              <w:spacing w:line="240" w:lineRule="auto"/>
              <w:rPr>
                <w:rFonts w:ascii="Times New Roman" w:hAnsi="Times New Roman"/>
              </w:rPr>
            </w:pPr>
            <w:r w:rsidRPr="00C73DC2">
              <w:rPr>
                <w:rFonts w:ascii="Times New Roman" w:hAnsi="Times New Roman"/>
              </w:rPr>
              <w:t>osoby niepełnosprawne oraz osoby starsze</w:t>
            </w:r>
          </w:p>
        </w:tc>
        <w:tc>
          <w:tcPr>
            <w:tcW w:w="7286" w:type="dxa"/>
            <w:gridSpan w:val="18"/>
            <w:vMerge/>
            <w:shd w:val="clear" w:color="auto" w:fill="FFFFFF"/>
          </w:tcPr>
          <w:p w14:paraId="3CB3B77B" w14:textId="77777777" w:rsidR="00143E56" w:rsidRPr="00A87B3A" w:rsidRDefault="00143E56" w:rsidP="00143E56">
            <w:pPr>
              <w:tabs>
                <w:tab w:val="left" w:pos="3000"/>
              </w:tabs>
              <w:spacing w:line="240" w:lineRule="auto"/>
              <w:rPr>
                <w:rFonts w:ascii="Times New Roman" w:hAnsi="Times New Roman"/>
                <w:color w:val="000000"/>
                <w:spacing w:val="-2"/>
              </w:rPr>
            </w:pPr>
          </w:p>
        </w:tc>
      </w:tr>
      <w:tr w:rsidR="00143E56" w:rsidRPr="00A87B3A" w14:paraId="79E9988F" w14:textId="77777777" w:rsidTr="002069ED">
        <w:trPr>
          <w:gridAfter w:val="1"/>
          <w:wAfter w:w="12" w:type="dxa"/>
          <w:trHeight w:val="142"/>
        </w:trPr>
        <w:tc>
          <w:tcPr>
            <w:tcW w:w="1595" w:type="dxa"/>
            <w:shd w:val="clear" w:color="auto" w:fill="FFFFFF"/>
          </w:tcPr>
          <w:p w14:paraId="7AAE79FC"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Niemierzalne</w:t>
            </w:r>
          </w:p>
        </w:tc>
        <w:tc>
          <w:tcPr>
            <w:tcW w:w="2292" w:type="dxa"/>
            <w:gridSpan w:val="5"/>
            <w:shd w:val="clear" w:color="auto" w:fill="FFFFFF"/>
          </w:tcPr>
          <w:p w14:paraId="128AC03F" w14:textId="0FE0FC5F" w:rsidR="00143E56" w:rsidRPr="00A87B3A" w:rsidRDefault="00143E56" w:rsidP="00143E56">
            <w:pPr>
              <w:spacing w:line="240" w:lineRule="auto"/>
              <w:rPr>
                <w:rFonts w:ascii="Times New Roman" w:hAnsi="Times New Roman"/>
                <w:color w:val="000000"/>
              </w:rPr>
            </w:pPr>
          </w:p>
        </w:tc>
        <w:tc>
          <w:tcPr>
            <w:tcW w:w="7286" w:type="dxa"/>
            <w:gridSpan w:val="18"/>
            <w:shd w:val="clear" w:color="auto" w:fill="FFFFFF"/>
          </w:tcPr>
          <w:p w14:paraId="6FFDE290" w14:textId="07291CCF"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spacing w:val="-2"/>
              </w:rPr>
              <w:t>Brak.</w:t>
            </w:r>
          </w:p>
        </w:tc>
      </w:tr>
      <w:tr w:rsidR="00143E56" w:rsidRPr="00A87B3A" w14:paraId="6678593F" w14:textId="77777777" w:rsidTr="00EC184C">
        <w:trPr>
          <w:gridAfter w:val="1"/>
          <w:wAfter w:w="12" w:type="dxa"/>
          <w:trHeight w:val="699"/>
        </w:trPr>
        <w:tc>
          <w:tcPr>
            <w:tcW w:w="2241" w:type="dxa"/>
            <w:gridSpan w:val="2"/>
            <w:shd w:val="clear" w:color="auto" w:fill="FFFFFF"/>
          </w:tcPr>
          <w:p w14:paraId="2C16E090"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 xml:space="preserve">Dodatkowe informacje, w tym wskazanie źródeł danych i przyjętych do obliczeń założeń </w:t>
            </w:r>
          </w:p>
        </w:tc>
        <w:tc>
          <w:tcPr>
            <w:tcW w:w="8932" w:type="dxa"/>
            <w:gridSpan w:val="22"/>
            <w:shd w:val="clear" w:color="auto" w:fill="FFFFFF"/>
            <w:vAlign w:val="center"/>
          </w:tcPr>
          <w:p w14:paraId="7A512B04" w14:textId="2F82264B" w:rsidR="00143E56" w:rsidRPr="009A0BD4" w:rsidRDefault="00143E56" w:rsidP="009A0BD4">
            <w:pPr>
              <w:autoSpaceDE w:val="0"/>
              <w:autoSpaceDN w:val="0"/>
              <w:adjustRightInd w:val="0"/>
              <w:spacing w:before="120" w:after="120" w:line="240" w:lineRule="auto"/>
              <w:jc w:val="both"/>
              <w:rPr>
                <w:rFonts w:ascii="Times New Roman" w:hAnsi="Times New Roman"/>
                <w:b/>
                <w:bCs/>
                <w:color w:val="000000"/>
                <w:u w:val="single"/>
              </w:rPr>
            </w:pPr>
            <w:r w:rsidRPr="00AB180A">
              <w:rPr>
                <w:rFonts w:ascii="Times New Roman" w:hAnsi="Times New Roman"/>
                <w:b/>
                <w:bCs/>
                <w:color w:val="000000"/>
                <w:u w:val="single"/>
              </w:rPr>
              <w:t>I. Dostosowanie ulg dla odbiorców energochłonnych do CEEAG</w:t>
            </w:r>
          </w:p>
          <w:p w14:paraId="409D92B4" w14:textId="6403A155" w:rsidR="00143E56" w:rsidRPr="00A21751" w:rsidRDefault="00143E56" w:rsidP="00143E56">
            <w:pPr>
              <w:spacing w:before="120" w:after="120" w:line="240" w:lineRule="auto"/>
              <w:jc w:val="both"/>
              <w:rPr>
                <w:rFonts w:ascii="Times New Roman" w:hAnsi="Times New Roman"/>
                <w:color w:val="000000"/>
              </w:rPr>
            </w:pPr>
            <w:r w:rsidRPr="00A21751">
              <w:rPr>
                <w:rFonts w:ascii="Times New Roman" w:hAnsi="Times New Roman"/>
                <w:color w:val="000000"/>
              </w:rPr>
              <w:t>Wpływ na konkurencyjność gospodarki i przedsiębiorczość, w tym funkcjonowanie</w:t>
            </w:r>
            <w:r>
              <w:rPr>
                <w:rFonts w:ascii="Times New Roman" w:hAnsi="Times New Roman"/>
                <w:color w:val="000000"/>
              </w:rPr>
              <w:t xml:space="preserve"> </w:t>
            </w:r>
            <w:r w:rsidRPr="00A21751">
              <w:rPr>
                <w:rFonts w:ascii="Times New Roman" w:hAnsi="Times New Roman"/>
                <w:color w:val="000000"/>
              </w:rPr>
              <w:t>przedsiębiorców oraz na rodzinę, obywateli i gospodarstwa domowe został opracowany wg</w:t>
            </w:r>
            <w:r>
              <w:rPr>
                <w:rFonts w:ascii="Times New Roman" w:hAnsi="Times New Roman"/>
                <w:color w:val="000000"/>
              </w:rPr>
              <w:t xml:space="preserve"> </w:t>
            </w:r>
            <w:r w:rsidRPr="00A21751">
              <w:rPr>
                <w:rFonts w:ascii="Times New Roman" w:hAnsi="Times New Roman"/>
                <w:color w:val="000000"/>
              </w:rPr>
              <w:t>następującej metodologii. Wzrost obciążeń dla gospodarstw domowych spowodowany</w:t>
            </w:r>
            <w:r>
              <w:rPr>
                <w:rFonts w:ascii="Times New Roman" w:hAnsi="Times New Roman"/>
                <w:color w:val="000000"/>
              </w:rPr>
              <w:t xml:space="preserve"> </w:t>
            </w:r>
            <w:r w:rsidRPr="00A21751">
              <w:rPr>
                <w:rFonts w:ascii="Times New Roman" w:hAnsi="Times New Roman"/>
                <w:color w:val="000000"/>
              </w:rPr>
              <w:t>przewidywanym wzrostem opłaty kogeneracyjnej o 0,27 PLN policzony został jako iloczyn</w:t>
            </w:r>
            <w:r>
              <w:rPr>
                <w:rFonts w:ascii="Times New Roman" w:hAnsi="Times New Roman"/>
                <w:color w:val="000000"/>
              </w:rPr>
              <w:t xml:space="preserve"> </w:t>
            </w:r>
            <w:r w:rsidRPr="00A21751">
              <w:rPr>
                <w:rFonts w:ascii="Times New Roman" w:hAnsi="Times New Roman"/>
                <w:color w:val="000000"/>
              </w:rPr>
              <w:t>wzrostu tej opłaty i wolumenu energii elektrycznej zużywanej przez odbiorców końcowych</w:t>
            </w:r>
            <w:r>
              <w:rPr>
                <w:rFonts w:ascii="Times New Roman" w:hAnsi="Times New Roman"/>
                <w:color w:val="000000"/>
              </w:rPr>
              <w:t xml:space="preserve"> </w:t>
            </w:r>
            <w:r w:rsidRPr="00A21751">
              <w:rPr>
                <w:rFonts w:ascii="Times New Roman" w:hAnsi="Times New Roman"/>
                <w:color w:val="000000"/>
              </w:rPr>
              <w:t>w gospodarstwach domowych, którzy są jej płatnikami.</w:t>
            </w:r>
          </w:p>
          <w:p w14:paraId="4F0D0748" w14:textId="4C6937A9" w:rsidR="00143E56" w:rsidRPr="00A21751" w:rsidRDefault="00143E56" w:rsidP="00143E56">
            <w:pPr>
              <w:spacing w:before="120" w:after="120" w:line="240" w:lineRule="auto"/>
              <w:jc w:val="both"/>
              <w:rPr>
                <w:rFonts w:ascii="Times New Roman" w:hAnsi="Times New Roman"/>
                <w:color w:val="000000"/>
              </w:rPr>
            </w:pPr>
            <w:r w:rsidRPr="00A21751">
              <w:rPr>
                <w:rFonts w:ascii="Times New Roman" w:hAnsi="Times New Roman"/>
                <w:color w:val="000000"/>
              </w:rPr>
              <w:lastRenderedPageBreak/>
              <w:t>Wzrost obciążeń dla sektora mikro-, małych i średnich przedsiębiorstw policzony został jako</w:t>
            </w:r>
            <w:r>
              <w:rPr>
                <w:rFonts w:ascii="Times New Roman" w:hAnsi="Times New Roman"/>
                <w:color w:val="000000"/>
              </w:rPr>
              <w:t xml:space="preserve"> </w:t>
            </w:r>
            <w:r w:rsidRPr="00A21751">
              <w:rPr>
                <w:rFonts w:ascii="Times New Roman" w:hAnsi="Times New Roman"/>
                <w:color w:val="000000"/>
              </w:rPr>
              <w:t>iloczyn przewidywanego wzrostu opłaty kogeneracyjnej i wolumenu energii elektrycznej</w:t>
            </w:r>
            <w:r>
              <w:rPr>
                <w:rFonts w:ascii="Times New Roman" w:hAnsi="Times New Roman"/>
                <w:color w:val="000000"/>
              </w:rPr>
              <w:t xml:space="preserve"> </w:t>
            </w:r>
            <w:r w:rsidRPr="00A21751">
              <w:rPr>
                <w:rFonts w:ascii="Times New Roman" w:hAnsi="Times New Roman"/>
                <w:color w:val="000000"/>
              </w:rPr>
              <w:t>zużywanej przez odbiorców końcowych w sektorze komercyjnym, którzy nie posiadają</w:t>
            </w:r>
            <w:r>
              <w:rPr>
                <w:rFonts w:ascii="Times New Roman" w:hAnsi="Times New Roman"/>
                <w:color w:val="000000"/>
              </w:rPr>
              <w:t xml:space="preserve"> </w:t>
            </w:r>
            <w:r w:rsidRPr="00A21751">
              <w:rPr>
                <w:rFonts w:ascii="Times New Roman" w:hAnsi="Times New Roman"/>
                <w:color w:val="000000"/>
              </w:rPr>
              <w:t>statusu odbiorców przemysłowych. W praktyce przez wszystkich odbiorców, którzy nie są</w:t>
            </w:r>
            <w:r>
              <w:rPr>
                <w:rFonts w:ascii="Times New Roman" w:hAnsi="Times New Roman"/>
                <w:color w:val="000000"/>
              </w:rPr>
              <w:t xml:space="preserve"> </w:t>
            </w:r>
            <w:r w:rsidRPr="00A21751">
              <w:rPr>
                <w:rFonts w:ascii="Times New Roman" w:hAnsi="Times New Roman"/>
                <w:color w:val="000000"/>
              </w:rPr>
              <w:t>odbiorcami w gospodarstwach domowych lub odbiorcami przemysłowymi.</w:t>
            </w:r>
          </w:p>
          <w:p w14:paraId="66640552" w14:textId="77777777" w:rsidR="00143E56" w:rsidRDefault="00143E56" w:rsidP="00143E56">
            <w:pPr>
              <w:spacing w:before="120" w:after="120" w:line="240" w:lineRule="auto"/>
              <w:jc w:val="both"/>
              <w:rPr>
                <w:rFonts w:ascii="Times New Roman" w:hAnsi="Times New Roman"/>
                <w:color w:val="000000"/>
              </w:rPr>
            </w:pPr>
            <w:r w:rsidRPr="00A21751">
              <w:rPr>
                <w:rFonts w:ascii="Times New Roman" w:hAnsi="Times New Roman"/>
                <w:color w:val="000000"/>
              </w:rPr>
              <w:t>Obniżenie obciążeń dla odbiorców przemysłowych policzone zostało jako kwota wynikająca</w:t>
            </w:r>
            <w:r>
              <w:rPr>
                <w:rFonts w:ascii="Times New Roman" w:hAnsi="Times New Roman"/>
                <w:color w:val="000000"/>
              </w:rPr>
              <w:t xml:space="preserve"> </w:t>
            </w:r>
            <w:r w:rsidRPr="00A21751">
              <w:rPr>
                <w:rFonts w:ascii="Times New Roman" w:hAnsi="Times New Roman"/>
                <w:color w:val="000000"/>
              </w:rPr>
              <w:t>z obniżenia obciążeń dla odbiorców przemysłowych, którym przysługiwać będzie ulga 75%</w:t>
            </w:r>
            <w:r>
              <w:rPr>
                <w:rFonts w:ascii="Times New Roman" w:hAnsi="Times New Roman"/>
                <w:color w:val="000000"/>
              </w:rPr>
              <w:t xml:space="preserve"> </w:t>
            </w:r>
            <w:r w:rsidRPr="00A21751">
              <w:rPr>
                <w:rFonts w:ascii="Times New Roman" w:hAnsi="Times New Roman"/>
                <w:color w:val="000000"/>
              </w:rPr>
              <w:t>i odbiorców, którym przysługiwać będzie ulga 85%. Łączną kwotę wynikowo pomniejszono</w:t>
            </w:r>
            <w:r>
              <w:rPr>
                <w:rFonts w:ascii="Times New Roman" w:hAnsi="Times New Roman"/>
                <w:color w:val="000000"/>
              </w:rPr>
              <w:t xml:space="preserve"> </w:t>
            </w:r>
            <w:r w:rsidRPr="00A21751">
              <w:rPr>
                <w:rFonts w:ascii="Times New Roman" w:hAnsi="Times New Roman"/>
                <w:color w:val="000000"/>
              </w:rPr>
              <w:t>o kwotę wynikającą ze zwiększenia obciążeń dla odbiorców przemysłowych, którzy utracą</w:t>
            </w:r>
            <w:r>
              <w:rPr>
                <w:rFonts w:ascii="Times New Roman" w:hAnsi="Times New Roman"/>
                <w:color w:val="000000"/>
              </w:rPr>
              <w:t xml:space="preserve"> </w:t>
            </w:r>
            <w:r w:rsidRPr="00A21751">
              <w:rPr>
                <w:rFonts w:ascii="Times New Roman" w:hAnsi="Times New Roman"/>
                <w:color w:val="000000"/>
              </w:rPr>
              <w:t xml:space="preserve">prawo do ulg. </w:t>
            </w:r>
          </w:p>
          <w:p w14:paraId="5DD72A08" w14:textId="4F1DAE5F" w:rsidR="00143E56" w:rsidRPr="00A21751" w:rsidRDefault="00143E56" w:rsidP="00143E56">
            <w:pPr>
              <w:spacing w:before="120" w:after="120" w:line="240" w:lineRule="auto"/>
              <w:jc w:val="both"/>
              <w:rPr>
                <w:rFonts w:ascii="Times New Roman" w:hAnsi="Times New Roman"/>
                <w:color w:val="000000"/>
              </w:rPr>
            </w:pPr>
            <w:r w:rsidRPr="00A21751">
              <w:rPr>
                <w:rFonts w:ascii="Times New Roman" w:hAnsi="Times New Roman"/>
                <w:color w:val="000000"/>
              </w:rPr>
              <w:t>Przy obliczaniu ww. zmniejszania lub zwiększenia obciążeń w grupie</w:t>
            </w:r>
            <w:r>
              <w:rPr>
                <w:rFonts w:ascii="Times New Roman" w:hAnsi="Times New Roman"/>
                <w:color w:val="000000"/>
              </w:rPr>
              <w:t xml:space="preserve"> </w:t>
            </w:r>
            <w:r w:rsidRPr="00A21751">
              <w:rPr>
                <w:rFonts w:ascii="Times New Roman" w:hAnsi="Times New Roman"/>
                <w:color w:val="000000"/>
              </w:rPr>
              <w:t>odbiorców przemysłowych wzięto pod uwagę wnoszoną przez odbiorców przemysłowych</w:t>
            </w:r>
            <w:r>
              <w:rPr>
                <w:rFonts w:ascii="Times New Roman" w:hAnsi="Times New Roman"/>
                <w:color w:val="000000"/>
              </w:rPr>
              <w:t xml:space="preserve"> </w:t>
            </w:r>
            <w:r w:rsidRPr="00A21751">
              <w:rPr>
                <w:rFonts w:ascii="Times New Roman" w:hAnsi="Times New Roman"/>
                <w:color w:val="000000"/>
              </w:rPr>
              <w:t>opłatę kogeneracyjną oraz przewidywane koszty zakupu i umorzenia przez tych odbiorców</w:t>
            </w:r>
            <w:r>
              <w:rPr>
                <w:rFonts w:ascii="Times New Roman" w:hAnsi="Times New Roman"/>
                <w:color w:val="000000"/>
              </w:rPr>
              <w:t xml:space="preserve"> </w:t>
            </w:r>
            <w:r w:rsidRPr="00A21751">
              <w:rPr>
                <w:rFonts w:ascii="Times New Roman" w:hAnsi="Times New Roman"/>
                <w:color w:val="000000"/>
              </w:rPr>
              <w:t>świadectw pochodzenia, tzw. zielonych i błękitnych certyfikatów.</w:t>
            </w:r>
          </w:p>
          <w:p w14:paraId="659E68CB" w14:textId="08CADFE3" w:rsidR="00143E56" w:rsidRPr="00A21751" w:rsidRDefault="00143E56" w:rsidP="00143E56">
            <w:pPr>
              <w:spacing w:before="120" w:after="120" w:line="240" w:lineRule="auto"/>
              <w:jc w:val="both"/>
              <w:rPr>
                <w:rFonts w:ascii="Times New Roman" w:hAnsi="Times New Roman"/>
                <w:color w:val="000000"/>
              </w:rPr>
            </w:pPr>
            <w:r w:rsidRPr="00A21751">
              <w:rPr>
                <w:rFonts w:ascii="Times New Roman" w:hAnsi="Times New Roman"/>
                <w:color w:val="000000"/>
              </w:rPr>
              <w:t>Przy ww. wyliczeniach przyjęto założenie, że suma środków pozyskiwanych z opłaty</w:t>
            </w:r>
            <w:r>
              <w:rPr>
                <w:rFonts w:ascii="Times New Roman" w:hAnsi="Times New Roman"/>
                <w:color w:val="000000"/>
              </w:rPr>
              <w:t xml:space="preserve"> </w:t>
            </w:r>
            <w:r w:rsidRPr="00A21751">
              <w:rPr>
                <w:rFonts w:ascii="Times New Roman" w:hAnsi="Times New Roman"/>
                <w:color w:val="000000"/>
              </w:rPr>
              <w:t>kogeneracyjnej, z której wypłacana jest tzw. premia kogeneracyjna nie ulegnie zmianie.</w:t>
            </w:r>
          </w:p>
          <w:p w14:paraId="4458274B" w14:textId="77777777" w:rsidR="00143E56" w:rsidRDefault="00143E56" w:rsidP="00143E56">
            <w:pPr>
              <w:spacing w:before="120" w:after="120" w:line="240" w:lineRule="auto"/>
              <w:jc w:val="both"/>
              <w:rPr>
                <w:rFonts w:ascii="Times New Roman" w:hAnsi="Times New Roman"/>
                <w:color w:val="000000"/>
              </w:rPr>
            </w:pPr>
            <w:r w:rsidRPr="00A21751">
              <w:rPr>
                <w:rFonts w:ascii="Times New Roman" w:hAnsi="Times New Roman"/>
                <w:color w:val="000000"/>
              </w:rPr>
              <w:t>W zakresie polityki energetycznej dopuszczalne są jednak zmiany również i w tym obszarze,</w:t>
            </w:r>
            <w:r>
              <w:rPr>
                <w:rFonts w:ascii="Times New Roman" w:hAnsi="Times New Roman"/>
                <w:color w:val="000000"/>
              </w:rPr>
              <w:t xml:space="preserve"> t</w:t>
            </w:r>
            <w:r w:rsidRPr="00A21751">
              <w:rPr>
                <w:rFonts w:ascii="Times New Roman" w:hAnsi="Times New Roman"/>
                <w:color w:val="000000"/>
              </w:rPr>
              <w:t>j. przykładowo, pozostawienie opłaty kogeneracyjnej na poziomie niezmienionym,</w:t>
            </w:r>
            <w:r>
              <w:rPr>
                <w:rFonts w:ascii="Times New Roman" w:hAnsi="Times New Roman"/>
                <w:color w:val="000000"/>
              </w:rPr>
              <w:t xml:space="preserve"> c</w:t>
            </w:r>
            <w:r w:rsidRPr="00A21751">
              <w:rPr>
                <w:rFonts w:ascii="Times New Roman" w:hAnsi="Times New Roman"/>
                <w:color w:val="000000"/>
              </w:rPr>
              <w:t xml:space="preserve">o skutkować będzie jednak mniejszymi środkami na premię kogeneracyjną. </w:t>
            </w:r>
          </w:p>
          <w:p w14:paraId="03A83DD6" w14:textId="77777777" w:rsidR="00143E56" w:rsidRPr="00943A37" w:rsidRDefault="00143E56" w:rsidP="00143E56">
            <w:pPr>
              <w:spacing w:before="120" w:after="120" w:line="240" w:lineRule="auto"/>
              <w:jc w:val="both"/>
              <w:rPr>
                <w:rFonts w:ascii="Times New Roman" w:hAnsi="Times New Roman"/>
                <w:b/>
                <w:bCs/>
                <w:color w:val="000000"/>
                <w:u w:val="single"/>
              </w:rPr>
            </w:pPr>
            <w:r w:rsidRPr="00943A37">
              <w:rPr>
                <w:rFonts w:ascii="Times New Roman" w:hAnsi="Times New Roman"/>
                <w:b/>
                <w:bCs/>
                <w:color w:val="000000"/>
                <w:u w:val="single"/>
              </w:rPr>
              <w:t>II. Dostosowanie przepisów ustawy OZE do rozporządzenia GBER</w:t>
            </w:r>
          </w:p>
          <w:p w14:paraId="78176D7F" w14:textId="02266874" w:rsidR="00143E56" w:rsidRDefault="00143E56" w:rsidP="00143E56">
            <w:pPr>
              <w:spacing w:before="120" w:after="120" w:line="240" w:lineRule="auto"/>
              <w:jc w:val="both"/>
              <w:rPr>
                <w:rFonts w:ascii="Times New Roman" w:hAnsi="Times New Roman"/>
                <w:color w:val="000000"/>
              </w:rPr>
            </w:pPr>
            <w:r w:rsidRPr="00943A37">
              <w:rPr>
                <w:rFonts w:ascii="Times New Roman" w:hAnsi="Times New Roman"/>
                <w:color w:val="000000"/>
              </w:rPr>
              <w:t>Nowe</w:t>
            </w:r>
            <w:r>
              <w:rPr>
                <w:rFonts w:ascii="Times New Roman" w:hAnsi="Times New Roman"/>
                <w:color w:val="000000"/>
              </w:rPr>
              <w:t xml:space="preserve"> </w:t>
            </w:r>
            <w:r w:rsidRPr="00943A37">
              <w:rPr>
                <w:rFonts w:ascii="Times New Roman" w:hAnsi="Times New Roman"/>
                <w:color w:val="000000"/>
              </w:rPr>
              <w:t>rozwiązania wpłyną na obowiązki sprzedawcy zobowiązanego, poprzez zmniejszenie jego</w:t>
            </w:r>
            <w:r>
              <w:rPr>
                <w:rFonts w:ascii="Times New Roman" w:hAnsi="Times New Roman"/>
                <w:color w:val="000000"/>
              </w:rPr>
              <w:t xml:space="preserve"> </w:t>
            </w:r>
            <w:r w:rsidRPr="00943A37">
              <w:rPr>
                <w:rFonts w:ascii="Times New Roman" w:hAnsi="Times New Roman"/>
                <w:color w:val="000000"/>
              </w:rPr>
              <w:t>obciążeń w zakresie bilansowania handlowego instalacji o mocach z przedziału 400-500 kW</w:t>
            </w:r>
            <w:r>
              <w:rPr>
                <w:rFonts w:ascii="Times New Roman" w:hAnsi="Times New Roman"/>
                <w:color w:val="000000"/>
              </w:rPr>
              <w:t xml:space="preserve"> (a od 2026 r. z przedziału 200-500 kW) </w:t>
            </w:r>
            <w:r w:rsidRPr="00943A37">
              <w:rPr>
                <w:rFonts w:ascii="Times New Roman" w:hAnsi="Times New Roman"/>
                <w:color w:val="000000"/>
              </w:rPr>
              <w:t>i przeniosą koszty bilansowania handlowego ponoszonego dotychczas przez sprzedawcę, na</w:t>
            </w:r>
            <w:r>
              <w:rPr>
                <w:rFonts w:ascii="Times New Roman" w:hAnsi="Times New Roman"/>
                <w:color w:val="000000"/>
              </w:rPr>
              <w:t xml:space="preserve"> </w:t>
            </w:r>
            <w:r w:rsidRPr="00943A37">
              <w:rPr>
                <w:rFonts w:ascii="Times New Roman" w:hAnsi="Times New Roman"/>
                <w:color w:val="000000"/>
              </w:rPr>
              <w:t>wytwórców energii w tych instalacjach.</w:t>
            </w:r>
          </w:p>
          <w:p w14:paraId="5107A8C1" w14:textId="77777777" w:rsidR="00143E56" w:rsidRPr="00943A37" w:rsidRDefault="00143E56" w:rsidP="00143E56">
            <w:pPr>
              <w:spacing w:before="120" w:after="120" w:line="240" w:lineRule="auto"/>
              <w:jc w:val="both"/>
              <w:rPr>
                <w:rFonts w:ascii="Times New Roman" w:hAnsi="Times New Roman"/>
                <w:b/>
                <w:bCs/>
                <w:color w:val="000000"/>
                <w:u w:val="single"/>
              </w:rPr>
            </w:pPr>
            <w:r w:rsidRPr="00943A37">
              <w:rPr>
                <w:rFonts w:ascii="Times New Roman" w:hAnsi="Times New Roman"/>
                <w:b/>
                <w:bCs/>
                <w:color w:val="000000"/>
                <w:u w:val="single"/>
              </w:rPr>
              <w:t>V. Zmiany w systemie rozliczeń net-billing</w:t>
            </w:r>
          </w:p>
          <w:p w14:paraId="36AB58BF" w14:textId="7CEE5F0A" w:rsidR="00143E56" w:rsidRPr="00A87B3A" w:rsidRDefault="00143E56" w:rsidP="00143E56">
            <w:pPr>
              <w:spacing w:before="120" w:after="120" w:line="240" w:lineRule="auto"/>
              <w:jc w:val="both"/>
              <w:rPr>
                <w:rFonts w:ascii="Times New Roman" w:hAnsi="Times New Roman"/>
                <w:color w:val="000000"/>
              </w:rPr>
            </w:pPr>
            <w:r w:rsidRPr="00943A37">
              <w:rPr>
                <w:rFonts w:ascii="Times New Roman" w:hAnsi="Times New Roman"/>
                <w:color w:val="000000"/>
              </w:rPr>
              <w:t>Dzięki proponowanym zmianom prosumenci rozliczający się w systemie net-billing zwiększą</w:t>
            </w:r>
            <w:r>
              <w:rPr>
                <w:rFonts w:ascii="Times New Roman" w:hAnsi="Times New Roman"/>
                <w:color w:val="000000"/>
              </w:rPr>
              <w:t xml:space="preserve"> </w:t>
            </w:r>
            <w:r w:rsidRPr="00943A37">
              <w:rPr>
                <w:rFonts w:ascii="Times New Roman" w:hAnsi="Times New Roman"/>
                <w:color w:val="000000"/>
              </w:rPr>
              <w:t>stopień opłacalności swoich inwestycji w OZE. Możliwość zmiany sposobu rozliczeń</w:t>
            </w:r>
            <w:r>
              <w:rPr>
                <w:rFonts w:ascii="Times New Roman" w:hAnsi="Times New Roman"/>
                <w:color w:val="000000"/>
              </w:rPr>
              <w:t xml:space="preserve"> </w:t>
            </w:r>
            <w:r w:rsidRPr="00943A37">
              <w:rPr>
                <w:rFonts w:ascii="Times New Roman" w:hAnsi="Times New Roman"/>
                <w:color w:val="000000"/>
              </w:rPr>
              <w:t>w oparciu o RCE lub RCEm będzie świadomym wyborem prosumenta i pozwoli na osiągnięcie</w:t>
            </w:r>
            <w:r>
              <w:rPr>
                <w:rFonts w:ascii="Times New Roman" w:hAnsi="Times New Roman"/>
                <w:color w:val="000000"/>
              </w:rPr>
              <w:t xml:space="preserve"> </w:t>
            </w:r>
            <w:r w:rsidRPr="00943A37">
              <w:rPr>
                <w:rFonts w:ascii="Times New Roman" w:hAnsi="Times New Roman"/>
                <w:color w:val="000000"/>
              </w:rPr>
              <w:t>większych oszczędności poprzez optymalizację swojego zużycia dostosowanego do wyboru</w:t>
            </w:r>
            <w:r>
              <w:rPr>
                <w:rFonts w:ascii="Times New Roman" w:hAnsi="Times New Roman"/>
                <w:color w:val="000000"/>
              </w:rPr>
              <w:t xml:space="preserve"> </w:t>
            </w:r>
            <w:r w:rsidRPr="00943A37">
              <w:rPr>
                <w:rFonts w:ascii="Times New Roman" w:hAnsi="Times New Roman"/>
                <w:color w:val="000000"/>
              </w:rPr>
              <w:t>sposobu wyliczenia rynkowej ceny energii. Natomiast podniesienie wartości depozytu</w:t>
            </w:r>
            <w:r>
              <w:rPr>
                <w:rFonts w:ascii="Times New Roman" w:hAnsi="Times New Roman"/>
                <w:color w:val="000000"/>
              </w:rPr>
              <w:t xml:space="preserve"> </w:t>
            </w:r>
            <w:r w:rsidRPr="00943A37">
              <w:rPr>
                <w:rFonts w:ascii="Times New Roman" w:hAnsi="Times New Roman"/>
                <w:color w:val="000000"/>
              </w:rPr>
              <w:t>prosumenckiego spowoduje zmniejszenie dysproporcji pomiędzy wartością energii jaka jest</w:t>
            </w:r>
            <w:r>
              <w:rPr>
                <w:rFonts w:ascii="Times New Roman" w:hAnsi="Times New Roman"/>
                <w:color w:val="000000"/>
              </w:rPr>
              <w:t xml:space="preserve"> </w:t>
            </w:r>
            <w:r w:rsidRPr="00943A37">
              <w:rPr>
                <w:rFonts w:ascii="Times New Roman" w:hAnsi="Times New Roman"/>
                <w:color w:val="000000"/>
              </w:rPr>
              <w:t>zapisywana na depozycie prosumenckim, a ceną oferowaną przez spółki obrotu za pobraną</w:t>
            </w:r>
            <w:r>
              <w:rPr>
                <w:rFonts w:ascii="Times New Roman" w:hAnsi="Times New Roman"/>
                <w:color w:val="000000"/>
              </w:rPr>
              <w:t xml:space="preserve"> </w:t>
            </w:r>
            <w:r w:rsidRPr="00943A37">
              <w:rPr>
                <w:rFonts w:ascii="Times New Roman" w:hAnsi="Times New Roman"/>
                <w:color w:val="000000"/>
              </w:rPr>
              <w:t>przez prosumenta energię elektryczną z sieci elektroenergetycznej.</w:t>
            </w:r>
          </w:p>
        </w:tc>
      </w:tr>
      <w:tr w:rsidR="00143E56" w:rsidRPr="00A87B3A" w14:paraId="7A3EE866" w14:textId="77777777" w:rsidTr="002069ED">
        <w:trPr>
          <w:gridAfter w:val="1"/>
          <w:wAfter w:w="12" w:type="dxa"/>
          <w:trHeight w:val="342"/>
        </w:trPr>
        <w:tc>
          <w:tcPr>
            <w:tcW w:w="11173" w:type="dxa"/>
            <w:gridSpan w:val="24"/>
            <w:shd w:val="clear" w:color="auto" w:fill="99CCFF"/>
            <w:vAlign w:val="center"/>
          </w:tcPr>
          <w:p w14:paraId="3204B921" w14:textId="77777777" w:rsidR="00143E56" w:rsidRPr="00A87B3A" w:rsidRDefault="00143E56" w:rsidP="00143E56">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color w:val="000000"/>
              </w:rPr>
              <w:lastRenderedPageBreak/>
              <w:t xml:space="preserve"> Zmiana obciążeń regulacyjnych (w tym obowiązków informacyjnych) wynikających z projektu</w:t>
            </w:r>
          </w:p>
        </w:tc>
      </w:tr>
      <w:tr w:rsidR="00143E56" w:rsidRPr="00A87B3A" w14:paraId="2969DEF9" w14:textId="77777777" w:rsidTr="002069ED">
        <w:trPr>
          <w:gridAfter w:val="1"/>
          <w:wAfter w:w="12" w:type="dxa"/>
          <w:trHeight w:val="151"/>
        </w:trPr>
        <w:tc>
          <w:tcPr>
            <w:tcW w:w="11173" w:type="dxa"/>
            <w:gridSpan w:val="24"/>
            <w:shd w:val="clear" w:color="auto" w:fill="FFFFFF"/>
          </w:tcPr>
          <w:p w14:paraId="5A6680D9"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nie dotyczy</w:t>
            </w:r>
          </w:p>
        </w:tc>
      </w:tr>
      <w:tr w:rsidR="00143E56" w:rsidRPr="00A87B3A" w14:paraId="1A6675DE" w14:textId="77777777" w:rsidTr="002069ED">
        <w:trPr>
          <w:gridAfter w:val="1"/>
          <w:wAfter w:w="12" w:type="dxa"/>
          <w:trHeight w:val="760"/>
        </w:trPr>
        <w:tc>
          <w:tcPr>
            <w:tcW w:w="4849" w:type="dxa"/>
            <w:gridSpan w:val="8"/>
            <w:shd w:val="clear" w:color="auto" w:fill="FFFFFF"/>
          </w:tcPr>
          <w:p w14:paraId="5D9BBDA3" w14:textId="77777777"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spacing w:val="-2"/>
              </w:rPr>
              <w:t xml:space="preserve">Wprowadzane są obciążenia poza bezwzględnie wymaganymi przez UE </w:t>
            </w:r>
            <w:r w:rsidRPr="00A87B3A">
              <w:rPr>
                <w:rFonts w:ascii="Times New Roman" w:hAnsi="Times New Roman"/>
                <w:color w:val="000000"/>
              </w:rPr>
              <w:t>(szczegóły w odwróconej tabeli zgodności).</w:t>
            </w:r>
          </w:p>
        </w:tc>
        <w:tc>
          <w:tcPr>
            <w:tcW w:w="6324" w:type="dxa"/>
            <w:gridSpan w:val="16"/>
            <w:shd w:val="clear" w:color="auto" w:fill="FFFFFF"/>
          </w:tcPr>
          <w:p w14:paraId="3AC7057C"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tak</w:t>
            </w:r>
          </w:p>
          <w:p w14:paraId="002A35C6"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6E5DAA98" w14:textId="48C5E867" w:rsidR="00143E56" w:rsidRPr="00A87B3A" w:rsidRDefault="00143E56" w:rsidP="00143E5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nie dotyczy</w:t>
            </w:r>
          </w:p>
        </w:tc>
      </w:tr>
      <w:tr w:rsidR="00143E56" w:rsidRPr="00A87B3A" w14:paraId="39DA68D6" w14:textId="77777777" w:rsidTr="002069ED">
        <w:trPr>
          <w:gridAfter w:val="1"/>
          <w:wAfter w:w="12" w:type="dxa"/>
          <w:trHeight w:val="1125"/>
        </w:trPr>
        <w:tc>
          <w:tcPr>
            <w:tcW w:w="4849" w:type="dxa"/>
            <w:gridSpan w:val="8"/>
            <w:shd w:val="clear" w:color="auto" w:fill="FFFFFF"/>
          </w:tcPr>
          <w:p w14:paraId="67C4960B" w14:textId="10CC8B53"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 xml:space="preserve">zmniejszenie liczby dokumentów </w:t>
            </w:r>
          </w:p>
          <w:p w14:paraId="7BBD2060" w14:textId="3F004D96"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zmniejszenie liczby procedur</w:t>
            </w:r>
          </w:p>
          <w:p w14:paraId="218FF0CC" w14:textId="3AE5339A"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skrócenie czasu na załatwienie sprawy</w:t>
            </w:r>
          </w:p>
          <w:p w14:paraId="2A158792" w14:textId="77777777" w:rsidR="00143E56" w:rsidRPr="00A87B3A" w:rsidRDefault="00143E56" w:rsidP="00143E56">
            <w:pPr>
              <w:spacing w:line="240" w:lineRule="auto"/>
              <w:rPr>
                <w:rFonts w:ascii="Times New Roman" w:hAnsi="Times New Roman"/>
                <w:b/>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inne:</w:t>
            </w:r>
            <w:r w:rsidRPr="00A87B3A">
              <w:rPr>
                <w:rFonts w:ascii="Times New Roman" w:hAnsi="Times New Roman"/>
                <w:color w:val="000000"/>
              </w:rPr>
              <w:t xml:space="preserv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c>
          <w:tcPr>
            <w:tcW w:w="6324" w:type="dxa"/>
            <w:gridSpan w:val="16"/>
            <w:shd w:val="clear" w:color="auto" w:fill="FFFFFF"/>
          </w:tcPr>
          <w:p w14:paraId="16FEAE21" w14:textId="77777777"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zwiększenie liczby dokumentów</w:t>
            </w:r>
          </w:p>
          <w:p w14:paraId="436AE368" w14:textId="77777777"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zwiększenie liczby procedur</w:t>
            </w:r>
          </w:p>
          <w:p w14:paraId="76A2E831" w14:textId="77777777"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wydłużenie czasu na załatwienie sprawy</w:t>
            </w:r>
          </w:p>
          <w:p w14:paraId="7766B27D" w14:textId="52D26804"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inne:</w:t>
            </w:r>
            <w:r w:rsidRPr="00A87B3A">
              <w:rPr>
                <w:rFonts w:ascii="Times New Roman" w:hAnsi="Times New Roman"/>
                <w:color w:val="000000"/>
              </w:rPr>
              <w:t xml:space="preserv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r>
      <w:tr w:rsidR="00143E56" w:rsidRPr="00A87B3A" w14:paraId="68905108" w14:textId="77777777" w:rsidTr="002069ED">
        <w:trPr>
          <w:gridAfter w:val="1"/>
          <w:wAfter w:w="12" w:type="dxa"/>
          <w:trHeight w:val="870"/>
        </w:trPr>
        <w:tc>
          <w:tcPr>
            <w:tcW w:w="4849" w:type="dxa"/>
            <w:gridSpan w:val="8"/>
            <w:shd w:val="clear" w:color="auto" w:fill="FFFFFF"/>
          </w:tcPr>
          <w:p w14:paraId="0AF4A44D"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spacing w:val="-2"/>
              </w:rPr>
              <w:t xml:space="preserve">Wprowadzane obciążenia są przystosowane do ich elektronizacji. </w:t>
            </w:r>
          </w:p>
        </w:tc>
        <w:tc>
          <w:tcPr>
            <w:tcW w:w="6324" w:type="dxa"/>
            <w:gridSpan w:val="16"/>
            <w:shd w:val="clear" w:color="auto" w:fill="FFFFFF"/>
          </w:tcPr>
          <w:p w14:paraId="664FC72E" w14:textId="6B7183EB" w:rsidR="00143E56" w:rsidRPr="00A87B3A" w:rsidRDefault="00143E56" w:rsidP="00143E5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tak</w:t>
            </w:r>
          </w:p>
          <w:p w14:paraId="1D992C2B"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73503F10" w14:textId="6CED3884"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 dotyczy</w:t>
            </w:r>
          </w:p>
        </w:tc>
      </w:tr>
      <w:tr w:rsidR="00143E56" w:rsidRPr="00A87B3A" w14:paraId="3ECA3FFA" w14:textId="77777777" w:rsidTr="002069ED">
        <w:trPr>
          <w:gridAfter w:val="1"/>
          <w:wAfter w:w="12" w:type="dxa"/>
          <w:trHeight w:val="630"/>
        </w:trPr>
        <w:tc>
          <w:tcPr>
            <w:tcW w:w="11173" w:type="dxa"/>
            <w:gridSpan w:val="24"/>
            <w:shd w:val="clear" w:color="auto" w:fill="FFFFFF"/>
          </w:tcPr>
          <w:p w14:paraId="6D02C425" w14:textId="1D3AE985" w:rsidR="00143E56" w:rsidRPr="00384004" w:rsidRDefault="00143E56" w:rsidP="00143E56">
            <w:pPr>
              <w:spacing w:before="120" w:after="120" w:line="240" w:lineRule="auto"/>
              <w:jc w:val="both"/>
              <w:rPr>
                <w:rFonts w:ascii="Times New Roman" w:hAnsi="Times New Roman"/>
                <w:color w:val="000000"/>
                <w:spacing w:val="-2"/>
              </w:rPr>
            </w:pPr>
            <w:r w:rsidRPr="00384004">
              <w:rPr>
                <w:rFonts w:ascii="Times New Roman" w:hAnsi="Times New Roman"/>
                <w:color w:val="000000"/>
                <w:spacing w:val="-2"/>
              </w:rPr>
              <w:t>Z uwagi na wprowadzenie warunkowości w CEEAG, na podstawie których wprowadzane są zmiany do projektu, podmioty korzystające ze wsparcia będą dodatkowo przedkładać dokumenty potwierdzające spełnienie wymogów.</w:t>
            </w:r>
          </w:p>
          <w:p w14:paraId="15462370" w14:textId="7026A285" w:rsidR="00143E56" w:rsidRPr="00A87B3A" w:rsidRDefault="00143E56" w:rsidP="00143E56">
            <w:pPr>
              <w:spacing w:before="120" w:after="120" w:line="240" w:lineRule="auto"/>
              <w:jc w:val="both"/>
              <w:rPr>
                <w:rFonts w:ascii="Times New Roman" w:hAnsi="Times New Roman"/>
                <w:color w:val="000000"/>
              </w:rPr>
            </w:pPr>
            <w:r w:rsidRPr="00384004">
              <w:rPr>
                <w:rFonts w:ascii="Times New Roman" w:hAnsi="Times New Roman"/>
                <w:color w:val="000000"/>
                <w:spacing w:val="-2"/>
              </w:rPr>
              <w:t>Projekt ma za zadanie dokonać usprawnień w procesie uzyskania decyzji administracyjnych w określonym obszarze OZE. Zaproponowane zmiany pozwolą na skrócenie etapu administracyjnego nawet o 311 dni.</w:t>
            </w:r>
            <w:r>
              <w:rPr>
                <w:rFonts w:ascii="Times New Roman" w:hAnsi="Times New Roman"/>
                <w:color w:val="000000"/>
              </w:rPr>
              <w:t xml:space="preserve"> </w:t>
            </w:r>
          </w:p>
        </w:tc>
      </w:tr>
      <w:tr w:rsidR="00143E56" w:rsidRPr="00A87B3A" w14:paraId="11BB7628" w14:textId="77777777" w:rsidTr="002069ED">
        <w:trPr>
          <w:gridAfter w:val="1"/>
          <w:wAfter w:w="12" w:type="dxa"/>
          <w:trHeight w:val="142"/>
        </w:trPr>
        <w:tc>
          <w:tcPr>
            <w:tcW w:w="11173" w:type="dxa"/>
            <w:gridSpan w:val="24"/>
            <w:shd w:val="clear" w:color="auto" w:fill="99CCFF"/>
          </w:tcPr>
          <w:p w14:paraId="70052DD0" w14:textId="77777777" w:rsidR="00143E56" w:rsidRPr="00A87B3A" w:rsidRDefault="00143E56" w:rsidP="00143E56">
            <w:pPr>
              <w:numPr>
                <w:ilvl w:val="0"/>
                <w:numId w:val="1"/>
              </w:numPr>
              <w:spacing w:line="240" w:lineRule="auto"/>
              <w:jc w:val="both"/>
              <w:rPr>
                <w:rFonts w:ascii="Times New Roman" w:hAnsi="Times New Roman"/>
                <w:b/>
                <w:color w:val="000000"/>
              </w:rPr>
            </w:pPr>
            <w:r w:rsidRPr="00A87B3A">
              <w:rPr>
                <w:rFonts w:ascii="Times New Roman" w:hAnsi="Times New Roman"/>
                <w:b/>
                <w:color w:val="000000"/>
              </w:rPr>
              <w:t xml:space="preserve">Wpływ na rynek pracy </w:t>
            </w:r>
          </w:p>
        </w:tc>
      </w:tr>
      <w:tr w:rsidR="00143E56" w:rsidRPr="00A87B3A" w14:paraId="2C07E145" w14:textId="77777777" w:rsidTr="002069ED">
        <w:trPr>
          <w:gridAfter w:val="1"/>
          <w:wAfter w:w="12" w:type="dxa"/>
          <w:trHeight w:val="142"/>
        </w:trPr>
        <w:tc>
          <w:tcPr>
            <w:tcW w:w="11173" w:type="dxa"/>
            <w:gridSpan w:val="24"/>
            <w:shd w:val="clear" w:color="auto" w:fill="auto"/>
          </w:tcPr>
          <w:p w14:paraId="58C8D7B3" w14:textId="25CDE3D9" w:rsidR="00143E56" w:rsidRPr="00A87B3A" w:rsidRDefault="00143E56" w:rsidP="00143E56">
            <w:pPr>
              <w:tabs>
                <w:tab w:val="left" w:pos="1739"/>
              </w:tabs>
              <w:spacing w:before="120" w:after="120" w:line="240" w:lineRule="auto"/>
              <w:jc w:val="both"/>
              <w:rPr>
                <w:rFonts w:ascii="Times New Roman" w:hAnsi="Times New Roman"/>
                <w:color w:val="000000"/>
              </w:rPr>
            </w:pPr>
            <w:r w:rsidRPr="00703F4D">
              <w:rPr>
                <w:rFonts w:ascii="Times New Roman" w:hAnsi="Times New Roman"/>
                <w:color w:val="000000"/>
              </w:rPr>
              <w:t>Projekt nie będzie miał bezpośredniego wpływu na rynek pracy, niemniej jednak zaproponowane rozwiązania mogą mieć pośredni wpływ na utrzymanie miejsc pracy lub wzrost zatrudnienia wynikający z rozwoju odnawianych źródeł energii.</w:t>
            </w:r>
          </w:p>
        </w:tc>
      </w:tr>
      <w:tr w:rsidR="00143E56" w:rsidRPr="00A87B3A" w14:paraId="225F991E" w14:textId="77777777" w:rsidTr="002069ED">
        <w:trPr>
          <w:gridAfter w:val="1"/>
          <w:wAfter w:w="12" w:type="dxa"/>
          <w:trHeight w:val="142"/>
        </w:trPr>
        <w:tc>
          <w:tcPr>
            <w:tcW w:w="11173" w:type="dxa"/>
            <w:gridSpan w:val="24"/>
            <w:shd w:val="clear" w:color="auto" w:fill="99CCFF"/>
          </w:tcPr>
          <w:p w14:paraId="4559D57B" w14:textId="77777777" w:rsidR="00143E56" w:rsidRPr="00A87B3A" w:rsidRDefault="00143E56" w:rsidP="00143E56">
            <w:pPr>
              <w:numPr>
                <w:ilvl w:val="0"/>
                <w:numId w:val="1"/>
              </w:numPr>
              <w:spacing w:line="240" w:lineRule="auto"/>
              <w:jc w:val="both"/>
              <w:rPr>
                <w:rFonts w:ascii="Times New Roman" w:hAnsi="Times New Roman"/>
                <w:b/>
                <w:color w:val="000000"/>
              </w:rPr>
            </w:pPr>
            <w:r w:rsidRPr="00A87B3A">
              <w:rPr>
                <w:rFonts w:ascii="Times New Roman" w:hAnsi="Times New Roman"/>
                <w:b/>
                <w:color w:val="000000"/>
              </w:rPr>
              <w:t>Wpływ na pozostałe obszary</w:t>
            </w:r>
          </w:p>
        </w:tc>
      </w:tr>
      <w:tr w:rsidR="00143E56" w:rsidRPr="00A87B3A" w14:paraId="67EB953C" w14:textId="77777777" w:rsidTr="002069ED">
        <w:trPr>
          <w:gridAfter w:val="1"/>
          <w:wAfter w:w="12" w:type="dxa"/>
          <w:trHeight w:val="1031"/>
        </w:trPr>
        <w:tc>
          <w:tcPr>
            <w:tcW w:w="3432" w:type="dxa"/>
            <w:gridSpan w:val="5"/>
            <w:shd w:val="clear" w:color="auto" w:fill="FFFFFF"/>
          </w:tcPr>
          <w:p w14:paraId="35D5FF08" w14:textId="115E612B" w:rsidR="00143E56" w:rsidRPr="00A87B3A" w:rsidRDefault="00143E56" w:rsidP="00143E56">
            <w:pPr>
              <w:spacing w:line="240" w:lineRule="auto"/>
              <w:rPr>
                <w:rFonts w:ascii="Times New Roman" w:hAnsi="Times New Roman"/>
                <w:color w:val="000000"/>
                <w:spacing w:val="-2"/>
              </w:rPr>
            </w:pPr>
            <w:r>
              <w:rPr>
                <w:rFonts w:ascii="Times New Roman" w:hAnsi="Times New Roman"/>
                <w:color w:val="000000"/>
              </w:rPr>
              <w:lastRenderedPageBreak/>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środowisko naturalne</w:t>
            </w:r>
          </w:p>
          <w:p w14:paraId="6DA59ECF" w14:textId="65EE73C0" w:rsidR="00143E56"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sytuacja i rozwój regionalny</w:t>
            </w:r>
          </w:p>
          <w:p w14:paraId="05CA614A" w14:textId="04B10212"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Pr>
                <w:rFonts w:ascii="Times New Roman" w:hAnsi="Times New Roman"/>
                <w:color w:val="000000"/>
                <w:spacing w:val="-2"/>
              </w:rPr>
              <w:t>sądy powszechne, administracyjne lub wojskowe</w:t>
            </w:r>
          </w:p>
        </w:tc>
        <w:tc>
          <w:tcPr>
            <w:tcW w:w="3800" w:type="dxa"/>
            <w:gridSpan w:val="10"/>
            <w:shd w:val="clear" w:color="auto" w:fill="FFFFFF"/>
          </w:tcPr>
          <w:p w14:paraId="50C51481" w14:textId="77777777"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demografia</w:t>
            </w:r>
          </w:p>
          <w:p w14:paraId="6EFF24BA" w14:textId="77777777" w:rsidR="00143E56"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mienie państwowe</w:t>
            </w:r>
          </w:p>
          <w:p w14:paraId="33B0813D" w14:textId="778883C8"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 xml:space="preserve">inne: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r>
              <w:rPr>
                <w:rFonts w:ascii="Times New Roman" w:hAnsi="Times New Roman"/>
                <w:color w:val="000000"/>
              </w:rPr>
              <w:t>odnawialne źródła energii</w:t>
            </w:r>
          </w:p>
        </w:tc>
        <w:tc>
          <w:tcPr>
            <w:tcW w:w="3941" w:type="dxa"/>
            <w:gridSpan w:val="9"/>
            <w:shd w:val="clear" w:color="auto" w:fill="FFFFFF"/>
          </w:tcPr>
          <w:p w14:paraId="59B5BEFD" w14:textId="77777777" w:rsidR="00143E56" w:rsidRPr="00A87B3A" w:rsidRDefault="00143E56" w:rsidP="00143E56">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informatyzacja</w:t>
            </w:r>
          </w:p>
          <w:p w14:paraId="2C6CE074"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zdrowie</w:t>
            </w:r>
          </w:p>
        </w:tc>
      </w:tr>
      <w:tr w:rsidR="00143E56" w:rsidRPr="00A87B3A" w14:paraId="08ACA5DC" w14:textId="77777777" w:rsidTr="002069ED">
        <w:trPr>
          <w:gridAfter w:val="1"/>
          <w:wAfter w:w="12" w:type="dxa"/>
          <w:trHeight w:val="576"/>
        </w:trPr>
        <w:tc>
          <w:tcPr>
            <w:tcW w:w="2241" w:type="dxa"/>
            <w:gridSpan w:val="2"/>
            <w:shd w:val="clear" w:color="auto" w:fill="FFFFFF"/>
            <w:vAlign w:val="center"/>
          </w:tcPr>
          <w:p w14:paraId="53C9097E" w14:textId="77777777" w:rsidR="00143E56" w:rsidRPr="00A87B3A" w:rsidRDefault="00143E56" w:rsidP="00143E56">
            <w:pPr>
              <w:spacing w:line="240" w:lineRule="auto"/>
              <w:rPr>
                <w:rFonts w:ascii="Times New Roman" w:hAnsi="Times New Roman"/>
                <w:color w:val="000000"/>
              </w:rPr>
            </w:pPr>
            <w:r w:rsidRPr="00A87B3A">
              <w:rPr>
                <w:rFonts w:ascii="Times New Roman" w:hAnsi="Times New Roman"/>
                <w:color w:val="000000"/>
              </w:rPr>
              <w:t>Omówienie wpływu</w:t>
            </w:r>
          </w:p>
        </w:tc>
        <w:tc>
          <w:tcPr>
            <w:tcW w:w="8932" w:type="dxa"/>
            <w:gridSpan w:val="22"/>
            <w:shd w:val="clear" w:color="auto" w:fill="FFFFFF"/>
            <w:vAlign w:val="center"/>
          </w:tcPr>
          <w:p w14:paraId="64AE2ACB" w14:textId="73805980" w:rsidR="00143E56" w:rsidRPr="00A87B3A" w:rsidRDefault="00143E56" w:rsidP="00143E56">
            <w:pPr>
              <w:tabs>
                <w:tab w:val="left" w:pos="1739"/>
              </w:tabs>
              <w:spacing w:before="120" w:after="120" w:line="240" w:lineRule="auto"/>
              <w:jc w:val="both"/>
              <w:rPr>
                <w:rFonts w:ascii="Times New Roman" w:hAnsi="Times New Roman"/>
                <w:color w:val="000000"/>
                <w:spacing w:val="-2"/>
              </w:rPr>
            </w:pPr>
            <w:r w:rsidRPr="00384004">
              <w:rPr>
                <w:rFonts w:ascii="Times New Roman" w:hAnsi="Times New Roman"/>
                <w:color w:val="000000"/>
                <w:spacing w:val="-2"/>
              </w:rPr>
              <w:t>Pojawienie się większej liczby instalacji fotowoltaicznych o stosunkowo dużej mocy, może regionalnie negatywnie wpływać na awifaunę w wyniku stosowania w niektórych ogniwach warstw refleksyjnych. Jednocześnie moduły fotowoltaiczne po zakończeniu życia mogą podlegać skutecznemu recyklingowi, zatem nie będą stanowić problemu odpadowego – odzyskuje się z modułów szkło, aluminium oraz wafle krzemowe. Szkło i wafle krzemowe wykorzystywane są do produkcji pokryw do studzienek kanalizacyjnych oraz innych elementów inżynierii drogowej i budowlanej. Aluminium może być przekazywane do huty.</w:t>
            </w:r>
          </w:p>
        </w:tc>
      </w:tr>
      <w:tr w:rsidR="00143E56" w:rsidRPr="00A87B3A" w14:paraId="236DDB7A" w14:textId="77777777" w:rsidTr="002069ED">
        <w:trPr>
          <w:gridAfter w:val="1"/>
          <w:wAfter w:w="12" w:type="dxa"/>
          <w:trHeight w:val="142"/>
        </w:trPr>
        <w:tc>
          <w:tcPr>
            <w:tcW w:w="11173" w:type="dxa"/>
            <w:gridSpan w:val="24"/>
            <w:shd w:val="clear" w:color="auto" w:fill="99CCFF"/>
          </w:tcPr>
          <w:p w14:paraId="6263A2EA" w14:textId="77777777" w:rsidR="00143E56" w:rsidRPr="00A87B3A" w:rsidRDefault="00143E56" w:rsidP="00143E56">
            <w:pPr>
              <w:numPr>
                <w:ilvl w:val="0"/>
                <w:numId w:val="1"/>
              </w:numPr>
              <w:spacing w:line="240" w:lineRule="auto"/>
              <w:ind w:left="318" w:hanging="284"/>
              <w:jc w:val="both"/>
              <w:rPr>
                <w:rFonts w:ascii="Times New Roman" w:hAnsi="Times New Roman"/>
                <w:b/>
              </w:rPr>
            </w:pPr>
            <w:r w:rsidRPr="00A87B3A">
              <w:rPr>
                <w:rFonts w:ascii="Times New Roman" w:hAnsi="Times New Roman"/>
                <w:b/>
                <w:spacing w:val="-2"/>
              </w:rPr>
              <w:t>Planowane wykonanie przepisów aktu prawnego</w:t>
            </w:r>
          </w:p>
        </w:tc>
      </w:tr>
      <w:tr w:rsidR="00143E56" w:rsidRPr="00A87B3A" w14:paraId="34B34016" w14:textId="77777777" w:rsidTr="002069ED">
        <w:trPr>
          <w:gridAfter w:val="1"/>
          <w:wAfter w:w="12" w:type="dxa"/>
          <w:trHeight w:val="142"/>
        </w:trPr>
        <w:tc>
          <w:tcPr>
            <w:tcW w:w="11173" w:type="dxa"/>
            <w:gridSpan w:val="24"/>
            <w:shd w:val="clear" w:color="auto" w:fill="FFFFFF"/>
          </w:tcPr>
          <w:p w14:paraId="13AB7BA6" w14:textId="4AD7A041" w:rsidR="00143E56" w:rsidRPr="00444616" w:rsidRDefault="00143E56" w:rsidP="00143E56">
            <w:pPr>
              <w:spacing w:before="120" w:after="120" w:line="240" w:lineRule="auto"/>
              <w:jc w:val="both"/>
              <w:rPr>
                <w:rFonts w:ascii="Times New Roman" w:hAnsi="Times New Roman"/>
                <w:spacing w:val="-2"/>
              </w:rPr>
            </w:pPr>
            <w:r w:rsidRPr="00B00A95">
              <w:rPr>
                <w:rFonts w:ascii="Times New Roman" w:eastAsia="Times New Roman" w:hAnsi="Times New Roman"/>
                <w:lang w:eastAsia="pl-PL"/>
              </w:rPr>
              <w:t xml:space="preserve"> </w:t>
            </w:r>
            <w:r w:rsidRPr="00B00A95">
              <w:rPr>
                <w:rFonts w:ascii="Times New Roman" w:hAnsi="Times New Roman"/>
                <w:spacing w:val="-2"/>
              </w:rPr>
              <w:t>Po upływie 14 dni od dnia ogłoszenia</w:t>
            </w:r>
            <w:r w:rsidR="00577A02">
              <w:rPr>
                <w:rFonts w:ascii="Times New Roman" w:hAnsi="Times New Roman"/>
                <w:spacing w:val="-2"/>
              </w:rPr>
              <w:t xml:space="preserve"> </w:t>
            </w:r>
            <w:r w:rsidR="00577A02" w:rsidRPr="00577A02">
              <w:rPr>
                <w:rFonts w:ascii="Times New Roman" w:hAnsi="Times New Roman"/>
                <w:spacing w:val="-2"/>
              </w:rPr>
              <w:t xml:space="preserve">z wyjątkiem przepisów, które powinny wejść w życie z uwzględnieniem odpowiedniego, dłuższego </w:t>
            </w:r>
            <w:r w:rsidR="00577A02" w:rsidRPr="00577A02">
              <w:rPr>
                <w:rFonts w:ascii="Times New Roman" w:hAnsi="Times New Roman"/>
                <w:i/>
                <w:iCs/>
                <w:spacing w:val="-2"/>
              </w:rPr>
              <w:t>vacatio legis</w:t>
            </w:r>
            <w:r w:rsidR="00577A02">
              <w:rPr>
                <w:rFonts w:ascii="Times New Roman" w:hAnsi="Times New Roman"/>
                <w:i/>
                <w:iCs/>
                <w:spacing w:val="-2"/>
              </w:rPr>
              <w:t>.</w:t>
            </w:r>
          </w:p>
        </w:tc>
      </w:tr>
      <w:tr w:rsidR="00143E56" w:rsidRPr="00A87B3A" w14:paraId="4832BFD7" w14:textId="77777777" w:rsidTr="002069ED">
        <w:trPr>
          <w:gridAfter w:val="1"/>
          <w:wAfter w:w="12" w:type="dxa"/>
          <w:trHeight w:val="142"/>
        </w:trPr>
        <w:tc>
          <w:tcPr>
            <w:tcW w:w="11173" w:type="dxa"/>
            <w:gridSpan w:val="24"/>
            <w:shd w:val="clear" w:color="auto" w:fill="99CCFF"/>
          </w:tcPr>
          <w:p w14:paraId="5BAE48FC" w14:textId="77777777" w:rsidR="00143E56" w:rsidRPr="00A87B3A" w:rsidRDefault="00143E56" w:rsidP="00143E56">
            <w:pPr>
              <w:numPr>
                <w:ilvl w:val="0"/>
                <w:numId w:val="1"/>
              </w:numPr>
              <w:spacing w:line="240" w:lineRule="auto"/>
              <w:ind w:left="318" w:hanging="284"/>
              <w:jc w:val="both"/>
              <w:rPr>
                <w:rFonts w:ascii="Times New Roman" w:hAnsi="Times New Roman"/>
                <w:b/>
                <w:color w:val="000000"/>
              </w:rPr>
            </w:pPr>
            <w:r w:rsidRPr="00A87B3A">
              <w:rPr>
                <w:rFonts w:ascii="Times New Roman" w:hAnsi="Times New Roman"/>
                <w:b/>
                <w:color w:val="000000"/>
              </w:rPr>
              <w:t xml:space="preserve"> </w:t>
            </w:r>
            <w:r w:rsidRPr="00A87B3A">
              <w:rPr>
                <w:rFonts w:ascii="Times New Roman" w:hAnsi="Times New Roman"/>
                <w:b/>
                <w:spacing w:val="-2"/>
              </w:rPr>
              <w:t>W jaki sposób i kiedy nastąpi ewaluacja efektów projektu oraz jakie mierniki zostaną zastosowane?</w:t>
            </w:r>
          </w:p>
        </w:tc>
      </w:tr>
      <w:tr w:rsidR="00143E56" w:rsidRPr="00A87B3A" w14:paraId="5598337C" w14:textId="77777777" w:rsidTr="002069ED">
        <w:trPr>
          <w:gridAfter w:val="1"/>
          <w:wAfter w:w="12" w:type="dxa"/>
          <w:trHeight w:val="142"/>
        </w:trPr>
        <w:tc>
          <w:tcPr>
            <w:tcW w:w="11173" w:type="dxa"/>
            <w:gridSpan w:val="24"/>
            <w:shd w:val="clear" w:color="auto" w:fill="FFFFFF"/>
          </w:tcPr>
          <w:p w14:paraId="1DBE818C" w14:textId="1FEE2D58" w:rsidR="00143E56" w:rsidRDefault="00143E56" w:rsidP="00143E56">
            <w:pPr>
              <w:spacing w:before="120" w:after="120" w:line="240" w:lineRule="auto"/>
              <w:jc w:val="both"/>
              <w:rPr>
                <w:rFonts w:ascii="Times New Roman" w:hAnsi="Times New Roman"/>
                <w:color w:val="000000"/>
                <w:spacing w:val="-2"/>
              </w:rPr>
            </w:pPr>
            <w:r w:rsidRPr="008E2C73">
              <w:rPr>
                <w:rFonts w:ascii="Times New Roman" w:hAnsi="Times New Roman"/>
                <w:color w:val="000000"/>
                <w:spacing w:val="-2"/>
              </w:rPr>
              <w:t xml:space="preserve">Biorąc pod uwagę, iż wspólnym celem </w:t>
            </w:r>
            <w:r>
              <w:rPr>
                <w:rFonts w:ascii="Times New Roman" w:hAnsi="Times New Roman"/>
                <w:color w:val="000000"/>
                <w:spacing w:val="-2"/>
              </w:rPr>
              <w:t>projektowanych</w:t>
            </w:r>
            <w:r w:rsidRPr="008E2C73">
              <w:rPr>
                <w:rFonts w:ascii="Times New Roman" w:hAnsi="Times New Roman"/>
                <w:color w:val="000000"/>
                <w:spacing w:val="-2"/>
              </w:rPr>
              <w:t xml:space="preserve"> zmian jest zwiększenie udziału źródeł odnawialnych w krajowym zużyciu energii brutto oraz szeroko pojęty rozwój sektora energii zgodny z ambicjami redukcji emisyjności gospodarki i zobowiązaniami międzynarodowymi, ocena efekt</w:t>
            </w:r>
            <w:r w:rsidRPr="008E2C73">
              <w:rPr>
                <w:rFonts w:ascii="Times New Roman" w:hAnsi="Times New Roman" w:hint="eastAsia"/>
                <w:color w:val="000000"/>
                <w:spacing w:val="-2"/>
              </w:rPr>
              <w:t>ó</w:t>
            </w:r>
            <w:r w:rsidRPr="008E2C73">
              <w:rPr>
                <w:rFonts w:ascii="Times New Roman" w:hAnsi="Times New Roman"/>
                <w:color w:val="000000"/>
                <w:spacing w:val="-2"/>
              </w:rPr>
              <w:t>w b</w:t>
            </w:r>
            <w:r w:rsidRPr="008E2C73">
              <w:rPr>
                <w:rFonts w:ascii="Times New Roman" w:hAnsi="Times New Roman" w:hint="eastAsia"/>
                <w:color w:val="000000"/>
                <w:spacing w:val="-2"/>
              </w:rPr>
              <w:t>ę</w:t>
            </w:r>
            <w:r w:rsidRPr="008E2C73">
              <w:rPr>
                <w:rFonts w:ascii="Times New Roman" w:hAnsi="Times New Roman"/>
                <w:color w:val="000000"/>
                <w:spacing w:val="-2"/>
              </w:rPr>
              <w:t>dzie dokonywana w spos</w:t>
            </w:r>
            <w:r w:rsidRPr="008E2C73">
              <w:rPr>
                <w:rFonts w:ascii="Times New Roman" w:hAnsi="Times New Roman" w:hint="eastAsia"/>
                <w:color w:val="000000"/>
                <w:spacing w:val="-2"/>
              </w:rPr>
              <w:t>ó</w:t>
            </w:r>
            <w:r w:rsidRPr="008E2C73">
              <w:rPr>
                <w:rFonts w:ascii="Times New Roman" w:hAnsi="Times New Roman"/>
                <w:color w:val="000000"/>
                <w:spacing w:val="-2"/>
              </w:rPr>
              <w:t>b og</w:t>
            </w:r>
            <w:r w:rsidRPr="008E2C73">
              <w:rPr>
                <w:rFonts w:ascii="Times New Roman" w:hAnsi="Times New Roman" w:hint="eastAsia"/>
                <w:color w:val="000000"/>
                <w:spacing w:val="-2"/>
              </w:rPr>
              <w:t>ó</w:t>
            </w:r>
            <w:r w:rsidRPr="008E2C73">
              <w:rPr>
                <w:rFonts w:ascii="Times New Roman" w:hAnsi="Times New Roman"/>
                <w:color w:val="000000"/>
                <w:spacing w:val="-2"/>
              </w:rPr>
              <w:t>lny i zagregowany w ramach procedur zintegrowanego krajowego sprawozdania z post</w:t>
            </w:r>
            <w:r w:rsidRPr="008E2C73">
              <w:rPr>
                <w:rFonts w:ascii="Times New Roman" w:hAnsi="Times New Roman" w:hint="eastAsia"/>
                <w:color w:val="000000"/>
                <w:spacing w:val="-2"/>
              </w:rPr>
              <w:t>ę</w:t>
            </w:r>
            <w:r w:rsidRPr="008E2C73">
              <w:rPr>
                <w:rFonts w:ascii="Times New Roman" w:hAnsi="Times New Roman"/>
                <w:color w:val="000000"/>
                <w:spacing w:val="-2"/>
              </w:rPr>
              <w:t>p</w:t>
            </w:r>
            <w:r w:rsidRPr="008E2C73">
              <w:rPr>
                <w:rFonts w:ascii="Times New Roman" w:hAnsi="Times New Roman" w:hint="eastAsia"/>
                <w:color w:val="000000"/>
                <w:spacing w:val="-2"/>
              </w:rPr>
              <w:t>ó</w:t>
            </w:r>
            <w:r w:rsidRPr="008E2C73">
              <w:rPr>
                <w:rFonts w:ascii="Times New Roman" w:hAnsi="Times New Roman"/>
                <w:color w:val="000000"/>
                <w:spacing w:val="-2"/>
              </w:rPr>
              <w:t>w w dziedzinie energii i klimatu.</w:t>
            </w:r>
          </w:p>
          <w:p w14:paraId="5C0C0E94" w14:textId="6F5C2C65" w:rsidR="00143E56" w:rsidRPr="00A87B3A" w:rsidRDefault="00143E56" w:rsidP="00143E56">
            <w:pPr>
              <w:spacing w:before="120" w:after="120" w:line="240" w:lineRule="auto"/>
              <w:jc w:val="both"/>
              <w:rPr>
                <w:rFonts w:ascii="Times New Roman" w:hAnsi="Times New Roman"/>
                <w:color w:val="000000"/>
                <w:spacing w:val="-2"/>
              </w:rPr>
            </w:pPr>
            <w:r w:rsidRPr="00DD627E">
              <w:rPr>
                <w:rFonts w:ascii="Times New Roman" w:hAnsi="Times New Roman"/>
                <w:color w:val="000000"/>
                <w:spacing w:val="-2"/>
              </w:rPr>
              <w:t>W przypadku zmian legislacyjnych mających na celu skrócenie procesów inwestycyjnych</w:t>
            </w:r>
            <w:r>
              <w:rPr>
                <w:rFonts w:ascii="Times New Roman" w:hAnsi="Times New Roman"/>
                <w:color w:val="000000"/>
                <w:spacing w:val="-2"/>
              </w:rPr>
              <w:t xml:space="preserve"> </w:t>
            </w:r>
            <w:r w:rsidRPr="00DD627E">
              <w:rPr>
                <w:rFonts w:ascii="Times New Roman" w:hAnsi="Times New Roman"/>
                <w:color w:val="000000"/>
                <w:spacing w:val="-2"/>
              </w:rPr>
              <w:t xml:space="preserve">związanych z OZE należy wskazać, iż </w:t>
            </w:r>
            <w:r w:rsidR="00127866">
              <w:rPr>
                <w:rFonts w:ascii="Times New Roman" w:hAnsi="Times New Roman"/>
                <w:color w:val="000000"/>
                <w:spacing w:val="-2"/>
              </w:rPr>
              <w:t>z</w:t>
            </w:r>
            <w:r w:rsidRPr="00DD627E">
              <w:rPr>
                <w:rFonts w:ascii="Times New Roman" w:hAnsi="Times New Roman"/>
                <w:color w:val="000000"/>
                <w:spacing w:val="-2"/>
              </w:rPr>
              <w:t>miana czasu trwania poszczególnych procedur administracyjnych jest</w:t>
            </w:r>
            <w:r>
              <w:rPr>
                <w:rFonts w:ascii="Times New Roman" w:hAnsi="Times New Roman"/>
                <w:color w:val="000000"/>
                <w:spacing w:val="-2"/>
              </w:rPr>
              <w:t xml:space="preserve"> </w:t>
            </w:r>
            <w:r w:rsidRPr="00DD627E">
              <w:rPr>
                <w:rFonts w:ascii="Times New Roman" w:hAnsi="Times New Roman"/>
                <w:color w:val="000000"/>
                <w:spacing w:val="-2"/>
              </w:rPr>
              <w:t>prawnie wiążąca dla prowadzących je organów, w związku z czym już sam ten fakt zapewnia stosowanie nowych, bardziej dogodnych dla inwestorów terminów, a co za tym</w:t>
            </w:r>
            <w:r>
              <w:rPr>
                <w:rFonts w:ascii="Times New Roman" w:hAnsi="Times New Roman"/>
                <w:color w:val="000000"/>
                <w:spacing w:val="-2"/>
              </w:rPr>
              <w:t xml:space="preserve"> </w:t>
            </w:r>
            <w:r w:rsidRPr="00DD627E">
              <w:rPr>
                <w:rFonts w:ascii="Times New Roman" w:hAnsi="Times New Roman"/>
                <w:color w:val="000000"/>
                <w:spacing w:val="-2"/>
              </w:rPr>
              <w:t xml:space="preserve">idzie efekt w postaci </w:t>
            </w:r>
            <w:r w:rsidR="00127866">
              <w:rPr>
                <w:rFonts w:ascii="Times New Roman" w:hAnsi="Times New Roman"/>
                <w:color w:val="000000"/>
                <w:spacing w:val="-2"/>
              </w:rPr>
              <w:t xml:space="preserve">sumarycznego </w:t>
            </w:r>
            <w:r w:rsidRPr="00DD627E">
              <w:rPr>
                <w:rFonts w:ascii="Times New Roman" w:hAnsi="Times New Roman"/>
                <w:color w:val="000000"/>
                <w:spacing w:val="-2"/>
              </w:rPr>
              <w:t>skrócenia procesów inwestycyjnych w OZE.</w:t>
            </w:r>
          </w:p>
        </w:tc>
      </w:tr>
      <w:tr w:rsidR="00143E56" w:rsidRPr="00A87B3A" w14:paraId="3E1502A6" w14:textId="77777777" w:rsidTr="002069ED">
        <w:trPr>
          <w:gridAfter w:val="1"/>
          <w:wAfter w:w="12" w:type="dxa"/>
          <w:trHeight w:val="142"/>
        </w:trPr>
        <w:tc>
          <w:tcPr>
            <w:tcW w:w="11173" w:type="dxa"/>
            <w:gridSpan w:val="24"/>
            <w:shd w:val="clear" w:color="auto" w:fill="99CCFF"/>
          </w:tcPr>
          <w:p w14:paraId="4AFBEF38" w14:textId="77777777" w:rsidR="00143E56" w:rsidRPr="00A87B3A" w:rsidRDefault="00143E56" w:rsidP="00143E56">
            <w:pPr>
              <w:numPr>
                <w:ilvl w:val="0"/>
                <w:numId w:val="1"/>
              </w:numPr>
              <w:spacing w:line="240" w:lineRule="auto"/>
              <w:ind w:left="318" w:hanging="284"/>
              <w:jc w:val="both"/>
              <w:rPr>
                <w:rFonts w:ascii="Times New Roman" w:hAnsi="Times New Roman"/>
                <w:b/>
                <w:color w:val="000000"/>
                <w:spacing w:val="-2"/>
              </w:rPr>
            </w:pPr>
            <w:r w:rsidRPr="00A87B3A">
              <w:rPr>
                <w:rFonts w:ascii="Times New Roman" w:hAnsi="Times New Roman"/>
                <w:b/>
                <w:color w:val="000000"/>
                <w:spacing w:val="-2"/>
              </w:rPr>
              <w:t xml:space="preserve">Załączniki </w:t>
            </w:r>
            <w:r w:rsidRPr="00A87B3A">
              <w:rPr>
                <w:rFonts w:ascii="Times New Roman" w:hAnsi="Times New Roman"/>
                <w:b/>
                <w:spacing w:val="-2"/>
              </w:rPr>
              <w:t>(istotne dokumenty źródłowe, badania, analizy itp.</w:t>
            </w:r>
            <w:r w:rsidRPr="00A87B3A">
              <w:rPr>
                <w:rFonts w:ascii="Times New Roman" w:hAnsi="Times New Roman"/>
                <w:b/>
                <w:color w:val="000000"/>
                <w:spacing w:val="-2"/>
              </w:rPr>
              <w:t xml:space="preserve">) </w:t>
            </w:r>
          </w:p>
        </w:tc>
      </w:tr>
      <w:tr w:rsidR="00143E56" w:rsidRPr="00A87B3A" w14:paraId="758947DE" w14:textId="77777777" w:rsidTr="002069ED">
        <w:trPr>
          <w:gridAfter w:val="1"/>
          <w:wAfter w:w="12" w:type="dxa"/>
          <w:trHeight w:val="142"/>
        </w:trPr>
        <w:tc>
          <w:tcPr>
            <w:tcW w:w="11173" w:type="dxa"/>
            <w:gridSpan w:val="24"/>
            <w:shd w:val="clear" w:color="auto" w:fill="FFFFFF"/>
          </w:tcPr>
          <w:p w14:paraId="0EEEADAC" w14:textId="624C2497" w:rsidR="00143E56" w:rsidRPr="00A87B3A" w:rsidRDefault="00143E56" w:rsidP="00143E56">
            <w:pPr>
              <w:spacing w:before="120" w:after="120" w:line="240" w:lineRule="auto"/>
              <w:jc w:val="both"/>
              <w:rPr>
                <w:rFonts w:ascii="Times New Roman" w:hAnsi="Times New Roman"/>
                <w:color w:val="000000"/>
                <w:spacing w:val="-2"/>
              </w:rPr>
            </w:pPr>
            <w:r>
              <w:rPr>
                <w:rFonts w:ascii="Times New Roman" w:hAnsi="Times New Roman"/>
                <w:color w:val="000000"/>
                <w:spacing w:val="-2"/>
              </w:rPr>
              <w:t>Brak.</w:t>
            </w:r>
          </w:p>
        </w:tc>
      </w:tr>
    </w:tbl>
    <w:p w14:paraId="45AC0404" w14:textId="3ECF10E0" w:rsidR="006176ED" w:rsidRPr="00A87B3A" w:rsidRDefault="006176ED" w:rsidP="00070A0C">
      <w:pPr>
        <w:pStyle w:val="Nagwek1"/>
        <w:spacing w:before="0" w:after="0"/>
        <w:rPr>
          <w:rFonts w:ascii="Times New Roman" w:hAnsi="Times New Roman"/>
        </w:rPr>
      </w:pPr>
    </w:p>
    <w:sectPr w:rsidR="006176ED" w:rsidRPr="00A87B3A" w:rsidSect="006F409C">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A6D3C" w14:textId="77777777" w:rsidR="004A0621" w:rsidRDefault="004A0621" w:rsidP="00044739">
      <w:pPr>
        <w:spacing w:line="240" w:lineRule="auto"/>
      </w:pPr>
      <w:r>
        <w:separator/>
      </w:r>
    </w:p>
  </w:endnote>
  <w:endnote w:type="continuationSeparator" w:id="0">
    <w:p w14:paraId="66DFEFEB" w14:textId="77777777" w:rsidR="004A0621" w:rsidRDefault="004A062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95522" w14:textId="77777777" w:rsidR="004A0621" w:rsidRDefault="004A0621" w:rsidP="00044739">
      <w:pPr>
        <w:spacing w:line="240" w:lineRule="auto"/>
      </w:pPr>
      <w:r>
        <w:separator/>
      </w:r>
    </w:p>
  </w:footnote>
  <w:footnote w:type="continuationSeparator" w:id="0">
    <w:p w14:paraId="0CBA88EB" w14:textId="77777777" w:rsidR="004A0621" w:rsidRDefault="004A0621"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76F9D"/>
    <w:multiLevelType w:val="hybridMultilevel"/>
    <w:tmpl w:val="73A02268"/>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582C"/>
    <w:multiLevelType w:val="hybridMultilevel"/>
    <w:tmpl w:val="C61EE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53665"/>
    <w:multiLevelType w:val="hybridMultilevel"/>
    <w:tmpl w:val="E5C2C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484E5C"/>
    <w:multiLevelType w:val="hybridMultilevel"/>
    <w:tmpl w:val="C6E03680"/>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D5E41"/>
    <w:multiLevelType w:val="hybridMultilevel"/>
    <w:tmpl w:val="8122557E"/>
    <w:lvl w:ilvl="0" w:tplc="2AC07A14">
      <w:start w:val="1"/>
      <w:numFmt w:val="decimal"/>
      <w:lvlText w:val="%1)"/>
      <w:lvlJc w:val="left"/>
      <w:pPr>
        <w:ind w:left="1020" w:hanging="360"/>
      </w:pPr>
    </w:lvl>
    <w:lvl w:ilvl="1" w:tplc="AE0485B4">
      <w:start w:val="1"/>
      <w:numFmt w:val="decimal"/>
      <w:lvlText w:val="%2)"/>
      <w:lvlJc w:val="left"/>
      <w:pPr>
        <w:ind w:left="1020" w:hanging="360"/>
      </w:pPr>
    </w:lvl>
    <w:lvl w:ilvl="2" w:tplc="CBC2912A">
      <w:start w:val="1"/>
      <w:numFmt w:val="decimal"/>
      <w:lvlText w:val="%3)"/>
      <w:lvlJc w:val="left"/>
      <w:pPr>
        <w:ind w:left="1020" w:hanging="360"/>
      </w:pPr>
    </w:lvl>
    <w:lvl w:ilvl="3" w:tplc="6A1C2E90">
      <w:start w:val="1"/>
      <w:numFmt w:val="decimal"/>
      <w:lvlText w:val="%4)"/>
      <w:lvlJc w:val="left"/>
      <w:pPr>
        <w:ind w:left="1020" w:hanging="360"/>
      </w:pPr>
    </w:lvl>
    <w:lvl w:ilvl="4" w:tplc="C69003F6">
      <w:start w:val="1"/>
      <w:numFmt w:val="decimal"/>
      <w:lvlText w:val="%5)"/>
      <w:lvlJc w:val="left"/>
      <w:pPr>
        <w:ind w:left="1020" w:hanging="360"/>
      </w:pPr>
    </w:lvl>
    <w:lvl w:ilvl="5" w:tplc="39EC7062">
      <w:start w:val="1"/>
      <w:numFmt w:val="decimal"/>
      <w:lvlText w:val="%6)"/>
      <w:lvlJc w:val="left"/>
      <w:pPr>
        <w:ind w:left="1020" w:hanging="360"/>
      </w:pPr>
    </w:lvl>
    <w:lvl w:ilvl="6" w:tplc="B890068C">
      <w:start w:val="1"/>
      <w:numFmt w:val="decimal"/>
      <w:lvlText w:val="%7)"/>
      <w:lvlJc w:val="left"/>
      <w:pPr>
        <w:ind w:left="1020" w:hanging="360"/>
      </w:pPr>
    </w:lvl>
    <w:lvl w:ilvl="7" w:tplc="6630A4F8">
      <w:start w:val="1"/>
      <w:numFmt w:val="decimal"/>
      <w:lvlText w:val="%8)"/>
      <w:lvlJc w:val="left"/>
      <w:pPr>
        <w:ind w:left="1020" w:hanging="360"/>
      </w:pPr>
    </w:lvl>
    <w:lvl w:ilvl="8" w:tplc="3756481C">
      <w:start w:val="1"/>
      <w:numFmt w:val="decimal"/>
      <w:lvlText w:val="%9)"/>
      <w:lvlJc w:val="left"/>
      <w:pPr>
        <w:ind w:left="1020" w:hanging="360"/>
      </w:pPr>
    </w:lvl>
  </w:abstractNum>
  <w:abstractNum w:abstractNumId="6" w15:restartNumberingAfterBreak="0">
    <w:nsid w:val="21A3210C"/>
    <w:multiLevelType w:val="hybridMultilevel"/>
    <w:tmpl w:val="E43C846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9433C"/>
    <w:multiLevelType w:val="hybridMultilevel"/>
    <w:tmpl w:val="3C64454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66041"/>
    <w:multiLevelType w:val="hybridMultilevel"/>
    <w:tmpl w:val="A42CC4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E11F53"/>
    <w:multiLevelType w:val="hybridMultilevel"/>
    <w:tmpl w:val="EE0CDC28"/>
    <w:lvl w:ilvl="0" w:tplc="AE186512">
      <w:start w:val="1"/>
      <w:numFmt w:val="decimal"/>
      <w:lvlText w:val="%1)"/>
      <w:lvlJc w:val="left"/>
      <w:pPr>
        <w:ind w:left="1020" w:hanging="360"/>
      </w:pPr>
    </w:lvl>
    <w:lvl w:ilvl="1" w:tplc="C7B88BEC">
      <w:start w:val="1"/>
      <w:numFmt w:val="decimal"/>
      <w:lvlText w:val="%2)"/>
      <w:lvlJc w:val="left"/>
      <w:pPr>
        <w:ind w:left="1020" w:hanging="360"/>
      </w:pPr>
    </w:lvl>
    <w:lvl w:ilvl="2" w:tplc="557612FE">
      <w:start w:val="1"/>
      <w:numFmt w:val="decimal"/>
      <w:lvlText w:val="%3)"/>
      <w:lvlJc w:val="left"/>
      <w:pPr>
        <w:ind w:left="1020" w:hanging="360"/>
      </w:pPr>
    </w:lvl>
    <w:lvl w:ilvl="3" w:tplc="E10644B8">
      <w:start w:val="1"/>
      <w:numFmt w:val="decimal"/>
      <w:lvlText w:val="%4)"/>
      <w:lvlJc w:val="left"/>
      <w:pPr>
        <w:ind w:left="1020" w:hanging="360"/>
      </w:pPr>
    </w:lvl>
    <w:lvl w:ilvl="4" w:tplc="A16081D6">
      <w:start w:val="1"/>
      <w:numFmt w:val="decimal"/>
      <w:lvlText w:val="%5)"/>
      <w:lvlJc w:val="left"/>
      <w:pPr>
        <w:ind w:left="1020" w:hanging="360"/>
      </w:pPr>
    </w:lvl>
    <w:lvl w:ilvl="5" w:tplc="679C3338">
      <w:start w:val="1"/>
      <w:numFmt w:val="decimal"/>
      <w:lvlText w:val="%6)"/>
      <w:lvlJc w:val="left"/>
      <w:pPr>
        <w:ind w:left="1020" w:hanging="360"/>
      </w:pPr>
    </w:lvl>
    <w:lvl w:ilvl="6" w:tplc="6612262E">
      <w:start w:val="1"/>
      <w:numFmt w:val="decimal"/>
      <w:lvlText w:val="%7)"/>
      <w:lvlJc w:val="left"/>
      <w:pPr>
        <w:ind w:left="1020" w:hanging="360"/>
      </w:pPr>
    </w:lvl>
    <w:lvl w:ilvl="7" w:tplc="2DE62D2E">
      <w:start w:val="1"/>
      <w:numFmt w:val="decimal"/>
      <w:lvlText w:val="%8)"/>
      <w:lvlJc w:val="left"/>
      <w:pPr>
        <w:ind w:left="1020" w:hanging="360"/>
      </w:pPr>
    </w:lvl>
    <w:lvl w:ilvl="8" w:tplc="C20823DC">
      <w:start w:val="1"/>
      <w:numFmt w:val="decimal"/>
      <w:lvlText w:val="%9)"/>
      <w:lvlJc w:val="left"/>
      <w:pPr>
        <w:ind w:left="1020" w:hanging="360"/>
      </w:pPr>
    </w:lvl>
  </w:abstractNum>
  <w:abstractNum w:abstractNumId="11" w15:restartNumberingAfterBreak="0">
    <w:nsid w:val="477051DD"/>
    <w:multiLevelType w:val="hybridMultilevel"/>
    <w:tmpl w:val="B05C374A"/>
    <w:lvl w:ilvl="0" w:tplc="0415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F2264"/>
    <w:multiLevelType w:val="hybridMultilevel"/>
    <w:tmpl w:val="040829B6"/>
    <w:lvl w:ilvl="0" w:tplc="910869A4">
      <w:start w:val="1"/>
      <w:numFmt w:val="decimal"/>
      <w:lvlText w:val="%1."/>
      <w:lvlJc w:val="left"/>
      <w:pPr>
        <w:ind w:left="1020" w:hanging="360"/>
      </w:pPr>
    </w:lvl>
    <w:lvl w:ilvl="1" w:tplc="4D0AD20A">
      <w:start w:val="1"/>
      <w:numFmt w:val="decimal"/>
      <w:lvlText w:val="%2."/>
      <w:lvlJc w:val="left"/>
      <w:pPr>
        <w:ind w:left="1020" w:hanging="360"/>
      </w:pPr>
    </w:lvl>
    <w:lvl w:ilvl="2" w:tplc="7C2E5048">
      <w:start w:val="1"/>
      <w:numFmt w:val="decimal"/>
      <w:lvlText w:val="%3."/>
      <w:lvlJc w:val="left"/>
      <w:pPr>
        <w:ind w:left="1020" w:hanging="360"/>
      </w:pPr>
    </w:lvl>
    <w:lvl w:ilvl="3" w:tplc="30E89436">
      <w:start w:val="1"/>
      <w:numFmt w:val="decimal"/>
      <w:lvlText w:val="%4."/>
      <w:lvlJc w:val="left"/>
      <w:pPr>
        <w:ind w:left="1020" w:hanging="360"/>
      </w:pPr>
    </w:lvl>
    <w:lvl w:ilvl="4" w:tplc="40B49BC0">
      <w:start w:val="1"/>
      <w:numFmt w:val="decimal"/>
      <w:lvlText w:val="%5."/>
      <w:lvlJc w:val="left"/>
      <w:pPr>
        <w:ind w:left="1020" w:hanging="360"/>
      </w:pPr>
    </w:lvl>
    <w:lvl w:ilvl="5" w:tplc="9FBA0D9C">
      <w:start w:val="1"/>
      <w:numFmt w:val="decimal"/>
      <w:lvlText w:val="%6."/>
      <w:lvlJc w:val="left"/>
      <w:pPr>
        <w:ind w:left="1020" w:hanging="360"/>
      </w:pPr>
    </w:lvl>
    <w:lvl w:ilvl="6" w:tplc="7C9010CC">
      <w:start w:val="1"/>
      <w:numFmt w:val="decimal"/>
      <w:lvlText w:val="%7."/>
      <w:lvlJc w:val="left"/>
      <w:pPr>
        <w:ind w:left="1020" w:hanging="360"/>
      </w:pPr>
    </w:lvl>
    <w:lvl w:ilvl="7" w:tplc="AEB6FE70">
      <w:start w:val="1"/>
      <w:numFmt w:val="decimal"/>
      <w:lvlText w:val="%8."/>
      <w:lvlJc w:val="left"/>
      <w:pPr>
        <w:ind w:left="1020" w:hanging="360"/>
      </w:pPr>
    </w:lvl>
    <w:lvl w:ilvl="8" w:tplc="D70EDE30">
      <w:start w:val="1"/>
      <w:numFmt w:val="decimal"/>
      <w:lvlText w:val="%9."/>
      <w:lvlJc w:val="left"/>
      <w:pPr>
        <w:ind w:left="1020" w:hanging="360"/>
      </w:pPr>
    </w:lvl>
  </w:abstractNum>
  <w:abstractNum w:abstractNumId="13" w15:restartNumberingAfterBreak="0">
    <w:nsid w:val="51A43D51"/>
    <w:multiLevelType w:val="hybridMultilevel"/>
    <w:tmpl w:val="361AD1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096E1D"/>
    <w:multiLevelType w:val="hybridMultilevel"/>
    <w:tmpl w:val="E5C2C4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8CC3A8B"/>
    <w:multiLevelType w:val="hybridMultilevel"/>
    <w:tmpl w:val="06C63740"/>
    <w:lvl w:ilvl="0" w:tplc="0415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FB34DB6"/>
    <w:multiLevelType w:val="hybridMultilevel"/>
    <w:tmpl w:val="E5C2C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3628842">
    <w:abstractNumId w:val="9"/>
  </w:num>
  <w:num w:numId="2" w16cid:durableId="1195343002">
    <w:abstractNumId w:val="4"/>
  </w:num>
  <w:num w:numId="3" w16cid:durableId="340664823">
    <w:abstractNumId w:val="15"/>
  </w:num>
  <w:num w:numId="4" w16cid:durableId="1449541727">
    <w:abstractNumId w:val="11"/>
  </w:num>
  <w:num w:numId="5" w16cid:durableId="1456291998">
    <w:abstractNumId w:val="3"/>
  </w:num>
  <w:num w:numId="6" w16cid:durableId="1039158735">
    <w:abstractNumId w:val="7"/>
  </w:num>
  <w:num w:numId="7" w16cid:durableId="1063912936">
    <w:abstractNumId w:val="0"/>
  </w:num>
  <w:num w:numId="8" w16cid:durableId="683555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1134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830624">
    <w:abstractNumId w:val="6"/>
  </w:num>
  <w:num w:numId="11" w16cid:durableId="40792282">
    <w:abstractNumId w:val="8"/>
  </w:num>
  <w:num w:numId="12" w16cid:durableId="176120269">
    <w:abstractNumId w:val="12"/>
  </w:num>
  <w:num w:numId="13" w16cid:durableId="331764504">
    <w:abstractNumId w:val="2"/>
  </w:num>
  <w:num w:numId="14" w16cid:durableId="922564470">
    <w:abstractNumId w:val="14"/>
  </w:num>
  <w:num w:numId="15" w16cid:durableId="699360777">
    <w:abstractNumId w:val="13"/>
  </w:num>
  <w:num w:numId="16" w16cid:durableId="785656973">
    <w:abstractNumId w:val="1"/>
  </w:num>
  <w:num w:numId="17" w16cid:durableId="1146435319">
    <w:abstractNumId w:val="10"/>
  </w:num>
  <w:num w:numId="18" w16cid:durableId="88278749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4"/>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29F"/>
    <w:rsid w:val="00004C6A"/>
    <w:rsid w:val="0000510E"/>
    <w:rsid w:val="000053EF"/>
    <w:rsid w:val="000069B8"/>
    <w:rsid w:val="00006B03"/>
    <w:rsid w:val="00006B5A"/>
    <w:rsid w:val="00010AAF"/>
    <w:rsid w:val="00012D11"/>
    <w:rsid w:val="00013EB5"/>
    <w:rsid w:val="000175EB"/>
    <w:rsid w:val="00023836"/>
    <w:rsid w:val="00027B87"/>
    <w:rsid w:val="00031183"/>
    <w:rsid w:val="00034158"/>
    <w:rsid w:val="000356A9"/>
    <w:rsid w:val="0003669B"/>
    <w:rsid w:val="00042DF5"/>
    <w:rsid w:val="00044138"/>
    <w:rsid w:val="00044739"/>
    <w:rsid w:val="000451E7"/>
    <w:rsid w:val="00051637"/>
    <w:rsid w:val="00052AF8"/>
    <w:rsid w:val="000530A2"/>
    <w:rsid w:val="00056681"/>
    <w:rsid w:val="00060A2E"/>
    <w:rsid w:val="000648A7"/>
    <w:rsid w:val="00065317"/>
    <w:rsid w:val="0006618B"/>
    <w:rsid w:val="000670C0"/>
    <w:rsid w:val="000671B3"/>
    <w:rsid w:val="00067FDF"/>
    <w:rsid w:val="00070A0C"/>
    <w:rsid w:val="00071B99"/>
    <w:rsid w:val="0007229C"/>
    <w:rsid w:val="00074C3F"/>
    <w:rsid w:val="00075592"/>
    <w:rsid w:val="000756E5"/>
    <w:rsid w:val="0007704E"/>
    <w:rsid w:val="00080EC8"/>
    <w:rsid w:val="00082194"/>
    <w:rsid w:val="00086914"/>
    <w:rsid w:val="000913CB"/>
    <w:rsid w:val="00092533"/>
    <w:rsid w:val="000944AC"/>
    <w:rsid w:val="00094CB9"/>
    <w:rsid w:val="000956B2"/>
    <w:rsid w:val="000969E7"/>
    <w:rsid w:val="000A1659"/>
    <w:rsid w:val="000A23DE"/>
    <w:rsid w:val="000A385B"/>
    <w:rsid w:val="000A4020"/>
    <w:rsid w:val="000A5278"/>
    <w:rsid w:val="000A60B4"/>
    <w:rsid w:val="000B00B3"/>
    <w:rsid w:val="000B54FB"/>
    <w:rsid w:val="000B616E"/>
    <w:rsid w:val="000B639C"/>
    <w:rsid w:val="000B7591"/>
    <w:rsid w:val="000C29B0"/>
    <w:rsid w:val="000C2CD5"/>
    <w:rsid w:val="000C31E4"/>
    <w:rsid w:val="000C62C1"/>
    <w:rsid w:val="000C76FC"/>
    <w:rsid w:val="000D0AAB"/>
    <w:rsid w:val="000D2FC5"/>
    <w:rsid w:val="000D3427"/>
    <w:rsid w:val="000D38FC"/>
    <w:rsid w:val="000D4D90"/>
    <w:rsid w:val="000D7825"/>
    <w:rsid w:val="000E0300"/>
    <w:rsid w:val="000E1B49"/>
    <w:rsid w:val="000E1FF7"/>
    <w:rsid w:val="000E2D10"/>
    <w:rsid w:val="000E3E51"/>
    <w:rsid w:val="000F01D0"/>
    <w:rsid w:val="000F1247"/>
    <w:rsid w:val="000F1BA4"/>
    <w:rsid w:val="000F3204"/>
    <w:rsid w:val="000F3C57"/>
    <w:rsid w:val="00102398"/>
    <w:rsid w:val="001039B8"/>
    <w:rsid w:val="0010548B"/>
    <w:rsid w:val="001072D1"/>
    <w:rsid w:val="0011074B"/>
    <w:rsid w:val="00114BFF"/>
    <w:rsid w:val="00117017"/>
    <w:rsid w:val="001172AD"/>
    <w:rsid w:val="00126E5B"/>
    <w:rsid w:val="00127866"/>
    <w:rsid w:val="00130E8E"/>
    <w:rsid w:val="0013216E"/>
    <w:rsid w:val="001324E7"/>
    <w:rsid w:val="001325A8"/>
    <w:rsid w:val="00136BEC"/>
    <w:rsid w:val="0013765B"/>
    <w:rsid w:val="001401B5"/>
    <w:rsid w:val="001406B2"/>
    <w:rsid w:val="001422B9"/>
    <w:rsid w:val="001435AE"/>
    <w:rsid w:val="00143E56"/>
    <w:rsid w:val="0014665F"/>
    <w:rsid w:val="001473E9"/>
    <w:rsid w:val="00151E8F"/>
    <w:rsid w:val="00153464"/>
    <w:rsid w:val="00153BD4"/>
    <w:rsid w:val="001541B3"/>
    <w:rsid w:val="00155B15"/>
    <w:rsid w:val="00157732"/>
    <w:rsid w:val="00161DF0"/>
    <w:rsid w:val="001625BE"/>
    <w:rsid w:val="00162811"/>
    <w:rsid w:val="001643A4"/>
    <w:rsid w:val="001727BB"/>
    <w:rsid w:val="00172A40"/>
    <w:rsid w:val="00173028"/>
    <w:rsid w:val="0018068D"/>
    <w:rsid w:val="00180D25"/>
    <w:rsid w:val="0018318D"/>
    <w:rsid w:val="0018572C"/>
    <w:rsid w:val="00187E79"/>
    <w:rsid w:val="00187F0D"/>
    <w:rsid w:val="001918B1"/>
    <w:rsid w:val="00192A65"/>
    <w:rsid w:val="00192CC5"/>
    <w:rsid w:val="00194217"/>
    <w:rsid w:val="001943E9"/>
    <w:rsid w:val="001956A7"/>
    <w:rsid w:val="00196308"/>
    <w:rsid w:val="00196422"/>
    <w:rsid w:val="00196B81"/>
    <w:rsid w:val="001A118A"/>
    <w:rsid w:val="001A27F4"/>
    <w:rsid w:val="001A2D95"/>
    <w:rsid w:val="001A63C8"/>
    <w:rsid w:val="001B0CB1"/>
    <w:rsid w:val="001B3460"/>
    <w:rsid w:val="001B43DD"/>
    <w:rsid w:val="001B4C7A"/>
    <w:rsid w:val="001B4CA1"/>
    <w:rsid w:val="001B5D87"/>
    <w:rsid w:val="001B695B"/>
    <w:rsid w:val="001B6EA1"/>
    <w:rsid w:val="001B75D8"/>
    <w:rsid w:val="001C1060"/>
    <w:rsid w:val="001C181F"/>
    <w:rsid w:val="001C3C63"/>
    <w:rsid w:val="001C47C1"/>
    <w:rsid w:val="001C6AD1"/>
    <w:rsid w:val="001C70E3"/>
    <w:rsid w:val="001D3217"/>
    <w:rsid w:val="001D4732"/>
    <w:rsid w:val="001D6A3C"/>
    <w:rsid w:val="001D6D51"/>
    <w:rsid w:val="001E1781"/>
    <w:rsid w:val="001E1D0D"/>
    <w:rsid w:val="001E1F06"/>
    <w:rsid w:val="001E562F"/>
    <w:rsid w:val="001E6F9F"/>
    <w:rsid w:val="001F00A7"/>
    <w:rsid w:val="001F254F"/>
    <w:rsid w:val="001F316A"/>
    <w:rsid w:val="001F4955"/>
    <w:rsid w:val="001F54A6"/>
    <w:rsid w:val="001F653A"/>
    <w:rsid w:val="001F6979"/>
    <w:rsid w:val="001F69AD"/>
    <w:rsid w:val="002027F2"/>
    <w:rsid w:val="00202BC6"/>
    <w:rsid w:val="00203A1E"/>
    <w:rsid w:val="00203EA1"/>
    <w:rsid w:val="00204145"/>
    <w:rsid w:val="00205141"/>
    <w:rsid w:val="0020516B"/>
    <w:rsid w:val="002069ED"/>
    <w:rsid w:val="00207AFE"/>
    <w:rsid w:val="00207CA8"/>
    <w:rsid w:val="00211B6F"/>
    <w:rsid w:val="00211ED9"/>
    <w:rsid w:val="00213559"/>
    <w:rsid w:val="00213EFD"/>
    <w:rsid w:val="00214534"/>
    <w:rsid w:val="002148ED"/>
    <w:rsid w:val="002172F1"/>
    <w:rsid w:val="00220CC0"/>
    <w:rsid w:val="00223C7B"/>
    <w:rsid w:val="00224AB1"/>
    <w:rsid w:val="00225200"/>
    <w:rsid w:val="00225408"/>
    <w:rsid w:val="0022687A"/>
    <w:rsid w:val="00230728"/>
    <w:rsid w:val="00231893"/>
    <w:rsid w:val="00231C84"/>
    <w:rsid w:val="00232082"/>
    <w:rsid w:val="00234040"/>
    <w:rsid w:val="00235563"/>
    <w:rsid w:val="00235CD2"/>
    <w:rsid w:val="002429C6"/>
    <w:rsid w:val="00243B05"/>
    <w:rsid w:val="00246D02"/>
    <w:rsid w:val="00250974"/>
    <w:rsid w:val="002527AC"/>
    <w:rsid w:val="002530B6"/>
    <w:rsid w:val="002534C8"/>
    <w:rsid w:val="0025471D"/>
    <w:rsid w:val="00254ADF"/>
    <w:rsid w:val="00254DED"/>
    <w:rsid w:val="00255619"/>
    <w:rsid w:val="00255CA0"/>
    <w:rsid w:val="00255DAD"/>
    <w:rsid w:val="00255F5A"/>
    <w:rsid w:val="00256108"/>
    <w:rsid w:val="00256DD8"/>
    <w:rsid w:val="00260F33"/>
    <w:rsid w:val="002613BD"/>
    <w:rsid w:val="00261512"/>
    <w:rsid w:val="0026165B"/>
    <w:rsid w:val="00262352"/>
    <w:rsid w:val="002624F1"/>
    <w:rsid w:val="00262D43"/>
    <w:rsid w:val="00265905"/>
    <w:rsid w:val="002701B7"/>
    <w:rsid w:val="0027066A"/>
    <w:rsid w:val="00270C81"/>
    <w:rsid w:val="00271558"/>
    <w:rsid w:val="002731BB"/>
    <w:rsid w:val="0027445C"/>
    <w:rsid w:val="00274862"/>
    <w:rsid w:val="0027595F"/>
    <w:rsid w:val="00276049"/>
    <w:rsid w:val="00276D1A"/>
    <w:rsid w:val="002802F5"/>
    <w:rsid w:val="0028187D"/>
    <w:rsid w:val="002825D8"/>
    <w:rsid w:val="0028298B"/>
    <w:rsid w:val="00282D72"/>
    <w:rsid w:val="0028336B"/>
    <w:rsid w:val="00283402"/>
    <w:rsid w:val="002848CF"/>
    <w:rsid w:val="00284BDC"/>
    <w:rsid w:val="00286EB4"/>
    <w:rsid w:val="00290FD6"/>
    <w:rsid w:val="00291012"/>
    <w:rsid w:val="00292DEE"/>
    <w:rsid w:val="00294259"/>
    <w:rsid w:val="00295A60"/>
    <w:rsid w:val="00296088"/>
    <w:rsid w:val="002A236B"/>
    <w:rsid w:val="002A2BD2"/>
    <w:rsid w:val="002A2C81"/>
    <w:rsid w:val="002A2FFD"/>
    <w:rsid w:val="002A44BE"/>
    <w:rsid w:val="002A6C35"/>
    <w:rsid w:val="002A7EE0"/>
    <w:rsid w:val="002B2D94"/>
    <w:rsid w:val="002B3774"/>
    <w:rsid w:val="002B3D1A"/>
    <w:rsid w:val="002B4094"/>
    <w:rsid w:val="002B4096"/>
    <w:rsid w:val="002B69EA"/>
    <w:rsid w:val="002C27D0"/>
    <w:rsid w:val="002C2C9B"/>
    <w:rsid w:val="002C4635"/>
    <w:rsid w:val="002C7855"/>
    <w:rsid w:val="002D17D6"/>
    <w:rsid w:val="002D18D7"/>
    <w:rsid w:val="002D1E58"/>
    <w:rsid w:val="002D21CE"/>
    <w:rsid w:val="002D68E6"/>
    <w:rsid w:val="002D7FA9"/>
    <w:rsid w:val="002E0DE0"/>
    <w:rsid w:val="002E1ABA"/>
    <w:rsid w:val="002E3DA3"/>
    <w:rsid w:val="002E41D8"/>
    <w:rsid w:val="002E450F"/>
    <w:rsid w:val="002E489B"/>
    <w:rsid w:val="002E6B38"/>
    <w:rsid w:val="002E6D63"/>
    <w:rsid w:val="002E6E2B"/>
    <w:rsid w:val="002E7EB1"/>
    <w:rsid w:val="002F0DC2"/>
    <w:rsid w:val="002F500B"/>
    <w:rsid w:val="002F538E"/>
    <w:rsid w:val="00300075"/>
    <w:rsid w:val="00300991"/>
    <w:rsid w:val="00301959"/>
    <w:rsid w:val="003049E7"/>
    <w:rsid w:val="0030555E"/>
    <w:rsid w:val="00305B8A"/>
    <w:rsid w:val="00307E6E"/>
    <w:rsid w:val="003100C5"/>
    <w:rsid w:val="00321108"/>
    <w:rsid w:val="00321B6C"/>
    <w:rsid w:val="00321F44"/>
    <w:rsid w:val="00325814"/>
    <w:rsid w:val="003268FF"/>
    <w:rsid w:val="00326BEA"/>
    <w:rsid w:val="00326D0B"/>
    <w:rsid w:val="00327D20"/>
    <w:rsid w:val="00331BF9"/>
    <w:rsid w:val="0033495E"/>
    <w:rsid w:val="00334A79"/>
    <w:rsid w:val="00334D8D"/>
    <w:rsid w:val="00337345"/>
    <w:rsid w:val="00337DD2"/>
    <w:rsid w:val="003404D1"/>
    <w:rsid w:val="003443FF"/>
    <w:rsid w:val="00345D28"/>
    <w:rsid w:val="00346139"/>
    <w:rsid w:val="00350038"/>
    <w:rsid w:val="00351BCC"/>
    <w:rsid w:val="003523C1"/>
    <w:rsid w:val="0035306D"/>
    <w:rsid w:val="00353366"/>
    <w:rsid w:val="00355808"/>
    <w:rsid w:val="00362C7E"/>
    <w:rsid w:val="00363309"/>
    <w:rsid w:val="00363601"/>
    <w:rsid w:val="003656BD"/>
    <w:rsid w:val="003720E9"/>
    <w:rsid w:val="003723F0"/>
    <w:rsid w:val="00373EAE"/>
    <w:rsid w:val="00376552"/>
    <w:rsid w:val="00376AC9"/>
    <w:rsid w:val="003778F0"/>
    <w:rsid w:val="00377FE2"/>
    <w:rsid w:val="00382854"/>
    <w:rsid w:val="00382960"/>
    <w:rsid w:val="00383452"/>
    <w:rsid w:val="003838B0"/>
    <w:rsid w:val="00384004"/>
    <w:rsid w:val="00384D5A"/>
    <w:rsid w:val="00386A02"/>
    <w:rsid w:val="00392A18"/>
    <w:rsid w:val="00393032"/>
    <w:rsid w:val="00394B69"/>
    <w:rsid w:val="00397078"/>
    <w:rsid w:val="003A2EC0"/>
    <w:rsid w:val="003A64FC"/>
    <w:rsid w:val="003A6953"/>
    <w:rsid w:val="003B08EF"/>
    <w:rsid w:val="003B2869"/>
    <w:rsid w:val="003B3122"/>
    <w:rsid w:val="003B36C6"/>
    <w:rsid w:val="003B48BD"/>
    <w:rsid w:val="003B6083"/>
    <w:rsid w:val="003B66E6"/>
    <w:rsid w:val="003B67B2"/>
    <w:rsid w:val="003B6B85"/>
    <w:rsid w:val="003B7EF3"/>
    <w:rsid w:val="003C044E"/>
    <w:rsid w:val="003C1B9C"/>
    <w:rsid w:val="003C1D78"/>
    <w:rsid w:val="003C3838"/>
    <w:rsid w:val="003C419F"/>
    <w:rsid w:val="003C5385"/>
    <w:rsid w:val="003C5847"/>
    <w:rsid w:val="003C72A5"/>
    <w:rsid w:val="003D0681"/>
    <w:rsid w:val="003D12F6"/>
    <w:rsid w:val="003D1426"/>
    <w:rsid w:val="003D2DDE"/>
    <w:rsid w:val="003D6322"/>
    <w:rsid w:val="003E08B2"/>
    <w:rsid w:val="003E2F4E"/>
    <w:rsid w:val="003E53E3"/>
    <w:rsid w:val="003E5CFD"/>
    <w:rsid w:val="003E720A"/>
    <w:rsid w:val="003F1F1C"/>
    <w:rsid w:val="003F5FFD"/>
    <w:rsid w:val="003F7BDC"/>
    <w:rsid w:val="00400C3A"/>
    <w:rsid w:val="004023C9"/>
    <w:rsid w:val="00403105"/>
    <w:rsid w:val="00403E6E"/>
    <w:rsid w:val="004046D0"/>
    <w:rsid w:val="004056EE"/>
    <w:rsid w:val="00411617"/>
    <w:rsid w:val="0041202C"/>
    <w:rsid w:val="004129B4"/>
    <w:rsid w:val="00413A6F"/>
    <w:rsid w:val="00417EF0"/>
    <w:rsid w:val="00422181"/>
    <w:rsid w:val="00423885"/>
    <w:rsid w:val="004244A8"/>
    <w:rsid w:val="004253F2"/>
    <w:rsid w:val="00425F72"/>
    <w:rsid w:val="004263EF"/>
    <w:rsid w:val="00427736"/>
    <w:rsid w:val="00427CF0"/>
    <w:rsid w:val="00427FB3"/>
    <w:rsid w:val="004310AF"/>
    <w:rsid w:val="004328C6"/>
    <w:rsid w:val="00433460"/>
    <w:rsid w:val="00433862"/>
    <w:rsid w:val="004344DA"/>
    <w:rsid w:val="00436BAC"/>
    <w:rsid w:val="00437C0F"/>
    <w:rsid w:val="00437E14"/>
    <w:rsid w:val="00441787"/>
    <w:rsid w:val="0044275B"/>
    <w:rsid w:val="00444616"/>
    <w:rsid w:val="00444F2D"/>
    <w:rsid w:val="004474C7"/>
    <w:rsid w:val="0045034E"/>
    <w:rsid w:val="00450C53"/>
    <w:rsid w:val="00452034"/>
    <w:rsid w:val="00452A76"/>
    <w:rsid w:val="00452C5B"/>
    <w:rsid w:val="004530B6"/>
    <w:rsid w:val="00455FA6"/>
    <w:rsid w:val="004571AE"/>
    <w:rsid w:val="00457344"/>
    <w:rsid w:val="004609BE"/>
    <w:rsid w:val="00461419"/>
    <w:rsid w:val="00465915"/>
    <w:rsid w:val="00466C70"/>
    <w:rsid w:val="004702C9"/>
    <w:rsid w:val="0047119F"/>
    <w:rsid w:val="004727B2"/>
    <w:rsid w:val="00472E45"/>
    <w:rsid w:val="00473EED"/>
    <w:rsid w:val="00473FEA"/>
    <w:rsid w:val="0047579D"/>
    <w:rsid w:val="00481279"/>
    <w:rsid w:val="00483262"/>
    <w:rsid w:val="00483DE6"/>
    <w:rsid w:val="00484107"/>
    <w:rsid w:val="00485CC5"/>
    <w:rsid w:val="004902EE"/>
    <w:rsid w:val="00490887"/>
    <w:rsid w:val="00490ADF"/>
    <w:rsid w:val="004932A5"/>
    <w:rsid w:val="0049343F"/>
    <w:rsid w:val="004964FC"/>
    <w:rsid w:val="004A0621"/>
    <w:rsid w:val="004A145E"/>
    <w:rsid w:val="004A1F15"/>
    <w:rsid w:val="004A2A81"/>
    <w:rsid w:val="004A5174"/>
    <w:rsid w:val="004A7335"/>
    <w:rsid w:val="004A7BD7"/>
    <w:rsid w:val="004B02B8"/>
    <w:rsid w:val="004B7D31"/>
    <w:rsid w:val="004C067E"/>
    <w:rsid w:val="004C1228"/>
    <w:rsid w:val="004C15C2"/>
    <w:rsid w:val="004C18B3"/>
    <w:rsid w:val="004C1C72"/>
    <w:rsid w:val="004C36D8"/>
    <w:rsid w:val="004C3843"/>
    <w:rsid w:val="004C41AA"/>
    <w:rsid w:val="004C5449"/>
    <w:rsid w:val="004C5A5A"/>
    <w:rsid w:val="004C5C35"/>
    <w:rsid w:val="004C6A0C"/>
    <w:rsid w:val="004C6D4B"/>
    <w:rsid w:val="004D1248"/>
    <w:rsid w:val="004D16EE"/>
    <w:rsid w:val="004D1E3C"/>
    <w:rsid w:val="004D4169"/>
    <w:rsid w:val="004D456A"/>
    <w:rsid w:val="004D6E14"/>
    <w:rsid w:val="004E0630"/>
    <w:rsid w:val="004E5689"/>
    <w:rsid w:val="004E6F85"/>
    <w:rsid w:val="004F1FEF"/>
    <w:rsid w:val="004F4AED"/>
    <w:rsid w:val="004F4E17"/>
    <w:rsid w:val="004F5225"/>
    <w:rsid w:val="004F5414"/>
    <w:rsid w:val="004F55D1"/>
    <w:rsid w:val="0050082F"/>
    <w:rsid w:val="00500C56"/>
    <w:rsid w:val="0050158B"/>
    <w:rsid w:val="00501713"/>
    <w:rsid w:val="00503B2C"/>
    <w:rsid w:val="00504707"/>
    <w:rsid w:val="00506568"/>
    <w:rsid w:val="00511C54"/>
    <w:rsid w:val="0051551B"/>
    <w:rsid w:val="00520C57"/>
    <w:rsid w:val="00520F67"/>
    <w:rsid w:val="00520FC7"/>
    <w:rsid w:val="00521E4C"/>
    <w:rsid w:val="00522D94"/>
    <w:rsid w:val="0052419A"/>
    <w:rsid w:val="00524810"/>
    <w:rsid w:val="00524C6B"/>
    <w:rsid w:val="00525BC4"/>
    <w:rsid w:val="00525F03"/>
    <w:rsid w:val="00530227"/>
    <w:rsid w:val="00531A8F"/>
    <w:rsid w:val="00531B59"/>
    <w:rsid w:val="005322D5"/>
    <w:rsid w:val="00532E75"/>
    <w:rsid w:val="00533C85"/>
    <w:rsid w:val="00533D89"/>
    <w:rsid w:val="00534D7A"/>
    <w:rsid w:val="00536564"/>
    <w:rsid w:val="00536AC7"/>
    <w:rsid w:val="005425E3"/>
    <w:rsid w:val="00544597"/>
    <w:rsid w:val="00544E35"/>
    <w:rsid w:val="00544FFE"/>
    <w:rsid w:val="0054517B"/>
    <w:rsid w:val="00546EA1"/>
    <w:rsid w:val="005473F5"/>
    <w:rsid w:val="005477E7"/>
    <w:rsid w:val="005501AA"/>
    <w:rsid w:val="00552794"/>
    <w:rsid w:val="00554746"/>
    <w:rsid w:val="005570B6"/>
    <w:rsid w:val="00563199"/>
    <w:rsid w:val="005647C9"/>
    <w:rsid w:val="00564874"/>
    <w:rsid w:val="00566061"/>
    <w:rsid w:val="00566CE7"/>
    <w:rsid w:val="00567963"/>
    <w:rsid w:val="00567C25"/>
    <w:rsid w:val="00567D78"/>
    <w:rsid w:val="0057009A"/>
    <w:rsid w:val="00570A80"/>
    <w:rsid w:val="00570B74"/>
    <w:rsid w:val="00570D4C"/>
    <w:rsid w:val="00571260"/>
    <w:rsid w:val="0057189C"/>
    <w:rsid w:val="0057364D"/>
    <w:rsid w:val="00573FC1"/>
    <w:rsid w:val="005741EE"/>
    <w:rsid w:val="0057668E"/>
    <w:rsid w:val="00577A02"/>
    <w:rsid w:val="005814BC"/>
    <w:rsid w:val="0058300F"/>
    <w:rsid w:val="00583337"/>
    <w:rsid w:val="00583CF1"/>
    <w:rsid w:val="00584617"/>
    <w:rsid w:val="00585BB7"/>
    <w:rsid w:val="00595E83"/>
    <w:rsid w:val="00595F1C"/>
    <w:rsid w:val="00596530"/>
    <w:rsid w:val="005967F3"/>
    <w:rsid w:val="005A06DF"/>
    <w:rsid w:val="005A1957"/>
    <w:rsid w:val="005A4427"/>
    <w:rsid w:val="005A447D"/>
    <w:rsid w:val="005A4AB7"/>
    <w:rsid w:val="005A5527"/>
    <w:rsid w:val="005A5AE6"/>
    <w:rsid w:val="005A7CBD"/>
    <w:rsid w:val="005B1206"/>
    <w:rsid w:val="005B37E8"/>
    <w:rsid w:val="005B43C8"/>
    <w:rsid w:val="005B60D6"/>
    <w:rsid w:val="005B70F9"/>
    <w:rsid w:val="005C0056"/>
    <w:rsid w:val="005C634D"/>
    <w:rsid w:val="005C66D5"/>
    <w:rsid w:val="005C7751"/>
    <w:rsid w:val="005D00CB"/>
    <w:rsid w:val="005D0EE0"/>
    <w:rsid w:val="005D1A7C"/>
    <w:rsid w:val="005D5FC3"/>
    <w:rsid w:val="005D61D6"/>
    <w:rsid w:val="005D63AA"/>
    <w:rsid w:val="005D6F8C"/>
    <w:rsid w:val="005E0D13"/>
    <w:rsid w:val="005E0F74"/>
    <w:rsid w:val="005E1DF2"/>
    <w:rsid w:val="005E2147"/>
    <w:rsid w:val="005E2AB4"/>
    <w:rsid w:val="005E49C8"/>
    <w:rsid w:val="005E5047"/>
    <w:rsid w:val="005E51D1"/>
    <w:rsid w:val="005E7205"/>
    <w:rsid w:val="005E7371"/>
    <w:rsid w:val="005F116C"/>
    <w:rsid w:val="005F2131"/>
    <w:rsid w:val="005F2F67"/>
    <w:rsid w:val="00602163"/>
    <w:rsid w:val="00604CDF"/>
    <w:rsid w:val="00605629"/>
    <w:rsid w:val="00605EF6"/>
    <w:rsid w:val="00606146"/>
    <w:rsid w:val="00606455"/>
    <w:rsid w:val="0061159F"/>
    <w:rsid w:val="00614929"/>
    <w:rsid w:val="00616511"/>
    <w:rsid w:val="006176ED"/>
    <w:rsid w:val="006202F3"/>
    <w:rsid w:val="0062097A"/>
    <w:rsid w:val="00621DA6"/>
    <w:rsid w:val="00623CFE"/>
    <w:rsid w:val="00624396"/>
    <w:rsid w:val="006262AB"/>
    <w:rsid w:val="00627221"/>
    <w:rsid w:val="00627C21"/>
    <w:rsid w:val="00627EE8"/>
    <w:rsid w:val="006316FA"/>
    <w:rsid w:val="006370D2"/>
    <w:rsid w:val="0064074F"/>
    <w:rsid w:val="006414CD"/>
    <w:rsid w:val="00641F55"/>
    <w:rsid w:val="00645E4A"/>
    <w:rsid w:val="0064712E"/>
    <w:rsid w:val="006471CB"/>
    <w:rsid w:val="00653688"/>
    <w:rsid w:val="00655D90"/>
    <w:rsid w:val="00656B2C"/>
    <w:rsid w:val="00660350"/>
    <w:rsid w:val="0066091B"/>
    <w:rsid w:val="00660CCE"/>
    <w:rsid w:val="006610EF"/>
    <w:rsid w:val="0066453E"/>
    <w:rsid w:val="006660E9"/>
    <w:rsid w:val="0066705B"/>
    <w:rsid w:val="00667249"/>
    <w:rsid w:val="00667558"/>
    <w:rsid w:val="00671523"/>
    <w:rsid w:val="00671B1F"/>
    <w:rsid w:val="006720B9"/>
    <w:rsid w:val="00673B17"/>
    <w:rsid w:val="006754EF"/>
    <w:rsid w:val="00676C8D"/>
    <w:rsid w:val="00676F1F"/>
    <w:rsid w:val="00677381"/>
    <w:rsid w:val="00677414"/>
    <w:rsid w:val="006832CF"/>
    <w:rsid w:val="0068601E"/>
    <w:rsid w:val="0069486B"/>
    <w:rsid w:val="006961A3"/>
    <w:rsid w:val="006975C5"/>
    <w:rsid w:val="0069777D"/>
    <w:rsid w:val="006A183B"/>
    <w:rsid w:val="006A476B"/>
    <w:rsid w:val="006A4904"/>
    <w:rsid w:val="006A502B"/>
    <w:rsid w:val="006A50E1"/>
    <w:rsid w:val="006A548F"/>
    <w:rsid w:val="006A701A"/>
    <w:rsid w:val="006A7204"/>
    <w:rsid w:val="006B2785"/>
    <w:rsid w:val="006B3798"/>
    <w:rsid w:val="006B64DC"/>
    <w:rsid w:val="006B6F18"/>
    <w:rsid w:val="006B7A91"/>
    <w:rsid w:val="006C2291"/>
    <w:rsid w:val="006C70E0"/>
    <w:rsid w:val="006C798F"/>
    <w:rsid w:val="006C799E"/>
    <w:rsid w:val="006C7E7B"/>
    <w:rsid w:val="006D4704"/>
    <w:rsid w:val="006D49E2"/>
    <w:rsid w:val="006D6A2D"/>
    <w:rsid w:val="006E1E18"/>
    <w:rsid w:val="006E28A9"/>
    <w:rsid w:val="006E290D"/>
    <w:rsid w:val="006E31CE"/>
    <w:rsid w:val="006E34D3"/>
    <w:rsid w:val="006E47EF"/>
    <w:rsid w:val="006E568C"/>
    <w:rsid w:val="006E7B6D"/>
    <w:rsid w:val="006F1435"/>
    <w:rsid w:val="006F409C"/>
    <w:rsid w:val="006F4243"/>
    <w:rsid w:val="006F49AE"/>
    <w:rsid w:val="006F4D80"/>
    <w:rsid w:val="006F5814"/>
    <w:rsid w:val="006F78C4"/>
    <w:rsid w:val="007018FB"/>
    <w:rsid w:val="00701938"/>
    <w:rsid w:val="007020E0"/>
    <w:rsid w:val="007024B3"/>
    <w:rsid w:val="00702CA3"/>
    <w:rsid w:val="007031A0"/>
    <w:rsid w:val="00703E7C"/>
    <w:rsid w:val="00703F4D"/>
    <w:rsid w:val="00705A29"/>
    <w:rsid w:val="007063BD"/>
    <w:rsid w:val="00707498"/>
    <w:rsid w:val="007102ED"/>
    <w:rsid w:val="0071056A"/>
    <w:rsid w:val="00711A65"/>
    <w:rsid w:val="00712751"/>
    <w:rsid w:val="007138BB"/>
    <w:rsid w:val="00714133"/>
    <w:rsid w:val="00714DA4"/>
    <w:rsid w:val="007158B2"/>
    <w:rsid w:val="00716081"/>
    <w:rsid w:val="007166C8"/>
    <w:rsid w:val="007217E8"/>
    <w:rsid w:val="00722B48"/>
    <w:rsid w:val="00722C67"/>
    <w:rsid w:val="00723B29"/>
    <w:rsid w:val="00724164"/>
    <w:rsid w:val="00725DE7"/>
    <w:rsid w:val="0072636A"/>
    <w:rsid w:val="00726B44"/>
    <w:rsid w:val="00730498"/>
    <w:rsid w:val="007318DD"/>
    <w:rsid w:val="00731C62"/>
    <w:rsid w:val="00731ED0"/>
    <w:rsid w:val="007321A3"/>
    <w:rsid w:val="007330CD"/>
    <w:rsid w:val="00733167"/>
    <w:rsid w:val="00733837"/>
    <w:rsid w:val="0073705A"/>
    <w:rsid w:val="00737773"/>
    <w:rsid w:val="00740667"/>
    <w:rsid w:val="00740D2C"/>
    <w:rsid w:val="00744BF9"/>
    <w:rsid w:val="00745EE1"/>
    <w:rsid w:val="007520B5"/>
    <w:rsid w:val="00752623"/>
    <w:rsid w:val="007534A5"/>
    <w:rsid w:val="00753F46"/>
    <w:rsid w:val="007569E3"/>
    <w:rsid w:val="00757F5A"/>
    <w:rsid w:val="00760314"/>
    <w:rsid w:val="00760F1F"/>
    <w:rsid w:val="00762CAD"/>
    <w:rsid w:val="0076423E"/>
    <w:rsid w:val="007646CB"/>
    <w:rsid w:val="00764DF9"/>
    <w:rsid w:val="0076658F"/>
    <w:rsid w:val="00767B25"/>
    <w:rsid w:val="0077040A"/>
    <w:rsid w:val="00772D64"/>
    <w:rsid w:val="007732C2"/>
    <w:rsid w:val="00773D2A"/>
    <w:rsid w:val="0077539C"/>
    <w:rsid w:val="00777993"/>
    <w:rsid w:val="007810D9"/>
    <w:rsid w:val="00781E8D"/>
    <w:rsid w:val="00782C1C"/>
    <w:rsid w:val="00786764"/>
    <w:rsid w:val="00792609"/>
    <w:rsid w:val="00792887"/>
    <w:rsid w:val="0079333E"/>
    <w:rsid w:val="007941E6"/>
    <w:rsid w:val="007943E2"/>
    <w:rsid w:val="00794F2C"/>
    <w:rsid w:val="007A3561"/>
    <w:rsid w:val="007A3BC7"/>
    <w:rsid w:val="007A3E07"/>
    <w:rsid w:val="007A5480"/>
    <w:rsid w:val="007A585C"/>
    <w:rsid w:val="007A5AC4"/>
    <w:rsid w:val="007A793A"/>
    <w:rsid w:val="007B0FDD"/>
    <w:rsid w:val="007B165C"/>
    <w:rsid w:val="007B4802"/>
    <w:rsid w:val="007B5D88"/>
    <w:rsid w:val="007B6668"/>
    <w:rsid w:val="007B6B33"/>
    <w:rsid w:val="007B6B3C"/>
    <w:rsid w:val="007C2701"/>
    <w:rsid w:val="007C3F94"/>
    <w:rsid w:val="007C4B5C"/>
    <w:rsid w:val="007C69EF"/>
    <w:rsid w:val="007D137B"/>
    <w:rsid w:val="007D2192"/>
    <w:rsid w:val="007D7212"/>
    <w:rsid w:val="007E4376"/>
    <w:rsid w:val="007F0021"/>
    <w:rsid w:val="007F1BD8"/>
    <w:rsid w:val="007F268C"/>
    <w:rsid w:val="007F2F52"/>
    <w:rsid w:val="007F43C6"/>
    <w:rsid w:val="00801F71"/>
    <w:rsid w:val="00803AE9"/>
    <w:rsid w:val="008053FC"/>
    <w:rsid w:val="00805F28"/>
    <w:rsid w:val="0080749F"/>
    <w:rsid w:val="00810738"/>
    <w:rsid w:val="008116AE"/>
    <w:rsid w:val="00811D46"/>
    <w:rsid w:val="008125B0"/>
    <w:rsid w:val="008144CB"/>
    <w:rsid w:val="00817F7E"/>
    <w:rsid w:val="00820959"/>
    <w:rsid w:val="00821717"/>
    <w:rsid w:val="00824210"/>
    <w:rsid w:val="0082502E"/>
    <w:rsid w:val="00825DC0"/>
    <w:rsid w:val="00826032"/>
    <w:rsid w:val="008263C0"/>
    <w:rsid w:val="008270C4"/>
    <w:rsid w:val="00827580"/>
    <w:rsid w:val="00834EC2"/>
    <w:rsid w:val="00835DA3"/>
    <w:rsid w:val="00836E5F"/>
    <w:rsid w:val="00837190"/>
    <w:rsid w:val="00841422"/>
    <w:rsid w:val="00841D3B"/>
    <w:rsid w:val="0084314C"/>
    <w:rsid w:val="00843171"/>
    <w:rsid w:val="008477E2"/>
    <w:rsid w:val="00850CD5"/>
    <w:rsid w:val="008575C3"/>
    <w:rsid w:val="00863D28"/>
    <w:rsid w:val="00864759"/>
    <w:rsid w:val="008648C3"/>
    <w:rsid w:val="00864907"/>
    <w:rsid w:val="00867808"/>
    <w:rsid w:val="00867B70"/>
    <w:rsid w:val="00874B07"/>
    <w:rsid w:val="00875305"/>
    <w:rsid w:val="00876A83"/>
    <w:rsid w:val="00880126"/>
    <w:rsid w:val="00880F26"/>
    <w:rsid w:val="0089053C"/>
    <w:rsid w:val="00891183"/>
    <w:rsid w:val="008921BD"/>
    <w:rsid w:val="00895D97"/>
    <w:rsid w:val="00896822"/>
    <w:rsid w:val="00896C2E"/>
    <w:rsid w:val="008973D4"/>
    <w:rsid w:val="008A026C"/>
    <w:rsid w:val="008A4BB1"/>
    <w:rsid w:val="008A5095"/>
    <w:rsid w:val="008A608F"/>
    <w:rsid w:val="008A6A6A"/>
    <w:rsid w:val="008B1A9A"/>
    <w:rsid w:val="008B2C88"/>
    <w:rsid w:val="008B3BFD"/>
    <w:rsid w:val="008B4749"/>
    <w:rsid w:val="008B4FE6"/>
    <w:rsid w:val="008B6C37"/>
    <w:rsid w:val="008C23E8"/>
    <w:rsid w:val="008D0471"/>
    <w:rsid w:val="008D22D2"/>
    <w:rsid w:val="008D3BFC"/>
    <w:rsid w:val="008D4355"/>
    <w:rsid w:val="008E12EF"/>
    <w:rsid w:val="008E18F7"/>
    <w:rsid w:val="008E1C9F"/>
    <w:rsid w:val="008E1E10"/>
    <w:rsid w:val="008E291B"/>
    <w:rsid w:val="008E2C73"/>
    <w:rsid w:val="008E4F2F"/>
    <w:rsid w:val="008E57FB"/>
    <w:rsid w:val="008E74B0"/>
    <w:rsid w:val="008F1739"/>
    <w:rsid w:val="008F26D0"/>
    <w:rsid w:val="008F402C"/>
    <w:rsid w:val="008F4268"/>
    <w:rsid w:val="008F6017"/>
    <w:rsid w:val="009008A8"/>
    <w:rsid w:val="00901412"/>
    <w:rsid w:val="00905E67"/>
    <w:rsid w:val="009063B0"/>
    <w:rsid w:val="00907106"/>
    <w:rsid w:val="00907CB5"/>
    <w:rsid w:val="009107FD"/>
    <w:rsid w:val="0091137C"/>
    <w:rsid w:val="00911567"/>
    <w:rsid w:val="0091194E"/>
    <w:rsid w:val="00911B08"/>
    <w:rsid w:val="0091274E"/>
    <w:rsid w:val="0091579F"/>
    <w:rsid w:val="00916C76"/>
    <w:rsid w:val="00917AAE"/>
    <w:rsid w:val="0092168A"/>
    <w:rsid w:val="0092279F"/>
    <w:rsid w:val="00922940"/>
    <w:rsid w:val="009251A9"/>
    <w:rsid w:val="00930699"/>
    <w:rsid w:val="00931F69"/>
    <w:rsid w:val="00934123"/>
    <w:rsid w:val="00936AB9"/>
    <w:rsid w:val="009404C6"/>
    <w:rsid w:val="00941031"/>
    <w:rsid w:val="009438D7"/>
    <w:rsid w:val="00943A37"/>
    <w:rsid w:val="00945067"/>
    <w:rsid w:val="00945802"/>
    <w:rsid w:val="00946F0D"/>
    <w:rsid w:val="009472DF"/>
    <w:rsid w:val="009549C9"/>
    <w:rsid w:val="00955774"/>
    <w:rsid w:val="009560B5"/>
    <w:rsid w:val="009629CE"/>
    <w:rsid w:val="00964025"/>
    <w:rsid w:val="009645DA"/>
    <w:rsid w:val="0096605E"/>
    <w:rsid w:val="009703D6"/>
    <w:rsid w:val="009716E3"/>
    <w:rsid w:val="0097181B"/>
    <w:rsid w:val="0097440E"/>
    <w:rsid w:val="00975E33"/>
    <w:rsid w:val="009769B3"/>
    <w:rsid w:val="00976DC5"/>
    <w:rsid w:val="00976E1E"/>
    <w:rsid w:val="009806AE"/>
    <w:rsid w:val="009818C7"/>
    <w:rsid w:val="00982CE7"/>
    <w:rsid w:val="00982DD4"/>
    <w:rsid w:val="009841E5"/>
    <w:rsid w:val="0098479F"/>
    <w:rsid w:val="00984A8A"/>
    <w:rsid w:val="00984EDC"/>
    <w:rsid w:val="009857B6"/>
    <w:rsid w:val="00985A8D"/>
    <w:rsid w:val="00986610"/>
    <w:rsid w:val="009873F3"/>
    <w:rsid w:val="009877DC"/>
    <w:rsid w:val="00987C33"/>
    <w:rsid w:val="00990A40"/>
    <w:rsid w:val="00991DA6"/>
    <w:rsid w:val="00991F96"/>
    <w:rsid w:val="00993BFF"/>
    <w:rsid w:val="00996F0A"/>
    <w:rsid w:val="00996F33"/>
    <w:rsid w:val="009A01B3"/>
    <w:rsid w:val="009A0BD4"/>
    <w:rsid w:val="009A1D86"/>
    <w:rsid w:val="009A26DE"/>
    <w:rsid w:val="009A30CF"/>
    <w:rsid w:val="009A37ED"/>
    <w:rsid w:val="009A416F"/>
    <w:rsid w:val="009A5415"/>
    <w:rsid w:val="009B049C"/>
    <w:rsid w:val="009B08ED"/>
    <w:rsid w:val="009B0DD8"/>
    <w:rsid w:val="009B11C8"/>
    <w:rsid w:val="009B2BCF"/>
    <w:rsid w:val="009B2FF8"/>
    <w:rsid w:val="009B3C4A"/>
    <w:rsid w:val="009B4793"/>
    <w:rsid w:val="009B48A3"/>
    <w:rsid w:val="009B5BA3"/>
    <w:rsid w:val="009B5DD0"/>
    <w:rsid w:val="009B7D9D"/>
    <w:rsid w:val="009C05FA"/>
    <w:rsid w:val="009C1982"/>
    <w:rsid w:val="009C3E33"/>
    <w:rsid w:val="009C58A1"/>
    <w:rsid w:val="009C74B5"/>
    <w:rsid w:val="009D0027"/>
    <w:rsid w:val="009D0655"/>
    <w:rsid w:val="009D3F93"/>
    <w:rsid w:val="009D6BD1"/>
    <w:rsid w:val="009E0C8E"/>
    <w:rsid w:val="009E1E98"/>
    <w:rsid w:val="009E2D34"/>
    <w:rsid w:val="009E3124"/>
    <w:rsid w:val="009E3ABE"/>
    <w:rsid w:val="009E3C4B"/>
    <w:rsid w:val="009E44E1"/>
    <w:rsid w:val="009E5B71"/>
    <w:rsid w:val="009F0637"/>
    <w:rsid w:val="009F0BDB"/>
    <w:rsid w:val="009F11EF"/>
    <w:rsid w:val="009F2CFF"/>
    <w:rsid w:val="009F30D3"/>
    <w:rsid w:val="009F3202"/>
    <w:rsid w:val="009F62A6"/>
    <w:rsid w:val="009F6365"/>
    <w:rsid w:val="009F674F"/>
    <w:rsid w:val="009F6C74"/>
    <w:rsid w:val="009F799E"/>
    <w:rsid w:val="00A02020"/>
    <w:rsid w:val="00A025E1"/>
    <w:rsid w:val="00A0554C"/>
    <w:rsid w:val="00A056CB"/>
    <w:rsid w:val="00A07A29"/>
    <w:rsid w:val="00A10FF1"/>
    <w:rsid w:val="00A11E7A"/>
    <w:rsid w:val="00A1506B"/>
    <w:rsid w:val="00A1528A"/>
    <w:rsid w:val="00A17CB2"/>
    <w:rsid w:val="00A21751"/>
    <w:rsid w:val="00A23191"/>
    <w:rsid w:val="00A237DB"/>
    <w:rsid w:val="00A23995"/>
    <w:rsid w:val="00A276E1"/>
    <w:rsid w:val="00A319C0"/>
    <w:rsid w:val="00A327B5"/>
    <w:rsid w:val="00A33435"/>
    <w:rsid w:val="00A33560"/>
    <w:rsid w:val="00A3361B"/>
    <w:rsid w:val="00A34B70"/>
    <w:rsid w:val="00A364E4"/>
    <w:rsid w:val="00A371A5"/>
    <w:rsid w:val="00A3726F"/>
    <w:rsid w:val="00A41084"/>
    <w:rsid w:val="00A43C82"/>
    <w:rsid w:val="00A43DE0"/>
    <w:rsid w:val="00A47BDF"/>
    <w:rsid w:val="00A51CD7"/>
    <w:rsid w:val="00A52ADB"/>
    <w:rsid w:val="00A531E2"/>
    <w:rsid w:val="00A533E8"/>
    <w:rsid w:val="00A542D9"/>
    <w:rsid w:val="00A5477E"/>
    <w:rsid w:val="00A552EB"/>
    <w:rsid w:val="00A56E64"/>
    <w:rsid w:val="00A624C3"/>
    <w:rsid w:val="00A62F95"/>
    <w:rsid w:val="00A655A3"/>
    <w:rsid w:val="00A6641C"/>
    <w:rsid w:val="00A72F2B"/>
    <w:rsid w:val="00A767D2"/>
    <w:rsid w:val="00A76985"/>
    <w:rsid w:val="00A77616"/>
    <w:rsid w:val="00A802B8"/>
    <w:rsid w:val="00A805DA"/>
    <w:rsid w:val="00A811B4"/>
    <w:rsid w:val="00A81F0E"/>
    <w:rsid w:val="00A83080"/>
    <w:rsid w:val="00A86F3F"/>
    <w:rsid w:val="00A87B3A"/>
    <w:rsid w:val="00A87CDE"/>
    <w:rsid w:val="00A92BAF"/>
    <w:rsid w:val="00A9398C"/>
    <w:rsid w:val="00A94737"/>
    <w:rsid w:val="00A94BA3"/>
    <w:rsid w:val="00A94E61"/>
    <w:rsid w:val="00A96CBA"/>
    <w:rsid w:val="00AA0B0F"/>
    <w:rsid w:val="00AA2E23"/>
    <w:rsid w:val="00AA444B"/>
    <w:rsid w:val="00AA63C5"/>
    <w:rsid w:val="00AA7D50"/>
    <w:rsid w:val="00AB180A"/>
    <w:rsid w:val="00AB1ACD"/>
    <w:rsid w:val="00AB277F"/>
    <w:rsid w:val="00AB3E03"/>
    <w:rsid w:val="00AB4099"/>
    <w:rsid w:val="00AB449A"/>
    <w:rsid w:val="00AB5A9B"/>
    <w:rsid w:val="00AC0BF0"/>
    <w:rsid w:val="00AC268D"/>
    <w:rsid w:val="00AC2BD7"/>
    <w:rsid w:val="00AC3201"/>
    <w:rsid w:val="00AC5843"/>
    <w:rsid w:val="00AC6F95"/>
    <w:rsid w:val="00AD08AB"/>
    <w:rsid w:val="00AD0AAE"/>
    <w:rsid w:val="00AD14F9"/>
    <w:rsid w:val="00AD21D9"/>
    <w:rsid w:val="00AD272A"/>
    <w:rsid w:val="00AD35D6"/>
    <w:rsid w:val="00AD390A"/>
    <w:rsid w:val="00AD3BA6"/>
    <w:rsid w:val="00AD58C5"/>
    <w:rsid w:val="00AD6198"/>
    <w:rsid w:val="00AE0020"/>
    <w:rsid w:val="00AE2685"/>
    <w:rsid w:val="00AE36C4"/>
    <w:rsid w:val="00AE472C"/>
    <w:rsid w:val="00AE5375"/>
    <w:rsid w:val="00AE55CA"/>
    <w:rsid w:val="00AE6CF8"/>
    <w:rsid w:val="00AF1D9C"/>
    <w:rsid w:val="00AF2D1D"/>
    <w:rsid w:val="00AF3222"/>
    <w:rsid w:val="00AF4775"/>
    <w:rsid w:val="00AF4CAC"/>
    <w:rsid w:val="00AF58EB"/>
    <w:rsid w:val="00AF66F2"/>
    <w:rsid w:val="00B00A95"/>
    <w:rsid w:val="00B01C55"/>
    <w:rsid w:val="00B03E0D"/>
    <w:rsid w:val="00B043FB"/>
    <w:rsid w:val="00B05439"/>
    <w:rsid w:val="00B054F8"/>
    <w:rsid w:val="00B07509"/>
    <w:rsid w:val="00B11672"/>
    <w:rsid w:val="00B118F8"/>
    <w:rsid w:val="00B122B7"/>
    <w:rsid w:val="00B15672"/>
    <w:rsid w:val="00B17BC9"/>
    <w:rsid w:val="00B2219A"/>
    <w:rsid w:val="00B22862"/>
    <w:rsid w:val="00B23914"/>
    <w:rsid w:val="00B25676"/>
    <w:rsid w:val="00B317A9"/>
    <w:rsid w:val="00B34920"/>
    <w:rsid w:val="00B34A71"/>
    <w:rsid w:val="00B3581B"/>
    <w:rsid w:val="00B36B81"/>
    <w:rsid w:val="00B36FEE"/>
    <w:rsid w:val="00B373DB"/>
    <w:rsid w:val="00B37926"/>
    <w:rsid w:val="00B37C80"/>
    <w:rsid w:val="00B40D47"/>
    <w:rsid w:val="00B46360"/>
    <w:rsid w:val="00B476B5"/>
    <w:rsid w:val="00B47AAA"/>
    <w:rsid w:val="00B50049"/>
    <w:rsid w:val="00B5062A"/>
    <w:rsid w:val="00B5092B"/>
    <w:rsid w:val="00B518C9"/>
    <w:rsid w:val="00B5194E"/>
    <w:rsid w:val="00B51AF5"/>
    <w:rsid w:val="00B531FC"/>
    <w:rsid w:val="00B55347"/>
    <w:rsid w:val="00B55CF6"/>
    <w:rsid w:val="00B56796"/>
    <w:rsid w:val="00B5774B"/>
    <w:rsid w:val="00B57E5E"/>
    <w:rsid w:val="00B61F37"/>
    <w:rsid w:val="00B634CC"/>
    <w:rsid w:val="00B725AD"/>
    <w:rsid w:val="00B726D3"/>
    <w:rsid w:val="00B72FC8"/>
    <w:rsid w:val="00B73FD7"/>
    <w:rsid w:val="00B7770F"/>
    <w:rsid w:val="00B77A89"/>
    <w:rsid w:val="00B77B27"/>
    <w:rsid w:val="00B8083F"/>
    <w:rsid w:val="00B80F1F"/>
    <w:rsid w:val="00B8134E"/>
    <w:rsid w:val="00B81B55"/>
    <w:rsid w:val="00B844D8"/>
    <w:rsid w:val="00B84613"/>
    <w:rsid w:val="00B87AF0"/>
    <w:rsid w:val="00B9037B"/>
    <w:rsid w:val="00B910BD"/>
    <w:rsid w:val="00B93834"/>
    <w:rsid w:val="00B95282"/>
    <w:rsid w:val="00B96469"/>
    <w:rsid w:val="00BA0DA2"/>
    <w:rsid w:val="00BA2981"/>
    <w:rsid w:val="00BA42EE"/>
    <w:rsid w:val="00BA48F9"/>
    <w:rsid w:val="00BA77A8"/>
    <w:rsid w:val="00BB0DCA"/>
    <w:rsid w:val="00BB2666"/>
    <w:rsid w:val="00BB2AE3"/>
    <w:rsid w:val="00BB52D0"/>
    <w:rsid w:val="00BB6B80"/>
    <w:rsid w:val="00BB7F4F"/>
    <w:rsid w:val="00BC0591"/>
    <w:rsid w:val="00BC1FBD"/>
    <w:rsid w:val="00BC284E"/>
    <w:rsid w:val="00BC3773"/>
    <w:rsid w:val="00BC381A"/>
    <w:rsid w:val="00BC4692"/>
    <w:rsid w:val="00BD0962"/>
    <w:rsid w:val="00BD1450"/>
    <w:rsid w:val="00BD1EED"/>
    <w:rsid w:val="00BE01F0"/>
    <w:rsid w:val="00BE14BA"/>
    <w:rsid w:val="00BE2870"/>
    <w:rsid w:val="00BE2ABD"/>
    <w:rsid w:val="00BE2BEA"/>
    <w:rsid w:val="00BE43B8"/>
    <w:rsid w:val="00BF0DA2"/>
    <w:rsid w:val="00BF109C"/>
    <w:rsid w:val="00BF2A15"/>
    <w:rsid w:val="00BF34FA"/>
    <w:rsid w:val="00BF5C1A"/>
    <w:rsid w:val="00C004B6"/>
    <w:rsid w:val="00C0250D"/>
    <w:rsid w:val="00C03783"/>
    <w:rsid w:val="00C047A7"/>
    <w:rsid w:val="00C04A78"/>
    <w:rsid w:val="00C04ED2"/>
    <w:rsid w:val="00C05DE5"/>
    <w:rsid w:val="00C07F24"/>
    <w:rsid w:val="00C12ED7"/>
    <w:rsid w:val="00C14F8B"/>
    <w:rsid w:val="00C17FE1"/>
    <w:rsid w:val="00C21E68"/>
    <w:rsid w:val="00C24842"/>
    <w:rsid w:val="00C27D9E"/>
    <w:rsid w:val="00C27F38"/>
    <w:rsid w:val="00C31132"/>
    <w:rsid w:val="00C31EBE"/>
    <w:rsid w:val="00C32F08"/>
    <w:rsid w:val="00C33027"/>
    <w:rsid w:val="00C338B2"/>
    <w:rsid w:val="00C34179"/>
    <w:rsid w:val="00C34D38"/>
    <w:rsid w:val="00C37282"/>
    <w:rsid w:val="00C37421"/>
    <w:rsid w:val="00C37667"/>
    <w:rsid w:val="00C435DB"/>
    <w:rsid w:val="00C44D73"/>
    <w:rsid w:val="00C46756"/>
    <w:rsid w:val="00C50B42"/>
    <w:rsid w:val="00C516FF"/>
    <w:rsid w:val="00C52BFA"/>
    <w:rsid w:val="00C53D1D"/>
    <w:rsid w:val="00C53F26"/>
    <w:rsid w:val="00C540BC"/>
    <w:rsid w:val="00C5558D"/>
    <w:rsid w:val="00C5562E"/>
    <w:rsid w:val="00C609C8"/>
    <w:rsid w:val="00C627CD"/>
    <w:rsid w:val="00C645CC"/>
    <w:rsid w:val="00C64F7D"/>
    <w:rsid w:val="00C66174"/>
    <w:rsid w:val="00C67309"/>
    <w:rsid w:val="00C72CDE"/>
    <w:rsid w:val="00C73DC2"/>
    <w:rsid w:val="00C7614E"/>
    <w:rsid w:val="00C77BF1"/>
    <w:rsid w:val="00C8098B"/>
    <w:rsid w:val="00C80D60"/>
    <w:rsid w:val="00C82FBD"/>
    <w:rsid w:val="00C83A2D"/>
    <w:rsid w:val="00C85267"/>
    <w:rsid w:val="00C855EB"/>
    <w:rsid w:val="00C861D8"/>
    <w:rsid w:val="00C8721B"/>
    <w:rsid w:val="00C9004E"/>
    <w:rsid w:val="00C91100"/>
    <w:rsid w:val="00C9372C"/>
    <w:rsid w:val="00C9470E"/>
    <w:rsid w:val="00C95CEB"/>
    <w:rsid w:val="00CA036E"/>
    <w:rsid w:val="00CA1054"/>
    <w:rsid w:val="00CA63EB"/>
    <w:rsid w:val="00CA69F1"/>
    <w:rsid w:val="00CB0EBC"/>
    <w:rsid w:val="00CB402C"/>
    <w:rsid w:val="00CB40AF"/>
    <w:rsid w:val="00CB51B0"/>
    <w:rsid w:val="00CB6790"/>
    <w:rsid w:val="00CB6991"/>
    <w:rsid w:val="00CB6F96"/>
    <w:rsid w:val="00CC0CFC"/>
    <w:rsid w:val="00CC319B"/>
    <w:rsid w:val="00CC4098"/>
    <w:rsid w:val="00CC552D"/>
    <w:rsid w:val="00CC6194"/>
    <w:rsid w:val="00CC6305"/>
    <w:rsid w:val="00CC72E7"/>
    <w:rsid w:val="00CC78A5"/>
    <w:rsid w:val="00CD0516"/>
    <w:rsid w:val="00CD314C"/>
    <w:rsid w:val="00CD756B"/>
    <w:rsid w:val="00CE4791"/>
    <w:rsid w:val="00CE6716"/>
    <w:rsid w:val="00CE734F"/>
    <w:rsid w:val="00CF024D"/>
    <w:rsid w:val="00CF112E"/>
    <w:rsid w:val="00CF12E8"/>
    <w:rsid w:val="00CF1F07"/>
    <w:rsid w:val="00CF5F4F"/>
    <w:rsid w:val="00CF7655"/>
    <w:rsid w:val="00D008A9"/>
    <w:rsid w:val="00D031F3"/>
    <w:rsid w:val="00D129E2"/>
    <w:rsid w:val="00D14E01"/>
    <w:rsid w:val="00D218DC"/>
    <w:rsid w:val="00D24B07"/>
    <w:rsid w:val="00D24E56"/>
    <w:rsid w:val="00D2510F"/>
    <w:rsid w:val="00D25B11"/>
    <w:rsid w:val="00D25CE5"/>
    <w:rsid w:val="00D26D95"/>
    <w:rsid w:val="00D31643"/>
    <w:rsid w:val="00D31AEB"/>
    <w:rsid w:val="00D31B31"/>
    <w:rsid w:val="00D32ECD"/>
    <w:rsid w:val="00D361E4"/>
    <w:rsid w:val="00D36B5D"/>
    <w:rsid w:val="00D36EE6"/>
    <w:rsid w:val="00D3772E"/>
    <w:rsid w:val="00D42A8F"/>
    <w:rsid w:val="00D4321B"/>
    <w:rsid w:val="00D439F6"/>
    <w:rsid w:val="00D447BF"/>
    <w:rsid w:val="00D4585C"/>
    <w:rsid w:val="00D459C6"/>
    <w:rsid w:val="00D45CA1"/>
    <w:rsid w:val="00D47342"/>
    <w:rsid w:val="00D47429"/>
    <w:rsid w:val="00D50729"/>
    <w:rsid w:val="00D50C19"/>
    <w:rsid w:val="00D5238D"/>
    <w:rsid w:val="00D535AB"/>
    <w:rsid w:val="00D5379E"/>
    <w:rsid w:val="00D54C6D"/>
    <w:rsid w:val="00D561C3"/>
    <w:rsid w:val="00D61294"/>
    <w:rsid w:val="00D62643"/>
    <w:rsid w:val="00D62E2B"/>
    <w:rsid w:val="00D64C0F"/>
    <w:rsid w:val="00D66833"/>
    <w:rsid w:val="00D70D2F"/>
    <w:rsid w:val="00D72EFE"/>
    <w:rsid w:val="00D76227"/>
    <w:rsid w:val="00D77DF1"/>
    <w:rsid w:val="00D80E7B"/>
    <w:rsid w:val="00D8112F"/>
    <w:rsid w:val="00D815D0"/>
    <w:rsid w:val="00D84736"/>
    <w:rsid w:val="00D84BC4"/>
    <w:rsid w:val="00D86AFF"/>
    <w:rsid w:val="00D92CAD"/>
    <w:rsid w:val="00D936E1"/>
    <w:rsid w:val="00D93E4F"/>
    <w:rsid w:val="00D955A8"/>
    <w:rsid w:val="00D95A44"/>
    <w:rsid w:val="00D95D16"/>
    <w:rsid w:val="00D9755B"/>
    <w:rsid w:val="00D97C76"/>
    <w:rsid w:val="00DA41EB"/>
    <w:rsid w:val="00DA4D41"/>
    <w:rsid w:val="00DB02B4"/>
    <w:rsid w:val="00DB05F5"/>
    <w:rsid w:val="00DB538D"/>
    <w:rsid w:val="00DB62B5"/>
    <w:rsid w:val="00DB7434"/>
    <w:rsid w:val="00DB7481"/>
    <w:rsid w:val="00DC275C"/>
    <w:rsid w:val="00DC330E"/>
    <w:rsid w:val="00DC4B0D"/>
    <w:rsid w:val="00DC4BA3"/>
    <w:rsid w:val="00DC7030"/>
    <w:rsid w:val="00DC7FE1"/>
    <w:rsid w:val="00DD33E9"/>
    <w:rsid w:val="00DD3F3F"/>
    <w:rsid w:val="00DD4A38"/>
    <w:rsid w:val="00DD5572"/>
    <w:rsid w:val="00DD5EFA"/>
    <w:rsid w:val="00DD627E"/>
    <w:rsid w:val="00DD6E27"/>
    <w:rsid w:val="00DD70F7"/>
    <w:rsid w:val="00DE057C"/>
    <w:rsid w:val="00DE0F16"/>
    <w:rsid w:val="00DE3A75"/>
    <w:rsid w:val="00DE57A7"/>
    <w:rsid w:val="00DE5D80"/>
    <w:rsid w:val="00DE5E04"/>
    <w:rsid w:val="00DE7CF7"/>
    <w:rsid w:val="00DF141F"/>
    <w:rsid w:val="00DF307A"/>
    <w:rsid w:val="00DF58CD"/>
    <w:rsid w:val="00DF6261"/>
    <w:rsid w:val="00DF65DE"/>
    <w:rsid w:val="00DF756A"/>
    <w:rsid w:val="00E001AC"/>
    <w:rsid w:val="00E00E2F"/>
    <w:rsid w:val="00E00E6F"/>
    <w:rsid w:val="00E01504"/>
    <w:rsid w:val="00E019A5"/>
    <w:rsid w:val="00E02EC8"/>
    <w:rsid w:val="00E037F5"/>
    <w:rsid w:val="00E04ECB"/>
    <w:rsid w:val="00E05A09"/>
    <w:rsid w:val="00E0698D"/>
    <w:rsid w:val="00E06CA1"/>
    <w:rsid w:val="00E072A9"/>
    <w:rsid w:val="00E07C50"/>
    <w:rsid w:val="00E1012D"/>
    <w:rsid w:val="00E11AF6"/>
    <w:rsid w:val="00E122DF"/>
    <w:rsid w:val="00E14019"/>
    <w:rsid w:val="00E14345"/>
    <w:rsid w:val="00E172B8"/>
    <w:rsid w:val="00E17FB4"/>
    <w:rsid w:val="00E20636"/>
    <w:rsid w:val="00E20B75"/>
    <w:rsid w:val="00E214F2"/>
    <w:rsid w:val="00E21C06"/>
    <w:rsid w:val="00E2357B"/>
    <w:rsid w:val="00E2371E"/>
    <w:rsid w:val="00E24BD7"/>
    <w:rsid w:val="00E25DC0"/>
    <w:rsid w:val="00E26523"/>
    <w:rsid w:val="00E2675F"/>
    <w:rsid w:val="00E26809"/>
    <w:rsid w:val="00E27E00"/>
    <w:rsid w:val="00E32EAA"/>
    <w:rsid w:val="00E33108"/>
    <w:rsid w:val="00E3412D"/>
    <w:rsid w:val="00E34FA7"/>
    <w:rsid w:val="00E36AB3"/>
    <w:rsid w:val="00E36E70"/>
    <w:rsid w:val="00E37030"/>
    <w:rsid w:val="00E423B5"/>
    <w:rsid w:val="00E4526C"/>
    <w:rsid w:val="00E52AA7"/>
    <w:rsid w:val="00E54264"/>
    <w:rsid w:val="00E5680C"/>
    <w:rsid w:val="00E57322"/>
    <w:rsid w:val="00E60110"/>
    <w:rsid w:val="00E628CB"/>
    <w:rsid w:val="00E62AD9"/>
    <w:rsid w:val="00E62C4D"/>
    <w:rsid w:val="00E638C8"/>
    <w:rsid w:val="00E64D79"/>
    <w:rsid w:val="00E66876"/>
    <w:rsid w:val="00E67C56"/>
    <w:rsid w:val="00E725F2"/>
    <w:rsid w:val="00E73DD0"/>
    <w:rsid w:val="00E74A9F"/>
    <w:rsid w:val="00E7509B"/>
    <w:rsid w:val="00E83C00"/>
    <w:rsid w:val="00E864D1"/>
    <w:rsid w:val="00E86590"/>
    <w:rsid w:val="00E8739D"/>
    <w:rsid w:val="00E907FF"/>
    <w:rsid w:val="00E9355C"/>
    <w:rsid w:val="00E97D01"/>
    <w:rsid w:val="00EA0742"/>
    <w:rsid w:val="00EA35FA"/>
    <w:rsid w:val="00EA42D1"/>
    <w:rsid w:val="00EA42EF"/>
    <w:rsid w:val="00EA5B7E"/>
    <w:rsid w:val="00EA6965"/>
    <w:rsid w:val="00EB1139"/>
    <w:rsid w:val="00EB2DD1"/>
    <w:rsid w:val="00EB5DE8"/>
    <w:rsid w:val="00EB6577"/>
    <w:rsid w:val="00EB6B37"/>
    <w:rsid w:val="00EB7892"/>
    <w:rsid w:val="00EC0605"/>
    <w:rsid w:val="00EC184C"/>
    <w:rsid w:val="00EC243C"/>
    <w:rsid w:val="00EC29FE"/>
    <w:rsid w:val="00EC34D2"/>
    <w:rsid w:val="00EC3C70"/>
    <w:rsid w:val="00EC437D"/>
    <w:rsid w:val="00EC52D2"/>
    <w:rsid w:val="00EC6F8C"/>
    <w:rsid w:val="00EC7BFD"/>
    <w:rsid w:val="00ED00F4"/>
    <w:rsid w:val="00ED3A3D"/>
    <w:rsid w:val="00ED4A61"/>
    <w:rsid w:val="00ED538A"/>
    <w:rsid w:val="00ED6FBC"/>
    <w:rsid w:val="00EE2F16"/>
    <w:rsid w:val="00EE381F"/>
    <w:rsid w:val="00EE3861"/>
    <w:rsid w:val="00EE594E"/>
    <w:rsid w:val="00EF2E73"/>
    <w:rsid w:val="00EF6E0D"/>
    <w:rsid w:val="00EF7683"/>
    <w:rsid w:val="00EF784E"/>
    <w:rsid w:val="00EF7A2D"/>
    <w:rsid w:val="00F01EF6"/>
    <w:rsid w:val="00F04F8D"/>
    <w:rsid w:val="00F10AD0"/>
    <w:rsid w:val="00F116CC"/>
    <w:rsid w:val="00F11F32"/>
    <w:rsid w:val="00F12BD1"/>
    <w:rsid w:val="00F15250"/>
    <w:rsid w:val="00F15327"/>
    <w:rsid w:val="00F168CF"/>
    <w:rsid w:val="00F22499"/>
    <w:rsid w:val="00F23D8F"/>
    <w:rsid w:val="00F2555C"/>
    <w:rsid w:val="00F279F3"/>
    <w:rsid w:val="00F31DF3"/>
    <w:rsid w:val="00F3393D"/>
    <w:rsid w:val="00F33AE5"/>
    <w:rsid w:val="00F3597D"/>
    <w:rsid w:val="00F37CD4"/>
    <w:rsid w:val="00F41BF8"/>
    <w:rsid w:val="00F43766"/>
    <w:rsid w:val="00F4376D"/>
    <w:rsid w:val="00F4463C"/>
    <w:rsid w:val="00F45399"/>
    <w:rsid w:val="00F45980"/>
    <w:rsid w:val="00F465EA"/>
    <w:rsid w:val="00F477CD"/>
    <w:rsid w:val="00F5215C"/>
    <w:rsid w:val="00F53AC3"/>
    <w:rsid w:val="00F54E7B"/>
    <w:rsid w:val="00F559B5"/>
    <w:rsid w:val="00F55A88"/>
    <w:rsid w:val="00F57546"/>
    <w:rsid w:val="00F6007B"/>
    <w:rsid w:val="00F62350"/>
    <w:rsid w:val="00F64271"/>
    <w:rsid w:val="00F65907"/>
    <w:rsid w:val="00F7059D"/>
    <w:rsid w:val="00F715BB"/>
    <w:rsid w:val="00F72029"/>
    <w:rsid w:val="00F74005"/>
    <w:rsid w:val="00F7413A"/>
    <w:rsid w:val="00F74368"/>
    <w:rsid w:val="00F75C04"/>
    <w:rsid w:val="00F76884"/>
    <w:rsid w:val="00F77246"/>
    <w:rsid w:val="00F800C7"/>
    <w:rsid w:val="00F800D7"/>
    <w:rsid w:val="00F8061F"/>
    <w:rsid w:val="00F83285"/>
    <w:rsid w:val="00F83D24"/>
    <w:rsid w:val="00F83DD9"/>
    <w:rsid w:val="00F83F40"/>
    <w:rsid w:val="00F84687"/>
    <w:rsid w:val="00F846A9"/>
    <w:rsid w:val="00F87E42"/>
    <w:rsid w:val="00F90A2E"/>
    <w:rsid w:val="00F92761"/>
    <w:rsid w:val="00F96298"/>
    <w:rsid w:val="00F966AD"/>
    <w:rsid w:val="00FA117A"/>
    <w:rsid w:val="00FA6B20"/>
    <w:rsid w:val="00FA778A"/>
    <w:rsid w:val="00FB0488"/>
    <w:rsid w:val="00FB3255"/>
    <w:rsid w:val="00FB37B2"/>
    <w:rsid w:val="00FB386A"/>
    <w:rsid w:val="00FB5EFE"/>
    <w:rsid w:val="00FC0786"/>
    <w:rsid w:val="00FC2027"/>
    <w:rsid w:val="00FC2453"/>
    <w:rsid w:val="00FC49EF"/>
    <w:rsid w:val="00FD4DB1"/>
    <w:rsid w:val="00FD6499"/>
    <w:rsid w:val="00FD68E0"/>
    <w:rsid w:val="00FE0F2A"/>
    <w:rsid w:val="00FE1216"/>
    <w:rsid w:val="00FE36E2"/>
    <w:rsid w:val="00FE6C50"/>
    <w:rsid w:val="00FE7519"/>
    <w:rsid w:val="00FF11AD"/>
    <w:rsid w:val="00FF2971"/>
    <w:rsid w:val="00FF2E05"/>
    <w:rsid w:val="00FF34D4"/>
    <w:rsid w:val="00FF4A1A"/>
    <w:rsid w:val="00FF63B6"/>
    <w:rsid w:val="00FF7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6E4F"/>
  <w15:chartTrackingRefBased/>
  <w15:docId w15:val="{AF18988F-EE66-414A-96C9-60AAF5C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FB3"/>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151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link w:val="AkapitzlistZnak"/>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2D7FA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icletitle">
    <w:name w:val="articletitle"/>
    <w:basedOn w:val="Domylnaczcionkaakapitu"/>
    <w:rsid w:val="00325814"/>
  </w:style>
  <w:style w:type="character" w:customStyle="1" w:styleId="footnote">
    <w:name w:val="footnote"/>
    <w:basedOn w:val="Domylnaczcionkaakapitu"/>
    <w:rsid w:val="00325814"/>
  </w:style>
  <w:style w:type="paragraph" w:customStyle="1" w:styleId="Default">
    <w:name w:val="Default"/>
    <w:rsid w:val="004328C6"/>
    <w:pPr>
      <w:autoSpaceDE w:val="0"/>
      <w:autoSpaceDN w:val="0"/>
      <w:adjustRightInd w:val="0"/>
    </w:pPr>
    <w:rPr>
      <w:rFonts w:ascii="Times New Roman" w:hAnsi="Times New Roman"/>
      <w:color w:val="000000"/>
      <w:sz w:val="24"/>
      <w:szCs w:val="24"/>
    </w:rPr>
  </w:style>
  <w:style w:type="character" w:customStyle="1" w:styleId="highlight">
    <w:name w:val="highlight"/>
    <w:basedOn w:val="Domylnaczcionkaakapitu"/>
    <w:rsid w:val="004328C6"/>
  </w:style>
  <w:style w:type="character" w:customStyle="1" w:styleId="Nierozpoznanawzmianka1">
    <w:name w:val="Nierozpoznana wzmianka1"/>
    <w:basedOn w:val="Domylnaczcionkaakapitu"/>
    <w:uiPriority w:val="99"/>
    <w:semiHidden/>
    <w:unhideWhenUsed/>
    <w:rsid w:val="00D80E7B"/>
    <w:rPr>
      <w:color w:val="605E5C"/>
      <w:shd w:val="clear" w:color="auto" w:fill="E1DFDD"/>
    </w:rPr>
  </w:style>
  <w:style w:type="paragraph" w:styleId="NormalnyWeb">
    <w:name w:val="Normal (Web)"/>
    <w:basedOn w:val="Normalny"/>
    <w:uiPriority w:val="99"/>
    <w:unhideWhenUsed/>
    <w:rsid w:val="000D782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0D7825"/>
    <w:rPr>
      <w:i/>
      <w:iCs/>
    </w:rPr>
  </w:style>
  <w:style w:type="character" w:styleId="Pogrubienie">
    <w:name w:val="Strong"/>
    <w:basedOn w:val="Domylnaczcionkaakapitu"/>
    <w:uiPriority w:val="22"/>
    <w:qFormat/>
    <w:locked/>
    <w:rsid w:val="000D7825"/>
    <w:rPr>
      <w:b/>
      <w:bCs/>
    </w:rPr>
  </w:style>
  <w:style w:type="character" w:customStyle="1" w:styleId="Nierozpoznanawzmianka2">
    <w:name w:val="Nierozpoznana wzmianka2"/>
    <w:basedOn w:val="Domylnaczcionkaakapitu"/>
    <w:uiPriority w:val="99"/>
    <w:semiHidden/>
    <w:unhideWhenUsed/>
    <w:rsid w:val="000F3C57"/>
    <w:rPr>
      <w:color w:val="605E5C"/>
      <w:shd w:val="clear" w:color="auto" w:fill="E1DFDD"/>
    </w:rPr>
  </w:style>
  <w:style w:type="paragraph" w:styleId="Poprawka">
    <w:name w:val="Revision"/>
    <w:hidden/>
    <w:uiPriority w:val="99"/>
    <w:semiHidden/>
    <w:rsid w:val="006A502B"/>
    <w:rPr>
      <w:sz w:val="22"/>
      <w:szCs w:val="22"/>
      <w:lang w:eastAsia="en-US"/>
    </w:rPr>
  </w:style>
  <w:style w:type="character" w:customStyle="1" w:styleId="Nierozpoznanawzmianka3">
    <w:name w:val="Nierozpoznana wzmianka3"/>
    <w:basedOn w:val="Domylnaczcionkaakapitu"/>
    <w:uiPriority w:val="99"/>
    <w:semiHidden/>
    <w:unhideWhenUsed/>
    <w:rsid w:val="00CF7655"/>
    <w:rPr>
      <w:color w:val="605E5C"/>
      <w:shd w:val="clear" w:color="auto" w:fill="E1DFDD"/>
    </w:rPr>
  </w:style>
  <w:style w:type="character" w:customStyle="1" w:styleId="AkapitzlistZnak">
    <w:name w:val="Akapit z listą Znak"/>
    <w:link w:val="Akapitzlist"/>
    <w:uiPriority w:val="34"/>
    <w:rsid w:val="002B4094"/>
    <w:rPr>
      <w:sz w:val="22"/>
      <w:szCs w:val="22"/>
      <w:lang w:eastAsia="en-US"/>
    </w:rPr>
  </w:style>
  <w:style w:type="character" w:customStyle="1" w:styleId="Nagwek2Znak">
    <w:name w:val="Nagłówek 2 Znak"/>
    <w:basedOn w:val="Domylnaczcionkaakapitu"/>
    <w:link w:val="Nagwek2"/>
    <w:semiHidden/>
    <w:rsid w:val="00151E8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55355303">
      <w:bodyDiv w:val="1"/>
      <w:marLeft w:val="0"/>
      <w:marRight w:val="0"/>
      <w:marTop w:val="0"/>
      <w:marBottom w:val="0"/>
      <w:divBdr>
        <w:top w:val="none" w:sz="0" w:space="0" w:color="auto"/>
        <w:left w:val="none" w:sz="0" w:space="0" w:color="auto"/>
        <w:bottom w:val="none" w:sz="0" w:space="0" w:color="auto"/>
        <w:right w:val="none" w:sz="0" w:space="0" w:color="auto"/>
      </w:divBdr>
    </w:div>
    <w:div w:id="45869077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1136876">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80854482">
      <w:bodyDiv w:val="1"/>
      <w:marLeft w:val="0"/>
      <w:marRight w:val="0"/>
      <w:marTop w:val="0"/>
      <w:marBottom w:val="0"/>
      <w:divBdr>
        <w:top w:val="none" w:sz="0" w:space="0" w:color="auto"/>
        <w:left w:val="none" w:sz="0" w:space="0" w:color="auto"/>
        <w:bottom w:val="none" w:sz="0" w:space="0" w:color="auto"/>
        <w:right w:val="none" w:sz="0" w:space="0" w:color="auto"/>
      </w:divBdr>
    </w:div>
    <w:div w:id="688600074">
      <w:bodyDiv w:val="1"/>
      <w:marLeft w:val="0"/>
      <w:marRight w:val="0"/>
      <w:marTop w:val="0"/>
      <w:marBottom w:val="0"/>
      <w:divBdr>
        <w:top w:val="none" w:sz="0" w:space="0" w:color="auto"/>
        <w:left w:val="none" w:sz="0" w:space="0" w:color="auto"/>
        <w:bottom w:val="none" w:sz="0" w:space="0" w:color="auto"/>
        <w:right w:val="none" w:sz="0" w:space="0" w:color="auto"/>
      </w:divBdr>
    </w:div>
    <w:div w:id="715550766">
      <w:bodyDiv w:val="1"/>
      <w:marLeft w:val="0"/>
      <w:marRight w:val="0"/>
      <w:marTop w:val="0"/>
      <w:marBottom w:val="0"/>
      <w:divBdr>
        <w:top w:val="none" w:sz="0" w:space="0" w:color="auto"/>
        <w:left w:val="none" w:sz="0" w:space="0" w:color="auto"/>
        <w:bottom w:val="none" w:sz="0" w:space="0" w:color="auto"/>
        <w:right w:val="none" w:sz="0" w:space="0" w:color="auto"/>
      </w:divBdr>
    </w:div>
    <w:div w:id="728769694">
      <w:bodyDiv w:val="1"/>
      <w:marLeft w:val="0"/>
      <w:marRight w:val="0"/>
      <w:marTop w:val="0"/>
      <w:marBottom w:val="0"/>
      <w:divBdr>
        <w:top w:val="none" w:sz="0" w:space="0" w:color="auto"/>
        <w:left w:val="none" w:sz="0" w:space="0" w:color="auto"/>
        <w:bottom w:val="none" w:sz="0" w:space="0" w:color="auto"/>
        <w:right w:val="none" w:sz="0" w:space="0" w:color="auto"/>
      </w:divBdr>
      <w:divsChild>
        <w:div w:id="83503375">
          <w:marLeft w:val="0"/>
          <w:marRight w:val="0"/>
          <w:marTop w:val="0"/>
          <w:marBottom w:val="0"/>
          <w:divBdr>
            <w:top w:val="none" w:sz="0" w:space="0" w:color="auto"/>
            <w:left w:val="none" w:sz="0" w:space="0" w:color="auto"/>
            <w:bottom w:val="none" w:sz="0" w:space="0" w:color="auto"/>
            <w:right w:val="none" w:sz="0" w:space="0" w:color="auto"/>
          </w:divBdr>
        </w:div>
        <w:div w:id="1709140954">
          <w:marLeft w:val="0"/>
          <w:marRight w:val="0"/>
          <w:marTop w:val="0"/>
          <w:marBottom w:val="0"/>
          <w:divBdr>
            <w:top w:val="none" w:sz="0" w:space="0" w:color="auto"/>
            <w:left w:val="none" w:sz="0" w:space="0" w:color="auto"/>
            <w:bottom w:val="none" w:sz="0" w:space="0" w:color="auto"/>
            <w:right w:val="none" w:sz="0" w:space="0" w:color="auto"/>
          </w:divBdr>
          <w:divsChild>
            <w:div w:id="734279026">
              <w:marLeft w:val="0"/>
              <w:marRight w:val="0"/>
              <w:marTop w:val="0"/>
              <w:marBottom w:val="0"/>
              <w:divBdr>
                <w:top w:val="none" w:sz="0" w:space="0" w:color="auto"/>
                <w:left w:val="none" w:sz="0" w:space="0" w:color="auto"/>
                <w:bottom w:val="none" w:sz="0" w:space="0" w:color="auto"/>
                <w:right w:val="none" w:sz="0" w:space="0" w:color="auto"/>
              </w:divBdr>
            </w:div>
          </w:divsChild>
        </w:div>
        <w:div w:id="1904556580">
          <w:marLeft w:val="0"/>
          <w:marRight w:val="0"/>
          <w:marTop w:val="0"/>
          <w:marBottom w:val="0"/>
          <w:divBdr>
            <w:top w:val="none" w:sz="0" w:space="0" w:color="auto"/>
            <w:left w:val="none" w:sz="0" w:space="0" w:color="auto"/>
            <w:bottom w:val="none" w:sz="0" w:space="0" w:color="auto"/>
            <w:right w:val="none" w:sz="0" w:space="0" w:color="auto"/>
          </w:divBdr>
          <w:divsChild>
            <w:div w:id="860977760">
              <w:marLeft w:val="0"/>
              <w:marRight w:val="0"/>
              <w:marTop w:val="0"/>
              <w:marBottom w:val="0"/>
              <w:divBdr>
                <w:top w:val="none" w:sz="0" w:space="0" w:color="auto"/>
                <w:left w:val="none" w:sz="0" w:space="0" w:color="auto"/>
                <w:bottom w:val="none" w:sz="0" w:space="0" w:color="auto"/>
                <w:right w:val="none" w:sz="0" w:space="0" w:color="auto"/>
              </w:divBdr>
            </w:div>
            <w:div w:id="476189074">
              <w:marLeft w:val="0"/>
              <w:marRight w:val="0"/>
              <w:marTop w:val="0"/>
              <w:marBottom w:val="0"/>
              <w:divBdr>
                <w:top w:val="none" w:sz="0" w:space="0" w:color="auto"/>
                <w:left w:val="none" w:sz="0" w:space="0" w:color="auto"/>
                <w:bottom w:val="none" w:sz="0" w:space="0" w:color="auto"/>
                <w:right w:val="none" w:sz="0" w:space="0" w:color="auto"/>
              </w:divBdr>
              <w:divsChild>
                <w:div w:id="26948485">
                  <w:marLeft w:val="0"/>
                  <w:marRight w:val="0"/>
                  <w:marTop w:val="0"/>
                  <w:marBottom w:val="0"/>
                  <w:divBdr>
                    <w:top w:val="none" w:sz="0" w:space="0" w:color="auto"/>
                    <w:left w:val="none" w:sz="0" w:space="0" w:color="auto"/>
                    <w:bottom w:val="none" w:sz="0" w:space="0" w:color="auto"/>
                    <w:right w:val="none" w:sz="0" w:space="0" w:color="auto"/>
                  </w:divBdr>
                  <w:divsChild>
                    <w:div w:id="15489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1318">
              <w:marLeft w:val="0"/>
              <w:marRight w:val="0"/>
              <w:marTop w:val="0"/>
              <w:marBottom w:val="0"/>
              <w:divBdr>
                <w:top w:val="none" w:sz="0" w:space="0" w:color="auto"/>
                <w:left w:val="none" w:sz="0" w:space="0" w:color="auto"/>
                <w:bottom w:val="none" w:sz="0" w:space="0" w:color="auto"/>
                <w:right w:val="none" w:sz="0" w:space="0" w:color="auto"/>
              </w:divBdr>
              <w:divsChild>
                <w:div w:id="1465200388">
                  <w:marLeft w:val="0"/>
                  <w:marRight w:val="0"/>
                  <w:marTop w:val="0"/>
                  <w:marBottom w:val="0"/>
                  <w:divBdr>
                    <w:top w:val="none" w:sz="0" w:space="0" w:color="auto"/>
                    <w:left w:val="none" w:sz="0" w:space="0" w:color="auto"/>
                    <w:bottom w:val="none" w:sz="0" w:space="0" w:color="auto"/>
                    <w:right w:val="none" w:sz="0" w:space="0" w:color="auto"/>
                  </w:divBdr>
                  <w:divsChild>
                    <w:div w:id="1489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58">
              <w:marLeft w:val="0"/>
              <w:marRight w:val="0"/>
              <w:marTop w:val="0"/>
              <w:marBottom w:val="0"/>
              <w:divBdr>
                <w:top w:val="none" w:sz="0" w:space="0" w:color="auto"/>
                <w:left w:val="none" w:sz="0" w:space="0" w:color="auto"/>
                <w:bottom w:val="none" w:sz="0" w:space="0" w:color="auto"/>
                <w:right w:val="none" w:sz="0" w:space="0" w:color="auto"/>
              </w:divBdr>
              <w:divsChild>
                <w:div w:id="642589285">
                  <w:marLeft w:val="0"/>
                  <w:marRight w:val="0"/>
                  <w:marTop w:val="0"/>
                  <w:marBottom w:val="0"/>
                  <w:divBdr>
                    <w:top w:val="none" w:sz="0" w:space="0" w:color="auto"/>
                    <w:left w:val="none" w:sz="0" w:space="0" w:color="auto"/>
                    <w:bottom w:val="none" w:sz="0" w:space="0" w:color="auto"/>
                    <w:right w:val="none" w:sz="0" w:space="0" w:color="auto"/>
                  </w:divBdr>
                  <w:divsChild>
                    <w:div w:id="372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0842">
              <w:marLeft w:val="0"/>
              <w:marRight w:val="0"/>
              <w:marTop w:val="0"/>
              <w:marBottom w:val="0"/>
              <w:divBdr>
                <w:top w:val="none" w:sz="0" w:space="0" w:color="auto"/>
                <w:left w:val="none" w:sz="0" w:space="0" w:color="auto"/>
                <w:bottom w:val="none" w:sz="0" w:space="0" w:color="auto"/>
                <w:right w:val="none" w:sz="0" w:space="0" w:color="auto"/>
              </w:divBdr>
              <w:divsChild>
                <w:div w:id="737363443">
                  <w:marLeft w:val="0"/>
                  <w:marRight w:val="0"/>
                  <w:marTop w:val="0"/>
                  <w:marBottom w:val="0"/>
                  <w:divBdr>
                    <w:top w:val="none" w:sz="0" w:space="0" w:color="auto"/>
                    <w:left w:val="none" w:sz="0" w:space="0" w:color="auto"/>
                    <w:bottom w:val="none" w:sz="0" w:space="0" w:color="auto"/>
                    <w:right w:val="none" w:sz="0" w:space="0" w:color="auto"/>
                  </w:divBdr>
                  <w:divsChild>
                    <w:div w:id="1117522872">
                      <w:marLeft w:val="0"/>
                      <w:marRight w:val="0"/>
                      <w:marTop w:val="0"/>
                      <w:marBottom w:val="0"/>
                      <w:divBdr>
                        <w:top w:val="none" w:sz="0" w:space="0" w:color="auto"/>
                        <w:left w:val="none" w:sz="0" w:space="0" w:color="auto"/>
                        <w:bottom w:val="none" w:sz="0" w:space="0" w:color="auto"/>
                        <w:right w:val="none" w:sz="0" w:space="0" w:color="auto"/>
                      </w:divBdr>
                    </w:div>
                    <w:div w:id="859003431">
                      <w:marLeft w:val="0"/>
                      <w:marRight w:val="0"/>
                      <w:marTop w:val="0"/>
                      <w:marBottom w:val="0"/>
                      <w:divBdr>
                        <w:top w:val="none" w:sz="0" w:space="0" w:color="auto"/>
                        <w:left w:val="none" w:sz="0" w:space="0" w:color="auto"/>
                        <w:bottom w:val="none" w:sz="0" w:space="0" w:color="auto"/>
                        <w:right w:val="none" w:sz="0" w:space="0" w:color="auto"/>
                      </w:divBdr>
                      <w:divsChild>
                        <w:div w:id="456266144">
                          <w:marLeft w:val="0"/>
                          <w:marRight w:val="0"/>
                          <w:marTop w:val="0"/>
                          <w:marBottom w:val="0"/>
                          <w:divBdr>
                            <w:top w:val="none" w:sz="0" w:space="0" w:color="auto"/>
                            <w:left w:val="none" w:sz="0" w:space="0" w:color="auto"/>
                            <w:bottom w:val="none" w:sz="0" w:space="0" w:color="auto"/>
                            <w:right w:val="none" w:sz="0" w:space="0" w:color="auto"/>
                          </w:divBdr>
                        </w:div>
                      </w:divsChild>
                    </w:div>
                    <w:div w:id="102111226">
                      <w:marLeft w:val="0"/>
                      <w:marRight w:val="0"/>
                      <w:marTop w:val="0"/>
                      <w:marBottom w:val="0"/>
                      <w:divBdr>
                        <w:top w:val="none" w:sz="0" w:space="0" w:color="auto"/>
                        <w:left w:val="none" w:sz="0" w:space="0" w:color="auto"/>
                        <w:bottom w:val="none" w:sz="0" w:space="0" w:color="auto"/>
                        <w:right w:val="none" w:sz="0" w:space="0" w:color="auto"/>
                      </w:divBdr>
                      <w:divsChild>
                        <w:div w:id="832381591">
                          <w:marLeft w:val="0"/>
                          <w:marRight w:val="0"/>
                          <w:marTop w:val="0"/>
                          <w:marBottom w:val="0"/>
                          <w:divBdr>
                            <w:top w:val="none" w:sz="0" w:space="0" w:color="auto"/>
                            <w:left w:val="none" w:sz="0" w:space="0" w:color="auto"/>
                            <w:bottom w:val="none" w:sz="0" w:space="0" w:color="auto"/>
                            <w:right w:val="none" w:sz="0" w:space="0" w:color="auto"/>
                          </w:divBdr>
                        </w:div>
                      </w:divsChild>
                    </w:div>
                    <w:div w:id="19477858">
                      <w:marLeft w:val="0"/>
                      <w:marRight w:val="0"/>
                      <w:marTop w:val="0"/>
                      <w:marBottom w:val="0"/>
                      <w:divBdr>
                        <w:top w:val="none" w:sz="0" w:space="0" w:color="auto"/>
                        <w:left w:val="none" w:sz="0" w:space="0" w:color="auto"/>
                        <w:bottom w:val="none" w:sz="0" w:space="0" w:color="auto"/>
                        <w:right w:val="none" w:sz="0" w:space="0" w:color="auto"/>
                      </w:divBdr>
                      <w:divsChild>
                        <w:div w:id="1431971512">
                          <w:marLeft w:val="0"/>
                          <w:marRight w:val="0"/>
                          <w:marTop w:val="0"/>
                          <w:marBottom w:val="0"/>
                          <w:divBdr>
                            <w:top w:val="none" w:sz="0" w:space="0" w:color="auto"/>
                            <w:left w:val="none" w:sz="0" w:space="0" w:color="auto"/>
                            <w:bottom w:val="none" w:sz="0" w:space="0" w:color="auto"/>
                            <w:right w:val="none" w:sz="0" w:space="0" w:color="auto"/>
                          </w:divBdr>
                        </w:div>
                      </w:divsChild>
                    </w:div>
                    <w:div w:id="541671196">
                      <w:marLeft w:val="0"/>
                      <w:marRight w:val="0"/>
                      <w:marTop w:val="0"/>
                      <w:marBottom w:val="0"/>
                      <w:divBdr>
                        <w:top w:val="none" w:sz="0" w:space="0" w:color="auto"/>
                        <w:left w:val="none" w:sz="0" w:space="0" w:color="auto"/>
                        <w:bottom w:val="none" w:sz="0" w:space="0" w:color="auto"/>
                        <w:right w:val="none" w:sz="0" w:space="0" w:color="auto"/>
                      </w:divBdr>
                      <w:divsChild>
                        <w:div w:id="193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091">
              <w:marLeft w:val="0"/>
              <w:marRight w:val="0"/>
              <w:marTop w:val="0"/>
              <w:marBottom w:val="0"/>
              <w:divBdr>
                <w:top w:val="none" w:sz="0" w:space="0" w:color="auto"/>
                <w:left w:val="none" w:sz="0" w:space="0" w:color="auto"/>
                <w:bottom w:val="none" w:sz="0" w:space="0" w:color="auto"/>
                <w:right w:val="none" w:sz="0" w:space="0" w:color="auto"/>
              </w:divBdr>
              <w:divsChild>
                <w:div w:id="1748723713">
                  <w:marLeft w:val="0"/>
                  <w:marRight w:val="0"/>
                  <w:marTop w:val="0"/>
                  <w:marBottom w:val="0"/>
                  <w:divBdr>
                    <w:top w:val="none" w:sz="0" w:space="0" w:color="auto"/>
                    <w:left w:val="none" w:sz="0" w:space="0" w:color="auto"/>
                    <w:bottom w:val="none" w:sz="0" w:space="0" w:color="auto"/>
                    <w:right w:val="none" w:sz="0" w:space="0" w:color="auto"/>
                  </w:divBdr>
                  <w:divsChild>
                    <w:div w:id="1079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207">
              <w:marLeft w:val="0"/>
              <w:marRight w:val="0"/>
              <w:marTop w:val="0"/>
              <w:marBottom w:val="0"/>
              <w:divBdr>
                <w:top w:val="none" w:sz="0" w:space="0" w:color="auto"/>
                <w:left w:val="none" w:sz="0" w:space="0" w:color="auto"/>
                <w:bottom w:val="none" w:sz="0" w:space="0" w:color="auto"/>
                <w:right w:val="none" w:sz="0" w:space="0" w:color="auto"/>
              </w:divBdr>
              <w:divsChild>
                <w:div w:id="1238519226">
                  <w:marLeft w:val="0"/>
                  <w:marRight w:val="0"/>
                  <w:marTop w:val="0"/>
                  <w:marBottom w:val="0"/>
                  <w:divBdr>
                    <w:top w:val="none" w:sz="0" w:space="0" w:color="auto"/>
                    <w:left w:val="none" w:sz="0" w:space="0" w:color="auto"/>
                    <w:bottom w:val="none" w:sz="0" w:space="0" w:color="auto"/>
                    <w:right w:val="none" w:sz="0" w:space="0" w:color="auto"/>
                  </w:divBdr>
                  <w:divsChild>
                    <w:div w:id="5165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4923">
          <w:marLeft w:val="0"/>
          <w:marRight w:val="0"/>
          <w:marTop w:val="0"/>
          <w:marBottom w:val="0"/>
          <w:divBdr>
            <w:top w:val="none" w:sz="0" w:space="0" w:color="auto"/>
            <w:left w:val="none" w:sz="0" w:space="0" w:color="auto"/>
            <w:bottom w:val="none" w:sz="0" w:space="0" w:color="auto"/>
            <w:right w:val="none" w:sz="0" w:space="0" w:color="auto"/>
          </w:divBdr>
          <w:divsChild>
            <w:div w:id="59209197">
              <w:marLeft w:val="0"/>
              <w:marRight w:val="0"/>
              <w:marTop w:val="0"/>
              <w:marBottom w:val="0"/>
              <w:divBdr>
                <w:top w:val="none" w:sz="0" w:space="0" w:color="auto"/>
                <w:left w:val="none" w:sz="0" w:space="0" w:color="auto"/>
                <w:bottom w:val="none" w:sz="0" w:space="0" w:color="auto"/>
                <w:right w:val="none" w:sz="0" w:space="0" w:color="auto"/>
              </w:divBdr>
            </w:div>
            <w:div w:id="52584603">
              <w:marLeft w:val="0"/>
              <w:marRight w:val="0"/>
              <w:marTop w:val="0"/>
              <w:marBottom w:val="0"/>
              <w:divBdr>
                <w:top w:val="none" w:sz="0" w:space="0" w:color="auto"/>
                <w:left w:val="none" w:sz="0" w:space="0" w:color="auto"/>
                <w:bottom w:val="none" w:sz="0" w:space="0" w:color="auto"/>
                <w:right w:val="none" w:sz="0" w:space="0" w:color="auto"/>
              </w:divBdr>
              <w:divsChild>
                <w:div w:id="120074450">
                  <w:marLeft w:val="0"/>
                  <w:marRight w:val="0"/>
                  <w:marTop w:val="0"/>
                  <w:marBottom w:val="0"/>
                  <w:divBdr>
                    <w:top w:val="none" w:sz="0" w:space="0" w:color="auto"/>
                    <w:left w:val="none" w:sz="0" w:space="0" w:color="auto"/>
                    <w:bottom w:val="none" w:sz="0" w:space="0" w:color="auto"/>
                    <w:right w:val="none" w:sz="0" w:space="0" w:color="auto"/>
                  </w:divBdr>
                  <w:divsChild>
                    <w:div w:id="852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08">
              <w:marLeft w:val="0"/>
              <w:marRight w:val="0"/>
              <w:marTop w:val="0"/>
              <w:marBottom w:val="0"/>
              <w:divBdr>
                <w:top w:val="none" w:sz="0" w:space="0" w:color="auto"/>
                <w:left w:val="none" w:sz="0" w:space="0" w:color="auto"/>
                <w:bottom w:val="none" w:sz="0" w:space="0" w:color="auto"/>
                <w:right w:val="none" w:sz="0" w:space="0" w:color="auto"/>
              </w:divBdr>
              <w:divsChild>
                <w:div w:id="137113047">
                  <w:marLeft w:val="0"/>
                  <w:marRight w:val="0"/>
                  <w:marTop w:val="0"/>
                  <w:marBottom w:val="0"/>
                  <w:divBdr>
                    <w:top w:val="none" w:sz="0" w:space="0" w:color="auto"/>
                    <w:left w:val="none" w:sz="0" w:space="0" w:color="auto"/>
                    <w:bottom w:val="none" w:sz="0" w:space="0" w:color="auto"/>
                    <w:right w:val="none" w:sz="0" w:space="0" w:color="auto"/>
                  </w:divBdr>
                  <w:divsChild>
                    <w:div w:id="10346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572">
          <w:marLeft w:val="0"/>
          <w:marRight w:val="0"/>
          <w:marTop w:val="0"/>
          <w:marBottom w:val="0"/>
          <w:divBdr>
            <w:top w:val="none" w:sz="0" w:space="0" w:color="auto"/>
            <w:left w:val="none" w:sz="0" w:space="0" w:color="auto"/>
            <w:bottom w:val="none" w:sz="0" w:space="0" w:color="auto"/>
            <w:right w:val="none" w:sz="0" w:space="0" w:color="auto"/>
          </w:divBdr>
          <w:divsChild>
            <w:div w:id="1138569341">
              <w:marLeft w:val="0"/>
              <w:marRight w:val="0"/>
              <w:marTop w:val="0"/>
              <w:marBottom w:val="0"/>
              <w:divBdr>
                <w:top w:val="none" w:sz="0" w:space="0" w:color="auto"/>
                <w:left w:val="none" w:sz="0" w:space="0" w:color="auto"/>
                <w:bottom w:val="none" w:sz="0" w:space="0" w:color="auto"/>
                <w:right w:val="none" w:sz="0" w:space="0" w:color="auto"/>
              </w:divBdr>
            </w:div>
            <w:div w:id="552159332">
              <w:marLeft w:val="0"/>
              <w:marRight w:val="0"/>
              <w:marTop w:val="0"/>
              <w:marBottom w:val="0"/>
              <w:divBdr>
                <w:top w:val="none" w:sz="0" w:space="0" w:color="auto"/>
                <w:left w:val="none" w:sz="0" w:space="0" w:color="auto"/>
                <w:bottom w:val="none" w:sz="0" w:space="0" w:color="auto"/>
                <w:right w:val="none" w:sz="0" w:space="0" w:color="auto"/>
              </w:divBdr>
              <w:divsChild>
                <w:div w:id="1930232643">
                  <w:marLeft w:val="0"/>
                  <w:marRight w:val="0"/>
                  <w:marTop w:val="0"/>
                  <w:marBottom w:val="0"/>
                  <w:divBdr>
                    <w:top w:val="none" w:sz="0" w:space="0" w:color="auto"/>
                    <w:left w:val="none" w:sz="0" w:space="0" w:color="auto"/>
                    <w:bottom w:val="none" w:sz="0" w:space="0" w:color="auto"/>
                    <w:right w:val="none" w:sz="0" w:space="0" w:color="auto"/>
                  </w:divBdr>
                  <w:divsChild>
                    <w:div w:id="11052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580">
              <w:marLeft w:val="0"/>
              <w:marRight w:val="0"/>
              <w:marTop w:val="0"/>
              <w:marBottom w:val="0"/>
              <w:divBdr>
                <w:top w:val="none" w:sz="0" w:space="0" w:color="auto"/>
                <w:left w:val="none" w:sz="0" w:space="0" w:color="auto"/>
                <w:bottom w:val="none" w:sz="0" w:space="0" w:color="auto"/>
                <w:right w:val="none" w:sz="0" w:space="0" w:color="auto"/>
              </w:divBdr>
              <w:divsChild>
                <w:div w:id="68158307">
                  <w:marLeft w:val="0"/>
                  <w:marRight w:val="0"/>
                  <w:marTop w:val="0"/>
                  <w:marBottom w:val="0"/>
                  <w:divBdr>
                    <w:top w:val="none" w:sz="0" w:space="0" w:color="auto"/>
                    <w:left w:val="none" w:sz="0" w:space="0" w:color="auto"/>
                    <w:bottom w:val="none" w:sz="0" w:space="0" w:color="auto"/>
                    <w:right w:val="none" w:sz="0" w:space="0" w:color="auto"/>
                  </w:divBdr>
                  <w:divsChild>
                    <w:div w:id="1339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827">
              <w:marLeft w:val="0"/>
              <w:marRight w:val="0"/>
              <w:marTop w:val="0"/>
              <w:marBottom w:val="0"/>
              <w:divBdr>
                <w:top w:val="none" w:sz="0" w:space="0" w:color="auto"/>
                <w:left w:val="none" w:sz="0" w:space="0" w:color="auto"/>
                <w:bottom w:val="none" w:sz="0" w:space="0" w:color="auto"/>
                <w:right w:val="none" w:sz="0" w:space="0" w:color="auto"/>
              </w:divBdr>
              <w:divsChild>
                <w:div w:id="1129323741">
                  <w:marLeft w:val="0"/>
                  <w:marRight w:val="0"/>
                  <w:marTop w:val="0"/>
                  <w:marBottom w:val="0"/>
                  <w:divBdr>
                    <w:top w:val="none" w:sz="0" w:space="0" w:color="auto"/>
                    <w:left w:val="none" w:sz="0" w:space="0" w:color="auto"/>
                    <w:bottom w:val="none" w:sz="0" w:space="0" w:color="auto"/>
                    <w:right w:val="none" w:sz="0" w:space="0" w:color="auto"/>
                  </w:divBdr>
                  <w:divsChild>
                    <w:div w:id="976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2909">
          <w:marLeft w:val="0"/>
          <w:marRight w:val="0"/>
          <w:marTop w:val="0"/>
          <w:marBottom w:val="0"/>
          <w:divBdr>
            <w:top w:val="none" w:sz="0" w:space="0" w:color="auto"/>
            <w:left w:val="none" w:sz="0" w:space="0" w:color="auto"/>
            <w:bottom w:val="none" w:sz="0" w:space="0" w:color="auto"/>
            <w:right w:val="none" w:sz="0" w:space="0" w:color="auto"/>
          </w:divBdr>
          <w:divsChild>
            <w:div w:id="1082605617">
              <w:marLeft w:val="0"/>
              <w:marRight w:val="0"/>
              <w:marTop w:val="0"/>
              <w:marBottom w:val="0"/>
              <w:divBdr>
                <w:top w:val="none" w:sz="0" w:space="0" w:color="auto"/>
                <w:left w:val="none" w:sz="0" w:space="0" w:color="auto"/>
                <w:bottom w:val="none" w:sz="0" w:space="0" w:color="auto"/>
                <w:right w:val="none" w:sz="0" w:space="0" w:color="auto"/>
              </w:divBdr>
            </w:div>
          </w:divsChild>
        </w:div>
        <w:div w:id="405615614">
          <w:marLeft w:val="0"/>
          <w:marRight w:val="0"/>
          <w:marTop w:val="0"/>
          <w:marBottom w:val="0"/>
          <w:divBdr>
            <w:top w:val="none" w:sz="0" w:space="0" w:color="auto"/>
            <w:left w:val="none" w:sz="0" w:space="0" w:color="auto"/>
            <w:bottom w:val="none" w:sz="0" w:space="0" w:color="auto"/>
            <w:right w:val="none" w:sz="0" w:space="0" w:color="auto"/>
          </w:divBdr>
          <w:divsChild>
            <w:div w:id="1605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1259">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7378960">
      <w:bodyDiv w:val="1"/>
      <w:marLeft w:val="0"/>
      <w:marRight w:val="0"/>
      <w:marTop w:val="0"/>
      <w:marBottom w:val="0"/>
      <w:divBdr>
        <w:top w:val="none" w:sz="0" w:space="0" w:color="auto"/>
        <w:left w:val="none" w:sz="0" w:space="0" w:color="auto"/>
        <w:bottom w:val="none" w:sz="0" w:space="0" w:color="auto"/>
        <w:right w:val="none" w:sz="0" w:space="0" w:color="auto"/>
      </w:divBdr>
      <w:divsChild>
        <w:div w:id="973413617">
          <w:marLeft w:val="0"/>
          <w:marRight w:val="0"/>
          <w:marTop w:val="0"/>
          <w:marBottom w:val="0"/>
          <w:divBdr>
            <w:top w:val="none" w:sz="0" w:space="0" w:color="auto"/>
            <w:left w:val="none" w:sz="0" w:space="0" w:color="auto"/>
            <w:bottom w:val="none" w:sz="0" w:space="0" w:color="auto"/>
            <w:right w:val="none" w:sz="0" w:space="0" w:color="auto"/>
          </w:divBdr>
          <w:divsChild>
            <w:div w:id="1045258602">
              <w:marLeft w:val="0"/>
              <w:marRight w:val="0"/>
              <w:marTop w:val="0"/>
              <w:marBottom w:val="0"/>
              <w:divBdr>
                <w:top w:val="none" w:sz="0" w:space="0" w:color="auto"/>
                <w:left w:val="none" w:sz="0" w:space="0" w:color="auto"/>
                <w:bottom w:val="none" w:sz="0" w:space="0" w:color="auto"/>
                <w:right w:val="none" w:sz="0" w:space="0" w:color="auto"/>
              </w:divBdr>
            </w:div>
          </w:divsChild>
        </w:div>
        <w:div w:id="520238958">
          <w:marLeft w:val="0"/>
          <w:marRight w:val="0"/>
          <w:marTop w:val="0"/>
          <w:marBottom w:val="0"/>
          <w:divBdr>
            <w:top w:val="none" w:sz="0" w:space="0" w:color="auto"/>
            <w:left w:val="none" w:sz="0" w:space="0" w:color="auto"/>
            <w:bottom w:val="none" w:sz="0" w:space="0" w:color="auto"/>
            <w:right w:val="none" w:sz="0" w:space="0" w:color="auto"/>
          </w:divBdr>
          <w:divsChild>
            <w:div w:id="1776098983">
              <w:marLeft w:val="0"/>
              <w:marRight w:val="0"/>
              <w:marTop w:val="0"/>
              <w:marBottom w:val="0"/>
              <w:divBdr>
                <w:top w:val="none" w:sz="0" w:space="0" w:color="auto"/>
                <w:left w:val="none" w:sz="0" w:space="0" w:color="auto"/>
                <w:bottom w:val="none" w:sz="0" w:space="0" w:color="auto"/>
                <w:right w:val="none" w:sz="0" w:space="0" w:color="auto"/>
              </w:divBdr>
            </w:div>
            <w:div w:id="1638486095">
              <w:marLeft w:val="0"/>
              <w:marRight w:val="0"/>
              <w:marTop w:val="0"/>
              <w:marBottom w:val="0"/>
              <w:divBdr>
                <w:top w:val="none" w:sz="0" w:space="0" w:color="auto"/>
                <w:left w:val="none" w:sz="0" w:space="0" w:color="auto"/>
                <w:bottom w:val="none" w:sz="0" w:space="0" w:color="auto"/>
                <w:right w:val="none" w:sz="0" w:space="0" w:color="auto"/>
              </w:divBdr>
              <w:divsChild>
                <w:div w:id="1814327870">
                  <w:marLeft w:val="0"/>
                  <w:marRight w:val="0"/>
                  <w:marTop w:val="0"/>
                  <w:marBottom w:val="0"/>
                  <w:divBdr>
                    <w:top w:val="none" w:sz="0" w:space="0" w:color="auto"/>
                    <w:left w:val="none" w:sz="0" w:space="0" w:color="auto"/>
                    <w:bottom w:val="none" w:sz="0" w:space="0" w:color="auto"/>
                    <w:right w:val="none" w:sz="0" w:space="0" w:color="auto"/>
                  </w:divBdr>
                  <w:divsChild>
                    <w:div w:id="163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937">
              <w:marLeft w:val="0"/>
              <w:marRight w:val="0"/>
              <w:marTop w:val="0"/>
              <w:marBottom w:val="0"/>
              <w:divBdr>
                <w:top w:val="none" w:sz="0" w:space="0" w:color="auto"/>
                <w:left w:val="none" w:sz="0" w:space="0" w:color="auto"/>
                <w:bottom w:val="none" w:sz="0" w:space="0" w:color="auto"/>
                <w:right w:val="none" w:sz="0" w:space="0" w:color="auto"/>
              </w:divBdr>
              <w:divsChild>
                <w:div w:id="160127354">
                  <w:marLeft w:val="0"/>
                  <w:marRight w:val="0"/>
                  <w:marTop w:val="0"/>
                  <w:marBottom w:val="0"/>
                  <w:divBdr>
                    <w:top w:val="none" w:sz="0" w:space="0" w:color="auto"/>
                    <w:left w:val="none" w:sz="0" w:space="0" w:color="auto"/>
                    <w:bottom w:val="none" w:sz="0" w:space="0" w:color="auto"/>
                    <w:right w:val="none" w:sz="0" w:space="0" w:color="auto"/>
                  </w:divBdr>
                  <w:divsChild>
                    <w:div w:id="913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415">
              <w:marLeft w:val="0"/>
              <w:marRight w:val="0"/>
              <w:marTop w:val="0"/>
              <w:marBottom w:val="0"/>
              <w:divBdr>
                <w:top w:val="none" w:sz="0" w:space="0" w:color="auto"/>
                <w:left w:val="none" w:sz="0" w:space="0" w:color="auto"/>
                <w:bottom w:val="none" w:sz="0" w:space="0" w:color="auto"/>
                <w:right w:val="none" w:sz="0" w:space="0" w:color="auto"/>
              </w:divBdr>
              <w:divsChild>
                <w:div w:id="1329865818">
                  <w:marLeft w:val="0"/>
                  <w:marRight w:val="0"/>
                  <w:marTop w:val="0"/>
                  <w:marBottom w:val="0"/>
                  <w:divBdr>
                    <w:top w:val="none" w:sz="0" w:space="0" w:color="auto"/>
                    <w:left w:val="none" w:sz="0" w:space="0" w:color="auto"/>
                    <w:bottom w:val="none" w:sz="0" w:space="0" w:color="auto"/>
                    <w:right w:val="none" w:sz="0" w:space="0" w:color="auto"/>
                  </w:divBdr>
                  <w:divsChild>
                    <w:div w:id="11356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207">
              <w:marLeft w:val="0"/>
              <w:marRight w:val="0"/>
              <w:marTop w:val="0"/>
              <w:marBottom w:val="0"/>
              <w:divBdr>
                <w:top w:val="none" w:sz="0" w:space="0" w:color="auto"/>
                <w:left w:val="none" w:sz="0" w:space="0" w:color="auto"/>
                <w:bottom w:val="none" w:sz="0" w:space="0" w:color="auto"/>
                <w:right w:val="none" w:sz="0" w:space="0" w:color="auto"/>
              </w:divBdr>
              <w:divsChild>
                <w:div w:id="245967106">
                  <w:marLeft w:val="0"/>
                  <w:marRight w:val="0"/>
                  <w:marTop w:val="0"/>
                  <w:marBottom w:val="0"/>
                  <w:divBdr>
                    <w:top w:val="none" w:sz="0" w:space="0" w:color="auto"/>
                    <w:left w:val="none" w:sz="0" w:space="0" w:color="auto"/>
                    <w:bottom w:val="none" w:sz="0" w:space="0" w:color="auto"/>
                    <w:right w:val="none" w:sz="0" w:space="0" w:color="auto"/>
                  </w:divBdr>
                  <w:divsChild>
                    <w:div w:id="215698680">
                      <w:marLeft w:val="0"/>
                      <w:marRight w:val="0"/>
                      <w:marTop w:val="0"/>
                      <w:marBottom w:val="0"/>
                      <w:divBdr>
                        <w:top w:val="none" w:sz="0" w:space="0" w:color="auto"/>
                        <w:left w:val="none" w:sz="0" w:space="0" w:color="auto"/>
                        <w:bottom w:val="none" w:sz="0" w:space="0" w:color="auto"/>
                        <w:right w:val="none" w:sz="0" w:space="0" w:color="auto"/>
                      </w:divBdr>
                    </w:div>
                    <w:div w:id="1409690365">
                      <w:marLeft w:val="0"/>
                      <w:marRight w:val="0"/>
                      <w:marTop w:val="0"/>
                      <w:marBottom w:val="0"/>
                      <w:divBdr>
                        <w:top w:val="none" w:sz="0" w:space="0" w:color="auto"/>
                        <w:left w:val="none" w:sz="0" w:space="0" w:color="auto"/>
                        <w:bottom w:val="none" w:sz="0" w:space="0" w:color="auto"/>
                        <w:right w:val="none" w:sz="0" w:space="0" w:color="auto"/>
                      </w:divBdr>
                      <w:divsChild>
                        <w:div w:id="1438867852">
                          <w:marLeft w:val="0"/>
                          <w:marRight w:val="0"/>
                          <w:marTop w:val="0"/>
                          <w:marBottom w:val="0"/>
                          <w:divBdr>
                            <w:top w:val="none" w:sz="0" w:space="0" w:color="auto"/>
                            <w:left w:val="none" w:sz="0" w:space="0" w:color="auto"/>
                            <w:bottom w:val="none" w:sz="0" w:space="0" w:color="auto"/>
                            <w:right w:val="none" w:sz="0" w:space="0" w:color="auto"/>
                          </w:divBdr>
                        </w:div>
                      </w:divsChild>
                    </w:div>
                    <w:div w:id="654183880">
                      <w:marLeft w:val="0"/>
                      <w:marRight w:val="0"/>
                      <w:marTop w:val="0"/>
                      <w:marBottom w:val="0"/>
                      <w:divBdr>
                        <w:top w:val="none" w:sz="0" w:space="0" w:color="auto"/>
                        <w:left w:val="none" w:sz="0" w:space="0" w:color="auto"/>
                        <w:bottom w:val="none" w:sz="0" w:space="0" w:color="auto"/>
                        <w:right w:val="none" w:sz="0" w:space="0" w:color="auto"/>
                      </w:divBdr>
                      <w:divsChild>
                        <w:div w:id="952706662">
                          <w:marLeft w:val="0"/>
                          <w:marRight w:val="0"/>
                          <w:marTop w:val="0"/>
                          <w:marBottom w:val="0"/>
                          <w:divBdr>
                            <w:top w:val="none" w:sz="0" w:space="0" w:color="auto"/>
                            <w:left w:val="none" w:sz="0" w:space="0" w:color="auto"/>
                            <w:bottom w:val="none" w:sz="0" w:space="0" w:color="auto"/>
                            <w:right w:val="none" w:sz="0" w:space="0" w:color="auto"/>
                          </w:divBdr>
                        </w:div>
                      </w:divsChild>
                    </w:div>
                    <w:div w:id="1493331873">
                      <w:marLeft w:val="0"/>
                      <w:marRight w:val="0"/>
                      <w:marTop w:val="0"/>
                      <w:marBottom w:val="0"/>
                      <w:divBdr>
                        <w:top w:val="none" w:sz="0" w:space="0" w:color="auto"/>
                        <w:left w:val="none" w:sz="0" w:space="0" w:color="auto"/>
                        <w:bottom w:val="none" w:sz="0" w:space="0" w:color="auto"/>
                        <w:right w:val="none" w:sz="0" w:space="0" w:color="auto"/>
                      </w:divBdr>
                      <w:divsChild>
                        <w:div w:id="819810992">
                          <w:marLeft w:val="0"/>
                          <w:marRight w:val="0"/>
                          <w:marTop w:val="0"/>
                          <w:marBottom w:val="0"/>
                          <w:divBdr>
                            <w:top w:val="none" w:sz="0" w:space="0" w:color="auto"/>
                            <w:left w:val="none" w:sz="0" w:space="0" w:color="auto"/>
                            <w:bottom w:val="none" w:sz="0" w:space="0" w:color="auto"/>
                            <w:right w:val="none" w:sz="0" w:space="0" w:color="auto"/>
                          </w:divBdr>
                        </w:div>
                      </w:divsChild>
                    </w:div>
                    <w:div w:id="1493990032">
                      <w:marLeft w:val="0"/>
                      <w:marRight w:val="0"/>
                      <w:marTop w:val="0"/>
                      <w:marBottom w:val="0"/>
                      <w:divBdr>
                        <w:top w:val="none" w:sz="0" w:space="0" w:color="auto"/>
                        <w:left w:val="none" w:sz="0" w:space="0" w:color="auto"/>
                        <w:bottom w:val="none" w:sz="0" w:space="0" w:color="auto"/>
                        <w:right w:val="none" w:sz="0" w:space="0" w:color="auto"/>
                      </w:divBdr>
                      <w:divsChild>
                        <w:div w:id="388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07472">
              <w:marLeft w:val="0"/>
              <w:marRight w:val="0"/>
              <w:marTop w:val="0"/>
              <w:marBottom w:val="0"/>
              <w:divBdr>
                <w:top w:val="none" w:sz="0" w:space="0" w:color="auto"/>
                <w:left w:val="none" w:sz="0" w:space="0" w:color="auto"/>
                <w:bottom w:val="none" w:sz="0" w:space="0" w:color="auto"/>
                <w:right w:val="none" w:sz="0" w:space="0" w:color="auto"/>
              </w:divBdr>
              <w:divsChild>
                <w:div w:id="1240556705">
                  <w:marLeft w:val="0"/>
                  <w:marRight w:val="0"/>
                  <w:marTop w:val="0"/>
                  <w:marBottom w:val="0"/>
                  <w:divBdr>
                    <w:top w:val="none" w:sz="0" w:space="0" w:color="auto"/>
                    <w:left w:val="none" w:sz="0" w:space="0" w:color="auto"/>
                    <w:bottom w:val="none" w:sz="0" w:space="0" w:color="auto"/>
                    <w:right w:val="none" w:sz="0" w:space="0" w:color="auto"/>
                  </w:divBdr>
                  <w:divsChild>
                    <w:div w:id="6681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141">
              <w:marLeft w:val="0"/>
              <w:marRight w:val="0"/>
              <w:marTop w:val="0"/>
              <w:marBottom w:val="0"/>
              <w:divBdr>
                <w:top w:val="none" w:sz="0" w:space="0" w:color="auto"/>
                <w:left w:val="none" w:sz="0" w:space="0" w:color="auto"/>
                <w:bottom w:val="none" w:sz="0" w:space="0" w:color="auto"/>
                <w:right w:val="none" w:sz="0" w:space="0" w:color="auto"/>
              </w:divBdr>
              <w:divsChild>
                <w:div w:id="1278562621">
                  <w:marLeft w:val="0"/>
                  <w:marRight w:val="0"/>
                  <w:marTop w:val="0"/>
                  <w:marBottom w:val="0"/>
                  <w:divBdr>
                    <w:top w:val="none" w:sz="0" w:space="0" w:color="auto"/>
                    <w:left w:val="none" w:sz="0" w:space="0" w:color="auto"/>
                    <w:bottom w:val="none" w:sz="0" w:space="0" w:color="auto"/>
                    <w:right w:val="none" w:sz="0" w:space="0" w:color="auto"/>
                  </w:divBdr>
                  <w:divsChild>
                    <w:div w:id="470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2708">
          <w:marLeft w:val="0"/>
          <w:marRight w:val="0"/>
          <w:marTop w:val="0"/>
          <w:marBottom w:val="0"/>
          <w:divBdr>
            <w:top w:val="none" w:sz="0" w:space="0" w:color="auto"/>
            <w:left w:val="none" w:sz="0" w:space="0" w:color="auto"/>
            <w:bottom w:val="none" w:sz="0" w:space="0" w:color="auto"/>
            <w:right w:val="none" w:sz="0" w:space="0" w:color="auto"/>
          </w:divBdr>
          <w:divsChild>
            <w:div w:id="209148474">
              <w:marLeft w:val="0"/>
              <w:marRight w:val="0"/>
              <w:marTop w:val="0"/>
              <w:marBottom w:val="0"/>
              <w:divBdr>
                <w:top w:val="none" w:sz="0" w:space="0" w:color="auto"/>
                <w:left w:val="none" w:sz="0" w:space="0" w:color="auto"/>
                <w:bottom w:val="none" w:sz="0" w:space="0" w:color="auto"/>
                <w:right w:val="none" w:sz="0" w:space="0" w:color="auto"/>
              </w:divBdr>
            </w:div>
            <w:div w:id="950209276">
              <w:marLeft w:val="0"/>
              <w:marRight w:val="0"/>
              <w:marTop w:val="0"/>
              <w:marBottom w:val="0"/>
              <w:divBdr>
                <w:top w:val="none" w:sz="0" w:space="0" w:color="auto"/>
                <w:left w:val="none" w:sz="0" w:space="0" w:color="auto"/>
                <w:bottom w:val="none" w:sz="0" w:space="0" w:color="auto"/>
                <w:right w:val="none" w:sz="0" w:space="0" w:color="auto"/>
              </w:divBdr>
              <w:divsChild>
                <w:div w:id="1991904081">
                  <w:marLeft w:val="0"/>
                  <w:marRight w:val="0"/>
                  <w:marTop w:val="0"/>
                  <w:marBottom w:val="0"/>
                  <w:divBdr>
                    <w:top w:val="none" w:sz="0" w:space="0" w:color="auto"/>
                    <w:left w:val="none" w:sz="0" w:space="0" w:color="auto"/>
                    <w:bottom w:val="none" w:sz="0" w:space="0" w:color="auto"/>
                    <w:right w:val="none" w:sz="0" w:space="0" w:color="auto"/>
                  </w:divBdr>
                  <w:divsChild>
                    <w:div w:id="305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0329">
              <w:marLeft w:val="0"/>
              <w:marRight w:val="0"/>
              <w:marTop w:val="0"/>
              <w:marBottom w:val="0"/>
              <w:divBdr>
                <w:top w:val="none" w:sz="0" w:space="0" w:color="auto"/>
                <w:left w:val="none" w:sz="0" w:space="0" w:color="auto"/>
                <w:bottom w:val="none" w:sz="0" w:space="0" w:color="auto"/>
                <w:right w:val="none" w:sz="0" w:space="0" w:color="auto"/>
              </w:divBdr>
              <w:divsChild>
                <w:div w:id="1055659776">
                  <w:marLeft w:val="0"/>
                  <w:marRight w:val="0"/>
                  <w:marTop w:val="0"/>
                  <w:marBottom w:val="0"/>
                  <w:divBdr>
                    <w:top w:val="none" w:sz="0" w:space="0" w:color="auto"/>
                    <w:left w:val="none" w:sz="0" w:space="0" w:color="auto"/>
                    <w:bottom w:val="none" w:sz="0" w:space="0" w:color="auto"/>
                    <w:right w:val="none" w:sz="0" w:space="0" w:color="auto"/>
                  </w:divBdr>
                  <w:divsChild>
                    <w:div w:id="2124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3794">
          <w:marLeft w:val="0"/>
          <w:marRight w:val="0"/>
          <w:marTop w:val="0"/>
          <w:marBottom w:val="0"/>
          <w:divBdr>
            <w:top w:val="none" w:sz="0" w:space="0" w:color="auto"/>
            <w:left w:val="none" w:sz="0" w:space="0" w:color="auto"/>
            <w:bottom w:val="none" w:sz="0" w:space="0" w:color="auto"/>
            <w:right w:val="none" w:sz="0" w:space="0" w:color="auto"/>
          </w:divBdr>
          <w:divsChild>
            <w:div w:id="1877113849">
              <w:marLeft w:val="0"/>
              <w:marRight w:val="0"/>
              <w:marTop w:val="0"/>
              <w:marBottom w:val="0"/>
              <w:divBdr>
                <w:top w:val="none" w:sz="0" w:space="0" w:color="auto"/>
                <w:left w:val="none" w:sz="0" w:space="0" w:color="auto"/>
                <w:bottom w:val="none" w:sz="0" w:space="0" w:color="auto"/>
                <w:right w:val="none" w:sz="0" w:space="0" w:color="auto"/>
              </w:divBdr>
            </w:div>
            <w:div w:id="1558323932">
              <w:marLeft w:val="0"/>
              <w:marRight w:val="0"/>
              <w:marTop w:val="0"/>
              <w:marBottom w:val="0"/>
              <w:divBdr>
                <w:top w:val="none" w:sz="0" w:space="0" w:color="auto"/>
                <w:left w:val="none" w:sz="0" w:space="0" w:color="auto"/>
                <w:bottom w:val="none" w:sz="0" w:space="0" w:color="auto"/>
                <w:right w:val="none" w:sz="0" w:space="0" w:color="auto"/>
              </w:divBdr>
              <w:divsChild>
                <w:div w:id="1953900893">
                  <w:marLeft w:val="0"/>
                  <w:marRight w:val="0"/>
                  <w:marTop w:val="0"/>
                  <w:marBottom w:val="0"/>
                  <w:divBdr>
                    <w:top w:val="none" w:sz="0" w:space="0" w:color="auto"/>
                    <w:left w:val="none" w:sz="0" w:space="0" w:color="auto"/>
                    <w:bottom w:val="none" w:sz="0" w:space="0" w:color="auto"/>
                    <w:right w:val="none" w:sz="0" w:space="0" w:color="auto"/>
                  </w:divBdr>
                  <w:divsChild>
                    <w:div w:id="10245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5145">
              <w:marLeft w:val="0"/>
              <w:marRight w:val="0"/>
              <w:marTop w:val="0"/>
              <w:marBottom w:val="0"/>
              <w:divBdr>
                <w:top w:val="none" w:sz="0" w:space="0" w:color="auto"/>
                <w:left w:val="none" w:sz="0" w:space="0" w:color="auto"/>
                <w:bottom w:val="none" w:sz="0" w:space="0" w:color="auto"/>
                <w:right w:val="none" w:sz="0" w:space="0" w:color="auto"/>
              </w:divBdr>
              <w:divsChild>
                <w:div w:id="1703481421">
                  <w:marLeft w:val="0"/>
                  <w:marRight w:val="0"/>
                  <w:marTop w:val="0"/>
                  <w:marBottom w:val="0"/>
                  <w:divBdr>
                    <w:top w:val="none" w:sz="0" w:space="0" w:color="auto"/>
                    <w:left w:val="none" w:sz="0" w:space="0" w:color="auto"/>
                    <w:bottom w:val="none" w:sz="0" w:space="0" w:color="auto"/>
                    <w:right w:val="none" w:sz="0" w:space="0" w:color="auto"/>
                  </w:divBdr>
                  <w:divsChild>
                    <w:div w:id="1741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4865">
              <w:marLeft w:val="0"/>
              <w:marRight w:val="0"/>
              <w:marTop w:val="0"/>
              <w:marBottom w:val="0"/>
              <w:divBdr>
                <w:top w:val="none" w:sz="0" w:space="0" w:color="auto"/>
                <w:left w:val="none" w:sz="0" w:space="0" w:color="auto"/>
                <w:bottom w:val="none" w:sz="0" w:space="0" w:color="auto"/>
                <w:right w:val="none" w:sz="0" w:space="0" w:color="auto"/>
              </w:divBdr>
              <w:divsChild>
                <w:div w:id="2049909474">
                  <w:marLeft w:val="0"/>
                  <w:marRight w:val="0"/>
                  <w:marTop w:val="0"/>
                  <w:marBottom w:val="0"/>
                  <w:divBdr>
                    <w:top w:val="none" w:sz="0" w:space="0" w:color="auto"/>
                    <w:left w:val="none" w:sz="0" w:space="0" w:color="auto"/>
                    <w:bottom w:val="none" w:sz="0" w:space="0" w:color="auto"/>
                    <w:right w:val="none" w:sz="0" w:space="0" w:color="auto"/>
                  </w:divBdr>
                  <w:divsChild>
                    <w:div w:id="16175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784">
          <w:marLeft w:val="0"/>
          <w:marRight w:val="0"/>
          <w:marTop w:val="0"/>
          <w:marBottom w:val="0"/>
          <w:divBdr>
            <w:top w:val="none" w:sz="0" w:space="0" w:color="auto"/>
            <w:left w:val="none" w:sz="0" w:space="0" w:color="auto"/>
            <w:bottom w:val="none" w:sz="0" w:space="0" w:color="auto"/>
            <w:right w:val="none" w:sz="0" w:space="0" w:color="auto"/>
          </w:divBdr>
          <w:divsChild>
            <w:div w:id="1059015951">
              <w:marLeft w:val="0"/>
              <w:marRight w:val="0"/>
              <w:marTop w:val="0"/>
              <w:marBottom w:val="0"/>
              <w:divBdr>
                <w:top w:val="none" w:sz="0" w:space="0" w:color="auto"/>
                <w:left w:val="none" w:sz="0" w:space="0" w:color="auto"/>
                <w:bottom w:val="none" w:sz="0" w:space="0" w:color="auto"/>
                <w:right w:val="none" w:sz="0" w:space="0" w:color="auto"/>
              </w:divBdr>
            </w:div>
          </w:divsChild>
        </w:div>
        <w:div w:id="1198619281">
          <w:marLeft w:val="0"/>
          <w:marRight w:val="0"/>
          <w:marTop w:val="0"/>
          <w:marBottom w:val="0"/>
          <w:divBdr>
            <w:top w:val="none" w:sz="0" w:space="0" w:color="auto"/>
            <w:left w:val="none" w:sz="0" w:space="0" w:color="auto"/>
            <w:bottom w:val="none" w:sz="0" w:space="0" w:color="auto"/>
            <w:right w:val="none" w:sz="0" w:space="0" w:color="auto"/>
          </w:divBdr>
          <w:divsChild>
            <w:div w:id="415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610">
      <w:bodyDiv w:val="1"/>
      <w:marLeft w:val="0"/>
      <w:marRight w:val="0"/>
      <w:marTop w:val="0"/>
      <w:marBottom w:val="0"/>
      <w:divBdr>
        <w:top w:val="none" w:sz="0" w:space="0" w:color="auto"/>
        <w:left w:val="none" w:sz="0" w:space="0" w:color="auto"/>
        <w:bottom w:val="none" w:sz="0" w:space="0" w:color="auto"/>
        <w:right w:val="none" w:sz="0" w:space="0" w:color="auto"/>
      </w:divBdr>
    </w:div>
    <w:div w:id="105947920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62087103">
      <w:bodyDiv w:val="1"/>
      <w:marLeft w:val="0"/>
      <w:marRight w:val="0"/>
      <w:marTop w:val="0"/>
      <w:marBottom w:val="0"/>
      <w:divBdr>
        <w:top w:val="none" w:sz="0" w:space="0" w:color="auto"/>
        <w:left w:val="none" w:sz="0" w:space="0" w:color="auto"/>
        <w:bottom w:val="none" w:sz="0" w:space="0" w:color="auto"/>
        <w:right w:val="none" w:sz="0" w:space="0" w:color="auto"/>
      </w:divBdr>
    </w:div>
    <w:div w:id="1236283947">
      <w:bodyDiv w:val="1"/>
      <w:marLeft w:val="0"/>
      <w:marRight w:val="0"/>
      <w:marTop w:val="0"/>
      <w:marBottom w:val="0"/>
      <w:divBdr>
        <w:top w:val="none" w:sz="0" w:space="0" w:color="auto"/>
        <w:left w:val="none" w:sz="0" w:space="0" w:color="auto"/>
        <w:bottom w:val="none" w:sz="0" w:space="0" w:color="auto"/>
        <w:right w:val="none" w:sz="0" w:space="0" w:color="auto"/>
      </w:divBdr>
    </w:div>
    <w:div w:id="1312055561">
      <w:bodyDiv w:val="1"/>
      <w:marLeft w:val="0"/>
      <w:marRight w:val="0"/>
      <w:marTop w:val="0"/>
      <w:marBottom w:val="0"/>
      <w:divBdr>
        <w:top w:val="none" w:sz="0" w:space="0" w:color="auto"/>
        <w:left w:val="none" w:sz="0" w:space="0" w:color="auto"/>
        <w:bottom w:val="none" w:sz="0" w:space="0" w:color="auto"/>
        <w:right w:val="none" w:sz="0" w:space="0" w:color="auto"/>
      </w:divBdr>
      <w:divsChild>
        <w:div w:id="788742241">
          <w:marLeft w:val="0"/>
          <w:marRight w:val="0"/>
          <w:marTop w:val="0"/>
          <w:marBottom w:val="0"/>
          <w:divBdr>
            <w:top w:val="none" w:sz="0" w:space="0" w:color="auto"/>
            <w:left w:val="none" w:sz="0" w:space="0" w:color="auto"/>
            <w:bottom w:val="none" w:sz="0" w:space="0" w:color="auto"/>
            <w:right w:val="none" w:sz="0" w:space="0" w:color="auto"/>
          </w:divBdr>
        </w:div>
        <w:div w:id="1363017914">
          <w:marLeft w:val="0"/>
          <w:marRight w:val="0"/>
          <w:marTop w:val="0"/>
          <w:marBottom w:val="0"/>
          <w:divBdr>
            <w:top w:val="none" w:sz="0" w:space="0" w:color="auto"/>
            <w:left w:val="none" w:sz="0" w:space="0" w:color="auto"/>
            <w:bottom w:val="none" w:sz="0" w:space="0" w:color="auto"/>
            <w:right w:val="none" w:sz="0" w:space="0" w:color="auto"/>
          </w:divBdr>
          <w:divsChild>
            <w:div w:id="1571114503">
              <w:marLeft w:val="0"/>
              <w:marRight w:val="0"/>
              <w:marTop w:val="0"/>
              <w:marBottom w:val="0"/>
              <w:divBdr>
                <w:top w:val="none" w:sz="0" w:space="0" w:color="auto"/>
                <w:left w:val="none" w:sz="0" w:space="0" w:color="auto"/>
                <w:bottom w:val="none" w:sz="0" w:space="0" w:color="auto"/>
                <w:right w:val="none" w:sz="0" w:space="0" w:color="auto"/>
              </w:divBdr>
            </w:div>
            <w:div w:id="1093548611">
              <w:marLeft w:val="0"/>
              <w:marRight w:val="0"/>
              <w:marTop w:val="0"/>
              <w:marBottom w:val="0"/>
              <w:divBdr>
                <w:top w:val="none" w:sz="0" w:space="0" w:color="auto"/>
                <w:left w:val="none" w:sz="0" w:space="0" w:color="auto"/>
                <w:bottom w:val="none" w:sz="0" w:space="0" w:color="auto"/>
                <w:right w:val="none" w:sz="0" w:space="0" w:color="auto"/>
              </w:divBdr>
              <w:divsChild>
                <w:div w:id="226696649">
                  <w:marLeft w:val="0"/>
                  <w:marRight w:val="0"/>
                  <w:marTop w:val="0"/>
                  <w:marBottom w:val="0"/>
                  <w:divBdr>
                    <w:top w:val="none" w:sz="0" w:space="0" w:color="auto"/>
                    <w:left w:val="none" w:sz="0" w:space="0" w:color="auto"/>
                    <w:bottom w:val="none" w:sz="0" w:space="0" w:color="auto"/>
                    <w:right w:val="none" w:sz="0" w:space="0" w:color="auto"/>
                  </w:divBdr>
                  <w:divsChild>
                    <w:div w:id="18623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3635">
              <w:marLeft w:val="0"/>
              <w:marRight w:val="0"/>
              <w:marTop w:val="0"/>
              <w:marBottom w:val="0"/>
              <w:divBdr>
                <w:top w:val="none" w:sz="0" w:space="0" w:color="auto"/>
                <w:left w:val="none" w:sz="0" w:space="0" w:color="auto"/>
                <w:bottom w:val="none" w:sz="0" w:space="0" w:color="auto"/>
                <w:right w:val="none" w:sz="0" w:space="0" w:color="auto"/>
              </w:divBdr>
              <w:divsChild>
                <w:div w:id="431046319">
                  <w:marLeft w:val="0"/>
                  <w:marRight w:val="0"/>
                  <w:marTop w:val="0"/>
                  <w:marBottom w:val="0"/>
                  <w:divBdr>
                    <w:top w:val="none" w:sz="0" w:space="0" w:color="auto"/>
                    <w:left w:val="none" w:sz="0" w:space="0" w:color="auto"/>
                    <w:bottom w:val="none" w:sz="0" w:space="0" w:color="auto"/>
                    <w:right w:val="none" w:sz="0" w:space="0" w:color="auto"/>
                  </w:divBdr>
                  <w:divsChild>
                    <w:div w:id="876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664">
              <w:marLeft w:val="0"/>
              <w:marRight w:val="0"/>
              <w:marTop w:val="0"/>
              <w:marBottom w:val="0"/>
              <w:divBdr>
                <w:top w:val="none" w:sz="0" w:space="0" w:color="auto"/>
                <w:left w:val="none" w:sz="0" w:space="0" w:color="auto"/>
                <w:bottom w:val="none" w:sz="0" w:space="0" w:color="auto"/>
                <w:right w:val="none" w:sz="0" w:space="0" w:color="auto"/>
              </w:divBdr>
              <w:divsChild>
                <w:div w:id="2083864312">
                  <w:marLeft w:val="0"/>
                  <w:marRight w:val="0"/>
                  <w:marTop w:val="0"/>
                  <w:marBottom w:val="0"/>
                  <w:divBdr>
                    <w:top w:val="none" w:sz="0" w:space="0" w:color="auto"/>
                    <w:left w:val="none" w:sz="0" w:space="0" w:color="auto"/>
                    <w:bottom w:val="none" w:sz="0" w:space="0" w:color="auto"/>
                    <w:right w:val="none" w:sz="0" w:space="0" w:color="auto"/>
                  </w:divBdr>
                  <w:divsChild>
                    <w:div w:id="7001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968">
              <w:marLeft w:val="0"/>
              <w:marRight w:val="0"/>
              <w:marTop w:val="0"/>
              <w:marBottom w:val="0"/>
              <w:divBdr>
                <w:top w:val="none" w:sz="0" w:space="0" w:color="auto"/>
                <w:left w:val="none" w:sz="0" w:space="0" w:color="auto"/>
                <w:bottom w:val="none" w:sz="0" w:space="0" w:color="auto"/>
                <w:right w:val="none" w:sz="0" w:space="0" w:color="auto"/>
              </w:divBdr>
              <w:divsChild>
                <w:div w:id="1115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3295">
          <w:marLeft w:val="0"/>
          <w:marRight w:val="0"/>
          <w:marTop w:val="0"/>
          <w:marBottom w:val="0"/>
          <w:divBdr>
            <w:top w:val="none" w:sz="0" w:space="0" w:color="auto"/>
            <w:left w:val="none" w:sz="0" w:space="0" w:color="auto"/>
            <w:bottom w:val="none" w:sz="0" w:space="0" w:color="auto"/>
            <w:right w:val="none" w:sz="0" w:space="0" w:color="auto"/>
          </w:divBdr>
          <w:divsChild>
            <w:div w:id="16522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8927">
      <w:bodyDiv w:val="1"/>
      <w:marLeft w:val="0"/>
      <w:marRight w:val="0"/>
      <w:marTop w:val="0"/>
      <w:marBottom w:val="0"/>
      <w:divBdr>
        <w:top w:val="none" w:sz="0" w:space="0" w:color="auto"/>
        <w:left w:val="none" w:sz="0" w:space="0" w:color="auto"/>
        <w:bottom w:val="none" w:sz="0" w:space="0" w:color="auto"/>
        <w:right w:val="none" w:sz="0" w:space="0" w:color="auto"/>
      </w:divBdr>
    </w:div>
    <w:div w:id="139848080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07600585">
      <w:bodyDiv w:val="1"/>
      <w:marLeft w:val="0"/>
      <w:marRight w:val="0"/>
      <w:marTop w:val="0"/>
      <w:marBottom w:val="0"/>
      <w:divBdr>
        <w:top w:val="none" w:sz="0" w:space="0" w:color="auto"/>
        <w:left w:val="none" w:sz="0" w:space="0" w:color="auto"/>
        <w:bottom w:val="none" w:sz="0" w:space="0" w:color="auto"/>
        <w:right w:val="none" w:sz="0" w:space="0" w:color="auto"/>
      </w:divBdr>
    </w:div>
    <w:div w:id="1580868605">
      <w:bodyDiv w:val="1"/>
      <w:marLeft w:val="0"/>
      <w:marRight w:val="0"/>
      <w:marTop w:val="0"/>
      <w:marBottom w:val="0"/>
      <w:divBdr>
        <w:top w:val="none" w:sz="0" w:space="0" w:color="auto"/>
        <w:left w:val="none" w:sz="0" w:space="0" w:color="auto"/>
        <w:bottom w:val="none" w:sz="0" w:space="0" w:color="auto"/>
        <w:right w:val="none" w:sz="0" w:space="0" w:color="auto"/>
      </w:divBdr>
    </w:div>
    <w:div w:id="1598170266">
      <w:bodyDiv w:val="1"/>
      <w:marLeft w:val="0"/>
      <w:marRight w:val="0"/>
      <w:marTop w:val="0"/>
      <w:marBottom w:val="0"/>
      <w:divBdr>
        <w:top w:val="none" w:sz="0" w:space="0" w:color="auto"/>
        <w:left w:val="none" w:sz="0" w:space="0" w:color="auto"/>
        <w:bottom w:val="none" w:sz="0" w:space="0" w:color="auto"/>
        <w:right w:val="none" w:sz="0" w:space="0" w:color="auto"/>
      </w:divBdr>
    </w:div>
    <w:div w:id="1816868997">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7468928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2426217">
      <w:bodyDiv w:val="1"/>
      <w:marLeft w:val="0"/>
      <w:marRight w:val="0"/>
      <w:marTop w:val="0"/>
      <w:marBottom w:val="0"/>
      <w:divBdr>
        <w:top w:val="none" w:sz="0" w:space="0" w:color="auto"/>
        <w:left w:val="none" w:sz="0" w:space="0" w:color="auto"/>
        <w:bottom w:val="none" w:sz="0" w:space="0" w:color="auto"/>
        <w:right w:val="none" w:sz="0" w:space="0" w:color="auto"/>
      </w:divBdr>
    </w:div>
    <w:div w:id="1965889536">
      <w:bodyDiv w:val="1"/>
      <w:marLeft w:val="0"/>
      <w:marRight w:val="0"/>
      <w:marTop w:val="0"/>
      <w:marBottom w:val="0"/>
      <w:divBdr>
        <w:top w:val="none" w:sz="0" w:space="0" w:color="auto"/>
        <w:left w:val="none" w:sz="0" w:space="0" w:color="auto"/>
        <w:bottom w:val="none" w:sz="0" w:space="0" w:color="auto"/>
        <w:right w:val="none" w:sz="0" w:space="0" w:color="auto"/>
      </w:divBdr>
    </w:div>
    <w:div w:id="1997101386">
      <w:bodyDiv w:val="1"/>
      <w:marLeft w:val="0"/>
      <w:marRight w:val="0"/>
      <w:marTop w:val="0"/>
      <w:marBottom w:val="0"/>
      <w:divBdr>
        <w:top w:val="none" w:sz="0" w:space="0" w:color="auto"/>
        <w:left w:val="none" w:sz="0" w:space="0" w:color="auto"/>
        <w:bottom w:val="none" w:sz="0" w:space="0" w:color="auto"/>
        <w:right w:val="none" w:sz="0" w:space="0" w:color="auto"/>
      </w:divBdr>
    </w:div>
    <w:div w:id="2007245375">
      <w:bodyDiv w:val="1"/>
      <w:marLeft w:val="0"/>
      <w:marRight w:val="0"/>
      <w:marTop w:val="0"/>
      <w:marBottom w:val="0"/>
      <w:divBdr>
        <w:top w:val="none" w:sz="0" w:space="0" w:color="auto"/>
        <w:left w:val="none" w:sz="0" w:space="0" w:color="auto"/>
        <w:bottom w:val="none" w:sz="0" w:space="0" w:color="auto"/>
        <w:right w:val="none" w:sz="0" w:space="0" w:color="auto"/>
      </w:divBdr>
    </w:div>
    <w:div w:id="2063554275">
      <w:bodyDiv w:val="1"/>
      <w:marLeft w:val="0"/>
      <w:marRight w:val="0"/>
      <w:marTop w:val="0"/>
      <w:marBottom w:val="0"/>
      <w:divBdr>
        <w:top w:val="none" w:sz="0" w:space="0" w:color="auto"/>
        <w:left w:val="none" w:sz="0" w:space="0" w:color="auto"/>
        <w:bottom w:val="none" w:sz="0" w:space="0" w:color="auto"/>
        <w:right w:val="none" w:sz="0" w:space="0" w:color="auto"/>
      </w:divBdr>
    </w:div>
    <w:div w:id="21319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wysocki@klim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kasz.zdzieszynski@klim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20D1-E8FF-400B-91C7-87BA33B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10055</Words>
  <Characters>60334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70249</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Mołdawska Agnieszka</dc:creator>
  <cp:keywords/>
  <cp:lastModifiedBy>Machaj Maciej</cp:lastModifiedBy>
  <cp:revision>5</cp:revision>
  <dcterms:created xsi:type="dcterms:W3CDTF">2024-05-27T09:50:00Z</dcterms:created>
  <dcterms:modified xsi:type="dcterms:W3CDTF">2024-05-27T11:22:00Z</dcterms:modified>
</cp:coreProperties>
</file>