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4EBA" w14:textId="77777777" w:rsidR="008530F4" w:rsidRPr="008530F4" w:rsidRDefault="008530F4" w:rsidP="005E0A53">
      <w:pPr>
        <w:rPr>
          <w:rFonts w:ascii="Times New Roman" w:hAnsi="Times New Roman"/>
          <w:sz w:val="16"/>
          <w:szCs w:val="16"/>
        </w:rPr>
      </w:pPr>
    </w:p>
    <w:tbl>
      <w:tblPr>
        <w:tblW w:w="109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1"/>
        <w:gridCol w:w="4306"/>
      </w:tblGrid>
      <w:tr w:rsidR="006A701A" w:rsidRPr="00A87B3A" w14:paraId="543CF14B" w14:textId="77777777" w:rsidTr="004D5272">
        <w:trPr>
          <w:trHeight w:val="1611"/>
        </w:trPr>
        <w:tc>
          <w:tcPr>
            <w:tcW w:w="6631" w:type="dxa"/>
          </w:tcPr>
          <w:p w14:paraId="722B91EF" w14:textId="77777777" w:rsidR="006A701A" w:rsidRPr="00A87B3A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A87B3A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A87B3A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63968469" w14:textId="1BD6B149" w:rsidR="00780502" w:rsidRPr="00780502" w:rsidRDefault="00780502" w:rsidP="00780502">
            <w:pPr>
              <w:spacing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Projekt r</w:t>
            </w:r>
            <w:r w:rsidRPr="006904DB">
              <w:rPr>
                <w:rFonts w:ascii="Times New Roman" w:hAnsi="Times New Roman"/>
              </w:rPr>
              <w:t>ozporządzeni</w:t>
            </w:r>
            <w:r>
              <w:rPr>
                <w:rFonts w:ascii="Times New Roman" w:hAnsi="Times New Roman"/>
              </w:rPr>
              <w:t>a</w:t>
            </w:r>
            <w:r w:rsidRPr="006904DB">
              <w:rPr>
                <w:rFonts w:ascii="Times New Roman" w:hAnsi="Times New Roman"/>
              </w:rPr>
              <w:t xml:space="preserve"> Ministra </w:t>
            </w:r>
            <w:r w:rsidRPr="00780502">
              <w:rPr>
                <w:rFonts w:ascii="Times New Roman" w:hAnsi="Times New Roman"/>
              </w:rPr>
              <w:t>Klimatu i Środowiska</w:t>
            </w:r>
            <w:r w:rsidRPr="00780502">
              <w:rPr>
                <w:rFonts w:ascii="Times New Roman" w:hAnsi="Times New Roman"/>
                <w:b/>
              </w:rPr>
              <w:t xml:space="preserve"> </w:t>
            </w:r>
            <w:r w:rsidRPr="00780502">
              <w:rPr>
                <w:rFonts w:ascii="Times New Roman" w:hAnsi="Times New Roman"/>
                <w:bCs/>
              </w:rPr>
              <w:t>w sprawie szczegółowego zakresu zbiorczego raportu rocznego dotyczącego ograniczenia emisji gazów cieplarnianych w cyklu życia paliw i energii elektrycznej.</w:t>
            </w:r>
          </w:p>
          <w:p w14:paraId="391CF830" w14:textId="77777777" w:rsidR="00A87B3A" w:rsidRPr="00A87B3A" w:rsidRDefault="00A87B3A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276A2334" w14:textId="77777777" w:rsidR="006A701A" w:rsidRPr="00A87B3A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2DD54C98" w14:textId="58CA92DF" w:rsidR="006A701A" w:rsidRDefault="00780502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Klimatu i Środowiska</w:t>
            </w:r>
          </w:p>
          <w:p w14:paraId="6AE840BA" w14:textId="77777777" w:rsidR="00A87B3A" w:rsidRPr="00A87B3A" w:rsidRDefault="00A87B3A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B0813C8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0C4C8E79" w14:textId="77777777" w:rsidR="00780502" w:rsidRPr="00A87B3A" w:rsidRDefault="00780502" w:rsidP="007805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 Miłosz Motyka – Podsekretarz Stanu w Ministerstwie Klimatu i Środowiska</w:t>
            </w:r>
            <w:r w:rsidRPr="00A87B3A">
              <w:rPr>
                <w:rFonts w:ascii="Times New Roman" w:hAnsi="Times New Roman"/>
              </w:rPr>
              <w:t xml:space="preserve"> </w:t>
            </w:r>
          </w:p>
          <w:p w14:paraId="05655EC7" w14:textId="77777777" w:rsidR="00A87B3A" w:rsidRPr="00A87B3A" w:rsidRDefault="00A87B3A" w:rsidP="009629CE">
            <w:pPr>
              <w:spacing w:line="240" w:lineRule="auto"/>
              <w:rPr>
                <w:rFonts w:ascii="Times New Roman" w:hAnsi="Times New Roman"/>
              </w:rPr>
            </w:pPr>
          </w:p>
          <w:p w14:paraId="1CF1B3CA" w14:textId="77777777" w:rsidR="006A701A" w:rsidRPr="00A87B3A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B250E74" w14:textId="77777777" w:rsidR="006A701A" w:rsidRDefault="00780502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Oliwer Sado – Departament Ropy i Paliw Transportowych</w:t>
            </w:r>
          </w:p>
          <w:p w14:paraId="7F8B0866" w14:textId="179DA467" w:rsidR="00780502" w:rsidRPr="00A87B3A" w:rsidRDefault="008E22AF" w:rsidP="008D66DE">
            <w:pPr>
              <w:spacing w:after="120"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780502">
              <w:rPr>
                <w:rFonts w:ascii="Times New Roman" w:hAnsi="Times New Roman"/>
                <w:color w:val="000000"/>
              </w:rPr>
              <w:t>liwer.sado@klimat.gov.pl</w:t>
            </w:r>
          </w:p>
        </w:tc>
        <w:tc>
          <w:tcPr>
            <w:tcW w:w="4306" w:type="dxa"/>
            <w:shd w:val="clear" w:color="auto" w:fill="FFFFFF"/>
          </w:tcPr>
          <w:p w14:paraId="13CE1DDB" w14:textId="35DECBF0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</w:rPr>
              <w:t>Data sporządzenia</w:t>
            </w:r>
            <w:r w:rsidRPr="00A87B3A">
              <w:rPr>
                <w:rFonts w:ascii="Times New Roman" w:hAnsi="Times New Roman"/>
                <w:b/>
              </w:rPr>
              <w:br/>
            </w:r>
            <w:r w:rsidR="006216CC">
              <w:rPr>
                <w:rFonts w:ascii="Times New Roman" w:hAnsi="Times New Roman"/>
              </w:rPr>
              <w:t>4.06</w:t>
            </w:r>
            <w:r w:rsidR="005E0A53">
              <w:rPr>
                <w:rFonts w:ascii="Times New Roman" w:hAnsi="Times New Roman"/>
              </w:rPr>
              <w:t xml:space="preserve">.2024 r. </w:t>
            </w:r>
          </w:p>
          <w:p w14:paraId="655C0424" w14:textId="77777777" w:rsidR="00F76884" w:rsidRPr="00A87B3A" w:rsidRDefault="00F76884" w:rsidP="009629CE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50B41390" w14:textId="2B2AFAF8" w:rsidR="00301C35" w:rsidRDefault="00F76884" w:rsidP="009629CE">
            <w:pPr>
              <w:spacing w:line="240" w:lineRule="auto"/>
              <w:rPr>
                <w:rFonts w:ascii="Times New Roman" w:hAnsi="Times New Roman"/>
              </w:rPr>
            </w:pPr>
            <w:r w:rsidRPr="00A87B3A">
              <w:rPr>
                <w:rFonts w:ascii="Times New Roman" w:hAnsi="Times New Roman"/>
                <w:b/>
              </w:rPr>
              <w:t xml:space="preserve">Źródło: </w:t>
            </w:r>
          </w:p>
          <w:p w14:paraId="046718E4" w14:textId="4C5A757E" w:rsidR="00301C35" w:rsidRDefault="00301C35" w:rsidP="001853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853EA">
              <w:rPr>
                <w:rFonts w:ascii="Times New Roman" w:hAnsi="Times New Roman"/>
              </w:rPr>
              <w:t>Dyrektywa Rady (UE) 2015/652 z dnia 20 kwietnia 2015 r. ustanawiająca metody obliczania i wymogi w zakresie sprawozdawczości zgodnie z dyrektywą 98/70/WE Parlamentu Europejskiego i Rady odnosząca się do jakości benzyny i olejów napędowych (Dz. Urz. UE L 107 z 25.04.2015, str. 26</w:t>
            </w:r>
            <w:r w:rsidR="00C673C1">
              <w:rPr>
                <w:rFonts w:ascii="Times New Roman" w:hAnsi="Times New Roman"/>
              </w:rPr>
              <w:t xml:space="preserve">, </w:t>
            </w:r>
            <w:r w:rsidRPr="001853EA">
              <w:rPr>
                <w:rFonts w:ascii="Times New Roman" w:hAnsi="Times New Roman"/>
              </w:rPr>
              <w:t>Dz. Urz. UE L 129 z 27.05.2015, str. 53</w:t>
            </w:r>
            <w:r w:rsidR="00AA0E31">
              <w:rPr>
                <w:rFonts w:ascii="Times New Roman" w:hAnsi="Times New Roman"/>
              </w:rPr>
              <w:t xml:space="preserve"> </w:t>
            </w:r>
            <w:r w:rsidR="00AA0E31" w:rsidRPr="00AA0E31">
              <w:rPr>
                <w:rFonts w:ascii="Times New Roman" w:hAnsi="Times New Roman"/>
              </w:rPr>
              <w:t>oraz Dz. Urz. UE L 328 z 21.12.2018, str.</w:t>
            </w:r>
            <w:r w:rsidR="00AA0E31">
              <w:rPr>
                <w:rFonts w:ascii="Times New Roman" w:hAnsi="Times New Roman"/>
              </w:rPr>
              <w:t> </w:t>
            </w:r>
            <w:r w:rsidR="00AA0E31" w:rsidRPr="00AA0E31">
              <w:rPr>
                <w:rFonts w:ascii="Times New Roman" w:hAnsi="Times New Roman"/>
              </w:rPr>
              <w:t>1</w:t>
            </w:r>
            <w:r w:rsidRPr="001853EA">
              <w:rPr>
                <w:rFonts w:ascii="Times New Roman" w:hAnsi="Times New Roman"/>
              </w:rPr>
              <w:t>).</w:t>
            </w:r>
          </w:p>
          <w:p w14:paraId="06022F04" w14:textId="3000F95F" w:rsidR="00F76884" w:rsidRDefault="00780502" w:rsidP="009629CE">
            <w:pPr>
              <w:spacing w:line="240" w:lineRule="auto"/>
              <w:rPr>
                <w:rFonts w:ascii="Times New Roman" w:hAnsi="Times New Roman"/>
              </w:rPr>
            </w:pPr>
            <w:r w:rsidRPr="006904DB">
              <w:rPr>
                <w:rFonts w:ascii="Times New Roman" w:hAnsi="Times New Roman"/>
              </w:rPr>
              <w:t xml:space="preserve">Upoważnienie ustawowe – art. 30g ust. 4 </w:t>
            </w:r>
            <w:r w:rsidRPr="00780502">
              <w:rPr>
                <w:rFonts w:ascii="Times New Roman" w:hAnsi="Times New Roman"/>
              </w:rPr>
              <w:t>ustawy z dnia 25 sierpnia 2006 r. o systemie monitorowania i kontrolowania jakości paliw (Dz. U. z 2023 r. poz. 846</w:t>
            </w:r>
            <w:r w:rsidR="00B631FC">
              <w:rPr>
                <w:rFonts w:ascii="Times New Roman" w:hAnsi="Times New Roman"/>
              </w:rPr>
              <w:t xml:space="preserve"> i </w:t>
            </w:r>
            <w:r w:rsidRPr="00780502">
              <w:rPr>
                <w:rFonts w:ascii="Times New Roman" w:hAnsi="Times New Roman"/>
              </w:rPr>
              <w:t>1681).</w:t>
            </w:r>
          </w:p>
          <w:p w14:paraId="1545F9AE" w14:textId="77777777" w:rsidR="00780502" w:rsidRPr="00A87B3A" w:rsidRDefault="00780502" w:rsidP="009629CE">
            <w:pPr>
              <w:spacing w:line="240" w:lineRule="auto"/>
              <w:rPr>
                <w:rFonts w:ascii="Times New Roman" w:hAnsi="Times New Roman"/>
              </w:rPr>
            </w:pPr>
          </w:p>
          <w:p w14:paraId="4C470FB0" w14:textId="51D2D194" w:rsidR="006A701A" w:rsidRPr="004E2709" w:rsidRDefault="006A701A" w:rsidP="009629CE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A87B3A">
              <w:rPr>
                <w:rFonts w:ascii="Times New Roman" w:hAnsi="Times New Roman"/>
                <w:b/>
                <w:color w:val="000000"/>
              </w:rPr>
              <w:t>w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A87B3A">
              <w:rPr>
                <w:rFonts w:ascii="Times New Roman" w:hAnsi="Times New Roman"/>
                <w:b/>
                <w:color w:val="000000"/>
              </w:rPr>
              <w:t>ie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4E2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4E2709">
              <w:rPr>
                <w:rFonts w:ascii="Times New Roman" w:hAnsi="Times New Roman"/>
                <w:color w:val="000000"/>
              </w:rPr>
              <w:t>1181</w:t>
            </w:r>
          </w:p>
          <w:p w14:paraId="5D31A2BC" w14:textId="77777777" w:rsidR="006A701A" w:rsidRPr="00A87B3A" w:rsidRDefault="006A701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A87B3A" w14:paraId="79341850" w14:textId="77777777" w:rsidTr="004D5272">
        <w:trPr>
          <w:trHeight w:val="142"/>
        </w:trPr>
        <w:tc>
          <w:tcPr>
            <w:tcW w:w="10937" w:type="dxa"/>
            <w:gridSpan w:val="2"/>
            <w:shd w:val="clear" w:color="auto" w:fill="99CCFF"/>
          </w:tcPr>
          <w:p w14:paraId="4101B2C5" w14:textId="77777777" w:rsidR="006A701A" w:rsidRPr="00E74A9F" w:rsidRDefault="006A701A" w:rsidP="009629CE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E74A9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OCENA SKUTKÓW REGULACJI</w:t>
            </w:r>
          </w:p>
        </w:tc>
      </w:tr>
      <w:tr w:rsidR="006A701A" w:rsidRPr="000F76C2" w14:paraId="2FF607D9" w14:textId="77777777" w:rsidTr="004D5272">
        <w:trPr>
          <w:trHeight w:val="333"/>
        </w:trPr>
        <w:tc>
          <w:tcPr>
            <w:tcW w:w="10937" w:type="dxa"/>
            <w:gridSpan w:val="2"/>
            <w:shd w:val="clear" w:color="auto" w:fill="99CCFF"/>
            <w:vAlign w:val="center"/>
          </w:tcPr>
          <w:p w14:paraId="5E95B2B7" w14:textId="77777777" w:rsidR="006A701A" w:rsidRPr="000F76C2" w:rsidRDefault="003D12F6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F76C2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0F76C2">
              <w:rPr>
                <w:rFonts w:ascii="Times New Roman" w:hAnsi="Times New Roman"/>
                <w:b/>
              </w:rPr>
              <w:t>rozwiązywany?</w:t>
            </w:r>
            <w:bookmarkStart w:id="1" w:name="Wybór1"/>
            <w:bookmarkEnd w:id="1"/>
          </w:p>
        </w:tc>
      </w:tr>
      <w:tr w:rsidR="006A701A" w:rsidRPr="000F76C2" w14:paraId="0A804BFE" w14:textId="77777777" w:rsidTr="004D5272">
        <w:trPr>
          <w:trHeight w:val="142"/>
        </w:trPr>
        <w:tc>
          <w:tcPr>
            <w:tcW w:w="10937" w:type="dxa"/>
            <w:gridSpan w:val="2"/>
            <w:shd w:val="clear" w:color="auto" w:fill="FFFFFF"/>
          </w:tcPr>
          <w:p w14:paraId="56D87434" w14:textId="7859A61A" w:rsidR="00B631FC" w:rsidRPr="000F4D21" w:rsidRDefault="00312D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2" w:name="_Hlk165128321"/>
            <w:r w:rsidRPr="00911449">
              <w:rPr>
                <w:rFonts w:ascii="Times New Roman" w:hAnsi="Times New Roman"/>
                <w:color w:val="000000"/>
              </w:rPr>
              <w:t>Obecnie obowiązuje rozporządzenie Ministra Energii z dnia 20 lipca 2017 r. w sprawie szczegółowego zakresu zbiorczego raportu rocznego dotyczącego ograniczenia emisji gazów cieplarnianych w cyklu życia paliw i energii elektrycznej (Dz.</w:t>
            </w:r>
            <w:r w:rsidR="000F4D21">
              <w:rPr>
                <w:rFonts w:ascii="Times New Roman" w:hAnsi="Times New Roman"/>
                <w:color w:val="000000"/>
              </w:rPr>
              <w:t> </w:t>
            </w:r>
            <w:r w:rsidRPr="00911449">
              <w:rPr>
                <w:rFonts w:ascii="Times New Roman" w:hAnsi="Times New Roman"/>
                <w:color w:val="000000"/>
              </w:rPr>
              <w:t xml:space="preserve">U. </w:t>
            </w:r>
            <w:r w:rsidR="008E22AF" w:rsidRPr="00911449">
              <w:rPr>
                <w:rFonts w:ascii="Times New Roman" w:hAnsi="Times New Roman"/>
                <w:color w:val="000000"/>
              </w:rPr>
              <w:t xml:space="preserve">z </w:t>
            </w:r>
            <w:r w:rsidRPr="00911449">
              <w:rPr>
                <w:rFonts w:ascii="Times New Roman" w:hAnsi="Times New Roman"/>
                <w:color w:val="000000"/>
              </w:rPr>
              <w:t>2021</w:t>
            </w:r>
            <w:r w:rsidR="000F4D21">
              <w:rPr>
                <w:rFonts w:ascii="Times New Roman" w:hAnsi="Times New Roman"/>
                <w:color w:val="000000"/>
              </w:rPr>
              <w:t xml:space="preserve"> r.</w:t>
            </w:r>
            <w:r w:rsidRPr="00911449">
              <w:rPr>
                <w:rFonts w:ascii="Times New Roman" w:hAnsi="Times New Roman"/>
                <w:color w:val="000000"/>
              </w:rPr>
              <w:t xml:space="preserve"> poz. 37), wydane na podstawie art. 30g ust. 4 ustawy </w:t>
            </w:r>
            <w:r w:rsidR="00B631FC" w:rsidRPr="00780502">
              <w:rPr>
                <w:rFonts w:ascii="Times New Roman" w:hAnsi="Times New Roman"/>
              </w:rPr>
              <w:t xml:space="preserve">z dnia 25 sierpnia 2006 r. </w:t>
            </w:r>
            <w:r w:rsidRPr="00911449">
              <w:rPr>
                <w:rFonts w:ascii="Times New Roman" w:hAnsi="Times New Roman"/>
                <w:color w:val="000000"/>
              </w:rPr>
              <w:t>o systemie monitorowania i</w:t>
            </w:r>
            <w:r w:rsidR="00B631FC">
              <w:rPr>
                <w:rFonts w:ascii="Times New Roman" w:hAnsi="Times New Roman"/>
                <w:color w:val="000000"/>
              </w:rPr>
              <w:t> </w:t>
            </w:r>
            <w:r w:rsidRPr="00911449">
              <w:rPr>
                <w:rFonts w:ascii="Times New Roman" w:hAnsi="Times New Roman"/>
                <w:color w:val="000000"/>
              </w:rPr>
              <w:t>kontrowania jakości paliw</w:t>
            </w:r>
            <w:r w:rsidR="00B631FC">
              <w:rPr>
                <w:rFonts w:ascii="Times New Roman" w:hAnsi="Times New Roman"/>
                <w:color w:val="000000"/>
              </w:rPr>
              <w:t xml:space="preserve"> (zwanej dalej „ustawą o jakości paliw”).</w:t>
            </w:r>
          </w:p>
          <w:bookmarkEnd w:id="2"/>
          <w:p w14:paraId="4D02E22E" w14:textId="3BF8B120" w:rsidR="00312D71" w:rsidRPr="00911449" w:rsidRDefault="000F4D21" w:rsidP="001853E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Zgodnie z</w:t>
            </w:r>
            <w:r w:rsidR="00312D71" w:rsidRPr="00911449">
              <w:rPr>
                <w:rFonts w:ascii="Times New Roman" w:hAnsi="Times New Roman"/>
                <w:color w:val="000000"/>
              </w:rPr>
              <w:t xml:space="preserve"> art. 19 ustawy </w:t>
            </w:r>
            <w:r w:rsidR="008E22AF" w:rsidRPr="00911449">
              <w:rPr>
                <w:rFonts w:ascii="Times New Roman" w:hAnsi="Times New Roman"/>
                <w:color w:val="000000"/>
              </w:rPr>
              <w:t xml:space="preserve">z dnia 11 sierpnia 2021 r. </w:t>
            </w:r>
            <w:r w:rsidR="00312D71" w:rsidRPr="00911449">
              <w:rPr>
                <w:rFonts w:ascii="Times New Roman" w:hAnsi="Times New Roman"/>
                <w:color w:val="000000"/>
              </w:rPr>
              <w:t xml:space="preserve">o zmianie ustawy o systemie monitorowania </w:t>
            </w:r>
            <w:r w:rsidR="00E211E1" w:rsidRPr="00911449">
              <w:rPr>
                <w:rFonts w:ascii="Times New Roman" w:hAnsi="Times New Roman"/>
                <w:color w:val="000000"/>
              </w:rPr>
              <w:br/>
            </w:r>
            <w:r w:rsidR="00312D71" w:rsidRPr="00911449">
              <w:rPr>
                <w:rFonts w:ascii="Times New Roman" w:hAnsi="Times New Roman"/>
                <w:color w:val="000000"/>
              </w:rPr>
              <w:t>i kontrolowania jakości paliw oraz niektórych innych ustaw (Dz. U. poz. 1642, zwanej dalej „ustawą zmieniającą”</w:t>
            </w:r>
            <w:r w:rsidR="00B631FC">
              <w:rPr>
                <w:rFonts w:ascii="Times New Roman" w:hAnsi="Times New Roman"/>
                <w:color w:val="000000"/>
              </w:rPr>
              <w:t>)</w:t>
            </w:r>
            <w:r w:rsidR="00312D71" w:rsidRPr="00911449">
              <w:rPr>
                <w:rFonts w:ascii="Times New Roman" w:hAnsi="Times New Roman"/>
                <w:color w:val="000000"/>
              </w:rPr>
              <w:t xml:space="preserve">, </w:t>
            </w:r>
            <w:r w:rsidR="00312D71" w:rsidRPr="001853EA">
              <w:rPr>
                <w:rFonts w:ascii="Times New Roman" w:hAnsi="Times New Roman"/>
                <w:b/>
                <w:bCs/>
                <w:color w:val="000000"/>
              </w:rPr>
              <w:t>dotychczasowe przepisy wykonawcze wydane na podstawie art. 30g ust. 4 ustawy o jakości paliw zachowują moc do dnia wejścia w życie przepisów wykonawczych wydanych na podstawie art. 30g ust. 4 ustawy</w:t>
            </w:r>
            <w:r w:rsidR="00B631FC">
              <w:rPr>
                <w:rFonts w:ascii="Times New Roman" w:hAnsi="Times New Roman"/>
                <w:b/>
                <w:bCs/>
                <w:color w:val="000000"/>
              </w:rPr>
              <w:t xml:space="preserve"> o jakości paliw</w:t>
            </w:r>
            <w:r w:rsidR="00312D71" w:rsidRPr="001853EA">
              <w:rPr>
                <w:rFonts w:ascii="Times New Roman" w:hAnsi="Times New Roman"/>
                <w:b/>
                <w:bCs/>
                <w:color w:val="000000"/>
              </w:rPr>
              <w:t>, jednak nie dłużej niż przez 36 miesięcy od dnia wejścia w życie ustawy zmieniającej.</w:t>
            </w:r>
            <w:r w:rsidRPr="001853EA">
              <w:rPr>
                <w:rFonts w:ascii="Times New Roman" w:hAnsi="Times New Roman"/>
                <w:b/>
                <w:bCs/>
                <w:color w:val="000000"/>
              </w:rPr>
              <w:t xml:space="preserve"> Ustawa zmieniająca weszła w życie z dniem 22 września 2021 r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3D932C9C" w14:textId="001481CD" w:rsidR="00312D71" w:rsidRPr="00911449" w:rsidRDefault="00312D71" w:rsidP="001853E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1449">
              <w:rPr>
                <w:rFonts w:ascii="Times New Roman" w:hAnsi="Times New Roman"/>
                <w:color w:val="000000"/>
              </w:rPr>
              <w:t xml:space="preserve">Powyższe jest konsekwencją </w:t>
            </w:r>
            <w:r w:rsidR="009E338C" w:rsidRPr="00911449">
              <w:rPr>
                <w:rFonts w:ascii="Times New Roman" w:hAnsi="Times New Roman"/>
                <w:color w:val="000000"/>
              </w:rPr>
              <w:t>zmian wprowadzonych</w:t>
            </w:r>
            <w:r w:rsidRPr="00911449">
              <w:rPr>
                <w:rFonts w:ascii="Times New Roman" w:hAnsi="Times New Roman"/>
                <w:color w:val="000000"/>
              </w:rPr>
              <w:t xml:space="preserve"> ustaw</w:t>
            </w:r>
            <w:r w:rsidR="009E338C" w:rsidRPr="00911449">
              <w:rPr>
                <w:rFonts w:ascii="Times New Roman" w:hAnsi="Times New Roman"/>
                <w:color w:val="000000"/>
              </w:rPr>
              <w:t>ą</w:t>
            </w:r>
            <w:r w:rsidRPr="00911449">
              <w:rPr>
                <w:rFonts w:ascii="Times New Roman" w:hAnsi="Times New Roman"/>
                <w:color w:val="000000"/>
              </w:rPr>
              <w:t xml:space="preserve"> zmieniając</w:t>
            </w:r>
            <w:r w:rsidR="009E338C" w:rsidRPr="00911449">
              <w:rPr>
                <w:rFonts w:ascii="Times New Roman" w:hAnsi="Times New Roman"/>
                <w:color w:val="000000"/>
              </w:rPr>
              <w:t>ą</w:t>
            </w:r>
            <w:r w:rsidRPr="00911449">
              <w:rPr>
                <w:rFonts w:ascii="Times New Roman" w:hAnsi="Times New Roman"/>
                <w:color w:val="000000"/>
              </w:rPr>
              <w:t xml:space="preserve">, </w:t>
            </w:r>
            <w:r w:rsidR="009E338C" w:rsidRPr="00911449">
              <w:rPr>
                <w:rFonts w:ascii="Times New Roman" w:hAnsi="Times New Roman"/>
                <w:color w:val="000000"/>
              </w:rPr>
              <w:t>dotyczących</w:t>
            </w:r>
            <w:r w:rsidRPr="00911449">
              <w:rPr>
                <w:rFonts w:ascii="Times New Roman" w:hAnsi="Times New Roman"/>
                <w:color w:val="000000"/>
              </w:rPr>
              <w:t xml:space="preserve"> </w:t>
            </w:r>
            <w:r w:rsidR="009E338C" w:rsidRPr="00911449">
              <w:rPr>
                <w:rFonts w:ascii="Times New Roman" w:hAnsi="Times New Roman"/>
                <w:color w:val="000000"/>
              </w:rPr>
              <w:t xml:space="preserve">zakresu i terminu </w:t>
            </w:r>
            <w:r w:rsidRPr="00911449">
              <w:rPr>
                <w:rFonts w:ascii="Times New Roman" w:hAnsi="Times New Roman"/>
                <w:color w:val="000000"/>
              </w:rPr>
              <w:t xml:space="preserve">składania przez podmioty </w:t>
            </w:r>
            <w:r w:rsidR="009E338C" w:rsidRPr="00911449">
              <w:rPr>
                <w:rFonts w:ascii="Times New Roman" w:hAnsi="Times New Roman"/>
                <w:color w:val="000000"/>
              </w:rPr>
              <w:t xml:space="preserve">zobowiązane </w:t>
            </w:r>
            <w:r w:rsidRPr="00911449">
              <w:rPr>
                <w:rFonts w:ascii="Times New Roman" w:hAnsi="Times New Roman"/>
                <w:color w:val="000000"/>
              </w:rPr>
              <w:t>sprawozdań rocznych z realizacji Narodowego Celu Redukcyjnego</w:t>
            </w:r>
            <w:r w:rsidR="004D5272" w:rsidRPr="00911449">
              <w:rPr>
                <w:rFonts w:ascii="Times New Roman" w:hAnsi="Times New Roman"/>
                <w:color w:val="000000"/>
              </w:rPr>
              <w:t xml:space="preserve"> (</w:t>
            </w:r>
            <w:r w:rsidR="000F4D21">
              <w:rPr>
                <w:rFonts w:ascii="Times New Roman" w:hAnsi="Times New Roman"/>
                <w:color w:val="000000"/>
              </w:rPr>
              <w:t>zwanego dalej</w:t>
            </w:r>
            <w:r w:rsidR="009126C1" w:rsidRPr="00911449">
              <w:rPr>
                <w:rFonts w:ascii="Times New Roman" w:hAnsi="Times New Roman"/>
                <w:color w:val="000000"/>
              </w:rPr>
              <w:t xml:space="preserve"> </w:t>
            </w:r>
            <w:r w:rsidR="000F4D21">
              <w:rPr>
                <w:rFonts w:ascii="Times New Roman" w:hAnsi="Times New Roman"/>
                <w:color w:val="000000"/>
              </w:rPr>
              <w:t>„</w:t>
            </w:r>
            <w:r w:rsidR="004D5272" w:rsidRPr="00911449">
              <w:rPr>
                <w:rFonts w:ascii="Times New Roman" w:hAnsi="Times New Roman"/>
                <w:color w:val="000000"/>
              </w:rPr>
              <w:t>NCR</w:t>
            </w:r>
            <w:r w:rsidR="000F4D21">
              <w:rPr>
                <w:rFonts w:ascii="Times New Roman" w:hAnsi="Times New Roman"/>
                <w:color w:val="000000"/>
              </w:rPr>
              <w:t>”</w:t>
            </w:r>
            <w:r w:rsidR="004D5272" w:rsidRPr="00911449">
              <w:rPr>
                <w:rFonts w:ascii="Times New Roman" w:hAnsi="Times New Roman"/>
                <w:color w:val="000000"/>
              </w:rPr>
              <w:t>)</w:t>
            </w:r>
            <w:r w:rsidRPr="00911449">
              <w:rPr>
                <w:rFonts w:ascii="Times New Roman" w:hAnsi="Times New Roman"/>
                <w:color w:val="000000"/>
              </w:rPr>
              <w:t xml:space="preserve"> do Prezesa Urzędu Regulacji Energetyki. Ustawa zmieniająca wprowadziła możliwość realizacji NCR nowym rodzajem paliwa, tj. wodorem oraz przedłużyła terminy na przedkładanie </w:t>
            </w:r>
            <w:r w:rsidR="009E338C" w:rsidRPr="00911449">
              <w:rPr>
                <w:rFonts w:ascii="Times New Roman" w:hAnsi="Times New Roman"/>
                <w:color w:val="000000"/>
              </w:rPr>
              <w:t xml:space="preserve">Prezesowi </w:t>
            </w:r>
            <w:r w:rsidR="000F4D21" w:rsidRPr="00911449">
              <w:rPr>
                <w:rFonts w:ascii="Times New Roman" w:hAnsi="Times New Roman"/>
                <w:color w:val="000000"/>
              </w:rPr>
              <w:t>Urzędu Regulacji Energetyki</w:t>
            </w:r>
            <w:r w:rsidR="000F4D21" w:rsidRPr="00911449" w:rsidDel="000F4D21">
              <w:rPr>
                <w:rFonts w:ascii="Times New Roman" w:hAnsi="Times New Roman"/>
                <w:color w:val="000000"/>
              </w:rPr>
              <w:t xml:space="preserve"> </w:t>
            </w:r>
            <w:r w:rsidR="003E6B0A" w:rsidRPr="00911449">
              <w:rPr>
                <w:rFonts w:ascii="Times New Roman" w:hAnsi="Times New Roman"/>
                <w:color w:val="000000"/>
              </w:rPr>
              <w:t>oraz</w:t>
            </w:r>
            <w:r w:rsidRPr="00911449">
              <w:rPr>
                <w:rFonts w:ascii="Times New Roman" w:hAnsi="Times New Roman"/>
                <w:color w:val="000000"/>
              </w:rPr>
              <w:t xml:space="preserve"> K</w:t>
            </w:r>
            <w:r w:rsidR="009E338C" w:rsidRPr="00911449">
              <w:rPr>
                <w:rFonts w:ascii="Times New Roman" w:hAnsi="Times New Roman"/>
                <w:color w:val="000000"/>
              </w:rPr>
              <w:t xml:space="preserve">omisji </w:t>
            </w:r>
            <w:r w:rsidRPr="00911449">
              <w:rPr>
                <w:rFonts w:ascii="Times New Roman" w:hAnsi="Times New Roman"/>
                <w:color w:val="000000"/>
              </w:rPr>
              <w:t>E</w:t>
            </w:r>
            <w:r w:rsidR="009E338C" w:rsidRPr="00911449">
              <w:rPr>
                <w:rFonts w:ascii="Times New Roman" w:hAnsi="Times New Roman"/>
                <w:color w:val="000000"/>
              </w:rPr>
              <w:t>uropejskiej</w:t>
            </w:r>
            <w:r w:rsidRPr="00911449">
              <w:rPr>
                <w:rFonts w:ascii="Times New Roman" w:hAnsi="Times New Roman"/>
                <w:color w:val="000000"/>
              </w:rPr>
              <w:t xml:space="preserve"> sprawozdań dotyczących NCR</w:t>
            </w:r>
            <w:r w:rsidRPr="00911449">
              <w:rPr>
                <w:rFonts w:ascii="Times New Roman" w:hAnsi="Times New Roman"/>
              </w:rPr>
              <w:t>.</w:t>
            </w:r>
          </w:p>
          <w:p w14:paraId="5827D0C0" w14:textId="4EAFEB7F" w:rsidR="006A701A" w:rsidRPr="000F4D21" w:rsidRDefault="006A6A0E" w:rsidP="000F4D2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1449">
              <w:rPr>
                <w:rFonts w:ascii="Times New Roman" w:hAnsi="Times New Roman"/>
                <w:color w:val="000000"/>
              </w:rPr>
              <w:t xml:space="preserve">Projektowane rozporządzenie w zakresie swojej regulacji, wdraża przepisy dyrektywy Rady (UE) 2015/652 ustanawiającej metody obliczania i wymogi w zakresie sprawozdawczości zgodnie z dyrektywą 98/70/WE Parlamentu Europejskiego </w:t>
            </w:r>
            <w:r w:rsidR="004A4483" w:rsidRPr="00911449">
              <w:rPr>
                <w:rFonts w:ascii="Times New Roman" w:hAnsi="Times New Roman"/>
                <w:color w:val="000000"/>
              </w:rPr>
              <w:br/>
            </w:r>
            <w:r w:rsidRPr="00911449">
              <w:rPr>
                <w:rFonts w:ascii="Times New Roman" w:hAnsi="Times New Roman"/>
                <w:color w:val="000000"/>
              </w:rPr>
              <w:t>i Rady odnoszącą się do jakości benzyny i olejów napędowych (</w:t>
            </w:r>
            <w:r w:rsidR="00B631FC">
              <w:rPr>
                <w:rFonts w:ascii="Times New Roman" w:hAnsi="Times New Roman"/>
                <w:color w:val="000000"/>
              </w:rPr>
              <w:t xml:space="preserve">zwanej </w:t>
            </w:r>
            <w:r w:rsidRPr="00911449">
              <w:rPr>
                <w:rFonts w:ascii="Times New Roman" w:hAnsi="Times New Roman"/>
                <w:color w:val="000000"/>
              </w:rPr>
              <w:t>dalej „dyrektyw</w:t>
            </w:r>
            <w:r w:rsidR="00B631FC">
              <w:rPr>
                <w:rFonts w:ascii="Times New Roman" w:hAnsi="Times New Roman"/>
                <w:color w:val="000000"/>
              </w:rPr>
              <w:t>ą</w:t>
            </w:r>
            <w:r w:rsidRPr="00911449">
              <w:rPr>
                <w:rFonts w:ascii="Times New Roman" w:hAnsi="Times New Roman"/>
                <w:color w:val="000000"/>
              </w:rPr>
              <w:t xml:space="preserve"> 2015/652”) do polskiego porządku prawnego. </w:t>
            </w:r>
            <w:r w:rsidR="00315A52">
              <w:rPr>
                <w:rFonts w:ascii="Times New Roman" w:hAnsi="Times New Roman"/>
                <w:color w:val="000000"/>
              </w:rPr>
              <w:t>Zakres</w:t>
            </w:r>
            <w:r w:rsidR="00315A52" w:rsidRPr="00911449">
              <w:rPr>
                <w:rFonts w:ascii="Times New Roman" w:hAnsi="Times New Roman"/>
                <w:color w:val="000000"/>
              </w:rPr>
              <w:t xml:space="preserve"> </w:t>
            </w:r>
            <w:r w:rsidRPr="00911449">
              <w:rPr>
                <w:rFonts w:ascii="Times New Roman" w:hAnsi="Times New Roman"/>
                <w:color w:val="000000"/>
              </w:rPr>
              <w:t>zbiorczego raportu rocznego dla K</w:t>
            </w:r>
            <w:r w:rsidR="000F4D21">
              <w:rPr>
                <w:rFonts w:ascii="Times New Roman" w:hAnsi="Times New Roman"/>
                <w:color w:val="000000"/>
              </w:rPr>
              <w:t>omisji Europejskiej</w:t>
            </w:r>
            <w:r w:rsidRPr="00911449">
              <w:rPr>
                <w:rFonts w:ascii="Times New Roman" w:hAnsi="Times New Roman"/>
                <w:color w:val="000000"/>
              </w:rPr>
              <w:t xml:space="preserve"> wynika z przepisów dyrektywy 2015/652.</w:t>
            </w:r>
          </w:p>
        </w:tc>
      </w:tr>
      <w:tr w:rsidR="006A701A" w:rsidRPr="000F76C2" w14:paraId="6E8429FE" w14:textId="77777777" w:rsidTr="004D5272">
        <w:trPr>
          <w:trHeight w:val="142"/>
        </w:trPr>
        <w:tc>
          <w:tcPr>
            <w:tcW w:w="10937" w:type="dxa"/>
            <w:gridSpan w:val="2"/>
            <w:shd w:val="clear" w:color="auto" w:fill="99CCFF"/>
            <w:vAlign w:val="center"/>
          </w:tcPr>
          <w:p w14:paraId="76EFF483" w14:textId="614B8C65" w:rsidR="006A701A" w:rsidRPr="000F76C2" w:rsidRDefault="0013216E" w:rsidP="00F93FA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F76C2">
              <w:rPr>
                <w:rFonts w:ascii="Times New Roman" w:hAnsi="Times New Roman"/>
                <w:b/>
                <w:color w:val="000000"/>
                <w:spacing w:val="-2"/>
              </w:rPr>
              <w:t xml:space="preserve">Rekomendowane rozwiązanie, w tym planowane narzędzia </w:t>
            </w:r>
            <w:r w:rsidR="00B84CF7" w:rsidRPr="000F76C2">
              <w:rPr>
                <w:rFonts w:ascii="Times New Roman" w:hAnsi="Times New Roman"/>
                <w:b/>
                <w:color w:val="000000"/>
                <w:spacing w:val="-2"/>
              </w:rPr>
              <w:t>interwencji</w:t>
            </w:r>
            <w:r w:rsidRPr="000F76C2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0F76C2" w14:paraId="1C6658FE" w14:textId="77777777" w:rsidTr="004D5272">
        <w:trPr>
          <w:trHeight w:val="142"/>
        </w:trPr>
        <w:tc>
          <w:tcPr>
            <w:tcW w:w="10937" w:type="dxa"/>
            <w:gridSpan w:val="2"/>
            <w:shd w:val="clear" w:color="auto" w:fill="auto"/>
          </w:tcPr>
          <w:p w14:paraId="6B7ED5C2" w14:textId="00273B2F" w:rsidR="008768B6" w:rsidRPr="00911449" w:rsidRDefault="00093C15" w:rsidP="001853E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1449">
              <w:rPr>
                <w:rFonts w:ascii="Times New Roman" w:hAnsi="Times New Roman"/>
                <w:color w:val="000000"/>
              </w:rPr>
              <w:t>Rekomendowanym rozwiązaniem jest wydanie nowego rozporządzenia, które zastąpi obecnie obowiązujące rozporządzenie Ministra Energii z dnia 20 lipca 2017 r. w sprawie szczegółowego zakresu zbiorczego raportu rocznego dotyczącego ograniczenia emisji gazów cieplarnianych w cyklu życia paliw i energii elektrycznej</w:t>
            </w:r>
            <w:r w:rsidR="000F4D21">
              <w:rPr>
                <w:rFonts w:ascii="Times New Roman" w:hAnsi="Times New Roman"/>
                <w:color w:val="000000"/>
              </w:rPr>
              <w:t>.</w:t>
            </w:r>
          </w:p>
          <w:p w14:paraId="1FD7B8E2" w14:textId="1021CB86" w:rsidR="001853EA" w:rsidRPr="009F57B5" w:rsidRDefault="006A6A0E" w:rsidP="000F4D2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3" w:name="_Hlk165129897"/>
            <w:r w:rsidRPr="00911449">
              <w:rPr>
                <w:rFonts w:ascii="Times New Roman" w:hAnsi="Times New Roman"/>
                <w:color w:val="000000"/>
              </w:rPr>
              <w:t>Projekt rozporządzenia ma na celu określenie szczegółowego zakresu zbiorczego raportu rocznego dla K</w:t>
            </w:r>
            <w:r w:rsidR="000F4D21">
              <w:rPr>
                <w:rFonts w:ascii="Times New Roman" w:hAnsi="Times New Roman"/>
                <w:color w:val="000000"/>
              </w:rPr>
              <w:t>omisji Europejskiej</w:t>
            </w:r>
            <w:r w:rsidRPr="00911449">
              <w:rPr>
                <w:rFonts w:ascii="Times New Roman" w:hAnsi="Times New Roman"/>
                <w:color w:val="000000"/>
              </w:rPr>
              <w:t xml:space="preserve"> dotyczącego ograniczenia emisji gazów cieplarnianych w cyklu życia paliw i energii, który będzie uwzględniał wszystkie dane wymagane w ramach sprawozdania rocznego z realizacji NCR, składanego indywidualnie przez podmioty zobowiązane do realizacji obowiązku NCR.</w:t>
            </w:r>
            <w:bookmarkEnd w:id="3"/>
          </w:p>
          <w:p w14:paraId="2C1AD4E6" w14:textId="6BF48D25" w:rsidR="000F4D21" w:rsidRPr="000F76C2" w:rsidRDefault="000F4D21" w:rsidP="000F4D2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Osiągnięcie celu projektu nie jest możliwe za pomocą innych środków niż wydanie rozporządzenia.</w:t>
            </w:r>
          </w:p>
        </w:tc>
      </w:tr>
    </w:tbl>
    <w:p w14:paraId="1BAEA96F" w14:textId="16A6D806" w:rsidR="004D5272" w:rsidRPr="000F76C2" w:rsidRDefault="004D5272">
      <w:pPr>
        <w:rPr>
          <w:rFonts w:ascii="Times New Roman" w:hAnsi="Times New Roman"/>
        </w:rPr>
      </w:pPr>
    </w:p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15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0F76C2" w14:paraId="0BC804EE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1D70CF28" w14:textId="5F13F519" w:rsidR="006A701A" w:rsidRPr="000F76C2" w:rsidRDefault="009E3C4B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F76C2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0F76C2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0F76C2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0F76C2" w14:paraId="6643E08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3C1755D0" w14:textId="1CAC4383" w:rsidR="006A701A" w:rsidRPr="000F76C2" w:rsidRDefault="00093C15" w:rsidP="00995CE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lastRenderedPageBreak/>
              <w:t xml:space="preserve">Przepisy dyrektywy 2015/652 określają wzór raportu rocznego </w:t>
            </w:r>
            <w:r w:rsidR="00B84CF7" w:rsidRPr="000F76C2">
              <w:rPr>
                <w:rFonts w:ascii="Times New Roman" w:hAnsi="Times New Roman"/>
                <w:color w:val="000000"/>
              </w:rPr>
              <w:t>dotyczącego ograniczenia</w:t>
            </w:r>
            <w:r w:rsidRPr="000F76C2">
              <w:rPr>
                <w:rFonts w:ascii="Times New Roman" w:hAnsi="Times New Roman"/>
                <w:color w:val="000000"/>
              </w:rPr>
              <w:t xml:space="preserve"> emisji gazów cieplarnianych w</w:t>
            </w:r>
            <w:r w:rsidR="00A92D18">
              <w:rPr>
                <w:rFonts w:ascii="Times New Roman" w:hAnsi="Times New Roman"/>
                <w:color w:val="000000"/>
              </w:rPr>
              <w:t> </w:t>
            </w:r>
            <w:r w:rsidRPr="000F76C2">
              <w:rPr>
                <w:rFonts w:ascii="Times New Roman" w:hAnsi="Times New Roman"/>
                <w:color w:val="000000"/>
              </w:rPr>
              <w:t>cyklu życia paliw i energii elektrycznej</w:t>
            </w:r>
            <w:r w:rsidR="00995CE1">
              <w:rPr>
                <w:rFonts w:ascii="Times New Roman" w:hAnsi="Times New Roman"/>
                <w:color w:val="000000"/>
              </w:rPr>
              <w:t xml:space="preserve">. </w:t>
            </w:r>
            <w:r w:rsidRPr="000F76C2">
              <w:rPr>
                <w:rFonts w:ascii="Times New Roman" w:hAnsi="Times New Roman"/>
                <w:color w:val="000000"/>
              </w:rPr>
              <w:t>Uwzględniając powyższe</w:t>
            </w:r>
            <w:r w:rsidR="00995CE1">
              <w:rPr>
                <w:rFonts w:ascii="Times New Roman" w:hAnsi="Times New Roman"/>
                <w:color w:val="000000"/>
              </w:rPr>
              <w:t>,</w:t>
            </w:r>
            <w:r w:rsidRPr="000F76C2">
              <w:rPr>
                <w:rFonts w:ascii="Times New Roman" w:hAnsi="Times New Roman"/>
                <w:color w:val="000000"/>
              </w:rPr>
              <w:t xml:space="preserve"> </w:t>
            </w:r>
            <w:r w:rsidR="00995CE1">
              <w:rPr>
                <w:rFonts w:ascii="Times New Roman" w:hAnsi="Times New Roman"/>
                <w:color w:val="000000"/>
              </w:rPr>
              <w:t xml:space="preserve">kraje UE powinny </w:t>
            </w:r>
            <w:r w:rsidR="009B54FF">
              <w:rPr>
                <w:rFonts w:ascii="Times New Roman" w:hAnsi="Times New Roman"/>
                <w:color w:val="000000"/>
              </w:rPr>
              <w:t xml:space="preserve">przekazywać </w:t>
            </w:r>
            <w:r w:rsidR="004845C7">
              <w:rPr>
                <w:rFonts w:ascii="Times New Roman" w:hAnsi="Times New Roman"/>
                <w:color w:val="000000"/>
              </w:rPr>
              <w:t xml:space="preserve">raport </w:t>
            </w:r>
            <w:r w:rsidR="00995CE1">
              <w:rPr>
                <w:rFonts w:ascii="Times New Roman" w:hAnsi="Times New Roman"/>
                <w:color w:val="000000"/>
              </w:rPr>
              <w:t xml:space="preserve">zgodny </w:t>
            </w:r>
            <w:r w:rsidR="00C647FA">
              <w:rPr>
                <w:rFonts w:ascii="Times New Roman" w:hAnsi="Times New Roman"/>
                <w:color w:val="000000"/>
              </w:rPr>
              <w:t>z dyrektywą</w:t>
            </w:r>
            <w:r w:rsidR="00A92D18">
              <w:rPr>
                <w:rFonts w:ascii="Times New Roman" w:hAnsi="Times New Roman"/>
                <w:color w:val="000000"/>
              </w:rPr>
              <w:t xml:space="preserve"> </w:t>
            </w:r>
            <w:r w:rsidR="00A92D18" w:rsidRPr="000F76C2">
              <w:rPr>
                <w:rFonts w:ascii="Times New Roman" w:hAnsi="Times New Roman"/>
                <w:color w:val="000000"/>
              </w:rPr>
              <w:t>2015/652</w:t>
            </w:r>
            <w:r w:rsidR="00995CE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A701A" w:rsidRPr="000F76C2" w14:paraId="12A33B47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550A992D" w14:textId="77777777" w:rsidR="006A701A" w:rsidRPr="000F76C2" w:rsidRDefault="006A701A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F76C2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0F76C2" w14:paraId="05552CD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B25C3CC" w14:textId="77777777" w:rsidR="00260F33" w:rsidRPr="000F76C2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2D53B02" w14:textId="77777777" w:rsidR="00260F33" w:rsidRPr="000F76C2" w:rsidRDefault="00563199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194583A9" w14:textId="77777777" w:rsidR="00260F33" w:rsidRPr="000F76C2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0F76C2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AD8AC42" w14:textId="77777777" w:rsidR="00260F33" w:rsidRPr="000F76C2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0F76C2" w14:paraId="53AAC0A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FA68EF9" w14:textId="55D38FBC" w:rsidR="00260F33" w:rsidRPr="000F76C2" w:rsidRDefault="00780502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</w:rPr>
              <w:t>Prezes Urzędu Regulacji Energetyki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3C7AFE4" w14:textId="303E123D" w:rsidR="00260F33" w:rsidRPr="000F76C2" w:rsidRDefault="00780502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3EB3719B" w14:textId="4B87174A" w:rsidR="00260F33" w:rsidRPr="000F76C2" w:rsidRDefault="00260F33" w:rsidP="0078050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051A0E7F" w14:textId="5F3FE1A2" w:rsidR="00260F33" w:rsidRPr="000F76C2" w:rsidRDefault="00995CE1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Sporządzanie zbiorczego raportu rocznego </w:t>
            </w:r>
            <w:r w:rsidR="0055314F">
              <w:rPr>
                <w:rFonts w:ascii="Times New Roman" w:hAnsi="Times New Roman"/>
                <w:color w:val="000000"/>
                <w:spacing w:val="-2"/>
              </w:rPr>
              <w:t xml:space="preserve">z realizacji NCR </w:t>
            </w:r>
            <w:r>
              <w:rPr>
                <w:rFonts w:ascii="Times New Roman" w:hAnsi="Times New Roman"/>
                <w:color w:val="000000"/>
                <w:spacing w:val="-2"/>
              </w:rPr>
              <w:t>dla K</w:t>
            </w:r>
            <w:r w:rsidR="000F4D21">
              <w:rPr>
                <w:rFonts w:ascii="Times New Roman" w:hAnsi="Times New Roman"/>
                <w:color w:val="000000"/>
                <w:spacing w:val="-2"/>
              </w:rPr>
              <w:t xml:space="preserve">omisji </w:t>
            </w:r>
            <w:r w:rsidR="00A92D18">
              <w:rPr>
                <w:rFonts w:ascii="Times New Roman" w:hAnsi="Times New Roman"/>
                <w:color w:val="000000"/>
                <w:spacing w:val="-2"/>
              </w:rPr>
              <w:t>Europejskiej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zgodnie z </w:t>
            </w:r>
            <w:r w:rsidR="0055314F">
              <w:rPr>
                <w:rFonts w:ascii="Times New Roman" w:hAnsi="Times New Roman"/>
                <w:color w:val="000000"/>
                <w:spacing w:val="-2"/>
              </w:rPr>
              <w:t>projektowanym rozporządzeniem.</w:t>
            </w:r>
          </w:p>
        </w:tc>
      </w:tr>
      <w:tr w:rsidR="006A701A" w:rsidRPr="000F76C2" w14:paraId="69B3A722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7D9F7760" w14:textId="77777777" w:rsidR="006A701A" w:rsidRPr="000F76C2" w:rsidRDefault="001B3460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F76C2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0F76C2">
              <w:rPr>
                <w:rFonts w:ascii="Times New Roman" w:hAnsi="Times New Roman"/>
                <w:b/>
                <w:color w:val="000000"/>
              </w:rPr>
              <w:t>,</w:t>
            </w:r>
            <w:r w:rsidRPr="000F76C2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0F76C2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0F76C2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780502" w:rsidRPr="000F76C2" w14:paraId="0A8C817F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8"/>
            <w:shd w:val="clear" w:color="auto" w:fill="FFFFFF"/>
          </w:tcPr>
          <w:p w14:paraId="00ED592E" w14:textId="77777777" w:rsidR="00780502" w:rsidRPr="000F76C2" w:rsidRDefault="00780502" w:rsidP="0078050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  <w:spacing w:val="-2"/>
              </w:rPr>
              <w:t xml:space="preserve">Projekt nie był przedmiotem pre-konsultacji. </w:t>
            </w:r>
          </w:p>
          <w:p w14:paraId="1187CD86" w14:textId="406E598E" w:rsidR="00780502" w:rsidRPr="000F76C2" w:rsidRDefault="00780502" w:rsidP="001853E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  <w:spacing w:val="-2"/>
              </w:rPr>
              <w:t>Projekt, zgodnie z art. 5 ustawy z dnia 7 lipca 2005 r. o działalności lobbingowej w procesie stanowienia prawa</w:t>
            </w:r>
            <w:r w:rsidR="00911449">
              <w:rPr>
                <w:rFonts w:ascii="Times New Roman" w:hAnsi="Times New Roman"/>
                <w:color w:val="000000"/>
                <w:spacing w:val="-2"/>
              </w:rPr>
              <w:t xml:space="preserve"> (</w:t>
            </w:r>
            <w:r w:rsidR="00911449" w:rsidRPr="002B0D35">
              <w:rPr>
                <w:rFonts w:ascii="Times New Roman" w:hAnsi="Times New Roman"/>
              </w:rPr>
              <w:t>Dz. U. z</w:t>
            </w:r>
            <w:r w:rsidR="00911449">
              <w:rPr>
                <w:rFonts w:ascii="Times New Roman" w:hAnsi="Times New Roman"/>
              </w:rPr>
              <w:t> </w:t>
            </w:r>
            <w:r w:rsidR="00911449" w:rsidRPr="002B0D35">
              <w:rPr>
                <w:rFonts w:ascii="Times New Roman" w:hAnsi="Times New Roman"/>
              </w:rPr>
              <w:t>2017</w:t>
            </w:r>
            <w:r w:rsidR="00911449">
              <w:rPr>
                <w:rFonts w:ascii="Times New Roman" w:hAnsi="Times New Roman"/>
              </w:rPr>
              <w:t> </w:t>
            </w:r>
            <w:r w:rsidR="00911449" w:rsidRPr="002B0D35">
              <w:rPr>
                <w:rFonts w:ascii="Times New Roman" w:hAnsi="Times New Roman"/>
              </w:rPr>
              <w:t>r. poz. 248</w:t>
            </w:r>
            <w:r w:rsidR="00C647FA" w:rsidRPr="002B0D35">
              <w:rPr>
                <w:rFonts w:ascii="Times New Roman" w:hAnsi="Times New Roman"/>
              </w:rPr>
              <w:t>)</w:t>
            </w:r>
            <w:r w:rsidR="00C647FA">
              <w:rPr>
                <w:rFonts w:ascii="Times New Roman" w:hAnsi="Times New Roman"/>
              </w:rPr>
              <w:t xml:space="preserve"> </w:t>
            </w:r>
            <w:r w:rsidR="00C647FA" w:rsidRPr="000F76C2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0F76C2">
              <w:rPr>
                <w:rFonts w:ascii="Times New Roman" w:hAnsi="Times New Roman"/>
                <w:color w:val="000000"/>
                <w:spacing w:val="-2"/>
              </w:rPr>
              <w:t xml:space="preserve"> § 52 uchwały nr 190 Rady Ministrów z dnia 29 października 2013 r. – Regulamin pracy Rady Ministrów</w:t>
            </w:r>
            <w:r w:rsidR="009114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449" w:rsidRPr="008974CA">
              <w:rPr>
                <w:rFonts w:ascii="Times New Roman" w:hAnsi="Times New Roman"/>
                <w:color w:val="000000"/>
                <w:spacing w:val="-2"/>
              </w:rPr>
              <w:t>(M.P. 2022 r. poz. 348)</w:t>
            </w:r>
            <w:r w:rsidRPr="000F76C2">
              <w:rPr>
                <w:rFonts w:ascii="Times New Roman" w:hAnsi="Times New Roman"/>
                <w:color w:val="000000"/>
                <w:spacing w:val="-2"/>
              </w:rPr>
              <w:t xml:space="preserve">, zostanie udostępniony w Biuletynie Informacji Publicznej, na stronie podmiotowej Rządowego Centrum Legislacji, w serwisie Rządowy Proces Legislacyjny. </w:t>
            </w:r>
          </w:p>
          <w:p w14:paraId="21E437A4" w14:textId="2A113E3B" w:rsidR="00780502" w:rsidRPr="000F76C2" w:rsidRDefault="00780502" w:rsidP="00780502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  <w:spacing w:val="-2"/>
              </w:rPr>
              <w:t xml:space="preserve">W ramach konsultacji publicznych projekt zostanie przekazany </w:t>
            </w:r>
            <w:r w:rsidR="00911449">
              <w:rPr>
                <w:rFonts w:ascii="Times New Roman" w:hAnsi="Times New Roman"/>
                <w:color w:val="000000"/>
                <w:spacing w:val="-2"/>
                <w:shd w:val="clear" w:color="auto" w:fill="FFFFFF" w:themeFill="background1"/>
              </w:rPr>
              <w:t xml:space="preserve">na </w:t>
            </w:r>
            <w:r w:rsidRPr="000F76C2">
              <w:rPr>
                <w:rFonts w:ascii="Times New Roman" w:hAnsi="Times New Roman"/>
                <w:color w:val="000000"/>
                <w:spacing w:val="-2"/>
                <w:shd w:val="clear" w:color="auto" w:fill="FFFFFF" w:themeFill="background1"/>
              </w:rPr>
              <w:t>10 dni</w:t>
            </w:r>
            <w:r w:rsidRPr="000F76C2">
              <w:rPr>
                <w:rFonts w:ascii="Times New Roman" w:hAnsi="Times New Roman"/>
                <w:color w:val="000000"/>
                <w:spacing w:val="-2"/>
              </w:rPr>
              <w:t xml:space="preserve"> następującym podmiotom: </w:t>
            </w:r>
          </w:p>
          <w:p w14:paraId="4B375DA1" w14:textId="77777777" w:rsidR="00780502" w:rsidRPr="000F76C2" w:rsidRDefault="00780502" w:rsidP="00780502">
            <w:pPr>
              <w:pStyle w:val="Akapitzlist"/>
              <w:numPr>
                <w:ilvl w:val="0"/>
                <w:numId w:val="31"/>
              </w:numPr>
              <w:ind w:left="1478" w:hanging="644"/>
              <w:rPr>
                <w:rFonts w:ascii="Times New Roman" w:hAnsi="Times New Roman"/>
              </w:rPr>
            </w:pPr>
            <w:r w:rsidRPr="000F76C2">
              <w:rPr>
                <w:rFonts w:ascii="Times New Roman" w:hAnsi="Times New Roman"/>
              </w:rPr>
              <w:t>Polska Izba Paliw Płynnych;</w:t>
            </w:r>
          </w:p>
          <w:p w14:paraId="260FB52B" w14:textId="77777777" w:rsidR="00780502" w:rsidRPr="000F76C2" w:rsidRDefault="00780502" w:rsidP="00780502">
            <w:pPr>
              <w:pStyle w:val="Akapitzlist"/>
              <w:numPr>
                <w:ilvl w:val="0"/>
                <w:numId w:val="31"/>
              </w:numPr>
              <w:ind w:left="1478" w:hanging="64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</w:rPr>
              <w:t>Polska Organizacja Przemysłu i Handlu Naftowego;</w:t>
            </w:r>
          </w:p>
          <w:p w14:paraId="43A5F7A1" w14:textId="77777777" w:rsidR="00780502" w:rsidRPr="0055314F" w:rsidRDefault="00780502" w:rsidP="00780502">
            <w:pPr>
              <w:pStyle w:val="Akapitzlist"/>
              <w:numPr>
                <w:ilvl w:val="0"/>
                <w:numId w:val="31"/>
              </w:numPr>
              <w:ind w:left="1478" w:hanging="64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</w:rPr>
              <w:t>Polska Izba Gazu Płynnego;</w:t>
            </w:r>
          </w:p>
          <w:p w14:paraId="45B166FD" w14:textId="6DEC8C85" w:rsidR="0055314F" w:rsidRPr="000F76C2" w:rsidRDefault="0055314F" w:rsidP="00780502">
            <w:pPr>
              <w:pStyle w:val="Akapitzlist"/>
              <w:numPr>
                <w:ilvl w:val="0"/>
                <w:numId w:val="31"/>
              </w:numPr>
              <w:ind w:left="1478" w:hanging="64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Polska Organizacja Gazu płynnego;</w:t>
            </w:r>
          </w:p>
          <w:p w14:paraId="5119C07E" w14:textId="77777777" w:rsidR="00780502" w:rsidRPr="000F76C2" w:rsidRDefault="00780502" w:rsidP="00780502">
            <w:pPr>
              <w:pStyle w:val="Akapitzlist"/>
              <w:numPr>
                <w:ilvl w:val="0"/>
                <w:numId w:val="31"/>
              </w:numPr>
              <w:ind w:left="1478" w:hanging="64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  <w:spacing w:val="-2"/>
              </w:rPr>
              <w:t xml:space="preserve">Krajowa Izba Biopaliw; </w:t>
            </w:r>
          </w:p>
          <w:p w14:paraId="63FA75EB" w14:textId="77777777" w:rsidR="00780502" w:rsidRPr="000F76C2" w:rsidRDefault="00780502" w:rsidP="00780502">
            <w:pPr>
              <w:pStyle w:val="Akapitzlist"/>
              <w:numPr>
                <w:ilvl w:val="0"/>
                <w:numId w:val="31"/>
              </w:numPr>
              <w:ind w:left="1478" w:hanging="644"/>
              <w:rPr>
                <w:rFonts w:ascii="Times New Roman" w:hAnsi="Times New Roman"/>
              </w:rPr>
            </w:pPr>
            <w:r w:rsidRPr="000F76C2">
              <w:rPr>
                <w:rFonts w:ascii="Times New Roman" w:eastAsia="Times New Roman" w:hAnsi="Times New Roman"/>
              </w:rPr>
              <w:t>Instytut Nafty i Gazu;</w:t>
            </w:r>
          </w:p>
          <w:p w14:paraId="09EF74D5" w14:textId="77777777" w:rsidR="00780502" w:rsidRPr="000F76C2" w:rsidRDefault="00780502" w:rsidP="00780502">
            <w:pPr>
              <w:pStyle w:val="Akapitzlist"/>
              <w:numPr>
                <w:ilvl w:val="0"/>
                <w:numId w:val="31"/>
              </w:numPr>
              <w:ind w:left="1478" w:hanging="644"/>
              <w:rPr>
                <w:rFonts w:ascii="Times New Roman" w:hAnsi="Times New Roman"/>
              </w:rPr>
            </w:pPr>
            <w:r w:rsidRPr="000F76C2">
              <w:rPr>
                <w:rFonts w:ascii="Times New Roman" w:hAnsi="Times New Roman"/>
              </w:rPr>
              <w:t>Sieć Badawcza Łukasiewicz - Przemysłowy Instytut Motoryzacji;</w:t>
            </w:r>
          </w:p>
          <w:p w14:paraId="4261D477" w14:textId="77777777" w:rsidR="00780502" w:rsidRPr="000F76C2" w:rsidRDefault="00780502" w:rsidP="00780502">
            <w:pPr>
              <w:pStyle w:val="Akapitzlist"/>
              <w:numPr>
                <w:ilvl w:val="0"/>
                <w:numId w:val="31"/>
              </w:numPr>
              <w:ind w:left="1478" w:hanging="64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F76C2">
              <w:rPr>
                <w:rFonts w:ascii="Times New Roman" w:eastAsia="Times New Roman" w:hAnsi="Times New Roman"/>
                <w:bCs/>
                <w:lang w:eastAsia="pl-PL"/>
              </w:rPr>
              <w:t>PERN S.A.;</w:t>
            </w:r>
          </w:p>
          <w:p w14:paraId="3E209ED7" w14:textId="77777777" w:rsidR="00780502" w:rsidRPr="000F76C2" w:rsidRDefault="00780502" w:rsidP="00780502">
            <w:pPr>
              <w:pStyle w:val="Akapitzlist"/>
              <w:numPr>
                <w:ilvl w:val="0"/>
                <w:numId w:val="31"/>
              </w:numPr>
              <w:ind w:left="1478" w:hanging="644"/>
              <w:rPr>
                <w:rFonts w:ascii="Times New Roman" w:hAnsi="Times New Roman"/>
              </w:rPr>
            </w:pPr>
            <w:r w:rsidRPr="000F76C2">
              <w:rPr>
                <w:rFonts w:ascii="Times New Roman" w:hAnsi="Times New Roman"/>
              </w:rPr>
              <w:t>BP Polska Sp. z o.o.;</w:t>
            </w:r>
          </w:p>
          <w:p w14:paraId="047A6E22" w14:textId="77777777" w:rsidR="00780502" w:rsidRPr="000F76C2" w:rsidRDefault="00780502" w:rsidP="00780502">
            <w:pPr>
              <w:pStyle w:val="Akapitzlist"/>
              <w:numPr>
                <w:ilvl w:val="0"/>
                <w:numId w:val="31"/>
              </w:numPr>
              <w:ind w:left="1478" w:hanging="644"/>
              <w:rPr>
                <w:rFonts w:ascii="Times New Roman" w:hAnsi="Times New Roman"/>
              </w:rPr>
            </w:pPr>
            <w:r w:rsidRPr="000F76C2">
              <w:rPr>
                <w:rFonts w:ascii="Times New Roman" w:hAnsi="Times New Roman"/>
              </w:rPr>
              <w:t>ORLEN S.A.;</w:t>
            </w:r>
          </w:p>
          <w:p w14:paraId="67DFC187" w14:textId="77777777" w:rsidR="00780502" w:rsidRPr="000F76C2" w:rsidRDefault="00780502" w:rsidP="00780502">
            <w:pPr>
              <w:pStyle w:val="Akapitzlist"/>
              <w:numPr>
                <w:ilvl w:val="0"/>
                <w:numId w:val="31"/>
              </w:numPr>
              <w:ind w:left="1478" w:hanging="644"/>
              <w:rPr>
                <w:rFonts w:ascii="Times New Roman" w:hAnsi="Times New Roman"/>
              </w:rPr>
            </w:pPr>
            <w:r w:rsidRPr="000F76C2">
              <w:rPr>
                <w:rFonts w:ascii="Times New Roman" w:hAnsi="Times New Roman"/>
              </w:rPr>
              <w:t>Shell Polska Sp. z o.o.;</w:t>
            </w:r>
          </w:p>
          <w:p w14:paraId="0E103435" w14:textId="77777777" w:rsidR="00780502" w:rsidRPr="000F76C2" w:rsidRDefault="00780502" w:rsidP="00780502">
            <w:pPr>
              <w:pStyle w:val="Akapitzlist"/>
              <w:numPr>
                <w:ilvl w:val="0"/>
                <w:numId w:val="31"/>
              </w:numPr>
              <w:ind w:left="1478" w:hanging="644"/>
              <w:rPr>
                <w:rFonts w:ascii="Times New Roman" w:hAnsi="Times New Roman"/>
              </w:rPr>
            </w:pPr>
            <w:r w:rsidRPr="000F76C2">
              <w:rPr>
                <w:rFonts w:ascii="Times New Roman" w:hAnsi="Times New Roman"/>
              </w:rPr>
              <w:t>Slovnaft Polska S.A.;</w:t>
            </w:r>
          </w:p>
          <w:p w14:paraId="1EAF98C4" w14:textId="77777777" w:rsidR="00780502" w:rsidRPr="000F76C2" w:rsidRDefault="00780502" w:rsidP="00780502">
            <w:pPr>
              <w:pStyle w:val="Akapitzlist"/>
              <w:numPr>
                <w:ilvl w:val="0"/>
                <w:numId w:val="31"/>
              </w:numPr>
              <w:ind w:left="1478" w:hanging="644"/>
              <w:rPr>
                <w:rFonts w:ascii="Times New Roman" w:hAnsi="Times New Roman"/>
              </w:rPr>
            </w:pPr>
            <w:r w:rsidRPr="000F76C2">
              <w:rPr>
                <w:rFonts w:ascii="Times New Roman" w:hAnsi="Times New Roman"/>
              </w:rPr>
              <w:t>Circle K Polska Sp. z o.o.;</w:t>
            </w:r>
          </w:p>
          <w:p w14:paraId="518463EE" w14:textId="77777777" w:rsidR="00780502" w:rsidRPr="000F76C2" w:rsidRDefault="00780502" w:rsidP="00780502">
            <w:pPr>
              <w:pStyle w:val="Akapitzlist"/>
              <w:numPr>
                <w:ilvl w:val="0"/>
                <w:numId w:val="31"/>
              </w:numPr>
              <w:ind w:left="1478" w:hanging="64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F76C2">
              <w:rPr>
                <w:rFonts w:ascii="Times New Roman" w:eastAsia="Times New Roman" w:hAnsi="Times New Roman"/>
                <w:bCs/>
                <w:lang w:eastAsia="pl-PL"/>
              </w:rPr>
              <w:t>Unimot S.A.;</w:t>
            </w:r>
          </w:p>
          <w:p w14:paraId="5EFA7B4C" w14:textId="77777777" w:rsidR="00780502" w:rsidRPr="000F76C2" w:rsidRDefault="00780502" w:rsidP="00780502">
            <w:pPr>
              <w:pStyle w:val="Akapitzlist"/>
              <w:numPr>
                <w:ilvl w:val="0"/>
                <w:numId w:val="31"/>
              </w:numPr>
              <w:ind w:left="1478" w:hanging="64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F76C2">
              <w:rPr>
                <w:rFonts w:ascii="Times New Roman" w:eastAsia="Times New Roman" w:hAnsi="Times New Roman"/>
                <w:bCs/>
                <w:lang w:eastAsia="pl-PL"/>
              </w:rPr>
              <w:t>Tanquid Polska Sp. z o.o.;</w:t>
            </w:r>
          </w:p>
          <w:p w14:paraId="4A590AA5" w14:textId="77777777" w:rsidR="00780502" w:rsidRPr="000F76C2" w:rsidRDefault="00780502" w:rsidP="00780502">
            <w:pPr>
              <w:pStyle w:val="Akapitzlist"/>
              <w:numPr>
                <w:ilvl w:val="0"/>
                <w:numId w:val="31"/>
              </w:numPr>
              <w:ind w:left="1478" w:hanging="644"/>
              <w:rPr>
                <w:rFonts w:ascii="Times New Roman" w:hAnsi="Times New Roman"/>
              </w:rPr>
            </w:pPr>
            <w:r w:rsidRPr="000F76C2">
              <w:rPr>
                <w:rFonts w:ascii="Times New Roman" w:hAnsi="Times New Roman"/>
              </w:rPr>
              <w:t>AMIC Polska;</w:t>
            </w:r>
          </w:p>
          <w:p w14:paraId="54FA3554" w14:textId="77777777" w:rsidR="00780502" w:rsidRPr="000F76C2" w:rsidRDefault="00780502" w:rsidP="00780502">
            <w:pPr>
              <w:pStyle w:val="Akapitzlist"/>
              <w:numPr>
                <w:ilvl w:val="0"/>
                <w:numId w:val="31"/>
              </w:numPr>
              <w:ind w:left="1478" w:hanging="644"/>
              <w:rPr>
                <w:rFonts w:ascii="Times New Roman" w:hAnsi="Times New Roman"/>
              </w:rPr>
            </w:pPr>
            <w:r w:rsidRPr="000F76C2">
              <w:rPr>
                <w:rFonts w:ascii="Times New Roman" w:hAnsi="Times New Roman"/>
              </w:rPr>
              <w:t>HUZAR PSP S.A.;</w:t>
            </w:r>
          </w:p>
          <w:p w14:paraId="1DDCCC1B" w14:textId="77777777" w:rsidR="00780502" w:rsidRPr="000F76C2" w:rsidRDefault="00780502" w:rsidP="00780502">
            <w:pPr>
              <w:pStyle w:val="Akapitzlist"/>
              <w:numPr>
                <w:ilvl w:val="0"/>
                <w:numId w:val="31"/>
              </w:numPr>
              <w:ind w:left="1478" w:hanging="64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</w:rPr>
              <w:t xml:space="preserve">ANWIM S.A.; </w:t>
            </w:r>
          </w:p>
          <w:p w14:paraId="6178A2C3" w14:textId="77777777" w:rsidR="00780502" w:rsidRPr="000F76C2" w:rsidRDefault="00780502" w:rsidP="00780502">
            <w:pPr>
              <w:pStyle w:val="Akapitzlist"/>
              <w:numPr>
                <w:ilvl w:val="0"/>
                <w:numId w:val="31"/>
              </w:numPr>
              <w:ind w:left="1478" w:hanging="64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  <w:spacing w:val="-2"/>
              </w:rPr>
              <w:t>Instytut Techniczny Wojsk Lotniczych.</w:t>
            </w:r>
          </w:p>
          <w:p w14:paraId="6C090DB8" w14:textId="31FAA02C" w:rsidR="00780502" w:rsidRPr="000F76C2" w:rsidRDefault="00780502" w:rsidP="00780502">
            <w:pPr>
              <w:spacing w:before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  <w:spacing w:val="-2"/>
              </w:rPr>
              <w:t xml:space="preserve">Projekt zostanie przekazany do zaopiniowania </w:t>
            </w:r>
            <w:r w:rsidR="00911449">
              <w:rPr>
                <w:rFonts w:ascii="Times New Roman" w:hAnsi="Times New Roman"/>
                <w:color w:val="000000"/>
                <w:spacing w:val="-2"/>
              </w:rPr>
              <w:t xml:space="preserve">na </w:t>
            </w:r>
            <w:r w:rsidRPr="000F76C2">
              <w:rPr>
                <w:rFonts w:ascii="Times New Roman" w:hAnsi="Times New Roman"/>
                <w:color w:val="000000"/>
                <w:spacing w:val="-2"/>
              </w:rPr>
              <w:t>10 dni następującym podmiotom:</w:t>
            </w:r>
          </w:p>
          <w:p w14:paraId="2075356A" w14:textId="77777777" w:rsidR="0055314F" w:rsidRPr="000F76C2" w:rsidRDefault="0055314F" w:rsidP="0055314F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</w:rPr>
            </w:pPr>
            <w:r w:rsidRPr="000F76C2">
              <w:rPr>
                <w:rFonts w:ascii="Times New Roman" w:eastAsia="Times New Roman" w:hAnsi="Times New Roman"/>
              </w:rPr>
              <w:t>Urząd Regulacji Energetyki;</w:t>
            </w:r>
          </w:p>
          <w:p w14:paraId="326047DA" w14:textId="77777777" w:rsidR="00780502" w:rsidRPr="000F76C2" w:rsidRDefault="00780502" w:rsidP="00780502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</w:rPr>
            </w:pPr>
            <w:r w:rsidRPr="000F76C2">
              <w:rPr>
                <w:rFonts w:ascii="Times New Roman" w:eastAsia="Times New Roman" w:hAnsi="Times New Roman"/>
              </w:rPr>
              <w:t>Urząd Ochrony Konkurencji i Konsumentów;</w:t>
            </w:r>
          </w:p>
          <w:p w14:paraId="5524D44A" w14:textId="77777777" w:rsidR="00780502" w:rsidRPr="000F76C2" w:rsidRDefault="00780502" w:rsidP="00780502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</w:rPr>
            </w:pPr>
            <w:r w:rsidRPr="000F76C2">
              <w:rPr>
                <w:rFonts w:ascii="Times New Roman" w:eastAsia="Times New Roman" w:hAnsi="Times New Roman"/>
              </w:rPr>
              <w:t>Polski Komitet Normalizacyjny.</w:t>
            </w:r>
          </w:p>
          <w:p w14:paraId="00F0F660" w14:textId="77777777" w:rsidR="00780502" w:rsidRPr="000F76C2" w:rsidRDefault="00780502" w:rsidP="00780502">
            <w:pPr>
              <w:tabs>
                <w:tab w:val="left" w:pos="960"/>
              </w:tabs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0F76C2">
              <w:rPr>
                <w:rFonts w:ascii="Times New Roman" w:hAnsi="Times New Roman"/>
              </w:rPr>
              <w:t>Z uwagi na zakres projektu, który nie dotyczy zadań związków zawodowych, projekt nie podlega opiniowaniu przez reprezentatywne związki zawodowe.</w:t>
            </w:r>
          </w:p>
          <w:p w14:paraId="37286C09" w14:textId="77777777" w:rsidR="00780502" w:rsidRPr="000F76C2" w:rsidRDefault="00780502" w:rsidP="00780502">
            <w:pPr>
              <w:tabs>
                <w:tab w:val="left" w:pos="960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0F76C2">
              <w:rPr>
                <w:rFonts w:ascii="Times New Roman" w:hAnsi="Times New Roman"/>
              </w:rPr>
              <w:t>Z uwagi na zakres projektu, który nie dotyczy praw i interesów związków pracodawców, projekt nie podlega opiniowaniu przez reprezentatywne organizacje pracodawców.</w:t>
            </w:r>
          </w:p>
          <w:p w14:paraId="24C560BA" w14:textId="706E61C7" w:rsidR="00780502" w:rsidRPr="000F76C2" w:rsidRDefault="00780502" w:rsidP="00780502">
            <w:pPr>
              <w:tabs>
                <w:tab w:val="left" w:pos="960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0F76C2">
              <w:rPr>
                <w:rFonts w:ascii="Times New Roman" w:hAnsi="Times New Roman"/>
              </w:rPr>
              <w:t>Projekt nie podlega opiniowaniu przez Komisję Wspólną Rządu i Samorządu Terytorialnego, gdyż nie dotyczy spraw związanych z samorządem terytorialnym, o których mowa w ustawie z dnia 6 maja 2005 r. o Komisji Wspólnej Rządu i</w:t>
            </w:r>
            <w:r w:rsidR="00A92D18">
              <w:rPr>
                <w:rFonts w:ascii="Times New Roman" w:hAnsi="Times New Roman"/>
              </w:rPr>
              <w:t> </w:t>
            </w:r>
            <w:r w:rsidRPr="000F76C2">
              <w:rPr>
                <w:rFonts w:ascii="Times New Roman" w:hAnsi="Times New Roman"/>
              </w:rPr>
              <w:t>Samorządu Terytorialnego oraz o przedstawicielach Rzeczypospolitej Polskiej w Komitecie Regionów Unii Europejskiej.</w:t>
            </w:r>
          </w:p>
          <w:p w14:paraId="431C7B23" w14:textId="55AA066E" w:rsidR="00780502" w:rsidRPr="000F76C2" w:rsidRDefault="00780502" w:rsidP="00780502">
            <w:pPr>
              <w:tabs>
                <w:tab w:val="left" w:pos="960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0F76C2">
              <w:rPr>
                <w:rFonts w:ascii="Times New Roman" w:hAnsi="Times New Roman"/>
              </w:rPr>
              <w:t>Projekt nie dotyczy spraw, o których mowa w art. 1 ustawy z dnia 24 lipca 2015 r. o Radzie Dialogu Społecznego i innych instytucji dialogu społecznego, wobec czego nie wymaga zaopiniowania przez R</w:t>
            </w:r>
            <w:r w:rsidR="000F4D21">
              <w:rPr>
                <w:rFonts w:ascii="Times New Roman" w:hAnsi="Times New Roman"/>
              </w:rPr>
              <w:t>adę Dialogu Społecznego</w:t>
            </w:r>
            <w:r w:rsidRPr="000F76C2">
              <w:rPr>
                <w:rFonts w:ascii="Times New Roman" w:hAnsi="Times New Roman"/>
              </w:rPr>
              <w:t>.</w:t>
            </w:r>
          </w:p>
          <w:p w14:paraId="5553CA80" w14:textId="785FA2E0" w:rsidR="00780502" w:rsidRPr="0055314F" w:rsidRDefault="00780502" w:rsidP="00146C33">
            <w:pPr>
              <w:tabs>
                <w:tab w:val="left" w:pos="9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5314F">
              <w:rPr>
                <w:rFonts w:ascii="Times New Roman" w:hAnsi="Times New Roman"/>
                <w:color w:val="000000"/>
                <w:spacing w:val="-2"/>
              </w:rPr>
              <w:t>Wyniki opiniowania i konsultacji publicznych zostaną omówione w raporcie z konsultacji, zawierającym zestawienie przedstawionych stanowisk lub opinii i odniesienie się do nich przez organ wnioskujący</w:t>
            </w:r>
            <w:r w:rsidR="0055314F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55314F">
              <w:rPr>
                <w:rFonts w:ascii="Times New Roman" w:hAnsi="Times New Roman"/>
                <w:color w:val="000000"/>
                <w:spacing w:val="-2"/>
              </w:rPr>
              <w:t xml:space="preserve"> udostępnionym na stronie </w:t>
            </w:r>
            <w:r w:rsidRPr="0055314F">
              <w:rPr>
                <w:rFonts w:ascii="Times New Roman" w:hAnsi="Times New Roman"/>
                <w:color w:val="000000"/>
                <w:spacing w:val="-2"/>
              </w:rPr>
              <w:lastRenderedPageBreak/>
              <w:t>Rządowego Centrum Legislacji, w zakładce Rządowy proces legislacyjny, najpóźniej z dniem przekazania projektu na kolejny etap prac legislacyjnych.</w:t>
            </w:r>
          </w:p>
        </w:tc>
      </w:tr>
      <w:tr w:rsidR="006A701A" w:rsidRPr="000F76C2" w14:paraId="6D7D1665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4B509551" w14:textId="77777777" w:rsidR="006A701A" w:rsidRPr="000F76C2" w:rsidRDefault="006A701A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F76C2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0F76C2" w14:paraId="0105ED96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2D115F4" w14:textId="77777777" w:rsidR="00260F33" w:rsidRPr="000F76C2" w:rsidRDefault="00821717" w:rsidP="009629C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0F76C2">
              <w:rPr>
                <w:rFonts w:ascii="Times New Roman" w:hAnsi="Times New Roman"/>
                <w:color w:val="000000"/>
              </w:rPr>
              <w:t>stałe</w:t>
            </w:r>
            <w:r w:rsidRPr="000F76C2">
              <w:rPr>
                <w:rFonts w:ascii="Times New Roman" w:hAnsi="Times New Roman"/>
                <w:color w:val="000000"/>
              </w:rPr>
              <w:t xml:space="preserve"> z …… r.)</w:t>
            </w:r>
          </w:p>
        </w:tc>
        <w:tc>
          <w:tcPr>
            <w:tcW w:w="7804" w:type="dxa"/>
            <w:gridSpan w:val="24"/>
            <w:shd w:val="clear" w:color="auto" w:fill="FFFFFF"/>
          </w:tcPr>
          <w:p w14:paraId="5A4415D2" w14:textId="77777777" w:rsidR="00260F33" w:rsidRPr="000F76C2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0F76C2">
              <w:rPr>
                <w:rFonts w:ascii="Times New Roman" w:hAnsi="Times New Roman"/>
                <w:color w:val="000000"/>
              </w:rPr>
              <w:t xml:space="preserve">mln </w:t>
            </w:r>
            <w:r w:rsidRPr="000F76C2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57668E" w:rsidRPr="000F76C2" w14:paraId="703AD46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B78543B" w14:textId="77777777" w:rsidR="0057668E" w:rsidRPr="000F76C2" w:rsidRDefault="0057668E" w:rsidP="009629C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24432E1" w14:textId="77777777" w:rsidR="0057668E" w:rsidRPr="000F76C2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609FB3" w14:textId="77777777" w:rsidR="0057668E" w:rsidRPr="000F76C2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DB9E8B" w14:textId="77777777" w:rsidR="0057668E" w:rsidRPr="000F76C2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5E38E6" w14:textId="77777777" w:rsidR="0057668E" w:rsidRPr="000F76C2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B9B9E1" w14:textId="77777777" w:rsidR="0057668E" w:rsidRPr="000F76C2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F1CBCE9" w14:textId="77777777" w:rsidR="0057668E" w:rsidRPr="000F76C2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881E1F" w14:textId="77777777" w:rsidR="0057668E" w:rsidRPr="000F76C2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CF85F2F" w14:textId="77777777" w:rsidR="0057668E" w:rsidRPr="000F76C2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685255" w14:textId="77777777" w:rsidR="0057668E" w:rsidRPr="000F76C2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2B72ED" w14:textId="77777777" w:rsidR="0057668E" w:rsidRPr="000F76C2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DE4C53C" w14:textId="77777777" w:rsidR="0057668E" w:rsidRPr="000F76C2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C6F9884" w14:textId="77777777" w:rsidR="0057668E" w:rsidRPr="000F76C2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="00CF5F4F" w:rsidRPr="000F76C2">
              <w:rPr>
                <w:rFonts w:ascii="Times New Roman" w:hAnsi="Times New Roman"/>
                <w:i/>
                <w:color w:val="000000"/>
                <w:spacing w:val="-2"/>
              </w:rPr>
              <w:t xml:space="preserve"> (0-10)</w:t>
            </w:r>
          </w:p>
        </w:tc>
      </w:tr>
      <w:tr w:rsidR="005E0A53" w:rsidRPr="000F76C2" w14:paraId="48DDC944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BF31BBB" w14:textId="7777777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7BA448" w14:textId="09821DC5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5A45B6" w14:textId="08CB6B98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310BA5" w14:textId="67A936B6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987915" w14:textId="068BEB5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69E0B0" w14:textId="11B28900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4DD9369" w14:textId="0D060A8F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6CE3F6" w14:textId="3F1B0095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3720C6A" w14:textId="17E0A07F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531340" w14:textId="5C0F64D4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1668CC" w14:textId="4C6C4513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DBF3F2F" w14:textId="76F174D5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CE7EF8D" w14:textId="586B4916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0A53" w:rsidRPr="000F76C2" w14:paraId="52B39938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7F15C2" w14:textId="7777777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72AE6F" w14:textId="5FBCCBC8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9AB503" w14:textId="7EEB647B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1F0203" w14:textId="61A4E2F8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9D29B3" w14:textId="40D02C91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556E34" w14:textId="093E88D0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17180E2" w14:textId="3BCFB809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6A163A" w14:textId="09F23AC9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E3646B" w14:textId="1F79EF9F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90434D" w14:textId="559C0835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72A022" w14:textId="70A2C623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5763D46" w14:textId="281C11C2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4198943" w14:textId="26DFB180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0A53" w:rsidRPr="000F76C2" w14:paraId="122514D3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09D6EE" w14:textId="7777777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873D48" w14:textId="68E2A0DA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46BE50" w14:textId="277AC0B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FFBDA7" w14:textId="0DA431CB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1BB185" w14:textId="0D4A86DA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760CE9" w14:textId="3F1355CD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4DA3F6F" w14:textId="2AD411EE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C0314F" w14:textId="2CC5DEA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306F14" w14:textId="23EA652E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2221C5" w14:textId="5DF3C85F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762B55" w14:textId="2F981D8F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869082A" w14:textId="57E1F50D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06AF426" w14:textId="6EA9538A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0A53" w:rsidRPr="000F76C2" w14:paraId="6D98B0A1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39C8CEA" w14:textId="7777777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7D6B192" w14:textId="5941CC4C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66E93C" w14:textId="2B3FF40A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0E694D" w14:textId="6F16E939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0EAAC42" w14:textId="7F241A4E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DF0810" w14:textId="63CF62D3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8452E79" w14:textId="24C09714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14A309" w14:textId="3DFB77E5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FBF6A41" w14:textId="723854F3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5C4595" w14:textId="6C5ACCA9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E65CA5" w14:textId="79B2BFB4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B7CCEA1" w14:textId="1282C8B2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E0FC22A" w14:textId="70F6BF61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0A53" w:rsidRPr="000F76C2" w14:paraId="68C088A6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5BCF592" w14:textId="7777777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2596DE" w14:textId="4C47582D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19784B" w14:textId="4F81E904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28D78C" w14:textId="5CFE1D8D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E1EAE8" w14:textId="27121C9F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FD7FFA" w14:textId="260F3230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C236E6A" w14:textId="0B7095E9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4FB51F" w14:textId="7333741D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AE42D38" w14:textId="761FD3CD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A797B5" w14:textId="726A5BAA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73D6D7" w14:textId="5971448A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D05D903" w14:textId="3E5A0764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46318F1" w14:textId="4518DBF5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0A53" w:rsidRPr="000F76C2" w14:paraId="3B80F11F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4743DD" w14:textId="7777777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033CEA" w14:textId="680E84A5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44CFBA" w14:textId="45D51FEF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E1C9A4" w14:textId="1BC08F2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C0185D3" w14:textId="7CE0C405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77CE84" w14:textId="300526BE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C3A4FC9" w14:textId="7933D598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137D7B" w14:textId="17FA7A45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AC198A5" w14:textId="3E0D6479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09DE4A" w14:textId="754B74BA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A18963" w14:textId="695F4E8D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1205FE7" w14:textId="1EDA600C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20BD898" w14:textId="65BB193F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0A53" w:rsidRPr="000F76C2" w14:paraId="3769D6FE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AF0B0D" w14:textId="7777777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47D4EE" w14:textId="1003A70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C074D1" w14:textId="1C36F9BB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4E6544" w14:textId="45409858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8FDEC2" w14:textId="55CCDFDD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619863" w14:textId="50AC0F8E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91FD49F" w14:textId="54963323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2CBC9E" w14:textId="7F3154BF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4CBF9B" w14:textId="22D43952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5F7EB7" w14:textId="6AC9FA08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8D116B" w14:textId="0855710F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E1EEAB" w14:textId="3AA3623C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D8DE3D3" w14:textId="55C47E85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0A53" w:rsidRPr="000F76C2" w14:paraId="47C3A97C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6990BB" w14:textId="7777777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E25A8E" w14:textId="772B7F65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B8E6E8" w14:textId="04172F9D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7F2CA6" w14:textId="5A214541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E09208" w14:textId="2FB4F86E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4EF973" w14:textId="73DD8DD4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FC481A0" w14:textId="21349691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ADB097" w14:textId="228D1F9F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25C660D" w14:textId="42A7BD94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C3C85A" w14:textId="6189E57D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EA176A" w14:textId="50DF0D43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190F494" w14:textId="28FC624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103BF03" w14:textId="6E369F16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0A53" w:rsidRPr="000F76C2" w14:paraId="2862AAE0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49DA41" w14:textId="7777777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46D226" w14:textId="5AC34D4F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F8A9D0" w14:textId="088A41C0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975844" w14:textId="496AADEC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222263" w14:textId="4CAB50F4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8E0934" w14:textId="1596F6A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E03F68A" w14:textId="7980EBC6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16067D" w14:textId="1B02D089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D03DB13" w14:textId="3820B8D9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F856DE" w14:textId="0235CB80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29833B" w14:textId="180CA1C1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C9C1639" w14:textId="75530665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B0D4D7D" w14:textId="408208FA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0A53" w:rsidRPr="000F76C2" w14:paraId="651BF372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420D84" w14:textId="7777777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D0D7F5C" w14:textId="1179C73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DBB062" w14:textId="3B092091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0A6FC7" w14:textId="1C9F1260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6EE669" w14:textId="634D74EF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89F7B3" w14:textId="5B81293A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BF078A6" w14:textId="61E2067C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51645A" w14:textId="5606CCF8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83A7D6" w14:textId="5A602DC1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CAA018" w14:textId="64CC8DDE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6CB386" w14:textId="37A6177F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E3010CA" w14:textId="0D295146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50111FE" w14:textId="579F2D92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0A53" w:rsidRPr="000F76C2" w14:paraId="351D6B19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5742C3" w14:textId="7777777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A937B0" w14:textId="07DC3198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CA36BA" w14:textId="68332EE5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A2449A" w14:textId="1D90A5F9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2EA946" w14:textId="2D8BDBED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20E0C3" w14:textId="051777A2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95B55E7" w14:textId="371FB11E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FB808B" w14:textId="5DF21E95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E7F37A1" w14:textId="36C8258C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85DAE0" w14:textId="166B697A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2AB6D6" w14:textId="79E02751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CB52C6C" w14:textId="051F9238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D760EA9" w14:textId="10A41036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0A53" w:rsidRPr="000F76C2" w14:paraId="7FC2FE3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A261BE" w14:textId="7777777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8C90B0" w14:textId="256758EE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978189" w14:textId="0E9AE754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513731" w14:textId="513C04AB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BF2525" w14:textId="6980EA89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00EE2E" w14:textId="705521FE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EBE50B8" w14:textId="55DA9F38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2BA659" w14:textId="2C8C27D3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994F6B" w14:textId="37553CEF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88805B" w14:textId="31BA200C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B0FDA5" w14:textId="275159DF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6FF93EE" w14:textId="27393321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5DB0E5E" w14:textId="010E96C0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A701A" w:rsidRPr="000F76C2" w14:paraId="37982841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69E9A07" w14:textId="77777777" w:rsidR="006A701A" w:rsidRPr="000F76C2" w:rsidRDefault="006A701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074D3287" w14:textId="4E5F0B8C" w:rsidR="006A701A" w:rsidRPr="000F76C2" w:rsidRDefault="005E0A53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E24BD7" w:rsidRPr="000F76C2" w14:paraId="1AB60188" w14:textId="77777777" w:rsidTr="00E9355C">
        <w:trPr>
          <w:gridAfter w:val="1"/>
          <w:wAfter w:w="10" w:type="dxa"/>
          <w:trHeight w:val="1266"/>
        </w:trPr>
        <w:tc>
          <w:tcPr>
            <w:tcW w:w="2243" w:type="dxa"/>
            <w:gridSpan w:val="2"/>
            <w:shd w:val="clear" w:color="auto" w:fill="FFFFFF"/>
          </w:tcPr>
          <w:p w14:paraId="634D1CD4" w14:textId="77777777" w:rsidR="00E24BD7" w:rsidRPr="000F76C2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6"/>
            <w:shd w:val="clear" w:color="auto" w:fill="FFFFFF"/>
          </w:tcPr>
          <w:p w14:paraId="56D3E99D" w14:textId="7632C344" w:rsidR="00E24BD7" w:rsidRPr="000F76C2" w:rsidRDefault="00780502" w:rsidP="00962DC9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bCs/>
                <w:color w:val="000000"/>
                <w:spacing w:val="-2"/>
              </w:rPr>
              <w:t>Projekt rozporządzenia</w:t>
            </w:r>
            <w:r w:rsidRPr="000F76C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F76C2">
              <w:rPr>
                <w:rFonts w:ascii="Times New Roman" w:hAnsi="Times New Roman"/>
                <w:color w:val="000000"/>
              </w:rPr>
              <w:t>nie spowoduje skutków finansowych dla jednostek sektora finansów publicznych, w tym budżetu państwa i budżetów jednostek samorządu terytorialnego, polegających na zwiększeniu wydatków lub zmniejszeniu dochodów tych jednostek w stosunku do wielkości wynikających z obowiązujących przepisów.</w:t>
            </w:r>
          </w:p>
        </w:tc>
      </w:tr>
      <w:tr w:rsidR="006A701A" w:rsidRPr="000F76C2" w14:paraId="77418C16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8"/>
            <w:shd w:val="clear" w:color="auto" w:fill="99CCFF"/>
          </w:tcPr>
          <w:p w14:paraId="53657B8C" w14:textId="77777777" w:rsidR="006A701A" w:rsidRPr="000F76C2" w:rsidRDefault="006A701A" w:rsidP="009629C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0F76C2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0F76C2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 w:rsidRPr="000F76C2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0F76C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0F76C2">
              <w:rPr>
                <w:rFonts w:ascii="Times New Roman" w:hAnsi="Times New Roman"/>
                <w:b/>
                <w:color w:val="000000"/>
              </w:rPr>
              <w:t>i</w:t>
            </w:r>
            <w:r w:rsidR="00563199" w:rsidRPr="000F76C2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 w:rsidRPr="000F76C2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0F76C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0F76C2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0F76C2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 w:rsidRPr="000F76C2">
              <w:rPr>
                <w:rFonts w:ascii="Times New Roman" w:hAnsi="Times New Roman"/>
                <w:b/>
                <w:color w:val="000000"/>
              </w:rPr>
              <w:t>orców</w:t>
            </w:r>
            <w:r w:rsidR="00472E45" w:rsidRPr="000F76C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 w:rsidRPr="000F76C2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 w:rsidRPr="000F76C2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 w:rsidRPr="000F76C2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0F76C2" w14:paraId="56DB6F5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28A82D37" w14:textId="77777777" w:rsidR="005E7371" w:rsidRPr="000F76C2" w:rsidRDefault="001B3460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2E6D63" w:rsidRPr="000F76C2" w14:paraId="0C0C1E25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B4A7C8C" w14:textId="77777777" w:rsidR="002E6D63" w:rsidRPr="000F76C2" w:rsidRDefault="002E6D6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398E5F2" w14:textId="77777777" w:rsidR="002E6D63" w:rsidRPr="000F76C2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BBA3BA6" w14:textId="77777777" w:rsidR="002E6D63" w:rsidRPr="000F76C2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28F14C4" w14:textId="77777777" w:rsidR="002E6D63" w:rsidRPr="000F76C2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61C654A" w14:textId="77777777" w:rsidR="002E6D63" w:rsidRPr="000F76C2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66A9AB" w14:textId="77777777" w:rsidR="002E6D63" w:rsidRPr="000F76C2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F87D12C" w14:textId="77777777" w:rsidR="002E6D63" w:rsidRPr="000F76C2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8706CD5" w14:textId="77777777" w:rsidR="002E6D63" w:rsidRPr="000F76C2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0F76C2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="001B3460" w:rsidRPr="000F76C2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2E6D63" w:rsidRPr="000F76C2" w14:paraId="39BC1B4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7ED212C" w14:textId="77777777" w:rsidR="006F78C4" w:rsidRPr="000F76C2" w:rsidRDefault="002E6D6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 xml:space="preserve">W </w:t>
            </w:r>
            <w:r w:rsidR="001B3460" w:rsidRPr="000F76C2">
              <w:rPr>
                <w:rFonts w:ascii="Times New Roman" w:hAnsi="Times New Roman"/>
                <w:color w:val="000000"/>
              </w:rPr>
              <w:t>ujęciu</w:t>
            </w:r>
            <w:r w:rsidRPr="000F76C2">
              <w:rPr>
                <w:rFonts w:ascii="Times New Roman" w:hAnsi="Times New Roman"/>
                <w:color w:val="000000"/>
              </w:rPr>
              <w:t xml:space="preserve"> pieniężnym</w:t>
            </w:r>
          </w:p>
          <w:p w14:paraId="6F1E6382" w14:textId="77777777" w:rsidR="006F78C4" w:rsidRPr="000F76C2" w:rsidRDefault="006F78C4" w:rsidP="009629CE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F76C2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BDC59D9" w14:textId="77777777" w:rsidR="002E6D63" w:rsidRPr="000F76C2" w:rsidRDefault="006F78C4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spacing w:val="-2"/>
              </w:rPr>
              <w:t xml:space="preserve">ceny </w:t>
            </w:r>
            <w:r w:rsidR="00CF5F4F" w:rsidRPr="000F76C2">
              <w:rPr>
                <w:rFonts w:ascii="Times New Roman" w:hAnsi="Times New Roman"/>
                <w:spacing w:val="-2"/>
              </w:rPr>
              <w:t>stałe</w:t>
            </w:r>
            <w:r w:rsidRPr="000F76C2">
              <w:rPr>
                <w:rFonts w:ascii="Times New Roman" w:hAnsi="Times New Roman"/>
                <w:spacing w:val="-2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F6FE220" w14:textId="77777777" w:rsidR="002E6D63" w:rsidRPr="000F76C2" w:rsidRDefault="009E3C4B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242CF0D" w14:textId="77777777" w:rsidR="002E6D63" w:rsidRPr="000F76C2" w:rsidRDefault="002E6D6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80DEF01" w14:textId="77777777" w:rsidR="002E6D63" w:rsidRPr="000F76C2" w:rsidRDefault="002E6D6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996C591" w14:textId="77777777" w:rsidR="002E6D63" w:rsidRPr="000F76C2" w:rsidRDefault="002E6D6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8261B19" w14:textId="77777777" w:rsidR="002E6D63" w:rsidRPr="000F76C2" w:rsidRDefault="002E6D6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8EA7C9B" w14:textId="77777777" w:rsidR="002E6D63" w:rsidRPr="000F76C2" w:rsidRDefault="002E6D6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6BAF6B6" w14:textId="77777777" w:rsidR="002E6D63" w:rsidRPr="000F76C2" w:rsidRDefault="002E6D6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7D978AFE" w14:textId="77777777" w:rsidR="002E6D63" w:rsidRPr="000F76C2" w:rsidRDefault="002E6D63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E0A53" w:rsidRPr="000F76C2" w14:paraId="3199E7B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06E2C2A" w14:textId="7777777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DA0E66E" w14:textId="7777777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0B4D304" w14:textId="3F57385E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410299D" w14:textId="18999B76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B19566F" w14:textId="6ED7D866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615B778" w14:textId="68468F35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A2C3397" w14:textId="3A28249D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CC3D5C9" w14:textId="2137F222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5FED671F" w14:textId="4612324A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0A53" w:rsidRPr="000F76C2" w14:paraId="4EB06198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85ABD41" w14:textId="7777777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C1B50C9" w14:textId="7777777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EF717B2" w14:textId="4BB678E3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854D7FC" w14:textId="57EDB39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9EED3F5" w14:textId="6995BC9C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A465020" w14:textId="75F0CAE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67C813D" w14:textId="31116E48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176E20B" w14:textId="7A50D119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38CA9484" w14:textId="43201ADF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0A53" w:rsidRPr="000F76C2" w14:paraId="094EC53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11276E6" w14:textId="7777777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C6824FA" w14:textId="102997C7" w:rsidR="005E0A53" w:rsidRPr="000F76C2" w:rsidRDefault="00135467" w:rsidP="005E0A53">
            <w:pPr>
              <w:spacing w:line="240" w:lineRule="auto"/>
              <w:rPr>
                <w:rFonts w:ascii="Times New Roman" w:hAnsi="Times New Roman"/>
              </w:rPr>
            </w:pPr>
            <w:r w:rsidRPr="000F76C2">
              <w:rPr>
                <w:rFonts w:ascii="Times New Roman" w:hAnsi="Times New Roman"/>
                <w:color w:val="000000"/>
              </w:rPr>
              <w:t>osoby niepełnosprawne oraz osoby starsze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25F7957" w14:textId="32488152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3BED572" w14:textId="550F8AC3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B0F6443" w14:textId="30719ABE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8861CC2" w14:textId="31A4FA47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C09FDB8" w14:textId="04C0926E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6573B02" w14:textId="0972A89E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1B7F9A4A" w14:textId="41B3BC9F" w:rsidR="005E0A53" w:rsidRPr="000F76C2" w:rsidRDefault="005E0A53" w:rsidP="005E0A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A608F" w:rsidRPr="000F76C2" w14:paraId="5CF2071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8D920EC" w14:textId="77777777" w:rsidR="008A608F" w:rsidRPr="000F76C2" w:rsidRDefault="008A608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 xml:space="preserve">W </w:t>
            </w:r>
            <w:r w:rsidR="0097181B" w:rsidRPr="000F76C2">
              <w:rPr>
                <w:rFonts w:ascii="Times New Roman" w:hAnsi="Times New Roman"/>
                <w:color w:val="000000"/>
              </w:rPr>
              <w:t xml:space="preserve">ujęciu </w:t>
            </w:r>
            <w:r w:rsidRPr="000F76C2">
              <w:rPr>
                <w:rFonts w:ascii="Times New Roman" w:hAnsi="Times New Roman"/>
                <w:color w:val="000000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CD0E775" w14:textId="77777777" w:rsidR="008A608F" w:rsidRPr="000F76C2" w:rsidRDefault="009E3C4B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duże p</w:t>
            </w:r>
            <w:r w:rsidR="008A608F" w:rsidRPr="000F76C2">
              <w:rPr>
                <w:rFonts w:ascii="Times New Roman" w:hAnsi="Times New Roman"/>
                <w:color w:val="000000"/>
              </w:rPr>
              <w:t>rzedsiębiorstwa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054C58A9" w14:textId="03F08D0E" w:rsidR="008A608F" w:rsidRPr="000F76C2" w:rsidRDefault="008768B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  <w:spacing w:val="-2"/>
              </w:rPr>
              <w:t xml:space="preserve">Nie dotyczy. </w:t>
            </w:r>
          </w:p>
        </w:tc>
      </w:tr>
      <w:tr w:rsidR="008A608F" w:rsidRPr="000F76C2" w14:paraId="6BEDA65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C07B475" w14:textId="77777777" w:rsidR="008A608F" w:rsidRPr="000F76C2" w:rsidRDefault="008A608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EA2CCEF" w14:textId="77777777" w:rsidR="008A608F" w:rsidRPr="000F76C2" w:rsidRDefault="009E3C4B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s</w:t>
            </w:r>
            <w:r w:rsidR="008A608F" w:rsidRPr="000F76C2">
              <w:rPr>
                <w:rFonts w:ascii="Times New Roman" w:hAnsi="Times New Roman"/>
                <w:color w:val="000000"/>
              </w:rPr>
              <w:t>ektor mikro-, małych i średnich przedsiębiorstw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269CE443" w14:textId="3E5FF60E" w:rsidR="008A608F" w:rsidRPr="000F76C2" w:rsidRDefault="008768B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  <w:spacing w:val="-2"/>
              </w:rPr>
              <w:t xml:space="preserve">Nie dotyczy. </w:t>
            </w:r>
          </w:p>
        </w:tc>
      </w:tr>
      <w:tr w:rsidR="009E3C4B" w:rsidRPr="000F76C2" w14:paraId="25B9F46F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7136D2A" w14:textId="77777777" w:rsidR="009E3C4B" w:rsidRPr="000F76C2" w:rsidRDefault="009E3C4B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F4FAD03" w14:textId="77777777" w:rsidR="009E3C4B" w:rsidRPr="000F76C2" w:rsidRDefault="00A92BAF" w:rsidP="009629C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</w:rPr>
              <w:t xml:space="preserve">rodzina, </w:t>
            </w:r>
            <w:r w:rsidR="009E3C4B" w:rsidRPr="000F76C2">
              <w:rPr>
                <w:rFonts w:ascii="Times New Roman" w:hAnsi="Times New Roman"/>
              </w:rPr>
              <w:t>obywatele oraz gospodarstwa domowe</w:t>
            </w:r>
            <w:r w:rsidR="009E3C4B" w:rsidRPr="000F76C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0EAD343E" w14:textId="7252801A" w:rsidR="009E3C4B" w:rsidRPr="000F76C2" w:rsidRDefault="008768B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  <w:spacing w:val="-2"/>
              </w:rPr>
              <w:t xml:space="preserve">Nie dotyczy. </w:t>
            </w:r>
          </w:p>
        </w:tc>
      </w:tr>
      <w:tr w:rsidR="008A608F" w:rsidRPr="000F76C2" w14:paraId="5592C578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69E30BDB" w14:textId="77777777" w:rsidR="008A608F" w:rsidRPr="000F76C2" w:rsidRDefault="008A608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64ABFFA" w14:textId="23ED808E" w:rsidR="008A608F" w:rsidRPr="000F76C2" w:rsidRDefault="00135467" w:rsidP="0013546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osoby niepełnosprawne oraz osoby starsze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3CB3B77B" w14:textId="4508A68C" w:rsidR="008A608F" w:rsidRPr="000F76C2" w:rsidRDefault="008768B6" w:rsidP="009629CE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5E7371" w:rsidRPr="000F76C2" w14:paraId="79E9988F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7AAE79FC" w14:textId="77777777" w:rsidR="005E7371" w:rsidRPr="000F76C2" w:rsidRDefault="005E7371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28AC03F" w14:textId="069E993A" w:rsidR="005E7371" w:rsidRPr="000F76C2" w:rsidRDefault="00135467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(dodaj/usuń)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6FFDE290" w14:textId="77EA240B" w:rsidR="005E7371" w:rsidRPr="000F76C2" w:rsidRDefault="008768B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E24BD7" w:rsidRPr="000F76C2" w14:paraId="6678593F" w14:textId="77777777" w:rsidTr="009629CE">
        <w:trPr>
          <w:gridAfter w:val="1"/>
          <w:wAfter w:w="10" w:type="dxa"/>
          <w:trHeight w:val="1444"/>
        </w:trPr>
        <w:tc>
          <w:tcPr>
            <w:tcW w:w="2243" w:type="dxa"/>
            <w:gridSpan w:val="2"/>
            <w:shd w:val="clear" w:color="auto" w:fill="FFFFFF"/>
          </w:tcPr>
          <w:p w14:paraId="2C16E090" w14:textId="77777777" w:rsidR="00E24BD7" w:rsidRPr="000F76C2" w:rsidRDefault="00E24BD7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36AB58BF" w14:textId="428879E2" w:rsidR="00E24BD7" w:rsidRPr="000F76C2" w:rsidRDefault="00962DC9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 rozporządzenia nie wpłynie na </w:t>
            </w:r>
            <w:r w:rsidRPr="00962DC9">
              <w:rPr>
                <w:rFonts w:ascii="Times New Roman" w:hAnsi="Times New Roman"/>
                <w:color w:val="000000"/>
              </w:rPr>
              <w:t xml:space="preserve">funkcjonowanie przedsiębiorców </w:t>
            </w:r>
            <w:r w:rsidR="00A92D18">
              <w:rPr>
                <w:rFonts w:ascii="Times New Roman" w:hAnsi="Times New Roman"/>
                <w:color w:val="000000"/>
              </w:rPr>
              <w:t>ani</w:t>
            </w:r>
            <w:r w:rsidR="00A92D18" w:rsidRPr="00962DC9">
              <w:rPr>
                <w:rFonts w:ascii="Times New Roman" w:hAnsi="Times New Roman"/>
                <w:color w:val="000000"/>
              </w:rPr>
              <w:t xml:space="preserve"> </w:t>
            </w:r>
            <w:r w:rsidRPr="00962DC9">
              <w:rPr>
                <w:rFonts w:ascii="Times New Roman" w:hAnsi="Times New Roman"/>
                <w:color w:val="000000"/>
              </w:rPr>
              <w:t>na rodzinę, obywateli i gospodarstwa domowe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A701A" w:rsidRPr="000F76C2" w14:paraId="7A3EE86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3204B921" w14:textId="77777777" w:rsidR="006A701A" w:rsidRPr="000F76C2" w:rsidRDefault="006A701A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F76C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 w:rsidRPr="000F76C2">
              <w:rPr>
                <w:rFonts w:ascii="Times New Roman" w:hAnsi="Times New Roman"/>
                <w:b/>
                <w:color w:val="000000"/>
              </w:rPr>
              <w:t>Zmiana o</w:t>
            </w:r>
            <w:r w:rsidRPr="000F76C2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 w:rsidRPr="000F76C2">
              <w:rPr>
                <w:rFonts w:ascii="Times New Roman" w:hAnsi="Times New Roman"/>
                <w:b/>
                <w:color w:val="000000"/>
              </w:rPr>
              <w:t>ń</w:t>
            </w:r>
            <w:r w:rsidRPr="000F76C2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 w:rsidRPr="000F76C2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0F76C2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 w:rsidRPr="000F76C2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 w:rsidRPr="000F76C2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 w:rsidRPr="000F76C2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0F76C2">
              <w:rPr>
                <w:rFonts w:ascii="Times New Roman" w:hAnsi="Times New Roman"/>
                <w:b/>
                <w:color w:val="000000"/>
              </w:rPr>
              <w:t>)</w:t>
            </w:r>
            <w:r w:rsidRPr="000F76C2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 w:rsidRPr="000F76C2">
              <w:rPr>
                <w:rFonts w:ascii="Times New Roman" w:hAnsi="Times New Roman"/>
                <w:b/>
                <w:color w:val="000000"/>
              </w:rPr>
              <w:t>ych</w:t>
            </w:r>
            <w:r w:rsidRPr="000F76C2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0F76C2" w14:paraId="2969DEF9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8"/>
            <w:shd w:val="clear" w:color="auto" w:fill="FFFFFF"/>
          </w:tcPr>
          <w:p w14:paraId="5A6680D9" w14:textId="168FCD2B" w:rsidR="00D86AFF" w:rsidRPr="000F76C2" w:rsidRDefault="00962DC9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0F76C2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0F76C2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0F76C2" w14:paraId="1A6675DE" w14:textId="77777777" w:rsidTr="009629CE">
        <w:trPr>
          <w:gridAfter w:val="1"/>
          <w:wAfter w:w="10" w:type="dxa"/>
          <w:trHeight w:val="760"/>
        </w:trPr>
        <w:tc>
          <w:tcPr>
            <w:tcW w:w="5111" w:type="dxa"/>
            <w:gridSpan w:val="12"/>
            <w:shd w:val="clear" w:color="auto" w:fill="FFFFFF"/>
          </w:tcPr>
          <w:p w14:paraId="5D9BBDA3" w14:textId="77777777" w:rsidR="00D86AFF" w:rsidRPr="000F76C2" w:rsidRDefault="00D86AFF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Wprowadzane są obciążenia poza bezwzględnie wymaganymi przez UE </w:t>
            </w:r>
            <w:r w:rsidRPr="000F76C2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3AC7057C" w14:textId="77777777" w:rsidR="00D86AFF" w:rsidRPr="000F76C2" w:rsidRDefault="00D86AF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6C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F76C2">
              <w:rPr>
                <w:rFonts w:ascii="Times New Roman" w:hAnsi="Times New Roman"/>
                <w:color w:val="000000"/>
              </w:rPr>
              <w:fldChar w:fldCharType="end"/>
            </w:r>
            <w:r w:rsidRPr="000F76C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02A35C6" w14:textId="0DB759D2" w:rsidR="00D86AFF" w:rsidRPr="000F76C2" w:rsidRDefault="00962DC9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0F76C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E5DAA98" w14:textId="246C2212" w:rsidR="00D86AFF" w:rsidRPr="000F76C2" w:rsidRDefault="0055314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0F76C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0F76C2" w14:paraId="39DA68D6" w14:textId="77777777" w:rsidTr="009629CE">
        <w:trPr>
          <w:gridAfter w:val="1"/>
          <w:wAfter w:w="10" w:type="dxa"/>
          <w:trHeight w:val="1125"/>
        </w:trPr>
        <w:tc>
          <w:tcPr>
            <w:tcW w:w="5111" w:type="dxa"/>
            <w:gridSpan w:val="12"/>
            <w:shd w:val="clear" w:color="auto" w:fill="FFFFFF"/>
          </w:tcPr>
          <w:p w14:paraId="67C4960B" w14:textId="77777777" w:rsidR="001B3460" w:rsidRPr="000F76C2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6C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F76C2">
              <w:rPr>
                <w:rFonts w:ascii="Times New Roman" w:hAnsi="Times New Roman"/>
                <w:color w:val="000000"/>
              </w:rPr>
              <w:fldChar w:fldCharType="end"/>
            </w:r>
            <w:r w:rsidRPr="000F76C2">
              <w:rPr>
                <w:rFonts w:ascii="Times New Roman" w:hAnsi="Times New Roman"/>
                <w:color w:val="000000"/>
              </w:rPr>
              <w:t xml:space="preserve"> </w:t>
            </w:r>
            <w:r w:rsidRPr="000F76C2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7BBD2060" w14:textId="77777777" w:rsidR="001B3460" w:rsidRPr="000F76C2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6C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F76C2">
              <w:rPr>
                <w:rFonts w:ascii="Times New Roman" w:hAnsi="Times New Roman"/>
                <w:color w:val="000000"/>
              </w:rPr>
              <w:fldChar w:fldCharType="end"/>
            </w:r>
            <w:r w:rsidRPr="000F76C2">
              <w:rPr>
                <w:rFonts w:ascii="Times New Roman" w:hAnsi="Times New Roman"/>
                <w:color w:val="000000"/>
              </w:rPr>
              <w:t xml:space="preserve"> </w:t>
            </w:r>
            <w:r w:rsidRPr="000F76C2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18FF0CC" w14:textId="77777777" w:rsidR="001B3460" w:rsidRPr="000F76C2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6C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F76C2">
              <w:rPr>
                <w:rFonts w:ascii="Times New Roman" w:hAnsi="Times New Roman"/>
                <w:color w:val="000000"/>
              </w:rPr>
              <w:fldChar w:fldCharType="end"/>
            </w:r>
            <w:r w:rsidRPr="000F76C2">
              <w:rPr>
                <w:rFonts w:ascii="Times New Roman" w:hAnsi="Times New Roman"/>
                <w:color w:val="000000"/>
              </w:rPr>
              <w:t xml:space="preserve"> </w:t>
            </w:r>
            <w:r w:rsidRPr="000F76C2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 w:rsidRPr="000F76C2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A158792" w14:textId="77777777" w:rsidR="001B3460" w:rsidRPr="000F76C2" w:rsidRDefault="001B3460" w:rsidP="009629CE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6C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F76C2">
              <w:rPr>
                <w:rFonts w:ascii="Times New Roman" w:hAnsi="Times New Roman"/>
                <w:color w:val="000000"/>
              </w:rPr>
              <w:fldChar w:fldCharType="end"/>
            </w:r>
            <w:r w:rsidRPr="000F76C2">
              <w:rPr>
                <w:rFonts w:ascii="Times New Roman" w:hAnsi="Times New Roman"/>
                <w:color w:val="000000"/>
              </w:rPr>
              <w:t xml:space="preserve"> </w:t>
            </w:r>
            <w:r w:rsidRPr="000F76C2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0F76C2">
              <w:rPr>
                <w:rFonts w:ascii="Times New Roman" w:hAnsi="Times New Roman"/>
                <w:color w:val="000000"/>
              </w:rPr>
              <w:t xml:space="preserve"> </w:t>
            </w:r>
            <w:r w:rsidRPr="000F76C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F76C2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F76C2">
              <w:rPr>
                <w:rFonts w:ascii="Times New Roman" w:hAnsi="Times New Roman"/>
                <w:color w:val="000000"/>
              </w:rPr>
            </w:r>
            <w:r w:rsidRPr="000F76C2">
              <w:rPr>
                <w:rFonts w:ascii="Times New Roman" w:hAnsi="Times New Roman"/>
                <w:color w:val="000000"/>
              </w:rPr>
              <w:fldChar w:fldCharType="separate"/>
            </w:r>
            <w:r w:rsidRPr="000F76C2">
              <w:rPr>
                <w:rFonts w:ascii="Times New Roman" w:hAnsi="Times New Roman"/>
                <w:noProof/>
                <w:color w:val="000000"/>
              </w:rPr>
              <w:t> </w:t>
            </w:r>
            <w:r w:rsidRPr="000F76C2">
              <w:rPr>
                <w:rFonts w:ascii="Times New Roman" w:hAnsi="Times New Roman"/>
                <w:noProof/>
                <w:color w:val="000000"/>
              </w:rPr>
              <w:t> </w:t>
            </w:r>
            <w:r w:rsidRPr="000F76C2">
              <w:rPr>
                <w:rFonts w:ascii="Times New Roman" w:hAnsi="Times New Roman"/>
                <w:noProof/>
                <w:color w:val="000000"/>
              </w:rPr>
              <w:t> </w:t>
            </w:r>
            <w:r w:rsidRPr="000F76C2">
              <w:rPr>
                <w:rFonts w:ascii="Times New Roman" w:hAnsi="Times New Roman"/>
                <w:noProof/>
                <w:color w:val="000000"/>
              </w:rPr>
              <w:t> </w:t>
            </w:r>
            <w:r w:rsidRPr="000F76C2">
              <w:rPr>
                <w:rFonts w:ascii="Times New Roman" w:hAnsi="Times New Roman"/>
                <w:noProof/>
                <w:color w:val="000000"/>
              </w:rPr>
              <w:t> </w:t>
            </w:r>
            <w:r w:rsidRPr="000F76C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16FEAE21" w14:textId="77777777" w:rsidR="001B3460" w:rsidRPr="000F76C2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6C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F76C2">
              <w:rPr>
                <w:rFonts w:ascii="Times New Roman" w:hAnsi="Times New Roman"/>
                <w:color w:val="000000"/>
              </w:rPr>
              <w:fldChar w:fldCharType="end"/>
            </w:r>
            <w:r w:rsidRPr="000F76C2">
              <w:rPr>
                <w:rFonts w:ascii="Times New Roman" w:hAnsi="Times New Roman"/>
                <w:color w:val="000000"/>
              </w:rPr>
              <w:t xml:space="preserve"> </w:t>
            </w:r>
            <w:r w:rsidRPr="000F76C2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36AE368" w14:textId="77777777" w:rsidR="001B3460" w:rsidRPr="000F76C2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6C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F76C2">
              <w:rPr>
                <w:rFonts w:ascii="Times New Roman" w:hAnsi="Times New Roman"/>
                <w:color w:val="000000"/>
              </w:rPr>
              <w:fldChar w:fldCharType="end"/>
            </w:r>
            <w:r w:rsidRPr="000F76C2">
              <w:rPr>
                <w:rFonts w:ascii="Times New Roman" w:hAnsi="Times New Roman"/>
                <w:color w:val="000000"/>
              </w:rPr>
              <w:t xml:space="preserve"> </w:t>
            </w:r>
            <w:r w:rsidRPr="000F76C2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6A2E831" w14:textId="77777777" w:rsidR="001B3460" w:rsidRPr="000F76C2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6C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F76C2">
              <w:rPr>
                <w:rFonts w:ascii="Times New Roman" w:hAnsi="Times New Roman"/>
                <w:color w:val="000000"/>
              </w:rPr>
              <w:fldChar w:fldCharType="end"/>
            </w:r>
            <w:r w:rsidRPr="000F76C2">
              <w:rPr>
                <w:rFonts w:ascii="Times New Roman" w:hAnsi="Times New Roman"/>
                <w:color w:val="000000"/>
              </w:rPr>
              <w:t xml:space="preserve"> </w:t>
            </w:r>
            <w:r w:rsidRPr="000F76C2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 w:rsidRPr="000F76C2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766B27D" w14:textId="52D26804" w:rsidR="001B3460" w:rsidRPr="000F76C2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6C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F76C2">
              <w:rPr>
                <w:rFonts w:ascii="Times New Roman" w:hAnsi="Times New Roman"/>
                <w:color w:val="000000"/>
              </w:rPr>
              <w:fldChar w:fldCharType="end"/>
            </w:r>
            <w:r w:rsidRPr="000F76C2">
              <w:rPr>
                <w:rFonts w:ascii="Times New Roman" w:hAnsi="Times New Roman"/>
                <w:color w:val="000000"/>
              </w:rPr>
              <w:t xml:space="preserve"> </w:t>
            </w:r>
            <w:r w:rsidRPr="000F76C2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0F76C2">
              <w:rPr>
                <w:rFonts w:ascii="Times New Roman" w:hAnsi="Times New Roman"/>
                <w:color w:val="000000"/>
              </w:rPr>
              <w:t xml:space="preserve"> </w:t>
            </w:r>
            <w:r w:rsidRPr="000F76C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F76C2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F76C2">
              <w:rPr>
                <w:rFonts w:ascii="Times New Roman" w:hAnsi="Times New Roman"/>
                <w:color w:val="000000"/>
              </w:rPr>
            </w:r>
            <w:r w:rsidRPr="000F76C2">
              <w:rPr>
                <w:rFonts w:ascii="Times New Roman" w:hAnsi="Times New Roman"/>
                <w:color w:val="000000"/>
              </w:rPr>
              <w:fldChar w:fldCharType="separate"/>
            </w:r>
            <w:r w:rsidRPr="000F76C2">
              <w:rPr>
                <w:rFonts w:ascii="Times New Roman" w:hAnsi="Times New Roman"/>
                <w:noProof/>
                <w:color w:val="000000"/>
              </w:rPr>
              <w:t> </w:t>
            </w:r>
            <w:r w:rsidRPr="000F76C2">
              <w:rPr>
                <w:rFonts w:ascii="Times New Roman" w:hAnsi="Times New Roman"/>
                <w:noProof/>
                <w:color w:val="000000"/>
              </w:rPr>
              <w:t> </w:t>
            </w:r>
            <w:r w:rsidRPr="000F76C2">
              <w:rPr>
                <w:rFonts w:ascii="Times New Roman" w:hAnsi="Times New Roman"/>
                <w:noProof/>
                <w:color w:val="000000"/>
              </w:rPr>
              <w:t> </w:t>
            </w:r>
            <w:r w:rsidRPr="000F76C2">
              <w:rPr>
                <w:rFonts w:ascii="Times New Roman" w:hAnsi="Times New Roman"/>
                <w:noProof/>
                <w:color w:val="000000"/>
              </w:rPr>
              <w:t> </w:t>
            </w:r>
            <w:r w:rsidRPr="000F76C2">
              <w:rPr>
                <w:rFonts w:ascii="Times New Roman" w:hAnsi="Times New Roman"/>
                <w:noProof/>
                <w:color w:val="000000"/>
              </w:rPr>
              <w:t> </w:t>
            </w:r>
            <w:r w:rsidRPr="000F76C2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F0DA2" w:rsidRPr="000F76C2" w14:paraId="68905108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AF4A44D" w14:textId="77777777" w:rsidR="00BF0DA2" w:rsidRPr="000F76C2" w:rsidRDefault="00BF0DA2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664FC72E" w14:textId="07E17313" w:rsidR="00BF0DA2" w:rsidRPr="000F76C2" w:rsidRDefault="00D4027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6C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F76C2">
              <w:rPr>
                <w:rFonts w:ascii="Times New Roman" w:hAnsi="Times New Roman"/>
                <w:color w:val="000000"/>
              </w:rPr>
              <w:fldChar w:fldCharType="end"/>
            </w:r>
            <w:r w:rsidR="00BF0DA2" w:rsidRPr="000F76C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D992C2B" w14:textId="77777777" w:rsidR="00BF0DA2" w:rsidRPr="000F76C2" w:rsidRDefault="00BF0DA2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6C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F76C2">
              <w:rPr>
                <w:rFonts w:ascii="Times New Roman" w:hAnsi="Times New Roman"/>
                <w:color w:val="000000"/>
              </w:rPr>
              <w:fldChar w:fldCharType="end"/>
            </w:r>
            <w:r w:rsidRPr="000F76C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3503F10" w14:textId="07F8746C" w:rsidR="00117017" w:rsidRPr="000F76C2" w:rsidRDefault="001853E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 w:rsidRPr="000F76C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17017" w:rsidRPr="000F76C2" w14:paraId="3ECA3FFA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8"/>
            <w:shd w:val="clear" w:color="auto" w:fill="FFFFFF"/>
          </w:tcPr>
          <w:p w14:paraId="06D598D8" w14:textId="77777777" w:rsidR="00883B5D" w:rsidRDefault="00D4027E" w:rsidP="00883B5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Komentarz: Wejście w życie projektu rozporządzenia nie będzie generowało obciążeń regulacyjnych.</w:t>
            </w:r>
          </w:p>
          <w:p w14:paraId="15462370" w14:textId="4B55509D" w:rsidR="00883B5D" w:rsidRPr="00883B5D" w:rsidRDefault="00883B5D" w:rsidP="00883B5D">
            <w:pPr>
              <w:tabs>
                <w:tab w:val="left" w:pos="94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1B3460" w:rsidRPr="000F76C2" w14:paraId="11BB762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70052DD0" w14:textId="77777777" w:rsidR="001B3460" w:rsidRPr="000F76C2" w:rsidRDefault="001B3460" w:rsidP="009629C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F76C2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0F76C2" w14:paraId="2C07E14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58C8D7B3" w14:textId="04C52AEB" w:rsidR="001B3460" w:rsidRPr="000F76C2" w:rsidRDefault="00D4027E" w:rsidP="00962DC9">
            <w:pPr>
              <w:tabs>
                <w:tab w:val="left" w:pos="4110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  <w:spacing w:val="-2"/>
              </w:rPr>
              <w:t xml:space="preserve">Projekt rozporządzenia nie </w:t>
            </w:r>
            <w:r w:rsidR="00962DC9">
              <w:rPr>
                <w:rFonts w:ascii="Times New Roman" w:hAnsi="Times New Roman"/>
                <w:color w:val="000000"/>
                <w:spacing w:val="-2"/>
              </w:rPr>
              <w:t>wpłynie na rynek pracy.</w:t>
            </w:r>
          </w:p>
        </w:tc>
      </w:tr>
      <w:tr w:rsidR="001B3460" w:rsidRPr="000F76C2" w14:paraId="225F991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4559D57B" w14:textId="77777777" w:rsidR="001B3460" w:rsidRPr="000F76C2" w:rsidRDefault="001B3460" w:rsidP="009629C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F76C2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0F76C2" w14:paraId="67EB953C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5D5FF08" w14:textId="77777777" w:rsidR="001B3460" w:rsidRPr="000F76C2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6C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F76C2">
              <w:rPr>
                <w:rFonts w:ascii="Times New Roman" w:hAnsi="Times New Roman"/>
                <w:color w:val="000000"/>
              </w:rPr>
              <w:fldChar w:fldCharType="end"/>
            </w:r>
            <w:r w:rsidRPr="000F76C2">
              <w:rPr>
                <w:rFonts w:ascii="Times New Roman" w:hAnsi="Times New Roman"/>
                <w:color w:val="000000"/>
              </w:rPr>
              <w:t xml:space="preserve"> </w:t>
            </w:r>
            <w:r w:rsidRPr="000F76C2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DA59ECF" w14:textId="65EE73C0" w:rsidR="001B3460" w:rsidRPr="000F76C2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6C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F76C2">
              <w:rPr>
                <w:rFonts w:ascii="Times New Roman" w:hAnsi="Times New Roman"/>
                <w:color w:val="000000"/>
              </w:rPr>
              <w:fldChar w:fldCharType="end"/>
            </w:r>
            <w:r w:rsidRPr="000F76C2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5CA614A" w14:textId="04B10212" w:rsidR="001B3460" w:rsidRPr="000F76C2" w:rsidRDefault="00211B6F" w:rsidP="00211B6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6C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F76C2">
              <w:rPr>
                <w:rFonts w:ascii="Times New Roman" w:hAnsi="Times New Roman"/>
                <w:color w:val="000000"/>
              </w:rPr>
              <w:fldChar w:fldCharType="end"/>
            </w:r>
            <w:r w:rsidRPr="000F76C2">
              <w:rPr>
                <w:rFonts w:ascii="Times New Roman" w:hAnsi="Times New Roman"/>
                <w:color w:val="000000"/>
              </w:rPr>
              <w:t xml:space="preserve"> </w:t>
            </w:r>
            <w:r w:rsidRPr="000F76C2"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50C51481" w14:textId="77777777" w:rsidR="001B3460" w:rsidRPr="000F76C2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6C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F76C2">
              <w:rPr>
                <w:rFonts w:ascii="Times New Roman" w:hAnsi="Times New Roman"/>
                <w:color w:val="000000"/>
              </w:rPr>
              <w:fldChar w:fldCharType="end"/>
            </w:r>
            <w:r w:rsidRPr="000F76C2">
              <w:rPr>
                <w:rFonts w:ascii="Times New Roman" w:hAnsi="Times New Roman"/>
                <w:color w:val="000000"/>
              </w:rPr>
              <w:t xml:space="preserve"> </w:t>
            </w:r>
            <w:r w:rsidRPr="000F76C2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EFF24BA" w14:textId="77777777" w:rsidR="001B3460" w:rsidRPr="000F76C2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6C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F76C2">
              <w:rPr>
                <w:rFonts w:ascii="Times New Roman" w:hAnsi="Times New Roman"/>
                <w:color w:val="000000"/>
              </w:rPr>
              <w:fldChar w:fldCharType="end"/>
            </w:r>
            <w:r w:rsidRPr="000F76C2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33B0813D" w14:textId="4D30D880" w:rsidR="00211B6F" w:rsidRPr="000F76C2" w:rsidRDefault="00211B6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6C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F76C2">
              <w:rPr>
                <w:rFonts w:ascii="Times New Roman" w:hAnsi="Times New Roman"/>
                <w:color w:val="000000"/>
              </w:rPr>
              <w:fldChar w:fldCharType="end"/>
            </w:r>
            <w:r w:rsidRPr="000F76C2">
              <w:rPr>
                <w:rFonts w:ascii="Times New Roman" w:hAnsi="Times New Roman"/>
                <w:color w:val="000000"/>
              </w:rPr>
              <w:t xml:space="preserve"> </w:t>
            </w:r>
            <w:r w:rsidRPr="000F76C2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0F76C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F76C2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F76C2">
              <w:rPr>
                <w:rFonts w:ascii="Times New Roman" w:hAnsi="Times New Roman"/>
                <w:color w:val="000000"/>
              </w:rPr>
            </w:r>
            <w:r w:rsidRPr="000F76C2">
              <w:rPr>
                <w:rFonts w:ascii="Times New Roman" w:hAnsi="Times New Roman"/>
                <w:color w:val="000000"/>
              </w:rPr>
              <w:fldChar w:fldCharType="separate"/>
            </w:r>
            <w:r w:rsidRPr="000F76C2">
              <w:rPr>
                <w:rFonts w:ascii="Times New Roman" w:hAnsi="Times New Roman"/>
                <w:noProof/>
                <w:color w:val="000000"/>
              </w:rPr>
              <w:t> </w:t>
            </w:r>
            <w:r w:rsidRPr="000F76C2">
              <w:rPr>
                <w:rFonts w:ascii="Times New Roman" w:hAnsi="Times New Roman"/>
                <w:noProof/>
                <w:color w:val="000000"/>
              </w:rPr>
              <w:t> </w:t>
            </w:r>
            <w:r w:rsidRPr="000F76C2">
              <w:rPr>
                <w:rFonts w:ascii="Times New Roman" w:hAnsi="Times New Roman"/>
                <w:noProof/>
                <w:color w:val="000000"/>
              </w:rPr>
              <w:t> </w:t>
            </w:r>
            <w:r w:rsidRPr="000F76C2">
              <w:rPr>
                <w:rFonts w:ascii="Times New Roman" w:hAnsi="Times New Roman"/>
                <w:noProof/>
                <w:color w:val="000000"/>
              </w:rPr>
              <w:t> </w:t>
            </w:r>
            <w:r w:rsidRPr="000F76C2">
              <w:rPr>
                <w:rFonts w:ascii="Times New Roman" w:hAnsi="Times New Roman"/>
                <w:noProof/>
                <w:color w:val="000000"/>
              </w:rPr>
              <w:t> </w:t>
            </w:r>
            <w:r w:rsidRPr="000F76C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9B5BEFD" w14:textId="77777777" w:rsidR="001B3460" w:rsidRPr="000F76C2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6C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F76C2">
              <w:rPr>
                <w:rFonts w:ascii="Times New Roman" w:hAnsi="Times New Roman"/>
                <w:color w:val="000000"/>
              </w:rPr>
              <w:fldChar w:fldCharType="end"/>
            </w:r>
            <w:r w:rsidRPr="000F76C2">
              <w:rPr>
                <w:rFonts w:ascii="Times New Roman" w:hAnsi="Times New Roman"/>
                <w:color w:val="000000"/>
              </w:rPr>
              <w:t xml:space="preserve"> </w:t>
            </w:r>
            <w:r w:rsidRPr="000F76C2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C6CE074" w14:textId="77777777" w:rsidR="001B3460" w:rsidRPr="000F76C2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6C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F76C2">
              <w:rPr>
                <w:rFonts w:ascii="Times New Roman" w:hAnsi="Times New Roman"/>
                <w:color w:val="000000"/>
              </w:rPr>
              <w:fldChar w:fldCharType="end"/>
            </w:r>
            <w:r w:rsidRPr="000F76C2">
              <w:rPr>
                <w:rFonts w:ascii="Times New Roman" w:hAnsi="Times New Roman"/>
                <w:color w:val="000000"/>
              </w:rPr>
              <w:t xml:space="preserve"> </w:t>
            </w:r>
            <w:r w:rsidRPr="000F76C2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0F76C2" w14:paraId="08ACA5DC" w14:textId="77777777" w:rsidTr="009629CE">
        <w:trPr>
          <w:gridAfter w:val="1"/>
          <w:wAfter w:w="10" w:type="dxa"/>
          <w:trHeight w:val="576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3C9097E" w14:textId="77777777" w:rsidR="001B3460" w:rsidRPr="000F76C2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76C2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64AE2ACB" w14:textId="72F78003" w:rsidR="001B3460" w:rsidRPr="000F76C2" w:rsidRDefault="00D4027E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</w:rPr>
              <w:t>Brak.</w:t>
            </w:r>
          </w:p>
        </w:tc>
      </w:tr>
      <w:tr w:rsidR="001B3460" w:rsidRPr="000F76C2" w14:paraId="236DDB7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6263A2EA" w14:textId="77777777" w:rsidR="001B3460" w:rsidRPr="000F76C2" w:rsidRDefault="00A767D2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0F76C2">
              <w:rPr>
                <w:rFonts w:ascii="Times New Roman" w:hAnsi="Times New Roman"/>
                <w:b/>
                <w:spacing w:val="-2"/>
              </w:rPr>
              <w:t>Plan</w:t>
            </w:r>
            <w:r w:rsidR="00CF5F4F" w:rsidRPr="000F76C2">
              <w:rPr>
                <w:rFonts w:ascii="Times New Roman" w:hAnsi="Times New Roman"/>
                <w:b/>
                <w:spacing w:val="-2"/>
              </w:rPr>
              <w:t>owane</w:t>
            </w:r>
            <w:r w:rsidRPr="000F76C2">
              <w:rPr>
                <w:rFonts w:ascii="Times New Roman" w:hAnsi="Times New Roman"/>
                <w:b/>
                <w:spacing w:val="-2"/>
              </w:rPr>
              <w:t xml:space="preserve"> w</w:t>
            </w:r>
            <w:r w:rsidR="00627221" w:rsidRPr="000F76C2">
              <w:rPr>
                <w:rFonts w:ascii="Times New Roman" w:hAnsi="Times New Roman"/>
                <w:b/>
                <w:spacing w:val="-2"/>
              </w:rPr>
              <w:t>ykonani</w:t>
            </w:r>
            <w:r w:rsidR="00CF5F4F" w:rsidRPr="000F76C2">
              <w:rPr>
                <w:rFonts w:ascii="Times New Roman" w:hAnsi="Times New Roman"/>
                <w:b/>
                <w:spacing w:val="-2"/>
              </w:rPr>
              <w:t>e</w:t>
            </w:r>
            <w:r w:rsidR="00627221" w:rsidRPr="000F76C2">
              <w:rPr>
                <w:rFonts w:ascii="Times New Roman" w:hAnsi="Times New Roman"/>
                <w:b/>
                <w:spacing w:val="-2"/>
              </w:rPr>
              <w:t xml:space="preserve"> przepisów aktu prawnego</w:t>
            </w:r>
          </w:p>
        </w:tc>
      </w:tr>
      <w:tr w:rsidR="008768B6" w:rsidRPr="000F76C2" w14:paraId="34B3401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13AB7BA6" w14:textId="3DF22A61" w:rsidR="008768B6" w:rsidRPr="000F76C2" w:rsidRDefault="008768B6" w:rsidP="00962DC9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F76C2">
              <w:rPr>
                <w:rFonts w:ascii="Times New Roman" w:hAnsi="Times New Roman"/>
                <w:spacing w:val="-2"/>
              </w:rPr>
              <w:t>Projektowane rozporządzenie wejdzie w życie po upływie 14 dni od dnia jego ogłoszenia.</w:t>
            </w:r>
          </w:p>
        </w:tc>
      </w:tr>
      <w:tr w:rsidR="008768B6" w:rsidRPr="000F76C2" w14:paraId="4832BFD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5BAE48FC" w14:textId="77777777" w:rsidR="008768B6" w:rsidRPr="000F76C2" w:rsidRDefault="008768B6" w:rsidP="008768B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F76C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0F76C2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8768B6" w:rsidRPr="000F76C2" w14:paraId="5598337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5C0C0E94" w14:textId="5D85F376" w:rsidR="008768B6" w:rsidRPr="000F76C2" w:rsidRDefault="008768B6" w:rsidP="00962DC9">
            <w:pPr>
              <w:tabs>
                <w:tab w:val="left" w:pos="1740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spacing w:val="-2"/>
              </w:rPr>
              <w:t xml:space="preserve">Projekt rozporządzenia ma na celu dostosowanie przepisów prawa krajowego do wymogów prawa Unii Europejskiej. Specyfika projektu uniemożliwia przeprowadzenie ewaluacji </w:t>
            </w:r>
            <w:r w:rsidR="00C647FA" w:rsidRPr="000F76C2">
              <w:rPr>
                <w:rFonts w:ascii="Times New Roman" w:hAnsi="Times New Roman"/>
                <w:spacing w:val="-2"/>
              </w:rPr>
              <w:t>efektów,</w:t>
            </w:r>
            <w:r w:rsidR="00883B5D">
              <w:rPr>
                <w:rFonts w:ascii="Times New Roman" w:hAnsi="Times New Roman"/>
                <w:spacing w:val="-2"/>
              </w:rPr>
              <w:t xml:space="preserve"> </w:t>
            </w:r>
            <w:r w:rsidR="00883B5D">
              <w:rPr>
                <w:rFonts w:ascii="Times New Roman" w:hAnsi="Times New Roman"/>
                <w:color w:val="000000"/>
                <w:spacing w:val="-2"/>
              </w:rPr>
              <w:t xml:space="preserve">ponieważ </w:t>
            </w:r>
            <w:r w:rsidR="00883B5D" w:rsidRPr="000F76C2">
              <w:rPr>
                <w:rFonts w:ascii="Times New Roman" w:hAnsi="Times New Roman"/>
                <w:color w:val="000000"/>
                <w:spacing w:val="-2"/>
              </w:rPr>
              <w:t xml:space="preserve">określa jedynie </w:t>
            </w:r>
            <w:r w:rsidR="009B54FF" w:rsidRPr="00780502">
              <w:rPr>
                <w:rFonts w:ascii="Times New Roman" w:hAnsi="Times New Roman"/>
                <w:bCs/>
              </w:rPr>
              <w:t>szczegółow</w:t>
            </w:r>
            <w:r w:rsidR="009B54FF">
              <w:rPr>
                <w:rFonts w:ascii="Times New Roman" w:hAnsi="Times New Roman"/>
                <w:bCs/>
              </w:rPr>
              <w:t>y</w:t>
            </w:r>
            <w:r w:rsidR="009B54FF" w:rsidRPr="00780502">
              <w:rPr>
                <w:rFonts w:ascii="Times New Roman" w:hAnsi="Times New Roman"/>
                <w:bCs/>
              </w:rPr>
              <w:t xml:space="preserve"> zakres zbiorczego raportu</w:t>
            </w:r>
            <w:r w:rsidR="00883B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8768B6" w:rsidRPr="000F76C2" w14:paraId="3E1502A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4AFBEF38" w14:textId="77777777" w:rsidR="008768B6" w:rsidRPr="000F76C2" w:rsidRDefault="008768B6" w:rsidP="008768B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0F76C2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0F76C2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8768B6" w:rsidRPr="000F76C2" w14:paraId="758947D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0EEEADAC" w14:textId="0E56BBE3" w:rsidR="008768B6" w:rsidRPr="000F76C2" w:rsidRDefault="008768B6" w:rsidP="00962DC9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F76C2"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14:paraId="72BD6882" w14:textId="5C7FCA10" w:rsidR="001E1D0D" w:rsidRPr="00522D94" w:rsidRDefault="001E1D0D" w:rsidP="005E0A53">
      <w:pPr>
        <w:pStyle w:val="Nagwek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45AC0404" w14:textId="675F4321" w:rsidR="006176ED" w:rsidRPr="00A87B3A" w:rsidRDefault="006176ED" w:rsidP="001E1D0D">
      <w:pPr>
        <w:pStyle w:val="Nagwek1"/>
        <w:spacing w:before="0" w:after="0"/>
        <w:jc w:val="center"/>
        <w:rPr>
          <w:rFonts w:ascii="Times New Roman" w:hAnsi="Times New Roman"/>
        </w:rPr>
      </w:pPr>
    </w:p>
    <w:sectPr w:rsidR="006176ED" w:rsidRPr="00A87B3A" w:rsidSect="000D53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B07B" w14:textId="77777777" w:rsidR="00B03992" w:rsidRDefault="00B03992" w:rsidP="00044739">
      <w:pPr>
        <w:spacing w:line="240" w:lineRule="auto"/>
      </w:pPr>
      <w:r>
        <w:separator/>
      </w:r>
    </w:p>
  </w:endnote>
  <w:endnote w:type="continuationSeparator" w:id="0">
    <w:p w14:paraId="6099CC51" w14:textId="77777777" w:rsidR="00B03992" w:rsidRDefault="00B03992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57AE" w14:textId="77777777" w:rsidR="00B03992" w:rsidRDefault="00B03992" w:rsidP="00044739">
      <w:pPr>
        <w:spacing w:line="240" w:lineRule="auto"/>
      </w:pPr>
      <w:r>
        <w:separator/>
      </w:r>
    </w:p>
  </w:footnote>
  <w:footnote w:type="continuationSeparator" w:id="0">
    <w:p w14:paraId="454BB224" w14:textId="77777777" w:rsidR="00B03992" w:rsidRDefault="00B03992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BFC"/>
    <w:multiLevelType w:val="hybridMultilevel"/>
    <w:tmpl w:val="D93EB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77B2F"/>
    <w:multiLevelType w:val="hybridMultilevel"/>
    <w:tmpl w:val="24346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5B32558"/>
    <w:multiLevelType w:val="hybridMultilevel"/>
    <w:tmpl w:val="2430A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0CB"/>
    <w:multiLevelType w:val="hybridMultilevel"/>
    <w:tmpl w:val="363C0E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062E44"/>
    <w:multiLevelType w:val="hybridMultilevel"/>
    <w:tmpl w:val="51488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32738"/>
    <w:multiLevelType w:val="hybridMultilevel"/>
    <w:tmpl w:val="DA14B678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6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E255169"/>
    <w:multiLevelType w:val="hybridMultilevel"/>
    <w:tmpl w:val="019E7FFA"/>
    <w:lvl w:ilvl="0" w:tplc="1774464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0" w15:restartNumberingAfterBreak="0">
    <w:nsid w:val="4FE2470D"/>
    <w:multiLevelType w:val="hybridMultilevel"/>
    <w:tmpl w:val="3CBA0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1B9485E"/>
    <w:multiLevelType w:val="hybridMultilevel"/>
    <w:tmpl w:val="15442AFE"/>
    <w:lvl w:ilvl="0" w:tplc="9D343AD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F61D88"/>
    <w:multiLevelType w:val="hybridMultilevel"/>
    <w:tmpl w:val="E640B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79110A"/>
    <w:multiLevelType w:val="hybridMultilevel"/>
    <w:tmpl w:val="CBEE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762517">
    <w:abstractNumId w:val="6"/>
  </w:num>
  <w:num w:numId="2" w16cid:durableId="33048080">
    <w:abstractNumId w:val="0"/>
  </w:num>
  <w:num w:numId="3" w16cid:durableId="632254913">
    <w:abstractNumId w:val="14"/>
  </w:num>
  <w:num w:numId="4" w16cid:durableId="84694984">
    <w:abstractNumId w:val="26"/>
  </w:num>
  <w:num w:numId="5" w16cid:durableId="357397030">
    <w:abstractNumId w:val="1"/>
  </w:num>
  <w:num w:numId="6" w16cid:durableId="1473332913">
    <w:abstractNumId w:val="10"/>
  </w:num>
  <w:num w:numId="7" w16cid:durableId="596525261">
    <w:abstractNumId w:val="18"/>
  </w:num>
  <w:num w:numId="8" w16cid:durableId="11609158">
    <w:abstractNumId w:val="7"/>
  </w:num>
  <w:num w:numId="9" w16cid:durableId="1469206883">
    <w:abstractNumId w:val="21"/>
  </w:num>
  <w:num w:numId="10" w16cid:durableId="411198429">
    <w:abstractNumId w:val="16"/>
  </w:num>
  <w:num w:numId="11" w16cid:durableId="18431961">
    <w:abstractNumId w:val="19"/>
  </w:num>
  <w:num w:numId="12" w16cid:durableId="108551313">
    <w:abstractNumId w:val="4"/>
  </w:num>
  <w:num w:numId="13" w16cid:durableId="118495514">
    <w:abstractNumId w:val="15"/>
  </w:num>
  <w:num w:numId="14" w16cid:durableId="892078104">
    <w:abstractNumId w:val="27"/>
  </w:num>
  <w:num w:numId="15" w16cid:durableId="739138099">
    <w:abstractNumId w:val="22"/>
  </w:num>
  <w:num w:numId="16" w16cid:durableId="1374576292">
    <w:abstractNumId w:val="24"/>
  </w:num>
  <w:num w:numId="17" w16cid:durableId="1901014596">
    <w:abstractNumId w:val="8"/>
  </w:num>
  <w:num w:numId="18" w16cid:durableId="1109200418">
    <w:abstractNumId w:val="28"/>
  </w:num>
  <w:num w:numId="19" w16cid:durableId="1971014249">
    <w:abstractNumId w:val="30"/>
  </w:num>
  <w:num w:numId="20" w16cid:durableId="1297684417">
    <w:abstractNumId w:val="23"/>
  </w:num>
  <w:num w:numId="21" w16cid:durableId="323357057">
    <w:abstractNumId w:val="9"/>
  </w:num>
  <w:num w:numId="22" w16cid:durableId="716206014">
    <w:abstractNumId w:val="2"/>
  </w:num>
  <w:num w:numId="23" w16cid:durableId="797257027">
    <w:abstractNumId w:val="31"/>
  </w:num>
  <w:num w:numId="24" w16cid:durableId="1367484957">
    <w:abstractNumId w:val="20"/>
  </w:num>
  <w:num w:numId="25" w16cid:durableId="765154265">
    <w:abstractNumId w:val="13"/>
  </w:num>
  <w:num w:numId="26" w16cid:durableId="957443995">
    <w:abstractNumId w:val="5"/>
  </w:num>
  <w:num w:numId="27" w16cid:durableId="1148589760">
    <w:abstractNumId w:val="3"/>
  </w:num>
  <w:num w:numId="28" w16cid:durableId="1072237630">
    <w:abstractNumId w:val="17"/>
  </w:num>
  <w:num w:numId="29" w16cid:durableId="1801336235">
    <w:abstractNumId w:val="12"/>
  </w:num>
  <w:num w:numId="30" w16cid:durableId="592864210">
    <w:abstractNumId w:val="29"/>
  </w:num>
  <w:num w:numId="31" w16cid:durableId="378866808">
    <w:abstractNumId w:val="11"/>
  </w:num>
  <w:num w:numId="32" w16cid:durableId="21325518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86914"/>
    <w:rsid w:val="00093C15"/>
    <w:rsid w:val="000944AC"/>
    <w:rsid w:val="00094CB9"/>
    <w:rsid w:val="000954A2"/>
    <w:rsid w:val="000956B2"/>
    <w:rsid w:val="000969E7"/>
    <w:rsid w:val="000A23DE"/>
    <w:rsid w:val="000A4020"/>
    <w:rsid w:val="000B54FB"/>
    <w:rsid w:val="000C29B0"/>
    <w:rsid w:val="000C76FC"/>
    <w:rsid w:val="000D38FC"/>
    <w:rsid w:val="000D4D90"/>
    <w:rsid w:val="000D53E7"/>
    <w:rsid w:val="000D7825"/>
    <w:rsid w:val="000E02D0"/>
    <w:rsid w:val="000E2D10"/>
    <w:rsid w:val="000E4501"/>
    <w:rsid w:val="000F3204"/>
    <w:rsid w:val="000F3C57"/>
    <w:rsid w:val="000F4D21"/>
    <w:rsid w:val="000F76C2"/>
    <w:rsid w:val="0010548B"/>
    <w:rsid w:val="001072D1"/>
    <w:rsid w:val="00116953"/>
    <w:rsid w:val="00117017"/>
    <w:rsid w:val="00130E8E"/>
    <w:rsid w:val="0013216E"/>
    <w:rsid w:val="00135467"/>
    <w:rsid w:val="001401B5"/>
    <w:rsid w:val="001422B9"/>
    <w:rsid w:val="0014665F"/>
    <w:rsid w:val="00146C33"/>
    <w:rsid w:val="001529AA"/>
    <w:rsid w:val="00153464"/>
    <w:rsid w:val="001541B3"/>
    <w:rsid w:val="0015472C"/>
    <w:rsid w:val="00155B15"/>
    <w:rsid w:val="001625BE"/>
    <w:rsid w:val="001643A4"/>
    <w:rsid w:val="001644F0"/>
    <w:rsid w:val="001727BB"/>
    <w:rsid w:val="00180D25"/>
    <w:rsid w:val="0018318D"/>
    <w:rsid w:val="001853EA"/>
    <w:rsid w:val="0018572C"/>
    <w:rsid w:val="00187E79"/>
    <w:rsid w:val="00187F0D"/>
    <w:rsid w:val="00192CC5"/>
    <w:rsid w:val="001956A7"/>
    <w:rsid w:val="00196B81"/>
    <w:rsid w:val="001A118A"/>
    <w:rsid w:val="001A27F4"/>
    <w:rsid w:val="001A2D95"/>
    <w:rsid w:val="001B3460"/>
    <w:rsid w:val="001B4CA1"/>
    <w:rsid w:val="001B75D8"/>
    <w:rsid w:val="001C1060"/>
    <w:rsid w:val="001C3C63"/>
    <w:rsid w:val="001C70E3"/>
    <w:rsid w:val="001D4732"/>
    <w:rsid w:val="001D6A3C"/>
    <w:rsid w:val="001D6D51"/>
    <w:rsid w:val="001D7F80"/>
    <w:rsid w:val="001E1D0D"/>
    <w:rsid w:val="001E6AFD"/>
    <w:rsid w:val="001F653A"/>
    <w:rsid w:val="001F6979"/>
    <w:rsid w:val="00202BC6"/>
    <w:rsid w:val="00205141"/>
    <w:rsid w:val="0020516B"/>
    <w:rsid w:val="00207CA8"/>
    <w:rsid w:val="00211B6F"/>
    <w:rsid w:val="00213559"/>
    <w:rsid w:val="00213EFD"/>
    <w:rsid w:val="002172F1"/>
    <w:rsid w:val="00223C7B"/>
    <w:rsid w:val="00224AB1"/>
    <w:rsid w:val="0022687A"/>
    <w:rsid w:val="00230728"/>
    <w:rsid w:val="00234040"/>
    <w:rsid w:val="00235563"/>
    <w:rsid w:val="00235CD2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38FA"/>
    <w:rsid w:val="00274862"/>
    <w:rsid w:val="00281028"/>
    <w:rsid w:val="0028187D"/>
    <w:rsid w:val="002825D8"/>
    <w:rsid w:val="00282D72"/>
    <w:rsid w:val="0028336B"/>
    <w:rsid w:val="00283402"/>
    <w:rsid w:val="00290FD6"/>
    <w:rsid w:val="00294259"/>
    <w:rsid w:val="002A2C81"/>
    <w:rsid w:val="002B3D1A"/>
    <w:rsid w:val="002C27D0"/>
    <w:rsid w:val="002C2C9B"/>
    <w:rsid w:val="002D17D6"/>
    <w:rsid w:val="002D18D7"/>
    <w:rsid w:val="002D21CE"/>
    <w:rsid w:val="002D7FA9"/>
    <w:rsid w:val="002E3DA3"/>
    <w:rsid w:val="002E450F"/>
    <w:rsid w:val="002E6B38"/>
    <w:rsid w:val="002E6D63"/>
    <w:rsid w:val="002E6E2B"/>
    <w:rsid w:val="002E7EB1"/>
    <w:rsid w:val="002F500B"/>
    <w:rsid w:val="00300991"/>
    <w:rsid w:val="00301959"/>
    <w:rsid w:val="00301C35"/>
    <w:rsid w:val="00305B8A"/>
    <w:rsid w:val="0031068C"/>
    <w:rsid w:val="00312D71"/>
    <w:rsid w:val="003146F1"/>
    <w:rsid w:val="00315A52"/>
    <w:rsid w:val="003207FE"/>
    <w:rsid w:val="00320DBB"/>
    <w:rsid w:val="00325814"/>
    <w:rsid w:val="00331BF9"/>
    <w:rsid w:val="0033495E"/>
    <w:rsid w:val="00334A79"/>
    <w:rsid w:val="00334D8D"/>
    <w:rsid w:val="00337345"/>
    <w:rsid w:val="00337DD2"/>
    <w:rsid w:val="003404D1"/>
    <w:rsid w:val="003443FF"/>
    <w:rsid w:val="00353366"/>
    <w:rsid w:val="00355808"/>
    <w:rsid w:val="00362C7E"/>
    <w:rsid w:val="00363309"/>
    <w:rsid w:val="00363601"/>
    <w:rsid w:val="00376AC9"/>
    <w:rsid w:val="00393032"/>
    <w:rsid w:val="00394B69"/>
    <w:rsid w:val="00397078"/>
    <w:rsid w:val="003A6953"/>
    <w:rsid w:val="003B6083"/>
    <w:rsid w:val="003B67B2"/>
    <w:rsid w:val="003C3838"/>
    <w:rsid w:val="003C5847"/>
    <w:rsid w:val="003D0681"/>
    <w:rsid w:val="003D12F6"/>
    <w:rsid w:val="003D1426"/>
    <w:rsid w:val="003D1B96"/>
    <w:rsid w:val="003D1BEB"/>
    <w:rsid w:val="003E2F4E"/>
    <w:rsid w:val="003E6B0A"/>
    <w:rsid w:val="003E720A"/>
    <w:rsid w:val="003F7BDC"/>
    <w:rsid w:val="00403E6E"/>
    <w:rsid w:val="004129B4"/>
    <w:rsid w:val="00417EF0"/>
    <w:rsid w:val="00420AB2"/>
    <w:rsid w:val="00422181"/>
    <w:rsid w:val="004244A8"/>
    <w:rsid w:val="00425F72"/>
    <w:rsid w:val="00427736"/>
    <w:rsid w:val="00427FB3"/>
    <w:rsid w:val="004328C6"/>
    <w:rsid w:val="00441787"/>
    <w:rsid w:val="00444F2D"/>
    <w:rsid w:val="00452034"/>
    <w:rsid w:val="00455FA6"/>
    <w:rsid w:val="00460273"/>
    <w:rsid w:val="00461419"/>
    <w:rsid w:val="00466C70"/>
    <w:rsid w:val="004702C9"/>
    <w:rsid w:val="00472E45"/>
    <w:rsid w:val="00473FEA"/>
    <w:rsid w:val="0047579D"/>
    <w:rsid w:val="00483262"/>
    <w:rsid w:val="00484107"/>
    <w:rsid w:val="004845C7"/>
    <w:rsid w:val="00484A6B"/>
    <w:rsid w:val="00485CC5"/>
    <w:rsid w:val="0049343F"/>
    <w:rsid w:val="00493B8C"/>
    <w:rsid w:val="004964FC"/>
    <w:rsid w:val="00496C7A"/>
    <w:rsid w:val="004A145E"/>
    <w:rsid w:val="004A1F15"/>
    <w:rsid w:val="004A2A81"/>
    <w:rsid w:val="004A4483"/>
    <w:rsid w:val="004A7BD7"/>
    <w:rsid w:val="004C15C2"/>
    <w:rsid w:val="004C36D8"/>
    <w:rsid w:val="004C6A0C"/>
    <w:rsid w:val="004D1248"/>
    <w:rsid w:val="004D1E3C"/>
    <w:rsid w:val="004D4169"/>
    <w:rsid w:val="004D5272"/>
    <w:rsid w:val="004D6E14"/>
    <w:rsid w:val="004E2709"/>
    <w:rsid w:val="004F1C8E"/>
    <w:rsid w:val="004F4E17"/>
    <w:rsid w:val="004F5414"/>
    <w:rsid w:val="0050082F"/>
    <w:rsid w:val="00500C56"/>
    <w:rsid w:val="00501713"/>
    <w:rsid w:val="00506568"/>
    <w:rsid w:val="00514B8B"/>
    <w:rsid w:val="0051551B"/>
    <w:rsid w:val="00520C57"/>
    <w:rsid w:val="00521E4C"/>
    <w:rsid w:val="00522D94"/>
    <w:rsid w:val="00525F03"/>
    <w:rsid w:val="00533D89"/>
    <w:rsid w:val="00536564"/>
    <w:rsid w:val="00544597"/>
    <w:rsid w:val="00544FFE"/>
    <w:rsid w:val="0054605E"/>
    <w:rsid w:val="00546EA1"/>
    <w:rsid w:val="005473F5"/>
    <w:rsid w:val="005477E7"/>
    <w:rsid w:val="00552189"/>
    <w:rsid w:val="00552794"/>
    <w:rsid w:val="0055314F"/>
    <w:rsid w:val="005618FB"/>
    <w:rsid w:val="005630DC"/>
    <w:rsid w:val="00563199"/>
    <w:rsid w:val="00564874"/>
    <w:rsid w:val="00567963"/>
    <w:rsid w:val="0057009A"/>
    <w:rsid w:val="00571260"/>
    <w:rsid w:val="0057189C"/>
    <w:rsid w:val="00573FC1"/>
    <w:rsid w:val="005741EE"/>
    <w:rsid w:val="00574B83"/>
    <w:rsid w:val="0057668E"/>
    <w:rsid w:val="00584617"/>
    <w:rsid w:val="0059491E"/>
    <w:rsid w:val="00595E83"/>
    <w:rsid w:val="00596530"/>
    <w:rsid w:val="005967F3"/>
    <w:rsid w:val="005A06DF"/>
    <w:rsid w:val="005A5527"/>
    <w:rsid w:val="005A5AE6"/>
    <w:rsid w:val="005A7CBD"/>
    <w:rsid w:val="005B1206"/>
    <w:rsid w:val="005B37E8"/>
    <w:rsid w:val="005C0056"/>
    <w:rsid w:val="005C3DF7"/>
    <w:rsid w:val="005C7751"/>
    <w:rsid w:val="005D61D6"/>
    <w:rsid w:val="005E0A53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6CC"/>
    <w:rsid w:val="00621DA6"/>
    <w:rsid w:val="00622088"/>
    <w:rsid w:val="00623CFE"/>
    <w:rsid w:val="00627221"/>
    <w:rsid w:val="00627EE8"/>
    <w:rsid w:val="006316FA"/>
    <w:rsid w:val="006370D2"/>
    <w:rsid w:val="0064074F"/>
    <w:rsid w:val="006407EA"/>
    <w:rsid w:val="00641F55"/>
    <w:rsid w:val="00645E4A"/>
    <w:rsid w:val="00653688"/>
    <w:rsid w:val="0066091B"/>
    <w:rsid w:val="006660E9"/>
    <w:rsid w:val="00667249"/>
    <w:rsid w:val="00667558"/>
    <w:rsid w:val="00667A6A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6A0E"/>
    <w:rsid w:val="006A701A"/>
    <w:rsid w:val="006B64DC"/>
    <w:rsid w:val="006B6FA3"/>
    <w:rsid w:val="006B7A91"/>
    <w:rsid w:val="006C1503"/>
    <w:rsid w:val="006D4704"/>
    <w:rsid w:val="006D6A2D"/>
    <w:rsid w:val="006E1E18"/>
    <w:rsid w:val="006E31CE"/>
    <w:rsid w:val="006E34D3"/>
    <w:rsid w:val="006E568C"/>
    <w:rsid w:val="006F1435"/>
    <w:rsid w:val="006F78C4"/>
    <w:rsid w:val="007024B3"/>
    <w:rsid w:val="007031A0"/>
    <w:rsid w:val="00704496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33D87"/>
    <w:rsid w:val="00740D2C"/>
    <w:rsid w:val="00744BF9"/>
    <w:rsid w:val="00752623"/>
    <w:rsid w:val="007569E3"/>
    <w:rsid w:val="00760F1F"/>
    <w:rsid w:val="0076423E"/>
    <w:rsid w:val="007646CB"/>
    <w:rsid w:val="0076658F"/>
    <w:rsid w:val="0077040A"/>
    <w:rsid w:val="00772D64"/>
    <w:rsid w:val="00780502"/>
    <w:rsid w:val="00792609"/>
    <w:rsid w:val="00792887"/>
    <w:rsid w:val="007943E2"/>
    <w:rsid w:val="00794F2C"/>
    <w:rsid w:val="007A3BC7"/>
    <w:rsid w:val="007A5AC4"/>
    <w:rsid w:val="007B0FDD"/>
    <w:rsid w:val="007B135D"/>
    <w:rsid w:val="007B4802"/>
    <w:rsid w:val="007B6668"/>
    <w:rsid w:val="007B6B33"/>
    <w:rsid w:val="007C2701"/>
    <w:rsid w:val="007C6F15"/>
    <w:rsid w:val="007D2192"/>
    <w:rsid w:val="007E105A"/>
    <w:rsid w:val="007E6225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35DA3"/>
    <w:rsid w:val="00841422"/>
    <w:rsid w:val="00841D3B"/>
    <w:rsid w:val="0084314C"/>
    <w:rsid w:val="00843171"/>
    <w:rsid w:val="008530F4"/>
    <w:rsid w:val="008575C3"/>
    <w:rsid w:val="008634F6"/>
    <w:rsid w:val="00863D28"/>
    <w:rsid w:val="008648C3"/>
    <w:rsid w:val="00866AB9"/>
    <w:rsid w:val="008768B6"/>
    <w:rsid w:val="00880F26"/>
    <w:rsid w:val="00883B5D"/>
    <w:rsid w:val="00896C2E"/>
    <w:rsid w:val="008A5095"/>
    <w:rsid w:val="008A608F"/>
    <w:rsid w:val="008B1A9A"/>
    <w:rsid w:val="008B3BFD"/>
    <w:rsid w:val="008B4FE6"/>
    <w:rsid w:val="008B6C37"/>
    <w:rsid w:val="008B6D9E"/>
    <w:rsid w:val="008D66DE"/>
    <w:rsid w:val="008E18F7"/>
    <w:rsid w:val="008E1E10"/>
    <w:rsid w:val="008E22AF"/>
    <w:rsid w:val="008E291B"/>
    <w:rsid w:val="008E4F2F"/>
    <w:rsid w:val="008E74B0"/>
    <w:rsid w:val="008F1739"/>
    <w:rsid w:val="008F4268"/>
    <w:rsid w:val="009008A8"/>
    <w:rsid w:val="009063B0"/>
    <w:rsid w:val="00907106"/>
    <w:rsid w:val="009107FD"/>
    <w:rsid w:val="00911202"/>
    <w:rsid w:val="0091137C"/>
    <w:rsid w:val="00911449"/>
    <w:rsid w:val="00911567"/>
    <w:rsid w:val="009126C1"/>
    <w:rsid w:val="00917AAE"/>
    <w:rsid w:val="009251A9"/>
    <w:rsid w:val="00930699"/>
    <w:rsid w:val="00931F69"/>
    <w:rsid w:val="00934123"/>
    <w:rsid w:val="00955774"/>
    <w:rsid w:val="009560B5"/>
    <w:rsid w:val="009629CE"/>
    <w:rsid w:val="00962DC9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454C"/>
    <w:rsid w:val="00995CE1"/>
    <w:rsid w:val="00996F0A"/>
    <w:rsid w:val="009A1D86"/>
    <w:rsid w:val="009B049C"/>
    <w:rsid w:val="009B11C8"/>
    <w:rsid w:val="009B2BCF"/>
    <w:rsid w:val="009B2FF8"/>
    <w:rsid w:val="009B3EC5"/>
    <w:rsid w:val="009B3F09"/>
    <w:rsid w:val="009B54FF"/>
    <w:rsid w:val="009B5BA3"/>
    <w:rsid w:val="009C1982"/>
    <w:rsid w:val="009D0027"/>
    <w:rsid w:val="009D0655"/>
    <w:rsid w:val="009E1E98"/>
    <w:rsid w:val="009E338C"/>
    <w:rsid w:val="009E3ABE"/>
    <w:rsid w:val="009E3C4B"/>
    <w:rsid w:val="009F0637"/>
    <w:rsid w:val="009F57B5"/>
    <w:rsid w:val="009F62A6"/>
    <w:rsid w:val="009F674F"/>
    <w:rsid w:val="009F799E"/>
    <w:rsid w:val="00A02020"/>
    <w:rsid w:val="00A04167"/>
    <w:rsid w:val="00A056CB"/>
    <w:rsid w:val="00A07A29"/>
    <w:rsid w:val="00A10FF1"/>
    <w:rsid w:val="00A12928"/>
    <w:rsid w:val="00A1506B"/>
    <w:rsid w:val="00A17CB2"/>
    <w:rsid w:val="00A23191"/>
    <w:rsid w:val="00A2341A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51DB"/>
    <w:rsid w:val="00A552EB"/>
    <w:rsid w:val="00A56E64"/>
    <w:rsid w:val="00A624C3"/>
    <w:rsid w:val="00A65B10"/>
    <w:rsid w:val="00A6641C"/>
    <w:rsid w:val="00A767D2"/>
    <w:rsid w:val="00A77616"/>
    <w:rsid w:val="00A805DA"/>
    <w:rsid w:val="00A811B4"/>
    <w:rsid w:val="00A87B3A"/>
    <w:rsid w:val="00A87CDE"/>
    <w:rsid w:val="00A92BAF"/>
    <w:rsid w:val="00A92D18"/>
    <w:rsid w:val="00A94737"/>
    <w:rsid w:val="00A94BA3"/>
    <w:rsid w:val="00A96CBA"/>
    <w:rsid w:val="00AA0E31"/>
    <w:rsid w:val="00AA2E23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6CF8"/>
    <w:rsid w:val="00AF4CAC"/>
    <w:rsid w:val="00B01C55"/>
    <w:rsid w:val="00B03992"/>
    <w:rsid w:val="00B03E0D"/>
    <w:rsid w:val="00B054F8"/>
    <w:rsid w:val="00B2219A"/>
    <w:rsid w:val="00B25676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631FC"/>
    <w:rsid w:val="00B64C7B"/>
    <w:rsid w:val="00B7770F"/>
    <w:rsid w:val="00B77A89"/>
    <w:rsid w:val="00B77B27"/>
    <w:rsid w:val="00B80E8E"/>
    <w:rsid w:val="00B8134E"/>
    <w:rsid w:val="00B81B55"/>
    <w:rsid w:val="00B84613"/>
    <w:rsid w:val="00B84CF7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6B80"/>
    <w:rsid w:val="00BC284E"/>
    <w:rsid w:val="00BC3773"/>
    <w:rsid w:val="00BC381A"/>
    <w:rsid w:val="00BD0962"/>
    <w:rsid w:val="00BD1EED"/>
    <w:rsid w:val="00BE2EF2"/>
    <w:rsid w:val="00BF0DA2"/>
    <w:rsid w:val="00BF109C"/>
    <w:rsid w:val="00BF34FA"/>
    <w:rsid w:val="00C004B6"/>
    <w:rsid w:val="00C0250D"/>
    <w:rsid w:val="00C047A7"/>
    <w:rsid w:val="00C055C9"/>
    <w:rsid w:val="00C05DE5"/>
    <w:rsid w:val="00C12C51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7FA"/>
    <w:rsid w:val="00C64F7D"/>
    <w:rsid w:val="00C67309"/>
    <w:rsid w:val="00C673C1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40EA"/>
    <w:rsid w:val="00CA63EB"/>
    <w:rsid w:val="00CA69F1"/>
    <w:rsid w:val="00CB6991"/>
    <w:rsid w:val="00CB6F96"/>
    <w:rsid w:val="00CC2998"/>
    <w:rsid w:val="00CC6194"/>
    <w:rsid w:val="00CC6305"/>
    <w:rsid w:val="00CC78A5"/>
    <w:rsid w:val="00CD0516"/>
    <w:rsid w:val="00CD756B"/>
    <w:rsid w:val="00CE1102"/>
    <w:rsid w:val="00CE734F"/>
    <w:rsid w:val="00CF112E"/>
    <w:rsid w:val="00CF1F07"/>
    <w:rsid w:val="00CF5F4F"/>
    <w:rsid w:val="00D218DC"/>
    <w:rsid w:val="00D24E56"/>
    <w:rsid w:val="00D2510F"/>
    <w:rsid w:val="00D31607"/>
    <w:rsid w:val="00D31643"/>
    <w:rsid w:val="00D31AEB"/>
    <w:rsid w:val="00D32ECD"/>
    <w:rsid w:val="00D361E4"/>
    <w:rsid w:val="00D4027E"/>
    <w:rsid w:val="00D42A8F"/>
    <w:rsid w:val="00D439F6"/>
    <w:rsid w:val="00D459C6"/>
    <w:rsid w:val="00D50729"/>
    <w:rsid w:val="00D50C19"/>
    <w:rsid w:val="00D5379E"/>
    <w:rsid w:val="00D574B5"/>
    <w:rsid w:val="00D62643"/>
    <w:rsid w:val="00D64C0F"/>
    <w:rsid w:val="00D72EFE"/>
    <w:rsid w:val="00D76227"/>
    <w:rsid w:val="00D77DF1"/>
    <w:rsid w:val="00D80E7B"/>
    <w:rsid w:val="00D84736"/>
    <w:rsid w:val="00D86AFF"/>
    <w:rsid w:val="00D95A44"/>
    <w:rsid w:val="00D95D16"/>
    <w:rsid w:val="00D97C76"/>
    <w:rsid w:val="00DB02B4"/>
    <w:rsid w:val="00DB538D"/>
    <w:rsid w:val="00DC275C"/>
    <w:rsid w:val="00DC330E"/>
    <w:rsid w:val="00DC4B0D"/>
    <w:rsid w:val="00DC7FE1"/>
    <w:rsid w:val="00DD3F3F"/>
    <w:rsid w:val="00DD5572"/>
    <w:rsid w:val="00DE5D80"/>
    <w:rsid w:val="00DE7321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1E1"/>
    <w:rsid w:val="00E214F2"/>
    <w:rsid w:val="00E2371E"/>
    <w:rsid w:val="00E24BD7"/>
    <w:rsid w:val="00E26523"/>
    <w:rsid w:val="00E26809"/>
    <w:rsid w:val="00E3412D"/>
    <w:rsid w:val="00E34FEA"/>
    <w:rsid w:val="00E37030"/>
    <w:rsid w:val="00E43CE8"/>
    <w:rsid w:val="00E5471E"/>
    <w:rsid w:val="00E57322"/>
    <w:rsid w:val="00E628CB"/>
    <w:rsid w:val="00E62AD9"/>
    <w:rsid w:val="00E638C8"/>
    <w:rsid w:val="00E74A9F"/>
    <w:rsid w:val="00E7509B"/>
    <w:rsid w:val="00E86590"/>
    <w:rsid w:val="00E907FF"/>
    <w:rsid w:val="00E91E84"/>
    <w:rsid w:val="00E9355C"/>
    <w:rsid w:val="00EA42D1"/>
    <w:rsid w:val="00EA42EF"/>
    <w:rsid w:val="00EB2DD1"/>
    <w:rsid w:val="00EB6B37"/>
    <w:rsid w:val="00EC29FE"/>
    <w:rsid w:val="00EC3C70"/>
    <w:rsid w:val="00ED3A3D"/>
    <w:rsid w:val="00ED4DE9"/>
    <w:rsid w:val="00ED538A"/>
    <w:rsid w:val="00ED6FBC"/>
    <w:rsid w:val="00EE163F"/>
    <w:rsid w:val="00EE2F16"/>
    <w:rsid w:val="00EE3861"/>
    <w:rsid w:val="00EF2E73"/>
    <w:rsid w:val="00EF7683"/>
    <w:rsid w:val="00EF7A2D"/>
    <w:rsid w:val="00F04F8D"/>
    <w:rsid w:val="00F10AD0"/>
    <w:rsid w:val="00F116CC"/>
    <w:rsid w:val="00F12BD1"/>
    <w:rsid w:val="00F15327"/>
    <w:rsid w:val="00F168CF"/>
    <w:rsid w:val="00F2555C"/>
    <w:rsid w:val="00F311F2"/>
    <w:rsid w:val="00F31DF3"/>
    <w:rsid w:val="00F3393D"/>
    <w:rsid w:val="00F33AE5"/>
    <w:rsid w:val="00F3597D"/>
    <w:rsid w:val="00F429D5"/>
    <w:rsid w:val="00F429E4"/>
    <w:rsid w:val="00F4376D"/>
    <w:rsid w:val="00F45399"/>
    <w:rsid w:val="00F465EA"/>
    <w:rsid w:val="00F5215C"/>
    <w:rsid w:val="00F54E7B"/>
    <w:rsid w:val="00F55A88"/>
    <w:rsid w:val="00F74005"/>
    <w:rsid w:val="00F76884"/>
    <w:rsid w:val="00F83285"/>
    <w:rsid w:val="00F83D24"/>
    <w:rsid w:val="00F83DD9"/>
    <w:rsid w:val="00F83F40"/>
    <w:rsid w:val="00F84687"/>
    <w:rsid w:val="00F87061"/>
    <w:rsid w:val="00F93FA3"/>
    <w:rsid w:val="00FA117A"/>
    <w:rsid w:val="00FA1B34"/>
    <w:rsid w:val="00FA417B"/>
    <w:rsid w:val="00FA783A"/>
    <w:rsid w:val="00FB386A"/>
    <w:rsid w:val="00FC0786"/>
    <w:rsid w:val="00FC49EF"/>
    <w:rsid w:val="00FE36E2"/>
    <w:rsid w:val="00FE65C1"/>
    <w:rsid w:val="00FF11AD"/>
    <w:rsid w:val="00FF2971"/>
    <w:rsid w:val="00FF34D4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D6E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FB3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2D7FA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articletitle">
    <w:name w:val="articletitle"/>
    <w:basedOn w:val="Domylnaczcionkaakapitu"/>
    <w:rsid w:val="00325814"/>
  </w:style>
  <w:style w:type="character" w:customStyle="1" w:styleId="footnote">
    <w:name w:val="footnote"/>
    <w:basedOn w:val="Domylnaczcionkaakapitu"/>
    <w:rsid w:val="00325814"/>
  </w:style>
  <w:style w:type="paragraph" w:customStyle="1" w:styleId="Default">
    <w:name w:val="Default"/>
    <w:rsid w:val="004328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4328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E7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D7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0D7825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0D782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3C5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11449"/>
    <w:rPr>
      <w:sz w:val="22"/>
      <w:szCs w:val="22"/>
      <w:lang w:eastAsia="en-US"/>
    </w:rPr>
  </w:style>
  <w:style w:type="paragraph" w:customStyle="1" w:styleId="ODNONIKtreodnonika">
    <w:name w:val="ODNOŚNIK – treść odnośnika"/>
    <w:uiPriority w:val="19"/>
    <w:qFormat/>
    <w:rsid w:val="00301C35"/>
    <w:pPr>
      <w:ind w:left="284" w:hanging="284"/>
      <w:jc w:val="both"/>
    </w:pPr>
    <w:rPr>
      <w:rFonts w:ascii="Times New Roman" w:eastAsiaTheme="minorEastAsia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0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2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6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6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3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5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4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7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5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9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5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4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6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0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1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0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1604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11210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2024-06-04T06:46:00Z</dcterms:created>
  <dcterms:modified xsi:type="dcterms:W3CDTF">2024-06-04T06:54:00Z</dcterms:modified>
</cp:coreProperties>
</file>