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560E" w14:textId="77777777" w:rsidR="001F722A" w:rsidRPr="00E83E8B" w:rsidRDefault="001F722A" w:rsidP="001F722A">
      <w:pPr>
        <w:keepNext/>
        <w:suppressAutoHyphens/>
        <w:spacing w:after="120"/>
        <w:jc w:val="center"/>
        <w:rPr>
          <w:b/>
          <w:bCs/>
          <w:caps/>
          <w:spacing w:val="54"/>
          <w:kern w:val="24"/>
        </w:rPr>
      </w:pPr>
      <w:r w:rsidRPr="00E83E8B">
        <w:rPr>
          <w:b/>
          <w:bCs/>
          <w:caps/>
          <w:spacing w:val="54"/>
          <w:kern w:val="24"/>
        </w:rPr>
        <w:t>UZASADNIENIE</w:t>
      </w:r>
    </w:p>
    <w:p w14:paraId="24675A64" w14:textId="0D7C2FBE" w:rsidR="000D7B25" w:rsidRPr="00E83E8B" w:rsidRDefault="000D7B25" w:rsidP="00802717">
      <w:pPr>
        <w:spacing w:before="240" w:after="240" w:line="360" w:lineRule="auto"/>
        <w:ind w:firstLine="567"/>
      </w:pPr>
      <w:r w:rsidRPr="00E83E8B">
        <w:t xml:space="preserve">Projekt rozporządzenia stanowi wykonanie delegacji zawartej w art. 35 </w:t>
      </w:r>
      <w:r w:rsidR="006142CC" w:rsidRPr="00E83E8B">
        <w:t>pkt</w:t>
      </w:r>
      <w:r w:rsidRPr="00E83E8B">
        <w:t xml:space="preserve"> 1 </w:t>
      </w:r>
      <w:r w:rsidRPr="00E22082">
        <w:t>ustawy z</w:t>
      </w:r>
      <w:r w:rsidR="00E22082">
        <w:t> </w:t>
      </w:r>
      <w:r w:rsidRPr="00E22082">
        <w:t>dnia 30 kwietnia 2004 r. o postępowaniu w sprawach dotyczących pomocy publicznej</w:t>
      </w:r>
      <w:r w:rsidRPr="00E83E8B">
        <w:t xml:space="preserve"> (Dz. U. z 2023 r. poz. 702) odnoszącej się do sprawozdań o udzielonej pomocy publicznej</w:t>
      </w:r>
      <w:r w:rsidR="00694D6B" w:rsidRPr="00E83E8B">
        <w:t xml:space="preserve"> i</w:t>
      </w:r>
      <w:r w:rsidR="00E22082">
        <w:t> </w:t>
      </w:r>
      <w:r w:rsidR="00694D6B" w:rsidRPr="00E83E8B">
        <w:t>informacji o nieudzielaniu takiej pomocy przekazywanych z wykorzystaniem aplikacji SHRIMP</w:t>
      </w:r>
      <w:r w:rsidRPr="00E83E8B">
        <w:t>.</w:t>
      </w:r>
    </w:p>
    <w:p w14:paraId="564B95AC" w14:textId="100CEFC3" w:rsidR="00537A23" w:rsidRPr="00E83E8B" w:rsidRDefault="00537A23" w:rsidP="00802717">
      <w:pPr>
        <w:spacing w:before="240" w:after="240" w:line="360" w:lineRule="auto"/>
        <w:ind w:firstLine="567"/>
      </w:pPr>
      <w:r w:rsidRPr="00E83E8B">
        <w:t>Zgodnie z art. 32a ust. 1 ustawy</w:t>
      </w:r>
      <w:r w:rsidR="00936A0E" w:rsidRPr="00E83E8B">
        <w:t xml:space="preserve"> z dnia 30 kwietnia 2004 r. o postępowaniu w sprawach dotyczących pomocy publicznej</w:t>
      </w:r>
      <w:r w:rsidRPr="00E83E8B">
        <w:t>, podmioty udzielające pomocy są zobowiązane do</w:t>
      </w:r>
      <w:r w:rsidR="00694D6B" w:rsidRPr="00E83E8B">
        <w:t> </w:t>
      </w:r>
      <w:r w:rsidRPr="00E83E8B">
        <w:t>sporządzenia i przedstawienia Prezesowi Urzędu Ochrony Konkurencji i Konsumentów sprawozdań o udzielonej pomocy publicznej innej niż pomoc publiczna w rolnictwie lub rybołówstwie. Sprawozdania te przekazuje się przez teletransmisję danych w postaci elektronicznej z wykorzystaniem formularzy zamieszczonych w aplikacji SHRIMP udostępnionej w sieci teleinformatycznej przez Prezesa Urzędu</w:t>
      </w:r>
      <w:r w:rsidR="00A934A9" w:rsidRPr="00E83E8B">
        <w:t xml:space="preserve"> Ochrony Konkurencji i</w:t>
      </w:r>
      <w:r w:rsidR="001C32DB">
        <w:t> </w:t>
      </w:r>
      <w:r w:rsidR="00A934A9" w:rsidRPr="00E83E8B">
        <w:t>Konsumentów</w:t>
      </w:r>
      <w:r w:rsidRPr="00E83E8B">
        <w:t>. Zakres sprawozdań został określony w rozporządzeniu Rady Ministrów z dnia 7 sierpnia 2008 r. w sprawie sprawozdań o udzielonej pomocy publicznej, informacji o</w:t>
      </w:r>
      <w:r w:rsidR="001C32DB">
        <w:t> </w:t>
      </w:r>
      <w:r w:rsidRPr="00E83E8B">
        <w:t>nieudzieleniu takiej pomocy oraz sprawozdań o zaległościach przedsiębiorców we wpłatach świadczeń należnych na rzecz sektora finansów publicznych (Dz.</w:t>
      </w:r>
      <w:r w:rsidR="00E22082">
        <w:t> </w:t>
      </w:r>
      <w:r w:rsidRPr="00E83E8B">
        <w:t>U. z</w:t>
      </w:r>
      <w:r w:rsidR="00E22082">
        <w:t> </w:t>
      </w:r>
      <w:r w:rsidRPr="00E83E8B">
        <w:t>2024 r. poz.</w:t>
      </w:r>
      <w:r w:rsidR="00E22082">
        <w:t> </w:t>
      </w:r>
      <w:r w:rsidRPr="00E83E8B">
        <w:t xml:space="preserve">161). </w:t>
      </w:r>
    </w:p>
    <w:p w14:paraId="15BD2614" w14:textId="70404A49" w:rsidR="00537A23" w:rsidRPr="00E83E8B" w:rsidRDefault="00537A23" w:rsidP="00802717">
      <w:pPr>
        <w:spacing w:before="240" w:line="360" w:lineRule="auto"/>
        <w:ind w:firstLine="567"/>
      </w:pPr>
      <w:r w:rsidRPr="00E83E8B">
        <w:t xml:space="preserve">Celem nowelizacji </w:t>
      </w:r>
      <w:r w:rsidR="00287C26" w:rsidRPr="00E83E8B">
        <w:t xml:space="preserve">ww. </w:t>
      </w:r>
      <w:r w:rsidRPr="00E83E8B">
        <w:t>rozporządzenia jest dostosowanie</w:t>
      </w:r>
      <w:r w:rsidR="00660584" w:rsidRPr="00E83E8B">
        <w:t xml:space="preserve"> jego przepisów d</w:t>
      </w:r>
      <w:r w:rsidR="003B25E6" w:rsidRPr="00E83E8B">
        <w:t>o</w:t>
      </w:r>
      <w:r w:rsidR="00660584" w:rsidRPr="00E83E8B">
        <w:t xml:space="preserve"> wymogów przejrzystości i poprawności danych oraz zapewnienie prawidłowego monitorowania pomocy </w:t>
      </w:r>
      <w:r w:rsidR="00660584" w:rsidRPr="00E83E8B">
        <w:rPr>
          <w:i/>
        </w:rPr>
        <w:t>de minimis</w:t>
      </w:r>
      <w:r w:rsidR="00660584" w:rsidRPr="00E83E8B">
        <w:t xml:space="preserve"> i pomocy publicznej do warunków określonych w:</w:t>
      </w:r>
    </w:p>
    <w:p w14:paraId="2BAE2692" w14:textId="0145A2FF" w:rsidR="00537A23" w:rsidRPr="00E83E8B" w:rsidRDefault="00537A23" w:rsidP="00D279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284" w:hanging="284"/>
      </w:pPr>
      <w:r w:rsidRPr="00E83E8B">
        <w:t>rozporządzeni</w:t>
      </w:r>
      <w:r w:rsidR="00660584" w:rsidRPr="00E83E8B">
        <w:t>u</w:t>
      </w:r>
      <w:r w:rsidRPr="00E83E8B">
        <w:t xml:space="preserve"> Komisji (UE) 2023/2831 z dnia 13 grudnia 2023 r. w sprawie stosowania art. 107 i 108 Traktatu o funkcjonowaniu Unii Europejskiej do pomocy </w:t>
      </w:r>
      <w:r w:rsidRPr="00E22082">
        <w:rPr>
          <w:i/>
        </w:rPr>
        <w:t>de minimis</w:t>
      </w:r>
      <w:r w:rsidRPr="00E83E8B">
        <w:t xml:space="preserve"> (Dz.</w:t>
      </w:r>
      <w:r w:rsidR="00E22082">
        <w:t> </w:t>
      </w:r>
      <w:r w:rsidRPr="00E83E8B">
        <w:t>Urz.</w:t>
      </w:r>
      <w:r w:rsidR="00E22082">
        <w:t> </w:t>
      </w:r>
      <w:r w:rsidRPr="00E83E8B">
        <w:t xml:space="preserve">UE L </w:t>
      </w:r>
      <w:r w:rsidR="00A934A9" w:rsidRPr="00E83E8B">
        <w:t xml:space="preserve">2023/2831 </w:t>
      </w:r>
      <w:r w:rsidRPr="00E83E8B">
        <w:t>z 15.12.2023);</w:t>
      </w:r>
    </w:p>
    <w:p w14:paraId="652B7A42" w14:textId="4F4378C7" w:rsidR="00537A23" w:rsidRPr="00E83E8B" w:rsidRDefault="00537A23" w:rsidP="00D279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284" w:hanging="284"/>
      </w:pPr>
      <w:r w:rsidRPr="00E83E8B">
        <w:t xml:space="preserve">rozporządzeniu Komisji (UE) 2023/2832 z dnia 13 grudnia 2023 r. w sprawie stosowania art. 107 i 108 Traktatu o funkcjonowaniu Unii Europejskiej do pomocy </w:t>
      </w:r>
      <w:r w:rsidRPr="00E22082">
        <w:rPr>
          <w:i/>
        </w:rPr>
        <w:t>de minimis</w:t>
      </w:r>
      <w:r w:rsidRPr="00E83E8B">
        <w:t xml:space="preserve"> przyznawanej przedsiębiorstwom wykonującym usługi świadczone w ogólnym interesie gospodarczym (Dz. Urz. UE L </w:t>
      </w:r>
      <w:r w:rsidR="00A934A9" w:rsidRPr="00E83E8B">
        <w:t xml:space="preserve">2023/2832 </w:t>
      </w:r>
      <w:r w:rsidRPr="00E83E8B">
        <w:t>z 15.12.2023)</w:t>
      </w:r>
      <w:r w:rsidR="007B696D" w:rsidRPr="00E83E8B">
        <w:t>;</w:t>
      </w:r>
    </w:p>
    <w:p w14:paraId="71EBE4FF" w14:textId="2D9F6DF0" w:rsidR="007B696D" w:rsidRPr="00E83E8B" w:rsidRDefault="007B696D" w:rsidP="00D279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284" w:hanging="284"/>
      </w:pPr>
      <w:r w:rsidRPr="00E83E8B">
        <w:t>rozporządzeni</w:t>
      </w:r>
      <w:r w:rsidR="00660584" w:rsidRPr="00E83E8B">
        <w:t>u</w:t>
      </w:r>
      <w:r w:rsidRPr="00E83E8B">
        <w:t xml:space="preserve"> Komisji (UE) 2023/1315 z dnia 23 czerwca 2023 r. zmieniającym rozporządzenie (UE) nr 651/2014 uznające niektóre rodzaje pomocy za zgodne z rynkiem wewnętrznym w zastosowaniu art. 107 i 108 Traktatu oraz rozporządzenie (UE) 2022/2473 uznające niektóre kategorie pomocy udzielanej przedsiębiorstwom prowadzącym działalność w zakresie produkcji, przetwórstwa i wprowadzania do obrotu produktów </w:t>
      </w:r>
      <w:r w:rsidRPr="00E83E8B">
        <w:lastRenderedPageBreak/>
        <w:t>rybołówstwa i akwakultury za zgodne z rynkiem wewnętrznym w zastosowaniu art. 107 i 108 Traktatu (Dz. Urz. UE L 167 z 30.06.2023, str. 1).</w:t>
      </w:r>
    </w:p>
    <w:p w14:paraId="150B7769" w14:textId="1F4AAC32" w:rsidR="007B696D" w:rsidRPr="00E83E8B" w:rsidRDefault="005D433B" w:rsidP="00802717">
      <w:pPr>
        <w:suppressAutoHyphens/>
        <w:autoSpaceDE w:val="0"/>
        <w:autoSpaceDN w:val="0"/>
        <w:adjustRightInd w:val="0"/>
        <w:spacing w:after="120" w:line="360" w:lineRule="auto"/>
        <w:ind w:firstLine="567"/>
      </w:pPr>
      <w:r w:rsidRPr="00E83E8B">
        <w:t>Z dniem 1 stycznia 2024 r. r</w:t>
      </w:r>
      <w:r w:rsidR="00931C22" w:rsidRPr="00E83E8B">
        <w:t xml:space="preserve">ozporządzenie Komisji (UE) 2023/2831 </w:t>
      </w:r>
      <w:r w:rsidR="00660584" w:rsidRPr="00E83E8B">
        <w:t>zastąpił</w:t>
      </w:r>
      <w:r w:rsidR="00931C22" w:rsidRPr="00E83E8B">
        <w:t>o</w:t>
      </w:r>
      <w:r w:rsidR="00660584" w:rsidRPr="00E83E8B">
        <w:t xml:space="preserve"> rozporządzenie Komisji (UE) nr</w:t>
      </w:r>
      <w:r w:rsidR="00694D6B" w:rsidRPr="00E83E8B">
        <w:t> </w:t>
      </w:r>
      <w:r w:rsidR="00660584" w:rsidRPr="00E83E8B">
        <w:t>1407/2013 z dnia 18 grudnia 2013 r. w sprawie stosowania art.</w:t>
      </w:r>
      <w:r w:rsidR="00931C22" w:rsidRPr="00E83E8B">
        <w:t> </w:t>
      </w:r>
      <w:r w:rsidR="00660584" w:rsidRPr="00E83E8B">
        <w:t xml:space="preserve">107 i 108 Traktatu o funkcjonowaniu Unii Europejskiej do pomocy </w:t>
      </w:r>
      <w:r w:rsidR="00660584" w:rsidRPr="00E22082">
        <w:rPr>
          <w:i/>
        </w:rPr>
        <w:t>de minimis</w:t>
      </w:r>
      <w:r w:rsidR="00660584" w:rsidRPr="00E83E8B">
        <w:t xml:space="preserve"> (Dz.</w:t>
      </w:r>
      <w:r w:rsidR="00E22082">
        <w:t> </w:t>
      </w:r>
      <w:r w:rsidR="00660584" w:rsidRPr="00E83E8B">
        <w:t>Urz. UE L</w:t>
      </w:r>
      <w:r w:rsidR="00E22082">
        <w:t> </w:t>
      </w:r>
      <w:r w:rsidR="00660584" w:rsidRPr="00E83E8B">
        <w:t>352 z</w:t>
      </w:r>
      <w:r w:rsidR="00E22082">
        <w:t> </w:t>
      </w:r>
      <w:r w:rsidR="00660584" w:rsidRPr="00E83E8B">
        <w:t>24.12.2013, str.</w:t>
      </w:r>
      <w:r w:rsidR="00E22082">
        <w:t> </w:t>
      </w:r>
      <w:r w:rsidR="00660584" w:rsidRPr="00E83E8B">
        <w:t>1</w:t>
      </w:r>
      <w:r w:rsidR="00931C22" w:rsidRPr="00E83E8B">
        <w:t>, z późn. zm.</w:t>
      </w:r>
      <w:r w:rsidR="00660584" w:rsidRPr="00E83E8B">
        <w:t xml:space="preserve">), </w:t>
      </w:r>
      <w:r w:rsidR="00931C22" w:rsidRPr="00E83E8B">
        <w:t xml:space="preserve">a rozporządzenie Komisji (UE) 2023/2832 </w:t>
      </w:r>
      <w:r w:rsidR="00660584" w:rsidRPr="00E83E8B">
        <w:t>zastąpił</w:t>
      </w:r>
      <w:r w:rsidR="00931C22" w:rsidRPr="00E83E8B">
        <w:t>o</w:t>
      </w:r>
      <w:r w:rsidR="00660584" w:rsidRPr="00E83E8B">
        <w:t xml:space="preserve"> </w:t>
      </w:r>
      <w:bookmarkStart w:id="0" w:name="_Hlk142641277"/>
      <w:r w:rsidR="00660584" w:rsidRPr="00E83E8B">
        <w:t xml:space="preserve">rozporządzenie Komisji (UE) 360/2012 z dnia 25 kwietnia 2012 r. w sprawie stosowania art. 107 i 108 Traktatu o funkcjonowaniu Unii Europejskiej do pomocy </w:t>
      </w:r>
      <w:r w:rsidR="00660584" w:rsidRPr="00E22082">
        <w:rPr>
          <w:i/>
        </w:rPr>
        <w:t>de minimis</w:t>
      </w:r>
      <w:r w:rsidR="00660584" w:rsidRPr="00E83E8B">
        <w:t xml:space="preserve"> przyznawanej przedsiębiorstwom wykonującym usługi świadczone w ogólnym interesie gospodarczym </w:t>
      </w:r>
      <w:bookmarkEnd w:id="0"/>
      <w:r w:rsidR="00660584" w:rsidRPr="00E83E8B">
        <w:t>(Dz. Urz. UE L 114 z 26.</w:t>
      </w:r>
      <w:r w:rsidR="00931C22" w:rsidRPr="00E83E8B">
        <w:t>0</w:t>
      </w:r>
      <w:r w:rsidR="00660584" w:rsidRPr="00E83E8B">
        <w:t>4.2012, str. 8</w:t>
      </w:r>
      <w:r w:rsidR="00931C22" w:rsidRPr="00E83E8B">
        <w:t>, z późn. zm.</w:t>
      </w:r>
      <w:r w:rsidR="00660584" w:rsidRPr="00E83E8B">
        <w:t>).</w:t>
      </w:r>
    </w:p>
    <w:p w14:paraId="17A2BB88" w14:textId="36E321EF" w:rsidR="00660584" w:rsidRPr="001B10F4" w:rsidRDefault="00660584" w:rsidP="00802717">
      <w:pPr>
        <w:suppressAutoHyphens/>
        <w:autoSpaceDE w:val="0"/>
        <w:autoSpaceDN w:val="0"/>
        <w:adjustRightInd w:val="0"/>
        <w:spacing w:after="120" w:line="360" w:lineRule="auto"/>
        <w:ind w:firstLine="567"/>
        <w:rPr>
          <w:i/>
        </w:rPr>
      </w:pPr>
      <w:r w:rsidRPr="00E83E8B">
        <w:t>Zgodnie z rozporządzeni</w:t>
      </w:r>
      <w:r w:rsidR="00B4664E" w:rsidRPr="00E83E8B">
        <w:t>ami</w:t>
      </w:r>
      <w:r w:rsidRPr="00E83E8B">
        <w:t xml:space="preserve"> Komisji </w:t>
      </w:r>
      <w:r w:rsidR="00931C22" w:rsidRPr="00E83E8B">
        <w:t>(UE) 2023/2831 i 2023/2832</w:t>
      </w:r>
      <w:r w:rsidR="00B4664E" w:rsidRPr="00E83E8B">
        <w:t xml:space="preserve">, </w:t>
      </w:r>
      <w:r w:rsidR="001B10F4">
        <w:t>od 1</w:t>
      </w:r>
      <w:r w:rsidR="001B10F4">
        <w:t> </w:t>
      </w:r>
      <w:r w:rsidR="001B10F4">
        <w:t>stycznia 2026</w:t>
      </w:r>
      <w:r w:rsidR="001B10F4">
        <w:t> </w:t>
      </w:r>
      <w:r w:rsidR="001B10F4">
        <w:t xml:space="preserve">roku </w:t>
      </w:r>
      <w:r w:rsidRPr="00E83E8B">
        <w:t xml:space="preserve">państwa członkowskie </w:t>
      </w:r>
      <w:r w:rsidR="001B10F4">
        <w:t xml:space="preserve">będą zobowiązane do </w:t>
      </w:r>
      <w:r w:rsidRPr="00E83E8B">
        <w:t xml:space="preserve">przechowywania w centralnym rejestrze informacji dotyczących pomocy </w:t>
      </w:r>
      <w:r w:rsidRPr="00E83E8B">
        <w:rPr>
          <w:i/>
        </w:rPr>
        <w:t>de</w:t>
      </w:r>
      <w:r w:rsidR="00B4664E" w:rsidRPr="00E83E8B">
        <w:rPr>
          <w:i/>
        </w:rPr>
        <w:t> </w:t>
      </w:r>
      <w:r w:rsidRPr="00E83E8B">
        <w:rPr>
          <w:i/>
        </w:rPr>
        <w:t xml:space="preserve">minimis </w:t>
      </w:r>
      <w:r w:rsidRPr="00E83E8B">
        <w:t>przez okres 10 lat</w:t>
      </w:r>
      <w:r w:rsidR="0037664E" w:rsidRPr="00E83E8B">
        <w:t xml:space="preserve"> od daty przyznania tej pomocy</w:t>
      </w:r>
      <w:r w:rsidRPr="00E83E8B">
        <w:t xml:space="preserve">, co prowadzi do konieczności </w:t>
      </w:r>
      <w:r w:rsidR="00694D6B" w:rsidRPr="00E83E8B">
        <w:t>uchylenia</w:t>
      </w:r>
      <w:r w:rsidR="0037664E" w:rsidRPr="00E83E8B">
        <w:t xml:space="preserve"> </w:t>
      </w:r>
      <w:r w:rsidRPr="00E83E8B">
        <w:t>§</w:t>
      </w:r>
      <w:r w:rsidR="00B4664E" w:rsidRPr="00E83E8B">
        <w:t> </w:t>
      </w:r>
      <w:r w:rsidRPr="00E83E8B">
        <w:t>8a</w:t>
      </w:r>
      <w:r w:rsidR="00B4664E" w:rsidRPr="00E83E8B">
        <w:t> </w:t>
      </w:r>
      <w:r w:rsidRPr="00E83E8B">
        <w:t>ust.</w:t>
      </w:r>
      <w:r w:rsidR="00B4664E" w:rsidRPr="00E83E8B">
        <w:t> </w:t>
      </w:r>
      <w:r w:rsidRPr="00E83E8B">
        <w:t>6</w:t>
      </w:r>
      <w:r w:rsidR="0037664E" w:rsidRPr="00E83E8B">
        <w:t xml:space="preserve"> nowelizowanego rozporządzenia</w:t>
      </w:r>
      <w:r w:rsidR="00295C97" w:rsidRPr="00E83E8B">
        <w:t xml:space="preserve"> (§ 1 pkt 1 projektu)</w:t>
      </w:r>
      <w:r w:rsidR="00C15AE5">
        <w:t>.</w:t>
      </w:r>
      <w:r w:rsidRPr="00E83E8B">
        <w:t xml:space="preserve"> </w:t>
      </w:r>
      <w:r w:rsidR="00C15AE5">
        <w:t xml:space="preserve">Przepis ten </w:t>
      </w:r>
      <w:r w:rsidRPr="00E83E8B">
        <w:t xml:space="preserve">nakłada </w:t>
      </w:r>
      <w:r w:rsidR="00C15AE5">
        <w:t xml:space="preserve">na podmioty udzielające pomocy </w:t>
      </w:r>
      <w:r w:rsidRPr="00E83E8B">
        <w:t>obowiązek aktualizacji sprawozdania w terminie 7 dni od dnia uzyskania informacji o zmianie, w</w:t>
      </w:r>
      <w:r w:rsidR="001B10F4">
        <w:t> </w:t>
      </w:r>
      <w:r w:rsidRPr="00E83E8B">
        <w:t xml:space="preserve">przypadku </w:t>
      </w:r>
      <w:r w:rsidR="00C15AE5">
        <w:t xml:space="preserve">gdy </w:t>
      </w:r>
      <w:r w:rsidRPr="00E83E8B">
        <w:t>zmian</w:t>
      </w:r>
      <w:r w:rsidR="00C15AE5">
        <w:t>a ta dotyczy</w:t>
      </w:r>
      <w:r w:rsidRPr="00E83E8B">
        <w:t xml:space="preserve"> wartości udzielonej pomocy </w:t>
      </w:r>
      <w:r w:rsidRPr="00E83E8B">
        <w:rPr>
          <w:i/>
        </w:rPr>
        <w:t xml:space="preserve">de minimis </w:t>
      </w:r>
      <w:r w:rsidRPr="00E83E8B">
        <w:t>w tym samym roku, w którym podmiot udzielający pomocy uzyskał informację o zmianie, lub w ciągu 2</w:t>
      </w:r>
      <w:r w:rsidR="001B10F4">
        <w:t> </w:t>
      </w:r>
      <w:r w:rsidRPr="00E83E8B">
        <w:t xml:space="preserve">poprzedzających go lat. </w:t>
      </w:r>
      <w:r w:rsidRPr="00E83E8B">
        <w:t xml:space="preserve">W celu zapewnienia przejrzystości i poprawności danych oraz należytego </w:t>
      </w:r>
      <w:r w:rsidRPr="00E83E8B">
        <w:t>spełniania obowiązków nałożonych ww. rozporządzeni</w:t>
      </w:r>
      <w:r w:rsidR="0037664E" w:rsidRPr="00E83E8B">
        <w:t>ami</w:t>
      </w:r>
      <w:r w:rsidRPr="00E83E8B">
        <w:t xml:space="preserve"> Komisji, podmioty udzielające pomocy </w:t>
      </w:r>
      <w:r w:rsidR="0037664E" w:rsidRPr="00E83E8B">
        <w:rPr>
          <w:i/>
        </w:rPr>
        <w:t xml:space="preserve">de minimis </w:t>
      </w:r>
      <w:r w:rsidRPr="00E83E8B">
        <w:t>powinny, podobnie jak w przypadku pomocy publicznej, zapewniać poprawność i zgodność ze stanem faktycznym danych w sposób ciągły</w:t>
      </w:r>
      <w:r w:rsidR="00694D6B" w:rsidRPr="00E83E8B">
        <w:t xml:space="preserve">, przez cały okres ich przechowywania i udostępniania w centralnym rejestrze. </w:t>
      </w:r>
      <w:r w:rsidR="001B10F4">
        <w:t xml:space="preserve">Do zmniejszenia wartości udzielonej pomocy de minimis dochodzi najczęściej w pierwszych latach po jej udzieleniu, z tego względu zasadne jest bieżące korygowanie sprawozdań tym bardziej, że już obecnie są one widoczne w ogólnodostępnym Systemie Udostępniania Danych o Pomocy Publicznej SUDOP, który w przyszłości najprawdopodobniej zostanie polskim centralnym rejestrem </w:t>
      </w:r>
      <w:r w:rsidR="001B10F4">
        <w:t xml:space="preserve">pomocy </w:t>
      </w:r>
      <w:r w:rsidR="001B10F4" w:rsidRPr="001B10F4">
        <w:rPr>
          <w:i/>
        </w:rPr>
        <w:t>de minimis</w:t>
      </w:r>
      <w:r w:rsidR="001B10F4">
        <w:rPr>
          <w:i/>
        </w:rPr>
        <w:t xml:space="preserve">, </w:t>
      </w:r>
      <w:r w:rsidR="001B10F4">
        <w:t>z zatem powinien zawierać aktualne dane</w:t>
      </w:r>
      <w:r w:rsidR="001B10F4">
        <w:rPr>
          <w:i/>
        </w:rPr>
        <w:t>.</w:t>
      </w:r>
    </w:p>
    <w:p w14:paraId="3445C789" w14:textId="59BBB10E" w:rsidR="00B4664E" w:rsidRPr="00DD6E81" w:rsidRDefault="00295C97" w:rsidP="00802717">
      <w:pPr>
        <w:suppressAutoHyphens/>
        <w:autoSpaceDE w:val="0"/>
        <w:autoSpaceDN w:val="0"/>
        <w:adjustRightInd w:val="0"/>
        <w:spacing w:after="120" w:line="360" w:lineRule="auto"/>
        <w:ind w:firstLine="567"/>
      </w:pPr>
      <w:r w:rsidRPr="00E83E8B">
        <w:t xml:space="preserve">Z kolei, </w:t>
      </w:r>
      <w:r w:rsidR="009E771C" w:rsidRPr="00E83E8B">
        <w:t>w § 1 pkt 2 projektu przewiduje się zmianę brzmienia części załącznika nr 1 do</w:t>
      </w:r>
      <w:r w:rsidR="00DD6E81">
        <w:t> </w:t>
      </w:r>
      <w:r w:rsidR="009E771C" w:rsidRPr="00E83E8B">
        <w:t>rozporządzenia (</w:t>
      </w:r>
      <w:r w:rsidR="006E7B66" w:rsidRPr="00E83E8B">
        <w:t xml:space="preserve">tj. </w:t>
      </w:r>
      <w:r w:rsidRPr="00E83E8B">
        <w:t>części Kol. 12</w:t>
      </w:r>
      <w:r w:rsidR="004D5972">
        <w:t xml:space="preserve"> </w:t>
      </w:r>
      <w:r w:rsidRPr="00E83E8B">
        <w:t>– Przeznaczenie pomocy: należy podać właściwy kod wskazujący przeznaczenie pomocy</w:t>
      </w:r>
      <w:r w:rsidR="009E771C" w:rsidRPr="00E83E8B">
        <w:t>)</w:t>
      </w:r>
      <w:r w:rsidR="006E7B66" w:rsidRPr="00E83E8B">
        <w:t xml:space="preserve">, która </w:t>
      </w:r>
      <w:r w:rsidRPr="00E83E8B">
        <w:t xml:space="preserve">polega na </w:t>
      </w:r>
      <w:r w:rsidR="00B4664E" w:rsidRPr="00E83E8B">
        <w:t>zmian</w:t>
      </w:r>
      <w:r w:rsidRPr="00E83E8B">
        <w:t>ie</w:t>
      </w:r>
      <w:r w:rsidR="00B4664E" w:rsidRPr="00E83E8B">
        <w:t xml:space="preserve"> treści dwóch tabel </w:t>
      </w:r>
      <w:r w:rsidRPr="00E83E8B">
        <w:t xml:space="preserve">przez </w:t>
      </w:r>
      <w:r w:rsidR="00B4664E" w:rsidRPr="00E83E8B">
        <w:t>wprowadzeni</w:t>
      </w:r>
      <w:r w:rsidRPr="00E83E8B">
        <w:t>e</w:t>
      </w:r>
      <w:r w:rsidR="00B4664E" w:rsidRPr="00E83E8B">
        <w:t xml:space="preserve"> nowych kodów przeznaczeń pomocy </w:t>
      </w:r>
      <w:r w:rsidR="00B4664E" w:rsidRPr="00E83E8B">
        <w:rPr>
          <w:i/>
        </w:rPr>
        <w:t>de minimis</w:t>
      </w:r>
      <w:r w:rsidRPr="00E83E8B">
        <w:t xml:space="preserve"> oraz</w:t>
      </w:r>
      <w:r w:rsidR="00B4664E" w:rsidRPr="00E83E8B">
        <w:t xml:space="preserve"> </w:t>
      </w:r>
      <w:r w:rsidRPr="00E83E8B">
        <w:t xml:space="preserve">modyfikacji niektórych </w:t>
      </w:r>
      <w:r w:rsidR="00B4664E" w:rsidRPr="00E83E8B">
        <w:t>dotychczas</w:t>
      </w:r>
      <w:r w:rsidRPr="00E83E8B">
        <w:t>owych</w:t>
      </w:r>
      <w:r w:rsidR="00B4664E" w:rsidRPr="00E83E8B">
        <w:t xml:space="preserve"> kod</w:t>
      </w:r>
      <w:r w:rsidRPr="00E83E8B">
        <w:t>ów</w:t>
      </w:r>
      <w:r w:rsidR="006E7B66" w:rsidRPr="00E83E8B">
        <w:t>. Zaproponowane zmiany pozwolą</w:t>
      </w:r>
      <w:r w:rsidRPr="00E83E8B">
        <w:t xml:space="preserve"> na</w:t>
      </w:r>
      <w:r w:rsidR="00B4664E" w:rsidRPr="00E83E8B">
        <w:t xml:space="preserve"> rozróżni</w:t>
      </w:r>
      <w:r w:rsidRPr="00E83E8B">
        <w:t>enie</w:t>
      </w:r>
      <w:r w:rsidR="00B4664E" w:rsidRPr="00E83E8B">
        <w:t xml:space="preserve"> przypadk</w:t>
      </w:r>
      <w:r w:rsidRPr="00E83E8B">
        <w:t>ów</w:t>
      </w:r>
      <w:r w:rsidR="00B4664E" w:rsidRPr="00E83E8B">
        <w:t xml:space="preserve"> </w:t>
      </w:r>
      <w:r w:rsidR="00B4664E" w:rsidRPr="00E83E8B">
        <w:lastRenderedPageBreak/>
        <w:t>pomocy przyznawanej zgodnie z rozporządzeniami</w:t>
      </w:r>
      <w:r w:rsidRPr="00E83E8B">
        <w:t xml:space="preserve"> Komisji</w:t>
      </w:r>
      <w:r w:rsidR="00B4664E" w:rsidRPr="00E83E8B">
        <w:t xml:space="preserve"> obowiązującymi do </w:t>
      </w:r>
      <w:r w:rsidRPr="00E83E8B">
        <w:t xml:space="preserve">dnia </w:t>
      </w:r>
      <w:r w:rsidR="00B4664E" w:rsidRPr="00E83E8B">
        <w:t>31</w:t>
      </w:r>
      <w:r w:rsidR="006E7B66" w:rsidRPr="00E83E8B">
        <w:t> </w:t>
      </w:r>
      <w:r w:rsidR="00B4664E" w:rsidRPr="00E83E8B">
        <w:t xml:space="preserve">grudnia 2023 r. oraz </w:t>
      </w:r>
      <w:r w:rsidR="00694D6B" w:rsidRPr="00E83E8B">
        <w:t xml:space="preserve">pomocy </w:t>
      </w:r>
      <w:r w:rsidR="00694D6B" w:rsidRPr="00E83E8B">
        <w:rPr>
          <w:i/>
        </w:rPr>
        <w:t>de minimis</w:t>
      </w:r>
      <w:r w:rsidR="00694D6B" w:rsidRPr="00E83E8B">
        <w:t xml:space="preserve"> udzielanej zgodnie z nowymi rozporządzeniami</w:t>
      </w:r>
      <w:r w:rsidRPr="00E83E8B">
        <w:t xml:space="preserve"> Komisji </w:t>
      </w:r>
      <w:r w:rsidR="00694D6B" w:rsidRPr="00E83E8B">
        <w:t xml:space="preserve">obowiązującymi </w:t>
      </w:r>
      <w:r w:rsidR="00B4664E" w:rsidRPr="00E83E8B">
        <w:t>od</w:t>
      </w:r>
      <w:r w:rsidR="00694D6B" w:rsidRPr="00E83E8B">
        <w:t> </w:t>
      </w:r>
      <w:r w:rsidRPr="00E83E8B">
        <w:t xml:space="preserve">dnia </w:t>
      </w:r>
      <w:r w:rsidR="00B4664E" w:rsidRPr="00E83E8B">
        <w:t>1</w:t>
      </w:r>
      <w:r w:rsidR="00694D6B" w:rsidRPr="00E83E8B">
        <w:t> </w:t>
      </w:r>
      <w:r w:rsidR="00B4664E" w:rsidRPr="00E83E8B">
        <w:t>stycznia 2024</w:t>
      </w:r>
      <w:r w:rsidR="00694D6B" w:rsidRPr="00E83E8B">
        <w:t> </w:t>
      </w:r>
      <w:r w:rsidR="00B4664E" w:rsidRPr="00E83E8B">
        <w:t>r. Zmiany dotyczące nowych kodów przeznaczeń oraz modyfikacji dotychczas obowiązujących wynikają również ze zmian w tym zakresie wprowadzonych w 2023 r</w:t>
      </w:r>
      <w:r w:rsidR="00B14A61">
        <w:t>.</w:t>
      </w:r>
      <w:r w:rsidR="00B4664E" w:rsidRPr="00E83E8B">
        <w:t xml:space="preserve"> </w:t>
      </w:r>
      <w:r w:rsidR="00B14A61">
        <w:t xml:space="preserve">przez </w:t>
      </w:r>
      <w:r w:rsidR="00B4664E" w:rsidRPr="00E83E8B">
        <w:t xml:space="preserve">rozporządzenie Komisji </w:t>
      </w:r>
      <w:r w:rsidR="00AE7759" w:rsidRPr="00E83E8B">
        <w:t>(UE) 2023/1315</w:t>
      </w:r>
      <w:r w:rsidR="00DD6E81">
        <w:t xml:space="preserve">. Aktualizacja nazw przeznaczeń pomocy oraz dodanie nowych przeznaczeń jest niezbędne do prawidłowego zgłaszania i raportowania pomocy publicznej zgłaszanej Komisji Europejskiej </w:t>
      </w:r>
      <w:r w:rsidR="00DD6E81" w:rsidRPr="00DD6E81">
        <w:t>zgodnie z warunkami określonymi w rozporządzeniu Komisji (UE) nr 651/2014 z</w:t>
      </w:r>
      <w:r w:rsidR="00DD6E81">
        <w:t> </w:t>
      </w:r>
      <w:r w:rsidR="00DD6E81" w:rsidRPr="00DD6E81">
        <w:t>dnia 17</w:t>
      </w:r>
      <w:r w:rsidR="00DD6E81">
        <w:t> </w:t>
      </w:r>
      <w:r w:rsidR="00DD6E81" w:rsidRPr="00DD6E81">
        <w:t>czerwca 2014 r. uznającego niektóre rodzaje pomocy za zgodne z rynkiem wewnętrznym w</w:t>
      </w:r>
      <w:r w:rsidR="00DD6E81">
        <w:t> </w:t>
      </w:r>
      <w:r w:rsidR="00DD6E81" w:rsidRPr="00DD6E81">
        <w:t>zastosowaniu art. 107 i 108 Traktatu</w:t>
      </w:r>
      <w:r w:rsidR="00DD6E81">
        <w:t>.</w:t>
      </w:r>
    </w:p>
    <w:p w14:paraId="353C7B1C" w14:textId="76BB189C" w:rsidR="00E936C0" w:rsidRPr="00E83E8B" w:rsidRDefault="00BD0508" w:rsidP="00802717">
      <w:pPr>
        <w:pStyle w:val="ARTartustawynprozporzdzenia"/>
        <w:spacing w:after="120"/>
        <w:ind w:firstLine="567"/>
        <w:rPr>
          <w:rFonts w:ascii="Times New Roman" w:hAnsi="Times New Roman" w:cs="Times New Roman"/>
          <w:szCs w:val="24"/>
        </w:rPr>
      </w:pPr>
      <w:r w:rsidRPr="00E83E8B">
        <w:rPr>
          <w:rFonts w:ascii="Times New Roman" w:hAnsi="Times New Roman" w:cs="Times New Roman"/>
          <w:szCs w:val="24"/>
        </w:rPr>
        <w:t xml:space="preserve">W § 2 </w:t>
      </w:r>
      <w:r w:rsidR="007E5974" w:rsidRPr="00E83E8B">
        <w:rPr>
          <w:rFonts w:ascii="Times New Roman" w:hAnsi="Times New Roman" w:cs="Times New Roman"/>
          <w:szCs w:val="24"/>
        </w:rPr>
        <w:t>projektu</w:t>
      </w:r>
      <w:r w:rsidRPr="00E83E8B">
        <w:rPr>
          <w:rFonts w:ascii="Times New Roman" w:hAnsi="Times New Roman" w:cs="Times New Roman"/>
          <w:szCs w:val="24"/>
        </w:rPr>
        <w:t xml:space="preserve"> </w:t>
      </w:r>
      <w:r w:rsidRPr="00E83E8B">
        <w:rPr>
          <w:rFonts w:ascii="Times New Roman" w:hAnsi="Times New Roman" w:cs="Times New Roman"/>
          <w:szCs w:val="24"/>
        </w:rPr>
        <w:t xml:space="preserve">ujęto przepis przejściowy, zgodnie z którym do </w:t>
      </w:r>
      <w:r w:rsidR="00E936C0" w:rsidRPr="00E83E8B">
        <w:rPr>
          <w:rFonts w:ascii="Times New Roman" w:hAnsi="Times New Roman" w:cs="Times New Roman"/>
          <w:szCs w:val="24"/>
        </w:rPr>
        <w:t xml:space="preserve">sprawozdań nieprzekazanych przed dniem wejścia w życie rozporządzenia zmieniającego stosuje się nowe przepisy </w:t>
      </w:r>
      <w:r w:rsidR="00E936C0" w:rsidRPr="00E83E8B">
        <w:rPr>
          <w:rFonts w:ascii="Times New Roman" w:hAnsi="Times New Roman" w:cs="Times New Roman"/>
          <w:szCs w:val="24"/>
        </w:rPr>
        <w:t>dot</w:t>
      </w:r>
      <w:r w:rsidR="00AE7759" w:rsidRPr="00E83E8B">
        <w:rPr>
          <w:rFonts w:ascii="Times New Roman" w:hAnsi="Times New Roman" w:cs="Times New Roman"/>
          <w:szCs w:val="24"/>
        </w:rPr>
        <w:t>yczące</w:t>
      </w:r>
      <w:r w:rsidR="00E936C0" w:rsidRPr="00E83E8B">
        <w:rPr>
          <w:rFonts w:ascii="Times New Roman" w:hAnsi="Times New Roman" w:cs="Times New Roman"/>
          <w:szCs w:val="24"/>
        </w:rPr>
        <w:t xml:space="preserve"> sprawozdawczości</w:t>
      </w:r>
      <w:r w:rsidR="00E936C0" w:rsidRPr="00E83E8B">
        <w:rPr>
          <w:rFonts w:ascii="Times New Roman" w:hAnsi="Times New Roman" w:cs="Times New Roman"/>
          <w:szCs w:val="24"/>
        </w:rPr>
        <w:t>. Sporządzenie i przesłanie sprawozdania poprzez aplikację SHRIMP pozostaje bez wpływu na możliwość udzielenia pomocy, jest wtórne w</w:t>
      </w:r>
      <w:r w:rsidR="004D5972">
        <w:rPr>
          <w:rFonts w:ascii="Times New Roman" w:hAnsi="Times New Roman" w:cs="Times New Roman"/>
          <w:szCs w:val="24"/>
        </w:rPr>
        <w:t> </w:t>
      </w:r>
      <w:r w:rsidR="00E936C0" w:rsidRPr="00E83E8B">
        <w:rPr>
          <w:rFonts w:ascii="Times New Roman" w:hAnsi="Times New Roman" w:cs="Times New Roman"/>
          <w:szCs w:val="24"/>
        </w:rPr>
        <w:t>stosunku do czynności przeprowadzanych podczas udzielania pomocy przez podmioty do</w:t>
      </w:r>
      <w:r w:rsidR="004D5972">
        <w:rPr>
          <w:rFonts w:ascii="Times New Roman" w:hAnsi="Times New Roman" w:cs="Times New Roman"/>
          <w:szCs w:val="24"/>
        </w:rPr>
        <w:t> </w:t>
      </w:r>
      <w:r w:rsidR="00E936C0" w:rsidRPr="00E83E8B">
        <w:rPr>
          <w:rFonts w:ascii="Times New Roman" w:hAnsi="Times New Roman" w:cs="Times New Roman"/>
          <w:szCs w:val="24"/>
        </w:rPr>
        <w:t xml:space="preserve">tego uprawnione. </w:t>
      </w:r>
      <w:r w:rsidR="005129D5">
        <w:rPr>
          <w:rFonts w:ascii="Times New Roman" w:hAnsi="Times New Roman" w:cs="Times New Roman"/>
          <w:szCs w:val="24"/>
        </w:rPr>
        <w:t>System informatyczny SHRIMP zostanie dostosowany do nowych i</w:t>
      </w:r>
      <w:r w:rsidR="005129D5">
        <w:rPr>
          <w:rFonts w:ascii="Times New Roman" w:hAnsi="Times New Roman" w:cs="Times New Roman"/>
          <w:szCs w:val="24"/>
        </w:rPr>
        <w:t> </w:t>
      </w:r>
      <w:r w:rsidR="005129D5">
        <w:rPr>
          <w:rFonts w:ascii="Times New Roman" w:hAnsi="Times New Roman" w:cs="Times New Roman"/>
          <w:szCs w:val="24"/>
        </w:rPr>
        <w:t>zmodyfikowanych kodów, dzięki czemu podmioty udzielające pomocy będę mogły przesłać sprawozdanie zgodnie ze zmienionymi</w:t>
      </w:r>
      <w:r w:rsidR="005129D5">
        <w:rPr>
          <w:rFonts w:ascii="Times New Roman" w:hAnsi="Times New Roman" w:cs="Times New Roman"/>
          <w:szCs w:val="24"/>
        </w:rPr>
        <w:t xml:space="preserve"> kodami począwszy od</w:t>
      </w:r>
      <w:r w:rsidR="005129D5">
        <w:rPr>
          <w:rFonts w:ascii="Times New Roman" w:hAnsi="Times New Roman" w:cs="Times New Roman"/>
          <w:szCs w:val="24"/>
        </w:rPr>
        <w:t xml:space="preserve"> dni</w:t>
      </w:r>
      <w:r w:rsidR="005129D5">
        <w:rPr>
          <w:rFonts w:ascii="Times New Roman" w:hAnsi="Times New Roman" w:cs="Times New Roman"/>
          <w:szCs w:val="24"/>
        </w:rPr>
        <w:t>a</w:t>
      </w:r>
      <w:r w:rsidR="005129D5">
        <w:rPr>
          <w:rFonts w:ascii="Times New Roman" w:hAnsi="Times New Roman" w:cs="Times New Roman"/>
          <w:szCs w:val="24"/>
        </w:rPr>
        <w:t xml:space="preserve"> wejścia w</w:t>
      </w:r>
      <w:r w:rsidR="005129D5">
        <w:rPr>
          <w:rFonts w:ascii="Times New Roman" w:hAnsi="Times New Roman" w:cs="Times New Roman"/>
          <w:szCs w:val="24"/>
        </w:rPr>
        <w:t> </w:t>
      </w:r>
      <w:r w:rsidR="005129D5">
        <w:rPr>
          <w:rFonts w:ascii="Times New Roman" w:hAnsi="Times New Roman" w:cs="Times New Roman"/>
          <w:szCs w:val="24"/>
        </w:rPr>
        <w:t>życie projektowanej nowelizacji</w:t>
      </w:r>
      <w:r w:rsidR="005129D5">
        <w:rPr>
          <w:rFonts w:ascii="Times New Roman" w:hAnsi="Times New Roman" w:cs="Times New Roman"/>
          <w:szCs w:val="24"/>
        </w:rPr>
        <w:t>.</w:t>
      </w:r>
      <w:r w:rsidR="005129D5">
        <w:rPr>
          <w:rFonts w:ascii="Times New Roman" w:hAnsi="Times New Roman" w:cs="Times New Roman"/>
          <w:szCs w:val="24"/>
        </w:rPr>
        <w:t xml:space="preserve"> </w:t>
      </w:r>
      <w:r w:rsidR="00E936C0" w:rsidRPr="00E83E8B">
        <w:rPr>
          <w:rFonts w:ascii="Times New Roman" w:hAnsi="Times New Roman" w:cs="Times New Roman"/>
          <w:szCs w:val="24"/>
        </w:rPr>
        <w:t>Jednocześnie, wprowadzane zmiany poprawią przejrzystość danych i</w:t>
      </w:r>
      <w:r w:rsidR="004D5972">
        <w:rPr>
          <w:rFonts w:ascii="Times New Roman" w:hAnsi="Times New Roman" w:cs="Times New Roman"/>
          <w:szCs w:val="24"/>
        </w:rPr>
        <w:t> </w:t>
      </w:r>
      <w:r w:rsidR="00E936C0" w:rsidRPr="00E83E8B">
        <w:rPr>
          <w:rFonts w:ascii="Times New Roman" w:hAnsi="Times New Roman" w:cs="Times New Roman"/>
          <w:szCs w:val="24"/>
        </w:rPr>
        <w:t>umożliwią prawidłowe monitorowanie pomocy publicznej udzielanej w Polsce</w:t>
      </w:r>
      <w:r w:rsidR="00AE7759" w:rsidRPr="00E83E8B">
        <w:rPr>
          <w:rFonts w:ascii="Times New Roman" w:hAnsi="Times New Roman" w:cs="Times New Roman"/>
          <w:szCs w:val="24"/>
        </w:rPr>
        <w:t>.</w:t>
      </w:r>
    </w:p>
    <w:p w14:paraId="0DF1BBA2" w14:textId="4132A39E" w:rsidR="000C3BC9" w:rsidRPr="00E83E8B" w:rsidRDefault="001F722A" w:rsidP="00587138">
      <w:pPr>
        <w:pStyle w:val="ARTartustawynprozporzdzenia"/>
        <w:spacing w:after="120"/>
        <w:ind w:firstLine="567"/>
        <w:rPr>
          <w:rFonts w:ascii="Times New Roman" w:hAnsi="Times New Roman" w:cs="Times New Roman"/>
          <w:szCs w:val="24"/>
        </w:rPr>
      </w:pPr>
      <w:r w:rsidRPr="00E83E8B">
        <w:rPr>
          <w:rFonts w:ascii="Times New Roman" w:hAnsi="Times New Roman" w:cs="Times New Roman"/>
          <w:szCs w:val="24"/>
        </w:rPr>
        <w:t xml:space="preserve">W § 3 </w:t>
      </w:r>
      <w:r w:rsidR="007E5974" w:rsidRPr="00E83E8B">
        <w:rPr>
          <w:rFonts w:ascii="Times New Roman" w:hAnsi="Times New Roman" w:cs="Times New Roman"/>
          <w:szCs w:val="24"/>
        </w:rPr>
        <w:t xml:space="preserve">projektu </w:t>
      </w:r>
      <w:r w:rsidRPr="00E83E8B">
        <w:rPr>
          <w:rFonts w:ascii="Times New Roman" w:hAnsi="Times New Roman" w:cs="Times New Roman"/>
          <w:szCs w:val="24"/>
        </w:rPr>
        <w:t>określono termin jego wejścia w życie</w:t>
      </w:r>
      <w:r w:rsidR="00180AC7" w:rsidRPr="00E83E8B">
        <w:rPr>
          <w:rFonts w:ascii="Times New Roman" w:hAnsi="Times New Roman" w:cs="Times New Roman"/>
          <w:szCs w:val="24"/>
        </w:rPr>
        <w:t xml:space="preserve"> </w:t>
      </w:r>
      <w:r w:rsidR="00F45EFD" w:rsidRPr="00E83E8B">
        <w:rPr>
          <w:rFonts w:ascii="Times New Roman" w:hAnsi="Times New Roman" w:cs="Times New Roman"/>
          <w:szCs w:val="24"/>
        </w:rPr>
        <w:t>z dniem następującym po dniu ogłoszenia</w:t>
      </w:r>
      <w:r w:rsidRPr="00E83E8B">
        <w:rPr>
          <w:rFonts w:ascii="Times New Roman" w:hAnsi="Times New Roman" w:cs="Times New Roman"/>
          <w:szCs w:val="24"/>
        </w:rPr>
        <w:t xml:space="preserve">. </w:t>
      </w:r>
      <w:r w:rsidR="00F45EFD" w:rsidRPr="00E83E8B">
        <w:rPr>
          <w:rFonts w:ascii="Times New Roman" w:hAnsi="Times New Roman" w:cs="Times New Roman"/>
          <w:szCs w:val="24"/>
        </w:rPr>
        <w:t xml:space="preserve">Rezygnacja z 14-dniowego okresu </w:t>
      </w:r>
      <w:r w:rsidR="00F45EFD" w:rsidRPr="005129D5">
        <w:rPr>
          <w:rFonts w:ascii="Times New Roman" w:hAnsi="Times New Roman" w:cs="Times New Roman"/>
          <w:i/>
          <w:szCs w:val="24"/>
        </w:rPr>
        <w:t>vacatio legis</w:t>
      </w:r>
      <w:r w:rsidR="00F45EFD" w:rsidRPr="00E83E8B">
        <w:rPr>
          <w:rFonts w:ascii="Times New Roman" w:hAnsi="Times New Roman" w:cs="Times New Roman"/>
          <w:szCs w:val="24"/>
        </w:rPr>
        <w:t xml:space="preserve"> nie wpły</w:t>
      </w:r>
      <w:r w:rsidR="007E5974" w:rsidRPr="00E83E8B">
        <w:rPr>
          <w:rFonts w:ascii="Times New Roman" w:hAnsi="Times New Roman" w:cs="Times New Roman"/>
          <w:szCs w:val="24"/>
        </w:rPr>
        <w:t>nie</w:t>
      </w:r>
      <w:r w:rsidR="00F45EFD" w:rsidRPr="00E83E8B">
        <w:rPr>
          <w:rFonts w:ascii="Times New Roman" w:hAnsi="Times New Roman" w:cs="Times New Roman"/>
          <w:szCs w:val="24"/>
        </w:rPr>
        <w:t xml:space="preserve"> negatywnie na</w:t>
      </w:r>
      <w:r w:rsidR="00DD6E81">
        <w:rPr>
          <w:rFonts w:ascii="Times New Roman" w:hAnsi="Times New Roman" w:cs="Times New Roman"/>
          <w:szCs w:val="24"/>
        </w:rPr>
        <w:t> </w:t>
      </w:r>
      <w:r w:rsidR="00F45EFD" w:rsidRPr="00E83E8B">
        <w:rPr>
          <w:rFonts w:ascii="Times New Roman" w:hAnsi="Times New Roman" w:cs="Times New Roman"/>
          <w:szCs w:val="24"/>
        </w:rPr>
        <w:t xml:space="preserve">podmioty ubiegające się o pomoc </w:t>
      </w:r>
      <w:r w:rsidR="006963CE" w:rsidRPr="00E83E8B">
        <w:rPr>
          <w:rFonts w:ascii="Times New Roman" w:hAnsi="Times New Roman" w:cs="Times New Roman"/>
          <w:szCs w:val="24"/>
        </w:rPr>
        <w:t>ani na podmioty jej udzielające</w:t>
      </w:r>
      <w:r w:rsidR="001D42B4" w:rsidRPr="00E83E8B">
        <w:rPr>
          <w:rFonts w:ascii="Times New Roman" w:hAnsi="Times New Roman" w:cs="Times New Roman"/>
          <w:szCs w:val="24"/>
        </w:rPr>
        <w:t>, a</w:t>
      </w:r>
      <w:r w:rsidR="00F45EFD" w:rsidRPr="00E83E8B">
        <w:rPr>
          <w:rFonts w:ascii="Times New Roman" w:hAnsi="Times New Roman" w:cs="Times New Roman"/>
          <w:szCs w:val="24"/>
        </w:rPr>
        <w:t xml:space="preserve"> </w:t>
      </w:r>
      <w:r w:rsidR="001D42B4" w:rsidRPr="00E83E8B">
        <w:rPr>
          <w:rFonts w:ascii="Times New Roman" w:hAnsi="Times New Roman" w:cs="Times New Roman"/>
          <w:szCs w:val="24"/>
        </w:rPr>
        <w:t>j</w:t>
      </w:r>
      <w:r w:rsidR="006963CE" w:rsidRPr="00E83E8B">
        <w:rPr>
          <w:rFonts w:ascii="Times New Roman" w:hAnsi="Times New Roman" w:cs="Times New Roman"/>
          <w:szCs w:val="24"/>
        </w:rPr>
        <w:t xml:space="preserve">ednocześnie umożliwi prawidłowe raportowanie pomocy </w:t>
      </w:r>
      <w:r w:rsidR="006963CE" w:rsidRPr="00E83E8B">
        <w:rPr>
          <w:rFonts w:ascii="Times New Roman" w:hAnsi="Times New Roman" w:cs="Times New Roman"/>
          <w:i/>
          <w:szCs w:val="24"/>
        </w:rPr>
        <w:t>de minimis</w:t>
      </w:r>
      <w:r w:rsidR="006963CE" w:rsidRPr="00E83E8B">
        <w:rPr>
          <w:rFonts w:ascii="Times New Roman" w:hAnsi="Times New Roman" w:cs="Times New Roman"/>
          <w:szCs w:val="24"/>
        </w:rPr>
        <w:t xml:space="preserve"> i pomocy publicznej Komisji Europejskiej w</w:t>
      </w:r>
      <w:r w:rsidR="001C32DB">
        <w:rPr>
          <w:rFonts w:ascii="Times New Roman" w:hAnsi="Times New Roman" w:cs="Times New Roman"/>
          <w:szCs w:val="24"/>
        </w:rPr>
        <w:t> </w:t>
      </w:r>
      <w:r w:rsidR="006963CE" w:rsidRPr="00E83E8B">
        <w:rPr>
          <w:rFonts w:ascii="Times New Roman" w:hAnsi="Times New Roman" w:cs="Times New Roman"/>
          <w:szCs w:val="24"/>
        </w:rPr>
        <w:t>ramach obowiązków nałożonych na państwa członkowskie rozporządzenie</w:t>
      </w:r>
      <w:r w:rsidR="0057431C" w:rsidRPr="00E83E8B">
        <w:rPr>
          <w:rFonts w:ascii="Times New Roman" w:hAnsi="Times New Roman" w:cs="Times New Roman"/>
          <w:szCs w:val="24"/>
        </w:rPr>
        <w:t>m</w:t>
      </w:r>
      <w:r w:rsidR="006963CE" w:rsidRPr="00E83E8B">
        <w:rPr>
          <w:rFonts w:ascii="Times New Roman" w:hAnsi="Times New Roman" w:cs="Times New Roman"/>
          <w:szCs w:val="24"/>
        </w:rPr>
        <w:t xml:space="preserve"> Komisji (WE) nr 794/2004 z dnia 21 kwietnia 2004 r. w sprawie wykonania rozporządzenia Rady (</w:t>
      </w:r>
      <w:r w:rsidR="007E5974" w:rsidRPr="00E83E8B">
        <w:rPr>
          <w:rFonts w:ascii="Times New Roman" w:hAnsi="Times New Roman" w:cs="Times New Roman"/>
          <w:szCs w:val="24"/>
        </w:rPr>
        <w:t>U</w:t>
      </w:r>
      <w:r w:rsidR="006963CE" w:rsidRPr="00E83E8B">
        <w:rPr>
          <w:rFonts w:ascii="Times New Roman" w:hAnsi="Times New Roman" w:cs="Times New Roman"/>
          <w:szCs w:val="24"/>
        </w:rPr>
        <w:t xml:space="preserve">E) </w:t>
      </w:r>
      <w:r w:rsidR="007E5974" w:rsidRPr="00E83E8B">
        <w:rPr>
          <w:rFonts w:ascii="Times New Roman" w:hAnsi="Times New Roman" w:cs="Times New Roman"/>
          <w:szCs w:val="24"/>
        </w:rPr>
        <w:t>2015/1589</w:t>
      </w:r>
      <w:r w:rsidR="006963CE" w:rsidRPr="00E83E8B">
        <w:rPr>
          <w:rFonts w:ascii="Times New Roman" w:hAnsi="Times New Roman" w:cs="Times New Roman"/>
          <w:szCs w:val="24"/>
        </w:rPr>
        <w:t xml:space="preserve"> ustanawiającego szczegółowe zasady stosowania </w:t>
      </w:r>
      <w:r w:rsidR="007E5974" w:rsidRPr="00E83E8B">
        <w:rPr>
          <w:rFonts w:ascii="Times New Roman" w:hAnsi="Times New Roman" w:cs="Times New Roman"/>
          <w:szCs w:val="24"/>
        </w:rPr>
        <w:t>art. 108 Traktatu o</w:t>
      </w:r>
      <w:r w:rsidR="00587138">
        <w:rPr>
          <w:rFonts w:ascii="Times New Roman" w:hAnsi="Times New Roman" w:cs="Times New Roman"/>
          <w:szCs w:val="24"/>
        </w:rPr>
        <w:t> </w:t>
      </w:r>
      <w:r w:rsidR="007E5974" w:rsidRPr="00E83E8B">
        <w:rPr>
          <w:rFonts w:ascii="Times New Roman" w:hAnsi="Times New Roman" w:cs="Times New Roman"/>
          <w:szCs w:val="24"/>
        </w:rPr>
        <w:t xml:space="preserve">funkcjonowaniu Unii Europejskiej </w:t>
      </w:r>
      <w:r w:rsidR="000C3BC9" w:rsidRPr="00E83E8B">
        <w:rPr>
          <w:rFonts w:ascii="Times New Roman" w:hAnsi="Times New Roman" w:cs="Times New Roman"/>
          <w:szCs w:val="24"/>
        </w:rPr>
        <w:t>(Dz. Urz. UE L 140 z 30.04.2004, str. 1, z późn. zm. – Dz. Urz. UE Polskie wydanie specjalne, rozdz. 8, t. 4, str. 3</w:t>
      </w:r>
      <w:r w:rsidR="007E5974" w:rsidRPr="00E83E8B">
        <w:rPr>
          <w:rFonts w:ascii="Times New Roman" w:hAnsi="Times New Roman" w:cs="Times New Roman"/>
          <w:szCs w:val="24"/>
        </w:rPr>
        <w:t>).</w:t>
      </w:r>
    </w:p>
    <w:p w14:paraId="0EF5AF4D" w14:textId="57C1F359" w:rsidR="001F722A" w:rsidRPr="00E83E8B" w:rsidRDefault="000C3BC9" w:rsidP="00CF199A">
      <w:pPr>
        <w:autoSpaceDE w:val="0"/>
        <w:autoSpaceDN w:val="0"/>
        <w:adjustRightInd w:val="0"/>
        <w:spacing w:after="120" w:line="360" w:lineRule="auto"/>
        <w:ind w:firstLine="567"/>
      </w:pPr>
      <w:r w:rsidRPr="00E83E8B">
        <w:t>Projekt rozporządzenia jest</w:t>
      </w:r>
      <w:r w:rsidR="001F722A" w:rsidRPr="00E83E8B">
        <w:t xml:space="preserve"> zgodn</w:t>
      </w:r>
      <w:r w:rsidRPr="00E83E8B">
        <w:t>y</w:t>
      </w:r>
      <w:r w:rsidR="001F722A" w:rsidRPr="00E83E8B">
        <w:t xml:space="preserve"> z </w:t>
      </w:r>
      <w:r w:rsidRPr="00E83E8B">
        <w:t>prawem Unii Europejskiej</w:t>
      </w:r>
      <w:r w:rsidR="001F722A" w:rsidRPr="00E83E8B">
        <w:t>.</w:t>
      </w:r>
    </w:p>
    <w:p w14:paraId="0252E6EE" w14:textId="77777777" w:rsidR="001F722A" w:rsidRPr="00E83E8B" w:rsidRDefault="001F722A" w:rsidP="00CF199A">
      <w:pPr>
        <w:autoSpaceDE w:val="0"/>
        <w:autoSpaceDN w:val="0"/>
        <w:adjustRightInd w:val="0"/>
        <w:spacing w:after="120" w:line="360" w:lineRule="auto"/>
        <w:ind w:firstLine="567"/>
      </w:pPr>
      <w:r w:rsidRPr="00E83E8B">
        <w:t>Projekt nie podlega przedstawieniu właściwym organom i instytucjom Unii Europejskiej, w tym Europejskiemu Bankowi Centralnemu, w celu uzyskania opinii, dokonania powiadomienia, konsultacji albo uzgodnienia.</w:t>
      </w:r>
    </w:p>
    <w:p w14:paraId="04FEE2A1" w14:textId="3F4DF7A7" w:rsidR="00F802C5" w:rsidRPr="00E83E8B" w:rsidRDefault="002D1D0E" w:rsidP="00CF199A">
      <w:pPr>
        <w:autoSpaceDE w:val="0"/>
        <w:autoSpaceDN w:val="0"/>
        <w:adjustRightInd w:val="0"/>
        <w:spacing w:after="120" w:line="360" w:lineRule="auto"/>
        <w:ind w:firstLine="567"/>
      </w:pPr>
      <w:r w:rsidRPr="00E83E8B">
        <w:lastRenderedPageBreak/>
        <w:t>Projekt rozporządzenia nie podlega procedurze notyfikacji w rozumieniu przepisów rozporządzenia Rady Ministrów z dnia 23 grudnia 2002 r. w sprawie sposobu funkcjonowania krajowego systemu notyfikacji norm i aktów prawnych (Dz. U. poz. 2039</w:t>
      </w:r>
      <w:r w:rsidR="000C3BC9" w:rsidRPr="00E83E8B">
        <w:t xml:space="preserve"> oraz z 2004 r. poz. 597</w:t>
      </w:r>
      <w:r w:rsidRPr="00E83E8B">
        <w:t>), ponieważ nie zawiera przepisów technicznych.</w:t>
      </w:r>
    </w:p>
    <w:p w14:paraId="064B0FBE" w14:textId="2D228C5F" w:rsidR="002D1D0E" w:rsidRPr="00E83E8B" w:rsidRDefault="002D1D0E" w:rsidP="00CF199A">
      <w:pPr>
        <w:autoSpaceDE w:val="0"/>
        <w:autoSpaceDN w:val="0"/>
        <w:adjustRightInd w:val="0"/>
        <w:spacing w:after="120" w:line="360" w:lineRule="auto"/>
        <w:ind w:firstLine="567"/>
      </w:pPr>
      <w:r w:rsidRPr="00E83E8B" w:rsidDel="000C3BC9">
        <w:t xml:space="preserve">Projekt </w:t>
      </w:r>
      <w:r w:rsidR="006243D0" w:rsidRPr="00E83E8B" w:rsidDel="000C3BC9">
        <w:t xml:space="preserve">nie </w:t>
      </w:r>
      <w:r w:rsidRPr="00E83E8B" w:rsidDel="000C3BC9">
        <w:t>będzie miał wpływ</w:t>
      </w:r>
      <w:r w:rsidR="006243D0" w:rsidRPr="00E83E8B" w:rsidDel="000C3BC9">
        <w:t>u</w:t>
      </w:r>
      <w:r w:rsidRPr="00E83E8B" w:rsidDel="000C3BC9">
        <w:t xml:space="preserve"> na mikroprzedsiębiorców, małych i średnich przedsiębiorców, </w:t>
      </w:r>
      <w:r w:rsidR="00F802C5" w:rsidRPr="00E83E8B">
        <w:t>ponieważ</w:t>
      </w:r>
      <w:r w:rsidR="00F802C5" w:rsidRPr="00E83E8B" w:rsidDel="000C3BC9">
        <w:t xml:space="preserve"> </w:t>
      </w:r>
      <w:r w:rsidR="006963CE" w:rsidRPr="00E83E8B" w:rsidDel="000C3BC9">
        <w:t>n</w:t>
      </w:r>
      <w:r w:rsidR="006243D0" w:rsidRPr="00E83E8B" w:rsidDel="000C3BC9">
        <w:t>ie zmienia warunków udzielania</w:t>
      </w:r>
      <w:r w:rsidR="006963CE" w:rsidRPr="00E83E8B" w:rsidDel="000C3BC9">
        <w:t xml:space="preserve"> pomocy</w:t>
      </w:r>
      <w:r w:rsidR="00F802C5" w:rsidRPr="00E83E8B">
        <w:t>,</w:t>
      </w:r>
      <w:r w:rsidR="006963CE" w:rsidRPr="00E83E8B" w:rsidDel="000C3BC9">
        <w:t xml:space="preserve"> a jedynie porządkuje zasady jej sprawozdawania</w:t>
      </w:r>
      <w:r w:rsidR="006243D0" w:rsidRPr="00E83E8B" w:rsidDel="000C3BC9">
        <w:t>.</w:t>
      </w:r>
    </w:p>
    <w:p w14:paraId="66E2F251" w14:textId="10F6E0E0" w:rsidR="00732675" w:rsidRDefault="002D1D0E" w:rsidP="005129D5">
      <w:pPr>
        <w:suppressAutoHyphens/>
        <w:autoSpaceDE w:val="0"/>
        <w:autoSpaceDN w:val="0"/>
        <w:adjustRightInd w:val="0"/>
        <w:spacing w:line="360" w:lineRule="auto"/>
        <w:ind w:firstLine="567"/>
      </w:pPr>
      <w:r w:rsidRPr="00E83E8B">
        <w:t>Projekt zostanie udostępniony</w:t>
      </w:r>
      <w:r w:rsidR="00E83E8B">
        <w:t xml:space="preserve"> </w:t>
      </w:r>
      <w:r w:rsidRPr="00E83E8B">
        <w:t>w Biuletynie Informacji Publicznej UOKiK, zgodnie z</w:t>
      </w:r>
      <w:r w:rsidR="0071440A">
        <w:t> </w:t>
      </w:r>
      <w:bookmarkStart w:id="1" w:name="_GoBack"/>
      <w:bookmarkEnd w:id="1"/>
      <w:r w:rsidR="003F179D" w:rsidRPr="00E83E8B">
        <w:t>ustawą z dnia 7 lipca 2005 r. o </w:t>
      </w:r>
      <w:r w:rsidRPr="00E83E8B">
        <w:t>działalności lobbingowej w procesie stanowienia prawa (Dz</w:t>
      </w:r>
      <w:r w:rsidR="003F179D" w:rsidRPr="00E83E8B">
        <w:t>.</w:t>
      </w:r>
      <w:r w:rsidR="0071440A">
        <w:t> </w:t>
      </w:r>
      <w:r w:rsidR="003F179D" w:rsidRPr="00E83E8B">
        <w:t>U.</w:t>
      </w:r>
      <w:r w:rsidR="0071440A">
        <w:t> </w:t>
      </w:r>
      <w:r w:rsidR="003F179D" w:rsidRPr="00E83E8B">
        <w:t>z 2017 r. poz. 248) oraz w </w:t>
      </w:r>
      <w:r w:rsidRPr="00E83E8B">
        <w:t>Biuletynie Informacji Publicznej na stronie podmiotowej</w:t>
      </w:r>
      <w:r w:rsidR="003F179D" w:rsidRPr="00E83E8B">
        <w:t xml:space="preserve"> Rządowego Centrum Legislacji w </w:t>
      </w:r>
      <w:r w:rsidRPr="00E83E8B">
        <w:t>serwisie „Rządowy Proces Legislacyjny”, zgodnie z §</w:t>
      </w:r>
      <w:r w:rsidR="0071440A">
        <w:t> </w:t>
      </w:r>
      <w:r w:rsidRPr="00E83E8B">
        <w:t>52 ust.</w:t>
      </w:r>
      <w:r w:rsidR="0071440A">
        <w:t> </w:t>
      </w:r>
      <w:r w:rsidRPr="00E83E8B">
        <w:t>1 uchwały nr 190 Rady Ministrów z dnia 29 października 2013 r. – Regulamin pracy Rady Ministrów (M.P. z 20</w:t>
      </w:r>
      <w:r w:rsidR="00E83E8B" w:rsidRPr="00E83E8B">
        <w:t>22</w:t>
      </w:r>
      <w:r w:rsidRPr="00E83E8B">
        <w:t xml:space="preserve"> r. poz. </w:t>
      </w:r>
      <w:r w:rsidR="00E83E8B" w:rsidRPr="00E83E8B">
        <w:t>348</w:t>
      </w:r>
      <w:r w:rsidRPr="00E83E8B">
        <w:t>).</w:t>
      </w:r>
    </w:p>
    <w:sectPr w:rsidR="00732675" w:rsidSect="00B23C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A920" w14:textId="77777777" w:rsidR="00107318" w:rsidRDefault="00107318" w:rsidP="001F722A">
      <w:r>
        <w:separator/>
      </w:r>
    </w:p>
  </w:endnote>
  <w:endnote w:type="continuationSeparator" w:id="0">
    <w:p w14:paraId="200E41AA" w14:textId="77777777" w:rsidR="00107318" w:rsidRDefault="00107318" w:rsidP="001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DB94" w14:textId="77777777" w:rsidR="00107318" w:rsidRDefault="00107318" w:rsidP="001F722A">
      <w:r>
        <w:separator/>
      </w:r>
    </w:p>
  </w:footnote>
  <w:footnote w:type="continuationSeparator" w:id="0">
    <w:p w14:paraId="112FF2B4" w14:textId="77777777" w:rsidR="00107318" w:rsidRDefault="00107318" w:rsidP="001F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552"/>
    <w:multiLevelType w:val="hybridMultilevel"/>
    <w:tmpl w:val="358A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A84"/>
    <w:multiLevelType w:val="hybridMultilevel"/>
    <w:tmpl w:val="2C8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AE0"/>
    <w:multiLevelType w:val="hybridMultilevel"/>
    <w:tmpl w:val="5650901E"/>
    <w:lvl w:ilvl="0" w:tplc="04150011">
      <w:start w:val="1"/>
      <w:numFmt w:val="decimal"/>
      <w:lvlText w:val="%1)"/>
      <w:lvlJc w:val="left"/>
      <w:pPr>
        <w:ind w:left="39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5842"/>
    <w:multiLevelType w:val="hybridMultilevel"/>
    <w:tmpl w:val="0DB2C3F6"/>
    <w:lvl w:ilvl="0" w:tplc="D4F8CA5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01D9"/>
    <w:multiLevelType w:val="hybridMultilevel"/>
    <w:tmpl w:val="250A3702"/>
    <w:lvl w:ilvl="0" w:tplc="D4B6EB08">
      <w:start w:val="1"/>
      <w:numFmt w:val="decimal"/>
      <w:lvlText w:val="%1."/>
      <w:lvlJc w:val="left"/>
      <w:pPr>
        <w:ind w:left="392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70A64FD0"/>
    <w:multiLevelType w:val="hybridMultilevel"/>
    <w:tmpl w:val="6D889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3E"/>
    <w:rsid w:val="00011FCF"/>
    <w:rsid w:val="00022D40"/>
    <w:rsid w:val="000544C9"/>
    <w:rsid w:val="0006455C"/>
    <w:rsid w:val="000712BB"/>
    <w:rsid w:val="000B4E1E"/>
    <w:rsid w:val="000B51A8"/>
    <w:rsid w:val="000B6A23"/>
    <w:rsid w:val="000C3BC9"/>
    <w:rsid w:val="000D45FE"/>
    <w:rsid w:val="000D7B25"/>
    <w:rsid w:val="000E1B95"/>
    <w:rsid w:val="000E21DD"/>
    <w:rsid w:val="000E55DE"/>
    <w:rsid w:val="00107318"/>
    <w:rsid w:val="00112025"/>
    <w:rsid w:val="00116A93"/>
    <w:rsid w:val="001247E1"/>
    <w:rsid w:val="00126C90"/>
    <w:rsid w:val="00134590"/>
    <w:rsid w:val="00135CEF"/>
    <w:rsid w:val="00153950"/>
    <w:rsid w:val="00154072"/>
    <w:rsid w:val="00161856"/>
    <w:rsid w:val="00162773"/>
    <w:rsid w:val="00162B94"/>
    <w:rsid w:val="00164780"/>
    <w:rsid w:val="0017447E"/>
    <w:rsid w:val="00180AC7"/>
    <w:rsid w:val="00185A55"/>
    <w:rsid w:val="001B10F4"/>
    <w:rsid w:val="001B3DC4"/>
    <w:rsid w:val="001C32DB"/>
    <w:rsid w:val="001D42B4"/>
    <w:rsid w:val="001E68AF"/>
    <w:rsid w:val="001F1585"/>
    <w:rsid w:val="001F1F57"/>
    <w:rsid w:val="001F5C28"/>
    <w:rsid w:val="001F722A"/>
    <w:rsid w:val="001F740E"/>
    <w:rsid w:val="00243883"/>
    <w:rsid w:val="00252D2D"/>
    <w:rsid w:val="00263D79"/>
    <w:rsid w:val="0028496B"/>
    <w:rsid w:val="00287C26"/>
    <w:rsid w:val="0029302B"/>
    <w:rsid w:val="00295C97"/>
    <w:rsid w:val="002B457B"/>
    <w:rsid w:val="002C2539"/>
    <w:rsid w:val="002C71CF"/>
    <w:rsid w:val="002C7621"/>
    <w:rsid w:val="002D1D0E"/>
    <w:rsid w:val="002E5B59"/>
    <w:rsid w:val="002F728A"/>
    <w:rsid w:val="002F76AA"/>
    <w:rsid w:val="00320339"/>
    <w:rsid w:val="00324497"/>
    <w:rsid w:val="00350B96"/>
    <w:rsid w:val="00374D16"/>
    <w:rsid w:val="0037664E"/>
    <w:rsid w:val="00387813"/>
    <w:rsid w:val="00395F2C"/>
    <w:rsid w:val="003A6236"/>
    <w:rsid w:val="003B25E6"/>
    <w:rsid w:val="003B31BF"/>
    <w:rsid w:val="003C036C"/>
    <w:rsid w:val="003C512C"/>
    <w:rsid w:val="003D3C60"/>
    <w:rsid w:val="003E4337"/>
    <w:rsid w:val="003E5B23"/>
    <w:rsid w:val="003E5B58"/>
    <w:rsid w:val="003F179D"/>
    <w:rsid w:val="003F1A74"/>
    <w:rsid w:val="003F263F"/>
    <w:rsid w:val="00406C87"/>
    <w:rsid w:val="004227E6"/>
    <w:rsid w:val="0044208D"/>
    <w:rsid w:val="00452A8E"/>
    <w:rsid w:val="004554D3"/>
    <w:rsid w:val="00457D09"/>
    <w:rsid w:val="00467709"/>
    <w:rsid w:val="00494427"/>
    <w:rsid w:val="0049700C"/>
    <w:rsid w:val="004A0F27"/>
    <w:rsid w:val="004D5972"/>
    <w:rsid w:val="004F3786"/>
    <w:rsid w:val="0050465B"/>
    <w:rsid w:val="005129D5"/>
    <w:rsid w:val="00513D33"/>
    <w:rsid w:val="00521B67"/>
    <w:rsid w:val="00523311"/>
    <w:rsid w:val="00537A23"/>
    <w:rsid w:val="005455E2"/>
    <w:rsid w:val="005601A3"/>
    <w:rsid w:val="00561598"/>
    <w:rsid w:val="0057431C"/>
    <w:rsid w:val="00587138"/>
    <w:rsid w:val="00590F9D"/>
    <w:rsid w:val="00597DD3"/>
    <w:rsid w:val="005A0E73"/>
    <w:rsid w:val="005A5B0B"/>
    <w:rsid w:val="005B7ACE"/>
    <w:rsid w:val="005C0C91"/>
    <w:rsid w:val="005D433B"/>
    <w:rsid w:val="005F4A84"/>
    <w:rsid w:val="00606E65"/>
    <w:rsid w:val="006142CC"/>
    <w:rsid w:val="006243D0"/>
    <w:rsid w:val="006259CF"/>
    <w:rsid w:val="00635053"/>
    <w:rsid w:val="00656722"/>
    <w:rsid w:val="0065787A"/>
    <w:rsid w:val="00660584"/>
    <w:rsid w:val="00660874"/>
    <w:rsid w:val="00670438"/>
    <w:rsid w:val="00677C5F"/>
    <w:rsid w:val="00683D73"/>
    <w:rsid w:val="00694D6B"/>
    <w:rsid w:val="006963CE"/>
    <w:rsid w:val="006A0DBC"/>
    <w:rsid w:val="006B0DA2"/>
    <w:rsid w:val="006B517C"/>
    <w:rsid w:val="006B66EF"/>
    <w:rsid w:val="006D5646"/>
    <w:rsid w:val="006E5F0B"/>
    <w:rsid w:val="006E7B66"/>
    <w:rsid w:val="0071440A"/>
    <w:rsid w:val="00720BFB"/>
    <w:rsid w:val="00726BC2"/>
    <w:rsid w:val="00732675"/>
    <w:rsid w:val="0074183F"/>
    <w:rsid w:val="00760E3E"/>
    <w:rsid w:val="00777AA5"/>
    <w:rsid w:val="007B1118"/>
    <w:rsid w:val="007B696D"/>
    <w:rsid w:val="007C2282"/>
    <w:rsid w:val="007C5C12"/>
    <w:rsid w:val="007E35E3"/>
    <w:rsid w:val="007E552F"/>
    <w:rsid w:val="007E5974"/>
    <w:rsid w:val="007F2F09"/>
    <w:rsid w:val="007F4147"/>
    <w:rsid w:val="007F5F13"/>
    <w:rsid w:val="00802717"/>
    <w:rsid w:val="00810EFE"/>
    <w:rsid w:val="0081624D"/>
    <w:rsid w:val="0082047D"/>
    <w:rsid w:val="00831A35"/>
    <w:rsid w:val="008508CB"/>
    <w:rsid w:val="00892FDD"/>
    <w:rsid w:val="008B6FEF"/>
    <w:rsid w:val="008D5E86"/>
    <w:rsid w:val="008E7EFC"/>
    <w:rsid w:val="008F312B"/>
    <w:rsid w:val="008F6C39"/>
    <w:rsid w:val="00900EAE"/>
    <w:rsid w:val="00917977"/>
    <w:rsid w:val="00922BA7"/>
    <w:rsid w:val="009311FF"/>
    <w:rsid w:val="00931C22"/>
    <w:rsid w:val="00936618"/>
    <w:rsid w:val="00936A0E"/>
    <w:rsid w:val="009479A5"/>
    <w:rsid w:val="00965758"/>
    <w:rsid w:val="00975803"/>
    <w:rsid w:val="0098649E"/>
    <w:rsid w:val="009908B1"/>
    <w:rsid w:val="009A2969"/>
    <w:rsid w:val="009A51FD"/>
    <w:rsid w:val="009C012C"/>
    <w:rsid w:val="009C1EA6"/>
    <w:rsid w:val="009C5584"/>
    <w:rsid w:val="009E1CD0"/>
    <w:rsid w:val="009E2422"/>
    <w:rsid w:val="009E771C"/>
    <w:rsid w:val="009F2790"/>
    <w:rsid w:val="009F4E64"/>
    <w:rsid w:val="009F52E8"/>
    <w:rsid w:val="00A365F8"/>
    <w:rsid w:val="00A36EE8"/>
    <w:rsid w:val="00A471AD"/>
    <w:rsid w:val="00A5057A"/>
    <w:rsid w:val="00A50D7C"/>
    <w:rsid w:val="00A7034A"/>
    <w:rsid w:val="00A81CD3"/>
    <w:rsid w:val="00A82BF5"/>
    <w:rsid w:val="00A85DC9"/>
    <w:rsid w:val="00A934A9"/>
    <w:rsid w:val="00AA1E41"/>
    <w:rsid w:val="00AB7FE8"/>
    <w:rsid w:val="00AC1341"/>
    <w:rsid w:val="00AE2C28"/>
    <w:rsid w:val="00AE7759"/>
    <w:rsid w:val="00AF5988"/>
    <w:rsid w:val="00AF6CC7"/>
    <w:rsid w:val="00B14A61"/>
    <w:rsid w:val="00B14D12"/>
    <w:rsid w:val="00B22013"/>
    <w:rsid w:val="00B23C5F"/>
    <w:rsid w:val="00B330D2"/>
    <w:rsid w:val="00B35956"/>
    <w:rsid w:val="00B444F4"/>
    <w:rsid w:val="00B4664E"/>
    <w:rsid w:val="00B5130A"/>
    <w:rsid w:val="00B61F89"/>
    <w:rsid w:val="00B7205F"/>
    <w:rsid w:val="00B83A49"/>
    <w:rsid w:val="00B928B1"/>
    <w:rsid w:val="00B96C9A"/>
    <w:rsid w:val="00BA0974"/>
    <w:rsid w:val="00BB4A85"/>
    <w:rsid w:val="00BD0508"/>
    <w:rsid w:val="00BE279C"/>
    <w:rsid w:val="00BE27E6"/>
    <w:rsid w:val="00BF7CA2"/>
    <w:rsid w:val="00C02CC7"/>
    <w:rsid w:val="00C146BC"/>
    <w:rsid w:val="00C15AE5"/>
    <w:rsid w:val="00C279C1"/>
    <w:rsid w:val="00C3152C"/>
    <w:rsid w:val="00C43856"/>
    <w:rsid w:val="00C57CB1"/>
    <w:rsid w:val="00C61F6C"/>
    <w:rsid w:val="00C63F96"/>
    <w:rsid w:val="00C64F5D"/>
    <w:rsid w:val="00CB32D4"/>
    <w:rsid w:val="00CB3F41"/>
    <w:rsid w:val="00CB61C0"/>
    <w:rsid w:val="00CC53A6"/>
    <w:rsid w:val="00CC7A78"/>
    <w:rsid w:val="00CD02B0"/>
    <w:rsid w:val="00CD12B1"/>
    <w:rsid w:val="00CD2EB1"/>
    <w:rsid w:val="00CE2DB3"/>
    <w:rsid w:val="00CE3A17"/>
    <w:rsid w:val="00CE45AD"/>
    <w:rsid w:val="00CE5AA2"/>
    <w:rsid w:val="00CF199A"/>
    <w:rsid w:val="00D0170F"/>
    <w:rsid w:val="00D27974"/>
    <w:rsid w:val="00D37052"/>
    <w:rsid w:val="00D40080"/>
    <w:rsid w:val="00D63151"/>
    <w:rsid w:val="00D649B6"/>
    <w:rsid w:val="00D730D4"/>
    <w:rsid w:val="00D90132"/>
    <w:rsid w:val="00D92E07"/>
    <w:rsid w:val="00DC24D0"/>
    <w:rsid w:val="00DC399B"/>
    <w:rsid w:val="00DC4217"/>
    <w:rsid w:val="00DC5D4A"/>
    <w:rsid w:val="00DD6E81"/>
    <w:rsid w:val="00DF5429"/>
    <w:rsid w:val="00DF6625"/>
    <w:rsid w:val="00DF6EDA"/>
    <w:rsid w:val="00DF7425"/>
    <w:rsid w:val="00E04D8A"/>
    <w:rsid w:val="00E134B0"/>
    <w:rsid w:val="00E20F38"/>
    <w:rsid w:val="00E22082"/>
    <w:rsid w:val="00E26CD9"/>
    <w:rsid w:val="00E34A44"/>
    <w:rsid w:val="00E421F5"/>
    <w:rsid w:val="00E6045D"/>
    <w:rsid w:val="00E63B0F"/>
    <w:rsid w:val="00E7275E"/>
    <w:rsid w:val="00E83E8B"/>
    <w:rsid w:val="00E903F6"/>
    <w:rsid w:val="00E92FDF"/>
    <w:rsid w:val="00E936C0"/>
    <w:rsid w:val="00EA1941"/>
    <w:rsid w:val="00EA2CC0"/>
    <w:rsid w:val="00EB139D"/>
    <w:rsid w:val="00EB307B"/>
    <w:rsid w:val="00EC1984"/>
    <w:rsid w:val="00ED7EC0"/>
    <w:rsid w:val="00EF2439"/>
    <w:rsid w:val="00EF5155"/>
    <w:rsid w:val="00EF5DA4"/>
    <w:rsid w:val="00F01153"/>
    <w:rsid w:val="00F03B83"/>
    <w:rsid w:val="00F144BA"/>
    <w:rsid w:val="00F300B6"/>
    <w:rsid w:val="00F31E01"/>
    <w:rsid w:val="00F361FF"/>
    <w:rsid w:val="00F45EFD"/>
    <w:rsid w:val="00F473F7"/>
    <w:rsid w:val="00F54FAF"/>
    <w:rsid w:val="00F632E5"/>
    <w:rsid w:val="00F802C5"/>
    <w:rsid w:val="00F86216"/>
    <w:rsid w:val="00F966C3"/>
    <w:rsid w:val="00FA3E31"/>
    <w:rsid w:val="00FC75E5"/>
    <w:rsid w:val="00FC75F0"/>
    <w:rsid w:val="00FD34EE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5A9B6"/>
  <w15:chartTrackingRefBased/>
  <w15:docId w15:val="{1F5088A7-03E4-4D52-B7B8-7FCB6D0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22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F72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856"/>
    <w:pPr>
      <w:ind w:left="720"/>
      <w:contextualSpacing/>
    </w:pPr>
  </w:style>
  <w:style w:type="paragraph" w:styleId="NormalnyWeb">
    <w:name w:val="Normal (Web)"/>
    <w:basedOn w:val="Normalny"/>
    <w:unhideWhenUsed/>
    <w:rsid w:val="000712BB"/>
    <w:pPr>
      <w:spacing w:before="100" w:beforeAutospacing="1" w:after="100" w:afterAutospacing="1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7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21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1839-F862-41AD-BE86-550947FE3A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AFB611-1DDB-438F-9BC9-953227C8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Machoń</dc:creator>
  <cp:keywords/>
  <dc:description/>
  <cp:lastModifiedBy>Beata Grzegorzewska</cp:lastModifiedBy>
  <cp:revision>6</cp:revision>
  <dcterms:created xsi:type="dcterms:W3CDTF">2024-04-30T10:15:00Z</dcterms:created>
  <dcterms:modified xsi:type="dcterms:W3CDTF">2024-04-30T11:13:00Z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3ea74200-4e23-431b-bd8f-7c255c14406b</vt:lpwstr>
  </property>
  <property fmtid="{D5CDD505-2E9C-101B-9397-08002B2CF9AE}" pid="3" name="bjSaver">
    <vt:lpwstr>qX6qImVDBo/nJeAJH5tZxlC4+0XPS8F8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