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9E" w:rsidRPr="00320C9E" w:rsidRDefault="00320C9E" w:rsidP="00320C9E">
      <w:pPr>
        <w:pStyle w:val="Bezodstpw"/>
        <w:spacing w:line="276" w:lineRule="auto"/>
        <w:jc w:val="center"/>
        <w:rPr>
          <w:rFonts w:ascii="Arial Narrow" w:hAnsi="Arial Narrow" w:cs="Open Sans"/>
          <w:b/>
          <w:bCs/>
          <w:lang w:val="pl-PL"/>
        </w:rPr>
      </w:pPr>
      <w:r w:rsidRPr="00320C9E">
        <w:rPr>
          <w:rFonts w:ascii="Arial Narrow" w:hAnsi="Arial Narrow" w:cs="Open Sans"/>
          <w:b/>
          <w:bCs/>
          <w:lang w:val="pl-PL"/>
        </w:rPr>
        <w:t>Stanowisko w sprawie</w:t>
      </w:r>
      <w:r w:rsidRPr="00320C9E">
        <w:rPr>
          <w:rFonts w:ascii="Arial Narrow" w:hAnsi="Arial Narrow" w:cs="Open Sans"/>
          <w:b/>
          <w:bCs/>
          <w:lang w:val="pl-PL"/>
        </w:rPr>
        <w:t xml:space="preserve"> projektu ustawy o zmianie ustawy</w:t>
      </w:r>
    </w:p>
    <w:p w:rsidR="00320C9E" w:rsidRPr="00320C9E" w:rsidRDefault="00320C9E" w:rsidP="00320C9E">
      <w:pPr>
        <w:pStyle w:val="Bezodstpw"/>
        <w:spacing w:line="276" w:lineRule="auto"/>
        <w:jc w:val="center"/>
        <w:rPr>
          <w:rFonts w:ascii="Arial Narrow" w:hAnsi="Arial Narrow" w:cs="Open Sans"/>
          <w:b/>
          <w:bCs/>
          <w:lang w:val="pl-PL"/>
        </w:rPr>
      </w:pPr>
      <w:r w:rsidRPr="00320C9E">
        <w:rPr>
          <w:rFonts w:ascii="Arial Narrow" w:hAnsi="Arial Narrow" w:cs="Open Sans"/>
          <w:b/>
          <w:bCs/>
          <w:lang w:val="pl-PL"/>
        </w:rPr>
        <w:t>o zapasach ropy naftowej, produktów naftowych i gazu ziemnego</w:t>
      </w:r>
    </w:p>
    <w:p w:rsidR="00320C9E" w:rsidRPr="00320C9E" w:rsidRDefault="00320C9E" w:rsidP="00320C9E">
      <w:pPr>
        <w:pStyle w:val="Bezodstpw"/>
        <w:spacing w:line="276" w:lineRule="auto"/>
        <w:jc w:val="center"/>
        <w:rPr>
          <w:rFonts w:ascii="Arial Narrow" w:hAnsi="Arial Narrow" w:cs="Open Sans"/>
          <w:b/>
          <w:bCs/>
          <w:lang w:val="pl-PL"/>
        </w:rPr>
      </w:pPr>
      <w:r w:rsidRPr="00320C9E">
        <w:rPr>
          <w:rFonts w:ascii="Arial Narrow" w:hAnsi="Arial Narrow" w:cs="Open Sans"/>
          <w:b/>
          <w:bCs/>
          <w:lang w:val="pl-PL"/>
        </w:rPr>
        <w:t>oraz zasadach postępowania w sytuacjach zagrożenia bezpieczeństwa paliwowego państwa i zakłóceń na rynku naftowym oraz niektórych innych ustaw (UC50)</w:t>
      </w:r>
    </w:p>
    <w:p w:rsid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Uwagi ogólne</w:t>
      </w: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sz w:val="22"/>
          <w:szCs w:val="22"/>
        </w:rPr>
        <w:t xml:space="preserve">Zgodnie z danymi Międzynarodowej Agencji Energii z 2019 roku, wykorzystanie gazu w przemyśle skutkuje zmniejszeniem emisji CO2 sektora o 33% w porównaniu do innych paliw kopalnych. Technologia produkcji metali nieżelaznych uwzględniająca cele dekarbonizacyjne, a także prawidłowa działalność hut, uzależnione są od stabilnych i przewidywalnych dostaw gazu. Zarówno wyłączenia pieców hutniczych jak i przerwanie procesów produkcyjnych, w celu zapewnienia bezpieczeństwa pracy urządzeń i instalacji wymaga podjęcia z wyprzedzeniem odpowiednich działań przygotowawczych. Jednocześnie pełne przywrócenie pracy hut (po ich wygaszeniu) jest procesem długotrwałym. </w:t>
      </w:r>
      <w:r w:rsidRPr="00320C9E">
        <w:rPr>
          <w:rFonts w:ascii="Arial Narrow" w:hAnsi="Arial Narrow" w:cs="Open Sans"/>
          <w:b/>
          <w:bCs/>
          <w:sz w:val="22"/>
          <w:szCs w:val="22"/>
        </w:rPr>
        <w:t>Analiza planów ograniczeń przygotowanych w oparciu o nowe przepisy (rozporządzenie poglądowe wydane na podstawie delegacji ustawowej art. 55 ust. 1 ustawy o zapasach), wskazuje że już wprowadzenie drugiego stopnia zasilania może doprowadzić do przerwania produkcji w niektórych instalacjach (co jest następstwem wyznaczania stopni zasilania, w oparciu o „sztywne” dane historyczne, bez możliwości uwzględnienia indywidulanych uwarunkowań takich jak remonty, czy czasowe odstawienia części instalacji).</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Powyższe może negatywnie wpłynąć na łańcuchy dostaw w gospodarce, które raz zakłócone mogą spowodować długotrwałe niedobory takich produktów jak m.in. walcówka miedzi. Polskie huty metali nieżelaznych dostarczają wyroby dla wielu strategicznych sektorów gospodarki, dlatego za skrajnie niepożądaną sytuację należy uznać możliwość zakłócenia ich pracy, na skutek wprowadzenia ograniczeń w poborze gazu powyżej pierwszego stopnia zasilania.</w:t>
      </w:r>
    </w:p>
    <w:p w:rsidR="00140DAB" w:rsidRDefault="00140DAB" w:rsidP="00320C9E">
      <w:pPr>
        <w:pStyle w:val="Nagwek"/>
        <w:tabs>
          <w:tab w:val="center" w:pos="851"/>
          <w:tab w:val="center" w:pos="1134"/>
        </w:tabs>
        <w:spacing w:line="276" w:lineRule="auto"/>
        <w:jc w:val="both"/>
        <w:rPr>
          <w:rFonts w:ascii="Arial Narrow" w:hAnsi="Arial Narrow" w:cs="Open Sans"/>
          <w:b/>
          <w:bCs/>
          <w:sz w:val="22"/>
          <w:szCs w:val="22"/>
        </w:rPr>
      </w:pP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Uwagi szczegółowe</w:t>
      </w:r>
    </w:p>
    <w:p w:rsidR="00320C9E" w:rsidRPr="00320C9E" w:rsidRDefault="00320C9E" w:rsidP="00320C9E">
      <w:pPr>
        <w:pStyle w:val="Nagwek"/>
        <w:numPr>
          <w:ilvl w:val="0"/>
          <w:numId w:val="1"/>
        </w:numPr>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Art. 1 pkt 3 lit. e ustawy zmieniającej – katalog odbiorców chronionych</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Do katalogu odbiorców chronionych proponuje się dodać następujący punkt:</w:t>
      </w: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i/>
          <w:iCs/>
          <w:sz w:val="22"/>
          <w:szCs w:val="22"/>
        </w:rPr>
      </w:pPr>
      <w:r w:rsidRPr="00320C9E">
        <w:rPr>
          <w:rFonts w:ascii="Arial Narrow" w:hAnsi="Arial Narrow" w:cs="Open Sans"/>
          <w:i/>
          <w:iCs/>
          <w:sz w:val="22"/>
          <w:szCs w:val="22"/>
        </w:rPr>
        <w:t>- obiekty i urządzenia znajdujące się w wykazie obiektów szczególnie ważnych dla bezpieczeństwa i obronności państwa prowadzonym przez Ministra Obrony Narodowej na podstawie rozporządzenia Rady Ministrów z dnia 21 kwietnia 2022 r. w sprawie obiektów szczególnie ważnych dla bezpieczeństwa i obronności państwa oraz ich szczególnej ochrony (Dz. U. poz. 880).</w:t>
      </w:r>
    </w:p>
    <w:p w:rsidR="00320C9E" w:rsidRPr="00320C9E" w:rsidRDefault="00320C9E" w:rsidP="00320C9E">
      <w:pPr>
        <w:pStyle w:val="Nagwek"/>
        <w:numPr>
          <w:ilvl w:val="0"/>
          <w:numId w:val="1"/>
        </w:numPr>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Art. 1 pkt 8 ustawy zmieniającej – maksymalna stawka opłaty gazowej</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 xml:space="preserve">Proponowana maksymalna stawka opłaty gazowej, tj. 100 zł/MWh, jest nieproporcjonalnie wysoka w stosunku do hurtowej ceny gazu, co przełoży się na znaczne obciążenie kosztowe produkcji zakładów przemysłowych.  W związku z powyższym </w:t>
      </w:r>
      <w:r w:rsidRPr="00320C9E">
        <w:rPr>
          <w:rFonts w:ascii="Arial Narrow" w:hAnsi="Arial Narrow" w:cs="Open Sans"/>
          <w:b/>
          <w:bCs/>
          <w:sz w:val="22"/>
          <w:szCs w:val="22"/>
        </w:rPr>
        <w:t xml:space="preserve">proponuje się obniżenie wysokości maksymalnej stawki opłaty gazowej, a ponadto zawarcie w delegacji ustawowej bardziej szczegółowych parametrów branych pod uwagę w kalkulacji opłaty przez ministra właściwego ds. energii, w tym włączenie do tego procesu Prezesa URE. </w:t>
      </w:r>
    </w:p>
    <w:p w:rsidR="00320C9E" w:rsidRPr="00320C9E" w:rsidRDefault="00320C9E" w:rsidP="00320C9E">
      <w:pPr>
        <w:pStyle w:val="Nagwek"/>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Celowym jest także doprecyzowanie, w jakim zakresie będzie wnosić opłatę odbiorca końcowy mający status operator sieci dystrybucyjnej (OSD), który jednocześnie nie ma statusu  zleceniodawcy usługi przesyłania (ZUP).</w:t>
      </w:r>
    </w:p>
    <w:p w:rsidR="00320C9E" w:rsidRPr="00320C9E" w:rsidRDefault="00320C9E" w:rsidP="00320C9E">
      <w:pPr>
        <w:pStyle w:val="Nagwek"/>
        <w:numPr>
          <w:ilvl w:val="0"/>
          <w:numId w:val="1"/>
        </w:numPr>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Art. 1 pkt 29 lit. b ustawy zmieniającej – odstępstwa w ograniczeniach dla wybranych kategorii podmiotów</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 xml:space="preserve">Jednym z kluczowych problemów obecnych rozwiązań prawnych dotyczących wprowadzania ograniczeń w poborze gazu – jest automatyzm przy wyznaczaniu wymaganej redukcji poboru gazu – w ramach poszczególnych stopni zasilania, który abstrahuje od indywidualnych uwarunkowań. Bazowanie na danych historycznych dot. poboru, przy wyznaczaniu stopni zasilania, ma uzasadnienie gdy stan faktyczny w zakresie infrastruktury poddawanej ograniczeniom, w okresie odniesienia, oraz w okresie stosowania ograniczeń, zasadniczo nie uległ zmianie. Występuje jednak wiele przypadków, w </w:t>
      </w:r>
      <w:r w:rsidRPr="00320C9E">
        <w:rPr>
          <w:rFonts w:ascii="Arial Narrow" w:hAnsi="Arial Narrow" w:cs="Open Sans"/>
          <w:sz w:val="22"/>
          <w:szCs w:val="22"/>
        </w:rPr>
        <w:lastRenderedPageBreak/>
        <w:t>których zastosowanie takiego automatyzmu stwarza poważne zagrożenie uszkodzenia infrastruktury/urządzeń o kluczowym znaczeniu dla gospodarki państwowej (np. z uwagi na zmiany technologii produkcji w stosunku do okresu odniesienia, czy też przestoje produkcyjne w tym okresie). Dlatego należy pozytywnie ocenić mechanizmy umożliwiające uelastycznienie przedmiotowych automatyzmów (jak zaproponowany w art. 58 ust. 2a). Postuluje się jednak wyraźne wymienienie wśród podmiotów, w stosunku, do których mogą znaleźć zastosowanie odstępstwa – także podmioty wymienione w wykazie spółek o istotnym znaczeniu dla gospodarki państwa</w:t>
      </w:r>
      <w:r w:rsidRPr="00320C9E">
        <w:rPr>
          <w:rFonts w:ascii="Arial Narrow" w:hAnsi="Arial Narrow" w:cs="Open Sans"/>
          <w:i/>
          <w:iCs/>
          <w:sz w:val="22"/>
          <w:szCs w:val="22"/>
        </w:rPr>
        <w:t xml:space="preserve">. </w:t>
      </w:r>
      <w:r w:rsidRPr="00320C9E">
        <w:rPr>
          <w:rFonts w:ascii="Arial Narrow" w:hAnsi="Arial Narrow" w:cs="Open Sans"/>
          <w:sz w:val="22"/>
          <w:szCs w:val="22"/>
        </w:rPr>
        <w:t xml:space="preserve">Niniejsza uwaga pozostaje w związku z kolejną uwagą (pkt 4). </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Proponuje się w związku z powyższym dodać w art. 1 pkt 29 lit. b ustawy zmieniającej – następującą kategorię podmiotów:</w:t>
      </w:r>
    </w:p>
    <w:p w:rsidR="00320C9E" w:rsidRPr="00320C9E" w:rsidRDefault="00320C9E" w:rsidP="00320C9E">
      <w:pPr>
        <w:pStyle w:val="Nagwek"/>
        <w:tabs>
          <w:tab w:val="center" w:pos="851"/>
          <w:tab w:val="center" w:pos="1134"/>
        </w:tabs>
        <w:spacing w:line="276" w:lineRule="auto"/>
        <w:jc w:val="both"/>
        <w:rPr>
          <w:rFonts w:ascii="Arial Narrow" w:hAnsi="Arial Narrow" w:cs="Open Sans"/>
          <w:i/>
          <w:iCs/>
          <w:sz w:val="22"/>
          <w:szCs w:val="22"/>
        </w:rPr>
      </w:pPr>
      <w:r w:rsidRPr="00320C9E">
        <w:rPr>
          <w:rFonts w:ascii="Arial Narrow" w:hAnsi="Arial Narrow" w:cs="Open Sans"/>
          <w:i/>
          <w:iCs/>
          <w:sz w:val="22"/>
          <w:szCs w:val="22"/>
        </w:rPr>
        <w:t xml:space="preserve">W planie wprowadzenia ograniczeń można określić również inny niż określony w ust. 2 sposób wprowadzania ograniczeń dla wybranych kategorii podmiotów, w szczególności dla odbiorców wykorzystujących gaz ziemny do wytwarzania energii elektrycznej w jednostkach wytwórczych, które zostały wskazane zgodnie z art. 11 ust. 7 rozporządzenia 2017/1938 </w:t>
      </w:r>
      <w:r w:rsidRPr="00320C9E">
        <w:rPr>
          <w:rFonts w:ascii="Arial Narrow" w:hAnsi="Arial Narrow" w:cs="Open Sans"/>
          <w:b/>
          <w:bCs/>
          <w:i/>
          <w:iCs/>
          <w:sz w:val="22"/>
          <w:szCs w:val="22"/>
        </w:rPr>
        <w:t>lub</w:t>
      </w:r>
      <w:r w:rsidRPr="00320C9E">
        <w:rPr>
          <w:rFonts w:ascii="Arial Narrow" w:hAnsi="Arial Narrow" w:cs="Open Sans"/>
          <w:i/>
          <w:iCs/>
          <w:sz w:val="22"/>
          <w:szCs w:val="22"/>
        </w:rPr>
        <w:t xml:space="preserve">, </w:t>
      </w:r>
      <w:r w:rsidRPr="00320C9E">
        <w:rPr>
          <w:rFonts w:ascii="Arial Narrow" w:hAnsi="Arial Narrow" w:cs="Open Sans"/>
          <w:b/>
          <w:bCs/>
          <w:i/>
          <w:iCs/>
          <w:sz w:val="22"/>
          <w:szCs w:val="22"/>
        </w:rPr>
        <w:t>jeśli przemawiają za tym względy techniczne, dla odbiorców gazu ziemnego ujętych w wykazie spółek o istotnym znaczeniu dla gospodarki państwa</w:t>
      </w:r>
      <w:r w:rsidRPr="00320C9E">
        <w:rPr>
          <w:rFonts w:ascii="Arial Narrow" w:hAnsi="Arial Narrow" w:cs="Open Sans"/>
          <w:i/>
          <w:iCs/>
          <w:sz w:val="22"/>
          <w:szCs w:val="22"/>
        </w:rPr>
        <w:t>.</w:t>
      </w:r>
    </w:p>
    <w:p w:rsidR="00320C9E" w:rsidRPr="00320C9E" w:rsidRDefault="00320C9E" w:rsidP="00320C9E">
      <w:pPr>
        <w:pStyle w:val="Nagwek"/>
        <w:numPr>
          <w:ilvl w:val="0"/>
          <w:numId w:val="1"/>
        </w:numPr>
        <w:tabs>
          <w:tab w:val="center" w:pos="851"/>
          <w:tab w:val="center" w:pos="1134"/>
        </w:tabs>
        <w:spacing w:line="276" w:lineRule="auto"/>
        <w:jc w:val="both"/>
        <w:rPr>
          <w:rFonts w:ascii="Arial Narrow" w:hAnsi="Arial Narrow" w:cs="Open Sans"/>
          <w:b/>
          <w:bCs/>
          <w:sz w:val="22"/>
          <w:szCs w:val="22"/>
        </w:rPr>
      </w:pPr>
      <w:r w:rsidRPr="00320C9E">
        <w:rPr>
          <w:rFonts w:ascii="Arial Narrow" w:hAnsi="Arial Narrow" w:cs="Open Sans"/>
          <w:b/>
          <w:bCs/>
          <w:sz w:val="22"/>
          <w:szCs w:val="22"/>
        </w:rPr>
        <w:t>§ 6 ust. 1 pkt 2 rozporządzenia poglądowego (delegacja ustawowa - art. 55 ust. 1 ustawy o zapasach) – drugi stopień zasilania</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 xml:space="preserve">Proponowane wyłączenie wyłącznie dni, dla których pobór dobowy w punkcie wyjścia z systemu gazowego był równy 0 kWh/dobę, nie uwzględnia specyficznej sytuacji takich odbiorców gazu, którzy zużywają w wielu instalacjach gaz ziemny odbierany z jednego punktu wyjścia systemu gazowego. </w:t>
      </w:r>
      <w:r w:rsidRPr="00320C9E">
        <w:rPr>
          <w:rFonts w:ascii="Arial Narrow" w:hAnsi="Arial Narrow" w:cs="Open Sans"/>
          <w:b/>
          <w:bCs/>
          <w:sz w:val="22"/>
          <w:szCs w:val="22"/>
        </w:rPr>
        <w:t>Właściwe w tym kontekście byłoby określenie drugiego stopnia zasilania w sposób, który będzie uwzględniał indywidualne uwarunkowania, takie jak np. przerwy w działaniu instalacji wynikające z remontów oraz czasowego odstawienia części instalacji, a nie tylko i wyłącznie „sztywne” dane historyczne.</w:t>
      </w:r>
      <w:r w:rsidRPr="00320C9E">
        <w:rPr>
          <w:rFonts w:ascii="Arial Narrow" w:hAnsi="Arial Narrow" w:cs="Open Sans"/>
          <w:sz w:val="22"/>
          <w:szCs w:val="22"/>
        </w:rPr>
        <w:t xml:space="preserve"> </w:t>
      </w:r>
    </w:p>
    <w:p w:rsidR="00320C9E" w:rsidRPr="00320C9E" w:rsidRDefault="00320C9E" w:rsidP="00320C9E">
      <w:pPr>
        <w:pStyle w:val="Nagwek"/>
        <w:tabs>
          <w:tab w:val="center" w:pos="851"/>
          <w:tab w:val="center" w:pos="1134"/>
        </w:tabs>
        <w:spacing w:line="276" w:lineRule="auto"/>
        <w:jc w:val="both"/>
        <w:rPr>
          <w:rFonts w:ascii="Arial Narrow" w:hAnsi="Arial Narrow" w:cs="Open Sans"/>
          <w:sz w:val="22"/>
          <w:szCs w:val="22"/>
        </w:rPr>
      </w:pPr>
      <w:r w:rsidRPr="00320C9E">
        <w:rPr>
          <w:rFonts w:ascii="Arial Narrow" w:hAnsi="Arial Narrow" w:cs="Open Sans"/>
          <w:sz w:val="22"/>
          <w:szCs w:val="22"/>
        </w:rPr>
        <w:t>W związku z powyższym proponuje się uzupełnić treść przepisu § 6 ust. 1 pkt 2 rozporządzenia poglądowego</w:t>
      </w:r>
      <w:r w:rsidRPr="00320C9E">
        <w:rPr>
          <w:rFonts w:ascii="Arial Narrow" w:hAnsi="Arial Narrow"/>
          <w:sz w:val="22"/>
          <w:szCs w:val="22"/>
        </w:rPr>
        <w:t xml:space="preserve"> (</w:t>
      </w:r>
      <w:r w:rsidRPr="00320C9E">
        <w:rPr>
          <w:rFonts w:ascii="Arial Narrow" w:hAnsi="Arial Narrow" w:cs="Open Sans"/>
          <w:sz w:val="22"/>
          <w:szCs w:val="22"/>
        </w:rPr>
        <w:t>delegacja ustawowa z art. 55 ust. 1 ustawy o zapasach):</w:t>
      </w:r>
    </w:p>
    <w:p w:rsidR="00320C9E" w:rsidRDefault="00320C9E" w:rsidP="00320C9E">
      <w:pPr>
        <w:pStyle w:val="Nagwek"/>
        <w:spacing w:line="276" w:lineRule="auto"/>
        <w:jc w:val="both"/>
        <w:rPr>
          <w:rFonts w:ascii="Arial Narrow" w:hAnsi="Arial Narrow" w:cs="Open Sans"/>
          <w:i/>
          <w:iCs/>
          <w:sz w:val="22"/>
          <w:szCs w:val="22"/>
        </w:rPr>
      </w:pPr>
      <w:r w:rsidRPr="00320C9E">
        <w:rPr>
          <w:rFonts w:ascii="Arial Narrow" w:hAnsi="Arial Narrow" w:cs="Open Sans"/>
          <w:i/>
          <w:iCs/>
          <w:sz w:val="22"/>
          <w:szCs w:val="22"/>
        </w:rPr>
        <w:t>Na technicznie uzasadniony wniosek odbiorcy gazu ziemnego, operator może przyjąć inny sposób określenia godzinowej i dobowej ilości gazu w drugim stopniu zasilania, w szczególności w przypadku gdy odbiorca w danym punkcie wyjścia z systemu gazowego pobiera gaz dla więcej niż jednego obiektu technologicznego lub gdy dokonał przebudowy lub rozbudowy obiektu technologicznego, zwiększając jego zapotrzebowanie na gaz w trakcie roku</w:t>
      </w:r>
      <w:r w:rsidR="00140DAB">
        <w:rPr>
          <w:rFonts w:ascii="Arial Narrow" w:hAnsi="Arial Narrow" w:cs="Open Sans"/>
          <w:i/>
          <w:iCs/>
          <w:sz w:val="22"/>
          <w:szCs w:val="22"/>
        </w:rPr>
        <w:t>.</w:t>
      </w:r>
    </w:p>
    <w:p w:rsidR="00140DAB" w:rsidRDefault="00140DAB" w:rsidP="00320C9E">
      <w:pPr>
        <w:pStyle w:val="Nagwek"/>
        <w:spacing w:line="276" w:lineRule="auto"/>
        <w:jc w:val="both"/>
        <w:rPr>
          <w:rFonts w:ascii="Arial Narrow" w:hAnsi="Arial Narrow" w:cs="Open Sans"/>
          <w:i/>
          <w:iCs/>
          <w:sz w:val="22"/>
          <w:szCs w:val="22"/>
        </w:rPr>
      </w:pPr>
    </w:p>
    <w:p w:rsidR="00140DAB" w:rsidRDefault="00140DAB" w:rsidP="00320C9E">
      <w:pPr>
        <w:pStyle w:val="Nagwek"/>
        <w:spacing w:line="276" w:lineRule="auto"/>
        <w:jc w:val="both"/>
        <w:rPr>
          <w:rFonts w:ascii="Arial Narrow" w:hAnsi="Arial Narrow" w:cs="Open Sans"/>
          <w:i/>
          <w:iCs/>
          <w:sz w:val="22"/>
          <w:szCs w:val="22"/>
        </w:rPr>
      </w:pPr>
      <w:bookmarkStart w:id="0" w:name="_GoBack"/>
      <w:bookmarkEnd w:id="0"/>
    </w:p>
    <w:p w:rsidR="00140DAB" w:rsidRDefault="00140DAB" w:rsidP="00320C9E">
      <w:pPr>
        <w:pStyle w:val="Nagwek"/>
        <w:spacing w:line="276" w:lineRule="auto"/>
        <w:jc w:val="both"/>
        <w:rPr>
          <w:rFonts w:ascii="Arial Narrow" w:hAnsi="Arial Narrow" w:cs="Arial"/>
          <w:b/>
          <w:sz w:val="22"/>
          <w:szCs w:val="22"/>
          <w:u w:val="single"/>
        </w:rPr>
      </w:pPr>
      <w:r w:rsidRPr="00140DAB">
        <w:rPr>
          <w:rFonts w:ascii="Arial Narrow" w:hAnsi="Arial Narrow" w:cs="Arial"/>
          <w:b/>
          <w:sz w:val="22"/>
          <w:szCs w:val="22"/>
          <w:u w:val="single"/>
        </w:rPr>
        <w:t>Stanowisko przygotowane na podstawie ekspertyz i opinii pochodzących od podmiotów członkowskich oraz opracowań własnych Związku Pracodawców Polska Miedź</w:t>
      </w:r>
      <w:r>
        <w:rPr>
          <w:rFonts w:ascii="Arial Narrow" w:hAnsi="Arial Narrow" w:cs="Arial"/>
          <w:b/>
          <w:sz w:val="22"/>
          <w:szCs w:val="22"/>
          <w:u w:val="single"/>
        </w:rPr>
        <w:t>.</w:t>
      </w:r>
    </w:p>
    <w:p w:rsidR="00140DAB" w:rsidRPr="00140DAB" w:rsidRDefault="00140DAB" w:rsidP="00320C9E">
      <w:pPr>
        <w:pStyle w:val="Nagwek"/>
        <w:spacing w:line="276" w:lineRule="auto"/>
        <w:jc w:val="both"/>
        <w:rPr>
          <w:rFonts w:ascii="Arial Narrow" w:hAnsi="Arial Narrow" w:cs="Arial"/>
          <w:b/>
          <w:color w:val="000000"/>
          <w:sz w:val="22"/>
          <w:szCs w:val="22"/>
        </w:rPr>
      </w:pPr>
    </w:p>
    <w:p w:rsidR="00101578" w:rsidRPr="00320C9E" w:rsidRDefault="00101578" w:rsidP="00320C9E">
      <w:pPr>
        <w:spacing w:line="276" w:lineRule="auto"/>
        <w:rPr>
          <w:rFonts w:ascii="Arial Narrow" w:hAnsi="Arial Narrow"/>
          <w:sz w:val="22"/>
          <w:szCs w:val="22"/>
        </w:rPr>
      </w:pPr>
    </w:p>
    <w:sectPr w:rsidR="00101578" w:rsidRPr="00320C9E" w:rsidSect="003546A3">
      <w:headerReference w:type="default" r:id="rId6"/>
      <w:footerReference w:type="default" r:id="rId7"/>
      <w:headerReference w:type="first" r:id="rId8"/>
      <w:footerReference w:type="first" r:id="rId9"/>
      <w:pgSz w:w="11906" w:h="16838"/>
      <w:pgMar w:top="1440" w:right="1077" w:bottom="1440" w:left="1077" w:header="397" w:footer="28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30" w:rsidRDefault="00140DAB">
    <w:pPr>
      <w:pStyle w:val="Stopka"/>
      <w:jc w:val="right"/>
    </w:pPr>
    <w:r>
      <w:fldChar w:fldCharType="begin"/>
    </w:r>
    <w:r>
      <w:instrText>PAGE   \* MERGEFORMAT</w:instrText>
    </w:r>
    <w:r>
      <w:fldChar w:fldCharType="separate"/>
    </w:r>
    <w:r>
      <w:rPr>
        <w:noProof/>
      </w:rPr>
      <w:t>2</w:t>
    </w:r>
    <w:r>
      <w:fldChar w:fldCharType="end"/>
    </w:r>
  </w:p>
  <w:p w:rsidR="004A7030" w:rsidRDefault="00140D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30" w:rsidRPr="000F5BBF" w:rsidRDefault="00140DAB" w:rsidP="000F5BBF">
    <w:pPr>
      <w:overflowPunct w:val="0"/>
      <w:autoSpaceDE w:val="0"/>
      <w:autoSpaceDN w:val="0"/>
      <w:adjustRightInd w:val="0"/>
      <w:jc w:val="both"/>
      <w:textAlignment w:val="baseline"/>
      <w:rPr>
        <w:rFonts w:ascii="Arial Narrow" w:hAnsi="Arial Narrow"/>
        <w:b/>
        <w:color w:val="C00000"/>
        <w:sz w:val="14"/>
        <w:szCs w:val="14"/>
      </w:rPr>
    </w:pPr>
  </w:p>
  <w:p w:rsidR="004A7030" w:rsidRPr="00F0420C" w:rsidRDefault="00140DAB" w:rsidP="000F5BBF">
    <w:pPr>
      <w:overflowPunct w:val="0"/>
      <w:autoSpaceDE w:val="0"/>
      <w:autoSpaceDN w:val="0"/>
      <w:adjustRightInd w:val="0"/>
      <w:jc w:val="both"/>
      <w:textAlignment w:val="baseline"/>
      <w:rPr>
        <w:rFonts w:ascii="Arial Narrow" w:hAnsi="Arial Narrow"/>
        <w:b/>
        <w:color w:val="C00000"/>
        <w:sz w:val="22"/>
        <w:szCs w:val="22"/>
      </w:rPr>
    </w:pPr>
    <w:r w:rsidRPr="00F0420C">
      <w:rPr>
        <w:rFonts w:ascii="Arial Narrow" w:hAnsi="Arial Narrow"/>
        <w:b/>
        <w:color w:val="C00000"/>
        <w:sz w:val="22"/>
        <w:szCs w:val="22"/>
      </w:rPr>
      <w:t>____________________________________________________________________________________</w:t>
    </w:r>
  </w:p>
  <w:p w:rsidR="004A7030" w:rsidRPr="00F0420C" w:rsidRDefault="00140DAB" w:rsidP="000F5BBF">
    <w:pPr>
      <w:overflowPunct w:val="0"/>
      <w:autoSpaceDE w:val="0"/>
      <w:autoSpaceDN w:val="0"/>
      <w:adjustRightInd w:val="0"/>
      <w:jc w:val="both"/>
      <w:textAlignment w:val="baseline"/>
      <w:rPr>
        <w:rFonts w:ascii="Arial Narrow" w:hAnsi="Arial Narrow"/>
        <w:b/>
        <w:color w:val="C00000"/>
        <w:sz w:val="22"/>
        <w:szCs w:val="22"/>
      </w:rPr>
    </w:pPr>
    <w:r w:rsidRPr="00F0420C">
      <w:rPr>
        <w:rFonts w:ascii="Arial Narrow" w:hAnsi="Arial Narrow"/>
        <w:b/>
        <w:color w:val="C00000"/>
        <w:sz w:val="22"/>
        <w:szCs w:val="22"/>
      </w:rPr>
      <w:t xml:space="preserve">Związek </w:t>
    </w:r>
    <w:r w:rsidRPr="00F0420C">
      <w:rPr>
        <w:rFonts w:ascii="Arial Narrow" w:hAnsi="Arial Narrow"/>
        <w:b/>
        <w:color w:val="C00000"/>
        <w:sz w:val="22"/>
        <w:szCs w:val="22"/>
      </w:rPr>
      <w:t>Pracodawców Polska Miedź</w:t>
    </w:r>
  </w:p>
  <w:p w:rsidR="004A7030" w:rsidRPr="00F0420C" w:rsidRDefault="00140DAB" w:rsidP="000F5BBF">
    <w:pPr>
      <w:overflowPunct w:val="0"/>
      <w:autoSpaceDE w:val="0"/>
      <w:autoSpaceDN w:val="0"/>
      <w:adjustRightInd w:val="0"/>
      <w:jc w:val="both"/>
      <w:textAlignment w:val="baseline"/>
      <w:rPr>
        <w:rFonts w:ascii="Arial Narrow" w:hAnsi="Arial Narrow"/>
        <w:sz w:val="18"/>
        <w:szCs w:val="18"/>
      </w:rPr>
    </w:pPr>
    <w:r w:rsidRPr="00F0420C">
      <w:rPr>
        <w:rFonts w:ascii="Arial Narrow" w:hAnsi="Arial Narrow"/>
        <w:sz w:val="18"/>
        <w:szCs w:val="18"/>
      </w:rPr>
      <w:t>NIP: 692-11-70-332; Regon 390437022</w:t>
    </w:r>
  </w:p>
  <w:p w:rsidR="004A7030" w:rsidRPr="00F0420C" w:rsidRDefault="00140DAB" w:rsidP="000F5BBF">
    <w:pPr>
      <w:overflowPunct w:val="0"/>
      <w:autoSpaceDE w:val="0"/>
      <w:autoSpaceDN w:val="0"/>
      <w:adjustRightInd w:val="0"/>
      <w:jc w:val="both"/>
      <w:textAlignment w:val="baseline"/>
      <w:rPr>
        <w:rFonts w:ascii="Arial Narrow" w:hAnsi="Arial Narrow"/>
        <w:sz w:val="18"/>
        <w:szCs w:val="18"/>
      </w:rPr>
    </w:pPr>
  </w:p>
  <w:p w:rsidR="004A7030" w:rsidRPr="00F0420C" w:rsidRDefault="00140DAB" w:rsidP="000F5BBF">
    <w:pPr>
      <w:overflowPunct w:val="0"/>
      <w:autoSpaceDE w:val="0"/>
      <w:autoSpaceDN w:val="0"/>
      <w:adjustRightInd w:val="0"/>
      <w:jc w:val="both"/>
      <w:textAlignment w:val="baseline"/>
      <w:rPr>
        <w:rFonts w:ascii="Arial Narrow" w:hAnsi="Arial Narrow"/>
        <w:color w:val="000000"/>
        <w:sz w:val="18"/>
        <w:szCs w:val="18"/>
      </w:rPr>
    </w:pPr>
    <w:r w:rsidRPr="00F0420C">
      <w:rPr>
        <w:rFonts w:ascii="Arial Narrow" w:hAnsi="Arial Narrow"/>
        <w:sz w:val="18"/>
        <w:szCs w:val="18"/>
      </w:rPr>
      <w:t xml:space="preserve">ul. </w:t>
    </w:r>
    <w:r>
      <w:rPr>
        <w:rFonts w:ascii="Arial Narrow" w:hAnsi="Arial Narrow"/>
        <w:sz w:val="18"/>
        <w:szCs w:val="18"/>
      </w:rPr>
      <w:t>Rycerska 24</w:t>
    </w:r>
    <w:r w:rsidRPr="00F0420C">
      <w:rPr>
        <w:rFonts w:ascii="Arial Narrow" w:hAnsi="Arial Narrow"/>
        <w:sz w:val="18"/>
        <w:szCs w:val="18"/>
      </w:rPr>
      <w:t>, 59-</w:t>
    </w:r>
    <w:r>
      <w:rPr>
        <w:rFonts w:ascii="Arial Narrow" w:hAnsi="Arial Narrow"/>
        <w:sz w:val="18"/>
        <w:szCs w:val="18"/>
      </w:rPr>
      <w:t>22</w:t>
    </w:r>
    <w:r w:rsidRPr="00F0420C">
      <w:rPr>
        <w:rFonts w:ascii="Arial Narrow" w:hAnsi="Arial Narrow"/>
        <w:sz w:val="18"/>
        <w:szCs w:val="18"/>
      </w:rPr>
      <w:t>0 L</w:t>
    </w:r>
    <w:r>
      <w:rPr>
        <w:rFonts w:ascii="Arial Narrow" w:hAnsi="Arial Narrow"/>
        <w:sz w:val="18"/>
        <w:szCs w:val="18"/>
      </w:rPr>
      <w:t>egnica</w:t>
    </w:r>
  </w:p>
  <w:p w:rsidR="004A7030" w:rsidRDefault="00140DAB" w:rsidP="000F5BBF">
    <w:pPr>
      <w:overflowPunct w:val="0"/>
      <w:autoSpaceDE w:val="0"/>
      <w:autoSpaceDN w:val="0"/>
      <w:adjustRightInd w:val="0"/>
      <w:jc w:val="both"/>
      <w:textAlignment w:val="baseline"/>
      <w:rPr>
        <w:rFonts w:ascii="Arial Narrow" w:hAnsi="Arial Narrow"/>
        <w:color w:val="000000"/>
        <w:sz w:val="18"/>
        <w:szCs w:val="18"/>
      </w:rPr>
    </w:pPr>
    <w:r w:rsidRPr="00F0420C">
      <w:rPr>
        <w:rFonts w:ascii="Arial Narrow" w:hAnsi="Arial Narrow"/>
        <w:color w:val="000000"/>
        <w:sz w:val="18"/>
        <w:szCs w:val="18"/>
      </w:rPr>
      <w:t xml:space="preserve">Tel. 76/8478585; e-mail: </w:t>
    </w:r>
    <w:hyperlink r:id="rId1" w:history="1">
      <w:r w:rsidRPr="00F0420C">
        <w:rPr>
          <w:rFonts w:ascii="Arial Narrow" w:hAnsi="Arial Narrow"/>
          <w:color w:val="000000"/>
          <w:sz w:val="18"/>
          <w:szCs w:val="18"/>
          <w:u w:val="single"/>
        </w:rPr>
        <w:t>sekretariat@pracodawcy.pl</w:t>
      </w:r>
    </w:hyperlink>
    <w:r w:rsidRPr="00F0420C">
      <w:rPr>
        <w:rFonts w:ascii="Arial Narrow" w:hAnsi="Arial Narrow"/>
        <w:color w:val="000000"/>
        <w:sz w:val="18"/>
        <w:szCs w:val="18"/>
      </w:rPr>
      <w:tab/>
    </w:r>
    <w:r w:rsidRPr="00F0420C">
      <w:rPr>
        <w:rFonts w:ascii="Arial Narrow" w:hAnsi="Arial Narrow"/>
        <w:color w:val="000000"/>
        <w:sz w:val="18"/>
        <w:szCs w:val="18"/>
      </w:rPr>
      <w:tab/>
    </w:r>
    <w:r w:rsidRPr="00F0420C">
      <w:rPr>
        <w:rFonts w:ascii="Arial Narrow" w:hAnsi="Arial Narrow"/>
        <w:color w:val="000000"/>
        <w:sz w:val="18"/>
        <w:szCs w:val="18"/>
      </w:rPr>
      <w:tab/>
    </w:r>
    <w:r w:rsidRPr="00F0420C">
      <w:rPr>
        <w:rFonts w:ascii="Arial Narrow" w:hAnsi="Arial Narrow"/>
        <w:color w:val="000000"/>
        <w:sz w:val="18"/>
        <w:szCs w:val="18"/>
      </w:rPr>
      <w:tab/>
    </w:r>
    <w:r w:rsidRPr="00F0420C">
      <w:rPr>
        <w:rFonts w:ascii="Arial Narrow" w:hAnsi="Arial Narrow"/>
        <w:color w:val="000000"/>
        <w:sz w:val="18"/>
        <w:szCs w:val="18"/>
      </w:rPr>
      <w:tab/>
    </w:r>
    <w:r w:rsidRPr="00F0420C">
      <w:rPr>
        <w:rFonts w:ascii="Arial Narrow" w:hAnsi="Arial Narrow"/>
        <w:color w:val="000000"/>
        <w:sz w:val="18"/>
        <w:szCs w:val="18"/>
      </w:rPr>
      <w:tab/>
    </w:r>
    <w:hyperlink r:id="rId2" w:history="1">
      <w:r w:rsidRPr="00F0420C">
        <w:rPr>
          <w:rFonts w:ascii="Arial Narrow" w:hAnsi="Arial Narrow"/>
          <w:color w:val="000000"/>
          <w:sz w:val="18"/>
          <w:szCs w:val="18"/>
          <w:u w:val="single"/>
        </w:rPr>
        <w:t>www.pracodawcy.pl</w:t>
      </w:r>
    </w:hyperlink>
  </w:p>
  <w:p w:rsidR="004A7030" w:rsidRDefault="00140DAB" w:rsidP="000F5BBF">
    <w:pPr>
      <w:pStyle w:val="Stopka"/>
      <w:jc w:val="right"/>
    </w:pPr>
    <w:r>
      <w:fldChar w:fldCharType="begin"/>
    </w:r>
    <w:r>
      <w:instrText>PAGE   \* MERGEFORMAT</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30" w:rsidRDefault="00140DAB" w:rsidP="00C773E1">
    <w:pPr>
      <w:pStyle w:val="Nagwek"/>
      <w:rPr>
        <w:noProof/>
      </w:rPr>
    </w:pPr>
    <w:r>
      <w:rPr>
        <w:noProof/>
      </w:rPr>
      <w:drawing>
        <wp:inline distT="0" distB="0" distL="0" distR="0" wp14:anchorId="78EC8B52" wp14:editId="25A9B031">
          <wp:extent cx="182880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30" w:rsidRDefault="00140DAB">
    <w:pPr>
      <w:pStyle w:val="Nagwek"/>
    </w:pPr>
    <w:r>
      <w:rPr>
        <w:noProof/>
      </w:rPr>
      <w:drawing>
        <wp:inline distT="0" distB="0" distL="0" distR="0" wp14:anchorId="79D914C0" wp14:editId="17FDF87F">
          <wp:extent cx="1981200" cy="768350"/>
          <wp:effectExtent l="0" t="0" r="0" b="0"/>
          <wp:docPr id="1" name="Obraz 1" descr="logo_ZPPM_new_JPG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PPM_new_JPG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0DF6"/>
    <w:multiLevelType w:val="hybridMultilevel"/>
    <w:tmpl w:val="915C0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9E"/>
    <w:rsid w:val="00101578"/>
    <w:rsid w:val="00140DAB"/>
    <w:rsid w:val="00320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C9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20C9E"/>
    <w:pPr>
      <w:tabs>
        <w:tab w:val="center" w:pos="4536"/>
        <w:tab w:val="right" w:pos="9072"/>
      </w:tabs>
    </w:pPr>
  </w:style>
  <w:style w:type="character" w:customStyle="1" w:styleId="NagwekZnak">
    <w:name w:val="Nagłówek Znak"/>
    <w:basedOn w:val="Domylnaczcionkaakapitu"/>
    <w:link w:val="Nagwek"/>
    <w:rsid w:val="00320C9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20C9E"/>
    <w:pPr>
      <w:tabs>
        <w:tab w:val="center" w:pos="4536"/>
        <w:tab w:val="right" w:pos="9072"/>
      </w:tabs>
    </w:pPr>
  </w:style>
  <w:style w:type="character" w:customStyle="1" w:styleId="StopkaZnak">
    <w:name w:val="Stopka Znak"/>
    <w:basedOn w:val="Domylnaczcionkaakapitu"/>
    <w:link w:val="Stopka"/>
    <w:uiPriority w:val="99"/>
    <w:rsid w:val="00320C9E"/>
    <w:rPr>
      <w:rFonts w:ascii="Times New Roman" w:eastAsia="Times New Roman" w:hAnsi="Times New Roman" w:cs="Times New Roman"/>
      <w:sz w:val="20"/>
      <w:szCs w:val="20"/>
      <w:lang w:eastAsia="pl-PL"/>
    </w:rPr>
  </w:style>
  <w:style w:type="paragraph" w:customStyle="1" w:styleId="Default">
    <w:name w:val="Default"/>
    <w:rsid w:val="00320C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320C9E"/>
    <w:rPr>
      <w:rFonts w:ascii="Tahoma" w:hAnsi="Tahoma" w:cs="Tahoma"/>
      <w:sz w:val="16"/>
      <w:szCs w:val="16"/>
    </w:rPr>
  </w:style>
  <w:style w:type="character" w:customStyle="1" w:styleId="TekstdymkaZnak">
    <w:name w:val="Tekst dymka Znak"/>
    <w:basedOn w:val="Domylnaczcionkaakapitu"/>
    <w:link w:val="Tekstdymka"/>
    <w:uiPriority w:val="99"/>
    <w:semiHidden/>
    <w:rsid w:val="00320C9E"/>
    <w:rPr>
      <w:rFonts w:ascii="Tahoma" w:eastAsia="Times New Roman" w:hAnsi="Tahoma" w:cs="Tahoma"/>
      <w:sz w:val="16"/>
      <w:szCs w:val="16"/>
      <w:lang w:eastAsia="pl-PL"/>
    </w:rPr>
  </w:style>
  <w:style w:type="paragraph" w:styleId="Bezodstpw">
    <w:name w:val="No Spacing"/>
    <w:uiPriority w:val="1"/>
    <w:qFormat/>
    <w:rsid w:val="00320C9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C9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20C9E"/>
    <w:pPr>
      <w:tabs>
        <w:tab w:val="center" w:pos="4536"/>
        <w:tab w:val="right" w:pos="9072"/>
      </w:tabs>
    </w:pPr>
  </w:style>
  <w:style w:type="character" w:customStyle="1" w:styleId="NagwekZnak">
    <w:name w:val="Nagłówek Znak"/>
    <w:basedOn w:val="Domylnaczcionkaakapitu"/>
    <w:link w:val="Nagwek"/>
    <w:rsid w:val="00320C9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20C9E"/>
    <w:pPr>
      <w:tabs>
        <w:tab w:val="center" w:pos="4536"/>
        <w:tab w:val="right" w:pos="9072"/>
      </w:tabs>
    </w:pPr>
  </w:style>
  <w:style w:type="character" w:customStyle="1" w:styleId="StopkaZnak">
    <w:name w:val="Stopka Znak"/>
    <w:basedOn w:val="Domylnaczcionkaakapitu"/>
    <w:link w:val="Stopka"/>
    <w:uiPriority w:val="99"/>
    <w:rsid w:val="00320C9E"/>
    <w:rPr>
      <w:rFonts w:ascii="Times New Roman" w:eastAsia="Times New Roman" w:hAnsi="Times New Roman" w:cs="Times New Roman"/>
      <w:sz w:val="20"/>
      <w:szCs w:val="20"/>
      <w:lang w:eastAsia="pl-PL"/>
    </w:rPr>
  </w:style>
  <w:style w:type="paragraph" w:customStyle="1" w:styleId="Default">
    <w:name w:val="Default"/>
    <w:rsid w:val="00320C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320C9E"/>
    <w:rPr>
      <w:rFonts w:ascii="Tahoma" w:hAnsi="Tahoma" w:cs="Tahoma"/>
      <w:sz w:val="16"/>
      <w:szCs w:val="16"/>
    </w:rPr>
  </w:style>
  <w:style w:type="character" w:customStyle="1" w:styleId="TekstdymkaZnak">
    <w:name w:val="Tekst dymka Znak"/>
    <w:basedOn w:val="Domylnaczcionkaakapitu"/>
    <w:link w:val="Tekstdymka"/>
    <w:uiPriority w:val="99"/>
    <w:semiHidden/>
    <w:rsid w:val="00320C9E"/>
    <w:rPr>
      <w:rFonts w:ascii="Tahoma" w:eastAsia="Times New Roman" w:hAnsi="Tahoma" w:cs="Tahoma"/>
      <w:sz w:val="16"/>
      <w:szCs w:val="16"/>
      <w:lang w:eastAsia="pl-PL"/>
    </w:rPr>
  </w:style>
  <w:style w:type="paragraph" w:styleId="Bezodstpw">
    <w:name w:val="No Spacing"/>
    <w:uiPriority w:val="1"/>
    <w:qFormat/>
    <w:rsid w:val="00320C9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acodawcy.pl" TargetMode="External"/><Relationship Id="rId1" Type="http://schemas.openxmlformats.org/officeDocument/2006/relationships/hyperlink" Target="mailto:sekretariat@pracodawc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Związek Pracodawców Polska Miedź</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ZPPM</dc:creator>
  <cp:lastModifiedBy>ZPPM</cp:lastModifiedBy>
  <cp:revision>2</cp:revision>
  <dcterms:created xsi:type="dcterms:W3CDTF">2024-07-02T12:47:00Z</dcterms:created>
  <dcterms:modified xsi:type="dcterms:W3CDTF">2024-07-02T12:53:00Z</dcterms:modified>
</cp:coreProperties>
</file>