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7D" w:rsidRPr="004F1752" w:rsidRDefault="0082257D" w:rsidP="0082257D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4F1752">
        <w:rPr>
          <w:rFonts w:ascii="Lato" w:hAnsi="Lato" w:cs="Times New Roman"/>
          <w:b/>
          <w:bCs/>
          <w:sz w:val="20"/>
          <w:szCs w:val="20"/>
        </w:rPr>
        <w:t>Uwagi do projektu</w:t>
      </w:r>
      <w:bookmarkStart w:id="1" w:name="_Hlk163464623"/>
      <w:r w:rsidRPr="004F1752">
        <w:rPr>
          <w:rFonts w:ascii="Lato" w:hAnsi="Lato" w:cs="Times New Roman"/>
          <w:b/>
          <w:bCs/>
          <w:sz w:val="20"/>
          <w:szCs w:val="20"/>
        </w:rPr>
        <w:t xml:space="preserve"> ustawy o zmianie ustawy </w:t>
      </w:r>
    </w:p>
    <w:p w:rsidR="0082257D" w:rsidRPr="004F1752" w:rsidRDefault="0082257D" w:rsidP="0082257D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4F1752">
        <w:rPr>
          <w:rFonts w:ascii="Lato" w:hAnsi="Lato" w:cs="Times New Roman"/>
          <w:b/>
          <w:bCs/>
          <w:sz w:val="20"/>
          <w:szCs w:val="20"/>
        </w:rPr>
        <w:t>o podatku rolnym, ustawy o podatkach i opłatach lokalnych, ustawy o podatku leśnym oraz ustawy o opłacie skarbowej</w:t>
      </w:r>
    </w:p>
    <w:bookmarkEnd w:id="1"/>
    <w:p w:rsidR="0082257D" w:rsidRPr="004F1752" w:rsidRDefault="0082257D" w:rsidP="0082257D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4F1752">
        <w:rPr>
          <w:rFonts w:ascii="Lato" w:hAnsi="Lato" w:cs="Times New Roman"/>
          <w:b/>
          <w:bCs/>
          <w:sz w:val="20"/>
          <w:szCs w:val="20"/>
        </w:rPr>
        <w:t>(nr UD72 w Wykazie prac legislacyjnych i programowych Rady Ministrów)</w:t>
      </w:r>
    </w:p>
    <w:p w:rsidR="0082257D" w:rsidRPr="004F1752" w:rsidRDefault="0082257D" w:rsidP="0082257D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536"/>
        <w:gridCol w:w="1144"/>
      </w:tblGrid>
      <w:tr w:rsidR="0082257D" w:rsidRPr="004F1752" w:rsidTr="00140378">
        <w:trPr>
          <w:trHeight w:val="551"/>
          <w:tblHeader/>
        </w:trPr>
        <w:tc>
          <w:tcPr>
            <w:tcW w:w="562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uwagę</w:t>
            </w:r>
          </w:p>
        </w:tc>
        <w:tc>
          <w:tcPr>
            <w:tcW w:w="2694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wnoszona jest uwaga</w:t>
            </w:r>
            <w:r w:rsidRPr="004F1752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536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Propozycja brzmienia przepisu</w:t>
            </w:r>
          </w:p>
        </w:tc>
        <w:tc>
          <w:tcPr>
            <w:tcW w:w="1144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82257D" w:rsidRPr="004F1752" w:rsidTr="00140378">
        <w:trPr>
          <w:trHeight w:val="4502"/>
        </w:trPr>
        <w:tc>
          <w:tcPr>
            <w:tcW w:w="562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Związek Pracodawców Polska Miedź</w:t>
            </w:r>
          </w:p>
        </w:tc>
        <w:tc>
          <w:tcPr>
            <w:tcW w:w="269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Art. 1a ust. 1 pkt 1) [definicja budynku]</w:t>
            </w:r>
          </w:p>
        </w:tc>
        <w:tc>
          <w:tcPr>
            <w:tcW w:w="5103" w:type="dxa"/>
          </w:tcPr>
          <w:p w:rsidR="0082257D" w:rsidRPr="004F1752" w:rsidRDefault="0082257D" w:rsidP="00140378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Proponowana definicja budynku uznaje, że za budynek należy uznać obiekt  „</w:t>
            </w:r>
            <w:r w:rsidRPr="004F1752">
              <w:rPr>
                <w:rFonts w:ascii="Lato" w:hAnsi="Lato"/>
                <w:sz w:val="20"/>
                <w:szCs w:val="20"/>
              </w:rPr>
              <w:t xml:space="preserve">również w przypadku gdy jest on częścią obiektu wymienionego w poz. 1–6 załącznika nr 4 do ustawy”. Projektowana ustawa, nie uwzględnia jednak w takim przypadku możliwości wyłączenia z opodatkowania wartości takiego budynku wchodzącego w skład budowli, co może prowadzić do wielokrotnego opodatkowania tych samych obiektów (zarówno jako budynków, jak i budowli) oraz faktu, iż budynki mogą wchodzić w skład również innych obiektów niż wymienione w pkt. 1-6 załącznika nr 4. </w:t>
            </w:r>
          </w:p>
          <w:p w:rsidR="0082257D" w:rsidRPr="004F1752" w:rsidRDefault="0082257D" w:rsidP="00140378">
            <w:pPr>
              <w:pStyle w:val="Akapitzlist"/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Art. 1a ust. 1</w:t>
            </w:r>
          </w:p>
          <w:p w:rsidR="0082257D" w:rsidRPr="004F1752" w:rsidRDefault="0082257D" w:rsidP="00140378">
            <w:pPr>
              <w:pStyle w:val="ZTIRLITwPKTzmlitwpkttiret"/>
              <w:spacing w:line="240" w:lineRule="auto"/>
              <w:ind w:left="323" w:hanging="425"/>
              <w:rPr>
                <w:rFonts w:ascii="Lato" w:hAnsi="Lato"/>
                <w:b/>
                <w:bCs w:val="0"/>
                <w:sz w:val="20"/>
              </w:rPr>
            </w:pPr>
            <w:r w:rsidRPr="004F1752">
              <w:rPr>
                <w:rFonts w:ascii="Lato" w:hAnsi="Lato"/>
                <w:sz w:val="20"/>
              </w:rPr>
              <w:t>1)</w:t>
            </w:r>
            <w:r w:rsidRPr="004F1752">
              <w:rPr>
                <w:rFonts w:ascii="Lato" w:hAnsi="Lato"/>
                <w:sz w:val="20"/>
              </w:rPr>
              <w:tab/>
              <w:t xml:space="preserve">budynek – obiekt, wraz z instalacjami zapewniającymi możliwość jego użytkowania zgodnie z przeznaczeniem, wykonany z użyciem wyrobów budowlanych, który jest trwale związany z gruntem, wydzielony z przestrzeni za pomocą przegród budowlanych oraz posiada fundamenty i dach, również w przypadku gdy jest on częścią obiektu wymienionego w </w:t>
            </w:r>
            <w:r w:rsidRPr="004F1752">
              <w:rPr>
                <w:rFonts w:ascii="Lato" w:hAnsi="Lato"/>
                <w:strike/>
                <w:sz w:val="20"/>
              </w:rPr>
              <w:t>poz. 1–6</w:t>
            </w:r>
            <w:r w:rsidRPr="004F1752">
              <w:rPr>
                <w:rFonts w:ascii="Lato" w:hAnsi="Lato"/>
                <w:sz w:val="20"/>
              </w:rPr>
              <w:t xml:space="preserve"> załącznik</w:t>
            </w:r>
            <w:r>
              <w:rPr>
                <w:rFonts w:ascii="Lato" w:hAnsi="Lato"/>
                <w:sz w:val="20"/>
              </w:rPr>
              <w:t>u</w:t>
            </w:r>
            <w:r w:rsidRPr="004F1752">
              <w:rPr>
                <w:rFonts w:ascii="Lato" w:hAnsi="Lato"/>
                <w:sz w:val="20"/>
              </w:rPr>
              <w:t xml:space="preserve"> nr 4 do ustawy. </w:t>
            </w:r>
            <w:r w:rsidRPr="004F1752">
              <w:rPr>
                <w:rFonts w:ascii="Lato" w:hAnsi="Lato"/>
                <w:b/>
                <w:bCs w:val="0"/>
                <w:sz w:val="20"/>
              </w:rPr>
              <w:t>Zakwalifikowanie części obiektu określonego w załączniku nr 4 jako budynku, skutkuje wyłączeniem jego wartości z podstawy opodatkowania budowli;</w:t>
            </w: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2257D" w:rsidRPr="004F1752" w:rsidTr="00140378">
        <w:trPr>
          <w:trHeight w:val="4502"/>
        </w:trPr>
        <w:tc>
          <w:tcPr>
            <w:tcW w:w="562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82257D" w:rsidRPr="004F1752" w:rsidRDefault="00184848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Związek Pracodawców Polska Miedź</w:t>
            </w:r>
          </w:p>
        </w:tc>
        <w:tc>
          <w:tcPr>
            <w:tcW w:w="269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Art. 1a ust. 1 pkt 2) [definicja budowli]</w:t>
            </w:r>
          </w:p>
        </w:tc>
        <w:tc>
          <w:tcPr>
            <w:tcW w:w="5103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Rozbieżności interpretacyjne wzbudzać może kwalifikowanie do budowli instalacji i urządzeń, jeżeli stanowią z tym obiektem całość techniczno-użytkową. Z Uzasadnienia projektu wynika, że projektowana koncepcja opiera się na uznaniu za budowlę w ujęciu podatkowym kompletnego obiektu, zdolnego do realizacji określonego celu gospodarczego, gdzie instalacje i urządzenia mają tworzyć z nim funkcjonalną i techniczną całość, co de facto spowoduje rozszerzenie przedmiotu opodatkowania (ryzyko opodatkowywania elektroniki/elementów sterujących, ogniw fotowoltaicznych, dystrybutorów). Negatywnie ocenia się również zmianę polegającą na zastąpieniu słowa „wzniesienie” wyrazem „wykonanie” z użyciem wyrobów budowlanych, co jest pojęciem szerszym i powodującym rozszerzenie zakresu opodatkowania (rozszerzenie o urządzenia prefabrykowane, które nie powstały w procesie budowlanych, lecz w zakładzie produkcyjnym).</w:t>
            </w:r>
          </w:p>
        </w:tc>
        <w:tc>
          <w:tcPr>
            <w:tcW w:w="4536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a) obiekty wymienione w załączniku nr 4 do ustawy,</w:t>
            </w: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c) części budowlane elektrowni wiatrowych, elektrowni jądrowych oraz </w:t>
            </w: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elektrowni fotowoltaicznych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>,</w:t>
            </w: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- </w:t>
            </w: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wzniesione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 z użyciem wyrobów budowlanych;</w:t>
            </w:r>
          </w:p>
        </w:tc>
        <w:tc>
          <w:tcPr>
            <w:tcW w:w="114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2257D" w:rsidRPr="004F1752" w:rsidTr="00140378">
        <w:tc>
          <w:tcPr>
            <w:tcW w:w="562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2257D" w:rsidRPr="004F1752" w:rsidRDefault="00184848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Związek Pracodawców Polska Miedź</w:t>
            </w:r>
          </w:p>
        </w:tc>
        <w:tc>
          <w:tcPr>
            <w:tcW w:w="269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Art. 1a ust. 1 pkt 2b)</w:t>
            </w:r>
          </w:p>
        </w:tc>
        <w:tc>
          <w:tcPr>
            <w:tcW w:w="5103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Proponowana definicja całości techniczno-użytkowej w powiązaniu z nowoprojektowaną definicją budowli ( art. 1a, ust 2 pkt. 2 lit a)  i wskazanie w niej, że bez któregokolwiek elementu może uniemożliwiać realizację określonego celu gospodarczego może powodować rozszerzanie przedmiotu opodatkowania o instalacje/urządzenia (elementy) związane z obiektem (budowlą) również wówczas  gdy w/w nie są niezbędne dla spełnienia rzeczywistych funkcji obiektu.</w:t>
            </w:r>
          </w:p>
        </w:tc>
        <w:tc>
          <w:tcPr>
            <w:tcW w:w="4536" w:type="dxa"/>
          </w:tcPr>
          <w:p w:rsidR="0082257D" w:rsidRPr="004F1752" w:rsidRDefault="0082257D" w:rsidP="00140378">
            <w:pPr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Proponuje się likwidację definicji oraz całkowite wycofanie warunku „całości techniczno-użytkowej”  (w nowoprojektowanym art. 1a, ust</w:t>
            </w:r>
            <w:r>
              <w:rPr>
                <w:rFonts w:ascii="Lato" w:hAnsi="Lato" w:cs="Times New Roman"/>
                <w:sz w:val="20"/>
                <w:szCs w:val="20"/>
              </w:rPr>
              <w:t>.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 2 pkt 2 lit a) </w:t>
            </w:r>
          </w:p>
          <w:p w:rsidR="0082257D" w:rsidRPr="004F1752" w:rsidRDefault="0082257D" w:rsidP="00140378">
            <w:pPr>
              <w:rPr>
                <w:rFonts w:ascii="Lato" w:hAnsi="Lato" w:cs="Times New Roman"/>
                <w:sz w:val="20"/>
                <w:szCs w:val="20"/>
              </w:rPr>
            </w:pPr>
          </w:p>
          <w:p w:rsidR="0082257D" w:rsidRPr="004F1752" w:rsidRDefault="0082257D" w:rsidP="00140378">
            <w:pPr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alternatywnie, przy zachowaniu definicji „całość techniczno-użytkowa” doprecyzowanie zapisu  art. 1a, ust</w:t>
            </w:r>
            <w:r>
              <w:rPr>
                <w:rFonts w:ascii="Lato" w:hAnsi="Lato" w:cs="Times New Roman"/>
                <w:sz w:val="20"/>
                <w:szCs w:val="20"/>
              </w:rPr>
              <w:t>.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 2 pkt 2 lit a) </w:t>
            </w:r>
            <w:proofErr w:type="spellStart"/>
            <w:r w:rsidRPr="004F1752">
              <w:rPr>
                <w:rFonts w:ascii="Lato" w:hAnsi="Lato" w:cs="Times New Roman"/>
                <w:sz w:val="20"/>
                <w:szCs w:val="20"/>
              </w:rPr>
              <w:t>j.n</w:t>
            </w:r>
            <w:proofErr w:type="spellEnd"/>
            <w:r w:rsidRPr="004F1752">
              <w:rPr>
                <w:rFonts w:ascii="Lato" w:hAnsi="Lato" w:cs="Times New Roman"/>
                <w:sz w:val="20"/>
                <w:szCs w:val="20"/>
              </w:rPr>
              <w:t>::</w:t>
            </w: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  <w:p w:rsidR="0082257D" w:rsidRPr="004F1752" w:rsidRDefault="0082257D" w:rsidP="008225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/>
                <w:sz w:val="20"/>
                <w:szCs w:val="20"/>
              </w:rPr>
              <w:t xml:space="preserve"> obiekty wymienione w załączniku nr 4 do ustawy, a także instalacje i urządzenia, jeżeli stanowią wraz z tym obiektem całość techniczno</w:t>
            </w:r>
            <w:r w:rsidRPr="004F1752">
              <w:rPr>
                <w:rFonts w:ascii="Lato" w:hAnsi="Lato" w:cs="Times"/>
                <w:sz w:val="20"/>
                <w:szCs w:val="20"/>
              </w:rPr>
              <w:t>-</w:t>
            </w:r>
            <w:r w:rsidRPr="004F1752">
              <w:rPr>
                <w:rFonts w:ascii="Lato" w:hAnsi="Lato"/>
                <w:sz w:val="20"/>
                <w:szCs w:val="20"/>
              </w:rPr>
              <w:t xml:space="preserve">użytkową i jednocześnie są niezbędne do funkcjonowania obiektu zgodnie z jego przeznaczeniem. </w:t>
            </w: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2257D" w:rsidRPr="004F1752" w:rsidTr="00140378">
        <w:tc>
          <w:tcPr>
            <w:tcW w:w="562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82257D" w:rsidRPr="004F1752" w:rsidRDefault="00184848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Związek Pracodawców Polska Miedź</w:t>
            </w:r>
          </w:p>
        </w:tc>
        <w:tc>
          <w:tcPr>
            <w:tcW w:w="269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Art. 1a ust. 1 pkt 2c)</w:t>
            </w:r>
          </w:p>
        </w:tc>
        <w:tc>
          <w:tcPr>
            <w:tcW w:w="5103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Proponowana definicja trwałego związania z gruntem jest mało precyzyjna.</w:t>
            </w:r>
          </w:p>
        </w:tc>
        <w:tc>
          <w:tcPr>
            <w:tcW w:w="4536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2c)</w:t>
            </w:r>
            <w:r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>trwałe związanie z gruntem – takie związanie obiektu budowalnego z gruntem, które zapewnia mu stabilność i brak samoistnego przemieszczania, gdzie przeniesienie obiektu w inne miejsce wiąże się z jego uszkodzeniem (powrót do cywilistycznego podejścia).</w:t>
            </w:r>
          </w:p>
        </w:tc>
        <w:tc>
          <w:tcPr>
            <w:tcW w:w="114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2257D" w:rsidRPr="004F1752" w:rsidTr="00140378">
        <w:tc>
          <w:tcPr>
            <w:tcW w:w="562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257D" w:rsidRPr="004F1752" w:rsidRDefault="00184848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Związek Pracodawców Polska Miedź</w:t>
            </w:r>
          </w:p>
        </w:tc>
        <w:tc>
          <w:tcPr>
            <w:tcW w:w="269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Załącznik nr 4</w:t>
            </w:r>
          </w:p>
        </w:tc>
        <w:tc>
          <w:tcPr>
            <w:tcW w:w="5103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Jako zbyt ogólne i niewystarczające ocenia się hasłowe wymienienie (za ustawą Prawo budowlane) obiektów, które mają podlegać opodatkowaniu. Skutkować to może:</w:t>
            </w:r>
          </w:p>
          <w:p w:rsidR="0082257D" w:rsidRPr="004F1752" w:rsidRDefault="0082257D" w:rsidP="008225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rozszerzeniem zakresu opodatkowania (np. poz. 20 – konstrukcja oporowa)</w:t>
            </w:r>
            <w:r>
              <w:rPr>
                <w:rFonts w:ascii="Lato" w:hAnsi="Lato" w:cs="Times New Roman"/>
                <w:sz w:val="20"/>
                <w:szCs w:val="20"/>
              </w:rPr>
              <w:t>, poprzez brak doprecyzowania, jednoznaczności zakresu pojęcia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; </w:t>
            </w:r>
          </w:p>
          <w:p w:rsidR="0082257D" w:rsidRPr="004F1752" w:rsidRDefault="0082257D" w:rsidP="008225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powstaniem ewentualnych sporów co do opodatkowania niektórych obiektów w związku z nowoprojektowanym art. 1a ust. 1 pkt. 2 (definicja budowli). Proponowana specyfikacja budowli, nie uwzględnia bowiem, że niektóre z pozycji załącznika nr 4 (np. </w:t>
            </w:r>
            <w:r>
              <w:rPr>
                <w:rFonts w:ascii="Lato" w:hAnsi="Lato" w:cs="Times New Roman"/>
                <w:sz w:val="20"/>
                <w:szCs w:val="20"/>
              </w:rPr>
              <w:t xml:space="preserve">obiekt sportowy, 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składowisko odpadów), to nie pojedynczy obiekt lecz zespół składników (budynków, budowli) czyli obiektów składowych.  Kierując się treścią obecnego projektu, w takich przypadkach, istnieje wątpliwość co do zasadności opodatkowania obiektów składowych jako budowli – jako nie wymienionych w załączniku nr 4 </w:t>
            </w:r>
            <w:r>
              <w:rPr>
                <w:rFonts w:ascii="Lato" w:hAnsi="Lato" w:cs="Times New Roman"/>
                <w:sz w:val="20"/>
                <w:szCs w:val="20"/>
              </w:rPr>
              <w:t>oraz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 nie mieszczących się w zakresie nowoprojektowanego art. 1a ust. 1 pkt. 2 lit. b</w:t>
            </w:r>
            <w:r>
              <w:rPr>
                <w:rFonts w:ascii="Lato" w:hAnsi="Lato" w:cs="Times New Roman"/>
                <w:sz w:val="20"/>
                <w:szCs w:val="20"/>
              </w:rPr>
              <w:t>)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>-e</w:t>
            </w:r>
            <w:r>
              <w:rPr>
                <w:rFonts w:ascii="Lato" w:hAnsi="Lato" w:cs="Times New Roman"/>
                <w:sz w:val="20"/>
                <w:szCs w:val="20"/>
              </w:rPr>
              <w:t>) (wyznaczającego zakres opodatkowania)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1)</w:t>
            </w:r>
            <w:r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Z uwagi na zbyt ogólne/hasłowe wymienienie obiektów w załączniku, które mają podlegać opodatkowaniu konieczne staje się uzupełnienie załącznika o objaśnienia szczegółowe, w których zostaną skonkretyzowane obiekty (ich zespoły) podlegające opodatkowaniu (na wzór objaśnień szczegółowych jakie znajdują się w Rozporządzeniu Rady Ministrów z dnia 3.10.2016 w sprawie Klasyfikacji Środków Trwałych (KŚT). </w:t>
            </w: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2)</w:t>
            </w:r>
            <w:r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Zwraca się szczególną uwagę na konieczność doprecyzowania pozycji konstrukcja oporowa (poz. 20 w Załączniku). Należy  uwzględnić specyfikę branży górnictwa  i kwestię opodatkowania elementów wyrobisk górniczych. Przez wiele lat toczyły się spory dotyczące ustalenia, które elementy składających się na wyrobisko górnicze podlegają opodatkowaniu. Finalne rozstrzygnięcia sądów administracyjnych potwierdziły wyłączenie z opodatkowania kosztów drążenia wyrobisk górniczych oraz konstrukcje kotwowe (np. w górnictwie złóż miedzi) uznając je jako nie mieszczące się w definicji konstrukcji oporowej. Zaproponowane w załączniku  wskazanie konstrukcji oporowej jako podlegającej opodatkowaniu przekreśla wypracowany dorobek orzeczniczy w zakresie ustalenia elementów wyrobiska podlegających 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lastRenderedPageBreak/>
              <w:t xml:space="preserve">opodatkowaniu.  </w:t>
            </w:r>
          </w:p>
        </w:tc>
        <w:tc>
          <w:tcPr>
            <w:tcW w:w="114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2257D" w:rsidRPr="004F1752" w:rsidTr="00140378">
        <w:tc>
          <w:tcPr>
            <w:tcW w:w="562" w:type="dxa"/>
          </w:tcPr>
          <w:p w:rsidR="0082257D" w:rsidRPr="004F1752" w:rsidRDefault="0082257D" w:rsidP="00140378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82257D" w:rsidRPr="004F1752" w:rsidRDefault="00184848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Związek Pracodawców Polska Miedź</w:t>
            </w:r>
            <w:bookmarkStart w:id="2" w:name="_GoBack"/>
            <w:bookmarkEnd w:id="2"/>
          </w:p>
        </w:tc>
        <w:tc>
          <w:tcPr>
            <w:tcW w:w="269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>Art 6 ust. 3 oraz ust. 4 ustawy o opłatach i podatkach lokalnych</w:t>
            </w:r>
          </w:p>
        </w:tc>
        <w:tc>
          <w:tcPr>
            <w:tcW w:w="5103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Doprecyzowania wymagają również regulacje ustawy odnoszące się do momentu wygaśnięcia obowiązku podatkowego w podatku od nieruchomości w odniesieniu do budowli. Co do zasady podatek od nieruchomości jest podatkiem majątkowym, zaś jednym z warunków konicznych dla obciążenia podatnika tym podatkiem jest </w:t>
            </w: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posiadanie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 (przez podatnika) nieruchomości (na podstawie tytułów wymienionych w art. 3 ust. 1 ustawy). Tymczasem organy podatkowe (jak i sądy) od pewnego czasu prezentują stanowisko, iż ustanie posiadania budowli (jej części) w trakcie roku nie skutkuje wygaśnięciem obowiązku podatkowego od następnego miesiąca po ustaniu posiadania, z uwagi na art. 4 ust, 1 pkt. 3 ustawy (który wskazuje, iż podstawę opodatkowania dla budowli lub ich części związanych z prowadzeniem działalności gospodarczej stanowi ich wartość ustalona na 1 stycznia roku podatkowego, będąca podstawą naliczania odpisów amortyzacyjnych…). </w:t>
            </w: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W konsekwencji utrwalającego się trendu, </w:t>
            </w:r>
            <w:r w:rsidRPr="004F1752">
              <w:rPr>
                <w:rFonts w:ascii="Lato" w:hAnsi="Lato" w:cs="Times New Roman"/>
                <w:b/>
                <w:bCs/>
                <w:sz w:val="20"/>
                <w:szCs w:val="20"/>
              </w:rPr>
              <w:t>podatnicy są bezpodstawnie obciążani podatkiem od nieruchomości, których fizycznie nie posiadają</w:t>
            </w:r>
            <w:r w:rsidRPr="004F1752">
              <w:rPr>
                <w:rFonts w:ascii="Lato" w:hAnsi="Lato" w:cs="Times New Roman"/>
                <w:sz w:val="20"/>
                <w:szCs w:val="20"/>
              </w:rPr>
              <w:t xml:space="preserve"> (np. wskutek likwidacji, sprzedaży  budowli lub ich części w trakcie roku) i co do których brak jest możliwości ich wykorzystania w działalności gospodarczej podatnika. </w:t>
            </w:r>
          </w:p>
        </w:tc>
        <w:tc>
          <w:tcPr>
            <w:tcW w:w="4536" w:type="dxa"/>
          </w:tcPr>
          <w:p w:rsidR="0082257D" w:rsidRPr="004F1752" w:rsidRDefault="0082257D" w:rsidP="00140378">
            <w:pPr>
              <w:shd w:val="clear" w:color="auto" w:fill="FFFFFF"/>
              <w:rPr>
                <w:rFonts w:ascii="Lato" w:eastAsia="Times New Roman" w:hAnsi="Lato" w:cs="Open Sans"/>
                <w:color w:val="333333"/>
                <w:sz w:val="20"/>
                <w:szCs w:val="20"/>
                <w:lang w:eastAsia="pl-PL"/>
              </w:rPr>
            </w:pPr>
            <w:r w:rsidRPr="004F1752">
              <w:rPr>
                <w:rFonts w:ascii="Lato" w:eastAsia="Times New Roman" w:hAnsi="Lato" w:cs="Open Sans"/>
                <w:color w:val="333333"/>
                <w:sz w:val="20"/>
                <w:szCs w:val="20"/>
                <w:lang w:eastAsia="pl-PL"/>
              </w:rPr>
              <w:t>Art. 6  </w:t>
            </w:r>
          </w:p>
          <w:p w:rsidR="0082257D" w:rsidRPr="004F1752" w:rsidRDefault="0082257D" w:rsidP="00140378">
            <w:pPr>
              <w:shd w:val="clear" w:color="auto" w:fill="FFFFFF"/>
              <w:rPr>
                <w:rFonts w:ascii="Lato" w:eastAsia="Times New Roman" w:hAnsi="Lato" w:cs="Open Sans"/>
                <w:color w:val="333333"/>
                <w:sz w:val="20"/>
                <w:szCs w:val="20"/>
                <w:lang w:eastAsia="pl-PL"/>
              </w:rPr>
            </w:pPr>
            <w:r w:rsidRPr="004F1752">
              <w:rPr>
                <w:rFonts w:ascii="Lato" w:eastAsia="Times New Roman" w:hAnsi="Lato" w:cs="Open Sans"/>
                <w:color w:val="333333"/>
                <w:sz w:val="20"/>
                <w:szCs w:val="20"/>
                <w:lang w:eastAsia="pl-PL"/>
              </w:rPr>
              <w:t xml:space="preserve">ust. 3. Jeżeli w trakcie roku podatkowego zaistniało zdarzenie mające wpływ na wysokość opodatkowania w tym roku, a w szczególności zmiana sposobu wykorzystywania przedmiotu opodatkowania lub jego części </w:t>
            </w:r>
            <w:r w:rsidRPr="004F1752">
              <w:rPr>
                <w:rFonts w:ascii="Lato" w:eastAsia="Times New Roman" w:hAnsi="Lato" w:cs="Open Sans"/>
                <w:b/>
                <w:bCs/>
                <w:color w:val="333333"/>
                <w:sz w:val="20"/>
                <w:szCs w:val="20"/>
                <w:lang w:eastAsia="pl-PL"/>
              </w:rPr>
              <w:t>(w tym likwidacja, sprzedaż przedmiotu opodatkowania)</w:t>
            </w:r>
            <w:r w:rsidRPr="004F1752">
              <w:rPr>
                <w:rFonts w:ascii="Lato" w:eastAsia="Times New Roman" w:hAnsi="Lato" w:cs="Open Sans"/>
                <w:color w:val="333333"/>
                <w:sz w:val="20"/>
                <w:szCs w:val="20"/>
                <w:lang w:eastAsia="pl-PL"/>
              </w:rPr>
              <w:t>, podatek ulega obniżeniu lub podwyższeniu, poczynając od pierwszego dnia miesiąca następującego po miesiącu, w którym nastąpiło to zdarzenie.</w:t>
            </w:r>
          </w:p>
          <w:p w:rsidR="0082257D" w:rsidRPr="004F1752" w:rsidRDefault="0082257D" w:rsidP="00140378">
            <w:pPr>
              <w:shd w:val="clear" w:color="auto" w:fill="FFFFFF"/>
              <w:rPr>
                <w:rFonts w:ascii="Lato" w:eastAsia="Times New Roman" w:hAnsi="Lato" w:cs="Open Sans"/>
                <w:color w:val="333333"/>
                <w:sz w:val="20"/>
                <w:szCs w:val="20"/>
                <w:lang w:eastAsia="pl-PL"/>
              </w:rPr>
            </w:pPr>
          </w:p>
          <w:p w:rsidR="0082257D" w:rsidRPr="004F1752" w:rsidRDefault="0082257D" w:rsidP="00140378">
            <w:pPr>
              <w:shd w:val="clear" w:color="auto" w:fill="FFFFFF"/>
              <w:rPr>
                <w:rFonts w:ascii="Lato" w:eastAsia="Times New Roman" w:hAnsi="Lato" w:cs="Open Sans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F1752">
              <w:rPr>
                <w:rFonts w:ascii="Lato" w:eastAsia="Times New Roman" w:hAnsi="Lato" w:cs="Open Sans"/>
                <w:color w:val="333333"/>
                <w:sz w:val="20"/>
                <w:szCs w:val="20"/>
                <w:lang w:eastAsia="pl-PL"/>
              </w:rPr>
              <w:t xml:space="preserve">ust. 4. Obowiązek podatkowy wygasa z upływem miesiąca, w którym ustały okoliczności uzasadniające ten obowiązek. </w:t>
            </w:r>
            <w:r w:rsidRPr="004F1752">
              <w:rPr>
                <w:rFonts w:ascii="Lato" w:eastAsia="Times New Roman" w:hAnsi="Lato" w:cs="Open Sans"/>
                <w:b/>
                <w:bCs/>
                <w:color w:val="333333"/>
                <w:sz w:val="20"/>
                <w:szCs w:val="20"/>
                <w:lang w:eastAsia="pl-PL"/>
              </w:rPr>
              <w:t>Dla określenia momentu wygaśnięcia obowiązku podatkowego dla budowli lub ich części art. 4 ust. 1 pkt. 3 nie ma zastosowania.</w:t>
            </w:r>
          </w:p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2257D" w:rsidRPr="004F1752" w:rsidRDefault="0082257D" w:rsidP="00140378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:rsidR="0082257D" w:rsidRPr="004F1752" w:rsidRDefault="0082257D" w:rsidP="0082257D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1C4499" w:rsidRDefault="001C4499"/>
    <w:sectPr w:rsidR="001C4499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15" w:rsidRDefault="00EE6315" w:rsidP="0082257D">
      <w:pPr>
        <w:spacing w:after="0" w:line="240" w:lineRule="auto"/>
      </w:pPr>
      <w:r>
        <w:separator/>
      </w:r>
    </w:p>
  </w:endnote>
  <w:endnote w:type="continuationSeparator" w:id="0">
    <w:p w:rsidR="00EE6315" w:rsidRDefault="00EE6315" w:rsidP="0082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15" w:rsidRDefault="00EE6315" w:rsidP="0082257D">
      <w:pPr>
        <w:spacing w:after="0" w:line="240" w:lineRule="auto"/>
      </w:pPr>
      <w:r>
        <w:separator/>
      </w:r>
    </w:p>
  </w:footnote>
  <w:footnote w:type="continuationSeparator" w:id="0">
    <w:p w:rsidR="00EE6315" w:rsidRDefault="00EE6315" w:rsidP="0082257D">
      <w:pPr>
        <w:spacing w:after="0" w:line="240" w:lineRule="auto"/>
      </w:pPr>
      <w:r>
        <w:continuationSeparator/>
      </w:r>
    </w:p>
  </w:footnote>
  <w:footnote w:id="1">
    <w:p w:rsidR="0082257D" w:rsidRPr="00EF494C" w:rsidRDefault="0082257D" w:rsidP="0082257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W przypadku aktu nowelizującego należy wskazać jednostkę redakcyjną projektu oraz jednostkę redakcyjną zmienianego aktu prawnego.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828"/>
    <w:multiLevelType w:val="hybridMultilevel"/>
    <w:tmpl w:val="0EBCA6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D01C6A"/>
    <w:multiLevelType w:val="hybridMultilevel"/>
    <w:tmpl w:val="4FC83950"/>
    <w:lvl w:ilvl="0" w:tplc="11A8BCC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D"/>
    <w:rsid w:val="00184848"/>
    <w:rsid w:val="001C4499"/>
    <w:rsid w:val="0082257D"/>
    <w:rsid w:val="00E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5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5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57D"/>
    <w:rPr>
      <w:vertAlign w:val="superscript"/>
    </w:rPr>
  </w:style>
  <w:style w:type="table" w:styleId="Tabela-Siatka">
    <w:name w:val="Table Grid"/>
    <w:basedOn w:val="Standardowy"/>
    <w:uiPriority w:val="39"/>
    <w:rsid w:val="0082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57D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82257D"/>
    <w:pPr>
      <w:spacing w:after="0" w:line="360" w:lineRule="auto"/>
      <w:ind w:left="233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5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5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57D"/>
    <w:rPr>
      <w:vertAlign w:val="superscript"/>
    </w:rPr>
  </w:style>
  <w:style w:type="table" w:styleId="Tabela-Siatka">
    <w:name w:val="Table Grid"/>
    <w:basedOn w:val="Standardowy"/>
    <w:uiPriority w:val="39"/>
    <w:rsid w:val="0082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57D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82257D"/>
    <w:pPr>
      <w:spacing w:after="0" w:line="360" w:lineRule="auto"/>
      <w:ind w:left="233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ZPPM</cp:lastModifiedBy>
  <cp:revision>2</cp:revision>
  <dcterms:created xsi:type="dcterms:W3CDTF">2024-07-08T13:15:00Z</dcterms:created>
  <dcterms:modified xsi:type="dcterms:W3CDTF">2024-07-08T13:31:00Z</dcterms:modified>
</cp:coreProperties>
</file>