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4F" w:rsidRPr="009A57CE" w:rsidRDefault="0068344F" w:rsidP="0068344F">
      <w:pPr>
        <w:spacing w:after="0" w:line="240" w:lineRule="auto"/>
        <w:jc w:val="center"/>
        <w:rPr>
          <w:rFonts w:ascii="Open Sans" w:hAnsi="Open Sans" w:cs="Open Sans"/>
          <w:b/>
          <w:bCs/>
          <w:sz w:val="20"/>
          <w:szCs w:val="20"/>
        </w:rPr>
      </w:pPr>
      <w:bookmarkStart w:id="0" w:name="_Hlk107398740"/>
      <w:r w:rsidRPr="009A57CE">
        <w:rPr>
          <w:rFonts w:ascii="Open Sans" w:hAnsi="Open Sans" w:cs="Open Sans"/>
          <w:b/>
          <w:bCs/>
          <w:sz w:val="20"/>
          <w:szCs w:val="20"/>
        </w:rPr>
        <w:t xml:space="preserve">Uwagi do projektu ustawy </w:t>
      </w:r>
      <w:r w:rsidRPr="00A74D29">
        <w:rPr>
          <w:rFonts w:ascii="Open Sans" w:hAnsi="Open Sans" w:cs="Open Sans"/>
          <w:b/>
          <w:bCs/>
          <w:sz w:val="20"/>
          <w:szCs w:val="20"/>
        </w:rPr>
        <w:t>o zmianie ustawy o zarządzaniu kryzysowym oraz niektórych innych ustaw (UC47</w:t>
      </w:r>
      <w:r>
        <w:rPr>
          <w:rFonts w:ascii="Open Sans" w:hAnsi="Open Sans" w:cs="Open Sans"/>
          <w:b/>
          <w:bCs/>
          <w:sz w:val="20"/>
          <w:szCs w:val="20"/>
        </w:rPr>
        <w:t>)</w:t>
      </w:r>
    </w:p>
    <w:p w:rsidR="0068344F" w:rsidRPr="009A57CE" w:rsidRDefault="0068344F" w:rsidP="0068344F">
      <w:pPr>
        <w:spacing w:after="0" w:line="240" w:lineRule="auto"/>
        <w:rPr>
          <w:rFonts w:ascii="Open Sans" w:hAnsi="Open Sans" w:cs="Open Sans"/>
          <w:sz w:val="20"/>
          <w:szCs w:val="20"/>
        </w:rPr>
      </w:pPr>
    </w:p>
    <w:tbl>
      <w:tblPr>
        <w:tblStyle w:val="Tabela-Siatka"/>
        <w:tblpPr w:leftFromText="142" w:rightFromText="142" w:vertAnchor="text" w:horzAnchor="margin" w:tblpXSpec="center" w:tblpY="58"/>
        <w:tblW w:w="15740" w:type="dxa"/>
        <w:tblLayout w:type="fixed"/>
        <w:tblLook w:val="04A0" w:firstRow="1" w:lastRow="0" w:firstColumn="1" w:lastColumn="0" w:noHBand="0" w:noVBand="1"/>
      </w:tblPr>
      <w:tblGrid>
        <w:gridCol w:w="675"/>
        <w:gridCol w:w="1447"/>
        <w:gridCol w:w="1701"/>
        <w:gridCol w:w="6804"/>
        <w:gridCol w:w="3685"/>
        <w:gridCol w:w="1428"/>
      </w:tblGrid>
      <w:tr w:rsidR="0068344F" w:rsidRPr="009A57CE" w:rsidTr="0068344F">
        <w:trPr>
          <w:trHeight w:val="551"/>
          <w:tblHeader/>
        </w:trPr>
        <w:tc>
          <w:tcPr>
            <w:tcW w:w="675" w:type="dxa"/>
            <w:vAlign w:val="center"/>
          </w:tcPr>
          <w:p w:rsidR="0068344F" w:rsidRPr="009A57CE" w:rsidRDefault="0068344F" w:rsidP="00312D23">
            <w:pPr>
              <w:ind w:left="-262"/>
              <w:jc w:val="center"/>
              <w:rPr>
                <w:rFonts w:ascii="Open Sans" w:hAnsi="Open Sans" w:cs="Open Sans"/>
                <w:b/>
                <w:bCs/>
                <w:sz w:val="20"/>
                <w:szCs w:val="20"/>
              </w:rPr>
            </w:pPr>
            <w:r w:rsidRPr="009A57CE">
              <w:rPr>
                <w:rFonts w:ascii="Open Sans" w:hAnsi="Open Sans" w:cs="Open Sans"/>
                <w:b/>
                <w:bCs/>
                <w:sz w:val="20"/>
                <w:szCs w:val="20"/>
              </w:rPr>
              <w:t>Lp.</w:t>
            </w:r>
          </w:p>
        </w:tc>
        <w:tc>
          <w:tcPr>
            <w:tcW w:w="1447" w:type="dxa"/>
            <w:vAlign w:val="center"/>
          </w:tcPr>
          <w:p w:rsidR="0068344F" w:rsidRPr="009A57CE" w:rsidRDefault="0068344F" w:rsidP="00312D23">
            <w:pPr>
              <w:jc w:val="center"/>
              <w:rPr>
                <w:rFonts w:ascii="Open Sans" w:hAnsi="Open Sans" w:cs="Open Sans"/>
                <w:b/>
                <w:bCs/>
                <w:sz w:val="20"/>
                <w:szCs w:val="20"/>
              </w:rPr>
            </w:pPr>
            <w:r w:rsidRPr="009A57CE">
              <w:rPr>
                <w:rFonts w:ascii="Open Sans" w:hAnsi="Open Sans" w:cs="Open Sans"/>
                <w:b/>
                <w:bCs/>
                <w:sz w:val="20"/>
                <w:szCs w:val="20"/>
              </w:rPr>
              <w:t>Podmiot wnoszący uwagę</w:t>
            </w:r>
          </w:p>
        </w:tc>
        <w:tc>
          <w:tcPr>
            <w:tcW w:w="1701" w:type="dxa"/>
            <w:vAlign w:val="center"/>
          </w:tcPr>
          <w:p w:rsidR="0068344F" w:rsidRPr="009A57CE" w:rsidRDefault="0068344F" w:rsidP="00312D23">
            <w:pPr>
              <w:jc w:val="center"/>
              <w:rPr>
                <w:rFonts w:ascii="Open Sans" w:hAnsi="Open Sans" w:cs="Open Sans"/>
                <w:b/>
                <w:bCs/>
                <w:sz w:val="20"/>
                <w:szCs w:val="20"/>
              </w:rPr>
            </w:pPr>
            <w:r w:rsidRPr="009A57CE">
              <w:rPr>
                <w:rFonts w:ascii="Open Sans" w:hAnsi="Open Sans" w:cs="Open Sans"/>
                <w:b/>
                <w:bCs/>
                <w:sz w:val="20"/>
                <w:szCs w:val="20"/>
              </w:rPr>
              <w:t>Jednostka redakcyjna, do której wnoszona jest uwaga</w:t>
            </w:r>
          </w:p>
        </w:tc>
        <w:tc>
          <w:tcPr>
            <w:tcW w:w="6804" w:type="dxa"/>
            <w:vAlign w:val="center"/>
          </w:tcPr>
          <w:p w:rsidR="0068344F" w:rsidRPr="009A57CE" w:rsidRDefault="0068344F" w:rsidP="00312D23">
            <w:pPr>
              <w:jc w:val="center"/>
              <w:rPr>
                <w:rFonts w:ascii="Open Sans" w:hAnsi="Open Sans" w:cs="Open Sans"/>
                <w:b/>
                <w:bCs/>
                <w:sz w:val="20"/>
                <w:szCs w:val="20"/>
              </w:rPr>
            </w:pPr>
            <w:r w:rsidRPr="009A57CE">
              <w:rPr>
                <w:rFonts w:ascii="Open Sans" w:hAnsi="Open Sans" w:cs="Open Sans"/>
                <w:b/>
                <w:bCs/>
                <w:sz w:val="20"/>
                <w:szCs w:val="20"/>
              </w:rPr>
              <w:t>Treść uwagi</w:t>
            </w:r>
          </w:p>
        </w:tc>
        <w:tc>
          <w:tcPr>
            <w:tcW w:w="3685" w:type="dxa"/>
            <w:vAlign w:val="center"/>
          </w:tcPr>
          <w:p w:rsidR="0068344F" w:rsidRPr="009A57CE" w:rsidRDefault="0068344F" w:rsidP="00312D23">
            <w:pPr>
              <w:jc w:val="center"/>
              <w:rPr>
                <w:rFonts w:ascii="Open Sans" w:hAnsi="Open Sans" w:cs="Open Sans"/>
                <w:b/>
                <w:bCs/>
                <w:sz w:val="20"/>
                <w:szCs w:val="20"/>
              </w:rPr>
            </w:pPr>
            <w:r w:rsidRPr="009A57CE">
              <w:rPr>
                <w:rFonts w:ascii="Open Sans" w:hAnsi="Open Sans" w:cs="Open Sans"/>
                <w:b/>
                <w:bCs/>
                <w:sz w:val="20"/>
                <w:szCs w:val="20"/>
              </w:rPr>
              <w:t>Propozycja brzmienia przepisu</w:t>
            </w:r>
          </w:p>
        </w:tc>
        <w:tc>
          <w:tcPr>
            <w:tcW w:w="1428" w:type="dxa"/>
            <w:vAlign w:val="center"/>
          </w:tcPr>
          <w:p w:rsidR="0068344F" w:rsidRPr="009A57CE" w:rsidRDefault="0068344F" w:rsidP="00312D23">
            <w:pPr>
              <w:jc w:val="center"/>
              <w:rPr>
                <w:rFonts w:ascii="Open Sans" w:hAnsi="Open Sans" w:cs="Open Sans"/>
                <w:b/>
                <w:bCs/>
                <w:sz w:val="20"/>
                <w:szCs w:val="20"/>
              </w:rPr>
            </w:pPr>
            <w:r w:rsidRPr="009A57CE">
              <w:rPr>
                <w:rFonts w:ascii="Open Sans" w:hAnsi="Open Sans" w:cs="Open Sans"/>
                <w:b/>
                <w:bCs/>
                <w:sz w:val="20"/>
                <w:szCs w:val="20"/>
              </w:rPr>
              <w:t>Stanowisko do uwagi</w:t>
            </w:r>
          </w:p>
        </w:tc>
      </w:tr>
      <w:tr w:rsidR="0068344F" w:rsidRPr="009A57CE" w:rsidTr="0068344F">
        <w:tc>
          <w:tcPr>
            <w:tcW w:w="675" w:type="dxa"/>
          </w:tcPr>
          <w:p w:rsidR="0068344F" w:rsidRPr="00A74D29" w:rsidRDefault="0068344F" w:rsidP="00312D23">
            <w:pPr>
              <w:ind w:left="-262"/>
              <w:jc w:val="center"/>
              <w:rPr>
                <w:rFonts w:ascii="Open Sans" w:hAnsi="Open Sans" w:cs="Open Sans"/>
                <w:sz w:val="20"/>
                <w:szCs w:val="20"/>
              </w:rPr>
            </w:pPr>
            <w:r>
              <w:rPr>
                <w:rFonts w:ascii="Open Sans" w:hAnsi="Open Sans" w:cs="Open Sans"/>
                <w:sz w:val="20"/>
                <w:szCs w:val="20"/>
              </w:rPr>
              <w:t>1.</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p>
        </w:tc>
        <w:tc>
          <w:tcPr>
            <w:tcW w:w="6804" w:type="dxa"/>
          </w:tcPr>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Proponuje się ujednolicić definicje i pojęcia występujące w</w:t>
            </w:r>
            <w:r>
              <w:rPr>
                <w:rFonts w:ascii="Open Sans" w:hAnsi="Open Sans" w:cs="Open Sans"/>
                <w:sz w:val="20"/>
                <w:szCs w:val="20"/>
              </w:rPr>
              <w:t> </w:t>
            </w:r>
            <w:r w:rsidRPr="00244827">
              <w:rPr>
                <w:rFonts w:ascii="Open Sans" w:hAnsi="Open Sans" w:cs="Open Sans"/>
                <w:sz w:val="20"/>
                <w:szCs w:val="20"/>
              </w:rPr>
              <w:t xml:space="preserve">przedmiotowym projekcie ustawy  o zmianie ustawy o zarządzaniu kryzysowym oraz niektórych innych ustaw (dalej: „projekt UC47” lub „projekt ustawy”) oraz w projekcie ustawy  o zmianie ustawy o krajowym systemie </w:t>
            </w:r>
            <w:proofErr w:type="spellStart"/>
            <w:r w:rsidRPr="00244827">
              <w:rPr>
                <w:rFonts w:ascii="Open Sans" w:hAnsi="Open Sans" w:cs="Open Sans"/>
                <w:sz w:val="20"/>
                <w:szCs w:val="20"/>
              </w:rPr>
              <w:t>cyberbezpieczeństwa</w:t>
            </w:r>
            <w:proofErr w:type="spellEnd"/>
            <w:r w:rsidRPr="00244827">
              <w:rPr>
                <w:rFonts w:ascii="Open Sans" w:hAnsi="Open Sans" w:cs="Open Sans"/>
                <w:sz w:val="20"/>
                <w:szCs w:val="20"/>
              </w:rPr>
              <w:t xml:space="preserve"> oraz niektórych innych ustaw (dalej: „projekt UC32”). Postuluje się również ujednolicenie załączników i</w:t>
            </w:r>
            <w:r>
              <w:rPr>
                <w:rFonts w:ascii="Open Sans" w:hAnsi="Open Sans" w:cs="Open Sans"/>
                <w:sz w:val="20"/>
                <w:szCs w:val="20"/>
              </w:rPr>
              <w:t> </w:t>
            </w:r>
            <w:r w:rsidRPr="00244827">
              <w:rPr>
                <w:rFonts w:ascii="Open Sans" w:hAnsi="Open Sans" w:cs="Open Sans"/>
                <w:sz w:val="20"/>
                <w:szCs w:val="20"/>
              </w:rPr>
              <w:t>progów istotności pomiędzy  projektem UC47, a projektem UC32.</w:t>
            </w:r>
          </w:p>
          <w:p w:rsidR="0068344F" w:rsidRPr="00244827" w:rsidRDefault="0068344F" w:rsidP="00312D23">
            <w:pPr>
              <w:jc w:val="both"/>
              <w:rPr>
                <w:rFonts w:ascii="Open Sans" w:hAnsi="Open Sans" w:cs="Open Sans"/>
                <w:sz w:val="20"/>
                <w:szCs w:val="20"/>
              </w:rPr>
            </w:pPr>
          </w:p>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Ujednolicenie pozwoli na jednoznaczną interpretacje przepisów i</w:t>
            </w:r>
            <w:r>
              <w:rPr>
                <w:rFonts w:ascii="Open Sans" w:hAnsi="Open Sans" w:cs="Open Sans"/>
                <w:sz w:val="20"/>
                <w:szCs w:val="20"/>
              </w:rPr>
              <w:t> </w:t>
            </w:r>
            <w:r w:rsidRPr="00244827">
              <w:rPr>
                <w:rFonts w:ascii="Open Sans" w:hAnsi="Open Sans" w:cs="Open Sans"/>
                <w:sz w:val="20"/>
                <w:szCs w:val="20"/>
              </w:rPr>
              <w:t>klasyfikację podmiotów podlegających pod wskazane projekty.</w:t>
            </w:r>
          </w:p>
          <w:p w:rsidR="0068344F" w:rsidRPr="00244827" w:rsidRDefault="0068344F" w:rsidP="00312D23">
            <w:pPr>
              <w:jc w:val="both"/>
              <w:rPr>
                <w:rFonts w:ascii="Open Sans" w:hAnsi="Open Sans" w:cs="Open Sans"/>
                <w:sz w:val="20"/>
                <w:szCs w:val="20"/>
              </w:rPr>
            </w:pP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t>2.</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p>
        </w:tc>
        <w:tc>
          <w:tcPr>
            <w:tcW w:w="6804" w:type="dxa"/>
          </w:tcPr>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W projekcie jest często mowa o podmiocie krytycznym oraz o podmiocie realizującym usługę kluczową. Regulacja zamiennie i niejednoznacznie wskazuje, których podmiotów dotyczą przepisy zapisując je rozdzielnie („podmiot krytyczny, świadczący usługę kluczową i…”), lub łącznie (np. „podmiot krytyczny świadczący usługę kluczową”). Niejasność brzmienia przepisu (definicji) może powodować wątpliwości interpretacyjne, dotyczące np. występowania trzeciego rodzaj podmiotu.</w:t>
            </w:r>
          </w:p>
          <w:p w:rsidR="0068344F" w:rsidRPr="00244827" w:rsidRDefault="0068344F" w:rsidP="00312D23">
            <w:pPr>
              <w:jc w:val="both"/>
              <w:rPr>
                <w:rFonts w:ascii="Open Sans" w:hAnsi="Open Sans" w:cs="Open Sans"/>
                <w:sz w:val="20"/>
                <w:szCs w:val="20"/>
              </w:rPr>
            </w:pPr>
          </w:p>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 xml:space="preserve">Brak jednoznaczności w objęciu zdefiniowanego podmiotu danym przepisem. </w:t>
            </w:r>
          </w:p>
          <w:p w:rsidR="0068344F" w:rsidRPr="00244827" w:rsidRDefault="0068344F" w:rsidP="00312D23">
            <w:pPr>
              <w:jc w:val="both"/>
              <w:rPr>
                <w:rFonts w:ascii="Open Sans" w:hAnsi="Open Sans" w:cs="Open Sans"/>
                <w:sz w:val="20"/>
                <w:szCs w:val="20"/>
              </w:rPr>
            </w:pP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t>3.</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a</w:t>
            </w:r>
            <w:r w:rsidRPr="00244827">
              <w:rPr>
                <w:rFonts w:ascii="Open Sans" w:hAnsi="Open Sans" w:cs="Open Sans"/>
                <w:sz w:val="20"/>
                <w:szCs w:val="20"/>
              </w:rPr>
              <w:t>rt. 1 ust. 1. Pkt 3b</w:t>
            </w:r>
          </w:p>
        </w:tc>
        <w:tc>
          <w:tcPr>
            <w:tcW w:w="6804" w:type="dxa"/>
          </w:tcPr>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Zarówno projekt UC32, jak i projekt UC47</w:t>
            </w:r>
            <w:r>
              <w:rPr>
                <w:rFonts w:ascii="Open Sans" w:hAnsi="Open Sans" w:cs="Open Sans"/>
                <w:sz w:val="20"/>
                <w:szCs w:val="20"/>
              </w:rPr>
              <w:t>,</w:t>
            </w:r>
            <w:r w:rsidRPr="00244827">
              <w:rPr>
                <w:rFonts w:ascii="Open Sans" w:hAnsi="Open Sans" w:cs="Open Sans"/>
                <w:sz w:val="20"/>
                <w:szCs w:val="20"/>
              </w:rPr>
              <w:t xml:space="preserve"> posługują się pojęciem „podmiot krytyczny” - przy różnych jego definicjach w obu projektach. Dla uniknięcia rozbieżności interpretacyjnych należy dokonać ich ujednolicenia. </w:t>
            </w: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t>4.</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Załącznik nr 1</w:t>
            </w:r>
          </w:p>
        </w:tc>
        <w:tc>
          <w:tcPr>
            <w:tcW w:w="6804" w:type="dxa"/>
          </w:tcPr>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Załącznik nr 1 do projektu ustawy posługuje się pojęciem „Podmiot</w:t>
            </w:r>
            <w:r>
              <w:rPr>
                <w:rFonts w:ascii="Open Sans" w:hAnsi="Open Sans" w:cs="Open Sans"/>
                <w:sz w:val="20"/>
                <w:szCs w:val="20"/>
              </w:rPr>
              <w:t xml:space="preserve"> </w:t>
            </w:r>
            <w:r w:rsidRPr="00244827">
              <w:rPr>
                <w:rFonts w:ascii="Open Sans" w:hAnsi="Open Sans" w:cs="Open Sans"/>
                <w:sz w:val="20"/>
                <w:szCs w:val="20"/>
              </w:rPr>
              <w:t>kluczow</w:t>
            </w:r>
            <w:r>
              <w:rPr>
                <w:rFonts w:ascii="Open Sans" w:hAnsi="Open Sans" w:cs="Open Sans"/>
                <w:sz w:val="20"/>
                <w:szCs w:val="20"/>
              </w:rPr>
              <w:t>y</w:t>
            </w:r>
            <w:r w:rsidRPr="00244827">
              <w:rPr>
                <w:rFonts w:ascii="Open Sans" w:hAnsi="Open Sans" w:cs="Open Sans"/>
                <w:sz w:val="20"/>
                <w:szCs w:val="20"/>
              </w:rPr>
              <w:t>”, które nie zostało zdefiniowane w projekcie</w:t>
            </w:r>
            <w:r>
              <w:rPr>
                <w:rFonts w:ascii="Open Sans" w:hAnsi="Open Sans" w:cs="Open Sans"/>
                <w:sz w:val="20"/>
                <w:szCs w:val="20"/>
              </w:rPr>
              <w:t xml:space="preserve"> ustawy</w:t>
            </w:r>
            <w:r w:rsidRPr="00244827">
              <w:rPr>
                <w:rFonts w:ascii="Open Sans" w:hAnsi="Open Sans" w:cs="Open Sans"/>
                <w:sz w:val="20"/>
                <w:szCs w:val="20"/>
              </w:rPr>
              <w:t xml:space="preserve">. </w:t>
            </w:r>
            <w:r>
              <w:rPr>
                <w:rFonts w:ascii="Open Sans" w:hAnsi="Open Sans" w:cs="Open Sans"/>
                <w:sz w:val="20"/>
                <w:szCs w:val="20"/>
              </w:rPr>
              <w:t>Wskazane jest zawarcie w projekcie definicji ww. pojęcia.</w:t>
            </w: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t>5.</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 xml:space="preserve">Związek </w:t>
            </w:r>
            <w:r>
              <w:rPr>
                <w:rFonts w:ascii="Open Sans" w:hAnsi="Open Sans" w:cs="Open Sans"/>
                <w:sz w:val="20"/>
                <w:szCs w:val="20"/>
              </w:rPr>
              <w:lastRenderedPageBreak/>
              <w:t>Pracodawców Polska Miedź</w:t>
            </w:r>
          </w:p>
        </w:tc>
        <w:tc>
          <w:tcPr>
            <w:tcW w:w="1701" w:type="dxa"/>
          </w:tcPr>
          <w:p w:rsidR="0068344F" w:rsidRPr="00244827" w:rsidRDefault="0068344F" w:rsidP="00312D23">
            <w:pPr>
              <w:jc w:val="both"/>
              <w:rPr>
                <w:rFonts w:ascii="Open Sans" w:hAnsi="Open Sans" w:cs="Open Sans"/>
                <w:sz w:val="20"/>
                <w:szCs w:val="20"/>
                <w:lang w:val="en-US"/>
              </w:rPr>
            </w:pPr>
            <w:r>
              <w:rPr>
                <w:rFonts w:ascii="Open Sans" w:hAnsi="Open Sans" w:cs="Open Sans"/>
                <w:sz w:val="20"/>
                <w:szCs w:val="20"/>
                <w:lang w:val="en-US"/>
              </w:rPr>
              <w:lastRenderedPageBreak/>
              <w:t>a</w:t>
            </w:r>
            <w:r w:rsidRPr="00244827">
              <w:rPr>
                <w:rFonts w:ascii="Open Sans" w:hAnsi="Open Sans" w:cs="Open Sans"/>
                <w:sz w:val="20"/>
                <w:szCs w:val="20"/>
                <w:lang w:val="en-US"/>
              </w:rPr>
              <w:t xml:space="preserve">rt. 6m </w:t>
            </w:r>
            <w:proofErr w:type="spellStart"/>
            <w:r w:rsidRPr="00244827">
              <w:rPr>
                <w:rFonts w:ascii="Open Sans" w:hAnsi="Open Sans" w:cs="Open Sans"/>
                <w:sz w:val="20"/>
                <w:szCs w:val="20"/>
                <w:lang w:val="en-US"/>
              </w:rPr>
              <w:t>ust</w:t>
            </w:r>
            <w:proofErr w:type="spellEnd"/>
            <w:r w:rsidRPr="00244827">
              <w:rPr>
                <w:rFonts w:ascii="Open Sans" w:hAnsi="Open Sans" w:cs="Open Sans"/>
                <w:sz w:val="20"/>
                <w:szCs w:val="20"/>
                <w:lang w:val="en-US"/>
              </w:rPr>
              <w:t xml:space="preserve">. 2 </w:t>
            </w:r>
            <w:proofErr w:type="spellStart"/>
            <w:r>
              <w:rPr>
                <w:rFonts w:ascii="Open Sans" w:hAnsi="Open Sans" w:cs="Open Sans"/>
                <w:sz w:val="20"/>
                <w:szCs w:val="20"/>
                <w:lang w:val="en-US"/>
              </w:rPr>
              <w:t>p</w:t>
            </w:r>
            <w:r w:rsidRPr="00244827">
              <w:rPr>
                <w:rFonts w:ascii="Open Sans" w:hAnsi="Open Sans" w:cs="Open Sans"/>
                <w:sz w:val="20"/>
                <w:szCs w:val="20"/>
                <w:lang w:val="en-US"/>
              </w:rPr>
              <w:t>kt</w:t>
            </w:r>
            <w:proofErr w:type="spellEnd"/>
            <w:r w:rsidRPr="00244827">
              <w:rPr>
                <w:rFonts w:ascii="Open Sans" w:hAnsi="Open Sans" w:cs="Open Sans"/>
                <w:sz w:val="20"/>
                <w:szCs w:val="20"/>
                <w:lang w:val="en-US"/>
              </w:rPr>
              <w:t xml:space="preserve"> </w:t>
            </w:r>
            <w:r w:rsidRPr="00244827">
              <w:rPr>
                <w:rFonts w:ascii="Open Sans" w:hAnsi="Open Sans" w:cs="Open Sans"/>
                <w:sz w:val="20"/>
                <w:szCs w:val="20"/>
                <w:lang w:val="en-US"/>
              </w:rPr>
              <w:lastRenderedPageBreak/>
              <w:t>4</w:t>
            </w:r>
          </w:p>
        </w:tc>
        <w:tc>
          <w:tcPr>
            <w:tcW w:w="6804" w:type="dxa"/>
          </w:tcPr>
          <w:p w:rsidR="0068344F" w:rsidRDefault="0068344F" w:rsidP="00312D23">
            <w:pPr>
              <w:jc w:val="both"/>
              <w:rPr>
                <w:rFonts w:ascii="Open Sans" w:hAnsi="Open Sans" w:cs="Open Sans"/>
                <w:sz w:val="20"/>
                <w:szCs w:val="20"/>
              </w:rPr>
            </w:pPr>
            <w:r w:rsidRPr="00244827">
              <w:rPr>
                <w:rFonts w:ascii="Open Sans" w:hAnsi="Open Sans" w:cs="Open Sans"/>
                <w:sz w:val="20"/>
                <w:szCs w:val="20"/>
              </w:rPr>
              <w:lastRenderedPageBreak/>
              <w:t xml:space="preserve">„Do dokumentacji ochrony infrastruktury krytycznej stosuje się przepisy o </w:t>
            </w:r>
            <w:r w:rsidRPr="00244827">
              <w:rPr>
                <w:rFonts w:ascii="Open Sans" w:hAnsi="Open Sans" w:cs="Open Sans"/>
                <w:sz w:val="20"/>
                <w:szCs w:val="20"/>
              </w:rPr>
              <w:lastRenderedPageBreak/>
              <w:t xml:space="preserve">ochronie informacji niejawnych lub o ochronie tajemnicy przedsiębiorstwa.” </w:t>
            </w:r>
          </w:p>
          <w:p w:rsidR="0068344F" w:rsidRDefault="0068344F" w:rsidP="00312D23">
            <w:pPr>
              <w:jc w:val="both"/>
              <w:rPr>
                <w:rFonts w:ascii="Open Sans" w:hAnsi="Open Sans" w:cs="Open Sans"/>
                <w:sz w:val="20"/>
                <w:szCs w:val="20"/>
              </w:rPr>
            </w:pPr>
          </w:p>
          <w:p w:rsidR="0068344F" w:rsidRPr="00244827" w:rsidRDefault="0068344F" w:rsidP="00312D23">
            <w:pPr>
              <w:jc w:val="both"/>
              <w:rPr>
                <w:rFonts w:ascii="Open Sans" w:hAnsi="Open Sans" w:cs="Open Sans"/>
                <w:sz w:val="20"/>
                <w:szCs w:val="20"/>
              </w:rPr>
            </w:pPr>
            <w:r>
              <w:rPr>
                <w:rFonts w:ascii="Open Sans" w:hAnsi="Open Sans" w:cs="Open Sans"/>
                <w:sz w:val="20"/>
                <w:szCs w:val="20"/>
              </w:rPr>
              <w:t>Mając na uwadze</w:t>
            </w:r>
            <w:r w:rsidRPr="00244827">
              <w:rPr>
                <w:rFonts w:ascii="Open Sans" w:hAnsi="Open Sans" w:cs="Open Sans"/>
                <w:sz w:val="20"/>
                <w:szCs w:val="20"/>
              </w:rPr>
              <w:t xml:space="preserve"> </w:t>
            </w:r>
            <w:r>
              <w:rPr>
                <w:rFonts w:ascii="Open Sans" w:hAnsi="Open Sans" w:cs="Open Sans"/>
                <w:sz w:val="20"/>
                <w:szCs w:val="20"/>
              </w:rPr>
              <w:t>proponowane brzmienie przepisu (</w:t>
            </w:r>
            <w:proofErr w:type="spellStart"/>
            <w:r>
              <w:rPr>
                <w:rFonts w:ascii="Open Sans" w:hAnsi="Open Sans" w:cs="Open Sans"/>
                <w:sz w:val="20"/>
                <w:szCs w:val="20"/>
              </w:rPr>
              <w:t>j.w</w:t>
            </w:r>
            <w:proofErr w:type="spellEnd"/>
            <w:r>
              <w:rPr>
                <w:rFonts w:ascii="Open Sans" w:hAnsi="Open Sans" w:cs="Open Sans"/>
                <w:sz w:val="20"/>
                <w:szCs w:val="20"/>
              </w:rPr>
              <w:t>.) jest obecnie niejasne,</w:t>
            </w:r>
            <w:r w:rsidRPr="00244827">
              <w:rPr>
                <w:rFonts w:ascii="Open Sans" w:hAnsi="Open Sans" w:cs="Open Sans"/>
                <w:sz w:val="20"/>
                <w:szCs w:val="20"/>
              </w:rPr>
              <w:t xml:space="preserve"> czy na każdym etapie tworzenia dokumentacji w</w:t>
            </w:r>
            <w:r>
              <w:rPr>
                <w:rFonts w:ascii="Open Sans" w:hAnsi="Open Sans" w:cs="Open Sans"/>
                <w:sz w:val="20"/>
                <w:szCs w:val="20"/>
              </w:rPr>
              <w:t> </w:t>
            </w:r>
            <w:r w:rsidRPr="00244827">
              <w:rPr>
                <w:rFonts w:ascii="Open Sans" w:hAnsi="Open Sans" w:cs="Open Sans"/>
                <w:sz w:val="20"/>
                <w:szCs w:val="20"/>
              </w:rPr>
              <w:t xml:space="preserve">przedsiębiorstwie mogą być zaangażowane </w:t>
            </w:r>
            <w:r>
              <w:rPr>
                <w:rFonts w:ascii="Open Sans" w:hAnsi="Open Sans" w:cs="Open Sans"/>
                <w:sz w:val="20"/>
                <w:szCs w:val="20"/>
              </w:rPr>
              <w:t>wyłącznie</w:t>
            </w:r>
            <w:r w:rsidRPr="00244827">
              <w:rPr>
                <w:rFonts w:ascii="Open Sans" w:hAnsi="Open Sans" w:cs="Open Sans"/>
                <w:sz w:val="20"/>
                <w:szCs w:val="20"/>
              </w:rPr>
              <w:t xml:space="preserve"> osoby mające odpowiednie poświadczenie dostępu do informacji niejawnych o</w:t>
            </w:r>
            <w:r>
              <w:rPr>
                <w:rFonts w:ascii="Open Sans" w:hAnsi="Open Sans" w:cs="Open Sans"/>
                <w:sz w:val="20"/>
                <w:szCs w:val="20"/>
              </w:rPr>
              <w:t> </w:t>
            </w:r>
            <w:r w:rsidRPr="00244827">
              <w:rPr>
                <w:rFonts w:ascii="Open Sans" w:hAnsi="Open Sans" w:cs="Open Sans"/>
                <w:sz w:val="20"/>
                <w:szCs w:val="20"/>
              </w:rPr>
              <w:t>klauzuli „poufne”</w:t>
            </w:r>
            <w:r>
              <w:rPr>
                <w:rFonts w:ascii="Open Sans" w:hAnsi="Open Sans" w:cs="Open Sans"/>
                <w:sz w:val="20"/>
                <w:szCs w:val="20"/>
              </w:rPr>
              <w:t xml:space="preserve"> –</w:t>
            </w:r>
            <w:r w:rsidRPr="00244827">
              <w:rPr>
                <w:rFonts w:ascii="Open Sans" w:hAnsi="Open Sans" w:cs="Open Sans"/>
                <w:sz w:val="20"/>
                <w:szCs w:val="20"/>
              </w:rPr>
              <w:t xml:space="preserve"> tak</w:t>
            </w:r>
            <w:r>
              <w:rPr>
                <w:rFonts w:ascii="Open Sans" w:hAnsi="Open Sans" w:cs="Open Sans"/>
                <w:sz w:val="20"/>
                <w:szCs w:val="20"/>
              </w:rPr>
              <w:t>,</w:t>
            </w:r>
            <w:r w:rsidRPr="00244827">
              <w:rPr>
                <w:rFonts w:ascii="Open Sans" w:hAnsi="Open Sans" w:cs="Open Sans"/>
                <w:sz w:val="20"/>
                <w:szCs w:val="20"/>
              </w:rPr>
              <w:t xml:space="preserve"> jak jest</w:t>
            </w:r>
            <w:r>
              <w:rPr>
                <w:rFonts w:ascii="Open Sans" w:hAnsi="Open Sans" w:cs="Open Sans"/>
                <w:sz w:val="20"/>
                <w:szCs w:val="20"/>
              </w:rPr>
              <w:t xml:space="preserve"> to </w:t>
            </w:r>
            <w:r w:rsidRPr="00244827">
              <w:rPr>
                <w:rFonts w:ascii="Open Sans" w:hAnsi="Open Sans" w:cs="Open Sans"/>
                <w:sz w:val="20"/>
                <w:szCs w:val="20"/>
              </w:rPr>
              <w:t xml:space="preserve"> wskazane w przypadku Koordynatora </w:t>
            </w:r>
            <w:r>
              <w:rPr>
                <w:rFonts w:ascii="Open Sans" w:hAnsi="Open Sans" w:cs="Open Sans"/>
                <w:sz w:val="20"/>
                <w:szCs w:val="20"/>
              </w:rPr>
              <w:t>(</w:t>
            </w:r>
            <w:r w:rsidRPr="00244827">
              <w:rPr>
                <w:rFonts w:ascii="Open Sans" w:hAnsi="Open Sans" w:cs="Open Sans"/>
                <w:sz w:val="20"/>
                <w:szCs w:val="20"/>
              </w:rPr>
              <w:t>art.</w:t>
            </w:r>
            <w:r>
              <w:rPr>
                <w:rFonts w:ascii="Open Sans" w:hAnsi="Open Sans" w:cs="Open Sans"/>
                <w:sz w:val="20"/>
                <w:szCs w:val="20"/>
              </w:rPr>
              <w:t xml:space="preserve"> </w:t>
            </w:r>
            <w:r w:rsidRPr="00244827">
              <w:rPr>
                <w:rFonts w:ascii="Open Sans" w:hAnsi="Open Sans" w:cs="Open Sans"/>
                <w:sz w:val="20"/>
                <w:szCs w:val="20"/>
              </w:rPr>
              <w:t xml:space="preserve">60 ust. 3 </w:t>
            </w:r>
            <w:r>
              <w:rPr>
                <w:rFonts w:ascii="Open Sans" w:hAnsi="Open Sans" w:cs="Open Sans"/>
                <w:sz w:val="20"/>
                <w:szCs w:val="20"/>
              </w:rPr>
              <w:t>p</w:t>
            </w:r>
            <w:r w:rsidRPr="00244827">
              <w:rPr>
                <w:rFonts w:ascii="Open Sans" w:hAnsi="Open Sans" w:cs="Open Sans"/>
                <w:sz w:val="20"/>
                <w:szCs w:val="20"/>
              </w:rPr>
              <w:t>kt 5</w:t>
            </w:r>
            <w:r>
              <w:rPr>
                <w:rFonts w:ascii="Open Sans" w:hAnsi="Open Sans" w:cs="Open Sans"/>
                <w:sz w:val="20"/>
                <w:szCs w:val="20"/>
              </w:rPr>
              <w:t>).</w:t>
            </w: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lastRenderedPageBreak/>
              <w:t>6.</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a</w:t>
            </w:r>
            <w:r w:rsidRPr="00244827">
              <w:rPr>
                <w:rFonts w:ascii="Open Sans" w:hAnsi="Open Sans" w:cs="Open Sans"/>
                <w:sz w:val="20"/>
                <w:szCs w:val="20"/>
              </w:rPr>
              <w:t>rt. 6m ust. 5</w:t>
            </w:r>
          </w:p>
        </w:tc>
        <w:tc>
          <w:tcPr>
            <w:tcW w:w="6804" w:type="dxa"/>
          </w:tcPr>
          <w:p w:rsidR="0068344F" w:rsidRDefault="0068344F" w:rsidP="00312D23">
            <w:pPr>
              <w:jc w:val="both"/>
              <w:rPr>
                <w:rFonts w:ascii="Open Sans" w:hAnsi="Open Sans" w:cs="Open Sans"/>
                <w:sz w:val="20"/>
                <w:szCs w:val="20"/>
              </w:rPr>
            </w:pPr>
            <w:r>
              <w:rPr>
                <w:rFonts w:ascii="Open Sans" w:hAnsi="Open Sans" w:cs="Open Sans"/>
                <w:sz w:val="20"/>
                <w:szCs w:val="20"/>
              </w:rPr>
              <w:t>Wskazany</w:t>
            </w:r>
            <w:r w:rsidRPr="00244827">
              <w:rPr>
                <w:rFonts w:ascii="Open Sans" w:hAnsi="Open Sans" w:cs="Open Sans"/>
                <w:sz w:val="20"/>
                <w:szCs w:val="20"/>
              </w:rPr>
              <w:t xml:space="preserve"> termin opracowania dokumentacji jest zbyt krótki </w:t>
            </w:r>
            <w:r>
              <w:rPr>
                <w:rFonts w:ascii="Open Sans" w:hAnsi="Open Sans" w:cs="Open Sans"/>
                <w:sz w:val="20"/>
                <w:szCs w:val="20"/>
              </w:rPr>
              <w:t>w przypadku</w:t>
            </w:r>
            <w:r w:rsidRPr="00244827">
              <w:rPr>
                <w:rFonts w:ascii="Open Sans" w:hAnsi="Open Sans" w:cs="Open Sans"/>
                <w:sz w:val="20"/>
                <w:szCs w:val="20"/>
              </w:rPr>
              <w:t xml:space="preserve"> podmiotów które muszą dopiero stworzyć taką dokumentację, ponieważ nie były</w:t>
            </w:r>
            <w:r>
              <w:rPr>
                <w:rFonts w:ascii="Open Sans" w:hAnsi="Open Sans" w:cs="Open Sans"/>
                <w:sz w:val="20"/>
                <w:szCs w:val="20"/>
              </w:rPr>
              <w:t xml:space="preserve"> one</w:t>
            </w:r>
            <w:r w:rsidRPr="00244827">
              <w:rPr>
                <w:rFonts w:ascii="Open Sans" w:hAnsi="Open Sans" w:cs="Open Sans"/>
                <w:sz w:val="20"/>
                <w:szCs w:val="20"/>
              </w:rPr>
              <w:t xml:space="preserve"> wcześniej operatorem infrastruktury krytycznej. </w:t>
            </w:r>
          </w:p>
          <w:p w:rsidR="0068344F" w:rsidRDefault="0068344F" w:rsidP="00312D23">
            <w:pPr>
              <w:jc w:val="both"/>
              <w:rPr>
                <w:rFonts w:ascii="Open Sans" w:hAnsi="Open Sans" w:cs="Open Sans"/>
                <w:sz w:val="20"/>
                <w:szCs w:val="20"/>
              </w:rPr>
            </w:pPr>
          </w:p>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 xml:space="preserve">Nie uwzględniono również sytuacji, </w:t>
            </w:r>
            <w:r>
              <w:rPr>
                <w:rFonts w:ascii="Open Sans" w:hAnsi="Open Sans" w:cs="Open Sans"/>
                <w:sz w:val="20"/>
                <w:szCs w:val="20"/>
              </w:rPr>
              <w:t>w której</w:t>
            </w:r>
            <w:r w:rsidRPr="00244827">
              <w:rPr>
                <w:rFonts w:ascii="Open Sans" w:hAnsi="Open Sans" w:cs="Open Sans"/>
                <w:sz w:val="20"/>
                <w:szCs w:val="20"/>
              </w:rPr>
              <w:t xml:space="preserve"> u operatora zostało zidentyfikowanych więcej niż jed</w:t>
            </w:r>
            <w:r>
              <w:rPr>
                <w:rFonts w:ascii="Open Sans" w:hAnsi="Open Sans" w:cs="Open Sans"/>
                <w:sz w:val="20"/>
                <w:szCs w:val="20"/>
              </w:rPr>
              <w:t>en obiekt „</w:t>
            </w:r>
            <w:r w:rsidRPr="00244827">
              <w:rPr>
                <w:rFonts w:ascii="Open Sans" w:hAnsi="Open Sans" w:cs="Open Sans"/>
                <w:sz w:val="20"/>
                <w:szCs w:val="20"/>
              </w:rPr>
              <w:t>infrastruktury krytycznej</w:t>
            </w:r>
            <w:r>
              <w:rPr>
                <w:rFonts w:ascii="Open Sans" w:hAnsi="Open Sans" w:cs="Open Sans"/>
                <w:sz w:val="20"/>
                <w:szCs w:val="20"/>
              </w:rPr>
              <w:t>”</w:t>
            </w:r>
            <w:r w:rsidRPr="00244827">
              <w:rPr>
                <w:rFonts w:ascii="Open Sans" w:hAnsi="Open Sans" w:cs="Open Sans"/>
                <w:sz w:val="20"/>
                <w:szCs w:val="20"/>
              </w:rPr>
              <w:t>.</w:t>
            </w:r>
          </w:p>
        </w:tc>
        <w:tc>
          <w:tcPr>
            <w:tcW w:w="3685" w:type="dxa"/>
          </w:tcPr>
          <w:p w:rsidR="0068344F" w:rsidRPr="00244827" w:rsidRDefault="0068344F" w:rsidP="00312D23">
            <w:pPr>
              <w:pStyle w:val="Default"/>
              <w:jc w:val="both"/>
              <w:rPr>
                <w:rFonts w:ascii="Open Sans" w:hAnsi="Open Sans" w:cs="Open Sans"/>
                <w:color w:val="auto"/>
                <w:sz w:val="20"/>
                <w:szCs w:val="20"/>
              </w:rPr>
            </w:pPr>
            <w:r w:rsidRPr="00244827">
              <w:rPr>
                <w:rFonts w:ascii="Open Sans" w:hAnsi="Open Sans" w:cs="Open Sans"/>
                <w:sz w:val="20"/>
                <w:szCs w:val="20"/>
              </w:rPr>
              <w:t xml:space="preserve">5. </w:t>
            </w:r>
            <w:r w:rsidRPr="00244827">
              <w:rPr>
                <w:rFonts w:ascii="Open Sans" w:hAnsi="Open Sans" w:cs="Open Sans"/>
                <w:color w:val="auto"/>
                <w:sz w:val="20"/>
                <w:szCs w:val="20"/>
              </w:rPr>
              <w:t>Operator infrastruktury krytycznej w terminie 12 miesięcy od uzyskania informacji o ujęciu w</w:t>
            </w:r>
            <w:r>
              <w:rPr>
                <w:rFonts w:ascii="Open Sans" w:hAnsi="Open Sans" w:cs="Open Sans"/>
                <w:color w:val="auto"/>
                <w:sz w:val="20"/>
                <w:szCs w:val="20"/>
              </w:rPr>
              <w:t> </w:t>
            </w:r>
            <w:r w:rsidRPr="00244827">
              <w:rPr>
                <w:rFonts w:ascii="Open Sans" w:hAnsi="Open Sans" w:cs="Open Sans"/>
                <w:color w:val="auto"/>
                <w:sz w:val="20"/>
                <w:szCs w:val="20"/>
              </w:rPr>
              <w:t xml:space="preserve">wykazie infrastruktury krytycznej przedkłada oświadczenie o opracowaniu dokumentacji ochrony infrastruktury krytycznej oraz wdrożeniu minimalnych wymagań, o których mowa w art. 6l ust. 4, odpowiednio: </w:t>
            </w:r>
          </w:p>
          <w:p w:rsidR="0068344F" w:rsidRPr="00244827" w:rsidRDefault="0068344F" w:rsidP="0068344F">
            <w:pPr>
              <w:pStyle w:val="Default"/>
              <w:numPr>
                <w:ilvl w:val="0"/>
                <w:numId w:val="1"/>
              </w:numPr>
              <w:jc w:val="both"/>
              <w:rPr>
                <w:rFonts w:ascii="Open Sans" w:hAnsi="Open Sans" w:cs="Open Sans"/>
                <w:color w:val="auto"/>
                <w:sz w:val="20"/>
                <w:szCs w:val="20"/>
              </w:rPr>
            </w:pPr>
            <w:r w:rsidRPr="00244827">
              <w:rPr>
                <w:rFonts w:ascii="Open Sans" w:hAnsi="Open Sans" w:cs="Open Sans"/>
                <w:color w:val="auto"/>
                <w:sz w:val="20"/>
                <w:szCs w:val="20"/>
              </w:rPr>
              <w:t xml:space="preserve">ministrowi, o którym mowa w art. 6h, lub Szefowi Centrum; </w:t>
            </w:r>
          </w:p>
          <w:p w:rsidR="0068344F" w:rsidRPr="007E1102" w:rsidRDefault="0068344F" w:rsidP="00312D23">
            <w:pPr>
              <w:ind w:left="360"/>
              <w:jc w:val="both"/>
              <w:rPr>
                <w:rFonts w:ascii="Open Sans" w:hAnsi="Open Sans" w:cs="Open Sans"/>
                <w:sz w:val="20"/>
                <w:szCs w:val="20"/>
              </w:rPr>
            </w:pPr>
            <w:r w:rsidRPr="007E1102">
              <w:rPr>
                <w:rFonts w:ascii="Open Sans" w:hAnsi="Open Sans" w:cs="Open Sans"/>
                <w:sz w:val="20"/>
                <w:szCs w:val="20"/>
              </w:rPr>
              <w:t>2) właściwemu miejscowo wojewodzie.</w:t>
            </w: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t>7.</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a</w:t>
            </w:r>
            <w:r w:rsidRPr="00244827">
              <w:rPr>
                <w:rFonts w:ascii="Open Sans" w:hAnsi="Open Sans" w:cs="Open Sans"/>
                <w:sz w:val="20"/>
                <w:szCs w:val="20"/>
              </w:rPr>
              <w:t>rt. 3 pkt 1</w:t>
            </w:r>
            <w:r>
              <w:rPr>
                <w:rFonts w:ascii="Open Sans" w:hAnsi="Open Sans" w:cs="Open Sans"/>
                <w:sz w:val="20"/>
                <w:szCs w:val="20"/>
              </w:rPr>
              <w:t xml:space="preserve"> o</w:t>
            </w:r>
            <w:r w:rsidRPr="00244827">
              <w:rPr>
                <w:rFonts w:ascii="Open Sans" w:hAnsi="Open Sans" w:cs="Open Sans"/>
                <w:sz w:val="20"/>
                <w:szCs w:val="20"/>
              </w:rPr>
              <w:t>raz</w:t>
            </w:r>
            <w:r>
              <w:rPr>
                <w:rFonts w:ascii="Open Sans" w:hAnsi="Open Sans" w:cs="Open Sans"/>
                <w:sz w:val="20"/>
                <w:szCs w:val="20"/>
              </w:rPr>
              <w:t xml:space="preserve"> </w:t>
            </w:r>
            <w:r w:rsidRPr="00244827">
              <w:rPr>
                <w:rFonts w:ascii="Open Sans" w:hAnsi="Open Sans" w:cs="Open Sans"/>
                <w:sz w:val="20"/>
                <w:szCs w:val="20"/>
              </w:rPr>
              <w:t>1f</w:t>
            </w:r>
          </w:p>
        </w:tc>
        <w:tc>
          <w:tcPr>
            <w:tcW w:w="6804" w:type="dxa"/>
          </w:tcPr>
          <w:p w:rsidR="0068344F" w:rsidRDefault="0068344F" w:rsidP="00312D23">
            <w:pPr>
              <w:jc w:val="both"/>
              <w:rPr>
                <w:rFonts w:ascii="Open Sans" w:hAnsi="Open Sans" w:cs="Open Sans"/>
                <w:sz w:val="20"/>
                <w:szCs w:val="20"/>
              </w:rPr>
            </w:pPr>
            <w:r w:rsidRPr="00244827">
              <w:rPr>
                <w:rFonts w:ascii="Open Sans" w:hAnsi="Open Sans" w:cs="Open Sans"/>
                <w:sz w:val="20"/>
                <w:szCs w:val="20"/>
              </w:rPr>
              <w:t xml:space="preserve">Negatywny wpływ na mienie w znacznych rozmiarach powinien być określony </w:t>
            </w:r>
            <w:r>
              <w:rPr>
                <w:rFonts w:ascii="Open Sans" w:hAnsi="Open Sans" w:cs="Open Sans"/>
                <w:sz w:val="20"/>
                <w:szCs w:val="20"/>
              </w:rPr>
              <w:t>kwotowo</w:t>
            </w:r>
            <w:r w:rsidRPr="00244827">
              <w:rPr>
                <w:rFonts w:ascii="Open Sans" w:hAnsi="Open Sans" w:cs="Open Sans"/>
                <w:sz w:val="20"/>
                <w:szCs w:val="20"/>
              </w:rPr>
              <w:t xml:space="preserve"> lub w inny precyzyjny sposób.</w:t>
            </w:r>
            <w:r>
              <w:rPr>
                <w:rFonts w:ascii="Open Sans" w:hAnsi="Open Sans" w:cs="Open Sans"/>
                <w:sz w:val="20"/>
                <w:szCs w:val="20"/>
              </w:rPr>
              <w:t xml:space="preserve"> </w:t>
            </w:r>
          </w:p>
          <w:p w:rsidR="0068344F" w:rsidRPr="00244827" w:rsidRDefault="0068344F" w:rsidP="00312D23">
            <w:pPr>
              <w:jc w:val="both"/>
              <w:rPr>
                <w:rFonts w:ascii="Open Sans" w:hAnsi="Open Sans" w:cs="Open Sans"/>
                <w:sz w:val="20"/>
                <w:szCs w:val="20"/>
              </w:rPr>
            </w:pPr>
            <w:r w:rsidRPr="00244827">
              <w:rPr>
                <w:rFonts w:ascii="Open Sans" w:hAnsi="Open Sans" w:cs="Open Sans"/>
                <w:sz w:val="20"/>
                <w:szCs w:val="20"/>
              </w:rPr>
              <w:t xml:space="preserve">Podobnie w </w:t>
            </w:r>
            <w:r>
              <w:rPr>
                <w:rFonts w:ascii="Open Sans" w:hAnsi="Open Sans" w:cs="Open Sans"/>
                <w:sz w:val="20"/>
                <w:szCs w:val="20"/>
              </w:rPr>
              <w:t xml:space="preserve">treści </w:t>
            </w:r>
            <w:r w:rsidRPr="00244827">
              <w:rPr>
                <w:rFonts w:ascii="Open Sans" w:hAnsi="Open Sans" w:cs="Open Sans"/>
                <w:sz w:val="20"/>
                <w:szCs w:val="20"/>
              </w:rPr>
              <w:t>pkt 1f</w:t>
            </w:r>
            <w:r>
              <w:rPr>
                <w:rFonts w:ascii="Open Sans" w:hAnsi="Open Sans" w:cs="Open Sans"/>
                <w:sz w:val="20"/>
                <w:szCs w:val="20"/>
              </w:rPr>
              <w:t>, gdzie zawarto sformułowanie</w:t>
            </w:r>
            <w:r w:rsidRPr="00244827">
              <w:rPr>
                <w:rFonts w:ascii="Open Sans" w:hAnsi="Open Sans" w:cs="Open Sans"/>
                <w:sz w:val="20"/>
                <w:szCs w:val="20"/>
              </w:rPr>
              <w:t xml:space="preserve"> „istotne obniżenie jakości”. Incydentem istotnym może być również ograniczenie wolumenu</w:t>
            </w:r>
            <w:r>
              <w:rPr>
                <w:rFonts w:ascii="Open Sans" w:hAnsi="Open Sans" w:cs="Open Sans"/>
                <w:sz w:val="20"/>
                <w:szCs w:val="20"/>
              </w:rPr>
              <w:t>,</w:t>
            </w:r>
            <w:r w:rsidRPr="00244827">
              <w:rPr>
                <w:rFonts w:ascii="Open Sans" w:hAnsi="Open Sans" w:cs="Open Sans"/>
                <w:sz w:val="20"/>
                <w:szCs w:val="20"/>
              </w:rPr>
              <w:t xml:space="preserve"> a nie tylko obniżenie jakości czy przerwanie ciągłości działania.</w:t>
            </w: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tr w:rsidR="0068344F" w:rsidRPr="009A57CE" w:rsidTr="0068344F">
        <w:tc>
          <w:tcPr>
            <w:tcW w:w="675" w:type="dxa"/>
          </w:tcPr>
          <w:p w:rsidR="0068344F" w:rsidRPr="009A57CE" w:rsidRDefault="0068344F" w:rsidP="00312D23">
            <w:pPr>
              <w:ind w:left="-262"/>
              <w:jc w:val="center"/>
              <w:rPr>
                <w:rFonts w:ascii="Open Sans" w:hAnsi="Open Sans" w:cs="Open Sans"/>
                <w:sz w:val="20"/>
                <w:szCs w:val="20"/>
              </w:rPr>
            </w:pPr>
            <w:r>
              <w:rPr>
                <w:rFonts w:ascii="Open Sans" w:hAnsi="Open Sans" w:cs="Open Sans"/>
                <w:sz w:val="20"/>
                <w:szCs w:val="20"/>
              </w:rPr>
              <w:t>8.</w:t>
            </w:r>
          </w:p>
        </w:tc>
        <w:tc>
          <w:tcPr>
            <w:tcW w:w="1447"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Związek Pracodawców Polska Miedź</w:t>
            </w:r>
          </w:p>
        </w:tc>
        <w:tc>
          <w:tcPr>
            <w:tcW w:w="1701"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a</w:t>
            </w:r>
            <w:r w:rsidRPr="00244827">
              <w:rPr>
                <w:rFonts w:ascii="Open Sans" w:hAnsi="Open Sans" w:cs="Open Sans"/>
                <w:sz w:val="20"/>
                <w:szCs w:val="20"/>
              </w:rPr>
              <w:t>rt. 6za ust. 2 pkt 2</w:t>
            </w:r>
          </w:p>
        </w:tc>
        <w:tc>
          <w:tcPr>
            <w:tcW w:w="6804" w:type="dxa"/>
          </w:tcPr>
          <w:p w:rsidR="0068344F" w:rsidRPr="00244827" w:rsidRDefault="0068344F" w:rsidP="00312D23">
            <w:pPr>
              <w:jc w:val="both"/>
              <w:rPr>
                <w:rFonts w:ascii="Open Sans" w:hAnsi="Open Sans" w:cs="Open Sans"/>
                <w:sz w:val="20"/>
                <w:szCs w:val="20"/>
              </w:rPr>
            </w:pPr>
            <w:r>
              <w:rPr>
                <w:rFonts w:ascii="Open Sans" w:hAnsi="Open Sans" w:cs="Open Sans"/>
                <w:sz w:val="20"/>
                <w:szCs w:val="20"/>
              </w:rPr>
              <w:t>Wydaje się, że</w:t>
            </w:r>
            <w:r w:rsidRPr="00244827">
              <w:rPr>
                <w:rFonts w:ascii="Open Sans" w:hAnsi="Open Sans" w:cs="Open Sans"/>
                <w:sz w:val="20"/>
                <w:szCs w:val="20"/>
              </w:rPr>
              <w:t xml:space="preserve"> dokumentacja powinna dotyczyć utrzymania ciągłości działania infrastruktury krytycznej</w:t>
            </w:r>
            <w:r>
              <w:rPr>
                <w:rFonts w:ascii="Open Sans" w:hAnsi="Open Sans" w:cs="Open Sans"/>
                <w:sz w:val="20"/>
                <w:szCs w:val="20"/>
              </w:rPr>
              <w:t xml:space="preserve"> -</w:t>
            </w:r>
            <w:r w:rsidRPr="00244827">
              <w:rPr>
                <w:rFonts w:ascii="Open Sans" w:hAnsi="Open Sans" w:cs="Open Sans"/>
                <w:sz w:val="20"/>
                <w:szCs w:val="20"/>
              </w:rPr>
              <w:t xml:space="preserve"> zamiast usługi kluczowej</w:t>
            </w:r>
            <w:r>
              <w:rPr>
                <w:rFonts w:ascii="Open Sans" w:hAnsi="Open Sans" w:cs="Open Sans"/>
                <w:sz w:val="20"/>
                <w:szCs w:val="20"/>
              </w:rPr>
              <w:t xml:space="preserve"> (analogicznie jak </w:t>
            </w:r>
            <w:r w:rsidRPr="00244827">
              <w:rPr>
                <w:rFonts w:ascii="Open Sans" w:hAnsi="Open Sans" w:cs="Open Sans"/>
                <w:sz w:val="20"/>
                <w:szCs w:val="20"/>
              </w:rPr>
              <w:t xml:space="preserve">w </w:t>
            </w:r>
            <w:r>
              <w:rPr>
                <w:rFonts w:ascii="Open Sans" w:hAnsi="Open Sans" w:cs="Open Sans"/>
                <w:sz w:val="20"/>
                <w:szCs w:val="20"/>
              </w:rPr>
              <w:t>a</w:t>
            </w:r>
            <w:r w:rsidRPr="00244827">
              <w:rPr>
                <w:rFonts w:ascii="Open Sans" w:hAnsi="Open Sans" w:cs="Open Sans"/>
                <w:sz w:val="20"/>
                <w:szCs w:val="20"/>
              </w:rPr>
              <w:t>rt. 6m ust. 2 pkt 4b</w:t>
            </w:r>
            <w:r>
              <w:rPr>
                <w:rFonts w:ascii="Open Sans" w:hAnsi="Open Sans" w:cs="Open Sans"/>
                <w:sz w:val="20"/>
                <w:szCs w:val="20"/>
              </w:rPr>
              <w:t xml:space="preserve"> oraz</w:t>
            </w:r>
            <w:r w:rsidRPr="00244827">
              <w:rPr>
                <w:rFonts w:ascii="Open Sans" w:hAnsi="Open Sans" w:cs="Open Sans"/>
                <w:sz w:val="20"/>
                <w:szCs w:val="20"/>
              </w:rPr>
              <w:t xml:space="preserve"> </w:t>
            </w:r>
            <w:r>
              <w:rPr>
                <w:rFonts w:ascii="Open Sans" w:hAnsi="Open Sans" w:cs="Open Sans"/>
                <w:sz w:val="20"/>
                <w:szCs w:val="20"/>
              </w:rPr>
              <w:t>a</w:t>
            </w:r>
            <w:r w:rsidRPr="00244827">
              <w:rPr>
                <w:rFonts w:ascii="Open Sans" w:hAnsi="Open Sans" w:cs="Open Sans"/>
                <w:sz w:val="20"/>
                <w:szCs w:val="20"/>
              </w:rPr>
              <w:t>rt. 61 ust. 4</w:t>
            </w:r>
            <w:r>
              <w:rPr>
                <w:rFonts w:ascii="Open Sans" w:hAnsi="Open Sans" w:cs="Open Sans"/>
                <w:sz w:val="20"/>
                <w:szCs w:val="20"/>
              </w:rPr>
              <w:t>).</w:t>
            </w:r>
          </w:p>
        </w:tc>
        <w:tc>
          <w:tcPr>
            <w:tcW w:w="3685" w:type="dxa"/>
          </w:tcPr>
          <w:p w:rsidR="0068344F" w:rsidRPr="00244827" w:rsidRDefault="0068344F" w:rsidP="00312D23">
            <w:pPr>
              <w:jc w:val="both"/>
              <w:rPr>
                <w:rFonts w:ascii="Open Sans" w:hAnsi="Open Sans" w:cs="Open Sans"/>
                <w:sz w:val="20"/>
                <w:szCs w:val="20"/>
              </w:rPr>
            </w:pPr>
          </w:p>
        </w:tc>
        <w:tc>
          <w:tcPr>
            <w:tcW w:w="1428" w:type="dxa"/>
          </w:tcPr>
          <w:p w:rsidR="0068344F" w:rsidRPr="009A57CE" w:rsidRDefault="0068344F" w:rsidP="00312D23">
            <w:pPr>
              <w:jc w:val="both"/>
              <w:rPr>
                <w:rFonts w:ascii="Open Sans" w:hAnsi="Open Sans" w:cs="Open Sans"/>
                <w:sz w:val="20"/>
                <w:szCs w:val="20"/>
              </w:rPr>
            </w:pPr>
          </w:p>
        </w:tc>
      </w:tr>
      <w:bookmarkEnd w:id="0"/>
    </w:tbl>
    <w:p w:rsidR="0068344F" w:rsidRPr="009A57CE" w:rsidRDefault="0068344F" w:rsidP="0068344F">
      <w:pPr>
        <w:spacing w:after="0" w:line="240" w:lineRule="auto"/>
        <w:rPr>
          <w:rFonts w:ascii="Open Sans" w:hAnsi="Open Sans" w:cs="Open Sans"/>
          <w:sz w:val="20"/>
          <w:szCs w:val="20"/>
        </w:rPr>
      </w:pPr>
    </w:p>
    <w:p w:rsidR="00244F69" w:rsidRDefault="00244F69">
      <w:bookmarkStart w:id="1" w:name="_GoBack"/>
      <w:bookmarkEnd w:id="1"/>
    </w:p>
    <w:sectPr w:rsidR="00244F69" w:rsidSect="00B91B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C6CFC"/>
    <w:multiLevelType w:val="hybridMultilevel"/>
    <w:tmpl w:val="2864E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4F"/>
    <w:rsid w:val="00244F69"/>
    <w:rsid w:val="00683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44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4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44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4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3377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2024-07-22T10:03:00Z</dcterms:created>
  <dcterms:modified xsi:type="dcterms:W3CDTF">2024-07-22T10:06:00Z</dcterms:modified>
</cp:coreProperties>
</file>