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C3" w:rsidRPr="00586923" w:rsidRDefault="005524C3" w:rsidP="005524C3">
      <w:pPr>
        <w:rPr>
          <w:rFonts w:ascii="Arial" w:hAnsi="Arial" w:cs="Arial"/>
        </w:rPr>
      </w:pPr>
      <w:r w:rsidRPr="00586923">
        <w:rPr>
          <w:rFonts w:ascii="Arial" w:hAnsi="Arial" w:cs="Arial"/>
          <w:noProof/>
          <w:lang w:eastAsia="pl-PL"/>
        </w:rPr>
        <w:drawing>
          <wp:inline distT="0" distB="0" distL="0" distR="0" wp14:anchorId="0B17BFB1" wp14:editId="2921900A">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8">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5524C3" w:rsidRDefault="005524C3" w:rsidP="005524C3">
      <w:pPr>
        <w:spacing w:after="0" w:line="300" w:lineRule="auto"/>
        <w:jc w:val="center"/>
        <w:rPr>
          <w:rFonts w:ascii="Arial" w:hAnsi="Arial" w:cs="Arial"/>
          <w:b/>
        </w:rPr>
      </w:pPr>
      <w:r w:rsidRPr="00586923">
        <w:rPr>
          <w:rFonts w:ascii="Arial" w:hAnsi="Arial" w:cs="Arial"/>
          <w:b/>
        </w:rPr>
        <w:t xml:space="preserve">Konsultacje krajowych aktów prawnych </w:t>
      </w:r>
      <w:r>
        <w:rPr>
          <w:rFonts w:ascii="Arial" w:hAnsi="Arial" w:cs="Arial"/>
          <w:b/>
        </w:rPr>
        <w:t>i ogłoszone akty prawne w Dzienniku Ustaw</w:t>
      </w:r>
    </w:p>
    <w:p w:rsidR="005524C3" w:rsidRPr="00586923" w:rsidRDefault="005524C3" w:rsidP="005524C3">
      <w:pPr>
        <w:spacing w:after="0" w:line="300" w:lineRule="auto"/>
        <w:jc w:val="center"/>
        <w:rPr>
          <w:rFonts w:ascii="Arial" w:hAnsi="Arial" w:cs="Arial"/>
          <w:b/>
        </w:rPr>
      </w:pPr>
      <w:r>
        <w:rPr>
          <w:rFonts w:ascii="Arial" w:hAnsi="Arial" w:cs="Arial"/>
          <w:b/>
        </w:rPr>
        <w:t>(</w:t>
      </w:r>
      <w:r w:rsidRPr="00586923">
        <w:rPr>
          <w:rFonts w:ascii="Arial" w:hAnsi="Arial" w:cs="Arial"/>
          <w:b/>
        </w:rPr>
        <w:t>monitoring legislacji ZPPM</w:t>
      </w:r>
      <w:r>
        <w:rPr>
          <w:rFonts w:ascii="Arial" w:hAnsi="Arial" w:cs="Arial"/>
          <w:b/>
        </w:rPr>
        <w:t>)</w:t>
      </w:r>
    </w:p>
    <w:p w:rsidR="005524C3" w:rsidRPr="00586923" w:rsidRDefault="005524C3" w:rsidP="005524C3">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26</w:t>
      </w:r>
      <w:r>
        <w:rPr>
          <w:rFonts w:ascii="Arial" w:hAnsi="Arial" w:cs="Arial"/>
          <w:b/>
        </w:rPr>
        <w:t xml:space="preserve"> </w:t>
      </w:r>
      <w:r>
        <w:rPr>
          <w:rFonts w:ascii="Arial" w:hAnsi="Arial" w:cs="Arial"/>
          <w:b/>
        </w:rPr>
        <w:t xml:space="preserve">sierpnia </w:t>
      </w:r>
      <w:r w:rsidRPr="00586923">
        <w:rPr>
          <w:rFonts w:ascii="Arial" w:hAnsi="Arial" w:cs="Arial"/>
          <w:b/>
        </w:rPr>
        <w:t xml:space="preserve">do </w:t>
      </w:r>
      <w:r>
        <w:rPr>
          <w:rFonts w:ascii="Arial" w:hAnsi="Arial" w:cs="Arial"/>
          <w:b/>
        </w:rPr>
        <w:t>1</w:t>
      </w:r>
      <w:r>
        <w:rPr>
          <w:rFonts w:ascii="Arial" w:hAnsi="Arial" w:cs="Arial"/>
          <w:b/>
        </w:rPr>
        <w:t xml:space="preserve"> </w:t>
      </w:r>
      <w:r>
        <w:rPr>
          <w:rFonts w:ascii="Arial" w:hAnsi="Arial" w:cs="Arial"/>
          <w:b/>
        </w:rPr>
        <w:t>września</w:t>
      </w:r>
      <w:r w:rsidRPr="00586923">
        <w:rPr>
          <w:rFonts w:ascii="Arial" w:hAnsi="Arial" w:cs="Arial"/>
          <w:b/>
        </w:rPr>
        <w:t xml:space="preserve"> 202</w:t>
      </w:r>
      <w:r>
        <w:rPr>
          <w:rFonts w:ascii="Arial" w:hAnsi="Arial" w:cs="Arial"/>
          <w:b/>
        </w:rPr>
        <w:t>4</w:t>
      </w:r>
      <w:r w:rsidRPr="00586923">
        <w:rPr>
          <w:rFonts w:ascii="Arial" w:hAnsi="Arial" w:cs="Arial"/>
          <w:b/>
        </w:rPr>
        <w:t xml:space="preserve"> roku</w:t>
      </w:r>
    </w:p>
    <w:p w:rsidR="005524C3" w:rsidRPr="00AC3187" w:rsidRDefault="005524C3" w:rsidP="005524C3">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w:t>
      </w:r>
      <w:r w:rsidRPr="00AC3187">
        <w:rPr>
          <w:rFonts w:ascii="Arial" w:hAnsi="Arial" w:cs="Arial"/>
        </w:rPr>
        <w:t xml:space="preserve"> </w:t>
      </w:r>
      <w:r>
        <w:rPr>
          <w:rFonts w:ascii="Arial" w:hAnsi="Arial" w:cs="Arial"/>
        </w:rPr>
        <w:t>września</w:t>
      </w:r>
      <w:r w:rsidRPr="00AC3187">
        <w:rPr>
          <w:rFonts w:ascii="Arial" w:hAnsi="Arial" w:cs="Arial"/>
        </w:rPr>
        <w:t xml:space="preserve"> 202</w:t>
      </w:r>
      <w:r>
        <w:rPr>
          <w:rFonts w:ascii="Arial" w:hAnsi="Arial" w:cs="Arial"/>
        </w:rPr>
        <w:t>4</w:t>
      </w:r>
      <w:r w:rsidRPr="00AC3187">
        <w:rPr>
          <w:rFonts w:ascii="Arial" w:hAnsi="Arial" w:cs="Arial"/>
        </w:rPr>
        <w:t xml:space="preserve"> roku</w:t>
      </w:r>
    </w:p>
    <w:p w:rsidR="005524C3" w:rsidRPr="00586923" w:rsidRDefault="005524C3" w:rsidP="005524C3">
      <w:pPr>
        <w:spacing w:after="0" w:line="240" w:lineRule="auto"/>
        <w:jc w:val="both"/>
        <w:rPr>
          <w:rFonts w:ascii="Arial" w:hAnsi="Arial" w:cs="Arial"/>
        </w:rPr>
      </w:pPr>
    </w:p>
    <w:p w:rsidR="005524C3" w:rsidRPr="005524C3" w:rsidRDefault="005524C3" w:rsidP="005524C3">
      <w:pPr>
        <w:pStyle w:val="Akapitzlist"/>
        <w:numPr>
          <w:ilvl w:val="0"/>
          <w:numId w:val="1"/>
        </w:numPr>
        <w:spacing w:after="0"/>
        <w:ind w:left="284" w:hanging="284"/>
        <w:jc w:val="both"/>
        <w:rPr>
          <w:rFonts w:ascii="Arial" w:hAnsi="Arial" w:cs="Arial"/>
          <w:b/>
          <w:u w:val="single"/>
        </w:rPr>
      </w:pPr>
      <w:r w:rsidRPr="005524C3">
        <w:rPr>
          <w:rFonts w:ascii="Arial" w:hAnsi="Arial" w:cs="Arial"/>
          <w:b/>
          <w:u w:val="single"/>
        </w:rPr>
        <w:t>Projekty aktów prawnych</w:t>
      </w:r>
    </w:p>
    <w:p w:rsidR="005524C3" w:rsidRPr="005524C3" w:rsidRDefault="005524C3" w:rsidP="005524C3">
      <w:pPr>
        <w:spacing w:after="0"/>
        <w:jc w:val="both"/>
        <w:rPr>
          <w:rFonts w:ascii="Arial" w:hAnsi="Arial" w:cs="Arial"/>
        </w:rPr>
      </w:pPr>
    </w:p>
    <w:p w:rsidR="005524C3" w:rsidRPr="005524C3" w:rsidRDefault="005524C3" w:rsidP="005524C3">
      <w:pPr>
        <w:spacing w:after="0"/>
        <w:jc w:val="both"/>
        <w:rPr>
          <w:rFonts w:ascii="Arial" w:hAnsi="Arial" w:cs="Arial"/>
        </w:rPr>
      </w:pPr>
      <w:r w:rsidRPr="005524C3">
        <w:rPr>
          <w:rFonts w:ascii="Arial" w:hAnsi="Arial" w:cs="Arial"/>
        </w:rPr>
        <w:t xml:space="preserve">W omawianym okresie </w:t>
      </w:r>
      <w:r w:rsidRPr="005524C3">
        <w:rPr>
          <w:rFonts w:ascii="Arial" w:eastAsia="Calibri" w:hAnsi="Arial" w:cs="Arial"/>
          <w:bCs/>
        </w:rPr>
        <w:t xml:space="preserve">Rządowe Centrum Legislacji opublikowało </w:t>
      </w:r>
      <w:r w:rsidRPr="005524C3">
        <w:rPr>
          <w:rFonts w:ascii="Arial" w:eastAsia="Calibri" w:hAnsi="Arial" w:cs="Arial"/>
          <w:bCs/>
        </w:rPr>
        <w:t>4</w:t>
      </w:r>
      <w:r w:rsidRPr="005524C3">
        <w:rPr>
          <w:rFonts w:ascii="Arial" w:eastAsia="Calibri" w:hAnsi="Arial" w:cs="Arial"/>
          <w:bCs/>
        </w:rPr>
        <w:t xml:space="preserve"> projekty ustaw oraz</w:t>
      </w:r>
      <w:r w:rsidRPr="005524C3">
        <w:rPr>
          <w:rFonts w:ascii="Arial" w:hAnsi="Arial" w:cs="Arial"/>
        </w:rPr>
        <w:t xml:space="preserve"> </w:t>
      </w:r>
      <w:r w:rsidRPr="005524C3">
        <w:rPr>
          <w:rFonts w:ascii="Arial" w:hAnsi="Arial" w:cs="Arial"/>
        </w:rPr>
        <w:t>16</w:t>
      </w:r>
      <w:r w:rsidRPr="005524C3">
        <w:rPr>
          <w:rFonts w:ascii="Arial" w:hAnsi="Arial" w:cs="Arial"/>
        </w:rPr>
        <w:t xml:space="preserve"> projekt</w:t>
      </w:r>
      <w:r w:rsidRPr="005524C3">
        <w:rPr>
          <w:rFonts w:ascii="Arial" w:hAnsi="Arial" w:cs="Arial"/>
        </w:rPr>
        <w:t>ów</w:t>
      </w:r>
      <w:r w:rsidRPr="005524C3">
        <w:rPr>
          <w:rFonts w:ascii="Arial" w:hAnsi="Arial" w:cs="Arial"/>
        </w:rPr>
        <w:t xml:space="preserve"> rozporządzeń Rady Ministrów, Prezesa Rady Ministrów oraz poszczególnych Ministrów.</w:t>
      </w:r>
    </w:p>
    <w:p w:rsidR="005524C3" w:rsidRPr="005524C3" w:rsidRDefault="005524C3" w:rsidP="005524C3">
      <w:pPr>
        <w:spacing w:after="0"/>
        <w:jc w:val="both"/>
        <w:rPr>
          <w:rFonts w:ascii="Arial" w:hAnsi="Arial" w:cs="Arial"/>
        </w:rPr>
      </w:pPr>
    </w:p>
    <w:p w:rsidR="005524C3" w:rsidRPr="005524C3" w:rsidRDefault="005524C3" w:rsidP="005524C3">
      <w:pPr>
        <w:spacing w:after="0"/>
        <w:jc w:val="both"/>
        <w:rPr>
          <w:rFonts w:ascii="Arial" w:hAnsi="Arial" w:cs="Arial"/>
        </w:rPr>
      </w:pPr>
      <w:r w:rsidRPr="005524C3">
        <w:rPr>
          <w:rFonts w:ascii="Arial" w:hAnsi="Arial" w:cs="Arial"/>
        </w:rPr>
        <w:t xml:space="preserve">Przeprowadzono konsultacje </w:t>
      </w:r>
      <w:r w:rsidRPr="005524C3">
        <w:rPr>
          <w:rFonts w:ascii="Arial" w:hAnsi="Arial" w:cs="Arial"/>
        </w:rPr>
        <w:t>3 projektów</w:t>
      </w:r>
      <w:r w:rsidRPr="005524C3">
        <w:rPr>
          <w:rFonts w:ascii="Arial" w:hAnsi="Arial" w:cs="Arial"/>
        </w:rPr>
        <w:t xml:space="preserve"> ustaw i </w:t>
      </w:r>
      <w:r w:rsidRPr="005524C3">
        <w:rPr>
          <w:rFonts w:ascii="Arial" w:hAnsi="Arial" w:cs="Arial"/>
        </w:rPr>
        <w:t>2</w:t>
      </w:r>
      <w:r w:rsidRPr="005524C3">
        <w:rPr>
          <w:rFonts w:ascii="Arial" w:hAnsi="Arial" w:cs="Arial"/>
        </w:rPr>
        <w:t xml:space="preserve"> projektów rozporządzeń dotyczących podmiotów członkowskich (pracodawcy, przedsiębiorcy, JST) zrzeszonych w Związku. </w:t>
      </w:r>
    </w:p>
    <w:p w:rsidR="005524C3" w:rsidRPr="005524C3" w:rsidRDefault="005524C3" w:rsidP="005524C3">
      <w:pPr>
        <w:spacing w:after="0"/>
        <w:jc w:val="both"/>
        <w:rPr>
          <w:rFonts w:ascii="Arial" w:hAnsi="Arial" w:cs="Arial"/>
        </w:rPr>
      </w:pPr>
      <w:r w:rsidRPr="005524C3">
        <w:rPr>
          <w:rFonts w:ascii="Arial" w:hAnsi="Arial" w:cs="Arial"/>
        </w:rPr>
        <w:t>Do konsultacji przekazane zostały następujące projekty:</w:t>
      </w:r>
    </w:p>
    <w:p w:rsidR="005524C3" w:rsidRPr="005524C3" w:rsidRDefault="005524C3" w:rsidP="005524C3">
      <w:pPr>
        <w:spacing w:after="0"/>
        <w:jc w:val="both"/>
        <w:rPr>
          <w:rFonts w:ascii="Arial" w:hAnsi="Arial" w:cs="Arial"/>
        </w:rPr>
      </w:pPr>
    </w:p>
    <w:p w:rsidR="005524C3" w:rsidRPr="005524C3" w:rsidRDefault="005524C3" w:rsidP="005524C3">
      <w:pPr>
        <w:spacing w:after="0"/>
        <w:jc w:val="both"/>
        <w:rPr>
          <w:rFonts w:ascii="Arial" w:hAnsi="Arial" w:cs="Arial"/>
        </w:rPr>
      </w:pPr>
      <w:r w:rsidRPr="005524C3">
        <w:rPr>
          <w:rFonts w:ascii="Arial" w:hAnsi="Arial" w:cs="Arial"/>
        </w:rPr>
        <w:t>Projekty ustaw:</w:t>
      </w:r>
    </w:p>
    <w:p w:rsidR="005524C3" w:rsidRPr="005524C3" w:rsidRDefault="005524C3" w:rsidP="005524C3">
      <w:pPr>
        <w:spacing w:after="0"/>
        <w:jc w:val="both"/>
        <w:rPr>
          <w:rFonts w:ascii="Arial" w:hAnsi="Arial" w:cs="Arial"/>
        </w:rPr>
      </w:pPr>
    </w:p>
    <w:p w:rsidR="005524C3" w:rsidRPr="005524C3" w:rsidRDefault="005524C3" w:rsidP="005524C3">
      <w:pPr>
        <w:pStyle w:val="Akapitzlist"/>
        <w:numPr>
          <w:ilvl w:val="0"/>
          <w:numId w:val="3"/>
        </w:numPr>
        <w:spacing w:after="0"/>
        <w:jc w:val="both"/>
        <w:rPr>
          <w:rFonts w:ascii="Arial" w:hAnsi="Arial" w:cs="Arial"/>
        </w:rPr>
      </w:pPr>
      <w:r w:rsidRPr="005524C3">
        <w:rPr>
          <w:rFonts w:ascii="Arial" w:hAnsi="Arial" w:cs="Arial"/>
          <w:b/>
          <w:u w:val="single"/>
          <w:shd w:val="clear" w:color="auto" w:fill="FFFFFF"/>
        </w:rPr>
        <w:t>projekt ustawy o minimalnym wynagrodzeniu za pracę (numer z wykazu UC62)</w:t>
      </w:r>
    </w:p>
    <w:p w:rsidR="005524C3" w:rsidRPr="005524C3" w:rsidRDefault="005524C3" w:rsidP="005524C3">
      <w:pPr>
        <w:spacing w:after="0"/>
        <w:jc w:val="both"/>
        <w:rPr>
          <w:rFonts w:ascii="Arial" w:hAnsi="Arial" w:cs="Arial"/>
        </w:rPr>
      </w:pP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Z uwagi na fakt, iż wdrożenie postanowień dyrektywy jest przedmiotem regulacji ustawowej, niezbędne jest podjęcie działań legislacyjnych i nie jest możliwe osiągnięcie ww. celu za pomocą innych środków. Wdrożenie do prawa polskiego przepisów dyrektywy w zakresie minimalnego wynagrodzenia wymaga dokonania zmiany ustawy o minimalnym wynagrodzeniu za pracę z 2002 r. Ponieważ ustawa ta była wielokrotnie zmieniana zaproponowano nowy projekt ustawy o minimalnym wynagrodzeniu za pracę. Ponadto w zakresie sankcji konieczna jest również zmiana ustawy z dnia 6 czerwca 1997 r. – Kodeks karny (Dz. U. z 2024 r. poz. 17), zwanej dalej „Kodeksem karnym” oraz ustawy z dnia 26 czerwca 1974 r. – Kodeks pracy (Dz. U. z 2023 r. poz. 1465, z </w:t>
      </w:r>
      <w:proofErr w:type="spellStart"/>
      <w:r w:rsidRPr="005524C3">
        <w:rPr>
          <w:rFonts w:ascii="Arial" w:eastAsia="Calibri" w:hAnsi="Arial" w:cs="Arial"/>
        </w:rPr>
        <w:t>późn</w:t>
      </w:r>
      <w:proofErr w:type="spellEnd"/>
      <w:r w:rsidRPr="005524C3">
        <w:rPr>
          <w:rFonts w:ascii="Arial" w:eastAsia="Calibri" w:hAnsi="Arial" w:cs="Arial"/>
        </w:rPr>
        <w:t xml:space="preserve">. zm.), zwanej dalej „Kodeksem pracy”. Konieczne są także inne zmiany, niewynikające bezpośrednio z dyrektywy, które mają na celu doprecyzowanie istniejących przepisów i wprowadzenie bardziej sprawiedliwego i przejrzystego kształtu minimalnego wynagrodzenia za pracę oraz minimalnej stawki godzinowej. Projekt ustawy w części stanowi powtórzenie obecnie obowiązujących przepisów ustawy o minimalnym wynagrodzeniu za pracę z 2002 r. Projekt ustawy reguluje zasady i tryb ustalania oraz aktualizacji minimalnego wynagrodzenia za pracę, wskazuje organ doradczy właściwy w sprawach związanych z minimalnym wynagrodzeniem za pracę, reguluje kwestie związane ze sprawozdawczością w zakresie minimalnego wynagrodzenia za pracę, a także określa zasady i tryb ustalania oraz wypłacania minimalnej stawki godzinowej. Projekt ustawy przewiduje: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 uzupełnienie słowniczka (art. 2), w stosunku do obecnie obowiązującej ustawy o minimalnym wynagrodzeniu za pracę z 2002 r., o definicje następujących pojęć (aktualizacja minimalnego wynagrodzenia za pracę, długoterminowe krajowe poziomy produktywności, minimalne wynagrodzenie za pracę, ogólny poziom wynagrodzeń i ich rozkład, rok </w:t>
      </w:r>
      <w:r w:rsidRPr="005524C3">
        <w:rPr>
          <w:rFonts w:ascii="Arial" w:eastAsia="Calibri" w:hAnsi="Arial" w:cs="Arial"/>
        </w:rPr>
        <w:lastRenderedPageBreak/>
        <w:t xml:space="preserve">aktualizacji, rok negocjacji, rok sprawozdawczy, siła nabywcza minimalnego wynagrodzenia za pracę, z uwzględnieniem kosztów utrzymania, stopa wzrostu wynagrodzeń, strona pracodawców, strona pracowników, wynagrodzenie zasadnicze);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2) dwa terminy zmiany wysokości minimalnego wynagrodzenia za pracę (art. 3 projektu). W myśl projektu ustawy, gdy prognozowany na rok następny wskaźnik cen wynosi co najmniej 105% ustala się dwa terminy zmiany wysokości minimalnego wynagrodzenia za pracę oraz minimalnej stawki godzinowej, tj. od dnia 1 stycznia i od dnia 1 lipca. Natomiast, gdy wskaźnik ten wynosi mniej niż 105% – ustala się jeden termin zmiany ww. wysokości minimalnych gwarancji płacowych, tj. od dnia 1 stycznia;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3) wyznaczenie Rady Dialogu Społecznego (zwanej dalej „RDS”) jako organu doradczego (art. 4 projektu). Organ ten będzie doradzał Radzie Ministrów w kwestiach związanych z minimalnym wynagrodzeniem za pracę, w szczególności z jego ustalaniem i aktualizacją;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4) podkreślenie roli strony pracowników i strony pracodawców w sprawach związanych z minimalnym wynagrodzeniem za pracę (art. 5 projektu). Zgodnie z tym przepisem, partnerzy społeczni mogą wyrażać opinię, zajmować stanowisko, w szczególności w zakresie: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a) określania mechanizmu ustalania minimalnego wynagrodzenia za pracę i jego zmiany, w tym wyboru i stosowania kryteriów ustalania wysokości minimalnego wynagrodzenia za pracę,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b) wyboru i stosowania orientacyjnej wartości referencyjnej,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c) aktualizowania minimalnego wynagrodzenia za pracę,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d) ustanawiania zróżnicowanych stawek minimalnego wynagrodzenia za pracę i odliczeń od niego,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e) gromadzenia danych i prowadzenia badań oraz analiz z zakresu minimalnego wynagrodzenia za pracę. Należy zauważyć, że zgodnie z projektem ustawy partnerzy społeczni w ramach RDS uczestniczą zarówno w pracach organu doradczego, jak i przy aktualizacji minimalnego wynagrodzenia za pracę oraz negocjują (analogicznie jak obecnie) wysokość minimalnego wynagrodzenia za pracę. Ponadto partnerzy społeczni, tak jak dotychczas, będą przedstawiać swoje propozycje w sprawie wzrostu minimalnego wynagrodzenia za pracę w następnym roku (zgodnie z art. 16 ust. 2 pkt 2 ustawy o Radzie Dialogu Społecznego) oraz opiniować, w przypadku braku uzgodnienia na forum RDS wysokości minimalnego wynagrodzenia za pracę, projekt rozporządzenia ustalającego wysokość minimalnego wynagrodzenia za pracę na rok następny;</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5) co do zasady analogiczną jak obecnie obowiązująca, coroczną procedurę ustalania minimalnego wynagrodzenia za pracę oraz minimalnej stawki godzinowej (art. 6 projektu). Zgodnie z projektem, wysokość minimalnego wynagrodzenia za pracę będzie corocznie przedmiotem negocjacji prowadzonych w ramach RDS. Rada Ministrów przedstawia RDS do negocjacji propozycje wysokości minimalnego wynagrodzenia za pracę dla pracowników oraz minimalnej stawki godzinowej dla określonych umów cywilnoprawnych – w terminie do dnia 15 czerwca każdego roku. Negocjacje prowadzone będą przez 30 dni od dnia otrzymania propozycji i informacji. Jeżeli w tym terminie RDS nie uzgodni ww. wysokości gwarancji płacowych, wówczas decyzje w tym zakresie podejmie Rada Ministrów w drodze rozporządzenia. Ustalone przez Radę Ministrów wysokości minimalnego wynagrodzenia za pracę oraz minimalnej stawki godzinowej nie będą mogły być niższe niż zaproponowane RDS do negocjacji. Zgodnie z projektowanym art. 6 ust. 2 ustawy, Rada Ministrów, poza proponowaną na rok następny kwotą minimalnego wynagrodzenia za pracę oraz minimalnej stawki godzinowej, przedstawia RDS również szereg informacji o charakterze ekonomiczno-statystycznym. Dodatkowo w stosunku do obecnych przepisów przekazywana będzie również informacja o orientacyjnej wartości referencyjnej oraz relacji propozycji wysokości </w:t>
      </w:r>
      <w:r w:rsidRPr="005524C3">
        <w:rPr>
          <w:rFonts w:ascii="Arial" w:eastAsia="Calibri" w:hAnsi="Arial" w:cs="Arial"/>
        </w:rPr>
        <w:lastRenderedPageBreak/>
        <w:t xml:space="preserve">minimalnego wynagrodzenia za pracę w roku następnym do tej wartości (art. 6 ust. 2 pkt 11 projektu). Ponadto w roku aktualizacji zostanie również przekazana informacja o zastosowanej aktualizacji minimalnego wynagrodzenia za pracę (art. 6 ust. 3 projektu);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6) utrzymanie co do zasady dotychczasowego mechanizmu ustalania minimalnego wynagrodzenia za pracę (art. 7 ust. 1–4 projektu ustawy). Projektowane przepisy ustawy gwarantują zatem coroczny wzrost wysokości minimalnego wynagrodzenia za pracę w stopniu nie niższym niż prognozowany na dany rok wzrost cen towarów i usług konsumpcyjnych ogółem. Jednocześnie, w roku negocjacji wysokość minimalnego wynagrodzenia za pracę jest niższa od połowy wysokości przeciętnego wynagrodzenia w gospodarce narodowej w I kwartale tego roku, gwarancja ta jest zwiększana dodatkowo o 2/3 prognozowanego wskaźnika realnego przyrostu PKB. W przypadku, gdy w roku poprzednim rzeczywisty wzrost cen różnił się od prognozowanego, projekt przewiduje zastosowanie mechanizmu korygującego (zastosowanie wskaźnika weryfikacyjnego w odniesieniu do wysokości minimalnego wynagrodzenia za pracę obowiązującego w danym roku z tytułu różnicy pomiędzy rzeczywistym a prognozowanym wzrostem cen w roku poprzednim). W stosunku do obecnie obowiązującego mechanizmu, w art. 7 ust. 3 proponuje się doprecyzowanie obliczania wskaźnika weryfikacyjnego. Ustawa o minimalnym wynagrodzeniu za pracę z 2002 r. przewiduje, że wskaźnik weryfikacyjny otrzymuje się przez podzielenie wskaźnika cen w roku poprzednim przez prognozowany wskaźnik cen w roku poprzednim, w oparciu o który została określona propozycja wysokości minimalnego wynagrodzenia za pracę przekazana RDS do negocjacji. Należy jednak zauważyć, że prognozowany wskaźnik cen w roku poprzednim, w oparciu o który została określona propozycja wysokości minimalnego wynagrodzenia przekazana RDS do negocjacji, może się różnić od prognozowanego wskaźnika cen w roku poprzednim, w oparciu o który została ustalona ostateczna wysokość minimalnego wynagrodzenia za pracę. Przykładowo, przy ustalaniu minimalnego wynagrodzenia za pracę w 2022 r. zastosowano prognozowany wskaźnik wzrostu cen towarów i usług konsumpcyjnych ogółem przyjęty w projekcie ustawy budżetowej na 2022 r. w wysokości 103,3%, a do określenia propozycji wysokości minimalnego wynagrodzenia za pracę przekazanej do negocjacji do RDS przyjęto prognozowany wskaźnik określony w Założeniach projektu budżetu państwa na rok 2022 r., tj.: 102,8%. W celu ustanowienia bardziej miarodajnego wskaźnika weryfikacyjnego, projekt ustawy przewiduje, aby był on obliczany przez podzielenie wskaźnika cen w roku poprzednim przez faktyczny prognozowany wskaźnik cen w roku poprzednim, w oparciu o który została ustalona wysokość minimalnego wynagrodzenia za pracę, a nie ten wzięty pod uwagę przy ustalaniu propozycji minimalnego wynagrodzenia za pracę. Należy mieć jednocześnie na uwadze, że art. 7 ust. 5 projektu ustawy przewiduje, iż w roku aktualizacji, przy ustaleniu wysokości minimalnego wynagrodzenia za pracę, uwzględnia się również aktualizację minimalnego wynagrodzenia za pracę. Przepis ten zawiera również gwarancję utrzymania wysokości minimalnego wynagrodzenia za pracę na poziomie obowiązującym w roku negocjacji, w przypadku gdyby w wyniku analizy kryteriów aktualizacji, na podstawie których przeprowadzana jest aktualizacja minimalnego wynagrodzenia za pracę ustalono, że wysokość minimalnego wynagrodzenia za pracę w ostatnich latach wzrastała szybciej, niż wynikałoby to z analizowanych kryteriów. Ponadto w art. 7 ust. 6 doprecyzowano ustalenie minimalnego wynagrodzenia za pracę w przypadku, gdy w roku negocjacji są ustalone dwa terminy jego zmiany, zgodnie z art. 3 pkt 1, do obliczenia wysokości minimalnego wynagrodzenia na rok następny przyjmuje się wysokość minimalnego wynagrodzenia za pracę obowiązującą od dnia 1 lipca roku negocjacji. Przyjęcie kwoty obowiązującej od 1 lipca jest zasadne z uwagi na fakt, że do obliczenia minimalnego wynagrodzenia za pracę na rok </w:t>
      </w:r>
      <w:r w:rsidRPr="005524C3">
        <w:rPr>
          <w:rFonts w:ascii="Arial" w:eastAsia="Calibri" w:hAnsi="Arial" w:cs="Arial"/>
        </w:rPr>
        <w:lastRenderedPageBreak/>
        <w:t xml:space="preserve">następny powinno być brane pod uwagę „ostateczne” wynagrodzenie minimalne za pracę obowiązujące w roku negocjacji, a nie wysokość przeciętnej, która występuje sporadycznie (tylko w przypadku dwóch terminów ustalania wysokości minimalnego wynagrodzenia za pracę). Należy podkreślić, że w okresie obowiązywania przepisów obecnej ustawy z dnia 10 października 2002 r., tylko dwukrotnie (tj. w 2023 r. i 2024 r.) prognozowana inflacja wynosiła powyżej 105%, co wiązało się z koniecznością ustalenia dwóch terminów zmiany minimalnego wynagrodzenia za pracę. Doprecyzowanie ww. przepisu ma wyeliminować wątpliwości dotyczące stosowania kwoty minimalnego wynagrodzenia za pracę przy ustalaniu ustawowego minimum, w przypadku, gdy w roku negocjacji są ustalone dwa terminy jego zmiany. Wysokość minimalnego wynagrodzenia za pracę jest ustalana i negocjowana ze stosunkowo dużym wyprzedzeniem – obowiązuje w roku następnym. Dlatego przy ustalaniu ustawowego minimum wykorzystywane są wskaźniki ekonomiczne zarówno rzeczywiste, dostępne (np. przeciętne wynagrodzenie w gospodarce narodowej w I kwartale roku negocjacji), jak i prognozowane (np. wskaźnik wzrostu cen towarów i usług konsumpcyjnych ogółem);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7) analogiczny jak w obecnie obowiązującej ustawie o minimalnym wynagrodzeniu z 2002 r. sposób zaokrąglania przy dokonywaniu obliczeń dotyczących wysokości minimalnego wynagrodzenia za pracę (art. 8);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8) orientacyjną wartość referencyjną na poziomie 55% prognozowanej wysokości przeciętnego wynagrodzenia w gospodarce narodowej, przyjętej do opracowania projektu ustawy budżetowej). Wartość ta będzie stosowana do corocznej oceny wysokości minimalnego wynagrodzenia za pracę (art. 9 ust. 1 i 2 projektu). W myśl art. 5 ust. 4 ww. dyrektywy państwa członkowskie są zobowiązane do dokonywania oceny adekwatności minimalnego wynagrodzenia. W tym celu będą musiały wybrać jedną lub większą liczbę orientacyjnych wartości referencyjnych na poziomie międzynarodowym lub na poziomie krajowym. Dyrektywa pozostawia państwom członkowskim swobodę w zakresie wyboru liczby, rodzaju i poziomu orientacyjnych wartości referencyjnych. Orientacyjna wartość referencyjna ma służyć ocenie adekwatności minimalnego wynagrodzenia, a dyrektywa nie wymaga jej osiągnięcia. Relacja minimalnego wynagrodzenia za pracę do przeciętnego wynagrodzenia sukcesywnie rośnie. W 2023 r. relacja ta wynosiła 50,3%. Natomiast prognozowana relacja minimalnego wynagrodzenia za pracę w 2024 r. (4300 zł) do prognozowanego przeciętnego wynagrodzenia w 2024 r. ustalonego w „Założeniach do projektu budżetu państwa na 2025 r.” (8007 zł) wynosi 53,7%. Zatem zasadnym jest, aby orientacyjna wartość referencyjna, do której osiągnięcia mamy dążyć i do której będzie porównywane minimalne wynagrodzenie za pracę była ustalona na wyższym poziomie (55% prognozowanego przeciętnego wynagrodzenia w gospodarce narodowej, przyjętego do opracowania projektu ustawy budżetowej). Biorąc pod uwagę obecną dostępność wskaźników w statystyce krajowej, zasadnym jest zastosowanie orientacyjnej wartości referencyjnej w postaci relacji minimalnego wynagrodzenia za pracę do przeciętnego wynagrodzenia. GUS corocznie publikuje dane dotyczące przeciętnego wynagrodzenia, co sprawia, że są one łatwo i publicznie dostępne, a zarazem porównywalne w czasie. Przeciętne wynagrodzenie jest również prognozowane w ustawie budżetowej. To umożliwia zarówno bieżącą ocenę takiej relacji, jak i jej ocenę w dłuższym okresie;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9) aktualizację minimalnego wynagrodzenia za pracę co najmniej raz na 4 lata (art. 10) w oparciu o następujące kryteria (art. 2 pkt 1):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a) siłę nabywczą minimalnego wynagrodzenia za pracę, z uwzględnieniem kosztów utrzymania (tj. poziomy minimum socjalnego 1-osobowego gospodarstwa pracowniczego </w:t>
      </w:r>
      <w:r w:rsidRPr="005524C3">
        <w:rPr>
          <w:rFonts w:ascii="Arial" w:eastAsia="Calibri" w:hAnsi="Arial" w:cs="Arial"/>
        </w:rPr>
        <w:lastRenderedPageBreak/>
        <w:t xml:space="preserve">publikowane przez Instytut Pracy i Spraw Socjalnych; okresowe wskaźniki cen towarów i usług konsumpcyjnych publikowane przez Główny Urząd Statystyczny),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b) ogólny poziom wynagrodzeń i ich rozkład (tj. okresowe wysokości przeciętnego wynagrodzenia),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c) stopę wzrostu wynagrodzeń (tj. wskaźniki wzrostu przeciętnego miesięcznego wynagrodzenia brutto w gospodarce narodowej),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d) długoterminowe krajowe poziomy produktywności i ich zmiany (tj. okresowe zmiany produktu krajowego brutto w cenach bieżących),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e) relacji wysokości minimalnego wynagrodzenia za pracę do wysokości przeciętnego wynagrodzenia w gospodarce narodowej w roku kalendarzowym ogłoszonego przez Prezesa Głównego Urzędu Statystycznego.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Projekt ustawy nie wprowadza wag różnicujących znaczenie poszczególnych kryteriów, uznając je za jednakowo istotne w procesie aktualizacji minimalnego wynagrodzenia za pracę. Przy wyborze mierników brana była przede wszystkim pod uwagę dostępność danych, zarówno prognozowanych jak i rzeczywistych, jasność kryteriów dla przeciętnego odbiorcy oraz zalecenia dyrektywy, aby unikać zbędnych obciążeń administracyjnych, finansowych i prawnych;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10) procedurę przeprowadzenia aktualizacji minimalnego wynagrodzenia za pracę (art. 11–13 projektu). Zgodnie z projektowanymi przepisami, strony pracowników i strony pracodawców RDS zajmują wspólne stanowisko w sprawie aktualizacji minimalnego wynagrodzenia za pracę w terminie 30 dni od dnia otrzymania informacji dotyczących kryteriów aktualizacji. Minister właściwy do spraw pracy będzie przekazywać RDS te informacje w terminie do dnia 20 marca każdego roku aktualizacji. W przypadku gdy, strony pracowników i strony pracodawców RDS nie uzgodnią wspólnego stanowiska, każda ze stron będzie mogła zająć stanowisko w sprawie aktualizacji minimalnego wynagrodzenia za pracę. Gdy strony te nie zajmą stanowiska, opinię w sprawie aktualizacji minimalnego wynagrodzenia za pracę będzie mogła przedstawić każda z organizacji, której przedstawiciele reprezentują stronę pracowników i stronę pracodawców w RDS. Zgodnie z art. 13 projektu ustawy, aktualizacji minimalnego wynagrodzenia za pracę będzie dokonywać Rada Ministrów mając na uwadze stanowiska lub opinie strony pracowników i strony pracodawców w RDS. Zgodnie z procedurą uzgadniania minimalnego wynagrodzenia za pracę na rok następny (art. 7 projektu ustawy), Rada Ministrów w roku aktualizacji przedstawi RDS propozycję minimalnego wynagrodzenia za pracę, która będzie uwzględniała zastosowaną aktualizację minimalnego wynagrodzenia za pracę (art. 6 ust. 3 projektu);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11) procedurę sprawozdawczości. Zgodnie z art. 14, co dwa lata, do dnia 1 października każdego roku sprawozdawczego, Prezes Głównego Urzędu Statystycznego, w porozumieniu z ministrem właściwym do spraw pracy, przekazuje Komisji Europejskiej następujące dane statystyczne i informacje w zakresie minimalnego wynagrodzenia: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a) wysokość minimalnego wynagrodzenia za pracę,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b) odsetek pracowników objętych minimalnym wynagrodzeniem za pracę,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c) opis istniejących zróżnicowanych stawek i odliczeń,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d) powody wprowadzenia zróżnicowanych stawek i odliczeń,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e) odsetek pracowników objętych zróżnicowanymi stawkami, w miarę dostępności danych.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Dane statystyczne i informacje powinny być, w miarę ich dostępności, </w:t>
      </w:r>
      <w:proofErr w:type="spellStart"/>
      <w:r w:rsidRPr="005524C3">
        <w:rPr>
          <w:rFonts w:ascii="Arial" w:eastAsia="Calibri" w:hAnsi="Arial" w:cs="Arial"/>
        </w:rPr>
        <w:t>zdezagregowane</w:t>
      </w:r>
      <w:proofErr w:type="spellEnd"/>
      <w:r w:rsidRPr="005524C3">
        <w:rPr>
          <w:rFonts w:ascii="Arial" w:eastAsia="Calibri" w:hAnsi="Arial" w:cs="Arial"/>
        </w:rPr>
        <w:t xml:space="preserve"> według płci, wieku, niepełnosprawności, wielkości przedsiębiorstwa i sektora. Jednocześnie należy podkreślić, że minister właściwy do spraw pracy przekaże Prezesowi Głównego </w:t>
      </w:r>
      <w:r w:rsidRPr="005524C3">
        <w:rPr>
          <w:rFonts w:ascii="Arial" w:eastAsia="Calibri" w:hAnsi="Arial" w:cs="Arial"/>
        </w:rPr>
        <w:lastRenderedPageBreak/>
        <w:t xml:space="preserve">Urzędu Statystycznego stosowne informacje w zakresie opisu zróżnicowanych stawek i odliczeń oraz powodów ich wprowadzenia;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12) wprowadzenie minimalnego wynagrodzenia za pracę jako wynagrodzenia zasadniczego. Zgodnie z art. 15 wysokość wynagrodzenia zasadniczego pracownika zatrudnionego w pełnym miesięcznym wymiarze czasu pracy nie może być niższa od wysokości minimalnego wynagrodzenia za pracę. Celem wprowadzenia tej zmiany, jest zapewnienie bardziej sprawiedliwego i przejrzystego kształtu minimalnego wynagrodzenia za pracę oraz przywrócenie charakteru poszczególnym składnikom wynagrodzenia (np. dodatkowi funkcyjnemu, premii, nagrodzie i innym dodatkom do wynagrodzenia), które obecnie często stanowią uzupełnienie do poziomu minimalnego wynagrodzenia za pracę. W takich przypadkach dodatki te przestały pełnić rolę formy gratyfikacji i uznania pracownika za posiadane przez niego np. doświadczenie zawodowe, sprawowanie dodatkowych funkcji czy też uzyskane wyniki w pracy;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13) w art. 17–23 analogiczne, co do zasady, przepisy w zakresie minimalnej stawki godzinowej co przepisy art. 8a–8f ustawy o minimalnym wynagrodzeniu za pracę z 2002 r. Projekt ustawy, w zakresie minimalnej stawki godzinowej przewiduje jedynie zmiany w zakresie: </w:t>
      </w:r>
    </w:p>
    <w:p w:rsidR="005524C3" w:rsidRPr="005524C3" w:rsidRDefault="005524C3" w:rsidP="005524C3">
      <w:pPr>
        <w:spacing w:after="0"/>
        <w:jc w:val="both"/>
        <w:rPr>
          <w:rFonts w:ascii="Arial" w:eastAsia="Calibri" w:hAnsi="Arial" w:cs="Arial"/>
        </w:rPr>
      </w:pPr>
      <w:r w:rsidRPr="005524C3">
        <w:rPr>
          <w:rFonts w:ascii="Arial" w:eastAsia="Calibri" w:hAnsi="Arial" w:cs="Arial"/>
        </w:rPr>
        <w:sym w:font="Symbol" w:char="F02D"/>
      </w:r>
      <w:r w:rsidRPr="005524C3">
        <w:rPr>
          <w:rFonts w:ascii="Arial" w:eastAsia="Calibri" w:hAnsi="Arial" w:cs="Arial"/>
        </w:rPr>
        <w:t xml:space="preserve"> terminu wypłaty wynagrodzenia wynikającego z wysokości minimalnej stawki godzinowej. Zgodnie z art. 18 ust. 7 projektu wypłaty wynagrodzenia dokonuje się niezwłocznie po ustaleniu jego pełnej wysokości, nie później jednak niż w ciągu 10 dni następnego miesiąca kalendarzowego; </w:t>
      </w:r>
    </w:p>
    <w:p w:rsidR="005524C3" w:rsidRPr="005524C3" w:rsidRDefault="005524C3" w:rsidP="005524C3">
      <w:pPr>
        <w:spacing w:after="0"/>
        <w:jc w:val="both"/>
        <w:rPr>
          <w:rFonts w:ascii="Arial" w:eastAsia="Calibri" w:hAnsi="Arial" w:cs="Arial"/>
        </w:rPr>
      </w:pPr>
      <w:r w:rsidRPr="005524C3">
        <w:rPr>
          <w:rFonts w:ascii="Arial" w:eastAsia="Calibri" w:hAnsi="Arial" w:cs="Arial"/>
        </w:rPr>
        <w:sym w:font="Symbol" w:char="F02D"/>
      </w:r>
      <w:r w:rsidRPr="005524C3">
        <w:rPr>
          <w:rFonts w:ascii="Arial" w:eastAsia="Calibri" w:hAnsi="Arial" w:cs="Arial"/>
        </w:rPr>
        <w:t xml:space="preserve"> sankcji. Zgodnie z art. 22 projektu ustawy kto, będąc przedsiębiorcą albo działając w imieniu przedsiębiorcy albo innej jednostki organizacyjnej, wypłaca przyjmującemu zlecenie lub świadczącemu usługi wynagrodzenie za każdą godzinę wykonania zlecenia lub świadczenia usług w wysokości niższej niż obowiązująca wysokość minimalnej stawki godzinowej lub nie wypłaca przyjmującemu zlecenie lub świadczącemu usługi wynagrodzenia za każdą godzinę wykonania zlecenia lub świadczenia usług, podlega karze grzywny od 1500 zł do 45 000 zł.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Zmiany te mają na celu zachowanie przejrzystości przepisów i ochronę wynagrodzenia wynikającego z minimalnej stawki godzinowej. W obecnym stanie prawnym w przypadku umów zawartych na czas dłuższy niż jeden miesiąc, wypłaty wynagrodzenia w wysokości wynikającej z wysokości minimalnej stawki godzinowej należy dokonywać co najmniej raz w miesiącu (art. 8a ust. 6 ustawy o minimalnym wynagrodzeniu za pracę z 2002 r.). Zleceniodawcy podnoszą często, iż wypłacenie wynagrodzenia wymaga podsumowania określonej ilości danych, zebrania informacji o liczbie godzin świadczonej pracy z poszczególnych placówek. Czynności te wymagają czasu, stąd też wypłacenie wynagrodzenia za wykonywanie zlecenia w danym miesiącu kalendarzowym jest możliwe w ciągu 10 dni następnego miesiąca kalendarzowego. Ponadto obowiązujące brzmienie przepisu art. 8e ustawy o minimalnym wynagrodzeniu za pracę z 2002 r. wskazuje, że odnosi się on wyłącznie do przypadków zaniżenia wynagrodzenia, a nie obejmuje stanów faktycznych, gdy wynagrodzenia w ogóle nie wypłacono. Dlatego przepis ten wymaga zmiany by z jego treści jednoznacznie wynikało, że sankcji podlega zarówno wypłacenie wynagrodzenia za każdą godzinę w wysokości niższej niż aktualnie obowiązująca minimalna stawka godzinowa, jak i całkowite zaniechanie jego wypłacenia. Jednocześnie, w celu zapewnienia skuteczniejszej ochrony wynagrodzenia wynikającego z minimalnej stawki godzinowej podniesiono wysokość kary grzywny od 1500 zł do 45 000 zł (obecnie od 1000 zł do 30 000 zł); </w:t>
      </w:r>
    </w:p>
    <w:p w:rsidR="005524C3" w:rsidRPr="005524C3" w:rsidRDefault="005524C3" w:rsidP="005524C3">
      <w:pPr>
        <w:spacing w:after="0"/>
        <w:jc w:val="both"/>
        <w:rPr>
          <w:rFonts w:ascii="Arial" w:eastAsia="Calibri" w:hAnsi="Arial" w:cs="Arial"/>
        </w:rPr>
      </w:pPr>
      <w:r w:rsidRPr="005524C3">
        <w:rPr>
          <w:rFonts w:ascii="Arial" w:eastAsia="Calibri" w:hAnsi="Arial" w:cs="Arial"/>
        </w:rPr>
        <w:lastRenderedPageBreak/>
        <w:t xml:space="preserve">14) w art. 24 i 26 zmianę Kodeksu karnego oraz Kodeksu pracy. Projekt wprowadza nowy typ przestępstwa oraz nowy typ wykroczenia, które związane są z naruszeniem prawa pracownika do wynagrodzenia za pracę, a także przewiduje naliczanie odsetek za nieterminowe wypłacenie należnych pracownikom wynagrodzeń. Czyn zabroniony z projektowanego art. 218 § 1b wprowadzany do Kodeksu karnego, polega na niewypłacaniu wynagrodzenia za pracę przez okres co najmniej 3 miesięcy i podlega grzywnie, karze ograniczenia wolności albo pozbawienia wolności do lat 2. Natomiast nowy typ wykroczenia określony w art. 282 § 1 pkt 4 Kodeksu pracy, penalizuje wypłacanie wynagrodzenia w wysokości niższej od wysokości minimalnego wynagrodzenia za pracę ustalonego na podstawie odrębnych przepisów, co podlega karze grzywny od 1500 zł do 45 000 zł. Przedmiotowa regulacja wprowadza, w art. 851 Kodeksu pracy, automatyzm w naliczaniu odsetek za czas opóźnienia w wypłacie wynagrodzenia za pracę, bez konieczności wnioskowania przez pracownika, co pozwoli pracownikowi na realizację należnych mu uprawnień. Jednocześnie w art. 281 § 1, art. 282 § 1 oraz art. art. 283 § 1 Kodeksu pracy podwyższa się wysokość kary grzywny za wykroczenia przeciwko prawom pracownika od 1500 zł do 45 000 zł (obecnie od 1000 zł do 30 000 zł). Należy podkreślić, że zgodnie z dyrektywą, przewidziane sankcje muszą być skuteczne, proporcjonalne i odstraszające. Z uwagi na fakt, że wdrożenie dyrektywy w zakresie sankcji wymaga zmiany Kodeksu karnego oraz Kodeksu pracy, projekt ustawy przewiduje uzupełnienie odnośnika do tytułu w obu ustawach, o dyrektywę;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15) zmiany odnośników do tytułu ustawy z dnia 13 kwietnia 2007 r. o Państwowej Inspekcji Pracy (Dz. U. z 2024 r. poz. 97, z </w:t>
      </w:r>
      <w:proofErr w:type="spellStart"/>
      <w:r w:rsidRPr="005524C3">
        <w:rPr>
          <w:rFonts w:ascii="Arial" w:eastAsia="Calibri" w:hAnsi="Arial" w:cs="Arial"/>
        </w:rPr>
        <w:t>późn</w:t>
      </w:r>
      <w:proofErr w:type="spellEnd"/>
      <w:r w:rsidRPr="005524C3">
        <w:rPr>
          <w:rFonts w:ascii="Arial" w:eastAsia="Calibri" w:hAnsi="Arial" w:cs="Arial"/>
        </w:rPr>
        <w:t xml:space="preserve">. zm.) i ustawy z dnia 11 września 2019 r. – Prawo zamówień publicznych (Dz. U. z 2023 r. poz. 1605 i 1720) oraz dodanie odnośnika do tytułu ustawy z dnia 29 czerwca 1995 r. o statystyce publicznej (Dz. U. z 2023 r. poz. 773), że w zakresie swojej regulacji wdraża przedmiotową dyrektywę (art. 25, 27 i 28);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16) określenie terminu pierwszej aktualizacji minimalnego wynagrodzenia za pracę, która będzie przeprowadzona przy ustaleniu wysokości minimalnego wynagrodzenia za pracę na rok 2028 (art. 29);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17) określenie terminu przekazania pierwszego sprawozdania do Komisji Europejskiej. Będzie ono obejmowało lata 2021, 2022 oraz 2023 i zostanie przedstawione do dnia 1 października 2025 r. Przewiduje się, że sprawozdanie to może nie zawierać danych statystycznych i informacji, które nie będą dostępne przed dniem 15 listopada 2024 r. (art. 30);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18) pozostawienie dotychczas obowiązującego w ustawie o minimalnym wynagrodzeniu za pracę z 2002 r. przepisu definiującego najniższe wynagrodzenie za pracę (art. 31). Wejście w życie ustawy o minimalnym wynagrodzeniu za pracę z 2002 r. (od 1 stycznia 2003 r.) zakończyło okres określania najniższego wynagrodzenia za pracę przez Ministra Pracy i Polityki Społecznej na podstawie art. 774 Kodeksu pracy. W myśl art. 25 ustawy o minimalnym wynagrodzeniu z 2002 r. „Ilekroć w przepisach prawa jest mowa o "najniższym wynagrodzeniu za pracę pracowników" przez odwołanie się do odrębnych przepisów lub do Kodeksu pracy albo przez wskazanie Ministra Pracy i Polityki Socjalnej, Ministra Pracy i Polityki Społecznej lub ministra właściwego do spraw pracy jako zobowiązanego do ustalania takiego wynagrodzenia na podstawie odrębnych przepisów lub Kodeksu pracy, oznacza to kwotę 760 zł.”. Po 2003 r. w wielu przepisach odniesienie do najniższego wynagrodzenia zmieniono na np. określoną kwotę lub relację do przeciętnego wynagrodzenia. Natomiast w niektórych przepisach funkcjonuje jeszcze odniesienie do najniższego wynagrodzenia. Mając na uwadze powyższe, zasadnym jest, aby również w projekcie przedmiotowej ustawy pozostawić przepis odnoszący się do najniższego wynagrodzenia w wysokości 760 zł; </w:t>
      </w:r>
    </w:p>
    <w:p w:rsidR="005524C3" w:rsidRPr="005524C3" w:rsidRDefault="005524C3" w:rsidP="005524C3">
      <w:pPr>
        <w:spacing w:after="0"/>
        <w:jc w:val="both"/>
        <w:rPr>
          <w:rFonts w:ascii="Arial" w:eastAsia="Calibri" w:hAnsi="Arial" w:cs="Arial"/>
        </w:rPr>
      </w:pPr>
      <w:r w:rsidRPr="005524C3">
        <w:rPr>
          <w:rFonts w:ascii="Arial" w:eastAsia="Calibri" w:hAnsi="Arial" w:cs="Arial"/>
        </w:rPr>
        <w:lastRenderedPageBreak/>
        <w:t xml:space="preserve">19) wprowadzenie przepisu (art. 32), zgodnie z którym: „Ilekroć w obowiązujących przepisach jest mowa o minimalnym wynagrodzeniu za pracę albo minimalnej stawce godzinowej, ustalonych na podstawie przepisów ustawy uchylanej w art. 34, albo przez odwołanie się do odrębnych przepisów lub przepisów o minimalnym wynagrodzeniu za pracę należy przez to rozumieć minimalne wynagrodzenie za pracę albo minimalną stawkę godzinową ustalone na podstawie niniejszej ustawy.” Proponowany przepis jest konieczny, ponieważ w wielu obowiązujących przepisach są stosowane odesłania do minimalnego wynagrodzenia za pracę lub minimalnej stawki godzinowej ustalonych na podstawie ustawy o minimalnym wynagrodzeniu za pracę z 2002 r.;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20) pozostawienie w mocy do dnia 31 grudnia 2025 r. rozporządzenia ustalającego wysokość minimalnego wynagrodzenia za pracę oraz minimalnej stawki godzinowej w 2025 r., wydanego na podstawie art. 2 ust. 5 ustawy o minimalnym wynagrodzeniu za pracę z 2002 r. (art. 33). Powyższe wynika z faktu, że przepisy projektu ustawy będą miały zastosowanie do ustalenia wysokości minimalnego wynagrodzenia za pracę w 2026 r. Natomiast wysokość minimalnego wynagrodzenia za pracę w 2025 r. będzie ustalana na podstawie przepisów ustawy o minimalnym wynagrodzeniu za pracę z 2002 r., z uwagi na fakt, że wysokości te muszą być ustalone najpóźniej do 15 września 2024 r.; </w:t>
      </w:r>
    </w:p>
    <w:p w:rsidR="005524C3" w:rsidRPr="005524C3" w:rsidRDefault="005524C3" w:rsidP="005524C3">
      <w:pPr>
        <w:spacing w:after="0"/>
        <w:jc w:val="both"/>
        <w:rPr>
          <w:rFonts w:ascii="Arial" w:eastAsia="Calibri" w:hAnsi="Arial" w:cs="Arial"/>
        </w:rPr>
      </w:pPr>
      <w:r w:rsidRPr="005524C3">
        <w:rPr>
          <w:rFonts w:ascii="Arial" w:eastAsia="Calibri" w:hAnsi="Arial" w:cs="Arial"/>
        </w:rPr>
        <w:t xml:space="preserve">21) uchylenie przepisów ustawy o minimalnym wynagrodzeniu za pracę z 2002 r., z wyjątkiem art. 1 pkt 10 i 11, art. 6, art. 7 oraz art. 8, które tracą moc 1 stycznia 2026 r. (art. 34). Natomiast art. 35 przewiduje, że ustawa wejdzie w życie z dniem 15 listopada 2024 r., z wyjątkiem art. 2 pkt 25, art. 15 oraz art. 16, które wchodzą w życie z dniem 1 stycznia 2026 r. Wynika to z konieczności zapewnienia odpowiedniego vacatio legis dla wprowadzenia wynagrodzenia minimalnego za pracę jako wynagrodzenia zasadniczego. Pracodawcy powinni mieć czas na zabezpieczenie w swoich budżetach środków na sfinansowanie proponowanej zmiany. Do tego czasu przewiduje się, że będą obowiązywać przepisy dotychczasowej ustawy o minimalnym wynagrodzeniu za pracę z 2002 r., dotyczące zakresu składnikowego minimalnego wynagrodzenia za pracę. </w:t>
      </w:r>
    </w:p>
    <w:p w:rsidR="005524C3" w:rsidRDefault="005524C3" w:rsidP="005524C3">
      <w:pPr>
        <w:spacing w:after="0"/>
        <w:jc w:val="both"/>
        <w:rPr>
          <w:rFonts w:ascii="Arial" w:eastAsia="Calibri" w:hAnsi="Arial" w:cs="Arial"/>
        </w:rPr>
      </w:pPr>
      <w:r w:rsidRPr="005524C3">
        <w:rPr>
          <w:rFonts w:ascii="Arial" w:eastAsia="Calibri" w:hAnsi="Arial" w:cs="Arial"/>
        </w:rPr>
        <w:t>W efekcie oczekuje się poprawy warunków życia i pracy, a w szczególności adekwatności wynagrodzeń minimalnych pracowników oraz zmniejszenia nierówności płacowych. Ponadto proponowane zmiany wprowadzą bardziej sprawiedliwy i przejrzysty kształt minimalnego wynagrodzenia za pracę oraz minimalnej stawki godzinowej, a także zapewnią lepszą ochronę minimalnych gwarancji płacowych. Nie ma możliwości osiągnięcia celu projektu za pomocą innych środków niż legislacyjne.</w:t>
      </w:r>
    </w:p>
    <w:p w:rsidR="00931E14" w:rsidRPr="00931E14" w:rsidRDefault="00931E14" w:rsidP="00931E14">
      <w:pPr>
        <w:spacing w:after="0"/>
        <w:jc w:val="both"/>
        <w:rPr>
          <w:rFonts w:ascii="Arial" w:eastAsia="Calibri" w:hAnsi="Arial" w:cs="Arial"/>
        </w:rPr>
      </w:pPr>
    </w:p>
    <w:p w:rsidR="00931E14" w:rsidRPr="00931E14" w:rsidRDefault="00931E14" w:rsidP="00931E14">
      <w:pPr>
        <w:spacing w:after="0"/>
        <w:jc w:val="both"/>
        <w:rPr>
          <w:rFonts w:ascii="Arial" w:eastAsia="Calibri" w:hAnsi="Arial" w:cs="Arial"/>
        </w:rPr>
      </w:pPr>
      <w:r w:rsidRPr="00931E14">
        <w:rPr>
          <w:rFonts w:ascii="Arial" w:eastAsia="Calibri" w:hAnsi="Arial" w:cs="Arial"/>
        </w:rPr>
        <w:t>Przedmiotowy projekt aktu prawnego wraz z Uzasadnieniem, Oceną Skutków Regulacji, Tabelą zgodności oraz odwróconą tabelą zgodności dostępny jest na stronach Rządowego Centrum Legislacji pod adresem:</w:t>
      </w:r>
    </w:p>
    <w:p w:rsidR="00931E14" w:rsidRPr="00931E14" w:rsidRDefault="00931E14" w:rsidP="00931E14">
      <w:pPr>
        <w:spacing w:after="0"/>
        <w:jc w:val="both"/>
        <w:rPr>
          <w:rFonts w:ascii="Arial" w:hAnsi="Arial" w:cs="Arial"/>
        </w:rPr>
      </w:pPr>
      <w:hyperlink r:id="rId9" w:anchor="13077158" w:history="1">
        <w:r w:rsidRPr="00931E14">
          <w:rPr>
            <w:rFonts w:ascii="Arial" w:eastAsia="Calibri" w:hAnsi="Arial" w:cs="Arial"/>
            <w:color w:val="0000FF"/>
            <w:u w:val="single"/>
          </w:rPr>
          <w:t>https://legislacja.rcl.gov.pl/projekt/1238</w:t>
        </w:r>
        <w:r w:rsidRPr="00931E14">
          <w:rPr>
            <w:rFonts w:ascii="Arial" w:eastAsia="Calibri" w:hAnsi="Arial" w:cs="Arial"/>
            <w:color w:val="0000FF"/>
            <w:u w:val="single"/>
          </w:rPr>
          <w:t>8</w:t>
        </w:r>
        <w:r w:rsidRPr="00931E14">
          <w:rPr>
            <w:rFonts w:ascii="Arial" w:eastAsia="Calibri" w:hAnsi="Arial" w:cs="Arial"/>
            <w:color w:val="0000FF"/>
            <w:u w:val="single"/>
          </w:rPr>
          <w:t>700/katalog/13077158#13077158</w:t>
        </w:r>
      </w:hyperlink>
    </w:p>
    <w:p w:rsidR="005524C3" w:rsidRDefault="005524C3" w:rsidP="00931E14">
      <w:pPr>
        <w:spacing w:after="0"/>
        <w:jc w:val="both"/>
        <w:rPr>
          <w:rFonts w:ascii="Arial" w:hAnsi="Arial" w:cs="Arial"/>
        </w:rPr>
      </w:pPr>
    </w:p>
    <w:p w:rsidR="00931E14" w:rsidRDefault="00931E14" w:rsidP="00931E14">
      <w:pPr>
        <w:spacing w:after="0"/>
        <w:jc w:val="both"/>
        <w:rPr>
          <w:rFonts w:ascii="Arial" w:hAnsi="Arial" w:cs="Arial"/>
        </w:rPr>
      </w:pPr>
      <w:r w:rsidRPr="00A57E58">
        <w:rPr>
          <w:rStyle w:val="Hipercze"/>
          <w:rFonts w:ascii="Arial" w:hAnsi="Arial" w:cs="Arial"/>
          <w:color w:val="auto"/>
          <w:u w:val="none"/>
        </w:rPr>
        <w:t>Projekt jest obecnie je</w:t>
      </w:r>
      <w:r>
        <w:rPr>
          <w:rStyle w:val="Hipercze"/>
          <w:rFonts w:ascii="Arial" w:hAnsi="Arial" w:cs="Arial"/>
          <w:color w:val="auto"/>
          <w:u w:val="none"/>
        </w:rPr>
        <w:t xml:space="preserve">dnocześnie na etapie uzgodnień, </w:t>
      </w:r>
      <w:r w:rsidRPr="00A57E58">
        <w:rPr>
          <w:rStyle w:val="Hipercze"/>
          <w:rFonts w:ascii="Arial" w:hAnsi="Arial" w:cs="Arial"/>
          <w:color w:val="auto"/>
          <w:u w:val="none"/>
        </w:rPr>
        <w:t>konsultacji publicznych</w:t>
      </w:r>
      <w:r>
        <w:rPr>
          <w:rStyle w:val="Hipercze"/>
          <w:rFonts w:ascii="Arial" w:hAnsi="Arial" w:cs="Arial"/>
          <w:color w:val="auto"/>
          <w:u w:val="none"/>
        </w:rPr>
        <w:t xml:space="preserve"> i opiniowania.</w:t>
      </w:r>
    </w:p>
    <w:p w:rsidR="00931E14" w:rsidRPr="00931E14" w:rsidRDefault="00931E14" w:rsidP="00931E14">
      <w:pPr>
        <w:spacing w:after="0"/>
        <w:jc w:val="both"/>
        <w:rPr>
          <w:rFonts w:ascii="Arial" w:hAnsi="Arial" w:cs="Arial"/>
        </w:rPr>
      </w:pPr>
    </w:p>
    <w:p w:rsidR="005524C3" w:rsidRPr="00931E14" w:rsidRDefault="00931E14" w:rsidP="00931E14">
      <w:pPr>
        <w:pStyle w:val="Akapitzlist"/>
        <w:numPr>
          <w:ilvl w:val="0"/>
          <w:numId w:val="3"/>
        </w:numPr>
        <w:spacing w:after="0"/>
        <w:jc w:val="both"/>
        <w:rPr>
          <w:rFonts w:ascii="Arial" w:hAnsi="Arial" w:cs="Arial"/>
        </w:rPr>
      </w:pPr>
      <w:r w:rsidRPr="00931E14">
        <w:rPr>
          <w:rFonts w:ascii="Arial" w:hAnsi="Arial" w:cs="Arial"/>
          <w:b/>
          <w:u w:val="single"/>
          <w:shd w:val="clear" w:color="auto" w:fill="FFFFFF"/>
        </w:rPr>
        <w:t>projekt ustawy o zmianie ustawy o doręczeniach elektronicznych oraz ustawy o Centralnej Ewidencji i Informacji o Działalności Gospodarczej i Punkcie Informacji dla Przedsiębiorców (numer z wykazu UD 107)</w:t>
      </w:r>
    </w:p>
    <w:p w:rsidR="00931E14" w:rsidRPr="00931E14" w:rsidRDefault="00931E14" w:rsidP="00931E14">
      <w:pPr>
        <w:spacing w:after="0"/>
        <w:jc w:val="both"/>
        <w:rPr>
          <w:rFonts w:ascii="Arial" w:hAnsi="Arial" w:cs="Arial"/>
        </w:rPr>
      </w:pPr>
    </w:p>
    <w:p w:rsidR="00931E14" w:rsidRPr="00931E14" w:rsidRDefault="00931E14" w:rsidP="00931E14">
      <w:pPr>
        <w:spacing w:after="0"/>
        <w:jc w:val="both"/>
        <w:rPr>
          <w:rFonts w:ascii="Arial" w:eastAsia="Calibri" w:hAnsi="Arial" w:cs="Arial"/>
        </w:rPr>
      </w:pPr>
      <w:r w:rsidRPr="00931E14">
        <w:rPr>
          <w:rFonts w:ascii="Arial" w:eastAsia="Calibri" w:hAnsi="Arial" w:cs="Arial"/>
        </w:rPr>
        <w:t xml:space="preserve">W celu zapewnienia skutecznego wdrożenia e-Doręczeń w podmiotach publicznych proponuje się wprowadzenie okresu przejściowego do 31 grudnia 2025 roku, w którym będą one mogły stopniowo dostosowywać się do nowego sposobu prowadzenia korespondencji, </w:t>
      </w:r>
      <w:r w:rsidRPr="00931E14">
        <w:rPr>
          <w:rFonts w:ascii="Arial" w:eastAsia="Calibri" w:hAnsi="Arial" w:cs="Arial"/>
        </w:rPr>
        <w:lastRenderedPageBreak/>
        <w:t xml:space="preserve">tj. dostosować się organizacyjnie, wprowadzić systemy elektronicznego obiegu dokumentów (systemy klasy EZD) oraz poznać nowe rozwiązanie, jakim są e-Doręczenia. Analiza oparta na doświadczeniach Ministerstwa Cyfryzacji, związanych z zapewnianiem utrzymania i rozwoju systemów teleinformatycznych, w szczególności </w:t>
      </w:r>
      <w:proofErr w:type="spellStart"/>
      <w:r w:rsidRPr="00931E14">
        <w:rPr>
          <w:rFonts w:ascii="Arial" w:eastAsia="Calibri" w:hAnsi="Arial" w:cs="Arial"/>
        </w:rPr>
        <w:t>ePUAP</w:t>
      </w:r>
      <w:proofErr w:type="spellEnd"/>
      <w:r w:rsidRPr="00931E14">
        <w:rPr>
          <w:rFonts w:ascii="Arial" w:eastAsia="Calibri" w:hAnsi="Arial" w:cs="Arial"/>
        </w:rPr>
        <w:t xml:space="preserve">, jak również projektów informatycznych dotyczących świadczenia usług elektronicznych, pozwala stwierdzić, że okres niezbędny do dokonania zmian technicznych, w szczególności dostosowania </w:t>
      </w:r>
      <w:proofErr w:type="spellStart"/>
      <w:r w:rsidRPr="00931E14">
        <w:rPr>
          <w:rFonts w:ascii="Arial" w:eastAsia="Calibri" w:hAnsi="Arial" w:cs="Arial"/>
        </w:rPr>
        <w:t>ePUAP</w:t>
      </w:r>
      <w:proofErr w:type="spellEnd"/>
      <w:r w:rsidRPr="00931E14">
        <w:rPr>
          <w:rFonts w:ascii="Arial" w:eastAsia="Calibri" w:hAnsi="Arial" w:cs="Arial"/>
        </w:rPr>
        <w:t xml:space="preserve"> do e Doręczeń, wynosi około roku.</w:t>
      </w:r>
    </w:p>
    <w:p w:rsidR="00931E14" w:rsidRPr="00931E14" w:rsidRDefault="00931E14" w:rsidP="00931E14">
      <w:pPr>
        <w:spacing w:after="0"/>
        <w:jc w:val="both"/>
        <w:rPr>
          <w:rFonts w:ascii="Arial" w:eastAsia="Calibri" w:hAnsi="Arial" w:cs="Arial"/>
        </w:rPr>
      </w:pPr>
      <w:r w:rsidRPr="00931E14">
        <w:rPr>
          <w:rFonts w:ascii="Arial" w:eastAsia="Calibri" w:hAnsi="Arial" w:cs="Arial"/>
        </w:rPr>
        <w:t>W tym okresie zostanie przeprowadzona szeroka kampania informacyjna w celu promocji e-Doręczeń, w szczególności wśród pracowników jednostek samorządów terytorialnych, oraz wsparcie szkoleniowe w zakresie obsługi e-Doręczeń oraz systemów klasy EZD.</w:t>
      </w:r>
    </w:p>
    <w:p w:rsidR="00931E14" w:rsidRPr="00931E14" w:rsidRDefault="00931E14" w:rsidP="00931E14">
      <w:pPr>
        <w:spacing w:after="0"/>
        <w:jc w:val="both"/>
        <w:rPr>
          <w:rFonts w:ascii="Arial" w:eastAsia="Calibri" w:hAnsi="Arial" w:cs="Arial"/>
        </w:rPr>
      </w:pPr>
      <w:r w:rsidRPr="00931E14">
        <w:rPr>
          <w:rFonts w:ascii="Arial" w:eastAsia="Calibri" w:hAnsi="Arial" w:cs="Arial"/>
        </w:rPr>
        <w:t xml:space="preserve">W projektowanym okresie przejściowym zostanie zapewniona równoważność doręczania korespondencji za pośrednictwem operatora pocztowego albo w </w:t>
      </w:r>
      <w:proofErr w:type="spellStart"/>
      <w:r w:rsidRPr="00931E14">
        <w:rPr>
          <w:rFonts w:ascii="Arial" w:eastAsia="Calibri" w:hAnsi="Arial" w:cs="Arial"/>
        </w:rPr>
        <w:t>ePUAP</w:t>
      </w:r>
      <w:proofErr w:type="spellEnd"/>
      <w:r w:rsidRPr="00931E14">
        <w:rPr>
          <w:rFonts w:ascii="Arial" w:eastAsia="Calibri" w:hAnsi="Arial" w:cs="Arial"/>
        </w:rPr>
        <w:t xml:space="preserve"> oraz w innych systemach dziedzinowych z e-Doręczeniami. Przy czym wprowadzane rozwiązania będą promować doręczanie korespondencji z wykorzystaniem e-Doręczeń.</w:t>
      </w:r>
    </w:p>
    <w:p w:rsidR="00931E14" w:rsidRPr="00931E14" w:rsidRDefault="00931E14" w:rsidP="00931E14">
      <w:pPr>
        <w:spacing w:after="0"/>
        <w:jc w:val="both"/>
        <w:rPr>
          <w:rFonts w:ascii="Arial" w:eastAsia="Calibri" w:hAnsi="Arial" w:cs="Arial"/>
        </w:rPr>
      </w:pPr>
      <w:r w:rsidRPr="00931E14">
        <w:rPr>
          <w:rFonts w:ascii="Arial" w:eastAsia="Calibri" w:hAnsi="Arial" w:cs="Arial"/>
        </w:rPr>
        <w:t>Ministerstwo Cyfryzacji planuje jednocześnie prowadzić działania poza legislacyjne zachęcające podmioty publiczne do wdrażania systemów klasy EZD. Oczekuje się, że wprowadzenie w podmiotach publicznych systemów klasy EZD przyspieszy transformację cyfrową urzędów i pozwoli na bardziej skuteczne wdrożenie e-Doręczeń.</w:t>
      </w:r>
    </w:p>
    <w:p w:rsidR="00931E14" w:rsidRPr="00931E14" w:rsidRDefault="00931E14" w:rsidP="00931E14">
      <w:pPr>
        <w:spacing w:after="0"/>
        <w:jc w:val="both"/>
        <w:rPr>
          <w:rFonts w:ascii="Arial" w:eastAsia="Calibri" w:hAnsi="Arial" w:cs="Arial"/>
        </w:rPr>
      </w:pPr>
      <w:r w:rsidRPr="00931E14">
        <w:rPr>
          <w:rFonts w:ascii="Arial" w:eastAsia="Calibri" w:hAnsi="Arial" w:cs="Arial"/>
        </w:rPr>
        <w:t>Bez zmian pozostaje obowiązek uzyskania przez podmioty wskazane w ustawie o doręczeniach elektronicznych adresu do doręczeń elektronicznych do dnia określonego w komunikacie wydanym na podstawie art. 155 ust. 10 tej ustawy.</w:t>
      </w:r>
    </w:p>
    <w:p w:rsidR="00931E14" w:rsidRPr="00931E14" w:rsidRDefault="00931E14" w:rsidP="00931E14">
      <w:pPr>
        <w:spacing w:after="0"/>
        <w:jc w:val="both"/>
        <w:rPr>
          <w:rFonts w:ascii="Arial" w:eastAsia="Calibri" w:hAnsi="Arial" w:cs="Arial"/>
          <w:color w:val="000000"/>
          <w:spacing w:val="-2"/>
        </w:rPr>
      </w:pPr>
      <w:r w:rsidRPr="00931E14">
        <w:rPr>
          <w:rFonts w:ascii="Arial" w:eastAsia="Calibri" w:hAnsi="Arial" w:cs="Arial"/>
          <w:color w:val="000000"/>
          <w:spacing w:val="-2"/>
        </w:rPr>
        <w:t xml:space="preserve">W projektowanym okresie przejściowym podmiot publiczny będzie kierował korespondencję do podmiotu niebędącego podmiotem publicznym na adres do doręczeń elektronicznych – jeśli odbiorca taki adres posiada – zgodnie z obowiązującymi przepisami KPA i ordynacji podatkowej. Jeśli odbiorca nie posiada adresu do doręczeń elektronicznych, to korespondencja może być kierowana w dotychczasowy sposób, tj. zgodnie z przepisami KPA i ordynacji podatkowej w brzmieniu sprzed nowelizacji tj. korespondencja będzie kierowana przez operatora pocztowego, chyba że jest do odpowiedź na wniosek złożony przez </w:t>
      </w:r>
      <w:proofErr w:type="spellStart"/>
      <w:r w:rsidRPr="00931E14">
        <w:rPr>
          <w:rFonts w:ascii="Arial" w:eastAsia="Calibri" w:hAnsi="Arial" w:cs="Arial"/>
          <w:color w:val="000000"/>
          <w:spacing w:val="-2"/>
        </w:rPr>
        <w:t>ePUAP</w:t>
      </w:r>
      <w:proofErr w:type="spellEnd"/>
      <w:r w:rsidRPr="00931E14">
        <w:rPr>
          <w:rFonts w:ascii="Arial" w:eastAsia="Calibri" w:hAnsi="Arial" w:cs="Arial"/>
          <w:color w:val="000000"/>
          <w:spacing w:val="-2"/>
        </w:rPr>
        <w:t xml:space="preserve">- w takim przypadku korespondencja będzie kierowana przez </w:t>
      </w:r>
      <w:proofErr w:type="spellStart"/>
      <w:r w:rsidRPr="00931E14">
        <w:rPr>
          <w:rFonts w:ascii="Arial" w:eastAsia="Calibri" w:hAnsi="Arial" w:cs="Arial"/>
          <w:color w:val="000000"/>
          <w:spacing w:val="-2"/>
        </w:rPr>
        <w:t>ePUAP</w:t>
      </w:r>
      <w:proofErr w:type="spellEnd"/>
      <w:r w:rsidRPr="00931E14">
        <w:rPr>
          <w:rFonts w:ascii="Arial" w:eastAsia="Calibri" w:hAnsi="Arial" w:cs="Arial"/>
          <w:color w:val="000000"/>
          <w:spacing w:val="-2"/>
        </w:rPr>
        <w:t>.</w:t>
      </w:r>
    </w:p>
    <w:p w:rsidR="00931E14" w:rsidRDefault="00931E14" w:rsidP="00931E14">
      <w:pPr>
        <w:spacing w:after="0"/>
        <w:jc w:val="both"/>
        <w:rPr>
          <w:rFonts w:ascii="Arial" w:eastAsia="Calibri" w:hAnsi="Arial" w:cs="Arial"/>
        </w:rPr>
      </w:pPr>
      <w:r w:rsidRPr="00931E14">
        <w:rPr>
          <w:rFonts w:ascii="Arial" w:eastAsia="Calibri" w:hAnsi="Arial" w:cs="Arial"/>
        </w:rPr>
        <w:t>W tym okresie Minister Cyfryzacji będzie kontynuował działania informacyjno-wdrożeniowe, których celem jest przygotowanie podmiotów do stosowania e-Doręczeń. Takie działanie jest zgodne i istotne z punktu widzenia założeń Krajowego Planu Odbudowy, który po rewizji zakłada finansowanie rozbudowy publicznego systemu EZD.</w:t>
      </w:r>
    </w:p>
    <w:p w:rsidR="00931E14" w:rsidRPr="00931E14" w:rsidRDefault="00931E14" w:rsidP="00931E14">
      <w:pPr>
        <w:spacing w:after="0"/>
        <w:jc w:val="both"/>
        <w:rPr>
          <w:rFonts w:ascii="Arial" w:eastAsia="Calibri" w:hAnsi="Arial" w:cs="Arial"/>
        </w:rPr>
      </w:pPr>
    </w:p>
    <w:p w:rsidR="00931E14" w:rsidRPr="00931E14" w:rsidRDefault="00931E14" w:rsidP="00931E14">
      <w:pPr>
        <w:spacing w:after="0"/>
        <w:jc w:val="both"/>
        <w:rPr>
          <w:rFonts w:ascii="Arial" w:eastAsia="Calibri" w:hAnsi="Arial" w:cs="Arial"/>
        </w:rPr>
      </w:pPr>
      <w:r w:rsidRPr="00931E14">
        <w:rPr>
          <w:rFonts w:ascii="Arial" w:eastAsia="Calibri" w:hAnsi="Arial" w:cs="Arial"/>
        </w:rPr>
        <w:t>Przedmiotowy projekt aktu prawnego wraz z Uzasadnieniem oraz Oceną Skutków Regulacji dostępny jest na stronach Rządowego Centrum Legislacji pod adresem:</w:t>
      </w:r>
    </w:p>
    <w:p w:rsidR="00931E14" w:rsidRPr="00931E14" w:rsidRDefault="00931E14" w:rsidP="00931E14">
      <w:pPr>
        <w:spacing w:after="0"/>
        <w:jc w:val="both"/>
        <w:rPr>
          <w:rFonts w:ascii="Arial" w:hAnsi="Arial" w:cs="Arial"/>
        </w:rPr>
      </w:pPr>
      <w:hyperlink r:id="rId10" w:anchor="13077216" w:history="1">
        <w:r w:rsidRPr="00931E14">
          <w:rPr>
            <w:rFonts w:ascii="Arial" w:eastAsia="Calibri" w:hAnsi="Arial" w:cs="Arial"/>
            <w:color w:val="0000FF"/>
            <w:u w:val="single"/>
          </w:rPr>
          <w:t>https://legislacja.rcl.gov.pl/projekt/123</w:t>
        </w:r>
        <w:r w:rsidRPr="00931E14">
          <w:rPr>
            <w:rFonts w:ascii="Arial" w:eastAsia="Calibri" w:hAnsi="Arial" w:cs="Arial"/>
            <w:color w:val="0000FF"/>
            <w:u w:val="single"/>
          </w:rPr>
          <w:t>8</w:t>
        </w:r>
        <w:r w:rsidRPr="00931E14">
          <w:rPr>
            <w:rFonts w:ascii="Arial" w:eastAsia="Calibri" w:hAnsi="Arial" w:cs="Arial"/>
            <w:color w:val="0000FF"/>
            <w:u w:val="single"/>
          </w:rPr>
          <w:t>8701/katalog/13077216#13077216</w:t>
        </w:r>
      </w:hyperlink>
    </w:p>
    <w:p w:rsidR="00931E14" w:rsidRDefault="00931E14" w:rsidP="00931E14">
      <w:pPr>
        <w:spacing w:after="0"/>
        <w:jc w:val="both"/>
        <w:rPr>
          <w:rFonts w:ascii="Arial" w:hAnsi="Arial" w:cs="Arial"/>
        </w:rPr>
      </w:pPr>
    </w:p>
    <w:p w:rsidR="00931E14" w:rsidRDefault="00931E14" w:rsidP="00931E14">
      <w:pPr>
        <w:spacing w:after="0"/>
        <w:jc w:val="both"/>
        <w:rPr>
          <w:rFonts w:ascii="Arial" w:hAnsi="Arial" w:cs="Arial"/>
        </w:rPr>
      </w:pPr>
      <w:r w:rsidRPr="00A57E58">
        <w:rPr>
          <w:rStyle w:val="Hipercze"/>
          <w:rFonts w:ascii="Arial" w:hAnsi="Arial" w:cs="Arial"/>
          <w:color w:val="auto"/>
          <w:u w:val="none"/>
        </w:rPr>
        <w:t>Projekt jest obecnie je</w:t>
      </w:r>
      <w:r>
        <w:rPr>
          <w:rStyle w:val="Hipercze"/>
          <w:rFonts w:ascii="Arial" w:hAnsi="Arial" w:cs="Arial"/>
          <w:color w:val="auto"/>
          <w:u w:val="none"/>
        </w:rPr>
        <w:t xml:space="preserve">dnocześnie na etapie uzgodnień, </w:t>
      </w:r>
      <w:r w:rsidRPr="00A57E58">
        <w:rPr>
          <w:rStyle w:val="Hipercze"/>
          <w:rFonts w:ascii="Arial" w:hAnsi="Arial" w:cs="Arial"/>
          <w:color w:val="auto"/>
          <w:u w:val="none"/>
        </w:rPr>
        <w:t>konsultacji publicznych</w:t>
      </w:r>
      <w:r>
        <w:rPr>
          <w:rStyle w:val="Hipercze"/>
          <w:rFonts w:ascii="Arial" w:hAnsi="Arial" w:cs="Arial"/>
          <w:color w:val="auto"/>
          <w:u w:val="none"/>
        </w:rPr>
        <w:t xml:space="preserve"> i opiniowania.</w:t>
      </w:r>
    </w:p>
    <w:p w:rsidR="00931E14" w:rsidRPr="00334A54" w:rsidRDefault="00931E14" w:rsidP="00931E14">
      <w:pPr>
        <w:spacing w:after="0"/>
        <w:jc w:val="both"/>
        <w:rPr>
          <w:rFonts w:ascii="Arial" w:hAnsi="Arial" w:cs="Arial"/>
        </w:rPr>
      </w:pPr>
    </w:p>
    <w:p w:rsidR="00931E14" w:rsidRPr="00334A54" w:rsidRDefault="00931E14" w:rsidP="005524C3">
      <w:pPr>
        <w:pStyle w:val="Akapitzlist"/>
        <w:numPr>
          <w:ilvl w:val="0"/>
          <w:numId w:val="3"/>
        </w:numPr>
        <w:spacing w:after="0"/>
        <w:jc w:val="both"/>
        <w:rPr>
          <w:rFonts w:ascii="Arial" w:hAnsi="Arial" w:cs="Arial"/>
        </w:rPr>
      </w:pPr>
      <w:r w:rsidRPr="00334A54">
        <w:rPr>
          <w:rFonts w:ascii="Arial" w:hAnsi="Arial" w:cs="Arial"/>
          <w:b/>
          <w:u w:val="single"/>
          <w:shd w:val="clear" w:color="auto" w:fill="FFFFFF"/>
        </w:rPr>
        <w:t>projekt ustawy o zmianie ustawy o systemie zarządzania emisjami gazów cieplarnianych i innych substancji oraz niektórych innych ustaw (numer z wykazu UC38)</w:t>
      </w:r>
    </w:p>
    <w:p w:rsidR="00931E14" w:rsidRPr="00334A54" w:rsidRDefault="00931E14" w:rsidP="00931E14">
      <w:pPr>
        <w:spacing w:after="0"/>
        <w:jc w:val="both"/>
        <w:rPr>
          <w:rFonts w:ascii="Arial" w:hAnsi="Arial" w:cs="Arial"/>
        </w:rPr>
      </w:pP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 xml:space="preserve">W celu wykonania aktów prawa Unii </w:t>
      </w:r>
      <w:r w:rsidRPr="00334A54">
        <w:rPr>
          <w:rFonts w:ascii="Arial" w:eastAsia="Times New Roman" w:hAnsi="Arial" w:cs="Arial"/>
          <w:spacing w:val="-2"/>
          <w:lang w:eastAsia="en-GB" w:bidi="en-GB"/>
        </w:rPr>
        <w:t xml:space="preserve">Europejskiej </w:t>
      </w:r>
      <w:r w:rsidRPr="00334A54">
        <w:rPr>
          <w:rFonts w:ascii="Arial" w:eastAsia="Times New Roman" w:hAnsi="Arial" w:cs="Arial"/>
          <w:spacing w:val="-3"/>
          <w:lang w:eastAsia="en-GB" w:bidi="en-GB"/>
        </w:rPr>
        <w:t xml:space="preserve">wymienionych </w:t>
      </w:r>
      <w:r w:rsidRPr="00334A54">
        <w:rPr>
          <w:rFonts w:ascii="Arial" w:eastAsia="Times New Roman" w:hAnsi="Arial" w:cs="Arial"/>
          <w:lang w:eastAsia="en-GB" w:bidi="en-GB"/>
        </w:rPr>
        <w:t xml:space="preserve">w pkt 1, </w:t>
      </w:r>
      <w:r w:rsidRPr="00334A54">
        <w:rPr>
          <w:rFonts w:ascii="Arial" w:eastAsia="Times New Roman" w:hAnsi="Arial" w:cs="Arial"/>
          <w:spacing w:val="-3"/>
          <w:lang w:eastAsia="en-GB" w:bidi="en-GB"/>
        </w:rPr>
        <w:t xml:space="preserve">postulowanym rozwiązaniem </w:t>
      </w:r>
      <w:r w:rsidRPr="00334A54">
        <w:rPr>
          <w:rFonts w:ascii="Arial" w:eastAsia="Times New Roman" w:hAnsi="Arial" w:cs="Arial"/>
          <w:lang w:eastAsia="en-GB" w:bidi="en-GB"/>
        </w:rPr>
        <w:t xml:space="preserve">jest </w:t>
      </w:r>
      <w:r w:rsidRPr="00334A54">
        <w:rPr>
          <w:rFonts w:ascii="Arial" w:eastAsia="Times New Roman" w:hAnsi="Arial" w:cs="Arial"/>
          <w:spacing w:val="-3"/>
          <w:lang w:eastAsia="en-GB" w:bidi="en-GB"/>
        </w:rPr>
        <w:t>nowelizacja USZE,</w:t>
      </w:r>
      <w:r w:rsidRPr="00334A54">
        <w:rPr>
          <w:rFonts w:ascii="Arial" w:eastAsia="Times New Roman" w:hAnsi="Arial" w:cs="Arial"/>
          <w:lang w:eastAsia="en-GB" w:bidi="en-GB"/>
        </w:rPr>
        <w:t xml:space="preserve"> </w:t>
      </w:r>
      <w:r w:rsidRPr="00334A54">
        <w:rPr>
          <w:rFonts w:ascii="Arial" w:eastAsia="Times New Roman" w:hAnsi="Arial" w:cs="Arial"/>
          <w:spacing w:val="-2"/>
          <w:lang w:eastAsia="en-GB" w:bidi="en-GB"/>
        </w:rPr>
        <w:t xml:space="preserve">ustawy </w:t>
      </w:r>
      <w:r w:rsidRPr="00334A54">
        <w:rPr>
          <w:rFonts w:ascii="Arial" w:eastAsia="Times New Roman" w:hAnsi="Arial" w:cs="Arial"/>
          <w:lang w:eastAsia="en-GB" w:bidi="en-GB"/>
        </w:rPr>
        <w:t xml:space="preserve">z dnia 12 czerwca 2015 r. o </w:t>
      </w:r>
      <w:r w:rsidRPr="00334A54">
        <w:rPr>
          <w:rFonts w:ascii="Arial" w:eastAsia="Times New Roman" w:hAnsi="Arial" w:cs="Arial"/>
          <w:spacing w:val="-3"/>
          <w:lang w:eastAsia="en-GB" w:bidi="en-GB"/>
        </w:rPr>
        <w:t xml:space="preserve">systemie </w:t>
      </w:r>
      <w:r w:rsidRPr="00334A54">
        <w:rPr>
          <w:rFonts w:ascii="Arial" w:eastAsia="Times New Roman" w:hAnsi="Arial" w:cs="Arial"/>
          <w:lang w:eastAsia="en-GB" w:bidi="en-GB"/>
        </w:rPr>
        <w:t xml:space="preserve">handlu </w:t>
      </w:r>
      <w:r w:rsidRPr="00334A54">
        <w:rPr>
          <w:rFonts w:ascii="Arial" w:eastAsia="Times New Roman" w:hAnsi="Arial" w:cs="Arial"/>
          <w:spacing w:val="-3"/>
          <w:lang w:eastAsia="en-GB" w:bidi="en-GB"/>
        </w:rPr>
        <w:t>uprawnieniami</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do</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emisji</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gazów</w:t>
      </w:r>
      <w:r w:rsidRPr="00334A54">
        <w:rPr>
          <w:rFonts w:ascii="Arial" w:eastAsia="Times New Roman" w:hAnsi="Arial" w:cs="Arial"/>
          <w:spacing w:val="-6"/>
          <w:lang w:eastAsia="en-GB" w:bidi="en-GB"/>
        </w:rPr>
        <w:t xml:space="preserve"> </w:t>
      </w:r>
      <w:r w:rsidRPr="00334A54">
        <w:rPr>
          <w:rFonts w:ascii="Arial" w:eastAsia="Times New Roman" w:hAnsi="Arial" w:cs="Arial"/>
          <w:spacing w:val="-3"/>
          <w:lang w:eastAsia="en-GB" w:bidi="en-GB"/>
        </w:rPr>
        <w:t>cieplarnianych</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(Dz.</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U.</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z</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2023</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r.</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poz.</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589</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z</w:t>
      </w:r>
      <w:r w:rsidRPr="00334A54">
        <w:rPr>
          <w:rFonts w:ascii="Arial" w:eastAsia="Times New Roman" w:hAnsi="Arial" w:cs="Arial"/>
          <w:spacing w:val="-6"/>
          <w:lang w:eastAsia="en-GB" w:bidi="en-GB"/>
        </w:rPr>
        <w:t xml:space="preserve"> </w:t>
      </w:r>
      <w:proofErr w:type="spellStart"/>
      <w:r w:rsidRPr="00334A54">
        <w:rPr>
          <w:rFonts w:ascii="Arial" w:eastAsia="Times New Roman" w:hAnsi="Arial" w:cs="Arial"/>
          <w:lang w:eastAsia="en-GB" w:bidi="en-GB"/>
        </w:rPr>
        <w:t>późn</w:t>
      </w:r>
      <w:proofErr w:type="spellEnd"/>
      <w:r w:rsidRPr="00334A54">
        <w:rPr>
          <w:rFonts w:ascii="Arial" w:eastAsia="Times New Roman" w:hAnsi="Arial" w:cs="Arial"/>
          <w:lang w:eastAsia="en-GB" w:bidi="en-GB"/>
        </w:rPr>
        <w:t>.</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zm.),</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zwanej</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dalej</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 xml:space="preserve">„USH”, oraz ustawy z dnia 29 sierpnia 1997 r. – Ordynacja podatkowa (Dz. U. z 2023 r. </w:t>
      </w:r>
      <w:r w:rsidRPr="00334A54">
        <w:rPr>
          <w:rFonts w:ascii="Arial" w:eastAsia="Times New Roman" w:hAnsi="Arial" w:cs="Arial"/>
          <w:lang w:eastAsia="en-GB" w:bidi="en-GB"/>
        </w:rPr>
        <w:lastRenderedPageBreak/>
        <w:t xml:space="preserve">poz. 2383, z </w:t>
      </w:r>
      <w:proofErr w:type="spellStart"/>
      <w:r w:rsidRPr="00334A54">
        <w:rPr>
          <w:rFonts w:ascii="Arial" w:eastAsia="Times New Roman" w:hAnsi="Arial" w:cs="Arial"/>
          <w:lang w:eastAsia="en-GB" w:bidi="en-GB"/>
        </w:rPr>
        <w:t>późn</w:t>
      </w:r>
      <w:proofErr w:type="spellEnd"/>
      <w:r w:rsidRPr="00334A54">
        <w:rPr>
          <w:rFonts w:ascii="Arial" w:eastAsia="Times New Roman" w:hAnsi="Arial" w:cs="Arial"/>
          <w:lang w:eastAsia="en-GB" w:bidi="en-GB"/>
        </w:rPr>
        <w:t>. zm.).</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Nie jest możliwe zastosowanie innego rozwiązania niż podjęcie prac</w:t>
      </w:r>
      <w:r w:rsidRPr="00334A54">
        <w:rPr>
          <w:rFonts w:ascii="Arial" w:eastAsia="Times New Roman" w:hAnsi="Arial" w:cs="Arial"/>
          <w:spacing w:val="-1"/>
          <w:lang w:eastAsia="en-GB" w:bidi="en-GB"/>
        </w:rPr>
        <w:t xml:space="preserve"> </w:t>
      </w:r>
      <w:r w:rsidRPr="00334A54">
        <w:rPr>
          <w:rFonts w:ascii="Arial" w:eastAsia="Times New Roman" w:hAnsi="Arial" w:cs="Arial"/>
          <w:lang w:eastAsia="en-GB" w:bidi="en-GB"/>
        </w:rPr>
        <w:t>legislacyjnych.</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Projekt ustawy powierza rolę właściwego organu w odniesieniu do zadań dotyczących okresu przejściowego Krajowemu ośrodkowi, jako podmiotowi wyspecjalizowanemu w realizacji zadań związanych z monitorowaniem i raportowaniem emisji gazów cieplarnianych, m.in. z uwagi na pełnioną przez Krajowy ośrodek rolę krajowego administratora systemu EU</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ETS.</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 xml:space="preserve">Projekt ustawy reguluje nadawanie statusu upoważnionego zgłaszającego CBAM nadając dyrektorom izb administracji skarbowej uprawnienie do nadawania, odmowy nadania oraz cofnięcia statusu upoważnionego zgłaszającego CBAM. Rozwiązanie to jest podyktowane tym, że status dotyczy możliwości przywozu na obszar celny UE towarów objętych mechanizmem CBAM, a przyznanie statusu jest uzależnione od spełniania kryteriów związanych ze zdolnością finansową wnioskodawcy, nie jest natomiast zależne od spełniania kryteriów środowiskowych. Projektowane przepisy regulują także procedurę odwoławczą od decyzji dyrektora izby administracji skarbowej, a także określają sposób wymiany informacji miedzy Krajową Administracja Skarbową, zwaną dalej „KAS”, i Krajowym ośrodkiem o upoważnionych zgłaszających, którzy naruszyli przepisy rozporządzenia CBAM lub przepisy wydane na jego podstawie. </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Projekt ustawy uwzględnia także konieczność współpracy Krajowego ośrodka i KAS w odniesieniu do mechanizmu, mając na uwadze liczne odwołania do przepisów prawa celnego, które dotyczą podstawowych dla mechanizmu CBAM spraw. W związku z tym zaprojektowano przepisy dotyczące opiniowania przesz Szefa KAS spraw dotyczących CBAM, których rozstrzygnięcie zależy od interpretacji przepisów celnych.</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 xml:space="preserve">Projektowana ustawa przesądza także, że do wniosków zgłaszającego o wydanie wyjaśnienia co do zakresu i sposobu stosowania przepisów dotyczących mechanizmu CBAM nie stosuje się art. 34 ustawy z dnia 6 marca 2018 r. – Prawo przedsiębiorców. Potrzeba wprowadzenia takiego przepisu wynika z faktu, że we wspomnianym trybie przedsiębiorca może uzyskać interpretacje co do zakresu i sposobu stosowania przepisów, z których wynika obowiązek świadczenia przez przedsiębiorcę daniny publicznej. CBAM bywa nazywany w przestrzeni medialnej „granicznym podatkiem węglowym”, chociaż w sensie prawnym CBAM nie stanowi podatku, opłaty ani innej daniny publicznej (a jedynie ustanawia obowiązek rozliczenia emisji gazów cieplarnianych, który dokonuje się poprzez obowiązkowy zakup dedykowanych jednostek emisji, których cena jest zmienna - zależna od ceny uprawnień do emisji w ramach systemu EU ETS). W celu uniknięcia ewentualnych wątpliwości interpretacyjnych, zdecydowano się rozstrzygnąć tę kwestię przepisem. </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Sprawozdania kwartalne CBAM, zgodnie z rozporządzeniem wykonawczym 2023/1773, są składane w rejestrze przejściowym CBAM stanowiącym elektroniczną bazę danych. Z uwagi na powiązanie rejestru przejściowego CBAM z systemami informatycznymi funkcjonującymi w prawie celnym przewidziano, że dostęp do rejestru będzie udzielany przez organy KAS za pośrednictwem Platformy Usług Elektronicznych Skarbowo-Celnych, zwanej dalej „PUESC”. o której mowa w art. 35a ustawy z dnia 16 listopada 2016 r. o Krajowej Administracji Skarbowej (Dz. U. z 2023</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r.</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poz.</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615,</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z</w:t>
      </w:r>
      <w:r w:rsidRPr="00334A54">
        <w:rPr>
          <w:rFonts w:ascii="Arial" w:eastAsia="Times New Roman" w:hAnsi="Arial" w:cs="Arial"/>
          <w:spacing w:val="5"/>
          <w:lang w:eastAsia="en-GB" w:bidi="en-GB"/>
        </w:rPr>
        <w:t xml:space="preserve"> </w:t>
      </w:r>
      <w:proofErr w:type="spellStart"/>
      <w:r w:rsidRPr="00334A54">
        <w:rPr>
          <w:rFonts w:ascii="Arial" w:eastAsia="Times New Roman" w:hAnsi="Arial" w:cs="Arial"/>
          <w:lang w:eastAsia="en-GB" w:bidi="en-GB"/>
        </w:rPr>
        <w:t>późn</w:t>
      </w:r>
      <w:proofErr w:type="spellEnd"/>
      <w:r w:rsidRPr="00334A54">
        <w:rPr>
          <w:rFonts w:ascii="Arial" w:eastAsia="Times New Roman" w:hAnsi="Arial" w:cs="Arial"/>
          <w:lang w:eastAsia="en-GB" w:bidi="en-GB"/>
        </w:rPr>
        <w:t>.</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zm.).</w:t>
      </w:r>
      <w:r w:rsidRPr="00334A54">
        <w:rPr>
          <w:rFonts w:ascii="Arial" w:eastAsia="Times New Roman" w:hAnsi="Arial" w:cs="Arial"/>
          <w:i/>
          <w:spacing w:val="4"/>
          <w:lang w:eastAsia="en-GB" w:bidi="en-GB"/>
        </w:rPr>
        <w:t xml:space="preserve"> </w:t>
      </w:r>
      <w:r w:rsidRPr="00334A54">
        <w:rPr>
          <w:rFonts w:ascii="Arial" w:eastAsia="Times New Roman" w:hAnsi="Arial" w:cs="Arial"/>
          <w:lang w:eastAsia="en-GB" w:bidi="en-GB"/>
        </w:rPr>
        <w:t>Również</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zarządzanie</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na</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poziomie</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krajowym</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uprawnieniami</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i</w:t>
      </w:r>
      <w:r w:rsidRPr="00334A54">
        <w:rPr>
          <w:rFonts w:ascii="Arial" w:eastAsia="Times New Roman" w:hAnsi="Arial" w:cs="Arial"/>
          <w:spacing w:val="4"/>
          <w:lang w:eastAsia="en-GB" w:bidi="en-GB"/>
        </w:rPr>
        <w:t xml:space="preserve"> </w:t>
      </w:r>
      <w:r w:rsidRPr="00334A54">
        <w:rPr>
          <w:rFonts w:ascii="Arial" w:eastAsia="Times New Roman" w:hAnsi="Arial" w:cs="Arial"/>
          <w:lang w:eastAsia="en-GB" w:bidi="en-GB"/>
        </w:rPr>
        <w:t>tożsamością</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 xml:space="preserve">użytkowników – podmiotów objętych mechanizmem CBAM będzie się odbywał za pośrednictwem tej platformy. Odrębną kwestią będzie realizacja zadań dotyczących </w:t>
      </w:r>
      <w:r w:rsidRPr="00334A54">
        <w:rPr>
          <w:rFonts w:ascii="Arial" w:eastAsia="Times New Roman" w:hAnsi="Arial" w:cs="Arial"/>
          <w:iCs/>
          <w:lang w:eastAsia="en-GB" w:bidi="en-GB"/>
        </w:rPr>
        <w:t>stricte</w:t>
      </w:r>
      <w:r w:rsidRPr="00334A54">
        <w:rPr>
          <w:rFonts w:ascii="Arial" w:eastAsia="Times New Roman" w:hAnsi="Arial" w:cs="Arial"/>
          <w:i/>
          <w:lang w:eastAsia="en-GB" w:bidi="en-GB"/>
        </w:rPr>
        <w:t xml:space="preserve"> </w:t>
      </w:r>
      <w:r w:rsidRPr="00334A54">
        <w:rPr>
          <w:rFonts w:ascii="Arial" w:eastAsia="Times New Roman" w:hAnsi="Arial" w:cs="Arial"/>
          <w:lang w:eastAsia="en-GB" w:bidi="en-GB"/>
        </w:rPr>
        <w:t>rejestru przejściowego CBAM. Rejestr przejściowy CBAM będzie administrowany przez Komisję Europejską, natomiast zadania związane z bieżącą administracją rejestru na poziomie krajowym, przewidziane w rozporządzeniu wykonawczym 2023/1773 dla właściwego organu, będzie realizował Krajowy ośrodek.</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lastRenderedPageBreak/>
        <w:t>W związku z koniecznością zapewnienia stosowania przepisów Unii Europejskiej zwiększy się obciążenie Krajowego ośrodka oraz ministra właściwego do spraw klimatu działającego jako organ odwoławczy wyższego stopnia w stosunku do decyzji Krajowego ośrodka. Wymaga to uwzględnienia w odpowiednich</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przepisach.</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W celu przyznania organom krajowym niezbędnych kompetencji do wykonywania zadań przewidzianych w rozdziale X rozporządzenia CBAM, rozporządzenia wykonawczego 2023/1773 oraz nadawania, odmowy nadania i cofania statusu upoważnionego zgłaszającego CBAM w projekcie ustawy zostaną zawarte następujące regulacje:</w:t>
      </w:r>
    </w:p>
    <w:p w:rsidR="00334A54" w:rsidRPr="00334A54" w:rsidRDefault="00334A54" w:rsidP="00334A54">
      <w:pPr>
        <w:numPr>
          <w:ilvl w:val="0"/>
          <w:numId w:val="6"/>
        </w:numPr>
        <w:spacing w:after="0"/>
        <w:ind w:left="357" w:hanging="357"/>
        <w:jc w:val="both"/>
        <w:rPr>
          <w:rFonts w:ascii="Arial" w:eastAsia="Calibri" w:hAnsi="Arial" w:cs="Arial"/>
          <w:color w:val="000000"/>
          <w:spacing w:val="-2"/>
        </w:rPr>
      </w:pPr>
      <w:r w:rsidRPr="00334A54">
        <w:rPr>
          <w:rFonts w:ascii="Arial" w:eastAsia="Calibri" w:hAnsi="Arial" w:cs="Arial"/>
          <w:color w:val="000000"/>
          <w:spacing w:val="-2"/>
        </w:rPr>
        <w:t>powierzenie Krajowemu ośrodkowi funkcji organu właściwego do realizacji zadań w okresie przejściowym, do którego należeć będzie:</w:t>
      </w:r>
    </w:p>
    <w:p w:rsidR="00334A54" w:rsidRPr="00334A54" w:rsidRDefault="00334A54" w:rsidP="00334A54">
      <w:pPr>
        <w:widowControl w:val="0"/>
        <w:numPr>
          <w:ilvl w:val="0"/>
          <w:numId w:val="7"/>
        </w:numPr>
        <w:tabs>
          <w:tab w:val="left" w:pos="747"/>
        </w:tabs>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przegląd sprawozdań CBAM składanych kwartalnie w okresie przejściowym przez importerów towarów objętych mechanizmem CBAM lub ich pośrednich przedstawicieli celnych, zwanych dalej „zgłaszającymi CBAM”,</w:t>
      </w:r>
    </w:p>
    <w:p w:rsidR="00334A54" w:rsidRPr="00334A54" w:rsidRDefault="00334A54" w:rsidP="00334A54">
      <w:pPr>
        <w:widowControl w:val="0"/>
        <w:numPr>
          <w:ilvl w:val="0"/>
          <w:numId w:val="7"/>
        </w:numPr>
        <w:tabs>
          <w:tab w:val="left" w:pos="747"/>
        </w:tabs>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przeprowadzenie procedury korekty, jeżeli zgłaszający CBAM nie złoży sprawozdania CBAM lub</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złożone sprawozdanie będzie niekompletne lub nieprawidłowe,</w:t>
      </w:r>
    </w:p>
    <w:p w:rsidR="00334A54" w:rsidRPr="00334A54" w:rsidRDefault="00334A54" w:rsidP="00334A54">
      <w:pPr>
        <w:widowControl w:val="0"/>
        <w:numPr>
          <w:ilvl w:val="0"/>
          <w:numId w:val="7"/>
        </w:numPr>
        <w:tabs>
          <w:tab w:val="left" w:pos="747"/>
        </w:tabs>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nakładanie administracyjnych kar pieniężnych za niezłożenie sprawozdania CBAM lub niezłożenie prawidłowego sprawozdania CBAM w</w:t>
      </w:r>
      <w:r w:rsidRPr="00334A54">
        <w:rPr>
          <w:rFonts w:ascii="Arial" w:eastAsia="Times New Roman" w:hAnsi="Arial" w:cs="Arial"/>
          <w:spacing w:val="-2"/>
          <w:lang w:eastAsia="en-GB" w:bidi="en-GB"/>
        </w:rPr>
        <w:t xml:space="preserve"> </w:t>
      </w:r>
      <w:r w:rsidRPr="00334A54">
        <w:rPr>
          <w:rFonts w:ascii="Arial" w:eastAsia="Times New Roman" w:hAnsi="Arial" w:cs="Arial"/>
          <w:lang w:eastAsia="en-GB" w:bidi="en-GB"/>
        </w:rPr>
        <w:t>terminie,</w:t>
      </w:r>
    </w:p>
    <w:p w:rsidR="00334A54" w:rsidRPr="00334A54" w:rsidRDefault="00334A54" w:rsidP="00334A54">
      <w:pPr>
        <w:numPr>
          <w:ilvl w:val="0"/>
          <w:numId w:val="7"/>
        </w:numPr>
        <w:tabs>
          <w:tab w:val="left" w:pos="747"/>
        </w:tabs>
        <w:spacing w:after="0"/>
        <w:jc w:val="both"/>
        <w:rPr>
          <w:rFonts w:ascii="Arial" w:eastAsia="Calibri" w:hAnsi="Arial" w:cs="Arial"/>
          <w:color w:val="000000"/>
          <w:spacing w:val="-2"/>
        </w:rPr>
      </w:pPr>
      <w:r w:rsidRPr="00334A54">
        <w:rPr>
          <w:rFonts w:ascii="Arial" w:eastAsia="Calibri" w:hAnsi="Arial" w:cs="Arial"/>
        </w:rPr>
        <w:t xml:space="preserve">udzielanie wyjaśnień oraz opracowywanie materiałów informacyjnych dotyczących </w:t>
      </w:r>
      <w:r w:rsidRPr="00334A54">
        <w:rPr>
          <w:rFonts w:ascii="Arial" w:eastAsia="Calibri" w:hAnsi="Arial" w:cs="Arial"/>
          <w:spacing w:val="-3"/>
        </w:rPr>
        <w:t xml:space="preserve">funkcjonowania </w:t>
      </w:r>
      <w:r w:rsidRPr="00334A54">
        <w:rPr>
          <w:rFonts w:ascii="Arial" w:eastAsia="Calibri" w:hAnsi="Arial" w:cs="Arial"/>
        </w:rPr>
        <w:t>mechanizmu CBAM,</w:t>
      </w:r>
    </w:p>
    <w:p w:rsidR="00334A54" w:rsidRPr="00334A54" w:rsidRDefault="00334A54" w:rsidP="00334A54">
      <w:pPr>
        <w:numPr>
          <w:ilvl w:val="0"/>
          <w:numId w:val="7"/>
        </w:numPr>
        <w:spacing w:after="0"/>
        <w:jc w:val="both"/>
        <w:rPr>
          <w:rFonts w:ascii="Arial" w:eastAsia="Calibri" w:hAnsi="Arial" w:cs="Arial"/>
          <w:color w:val="000000"/>
          <w:spacing w:val="-2"/>
        </w:rPr>
      </w:pPr>
      <w:r w:rsidRPr="00334A54">
        <w:rPr>
          <w:rFonts w:ascii="Arial" w:eastAsia="Calibri" w:hAnsi="Arial" w:cs="Arial"/>
          <w:color w:val="000000"/>
          <w:spacing w:val="-2"/>
        </w:rPr>
        <w:t>opiniowanie projektów aktów prawnych i dokumentów dotyczących funkcjonowania mechanizmu CBAM;</w:t>
      </w:r>
    </w:p>
    <w:p w:rsidR="00334A54" w:rsidRPr="00334A54" w:rsidRDefault="00334A54" w:rsidP="00334A54">
      <w:pPr>
        <w:numPr>
          <w:ilvl w:val="0"/>
          <w:numId w:val="6"/>
        </w:numPr>
        <w:spacing w:after="0"/>
        <w:ind w:left="357" w:hanging="357"/>
        <w:jc w:val="both"/>
        <w:rPr>
          <w:rFonts w:ascii="Arial" w:eastAsia="Calibri" w:hAnsi="Arial" w:cs="Arial"/>
          <w:color w:val="000000"/>
          <w:spacing w:val="-2"/>
        </w:rPr>
      </w:pPr>
      <w:r w:rsidRPr="00334A54">
        <w:rPr>
          <w:rFonts w:ascii="Arial" w:eastAsia="Calibri" w:hAnsi="Arial" w:cs="Arial"/>
          <w:color w:val="000000"/>
          <w:spacing w:val="-2"/>
        </w:rPr>
        <w:t>umocowanie KAS do:</w:t>
      </w:r>
    </w:p>
    <w:p w:rsidR="00334A54" w:rsidRPr="00334A54" w:rsidRDefault="00334A54" w:rsidP="00334A54">
      <w:pPr>
        <w:widowControl w:val="0"/>
        <w:numPr>
          <w:ilvl w:val="0"/>
          <w:numId w:val="8"/>
        </w:numPr>
        <w:tabs>
          <w:tab w:val="left" w:pos="817"/>
        </w:tabs>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 xml:space="preserve"> nadawania zgłaszającym CBAM dostępu do rejestru przejściowego CBAM za pośrednictwem PUESC,</w:t>
      </w:r>
    </w:p>
    <w:p w:rsidR="00334A54" w:rsidRPr="00334A54" w:rsidRDefault="00334A54" w:rsidP="00334A54">
      <w:pPr>
        <w:widowControl w:val="0"/>
        <w:numPr>
          <w:ilvl w:val="0"/>
          <w:numId w:val="8"/>
        </w:numPr>
        <w:tabs>
          <w:tab w:val="left" w:pos="817"/>
        </w:tabs>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nadawania, odmowy nadania lub cofnięcia statusu upoważnionego zgłaszającego CBAM;</w:t>
      </w:r>
    </w:p>
    <w:p w:rsidR="00334A54" w:rsidRPr="00334A54" w:rsidRDefault="00334A54" w:rsidP="00334A54">
      <w:pPr>
        <w:numPr>
          <w:ilvl w:val="0"/>
          <w:numId w:val="6"/>
        </w:numPr>
        <w:spacing w:after="0"/>
        <w:ind w:left="357" w:hanging="357"/>
        <w:jc w:val="both"/>
        <w:rPr>
          <w:rFonts w:ascii="Arial" w:eastAsia="Calibri" w:hAnsi="Arial" w:cs="Arial"/>
          <w:color w:val="000000"/>
          <w:spacing w:val="-2"/>
        </w:rPr>
      </w:pPr>
      <w:r w:rsidRPr="00334A54">
        <w:rPr>
          <w:rFonts w:ascii="Arial" w:eastAsia="Calibri" w:hAnsi="Arial" w:cs="Arial"/>
          <w:color w:val="000000"/>
          <w:spacing w:val="-2"/>
        </w:rPr>
        <w:t xml:space="preserve">współpraca Krajowego ośrodka z KAS w zakresie rozpatrywania wniosków, udzielania wyjaśnień lub zajmowania stanowiska w sprawach dotyczących zakresu mechanizmu CBAM lub realizacji obowiązków wynikających z mechanizmu CBAM, które wymagają zastosowania przepisów </w:t>
      </w:r>
      <w:r w:rsidRPr="00334A54">
        <w:rPr>
          <w:rFonts w:ascii="Arial" w:eastAsia="Calibri" w:hAnsi="Arial" w:cs="Arial"/>
        </w:rPr>
        <w:t xml:space="preserve">rozporządzenia Parlamentu Europejskiego i Rady (UE) nr 952/2013 z dnia 9 października 2013 r. ustanawiającego unijny kodeks celny (Dz. Urz. UE L 269 z 10.10.2013, str. 1, z </w:t>
      </w:r>
      <w:proofErr w:type="spellStart"/>
      <w:r w:rsidRPr="00334A54">
        <w:rPr>
          <w:rFonts w:ascii="Arial" w:eastAsia="Calibri" w:hAnsi="Arial" w:cs="Arial"/>
        </w:rPr>
        <w:t>późn</w:t>
      </w:r>
      <w:proofErr w:type="spellEnd"/>
      <w:r w:rsidRPr="00334A54">
        <w:rPr>
          <w:rFonts w:ascii="Arial" w:eastAsia="Calibri" w:hAnsi="Arial" w:cs="Arial"/>
        </w:rPr>
        <w:t>. zm.)</w:t>
      </w:r>
      <w:r w:rsidRPr="00334A54">
        <w:rPr>
          <w:rFonts w:ascii="Arial" w:eastAsia="Calibri" w:hAnsi="Arial" w:cs="Arial"/>
          <w:color w:val="000000"/>
          <w:spacing w:val="-2"/>
        </w:rPr>
        <w:t xml:space="preserve"> lub innych przepisów dotyczących wprowadzania towarów na obszar celny UE lub procedur celnych;</w:t>
      </w:r>
    </w:p>
    <w:p w:rsidR="00334A54" w:rsidRPr="00334A54" w:rsidRDefault="00334A54" w:rsidP="00334A54">
      <w:pPr>
        <w:numPr>
          <w:ilvl w:val="0"/>
          <w:numId w:val="6"/>
        </w:numPr>
        <w:spacing w:after="0"/>
        <w:ind w:left="357" w:hanging="357"/>
        <w:jc w:val="both"/>
        <w:rPr>
          <w:rFonts w:ascii="Arial" w:eastAsia="Calibri" w:hAnsi="Arial" w:cs="Arial"/>
          <w:color w:val="000000"/>
          <w:spacing w:val="-2"/>
        </w:rPr>
      </w:pPr>
      <w:r w:rsidRPr="00334A54">
        <w:rPr>
          <w:rFonts w:ascii="Arial" w:eastAsia="Calibri" w:hAnsi="Arial" w:cs="Arial"/>
          <w:color w:val="000000"/>
          <w:spacing w:val="-2"/>
        </w:rPr>
        <w:t>wskazanie ministra właściwego do spraw klimatu jako organu wyższego stopnia w stosunku do decyzji wydawanych przez Krajowy ośrodek w zakresie nakładanych administracyjnych kar pieniężnych.</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Wykonywanie zadań rozpoczęło się w 2023 r. w związku z wejściem w życie w dniu 1 października 2023 r. przepisów prawa Unii Europejskiej dotyczących okresu przejściowego CBAM. W tym okresie na zgłaszających CBAM nałożono przepisami prawa UE obowiązek składania kwartalnych sprawozdań CBAM, obejmujących informacje o emisjach wbudowanych w importowane przez te podmioty towary. Pierwsze sprawozdania były składane do końca stycznia 2024 r. (za ostatni kwartał 2023 r.), kolejne są składane co kwartał. Niezłożenie sprawozdania CBAM lub złożenie sprawozdania niekompletnego lub nieprawidłowego w rozumieniu przepisów rozporządzenia wykonawczego 2023/1773 będzie wiązało się z koniecznością przeprowadzenia przez właściwy organ – Krajowy ośrodek – procedury korekty. Niezłożenie albo nieskorygowanie złożonego nieprawidłowego lub niekompletnego sprawozdania podlegać będzie administracyjnej karze pieniężnej. Należy zauważyć, że ostatnie sprawozdanie kwartalne zgłaszający CBAM mają obowiązek złożyć </w:t>
      </w:r>
      <w:r w:rsidRPr="00334A54">
        <w:rPr>
          <w:rFonts w:ascii="Arial" w:eastAsia="Calibri" w:hAnsi="Arial" w:cs="Arial"/>
        </w:rPr>
        <w:lastRenderedPageBreak/>
        <w:t>za czwarty kwartał 2025 r., w terminie do końca stycznia 2026 r. W związku z tym procedura korekty, jak i postępowania w sprawie nałożenia kary będą toczyły się zarówno w okresie przejściowym, jak i po jego upływie. Nowe zadania Krajowego ośrodka oraz ministra właściwego do spraw klimatu obejmują także wyjaśnianie wątpliwości interpretacyjnych związanych z przepisami dotyczącymi całkowicie nowej instytucji na gruncie prawa UE i krajowego, jaką jest mechanizm CBAM, oraz sprawne i efektywnie udzielanie odpowiedzi na zapytania obywateli, w tym przede wszystkim przedsiębiorców objętych nowymi regulacjami.</w:t>
      </w:r>
    </w:p>
    <w:p w:rsidR="00334A54" w:rsidRPr="00334A54" w:rsidRDefault="00334A54" w:rsidP="00334A54">
      <w:pPr>
        <w:spacing w:after="0"/>
        <w:jc w:val="both"/>
        <w:rPr>
          <w:rFonts w:ascii="Arial" w:eastAsia="Calibri" w:hAnsi="Arial" w:cs="Arial"/>
        </w:rPr>
      </w:pPr>
      <w:r w:rsidRPr="00334A54">
        <w:rPr>
          <w:rFonts w:ascii="Arial" w:eastAsia="Calibri" w:hAnsi="Arial" w:cs="Arial"/>
        </w:rPr>
        <w:t>W związku z przyznaniem Krajowemu ośrodkowi kompetencji do wydawania decyzji administracyjnych, projektowana ustawa przewiduje, że organem wyższego stopnia w stosunku do Krajowego ośrodka będzie minister właściwy do spraw klimatu.</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Z uwagi na formę prawną Krajowego ośrodka, którego zadania pełni Instytut Ochrony Środowiska – Państwowy Instytut Badawczy, zwany dalej „IOŚ-PIB”, do powierzenia Krajowemu ośrodkowi zadań związanych z nakładaniem kar przewiduje się przyjęcie przez Skarb Państwa odpowiedzialności finansowej na potrzeby ewentualnych odszkodowań wynikających z naruszenia prawa przy ich wydawaniu. </w:t>
      </w:r>
      <w:r w:rsidRPr="00334A54">
        <w:rPr>
          <w:rFonts w:ascii="Arial" w:eastAsia="Calibri" w:hAnsi="Arial" w:cs="Arial"/>
          <w:spacing w:val="-3"/>
        </w:rPr>
        <w:t xml:space="preserve">Przyjęcie </w:t>
      </w:r>
      <w:r w:rsidRPr="00334A54">
        <w:rPr>
          <w:rFonts w:ascii="Arial" w:eastAsia="Calibri" w:hAnsi="Arial" w:cs="Arial"/>
        </w:rPr>
        <w:t xml:space="preserve">przez Skarb </w:t>
      </w:r>
      <w:r w:rsidRPr="00334A54">
        <w:rPr>
          <w:rFonts w:ascii="Arial" w:eastAsia="Calibri" w:hAnsi="Arial" w:cs="Arial"/>
          <w:spacing w:val="-3"/>
        </w:rPr>
        <w:t xml:space="preserve">Państwa odpowiedzialności, </w:t>
      </w:r>
      <w:r w:rsidRPr="00334A54">
        <w:rPr>
          <w:rFonts w:ascii="Arial" w:eastAsia="Calibri" w:hAnsi="Arial" w:cs="Arial"/>
        </w:rPr>
        <w:t xml:space="preserve">o której mowa powyżej, ma istotne </w:t>
      </w:r>
      <w:r w:rsidRPr="00334A54">
        <w:rPr>
          <w:rFonts w:ascii="Arial" w:eastAsia="Calibri" w:hAnsi="Arial" w:cs="Arial"/>
          <w:spacing w:val="-2"/>
        </w:rPr>
        <w:t xml:space="preserve">znaczenie </w:t>
      </w:r>
      <w:r w:rsidRPr="00334A54">
        <w:rPr>
          <w:rFonts w:ascii="Arial" w:eastAsia="Calibri" w:hAnsi="Arial" w:cs="Arial"/>
        </w:rPr>
        <w:t xml:space="preserve">nie tylko w okresie </w:t>
      </w:r>
      <w:r w:rsidRPr="00334A54">
        <w:rPr>
          <w:rFonts w:ascii="Arial" w:eastAsia="Calibri" w:hAnsi="Arial" w:cs="Arial"/>
          <w:spacing w:val="-3"/>
        </w:rPr>
        <w:t xml:space="preserve">przejściowym. </w:t>
      </w:r>
      <w:r w:rsidRPr="00334A54">
        <w:rPr>
          <w:rFonts w:ascii="Arial" w:eastAsia="Calibri" w:hAnsi="Arial" w:cs="Arial"/>
        </w:rPr>
        <w:t xml:space="preserve">Należy mieć na uwadze, że ewentualne decyzje w sprawie wymierzenia kar wydawane w okresie </w:t>
      </w:r>
      <w:r w:rsidRPr="00334A54">
        <w:rPr>
          <w:rFonts w:ascii="Arial" w:eastAsia="Calibri" w:hAnsi="Arial" w:cs="Arial"/>
          <w:spacing w:val="-3"/>
        </w:rPr>
        <w:t xml:space="preserve">przejściowym </w:t>
      </w:r>
      <w:r w:rsidRPr="00334A54">
        <w:rPr>
          <w:rFonts w:ascii="Arial" w:eastAsia="Calibri" w:hAnsi="Arial" w:cs="Arial"/>
        </w:rPr>
        <w:t xml:space="preserve">mogą być </w:t>
      </w:r>
      <w:r w:rsidRPr="00334A54">
        <w:rPr>
          <w:rFonts w:ascii="Arial" w:eastAsia="Calibri" w:hAnsi="Arial" w:cs="Arial"/>
          <w:spacing w:val="-3"/>
        </w:rPr>
        <w:t xml:space="preserve">weryfikowane </w:t>
      </w:r>
      <w:r w:rsidRPr="00334A54">
        <w:rPr>
          <w:rFonts w:ascii="Arial" w:eastAsia="Calibri" w:hAnsi="Arial" w:cs="Arial"/>
        </w:rPr>
        <w:t xml:space="preserve">przez sąd w latach </w:t>
      </w:r>
      <w:r w:rsidRPr="00334A54">
        <w:rPr>
          <w:rFonts w:ascii="Arial" w:eastAsia="Calibri" w:hAnsi="Arial" w:cs="Arial"/>
          <w:spacing w:val="-3"/>
        </w:rPr>
        <w:t xml:space="preserve">późniejszych. Postępowanie </w:t>
      </w:r>
      <w:r w:rsidRPr="00334A54">
        <w:rPr>
          <w:rFonts w:ascii="Arial" w:eastAsia="Calibri" w:hAnsi="Arial" w:cs="Arial"/>
        </w:rPr>
        <w:t xml:space="preserve">w tych </w:t>
      </w:r>
      <w:r w:rsidRPr="00334A54">
        <w:rPr>
          <w:rFonts w:ascii="Arial" w:eastAsia="Calibri" w:hAnsi="Arial" w:cs="Arial"/>
          <w:spacing w:val="-3"/>
        </w:rPr>
        <w:t xml:space="preserve">sprawach, zwłaszcza </w:t>
      </w:r>
      <w:r w:rsidRPr="00334A54">
        <w:rPr>
          <w:rFonts w:ascii="Arial" w:eastAsia="Calibri" w:hAnsi="Arial" w:cs="Arial"/>
        </w:rPr>
        <w:t xml:space="preserve">ewentualne </w:t>
      </w:r>
      <w:r w:rsidRPr="00334A54">
        <w:rPr>
          <w:rFonts w:ascii="Arial" w:eastAsia="Calibri" w:hAnsi="Arial" w:cs="Arial"/>
          <w:spacing w:val="-3"/>
        </w:rPr>
        <w:t xml:space="preserve">roszczenia odszkodowawcze, powstaną </w:t>
      </w:r>
      <w:r w:rsidRPr="00334A54">
        <w:rPr>
          <w:rFonts w:ascii="Arial" w:eastAsia="Calibri" w:hAnsi="Arial" w:cs="Arial"/>
          <w:spacing w:val="-2"/>
        </w:rPr>
        <w:t xml:space="preserve">prawdopodobnie </w:t>
      </w:r>
      <w:r w:rsidRPr="00334A54">
        <w:rPr>
          <w:rFonts w:ascii="Arial" w:eastAsia="Calibri" w:hAnsi="Arial" w:cs="Arial"/>
        </w:rPr>
        <w:t>w okresie</w:t>
      </w:r>
      <w:r w:rsidRPr="00334A54">
        <w:rPr>
          <w:rFonts w:ascii="Arial" w:eastAsia="Calibri" w:hAnsi="Arial" w:cs="Arial"/>
          <w:spacing w:val="-25"/>
        </w:rPr>
        <w:t xml:space="preserve"> </w:t>
      </w:r>
      <w:r w:rsidRPr="00334A54">
        <w:rPr>
          <w:rFonts w:ascii="Arial" w:eastAsia="Calibri" w:hAnsi="Arial" w:cs="Arial"/>
        </w:rPr>
        <w:t>docelowym.</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lang w:eastAsia="en-GB" w:bidi="en-GB"/>
        </w:rPr>
        <w:t xml:space="preserve">Nowy </w:t>
      </w:r>
      <w:r w:rsidRPr="00334A54">
        <w:rPr>
          <w:rFonts w:ascii="Arial" w:eastAsia="Times New Roman" w:hAnsi="Arial" w:cs="Arial"/>
          <w:spacing w:val="-2"/>
          <w:lang w:eastAsia="en-GB" w:bidi="en-GB"/>
        </w:rPr>
        <w:t xml:space="preserve">system </w:t>
      </w:r>
      <w:r w:rsidRPr="00334A54">
        <w:rPr>
          <w:rFonts w:ascii="Arial" w:eastAsia="Times New Roman" w:hAnsi="Arial" w:cs="Arial"/>
          <w:spacing w:val="-3"/>
          <w:lang w:eastAsia="en-GB" w:bidi="en-GB"/>
        </w:rPr>
        <w:t xml:space="preserve">ewidencjonowania </w:t>
      </w:r>
      <w:r w:rsidRPr="00334A54">
        <w:rPr>
          <w:rFonts w:ascii="Arial" w:eastAsia="Times New Roman" w:hAnsi="Arial" w:cs="Arial"/>
          <w:lang w:eastAsia="en-GB" w:bidi="en-GB"/>
        </w:rPr>
        <w:t xml:space="preserve">i rozliczania emisji, jakim jest mechanizm CBAM, obejmie bardzo dużą liczbę podmiotów. Zgodnie z </w:t>
      </w:r>
      <w:r w:rsidRPr="00334A54">
        <w:rPr>
          <w:rFonts w:ascii="Arial" w:eastAsia="Times New Roman" w:hAnsi="Arial" w:cs="Arial"/>
          <w:spacing w:val="-2"/>
          <w:lang w:eastAsia="en-GB" w:bidi="en-GB"/>
        </w:rPr>
        <w:t xml:space="preserve">informacjami </w:t>
      </w:r>
      <w:r w:rsidRPr="00334A54">
        <w:rPr>
          <w:rFonts w:ascii="Arial" w:eastAsia="Times New Roman" w:hAnsi="Arial" w:cs="Arial"/>
          <w:lang w:eastAsia="en-GB" w:bidi="en-GB"/>
        </w:rPr>
        <w:t xml:space="preserve">posiadanymi przez </w:t>
      </w:r>
      <w:r w:rsidRPr="00334A54">
        <w:rPr>
          <w:rFonts w:ascii="Arial" w:eastAsia="Times New Roman" w:hAnsi="Arial" w:cs="Arial"/>
          <w:spacing w:val="-3"/>
          <w:lang w:eastAsia="en-GB" w:bidi="en-GB"/>
        </w:rPr>
        <w:t xml:space="preserve">Ministerstwo Finansów, </w:t>
      </w:r>
      <w:r w:rsidRPr="00334A54">
        <w:rPr>
          <w:rFonts w:ascii="Arial" w:eastAsia="Times New Roman" w:hAnsi="Arial" w:cs="Arial"/>
          <w:lang w:eastAsia="en-GB" w:bidi="en-GB"/>
        </w:rPr>
        <w:t xml:space="preserve">w okresie od 01.01.2018 do 31.12.2022 </w:t>
      </w:r>
      <w:r w:rsidRPr="00334A54">
        <w:rPr>
          <w:rFonts w:ascii="Arial" w:eastAsia="Times New Roman" w:hAnsi="Arial" w:cs="Arial"/>
          <w:spacing w:val="-3"/>
          <w:lang w:eastAsia="en-GB" w:bidi="en-GB"/>
        </w:rPr>
        <w:t xml:space="preserve">stwierdzono </w:t>
      </w:r>
      <w:r w:rsidRPr="00334A54">
        <w:rPr>
          <w:rFonts w:ascii="Arial" w:eastAsia="Times New Roman" w:hAnsi="Arial" w:cs="Arial"/>
          <w:lang w:eastAsia="en-GB" w:bidi="en-GB"/>
        </w:rPr>
        <w:t xml:space="preserve">22 770 importerów towarów </w:t>
      </w:r>
      <w:r w:rsidRPr="00334A54">
        <w:rPr>
          <w:rFonts w:ascii="Arial" w:eastAsia="Times New Roman" w:hAnsi="Arial" w:cs="Arial"/>
          <w:spacing w:val="-3"/>
          <w:lang w:eastAsia="en-GB" w:bidi="en-GB"/>
        </w:rPr>
        <w:t xml:space="preserve">klasyfikowanych </w:t>
      </w:r>
      <w:r w:rsidRPr="00334A54">
        <w:rPr>
          <w:rFonts w:ascii="Arial" w:eastAsia="Times New Roman" w:hAnsi="Arial" w:cs="Arial"/>
          <w:lang w:eastAsia="en-GB" w:bidi="en-GB"/>
        </w:rPr>
        <w:t xml:space="preserve">do kodów </w:t>
      </w:r>
      <w:r w:rsidRPr="00334A54">
        <w:rPr>
          <w:rFonts w:ascii="Arial" w:eastAsia="Times New Roman" w:hAnsi="Arial" w:cs="Arial"/>
          <w:spacing w:val="-3"/>
          <w:lang w:eastAsia="en-GB" w:bidi="en-GB"/>
        </w:rPr>
        <w:t xml:space="preserve">wskazanych </w:t>
      </w:r>
      <w:r w:rsidRPr="00334A54">
        <w:rPr>
          <w:rFonts w:ascii="Arial" w:eastAsia="Times New Roman" w:hAnsi="Arial" w:cs="Arial"/>
          <w:lang w:eastAsia="en-GB" w:bidi="en-GB"/>
        </w:rPr>
        <w:t xml:space="preserve">w załączniku I do rozporządzenia CBAM. Z kolei liczba importerów towarów objętych mechanizmem CBAM w okresie od stycznia do listopada 2023 r. dla procedury </w:t>
      </w:r>
      <w:r w:rsidRPr="00334A54">
        <w:rPr>
          <w:rFonts w:ascii="Arial" w:eastAsia="Times New Roman" w:hAnsi="Arial" w:cs="Arial"/>
          <w:spacing w:val="-3"/>
          <w:lang w:eastAsia="en-GB" w:bidi="en-GB"/>
        </w:rPr>
        <w:t xml:space="preserve">dopuszczenia </w:t>
      </w:r>
      <w:r w:rsidRPr="00334A54">
        <w:rPr>
          <w:rFonts w:ascii="Arial" w:eastAsia="Times New Roman" w:hAnsi="Arial" w:cs="Arial"/>
          <w:lang w:eastAsia="en-GB" w:bidi="en-GB"/>
        </w:rPr>
        <w:t xml:space="preserve">do obrotu wyniosła 9 370 </w:t>
      </w:r>
      <w:r w:rsidRPr="00334A54">
        <w:rPr>
          <w:rFonts w:ascii="Arial" w:eastAsia="Times New Roman" w:hAnsi="Arial" w:cs="Arial"/>
          <w:spacing w:val="-3"/>
          <w:lang w:eastAsia="en-GB" w:bidi="en-GB"/>
        </w:rPr>
        <w:t xml:space="preserve">importerów, równocześnie </w:t>
      </w:r>
      <w:r w:rsidRPr="00334A54">
        <w:rPr>
          <w:rFonts w:ascii="Arial" w:eastAsia="Times New Roman" w:hAnsi="Arial" w:cs="Arial"/>
          <w:lang w:eastAsia="en-GB" w:bidi="en-GB"/>
        </w:rPr>
        <w:t xml:space="preserve">średnio ok. 5 500 procedur </w:t>
      </w:r>
      <w:r w:rsidRPr="00334A54">
        <w:rPr>
          <w:rFonts w:ascii="Arial" w:eastAsia="Times New Roman" w:hAnsi="Arial" w:cs="Arial"/>
          <w:spacing w:val="-2"/>
          <w:lang w:eastAsia="en-GB" w:bidi="en-GB"/>
        </w:rPr>
        <w:t xml:space="preserve">dopuszczenia </w:t>
      </w:r>
      <w:r w:rsidRPr="00334A54">
        <w:rPr>
          <w:rFonts w:ascii="Arial" w:eastAsia="Times New Roman" w:hAnsi="Arial" w:cs="Arial"/>
          <w:lang w:eastAsia="en-GB" w:bidi="en-GB"/>
        </w:rPr>
        <w:t xml:space="preserve">do obrotu towarów objętych CBAM było </w:t>
      </w:r>
      <w:r w:rsidRPr="00334A54">
        <w:rPr>
          <w:rFonts w:ascii="Arial" w:eastAsia="Times New Roman" w:hAnsi="Arial" w:cs="Arial"/>
          <w:spacing w:val="-3"/>
          <w:lang w:eastAsia="en-GB" w:bidi="en-GB"/>
        </w:rPr>
        <w:t xml:space="preserve">realizowanych </w:t>
      </w:r>
      <w:r w:rsidRPr="00334A54">
        <w:rPr>
          <w:rFonts w:ascii="Arial" w:eastAsia="Times New Roman" w:hAnsi="Arial" w:cs="Arial"/>
          <w:lang w:eastAsia="en-GB" w:bidi="en-GB"/>
        </w:rPr>
        <w:t xml:space="preserve">w I, II i III kwartale 2023 r. Dane te prowadzą do wniosku, że nowe </w:t>
      </w:r>
      <w:r w:rsidRPr="00334A54">
        <w:rPr>
          <w:rFonts w:ascii="Arial" w:eastAsia="Times New Roman" w:hAnsi="Arial" w:cs="Arial"/>
          <w:spacing w:val="-2"/>
          <w:lang w:eastAsia="en-GB" w:bidi="en-GB"/>
        </w:rPr>
        <w:t>regulacje</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obejmą</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ponad</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10</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tysięcy</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podmiotów.</w:t>
      </w:r>
    </w:p>
    <w:p w:rsidR="00334A54" w:rsidRPr="00334A54" w:rsidRDefault="00334A54" w:rsidP="00334A54">
      <w:pPr>
        <w:widowControl w:val="0"/>
        <w:autoSpaceDE w:val="0"/>
        <w:autoSpaceDN w:val="0"/>
        <w:spacing w:after="0"/>
        <w:jc w:val="both"/>
        <w:rPr>
          <w:rFonts w:ascii="Arial" w:eastAsia="Times New Roman" w:hAnsi="Arial" w:cs="Arial"/>
          <w:lang w:eastAsia="en-GB" w:bidi="en-GB"/>
        </w:rPr>
      </w:pPr>
      <w:r w:rsidRPr="00334A54">
        <w:rPr>
          <w:rFonts w:ascii="Arial" w:eastAsia="Times New Roman" w:hAnsi="Arial" w:cs="Arial"/>
          <w:spacing w:val="-3"/>
          <w:lang w:eastAsia="en-GB" w:bidi="en-GB"/>
        </w:rPr>
        <w:t xml:space="preserve">Drugim celem ustawy jest utworzenie stabilnego zaplecza kadrowego i analitycznego, które będzie wspomagało proces podejmowania decyzji oraz przyczyni się do rozwoju istniejących narzędzi badawczych. Krajowy </w:t>
      </w:r>
      <w:r w:rsidRPr="00334A54">
        <w:rPr>
          <w:rFonts w:ascii="Arial" w:eastAsia="Times New Roman" w:hAnsi="Arial" w:cs="Arial"/>
          <w:lang w:eastAsia="en-GB" w:bidi="en-GB"/>
        </w:rPr>
        <w:t xml:space="preserve">ośrodek rozwinął </w:t>
      </w:r>
      <w:r w:rsidRPr="00334A54">
        <w:rPr>
          <w:rFonts w:ascii="Arial" w:eastAsia="Times New Roman" w:hAnsi="Arial" w:cs="Arial"/>
          <w:spacing w:val="-3"/>
          <w:lang w:eastAsia="en-GB" w:bidi="en-GB"/>
        </w:rPr>
        <w:t xml:space="preserve">działalność </w:t>
      </w:r>
      <w:r w:rsidRPr="00334A54">
        <w:rPr>
          <w:rFonts w:ascii="Arial" w:eastAsia="Times New Roman" w:hAnsi="Arial" w:cs="Arial"/>
          <w:lang w:eastAsia="en-GB" w:bidi="en-GB"/>
        </w:rPr>
        <w:t xml:space="preserve">Centrum Analiz </w:t>
      </w:r>
      <w:proofErr w:type="spellStart"/>
      <w:r w:rsidRPr="00334A54">
        <w:rPr>
          <w:rFonts w:ascii="Arial" w:eastAsia="Times New Roman" w:hAnsi="Arial" w:cs="Arial"/>
          <w:spacing w:val="-3"/>
          <w:lang w:eastAsia="en-GB" w:bidi="en-GB"/>
        </w:rPr>
        <w:t>Klimatyczno</w:t>
      </w:r>
      <w:proofErr w:type="spellEnd"/>
      <w:r w:rsidRPr="00334A54">
        <w:rPr>
          <w:rFonts w:ascii="Arial" w:eastAsia="Times New Roman" w:hAnsi="Arial" w:cs="Arial"/>
          <w:spacing w:val="-3"/>
          <w:lang w:eastAsia="en-GB" w:bidi="en-GB"/>
        </w:rPr>
        <w:t xml:space="preserve"> </w:t>
      </w:r>
      <w:r w:rsidRPr="00334A54">
        <w:rPr>
          <w:rFonts w:ascii="Arial" w:eastAsia="Times New Roman" w:hAnsi="Arial" w:cs="Arial"/>
          <w:lang w:eastAsia="en-GB" w:bidi="en-GB"/>
        </w:rPr>
        <w:t xml:space="preserve">– Energetycznych, zwanego dalej </w:t>
      </w:r>
      <w:r w:rsidRPr="00334A54">
        <w:rPr>
          <w:rFonts w:ascii="Arial" w:eastAsia="Times New Roman" w:hAnsi="Arial" w:cs="Arial"/>
          <w:spacing w:val="-3"/>
          <w:lang w:eastAsia="en-GB" w:bidi="en-GB"/>
        </w:rPr>
        <w:t xml:space="preserve">„CAKE”, </w:t>
      </w:r>
      <w:r w:rsidRPr="00334A54">
        <w:rPr>
          <w:rFonts w:ascii="Arial" w:eastAsia="Times New Roman" w:hAnsi="Arial" w:cs="Arial"/>
          <w:lang w:eastAsia="en-GB" w:bidi="en-GB"/>
        </w:rPr>
        <w:t xml:space="preserve">w ramach którego </w:t>
      </w:r>
      <w:r w:rsidRPr="00334A54">
        <w:rPr>
          <w:rFonts w:ascii="Arial" w:eastAsia="Times New Roman" w:hAnsi="Arial" w:cs="Arial"/>
          <w:spacing w:val="-3"/>
          <w:lang w:eastAsia="en-GB" w:bidi="en-GB"/>
        </w:rPr>
        <w:t xml:space="preserve">rozbudowywany </w:t>
      </w:r>
      <w:r w:rsidRPr="00334A54">
        <w:rPr>
          <w:rFonts w:ascii="Arial" w:eastAsia="Times New Roman" w:hAnsi="Arial" w:cs="Arial"/>
          <w:lang w:eastAsia="en-GB" w:bidi="en-GB"/>
        </w:rPr>
        <w:t xml:space="preserve">był </w:t>
      </w:r>
      <w:r w:rsidRPr="00334A54">
        <w:rPr>
          <w:rFonts w:ascii="Arial" w:eastAsia="Times New Roman" w:hAnsi="Arial" w:cs="Arial"/>
          <w:spacing w:val="-3"/>
          <w:lang w:eastAsia="en-GB" w:bidi="en-GB"/>
        </w:rPr>
        <w:t xml:space="preserve">warsztat </w:t>
      </w:r>
      <w:r w:rsidRPr="00334A54">
        <w:rPr>
          <w:rFonts w:ascii="Arial" w:eastAsia="Times New Roman" w:hAnsi="Arial" w:cs="Arial"/>
          <w:lang w:eastAsia="en-GB" w:bidi="en-GB"/>
        </w:rPr>
        <w:t xml:space="preserve">analityczny, </w:t>
      </w:r>
      <w:r w:rsidRPr="00334A54">
        <w:rPr>
          <w:rFonts w:ascii="Arial" w:eastAsia="Times New Roman" w:hAnsi="Arial" w:cs="Arial"/>
          <w:spacing w:val="-3"/>
          <w:lang w:eastAsia="en-GB" w:bidi="en-GB"/>
        </w:rPr>
        <w:t xml:space="preserve">umożliwiający opracowywanie przekrojowych </w:t>
      </w:r>
      <w:r w:rsidRPr="00334A54">
        <w:rPr>
          <w:rFonts w:ascii="Arial" w:eastAsia="Times New Roman" w:hAnsi="Arial" w:cs="Arial"/>
          <w:lang w:eastAsia="en-GB" w:bidi="en-GB"/>
        </w:rPr>
        <w:t xml:space="preserve">analiz </w:t>
      </w:r>
      <w:r w:rsidRPr="00334A54">
        <w:rPr>
          <w:rFonts w:ascii="Arial" w:eastAsia="Times New Roman" w:hAnsi="Arial" w:cs="Arial"/>
          <w:spacing w:val="-2"/>
          <w:lang w:eastAsia="en-GB" w:bidi="en-GB"/>
        </w:rPr>
        <w:t xml:space="preserve">wpływu </w:t>
      </w:r>
      <w:r w:rsidRPr="00334A54">
        <w:rPr>
          <w:rFonts w:ascii="Arial" w:eastAsia="Times New Roman" w:hAnsi="Arial" w:cs="Arial"/>
          <w:lang w:eastAsia="en-GB" w:bidi="en-GB"/>
        </w:rPr>
        <w:t xml:space="preserve">różnych </w:t>
      </w:r>
      <w:r w:rsidRPr="00334A54">
        <w:rPr>
          <w:rFonts w:ascii="Arial" w:eastAsia="Times New Roman" w:hAnsi="Arial" w:cs="Arial"/>
          <w:spacing w:val="-2"/>
          <w:lang w:eastAsia="en-GB" w:bidi="en-GB"/>
        </w:rPr>
        <w:t xml:space="preserve">rozwiązań </w:t>
      </w:r>
      <w:r w:rsidRPr="00334A54">
        <w:rPr>
          <w:rFonts w:ascii="Arial" w:eastAsia="Times New Roman" w:hAnsi="Arial" w:cs="Arial"/>
          <w:lang w:eastAsia="en-GB" w:bidi="en-GB"/>
        </w:rPr>
        <w:t xml:space="preserve">w zakresie polityki klimatycznej na gospodarkę, </w:t>
      </w:r>
      <w:r w:rsidRPr="00334A54">
        <w:rPr>
          <w:rFonts w:ascii="Arial" w:eastAsia="Times New Roman" w:hAnsi="Arial" w:cs="Arial"/>
          <w:spacing w:val="-3"/>
          <w:lang w:eastAsia="en-GB" w:bidi="en-GB"/>
        </w:rPr>
        <w:t xml:space="preserve">społeczeństwo </w:t>
      </w:r>
      <w:r w:rsidRPr="00334A54">
        <w:rPr>
          <w:rFonts w:ascii="Arial" w:eastAsia="Times New Roman" w:hAnsi="Arial" w:cs="Arial"/>
          <w:lang w:eastAsia="en-GB" w:bidi="en-GB"/>
        </w:rPr>
        <w:t xml:space="preserve">i </w:t>
      </w:r>
      <w:r w:rsidRPr="00334A54">
        <w:rPr>
          <w:rFonts w:ascii="Arial" w:eastAsia="Times New Roman" w:hAnsi="Arial" w:cs="Arial"/>
          <w:spacing w:val="-3"/>
          <w:lang w:eastAsia="en-GB" w:bidi="en-GB"/>
        </w:rPr>
        <w:t xml:space="preserve">środowisko. </w:t>
      </w:r>
      <w:r w:rsidRPr="00334A54">
        <w:rPr>
          <w:rFonts w:ascii="Arial" w:eastAsia="Times New Roman" w:hAnsi="Arial" w:cs="Arial"/>
          <w:lang w:eastAsia="en-GB" w:bidi="en-GB"/>
        </w:rPr>
        <w:t xml:space="preserve">Budowa tego </w:t>
      </w:r>
      <w:r w:rsidRPr="00334A54">
        <w:rPr>
          <w:rFonts w:ascii="Arial" w:eastAsia="Times New Roman" w:hAnsi="Arial" w:cs="Arial"/>
          <w:spacing w:val="-3"/>
          <w:lang w:eastAsia="en-GB" w:bidi="en-GB"/>
        </w:rPr>
        <w:t xml:space="preserve">warsztatu </w:t>
      </w:r>
      <w:r w:rsidRPr="00334A54">
        <w:rPr>
          <w:rFonts w:ascii="Arial" w:eastAsia="Times New Roman" w:hAnsi="Arial" w:cs="Arial"/>
          <w:lang w:eastAsia="en-GB" w:bidi="en-GB"/>
        </w:rPr>
        <w:t xml:space="preserve">wynikała z </w:t>
      </w:r>
      <w:r w:rsidRPr="00334A54">
        <w:rPr>
          <w:rFonts w:ascii="Arial" w:eastAsia="Times New Roman" w:hAnsi="Arial" w:cs="Arial"/>
          <w:spacing w:val="-3"/>
          <w:lang w:eastAsia="en-GB" w:bidi="en-GB"/>
        </w:rPr>
        <w:t xml:space="preserve">realizowania </w:t>
      </w:r>
      <w:r w:rsidRPr="00334A54">
        <w:rPr>
          <w:rFonts w:ascii="Arial" w:eastAsia="Times New Roman" w:hAnsi="Arial" w:cs="Arial"/>
          <w:lang w:eastAsia="en-GB" w:bidi="en-GB"/>
        </w:rPr>
        <w:t xml:space="preserve">przez </w:t>
      </w:r>
      <w:r w:rsidRPr="00334A54">
        <w:rPr>
          <w:rFonts w:ascii="Arial" w:eastAsia="Times New Roman" w:hAnsi="Arial" w:cs="Arial"/>
          <w:spacing w:val="-3"/>
          <w:lang w:eastAsia="en-GB" w:bidi="en-GB"/>
        </w:rPr>
        <w:t xml:space="preserve">Krajowy </w:t>
      </w:r>
      <w:r w:rsidRPr="00334A54">
        <w:rPr>
          <w:rFonts w:ascii="Arial" w:eastAsia="Times New Roman" w:hAnsi="Arial" w:cs="Arial"/>
          <w:lang w:eastAsia="en-GB" w:bidi="en-GB"/>
        </w:rPr>
        <w:t xml:space="preserve">ośrodek zadań w </w:t>
      </w:r>
      <w:r w:rsidRPr="00334A54">
        <w:rPr>
          <w:rFonts w:ascii="Arial" w:eastAsia="Times New Roman" w:hAnsi="Arial" w:cs="Arial"/>
          <w:spacing w:val="-3"/>
          <w:lang w:eastAsia="en-GB" w:bidi="en-GB"/>
        </w:rPr>
        <w:t xml:space="preserve">zakresie </w:t>
      </w:r>
      <w:r w:rsidRPr="00334A54">
        <w:rPr>
          <w:rFonts w:ascii="Arial" w:eastAsia="Times New Roman" w:hAnsi="Arial" w:cs="Arial"/>
          <w:lang w:eastAsia="en-GB" w:bidi="en-GB"/>
        </w:rPr>
        <w:t xml:space="preserve">rozwijania narzędzi do </w:t>
      </w:r>
      <w:r w:rsidRPr="00334A54">
        <w:rPr>
          <w:rFonts w:ascii="Arial" w:eastAsia="Times New Roman" w:hAnsi="Arial" w:cs="Arial"/>
          <w:spacing w:val="-3"/>
          <w:lang w:eastAsia="en-GB" w:bidi="en-GB"/>
        </w:rPr>
        <w:t xml:space="preserve">wspomagania </w:t>
      </w:r>
      <w:r w:rsidRPr="00334A54">
        <w:rPr>
          <w:rFonts w:ascii="Arial" w:eastAsia="Times New Roman" w:hAnsi="Arial" w:cs="Arial"/>
          <w:lang w:eastAsia="en-GB" w:bidi="en-GB"/>
        </w:rPr>
        <w:t xml:space="preserve">realizacji celów </w:t>
      </w:r>
      <w:r w:rsidRPr="00334A54">
        <w:rPr>
          <w:rFonts w:ascii="Arial" w:eastAsia="Times New Roman" w:hAnsi="Arial" w:cs="Arial"/>
          <w:spacing w:val="-3"/>
          <w:lang w:eastAsia="en-GB" w:bidi="en-GB"/>
        </w:rPr>
        <w:t>systemu</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zarządzania</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emisjami</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oraz</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narzędzi</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do</w:t>
      </w:r>
      <w:r w:rsidRPr="00334A54">
        <w:rPr>
          <w:rFonts w:ascii="Arial" w:eastAsia="Times New Roman" w:hAnsi="Arial" w:cs="Arial"/>
          <w:spacing w:val="-6"/>
          <w:lang w:eastAsia="en-GB" w:bidi="en-GB"/>
        </w:rPr>
        <w:t xml:space="preserve"> </w:t>
      </w:r>
      <w:r w:rsidRPr="00334A54">
        <w:rPr>
          <w:rFonts w:ascii="Arial" w:eastAsia="Times New Roman" w:hAnsi="Arial" w:cs="Arial"/>
          <w:spacing w:val="-3"/>
          <w:lang w:eastAsia="en-GB" w:bidi="en-GB"/>
        </w:rPr>
        <w:t>modelowania</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skutków</w:t>
      </w:r>
      <w:r w:rsidRPr="00334A54">
        <w:rPr>
          <w:rFonts w:ascii="Arial" w:eastAsia="Times New Roman" w:hAnsi="Arial" w:cs="Arial"/>
          <w:spacing w:val="-5"/>
          <w:lang w:eastAsia="en-GB" w:bidi="en-GB"/>
        </w:rPr>
        <w:t xml:space="preserve"> </w:t>
      </w:r>
      <w:r w:rsidRPr="00334A54">
        <w:rPr>
          <w:rFonts w:ascii="Arial" w:eastAsia="Times New Roman" w:hAnsi="Arial" w:cs="Arial"/>
          <w:spacing w:val="-3"/>
          <w:lang w:eastAsia="en-GB" w:bidi="en-GB"/>
        </w:rPr>
        <w:t>gospodarczych,</w:t>
      </w:r>
      <w:r w:rsidRPr="00334A54">
        <w:rPr>
          <w:rFonts w:ascii="Arial" w:eastAsia="Times New Roman" w:hAnsi="Arial" w:cs="Arial"/>
          <w:spacing w:val="-6"/>
          <w:lang w:eastAsia="en-GB" w:bidi="en-GB"/>
        </w:rPr>
        <w:t xml:space="preserve"> </w:t>
      </w:r>
      <w:r w:rsidRPr="00334A54">
        <w:rPr>
          <w:rFonts w:ascii="Arial" w:eastAsia="Times New Roman" w:hAnsi="Arial" w:cs="Arial"/>
          <w:spacing w:val="-3"/>
          <w:lang w:eastAsia="en-GB" w:bidi="en-GB"/>
        </w:rPr>
        <w:t>finansowych</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i</w:t>
      </w:r>
      <w:r w:rsidRPr="00334A54">
        <w:rPr>
          <w:rFonts w:ascii="Arial" w:eastAsia="Times New Roman" w:hAnsi="Arial" w:cs="Arial"/>
          <w:spacing w:val="-5"/>
          <w:lang w:eastAsia="en-GB" w:bidi="en-GB"/>
        </w:rPr>
        <w:t xml:space="preserve"> </w:t>
      </w:r>
      <w:r w:rsidRPr="00334A54">
        <w:rPr>
          <w:rFonts w:ascii="Arial" w:eastAsia="Times New Roman" w:hAnsi="Arial" w:cs="Arial"/>
          <w:spacing w:val="-3"/>
          <w:lang w:eastAsia="en-GB" w:bidi="en-GB"/>
        </w:rPr>
        <w:t>społecznych</w:t>
      </w:r>
      <w:r w:rsidRPr="00334A54">
        <w:rPr>
          <w:rFonts w:ascii="Arial" w:eastAsia="Times New Roman" w:hAnsi="Arial" w:cs="Arial"/>
          <w:spacing w:val="-6"/>
          <w:lang w:eastAsia="en-GB" w:bidi="en-GB"/>
        </w:rPr>
        <w:t xml:space="preserve"> </w:t>
      </w:r>
      <w:r w:rsidRPr="00334A54">
        <w:rPr>
          <w:rFonts w:ascii="Arial" w:eastAsia="Times New Roman" w:hAnsi="Arial" w:cs="Arial"/>
          <w:spacing w:val="-3"/>
          <w:lang w:eastAsia="en-GB" w:bidi="en-GB"/>
        </w:rPr>
        <w:t xml:space="preserve">realizacji </w:t>
      </w:r>
      <w:r w:rsidRPr="00334A54">
        <w:rPr>
          <w:rFonts w:ascii="Arial" w:eastAsia="Times New Roman" w:hAnsi="Arial" w:cs="Arial"/>
          <w:lang w:eastAsia="en-GB" w:bidi="en-GB"/>
        </w:rPr>
        <w:t xml:space="preserve">polityki klimatycznej (art. 3 ust. 2 pkt 10 lit. r t </w:t>
      </w:r>
      <w:r w:rsidRPr="00334A54">
        <w:rPr>
          <w:rFonts w:ascii="Arial" w:eastAsia="Times New Roman" w:hAnsi="Arial" w:cs="Arial"/>
          <w:spacing w:val="-2"/>
          <w:lang w:eastAsia="en-GB" w:bidi="en-GB"/>
        </w:rPr>
        <w:t xml:space="preserve">USZE). </w:t>
      </w:r>
      <w:r w:rsidRPr="00334A54">
        <w:rPr>
          <w:rFonts w:ascii="Arial" w:eastAsia="Times New Roman" w:hAnsi="Arial" w:cs="Arial"/>
          <w:lang w:eastAsia="en-GB" w:bidi="en-GB"/>
        </w:rPr>
        <w:t xml:space="preserve">Dotychczas </w:t>
      </w:r>
      <w:r w:rsidRPr="00334A54">
        <w:rPr>
          <w:rFonts w:ascii="Arial" w:eastAsia="Times New Roman" w:hAnsi="Arial" w:cs="Arial"/>
          <w:spacing w:val="-3"/>
          <w:lang w:eastAsia="en-GB" w:bidi="en-GB"/>
        </w:rPr>
        <w:t xml:space="preserve">analizowane </w:t>
      </w:r>
      <w:r w:rsidRPr="00334A54">
        <w:rPr>
          <w:rFonts w:ascii="Arial" w:eastAsia="Times New Roman" w:hAnsi="Arial" w:cs="Arial"/>
          <w:lang w:eastAsia="en-GB" w:bidi="en-GB"/>
        </w:rPr>
        <w:t xml:space="preserve">zagadnienia dotyczyły przede </w:t>
      </w:r>
      <w:r w:rsidRPr="00334A54">
        <w:rPr>
          <w:rFonts w:ascii="Arial" w:eastAsia="Times New Roman" w:hAnsi="Arial" w:cs="Arial"/>
          <w:spacing w:val="-3"/>
          <w:lang w:eastAsia="en-GB" w:bidi="en-GB"/>
        </w:rPr>
        <w:t xml:space="preserve">wszystkim </w:t>
      </w:r>
      <w:r w:rsidRPr="00334A54">
        <w:rPr>
          <w:rFonts w:ascii="Arial" w:eastAsia="Times New Roman" w:hAnsi="Arial" w:cs="Arial"/>
          <w:lang w:eastAsia="en-GB" w:bidi="en-GB"/>
        </w:rPr>
        <w:t xml:space="preserve">skutków EUETS, </w:t>
      </w:r>
      <w:r w:rsidRPr="00334A54">
        <w:rPr>
          <w:rFonts w:ascii="Arial" w:eastAsia="Times New Roman" w:hAnsi="Arial" w:cs="Arial"/>
          <w:spacing w:val="-2"/>
          <w:lang w:eastAsia="en-GB" w:bidi="en-GB"/>
        </w:rPr>
        <w:t xml:space="preserve">natomiast </w:t>
      </w:r>
      <w:r w:rsidRPr="00334A54">
        <w:rPr>
          <w:rFonts w:ascii="Arial" w:eastAsia="Times New Roman" w:hAnsi="Arial" w:cs="Arial"/>
          <w:lang w:eastAsia="en-GB" w:bidi="en-GB"/>
        </w:rPr>
        <w:t xml:space="preserve">z uwagi na potrzeby wynikające z </w:t>
      </w:r>
      <w:r w:rsidRPr="00334A54">
        <w:rPr>
          <w:rFonts w:ascii="Arial" w:eastAsia="Times New Roman" w:hAnsi="Arial" w:cs="Arial"/>
          <w:spacing w:val="-2"/>
          <w:lang w:eastAsia="en-GB" w:bidi="en-GB"/>
        </w:rPr>
        <w:t xml:space="preserve">kierunków </w:t>
      </w:r>
      <w:r w:rsidRPr="00334A54">
        <w:rPr>
          <w:rFonts w:ascii="Arial" w:eastAsia="Times New Roman" w:hAnsi="Arial" w:cs="Arial"/>
          <w:lang w:eastAsia="en-GB" w:bidi="en-GB"/>
        </w:rPr>
        <w:t xml:space="preserve">zmian polityki unijnej w kierunku coraz </w:t>
      </w:r>
      <w:r w:rsidRPr="00334A54">
        <w:rPr>
          <w:rFonts w:ascii="Arial" w:eastAsia="Times New Roman" w:hAnsi="Arial" w:cs="Arial"/>
          <w:spacing w:val="-3"/>
          <w:lang w:eastAsia="en-GB" w:bidi="en-GB"/>
        </w:rPr>
        <w:t xml:space="preserve">większego </w:t>
      </w:r>
      <w:r w:rsidRPr="00334A54">
        <w:rPr>
          <w:rFonts w:ascii="Arial" w:eastAsia="Times New Roman" w:hAnsi="Arial" w:cs="Arial"/>
          <w:spacing w:val="-2"/>
          <w:lang w:eastAsia="en-GB" w:bidi="en-GB"/>
        </w:rPr>
        <w:t xml:space="preserve">ograniczania emisji </w:t>
      </w:r>
      <w:r w:rsidRPr="00334A54">
        <w:rPr>
          <w:rFonts w:ascii="Arial" w:eastAsia="Times New Roman" w:hAnsi="Arial" w:cs="Arial"/>
          <w:lang w:eastAsia="en-GB" w:bidi="en-GB"/>
        </w:rPr>
        <w:t xml:space="preserve">w innych </w:t>
      </w:r>
      <w:r w:rsidRPr="00334A54">
        <w:rPr>
          <w:rFonts w:ascii="Arial" w:eastAsia="Times New Roman" w:hAnsi="Arial" w:cs="Arial"/>
          <w:spacing w:val="-2"/>
          <w:lang w:eastAsia="en-GB" w:bidi="en-GB"/>
        </w:rPr>
        <w:t xml:space="preserve">sektorach </w:t>
      </w:r>
      <w:r w:rsidRPr="00334A54">
        <w:rPr>
          <w:rFonts w:ascii="Arial" w:eastAsia="Times New Roman" w:hAnsi="Arial" w:cs="Arial"/>
          <w:lang w:eastAsia="en-GB" w:bidi="en-GB"/>
        </w:rPr>
        <w:t xml:space="preserve">i </w:t>
      </w:r>
      <w:r w:rsidRPr="00334A54">
        <w:rPr>
          <w:rFonts w:ascii="Arial" w:eastAsia="Times New Roman" w:hAnsi="Arial" w:cs="Arial"/>
          <w:spacing w:val="-3"/>
          <w:lang w:eastAsia="en-GB" w:bidi="en-GB"/>
        </w:rPr>
        <w:t xml:space="preserve">transformacji </w:t>
      </w:r>
      <w:r w:rsidRPr="00334A54">
        <w:rPr>
          <w:rFonts w:ascii="Arial" w:eastAsia="Times New Roman" w:hAnsi="Arial" w:cs="Arial"/>
          <w:lang w:eastAsia="en-GB" w:bidi="en-GB"/>
        </w:rPr>
        <w:t xml:space="preserve">w kierunku polityki </w:t>
      </w:r>
      <w:r w:rsidRPr="00334A54">
        <w:rPr>
          <w:rFonts w:ascii="Arial" w:eastAsia="Times New Roman" w:hAnsi="Arial" w:cs="Arial"/>
          <w:spacing w:val="-3"/>
          <w:lang w:eastAsia="en-GB" w:bidi="en-GB"/>
        </w:rPr>
        <w:t xml:space="preserve">niskoemisyjnej, Krajowy </w:t>
      </w:r>
      <w:r w:rsidRPr="00334A54">
        <w:rPr>
          <w:rFonts w:ascii="Arial" w:eastAsia="Times New Roman" w:hAnsi="Arial" w:cs="Arial"/>
          <w:lang w:eastAsia="en-GB" w:bidi="en-GB"/>
        </w:rPr>
        <w:t xml:space="preserve">ośrodek planuje w ramach CAKE </w:t>
      </w:r>
      <w:r w:rsidRPr="00334A54">
        <w:rPr>
          <w:rFonts w:ascii="Arial" w:eastAsia="Times New Roman" w:hAnsi="Arial" w:cs="Arial"/>
          <w:spacing w:val="-2"/>
          <w:lang w:eastAsia="en-GB" w:bidi="en-GB"/>
        </w:rPr>
        <w:t xml:space="preserve">rozwijać </w:t>
      </w:r>
      <w:r w:rsidRPr="00334A54">
        <w:rPr>
          <w:rFonts w:ascii="Arial" w:eastAsia="Times New Roman" w:hAnsi="Arial" w:cs="Arial"/>
          <w:spacing w:val="-3"/>
          <w:lang w:eastAsia="en-GB" w:bidi="en-GB"/>
        </w:rPr>
        <w:t xml:space="preserve">kompleksowy </w:t>
      </w:r>
      <w:r w:rsidRPr="00334A54">
        <w:rPr>
          <w:rFonts w:ascii="Arial" w:eastAsia="Times New Roman" w:hAnsi="Arial" w:cs="Arial"/>
          <w:lang w:eastAsia="en-GB" w:bidi="en-GB"/>
        </w:rPr>
        <w:t xml:space="preserve">i spójny zestaw </w:t>
      </w:r>
      <w:r w:rsidRPr="00334A54">
        <w:rPr>
          <w:rFonts w:ascii="Arial" w:eastAsia="Times New Roman" w:hAnsi="Arial" w:cs="Arial"/>
          <w:spacing w:val="-3"/>
          <w:lang w:eastAsia="en-GB" w:bidi="en-GB"/>
        </w:rPr>
        <w:t xml:space="preserve">zaawansowanych </w:t>
      </w:r>
      <w:r w:rsidRPr="00334A54">
        <w:rPr>
          <w:rFonts w:ascii="Arial" w:eastAsia="Times New Roman" w:hAnsi="Arial" w:cs="Arial"/>
          <w:lang w:eastAsia="en-GB" w:bidi="en-GB"/>
        </w:rPr>
        <w:t xml:space="preserve">narzędzi analitycznych (modele </w:t>
      </w:r>
      <w:r w:rsidRPr="00334A54">
        <w:rPr>
          <w:rFonts w:ascii="Arial" w:eastAsia="Times New Roman" w:hAnsi="Arial" w:cs="Arial"/>
          <w:spacing w:val="-3"/>
          <w:lang w:eastAsia="en-GB" w:bidi="en-GB"/>
        </w:rPr>
        <w:t xml:space="preserve">makroekonomiczne </w:t>
      </w:r>
      <w:r w:rsidRPr="00334A54">
        <w:rPr>
          <w:rFonts w:ascii="Arial" w:eastAsia="Times New Roman" w:hAnsi="Arial" w:cs="Arial"/>
          <w:lang w:eastAsia="en-GB" w:bidi="en-GB"/>
        </w:rPr>
        <w:t xml:space="preserve">i </w:t>
      </w:r>
      <w:r w:rsidRPr="00334A54">
        <w:rPr>
          <w:rFonts w:ascii="Arial" w:eastAsia="Times New Roman" w:hAnsi="Arial" w:cs="Arial"/>
          <w:spacing w:val="-3"/>
          <w:lang w:eastAsia="en-GB" w:bidi="en-GB"/>
        </w:rPr>
        <w:t xml:space="preserve">sektorowe) </w:t>
      </w:r>
      <w:r w:rsidRPr="00334A54">
        <w:rPr>
          <w:rFonts w:ascii="Arial" w:eastAsia="Times New Roman" w:hAnsi="Arial" w:cs="Arial"/>
          <w:lang w:eastAsia="en-GB" w:bidi="en-GB"/>
        </w:rPr>
        <w:t xml:space="preserve">oraz zbudować </w:t>
      </w:r>
      <w:r w:rsidRPr="00334A54">
        <w:rPr>
          <w:rFonts w:ascii="Arial" w:eastAsia="Times New Roman" w:hAnsi="Arial" w:cs="Arial"/>
          <w:spacing w:val="-2"/>
          <w:lang w:eastAsia="en-GB" w:bidi="en-GB"/>
        </w:rPr>
        <w:t xml:space="preserve">zespół </w:t>
      </w:r>
      <w:r w:rsidRPr="00334A54">
        <w:rPr>
          <w:rFonts w:ascii="Arial" w:eastAsia="Times New Roman" w:hAnsi="Arial" w:cs="Arial"/>
          <w:lang w:eastAsia="en-GB" w:bidi="en-GB"/>
        </w:rPr>
        <w:t xml:space="preserve">wysokiej klasy </w:t>
      </w:r>
      <w:r w:rsidRPr="00334A54">
        <w:rPr>
          <w:rFonts w:ascii="Arial" w:eastAsia="Times New Roman" w:hAnsi="Arial" w:cs="Arial"/>
          <w:spacing w:val="-3"/>
          <w:lang w:eastAsia="en-GB" w:bidi="en-GB"/>
        </w:rPr>
        <w:t xml:space="preserve">specjalistów </w:t>
      </w:r>
      <w:r w:rsidRPr="00334A54">
        <w:rPr>
          <w:rFonts w:ascii="Arial" w:eastAsia="Times New Roman" w:hAnsi="Arial" w:cs="Arial"/>
          <w:lang w:eastAsia="en-GB" w:bidi="en-GB"/>
        </w:rPr>
        <w:t xml:space="preserve">w celu oceny skutków polityki </w:t>
      </w:r>
      <w:r w:rsidRPr="00334A54">
        <w:rPr>
          <w:rFonts w:ascii="Arial" w:eastAsia="Times New Roman" w:hAnsi="Arial" w:cs="Arial"/>
          <w:spacing w:val="-3"/>
          <w:lang w:eastAsia="en-GB" w:bidi="en-GB"/>
        </w:rPr>
        <w:t xml:space="preserve">klimatyczno-energetycznej </w:t>
      </w:r>
      <w:r w:rsidRPr="00334A54">
        <w:rPr>
          <w:rFonts w:ascii="Arial" w:eastAsia="Times New Roman" w:hAnsi="Arial" w:cs="Arial"/>
          <w:lang w:eastAsia="en-GB" w:bidi="en-GB"/>
        </w:rPr>
        <w:t xml:space="preserve">i kierunków </w:t>
      </w:r>
      <w:r w:rsidRPr="00334A54">
        <w:rPr>
          <w:rFonts w:ascii="Arial" w:eastAsia="Times New Roman" w:hAnsi="Arial" w:cs="Arial"/>
          <w:spacing w:val="-3"/>
          <w:lang w:eastAsia="en-GB" w:bidi="en-GB"/>
        </w:rPr>
        <w:t xml:space="preserve">transformacji niskoemisyjnej, </w:t>
      </w:r>
      <w:r w:rsidRPr="00334A54">
        <w:rPr>
          <w:rFonts w:ascii="Arial" w:eastAsia="Times New Roman" w:hAnsi="Arial" w:cs="Arial"/>
          <w:lang w:eastAsia="en-GB" w:bidi="en-GB"/>
        </w:rPr>
        <w:t xml:space="preserve">przede </w:t>
      </w:r>
      <w:r w:rsidRPr="00334A54">
        <w:rPr>
          <w:rFonts w:ascii="Arial" w:eastAsia="Times New Roman" w:hAnsi="Arial" w:cs="Arial"/>
          <w:spacing w:val="-3"/>
          <w:lang w:eastAsia="en-GB" w:bidi="en-GB"/>
        </w:rPr>
        <w:t xml:space="preserve">wszystkim </w:t>
      </w:r>
      <w:r w:rsidRPr="00334A54">
        <w:rPr>
          <w:rFonts w:ascii="Arial" w:eastAsia="Times New Roman" w:hAnsi="Arial" w:cs="Arial"/>
          <w:lang w:eastAsia="en-GB" w:bidi="en-GB"/>
        </w:rPr>
        <w:t xml:space="preserve">w wymiarach istotnych dla Polski. </w:t>
      </w:r>
      <w:r w:rsidRPr="00334A54">
        <w:rPr>
          <w:rFonts w:ascii="Arial" w:eastAsia="Times New Roman" w:hAnsi="Arial" w:cs="Arial"/>
          <w:spacing w:val="-3"/>
          <w:lang w:eastAsia="en-GB" w:bidi="en-GB"/>
        </w:rPr>
        <w:t xml:space="preserve">Utworzony </w:t>
      </w:r>
      <w:r w:rsidRPr="00334A54">
        <w:rPr>
          <w:rFonts w:ascii="Arial" w:eastAsia="Times New Roman" w:hAnsi="Arial" w:cs="Arial"/>
          <w:lang w:eastAsia="en-GB" w:bidi="en-GB"/>
        </w:rPr>
        <w:t xml:space="preserve">i rozwijany </w:t>
      </w:r>
      <w:r w:rsidRPr="00334A54">
        <w:rPr>
          <w:rFonts w:ascii="Arial" w:eastAsia="Times New Roman" w:hAnsi="Arial" w:cs="Arial"/>
          <w:spacing w:val="-3"/>
          <w:lang w:eastAsia="en-GB" w:bidi="en-GB"/>
        </w:rPr>
        <w:t xml:space="preserve">warsztat </w:t>
      </w:r>
      <w:r w:rsidRPr="00334A54">
        <w:rPr>
          <w:rFonts w:ascii="Arial" w:eastAsia="Times New Roman" w:hAnsi="Arial" w:cs="Arial"/>
          <w:lang w:eastAsia="en-GB" w:bidi="en-GB"/>
        </w:rPr>
        <w:t xml:space="preserve">analityczny </w:t>
      </w:r>
      <w:r w:rsidRPr="00334A54">
        <w:rPr>
          <w:rFonts w:ascii="Arial" w:eastAsia="Times New Roman" w:hAnsi="Arial" w:cs="Arial"/>
          <w:spacing w:val="-3"/>
          <w:lang w:eastAsia="en-GB" w:bidi="en-GB"/>
        </w:rPr>
        <w:t xml:space="preserve">umożliwi wytworzenie wysokiej </w:t>
      </w:r>
      <w:r w:rsidRPr="00334A54">
        <w:rPr>
          <w:rFonts w:ascii="Arial" w:eastAsia="Times New Roman" w:hAnsi="Arial" w:cs="Arial"/>
          <w:lang w:eastAsia="en-GB" w:bidi="en-GB"/>
        </w:rPr>
        <w:t xml:space="preserve">jakości informacji o skutkach planowanych </w:t>
      </w:r>
      <w:r w:rsidRPr="00334A54">
        <w:rPr>
          <w:rFonts w:ascii="Arial" w:eastAsia="Times New Roman" w:hAnsi="Arial" w:cs="Arial"/>
          <w:spacing w:val="-3"/>
          <w:lang w:eastAsia="en-GB" w:bidi="en-GB"/>
        </w:rPr>
        <w:t xml:space="preserve">rozwiązań, </w:t>
      </w:r>
      <w:r w:rsidRPr="00334A54">
        <w:rPr>
          <w:rFonts w:ascii="Arial" w:eastAsia="Times New Roman" w:hAnsi="Arial" w:cs="Arial"/>
          <w:lang w:eastAsia="en-GB" w:bidi="en-GB"/>
        </w:rPr>
        <w:t xml:space="preserve">narzędzi i decyzji </w:t>
      </w:r>
      <w:r w:rsidRPr="00334A54">
        <w:rPr>
          <w:rFonts w:ascii="Arial" w:eastAsia="Times New Roman" w:hAnsi="Arial" w:cs="Arial"/>
          <w:spacing w:val="-3"/>
          <w:lang w:eastAsia="en-GB" w:bidi="en-GB"/>
        </w:rPr>
        <w:t xml:space="preserve">związanych </w:t>
      </w:r>
      <w:r w:rsidRPr="00334A54">
        <w:rPr>
          <w:rFonts w:ascii="Arial" w:eastAsia="Times New Roman" w:hAnsi="Arial" w:cs="Arial"/>
          <w:lang w:eastAsia="en-GB" w:bidi="en-GB"/>
        </w:rPr>
        <w:t xml:space="preserve">z polityką </w:t>
      </w:r>
      <w:r w:rsidRPr="00334A54">
        <w:rPr>
          <w:rFonts w:ascii="Arial" w:eastAsia="Times New Roman" w:hAnsi="Arial" w:cs="Arial"/>
          <w:spacing w:val="-3"/>
          <w:lang w:eastAsia="en-GB" w:bidi="en-GB"/>
        </w:rPr>
        <w:t xml:space="preserve">klimatyczno-energetyczną </w:t>
      </w:r>
      <w:r w:rsidRPr="00334A54">
        <w:rPr>
          <w:rFonts w:ascii="Arial" w:eastAsia="Times New Roman" w:hAnsi="Arial" w:cs="Arial"/>
          <w:lang w:eastAsia="en-GB" w:bidi="en-GB"/>
        </w:rPr>
        <w:t xml:space="preserve">UE oraz </w:t>
      </w:r>
      <w:r w:rsidRPr="00334A54">
        <w:rPr>
          <w:rFonts w:ascii="Arial" w:eastAsia="Times New Roman" w:hAnsi="Arial" w:cs="Arial"/>
          <w:spacing w:val="-3"/>
          <w:lang w:eastAsia="en-GB" w:bidi="en-GB"/>
        </w:rPr>
        <w:lastRenderedPageBreak/>
        <w:t xml:space="preserve">dostarczenie </w:t>
      </w:r>
      <w:r w:rsidRPr="00334A54">
        <w:rPr>
          <w:rFonts w:ascii="Arial" w:eastAsia="Times New Roman" w:hAnsi="Arial" w:cs="Arial"/>
          <w:lang w:eastAsia="en-GB" w:bidi="en-GB"/>
        </w:rPr>
        <w:t xml:space="preserve">tej informacji organom </w:t>
      </w:r>
      <w:r w:rsidRPr="00334A54">
        <w:rPr>
          <w:rFonts w:ascii="Arial" w:eastAsia="Times New Roman" w:hAnsi="Arial" w:cs="Arial"/>
          <w:spacing w:val="-3"/>
          <w:lang w:eastAsia="en-GB" w:bidi="en-GB"/>
        </w:rPr>
        <w:t xml:space="preserve">administracji </w:t>
      </w:r>
      <w:r w:rsidRPr="00334A54">
        <w:rPr>
          <w:rFonts w:ascii="Arial" w:eastAsia="Times New Roman" w:hAnsi="Arial" w:cs="Arial"/>
          <w:lang w:eastAsia="en-GB" w:bidi="en-GB"/>
        </w:rPr>
        <w:t xml:space="preserve">publicznej, podmiotom </w:t>
      </w:r>
      <w:r w:rsidRPr="00334A54">
        <w:rPr>
          <w:rFonts w:ascii="Arial" w:eastAsia="Times New Roman" w:hAnsi="Arial" w:cs="Arial"/>
          <w:spacing w:val="-3"/>
          <w:lang w:eastAsia="en-GB" w:bidi="en-GB"/>
        </w:rPr>
        <w:t xml:space="preserve">gospodarczym </w:t>
      </w:r>
      <w:r w:rsidRPr="00334A54">
        <w:rPr>
          <w:rFonts w:ascii="Arial" w:eastAsia="Times New Roman" w:hAnsi="Arial" w:cs="Arial"/>
          <w:lang w:eastAsia="en-GB" w:bidi="en-GB"/>
        </w:rPr>
        <w:t xml:space="preserve">i </w:t>
      </w:r>
      <w:r w:rsidRPr="00334A54">
        <w:rPr>
          <w:rFonts w:ascii="Arial" w:eastAsia="Times New Roman" w:hAnsi="Arial" w:cs="Arial"/>
          <w:spacing w:val="-3"/>
          <w:lang w:eastAsia="en-GB" w:bidi="en-GB"/>
        </w:rPr>
        <w:t xml:space="preserve">społeczeństwu. Zwiększenie </w:t>
      </w:r>
      <w:r w:rsidRPr="00334A54">
        <w:rPr>
          <w:rFonts w:ascii="Arial" w:eastAsia="Times New Roman" w:hAnsi="Arial" w:cs="Arial"/>
          <w:spacing w:val="-2"/>
          <w:lang w:eastAsia="en-GB" w:bidi="en-GB"/>
        </w:rPr>
        <w:t xml:space="preserve">potencjału wiedzy </w:t>
      </w:r>
      <w:r w:rsidRPr="00334A54">
        <w:rPr>
          <w:rFonts w:ascii="Arial" w:eastAsia="Times New Roman" w:hAnsi="Arial" w:cs="Arial"/>
          <w:lang w:eastAsia="en-GB" w:bidi="en-GB"/>
        </w:rPr>
        <w:t xml:space="preserve">i </w:t>
      </w:r>
      <w:r w:rsidRPr="00334A54">
        <w:rPr>
          <w:rFonts w:ascii="Arial" w:eastAsia="Times New Roman" w:hAnsi="Arial" w:cs="Arial"/>
          <w:spacing w:val="-3"/>
          <w:lang w:eastAsia="en-GB" w:bidi="en-GB"/>
        </w:rPr>
        <w:t xml:space="preserve">dostarczenie wysokiej </w:t>
      </w:r>
      <w:r w:rsidRPr="00334A54">
        <w:rPr>
          <w:rFonts w:ascii="Arial" w:eastAsia="Times New Roman" w:hAnsi="Arial" w:cs="Arial"/>
          <w:lang w:eastAsia="en-GB" w:bidi="en-GB"/>
        </w:rPr>
        <w:t xml:space="preserve">jakości informacji jest koniecznym </w:t>
      </w:r>
      <w:r w:rsidRPr="00334A54">
        <w:rPr>
          <w:rFonts w:ascii="Arial" w:eastAsia="Times New Roman" w:hAnsi="Arial" w:cs="Arial"/>
          <w:spacing w:val="-3"/>
          <w:lang w:eastAsia="en-GB" w:bidi="en-GB"/>
        </w:rPr>
        <w:t xml:space="preserve">wsparciem </w:t>
      </w:r>
      <w:r w:rsidRPr="00334A54">
        <w:rPr>
          <w:rFonts w:ascii="Arial" w:eastAsia="Times New Roman" w:hAnsi="Arial" w:cs="Arial"/>
          <w:lang w:eastAsia="en-GB" w:bidi="en-GB"/>
        </w:rPr>
        <w:t xml:space="preserve">w </w:t>
      </w:r>
      <w:r w:rsidRPr="00334A54">
        <w:rPr>
          <w:rFonts w:ascii="Arial" w:eastAsia="Times New Roman" w:hAnsi="Arial" w:cs="Arial"/>
          <w:spacing w:val="-3"/>
          <w:lang w:eastAsia="en-GB" w:bidi="en-GB"/>
        </w:rPr>
        <w:t xml:space="preserve">procesach podejmowania </w:t>
      </w:r>
      <w:r w:rsidRPr="00334A54">
        <w:rPr>
          <w:rFonts w:ascii="Arial" w:eastAsia="Times New Roman" w:hAnsi="Arial" w:cs="Arial"/>
          <w:lang w:eastAsia="en-GB" w:bidi="en-GB"/>
        </w:rPr>
        <w:t xml:space="preserve">decyzji, </w:t>
      </w:r>
      <w:r w:rsidRPr="00334A54">
        <w:rPr>
          <w:rFonts w:ascii="Arial" w:eastAsia="Times New Roman" w:hAnsi="Arial" w:cs="Arial"/>
          <w:spacing w:val="-3"/>
          <w:lang w:eastAsia="en-GB" w:bidi="en-GB"/>
        </w:rPr>
        <w:t xml:space="preserve">umożliwiającym </w:t>
      </w:r>
      <w:r w:rsidRPr="00334A54">
        <w:rPr>
          <w:rFonts w:ascii="Arial" w:eastAsia="Times New Roman" w:hAnsi="Arial" w:cs="Arial"/>
          <w:lang w:eastAsia="en-GB" w:bidi="en-GB"/>
        </w:rPr>
        <w:t xml:space="preserve">przyczynienie się do poprawy </w:t>
      </w:r>
      <w:r w:rsidRPr="00334A54">
        <w:rPr>
          <w:rFonts w:ascii="Arial" w:eastAsia="Times New Roman" w:hAnsi="Arial" w:cs="Arial"/>
          <w:spacing w:val="-3"/>
          <w:lang w:eastAsia="en-GB" w:bidi="en-GB"/>
        </w:rPr>
        <w:t xml:space="preserve">skuteczności </w:t>
      </w:r>
      <w:r w:rsidRPr="00334A54">
        <w:rPr>
          <w:rFonts w:ascii="Arial" w:eastAsia="Times New Roman" w:hAnsi="Arial" w:cs="Arial"/>
          <w:lang w:eastAsia="en-GB" w:bidi="en-GB"/>
        </w:rPr>
        <w:t xml:space="preserve">i </w:t>
      </w:r>
      <w:r w:rsidRPr="00334A54">
        <w:rPr>
          <w:rFonts w:ascii="Arial" w:eastAsia="Times New Roman" w:hAnsi="Arial" w:cs="Arial"/>
          <w:spacing w:val="-3"/>
          <w:lang w:eastAsia="en-GB" w:bidi="en-GB"/>
        </w:rPr>
        <w:t xml:space="preserve">efektywności </w:t>
      </w:r>
      <w:r w:rsidRPr="00334A54">
        <w:rPr>
          <w:rFonts w:ascii="Arial" w:eastAsia="Times New Roman" w:hAnsi="Arial" w:cs="Arial"/>
          <w:lang w:eastAsia="en-GB" w:bidi="en-GB"/>
        </w:rPr>
        <w:t xml:space="preserve">osiągania celów redukcyjnych. </w:t>
      </w:r>
      <w:r w:rsidRPr="00334A54">
        <w:rPr>
          <w:rFonts w:ascii="Arial" w:eastAsia="Times New Roman" w:hAnsi="Arial" w:cs="Arial"/>
          <w:spacing w:val="-3"/>
          <w:lang w:eastAsia="en-GB" w:bidi="en-GB"/>
        </w:rPr>
        <w:t xml:space="preserve">Równocześnie </w:t>
      </w:r>
      <w:r w:rsidRPr="00334A54">
        <w:rPr>
          <w:rFonts w:ascii="Arial" w:eastAsia="Times New Roman" w:hAnsi="Arial" w:cs="Arial"/>
          <w:lang w:eastAsia="en-GB" w:bidi="en-GB"/>
        </w:rPr>
        <w:t xml:space="preserve">wymaga </w:t>
      </w:r>
      <w:r w:rsidRPr="00334A54">
        <w:rPr>
          <w:rFonts w:ascii="Arial" w:eastAsia="Times New Roman" w:hAnsi="Arial" w:cs="Arial"/>
          <w:spacing w:val="-2"/>
          <w:lang w:eastAsia="en-GB" w:bidi="en-GB"/>
        </w:rPr>
        <w:t xml:space="preserve">podkreślenia, </w:t>
      </w:r>
      <w:r w:rsidRPr="00334A54">
        <w:rPr>
          <w:rFonts w:ascii="Arial" w:eastAsia="Times New Roman" w:hAnsi="Arial" w:cs="Arial"/>
          <w:lang w:eastAsia="en-GB" w:bidi="en-GB"/>
        </w:rPr>
        <w:t xml:space="preserve">że </w:t>
      </w:r>
      <w:r w:rsidRPr="00334A54">
        <w:rPr>
          <w:rFonts w:ascii="Arial" w:eastAsia="Times New Roman" w:hAnsi="Arial" w:cs="Arial"/>
          <w:spacing w:val="-3"/>
          <w:lang w:eastAsia="en-GB" w:bidi="en-GB"/>
        </w:rPr>
        <w:t xml:space="preserve">dotychczasowe </w:t>
      </w:r>
      <w:r w:rsidRPr="00334A54">
        <w:rPr>
          <w:rFonts w:ascii="Arial" w:eastAsia="Times New Roman" w:hAnsi="Arial" w:cs="Arial"/>
          <w:lang w:eastAsia="en-GB" w:bidi="en-GB"/>
        </w:rPr>
        <w:t xml:space="preserve">zadania, w zakresie </w:t>
      </w:r>
      <w:r w:rsidRPr="00334A54">
        <w:rPr>
          <w:rFonts w:ascii="Arial" w:eastAsia="Times New Roman" w:hAnsi="Arial" w:cs="Arial"/>
          <w:spacing w:val="-3"/>
          <w:lang w:eastAsia="en-GB" w:bidi="en-GB"/>
        </w:rPr>
        <w:t xml:space="preserve">prognozowania </w:t>
      </w:r>
      <w:r w:rsidRPr="00334A54">
        <w:rPr>
          <w:rFonts w:ascii="Arial" w:eastAsia="Times New Roman" w:hAnsi="Arial" w:cs="Arial"/>
          <w:lang w:eastAsia="en-GB" w:bidi="en-GB"/>
        </w:rPr>
        <w:t xml:space="preserve">skutków </w:t>
      </w:r>
      <w:r w:rsidRPr="00334A54">
        <w:rPr>
          <w:rFonts w:ascii="Arial" w:eastAsia="Times New Roman" w:hAnsi="Arial" w:cs="Arial"/>
          <w:spacing w:val="-2"/>
          <w:lang w:eastAsia="en-GB" w:bidi="en-GB"/>
        </w:rPr>
        <w:t xml:space="preserve">wdrażania </w:t>
      </w:r>
      <w:r w:rsidRPr="00334A54">
        <w:rPr>
          <w:rFonts w:ascii="Arial" w:eastAsia="Times New Roman" w:hAnsi="Arial" w:cs="Arial"/>
          <w:lang w:eastAsia="en-GB" w:bidi="en-GB"/>
        </w:rPr>
        <w:t xml:space="preserve">polityki </w:t>
      </w:r>
      <w:r w:rsidRPr="00334A54">
        <w:rPr>
          <w:rFonts w:ascii="Arial" w:eastAsia="Times New Roman" w:hAnsi="Arial" w:cs="Arial"/>
          <w:spacing w:val="-2"/>
          <w:lang w:eastAsia="en-GB" w:bidi="en-GB"/>
        </w:rPr>
        <w:t xml:space="preserve">klimatycznej </w:t>
      </w:r>
      <w:r w:rsidRPr="00334A54">
        <w:rPr>
          <w:rFonts w:ascii="Arial" w:eastAsia="Times New Roman" w:hAnsi="Arial" w:cs="Arial"/>
          <w:lang w:eastAsia="en-GB" w:bidi="en-GB"/>
        </w:rPr>
        <w:t xml:space="preserve">i rozwój narzędzi do modelowania skutków tej polityki </w:t>
      </w:r>
      <w:r w:rsidRPr="00334A54">
        <w:rPr>
          <w:rFonts w:ascii="Arial" w:eastAsia="Times New Roman" w:hAnsi="Arial" w:cs="Arial"/>
          <w:spacing w:val="-3"/>
          <w:lang w:eastAsia="en-GB" w:bidi="en-GB"/>
        </w:rPr>
        <w:t xml:space="preserve">realizowane </w:t>
      </w:r>
      <w:r w:rsidRPr="00334A54">
        <w:rPr>
          <w:rFonts w:ascii="Arial" w:eastAsia="Times New Roman" w:hAnsi="Arial" w:cs="Arial"/>
          <w:lang w:eastAsia="en-GB" w:bidi="en-GB"/>
        </w:rPr>
        <w:t xml:space="preserve">były głównie dzięki </w:t>
      </w:r>
      <w:r w:rsidRPr="00334A54">
        <w:rPr>
          <w:rFonts w:ascii="Arial" w:eastAsia="Times New Roman" w:hAnsi="Arial" w:cs="Arial"/>
          <w:spacing w:val="-3"/>
          <w:lang w:eastAsia="en-GB" w:bidi="en-GB"/>
        </w:rPr>
        <w:t xml:space="preserve">pozyskaniu </w:t>
      </w:r>
      <w:r w:rsidRPr="00334A54">
        <w:rPr>
          <w:rFonts w:ascii="Arial" w:eastAsia="Times New Roman" w:hAnsi="Arial" w:cs="Arial"/>
          <w:lang w:eastAsia="en-GB" w:bidi="en-GB"/>
        </w:rPr>
        <w:t xml:space="preserve">przez </w:t>
      </w:r>
      <w:r w:rsidRPr="00334A54">
        <w:rPr>
          <w:rFonts w:ascii="Arial" w:eastAsia="Times New Roman" w:hAnsi="Arial" w:cs="Arial"/>
          <w:spacing w:val="-3"/>
          <w:lang w:eastAsia="en-GB" w:bidi="en-GB"/>
        </w:rPr>
        <w:t xml:space="preserve">Krajowy </w:t>
      </w:r>
      <w:r w:rsidRPr="00334A54">
        <w:rPr>
          <w:rFonts w:ascii="Arial" w:eastAsia="Times New Roman" w:hAnsi="Arial" w:cs="Arial"/>
          <w:lang w:eastAsia="en-GB" w:bidi="en-GB"/>
        </w:rPr>
        <w:t xml:space="preserve">ośrodek środków </w:t>
      </w:r>
      <w:r w:rsidRPr="00334A54">
        <w:rPr>
          <w:rFonts w:ascii="Arial" w:eastAsia="Times New Roman" w:hAnsi="Arial" w:cs="Arial"/>
          <w:spacing w:val="-2"/>
          <w:lang w:eastAsia="en-GB" w:bidi="en-GB"/>
        </w:rPr>
        <w:t xml:space="preserve">pochodzących </w:t>
      </w:r>
      <w:r w:rsidRPr="00334A54">
        <w:rPr>
          <w:rFonts w:ascii="Arial" w:eastAsia="Times New Roman" w:hAnsi="Arial" w:cs="Arial"/>
          <w:lang w:eastAsia="en-GB" w:bidi="en-GB"/>
        </w:rPr>
        <w:t xml:space="preserve">z projektów (głównie z programu </w:t>
      </w:r>
      <w:r w:rsidRPr="00334A54">
        <w:rPr>
          <w:rFonts w:ascii="Arial" w:eastAsia="Times New Roman" w:hAnsi="Arial" w:cs="Arial"/>
          <w:spacing w:val="-3"/>
          <w:lang w:eastAsia="en-GB" w:bidi="en-GB"/>
        </w:rPr>
        <w:t xml:space="preserve">wspólnotowego </w:t>
      </w:r>
      <w:r w:rsidRPr="00334A54">
        <w:rPr>
          <w:rFonts w:ascii="Arial" w:eastAsia="Times New Roman" w:hAnsi="Arial" w:cs="Arial"/>
          <w:lang w:eastAsia="en-GB" w:bidi="en-GB"/>
        </w:rPr>
        <w:t xml:space="preserve">LIFE). Taka forma </w:t>
      </w:r>
      <w:r w:rsidRPr="00334A54">
        <w:rPr>
          <w:rFonts w:ascii="Arial" w:eastAsia="Times New Roman" w:hAnsi="Arial" w:cs="Arial"/>
          <w:spacing w:val="-3"/>
          <w:lang w:eastAsia="en-GB" w:bidi="en-GB"/>
        </w:rPr>
        <w:t xml:space="preserve">finansowania </w:t>
      </w:r>
      <w:r w:rsidRPr="00334A54">
        <w:rPr>
          <w:rFonts w:ascii="Arial" w:eastAsia="Times New Roman" w:hAnsi="Arial" w:cs="Arial"/>
          <w:lang w:eastAsia="en-GB" w:bidi="en-GB"/>
        </w:rPr>
        <w:t xml:space="preserve">działań </w:t>
      </w:r>
      <w:r w:rsidRPr="00334A54">
        <w:rPr>
          <w:rFonts w:ascii="Arial" w:eastAsia="Times New Roman" w:hAnsi="Arial" w:cs="Arial"/>
          <w:spacing w:val="-3"/>
          <w:lang w:eastAsia="en-GB" w:bidi="en-GB"/>
        </w:rPr>
        <w:t xml:space="preserve">Krajowego </w:t>
      </w:r>
      <w:r w:rsidRPr="00334A54">
        <w:rPr>
          <w:rFonts w:ascii="Arial" w:eastAsia="Times New Roman" w:hAnsi="Arial" w:cs="Arial"/>
          <w:lang w:eastAsia="en-GB" w:bidi="en-GB"/>
        </w:rPr>
        <w:t xml:space="preserve">ośrodka nie gwarantuje </w:t>
      </w:r>
      <w:r w:rsidRPr="00334A54">
        <w:rPr>
          <w:rFonts w:ascii="Arial" w:eastAsia="Times New Roman" w:hAnsi="Arial" w:cs="Arial"/>
          <w:spacing w:val="-3"/>
          <w:lang w:eastAsia="en-GB" w:bidi="en-GB"/>
        </w:rPr>
        <w:t xml:space="preserve">stabilności </w:t>
      </w:r>
      <w:r w:rsidRPr="00334A54">
        <w:rPr>
          <w:rFonts w:ascii="Arial" w:eastAsia="Times New Roman" w:hAnsi="Arial" w:cs="Arial"/>
          <w:lang w:eastAsia="en-GB" w:bidi="en-GB"/>
        </w:rPr>
        <w:t xml:space="preserve">realizacji zadań i </w:t>
      </w:r>
      <w:r w:rsidRPr="00334A54">
        <w:rPr>
          <w:rFonts w:ascii="Arial" w:eastAsia="Times New Roman" w:hAnsi="Arial" w:cs="Arial"/>
          <w:spacing w:val="-3"/>
          <w:lang w:eastAsia="en-GB" w:bidi="en-GB"/>
        </w:rPr>
        <w:t xml:space="preserve">funkcjonowania warsztatu </w:t>
      </w:r>
      <w:r w:rsidRPr="00334A54">
        <w:rPr>
          <w:rFonts w:ascii="Arial" w:eastAsia="Times New Roman" w:hAnsi="Arial" w:cs="Arial"/>
          <w:lang w:eastAsia="en-GB" w:bidi="en-GB"/>
        </w:rPr>
        <w:t xml:space="preserve">analitycznego. Wymaga </w:t>
      </w:r>
      <w:r w:rsidRPr="00334A54">
        <w:rPr>
          <w:rFonts w:ascii="Arial" w:eastAsia="Times New Roman" w:hAnsi="Arial" w:cs="Arial"/>
          <w:spacing w:val="-2"/>
          <w:lang w:eastAsia="en-GB" w:bidi="en-GB"/>
        </w:rPr>
        <w:t xml:space="preserve">uzupełnienia </w:t>
      </w:r>
      <w:r w:rsidRPr="00334A54">
        <w:rPr>
          <w:rFonts w:ascii="Arial" w:eastAsia="Times New Roman" w:hAnsi="Arial" w:cs="Arial"/>
          <w:lang w:eastAsia="en-GB" w:bidi="en-GB"/>
        </w:rPr>
        <w:t xml:space="preserve">w postaci trwałego i stabilnego źródła </w:t>
      </w:r>
      <w:r w:rsidRPr="00334A54">
        <w:rPr>
          <w:rFonts w:ascii="Arial" w:eastAsia="Times New Roman" w:hAnsi="Arial" w:cs="Arial"/>
          <w:spacing w:val="-3"/>
          <w:lang w:eastAsia="en-GB" w:bidi="en-GB"/>
        </w:rPr>
        <w:t xml:space="preserve">finansowania gwarantującego </w:t>
      </w:r>
      <w:r w:rsidRPr="00334A54">
        <w:rPr>
          <w:rFonts w:ascii="Arial" w:eastAsia="Times New Roman" w:hAnsi="Arial" w:cs="Arial"/>
          <w:lang w:eastAsia="en-GB" w:bidi="en-GB"/>
        </w:rPr>
        <w:t xml:space="preserve">utrzymanie i rozwój </w:t>
      </w:r>
      <w:r w:rsidRPr="00334A54">
        <w:rPr>
          <w:rFonts w:ascii="Arial" w:eastAsia="Times New Roman" w:hAnsi="Arial" w:cs="Arial"/>
          <w:spacing w:val="-3"/>
          <w:lang w:eastAsia="en-GB" w:bidi="en-GB"/>
        </w:rPr>
        <w:t xml:space="preserve">powstałych </w:t>
      </w:r>
      <w:r w:rsidRPr="00334A54">
        <w:rPr>
          <w:rFonts w:ascii="Arial" w:eastAsia="Times New Roman" w:hAnsi="Arial" w:cs="Arial"/>
          <w:lang w:eastAsia="en-GB" w:bidi="en-GB"/>
        </w:rPr>
        <w:t xml:space="preserve">już narzędzi modelowych oraz kadry </w:t>
      </w:r>
      <w:r w:rsidRPr="00334A54">
        <w:rPr>
          <w:rFonts w:ascii="Arial" w:eastAsia="Times New Roman" w:hAnsi="Arial" w:cs="Arial"/>
          <w:spacing w:val="-3"/>
          <w:lang w:eastAsia="en-GB" w:bidi="en-GB"/>
        </w:rPr>
        <w:t xml:space="preserve">specjalistów. </w:t>
      </w:r>
      <w:r w:rsidRPr="00334A54">
        <w:rPr>
          <w:rFonts w:ascii="Arial" w:eastAsia="Times New Roman" w:hAnsi="Arial" w:cs="Arial"/>
          <w:spacing w:val="-2"/>
          <w:lang w:eastAsia="en-GB" w:bidi="en-GB"/>
        </w:rPr>
        <w:t xml:space="preserve">Należy </w:t>
      </w:r>
      <w:r w:rsidRPr="00334A54">
        <w:rPr>
          <w:rFonts w:ascii="Arial" w:eastAsia="Times New Roman" w:hAnsi="Arial" w:cs="Arial"/>
          <w:lang w:eastAsia="en-GB" w:bidi="en-GB"/>
        </w:rPr>
        <w:t xml:space="preserve">przy tym podkreślić, że analizy CAKE </w:t>
      </w:r>
      <w:r w:rsidRPr="00334A54">
        <w:rPr>
          <w:rFonts w:ascii="Arial" w:eastAsia="Times New Roman" w:hAnsi="Arial" w:cs="Arial"/>
          <w:spacing w:val="-3"/>
          <w:lang w:eastAsia="en-GB" w:bidi="en-GB"/>
        </w:rPr>
        <w:t xml:space="preserve">wykorzystywane </w:t>
      </w:r>
      <w:r w:rsidRPr="00334A54">
        <w:rPr>
          <w:rFonts w:ascii="Arial" w:eastAsia="Times New Roman" w:hAnsi="Arial" w:cs="Arial"/>
          <w:lang w:eastAsia="en-GB" w:bidi="en-GB"/>
        </w:rPr>
        <w:t xml:space="preserve">są przez </w:t>
      </w:r>
      <w:r w:rsidRPr="00334A54">
        <w:rPr>
          <w:rFonts w:ascii="Arial" w:eastAsia="Times New Roman" w:hAnsi="Arial" w:cs="Arial"/>
          <w:spacing w:val="-3"/>
          <w:lang w:eastAsia="en-GB" w:bidi="en-GB"/>
        </w:rPr>
        <w:t xml:space="preserve">administrację </w:t>
      </w:r>
      <w:r w:rsidRPr="00334A54">
        <w:rPr>
          <w:rFonts w:ascii="Arial" w:eastAsia="Times New Roman" w:hAnsi="Arial" w:cs="Arial"/>
          <w:lang w:eastAsia="en-GB" w:bidi="en-GB"/>
        </w:rPr>
        <w:t xml:space="preserve">publiczną zarówno przy </w:t>
      </w:r>
      <w:r w:rsidRPr="00334A54">
        <w:rPr>
          <w:rFonts w:ascii="Arial" w:eastAsia="Times New Roman" w:hAnsi="Arial" w:cs="Arial"/>
          <w:spacing w:val="-3"/>
          <w:lang w:eastAsia="en-GB" w:bidi="en-GB"/>
        </w:rPr>
        <w:t xml:space="preserve">przygotowywaniu </w:t>
      </w:r>
      <w:r w:rsidRPr="00334A54">
        <w:rPr>
          <w:rFonts w:ascii="Arial" w:eastAsia="Times New Roman" w:hAnsi="Arial" w:cs="Arial"/>
          <w:lang w:eastAsia="en-GB" w:bidi="en-GB"/>
        </w:rPr>
        <w:t xml:space="preserve">krajowych polityk (przykładem jest </w:t>
      </w:r>
      <w:r w:rsidRPr="00334A54">
        <w:rPr>
          <w:rFonts w:ascii="Arial" w:eastAsia="Times New Roman" w:hAnsi="Arial" w:cs="Arial"/>
          <w:spacing w:val="-3"/>
          <w:lang w:eastAsia="en-GB" w:bidi="en-GB"/>
        </w:rPr>
        <w:t xml:space="preserve">wykorzystanie </w:t>
      </w:r>
      <w:r w:rsidRPr="00334A54">
        <w:rPr>
          <w:rFonts w:ascii="Arial" w:eastAsia="Times New Roman" w:hAnsi="Arial" w:cs="Arial"/>
          <w:lang w:eastAsia="en-GB" w:bidi="en-GB"/>
        </w:rPr>
        <w:t xml:space="preserve">projekcji </w:t>
      </w:r>
      <w:r w:rsidRPr="00334A54">
        <w:rPr>
          <w:rFonts w:ascii="Arial" w:eastAsia="Times New Roman" w:hAnsi="Arial" w:cs="Arial"/>
          <w:spacing w:val="-3"/>
          <w:lang w:eastAsia="en-GB" w:bidi="en-GB"/>
        </w:rPr>
        <w:t xml:space="preserve">zwiększenia </w:t>
      </w:r>
      <w:r w:rsidRPr="00334A54">
        <w:rPr>
          <w:rFonts w:ascii="Arial" w:eastAsia="Times New Roman" w:hAnsi="Arial" w:cs="Arial"/>
          <w:lang w:eastAsia="en-GB" w:bidi="en-GB"/>
        </w:rPr>
        <w:t xml:space="preserve">kosztu uprawnień jednym ze </w:t>
      </w:r>
      <w:r w:rsidRPr="00334A54">
        <w:rPr>
          <w:rFonts w:ascii="Arial" w:eastAsia="Times New Roman" w:hAnsi="Arial" w:cs="Arial"/>
          <w:spacing w:val="-3"/>
          <w:lang w:eastAsia="en-GB" w:bidi="en-GB"/>
        </w:rPr>
        <w:t xml:space="preserve">scenariuszy </w:t>
      </w:r>
      <w:r w:rsidRPr="00334A54">
        <w:rPr>
          <w:rFonts w:ascii="Arial" w:eastAsia="Times New Roman" w:hAnsi="Arial" w:cs="Arial"/>
          <w:lang w:eastAsia="en-GB" w:bidi="en-GB"/>
        </w:rPr>
        <w:t xml:space="preserve">Polityki </w:t>
      </w:r>
      <w:r w:rsidRPr="00334A54">
        <w:rPr>
          <w:rFonts w:ascii="Arial" w:eastAsia="Times New Roman" w:hAnsi="Arial" w:cs="Arial"/>
          <w:spacing w:val="-3"/>
          <w:lang w:eastAsia="en-GB" w:bidi="en-GB"/>
        </w:rPr>
        <w:t xml:space="preserve">Energetycznej Polski </w:t>
      </w:r>
      <w:r w:rsidRPr="00334A54">
        <w:rPr>
          <w:rFonts w:ascii="Arial" w:eastAsia="Times New Roman" w:hAnsi="Arial" w:cs="Arial"/>
          <w:lang w:eastAsia="en-GB" w:bidi="en-GB"/>
        </w:rPr>
        <w:t xml:space="preserve">do 2040 r., </w:t>
      </w:r>
      <w:r w:rsidRPr="00334A54">
        <w:rPr>
          <w:rFonts w:ascii="Arial" w:eastAsia="Times New Roman" w:hAnsi="Arial" w:cs="Arial"/>
          <w:spacing w:val="-3"/>
          <w:lang w:eastAsia="en-GB" w:bidi="en-GB"/>
        </w:rPr>
        <w:t xml:space="preserve">odzwierciedlający zaostrzanie </w:t>
      </w:r>
      <w:r w:rsidRPr="00334A54">
        <w:rPr>
          <w:rFonts w:ascii="Arial" w:eastAsia="Times New Roman" w:hAnsi="Arial" w:cs="Arial"/>
          <w:lang w:eastAsia="en-GB" w:bidi="en-GB"/>
        </w:rPr>
        <w:t xml:space="preserve">polityki </w:t>
      </w:r>
      <w:r w:rsidRPr="00334A54">
        <w:rPr>
          <w:rFonts w:ascii="Arial" w:eastAsia="Times New Roman" w:hAnsi="Arial" w:cs="Arial"/>
          <w:spacing w:val="-3"/>
          <w:lang w:eastAsia="en-GB" w:bidi="en-GB"/>
        </w:rPr>
        <w:t xml:space="preserve">energetyczno-klimatycznej </w:t>
      </w:r>
      <w:r w:rsidRPr="00334A54">
        <w:rPr>
          <w:rFonts w:ascii="Arial" w:eastAsia="Times New Roman" w:hAnsi="Arial" w:cs="Arial"/>
          <w:lang w:eastAsia="en-GB" w:bidi="en-GB"/>
        </w:rPr>
        <w:t xml:space="preserve">UE 27), </w:t>
      </w:r>
      <w:r w:rsidRPr="00334A54">
        <w:rPr>
          <w:rFonts w:ascii="Arial" w:eastAsia="Times New Roman" w:hAnsi="Arial" w:cs="Arial"/>
          <w:spacing w:val="-2"/>
          <w:lang w:eastAsia="en-GB" w:bidi="en-GB"/>
        </w:rPr>
        <w:t xml:space="preserve">dokumentów rządowych </w:t>
      </w:r>
      <w:r w:rsidRPr="00334A54">
        <w:rPr>
          <w:rFonts w:ascii="Arial" w:eastAsia="Times New Roman" w:hAnsi="Arial" w:cs="Arial"/>
          <w:lang w:eastAsia="en-GB" w:bidi="en-GB"/>
        </w:rPr>
        <w:t xml:space="preserve">(m.in. Założenia Programu polskiej energetyki </w:t>
      </w:r>
      <w:r w:rsidRPr="00334A54">
        <w:rPr>
          <w:rFonts w:ascii="Arial" w:eastAsia="Times New Roman" w:hAnsi="Arial" w:cs="Arial"/>
          <w:spacing w:val="-3"/>
          <w:lang w:eastAsia="en-GB" w:bidi="en-GB"/>
        </w:rPr>
        <w:t xml:space="preserve">jądrowej, </w:t>
      </w:r>
      <w:r w:rsidRPr="00334A54">
        <w:rPr>
          <w:rFonts w:ascii="Arial" w:eastAsia="Times New Roman" w:hAnsi="Arial" w:cs="Arial"/>
          <w:lang w:eastAsia="en-GB" w:bidi="en-GB"/>
        </w:rPr>
        <w:t xml:space="preserve">czy projekcie </w:t>
      </w:r>
      <w:r w:rsidRPr="00334A54">
        <w:rPr>
          <w:rFonts w:ascii="Arial" w:eastAsia="Times New Roman" w:hAnsi="Arial" w:cs="Arial"/>
          <w:spacing w:val="-3"/>
          <w:lang w:eastAsia="en-GB" w:bidi="en-GB"/>
        </w:rPr>
        <w:t xml:space="preserve">„Strategii </w:t>
      </w:r>
      <w:r w:rsidRPr="00334A54">
        <w:rPr>
          <w:rFonts w:ascii="Arial" w:eastAsia="Times New Roman" w:hAnsi="Arial" w:cs="Arial"/>
          <w:lang w:eastAsia="en-GB" w:bidi="en-GB"/>
        </w:rPr>
        <w:t xml:space="preserve">dla </w:t>
      </w:r>
      <w:r w:rsidRPr="00334A54">
        <w:rPr>
          <w:rFonts w:ascii="Arial" w:eastAsia="Times New Roman" w:hAnsi="Arial" w:cs="Arial"/>
          <w:spacing w:val="-3"/>
          <w:lang w:eastAsia="en-GB" w:bidi="en-GB"/>
        </w:rPr>
        <w:t xml:space="preserve">ciepłownictwa </w:t>
      </w:r>
      <w:r w:rsidRPr="00334A54">
        <w:rPr>
          <w:rFonts w:ascii="Arial" w:eastAsia="Times New Roman" w:hAnsi="Arial" w:cs="Arial"/>
          <w:lang w:eastAsia="en-GB" w:bidi="en-GB"/>
        </w:rPr>
        <w:t xml:space="preserve">do roku 2030 z </w:t>
      </w:r>
      <w:r w:rsidRPr="00334A54">
        <w:rPr>
          <w:rFonts w:ascii="Arial" w:eastAsia="Times New Roman" w:hAnsi="Arial" w:cs="Arial"/>
          <w:spacing w:val="-3"/>
          <w:lang w:eastAsia="en-GB" w:bidi="en-GB"/>
        </w:rPr>
        <w:t xml:space="preserve">perspektywą </w:t>
      </w:r>
      <w:r w:rsidRPr="00334A54">
        <w:rPr>
          <w:rFonts w:ascii="Arial" w:eastAsia="Times New Roman" w:hAnsi="Arial" w:cs="Arial"/>
          <w:lang w:eastAsia="en-GB" w:bidi="en-GB"/>
        </w:rPr>
        <w:t>do</w:t>
      </w:r>
      <w:r w:rsidRPr="00334A54">
        <w:rPr>
          <w:rFonts w:ascii="Arial" w:eastAsia="Times New Roman" w:hAnsi="Arial" w:cs="Arial"/>
          <w:spacing w:val="38"/>
          <w:lang w:eastAsia="en-GB" w:bidi="en-GB"/>
        </w:rPr>
        <w:t xml:space="preserve"> </w:t>
      </w:r>
      <w:r w:rsidRPr="00334A54">
        <w:rPr>
          <w:rFonts w:ascii="Arial" w:eastAsia="Times New Roman" w:hAnsi="Arial" w:cs="Arial"/>
          <w:lang w:eastAsia="en-GB" w:bidi="en-GB"/>
        </w:rPr>
        <w:t xml:space="preserve">2040 r.”), jak i przy realizacji obowiązków </w:t>
      </w:r>
      <w:r w:rsidRPr="00334A54">
        <w:rPr>
          <w:rFonts w:ascii="Arial" w:eastAsia="Times New Roman" w:hAnsi="Arial" w:cs="Arial"/>
          <w:spacing w:val="-3"/>
          <w:lang w:eastAsia="en-GB" w:bidi="en-GB"/>
        </w:rPr>
        <w:t xml:space="preserve">sprawozdawczych </w:t>
      </w:r>
      <w:r w:rsidRPr="00334A54">
        <w:rPr>
          <w:rFonts w:ascii="Arial" w:eastAsia="Times New Roman" w:hAnsi="Arial" w:cs="Arial"/>
          <w:lang w:eastAsia="en-GB" w:bidi="en-GB"/>
        </w:rPr>
        <w:t xml:space="preserve">i raportowych </w:t>
      </w:r>
      <w:r w:rsidRPr="00334A54">
        <w:rPr>
          <w:rFonts w:ascii="Arial" w:eastAsia="Times New Roman" w:hAnsi="Arial" w:cs="Arial"/>
          <w:spacing w:val="-3"/>
          <w:lang w:eastAsia="en-GB" w:bidi="en-GB"/>
        </w:rPr>
        <w:t xml:space="preserve">wynikających </w:t>
      </w:r>
      <w:r w:rsidRPr="00334A54">
        <w:rPr>
          <w:rFonts w:ascii="Arial" w:eastAsia="Times New Roman" w:hAnsi="Arial" w:cs="Arial"/>
          <w:lang w:eastAsia="en-GB" w:bidi="en-GB"/>
        </w:rPr>
        <w:t xml:space="preserve">z prawa UE oraz prawa </w:t>
      </w:r>
      <w:r w:rsidRPr="00334A54">
        <w:rPr>
          <w:rFonts w:ascii="Arial" w:eastAsia="Times New Roman" w:hAnsi="Arial" w:cs="Arial"/>
          <w:spacing w:val="-3"/>
          <w:lang w:eastAsia="en-GB" w:bidi="en-GB"/>
        </w:rPr>
        <w:t xml:space="preserve">międzynarodowego </w:t>
      </w:r>
      <w:r w:rsidRPr="00334A54">
        <w:rPr>
          <w:rFonts w:ascii="Arial" w:eastAsia="Times New Roman" w:hAnsi="Arial" w:cs="Arial"/>
          <w:lang w:eastAsia="en-GB" w:bidi="en-GB"/>
        </w:rPr>
        <w:t xml:space="preserve">(np. analizy dot. </w:t>
      </w:r>
      <w:r w:rsidRPr="00334A54">
        <w:rPr>
          <w:rFonts w:ascii="Arial" w:eastAsia="Times New Roman" w:hAnsi="Arial" w:cs="Arial"/>
          <w:spacing w:val="-3"/>
          <w:lang w:eastAsia="en-GB" w:bidi="en-GB"/>
        </w:rPr>
        <w:t xml:space="preserve">wpływu </w:t>
      </w:r>
      <w:r w:rsidRPr="00334A54">
        <w:rPr>
          <w:rFonts w:ascii="Arial" w:eastAsia="Times New Roman" w:hAnsi="Arial" w:cs="Arial"/>
          <w:lang w:eastAsia="en-GB" w:bidi="en-GB"/>
        </w:rPr>
        <w:t xml:space="preserve">polityk i działań na </w:t>
      </w:r>
      <w:r w:rsidRPr="00334A54">
        <w:rPr>
          <w:rFonts w:ascii="Arial" w:eastAsia="Times New Roman" w:hAnsi="Arial" w:cs="Arial"/>
          <w:spacing w:val="-3"/>
          <w:lang w:eastAsia="en-GB" w:bidi="en-GB"/>
        </w:rPr>
        <w:t xml:space="preserve">długookresowe </w:t>
      </w:r>
      <w:r w:rsidRPr="00334A54">
        <w:rPr>
          <w:rFonts w:ascii="Arial" w:eastAsia="Times New Roman" w:hAnsi="Arial" w:cs="Arial"/>
          <w:lang w:eastAsia="en-GB" w:bidi="en-GB"/>
        </w:rPr>
        <w:t xml:space="preserve">trendy emisji zostały </w:t>
      </w:r>
      <w:r w:rsidRPr="00334A54">
        <w:rPr>
          <w:rFonts w:ascii="Arial" w:eastAsia="Times New Roman" w:hAnsi="Arial" w:cs="Arial"/>
          <w:spacing w:val="-3"/>
          <w:lang w:eastAsia="en-GB" w:bidi="en-GB"/>
        </w:rPr>
        <w:t xml:space="preserve">wykorzystane </w:t>
      </w:r>
      <w:r w:rsidRPr="00334A54">
        <w:rPr>
          <w:rFonts w:ascii="Arial" w:eastAsia="Times New Roman" w:hAnsi="Arial" w:cs="Arial"/>
          <w:lang w:eastAsia="en-GB" w:bidi="en-GB"/>
        </w:rPr>
        <w:t>w Ósmym</w:t>
      </w:r>
      <w:r w:rsidRPr="00334A54">
        <w:rPr>
          <w:rFonts w:ascii="Arial" w:eastAsia="Times New Roman" w:hAnsi="Arial" w:cs="Arial"/>
          <w:spacing w:val="-16"/>
          <w:lang w:eastAsia="en-GB" w:bidi="en-GB"/>
        </w:rPr>
        <w:t xml:space="preserve"> </w:t>
      </w:r>
      <w:r w:rsidRPr="00334A54">
        <w:rPr>
          <w:rFonts w:ascii="Arial" w:eastAsia="Times New Roman" w:hAnsi="Arial" w:cs="Arial"/>
          <w:lang w:eastAsia="en-GB" w:bidi="en-GB"/>
        </w:rPr>
        <w:t>Raporcie</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rządowym</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dla</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Konferencji</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Stron</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Ramowej</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konwencji</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Narodów</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Zjednoczonych</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w</w:t>
      </w:r>
      <w:r w:rsidRPr="00334A54">
        <w:rPr>
          <w:rFonts w:ascii="Arial" w:eastAsia="Times New Roman" w:hAnsi="Arial" w:cs="Arial"/>
          <w:spacing w:val="-16"/>
          <w:lang w:eastAsia="en-GB" w:bidi="en-GB"/>
        </w:rPr>
        <w:t xml:space="preserve"> </w:t>
      </w:r>
      <w:r w:rsidRPr="00334A54">
        <w:rPr>
          <w:rFonts w:ascii="Arial" w:eastAsia="Times New Roman" w:hAnsi="Arial" w:cs="Arial"/>
          <w:spacing w:val="-3"/>
          <w:lang w:eastAsia="en-GB" w:bidi="en-GB"/>
        </w:rPr>
        <w:t>sprawie</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zmian</w:t>
      </w:r>
      <w:r w:rsidRPr="00334A54">
        <w:rPr>
          <w:rFonts w:ascii="Arial" w:eastAsia="Times New Roman" w:hAnsi="Arial" w:cs="Arial"/>
          <w:spacing w:val="-15"/>
          <w:lang w:eastAsia="en-GB" w:bidi="en-GB"/>
        </w:rPr>
        <w:t xml:space="preserve"> </w:t>
      </w:r>
      <w:r w:rsidRPr="00334A54">
        <w:rPr>
          <w:rFonts w:ascii="Arial" w:eastAsia="Times New Roman" w:hAnsi="Arial" w:cs="Arial"/>
          <w:lang w:eastAsia="en-GB" w:bidi="en-GB"/>
        </w:rPr>
        <w:t xml:space="preserve">klimatu i Piątym Raporcie dwuletnim dla Konferencji Stron Ramowej konwencji Narodów Zjednoczonych w </w:t>
      </w:r>
      <w:r w:rsidRPr="00334A54">
        <w:rPr>
          <w:rFonts w:ascii="Arial" w:eastAsia="Times New Roman" w:hAnsi="Arial" w:cs="Arial"/>
          <w:spacing w:val="-3"/>
          <w:lang w:eastAsia="en-GB" w:bidi="en-GB"/>
        </w:rPr>
        <w:t xml:space="preserve">sprawie </w:t>
      </w:r>
      <w:r w:rsidRPr="00334A54">
        <w:rPr>
          <w:rFonts w:ascii="Arial" w:eastAsia="Times New Roman" w:hAnsi="Arial" w:cs="Arial"/>
          <w:lang w:eastAsia="en-GB" w:bidi="en-GB"/>
        </w:rPr>
        <w:t>zmian klimatu</w:t>
      </w:r>
      <w:r w:rsidRPr="00334A54">
        <w:rPr>
          <w:rFonts w:ascii="Arial" w:eastAsia="Times New Roman" w:hAnsi="Arial" w:cs="Arial"/>
          <w:spacing w:val="-10"/>
          <w:lang w:eastAsia="en-GB" w:bidi="en-GB"/>
        </w:rPr>
        <w:t xml:space="preserve"> </w:t>
      </w:r>
      <w:r w:rsidRPr="00334A54">
        <w:rPr>
          <w:rFonts w:ascii="Arial" w:eastAsia="Times New Roman" w:hAnsi="Arial" w:cs="Arial"/>
          <w:lang w:eastAsia="en-GB" w:bidi="en-GB"/>
        </w:rPr>
        <w:t>wykonanym</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na</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potrzeby</w:t>
      </w:r>
      <w:r w:rsidRPr="00334A54">
        <w:rPr>
          <w:rFonts w:ascii="Arial" w:eastAsia="Times New Roman" w:hAnsi="Arial" w:cs="Arial"/>
          <w:spacing w:val="-8"/>
          <w:lang w:eastAsia="en-GB" w:bidi="en-GB"/>
        </w:rPr>
        <w:t xml:space="preserve"> </w:t>
      </w:r>
      <w:r w:rsidRPr="00334A54">
        <w:rPr>
          <w:rFonts w:ascii="Arial" w:eastAsia="Times New Roman" w:hAnsi="Arial" w:cs="Arial"/>
          <w:lang w:eastAsia="en-GB" w:bidi="en-GB"/>
        </w:rPr>
        <w:t>Ramowej</w:t>
      </w:r>
      <w:r w:rsidRPr="00334A54">
        <w:rPr>
          <w:rFonts w:ascii="Arial" w:eastAsia="Times New Roman" w:hAnsi="Arial" w:cs="Arial"/>
          <w:spacing w:val="-10"/>
          <w:lang w:eastAsia="en-GB" w:bidi="en-GB"/>
        </w:rPr>
        <w:t xml:space="preserve"> </w:t>
      </w:r>
      <w:r w:rsidRPr="00334A54">
        <w:rPr>
          <w:rFonts w:ascii="Arial" w:eastAsia="Times New Roman" w:hAnsi="Arial" w:cs="Arial"/>
          <w:lang w:eastAsia="en-GB" w:bidi="en-GB"/>
        </w:rPr>
        <w:t>konwencji</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Narodów</w:t>
      </w:r>
      <w:r w:rsidRPr="00334A54">
        <w:rPr>
          <w:rFonts w:ascii="Arial" w:eastAsia="Times New Roman" w:hAnsi="Arial" w:cs="Arial"/>
          <w:spacing w:val="-10"/>
          <w:lang w:eastAsia="en-GB" w:bidi="en-GB"/>
        </w:rPr>
        <w:t xml:space="preserve"> </w:t>
      </w:r>
      <w:r w:rsidRPr="00334A54">
        <w:rPr>
          <w:rFonts w:ascii="Arial" w:eastAsia="Times New Roman" w:hAnsi="Arial" w:cs="Arial"/>
          <w:lang w:eastAsia="en-GB" w:bidi="en-GB"/>
        </w:rPr>
        <w:t>Zjednoczonych</w:t>
      </w:r>
      <w:r w:rsidRPr="00334A54">
        <w:rPr>
          <w:rFonts w:ascii="Arial" w:eastAsia="Times New Roman" w:hAnsi="Arial" w:cs="Arial"/>
          <w:spacing w:val="-8"/>
          <w:lang w:eastAsia="en-GB" w:bidi="en-GB"/>
        </w:rPr>
        <w:t xml:space="preserve"> </w:t>
      </w:r>
      <w:r w:rsidRPr="00334A54">
        <w:rPr>
          <w:rFonts w:ascii="Arial" w:eastAsia="Times New Roman" w:hAnsi="Arial" w:cs="Arial"/>
          <w:lang w:eastAsia="en-GB" w:bidi="en-GB"/>
        </w:rPr>
        <w:t>w</w:t>
      </w:r>
      <w:r w:rsidRPr="00334A54">
        <w:rPr>
          <w:rFonts w:ascii="Arial" w:eastAsia="Times New Roman" w:hAnsi="Arial" w:cs="Arial"/>
          <w:spacing w:val="-10"/>
          <w:lang w:eastAsia="en-GB" w:bidi="en-GB"/>
        </w:rPr>
        <w:t xml:space="preserve"> </w:t>
      </w:r>
      <w:r w:rsidRPr="00334A54">
        <w:rPr>
          <w:rFonts w:ascii="Arial" w:eastAsia="Times New Roman" w:hAnsi="Arial" w:cs="Arial"/>
          <w:lang w:eastAsia="en-GB" w:bidi="en-GB"/>
        </w:rPr>
        <w:t>sprawie</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zmian</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klimatu</w:t>
      </w:r>
      <w:r w:rsidRPr="00334A54">
        <w:rPr>
          <w:rFonts w:ascii="Arial" w:eastAsia="Times New Roman" w:hAnsi="Arial" w:cs="Arial"/>
          <w:spacing w:val="-10"/>
          <w:lang w:eastAsia="en-GB" w:bidi="en-GB"/>
        </w:rPr>
        <w:t xml:space="preserve"> </w:t>
      </w:r>
      <w:r w:rsidRPr="00334A54">
        <w:rPr>
          <w:rFonts w:ascii="Arial" w:eastAsia="Times New Roman" w:hAnsi="Arial" w:cs="Arial"/>
          <w:spacing w:val="-3"/>
          <w:lang w:eastAsia="en-GB" w:bidi="en-GB"/>
        </w:rPr>
        <w:t>(UNFCCC)</w:t>
      </w:r>
      <w:r w:rsidRPr="00334A54">
        <w:rPr>
          <w:rFonts w:ascii="Arial" w:eastAsia="Times New Roman" w:hAnsi="Arial" w:cs="Arial"/>
          <w:spacing w:val="-9"/>
          <w:lang w:eastAsia="en-GB" w:bidi="en-GB"/>
        </w:rPr>
        <w:t xml:space="preserve"> </w:t>
      </w:r>
      <w:r w:rsidRPr="00334A54">
        <w:rPr>
          <w:rFonts w:ascii="Arial" w:eastAsia="Times New Roman" w:hAnsi="Arial" w:cs="Arial"/>
          <w:lang w:eastAsia="en-GB" w:bidi="en-GB"/>
        </w:rPr>
        <w:t xml:space="preserve">oraz Protokołu z Kioto). Analizy te w </w:t>
      </w:r>
      <w:r w:rsidRPr="00334A54">
        <w:rPr>
          <w:rFonts w:ascii="Arial" w:eastAsia="Times New Roman" w:hAnsi="Arial" w:cs="Arial"/>
          <w:spacing w:val="-3"/>
          <w:lang w:eastAsia="en-GB" w:bidi="en-GB"/>
        </w:rPr>
        <w:t xml:space="preserve">przyszłości </w:t>
      </w:r>
      <w:r w:rsidRPr="00334A54">
        <w:rPr>
          <w:rFonts w:ascii="Arial" w:eastAsia="Times New Roman" w:hAnsi="Arial" w:cs="Arial"/>
          <w:lang w:eastAsia="en-GB" w:bidi="en-GB"/>
        </w:rPr>
        <w:t xml:space="preserve">będą miały jeszcze większe znaczenie, z uwagi na potrzeby określenia optymalnych dla polskiej gospodarki kierunków </w:t>
      </w:r>
      <w:r w:rsidRPr="00334A54">
        <w:rPr>
          <w:rFonts w:ascii="Arial" w:eastAsia="Times New Roman" w:hAnsi="Arial" w:cs="Arial"/>
          <w:spacing w:val="-3"/>
          <w:lang w:eastAsia="en-GB" w:bidi="en-GB"/>
        </w:rPr>
        <w:t xml:space="preserve">transformacji niskoemisyjnej </w:t>
      </w:r>
      <w:r w:rsidRPr="00334A54">
        <w:rPr>
          <w:rFonts w:ascii="Arial" w:eastAsia="Times New Roman" w:hAnsi="Arial" w:cs="Arial"/>
          <w:lang w:eastAsia="en-GB" w:bidi="en-GB"/>
        </w:rPr>
        <w:t xml:space="preserve">i narzędzi ograniczania </w:t>
      </w:r>
      <w:r w:rsidRPr="00334A54">
        <w:rPr>
          <w:rFonts w:ascii="Arial" w:eastAsia="Times New Roman" w:hAnsi="Arial" w:cs="Arial"/>
          <w:spacing w:val="-3"/>
          <w:lang w:eastAsia="en-GB" w:bidi="en-GB"/>
        </w:rPr>
        <w:t xml:space="preserve">emisji, </w:t>
      </w:r>
      <w:r w:rsidRPr="00334A54">
        <w:rPr>
          <w:rFonts w:ascii="Arial" w:eastAsia="Times New Roman" w:hAnsi="Arial" w:cs="Arial"/>
          <w:lang w:eastAsia="en-GB" w:bidi="en-GB"/>
        </w:rPr>
        <w:t xml:space="preserve">przy których </w:t>
      </w:r>
      <w:r w:rsidRPr="00334A54">
        <w:rPr>
          <w:rFonts w:ascii="Arial" w:eastAsia="Times New Roman" w:hAnsi="Arial" w:cs="Arial"/>
          <w:spacing w:val="-3"/>
          <w:lang w:eastAsia="en-GB" w:bidi="en-GB"/>
        </w:rPr>
        <w:t>poszukiwaniu</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nieocenione</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będzie</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zaplecze</w:t>
      </w:r>
      <w:r w:rsidRPr="00334A54">
        <w:rPr>
          <w:rFonts w:ascii="Arial" w:eastAsia="Times New Roman" w:hAnsi="Arial" w:cs="Arial"/>
          <w:spacing w:val="-7"/>
          <w:lang w:eastAsia="en-GB" w:bidi="en-GB"/>
        </w:rPr>
        <w:t xml:space="preserve"> </w:t>
      </w:r>
      <w:r w:rsidRPr="00334A54">
        <w:rPr>
          <w:rFonts w:ascii="Arial" w:eastAsia="Times New Roman" w:hAnsi="Arial" w:cs="Arial"/>
          <w:lang w:eastAsia="en-GB" w:bidi="en-GB"/>
        </w:rPr>
        <w:t>analityczne</w:t>
      </w:r>
      <w:r w:rsidRPr="00334A54">
        <w:rPr>
          <w:rFonts w:ascii="Arial" w:eastAsia="Times New Roman" w:hAnsi="Arial" w:cs="Arial"/>
          <w:spacing w:val="-5"/>
          <w:lang w:eastAsia="en-GB" w:bidi="en-GB"/>
        </w:rPr>
        <w:t xml:space="preserve"> </w:t>
      </w:r>
      <w:r w:rsidRPr="00334A54">
        <w:rPr>
          <w:rFonts w:ascii="Arial" w:eastAsia="Times New Roman" w:hAnsi="Arial" w:cs="Arial"/>
          <w:spacing w:val="-3"/>
          <w:lang w:eastAsia="en-GB" w:bidi="en-GB"/>
        </w:rPr>
        <w:t>dostarczane</w:t>
      </w:r>
      <w:r w:rsidRPr="00334A54">
        <w:rPr>
          <w:rFonts w:ascii="Arial" w:eastAsia="Times New Roman" w:hAnsi="Arial" w:cs="Arial"/>
          <w:spacing w:val="-5"/>
          <w:lang w:eastAsia="en-GB" w:bidi="en-GB"/>
        </w:rPr>
        <w:t xml:space="preserve"> </w:t>
      </w:r>
      <w:r w:rsidRPr="00334A54">
        <w:rPr>
          <w:rFonts w:ascii="Arial" w:eastAsia="Times New Roman" w:hAnsi="Arial" w:cs="Arial"/>
          <w:lang w:eastAsia="en-GB" w:bidi="en-GB"/>
        </w:rPr>
        <w:t>przez</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Krajowy</w:t>
      </w:r>
      <w:r w:rsidRPr="00334A54">
        <w:rPr>
          <w:rFonts w:ascii="Arial" w:eastAsia="Times New Roman" w:hAnsi="Arial" w:cs="Arial"/>
          <w:spacing w:val="-6"/>
          <w:lang w:eastAsia="en-GB" w:bidi="en-GB"/>
        </w:rPr>
        <w:t xml:space="preserve"> </w:t>
      </w:r>
      <w:r w:rsidRPr="00334A54">
        <w:rPr>
          <w:rFonts w:ascii="Arial" w:eastAsia="Times New Roman" w:hAnsi="Arial" w:cs="Arial"/>
          <w:lang w:eastAsia="en-GB" w:bidi="en-GB"/>
        </w:rPr>
        <w:t>ośrodek</w:t>
      </w:r>
      <w:r w:rsidRPr="00334A54">
        <w:rPr>
          <w:rFonts w:ascii="Arial" w:eastAsia="Times New Roman" w:hAnsi="Arial" w:cs="Arial"/>
          <w:spacing w:val="-5"/>
          <w:lang w:eastAsia="en-GB" w:bidi="en-GB"/>
        </w:rPr>
        <w:t>.</w:t>
      </w:r>
    </w:p>
    <w:p w:rsidR="00334A54" w:rsidRPr="00334A54" w:rsidRDefault="00334A54" w:rsidP="00334A54">
      <w:pPr>
        <w:widowControl w:val="0"/>
        <w:autoSpaceDE w:val="0"/>
        <w:autoSpaceDN w:val="0"/>
        <w:spacing w:after="0"/>
        <w:jc w:val="both"/>
        <w:rPr>
          <w:rFonts w:ascii="Arial" w:eastAsia="Times New Roman" w:hAnsi="Arial" w:cs="Arial"/>
          <w:color w:val="000000"/>
          <w:lang w:eastAsia="en-GB" w:bidi="en-GB"/>
        </w:rPr>
      </w:pPr>
      <w:r w:rsidRPr="00334A54">
        <w:rPr>
          <w:rFonts w:ascii="Arial" w:eastAsia="Times New Roman" w:hAnsi="Arial" w:cs="Arial"/>
          <w:lang w:eastAsia="en-GB" w:bidi="en-GB"/>
        </w:rPr>
        <w:t>Uwzględnienie w projektowanej ustawie wprowadzenia reguły wydatkowanej w ramach ustawy z dnia 15 maja 2015 r. o substancjach zubożających warstwę ozonową oraz o niektórych fluorowanych gazach cieplarnianych, pozwoli z kolei na zapewnienie finansowania działalności Biura Ochrony Warstwy Ozonowej i Klimatu (</w:t>
      </w:r>
      <w:proofErr w:type="spellStart"/>
      <w:r w:rsidRPr="00334A54">
        <w:rPr>
          <w:rFonts w:ascii="Arial" w:eastAsia="Times New Roman" w:hAnsi="Arial" w:cs="Arial"/>
          <w:lang w:eastAsia="en-GB" w:bidi="en-GB"/>
        </w:rPr>
        <w:t>BOWOiK</w:t>
      </w:r>
      <w:proofErr w:type="spellEnd"/>
      <w:r w:rsidRPr="00334A54">
        <w:rPr>
          <w:rFonts w:ascii="Arial" w:eastAsia="Times New Roman" w:hAnsi="Arial" w:cs="Arial"/>
          <w:lang w:eastAsia="en-GB" w:bidi="en-GB"/>
        </w:rPr>
        <w:t xml:space="preserve">), czyli wyspecjalizowanej jednostki, wskazanej w art. 17 ww. ustawy oraz wykonanie przepisów </w:t>
      </w:r>
      <w:r w:rsidRPr="00334A54">
        <w:rPr>
          <w:rFonts w:ascii="Arial" w:eastAsia="Times New Roman" w:hAnsi="Arial" w:cs="Arial"/>
          <w:color w:val="000000"/>
          <w:lang w:eastAsia="en-GB" w:bidi="en-GB"/>
        </w:rPr>
        <w:t>ustawy z dnia 27 sierpnia 2009 r. o finansach publicznych.</w:t>
      </w:r>
    </w:p>
    <w:p w:rsidR="00931E14" w:rsidRDefault="00334A54" w:rsidP="00334A54">
      <w:pPr>
        <w:spacing w:after="0"/>
        <w:jc w:val="both"/>
        <w:rPr>
          <w:rFonts w:ascii="Arial" w:eastAsia="Calibri" w:hAnsi="Arial" w:cs="Arial"/>
        </w:rPr>
      </w:pPr>
      <w:r w:rsidRPr="00334A54">
        <w:rPr>
          <w:rFonts w:ascii="Arial" w:eastAsia="Calibri" w:hAnsi="Arial" w:cs="Arial"/>
        </w:rPr>
        <w:t>Uwzględnienie w projektowanej ustawie konieczności określenia na kolejne lata maksymalnego limitu wydatków NFOŚiGW, odnoszących się do zadań realizowanych przez Krajowy ośrodek, określonym w art. 150 ustawy z dnia 12 czerwca 2015 r. o systemie handlu uprawnieniami do emisji gazów cieplarnianych, pozwoli na zapewnienie finansowania realizacji zadań publicznych, wykonywanych przez Krajowy ośrodek</w:t>
      </w:r>
      <w:r w:rsidRPr="00334A54">
        <w:rPr>
          <w:rFonts w:ascii="Arial" w:eastAsia="Calibri" w:hAnsi="Arial" w:cs="Arial"/>
        </w:rPr>
        <w:t>.</w:t>
      </w:r>
    </w:p>
    <w:p w:rsidR="00334A54" w:rsidRPr="00334A54" w:rsidRDefault="00334A54" w:rsidP="00334A54">
      <w:pPr>
        <w:spacing w:after="0"/>
        <w:jc w:val="both"/>
        <w:rPr>
          <w:rFonts w:ascii="Arial" w:eastAsia="Calibri" w:hAnsi="Arial" w:cs="Arial"/>
        </w:rPr>
      </w:pPr>
    </w:p>
    <w:p w:rsidR="00334A54" w:rsidRPr="00334A54" w:rsidRDefault="00334A54" w:rsidP="00334A54">
      <w:pPr>
        <w:spacing w:after="0"/>
        <w:jc w:val="both"/>
        <w:rPr>
          <w:rFonts w:ascii="Arial" w:eastAsia="Calibri" w:hAnsi="Arial" w:cs="Arial"/>
        </w:rPr>
      </w:pPr>
      <w:r w:rsidRPr="00334A54">
        <w:rPr>
          <w:rFonts w:ascii="Arial" w:eastAsia="Calibri" w:hAnsi="Arial" w:cs="Arial"/>
        </w:rPr>
        <w:t>Przedmiotowy projekt aktu prawnego wraz z Uzasadnieniem oraz Oceną Skutków Regulacji dostępny jest na stronach Rządowego Centrum Legislacji pod adresem:</w:t>
      </w:r>
    </w:p>
    <w:p w:rsidR="00334A54" w:rsidRPr="00334A54" w:rsidRDefault="00334A54" w:rsidP="00334A54">
      <w:pPr>
        <w:spacing w:after="0"/>
        <w:jc w:val="both"/>
        <w:rPr>
          <w:rFonts w:ascii="Arial" w:eastAsia="Calibri" w:hAnsi="Arial" w:cs="Arial"/>
        </w:rPr>
      </w:pPr>
      <w:hyperlink r:id="rId11" w:anchor="13078005" w:history="1">
        <w:r w:rsidRPr="00334A54">
          <w:rPr>
            <w:rFonts w:ascii="Arial" w:eastAsia="Calibri" w:hAnsi="Arial" w:cs="Arial"/>
            <w:color w:val="0000FF"/>
            <w:u w:val="single"/>
          </w:rPr>
          <w:t>https://legislacja.rcl.gov.pl/projekt/123</w:t>
        </w:r>
        <w:r w:rsidRPr="00334A54">
          <w:rPr>
            <w:rFonts w:ascii="Arial" w:eastAsia="Calibri" w:hAnsi="Arial" w:cs="Arial"/>
            <w:color w:val="0000FF"/>
            <w:u w:val="single"/>
          </w:rPr>
          <w:t>8</w:t>
        </w:r>
        <w:r w:rsidRPr="00334A54">
          <w:rPr>
            <w:rFonts w:ascii="Arial" w:eastAsia="Calibri" w:hAnsi="Arial" w:cs="Arial"/>
            <w:color w:val="0000FF"/>
            <w:u w:val="single"/>
          </w:rPr>
          <w:t>8905/katalog/13078005#13078005</w:t>
        </w:r>
      </w:hyperlink>
      <w:r w:rsidRPr="00334A54">
        <w:rPr>
          <w:rFonts w:ascii="Arial" w:eastAsia="Calibri" w:hAnsi="Arial" w:cs="Arial"/>
        </w:rPr>
        <w:t xml:space="preserve"> </w:t>
      </w:r>
    </w:p>
    <w:p w:rsidR="00334A54" w:rsidRPr="00334A54" w:rsidRDefault="00334A54" w:rsidP="00334A54">
      <w:pPr>
        <w:spacing w:after="0"/>
        <w:jc w:val="both"/>
        <w:rPr>
          <w:rFonts w:ascii="Arial" w:hAnsi="Arial" w:cs="Arial"/>
        </w:rPr>
      </w:pPr>
    </w:p>
    <w:p w:rsidR="00334A54" w:rsidRPr="00334A54" w:rsidRDefault="00334A54" w:rsidP="00334A54">
      <w:pPr>
        <w:spacing w:after="0"/>
        <w:jc w:val="both"/>
        <w:rPr>
          <w:rFonts w:ascii="Arial" w:hAnsi="Arial" w:cs="Arial"/>
        </w:rPr>
      </w:pPr>
      <w:r w:rsidRPr="00A57E58">
        <w:rPr>
          <w:rStyle w:val="Hipercze"/>
          <w:rFonts w:ascii="Arial" w:hAnsi="Arial" w:cs="Arial"/>
          <w:color w:val="auto"/>
          <w:u w:val="none"/>
        </w:rPr>
        <w:t>Projekt jest obecnie je</w:t>
      </w:r>
      <w:r>
        <w:rPr>
          <w:rStyle w:val="Hipercze"/>
          <w:rFonts w:ascii="Arial" w:hAnsi="Arial" w:cs="Arial"/>
          <w:color w:val="auto"/>
          <w:u w:val="none"/>
        </w:rPr>
        <w:t xml:space="preserve">dnocześnie na etapie uzgodnień, </w:t>
      </w:r>
      <w:r w:rsidRPr="00A57E58">
        <w:rPr>
          <w:rStyle w:val="Hipercze"/>
          <w:rFonts w:ascii="Arial" w:hAnsi="Arial" w:cs="Arial"/>
          <w:color w:val="auto"/>
          <w:u w:val="none"/>
        </w:rPr>
        <w:t>konsultacji publicznych</w:t>
      </w:r>
      <w:r>
        <w:rPr>
          <w:rStyle w:val="Hipercze"/>
          <w:rFonts w:ascii="Arial" w:hAnsi="Arial" w:cs="Arial"/>
          <w:color w:val="auto"/>
          <w:u w:val="none"/>
        </w:rPr>
        <w:t xml:space="preserve"> i opiniowania</w:t>
      </w:r>
      <w:r>
        <w:rPr>
          <w:rStyle w:val="Hipercze"/>
          <w:rFonts w:ascii="Arial" w:hAnsi="Arial" w:cs="Arial"/>
          <w:color w:val="auto"/>
          <w:u w:val="none"/>
        </w:rPr>
        <w:t>.</w:t>
      </w:r>
    </w:p>
    <w:p w:rsidR="005524C3" w:rsidRDefault="005524C3" w:rsidP="005524C3">
      <w:pPr>
        <w:spacing w:after="0"/>
        <w:jc w:val="both"/>
        <w:rPr>
          <w:rFonts w:ascii="Arial" w:hAnsi="Arial" w:cs="Arial"/>
        </w:rPr>
      </w:pPr>
    </w:p>
    <w:p w:rsidR="00334A54" w:rsidRDefault="00334A54" w:rsidP="005524C3">
      <w:pPr>
        <w:spacing w:after="0"/>
        <w:jc w:val="both"/>
        <w:rPr>
          <w:rFonts w:ascii="Arial" w:hAnsi="Arial" w:cs="Arial"/>
        </w:rPr>
      </w:pPr>
    </w:p>
    <w:p w:rsidR="00334A54" w:rsidRDefault="00334A54" w:rsidP="005524C3">
      <w:pPr>
        <w:spacing w:after="0"/>
        <w:jc w:val="both"/>
        <w:rPr>
          <w:rFonts w:ascii="Arial" w:hAnsi="Arial" w:cs="Arial"/>
        </w:rPr>
      </w:pPr>
    </w:p>
    <w:p w:rsidR="00334A54" w:rsidRPr="005524C3" w:rsidRDefault="00334A54" w:rsidP="005524C3">
      <w:pPr>
        <w:spacing w:after="0"/>
        <w:jc w:val="both"/>
        <w:rPr>
          <w:rFonts w:ascii="Arial" w:hAnsi="Arial" w:cs="Arial"/>
        </w:rPr>
      </w:pPr>
    </w:p>
    <w:p w:rsidR="005524C3" w:rsidRDefault="005524C3" w:rsidP="005524C3">
      <w:pPr>
        <w:spacing w:after="0"/>
        <w:jc w:val="both"/>
        <w:rPr>
          <w:rFonts w:ascii="Arial" w:hAnsi="Arial" w:cs="Arial"/>
        </w:rPr>
      </w:pPr>
      <w:r w:rsidRPr="005524C3">
        <w:rPr>
          <w:rFonts w:ascii="Arial" w:hAnsi="Arial" w:cs="Arial"/>
        </w:rPr>
        <w:lastRenderedPageBreak/>
        <w:t>Projekty rozporządzeń:</w:t>
      </w:r>
    </w:p>
    <w:p w:rsidR="00334A54" w:rsidRPr="00334A54" w:rsidRDefault="00334A54" w:rsidP="005524C3">
      <w:pPr>
        <w:spacing w:after="0"/>
        <w:jc w:val="both"/>
        <w:rPr>
          <w:rFonts w:ascii="Arial" w:hAnsi="Arial" w:cs="Arial"/>
        </w:rPr>
      </w:pPr>
    </w:p>
    <w:p w:rsidR="005524C3" w:rsidRPr="00334A54" w:rsidRDefault="00334A54" w:rsidP="005524C3">
      <w:pPr>
        <w:pStyle w:val="Akapitzlist"/>
        <w:numPr>
          <w:ilvl w:val="0"/>
          <w:numId w:val="4"/>
        </w:numPr>
        <w:spacing w:after="0"/>
        <w:jc w:val="both"/>
        <w:rPr>
          <w:rFonts w:ascii="Arial" w:hAnsi="Arial" w:cs="Arial"/>
        </w:rPr>
      </w:pPr>
      <w:r w:rsidRPr="00334A54">
        <w:rPr>
          <w:rFonts w:ascii="Arial" w:hAnsi="Arial" w:cs="Arial"/>
          <w:b/>
          <w:u w:val="single"/>
          <w:shd w:val="clear" w:color="auto" w:fill="FFFFFF"/>
        </w:rPr>
        <w:t>projekt rozporządzenia Ministra Rozwoju i Technologii zmieniającego rozporządzenie w sprawie szczegółowego przeznaczenia oraz szczegółowych warunków udzielania pomocy finansowej w ramach programów w obszarze innowacyjności gospodarki (numer z wykazu 27)</w:t>
      </w:r>
    </w:p>
    <w:p w:rsidR="00334A54" w:rsidRPr="00334A54" w:rsidRDefault="00334A54" w:rsidP="00334A54">
      <w:pPr>
        <w:spacing w:after="0"/>
        <w:jc w:val="both"/>
        <w:rPr>
          <w:rFonts w:ascii="Arial" w:hAnsi="Arial" w:cs="Arial"/>
        </w:rPr>
      </w:pP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Celem projektowanej regulacji jest zapewnienie podstawy prawnej do udzielania pomocy publicznej przez ministra właściwego do spraw gospodarki poprzez dostosowanie przepisów rozporządzenia do nowelizacji rozporządzenia nr 651/2014 i do nowego rozporządzenia nr 2023/2831. Wprowadzone zmiany są przede wszystkim odzwierciedleniem zmian ujętych w nowelizacji rozporządzenia nr 651/2014 i do nowego rozporządzenia nr 2023/2831.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W związku ze zmianami rozporządzenia nr 651/2014, projektowane rozporządzenie wymaga nowelizacji w szczególności zakresie: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1) dostosowania definicji i pojęć;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2) przepisów, które dotyczą poszczególnych rodzajów pomocy.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Dodatkowo proponowane modyfikacje rozporządzenia zmienianego dotyczą przeznaczenia i warunków udzielania pomocy finansowej: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1) stanowiącej pomoc de </w:t>
      </w:r>
      <w:proofErr w:type="spellStart"/>
      <w:r w:rsidRPr="00334A54">
        <w:rPr>
          <w:rFonts w:ascii="Arial" w:eastAsia="Calibri" w:hAnsi="Arial" w:cs="Arial"/>
        </w:rPr>
        <w:t>minimis</w:t>
      </w:r>
      <w:proofErr w:type="spellEnd"/>
      <w:r w:rsidRPr="00334A54">
        <w:rPr>
          <w:rFonts w:ascii="Arial" w:eastAsia="Calibri" w:hAnsi="Arial" w:cs="Arial"/>
        </w:rPr>
        <w:t xml:space="preserve">, do której mają zastosowanie przepisy rozporządzenia nr 2023/2831– zmodyfikowany został katalog kosztów pomocy de </w:t>
      </w:r>
      <w:proofErr w:type="spellStart"/>
      <w:r w:rsidRPr="00334A54">
        <w:rPr>
          <w:rFonts w:ascii="Arial" w:eastAsia="Calibri" w:hAnsi="Arial" w:cs="Arial"/>
        </w:rPr>
        <w:t>minimis</w:t>
      </w:r>
      <w:proofErr w:type="spellEnd"/>
      <w:r w:rsidRPr="00334A54">
        <w:rPr>
          <w:rFonts w:ascii="Arial" w:eastAsia="Calibri" w:hAnsi="Arial" w:cs="Arial"/>
        </w:rPr>
        <w:t xml:space="preserve">;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2) niestanowiącej pomocy publicznej, która będzie udzielana pod warunkiem, że nie będzie spełniać jednej lub więcej przesłanek wystąpienia pomocy publicznej, o których mowa w art. 107 ust. 1 Traktatu, tj.: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a) pomoc finansowa jest udzielana przez państwo lub ze środków państwowych,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b) przedsiębiorca uzyskuje przysporzenie na warunkach korzystniejszych od oferowanych na rynku,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c) pomoc finansowa ma charakter selektywny i przez to uprzywilejowuje na rynku określonego przedsiębiorcę lub określoną grupę przedsiębiorców, lub produkcję określonych towarów, </w:t>
      </w:r>
    </w:p>
    <w:p w:rsidR="00334A54" w:rsidRPr="00334A54" w:rsidRDefault="00334A54" w:rsidP="00334A54">
      <w:pPr>
        <w:spacing w:after="0"/>
        <w:jc w:val="both"/>
        <w:rPr>
          <w:rFonts w:ascii="Arial" w:eastAsia="Calibri" w:hAnsi="Arial" w:cs="Arial"/>
        </w:rPr>
      </w:pPr>
      <w:r w:rsidRPr="00334A54">
        <w:rPr>
          <w:rFonts w:ascii="Arial" w:eastAsia="Calibri" w:hAnsi="Arial" w:cs="Arial"/>
        </w:rPr>
        <w:t xml:space="preserve">d) pomoc finansowa grozi zakłóceniem lub zakłóca konkurencję oraz wpływa na wymianę handlową między państwami członkowskimi Unii Europejskiej </w:t>
      </w:r>
    </w:p>
    <w:p w:rsidR="00334A54" w:rsidRDefault="00334A54" w:rsidP="00334A54">
      <w:pPr>
        <w:spacing w:after="0"/>
        <w:jc w:val="both"/>
        <w:rPr>
          <w:rFonts w:ascii="Arial" w:eastAsia="Calibri" w:hAnsi="Arial" w:cs="Arial"/>
        </w:rPr>
      </w:pPr>
      <w:r w:rsidRPr="00334A54">
        <w:rPr>
          <w:rFonts w:ascii="Arial" w:eastAsia="Calibri" w:hAnsi="Arial" w:cs="Arial"/>
        </w:rPr>
        <w:t>– zmodyfikowany został katalog kosztów przedmiotowej pomocy.</w:t>
      </w:r>
    </w:p>
    <w:p w:rsidR="00334A54" w:rsidRPr="00334A54" w:rsidRDefault="00334A54" w:rsidP="00334A54">
      <w:pPr>
        <w:spacing w:after="0"/>
        <w:jc w:val="both"/>
        <w:rPr>
          <w:rFonts w:ascii="Arial" w:eastAsia="Calibri" w:hAnsi="Arial" w:cs="Arial"/>
        </w:rPr>
      </w:pPr>
    </w:p>
    <w:p w:rsidR="00334A54" w:rsidRPr="00334A54" w:rsidRDefault="00334A54" w:rsidP="00334A54">
      <w:pPr>
        <w:spacing w:after="0"/>
        <w:jc w:val="both"/>
        <w:rPr>
          <w:rFonts w:ascii="Arial" w:eastAsia="Calibri" w:hAnsi="Arial" w:cs="Arial"/>
        </w:rPr>
      </w:pPr>
      <w:r w:rsidRPr="00334A54">
        <w:rPr>
          <w:rFonts w:ascii="Arial" w:eastAsia="Calibri" w:hAnsi="Arial" w:cs="Arial"/>
        </w:rPr>
        <w:t>Przedmiotowy projekt aktu prawnego wraz z Uzasadnieniem oraz Oceną Skutków Regulacji dostępny jest na stronach Rządowego Centrum Legislacji pod adresem:</w:t>
      </w:r>
    </w:p>
    <w:p w:rsidR="00334A54" w:rsidRPr="00334A54" w:rsidRDefault="00334A54" w:rsidP="00334A54">
      <w:pPr>
        <w:spacing w:after="0"/>
        <w:jc w:val="both"/>
        <w:rPr>
          <w:rFonts w:ascii="Arial" w:hAnsi="Arial" w:cs="Arial"/>
        </w:rPr>
      </w:pPr>
      <w:hyperlink r:id="rId12" w:anchor="13077364" w:history="1">
        <w:r w:rsidRPr="00334A54">
          <w:rPr>
            <w:rFonts w:ascii="Arial" w:eastAsia="Calibri" w:hAnsi="Arial" w:cs="Arial"/>
            <w:color w:val="0000FF"/>
            <w:u w:val="single"/>
          </w:rPr>
          <w:t>https://legislacja.rcl.gov.pl/projekt/1238880</w:t>
        </w:r>
        <w:r w:rsidRPr="00334A54">
          <w:rPr>
            <w:rFonts w:ascii="Arial" w:eastAsia="Calibri" w:hAnsi="Arial" w:cs="Arial"/>
            <w:color w:val="0000FF"/>
            <w:u w:val="single"/>
          </w:rPr>
          <w:t>0</w:t>
        </w:r>
        <w:r w:rsidRPr="00334A54">
          <w:rPr>
            <w:rFonts w:ascii="Arial" w:eastAsia="Calibri" w:hAnsi="Arial" w:cs="Arial"/>
            <w:color w:val="0000FF"/>
            <w:u w:val="single"/>
          </w:rPr>
          <w:t>/katalog/13077364#13077364</w:t>
        </w:r>
      </w:hyperlink>
    </w:p>
    <w:p w:rsidR="00334A54" w:rsidRDefault="00334A54" w:rsidP="00334A54">
      <w:pPr>
        <w:spacing w:after="0"/>
        <w:jc w:val="both"/>
        <w:rPr>
          <w:rFonts w:ascii="Arial" w:hAnsi="Arial" w:cs="Arial"/>
        </w:rPr>
      </w:pPr>
    </w:p>
    <w:p w:rsidR="00334A54" w:rsidRDefault="00641B07" w:rsidP="00334A54">
      <w:pPr>
        <w:spacing w:after="0"/>
        <w:jc w:val="both"/>
        <w:rPr>
          <w:rFonts w:ascii="Arial" w:hAnsi="Arial" w:cs="Arial"/>
        </w:rPr>
      </w:pPr>
      <w:r w:rsidRPr="00A57E58">
        <w:rPr>
          <w:rStyle w:val="Hipercze"/>
          <w:rFonts w:ascii="Arial" w:hAnsi="Arial" w:cs="Arial"/>
          <w:color w:val="auto"/>
          <w:u w:val="none"/>
        </w:rPr>
        <w:t>Projekt jest obecnie je</w:t>
      </w:r>
      <w:r>
        <w:rPr>
          <w:rStyle w:val="Hipercze"/>
          <w:rFonts w:ascii="Arial" w:hAnsi="Arial" w:cs="Arial"/>
          <w:color w:val="auto"/>
          <w:u w:val="none"/>
        </w:rPr>
        <w:t>dnocześnie na etapie uzgodnień</w:t>
      </w:r>
      <w:r>
        <w:rPr>
          <w:rStyle w:val="Hipercze"/>
          <w:rFonts w:ascii="Arial" w:hAnsi="Arial" w:cs="Arial"/>
          <w:color w:val="auto"/>
          <w:u w:val="none"/>
        </w:rPr>
        <w:t xml:space="preserve"> i opiniowania</w:t>
      </w:r>
    </w:p>
    <w:p w:rsidR="00334A54" w:rsidRPr="00641B07" w:rsidRDefault="00334A54" w:rsidP="00334A54">
      <w:pPr>
        <w:spacing w:after="0"/>
        <w:jc w:val="both"/>
        <w:rPr>
          <w:rFonts w:ascii="Arial" w:hAnsi="Arial" w:cs="Arial"/>
        </w:rPr>
      </w:pPr>
    </w:p>
    <w:p w:rsidR="00334A54" w:rsidRPr="00641B07" w:rsidRDefault="00641B07" w:rsidP="005524C3">
      <w:pPr>
        <w:pStyle w:val="Akapitzlist"/>
        <w:numPr>
          <w:ilvl w:val="0"/>
          <w:numId w:val="4"/>
        </w:numPr>
        <w:spacing w:after="0"/>
        <w:jc w:val="both"/>
        <w:rPr>
          <w:rFonts w:ascii="Arial" w:hAnsi="Arial" w:cs="Arial"/>
        </w:rPr>
      </w:pPr>
      <w:r w:rsidRPr="00641B07">
        <w:rPr>
          <w:rFonts w:ascii="Arial" w:hAnsi="Arial" w:cs="Arial"/>
          <w:b/>
          <w:u w:val="single"/>
          <w:shd w:val="clear" w:color="auto" w:fill="FFFFFF"/>
        </w:rPr>
        <w:t>projekt rozporządzenia Ministra Edukacji zmieniającego rozporządzenie w sprawie udzielania jednostkom samorządu terytorialnego dotacji celowej z budżetu państwa na dofinansowanie zadań w zakresie wychowania przedszkolnego (numer z wykazu 37)</w:t>
      </w:r>
    </w:p>
    <w:p w:rsidR="00641B07" w:rsidRPr="00641B07" w:rsidRDefault="00641B07" w:rsidP="00641B07">
      <w:pPr>
        <w:spacing w:after="0"/>
        <w:jc w:val="both"/>
        <w:rPr>
          <w:rFonts w:ascii="Arial" w:hAnsi="Arial" w:cs="Arial"/>
        </w:rPr>
      </w:pPr>
    </w:p>
    <w:p w:rsidR="00641B07" w:rsidRPr="00641B07" w:rsidRDefault="00641B07" w:rsidP="00641B07">
      <w:pPr>
        <w:spacing w:after="0"/>
        <w:jc w:val="both"/>
        <w:rPr>
          <w:rFonts w:ascii="Arial" w:eastAsia="Calibri" w:hAnsi="Arial" w:cs="Arial"/>
        </w:rPr>
      </w:pPr>
      <w:r w:rsidRPr="00641B07">
        <w:rPr>
          <w:rFonts w:ascii="Arial" w:eastAsia="Calibri" w:hAnsi="Arial" w:cs="Arial"/>
          <w:color w:val="000000"/>
        </w:rPr>
        <w:t xml:space="preserve">Zmiana rozporządzenia Ministra Edukacji Narodowej z dnia 14 grudnia 2017 r. w sprawie udzielania jednostkom samorządu terytorialnego dotacji celowej z budżetu państwa na dofinansowanie zadań w zakresie wychowania przedszkolnego (Dz. U. z 2023 r. poz. 2703) wynika z konieczności dostosowania rozwiązań przyjętych w tym rozporządzeniu do </w:t>
      </w:r>
      <w:r w:rsidRPr="00641B07">
        <w:rPr>
          <w:rFonts w:ascii="Arial" w:eastAsia="Calibri" w:hAnsi="Arial" w:cs="Arial"/>
          <w:color w:val="000000"/>
        </w:rPr>
        <w:lastRenderedPageBreak/>
        <w:t xml:space="preserve">rozwiązań przyjętych na gruncie ustawy z dnia 16 stycznia 2024 r. o szczególnych rozwiązaniach służących realizacji ustawy budżetowej na rok 2024 (Dz. U. poz. 123, z </w:t>
      </w:r>
      <w:proofErr w:type="spellStart"/>
      <w:r w:rsidRPr="00641B07">
        <w:rPr>
          <w:rFonts w:ascii="Arial" w:eastAsia="Calibri" w:hAnsi="Arial" w:cs="Arial"/>
          <w:color w:val="000000"/>
        </w:rPr>
        <w:t>późn</w:t>
      </w:r>
      <w:proofErr w:type="spellEnd"/>
      <w:r w:rsidRPr="00641B07">
        <w:rPr>
          <w:rFonts w:ascii="Arial" w:eastAsia="Calibri" w:hAnsi="Arial" w:cs="Arial"/>
          <w:color w:val="000000"/>
        </w:rPr>
        <w:t xml:space="preserve">. zm.). Zgodnie z art. 19 tej ustawy w 2024 r. przy naliczaniu i podziale dotacji celowej z budżetu państwa na dofinansowanie zadań w zakresie wychowania przedszkolnego, nie uwzględnia się uczniów będących obywatelami Ukrainy, których pobyt na terytorium Rzeczypospolitej Polskiej jest uznawany za legalny na podstawie ustawy z dnia 12 marca 2022 r. o pomocy obywatelom Ukrainy w związku z konfliktem zbrojnym na terytorium tego państwa (Dz. U. z 2024 r. poz. 167, z </w:t>
      </w:r>
      <w:proofErr w:type="spellStart"/>
      <w:r w:rsidRPr="00641B07">
        <w:rPr>
          <w:rFonts w:ascii="Arial" w:eastAsia="Calibri" w:hAnsi="Arial" w:cs="Arial"/>
          <w:color w:val="000000"/>
        </w:rPr>
        <w:t>późn</w:t>
      </w:r>
      <w:proofErr w:type="spellEnd"/>
      <w:r w:rsidRPr="00641B07">
        <w:rPr>
          <w:rFonts w:ascii="Arial" w:eastAsia="Calibri" w:hAnsi="Arial" w:cs="Arial"/>
          <w:color w:val="000000"/>
        </w:rPr>
        <w:t>. zm.), zwanej dalej „ustawą”, albo którzy przebywają legalnie na terytorium Rzeczypospolitej Polskiej, w przypadku gdy przybyli na terytorium Rzeczypospolitej Polskiej z terytorium Ukrainy od dnia 24 lutego 2022 r. w związku z działaniami wojennymi prowadzonymi na terytorium tego państwa, objętych wychowaniem przedszkolnym. W konsekwencji jest niezbędne dostosowanie wyżej wymienionego rozporządzenia do tych rozwiązań</w:t>
      </w:r>
      <w:r w:rsidRPr="00641B07">
        <w:rPr>
          <w:rFonts w:ascii="Arial" w:eastAsia="Calibri" w:hAnsi="Arial" w:cs="Arial"/>
        </w:rPr>
        <w:t>.</w:t>
      </w:r>
    </w:p>
    <w:p w:rsidR="00641B07" w:rsidRDefault="00641B07" w:rsidP="00641B07">
      <w:pPr>
        <w:spacing w:after="0"/>
        <w:jc w:val="both"/>
        <w:rPr>
          <w:rFonts w:ascii="Arial" w:eastAsia="Calibri" w:hAnsi="Arial" w:cs="Arial"/>
          <w:color w:val="000000"/>
        </w:rPr>
      </w:pPr>
      <w:r w:rsidRPr="00641B07">
        <w:rPr>
          <w:rFonts w:ascii="Arial" w:eastAsia="Calibri" w:hAnsi="Arial" w:cs="Arial"/>
          <w:color w:val="000000"/>
        </w:rPr>
        <w:t>W projekcie rozporządzenia proponuje się wyłączenie z rozliczenia wykorzystania dotacji celowej z budżetu państwa na dofinansowanie zadań w zakresie wychowania przedszkolnego za rok budżetowy 2024 (w zakresie rozwiązań dotyczących sposobu ustalania średniorocznej liczby uczniów oraz w zakresie wydatków bieżących) uczniów będących obywatelami Ukrainy, których pobyt na terytorium Rzeczypospolitej Polskiej jest uznawany za legalny na podstawie ustawy albo którzy przebywają legalnie na terytorium Rzeczypospolitej Polskiej, w przypadku gdy przybyli na terytorium Rzeczypospolitej Polskiej z terytorium Ukrainy od dnia 24 lutego 2022 r. w związku z działaniami wojennymi prowadzonymi na terytorium tego państwa, objętych wychowaniem przedszkolnym. Jednocześnie przewiduje się, że roczne rozliczenie dotacji celowej z budżetu państwa na dofinansowanie zadań w zakresie wychowania przedszkolnego, za rok budżetowy 2024, będzie przekazywane przez jednostki samorządu terytorialnego według wzoru określonego w załączniku nr 4 do rozporządzenia (epizodyczny wzór formularza dotyczący rozliczenia dotacji celowej wyłącznie za rok 2024)</w:t>
      </w:r>
      <w:r>
        <w:rPr>
          <w:rFonts w:ascii="Arial" w:eastAsia="Calibri" w:hAnsi="Arial" w:cs="Arial"/>
          <w:color w:val="000000"/>
        </w:rPr>
        <w:t>.</w:t>
      </w:r>
    </w:p>
    <w:p w:rsidR="00641B07" w:rsidRPr="00641B07" w:rsidRDefault="00641B07" w:rsidP="00641B07">
      <w:pPr>
        <w:spacing w:after="0"/>
        <w:jc w:val="both"/>
        <w:rPr>
          <w:rFonts w:ascii="Arial" w:eastAsia="Calibri" w:hAnsi="Arial" w:cs="Arial"/>
          <w:color w:val="000000"/>
        </w:rPr>
      </w:pPr>
    </w:p>
    <w:p w:rsidR="00641B07" w:rsidRPr="00641B07" w:rsidRDefault="00641B07" w:rsidP="00641B07">
      <w:pPr>
        <w:spacing w:after="0"/>
        <w:jc w:val="both"/>
        <w:rPr>
          <w:rFonts w:ascii="Arial" w:eastAsia="Calibri" w:hAnsi="Arial" w:cs="Arial"/>
        </w:rPr>
      </w:pPr>
      <w:r w:rsidRPr="00641B07">
        <w:rPr>
          <w:rFonts w:ascii="Arial" w:eastAsia="Calibri" w:hAnsi="Arial" w:cs="Arial"/>
        </w:rPr>
        <w:t>Przedmiotowy projekt aktu prawnego wraz z Załącznikiem, Uzasadnieniem oraz Oceną Skutków Regulacji dostępny jest na stronach Rządowego Centrum Legislacji pod adresem:</w:t>
      </w:r>
    </w:p>
    <w:p w:rsidR="00641B07" w:rsidRPr="00641B07" w:rsidRDefault="00641B07" w:rsidP="00641B07">
      <w:pPr>
        <w:spacing w:after="0"/>
        <w:jc w:val="both"/>
        <w:rPr>
          <w:rFonts w:ascii="Arial" w:hAnsi="Arial" w:cs="Arial"/>
        </w:rPr>
      </w:pPr>
      <w:hyperlink r:id="rId13" w:anchor="13078164" w:history="1">
        <w:r w:rsidRPr="00641B07">
          <w:rPr>
            <w:rFonts w:ascii="Arial" w:eastAsia="Calibri" w:hAnsi="Arial" w:cs="Arial"/>
            <w:color w:val="0000FF"/>
            <w:u w:val="single"/>
          </w:rPr>
          <w:t>https://legislacja.rcl.gov.pl/projekt/12388908/</w:t>
        </w:r>
        <w:r w:rsidRPr="00641B07">
          <w:rPr>
            <w:rFonts w:ascii="Arial" w:eastAsia="Calibri" w:hAnsi="Arial" w:cs="Arial"/>
            <w:color w:val="0000FF"/>
            <w:u w:val="single"/>
          </w:rPr>
          <w:t>k</w:t>
        </w:r>
        <w:r w:rsidRPr="00641B07">
          <w:rPr>
            <w:rFonts w:ascii="Arial" w:eastAsia="Calibri" w:hAnsi="Arial" w:cs="Arial"/>
            <w:color w:val="0000FF"/>
            <w:u w:val="single"/>
          </w:rPr>
          <w:t>atalog/13078164#13078164</w:t>
        </w:r>
      </w:hyperlink>
    </w:p>
    <w:p w:rsidR="005524C3" w:rsidRDefault="005524C3" w:rsidP="00641B07">
      <w:pPr>
        <w:spacing w:after="0"/>
        <w:jc w:val="both"/>
        <w:rPr>
          <w:rFonts w:ascii="Arial" w:hAnsi="Arial" w:cs="Arial"/>
        </w:rPr>
      </w:pPr>
    </w:p>
    <w:p w:rsidR="00641B07" w:rsidRDefault="00641B07" w:rsidP="00641B07">
      <w:pPr>
        <w:spacing w:after="0"/>
        <w:jc w:val="both"/>
        <w:rPr>
          <w:rFonts w:ascii="Arial" w:hAnsi="Arial" w:cs="Arial"/>
        </w:rPr>
      </w:pPr>
      <w:r w:rsidRPr="00A57E58">
        <w:rPr>
          <w:rStyle w:val="Hipercze"/>
          <w:rFonts w:ascii="Arial" w:hAnsi="Arial" w:cs="Arial"/>
          <w:color w:val="auto"/>
          <w:u w:val="none"/>
        </w:rPr>
        <w:t>Projekt jest obecnie je</w:t>
      </w:r>
      <w:r>
        <w:rPr>
          <w:rStyle w:val="Hipercze"/>
          <w:rFonts w:ascii="Arial" w:hAnsi="Arial" w:cs="Arial"/>
          <w:color w:val="auto"/>
          <w:u w:val="none"/>
        </w:rPr>
        <w:t xml:space="preserve">dnocześnie na etapie uzgodnień, </w:t>
      </w:r>
      <w:r w:rsidRPr="00A57E58">
        <w:rPr>
          <w:rStyle w:val="Hipercze"/>
          <w:rFonts w:ascii="Arial" w:hAnsi="Arial" w:cs="Arial"/>
          <w:color w:val="auto"/>
          <w:u w:val="none"/>
        </w:rPr>
        <w:t>konsultacji publicznych</w:t>
      </w:r>
      <w:r>
        <w:rPr>
          <w:rStyle w:val="Hipercze"/>
          <w:rFonts w:ascii="Arial" w:hAnsi="Arial" w:cs="Arial"/>
          <w:color w:val="auto"/>
          <w:u w:val="none"/>
        </w:rPr>
        <w:t xml:space="preserve"> i opiniowania</w:t>
      </w:r>
      <w:r>
        <w:rPr>
          <w:rStyle w:val="Hipercze"/>
          <w:rFonts w:ascii="Arial" w:hAnsi="Arial" w:cs="Arial"/>
          <w:color w:val="auto"/>
          <w:u w:val="none"/>
        </w:rPr>
        <w:t>.</w:t>
      </w:r>
    </w:p>
    <w:p w:rsidR="00641B07" w:rsidRPr="00641B07" w:rsidRDefault="00641B07" w:rsidP="00641B07">
      <w:pPr>
        <w:spacing w:after="0"/>
        <w:jc w:val="both"/>
        <w:rPr>
          <w:rFonts w:ascii="Arial" w:hAnsi="Arial" w:cs="Arial"/>
        </w:rPr>
      </w:pPr>
    </w:p>
    <w:p w:rsidR="005524C3" w:rsidRPr="00CB4A6E" w:rsidRDefault="005524C3" w:rsidP="005524C3">
      <w:pPr>
        <w:spacing w:after="0" w:line="240" w:lineRule="auto"/>
        <w:rPr>
          <w:rFonts w:ascii="Arial" w:hAnsi="Arial" w:cs="Arial"/>
        </w:rPr>
      </w:pPr>
    </w:p>
    <w:p w:rsidR="005524C3" w:rsidRDefault="005524C3" w:rsidP="005524C3">
      <w:pPr>
        <w:spacing w:after="0"/>
        <w:jc w:val="both"/>
        <w:rPr>
          <w:rFonts w:ascii="Arial" w:hAnsi="Arial" w:cs="Arial"/>
          <w:b/>
        </w:rPr>
      </w:pPr>
      <w:r>
        <w:rPr>
          <w:rFonts w:ascii="Arial" w:hAnsi="Arial" w:cs="Arial"/>
          <w:b/>
        </w:rPr>
        <w:t>II. Ogłoszone akty prawne (Dziennik Ustaw RP)</w:t>
      </w:r>
    </w:p>
    <w:p w:rsidR="005524C3" w:rsidRDefault="005524C3" w:rsidP="005524C3">
      <w:pPr>
        <w:spacing w:after="0"/>
        <w:jc w:val="both"/>
        <w:rPr>
          <w:rFonts w:ascii="Arial" w:hAnsi="Arial" w:cs="Arial"/>
        </w:rPr>
      </w:pPr>
    </w:p>
    <w:p w:rsidR="005524C3" w:rsidRDefault="005524C3" w:rsidP="005524C3">
      <w:pPr>
        <w:spacing w:after="0"/>
        <w:jc w:val="both"/>
        <w:rPr>
          <w:rFonts w:ascii="Arial" w:hAnsi="Arial" w:cs="Arial"/>
        </w:rPr>
      </w:pPr>
      <w:r>
        <w:rPr>
          <w:rFonts w:ascii="Arial" w:hAnsi="Arial" w:cs="Arial"/>
        </w:rPr>
        <w:t xml:space="preserve">W analizowanym okresie opublikowano </w:t>
      </w:r>
      <w:r w:rsidR="007D4CF2">
        <w:rPr>
          <w:rFonts w:ascii="Arial" w:hAnsi="Arial" w:cs="Arial"/>
        </w:rPr>
        <w:t>40 aktów prawnych, tzn. ustaw</w:t>
      </w:r>
      <w:r>
        <w:rPr>
          <w:rFonts w:ascii="Arial" w:hAnsi="Arial" w:cs="Arial"/>
        </w:rPr>
        <w:t>, rozporządze</w:t>
      </w:r>
      <w:r w:rsidR="007D4CF2">
        <w:rPr>
          <w:rFonts w:ascii="Arial" w:hAnsi="Arial" w:cs="Arial"/>
        </w:rPr>
        <w:t>ń</w:t>
      </w:r>
      <w:r>
        <w:rPr>
          <w:rFonts w:ascii="Arial" w:hAnsi="Arial" w:cs="Arial"/>
        </w:rPr>
        <w:t xml:space="preserve"> Rady Ministrów, Prezesa Rady Ministrów i poszczególnych ministrów, obwieszcze</w:t>
      </w:r>
      <w:r w:rsidR="007D4CF2">
        <w:rPr>
          <w:rFonts w:ascii="Arial" w:hAnsi="Arial" w:cs="Arial"/>
        </w:rPr>
        <w:t>ń</w:t>
      </w:r>
      <w:r>
        <w:rPr>
          <w:rFonts w:ascii="Arial" w:hAnsi="Arial" w:cs="Arial"/>
        </w:rPr>
        <w:t xml:space="preserve"> w sprawie ogłoszenia tekstu jednolitego. Z powyższych publikacji w zainteresowaniu pracodawców i przedsiębiorców znaleźć się mogą następujące akty prawne:</w:t>
      </w:r>
    </w:p>
    <w:p w:rsidR="005524C3" w:rsidRDefault="005524C3" w:rsidP="005524C3">
      <w:pPr>
        <w:spacing w:after="0"/>
        <w:jc w:val="both"/>
        <w:rPr>
          <w:rFonts w:ascii="Arial" w:hAnsi="Arial" w:cs="Arial"/>
        </w:rPr>
      </w:pPr>
    </w:p>
    <w:p w:rsidR="005524C3" w:rsidRPr="007D57F5" w:rsidRDefault="007D57F5" w:rsidP="007D57F5">
      <w:pPr>
        <w:pStyle w:val="Akapitzlist"/>
        <w:numPr>
          <w:ilvl w:val="0"/>
          <w:numId w:val="2"/>
        </w:numPr>
        <w:spacing w:after="0"/>
        <w:ind w:left="426" w:hanging="426"/>
        <w:jc w:val="both"/>
        <w:rPr>
          <w:rFonts w:ascii="Arial" w:hAnsi="Arial" w:cs="Arial"/>
          <w:u w:val="single"/>
        </w:rPr>
      </w:pPr>
      <w:r w:rsidRPr="007D57F5">
        <w:rPr>
          <w:rFonts w:ascii="Arial" w:hAnsi="Arial" w:cs="Arial"/>
          <w:u w:val="single"/>
        </w:rPr>
        <w:t xml:space="preserve">Rozporządzenie Ministra Rozwoju i Technologii z dnia </w:t>
      </w:r>
      <w:r w:rsidRPr="007D57F5">
        <w:rPr>
          <w:rFonts w:ascii="Arial" w:hAnsi="Arial" w:cs="Arial"/>
          <w:u w:val="single"/>
        </w:rPr>
        <w:t>14 sierpnia 2024 r</w:t>
      </w:r>
      <w:r w:rsidRPr="007D57F5">
        <w:rPr>
          <w:rFonts w:ascii="Arial" w:hAnsi="Arial" w:cs="Arial"/>
          <w:u w:val="single"/>
        </w:rPr>
        <w:t xml:space="preserve">oku </w:t>
      </w:r>
      <w:r w:rsidRPr="007D57F5">
        <w:rPr>
          <w:rFonts w:ascii="Arial" w:hAnsi="Arial" w:cs="Arial"/>
          <w:u w:val="single"/>
        </w:rPr>
        <w:t>zmieniające rozporządzenie w sprawie wysokości opłat za czynności jednostek dozoru technicznego</w:t>
      </w:r>
    </w:p>
    <w:p w:rsidR="005524C3" w:rsidRDefault="005524C3" w:rsidP="005524C3">
      <w:pPr>
        <w:spacing w:after="0"/>
        <w:jc w:val="both"/>
        <w:rPr>
          <w:rFonts w:ascii="Arial" w:hAnsi="Arial" w:cs="Arial"/>
        </w:rPr>
      </w:pPr>
    </w:p>
    <w:p w:rsidR="007D57F5" w:rsidRPr="007D57F5" w:rsidRDefault="007D57F5" w:rsidP="007D57F5">
      <w:pPr>
        <w:spacing w:after="0"/>
        <w:jc w:val="both"/>
        <w:rPr>
          <w:rFonts w:ascii="Arial" w:eastAsia="Times New Roman" w:hAnsi="Arial" w:cs="Arial"/>
          <w:lang w:eastAsia="pl-PL"/>
        </w:rPr>
      </w:pPr>
      <w:r w:rsidRPr="007D57F5">
        <w:rPr>
          <w:rFonts w:ascii="Arial" w:eastAsia="Times New Roman" w:hAnsi="Arial" w:cs="Arial"/>
          <w:lang w:eastAsia="pl-PL"/>
        </w:rPr>
        <w:t>Powyższy akt prawny opublikowany został 2</w:t>
      </w:r>
      <w:r w:rsidRPr="007D57F5">
        <w:rPr>
          <w:rFonts w:ascii="Arial" w:eastAsia="Times New Roman" w:hAnsi="Arial" w:cs="Arial"/>
          <w:lang w:eastAsia="pl-PL"/>
        </w:rPr>
        <w:t>7</w:t>
      </w:r>
      <w:r w:rsidRPr="007D57F5">
        <w:rPr>
          <w:rFonts w:ascii="Arial" w:eastAsia="Times New Roman" w:hAnsi="Arial" w:cs="Arial"/>
          <w:lang w:eastAsia="pl-PL"/>
        </w:rPr>
        <w:t xml:space="preserve"> sierpnia 2024 roku w Dziennik</w:t>
      </w:r>
      <w:r w:rsidRPr="007D57F5">
        <w:rPr>
          <w:rFonts w:ascii="Arial" w:eastAsia="Times New Roman" w:hAnsi="Arial" w:cs="Arial"/>
          <w:lang w:eastAsia="pl-PL"/>
        </w:rPr>
        <w:t>u Ustaw (Dz.U. z 2024, poz. 1294</w:t>
      </w:r>
      <w:r w:rsidRPr="007D57F5">
        <w:rPr>
          <w:rFonts w:ascii="Arial" w:eastAsia="Times New Roman" w:hAnsi="Arial" w:cs="Arial"/>
          <w:lang w:eastAsia="pl-PL"/>
        </w:rPr>
        <w:t>).</w:t>
      </w:r>
    </w:p>
    <w:p w:rsidR="007D57F5" w:rsidRDefault="007D57F5" w:rsidP="007D57F5">
      <w:pPr>
        <w:spacing w:after="0"/>
        <w:jc w:val="both"/>
        <w:rPr>
          <w:rFonts w:ascii="Arial" w:hAnsi="Arial" w:cs="Arial"/>
        </w:rPr>
      </w:pPr>
      <w:r w:rsidRPr="007D57F5">
        <w:rPr>
          <w:rFonts w:ascii="Arial" w:hAnsi="Arial" w:cs="Arial"/>
        </w:rPr>
        <w:lastRenderedPageBreak/>
        <w:t>Rozporządzenie u</w:t>
      </w:r>
      <w:r w:rsidRPr="007D57F5">
        <w:rPr>
          <w:rFonts w:ascii="Arial" w:hAnsi="Arial" w:cs="Arial"/>
        </w:rPr>
        <w:t>stala opłaty za czynności wykonywane prze</w:t>
      </w:r>
      <w:r w:rsidRPr="007D57F5">
        <w:rPr>
          <w:rFonts w:ascii="Arial" w:hAnsi="Arial" w:cs="Arial"/>
        </w:rPr>
        <w:t>z jednostki dozoru technicznego</w:t>
      </w:r>
      <w:r w:rsidRPr="007D57F5">
        <w:rPr>
          <w:rFonts w:ascii="Arial" w:hAnsi="Arial" w:cs="Arial"/>
        </w:rPr>
        <w:t xml:space="preserve"> w elektrowni jądrowej, w wysokości określonej w z</w:t>
      </w:r>
      <w:r w:rsidRPr="007D57F5">
        <w:rPr>
          <w:rFonts w:ascii="Arial" w:hAnsi="Arial" w:cs="Arial"/>
        </w:rPr>
        <w:t>ałączniku do rozporządzenia.</w:t>
      </w:r>
    </w:p>
    <w:p w:rsidR="007D57F5" w:rsidRDefault="007D57F5" w:rsidP="007D57F5">
      <w:pPr>
        <w:spacing w:after="0"/>
        <w:jc w:val="both"/>
        <w:rPr>
          <w:rFonts w:ascii="Arial" w:hAnsi="Arial" w:cs="Arial"/>
        </w:rPr>
      </w:pPr>
    </w:p>
    <w:p w:rsidR="007D57F5" w:rsidRPr="007D57F5" w:rsidRDefault="007D57F5" w:rsidP="007D57F5">
      <w:pPr>
        <w:spacing w:after="0"/>
        <w:jc w:val="both"/>
        <w:rPr>
          <w:rFonts w:ascii="Arial" w:eastAsia="Times New Roman" w:hAnsi="Arial" w:cs="Arial"/>
          <w:lang w:eastAsia="pl-PL"/>
        </w:rPr>
      </w:pPr>
      <w:r w:rsidRPr="00A445B4">
        <w:rPr>
          <w:rStyle w:val="markedcontent"/>
          <w:rFonts w:ascii="Arial" w:hAnsi="Arial" w:cs="Arial"/>
        </w:rPr>
        <w:t xml:space="preserve">Rozporządzenie wchodzi w życie 14 dni od dnia ogłoszenia, a więc </w:t>
      </w:r>
      <w:r>
        <w:rPr>
          <w:rStyle w:val="markedcontent"/>
          <w:rFonts w:ascii="Arial" w:hAnsi="Arial" w:cs="Arial"/>
        </w:rPr>
        <w:t>10</w:t>
      </w:r>
      <w:r w:rsidRPr="00A445B4">
        <w:rPr>
          <w:rStyle w:val="markedcontent"/>
          <w:rFonts w:ascii="Arial" w:hAnsi="Arial" w:cs="Arial"/>
        </w:rPr>
        <w:t xml:space="preserve"> września 2024 roku</w:t>
      </w:r>
      <w:r>
        <w:rPr>
          <w:rStyle w:val="markedcontent"/>
          <w:rFonts w:ascii="Arial" w:hAnsi="Arial" w:cs="Arial"/>
        </w:rPr>
        <w:t>.</w:t>
      </w:r>
    </w:p>
    <w:p w:rsidR="007D57F5" w:rsidRDefault="007D57F5" w:rsidP="005524C3">
      <w:pPr>
        <w:spacing w:after="0"/>
        <w:jc w:val="both"/>
        <w:rPr>
          <w:rFonts w:ascii="Arial" w:hAnsi="Arial" w:cs="Arial"/>
        </w:rPr>
      </w:pPr>
    </w:p>
    <w:p w:rsidR="007D57F5" w:rsidRDefault="007D57F5" w:rsidP="005524C3">
      <w:pPr>
        <w:spacing w:after="0"/>
        <w:jc w:val="both"/>
        <w:rPr>
          <w:rFonts w:ascii="Arial" w:hAnsi="Arial" w:cs="Arial"/>
        </w:rPr>
      </w:pPr>
    </w:p>
    <w:p w:rsidR="005524C3" w:rsidRPr="007D57F5" w:rsidRDefault="007D57F5" w:rsidP="007D57F5">
      <w:pPr>
        <w:pStyle w:val="Akapitzlist"/>
        <w:numPr>
          <w:ilvl w:val="0"/>
          <w:numId w:val="2"/>
        </w:numPr>
        <w:spacing w:after="0"/>
        <w:ind w:left="426" w:hanging="426"/>
        <w:jc w:val="both"/>
        <w:rPr>
          <w:rFonts w:ascii="Arial" w:eastAsia="Times New Roman" w:hAnsi="Arial" w:cs="Arial"/>
          <w:u w:val="single"/>
          <w:lang w:eastAsia="pl-PL"/>
        </w:rPr>
      </w:pPr>
      <w:r>
        <w:rPr>
          <w:rFonts w:ascii="Arial" w:hAnsi="Arial" w:cs="Arial"/>
          <w:u w:val="single"/>
        </w:rPr>
        <w:t xml:space="preserve">Rozporządzenie Ministra Rodziny, Pracy i Polityki Społecznej z dnia </w:t>
      </w:r>
      <w:r w:rsidR="005524C3">
        <w:rPr>
          <w:rFonts w:ascii="Arial" w:hAnsi="Arial" w:cs="Arial"/>
          <w:u w:val="single"/>
        </w:rPr>
        <w:t xml:space="preserve"> </w:t>
      </w:r>
      <w:r w:rsidRPr="007D57F5">
        <w:rPr>
          <w:rFonts w:ascii="Arial" w:hAnsi="Arial" w:cs="Arial"/>
          <w:u w:val="single"/>
        </w:rPr>
        <w:t>23 sierpnia 2024 r</w:t>
      </w:r>
      <w:r w:rsidRPr="007D57F5">
        <w:rPr>
          <w:rFonts w:ascii="Arial" w:hAnsi="Arial" w:cs="Arial"/>
          <w:u w:val="single"/>
        </w:rPr>
        <w:t xml:space="preserve">oku </w:t>
      </w:r>
      <w:r w:rsidRPr="007D57F5">
        <w:rPr>
          <w:rFonts w:ascii="Arial" w:hAnsi="Arial" w:cs="Arial"/>
          <w:u w:val="single"/>
        </w:rPr>
        <w:t>zmieniające rozporządzenie w sprawie określenia wzorów zgłoszeń do ubezpieczeń społecznych i ubezpieczenia zdrowotnego, imiennych raportów miesięcznych i imiennych raportów miesięcznych korygujących, zgłoszeń płatnika składek, deklaracji rozliczeniowych i deklaracji rozliczeniowych korygujących, zgłoszeń danych o pracy w szczególnych warunkach lub o szczególnym charakterze, raportów informacyjnych, oświadczeń o zamiarze przekazania raportów informacyjnych, informacji o zawartych umowach o dzieło oraz innych dokumentów</w:t>
      </w:r>
    </w:p>
    <w:p w:rsidR="007D57F5" w:rsidRDefault="007D57F5" w:rsidP="007D57F5">
      <w:pPr>
        <w:spacing w:after="0"/>
        <w:jc w:val="both"/>
        <w:rPr>
          <w:rStyle w:val="markedcontent"/>
          <w:rFonts w:ascii="Arial" w:eastAsia="Times New Roman" w:hAnsi="Arial" w:cs="Arial"/>
          <w:u w:val="single"/>
          <w:lang w:eastAsia="pl-PL"/>
        </w:rPr>
      </w:pPr>
    </w:p>
    <w:p w:rsidR="007D57F5" w:rsidRPr="007D57F5" w:rsidRDefault="007D57F5" w:rsidP="007D57F5">
      <w:pPr>
        <w:spacing w:after="0"/>
        <w:jc w:val="both"/>
        <w:rPr>
          <w:rFonts w:ascii="Arial" w:eastAsia="Times New Roman" w:hAnsi="Arial" w:cs="Arial"/>
          <w:lang w:eastAsia="pl-PL"/>
        </w:rPr>
      </w:pPr>
      <w:r w:rsidRPr="007D57F5">
        <w:rPr>
          <w:rFonts w:ascii="Arial" w:eastAsia="Times New Roman" w:hAnsi="Arial" w:cs="Arial"/>
          <w:lang w:eastAsia="pl-PL"/>
        </w:rPr>
        <w:t>Powyższy akt prawny opublikowany został 27 sierpnia 2024 roku w Dziennik</w:t>
      </w:r>
      <w:r w:rsidR="001B5AA2">
        <w:rPr>
          <w:rFonts w:ascii="Arial" w:eastAsia="Times New Roman" w:hAnsi="Arial" w:cs="Arial"/>
          <w:lang w:eastAsia="pl-PL"/>
        </w:rPr>
        <w:t>u Ustaw (Dz.U. z 2024, poz. 1296</w:t>
      </w:r>
      <w:r w:rsidRPr="007D57F5">
        <w:rPr>
          <w:rFonts w:ascii="Arial" w:eastAsia="Times New Roman" w:hAnsi="Arial" w:cs="Arial"/>
          <w:lang w:eastAsia="pl-PL"/>
        </w:rPr>
        <w:t>).</w:t>
      </w:r>
    </w:p>
    <w:p w:rsidR="007D57F5" w:rsidRDefault="007D57F5" w:rsidP="007D57F5">
      <w:pPr>
        <w:spacing w:after="0"/>
        <w:jc w:val="both"/>
        <w:rPr>
          <w:rStyle w:val="markedcontent"/>
          <w:rFonts w:ascii="Arial" w:eastAsia="Times New Roman" w:hAnsi="Arial" w:cs="Arial"/>
          <w:u w:val="single"/>
          <w:lang w:eastAsia="pl-PL"/>
        </w:rPr>
      </w:pPr>
    </w:p>
    <w:p w:rsidR="007D57F5" w:rsidRDefault="001B5AA2" w:rsidP="007D57F5">
      <w:pPr>
        <w:spacing w:after="0"/>
        <w:jc w:val="both"/>
        <w:rPr>
          <w:rStyle w:val="markedcontent"/>
          <w:rFonts w:ascii="Arial" w:eastAsia="Times New Roman" w:hAnsi="Arial" w:cs="Arial"/>
          <w:lang w:eastAsia="pl-PL"/>
        </w:rPr>
      </w:pPr>
      <w:r w:rsidRPr="001B5AA2">
        <w:rPr>
          <w:rStyle w:val="markedcontent"/>
          <w:rFonts w:ascii="Arial" w:eastAsia="Times New Roman" w:hAnsi="Arial" w:cs="Arial"/>
          <w:lang w:eastAsia="pl-PL"/>
        </w:rPr>
        <w:t>Rozporządzenia zmienia treść następujących druków ZUS RCA, ZUS RPA, ZUS DRA, Informacja miesięczna dla osoby ubezpieczonej, Informacja roczna dla osoby ubezpieczonej oraz Raport informacyjny</w:t>
      </w:r>
      <w:r>
        <w:rPr>
          <w:rStyle w:val="markedcontent"/>
          <w:rFonts w:ascii="Arial" w:eastAsia="Times New Roman" w:hAnsi="Arial" w:cs="Arial"/>
          <w:lang w:eastAsia="pl-PL"/>
        </w:rPr>
        <w:t>.</w:t>
      </w:r>
    </w:p>
    <w:p w:rsidR="001B5AA2" w:rsidRPr="001B5AA2" w:rsidRDefault="001B5AA2" w:rsidP="007D57F5">
      <w:pPr>
        <w:spacing w:after="0"/>
        <w:jc w:val="both"/>
        <w:rPr>
          <w:rStyle w:val="markedcontent"/>
          <w:rFonts w:ascii="Arial" w:eastAsia="Times New Roman" w:hAnsi="Arial" w:cs="Arial"/>
          <w:lang w:eastAsia="pl-PL"/>
        </w:rPr>
      </w:pPr>
    </w:p>
    <w:p w:rsidR="001B5AA2" w:rsidRPr="007D57F5" w:rsidRDefault="001B5AA2" w:rsidP="001B5AA2">
      <w:pPr>
        <w:spacing w:after="0"/>
        <w:jc w:val="both"/>
        <w:rPr>
          <w:rFonts w:ascii="Arial" w:eastAsia="Times New Roman" w:hAnsi="Arial" w:cs="Arial"/>
          <w:lang w:eastAsia="pl-PL"/>
        </w:rPr>
      </w:pPr>
      <w:r w:rsidRPr="001B5AA2">
        <w:rPr>
          <w:rStyle w:val="markedcontent"/>
          <w:rFonts w:ascii="Arial" w:hAnsi="Arial" w:cs="Arial"/>
        </w:rPr>
        <w:t xml:space="preserve">Rozporządzenie wchodzi w życie </w:t>
      </w:r>
      <w:r w:rsidRPr="001B5AA2">
        <w:rPr>
          <w:rFonts w:ascii="Arial" w:hAnsi="Arial" w:cs="Arial"/>
        </w:rPr>
        <w:t>z dniem 1 września 2024 roku</w:t>
      </w:r>
      <w:r w:rsidRPr="001B5AA2">
        <w:rPr>
          <w:rFonts w:ascii="Arial" w:hAnsi="Arial" w:cs="Arial"/>
        </w:rPr>
        <w:t>, z wyjątkiem § 1 pkt 7, który wchodzi w życie z dniem 1 listopada 2024 r</w:t>
      </w:r>
      <w:r w:rsidRPr="001B5AA2">
        <w:rPr>
          <w:rFonts w:ascii="Arial" w:hAnsi="Arial" w:cs="Arial"/>
        </w:rPr>
        <w:t>oku</w:t>
      </w:r>
      <w:r w:rsidRPr="001B5AA2">
        <w:rPr>
          <w:rFonts w:ascii="Arial" w:hAnsi="Arial" w:cs="Arial"/>
        </w:rPr>
        <w:t>.</w:t>
      </w:r>
    </w:p>
    <w:p w:rsidR="007D57F5" w:rsidRPr="001B5AA2" w:rsidRDefault="007D57F5" w:rsidP="007D57F5">
      <w:pPr>
        <w:spacing w:after="0"/>
        <w:jc w:val="both"/>
        <w:rPr>
          <w:rStyle w:val="markedcontent"/>
          <w:rFonts w:ascii="Arial" w:eastAsia="Times New Roman" w:hAnsi="Arial" w:cs="Arial"/>
          <w:u w:val="single"/>
          <w:lang w:eastAsia="pl-PL"/>
        </w:rPr>
      </w:pPr>
    </w:p>
    <w:p w:rsidR="005524C3" w:rsidRPr="00373257" w:rsidRDefault="00373257" w:rsidP="005524C3">
      <w:pPr>
        <w:pStyle w:val="Akapitzlist"/>
        <w:numPr>
          <w:ilvl w:val="0"/>
          <w:numId w:val="2"/>
        </w:numPr>
        <w:spacing w:after="0"/>
        <w:ind w:left="426" w:hanging="426"/>
        <w:jc w:val="both"/>
        <w:rPr>
          <w:rFonts w:ascii="Arial" w:eastAsia="Times New Roman" w:hAnsi="Arial" w:cs="Arial"/>
          <w:u w:val="single"/>
          <w:lang w:eastAsia="pl-PL"/>
        </w:rPr>
      </w:pPr>
      <w:r w:rsidRPr="00373257">
        <w:rPr>
          <w:rStyle w:val="markedcontent"/>
          <w:rFonts w:ascii="Arial" w:eastAsia="Times New Roman" w:hAnsi="Arial" w:cs="Arial"/>
          <w:u w:val="single"/>
          <w:lang w:eastAsia="pl-PL"/>
        </w:rPr>
        <w:t xml:space="preserve">Rozporządzenie Ministra Finansów </w:t>
      </w:r>
      <w:r w:rsidRPr="00373257">
        <w:rPr>
          <w:rFonts w:ascii="Arial" w:hAnsi="Arial" w:cs="Arial"/>
          <w:u w:val="single"/>
        </w:rPr>
        <w:t xml:space="preserve">z dnia 16 sierpnia 2024 roku </w:t>
      </w:r>
      <w:r w:rsidRPr="00373257">
        <w:rPr>
          <w:rFonts w:ascii="Arial" w:hAnsi="Arial" w:cs="Arial"/>
          <w:u w:val="single"/>
        </w:rPr>
        <w:t>w sprawie dodatkowych danych, o które należy uzupełnić prowadzone księgi rachunkowe podlegające przekazaniu na podstawie ustawy o podatku dochodowym od osób prawnych</w:t>
      </w:r>
    </w:p>
    <w:p w:rsidR="00373257" w:rsidRDefault="00373257" w:rsidP="00373257">
      <w:pPr>
        <w:spacing w:after="0"/>
        <w:jc w:val="both"/>
        <w:rPr>
          <w:rFonts w:ascii="Arial" w:eastAsia="Times New Roman" w:hAnsi="Arial" w:cs="Arial"/>
          <w:u w:val="single"/>
          <w:lang w:eastAsia="pl-PL"/>
        </w:rPr>
      </w:pPr>
    </w:p>
    <w:p w:rsidR="00373257" w:rsidRDefault="00373257" w:rsidP="00373257">
      <w:pPr>
        <w:spacing w:after="0"/>
        <w:jc w:val="both"/>
        <w:rPr>
          <w:rFonts w:ascii="Arial" w:eastAsia="Times New Roman" w:hAnsi="Arial" w:cs="Arial"/>
          <w:lang w:eastAsia="pl-PL"/>
        </w:rPr>
      </w:pPr>
      <w:r w:rsidRPr="007D57F5">
        <w:rPr>
          <w:rFonts w:ascii="Arial" w:eastAsia="Times New Roman" w:hAnsi="Arial" w:cs="Arial"/>
          <w:lang w:eastAsia="pl-PL"/>
        </w:rPr>
        <w:t>Powyższy akt prawny opublikowany został 2</w:t>
      </w:r>
      <w:r>
        <w:rPr>
          <w:rFonts w:ascii="Arial" w:eastAsia="Times New Roman" w:hAnsi="Arial" w:cs="Arial"/>
          <w:lang w:eastAsia="pl-PL"/>
        </w:rPr>
        <w:t>9</w:t>
      </w:r>
      <w:r w:rsidRPr="007D57F5">
        <w:rPr>
          <w:rFonts w:ascii="Arial" w:eastAsia="Times New Roman" w:hAnsi="Arial" w:cs="Arial"/>
          <w:lang w:eastAsia="pl-PL"/>
        </w:rPr>
        <w:t xml:space="preserve"> sierpnia 2024 roku w Dziennik</w:t>
      </w:r>
      <w:r>
        <w:rPr>
          <w:rFonts w:ascii="Arial" w:eastAsia="Times New Roman" w:hAnsi="Arial" w:cs="Arial"/>
          <w:lang w:eastAsia="pl-PL"/>
        </w:rPr>
        <w:t>u Ustaw (Dz.U. z 2024, poz. 1</w:t>
      </w:r>
      <w:r>
        <w:rPr>
          <w:rFonts w:ascii="Arial" w:eastAsia="Times New Roman" w:hAnsi="Arial" w:cs="Arial"/>
          <w:lang w:eastAsia="pl-PL"/>
        </w:rPr>
        <w:t>314</w:t>
      </w:r>
      <w:r w:rsidRPr="007D57F5">
        <w:rPr>
          <w:rFonts w:ascii="Arial" w:eastAsia="Times New Roman" w:hAnsi="Arial" w:cs="Arial"/>
          <w:lang w:eastAsia="pl-PL"/>
        </w:rPr>
        <w:t>).</w:t>
      </w:r>
    </w:p>
    <w:p w:rsidR="00373257" w:rsidRDefault="00373257" w:rsidP="00373257">
      <w:pPr>
        <w:spacing w:after="0"/>
        <w:jc w:val="both"/>
        <w:rPr>
          <w:rFonts w:ascii="Arial" w:eastAsia="Times New Roman" w:hAnsi="Arial" w:cs="Arial"/>
          <w:lang w:eastAsia="pl-PL"/>
        </w:rPr>
      </w:pPr>
    </w:p>
    <w:p w:rsidR="00373257" w:rsidRPr="00373257" w:rsidRDefault="00373257" w:rsidP="00373257">
      <w:pPr>
        <w:spacing w:after="0"/>
        <w:jc w:val="both"/>
        <w:rPr>
          <w:rFonts w:ascii="Arial" w:hAnsi="Arial" w:cs="Arial"/>
        </w:rPr>
      </w:pPr>
      <w:r w:rsidRPr="00373257">
        <w:rPr>
          <w:rFonts w:ascii="Arial" w:hAnsi="Arial" w:cs="Arial"/>
        </w:rPr>
        <w:t xml:space="preserve">Rozporządzenie określa zakres dodatkowych danych, o  które należy uzupełnić prowadzone księgi rachunkowe podlegające przekazaniu na podstawie art. 9 ust. 1c i 1e </w:t>
      </w:r>
      <w:r w:rsidRPr="00373257">
        <w:rPr>
          <w:rFonts w:ascii="Arial" w:hAnsi="Arial" w:cs="Arial"/>
        </w:rPr>
        <w:t xml:space="preserve">ustawy z dnia 15 lutego 1992 roku </w:t>
      </w:r>
      <w:r w:rsidRPr="00373257">
        <w:rPr>
          <w:rFonts w:ascii="Arial" w:hAnsi="Arial" w:cs="Arial"/>
        </w:rPr>
        <w:t xml:space="preserve">o podatku dochodowym od osób prawnych, zwane dalej „księgami”, oraz sposób ich wykazywania w księgach. </w:t>
      </w:r>
    </w:p>
    <w:p w:rsidR="00373257" w:rsidRPr="00373257" w:rsidRDefault="00373257" w:rsidP="00373257">
      <w:pPr>
        <w:spacing w:after="0"/>
        <w:jc w:val="both"/>
        <w:rPr>
          <w:rFonts w:ascii="Arial" w:hAnsi="Arial" w:cs="Arial"/>
        </w:rPr>
      </w:pPr>
      <w:r w:rsidRPr="00373257">
        <w:rPr>
          <w:rFonts w:ascii="Arial" w:hAnsi="Arial" w:cs="Arial"/>
        </w:rPr>
        <w:t xml:space="preserve">Danymi dodatkowymi, o które należy uzupełnić księgi, są: </w:t>
      </w:r>
    </w:p>
    <w:p w:rsidR="00373257" w:rsidRPr="00373257" w:rsidRDefault="00373257" w:rsidP="00373257">
      <w:pPr>
        <w:spacing w:after="0"/>
        <w:jc w:val="both"/>
        <w:rPr>
          <w:rFonts w:ascii="Arial" w:hAnsi="Arial" w:cs="Arial"/>
        </w:rPr>
      </w:pPr>
      <w:r w:rsidRPr="00373257">
        <w:rPr>
          <w:rFonts w:ascii="Arial" w:hAnsi="Arial" w:cs="Arial"/>
        </w:rPr>
        <w:t xml:space="preserve">1) numer identyfikacji podatkowej kontrahenta podatnika, o ile został nadany; </w:t>
      </w:r>
    </w:p>
    <w:p w:rsidR="00373257" w:rsidRPr="00373257" w:rsidRDefault="00373257" w:rsidP="00373257">
      <w:pPr>
        <w:spacing w:after="0"/>
        <w:jc w:val="both"/>
        <w:rPr>
          <w:rFonts w:ascii="Arial" w:hAnsi="Arial" w:cs="Arial"/>
        </w:rPr>
      </w:pPr>
      <w:r w:rsidRPr="00373257">
        <w:rPr>
          <w:rFonts w:ascii="Arial" w:hAnsi="Arial" w:cs="Arial"/>
        </w:rPr>
        <w:t xml:space="preserve">2) numer identyfikujący fakturę w Krajowym Systemie e-Faktur, o ile został nadany do dnia przekazania księgi – w przypadku faktur wystawionych przez podatnika stanowiących dowód księgowy; </w:t>
      </w:r>
    </w:p>
    <w:p w:rsidR="00373257" w:rsidRPr="00373257" w:rsidRDefault="00373257" w:rsidP="00373257">
      <w:pPr>
        <w:spacing w:after="0"/>
        <w:jc w:val="both"/>
        <w:rPr>
          <w:rFonts w:ascii="Arial" w:hAnsi="Arial" w:cs="Arial"/>
        </w:rPr>
      </w:pPr>
      <w:r w:rsidRPr="00373257">
        <w:rPr>
          <w:rFonts w:ascii="Arial" w:hAnsi="Arial" w:cs="Arial"/>
        </w:rPr>
        <w:t xml:space="preserve">3) znaczniki identyfikujące konta ksiąg wykazywane według słownika znaczników identyfikujących konta ksiąg dla: </w:t>
      </w:r>
    </w:p>
    <w:p w:rsidR="00373257" w:rsidRPr="00373257" w:rsidRDefault="00373257" w:rsidP="00373257">
      <w:pPr>
        <w:spacing w:after="0"/>
        <w:ind w:left="284"/>
        <w:jc w:val="both"/>
        <w:rPr>
          <w:rFonts w:ascii="Arial" w:hAnsi="Arial" w:cs="Arial"/>
        </w:rPr>
      </w:pPr>
      <w:r w:rsidRPr="00373257">
        <w:rPr>
          <w:rFonts w:ascii="Arial" w:hAnsi="Arial" w:cs="Arial"/>
        </w:rPr>
        <w:t xml:space="preserve">a) banków – określonego w załączniku nr 1 do rozporządzenia, </w:t>
      </w:r>
    </w:p>
    <w:p w:rsidR="00373257" w:rsidRPr="00373257" w:rsidRDefault="00373257" w:rsidP="00373257">
      <w:pPr>
        <w:spacing w:after="0"/>
        <w:ind w:left="284"/>
        <w:jc w:val="both"/>
        <w:rPr>
          <w:rFonts w:ascii="Arial" w:hAnsi="Arial" w:cs="Arial"/>
        </w:rPr>
      </w:pPr>
      <w:r w:rsidRPr="00373257">
        <w:rPr>
          <w:rFonts w:ascii="Arial" w:hAnsi="Arial" w:cs="Arial"/>
        </w:rPr>
        <w:t xml:space="preserve">b) zakładów ubezpieczeń i zakładów reasekuracji – określonego w załączniku nr 2 do rozporządzenia, c) jednostek, o których mowa w art. 3 ust. 2 ustawy z dnia 24 kwietnia 2003 r. o działalności pożytku publicznego i o wolontariacie (Dz. U. z 2023 r. poz. 571 </w:t>
      </w:r>
      <w:r w:rsidRPr="00373257">
        <w:rPr>
          <w:rFonts w:ascii="Arial" w:hAnsi="Arial" w:cs="Arial"/>
        </w:rPr>
        <w:lastRenderedPageBreak/>
        <w:t xml:space="preserve">oraz z 2024 r. poz. 834), sporządzających sprawozdanie finansowe zgodnie z załącznikiem nr 6 do ustawy z dnia 29 września 1994 r. o rachunkowości (Dz. U. z 2023 r. poz. 120, 295 i 1598 oraz z 2024 r. poz. 619) – określonego w załączniku nr 3 do rozporządzenia, </w:t>
      </w:r>
    </w:p>
    <w:p w:rsidR="00373257" w:rsidRPr="00373257" w:rsidRDefault="00373257" w:rsidP="00373257">
      <w:pPr>
        <w:spacing w:after="0"/>
        <w:ind w:left="284"/>
        <w:jc w:val="both"/>
        <w:rPr>
          <w:rFonts w:ascii="Arial" w:hAnsi="Arial" w:cs="Arial"/>
        </w:rPr>
      </w:pPr>
      <w:r w:rsidRPr="00373257">
        <w:rPr>
          <w:rFonts w:ascii="Arial" w:hAnsi="Arial" w:cs="Arial"/>
        </w:rPr>
        <w:t xml:space="preserve">d) funduszy inwestycyjnych – określonego w załączniku nr 4 do rozporządzenia, </w:t>
      </w:r>
    </w:p>
    <w:p w:rsidR="00373257" w:rsidRPr="00373257" w:rsidRDefault="00373257" w:rsidP="00373257">
      <w:pPr>
        <w:spacing w:after="0"/>
        <w:ind w:left="284"/>
        <w:jc w:val="both"/>
        <w:rPr>
          <w:rFonts w:ascii="Arial" w:hAnsi="Arial" w:cs="Arial"/>
        </w:rPr>
      </w:pPr>
      <w:r w:rsidRPr="00373257">
        <w:rPr>
          <w:rFonts w:ascii="Arial" w:hAnsi="Arial" w:cs="Arial"/>
        </w:rPr>
        <w:t xml:space="preserve">e) domów maklerskich – określonego w załączniku nr 5 do rozporządzenia, </w:t>
      </w:r>
    </w:p>
    <w:p w:rsidR="00373257" w:rsidRPr="00373257" w:rsidRDefault="00373257" w:rsidP="00373257">
      <w:pPr>
        <w:spacing w:after="0"/>
        <w:ind w:left="284"/>
        <w:jc w:val="both"/>
        <w:rPr>
          <w:rFonts w:ascii="Arial" w:hAnsi="Arial" w:cs="Arial"/>
        </w:rPr>
      </w:pPr>
      <w:r w:rsidRPr="00373257">
        <w:rPr>
          <w:rFonts w:ascii="Arial" w:hAnsi="Arial" w:cs="Arial"/>
        </w:rPr>
        <w:t xml:space="preserve">f) spółdzielczych kas oszczędnościowo-kredytowych – określonego w załączniku nr 6 do rozporządzenia, </w:t>
      </w:r>
    </w:p>
    <w:p w:rsidR="00373257" w:rsidRPr="00373257" w:rsidRDefault="00373257" w:rsidP="00373257">
      <w:pPr>
        <w:spacing w:after="0"/>
        <w:ind w:left="284"/>
        <w:jc w:val="both"/>
        <w:rPr>
          <w:rFonts w:ascii="Arial" w:eastAsia="Times New Roman" w:hAnsi="Arial" w:cs="Arial"/>
          <w:lang w:eastAsia="pl-PL"/>
        </w:rPr>
      </w:pPr>
      <w:r w:rsidRPr="00373257">
        <w:rPr>
          <w:rFonts w:ascii="Arial" w:hAnsi="Arial" w:cs="Arial"/>
        </w:rPr>
        <w:t>g) pozostałych jednostek – określonego w załączniku nr 7 do rozporządzenia;</w:t>
      </w:r>
    </w:p>
    <w:p w:rsidR="00373257" w:rsidRDefault="00373257" w:rsidP="00373257">
      <w:pPr>
        <w:spacing w:after="0"/>
        <w:jc w:val="both"/>
        <w:rPr>
          <w:rFonts w:ascii="Arial" w:eastAsia="Times New Roman" w:hAnsi="Arial" w:cs="Arial"/>
          <w:u w:val="single"/>
          <w:lang w:eastAsia="pl-PL"/>
        </w:rPr>
      </w:pPr>
    </w:p>
    <w:p w:rsidR="00373257" w:rsidRPr="00373257" w:rsidRDefault="00373257" w:rsidP="00373257">
      <w:pPr>
        <w:spacing w:after="0"/>
        <w:jc w:val="both"/>
        <w:rPr>
          <w:rFonts w:ascii="Arial" w:eastAsia="Times New Roman" w:hAnsi="Arial" w:cs="Arial"/>
          <w:u w:val="single"/>
          <w:lang w:eastAsia="pl-PL"/>
        </w:rPr>
      </w:pPr>
      <w:r w:rsidRPr="00373257">
        <w:rPr>
          <w:rFonts w:ascii="Arial" w:hAnsi="Arial" w:cs="Arial"/>
        </w:rPr>
        <w:t>Rozporządzenie wchodzi w </w:t>
      </w:r>
      <w:r>
        <w:rPr>
          <w:rFonts w:ascii="Arial" w:hAnsi="Arial" w:cs="Arial"/>
        </w:rPr>
        <w:t>życie z dniem 1 stycznia 2025 roku.</w:t>
      </w:r>
    </w:p>
    <w:p w:rsidR="005524C3" w:rsidRPr="00DD3B6A" w:rsidRDefault="005524C3" w:rsidP="00DD3B6A">
      <w:pPr>
        <w:spacing w:after="0"/>
        <w:jc w:val="both"/>
        <w:rPr>
          <w:rFonts w:ascii="Arial" w:eastAsia="Times New Roman" w:hAnsi="Arial" w:cs="Arial"/>
          <w:u w:val="single"/>
          <w:lang w:eastAsia="pl-PL"/>
        </w:rPr>
      </w:pPr>
      <w:bookmarkStart w:id="0" w:name="_GoBack"/>
      <w:bookmarkEnd w:id="0"/>
    </w:p>
    <w:p w:rsidR="005524C3" w:rsidRDefault="005524C3" w:rsidP="005524C3">
      <w:pPr>
        <w:spacing w:after="0"/>
        <w:jc w:val="both"/>
        <w:rPr>
          <w:rFonts w:ascii="Arial" w:hAnsi="Arial" w:cs="Arial"/>
        </w:rPr>
      </w:pPr>
    </w:p>
    <w:p w:rsidR="005F3DBC" w:rsidRDefault="005F3DBC"/>
    <w:sectPr w:rsidR="005F3DBC" w:rsidSect="008D4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1F" w:rsidRDefault="0055391F" w:rsidP="00334A54">
      <w:pPr>
        <w:spacing w:after="0" w:line="240" w:lineRule="auto"/>
      </w:pPr>
      <w:r>
        <w:separator/>
      </w:r>
    </w:p>
  </w:endnote>
  <w:endnote w:type="continuationSeparator" w:id="0">
    <w:p w:rsidR="0055391F" w:rsidRDefault="0055391F" w:rsidP="003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1F" w:rsidRDefault="0055391F" w:rsidP="00334A54">
      <w:pPr>
        <w:spacing w:after="0" w:line="240" w:lineRule="auto"/>
      </w:pPr>
      <w:r>
        <w:separator/>
      </w:r>
    </w:p>
  </w:footnote>
  <w:footnote w:type="continuationSeparator" w:id="0">
    <w:p w:rsidR="0055391F" w:rsidRDefault="0055391F" w:rsidP="00334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753DD7"/>
    <w:multiLevelType w:val="hybridMultilevel"/>
    <w:tmpl w:val="81EE01D2"/>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1DF065D"/>
    <w:multiLevelType w:val="hybridMultilevel"/>
    <w:tmpl w:val="81EE01D2"/>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B315915"/>
    <w:multiLevelType w:val="hybridMultilevel"/>
    <w:tmpl w:val="96D03DC0"/>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C3"/>
    <w:rsid w:val="001B5AA2"/>
    <w:rsid w:val="00334A54"/>
    <w:rsid w:val="00373257"/>
    <w:rsid w:val="005524C3"/>
    <w:rsid w:val="0055391F"/>
    <w:rsid w:val="005F3DBC"/>
    <w:rsid w:val="00641B07"/>
    <w:rsid w:val="007D4CF2"/>
    <w:rsid w:val="007D57F5"/>
    <w:rsid w:val="00931E14"/>
    <w:rsid w:val="00DD3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4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24C3"/>
    <w:pPr>
      <w:ind w:left="720"/>
      <w:contextualSpacing/>
    </w:pPr>
  </w:style>
  <w:style w:type="character" w:customStyle="1" w:styleId="markedcontent">
    <w:name w:val="markedcontent"/>
    <w:basedOn w:val="Domylnaczcionkaakapitu"/>
    <w:rsid w:val="005524C3"/>
  </w:style>
  <w:style w:type="paragraph" w:styleId="Tekstdymka">
    <w:name w:val="Balloon Text"/>
    <w:basedOn w:val="Normalny"/>
    <w:link w:val="TekstdymkaZnak"/>
    <w:uiPriority w:val="99"/>
    <w:semiHidden/>
    <w:unhideWhenUsed/>
    <w:rsid w:val="005524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4C3"/>
    <w:rPr>
      <w:rFonts w:ascii="Tahoma" w:hAnsi="Tahoma" w:cs="Tahoma"/>
      <w:sz w:val="16"/>
      <w:szCs w:val="16"/>
    </w:rPr>
  </w:style>
  <w:style w:type="character" w:styleId="Hipercze">
    <w:name w:val="Hyperlink"/>
    <w:basedOn w:val="Domylnaczcionkaakapitu"/>
    <w:uiPriority w:val="99"/>
    <w:unhideWhenUsed/>
    <w:rsid w:val="00931E14"/>
    <w:rPr>
      <w:color w:val="0000FF"/>
      <w:u w:val="single"/>
    </w:rPr>
  </w:style>
  <w:style w:type="paragraph" w:styleId="Tekstprzypisudolnego">
    <w:name w:val="footnote text"/>
    <w:basedOn w:val="Normalny"/>
    <w:link w:val="TekstprzypisudolnegoZnak"/>
    <w:uiPriority w:val="99"/>
    <w:semiHidden/>
    <w:unhideWhenUsed/>
    <w:rsid w:val="00334A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4A54"/>
    <w:rPr>
      <w:sz w:val="20"/>
      <w:szCs w:val="20"/>
    </w:rPr>
  </w:style>
  <w:style w:type="character" w:styleId="Odwoanieprzypisudolnego">
    <w:name w:val="footnote reference"/>
    <w:uiPriority w:val="99"/>
    <w:semiHidden/>
    <w:unhideWhenUsed/>
    <w:rsid w:val="00334A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4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24C3"/>
    <w:pPr>
      <w:ind w:left="720"/>
      <w:contextualSpacing/>
    </w:pPr>
  </w:style>
  <w:style w:type="character" w:customStyle="1" w:styleId="markedcontent">
    <w:name w:val="markedcontent"/>
    <w:basedOn w:val="Domylnaczcionkaakapitu"/>
    <w:rsid w:val="005524C3"/>
  </w:style>
  <w:style w:type="paragraph" w:styleId="Tekstdymka">
    <w:name w:val="Balloon Text"/>
    <w:basedOn w:val="Normalny"/>
    <w:link w:val="TekstdymkaZnak"/>
    <w:uiPriority w:val="99"/>
    <w:semiHidden/>
    <w:unhideWhenUsed/>
    <w:rsid w:val="005524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24C3"/>
    <w:rPr>
      <w:rFonts w:ascii="Tahoma" w:hAnsi="Tahoma" w:cs="Tahoma"/>
      <w:sz w:val="16"/>
      <w:szCs w:val="16"/>
    </w:rPr>
  </w:style>
  <w:style w:type="character" w:styleId="Hipercze">
    <w:name w:val="Hyperlink"/>
    <w:basedOn w:val="Domylnaczcionkaakapitu"/>
    <w:uiPriority w:val="99"/>
    <w:unhideWhenUsed/>
    <w:rsid w:val="00931E14"/>
    <w:rPr>
      <w:color w:val="0000FF"/>
      <w:u w:val="single"/>
    </w:rPr>
  </w:style>
  <w:style w:type="paragraph" w:styleId="Tekstprzypisudolnego">
    <w:name w:val="footnote text"/>
    <w:basedOn w:val="Normalny"/>
    <w:link w:val="TekstprzypisudolnegoZnak"/>
    <w:uiPriority w:val="99"/>
    <w:semiHidden/>
    <w:unhideWhenUsed/>
    <w:rsid w:val="00334A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4A54"/>
    <w:rPr>
      <w:sz w:val="20"/>
      <w:szCs w:val="20"/>
    </w:rPr>
  </w:style>
  <w:style w:type="character" w:styleId="Odwoanieprzypisudolnego">
    <w:name w:val="footnote reference"/>
    <w:uiPriority w:val="99"/>
    <w:semiHidden/>
    <w:unhideWhenUsed/>
    <w:rsid w:val="00334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cja.rcl.gov.pl/projekt/12388908/katalog/130781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gislacja.rcl.gov.pl/projekt/12388800/katalog/13077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islacja.rcl.gov.pl/projekt/12388905/katalog/130780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slacja.rcl.gov.pl/projekt/12388701/katalog/13077216" TargetMode="External"/><Relationship Id="rId4" Type="http://schemas.openxmlformats.org/officeDocument/2006/relationships/settings" Target="settings.xml"/><Relationship Id="rId9" Type="http://schemas.openxmlformats.org/officeDocument/2006/relationships/hyperlink" Target="https://legislacja.rcl.gov.pl/projekt/12388700/katalog/13077158"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17</Pages>
  <Words>8082</Words>
  <Characters>48496</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56466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2024-09-03T10:31:00Z</dcterms:created>
  <dcterms:modified xsi:type="dcterms:W3CDTF">2024-09-03T12:37:00Z</dcterms:modified>
</cp:coreProperties>
</file>