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9F8" w:rsidRPr="00586923" w:rsidRDefault="001779F8" w:rsidP="001779F8">
      <w:pPr>
        <w:rPr>
          <w:rFonts w:ascii="Arial" w:hAnsi="Arial" w:cs="Arial"/>
        </w:rPr>
      </w:pPr>
      <w:r w:rsidRPr="00586923">
        <w:rPr>
          <w:rFonts w:ascii="Arial" w:hAnsi="Arial" w:cs="Arial"/>
          <w:noProof/>
          <w:lang w:eastAsia="pl-PL"/>
        </w:rPr>
        <w:drawing>
          <wp:inline distT="0" distB="0" distL="0" distR="0" wp14:anchorId="4EDB3356" wp14:editId="4A4D4F9F">
            <wp:extent cx="5683910" cy="943559"/>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LK.png"/>
                    <pic:cNvPicPr/>
                  </pic:nvPicPr>
                  <pic:blipFill>
                    <a:blip r:embed="rId6">
                      <a:extLst>
                        <a:ext uri="{28A0092B-C50C-407E-A947-70E740481C1C}">
                          <a14:useLocalDpi xmlns:a14="http://schemas.microsoft.com/office/drawing/2010/main" val="0"/>
                        </a:ext>
                      </a:extLst>
                    </a:blip>
                    <a:stretch>
                      <a:fillRect/>
                    </a:stretch>
                  </pic:blipFill>
                  <pic:spPr>
                    <a:xfrm>
                      <a:off x="0" y="0"/>
                      <a:ext cx="5704187" cy="946925"/>
                    </a:xfrm>
                    <a:prstGeom prst="rect">
                      <a:avLst/>
                    </a:prstGeom>
                  </pic:spPr>
                </pic:pic>
              </a:graphicData>
            </a:graphic>
          </wp:inline>
        </w:drawing>
      </w:r>
    </w:p>
    <w:p w:rsidR="001779F8" w:rsidRDefault="001779F8" w:rsidP="001779F8">
      <w:pPr>
        <w:spacing w:after="0" w:line="300" w:lineRule="auto"/>
        <w:jc w:val="center"/>
        <w:rPr>
          <w:rFonts w:ascii="Arial" w:hAnsi="Arial" w:cs="Arial"/>
          <w:b/>
        </w:rPr>
      </w:pPr>
      <w:r w:rsidRPr="00586923">
        <w:rPr>
          <w:rFonts w:ascii="Arial" w:hAnsi="Arial" w:cs="Arial"/>
          <w:b/>
        </w:rPr>
        <w:t xml:space="preserve">Konsultacje </w:t>
      </w:r>
      <w:r>
        <w:rPr>
          <w:rFonts w:ascii="Arial" w:hAnsi="Arial" w:cs="Arial"/>
          <w:b/>
        </w:rPr>
        <w:t>projektów</w:t>
      </w:r>
      <w:r w:rsidRPr="00586923">
        <w:rPr>
          <w:rFonts w:ascii="Arial" w:hAnsi="Arial" w:cs="Arial"/>
          <w:b/>
        </w:rPr>
        <w:t xml:space="preserve"> krajowych aktów prawnych </w:t>
      </w:r>
      <w:r>
        <w:rPr>
          <w:rFonts w:ascii="Arial" w:hAnsi="Arial" w:cs="Arial"/>
          <w:b/>
        </w:rPr>
        <w:t xml:space="preserve">i ogłoszone akty prawne </w:t>
      </w:r>
      <w:r>
        <w:rPr>
          <w:rFonts w:ascii="Arial" w:hAnsi="Arial" w:cs="Arial"/>
          <w:b/>
        </w:rPr>
        <w:br/>
        <w:t>w Dzienniku Ustaw</w:t>
      </w:r>
    </w:p>
    <w:p w:rsidR="001779F8" w:rsidRPr="00586923" w:rsidRDefault="001779F8" w:rsidP="001779F8">
      <w:pPr>
        <w:spacing w:after="0" w:line="300" w:lineRule="auto"/>
        <w:jc w:val="center"/>
        <w:rPr>
          <w:rFonts w:ascii="Arial" w:hAnsi="Arial" w:cs="Arial"/>
          <w:b/>
        </w:rPr>
      </w:pPr>
      <w:r>
        <w:rPr>
          <w:rFonts w:ascii="Arial" w:hAnsi="Arial" w:cs="Arial"/>
          <w:b/>
        </w:rPr>
        <w:t>(</w:t>
      </w:r>
      <w:r w:rsidRPr="00586923">
        <w:rPr>
          <w:rFonts w:ascii="Arial" w:hAnsi="Arial" w:cs="Arial"/>
          <w:b/>
        </w:rPr>
        <w:t xml:space="preserve">monitoring legislacji </w:t>
      </w:r>
      <w:r>
        <w:rPr>
          <w:rFonts w:ascii="Arial" w:hAnsi="Arial" w:cs="Arial"/>
          <w:b/>
        </w:rPr>
        <w:t xml:space="preserve">krajowej </w:t>
      </w:r>
      <w:r w:rsidRPr="00586923">
        <w:rPr>
          <w:rFonts w:ascii="Arial" w:hAnsi="Arial" w:cs="Arial"/>
          <w:b/>
        </w:rPr>
        <w:t>ZPPM</w:t>
      </w:r>
      <w:r>
        <w:rPr>
          <w:rFonts w:ascii="Arial" w:hAnsi="Arial" w:cs="Arial"/>
          <w:b/>
        </w:rPr>
        <w:t>)</w:t>
      </w:r>
    </w:p>
    <w:p w:rsidR="001779F8" w:rsidRPr="00586923" w:rsidRDefault="001779F8" w:rsidP="001779F8">
      <w:pPr>
        <w:spacing w:after="0" w:line="300" w:lineRule="auto"/>
        <w:jc w:val="center"/>
        <w:rPr>
          <w:rFonts w:ascii="Arial" w:hAnsi="Arial" w:cs="Arial"/>
        </w:rPr>
      </w:pPr>
      <w:r w:rsidRPr="00586923">
        <w:rPr>
          <w:rFonts w:ascii="Arial" w:hAnsi="Arial" w:cs="Arial"/>
          <w:b/>
        </w:rPr>
        <w:t xml:space="preserve">w okresie od </w:t>
      </w:r>
      <w:r>
        <w:rPr>
          <w:rFonts w:ascii="Arial" w:hAnsi="Arial" w:cs="Arial"/>
          <w:b/>
        </w:rPr>
        <w:t>30 września</w:t>
      </w:r>
      <w:r>
        <w:rPr>
          <w:rFonts w:ascii="Arial" w:hAnsi="Arial" w:cs="Arial"/>
          <w:b/>
        </w:rPr>
        <w:t xml:space="preserve"> </w:t>
      </w:r>
      <w:r w:rsidRPr="00586923">
        <w:rPr>
          <w:rFonts w:ascii="Arial" w:hAnsi="Arial" w:cs="Arial"/>
          <w:b/>
        </w:rPr>
        <w:t xml:space="preserve">do </w:t>
      </w:r>
      <w:r>
        <w:rPr>
          <w:rFonts w:ascii="Arial" w:hAnsi="Arial" w:cs="Arial"/>
          <w:b/>
        </w:rPr>
        <w:t>6</w:t>
      </w:r>
      <w:r>
        <w:rPr>
          <w:rFonts w:ascii="Arial" w:hAnsi="Arial" w:cs="Arial"/>
          <w:b/>
        </w:rPr>
        <w:t xml:space="preserve"> </w:t>
      </w:r>
      <w:r>
        <w:rPr>
          <w:rFonts w:ascii="Arial" w:hAnsi="Arial" w:cs="Arial"/>
          <w:b/>
        </w:rPr>
        <w:t>października</w:t>
      </w:r>
      <w:r w:rsidRPr="00586923">
        <w:rPr>
          <w:rFonts w:ascii="Arial" w:hAnsi="Arial" w:cs="Arial"/>
          <w:b/>
        </w:rPr>
        <w:t xml:space="preserve"> 202</w:t>
      </w:r>
      <w:r>
        <w:rPr>
          <w:rFonts w:ascii="Arial" w:hAnsi="Arial" w:cs="Arial"/>
          <w:b/>
        </w:rPr>
        <w:t>4</w:t>
      </w:r>
      <w:r w:rsidRPr="00586923">
        <w:rPr>
          <w:rFonts w:ascii="Arial" w:hAnsi="Arial" w:cs="Arial"/>
          <w:b/>
        </w:rPr>
        <w:t xml:space="preserve"> roku</w:t>
      </w:r>
    </w:p>
    <w:p w:rsidR="001779F8" w:rsidRPr="00AC3187" w:rsidRDefault="001779F8" w:rsidP="001779F8">
      <w:pPr>
        <w:spacing w:after="0" w:line="300" w:lineRule="auto"/>
        <w:jc w:val="center"/>
        <w:rPr>
          <w:rFonts w:ascii="Arial" w:hAnsi="Arial" w:cs="Arial"/>
        </w:rPr>
      </w:pPr>
      <w:r w:rsidRPr="00AC3187">
        <w:rPr>
          <w:rFonts w:ascii="Arial" w:hAnsi="Arial" w:cs="Arial"/>
        </w:rPr>
        <w:t xml:space="preserve">Raport na dzień </w:t>
      </w:r>
      <w:r>
        <w:rPr>
          <w:rFonts w:ascii="Arial" w:hAnsi="Arial" w:cs="Arial"/>
        </w:rPr>
        <w:t>7</w:t>
      </w:r>
      <w:r w:rsidRPr="00AC3187">
        <w:rPr>
          <w:rFonts w:ascii="Arial" w:hAnsi="Arial" w:cs="Arial"/>
        </w:rPr>
        <w:t xml:space="preserve"> </w:t>
      </w:r>
      <w:r>
        <w:rPr>
          <w:rFonts w:ascii="Arial" w:hAnsi="Arial" w:cs="Arial"/>
        </w:rPr>
        <w:t>października</w:t>
      </w:r>
      <w:r w:rsidRPr="00AC3187">
        <w:rPr>
          <w:rFonts w:ascii="Arial" w:hAnsi="Arial" w:cs="Arial"/>
        </w:rPr>
        <w:t xml:space="preserve"> 202</w:t>
      </w:r>
      <w:r>
        <w:rPr>
          <w:rFonts w:ascii="Arial" w:hAnsi="Arial" w:cs="Arial"/>
        </w:rPr>
        <w:t>4</w:t>
      </w:r>
      <w:r w:rsidRPr="00AC3187">
        <w:rPr>
          <w:rFonts w:ascii="Arial" w:hAnsi="Arial" w:cs="Arial"/>
        </w:rPr>
        <w:t xml:space="preserve"> roku</w:t>
      </w:r>
    </w:p>
    <w:p w:rsidR="001779F8" w:rsidRPr="00586923" w:rsidRDefault="001779F8" w:rsidP="001779F8">
      <w:pPr>
        <w:spacing w:after="0" w:line="240" w:lineRule="auto"/>
        <w:jc w:val="both"/>
        <w:rPr>
          <w:rFonts w:ascii="Arial" w:hAnsi="Arial" w:cs="Arial"/>
        </w:rPr>
      </w:pPr>
    </w:p>
    <w:p w:rsidR="001779F8" w:rsidRPr="00287656" w:rsidRDefault="001779F8" w:rsidP="001779F8">
      <w:pPr>
        <w:pStyle w:val="Akapitzlist"/>
        <w:numPr>
          <w:ilvl w:val="0"/>
          <w:numId w:val="1"/>
        </w:numPr>
        <w:spacing w:after="0" w:line="240" w:lineRule="auto"/>
        <w:ind w:left="284" w:hanging="284"/>
        <w:jc w:val="both"/>
        <w:rPr>
          <w:rFonts w:ascii="Arial" w:hAnsi="Arial" w:cs="Arial"/>
          <w:b/>
          <w:u w:val="single"/>
        </w:rPr>
      </w:pPr>
      <w:r w:rsidRPr="00287656">
        <w:rPr>
          <w:rFonts w:ascii="Arial" w:hAnsi="Arial" w:cs="Arial"/>
          <w:b/>
          <w:u w:val="single"/>
        </w:rPr>
        <w:t>Projekty aktów prawnych</w:t>
      </w:r>
    </w:p>
    <w:p w:rsidR="001779F8" w:rsidRDefault="001779F8" w:rsidP="001779F8">
      <w:pPr>
        <w:spacing w:after="0" w:line="240" w:lineRule="auto"/>
        <w:jc w:val="both"/>
        <w:rPr>
          <w:rFonts w:ascii="Arial" w:hAnsi="Arial" w:cs="Arial"/>
        </w:rPr>
      </w:pPr>
    </w:p>
    <w:p w:rsidR="001779F8" w:rsidRPr="00C70674" w:rsidRDefault="001779F8" w:rsidP="001779F8">
      <w:pPr>
        <w:spacing w:after="0" w:line="240" w:lineRule="auto"/>
        <w:jc w:val="both"/>
        <w:rPr>
          <w:rFonts w:ascii="Arial" w:hAnsi="Arial" w:cs="Arial"/>
        </w:rPr>
      </w:pPr>
      <w:r w:rsidRPr="00C70674">
        <w:rPr>
          <w:rFonts w:ascii="Arial" w:hAnsi="Arial" w:cs="Arial"/>
        </w:rPr>
        <w:t xml:space="preserve">W omawianym okresie </w:t>
      </w:r>
      <w:r w:rsidRPr="00C70674">
        <w:rPr>
          <w:rFonts w:ascii="Arial" w:eastAsia="Calibri" w:hAnsi="Arial" w:cs="Arial"/>
          <w:bCs/>
        </w:rPr>
        <w:t xml:space="preserve">Rządowe Centrum Legislacji opublikowało </w:t>
      </w:r>
      <w:r w:rsidR="00D93DE2">
        <w:rPr>
          <w:rFonts w:ascii="Arial" w:eastAsia="Calibri" w:hAnsi="Arial" w:cs="Arial"/>
          <w:bCs/>
        </w:rPr>
        <w:t>10</w:t>
      </w:r>
      <w:r w:rsidRPr="00C70674">
        <w:rPr>
          <w:rFonts w:ascii="Arial" w:eastAsia="Calibri" w:hAnsi="Arial" w:cs="Arial"/>
          <w:bCs/>
        </w:rPr>
        <w:t xml:space="preserve"> projek</w:t>
      </w:r>
      <w:r w:rsidR="00D93DE2">
        <w:rPr>
          <w:rFonts w:ascii="Arial" w:eastAsia="Calibri" w:hAnsi="Arial" w:cs="Arial"/>
          <w:bCs/>
        </w:rPr>
        <w:t>tów</w:t>
      </w:r>
      <w:r>
        <w:rPr>
          <w:rFonts w:ascii="Arial" w:eastAsia="Calibri" w:hAnsi="Arial" w:cs="Arial"/>
          <w:bCs/>
        </w:rPr>
        <w:t xml:space="preserve"> ustaw</w:t>
      </w:r>
      <w:r w:rsidRPr="00C70674">
        <w:rPr>
          <w:rFonts w:ascii="Arial" w:eastAsia="Calibri" w:hAnsi="Arial" w:cs="Arial"/>
          <w:bCs/>
        </w:rPr>
        <w:t xml:space="preserve"> oraz</w:t>
      </w:r>
      <w:r w:rsidRPr="00C70674">
        <w:rPr>
          <w:rFonts w:ascii="Arial" w:hAnsi="Arial" w:cs="Arial"/>
        </w:rPr>
        <w:t xml:space="preserve"> </w:t>
      </w:r>
      <w:r w:rsidR="00D93DE2">
        <w:rPr>
          <w:rFonts w:ascii="Arial" w:hAnsi="Arial" w:cs="Arial"/>
        </w:rPr>
        <w:t>30</w:t>
      </w:r>
      <w:r w:rsidRPr="00C70674">
        <w:rPr>
          <w:rFonts w:ascii="Arial" w:hAnsi="Arial" w:cs="Arial"/>
        </w:rPr>
        <w:t xml:space="preserve"> projekt</w:t>
      </w:r>
      <w:r w:rsidR="00D93DE2">
        <w:rPr>
          <w:rFonts w:ascii="Arial" w:hAnsi="Arial" w:cs="Arial"/>
        </w:rPr>
        <w:t>ów</w:t>
      </w:r>
      <w:r w:rsidRPr="00C70674">
        <w:rPr>
          <w:rFonts w:ascii="Arial" w:hAnsi="Arial" w:cs="Arial"/>
        </w:rPr>
        <w:t xml:space="preserve"> rozporządzeń Rady Ministrów, Prezesa Rady Ministrów oraz poszczególnych Ministrów.</w:t>
      </w:r>
    </w:p>
    <w:p w:rsidR="001779F8" w:rsidRPr="00C70674" w:rsidRDefault="001779F8" w:rsidP="001779F8">
      <w:pPr>
        <w:spacing w:after="0" w:line="240" w:lineRule="auto"/>
        <w:jc w:val="both"/>
        <w:rPr>
          <w:rFonts w:ascii="Arial" w:hAnsi="Arial" w:cs="Arial"/>
        </w:rPr>
      </w:pPr>
    </w:p>
    <w:p w:rsidR="001779F8" w:rsidRDefault="001779F8" w:rsidP="001779F8">
      <w:pPr>
        <w:spacing w:after="0" w:line="240" w:lineRule="auto"/>
        <w:jc w:val="both"/>
        <w:rPr>
          <w:rFonts w:ascii="Arial" w:hAnsi="Arial" w:cs="Arial"/>
        </w:rPr>
      </w:pPr>
      <w:r>
        <w:rPr>
          <w:rFonts w:ascii="Arial" w:hAnsi="Arial" w:cs="Arial"/>
        </w:rPr>
        <w:t xml:space="preserve">Przeprowadzono konsultacje </w:t>
      </w:r>
      <w:r w:rsidR="00D93DE2">
        <w:rPr>
          <w:rFonts w:ascii="Arial" w:hAnsi="Arial" w:cs="Arial"/>
        </w:rPr>
        <w:t>3 projektów ustaw</w:t>
      </w:r>
      <w:r>
        <w:rPr>
          <w:rFonts w:ascii="Arial" w:hAnsi="Arial" w:cs="Arial"/>
        </w:rPr>
        <w:t xml:space="preserve"> i </w:t>
      </w:r>
      <w:r w:rsidR="00D93DE2">
        <w:rPr>
          <w:rFonts w:ascii="Arial" w:hAnsi="Arial" w:cs="Arial"/>
        </w:rPr>
        <w:t>4</w:t>
      </w:r>
      <w:r>
        <w:rPr>
          <w:rFonts w:ascii="Arial" w:hAnsi="Arial" w:cs="Arial"/>
        </w:rPr>
        <w:t xml:space="preserve"> projektów rozporządzeń dotyczących podmiotów członkowskich (pracodawcy, przedsiębiorcy, JST) zrzeszonych w Związku. </w:t>
      </w:r>
    </w:p>
    <w:p w:rsidR="001779F8" w:rsidRDefault="001779F8" w:rsidP="001779F8">
      <w:pPr>
        <w:spacing w:after="0" w:line="240" w:lineRule="auto"/>
        <w:jc w:val="both"/>
        <w:rPr>
          <w:rFonts w:ascii="Arial" w:hAnsi="Arial" w:cs="Arial"/>
        </w:rPr>
      </w:pPr>
      <w:r>
        <w:rPr>
          <w:rFonts w:ascii="Arial" w:hAnsi="Arial" w:cs="Arial"/>
        </w:rPr>
        <w:t>Do konsultacji przekazane zostały następujące projekty:</w:t>
      </w:r>
    </w:p>
    <w:p w:rsidR="001779F8" w:rsidRDefault="001779F8" w:rsidP="001779F8">
      <w:pPr>
        <w:spacing w:after="0" w:line="240" w:lineRule="auto"/>
        <w:jc w:val="both"/>
        <w:rPr>
          <w:rFonts w:ascii="Arial" w:hAnsi="Arial" w:cs="Arial"/>
        </w:rPr>
      </w:pPr>
    </w:p>
    <w:p w:rsidR="001779F8" w:rsidRDefault="001779F8" w:rsidP="001779F8">
      <w:pPr>
        <w:spacing w:after="0" w:line="240" w:lineRule="auto"/>
        <w:jc w:val="both"/>
        <w:rPr>
          <w:rFonts w:ascii="Arial" w:hAnsi="Arial" w:cs="Arial"/>
        </w:rPr>
      </w:pPr>
      <w:r>
        <w:rPr>
          <w:rFonts w:ascii="Arial" w:hAnsi="Arial" w:cs="Arial"/>
        </w:rPr>
        <w:t>Projekty ustaw:</w:t>
      </w:r>
    </w:p>
    <w:p w:rsidR="00D93DE2" w:rsidRPr="006E5545" w:rsidRDefault="00D93DE2" w:rsidP="006E5545">
      <w:pPr>
        <w:pStyle w:val="Akapitzlist"/>
        <w:numPr>
          <w:ilvl w:val="0"/>
          <w:numId w:val="3"/>
        </w:numPr>
        <w:spacing w:after="0"/>
        <w:jc w:val="both"/>
        <w:rPr>
          <w:rFonts w:ascii="Arial" w:hAnsi="Arial" w:cs="Arial"/>
          <w:b/>
          <w:u w:val="single"/>
        </w:rPr>
      </w:pPr>
      <w:r w:rsidRPr="006E5545">
        <w:rPr>
          <w:rFonts w:ascii="Arial" w:hAnsi="Arial" w:cs="Arial"/>
          <w:b/>
          <w:u w:val="single"/>
        </w:rPr>
        <w:t>projekt ustawy o zmianie ustawy o narodowym zasobie archiwalnym i archiwach (numer z wykazu UD113)</w:t>
      </w:r>
    </w:p>
    <w:p w:rsidR="00D93DE2" w:rsidRDefault="00D93DE2" w:rsidP="00D93DE2">
      <w:pPr>
        <w:spacing w:after="0" w:line="240" w:lineRule="auto"/>
        <w:jc w:val="both"/>
        <w:rPr>
          <w:rFonts w:ascii="Arial" w:hAnsi="Arial" w:cs="Arial"/>
        </w:rPr>
      </w:pPr>
    </w:p>
    <w:p w:rsidR="006E5545" w:rsidRPr="006E5545" w:rsidRDefault="006E5545" w:rsidP="006E5545">
      <w:pPr>
        <w:spacing w:after="0"/>
        <w:jc w:val="both"/>
        <w:rPr>
          <w:rFonts w:ascii="Arial" w:hAnsi="Arial" w:cs="Arial"/>
        </w:rPr>
      </w:pPr>
      <w:r w:rsidRPr="006E5545">
        <w:rPr>
          <w:rFonts w:ascii="Arial" w:hAnsi="Arial" w:cs="Arial"/>
        </w:rPr>
        <w:t xml:space="preserve">Problemem wymagającym rozwiązania jest brak uregulowań umożliwiających wykorzystanie odwzorowania cyfrowego dokumentacji sporządzonej w postaci innej niż elektroniczna, która stanowi część kompletnej dokumentacji elektronicznej odzwierciedlającej załatwianie spraw w kontaktach podmiotów stosujących system elektronicznego zarządzania dokumentacją (zwany dalej „system EZD”) z otoczeniem zewnętrznym. Problemem jest również brak powszechnie uznanego standardu umożliwiającego przekazanie/udostępnianie akt spraw prowadzonych w postaci elektronicznej między jednostkami organizacyjnymi spowodowany tym, iż obecnie wszelkie cechy dowodowe, czy archiwalne są przypisywane jedynie papierowemu pierwowzorowi. Brak jest zatem formalnej podstawy dla traktowania całości dokumentacji akt spraw zgromadzonych w systemach EZD, jako wyłącznej dokumentacji przebiegu i rozstrzygania spraw, co powoduje niebezpieczeństwo negowania przez różne podmioty wiarygodności sporządzonych </w:t>
      </w:r>
      <w:proofErr w:type="spellStart"/>
      <w:r w:rsidRPr="006E5545">
        <w:rPr>
          <w:rFonts w:ascii="Arial" w:hAnsi="Arial" w:cs="Arial"/>
        </w:rPr>
        <w:t>odwzorowań</w:t>
      </w:r>
      <w:proofErr w:type="spellEnd"/>
      <w:r w:rsidRPr="006E5545">
        <w:rPr>
          <w:rFonts w:ascii="Arial" w:hAnsi="Arial" w:cs="Arial"/>
        </w:rPr>
        <w:t xml:space="preserve"> cyfrowych. </w:t>
      </w:r>
    </w:p>
    <w:p w:rsidR="006E5545" w:rsidRPr="006E5545" w:rsidRDefault="006E5545" w:rsidP="006E5545">
      <w:pPr>
        <w:spacing w:after="0"/>
        <w:jc w:val="both"/>
        <w:rPr>
          <w:rFonts w:ascii="Arial" w:hAnsi="Arial" w:cs="Arial"/>
        </w:rPr>
      </w:pPr>
      <w:r w:rsidRPr="006E5545">
        <w:rPr>
          <w:rFonts w:ascii="Arial" w:hAnsi="Arial" w:cs="Arial"/>
        </w:rPr>
        <w:t xml:space="preserve">Głównym powodem nowelizacji ustawy z dnia 14 lipca 1983 r. o narodowym zasobie archiwalnym i archiwach (Dz. U. z 2020 r. poz. 164), zwanej dalej „ustawą”, jest konieczność rozwiązania problemów zgłaszanych przez organy i państwowe jednostki organizacyjne oraz organy i samorządowe jednostki organizacyjne, które są związane z dokumentacją przechowywaną przez nie w tzw. „składach chronologicznych”. Ustawa stwarza ramy prawne umożliwiające prowadzenie spraw w postaci elektronicznej w systemach teleinformatycznych służących do elektronicznego zarządzania dokumentacją (systemy EZD). Zgodnie z przepisami zawartymi w ustawie i aktach wykonawczych wydanych na jej podstawie, w przypadku gdy do podmiotu, w którym został wdrożony system EZD, wpływa dokumentacja w postaci papierowej, powinna ona zostać zeskanowana. Papierowy oryginał takiego dokumentu jest przekazywany do składu chronologicznego, a jego odwzorowanie cyfrowe </w:t>
      </w:r>
      <w:r w:rsidRPr="006E5545">
        <w:rPr>
          <w:rFonts w:ascii="Arial" w:hAnsi="Arial" w:cs="Arial"/>
        </w:rPr>
        <w:lastRenderedPageBreak/>
        <w:t xml:space="preserve">rejestrowane w systemie EZD. Zachowanie jednolitości dokumentacji w przypadku wyboru systemu EZD jako podstawowego sposobu dokumentowania przebiegu załatwiania i rozstrzygania spraw w jednostce organizacyjnej wymusza więc konieczność zmiany postaci papierowej dokumentacji na elektroniczną, przez wykonywanie wspomnianych </w:t>
      </w:r>
      <w:proofErr w:type="spellStart"/>
      <w:r w:rsidRPr="006E5545">
        <w:rPr>
          <w:rFonts w:ascii="Arial" w:hAnsi="Arial" w:cs="Arial"/>
        </w:rPr>
        <w:t>odwzorowań</w:t>
      </w:r>
      <w:proofErr w:type="spellEnd"/>
      <w:r w:rsidRPr="006E5545">
        <w:rPr>
          <w:rFonts w:ascii="Arial" w:hAnsi="Arial" w:cs="Arial"/>
        </w:rPr>
        <w:t xml:space="preserve"> cyfrowych. Dokumenty te stanowią część akt spraw prowadzonych w systemie EZD w postaci elektronicznej. Wspomniane rozwiązanie miało przede wszystkim za zadanie ograniczenie papierowego obiegu dokumentów i zastąpienie go elektronicznym. Niestety ustawodawca, wprowadzając regulacje dotyczące „składów chronologicznych”, nie uregulował statusu prawnego dokumentacji przechowywanej w taki sposób. W tym miejscu należy również zaznaczyć, że taki sposób gromadzenia i przechowywania dokumentacji ma miejsce wyłącznie podczas funkcjonowania elektronicznego zarządzania dokumentacją w jednostce, która do tego celu wykorzystuje system EZD. Brak uregulowań w tym zakresie prowadzi obecnie do szeregu problemów związanych z koniecznością zarządzania taką dokumentacją oraz jej przechowywania w sposób umożliwiający zapewnienie odpowiedniej ewidencji, zabezpieczenia oraz ochrony przed uszkodzeniem, zniszczeniem bądź utratą. Generuje to wysokie koszty. Brak szczegółowych przepisów dotyczących możliwości brakowania takiej dokumentacji sprawił, że jednostki organizacyjne przechowują całość dokumentacji prowadzonych spraw, nawet w przypadku gdy w sprawach prowadzonych elektronicznie mamy do czynienia z dokumentacją niearchiwalną. Taka sytuacja prowadzi do konieczności stałego zwiększania i zabezpieczania powierzchni magazynowej, która mogłaby być wykorzystana w innym celu. W związku z powyższym, wychodząc naprzeciw postulatom jednostek organizacyjnych, które wdrożyły systemy EZD i wskazują na problemy związane z przechowywaniem dokumentacji nieelektronicznej gromadzonej w składach chronologicznych, proponuje się okres dwóch lat, po którym można będzie dokonać zniszczenia dokumentacji nieelektronicznej. Zostanie on zawarty w przepisach wykonawczych wydanych na podstawie projektowanego art. 5 ust. 2b. Brakowaniu podlegać będzie tylko dokumentacja, dla której sporządzono pełne odwzorowanie cyfrowe. Postępowanie w takim przypadku zostanie określone w przepisach wykonawczych do ustawy. Biorąc pod uwagę stale zwiększające się koszty, które w opisanym powyżej zakresie są ponoszone przez jednostki organizacyjne, zdecydowano się na podjęcie interwencji regulacyjnej w tym zakresie. Nie bez znaczenia jest również dążenie do umożliwienia wykorzystania dokumentów odwzorowanych cyfrowo jako pełnowartościowych dokumentów, odzwierciedlających sposób załatwiania sprawy i tym samym posiadających pełną wartość dowodową w kontaktach jednostki z otoczeniem zewnętrznym, w tym przede wszystkim w postępowaniu administracyjnym i sądowym. Z pewnością takie uregulowania wpłyną na ograniczenie kosztów takich postępowań i ich uproszczenie. </w:t>
      </w:r>
    </w:p>
    <w:p w:rsidR="006E5545" w:rsidRPr="006E5545" w:rsidRDefault="006E5545" w:rsidP="006E5545">
      <w:pPr>
        <w:spacing w:after="0"/>
        <w:jc w:val="both"/>
        <w:rPr>
          <w:rFonts w:ascii="Arial" w:hAnsi="Arial" w:cs="Arial"/>
        </w:rPr>
      </w:pPr>
      <w:r w:rsidRPr="006E5545">
        <w:rPr>
          <w:rFonts w:ascii="Arial" w:hAnsi="Arial" w:cs="Arial"/>
        </w:rPr>
        <w:t xml:space="preserve">Proponowane zmiany w ustawie mają zatem na celu rozwiązanie powyższych problemów przez nadanie </w:t>
      </w:r>
      <w:proofErr w:type="spellStart"/>
      <w:r w:rsidRPr="006E5545">
        <w:rPr>
          <w:rFonts w:ascii="Arial" w:hAnsi="Arial" w:cs="Arial"/>
        </w:rPr>
        <w:t>odwzorowaniom</w:t>
      </w:r>
      <w:proofErr w:type="spellEnd"/>
      <w:r w:rsidRPr="006E5545">
        <w:rPr>
          <w:rFonts w:ascii="Arial" w:hAnsi="Arial" w:cs="Arial"/>
        </w:rPr>
        <w:t xml:space="preserve"> cyfrowym dokumentacji sporządzonej w postaci innej niż elektroniczna, sporządzanym przez podmioty używające systemu EZD do dokumentowania przebiegu załatwiania i rozstrzygania spraw, wartości archiwalnej, a także dowodowej. Proponowane zmiany nowelizują również upoważnienie do wydania aktu wykonawczego do ustawy, który ureguluje sposób postępowania z dokumentacją elektroniczną w podmiotach państwowych i samorządowych. Proponowane zmiany dadzą także możliwość uregulowania sposobu postępowania z dokumentacją sporządzoną w postaci innej niż elektroniczna gromadzoną w składach chronologicznych. </w:t>
      </w:r>
    </w:p>
    <w:p w:rsidR="006E5545" w:rsidRPr="006E5545" w:rsidRDefault="006E5545" w:rsidP="006E5545">
      <w:pPr>
        <w:spacing w:after="0"/>
        <w:jc w:val="both"/>
        <w:rPr>
          <w:rFonts w:ascii="Arial" w:hAnsi="Arial" w:cs="Arial"/>
        </w:rPr>
      </w:pPr>
      <w:r w:rsidRPr="006E5545">
        <w:rPr>
          <w:rFonts w:ascii="Arial" w:hAnsi="Arial" w:cs="Arial"/>
        </w:rPr>
        <w:t xml:space="preserve">W projekcie proponuje się również dodanie nowego art. 39a, który wprowadza możliwość nadawania przez Naczelnego Dyrektora Archiwów Państwowych odznaki honorowej „Za Zasługi dla Dziedzictwa Archiwalnego” oraz stanowi podstawę do wydania przez ministra </w:t>
      </w:r>
      <w:r w:rsidRPr="006E5545">
        <w:rPr>
          <w:rFonts w:ascii="Arial" w:hAnsi="Arial" w:cs="Arial"/>
        </w:rPr>
        <w:lastRenderedPageBreak/>
        <w:t xml:space="preserve">właściwego do spraw kultury i ochrony dziedzictwa narodowego aktu wykonawczego określającego tryb nadawania, wzór i sposób noszenia tej odznaki, a także warunki, jakie musi spełniać wniosek o jej nadanie. </w:t>
      </w:r>
    </w:p>
    <w:p w:rsidR="006E5545" w:rsidRPr="006E5545" w:rsidRDefault="006E5545" w:rsidP="006E5545">
      <w:pPr>
        <w:spacing w:after="0"/>
        <w:jc w:val="both"/>
        <w:rPr>
          <w:rFonts w:ascii="Arial" w:hAnsi="Arial" w:cs="Arial"/>
        </w:rPr>
      </w:pPr>
      <w:r w:rsidRPr="006E5545">
        <w:rPr>
          <w:rFonts w:ascii="Arial" w:hAnsi="Arial" w:cs="Arial"/>
        </w:rPr>
        <w:t xml:space="preserve">Wprowadzenie do ustawy przepisów o prowadzeniu przez Naczelnego Dyrektora Archiwów Państwowych oraz archiwa państwowe działalności edukacyjnej pozwoli uzupełnić działania popularyzacyjne i informacyjne prowadzone od lat, zarówno przez Naczelnego Dyrektora Archiwów Państwowych, jak i archiwa państwowe, samodzielnie i we współpracy z innymi instytucjami, szkołami, uczelniami, muzeami, czy też towarzystwami naukowymi. Działalność ta obejmie m. in. edukację z zakresu historii Polski i źródeł ją dokumentujących. Będzie ona prowadzona w oparciu o bogate zasoby archiwalne w ramach lekcji archiwalnych, konferencji, seminariów, czy zebrań naukowych skierowanych do uczniów, studentów, miłośników historii, badaczy genealogicznych i archiwistów rodzinnych. </w:t>
      </w:r>
    </w:p>
    <w:p w:rsidR="006E5545" w:rsidRPr="006E5545" w:rsidRDefault="006E5545" w:rsidP="006E5545">
      <w:pPr>
        <w:spacing w:after="0"/>
        <w:jc w:val="both"/>
        <w:rPr>
          <w:rFonts w:ascii="Arial" w:hAnsi="Arial" w:cs="Arial"/>
        </w:rPr>
      </w:pPr>
      <w:r w:rsidRPr="006E5545">
        <w:rPr>
          <w:rFonts w:ascii="Arial" w:hAnsi="Arial" w:cs="Arial"/>
        </w:rPr>
        <w:t>Może być także prowadzona edukacja zawodowa, skierowana do różnych grup odbiorców, rozwijająca ich warsztat pracy. Głównymi zainteresowanymi będą w tym przypadku nauczyciele, zwłaszcza prowadzący zajęcia z zakresu historii i wiedzy o społeczeństwie. Działania w tym zakresie mogą być kierowane także do pracowników biurowych, kancelarii i archiwów oraz innych instytucji posiadających i zarządzających dokumentacją, w tym instytucji polonijnych. Edukacja tych grup służyłaby rozwijaniu ich wiedzy z zakresu zarządzania, zabezpieczania (konserwacji i digitalizacji) oraz archiwizacji dokumentacji, w tym podnoszeniu poziomu wiedzy i kompetencji osób i instytucji w zakresie dokumentów elektronicznych. Działania edukacyjne tego rodzaju, obejmujące zajęcia teoretyczne, jak i praktyczne mogą być prowadzone w ramach warsztatów, szkoleń, konferencji i seminariów.</w:t>
      </w:r>
    </w:p>
    <w:p w:rsidR="006E5545" w:rsidRPr="006E5545" w:rsidRDefault="006E5545" w:rsidP="006E5545">
      <w:pPr>
        <w:spacing w:after="0"/>
        <w:jc w:val="both"/>
        <w:rPr>
          <w:rFonts w:ascii="Arial" w:hAnsi="Arial" w:cs="Arial"/>
        </w:rPr>
      </w:pPr>
      <w:r w:rsidRPr="006E5545">
        <w:rPr>
          <w:rFonts w:ascii="Arial" w:hAnsi="Arial" w:cs="Arial"/>
        </w:rPr>
        <w:t xml:space="preserve">Proponuje się zmianę ustawy polegającą na dodaniu w art. 6 nowych ustępów, które uregulują szczegółowy sposób postępowania z dokumentami elektronicznymi w organach państwowych i państwowych jednostkach organizacyjnych oraz w organach jednostek samorządu terytorialnego i samorządowych jednostkach organizacyjnych, w szczególności zasady ewidencjonowania, klasyfikowania i kwalifikowania dokumentów elektronicznych oraz zasady i tryb ich brakowania, z uwzględnieniem potrzeby zapewnienia integralności dokumentów elektronicznych i długotrwałego ich przechowywania. Powyższe przepisy rozszerzają zakres ustawy o sposób postępowania z dokumentami sporządzonymi w postaci innej niż elektroniczna, dla których wykonano odwzorowanie cyfrowe. Ponadto projektowane przepisy upoważniają ministra właściwego do spraw informatyzacji do określenia minimalnych wymagań technicznych dla </w:t>
      </w:r>
      <w:proofErr w:type="spellStart"/>
      <w:r w:rsidRPr="006E5545">
        <w:rPr>
          <w:rFonts w:ascii="Arial" w:hAnsi="Arial" w:cs="Arial"/>
        </w:rPr>
        <w:t>odwzorowań</w:t>
      </w:r>
      <w:proofErr w:type="spellEnd"/>
      <w:r w:rsidRPr="006E5545">
        <w:rPr>
          <w:rFonts w:ascii="Arial" w:hAnsi="Arial" w:cs="Arial"/>
        </w:rPr>
        <w:t xml:space="preserve"> cyfrowych, co pozwoli na kompleksowe uregulowanie kwestii postępowania z tymi dokumentami. Ponadto projektowana zmiana doprecyzowuje ww. upoważnienie ustawowe w zakresie dotyczącym sposobu postępowania z dokumentami elektronicznymi przez wskazanie konieczności określenia sposobu zabezpieczania dokumentów elektronicznych przed utratą i nieuprawnionymi zmianami oraz sposobu ich brakowania, jak również trybu przekazywania do archiwów państwowych dokumentów elektronicznych stanowiących materiały archiwalne. Jednocześnie proponuje się zmianę brzmienia w art. 5 ust. 2c, zawierającego, w obowiązującym stanie prawnym, upoważnienie do wydania przez ministra właściwego do spraw informatyzacji w porozumieniu z ministrem właściwym do spraw kultury i ochrony dziedzictwa narodowego, na wniosek Naczelnego Dyrektora Archiwów Państwowych, rozporządzenia określającego wymagania techniczne, jakim powinny odpowiadać formaty zapisu i informatyczne nośniki danych w rozumieniu przepisów ustawy z dnia 17 lutego 2005 r. o informatyzacji działalności podmiotów realizujących zadania publiczne (Dz. U. z 2024 r. poz. 307), przekazywanych do archiwów państwowych materiałów archiwalnych utrwalonych na informatycznych nośnikach danych. Proponowana zmiana polega na umożliwieniu </w:t>
      </w:r>
      <w:r w:rsidRPr="006E5545">
        <w:rPr>
          <w:rFonts w:ascii="Arial" w:hAnsi="Arial" w:cs="Arial"/>
        </w:rPr>
        <w:lastRenderedPageBreak/>
        <w:t>wydania przez ministra właściwego do spraw informatyzacji w porozumieniu z ministrem właściwym do spraw kultury i ochrony dziedzictwa narodowego przedmiotowego aktu wykonawczego nie na wniosek Naczelnego Dyrektora Archiwów Państwowych, a po zasięgnięciu jego opinii, z uwzględnieniem potrzeby ochrony przekazywanych do archiwów państwowych materiałów archiwalnych zapisanych na informatycznych nośnikach danych.</w:t>
      </w:r>
    </w:p>
    <w:p w:rsidR="006E5545" w:rsidRPr="006E5545" w:rsidRDefault="006E5545" w:rsidP="006E5545">
      <w:pPr>
        <w:spacing w:after="0"/>
        <w:jc w:val="both"/>
        <w:rPr>
          <w:rFonts w:ascii="Arial" w:hAnsi="Arial" w:cs="Arial"/>
        </w:rPr>
      </w:pPr>
      <w:r w:rsidRPr="006E5545">
        <w:rPr>
          <w:rFonts w:ascii="Arial" w:hAnsi="Arial" w:cs="Arial"/>
        </w:rPr>
        <w:t xml:space="preserve">Przepisy art. 6 uregulują na nowo sposób postępowania z dokumentami elektronicznymi w podmiotach państwowych i samorządowych, a także sposób postępowania z dokumentami sporządzonymi w postaci innej niż elektroniczna, dla których wykonano odwzorowanie cyfrowe. Uregulowano kwestie związane z: </w:t>
      </w:r>
    </w:p>
    <w:p w:rsidR="006E5545" w:rsidRPr="006E5545" w:rsidRDefault="006E5545" w:rsidP="006E5545">
      <w:pPr>
        <w:spacing w:after="0"/>
        <w:jc w:val="both"/>
        <w:rPr>
          <w:rFonts w:ascii="Arial" w:hAnsi="Arial" w:cs="Arial"/>
        </w:rPr>
      </w:pPr>
      <w:r w:rsidRPr="006E5545">
        <w:rPr>
          <w:rFonts w:ascii="Arial" w:hAnsi="Arial" w:cs="Arial"/>
        </w:rPr>
        <w:t xml:space="preserve">a) szczegółowym sposobem postępowania z dokumentami elektronicznymi, powstającymi w organach państwowych, państwowych jednostkach organizacyjnych, organach jednostek samorządu terytorialnego i samorządowych jednostkach organizacyjnych oraz napływającymi do nich, </w:t>
      </w:r>
    </w:p>
    <w:p w:rsidR="006E5545" w:rsidRPr="006E5545" w:rsidRDefault="006E5545" w:rsidP="006E5545">
      <w:pPr>
        <w:spacing w:after="0"/>
        <w:jc w:val="both"/>
        <w:rPr>
          <w:rFonts w:ascii="Arial" w:hAnsi="Arial" w:cs="Arial"/>
        </w:rPr>
      </w:pPr>
      <w:r w:rsidRPr="006E5545">
        <w:rPr>
          <w:rFonts w:ascii="Arial" w:hAnsi="Arial" w:cs="Arial"/>
        </w:rPr>
        <w:t xml:space="preserve">b) ewidencjonowaniem dokumentów elektronicznych, </w:t>
      </w:r>
    </w:p>
    <w:p w:rsidR="006E5545" w:rsidRPr="006E5545" w:rsidRDefault="006E5545" w:rsidP="006E5545">
      <w:pPr>
        <w:spacing w:after="0"/>
        <w:jc w:val="both"/>
        <w:rPr>
          <w:rFonts w:ascii="Arial" w:hAnsi="Arial" w:cs="Arial"/>
        </w:rPr>
      </w:pPr>
      <w:r w:rsidRPr="006E5545">
        <w:rPr>
          <w:rFonts w:ascii="Arial" w:hAnsi="Arial" w:cs="Arial"/>
        </w:rPr>
        <w:t xml:space="preserve">c) zabezpieczaniem dokumentów elektronicznych przed utratą i nieuprawnionymi zmianami, </w:t>
      </w:r>
    </w:p>
    <w:p w:rsidR="006E5545" w:rsidRPr="006E5545" w:rsidRDefault="006E5545" w:rsidP="006E5545">
      <w:pPr>
        <w:spacing w:after="0"/>
        <w:jc w:val="both"/>
        <w:rPr>
          <w:rFonts w:ascii="Arial" w:hAnsi="Arial" w:cs="Arial"/>
        </w:rPr>
      </w:pPr>
      <w:r w:rsidRPr="006E5545">
        <w:rPr>
          <w:rFonts w:ascii="Arial" w:hAnsi="Arial" w:cs="Arial"/>
        </w:rPr>
        <w:t xml:space="preserve">d) wymaganiami dla </w:t>
      </w:r>
      <w:proofErr w:type="spellStart"/>
      <w:r w:rsidRPr="006E5545">
        <w:rPr>
          <w:rFonts w:ascii="Arial" w:hAnsi="Arial" w:cs="Arial"/>
        </w:rPr>
        <w:t>odwzorowań</w:t>
      </w:r>
      <w:proofErr w:type="spellEnd"/>
      <w:r w:rsidRPr="006E5545">
        <w:rPr>
          <w:rFonts w:ascii="Arial" w:hAnsi="Arial" w:cs="Arial"/>
        </w:rPr>
        <w:t xml:space="preserve"> cyfrowych, </w:t>
      </w:r>
    </w:p>
    <w:p w:rsidR="006E5545" w:rsidRPr="006E5545" w:rsidRDefault="006E5545" w:rsidP="006E5545">
      <w:pPr>
        <w:spacing w:after="0"/>
        <w:jc w:val="both"/>
        <w:rPr>
          <w:rFonts w:ascii="Arial" w:hAnsi="Arial" w:cs="Arial"/>
        </w:rPr>
      </w:pPr>
      <w:r w:rsidRPr="006E5545">
        <w:rPr>
          <w:rFonts w:ascii="Arial" w:hAnsi="Arial" w:cs="Arial"/>
        </w:rPr>
        <w:t xml:space="preserve">e) brakowaniem dokumentów elektronicznych, </w:t>
      </w:r>
    </w:p>
    <w:p w:rsidR="006E5545" w:rsidRPr="006E5545" w:rsidRDefault="006E5545" w:rsidP="006E5545">
      <w:pPr>
        <w:spacing w:after="0"/>
        <w:jc w:val="both"/>
        <w:rPr>
          <w:rFonts w:ascii="Arial" w:hAnsi="Arial" w:cs="Arial"/>
        </w:rPr>
      </w:pPr>
      <w:r w:rsidRPr="006E5545">
        <w:rPr>
          <w:rFonts w:ascii="Arial" w:hAnsi="Arial" w:cs="Arial"/>
        </w:rPr>
        <w:t xml:space="preserve">f) przekazywaniem dokumentów elektronicznych stanowiących materiały archiwalne do archiwów państwowych, g) sposobem postępowania z dokumentacją sporządzoną w postaci innej niż elektroniczna, dla której wykonano odwzorowanie cyfrowe. </w:t>
      </w:r>
    </w:p>
    <w:p w:rsidR="006E5545" w:rsidRPr="006E5545" w:rsidRDefault="006E5545" w:rsidP="006E5545">
      <w:pPr>
        <w:spacing w:after="0"/>
        <w:jc w:val="both"/>
        <w:rPr>
          <w:rFonts w:ascii="Arial" w:hAnsi="Arial" w:cs="Arial"/>
        </w:rPr>
      </w:pPr>
      <w:r w:rsidRPr="006E5545">
        <w:rPr>
          <w:rFonts w:ascii="Arial" w:hAnsi="Arial" w:cs="Arial"/>
        </w:rPr>
        <w:t xml:space="preserve">Projektowana ustawa umożliwi również traktowanie </w:t>
      </w:r>
      <w:proofErr w:type="spellStart"/>
      <w:r w:rsidRPr="006E5545">
        <w:rPr>
          <w:rFonts w:ascii="Arial" w:hAnsi="Arial" w:cs="Arial"/>
        </w:rPr>
        <w:t>odwzorowań</w:t>
      </w:r>
      <w:proofErr w:type="spellEnd"/>
      <w:r w:rsidRPr="006E5545">
        <w:rPr>
          <w:rFonts w:ascii="Arial" w:hAnsi="Arial" w:cs="Arial"/>
        </w:rPr>
        <w:t xml:space="preserve"> cyfrowych wytworzonych w służbach specjalnych jako dokumentów o wartości historycznej i dowodowej oraz ich archiwizację i brakowanie. Projektowane regulacje zawarte w art. 6 mają również za zadanie umożliwienie uznania opatrzenia </w:t>
      </w:r>
      <w:proofErr w:type="spellStart"/>
      <w:r w:rsidRPr="006E5545">
        <w:rPr>
          <w:rFonts w:ascii="Arial" w:hAnsi="Arial" w:cs="Arial"/>
        </w:rPr>
        <w:t>odwzorowań</w:t>
      </w:r>
      <w:proofErr w:type="spellEnd"/>
      <w:r w:rsidRPr="006E5545">
        <w:rPr>
          <w:rFonts w:ascii="Arial" w:hAnsi="Arial" w:cs="Arial"/>
        </w:rPr>
        <w:t xml:space="preserve"> cyfrowych dokumentów zgromadzonych w służbach specjalnych, innym podpisem elektronicznym wykorzystywanym w systemach teleinformatycznych tych służb, na równi z opatrzeniem ich podpisem lub pieczęcią, o których mowa w art. 6 ust. 1j pkt 2. Niniejsze przepisy zostały wprowadzone z uwagi na specyfikę tych jednostek, które korzystają z systemów elektronicznego zarządzania dokumentacją w ramach niejawnych systemów teleinformatycznych, w których nie mogą być wykorzystywane rozwiązania techniczne umożliwiające składanie kwalifikowanego podpisu elektronicznego z uwagi na sposób jego uzyskiwania i weryfikowania. Z tego względu przepisy zawarte w art. 6 upoważniają Prezesa Rady Ministrów oraz Ministra Obrony Narodowej do wydania odpowiednich aktów wykonawczych, które będą określać warunki, jakie musi spełniać inny podpis elektroniczny stosowany w niejawnych systemach teleinformatycznych funkcjonujących w służbach specjalnych, aby mógł on zapewnić autentyczność tworzonego odwzorowania cyfrowego dokumentu. Dzięki temu projektowana ustawa umożliwi traktowanie </w:t>
      </w:r>
      <w:proofErr w:type="spellStart"/>
      <w:r w:rsidRPr="006E5545">
        <w:rPr>
          <w:rFonts w:ascii="Arial" w:hAnsi="Arial" w:cs="Arial"/>
        </w:rPr>
        <w:t>odwzorowań</w:t>
      </w:r>
      <w:proofErr w:type="spellEnd"/>
      <w:r w:rsidRPr="006E5545">
        <w:rPr>
          <w:rFonts w:ascii="Arial" w:hAnsi="Arial" w:cs="Arial"/>
        </w:rPr>
        <w:t xml:space="preserve"> cyfrowych wytworzonych w służbach specjalnych jako dokumentów o wartości historycznej i dowodowej oraz ich archiwizację i brakowanie, a także wraz z innymi aktami wykonawczymi, będzie w sposób kompleksowy regulowała materię sporządzania </w:t>
      </w:r>
      <w:proofErr w:type="spellStart"/>
      <w:r w:rsidRPr="006E5545">
        <w:rPr>
          <w:rFonts w:ascii="Arial" w:hAnsi="Arial" w:cs="Arial"/>
        </w:rPr>
        <w:t>odwzorowań</w:t>
      </w:r>
      <w:proofErr w:type="spellEnd"/>
      <w:r w:rsidRPr="006E5545">
        <w:rPr>
          <w:rFonts w:ascii="Arial" w:hAnsi="Arial" w:cs="Arial"/>
        </w:rPr>
        <w:t xml:space="preserve"> cyfrowych, ich ewidencjonowania i opatrywania odpowiednimi podpisami elektronicznymi niezależnie od systemu teleinformatycznego w którym będą one przechowywane. </w:t>
      </w:r>
    </w:p>
    <w:p w:rsidR="006E5545" w:rsidRPr="006E5545" w:rsidRDefault="006E5545" w:rsidP="006E5545">
      <w:pPr>
        <w:spacing w:after="0"/>
        <w:jc w:val="both"/>
        <w:rPr>
          <w:rFonts w:ascii="Arial" w:hAnsi="Arial" w:cs="Arial"/>
        </w:rPr>
      </w:pPr>
      <w:r w:rsidRPr="006E5545">
        <w:rPr>
          <w:rFonts w:ascii="Arial" w:hAnsi="Arial" w:cs="Arial"/>
        </w:rPr>
        <w:t xml:space="preserve">Oczekiwanym efektem nowelizacji ustawy jest zapewnienie podstawy dla traktowania całości dokumentacji akt spraw zgromadzonych w systemach elektronicznego zarządzania dokumentacją klasy EZD, jako wyłącznej dokumentacji przebiegu i rozstrzygania spraw oraz zapewnienie sporządzanym </w:t>
      </w:r>
      <w:proofErr w:type="spellStart"/>
      <w:r w:rsidRPr="006E5545">
        <w:rPr>
          <w:rFonts w:ascii="Arial" w:hAnsi="Arial" w:cs="Arial"/>
        </w:rPr>
        <w:t>odwzorowaniom</w:t>
      </w:r>
      <w:proofErr w:type="spellEnd"/>
      <w:r w:rsidRPr="006E5545">
        <w:rPr>
          <w:rFonts w:ascii="Arial" w:hAnsi="Arial" w:cs="Arial"/>
        </w:rPr>
        <w:t xml:space="preserve"> cyfrowym wartości dowodowej równorzędnej oryginałom. Takie rozwiązanie stworzy również ramy prawne i tym samym umożliwi brakowanie dokumentacji nieelektronicznej, z której wykonano odwzorowanie cyfrowe. </w:t>
      </w:r>
      <w:r w:rsidRPr="006E5545">
        <w:rPr>
          <w:rFonts w:ascii="Arial" w:hAnsi="Arial" w:cs="Arial"/>
        </w:rPr>
        <w:lastRenderedPageBreak/>
        <w:t xml:space="preserve">Projekt nowelizacji ustawy nie wprowadza nowych rozwiązań w zakresie sposobu zarządzania dokumentacją gromadzoną przez jednostki organizacyjne administracji publicznej, doprecyzowuje jedynie obecnie obowiązujące przepisy dotyczące elektronicznego zarządzania dokumentacją w zakresie określenia sposobu postępowania z </w:t>
      </w:r>
      <w:proofErr w:type="spellStart"/>
      <w:r w:rsidRPr="006E5545">
        <w:rPr>
          <w:rFonts w:ascii="Arial" w:hAnsi="Arial" w:cs="Arial"/>
        </w:rPr>
        <w:t>odwzorowaniami</w:t>
      </w:r>
      <w:proofErr w:type="spellEnd"/>
      <w:r w:rsidRPr="006E5545">
        <w:rPr>
          <w:rFonts w:ascii="Arial" w:hAnsi="Arial" w:cs="Arial"/>
        </w:rPr>
        <w:t xml:space="preserve"> cyfrowymi dokumentacji wpływającej do urzędu (jednostki) w postaci papierowej. Z tego względu projektowane przepisy należy rozpatrywać w kontekście całej ustawy archiwalnej wraz z aktami wykonawczymi, wydanymi na jej podstawie. Projektowanych uregulowań prawnych nie należy więc oceniać w oderwaniu od innych obowiązujących przepisów prawa dotyczących sposobu brakowania dokumentacji niearchiwalnej. Organy i jednostki organizacyjne stosujące systemy teleinformatyczne (typu EZD) nie będą obowiązane do brakowania odwzorowanych cyfrowo dokumentów nieelektronicznych. Brakowanie dokumentacji odbywa się jedynie na wniosek kierownika jednostki organizacyjnej, który oświadcza o upływie okresu przechowywania takiej dokumentacji oraz o utracie jej znaczenia, w tym wartości dowodowej dla organu lub jednostki organizacyjnej, które ją wytworzyły lub zgromadziły, a w przypadku ich braku - dla organu lub jednostki organizacyjnej, które przejęły ich zadania lub kompetencje. </w:t>
      </w:r>
    </w:p>
    <w:p w:rsidR="006E5545" w:rsidRPr="006E5545" w:rsidRDefault="006E5545" w:rsidP="006E5545">
      <w:pPr>
        <w:spacing w:after="0"/>
        <w:jc w:val="both"/>
        <w:rPr>
          <w:rFonts w:ascii="Arial" w:hAnsi="Arial" w:cs="Arial"/>
        </w:rPr>
      </w:pPr>
      <w:r w:rsidRPr="006E5545">
        <w:rPr>
          <w:rFonts w:ascii="Arial" w:hAnsi="Arial" w:cs="Arial"/>
        </w:rPr>
        <w:t xml:space="preserve">Po wejściu w życie projektowanych regulacji będzie możliwe wykorzystywanie kompletnej dokumentacji elektronicznej w kontaktach podmiotów stosujących systemy EZD z sądami, w tym z sądami powszechnymi i sądami administracyjnymi. </w:t>
      </w:r>
    </w:p>
    <w:p w:rsidR="006E5545" w:rsidRPr="006E5545" w:rsidRDefault="006E5545" w:rsidP="006E5545">
      <w:pPr>
        <w:spacing w:after="0"/>
        <w:jc w:val="both"/>
        <w:rPr>
          <w:rFonts w:ascii="Arial" w:hAnsi="Arial" w:cs="Arial"/>
        </w:rPr>
      </w:pPr>
      <w:r w:rsidRPr="006E5545">
        <w:rPr>
          <w:rFonts w:ascii="Arial" w:hAnsi="Arial" w:cs="Arial"/>
        </w:rPr>
        <w:t xml:space="preserve">Projektowana zmiana ustawy nie wprowadza obowiązku cyfrowego odwzorowania całości dokumentacji nieelektronicznej zgromadzonej w podmiotach stosujących system EZD jako podstawowy sposób wykonywania czynności kancelaryjnych oraz dokumentowania sposobu załatwiania i rozstrzygania prowadzonych spraw w postaci elektronicznej. W instrukcjach kancelaryjnych określających szczegółowe zasady i tryb wykonywania czynności kancelaryjnych wydawanych na podstawie art. 6 ust. 2 pkt 1 oraz ust. 2b pkt 1 ustawy określa się wyjątki, które umożliwią rezygnację z konieczności dokonywania odwzorowania cyfrowego całości papierowej dokumentacji wpływającej do danej jednostki. Wyjątkami, w przypadku których możliwe jest odstąpienie od konieczności zeskanowania dokumentacji wpływającej do urzędu, są przykładowo rozmiar strony (na przykład A3 i większe), duża liczba stron, treść, forma lub postać pisma. </w:t>
      </w:r>
    </w:p>
    <w:p w:rsidR="006E5545" w:rsidRPr="006E5545" w:rsidRDefault="006E5545" w:rsidP="006E5545">
      <w:pPr>
        <w:spacing w:after="0"/>
        <w:jc w:val="both"/>
        <w:rPr>
          <w:rFonts w:ascii="Arial" w:hAnsi="Arial" w:cs="Arial"/>
        </w:rPr>
      </w:pPr>
      <w:r w:rsidRPr="006E5545">
        <w:rPr>
          <w:rFonts w:ascii="Arial" w:hAnsi="Arial" w:cs="Arial"/>
        </w:rPr>
        <w:t xml:space="preserve">Wprowadzenie do ustawy przepisów o prowadzeniu przez Naczelnego Dyrektora Archiwów Państwowych oraz archiwa państwowe działalności edukacyjnej pozwoli uzupełnić działania popularyzacyjne i informacyjne prowadzone od lat, zarówno przez Naczelnego Dyrektora Archiwów Państwowych, jak i archiwa państwowe, samodzielnie i we współpracy z innymi instytucjami, szkołami, uczelniami, muzeami, czy też towarzystwami naukowymi (zmiana brzmienia w art. 21 w ust. 1 pkt 5 i 9 oraz w art. 28 w ust. 1 pkt 5). </w:t>
      </w:r>
    </w:p>
    <w:p w:rsidR="006E5545" w:rsidRPr="006E5545" w:rsidRDefault="006E5545" w:rsidP="006E5545">
      <w:pPr>
        <w:spacing w:after="0"/>
        <w:jc w:val="both"/>
        <w:rPr>
          <w:rFonts w:ascii="Arial" w:hAnsi="Arial" w:cs="Arial"/>
        </w:rPr>
      </w:pPr>
      <w:r w:rsidRPr="006E5545">
        <w:rPr>
          <w:rFonts w:ascii="Arial" w:hAnsi="Arial" w:cs="Arial"/>
        </w:rPr>
        <w:t xml:space="preserve">Zmiana brzmienia w art. 21 ust. 1a polega na umożliwieniu Naczelnemu Dyrektorowi Archiwów Państwowych wydawania zarządzeń dotyczących podległych mu archiwów państwowych w sprawach nadzoru nad prowadzoną w archiwach państwowych działalnością edukacyjną oraz w sprawach prowadzenia takiej działalności (oprócz obecnie wydawanych zarządzeń w sprawach: koordynowania działalności archiwalnej na terenie państwa, nadzoru nad gromadzeniem, ewidencjonowaniem, przechowywaniem, opracowywaniem, udostępnianiem i zabezpieczaniem materiałów archiwalnych oraz brakowaniem dokumentacji niearchiwalnej i koordynowania zadań w dziedzinie informatyzacji, telekomunikacji i teleinformatyki oraz zarządzania informacją podległych mu archiwów państwowych). </w:t>
      </w:r>
    </w:p>
    <w:p w:rsidR="006E5545" w:rsidRPr="006E5545" w:rsidRDefault="006E5545" w:rsidP="006E5545">
      <w:pPr>
        <w:spacing w:after="0"/>
        <w:jc w:val="both"/>
        <w:rPr>
          <w:rFonts w:ascii="Arial" w:hAnsi="Arial" w:cs="Arial"/>
        </w:rPr>
      </w:pPr>
      <w:r w:rsidRPr="006E5545">
        <w:rPr>
          <w:rFonts w:ascii="Arial" w:hAnsi="Arial" w:cs="Arial"/>
        </w:rPr>
        <w:lastRenderedPageBreak/>
        <w:t xml:space="preserve">Projekt przewiduje także nadanie nowego brzmienia przepisowi art. 36a pkt 3, co jest konieczne w związku z zawartym w obecnym przepisie nieaktualnym odesłaniem do uchylonego wcześniej art. 16 ust. 1. </w:t>
      </w:r>
    </w:p>
    <w:p w:rsidR="006E5545" w:rsidRPr="006E5545" w:rsidRDefault="006E5545" w:rsidP="006E5545">
      <w:pPr>
        <w:spacing w:after="0"/>
        <w:jc w:val="both"/>
        <w:rPr>
          <w:rFonts w:ascii="Arial" w:hAnsi="Arial" w:cs="Arial"/>
        </w:rPr>
      </w:pPr>
      <w:r w:rsidRPr="006E5545">
        <w:rPr>
          <w:rFonts w:ascii="Arial" w:hAnsi="Arial" w:cs="Arial"/>
        </w:rPr>
        <w:t xml:space="preserve">Projektowana ustawa w dodawanym art. 39a wprowadza możliwość nadawania osobom fizycznym i jednostkom organizacyjnym wyróżniającym się w dziedzinie działalności archiwalnej lub popularyzacji wiedzy o materiałach archiwalnych i archiwach, oraz prowadzenia w tym zakresie działalności informacyjnej, edukacyjnej i wydawniczej, odznaki honorowej „Za Zasługi dla Dziedzictwa Archiwalnego” oraz daje podstawę do wydania przez ministra właściwego do spraw kultury i ochrony dziedzictwa narodowego aktu wykonawczego określającego tryb nadawania, wzór i sposób noszenia tej odznaki. </w:t>
      </w:r>
    </w:p>
    <w:p w:rsidR="00D93DE2" w:rsidRDefault="006E5545" w:rsidP="006E5545">
      <w:pPr>
        <w:spacing w:after="0"/>
        <w:jc w:val="both"/>
        <w:rPr>
          <w:rFonts w:ascii="Arial" w:hAnsi="Arial" w:cs="Arial"/>
        </w:rPr>
      </w:pPr>
      <w:r w:rsidRPr="006E5545">
        <w:rPr>
          <w:rFonts w:ascii="Arial" w:hAnsi="Arial" w:cs="Arial"/>
        </w:rPr>
        <w:t>Jednocześnie należy wskazać, że nie było możliwości podjęcia alternatywnych w stosunku do projektowanej ustawy środków umożliwiających osiągnięcie zamierzonego celu</w:t>
      </w:r>
      <w:r>
        <w:rPr>
          <w:rFonts w:ascii="Arial" w:hAnsi="Arial" w:cs="Arial"/>
        </w:rPr>
        <w:t>.</w:t>
      </w:r>
    </w:p>
    <w:p w:rsidR="006E5545" w:rsidRDefault="006E5545" w:rsidP="006E5545">
      <w:pPr>
        <w:spacing w:after="0"/>
        <w:jc w:val="both"/>
        <w:rPr>
          <w:rFonts w:ascii="Arial" w:hAnsi="Arial" w:cs="Arial"/>
        </w:rPr>
      </w:pPr>
    </w:p>
    <w:p w:rsidR="006E5545" w:rsidRPr="006E5545" w:rsidRDefault="006E5545" w:rsidP="006E5545">
      <w:pPr>
        <w:spacing w:after="0"/>
        <w:jc w:val="both"/>
        <w:rPr>
          <w:rFonts w:ascii="Arial" w:hAnsi="Arial" w:cs="Arial"/>
        </w:rPr>
      </w:pPr>
      <w:r w:rsidRPr="006E5545">
        <w:rPr>
          <w:rFonts w:ascii="Arial" w:hAnsi="Arial" w:cs="Arial"/>
        </w:rPr>
        <w:t>Przedmiotowy projekt aktu prawnego wraz Uzasadnieniem oraz Oceną Skutków Regulacji dostępny jest na stronach Rządowego Centrum Legislacji pod adresem:</w:t>
      </w:r>
    </w:p>
    <w:p w:rsidR="006E5545" w:rsidRDefault="006E5545" w:rsidP="006E5545">
      <w:pPr>
        <w:spacing w:after="0"/>
        <w:jc w:val="both"/>
        <w:rPr>
          <w:rFonts w:ascii="Arial" w:hAnsi="Arial" w:cs="Arial"/>
        </w:rPr>
      </w:pPr>
      <w:hyperlink r:id="rId7" w:history="1">
        <w:r w:rsidRPr="00454EE5">
          <w:rPr>
            <w:rStyle w:val="Hipercze"/>
            <w:rFonts w:ascii="Arial" w:hAnsi="Arial" w:cs="Arial"/>
          </w:rPr>
          <w:t>https://legislacja.rcl.gov.pl/projekt/12390002/kata</w:t>
        </w:r>
        <w:r w:rsidRPr="00454EE5">
          <w:rPr>
            <w:rStyle w:val="Hipercze"/>
            <w:rFonts w:ascii="Arial" w:hAnsi="Arial" w:cs="Arial"/>
          </w:rPr>
          <w:t>l</w:t>
        </w:r>
        <w:r w:rsidRPr="00454EE5">
          <w:rPr>
            <w:rStyle w:val="Hipercze"/>
            <w:rFonts w:ascii="Arial" w:hAnsi="Arial" w:cs="Arial"/>
          </w:rPr>
          <w:t>og/13084275#13084275</w:t>
        </w:r>
      </w:hyperlink>
      <w:r>
        <w:rPr>
          <w:rFonts w:ascii="Arial" w:hAnsi="Arial" w:cs="Arial"/>
        </w:rPr>
        <w:t xml:space="preserve"> </w:t>
      </w:r>
    </w:p>
    <w:p w:rsidR="006E5545" w:rsidRDefault="006E5545" w:rsidP="006E5545">
      <w:pPr>
        <w:spacing w:after="0"/>
        <w:jc w:val="both"/>
        <w:rPr>
          <w:rFonts w:ascii="Arial" w:hAnsi="Arial" w:cs="Arial"/>
        </w:rPr>
      </w:pPr>
    </w:p>
    <w:p w:rsidR="006E5545" w:rsidRDefault="006E5545" w:rsidP="006E5545">
      <w:pPr>
        <w:spacing w:after="0"/>
        <w:jc w:val="both"/>
        <w:rPr>
          <w:rFonts w:ascii="Arial" w:hAnsi="Arial" w:cs="Arial"/>
        </w:rPr>
      </w:pPr>
      <w:r w:rsidRPr="006E5545">
        <w:rPr>
          <w:rFonts w:ascii="Arial" w:hAnsi="Arial" w:cs="Arial"/>
        </w:rPr>
        <w:t>Projekt jest obecnie jednocześnie na etapie uzgodnień, konsultacji publicznych i opiniowania</w:t>
      </w:r>
      <w:r>
        <w:rPr>
          <w:rFonts w:ascii="Arial" w:hAnsi="Arial" w:cs="Arial"/>
        </w:rPr>
        <w:t>.</w:t>
      </w:r>
    </w:p>
    <w:p w:rsidR="00D93DE2" w:rsidRPr="00D93DE2" w:rsidRDefault="00D93DE2" w:rsidP="006E5545">
      <w:pPr>
        <w:spacing w:after="0"/>
        <w:jc w:val="both"/>
        <w:rPr>
          <w:rFonts w:ascii="Arial" w:hAnsi="Arial" w:cs="Arial"/>
        </w:rPr>
      </w:pPr>
    </w:p>
    <w:p w:rsidR="006E5545" w:rsidRPr="006E5545" w:rsidRDefault="006E5545" w:rsidP="006E5545">
      <w:pPr>
        <w:pStyle w:val="Akapitzlist"/>
        <w:numPr>
          <w:ilvl w:val="0"/>
          <w:numId w:val="3"/>
        </w:numPr>
        <w:spacing w:after="0"/>
        <w:jc w:val="both"/>
        <w:rPr>
          <w:rFonts w:ascii="Arial" w:hAnsi="Arial" w:cs="Arial"/>
          <w:u w:val="single"/>
        </w:rPr>
      </w:pPr>
      <w:r w:rsidRPr="006E5545">
        <w:rPr>
          <w:rFonts w:ascii="Arial" w:hAnsi="Arial" w:cs="Arial"/>
          <w:b/>
          <w:u w:val="single"/>
        </w:rPr>
        <w:t>projekt ustawy o zmianie ustawy o zbiorowym zaopatrzeniu w wodę i zbiorowym odprowadzaniu ścieków oraz niektórych innych ustaw (numer z wykazu UC59)</w:t>
      </w:r>
      <w:r w:rsidR="001779F8" w:rsidRPr="006E5545">
        <w:rPr>
          <w:rFonts w:ascii="Arial" w:hAnsi="Arial" w:cs="Arial"/>
          <w:u w:val="single"/>
        </w:rPr>
        <w:t xml:space="preserve"> </w:t>
      </w:r>
    </w:p>
    <w:p w:rsidR="006E5545" w:rsidRDefault="006E5545" w:rsidP="006E5545">
      <w:pPr>
        <w:spacing w:after="0"/>
        <w:jc w:val="both"/>
        <w:rPr>
          <w:rFonts w:ascii="Arial" w:hAnsi="Arial" w:cs="Arial"/>
        </w:rPr>
      </w:pPr>
    </w:p>
    <w:p w:rsidR="006E5545" w:rsidRPr="006E5545" w:rsidRDefault="006E5545" w:rsidP="006E5545">
      <w:pPr>
        <w:spacing w:after="0"/>
        <w:jc w:val="both"/>
        <w:rPr>
          <w:rFonts w:ascii="Arial" w:hAnsi="Arial" w:cs="Arial"/>
        </w:rPr>
      </w:pPr>
      <w:r w:rsidRPr="006E5545">
        <w:rPr>
          <w:rFonts w:ascii="Arial" w:hAnsi="Arial" w:cs="Arial"/>
        </w:rPr>
        <w:t xml:space="preserve">Zasadniczym celem projektu jest wdrożenie dyrektywy Parlamentu Europejskiego i Rady (UE) 2020/2184 z dnia 16 grudnia 2020 r. w sprawie jakości wody przeznaczonej do spożycia przez ludzi (Dz. Urz. UE L 435 z 23.12.2020, str. 1), zwanej dalej „dyrektywą (UE) 2020/2184”. Państwa członkowskie Unii Europejskiej są zobowiązane do dokonania transpozycji tej dyrektywy w ciągu 2 lat od dnia jej wejścia w życie, to jest do dnia 12 stycznia 2023 r. </w:t>
      </w:r>
    </w:p>
    <w:p w:rsidR="006E5545" w:rsidRPr="006E5545" w:rsidRDefault="006E5545" w:rsidP="006E5545">
      <w:pPr>
        <w:spacing w:after="0"/>
        <w:jc w:val="both"/>
        <w:rPr>
          <w:rFonts w:ascii="Arial" w:hAnsi="Arial" w:cs="Arial"/>
        </w:rPr>
      </w:pPr>
      <w:r w:rsidRPr="006E5545">
        <w:rPr>
          <w:rFonts w:ascii="Arial" w:hAnsi="Arial" w:cs="Arial"/>
        </w:rPr>
        <w:t xml:space="preserve">Dyrektywa (UE) 2020/2184 stanowi wersję przekształconą dyrektywy Rady 98/83/WE z dnia 3 listopada 1998 r. w sprawie jakości wody przeznaczonej do spożycia przez ludzi (Dz. Urz. WE L 330 z 05.12.1998, str. 32 – Dz. Urz. UE Polskie wydanie specjalne, rozdz. 15, t. 4, str. 90, z </w:t>
      </w:r>
      <w:proofErr w:type="spellStart"/>
      <w:r w:rsidRPr="006E5545">
        <w:rPr>
          <w:rFonts w:ascii="Arial" w:hAnsi="Arial" w:cs="Arial"/>
        </w:rPr>
        <w:t>późn</w:t>
      </w:r>
      <w:proofErr w:type="spellEnd"/>
      <w:r w:rsidRPr="006E5545">
        <w:rPr>
          <w:rFonts w:ascii="Arial" w:hAnsi="Arial" w:cs="Arial"/>
        </w:rPr>
        <w:t xml:space="preserve">. zm.), zwanej dalej „dyrektywą 98/83/WE”. </w:t>
      </w:r>
    </w:p>
    <w:p w:rsidR="006E5545" w:rsidRPr="006E5545" w:rsidRDefault="006E5545" w:rsidP="006E5545">
      <w:pPr>
        <w:spacing w:after="0"/>
        <w:jc w:val="both"/>
        <w:rPr>
          <w:rFonts w:ascii="Arial" w:hAnsi="Arial" w:cs="Arial"/>
        </w:rPr>
      </w:pPr>
      <w:r w:rsidRPr="006E5545">
        <w:rPr>
          <w:rFonts w:ascii="Arial" w:hAnsi="Arial" w:cs="Arial"/>
        </w:rPr>
        <w:t xml:space="preserve">W wyniku rewizji dyrektywy 98/83/WE wprowadzone zostały następujące zmiany przepisów i nowe regulacje: </w:t>
      </w:r>
    </w:p>
    <w:p w:rsidR="006E5545" w:rsidRPr="006E5545" w:rsidRDefault="006E5545" w:rsidP="006E5545">
      <w:pPr>
        <w:spacing w:after="0"/>
        <w:jc w:val="both"/>
        <w:rPr>
          <w:rFonts w:ascii="Arial" w:hAnsi="Arial" w:cs="Arial"/>
        </w:rPr>
      </w:pPr>
      <w:r w:rsidRPr="006E5545">
        <w:rPr>
          <w:rFonts w:ascii="Arial" w:hAnsi="Arial" w:cs="Arial"/>
        </w:rPr>
        <w:t xml:space="preserve">1) rozszerzenie wymagań dotyczących parametrów jakości wody przeznaczonej do spożycia przez ludzi; </w:t>
      </w:r>
    </w:p>
    <w:p w:rsidR="006E5545" w:rsidRPr="006E5545" w:rsidRDefault="006E5545" w:rsidP="006E5545">
      <w:pPr>
        <w:spacing w:after="0"/>
        <w:jc w:val="both"/>
        <w:rPr>
          <w:rFonts w:ascii="Arial" w:hAnsi="Arial" w:cs="Arial"/>
        </w:rPr>
      </w:pPr>
      <w:r w:rsidRPr="006E5545">
        <w:rPr>
          <w:rFonts w:ascii="Arial" w:hAnsi="Arial" w:cs="Arial"/>
        </w:rPr>
        <w:t xml:space="preserve">2) ustanowienie obowiązku podejścia do bezpieczeństwa wody opartego na ryzyku, obejmującego cały łańcuch dostaw wody przeznaczonej do spożycia przez ludzi, na które składają się: ocena ryzyka i zarządzanie ryzykiem w obszarze zasilania dla punktów poboru wody, ocena ryzyka i zarządzanie ryzykiem w systemie zaopatrzenia w wodę oraz ocena ryzyka w wewnętrznych systemach wodociągowych; </w:t>
      </w:r>
    </w:p>
    <w:p w:rsidR="006E5545" w:rsidRPr="006E5545" w:rsidRDefault="006E5545" w:rsidP="006E5545">
      <w:pPr>
        <w:spacing w:after="0"/>
        <w:jc w:val="both"/>
        <w:rPr>
          <w:rFonts w:ascii="Arial" w:hAnsi="Arial" w:cs="Arial"/>
        </w:rPr>
      </w:pPr>
      <w:r w:rsidRPr="006E5545">
        <w:rPr>
          <w:rFonts w:ascii="Arial" w:hAnsi="Arial" w:cs="Arial"/>
        </w:rPr>
        <w:t xml:space="preserve">3) zmiana podejścia do kwestii monitorowania i nadzoru nad jakością wody wynikająca z oceny ryzyka przeprowadzanej dla systemu zaopatrzenia w wodę oraz wobec przyjęcia podejścia opartego na ryzyku w systemie zaopatrzenia w wodę; </w:t>
      </w:r>
    </w:p>
    <w:p w:rsidR="006E5545" w:rsidRPr="006E5545" w:rsidRDefault="006E5545" w:rsidP="006E5545">
      <w:pPr>
        <w:spacing w:after="0"/>
        <w:jc w:val="both"/>
        <w:rPr>
          <w:rFonts w:ascii="Arial" w:hAnsi="Arial" w:cs="Arial"/>
        </w:rPr>
      </w:pPr>
      <w:r w:rsidRPr="006E5545">
        <w:rPr>
          <w:rFonts w:ascii="Arial" w:hAnsi="Arial" w:cs="Arial"/>
        </w:rPr>
        <w:t xml:space="preserve">4) ustanowienie obowiązku wykonania oceny ryzyka w wewnętrznych systemach wodociągowych oraz wykonywania badań parametrów w wewnętrznych systemach </w:t>
      </w:r>
      <w:r w:rsidRPr="006E5545">
        <w:rPr>
          <w:rFonts w:ascii="Arial" w:hAnsi="Arial" w:cs="Arial"/>
        </w:rPr>
        <w:lastRenderedPageBreak/>
        <w:t xml:space="preserve">wodociągowych w obiektach priorytetowych oraz w innych w których ocena ryzyka wewnętrznego systemu wodociągowego wykaże taką konieczność; </w:t>
      </w:r>
    </w:p>
    <w:p w:rsidR="006E5545" w:rsidRPr="006E5545" w:rsidRDefault="006E5545" w:rsidP="006E5545">
      <w:pPr>
        <w:spacing w:after="0"/>
        <w:jc w:val="both"/>
        <w:rPr>
          <w:rFonts w:ascii="Arial" w:hAnsi="Arial" w:cs="Arial"/>
        </w:rPr>
      </w:pPr>
      <w:r w:rsidRPr="006E5545">
        <w:rPr>
          <w:rFonts w:ascii="Arial" w:hAnsi="Arial" w:cs="Arial"/>
        </w:rPr>
        <w:t xml:space="preserve">5) ustanowienie obowiązku tworzenia i aktualizacji zbiorów danych raportowych na potrzeby Komisji Europejskiej, zwanej dalej „KE”, Europejskiej Agencji Środowiska oraz Europejskiego Centrum ds. Zapobiegania i Kontroli Chorób w zakresie oceny i zarządzania ryzykiem, przekroczeń wartości parametrycznych parametrów jakości wody przeznaczonej do spożycia przez ludzi i podejmowanych w związku z tym działań naprawczych, wystąpienia incydentów lub zdarzeń skutkujących potencjalnym zagrożeniem dla zdrowia ludzi oraz udzielonych zgód na odstępstwa od wymagań dla parametrów chemicznych jakości wody przeznaczonej do spożycia przez ludzi; </w:t>
      </w:r>
    </w:p>
    <w:p w:rsidR="006E5545" w:rsidRPr="006E5545" w:rsidRDefault="006E5545" w:rsidP="006E5545">
      <w:pPr>
        <w:spacing w:after="0"/>
        <w:jc w:val="both"/>
        <w:rPr>
          <w:rFonts w:ascii="Arial" w:hAnsi="Arial" w:cs="Arial"/>
        </w:rPr>
      </w:pPr>
      <w:r w:rsidRPr="006E5545">
        <w:rPr>
          <w:rFonts w:ascii="Arial" w:hAnsi="Arial" w:cs="Arial"/>
        </w:rPr>
        <w:t xml:space="preserve">6) ustanowienie nadzoru i wymogów w zakresie higieny dotyczących materiałów kontaktujących się z wodą przeznaczoną do spożycia przez ludzi oraz zobowiązanie państw członkowskich do stosowania takich materiałów pod warunkiem ich zatwierdzenia zgodnie z aktami delegowanymi i wykonawczymi przyjmowanymi przez KE na podstawie dyrektywy (UE) 2020/2184, w szczególności z europejską listą pozytywną materiałów określaną na mocy wyżej wymienionych aktów wykonawczych; </w:t>
      </w:r>
    </w:p>
    <w:p w:rsidR="006E5545" w:rsidRPr="006E5545" w:rsidRDefault="006E5545" w:rsidP="006E5545">
      <w:pPr>
        <w:spacing w:after="0"/>
        <w:jc w:val="both"/>
        <w:rPr>
          <w:rFonts w:ascii="Arial" w:hAnsi="Arial" w:cs="Arial"/>
        </w:rPr>
      </w:pPr>
      <w:r w:rsidRPr="006E5545">
        <w:rPr>
          <w:rFonts w:ascii="Arial" w:hAnsi="Arial" w:cs="Arial"/>
        </w:rPr>
        <w:t xml:space="preserve">7) ustanowienie wymogów dotyczących chemikaliów do uzdatniania wody i materiałów filtracyjnych kontaktujących się z wodą przeznaczoną do spożycia przez ludzi; </w:t>
      </w:r>
    </w:p>
    <w:p w:rsidR="006E5545" w:rsidRPr="006E5545" w:rsidRDefault="006E5545" w:rsidP="006E5545">
      <w:pPr>
        <w:spacing w:after="0"/>
        <w:jc w:val="both"/>
        <w:rPr>
          <w:rFonts w:ascii="Arial" w:hAnsi="Arial" w:cs="Arial"/>
        </w:rPr>
      </w:pPr>
      <w:r w:rsidRPr="006E5545">
        <w:rPr>
          <w:rFonts w:ascii="Arial" w:hAnsi="Arial" w:cs="Arial"/>
        </w:rPr>
        <w:t xml:space="preserve">8) modyfikacja zasad udzielania zgód na odstępstwa od spełniania wymagań jakościowych dla wody przeznaczonej do spożycia przez ludzi, w szczególności zmniejszenie dozwolonej liczby kolejno następujących po sobie odstępstw do dwóch (obecnie, na mocy dyrektywy 98/83/WE dopuszczalne są trzy odstępstwa); </w:t>
      </w:r>
    </w:p>
    <w:p w:rsidR="006E5545" w:rsidRPr="006E5545" w:rsidRDefault="006E5545" w:rsidP="006E5545">
      <w:pPr>
        <w:spacing w:after="0"/>
        <w:jc w:val="both"/>
        <w:rPr>
          <w:rFonts w:ascii="Arial" w:hAnsi="Arial" w:cs="Arial"/>
        </w:rPr>
      </w:pPr>
      <w:r w:rsidRPr="006E5545">
        <w:rPr>
          <w:rFonts w:ascii="Arial" w:hAnsi="Arial" w:cs="Arial"/>
        </w:rPr>
        <w:t xml:space="preserve">9) zobowiązanie państw członkowskich do wykonania oceny wycieków wody przeznaczonej do spożycia przez ludzi (wielkości wycieków wody), przekazania KE wyników tej oceny oraz opracowania planów działania w celu ograniczenia wycieków wody; </w:t>
      </w:r>
    </w:p>
    <w:p w:rsidR="006E5545" w:rsidRPr="006E5545" w:rsidRDefault="006E5545" w:rsidP="006E5545">
      <w:pPr>
        <w:spacing w:after="0"/>
        <w:jc w:val="both"/>
        <w:rPr>
          <w:rFonts w:ascii="Arial" w:hAnsi="Arial" w:cs="Arial"/>
        </w:rPr>
      </w:pPr>
      <w:r w:rsidRPr="006E5545">
        <w:rPr>
          <w:rFonts w:ascii="Arial" w:hAnsi="Arial" w:cs="Arial"/>
        </w:rPr>
        <w:t xml:space="preserve">10) nałożenie na państwa członkowskie obowiązku stosowania działań w celu poprawy dostępu ludności do wody przeznaczonej do spożycia przez ludzi, w szczególności w odniesieniu do wrażliwych i zmarginalizowanych grup ludności, oraz tworzenia i aktualizacji zbiorów danych raportowych w tym zakresie na potrzeby KE, Europejskiej Agencji Środowiska oraz Europejskiego Centrum ds. Zapobiegania i Kontroli Chorób; </w:t>
      </w:r>
    </w:p>
    <w:p w:rsidR="006E5545" w:rsidRPr="006E5545" w:rsidRDefault="006E5545" w:rsidP="006E5545">
      <w:pPr>
        <w:spacing w:after="0"/>
        <w:jc w:val="both"/>
        <w:rPr>
          <w:rFonts w:ascii="Arial" w:hAnsi="Arial" w:cs="Arial"/>
        </w:rPr>
      </w:pPr>
      <w:r w:rsidRPr="006E5545">
        <w:rPr>
          <w:rFonts w:ascii="Arial" w:hAnsi="Arial" w:cs="Arial"/>
        </w:rPr>
        <w:t xml:space="preserve">11) szczegółowe określenie obowiązków państw członkowskich w zakresie informowania konsumentów o jakości wody przeznaczonej do spożycia przez ludzi w punkcie zgodności, cenie wody przeznaczonej do spożycia przez ludzi oraz ilości zużytej wody. </w:t>
      </w:r>
    </w:p>
    <w:p w:rsidR="006E5545" w:rsidRPr="006E5545" w:rsidRDefault="006E5545" w:rsidP="006E5545">
      <w:pPr>
        <w:spacing w:after="0"/>
        <w:jc w:val="both"/>
        <w:rPr>
          <w:rFonts w:ascii="Arial" w:hAnsi="Arial" w:cs="Arial"/>
        </w:rPr>
      </w:pPr>
      <w:r w:rsidRPr="006E5545">
        <w:rPr>
          <w:rFonts w:ascii="Arial" w:hAnsi="Arial" w:cs="Arial"/>
        </w:rPr>
        <w:t>Dodatkowym celem projektu jest realizacja postulatu Najwyższej Izby Kontroli w wyniku kontroli „Gospodarowanie zasobami wodnymi przez przedsiębiorstwa wodociągowe w gminach wiejskich”. NIK dostrzegła potrzebę przeredagowania art. 21 ustawy z dnia 7 czerwca 2001 r. o zbiorowym zaopatrzeniu w wodę i zbiorowym odprowadzaniu ścieków (Dz. U. z 2024 r. poz. 757), nakładającego na przedsiębiorstwa wodociągowo-kanalizacyjne obowiązek opracowania wieloletniego planu rozwoju i modernizacji urządzeń wodociągowych i urządzeń kanalizacyjnych będących w ich posiadaniu, w świetle różnych interpretacji przepisów tego artykułu.</w:t>
      </w:r>
    </w:p>
    <w:p w:rsidR="006E5545" w:rsidRPr="006E5545" w:rsidRDefault="006E5545" w:rsidP="006E5545">
      <w:pPr>
        <w:spacing w:after="0"/>
        <w:jc w:val="both"/>
        <w:rPr>
          <w:rFonts w:ascii="Arial" w:hAnsi="Arial" w:cs="Arial"/>
        </w:rPr>
      </w:pPr>
      <w:r w:rsidRPr="006E5545">
        <w:rPr>
          <w:rFonts w:ascii="Arial" w:hAnsi="Arial" w:cs="Arial"/>
        </w:rPr>
        <w:t xml:space="preserve">W ramach transpozycji dyrektywy (UE) 2020/2184 przewiduje się wprowadzenie regulacji ustawowych, w postaci zmiany ustawy z dnia 7 czerwca 2001 r. o zbiorowym zaopatrzeniu w wodę i zbiorowym odprowadzaniu ścieków oraz niektórych innych ustaw, takich jak: </w:t>
      </w:r>
    </w:p>
    <w:p w:rsidR="006E5545" w:rsidRPr="006E5545" w:rsidRDefault="006E5545" w:rsidP="006E5545">
      <w:pPr>
        <w:spacing w:after="0"/>
        <w:jc w:val="both"/>
        <w:rPr>
          <w:rFonts w:ascii="Arial" w:hAnsi="Arial" w:cs="Arial"/>
        </w:rPr>
      </w:pPr>
      <w:r w:rsidRPr="006E5545">
        <w:rPr>
          <w:rFonts w:ascii="Arial" w:hAnsi="Arial" w:cs="Arial"/>
        </w:rPr>
        <w:t xml:space="preserve">1) określenie obowiązków dostawców wody obejmujących badania jakości wody przeznaczonej do spożycia przez ludzi w zakresie wewnętrznej kontroli jakości wody – obowiązki te będą stosowane od dnia wejścia ustawy w życie; </w:t>
      </w:r>
    </w:p>
    <w:p w:rsidR="006E5545" w:rsidRPr="006E5545" w:rsidRDefault="006E5545" w:rsidP="006E5545">
      <w:pPr>
        <w:spacing w:after="0"/>
        <w:jc w:val="both"/>
        <w:rPr>
          <w:rFonts w:ascii="Arial" w:hAnsi="Arial" w:cs="Arial"/>
        </w:rPr>
      </w:pPr>
      <w:r w:rsidRPr="006E5545">
        <w:rPr>
          <w:rFonts w:ascii="Arial" w:hAnsi="Arial" w:cs="Arial"/>
        </w:rPr>
        <w:lastRenderedPageBreak/>
        <w:t xml:space="preserve">2) doprecyzowanie kompetencji organów Państwowej Inspekcji Sanitarnej, zwanej dalej „PIS”, oraz procedur w zakresie nadzoru nad jakością wody przeznaczonej do spożycia przez ludzi, obejmujących monitoring jakości wody przeznaczonej do spożycia, stwierdzanie przydatności wody do spożycia przez ludzi, dokonywania ocen obszarowych jakości wody oraz procedowania wniosków o udzielenie zgód na odstępstwa od wymagań jakościowych dla wody – regulacje w tym zakresie będą obowiązywały od dnia wejścia ustawy w życie; </w:t>
      </w:r>
    </w:p>
    <w:p w:rsidR="006E5545" w:rsidRPr="006E5545" w:rsidRDefault="006E5545" w:rsidP="006E5545">
      <w:pPr>
        <w:spacing w:after="0"/>
        <w:jc w:val="both"/>
        <w:rPr>
          <w:rFonts w:ascii="Arial" w:hAnsi="Arial" w:cs="Arial"/>
        </w:rPr>
      </w:pPr>
      <w:r w:rsidRPr="006E5545">
        <w:rPr>
          <w:rFonts w:ascii="Arial" w:hAnsi="Arial" w:cs="Arial"/>
        </w:rPr>
        <w:t xml:space="preserve">3) zobowiązanie dostawców wody do wykonywania ocen ryzyka w obszarach zasilania ujęć wody (po raz pierwszy do dnia 12 lipca 2027 r., zgodnie z dyrektywą (UE) 2020/2184) i systemach zaopatrzenia w wodę (po raz pierwszy do dnia 12 stycznia 2029 r., zgodnie z dyrektywą (UE) 2020/2184) oraz podejmowania działań mających na celu zarządzanie tym ryzykiem; określenie kompetencji organów Państwowego Gospodarstwa Wodnego Wody Polskie, zwanego dalej „PGW WP”, w zakresie opiniowania przeprowadzonych ocen ryzyka i prowadzenia działań zapobieganiu ryzyku. Przewiduje się, że dostawcy wody będą dokonywać oceny ryzyka w obszarze zasilania ujęcia wody i co 6 lat dokonywać jej przeglądu i w razie potrzeb aktualizacji oraz przekazywać właściwym organom PIS oraz właściwym organom PGW WP. Właściwe organy PGW WP stosuje działania celem zapobiegania ryzyku lub jego kontroli oraz zapewnią KE, Europejskiej Agencji Środowiska i Europejskiemu Centrum ds. Zapobiegania i Kontroli Chorób dostęp do ocen ryzyka w obszarach zasilania ujęć wody. Ocenę ryzyka w systemach zaopatrzenia w wodę dostawcy wody przekazywać będą właściwym organom PIS; </w:t>
      </w:r>
    </w:p>
    <w:p w:rsidR="006E5545" w:rsidRPr="006E5545" w:rsidRDefault="006E5545" w:rsidP="006E5545">
      <w:pPr>
        <w:spacing w:after="0"/>
        <w:jc w:val="both"/>
        <w:rPr>
          <w:rFonts w:ascii="Arial" w:hAnsi="Arial" w:cs="Arial"/>
        </w:rPr>
      </w:pPr>
      <w:r w:rsidRPr="006E5545">
        <w:rPr>
          <w:rFonts w:ascii="Arial" w:hAnsi="Arial" w:cs="Arial"/>
        </w:rPr>
        <w:t xml:space="preserve">4) zobowiązanie właścicieli lub zarządców nieruchomości do wykonywania ocen ryzyka w wewnętrznych systemach wodociągowych (po raz pierwszy do dnia 12 lipca 2029 r., zgodnie z dyrektywą (UE) 2020/2184), uregulowanie procedur nabywania uprawnień do wykonywania tych ocen. Obowiązek wykonywania oceny ryzyka w wewnętrznych systemach wodociągowych, a następnie co 6 lat ich przeglądów i ewentualnych aktualizacji, będzie dotyczył właścicieli lub zarządców obiektów priorytetowych czyli obiektów budowlanych niemieszkalnych przeznaczonych do okresowego albo stałego pobytu ludzi oraz obiektów budowlanych użyteczności publicznej oraz właścicieli lub zarządców budynków mieszkalnych lub innych niebędących obiektami priorytetowymi, z wyłączeniem budynków mieszkalnych jednorodzinnych, w których użytkownicy mogą być narażeni na ryzyko związane z wodą przeznaczoną do spożycia przez ludzi wynikające z bakterii z rodzaju </w:t>
      </w:r>
      <w:proofErr w:type="spellStart"/>
      <w:r w:rsidRPr="006E5545">
        <w:rPr>
          <w:rFonts w:ascii="Arial" w:hAnsi="Arial" w:cs="Arial"/>
        </w:rPr>
        <w:t>Legionella</w:t>
      </w:r>
      <w:proofErr w:type="spellEnd"/>
      <w:r w:rsidRPr="006E5545">
        <w:rPr>
          <w:rFonts w:ascii="Arial" w:hAnsi="Arial" w:cs="Arial"/>
        </w:rPr>
        <w:t xml:space="preserve"> lub ołowiu. Obiekty priorytetowe zostaną określone w akcie wykonawczym do ustawy; </w:t>
      </w:r>
    </w:p>
    <w:p w:rsidR="006E5545" w:rsidRPr="006E5545" w:rsidRDefault="006E5545" w:rsidP="006E5545">
      <w:pPr>
        <w:spacing w:after="0"/>
        <w:jc w:val="both"/>
        <w:rPr>
          <w:rFonts w:ascii="Arial" w:hAnsi="Arial" w:cs="Arial"/>
        </w:rPr>
      </w:pPr>
      <w:r w:rsidRPr="006E5545">
        <w:rPr>
          <w:rFonts w:ascii="Arial" w:hAnsi="Arial" w:cs="Arial"/>
        </w:rPr>
        <w:t xml:space="preserve">5) określenie kompetencji właściwych organów w zakresie opracowywania zbiorów danych i sprawozdań na potrzeby wypełnienia zobowiązań raportowych w zakresie oceny i zarządzania ryzykiem, przekroczeń wartości parametrycznych parametrów jakości wody przeznaczonej do spożycia przez ludzi i podejmowanych w związku z tym działań naprawczych, wystąpienia incydentów lub zdarzeń skutkujących potencjalnym zagrożeniem dla zdrowia ludzi oraz udzielonych zgód na odstępstwa od wymagań dla parametrów chemicznych jakości wody przeznaczonej do spożycia przez ludzi, wobec KE, Europejskiej Agencji Środowiska oraz Europejskiego Centrum ds. Zapobiegania i Kontroli Chorób – obowiązki te będą stosowane od dnia wejścia ustawy w życie; </w:t>
      </w:r>
    </w:p>
    <w:p w:rsidR="006E5545" w:rsidRPr="006E5545" w:rsidRDefault="006E5545" w:rsidP="006E5545">
      <w:pPr>
        <w:spacing w:after="0"/>
        <w:jc w:val="both"/>
        <w:rPr>
          <w:rFonts w:ascii="Arial" w:hAnsi="Arial" w:cs="Arial"/>
        </w:rPr>
      </w:pPr>
      <w:r w:rsidRPr="006E5545">
        <w:rPr>
          <w:rFonts w:ascii="Arial" w:hAnsi="Arial" w:cs="Arial"/>
        </w:rPr>
        <w:t xml:space="preserve">6) określenie kompetencji właściwych organów w zakresie wdrażania procedur oceny zgodności, w tym tworzenia jednostek uprawnionych do oceny i weryfikacji materiałów i produktów do kontaktu z wodą przeznaczoną do spożycia przez ludzi – według zasad zharmonizowanych w Unii Europejskiej, których podstawą są akty wykonawcze i delegowane przyjęte przez KE, co wiąże się z nałożeniem obowiązków na różne grupy podmiotów: obligatoryjne zapewnienie zgodności składu materiałów z europejskimi listami pozytywnymi – </w:t>
      </w:r>
      <w:r w:rsidRPr="006E5545">
        <w:rPr>
          <w:rFonts w:ascii="Arial" w:hAnsi="Arial" w:cs="Arial"/>
        </w:rPr>
        <w:lastRenderedPageBreak/>
        <w:t xml:space="preserve">producenci materiałów; metodyki testowania i zatwierdzania materiałów końcowych oraz kryteria akceptacji wyników określone w aktach wykonawczych – laboratoria badawcze z uwagi na zakres i metodę badań, producenci z uwagi na koszty badań; przeprowadzenie oceny stałości właściwości użytkowych wyrobów – akredytowana jednostka uczestnicząca w ocenie zgodności, spełniająca wymagania określone przez KE; </w:t>
      </w:r>
    </w:p>
    <w:p w:rsidR="006E5545" w:rsidRPr="006E5545" w:rsidRDefault="006E5545" w:rsidP="006E5545">
      <w:pPr>
        <w:spacing w:after="0"/>
        <w:jc w:val="both"/>
        <w:rPr>
          <w:rFonts w:ascii="Arial" w:hAnsi="Arial" w:cs="Arial"/>
        </w:rPr>
      </w:pPr>
      <w:r w:rsidRPr="006E5545">
        <w:rPr>
          <w:rFonts w:ascii="Arial" w:hAnsi="Arial" w:cs="Arial"/>
        </w:rPr>
        <w:t xml:space="preserve">7) określenie wymagań dla producentów/importerów chemikaliów do uzdatniania wody i materiałów filtracyjnych kontaktujących się z wodą przeznaczoną do spożycia przez ludzi oraz dla dostawców wody w zakresie ich stosowania jak również określenie kompetencji właściwych organów w zakresie nadzoru nad chemikaliami do uzdatniania wody i materiałami filtracyjnymi kontaktującymi się z wodą przeznaczoną do spożycia przez ludzi; </w:t>
      </w:r>
    </w:p>
    <w:p w:rsidR="006E5545" w:rsidRPr="006E5545" w:rsidRDefault="006E5545" w:rsidP="006E5545">
      <w:pPr>
        <w:spacing w:after="0"/>
        <w:jc w:val="both"/>
        <w:rPr>
          <w:rFonts w:ascii="Arial" w:hAnsi="Arial" w:cs="Arial"/>
        </w:rPr>
      </w:pPr>
      <w:r w:rsidRPr="006E5545">
        <w:rPr>
          <w:rFonts w:ascii="Arial" w:hAnsi="Arial" w:cs="Arial"/>
        </w:rPr>
        <w:t xml:space="preserve">8) uregulowanie obowiązków dostawców wody (w szczególności przedsiębiorstw wodociągowo-kanalizacyjnych), organów PGW WP oraz ministra właściwego do spraw gospodarki wodnej w zakresie wykonania oceny wycieków wody przeznaczonej do spożycia przez ludzi (wielkości wycieków wody) oraz opracowania planów działania w celu ograniczenia wycieków wody. </w:t>
      </w:r>
    </w:p>
    <w:p w:rsidR="006E5545" w:rsidRPr="006E5545" w:rsidRDefault="006E5545" w:rsidP="006E5545">
      <w:pPr>
        <w:spacing w:after="0"/>
        <w:jc w:val="both"/>
        <w:rPr>
          <w:rFonts w:ascii="Arial" w:hAnsi="Arial" w:cs="Arial"/>
        </w:rPr>
      </w:pPr>
      <w:r w:rsidRPr="006E5545">
        <w:rPr>
          <w:rFonts w:ascii="Arial" w:hAnsi="Arial" w:cs="Arial"/>
        </w:rPr>
        <w:t xml:space="preserve">Wobec powyższego zakłada się, że przedsiębiorstwa wodociągowo-kanalizacyjne zaopatrujące w wodę co najmniej 50 000 osób lub dostarczające co najmniej średnio 10 000 m3 wody na dobę dokonają oceny wielkości wycieków wody w sieci wodociągowej za rok 2024, a następnie przekażą sprawozdania zawierające wyniki oceny właściwym jednostkom PGW WP, które zbiór danych przekażą do KE do dnia 12 stycznia 2026 r. (zgodnie z dyrektywą (UE) 2020/2184) – po uprzednim zatwierdzeniu przez ministra właściwego do spraw gospodarki wodnej. W zależności od oceny wielkości wycieków wody minister właściwy do spraw gospodarki wodnej opracuje, we współpracy z PGW WP, plan działań mających na celu ograniczenie wielkości wycieków wody i przekaże ten plan KE w terminie 2 lat od dnia przyjęcia aktu delegowanego KE; </w:t>
      </w:r>
    </w:p>
    <w:p w:rsidR="006E5545" w:rsidRPr="006E5545" w:rsidRDefault="006E5545" w:rsidP="006E5545">
      <w:pPr>
        <w:spacing w:after="0"/>
        <w:jc w:val="both"/>
        <w:rPr>
          <w:rFonts w:ascii="Arial" w:hAnsi="Arial" w:cs="Arial"/>
        </w:rPr>
      </w:pPr>
      <w:r w:rsidRPr="006E5545">
        <w:rPr>
          <w:rFonts w:ascii="Arial" w:hAnsi="Arial" w:cs="Arial"/>
        </w:rPr>
        <w:t xml:space="preserve">9) ustanowienie procedur i nałożenie obowiązków na organy lub inne jednostki organizacyjne gminy w zakresie identyfikacji osób lub grup ludności pozbawionych dostępu albo posiadających ograniczony dostęp do wody przeznaczonej do spożycia przez ludzi oraz we współpracy z dostawcami wody podejmowania działań w celu zapewnienia lub poprawy dostępu tych osób / grup do wody przeznaczonej do spożycia przez ludzi – regulacje w tym zakresie będą obowiązywały od dnia wejścia ustawy w życie. </w:t>
      </w:r>
    </w:p>
    <w:p w:rsidR="006E5545" w:rsidRPr="006E5545" w:rsidRDefault="006E5545" w:rsidP="006E5545">
      <w:pPr>
        <w:spacing w:after="0"/>
        <w:jc w:val="both"/>
        <w:rPr>
          <w:rFonts w:ascii="Arial" w:hAnsi="Arial" w:cs="Arial"/>
        </w:rPr>
      </w:pPr>
      <w:r w:rsidRPr="006E5545">
        <w:rPr>
          <w:rFonts w:ascii="Arial" w:hAnsi="Arial" w:cs="Arial"/>
        </w:rPr>
        <w:t xml:space="preserve">Zakłada się podejmowanie przez wójtów, burmistrzów lub prezydentów miast we współpracy z dostawcami wody działań w celu poprawy lub utrzymania powszechnego dostępu ludności do wody przeznaczonej do spożycia przez ludzi poprzez informowanie o możliwościach podłączenia się do sieci wodociągowej lub o alternatywnych sposobach uzyskania dostępu do wody oraz stosowanie innych niezbędnych i odpowiednich środków. Wójt, burmistrz lub prezydent miasta po uzyskaniu informacji z ośrodka pomocy społecznej identyfikuje osoby oraz wrażliwe i zmarginalizowane grupy osób bez dostępu lub o ograniczonym dostępie do wody, ocenia możliwości poprawy dostępu do wody. Wójt, burmistrz lub prezydent miast przekazuje informacje o wyżej wymienionych działaniach właściwym jednostkom PGW WP, które co 6 lat będą przekazywały te informacje do KE (po raz pierwszy do dnia 12 stycznia 2029 r., zgodnie z dyrektywą (UE) 2020/2184); </w:t>
      </w:r>
    </w:p>
    <w:p w:rsidR="006E5545" w:rsidRPr="006E5545" w:rsidRDefault="006E5545" w:rsidP="006E5545">
      <w:pPr>
        <w:spacing w:after="0"/>
        <w:jc w:val="both"/>
        <w:rPr>
          <w:rFonts w:ascii="Arial" w:hAnsi="Arial" w:cs="Arial"/>
        </w:rPr>
      </w:pPr>
      <w:r w:rsidRPr="006E5545">
        <w:rPr>
          <w:rFonts w:ascii="Arial" w:hAnsi="Arial" w:cs="Arial"/>
        </w:rPr>
        <w:t xml:space="preserve">10) szczegółowe uregulowanie obowiązków dostawców wody w zakresie informowania konsumentów o jakości, cenach i zużyciu wody oraz określenie środków przekazywania tych informacji – obowiązki te będą stosowane od dnia wejścia ustawy w życie. </w:t>
      </w:r>
    </w:p>
    <w:p w:rsidR="006E5545" w:rsidRPr="006E5545" w:rsidRDefault="006E5545" w:rsidP="006E5545">
      <w:pPr>
        <w:spacing w:after="0"/>
        <w:jc w:val="both"/>
        <w:rPr>
          <w:rFonts w:ascii="Arial" w:hAnsi="Arial" w:cs="Arial"/>
        </w:rPr>
      </w:pPr>
      <w:r w:rsidRPr="006E5545">
        <w:rPr>
          <w:rFonts w:ascii="Arial" w:hAnsi="Arial" w:cs="Arial"/>
        </w:rPr>
        <w:t xml:space="preserve">Zakłada się przynajmniej raz do roku przekazywanie przez dostawców wody konsumentom np. na fakturze lub w aplikacji mobilnej informacji dotyczących: ilości rocznie zużytej wody; </w:t>
      </w:r>
      <w:r w:rsidRPr="006E5545">
        <w:rPr>
          <w:rFonts w:ascii="Arial" w:hAnsi="Arial" w:cs="Arial"/>
        </w:rPr>
        <w:lastRenderedPageBreak/>
        <w:t>przebiegu zużycia w porównaniu ze średnim zużyciem w gospodarstwach domowych, ceny za litr wody dla porównania z cenami wody butelkowanej.</w:t>
      </w:r>
    </w:p>
    <w:p w:rsidR="006E5545" w:rsidRPr="006E5545" w:rsidRDefault="006E5545" w:rsidP="006E5545">
      <w:pPr>
        <w:spacing w:after="0"/>
        <w:jc w:val="both"/>
        <w:rPr>
          <w:rFonts w:ascii="Arial" w:hAnsi="Arial" w:cs="Arial"/>
        </w:rPr>
      </w:pPr>
      <w:r w:rsidRPr="006E5545">
        <w:rPr>
          <w:rFonts w:ascii="Arial" w:hAnsi="Arial" w:cs="Arial"/>
        </w:rPr>
        <w:t xml:space="preserve">Dostęp online do aktualnych informacji, takich jak jakość wody, przekroczenia wartości parametrycznych, twardość oraz stopień mineralizacji wody, wyniki programów monitoringu, wyniki oceny ryzyka itp. </w:t>
      </w:r>
    </w:p>
    <w:p w:rsidR="006E5545" w:rsidRPr="006E5545" w:rsidRDefault="006E5545" w:rsidP="006E5545">
      <w:pPr>
        <w:spacing w:after="0"/>
        <w:jc w:val="both"/>
        <w:rPr>
          <w:rFonts w:ascii="Arial" w:hAnsi="Arial" w:cs="Arial"/>
        </w:rPr>
      </w:pPr>
      <w:r w:rsidRPr="006E5545">
        <w:rPr>
          <w:rFonts w:ascii="Arial" w:hAnsi="Arial" w:cs="Arial"/>
        </w:rPr>
        <w:t xml:space="preserve">W ramach realizacji wniosków po kontroli NIK „Gospodarowanie zasobami wodnymi przez przedsiębiorstwa wodociągowe w gminach wiejskich” przewiduje się zmianę art. 21 ustawy z dnia 7 czerwca 2001 r. o zbiorowym zaopatrzeniu w wodę i zbiorowym odprowadzaniu ścieków polegającą na zwolnieniu z obowiązku opracowania wieloletniego planu przedsiębiorstw wodociągowych, które nie tylko nie planują budowy urządzeń wodociągowych lub urządzeń kanalizacyjnych, ale również nie planują ich modernizacji. </w:t>
      </w:r>
    </w:p>
    <w:p w:rsidR="006E5545" w:rsidRDefault="006E5545" w:rsidP="006E5545">
      <w:pPr>
        <w:spacing w:after="0"/>
        <w:jc w:val="both"/>
        <w:rPr>
          <w:rFonts w:ascii="Arial" w:hAnsi="Arial" w:cs="Arial"/>
        </w:rPr>
      </w:pPr>
      <w:r w:rsidRPr="006E5545">
        <w:rPr>
          <w:rFonts w:ascii="Arial" w:hAnsi="Arial" w:cs="Arial"/>
        </w:rPr>
        <w:t>Nie jest możliwe osiągnięcie celów za pomocą innych środków, ze względu na wynikającą z przepisów prawa obligatoryjność wydania nowelizacji ustawy</w:t>
      </w:r>
      <w:r>
        <w:rPr>
          <w:rFonts w:ascii="Arial" w:hAnsi="Arial" w:cs="Arial"/>
        </w:rPr>
        <w:t>.</w:t>
      </w:r>
    </w:p>
    <w:p w:rsidR="006E5545" w:rsidRDefault="006E5545" w:rsidP="006E5545">
      <w:pPr>
        <w:spacing w:after="0"/>
        <w:jc w:val="both"/>
        <w:rPr>
          <w:rFonts w:ascii="Arial" w:hAnsi="Arial" w:cs="Arial"/>
        </w:rPr>
      </w:pPr>
    </w:p>
    <w:p w:rsidR="006E5545" w:rsidRPr="006E5545" w:rsidRDefault="006E5545" w:rsidP="006E5545">
      <w:pPr>
        <w:spacing w:after="0"/>
        <w:jc w:val="both"/>
        <w:rPr>
          <w:rFonts w:ascii="Arial" w:hAnsi="Arial" w:cs="Arial"/>
        </w:rPr>
      </w:pPr>
      <w:r w:rsidRPr="006E5545">
        <w:rPr>
          <w:rFonts w:ascii="Arial" w:hAnsi="Arial" w:cs="Arial"/>
        </w:rPr>
        <w:t>Przedmiotowy projekt aktu prawnego wraz Uzasadnieniem oraz Oceną Skutków Regulacji dostępny jest na stronach Rządowego Centrum Legislacji pod adresem:</w:t>
      </w:r>
    </w:p>
    <w:p w:rsidR="006E5545" w:rsidRDefault="006E5545" w:rsidP="006E5545">
      <w:pPr>
        <w:spacing w:after="0"/>
        <w:jc w:val="both"/>
        <w:rPr>
          <w:rFonts w:ascii="Arial" w:hAnsi="Arial" w:cs="Arial"/>
        </w:rPr>
      </w:pPr>
      <w:hyperlink r:id="rId8" w:history="1">
        <w:r w:rsidRPr="00454EE5">
          <w:rPr>
            <w:rStyle w:val="Hipercze"/>
            <w:rFonts w:ascii="Arial" w:hAnsi="Arial" w:cs="Arial"/>
          </w:rPr>
          <w:t>https://legislacja.rcl.gov.pl/projekt/123901</w:t>
        </w:r>
        <w:r w:rsidRPr="00454EE5">
          <w:rPr>
            <w:rStyle w:val="Hipercze"/>
            <w:rFonts w:ascii="Arial" w:hAnsi="Arial" w:cs="Arial"/>
          </w:rPr>
          <w:t>0</w:t>
        </w:r>
        <w:r w:rsidRPr="00454EE5">
          <w:rPr>
            <w:rStyle w:val="Hipercze"/>
            <w:rFonts w:ascii="Arial" w:hAnsi="Arial" w:cs="Arial"/>
          </w:rPr>
          <w:t>6/katalog/13085037#13085037</w:t>
        </w:r>
      </w:hyperlink>
      <w:r>
        <w:rPr>
          <w:rFonts w:ascii="Arial" w:hAnsi="Arial" w:cs="Arial"/>
        </w:rPr>
        <w:t xml:space="preserve"> </w:t>
      </w:r>
      <w:r w:rsidRPr="006E5545">
        <w:rPr>
          <w:rFonts w:ascii="Arial" w:hAnsi="Arial" w:cs="Arial"/>
        </w:rPr>
        <w:t xml:space="preserve">  </w:t>
      </w:r>
    </w:p>
    <w:p w:rsidR="006E5545" w:rsidRDefault="006E5545" w:rsidP="006E5545">
      <w:pPr>
        <w:spacing w:after="0"/>
        <w:jc w:val="both"/>
        <w:rPr>
          <w:rFonts w:ascii="Arial" w:hAnsi="Arial" w:cs="Arial"/>
        </w:rPr>
      </w:pPr>
    </w:p>
    <w:p w:rsidR="006E5545" w:rsidRDefault="006E5545" w:rsidP="006E5545">
      <w:pPr>
        <w:spacing w:after="0"/>
        <w:jc w:val="both"/>
        <w:rPr>
          <w:rFonts w:ascii="Arial" w:hAnsi="Arial" w:cs="Arial"/>
        </w:rPr>
      </w:pPr>
      <w:r w:rsidRPr="00CE31DF">
        <w:rPr>
          <w:rFonts w:ascii="Arial" w:hAnsi="Arial" w:cs="Arial"/>
        </w:rPr>
        <w:t>Projekt jest obecnie jednocześnie na etapie uzgodnień, konsultacji publicznych i opiniowania</w:t>
      </w:r>
      <w:r>
        <w:rPr>
          <w:rFonts w:ascii="Arial" w:hAnsi="Arial" w:cs="Arial"/>
        </w:rPr>
        <w:t>.</w:t>
      </w:r>
    </w:p>
    <w:p w:rsidR="006E5545" w:rsidRPr="006E5545" w:rsidRDefault="006E5545" w:rsidP="006E5545">
      <w:pPr>
        <w:spacing w:after="0"/>
        <w:jc w:val="both"/>
        <w:rPr>
          <w:rFonts w:ascii="Arial" w:hAnsi="Arial" w:cs="Arial"/>
        </w:rPr>
      </w:pPr>
    </w:p>
    <w:p w:rsidR="001779F8" w:rsidRDefault="00690049" w:rsidP="00690049">
      <w:pPr>
        <w:pStyle w:val="Akapitzlist"/>
        <w:numPr>
          <w:ilvl w:val="0"/>
          <w:numId w:val="3"/>
        </w:numPr>
        <w:spacing w:after="0"/>
        <w:jc w:val="both"/>
        <w:rPr>
          <w:rFonts w:ascii="Arial" w:hAnsi="Arial" w:cs="Arial"/>
          <w:b/>
          <w:u w:val="single"/>
        </w:rPr>
      </w:pPr>
      <w:r w:rsidRPr="00690049">
        <w:rPr>
          <w:rFonts w:ascii="Arial" w:hAnsi="Arial" w:cs="Arial"/>
          <w:b/>
          <w:u w:val="single"/>
        </w:rPr>
        <w:t>projekt ustawy o zmianie ustawy o rynku mocy (numer z wykazu UC70)</w:t>
      </w:r>
    </w:p>
    <w:p w:rsidR="00690049" w:rsidRDefault="00690049" w:rsidP="00690049">
      <w:pPr>
        <w:spacing w:after="0"/>
        <w:jc w:val="both"/>
        <w:rPr>
          <w:rFonts w:ascii="Arial" w:hAnsi="Arial" w:cs="Arial"/>
        </w:rPr>
      </w:pPr>
    </w:p>
    <w:p w:rsidR="00690049" w:rsidRPr="00690049" w:rsidRDefault="00690049" w:rsidP="00690049">
      <w:pPr>
        <w:spacing w:after="0"/>
        <w:jc w:val="both"/>
        <w:rPr>
          <w:rFonts w:ascii="Arial" w:hAnsi="Arial" w:cs="Arial"/>
        </w:rPr>
      </w:pPr>
      <w:r w:rsidRPr="00690049">
        <w:rPr>
          <w:rFonts w:ascii="Arial" w:hAnsi="Arial" w:cs="Arial"/>
        </w:rPr>
        <w:t>Ustawą z dnia 8 grudnia 2017 r. o rynku mocy (Dz. U. z 2023 r. poz. 2131) wprowadzono w Polsce mechanizm wystarczalności zasobów w postaci rynku mocy, którego celem jest zapewnienie bezpieczeństwa dostaw energii elektrycznej w Krajowym Systemie Elektroenergetycznym (KSE). Mechanizm ten zapewnia możliwość wynagradzania uczestników rynku (jednostki wytwórcze, odpowiedź odbioru (DSR), magazyny energii) za ich pozostawanie w gotowości do dostarczania mocy i zapewnienie dostaw energii elektrycznej do systemu elektroenergetycznego w przypadku przewidywanych problemów z pokryciem zapotrzebowania na moc w systemie w czasie okresu przywołania na rynku mocy.</w:t>
      </w:r>
    </w:p>
    <w:p w:rsidR="00690049" w:rsidRPr="00690049" w:rsidRDefault="00690049" w:rsidP="00690049">
      <w:pPr>
        <w:spacing w:after="0"/>
        <w:jc w:val="both"/>
        <w:rPr>
          <w:rFonts w:ascii="Arial" w:hAnsi="Arial" w:cs="Arial"/>
        </w:rPr>
      </w:pPr>
      <w:r w:rsidRPr="00690049">
        <w:rPr>
          <w:rFonts w:ascii="Arial" w:hAnsi="Arial" w:cs="Arial"/>
        </w:rPr>
        <w:t xml:space="preserve">Mechanizm rynku mocy został zmodyfikowany przepisami Rozporządzenia Parlamentu Europejskiego i Rady (UE) 2019/943 w sprawie rynku wewnętrznego energii elektrycznej (Dz. Urz. UE L 158/54 z dnia 14.6.2019 r., dalej „rozporządzenie rynkowe”), gdzie w art. 22 ust. 4 tego rozporządzenia wprowadzono wymogi dotyczące limitów emisji CO2 dla mechanizmów zdolności wytwórczych. Wobec powyższego konieczne było dostosowanie polskiego rynku mocy do wprowadzonych limitów emisji CO2, w konsekwencji czego od 1.07.2025 r. jednostki wytwórcze emitujące powyżej 550 kg CO2/MWh „nie będą posiadały zobowiązań ani nie będą otrzymywać płatności lub zobowiązań dotyczących przyszłych płatności w ramach mechanizmu zdolności wytwórczych” (art. 22 ust. 4 lit. b). Biorąc pod uwagę okres wyprzedzenia, z jakim zawierane są umowy na rynku mocy (tzw. </w:t>
      </w:r>
      <w:proofErr w:type="spellStart"/>
      <w:r w:rsidRPr="00690049">
        <w:rPr>
          <w:rFonts w:ascii="Arial" w:hAnsi="Arial" w:cs="Arial"/>
        </w:rPr>
        <w:t>lead</w:t>
      </w:r>
      <w:proofErr w:type="spellEnd"/>
      <w:r w:rsidRPr="00690049">
        <w:rPr>
          <w:rFonts w:ascii="Arial" w:hAnsi="Arial" w:cs="Arial"/>
        </w:rPr>
        <w:t xml:space="preserve"> </w:t>
      </w:r>
      <w:proofErr w:type="spellStart"/>
      <w:r w:rsidRPr="00690049">
        <w:rPr>
          <w:rFonts w:ascii="Arial" w:hAnsi="Arial" w:cs="Arial"/>
        </w:rPr>
        <w:t>time</w:t>
      </w:r>
      <w:proofErr w:type="spellEnd"/>
      <w:r w:rsidRPr="00690049">
        <w:rPr>
          <w:rFonts w:ascii="Arial" w:hAnsi="Arial" w:cs="Arial"/>
        </w:rPr>
        <w:t xml:space="preserve"> – dla aukcji głównej 5 lat, dla aukcji dodatkowej 1 rok), ograniczenia w możliwości zawierania kontraktów </w:t>
      </w:r>
      <w:proofErr w:type="spellStart"/>
      <w:r w:rsidRPr="00690049">
        <w:rPr>
          <w:rFonts w:ascii="Arial" w:hAnsi="Arial" w:cs="Arial"/>
        </w:rPr>
        <w:t>mocowych</w:t>
      </w:r>
      <w:proofErr w:type="spellEnd"/>
      <w:r w:rsidRPr="00690049">
        <w:rPr>
          <w:rFonts w:ascii="Arial" w:hAnsi="Arial" w:cs="Arial"/>
        </w:rPr>
        <w:t xml:space="preserve"> na rynku mocy dla jednostek emitujących powyżej 550 kg CO2/MWh miały miejsce już w trakcie aukcji głównej na rok dostaw 2025 (od II półrocza), która miała miejsce w 2020 r., oraz aukcji dodatkowej na dwa kwartały 2025 r., które miały miejsce w 2024 r.</w:t>
      </w:r>
    </w:p>
    <w:p w:rsidR="00690049" w:rsidRPr="00690049" w:rsidRDefault="00690049" w:rsidP="00690049">
      <w:pPr>
        <w:spacing w:after="0"/>
        <w:jc w:val="both"/>
        <w:rPr>
          <w:rFonts w:ascii="Arial" w:hAnsi="Arial" w:cs="Arial"/>
        </w:rPr>
      </w:pPr>
      <w:r w:rsidRPr="00690049">
        <w:rPr>
          <w:rFonts w:ascii="Arial" w:hAnsi="Arial" w:cs="Arial"/>
        </w:rPr>
        <w:t xml:space="preserve">Wprowadzenie limitu emisji CO2 na rynku mocy ograniczyło znacząco zakres podmiotów, które konkurują w ramach aukcji rynku mocy, co może prowadzić do braku pokrycia całego zapotrzebowania na moc, jakie jest niezbędne do zapewnienia bezpieczeństwa dostaw. Aby </w:t>
      </w:r>
      <w:r w:rsidRPr="00690049">
        <w:rPr>
          <w:rFonts w:ascii="Arial" w:hAnsi="Arial" w:cs="Arial"/>
        </w:rPr>
        <w:lastRenderedPageBreak/>
        <w:t>rozwiązać ten problem, projektodawca zaproponował wprowadzenie dodatkowej aukcji uzupełniającej, w ramach której możliwy byłby udział jednostek wytwórczych emitujących powyżej 550 kg CO2/MWh i ich konkurowanie z pozostałymi podmiotami, które spełniają limit emisji 550 kg CO2/MWh (jednostki wytwórcze, magazyny energii, DSR). Taką możliwość – w ograniczonym czasie i pod rygorystycznymi warunkami umożliwia rozporządzenie Parlamentu Europejskiego i Rady (UE) 2024/1747 z dnia 13 czerwca 2024 r.  zmieniające rozporządzenia (UE) 2019/942 i (UE) 2019/943 w odniesieniu do poprawy struktury unijnego rynku energii elektrycznej (Dz. Urz. UE L z dnia 26.6.2024 r., dalej „rozporządzenie EMD”).</w:t>
      </w:r>
    </w:p>
    <w:p w:rsidR="00690049" w:rsidRPr="00690049" w:rsidRDefault="00690049" w:rsidP="00690049">
      <w:pPr>
        <w:spacing w:after="0"/>
        <w:jc w:val="both"/>
        <w:rPr>
          <w:rFonts w:ascii="Arial" w:hAnsi="Arial" w:cs="Arial"/>
        </w:rPr>
      </w:pPr>
      <w:r w:rsidRPr="00690049">
        <w:rPr>
          <w:rFonts w:ascii="Arial" w:hAnsi="Arial" w:cs="Arial"/>
        </w:rPr>
        <w:t xml:space="preserve">Projektodawca proponuje wprowadzenie aukcji uzupełniających w ramach obecnego mechanizmu rynku mocy. Aukcje uzupełniające muszą spełniać rygorystyczne warunki określone w art. 2 pkt 16 rozporządzenia EMD (dodawany ust. 2c w art. 64 rozporządzenia rynkowego). W związku z tym projektodawca proponuje przeprowadzenie czterech aukcji uzupełniających na następujące okresy dostaw: II połowa 2025 r. (aukcja półroczna) oraz na lata dostaw 2026, 2027 i 2028 (aukcje roczne). Aukcje uzupełniające zostaną przeprowadzone po zakończeniu aukcji dodatkowych rynku mocy, tzn. będą przeprowadzone z krótszym niż rok wyprzedzeniem względem momentu rozpoczęcie trwania obowiązku </w:t>
      </w:r>
      <w:proofErr w:type="spellStart"/>
      <w:r w:rsidRPr="00690049">
        <w:rPr>
          <w:rFonts w:ascii="Arial" w:hAnsi="Arial" w:cs="Arial"/>
        </w:rPr>
        <w:t>mocowego</w:t>
      </w:r>
      <w:proofErr w:type="spellEnd"/>
      <w:r w:rsidRPr="00690049">
        <w:rPr>
          <w:rFonts w:ascii="Arial" w:hAnsi="Arial" w:cs="Arial"/>
        </w:rPr>
        <w:t xml:space="preserve"> (</w:t>
      </w:r>
      <w:proofErr w:type="spellStart"/>
      <w:r w:rsidRPr="00690049">
        <w:rPr>
          <w:rFonts w:ascii="Arial" w:hAnsi="Arial" w:cs="Arial"/>
        </w:rPr>
        <w:t>lead</w:t>
      </w:r>
      <w:proofErr w:type="spellEnd"/>
      <w:r w:rsidRPr="00690049">
        <w:rPr>
          <w:rFonts w:ascii="Arial" w:hAnsi="Arial" w:cs="Arial"/>
        </w:rPr>
        <w:t xml:space="preserve"> </w:t>
      </w:r>
      <w:proofErr w:type="spellStart"/>
      <w:r w:rsidRPr="00690049">
        <w:rPr>
          <w:rFonts w:ascii="Arial" w:hAnsi="Arial" w:cs="Arial"/>
        </w:rPr>
        <w:t>time</w:t>
      </w:r>
      <w:proofErr w:type="spellEnd"/>
      <w:r w:rsidRPr="00690049">
        <w:rPr>
          <w:rFonts w:ascii="Arial" w:hAnsi="Arial" w:cs="Arial"/>
        </w:rPr>
        <w:t>).</w:t>
      </w:r>
    </w:p>
    <w:p w:rsidR="00690049" w:rsidRPr="00690049" w:rsidRDefault="00690049" w:rsidP="00690049">
      <w:pPr>
        <w:spacing w:after="0"/>
        <w:jc w:val="both"/>
        <w:rPr>
          <w:rFonts w:ascii="Arial" w:hAnsi="Arial" w:cs="Arial"/>
        </w:rPr>
      </w:pPr>
      <w:r w:rsidRPr="00690049">
        <w:rPr>
          <w:rFonts w:ascii="Arial" w:hAnsi="Arial" w:cs="Arial"/>
        </w:rPr>
        <w:t xml:space="preserve">Aukcje uzupełniające będą w swej istocie przedłużeniem procesu istniejących procesów rynku mocy (m.in. aukcji dodatkowych): będą organizowane w przypadku, gdy po przeprowadzeniu pierwotnych procesów rynku mocy na dany rok dostaw (aukcja główna i akcje dodatkowe) zidentyfikowany problem z wystarczalnością zasobów wytwórczych nie zostanie rozwiązany, a fakt ten potwierdzony zostanie przez Krajową ocenę wystarczalności zasobów (NRAA – ang. </w:t>
      </w:r>
      <w:proofErr w:type="spellStart"/>
      <w:r w:rsidRPr="00690049">
        <w:rPr>
          <w:rFonts w:ascii="Arial" w:hAnsi="Arial" w:cs="Arial"/>
        </w:rPr>
        <w:t>national</w:t>
      </w:r>
      <w:proofErr w:type="spellEnd"/>
      <w:r w:rsidRPr="00690049">
        <w:rPr>
          <w:rFonts w:ascii="Arial" w:hAnsi="Arial" w:cs="Arial"/>
        </w:rPr>
        <w:t xml:space="preserve"> </w:t>
      </w:r>
      <w:proofErr w:type="spellStart"/>
      <w:r w:rsidRPr="00690049">
        <w:rPr>
          <w:rFonts w:ascii="Arial" w:hAnsi="Arial" w:cs="Arial"/>
        </w:rPr>
        <w:t>resource</w:t>
      </w:r>
      <w:proofErr w:type="spellEnd"/>
      <w:r w:rsidRPr="00690049">
        <w:rPr>
          <w:rFonts w:ascii="Arial" w:hAnsi="Arial" w:cs="Arial"/>
        </w:rPr>
        <w:t xml:space="preserve"> </w:t>
      </w:r>
      <w:proofErr w:type="spellStart"/>
      <w:r w:rsidRPr="00690049">
        <w:rPr>
          <w:rFonts w:ascii="Arial" w:hAnsi="Arial" w:cs="Arial"/>
        </w:rPr>
        <w:t>adequacy</w:t>
      </w:r>
      <w:proofErr w:type="spellEnd"/>
      <w:r w:rsidRPr="00690049">
        <w:rPr>
          <w:rFonts w:ascii="Arial" w:hAnsi="Arial" w:cs="Arial"/>
        </w:rPr>
        <w:t xml:space="preserve"> </w:t>
      </w:r>
      <w:proofErr w:type="spellStart"/>
      <w:r w:rsidRPr="00690049">
        <w:rPr>
          <w:rFonts w:ascii="Arial" w:hAnsi="Arial" w:cs="Arial"/>
        </w:rPr>
        <w:t>assessment</w:t>
      </w:r>
      <w:proofErr w:type="spellEnd"/>
      <w:r w:rsidRPr="00690049">
        <w:rPr>
          <w:rFonts w:ascii="Arial" w:hAnsi="Arial" w:cs="Arial"/>
        </w:rPr>
        <w:t>) sporządzaną na podstawie art. 24 rozporządzenia rynkowego oraz przepisów krajowych, tj. art. 15i ustawy z dnia 10 kwietnia 1997 r. – Prawo energetyczne (Dz. U. z 2024 r., poz. 266, 834 i 859).</w:t>
      </w:r>
    </w:p>
    <w:p w:rsidR="00690049" w:rsidRPr="00690049" w:rsidRDefault="00690049" w:rsidP="00690049">
      <w:pPr>
        <w:spacing w:after="0"/>
        <w:jc w:val="both"/>
        <w:rPr>
          <w:rFonts w:ascii="Arial" w:hAnsi="Arial" w:cs="Arial"/>
        </w:rPr>
      </w:pPr>
      <w:r w:rsidRPr="00690049">
        <w:rPr>
          <w:rFonts w:ascii="Arial" w:hAnsi="Arial" w:cs="Arial"/>
        </w:rPr>
        <w:t>Organizacja aukcji uzupełniających po zakończeniu procesów aukcji dodatkowych na danych rok dostaw zapewni, że zmaksymalizowany zostanie udział dostawców zdolności wytwórczych spełniających limit emisji CO2 (art. 64 ust. 2c lit. a rozporządzenia rynkowego), ponieważ jednostki niskoemisyjne mogą uczestniczyć zarówno w procesach pierwotnych rynku mocy (aukcja główna i dodatkowe) bez konkurencji ze strony jednostek wysokoemisyjnych, jak i konkurować z nimi w aukcjach uzupełniających. Jednostki wytwórcze niespełniające limitu emisji CO2 otrzymają możliwość zawarcia kontraktów na nie więcej niż jeden rok dostaw (art. 68 ust. 2c lit. a rozporządzenia rynkowego), ponieważ w aukcji uzupełniającej będą mogły zawrzeć kontrakt na pół roku (II półrocze 2025 r.) lub na rok (2026, 2027 lub 2028). Aukcje uzupełniające będą organizowane na dany rok dostaw w przypadku stwierdzenia uzasadnionej potrzeby zakupu dodatkowych mocy (co potwierdzi NRAA wykonana przez operatora), tak aby zapewnić spełnienie wymogu określonego w art. 64 ust. 2c lit. b rozporządzenia rynkowego, tj. zapewnienia, że ilość zdolności wytwórczy oferowanych w pierwotnych procesach rynku mocy (aukcje główna i dodatkowe) na dany rok dostaw nie jest wystarczająca, aby rozwiązać problem związany z wystarczalnością mocy w systemie elektroenergetycznym.</w:t>
      </w:r>
    </w:p>
    <w:p w:rsidR="00690049" w:rsidRPr="00690049" w:rsidRDefault="00690049" w:rsidP="00690049">
      <w:pPr>
        <w:spacing w:after="0"/>
        <w:jc w:val="both"/>
        <w:rPr>
          <w:rFonts w:ascii="Arial" w:hAnsi="Arial" w:cs="Arial"/>
        </w:rPr>
      </w:pPr>
      <w:r w:rsidRPr="00690049">
        <w:rPr>
          <w:rFonts w:ascii="Arial" w:hAnsi="Arial" w:cs="Arial"/>
        </w:rPr>
        <w:t xml:space="preserve">Do udziału w aukcjach uzupełniających będą uprawnione: istniejące jednostki wytwórcze, istniejące jednostki wytwórcze zagraniczne (które wcześniej wygrały aukcję wstępną na dany okres dostaw, ale nie zawarły umowy mocowej), jednostki DSR składające się z istniejących jednostek fizycznych oraz jednostki DSR składające się z istniejących jednostek fizycznych zagranicznych (na zasadach jak jednostki wytwórcze zagranicznej), a także jednostki DSR planowane. Aby uczestniczyć w aukcjach uzupełniających, dany podmiot musi wziąć udział </w:t>
      </w:r>
      <w:r w:rsidRPr="00690049">
        <w:rPr>
          <w:rFonts w:ascii="Arial" w:hAnsi="Arial" w:cs="Arial"/>
        </w:rPr>
        <w:lastRenderedPageBreak/>
        <w:t>w certyfikacji ogólnej dla danego roku dostaw oraz w certyfikacji do aukcji uzupełniającej, podczas które deklaruje również swój udział w aukcji uzupełniającej.</w:t>
      </w:r>
    </w:p>
    <w:p w:rsidR="00690049" w:rsidRDefault="00690049" w:rsidP="00690049">
      <w:pPr>
        <w:spacing w:after="0"/>
        <w:jc w:val="both"/>
        <w:rPr>
          <w:rFonts w:ascii="Arial" w:hAnsi="Arial" w:cs="Arial"/>
        </w:rPr>
      </w:pPr>
      <w:r w:rsidRPr="00690049">
        <w:rPr>
          <w:rFonts w:ascii="Arial" w:hAnsi="Arial" w:cs="Arial"/>
        </w:rPr>
        <w:t xml:space="preserve">Sposób określenia parametrów aukcji uzupełniających rynku mocy został określony w przepisach ustawy. Parametry aukcji uzupełniającej na dany rok będą ogłoszone przez ministra właściwego ds. energii. Dodatkowo, status </w:t>
      </w:r>
      <w:proofErr w:type="spellStart"/>
      <w:r w:rsidRPr="00690049">
        <w:rPr>
          <w:rFonts w:ascii="Arial" w:hAnsi="Arial" w:cs="Arial"/>
        </w:rPr>
        <w:t>cenotwórcy</w:t>
      </w:r>
      <w:proofErr w:type="spellEnd"/>
      <w:r w:rsidRPr="00690049">
        <w:rPr>
          <w:rFonts w:ascii="Arial" w:hAnsi="Arial" w:cs="Arial"/>
        </w:rPr>
        <w:t xml:space="preserve"> i </w:t>
      </w:r>
      <w:proofErr w:type="spellStart"/>
      <w:r w:rsidRPr="00690049">
        <w:rPr>
          <w:rFonts w:ascii="Arial" w:hAnsi="Arial" w:cs="Arial"/>
        </w:rPr>
        <w:t>cenobiorcy</w:t>
      </w:r>
      <w:proofErr w:type="spellEnd"/>
      <w:r w:rsidRPr="00690049">
        <w:rPr>
          <w:rFonts w:ascii="Arial" w:hAnsi="Arial" w:cs="Arial"/>
        </w:rPr>
        <w:t xml:space="preserve"> będzie przyznany zgodnie z zasadami obowiązującymi na aukcji dodatkowej, tj. jednostki wytwórcze istniejące będą mieć status </w:t>
      </w:r>
      <w:proofErr w:type="spellStart"/>
      <w:r w:rsidRPr="00690049">
        <w:rPr>
          <w:rFonts w:ascii="Arial" w:hAnsi="Arial" w:cs="Arial"/>
        </w:rPr>
        <w:t>cenobiorcy</w:t>
      </w:r>
      <w:proofErr w:type="spellEnd"/>
      <w:r w:rsidRPr="00690049">
        <w:rPr>
          <w:rFonts w:ascii="Arial" w:hAnsi="Arial" w:cs="Arial"/>
        </w:rPr>
        <w:t xml:space="preserve">, a jednostki DSR i jednostki składające się z jednostek fizycznych zagranicznych będą mieć status </w:t>
      </w:r>
      <w:proofErr w:type="spellStart"/>
      <w:r w:rsidRPr="00690049">
        <w:rPr>
          <w:rFonts w:ascii="Arial" w:hAnsi="Arial" w:cs="Arial"/>
        </w:rPr>
        <w:t>cenotwórcy</w:t>
      </w:r>
      <w:proofErr w:type="spellEnd"/>
      <w:r w:rsidRPr="00690049">
        <w:rPr>
          <w:rFonts w:ascii="Arial" w:hAnsi="Arial" w:cs="Arial"/>
        </w:rPr>
        <w:t>. Aukcje uzupełniające będą realizowane na zasadach analogicznych do obecnych aukcji głównych i dodatkowym: w formule aukcji holenderskiej, w rundach, ze spadającą ceną, z ustaloną ceną maksymalną oraz jednolitą ceną zamknięcia aukcji</w:t>
      </w:r>
      <w:r>
        <w:rPr>
          <w:rFonts w:ascii="Arial" w:hAnsi="Arial" w:cs="Arial"/>
        </w:rPr>
        <w:t>.</w:t>
      </w:r>
    </w:p>
    <w:p w:rsidR="00690049" w:rsidRDefault="00690049" w:rsidP="00690049">
      <w:pPr>
        <w:spacing w:after="0"/>
        <w:jc w:val="both"/>
        <w:rPr>
          <w:rFonts w:ascii="Arial" w:hAnsi="Arial" w:cs="Arial"/>
        </w:rPr>
      </w:pPr>
    </w:p>
    <w:p w:rsidR="00690049" w:rsidRPr="00690049" w:rsidRDefault="00690049" w:rsidP="00690049">
      <w:pPr>
        <w:spacing w:after="0"/>
        <w:jc w:val="both"/>
        <w:rPr>
          <w:rFonts w:ascii="Arial" w:hAnsi="Arial" w:cs="Arial"/>
        </w:rPr>
      </w:pPr>
      <w:r w:rsidRPr="00690049">
        <w:rPr>
          <w:rFonts w:ascii="Arial" w:hAnsi="Arial" w:cs="Arial"/>
        </w:rPr>
        <w:t>Przedmiotowy projekt aktu prawnego wraz Uzasadnieniem, Oceną Skutków Regulacji, Tabelą zgodności oraz Odwróconą tabelą zgodności dostępny jest na stronach Rządowego Centrum Legislacji pod adresem:</w:t>
      </w:r>
    </w:p>
    <w:p w:rsidR="00690049" w:rsidRDefault="00690049" w:rsidP="00690049">
      <w:pPr>
        <w:spacing w:after="0"/>
        <w:jc w:val="both"/>
        <w:rPr>
          <w:rFonts w:ascii="Arial" w:hAnsi="Arial" w:cs="Arial"/>
        </w:rPr>
      </w:pPr>
      <w:hyperlink r:id="rId9" w:history="1">
        <w:r w:rsidRPr="00454EE5">
          <w:rPr>
            <w:rStyle w:val="Hipercze"/>
            <w:rFonts w:ascii="Arial" w:hAnsi="Arial" w:cs="Arial"/>
          </w:rPr>
          <w:t>https://legislacja.rcl.gov.pl/p</w:t>
        </w:r>
        <w:r w:rsidRPr="00454EE5">
          <w:rPr>
            <w:rStyle w:val="Hipercze"/>
            <w:rFonts w:ascii="Arial" w:hAnsi="Arial" w:cs="Arial"/>
          </w:rPr>
          <w:t>r</w:t>
        </w:r>
        <w:r w:rsidRPr="00454EE5">
          <w:rPr>
            <w:rStyle w:val="Hipercze"/>
            <w:rFonts w:ascii="Arial" w:hAnsi="Arial" w:cs="Arial"/>
          </w:rPr>
          <w:t>ojekt/12390164/katalog/13085791#13085791</w:t>
        </w:r>
      </w:hyperlink>
      <w:r>
        <w:rPr>
          <w:rFonts w:ascii="Arial" w:hAnsi="Arial" w:cs="Arial"/>
        </w:rPr>
        <w:t xml:space="preserve"> </w:t>
      </w:r>
    </w:p>
    <w:p w:rsidR="00690049" w:rsidRDefault="00690049" w:rsidP="00690049">
      <w:pPr>
        <w:spacing w:after="0"/>
        <w:jc w:val="both"/>
        <w:rPr>
          <w:rFonts w:ascii="Arial" w:hAnsi="Arial" w:cs="Arial"/>
        </w:rPr>
      </w:pPr>
    </w:p>
    <w:p w:rsidR="00690049" w:rsidRPr="00690049" w:rsidRDefault="00690049" w:rsidP="00690049">
      <w:pPr>
        <w:spacing w:after="0"/>
        <w:jc w:val="both"/>
        <w:rPr>
          <w:rFonts w:ascii="Arial" w:hAnsi="Arial" w:cs="Arial"/>
        </w:rPr>
      </w:pPr>
      <w:r w:rsidRPr="00CE31DF">
        <w:rPr>
          <w:rFonts w:ascii="Arial" w:hAnsi="Arial" w:cs="Arial"/>
        </w:rPr>
        <w:t>Projekt jest obecnie jednocześnie na etapie uzgodnień, konsultacji publicznych i opiniowania</w:t>
      </w:r>
      <w:r>
        <w:rPr>
          <w:rFonts w:ascii="Arial" w:hAnsi="Arial" w:cs="Arial"/>
        </w:rPr>
        <w:t>.</w:t>
      </w:r>
    </w:p>
    <w:p w:rsidR="001779F8" w:rsidRDefault="001779F8" w:rsidP="00690049">
      <w:pPr>
        <w:spacing w:after="0"/>
        <w:jc w:val="both"/>
        <w:rPr>
          <w:rFonts w:ascii="Arial" w:hAnsi="Arial" w:cs="Arial"/>
        </w:rPr>
      </w:pPr>
    </w:p>
    <w:p w:rsidR="001779F8" w:rsidRDefault="001779F8" w:rsidP="00690049">
      <w:pPr>
        <w:spacing w:after="0"/>
        <w:jc w:val="both"/>
        <w:rPr>
          <w:rFonts w:ascii="Arial" w:hAnsi="Arial" w:cs="Arial"/>
        </w:rPr>
      </w:pPr>
      <w:r>
        <w:rPr>
          <w:rFonts w:ascii="Arial" w:hAnsi="Arial" w:cs="Arial"/>
        </w:rPr>
        <w:t>Projekty rozporządzeń:</w:t>
      </w:r>
    </w:p>
    <w:p w:rsidR="00690049" w:rsidRPr="00690049" w:rsidRDefault="00690049" w:rsidP="00690049">
      <w:pPr>
        <w:pStyle w:val="Akapitzlist"/>
        <w:numPr>
          <w:ilvl w:val="0"/>
          <w:numId w:val="4"/>
        </w:numPr>
        <w:spacing w:after="0"/>
        <w:jc w:val="both"/>
        <w:rPr>
          <w:rFonts w:ascii="Arial" w:hAnsi="Arial" w:cs="Arial"/>
          <w:b/>
          <w:u w:val="single"/>
        </w:rPr>
      </w:pPr>
      <w:r w:rsidRPr="00690049">
        <w:rPr>
          <w:rFonts w:ascii="Arial" w:hAnsi="Arial" w:cs="Arial"/>
          <w:b/>
          <w:u w:val="single"/>
        </w:rPr>
        <w:t>projekt rozporządzenia Ministra Zdrowia zmieniającego rozporządzenie w sprawie świadczeń gwarantowanych z zakresu leczenia szpitalnego (numer z wykazu MZ 1707)</w:t>
      </w:r>
    </w:p>
    <w:p w:rsidR="00690049" w:rsidRDefault="00690049" w:rsidP="00690049">
      <w:pPr>
        <w:spacing w:after="0"/>
        <w:jc w:val="both"/>
        <w:rPr>
          <w:rFonts w:ascii="Arial" w:hAnsi="Arial" w:cs="Arial"/>
        </w:rPr>
      </w:pPr>
    </w:p>
    <w:p w:rsidR="00690049" w:rsidRPr="00690049" w:rsidRDefault="00690049" w:rsidP="00690049">
      <w:pPr>
        <w:spacing w:after="0"/>
        <w:jc w:val="both"/>
        <w:rPr>
          <w:rFonts w:ascii="Arial" w:hAnsi="Arial" w:cs="Arial"/>
        </w:rPr>
      </w:pPr>
      <w:r w:rsidRPr="00690049">
        <w:rPr>
          <w:rFonts w:ascii="Arial" w:hAnsi="Arial" w:cs="Arial"/>
        </w:rPr>
        <w:t xml:space="preserve">Wprowadzenie zmian w rozporządzeniu Ministra Zdrowia z dnia 22 listopada 2013 r. w sprawie świadczeń gwarantowanych z zakresu leczenia szpitalnego (Dz. U. z 2023 r. poz. 870, z </w:t>
      </w:r>
      <w:proofErr w:type="spellStart"/>
      <w:r w:rsidRPr="00690049">
        <w:rPr>
          <w:rFonts w:ascii="Arial" w:hAnsi="Arial" w:cs="Arial"/>
        </w:rPr>
        <w:t>późn</w:t>
      </w:r>
      <w:proofErr w:type="spellEnd"/>
      <w:r w:rsidRPr="00690049">
        <w:rPr>
          <w:rFonts w:ascii="Arial" w:hAnsi="Arial" w:cs="Arial"/>
        </w:rPr>
        <w:t xml:space="preserve">. zm.) zostało podyktowane potrzebą dodania do wykazu świadczeń gwarantowanych nowych kodów ICD-9: „92.067 Pozytonowa Tomografia Emisyjna (PET) z zastosowaniem [18F]FDG w diagnostyce procesów zapalnych”, „92.0681 Pozytonowa Tomografia Emisyjna (PET-MRI) we wskazaniach onkologicznych u dzieci i młodzieży z zastosowaniem zarejestrowanych </w:t>
      </w:r>
      <w:proofErr w:type="spellStart"/>
      <w:r w:rsidRPr="00690049">
        <w:rPr>
          <w:rFonts w:ascii="Arial" w:hAnsi="Arial" w:cs="Arial"/>
        </w:rPr>
        <w:t>radiofarmaceutyków</w:t>
      </w:r>
      <w:proofErr w:type="spellEnd"/>
      <w:r w:rsidRPr="00690049">
        <w:rPr>
          <w:rFonts w:ascii="Arial" w:hAnsi="Arial" w:cs="Arial"/>
        </w:rPr>
        <w:t>”, „92.069 Pozytonowa Tomografia Emisyjna (PET) z zastosowaniem [18F]F-Choliny w diagnostyce nadczynności przytarczyc”. Jednocześnie dopisano kategorię 92.068 „Pozytonowa Tomografia Emisyjna (PET-MRI)” jako niewybieralną kategorię szczegółową.</w:t>
      </w:r>
    </w:p>
    <w:p w:rsidR="00690049" w:rsidRPr="00690049" w:rsidRDefault="00690049" w:rsidP="00690049">
      <w:pPr>
        <w:spacing w:after="0"/>
        <w:jc w:val="both"/>
        <w:rPr>
          <w:rFonts w:ascii="Arial" w:hAnsi="Arial" w:cs="Arial"/>
        </w:rPr>
      </w:pPr>
      <w:r w:rsidRPr="00690049">
        <w:rPr>
          <w:rFonts w:ascii="Arial" w:hAnsi="Arial" w:cs="Arial"/>
        </w:rPr>
        <w:t>W związku z wprowadzeniem świadczenia o kodzie: 92.0681, a także weryfikacji warunków realizacji świadczeń poprzez dodanie kodów: 92.067 i 92.069 do wykazu świadczeń gwarantowanych z zakresu ambulatoryjnej opieki specjalistycznej, w części VII Świadczenia Medycyny Nuklearnej (lp. 9), wraz z kryteriami kwalifikacji do tych badań PET, w celu zachowania spójności aktów prawnych definiujących świadczenia gwarantowane wskazane jest uwzględnienie tych procedur medycznych także w katalogu świadczeń definiowanych przez rozporządzenie Ministra Zdrowia z dnia 22 listopada 2013 r. w sprawie świadczeń gwarantowanych z zakresu leczenia szpitalnego.</w:t>
      </w:r>
    </w:p>
    <w:p w:rsidR="00690049" w:rsidRDefault="00690049" w:rsidP="00690049">
      <w:pPr>
        <w:spacing w:after="0"/>
        <w:jc w:val="both"/>
        <w:rPr>
          <w:rFonts w:ascii="Arial" w:hAnsi="Arial" w:cs="Arial"/>
        </w:rPr>
      </w:pPr>
      <w:r w:rsidRPr="00690049">
        <w:rPr>
          <w:rFonts w:ascii="Arial" w:hAnsi="Arial" w:cs="Arial"/>
        </w:rPr>
        <w:t xml:space="preserve">Proponowane rozwiązanie obejmuje dodanie do katalogu świadczeń gwarantowanych z zakresu leczenia szpitalnego badań medycyny nuklearnej PET i PET-MRI w załączniku nr 1 w punkcie I. „Świadczenia scharakteryzowane procedurami medycznymi”, nowego kodu procedury medycznej ICD-9: 92.0681, a także weryfikacji warunków realizacji świadczeń poprzez dodanie kodów: 92.067 i 92.069. Proponowana zmiana ma na celu poprawę bezpieczeństwa w przypadku konieczności wielokrotnego wykonywania obrazowania PET w </w:t>
      </w:r>
      <w:r w:rsidRPr="00690049">
        <w:rPr>
          <w:rFonts w:ascii="Arial" w:hAnsi="Arial" w:cs="Arial"/>
        </w:rPr>
        <w:lastRenderedPageBreak/>
        <w:t>populacji pediatrycznej, która jest szczególnie wrażliwa na promieniowanie jonizujące. Ponadto rozszerzenie warunków realizacji świadczeń gwarantowanych ma na celu zwiększenie dostępności do badań PET oraz poszerzenie metod diagnostycznych w schorzeniach o charakterze zapalnym, a także poprawę prawidłowości kwalifikacji do leczenia operacyjnego u pacjentów z nadczynnością tarczycy</w:t>
      </w:r>
      <w:r>
        <w:rPr>
          <w:rFonts w:ascii="Arial" w:hAnsi="Arial" w:cs="Arial"/>
        </w:rPr>
        <w:t>.</w:t>
      </w:r>
    </w:p>
    <w:p w:rsidR="00705A5B" w:rsidRDefault="00705A5B" w:rsidP="00690049">
      <w:pPr>
        <w:spacing w:after="0"/>
        <w:jc w:val="both"/>
        <w:rPr>
          <w:rFonts w:ascii="Arial" w:hAnsi="Arial" w:cs="Arial"/>
        </w:rPr>
      </w:pPr>
    </w:p>
    <w:p w:rsidR="00705A5B" w:rsidRPr="00705A5B" w:rsidRDefault="00705A5B" w:rsidP="00705A5B">
      <w:pPr>
        <w:spacing w:after="0"/>
        <w:jc w:val="both"/>
        <w:rPr>
          <w:rFonts w:ascii="Arial" w:hAnsi="Arial" w:cs="Arial"/>
        </w:rPr>
      </w:pPr>
      <w:r w:rsidRPr="00705A5B">
        <w:rPr>
          <w:rFonts w:ascii="Arial" w:hAnsi="Arial" w:cs="Arial"/>
        </w:rPr>
        <w:t>Przedmiotowy projekt aktu prawnego wraz Uzasadnieniem oraz Oceną Skutków Regulacji dostępny jest na stronach Rządowego Centrum Legislacji pod adresem:</w:t>
      </w:r>
    </w:p>
    <w:p w:rsidR="00705A5B" w:rsidRDefault="00705A5B" w:rsidP="00705A5B">
      <w:pPr>
        <w:spacing w:after="0"/>
        <w:jc w:val="both"/>
        <w:rPr>
          <w:rFonts w:ascii="Arial" w:hAnsi="Arial" w:cs="Arial"/>
        </w:rPr>
      </w:pPr>
      <w:hyperlink r:id="rId10" w:history="1">
        <w:r w:rsidRPr="00454EE5">
          <w:rPr>
            <w:rStyle w:val="Hipercze"/>
            <w:rFonts w:ascii="Arial" w:hAnsi="Arial" w:cs="Arial"/>
          </w:rPr>
          <w:t>https://legislacja.rcl.gov.pl/projekt/123</w:t>
        </w:r>
        <w:r w:rsidRPr="00454EE5">
          <w:rPr>
            <w:rStyle w:val="Hipercze"/>
            <w:rFonts w:ascii="Arial" w:hAnsi="Arial" w:cs="Arial"/>
          </w:rPr>
          <w:t>9</w:t>
        </w:r>
        <w:r w:rsidRPr="00454EE5">
          <w:rPr>
            <w:rStyle w:val="Hipercze"/>
            <w:rFonts w:ascii="Arial" w:hAnsi="Arial" w:cs="Arial"/>
          </w:rPr>
          <w:t>0</w:t>
        </w:r>
        <w:r w:rsidRPr="00454EE5">
          <w:rPr>
            <w:rStyle w:val="Hipercze"/>
            <w:rFonts w:ascii="Arial" w:hAnsi="Arial" w:cs="Arial"/>
          </w:rPr>
          <w:t>053/katalog/13084587#13084587</w:t>
        </w:r>
      </w:hyperlink>
      <w:r>
        <w:rPr>
          <w:rFonts w:ascii="Arial" w:hAnsi="Arial" w:cs="Arial"/>
        </w:rPr>
        <w:t xml:space="preserve"> </w:t>
      </w:r>
    </w:p>
    <w:p w:rsidR="00705A5B" w:rsidRDefault="00705A5B" w:rsidP="00690049">
      <w:pPr>
        <w:spacing w:after="0"/>
        <w:jc w:val="both"/>
        <w:rPr>
          <w:rFonts w:ascii="Arial" w:hAnsi="Arial" w:cs="Arial"/>
        </w:rPr>
      </w:pPr>
    </w:p>
    <w:p w:rsidR="00705A5B" w:rsidRDefault="00705A5B" w:rsidP="00690049">
      <w:pPr>
        <w:spacing w:after="0"/>
        <w:jc w:val="both"/>
        <w:rPr>
          <w:rFonts w:ascii="Arial" w:hAnsi="Arial" w:cs="Arial"/>
        </w:rPr>
      </w:pPr>
      <w:r w:rsidRPr="00705A5B">
        <w:rPr>
          <w:rFonts w:ascii="Arial" w:hAnsi="Arial" w:cs="Arial"/>
        </w:rPr>
        <w:t>Projekt jest obecnie j</w:t>
      </w:r>
      <w:r>
        <w:rPr>
          <w:rFonts w:ascii="Arial" w:hAnsi="Arial" w:cs="Arial"/>
        </w:rPr>
        <w:t>ednocześnie na etapie uzgodnień i</w:t>
      </w:r>
      <w:r w:rsidRPr="00705A5B">
        <w:rPr>
          <w:rFonts w:ascii="Arial" w:hAnsi="Arial" w:cs="Arial"/>
        </w:rPr>
        <w:t xml:space="preserve"> ko</w:t>
      </w:r>
      <w:r>
        <w:rPr>
          <w:rFonts w:ascii="Arial" w:hAnsi="Arial" w:cs="Arial"/>
        </w:rPr>
        <w:t>nsultacji publicznych.</w:t>
      </w:r>
    </w:p>
    <w:p w:rsidR="00690049" w:rsidRPr="00690049" w:rsidRDefault="00690049" w:rsidP="00690049">
      <w:pPr>
        <w:spacing w:after="0"/>
        <w:jc w:val="both"/>
        <w:rPr>
          <w:rFonts w:ascii="Arial" w:hAnsi="Arial" w:cs="Arial"/>
        </w:rPr>
      </w:pPr>
    </w:p>
    <w:p w:rsidR="00705A5B" w:rsidRPr="00705A5B" w:rsidRDefault="001779F8" w:rsidP="00705A5B">
      <w:pPr>
        <w:pStyle w:val="Akapitzlist"/>
        <w:numPr>
          <w:ilvl w:val="0"/>
          <w:numId w:val="4"/>
        </w:numPr>
        <w:spacing w:after="0"/>
        <w:jc w:val="both"/>
        <w:rPr>
          <w:rFonts w:ascii="Arial" w:hAnsi="Arial" w:cs="Arial"/>
          <w:b/>
          <w:u w:val="single"/>
        </w:rPr>
      </w:pPr>
      <w:r w:rsidRPr="00705A5B">
        <w:rPr>
          <w:rFonts w:ascii="Arial" w:hAnsi="Arial" w:cs="Arial"/>
          <w:b/>
          <w:u w:val="single"/>
        </w:rPr>
        <w:t xml:space="preserve"> </w:t>
      </w:r>
      <w:r w:rsidR="00705A5B" w:rsidRPr="00705A5B">
        <w:rPr>
          <w:rFonts w:ascii="Arial" w:hAnsi="Arial" w:cs="Arial"/>
          <w:b/>
          <w:u w:val="single"/>
        </w:rPr>
        <w:t>projekt rozporządzenia Ministra Przemysłu zmieniającego rozporządzenie w sprawie ratownictwa górniczego (numer z wykazu 1)</w:t>
      </w:r>
      <w:r w:rsidRPr="00705A5B">
        <w:rPr>
          <w:rFonts w:ascii="Arial" w:hAnsi="Arial" w:cs="Arial"/>
          <w:b/>
          <w:u w:val="single"/>
        </w:rPr>
        <w:t xml:space="preserve"> </w:t>
      </w:r>
    </w:p>
    <w:p w:rsidR="00705A5B" w:rsidRDefault="00705A5B" w:rsidP="00705A5B">
      <w:pPr>
        <w:spacing w:after="0"/>
        <w:jc w:val="both"/>
        <w:rPr>
          <w:rFonts w:ascii="Arial" w:hAnsi="Arial" w:cs="Arial"/>
        </w:rPr>
      </w:pPr>
    </w:p>
    <w:p w:rsidR="00705A5B" w:rsidRPr="00705A5B" w:rsidRDefault="00705A5B" w:rsidP="00705A5B">
      <w:pPr>
        <w:spacing w:after="0"/>
        <w:jc w:val="both"/>
        <w:rPr>
          <w:rFonts w:ascii="Arial" w:hAnsi="Arial" w:cs="Arial"/>
        </w:rPr>
      </w:pPr>
      <w:r w:rsidRPr="00705A5B">
        <w:rPr>
          <w:rFonts w:ascii="Arial" w:hAnsi="Arial" w:cs="Arial"/>
        </w:rPr>
        <w:t>Dotychczasowa praktyka stosowania przepisów rozporządzenia Ministra Energii z dnia 16 marca 2017 r. w sprawie ratownictwa górniczego (Dz. U. z 2022 r. poz. 1418), zwanego dalej „rozporządzeniem”, wskazuje na potrzebę usprawnienia funkcjonowania ratownictwa górniczego.</w:t>
      </w:r>
    </w:p>
    <w:p w:rsidR="00705A5B" w:rsidRPr="00705A5B" w:rsidRDefault="00705A5B" w:rsidP="00705A5B">
      <w:pPr>
        <w:spacing w:after="0"/>
        <w:jc w:val="both"/>
        <w:rPr>
          <w:rFonts w:ascii="Arial" w:hAnsi="Arial" w:cs="Arial"/>
        </w:rPr>
      </w:pPr>
      <w:r w:rsidRPr="00705A5B">
        <w:rPr>
          <w:rFonts w:ascii="Arial" w:hAnsi="Arial" w:cs="Arial"/>
        </w:rPr>
        <w:t>W ocenie podmiotów działających w tym obszarze organizacja ratownictwa górniczego nie zapewnia niezbędnego stopnia bezpieczeństwa, w szczególności liczba ratowników górniczych przypadających na pracowników zatrudnionych w ruchu zakładu górniczego jest niewystarczająca do sprawnego prowadzenia akcji ratowniczych. W dotychczasowym stanie prawnym zdarzało się, że przedsiębiorcy w rozumieniu art. 6 ust. 1 pkt 9 ustawy z dnia 9 czerwca 2011 r. – Prawo geologiczne i górnicze (Dz. U. z 2024 r. poz. 1290), zwanej dalej „</w:t>
      </w:r>
      <w:proofErr w:type="spellStart"/>
      <w:r w:rsidRPr="00705A5B">
        <w:rPr>
          <w:rFonts w:ascii="Arial" w:hAnsi="Arial" w:cs="Arial"/>
        </w:rPr>
        <w:t>Pgg</w:t>
      </w:r>
      <w:proofErr w:type="spellEnd"/>
      <w:r w:rsidRPr="00705A5B">
        <w:rPr>
          <w:rFonts w:ascii="Arial" w:hAnsi="Arial" w:cs="Arial"/>
        </w:rPr>
        <w:t>”, ustalając wymaganą liczbę ratowników w drużynie ratowniczej uwzględniali tylko pracowników „własnych”, pomijając pracowników zatrudnionych w ruchu zakładu górniczego przez podmioty zewnętrzne. Jeśli taki stan będzie się utrzymywał, to w przypadku zaistnienia niebezpiecznego zdarzenia lub wypadku może nie być możliwe udzielenie pomocy wszystkim poszkodowanym w odpowiednim czasie.</w:t>
      </w:r>
    </w:p>
    <w:p w:rsidR="00705A5B" w:rsidRPr="00705A5B" w:rsidRDefault="00705A5B" w:rsidP="00705A5B">
      <w:pPr>
        <w:spacing w:after="0"/>
        <w:jc w:val="both"/>
        <w:rPr>
          <w:rFonts w:ascii="Arial" w:hAnsi="Arial" w:cs="Arial"/>
        </w:rPr>
      </w:pPr>
      <w:r w:rsidRPr="00705A5B">
        <w:rPr>
          <w:rFonts w:ascii="Arial" w:hAnsi="Arial" w:cs="Arial"/>
        </w:rPr>
        <w:t>Ponadto, obecnie obowiązujące przepisy dopuszczają, by nie wszystkie osoby pełniące funkcję zastępcy kierownika kopalnianej stacji ratownictwa górniczego spełniały wymagania, jakie musi spełniać kierownik takiej stacji. Mając na uwadze, że osoba taka musi działać w sytuacji zagrożenia i ponosi odpowiedzialność za podległe jej osoby, powinna legitymować się niezbędnym doświadczeniem i wiedzą.</w:t>
      </w:r>
    </w:p>
    <w:p w:rsidR="00705A5B" w:rsidRPr="00705A5B" w:rsidRDefault="00705A5B" w:rsidP="00705A5B">
      <w:pPr>
        <w:spacing w:after="0"/>
        <w:jc w:val="both"/>
        <w:rPr>
          <w:rFonts w:ascii="Arial" w:hAnsi="Arial" w:cs="Arial"/>
        </w:rPr>
      </w:pPr>
      <w:r w:rsidRPr="00705A5B">
        <w:rPr>
          <w:rFonts w:ascii="Arial" w:hAnsi="Arial" w:cs="Arial"/>
        </w:rPr>
        <w:t>Aktualnie, przepisy rozporządzenia nakazują skreślenie ratownika górniczego z ewidencji członków drużyny ratowniczej, w przypadku niewywiązywania się z obowiązków dotyczących m.in. uczestniczenia w pogotowiu ratowniczym, brania udziału w ćwiczeniach i pracach profilaktycznych, a także poddawania się badaniom lekarskim i uczestniczenia w okresowych kursach. Powoduje to automatyczne zmniejszenie liczby ratowników górniczych. Obecnie brakuje przepisu, który dopuszczałby możliwość „zawieszenia” gotowości członka drużyny ratowniczej, na czas dopełnienia ciążących na ratowniku górniczym obowiązków albo ewentualny czas uzupełnienia składu drużyny ratowniczej o nową osobę.</w:t>
      </w:r>
    </w:p>
    <w:p w:rsidR="00705A5B" w:rsidRPr="00705A5B" w:rsidRDefault="00705A5B" w:rsidP="00705A5B">
      <w:pPr>
        <w:spacing w:after="0"/>
        <w:jc w:val="both"/>
        <w:rPr>
          <w:rFonts w:ascii="Arial" w:hAnsi="Arial" w:cs="Arial"/>
        </w:rPr>
      </w:pPr>
      <w:r w:rsidRPr="00705A5B">
        <w:rPr>
          <w:rFonts w:ascii="Arial" w:hAnsi="Arial" w:cs="Arial"/>
        </w:rPr>
        <w:t xml:space="preserve">Również organizacja ćwiczeń ratowniczych wymaga dostosowania do faktycznych warunków. Np. wymaganie powtarzania ćwiczeń okresowych co 2 miesiące powoduje, że jeśli pierwsze ćwiczenia przeprowadzono w dniu 3 stycznia, to przeprowadzenie kolejnych w dniu 4 marca stanowi już naruszenie tego wymagania. Ponadto, pomimo iż w zakładach górniczych istnieją warunki do przeprowadzenia ćwiczeń, ratownicy są szkoleni poza </w:t>
      </w:r>
      <w:r w:rsidRPr="00705A5B">
        <w:rPr>
          <w:rFonts w:ascii="Arial" w:hAnsi="Arial" w:cs="Arial"/>
        </w:rPr>
        <w:lastRenderedPageBreak/>
        <w:t>zakładem górniczym, w którym wykonują czynności ratownicze. Wymaga to także dojazdu do jednostki ratownictwa, jedynie w celu odbycia ćwiczeń. Taka sytuacja często prowadzi do przekroczenia norm czasu pracy ratownika górniczego.</w:t>
      </w:r>
    </w:p>
    <w:p w:rsidR="00705A5B" w:rsidRPr="00705A5B" w:rsidRDefault="00705A5B" w:rsidP="00705A5B">
      <w:pPr>
        <w:spacing w:after="0"/>
        <w:jc w:val="both"/>
        <w:rPr>
          <w:rFonts w:ascii="Arial" w:hAnsi="Arial" w:cs="Arial"/>
        </w:rPr>
      </w:pPr>
      <w:r w:rsidRPr="00705A5B">
        <w:rPr>
          <w:rFonts w:ascii="Arial" w:hAnsi="Arial" w:cs="Arial"/>
        </w:rPr>
        <w:t>Dokumentacja dotycząca ratownictwa górniczego wymaga dostosowania do rzeczywistych potrzeb w zakresie prowadzonych ewidencji oraz treści planu ratownictwa górniczego.</w:t>
      </w:r>
    </w:p>
    <w:p w:rsidR="00705A5B" w:rsidRPr="00705A5B" w:rsidRDefault="00705A5B" w:rsidP="00705A5B">
      <w:pPr>
        <w:spacing w:after="0"/>
        <w:jc w:val="both"/>
        <w:rPr>
          <w:rFonts w:ascii="Arial" w:hAnsi="Arial" w:cs="Arial"/>
        </w:rPr>
      </w:pPr>
      <w:r w:rsidRPr="00705A5B">
        <w:rPr>
          <w:rFonts w:ascii="Arial" w:hAnsi="Arial" w:cs="Arial"/>
        </w:rPr>
        <w:t>W aktualnym stanie prawnym brakuje ponadto regulacji dotyczących prowadzenia akcji ratowniczej w przypadku zaistnienia zagrożenia w zakładzie górniczym mającym połączenie wentylacyjne (wyrobiskami dołowymi) z sąsiednim zakładem górniczym. Taki stan powoduje zagrożenie dla ratowników górniczych oraz osób poszkodowanych. Bez określenia takich zagadnień, co najmniej w planie ratownictwa górniczego, awaryjna zmiana kierunku przewietrzania chodników w jednym zakładzie górniczym może spowodować zatrzymanie dopływu powietrza do połączonych wentylacyjnie chodników sąsiedniego zakładu górniczego, w którym prowadzi się akcję ratowniczą.</w:t>
      </w:r>
    </w:p>
    <w:p w:rsidR="00705A5B" w:rsidRPr="00705A5B" w:rsidRDefault="00705A5B" w:rsidP="00705A5B">
      <w:pPr>
        <w:spacing w:after="0"/>
        <w:jc w:val="both"/>
        <w:rPr>
          <w:rFonts w:ascii="Arial" w:hAnsi="Arial" w:cs="Arial"/>
        </w:rPr>
      </w:pPr>
      <w:r w:rsidRPr="00705A5B">
        <w:rPr>
          <w:rFonts w:ascii="Arial" w:hAnsi="Arial" w:cs="Arial"/>
        </w:rPr>
        <w:t>Uporządkowania oraz zapewnienia przejrzystości, elastyczności (z podkreśleniem odpowiedzialności kierownika ruchu zakładu górniczego za podejmowane decyzje) i adekwatności do istniejących potrzeb wymagają także przepisy dotyczące prac profilaktycznych, m.in. w zakresie związanym z pożarami endogenicznymi w podziemnych zakładach górniczych.</w:t>
      </w:r>
    </w:p>
    <w:p w:rsidR="00705A5B" w:rsidRPr="00705A5B" w:rsidRDefault="00705A5B" w:rsidP="00705A5B">
      <w:pPr>
        <w:spacing w:after="0"/>
        <w:jc w:val="both"/>
        <w:rPr>
          <w:rFonts w:ascii="Arial" w:hAnsi="Arial" w:cs="Arial"/>
        </w:rPr>
      </w:pPr>
      <w:r w:rsidRPr="00705A5B">
        <w:rPr>
          <w:rFonts w:ascii="Arial" w:hAnsi="Arial" w:cs="Arial"/>
        </w:rPr>
        <w:t xml:space="preserve">Niezależnie od powyższego, zauważono potrzebę uproszczenia i doprecyzowania norm rozporządzenia w celu zapewnienia wewnętrznej spójności oraz spójności z przepisami innych aktów prawnych, w szczególności z </w:t>
      </w:r>
      <w:proofErr w:type="spellStart"/>
      <w:r w:rsidRPr="00705A5B">
        <w:rPr>
          <w:rFonts w:ascii="Arial" w:hAnsi="Arial" w:cs="Arial"/>
        </w:rPr>
        <w:t>Pgg</w:t>
      </w:r>
      <w:proofErr w:type="spellEnd"/>
      <w:r w:rsidRPr="00705A5B">
        <w:rPr>
          <w:rFonts w:ascii="Arial" w:hAnsi="Arial" w:cs="Arial"/>
        </w:rPr>
        <w:t>, jako aktu zawierającego upoważnienie do wydania rozporządzenia w sprawie ratownictwa górniczego.</w:t>
      </w:r>
    </w:p>
    <w:p w:rsidR="00705A5B" w:rsidRPr="00705A5B" w:rsidRDefault="00705A5B" w:rsidP="00705A5B">
      <w:pPr>
        <w:spacing w:after="0"/>
        <w:jc w:val="both"/>
        <w:rPr>
          <w:rFonts w:ascii="Arial" w:hAnsi="Arial" w:cs="Arial"/>
        </w:rPr>
      </w:pPr>
      <w:r w:rsidRPr="00705A5B">
        <w:rPr>
          <w:rFonts w:ascii="Arial" w:hAnsi="Arial" w:cs="Arial"/>
        </w:rPr>
        <w:t>Dla utrzymania wysokich standardów bezpieczeństwa ruchu zakładów górniczych lub zakładów niezbędne jest wprowadzenie przepisów usprawniających działalność ratownictwa górniczego, w tym poprawiających warunki funkcjonowania zespołów ratowniczych w zakładach górniczych i zakładach. W tym celu konieczne jest wydanie przez Ministra Przemysłu rozporządzenia zmieniającego rozporządzenie w sprawie ratownictwa górniczego.</w:t>
      </w:r>
    </w:p>
    <w:p w:rsidR="00705A5B" w:rsidRPr="00705A5B" w:rsidRDefault="00705A5B" w:rsidP="00705A5B">
      <w:pPr>
        <w:spacing w:after="0"/>
        <w:jc w:val="both"/>
        <w:rPr>
          <w:rFonts w:ascii="Arial" w:hAnsi="Arial" w:cs="Arial"/>
        </w:rPr>
      </w:pPr>
      <w:r w:rsidRPr="00705A5B">
        <w:rPr>
          <w:rFonts w:ascii="Arial" w:hAnsi="Arial" w:cs="Arial"/>
        </w:rPr>
        <w:t>W porównaniu z dotychczasowym stanem prawnym, w projektowanym rozporządzeniu przewiduje się następujące zmiany:</w:t>
      </w:r>
    </w:p>
    <w:p w:rsidR="00705A5B" w:rsidRPr="00705A5B" w:rsidRDefault="00705A5B" w:rsidP="00705A5B">
      <w:pPr>
        <w:spacing w:after="0"/>
        <w:ind w:left="709" w:hanging="425"/>
        <w:jc w:val="both"/>
        <w:rPr>
          <w:rFonts w:ascii="Arial" w:hAnsi="Arial" w:cs="Arial"/>
        </w:rPr>
      </w:pPr>
      <w:r w:rsidRPr="00705A5B">
        <w:rPr>
          <w:rFonts w:ascii="Arial" w:hAnsi="Arial" w:cs="Arial"/>
        </w:rPr>
        <w:t>1)</w:t>
      </w:r>
      <w:r w:rsidRPr="00705A5B">
        <w:rPr>
          <w:rFonts w:ascii="Arial" w:hAnsi="Arial" w:cs="Arial"/>
        </w:rPr>
        <w:tab/>
        <w:t>uproszczenie normy dotyczącej wyłączenia stosowania przepisów rozporządzenia do odkrywkowych zakładów górniczych;</w:t>
      </w:r>
    </w:p>
    <w:p w:rsidR="00705A5B" w:rsidRPr="00705A5B" w:rsidRDefault="00705A5B" w:rsidP="00705A5B">
      <w:pPr>
        <w:spacing w:after="0"/>
        <w:ind w:left="709" w:hanging="425"/>
        <w:jc w:val="both"/>
        <w:rPr>
          <w:rFonts w:ascii="Arial" w:hAnsi="Arial" w:cs="Arial"/>
        </w:rPr>
      </w:pPr>
      <w:r w:rsidRPr="00705A5B">
        <w:rPr>
          <w:rFonts w:ascii="Arial" w:hAnsi="Arial" w:cs="Arial"/>
        </w:rPr>
        <w:t>2)</w:t>
      </w:r>
      <w:r w:rsidRPr="00705A5B">
        <w:rPr>
          <w:rFonts w:ascii="Arial" w:hAnsi="Arial" w:cs="Arial"/>
        </w:rPr>
        <w:tab/>
        <w:t>doprecyzowanie sposobu ustalania liczby pracowników (łącznie „własnych” i „obcych”) dla potrzeb określenia liczby ratowników górniczych w drużynie ratowniczej podziemnego zakładu górniczego;</w:t>
      </w:r>
    </w:p>
    <w:p w:rsidR="00705A5B" w:rsidRPr="00705A5B" w:rsidRDefault="00705A5B" w:rsidP="00705A5B">
      <w:pPr>
        <w:spacing w:after="0"/>
        <w:ind w:left="709" w:hanging="425"/>
        <w:jc w:val="both"/>
        <w:rPr>
          <w:rFonts w:ascii="Arial" w:hAnsi="Arial" w:cs="Arial"/>
        </w:rPr>
      </w:pPr>
      <w:r w:rsidRPr="00705A5B">
        <w:rPr>
          <w:rFonts w:ascii="Arial" w:hAnsi="Arial" w:cs="Arial"/>
        </w:rPr>
        <w:t>3)</w:t>
      </w:r>
      <w:r w:rsidRPr="00705A5B">
        <w:rPr>
          <w:rFonts w:ascii="Arial" w:hAnsi="Arial" w:cs="Arial"/>
        </w:rPr>
        <w:tab/>
        <w:t>zwiększenie liczby ratowników górniczych w drużynie ratowniczej podziemnego zakładu górniczego w zakładach górniczych zatrudniających pod ziemią ponad 500 oraz ponad 2000 pracowników (odpowiednio z 50 do 80 oraz z 80 do 120 ratowników górniczych);</w:t>
      </w:r>
    </w:p>
    <w:p w:rsidR="00705A5B" w:rsidRPr="00705A5B" w:rsidRDefault="00705A5B" w:rsidP="00705A5B">
      <w:pPr>
        <w:spacing w:after="0"/>
        <w:ind w:left="709" w:hanging="425"/>
        <w:jc w:val="both"/>
        <w:rPr>
          <w:rFonts w:ascii="Arial" w:hAnsi="Arial" w:cs="Arial"/>
        </w:rPr>
      </w:pPr>
      <w:r w:rsidRPr="00705A5B">
        <w:rPr>
          <w:rFonts w:ascii="Arial" w:hAnsi="Arial" w:cs="Arial"/>
        </w:rPr>
        <w:t>4)</w:t>
      </w:r>
      <w:r w:rsidRPr="00705A5B">
        <w:rPr>
          <w:rFonts w:ascii="Arial" w:hAnsi="Arial" w:cs="Arial"/>
        </w:rPr>
        <w:tab/>
        <w:t>doprecyzowanie mechanizmu prowadzenia ewidencji osób przeszkolonych w zakresie ratownictwa górniczego;</w:t>
      </w:r>
    </w:p>
    <w:p w:rsidR="00705A5B" w:rsidRPr="00705A5B" w:rsidRDefault="00705A5B" w:rsidP="00705A5B">
      <w:pPr>
        <w:spacing w:after="0"/>
        <w:ind w:left="709" w:hanging="425"/>
        <w:jc w:val="both"/>
        <w:rPr>
          <w:rFonts w:ascii="Arial" w:hAnsi="Arial" w:cs="Arial"/>
        </w:rPr>
      </w:pPr>
      <w:r w:rsidRPr="00705A5B">
        <w:rPr>
          <w:rFonts w:ascii="Arial" w:hAnsi="Arial" w:cs="Arial"/>
        </w:rPr>
        <w:t>5)</w:t>
      </w:r>
      <w:r w:rsidRPr="00705A5B">
        <w:rPr>
          <w:rFonts w:ascii="Arial" w:hAnsi="Arial" w:cs="Arial"/>
        </w:rPr>
        <w:tab/>
        <w:t>ujednolicenie wymagań dla wszystkich zastępców kierownika kopalnianej stacji ratownictwa górniczego;</w:t>
      </w:r>
    </w:p>
    <w:p w:rsidR="00705A5B" w:rsidRPr="00705A5B" w:rsidRDefault="00705A5B" w:rsidP="00705A5B">
      <w:pPr>
        <w:spacing w:after="0"/>
        <w:ind w:left="709" w:hanging="425"/>
        <w:jc w:val="both"/>
        <w:rPr>
          <w:rFonts w:ascii="Arial" w:hAnsi="Arial" w:cs="Arial"/>
        </w:rPr>
      </w:pPr>
      <w:r w:rsidRPr="00705A5B">
        <w:rPr>
          <w:rFonts w:ascii="Arial" w:hAnsi="Arial" w:cs="Arial"/>
        </w:rPr>
        <w:t>6)</w:t>
      </w:r>
      <w:r w:rsidRPr="00705A5B">
        <w:rPr>
          <w:rFonts w:ascii="Arial" w:hAnsi="Arial" w:cs="Arial"/>
        </w:rPr>
        <w:tab/>
        <w:t>doprecyzowanie wymagań dla kandydatów na ratowników górniczych albo mechaników sprzętu ratowniczego;</w:t>
      </w:r>
    </w:p>
    <w:p w:rsidR="00705A5B" w:rsidRPr="00705A5B" w:rsidRDefault="00705A5B" w:rsidP="00705A5B">
      <w:pPr>
        <w:spacing w:after="0"/>
        <w:ind w:left="709" w:hanging="425"/>
        <w:jc w:val="both"/>
        <w:rPr>
          <w:rFonts w:ascii="Arial" w:hAnsi="Arial" w:cs="Arial"/>
        </w:rPr>
      </w:pPr>
      <w:r w:rsidRPr="00705A5B">
        <w:rPr>
          <w:rFonts w:ascii="Arial" w:hAnsi="Arial" w:cs="Arial"/>
        </w:rPr>
        <w:t>7)</w:t>
      </w:r>
      <w:r w:rsidRPr="00705A5B">
        <w:rPr>
          <w:rFonts w:ascii="Arial" w:hAnsi="Arial" w:cs="Arial"/>
        </w:rPr>
        <w:tab/>
        <w:t xml:space="preserve">wprowadzenie wpisu o czasowym braku gotowości członka drużyny ratowniczej do wykonywania pracy ratownika górniczego, poprzedzającym skreślenie z ewidencji </w:t>
      </w:r>
      <w:r w:rsidRPr="00705A5B">
        <w:rPr>
          <w:rFonts w:ascii="Arial" w:hAnsi="Arial" w:cs="Arial"/>
        </w:rPr>
        <w:lastRenderedPageBreak/>
        <w:t>drużyny ratowniczej, w celu umożliwienia w tym czasie uzupełnienia wymaganych badań lekarskich lub ćwiczeń;</w:t>
      </w:r>
    </w:p>
    <w:p w:rsidR="00705A5B" w:rsidRPr="00705A5B" w:rsidRDefault="00705A5B" w:rsidP="00705A5B">
      <w:pPr>
        <w:spacing w:after="0"/>
        <w:ind w:left="709" w:hanging="425"/>
        <w:jc w:val="both"/>
        <w:rPr>
          <w:rFonts w:ascii="Arial" w:hAnsi="Arial" w:cs="Arial"/>
        </w:rPr>
      </w:pPr>
      <w:r w:rsidRPr="00705A5B">
        <w:rPr>
          <w:rFonts w:ascii="Arial" w:hAnsi="Arial" w:cs="Arial"/>
        </w:rPr>
        <w:t>8)</w:t>
      </w:r>
      <w:r w:rsidRPr="00705A5B">
        <w:rPr>
          <w:rFonts w:ascii="Arial" w:hAnsi="Arial" w:cs="Arial"/>
        </w:rPr>
        <w:tab/>
        <w:t>określenie mechanizmu dokumentowania nakazu pełnienia stałego dyżuru przez dyżurujący zastęp ratowniczy;</w:t>
      </w:r>
    </w:p>
    <w:p w:rsidR="00705A5B" w:rsidRPr="00705A5B" w:rsidRDefault="00705A5B" w:rsidP="00705A5B">
      <w:pPr>
        <w:spacing w:after="0"/>
        <w:ind w:left="709" w:hanging="425"/>
        <w:jc w:val="both"/>
        <w:rPr>
          <w:rFonts w:ascii="Arial" w:hAnsi="Arial" w:cs="Arial"/>
        </w:rPr>
      </w:pPr>
      <w:r w:rsidRPr="00705A5B">
        <w:rPr>
          <w:rFonts w:ascii="Arial" w:hAnsi="Arial" w:cs="Arial"/>
        </w:rPr>
        <w:t>9)</w:t>
      </w:r>
      <w:r w:rsidRPr="00705A5B">
        <w:rPr>
          <w:rFonts w:ascii="Arial" w:hAnsi="Arial" w:cs="Arial"/>
        </w:rPr>
        <w:tab/>
        <w:t>doprecyzowanie normy dotyczącej wyposażenia ratowników górniczych w sygnalizatory bezruchu;</w:t>
      </w:r>
    </w:p>
    <w:p w:rsidR="00705A5B" w:rsidRPr="00705A5B" w:rsidRDefault="00705A5B" w:rsidP="00705A5B">
      <w:pPr>
        <w:spacing w:after="0"/>
        <w:ind w:left="709" w:hanging="425"/>
        <w:jc w:val="both"/>
        <w:rPr>
          <w:rFonts w:ascii="Arial" w:hAnsi="Arial" w:cs="Arial"/>
        </w:rPr>
      </w:pPr>
      <w:r w:rsidRPr="00705A5B">
        <w:rPr>
          <w:rFonts w:ascii="Arial" w:hAnsi="Arial" w:cs="Arial"/>
        </w:rPr>
        <w:t>10)</w:t>
      </w:r>
      <w:r w:rsidRPr="00705A5B">
        <w:rPr>
          <w:rFonts w:ascii="Arial" w:hAnsi="Arial" w:cs="Arial"/>
        </w:rPr>
        <w:tab/>
        <w:t>doprecyzowanie wymagań dotyczących m.in. badań lekarskich zapewnianych przez jednostkę ratownictwa;</w:t>
      </w:r>
    </w:p>
    <w:p w:rsidR="00705A5B" w:rsidRPr="00705A5B" w:rsidRDefault="00705A5B" w:rsidP="00705A5B">
      <w:pPr>
        <w:spacing w:after="0"/>
        <w:ind w:left="709" w:hanging="425"/>
        <w:jc w:val="both"/>
        <w:rPr>
          <w:rFonts w:ascii="Arial" w:hAnsi="Arial" w:cs="Arial"/>
        </w:rPr>
      </w:pPr>
      <w:r w:rsidRPr="00705A5B">
        <w:rPr>
          <w:rFonts w:ascii="Arial" w:hAnsi="Arial" w:cs="Arial"/>
        </w:rPr>
        <w:t>11)</w:t>
      </w:r>
      <w:r w:rsidRPr="00705A5B">
        <w:rPr>
          <w:rFonts w:ascii="Arial" w:hAnsi="Arial" w:cs="Arial"/>
        </w:rPr>
        <w:tab/>
        <w:t>określenie terminów specjalistycznych szkoleń jako rozłożonych równomiernie w trakcie roku;</w:t>
      </w:r>
    </w:p>
    <w:p w:rsidR="00705A5B" w:rsidRPr="00705A5B" w:rsidRDefault="00705A5B" w:rsidP="00705A5B">
      <w:pPr>
        <w:spacing w:after="0"/>
        <w:ind w:left="709" w:hanging="425"/>
        <w:jc w:val="both"/>
        <w:rPr>
          <w:rFonts w:ascii="Arial" w:hAnsi="Arial" w:cs="Arial"/>
        </w:rPr>
      </w:pPr>
      <w:r w:rsidRPr="00705A5B">
        <w:rPr>
          <w:rFonts w:ascii="Arial" w:hAnsi="Arial" w:cs="Arial"/>
        </w:rPr>
        <w:t>12)</w:t>
      </w:r>
      <w:r w:rsidRPr="00705A5B">
        <w:rPr>
          <w:rFonts w:ascii="Arial" w:hAnsi="Arial" w:cs="Arial"/>
        </w:rPr>
        <w:tab/>
        <w:t>umożliwienie przeprowadzenia ćwiczeń także w podziemnym zakładzie górniczym, poza właściwą jednostką ratownictwa górniczego;</w:t>
      </w:r>
    </w:p>
    <w:p w:rsidR="00705A5B" w:rsidRPr="00705A5B" w:rsidRDefault="00705A5B" w:rsidP="00705A5B">
      <w:pPr>
        <w:spacing w:after="0"/>
        <w:ind w:left="709" w:hanging="425"/>
        <w:jc w:val="both"/>
        <w:rPr>
          <w:rFonts w:ascii="Arial" w:hAnsi="Arial" w:cs="Arial"/>
        </w:rPr>
      </w:pPr>
      <w:r w:rsidRPr="00705A5B">
        <w:rPr>
          <w:rFonts w:ascii="Arial" w:hAnsi="Arial" w:cs="Arial"/>
        </w:rPr>
        <w:t>13)</w:t>
      </w:r>
      <w:r w:rsidRPr="00705A5B">
        <w:rPr>
          <w:rFonts w:ascii="Arial" w:hAnsi="Arial" w:cs="Arial"/>
        </w:rPr>
        <w:tab/>
        <w:t>rezygnację z przetwarzania danych osobowych lekarzy psychiatrów, psychologów i psychoterapeutów oraz osób personelu medycznego w planie ratownictwa górniczego;</w:t>
      </w:r>
    </w:p>
    <w:p w:rsidR="00705A5B" w:rsidRPr="00705A5B" w:rsidRDefault="00705A5B" w:rsidP="00705A5B">
      <w:pPr>
        <w:spacing w:after="0"/>
        <w:ind w:left="709" w:hanging="425"/>
        <w:jc w:val="both"/>
        <w:rPr>
          <w:rFonts w:ascii="Arial" w:hAnsi="Arial" w:cs="Arial"/>
        </w:rPr>
      </w:pPr>
      <w:r w:rsidRPr="00705A5B">
        <w:rPr>
          <w:rFonts w:ascii="Arial" w:hAnsi="Arial" w:cs="Arial"/>
        </w:rPr>
        <w:t>14)</w:t>
      </w:r>
      <w:r w:rsidRPr="00705A5B">
        <w:rPr>
          <w:rFonts w:ascii="Arial" w:hAnsi="Arial" w:cs="Arial"/>
        </w:rPr>
        <w:tab/>
        <w:t>rozszerzenie w planie ratownictwa górniczego katalogu sposobów prowadzenia akcji ratowniczej o sposób postępowania w przypadku połączenia wentylacyjnego sąsiednich zakładów górniczych;</w:t>
      </w:r>
    </w:p>
    <w:p w:rsidR="00705A5B" w:rsidRPr="00705A5B" w:rsidRDefault="00705A5B" w:rsidP="00705A5B">
      <w:pPr>
        <w:spacing w:after="0"/>
        <w:ind w:left="709" w:hanging="425"/>
        <w:jc w:val="both"/>
        <w:rPr>
          <w:rFonts w:ascii="Arial" w:hAnsi="Arial" w:cs="Arial"/>
        </w:rPr>
      </w:pPr>
      <w:r w:rsidRPr="00705A5B">
        <w:rPr>
          <w:rFonts w:ascii="Arial" w:hAnsi="Arial" w:cs="Arial"/>
        </w:rPr>
        <w:t>15)</w:t>
      </w:r>
      <w:r w:rsidRPr="00705A5B">
        <w:rPr>
          <w:rFonts w:ascii="Arial" w:hAnsi="Arial" w:cs="Arial"/>
        </w:rPr>
        <w:tab/>
        <w:t>uporządkowanie i jednoznaczne wskazanie przypadków, w których prowadzi się prace profilaktyczne;</w:t>
      </w:r>
    </w:p>
    <w:p w:rsidR="00705A5B" w:rsidRPr="00705A5B" w:rsidRDefault="00705A5B" w:rsidP="00705A5B">
      <w:pPr>
        <w:spacing w:after="0"/>
        <w:ind w:left="709" w:hanging="425"/>
        <w:jc w:val="both"/>
        <w:rPr>
          <w:rFonts w:ascii="Arial" w:hAnsi="Arial" w:cs="Arial"/>
        </w:rPr>
      </w:pPr>
      <w:r w:rsidRPr="00705A5B">
        <w:rPr>
          <w:rFonts w:ascii="Arial" w:hAnsi="Arial" w:cs="Arial"/>
        </w:rPr>
        <w:t>16)</w:t>
      </w:r>
      <w:r w:rsidRPr="00705A5B">
        <w:rPr>
          <w:rFonts w:ascii="Arial" w:hAnsi="Arial" w:cs="Arial"/>
        </w:rPr>
        <w:tab/>
        <w:t>doprecyzowanie przepisów związanych z zabezpieczeniem aparatu regeneracyjnego lub powietrznego butlowego oraz sprzętu ochrony układu oddechowego, jeżeli do wypadku doszło podczas jego używania;</w:t>
      </w:r>
    </w:p>
    <w:p w:rsidR="00705A5B" w:rsidRPr="00705A5B" w:rsidRDefault="00705A5B" w:rsidP="00705A5B">
      <w:pPr>
        <w:spacing w:after="0"/>
        <w:ind w:left="709" w:hanging="425"/>
        <w:jc w:val="both"/>
        <w:rPr>
          <w:rFonts w:ascii="Arial" w:hAnsi="Arial" w:cs="Arial"/>
        </w:rPr>
      </w:pPr>
      <w:r w:rsidRPr="00705A5B">
        <w:rPr>
          <w:rFonts w:ascii="Arial" w:hAnsi="Arial" w:cs="Arial"/>
        </w:rPr>
        <w:t>17)</w:t>
      </w:r>
      <w:r w:rsidRPr="00705A5B">
        <w:rPr>
          <w:rFonts w:ascii="Arial" w:hAnsi="Arial" w:cs="Arial"/>
        </w:rPr>
        <w:tab/>
        <w:t>rezygnację z zamieszczania w dzienniku kopalnianej stacji ratownictwa informacji o ćwiczeniach ratowniczych, którą wpisuje się do dziennika ćwiczeń drużyny ratowniczej;</w:t>
      </w:r>
    </w:p>
    <w:p w:rsidR="00705A5B" w:rsidRPr="00705A5B" w:rsidRDefault="00705A5B" w:rsidP="00705A5B">
      <w:pPr>
        <w:spacing w:after="0"/>
        <w:ind w:left="709" w:hanging="425"/>
        <w:jc w:val="both"/>
        <w:rPr>
          <w:rFonts w:ascii="Arial" w:hAnsi="Arial" w:cs="Arial"/>
        </w:rPr>
      </w:pPr>
      <w:r w:rsidRPr="00705A5B">
        <w:rPr>
          <w:rFonts w:ascii="Arial" w:hAnsi="Arial" w:cs="Arial"/>
        </w:rPr>
        <w:t>18)</w:t>
      </w:r>
      <w:r w:rsidRPr="00705A5B">
        <w:rPr>
          <w:rFonts w:ascii="Arial" w:hAnsi="Arial" w:cs="Arial"/>
        </w:rPr>
        <w:tab/>
        <w:t>rezygnację z zastosowania nieadekwatnych do pomiaru składu chemicznego powietrza przyrządów pomiarowych na stanowisku pomiarowym.</w:t>
      </w:r>
    </w:p>
    <w:p w:rsidR="00705A5B" w:rsidRPr="00705A5B" w:rsidRDefault="00705A5B" w:rsidP="00705A5B">
      <w:pPr>
        <w:spacing w:after="0"/>
        <w:jc w:val="both"/>
        <w:rPr>
          <w:rFonts w:ascii="Arial" w:hAnsi="Arial" w:cs="Arial"/>
        </w:rPr>
      </w:pPr>
      <w:r w:rsidRPr="00705A5B">
        <w:rPr>
          <w:rFonts w:ascii="Arial" w:hAnsi="Arial" w:cs="Arial"/>
        </w:rPr>
        <w:t xml:space="preserve">Ponadto w projektowanym rozporządzeniu przewiduje się zmiany o charakterze redakcyjnym lub porządkującym, które mają na celu zapewnienie wewnętrznej spójności przepisów rozporządzenia, np. doprecyzowanie norm odsyłających do § 8 i 9 rozporządzenia przez konsekwentne stosowanie zwrotu „zakładów górniczych oraz zakładów”, oraz zapewnienie spójności przepisów rozporządzenia z przepisami innych aktów, np. z art. 122 ust. 3 </w:t>
      </w:r>
      <w:proofErr w:type="spellStart"/>
      <w:r w:rsidRPr="00705A5B">
        <w:rPr>
          <w:rFonts w:ascii="Arial" w:hAnsi="Arial" w:cs="Arial"/>
        </w:rPr>
        <w:t>Pgg</w:t>
      </w:r>
      <w:proofErr w:type="spellEnd"/>
      <w:r w:rsidRPr="00705A5B">
        <w:rPr>
          <w:rFonts w:ascii="Arial" w:hAnsi="Arial" w:cs="Arial"/>
        </w:rPr>
        <w:t xml:space="preserve"> w zakresie obowiązków kierownika ruchu zakładu górniczego.</w:t>
      </w:r>
    </w:p>
    <w:p w:rsidR="00705A5B" w:rsidRDefault="00705A5B" w:rsidP="00705A5B">
      <w:pPr>
        <w:spacing w:after="0"/>
        <w:jc w:val="both"/>
        <w:rPr>
          <w:rFonts w:ascii="Arial" w:hAnsi="Arial" w:cs="Arial"/>
        </w:rPr>
      </w:pPr>
      <w:r w:rsidRPr="00705A5B">
        <w:rPr>
          <w:rFonts w:ascii="Arial" w:hAnsi="Arial" w:cs="Arial"/>
        </w:rPr>
        <w:t>Wyżej wymienione rozwiązania mogą być ujęte wyłącznie w przepisach nowelizowanego rozporządzenia</w:t>
      </w:r>
      <w:r>
        <w:rPr>
          <w:rFonts w:ascii="Arial" w:hAnsi="Arial" w:cs="Arial"/>
        </w:rPr>
        <w:t>.</w:t>
      </w:r>
    </w:p>
    <w:p w:rsidR="00705A5B" w:rsidRDefault="00705A5B" w:rsidP="00705A5B">
      <w:pPr>
        <w:spacing w:after="0"/>
        <w:jc w:val="both"/>
        <w:rPr>
          <w:rFonts w:ascii="Arial" w:hAnsi="Arial" w:cs="Arial"/>
        </w:rPr>
      </w:pPr>
    </w:p>
    <w:p w:rsidR="00A906E6" w:rsidRPr="00A906E6" w:rsidRDefault="00A906E6" w:rsidP="00A906E6">
      <w:pPr>
        <w:spacing w:after="0"/>
        <w:jc w:val="both"/>
        <w:rPr>
          <w:rFonts w:ascii="Arial" w:hAnsi="Arial" w:cs="Arial"/>
        </w:rPr>
      </w:pPr>
      <w:r w:rsidRPr="00A906E6">
        <w:rPr>
          <w:rFonts w:ascii="Arial" w:hAnsi="Arial" w:cs="Arial"/>
        </w:rPr>
        <w:t>Przedmiotowy projekt aktu prawnego wraz Uzasadnieniem oraz Oceną Skutków Regulacji dostępny jest na stronach Rządowego Centrum Legislacji pod adresem:</w:t>
      </w:r>
    </w:p>
    <w:p w:rsidR="00705A5B" w:rsidRDefault="00A906E6" w:rsidP="00A906E6">
      <w:pPr>
        <w:spacing w:after="0"/>
        <w:jc w:val="both"/>
        <w:rPr>
          <w:rFonts w:ascii="Arial" w:hAnsi="Arial" w:cs="Arial"/>
        </w:rPr>
      </w:pPr>
      <w:hyperlink r:id="rId11" w:history="1">
        <w:r w:rsidRPr="00454EE5">
          <w:rPr>
            <w:rStyle w:val="Hipercze"/>
            <w:rFonts w:ascii="Arial" w:hAnsi="Arial" w:cs="Arial"/>
          </w:rPr>
          <w:t>https://legislacja.rcl.gov.pl/projekt/1238</w:t>
        </w:r>
        <w:r w:rsidRPr="00454EE5">
          <w:rPr>
            <w:rStyle w:val="Hipercze"/>
            <w:rFonts w:ascii="Arial" w:hAnsi="Arial" w:cs="Arial"/>
          </w:rPr>
          <w:t>9</w:t>
        </w:r>
        <w:r w:rsidRPr="00454EE5">
          <w:rPr>
            <w:rStyle w:val="Hipercze"/>
            <w:rFonts w:ascii="Arial" w:hAnsi="Arial" w:cs="Arial"/>
          </w:rPr>
          <w:t>700/kata</w:t>
        </w:r>
        <w:r w:rsidRPr="00454EE5">
          <w:rPr>
            <w:rStyle w:val="Hipercze"/>
            <w:rFonts w:ascii="Arial" w:hAnsi="Arial" w:cs="Arial"/>
          </w:rPr>
          <w:t>l</w:t>
        </w:r>
        <w:r w:rsidRPr="00454EE5">
          <w:rPr>
            <w:rStyle w:val="Hipercze"/>
            <w:rFonts w:ascii="Arial" w:hAnsi="Arial" w:cs="Arial"/>
          </w:rPr>
          <w:t>og/13082024#13082024</w:t>
        </w:r>
      </w:hyperlink>
      <w:r>
        <w:rPr>
          <w:rFonts w:ascii="Arial" w:hAnsi="Arial" w:cs="Arial"/>
        </w:rPr>
        <w:t xml:space="preserve"> </w:t>
      </w:r>
    </w:p>
    <w:p w:rsidR="00705A5B" w:rsidRDefault="00705A5B" w:rsidP="00705A5B">
      <w:pPr>
        <w:spacing w:after="0"/>
        <w:jc w:val="both"/>
        <w:rPr>
          <w:rFonts w:ascii="Arial" w:hAnsi="Arial" w:cs="Arial"/>
        </w:rPr>
      </w:pPr>
    </w:p>
    <w:p w:rsidR="00A906E6" w:rsidRDefault="00A906E6" w:rsidP="00705A5B">
      <w:pPr>
        <w:spacing w:after="0"/>
        <w:jc w:val="both"/>
        <w:rPr>
          <w:rFonts w:ascii="Arial" w:hAnsi="Arial" w:cs="Arial"/>
        </w:rPr>
      </w:pPr>
      <w:r w:rsidRPr="00A906E6">
        <w:rPr>
          <w:rFonts w:ascii="Arial" w:hAnsi="Arial" w:cs="Arial"/>
        </w:rPr>
        <w:t>Projekt jest obecnie jednocześnie na etapie uzgodnień, konsultacji publicznych i opiniowania</w:t>
      </w:r>
      <w:r>
        <w:rPr>
          <w:rFonts w:ascii="Arial" w:hAnsi="Arial" w:cs="Arial"/>
        </w:rPr>
        <w:t>.</w:t>
      </w:r>
    </w:p>
    <w:p w:rsidR="00705A5B" w:rsidRPr="00705A5B" w:rsidRDefault="00705A5B" w:rsidP="00705A5B">
      <w:pPr>
        <w:spacing w:after="0"/>
        <w:jc w:val="both"/>
        <w:rPr>
          <w:rFonts w:ascii="Arial" w:hAnsi="Arial" w:cs="Arial"/>
        </w:rPr>
      </w:pPr>
    </w:p>
    <w:p w:rsidR="00A906E6" w:rsidRPr="00A906E6" w:rsidRDefault="00A906E6" w:rsidP="00A906E6">
      <w:pPr>
        <w:pStyle w:val="Akapitzlist"/>
        <w:numPr>
          <w:ilvl w:val="0"/>
          <w:numId w:val="4"/>
        </w:numPr>
        <w:spacing w:after="0"/>
        <w:jc w:val="both"/>
        <w:rPr>
          <w:rFonts w:ascii="Arial" w:hAnsi="Arial" w:cs="Arial"/>
          <w:b/>
          <w:u w:val="single"/>
        </w:rPr>
      </w:pPr>
      <w:r w:rsidRPr="00A906E6">
        <w:rPr>
          <w:rFonts w:ascii="Arial" w:hAnsi="Arial" w:cs="Arial"/>
          <w:b/>
          <w:u w:val="single"/>
        </w:rPr>
        <w:t>projekt rozporządzenia Ministra Klimatu i Środowiska w sprawie maksymalnej ilości i wartości energii elektrycznej z wysokosprawnej kogeneracji objętej wsparciem oraz jednostkowych wysokości premii gwarantowanej w roku 2025 (numer z wykazu 1232)</w:t>
      </w:r>
    </w:p>
    <w:p w:rsidR="00A906E6" w:rsidRDefault="00A906E6" w:rsidP="00A906E6">
      <w:pPr>
        <w:spacing w:after="0"/>
        <w:jc w:val="both"/>
        <w:rPr>
          <w:rFonts w:ascii="Arial" w:hAnsi="Arial" w:cs="Arial"/>
        </w:rPr>
      </w:pPr>
    </w:p>
    <w:p w:rsidR="00A906E6" w:rsidRPr="00A906E6" w:rsidRDefault="00A906E6" w:rsidP="00A906E6">
      <w:pPr>
        <w:spacing w:after="0"/>
        <w:jc w:val="both"/>
        <w:rPr>
          <w:rFonts w:ascii="Arial" w:hAnsi="Arial" w:cs="Arial"/>
        </w:rPr>
      </w:pPr>
      <w:r w:rsidRPr="00A906E6">
        <w:rPr>
          <w:rFonts w:ascii="Arial" w:hAnsi="Arial" w:cs="Arial"/>
        </w:rPr>
        <w:lastRenderedPageBreak/>
        <w:t xml:space="preserve">Artykuł 56 ust. 1 ustawy z dnia 14 grudnia 2018 r. o promowaniu energii elektrycznej z wysokosprawnej kogeneracji (Dz. U. z 2024 r. poz. 639), zwanej dalej „ustawą”, nakłada na ministra właściwego do spraw energii obowiązek określenia, w drodze rozporządzenia, w terminie do 31 października każdego roku, maksymalnej ilości i wartości energii elektrycznej z wysokosprawnej kogeneracji objętej wsparciem oraz jednostkowych wysokości premii gwarantowanej w kolejnym roku kalendarzowym. </w:t>
      </w:r>
    </w:p>
    <w:p w:rsidR="00A906E6" w:rsidRPr="00A906E6" w:rsidRDefault="00A906E6" w:rsidP="00A906E6">
      <w:pPr>
        <w:spacing w:after="0"/>
        <w:jc w:val="both"/>
        <w:rPr>
          <w:rFonts w:ascii="Arial" w:hAnsi="Arial" w:cs="Arial"/>
        </w:rPr>
      </w:pPr>
      <w:r w:rsidRPr="00A906E6">
        <w:rPr>
          <w:rFonts w:ascii="Arial" w:hAnsi="Arial" w:cs="Arial"/>
        </w:rPr>
        <w:t>Informacje dotyczące wartości premii gwarantowanej, maksymalnej wartość premii kogeneracyjnej oraz premii kogeneracyjnej indywidualnej są ważnym sygnałem dla inwestorów pozwalającym na określenie, czy dany projekt inwestycyjny uzyska wsparcie w ramach wsparcia energii elektrycznej z wysokosprawnej kogeneracji.</w:t>
      </w:r>
    </w:p>
    <w:p w:rsidR="00A906E6" w:rsidRPr="00A906E6" w:rsidRDefault="00A906E6" w:rsidP="00A906E6">
      <w:pPr>
        <w:spacing w:after="0"/>
        <w:jc w:val="both"/>
        <w:rPr>
          <w:rFonts w:ascii="Arial" w:hAnsi="Arial" w:cs="Arial"/>
        </w:rPr>
      </w:pPr>
      <w:r w:rsidRPr="00A906E6">
        <w:rPr>
          <w:rFonts w:ascii="Arial" w:hAnsi="Arial" w:cs="Arial"/>
        </w:rPr>
        <w:t>Rekomenduje się wydanie rozporządzenia Ministra Klimatu i Środowiska w sprawie maksymalnej ilości i wartości energii elektrycznej z wysokosprawnej kogeneracji objętej wsparciem oraz jednostkowych wysokości premii gwarantowanej w roku 2025 (zwane dalej „projektem rozporządzenia”), które określi następujące wartości obowiązujące w 2025 r.:</w:t>
      </w:r>
    </w:p>
    <w:p w:rsidR="00A906E6" w:rsidRPr="00A906E6" w:rsidRDefault="00A906E6" w:rsidP="00A906E6">
      <w:pPr>
        <w:spacing w:after="0"/>
        <w:ind w:left="709" w:hanging="425"/>
        <w:jc w:val="both"/>
        <w:rPr>
          <w:rFonts w:ascii="Arial" w:hAnsi="Arial" w:cs="Arial"/>
        </w:rPr>
      </w:pPr>
      <w:r w:rsidRPr="00A906E6">
        <w:rPr>
          <w:rFonts w:ascii="Arial" w:hAnsi="Arial" w:cs="Arial"/>
        </w:rPr>
        <w:t>1)</w:t>
      </w:r>
      <w:r w:rsidRPr="00A906E6">
        <w:rPr>
          <w:rFonts w:ascii="Arial" w:hAnsi="Arial" w:cs="Arial"/>
        </w:rPr>
        <w:tab/>
        <w:t>maksymalną ilość energii elektrycznej z wysokosprawnej kogeneracji, której sprzedaż może zostać objęta premią kogeneracyjną;</w:t>
      </w:r>
    </w:p>
    <w:p w:rsidR="00A906E6" w:rsidRPr="00A906E6" w:rsidRDefault="00A906E6" w:rsidP="00A906E6">
      <w:pPr>
        <w:spacing w:after="0"/>
        <w:ind w:left="709" w:hanging="425"/>
        <w:jc w:val="both"/>
        <w:rPr>
          <w:rFonts w:ascii="Arial" w:hAnsi="Arial" w:cs="Arial"/>
        </w:rPr>
      </w:pPr>
      <w:r w:rsidRPr="00A906E6">
        <w:rPr>
          <w:rFonts w:ascii="Arial" w:hAnsi="Arial" w:cs="Arial"/>
        </w:rPr>
        <w:t>2)</w:t>
      </w:r>
      <w:r w:rsidRPr="00A906E6">
        <w:rPr>
          <w:rFonts w:ascii="Arial" w:hAnsi="Arial" w:cs="Arial"/>
        </w:rPr>
        <w:tab/>
        <w:t>maksymalną wartość premii kogeneracyjnej wynikającej z ilości energii, której sprzedaż może zostać objęta premią kogeneracyjną, w kolejnym roku kalendarzowym, w tym w odniesieniu do wytwórców energii elektrycznej z wysokosprawnej kogeneracji w jednostkach kogeneracji zlokalizowanych poza terytorium Rzeczypospolitej Polskiej;</w:t>
      </w:r>
    </w:p>
    <w:p w:rsidR="00A906E6" w:rsidRPr="00A906E6" w:rsidRDefault="00A906E6" w:rsidP="00A906E6">
      <w:pPr>
        <w:spacing w:after="0"/>
        <w:ind w:left="709" w:hanging="425"/>
        <w:jc w:val="both"/>
        <w:rPr>
          <w:rFonts w:ascii="Arial" w:hAnsi="Arial" w:cs="Arial"/>
        </w:rPr>
      </w:pPr>
      <w:r w:rsidRPr="00A906E6">
        <w:rPr>
          <w:rFonts w:ascii="Arial" w:hAnsi="Arial" w:cs="Arial"/>
        </w:rPr>
        <w:t>3)</w:t>
      </w:r>
      <w:r w:rsidRPr="00A906E6">
        <w:rPr>
          <w:rFonts w:ascii="Arial" w:hAnsi="Arial" w:cs="Arial"/>
        </w:rPr>
        <w:tab/>
        <w:t>maksymalną moc zainstalowaną elektryczną nowych małych jednostek kogeneracji lub znacznie zmodernizowanych małych jednostek kogeneracji, dla których wytwórca może uzyskać premię gwarantowaną w danym roku kalendarzowym;</w:t>
      </w:r>
    </w:p>
    <w:p w:rsidR="00A906E6" w:rsidRPr="00A906E6" w:rsidRDefault="00A906E6" w:rsidP="00A906E6">
      <w:pPr>
        <w:spacing w:after="0"/>
        <w:ind w:left="709" w:hanging="425"/>
        <w:jc w:val="both"/>
        <w:rPr>
          <w:rFonts w:ascii="Arial" w:hAnsi="Arial" w:cs="Arial"/>
        </w:rPr>
      </w:pPr>
      <w:r w:rsidRPr="00A906E6">
        <w:rPr>
          <w:rFonts w:ascii="Arial" w:hAnsi="Arial" w:cs="Arial"/>
        </w:rPr>
        <w:t>4)</w:t>
      </w:r>
      <w:r w:rsidRPr="00A906E6">
        <w:rPr>
          <w:rFonts w:ascii="Arial" w:hAnsi="Arial" w:cs="Arial"/>
        </w:rPr>
        <w:tab/>
        <w:t>jednostkową wysokość premii gwarantowanej, w złotych za 1 MWh, dla nowej małej jednostki kogeneracji, zmodernizowanej małej jednostki kogeneracji oraz znacznie zmodernizowanej małej jednostki kogeneracji, odrębnie dla jednostek kogeneracji opalanych paliwem, o którym mowa w art. 15 ust. 7 ustawy;</w:t>
      </w:r>
    </w:p>
    <w:p w:rsidR="00A906E6" w:rsidRPr="00A906E6" w:rsidRDefault="00A906E6" w:rsidP="00A906E6">
      <w:pPr>
        <w:spacing w:after="0"/>
        <w:ind w:left="709" w:hanging="425"/>
        <w:jc w:val="both"/>
        <w:rPr>
          <w:rFonts w:ascii="Arial" w:hAnsi="Arial" w:cs="Arial"/>
        </w:rPr>
      </w:pPr>
      <w:r w:rsidRPr="00A906E6">
        <w:rPr>
          <w:rFonts w:ascii="Arial" w:hAnsi="Arial" w:cs="Arial"/>
        </w:rPr>
        <w:t>5)</w:t>
      </w:r>
      <w:r w:rsidRPr="00A906E6">
        <w:rPr>
          <w:rFonts w:ascii="Arial" w:hAnsi="Arial" w:cs="Arial"/>
        </w:rPr>
        <w:tab/>
        <w:t>maksymalną ilość energii elektrycznej z wysokosprawnej kogeneracji, której sprzedaż może zostać objęta premią kogeneracyjną indywidualną;</w:t>
      </w:r>
    </w:p>
    <w:p w:rsidR="00A906E6" w:rsidRPr="00A906E6" w:rsidRDefault="00A906E6" w:rsidP="00A906E6">
      <w:pPr>
        <w:spacing w:after="0"/>
        <w:ind w:left="709" w:hanging="425"/>
        <w:jc w:val="both"/>
        <w:rPr>
          <w:rFonts w:ascii="Arial" w:hAnsi="Arial" w:cs="Arial"/>
        </w:rPr>
      </w:pPr>
      <w:r w:rsidRPr="00A906E6">
        <w:rPr>
          <w:rFonts w:ascii="Arial" w:hAnsi="Arial" w:cs="Arial"/>
        </w:rPr>
        <w:t>6)</w:t>
      </w:r>
      <w:r w:rsidRPr="00A906E6">
        <w:rPr>
          <w:rFonts w:ascii="Arial" w:hAnsi="Arial" w:cs="Arial"/>
        </w:rPr>
        <w:tab/>
        <w:t>maksymalną wartość premii kogeneracyjnej indywidualnej wynikającej z ilości energii, o której mowa powyżej;</w:t>
      </w:r>
    </w:p>
    <w:p w:rsidR="00A906E6" w:rsidRPr="00A906E6" w:rsidRDefault="00A906E6" w:rsidP="00A906E6">
      <w:pPr>
        <w:spacing w:after="0"/>
        <w:ind w:left="709" w:hanging="425"/>
        <w:jc w:val="both"/>
        <w:rPr>
          <w:rFonts w:ascii="Arial" w:hAnsi="Arial" w:cs="Arial"/>
        </w:rPr>
      </w:pPr>
      <w:r w:rsidRPr="00A906E6">
        <w:rPr>
          <w:rFonts w:ascii="Arial" w:hAnsi="Arial" w:cs="Arial"/>
        </w:rPr>
        <w:t>7)</w:t>
      </w:r>
      <w:r w:rsidRPr="00A906E6">
        <w:rPr>
          <w:rFonts w:ascii="Arial" w:hAnsi="Arial" w:cs="Arial"/>
        </w:rPr>
        <w:tab/>
        <w:t>maksymalną wysokość premii kogeneracyjnej indywidualnej, w złotych za 1 MWh, odrębnie dla jednostek kogeneracji opalanych paliwem, o którym mowa w art. 15 ust. 7 ustawy, w tym w odniesieniu do wytwórców energii elektrycznej z wysokosprawnej kogeneracji w jednostkach kogeneracji zlokalizowanych poza terytorium Rzeczypospolitej Polskiej;</w:t>
      </w:r>
    </w:p>
    <w:p w:rsidR="00A906E6" w:rsidRPr="00A906E6" w:rsidRDefault="00A906E6" w:rsidP="00A906E6">
      <w:pPr>
        <w:spacing w:after="0"/>
        <w:ind w:left="709" w:hanging="425"/>
        <w:jc w:val="both"/>
        <w:rPr>
          <w:rFonts w:ascii="Arial" w:hAnsi="Arial" w:cs="Arial"/>
        </w:rPr>
      </w:pPr>
      <w:r w:rsidRPr="00A906E6">
        <w:rPr>
          <w:rFonts w:ascii="Arial" w:hAnsi="Arial" w:cs="Arial"/>
        </w:rPr>
        <w:t>8)</w:t>
      </w:r>
      <w:r w:rsidRPr="00A906E6">
        <w:rPr>
          <w:rFonts w:ascii="Arial" w:hAnsi="Arial" w:cs="Arial"/>
        </w:rPr>
        <w:tab/>
        <w:t>jednostkową wysokość premii gwarantowanej, w złotych za 1 MWh, dla jednostek kogeneracji, o których mowa w art. 5 ust. 1 pkt 1 ustawy, odrębnie dla jednostek kogeneracji opalanych paliwem, o którym mowa w art. 15 ust. 7 ustawy;</w:t>
      </w:r>
    </w:p>
    <w:p w:rsidR="00A906E6" w:rsidRPr="00A906E6" w:rsidRDefault="00A906E6" w:rsidP="00A906E6">
      <w:pPr>
        <w:spacing w:after="0"/>
        <w:ind w:left="709" w:hanging="425"/>
        <w:jc w:val="both"/>
        <w:rPr>
          <w:rFonts w:ascii="Arial" w:hAnsi="Arial" w:cs="Arial"/>
        </w:rPr>
      </w:pPr>
      <w:r w:rsidRPr="00A906E6">
        <w:rPr>
          <w:rFonts w:ascii="Arial" w:hAnsi="Arial" w:cs="Arial"/>
        </w:rPr>
        <w:t>9)</w:t>
      </w:r>
      <w:r w:rsidRPr="00A906E6">
        <w:rPr>
          <w:rFonts w:ascii="Arial" w:hAnsi="Arial" w:cs="Arial"/>
        </w:rPr>
        <w:tab/>
        <w:t>jednostkową wysokość premii gwarantowanej, w złotych za 1 MWh, dla jednostek kogeneracji, o których mowa w art. 5 ust. 1 pkt 2 ustawy, odrębnie dla jednostek kogeneracji opalanych paliwem, o którym mowa w art. 15 ust. 7 ustawy;</w:t>
      </w:r>
    </w:p>
    <w:p w:rsidR="00A906E6" w:rsidRPr="00A906E6" w:rsidRDefault="00A906E6" w:rsidP="00A906E6">
      <w:pPr>
        <w:spacing w:after="0"/>
        <w:ind w:left="709" w:hanging="425"/>
        <w:jc w:val="both"/>
        <w:rPr>
          <w:rFonts w:ascii="Arial" w:hAnsi="Arial" w:cs="Arial"/>
        </w:rPr>
      </w:pPr>
      <w:r w:rsidRPr="00A906E6">
        <w:rPr>
          <w:rFonts w:ascii="Arial" w:hAnsi="Arial" w:cs="Arial"/>
        </w:rPr>
        <w:t>10)</w:t>
      </w:r>
      <w:r w:rsidRPr="00A906E6">
        <w:rPr>
          <w:rFonts w:ascii="Arial" w:hAnsi="Arial" w:cs="Arial"/>
        </w:rPr>
        <w:tab/>
        <w:t>jednostkową wysokość premii gwarantowanej, w złotych za 1 MWh, dla istniejącej małej jednostki kogeneracji, odrębnie dla jednostek kogeneracji opalanych paliwem, o którym mowa w art. 15 ust. 7 ustawy.</w:t>
      </w:r>
    </w:p>
    <w:p w:rsidR="00A906E6" w:rsidRPr="00A906E6" w:rsidRDefault="00A906E6" w:rsidP="00A906E6">
      <w:pPr>
        <w:spacing w:after="0"/>
        <w:jc w:val="both"/>
        <w:rPr>
          <w:rFonts w:ascii="Arial" w:hAnsi="Arial" w:cs="Arial"/>
        </w:rPr>
      </w:pPr>
      <w:r w:rsidRPr="00A906E6">
        <w:rPr>
          <w:rFonts w:ascii="Arial" w:hAnsi="Arial" w:cs="Arial"/>
        </w:rPr>
        <w:t xml:space="preserve">Maksymalne ilości energii elektrycznej z wysokosprawnej kogeneracji, której sprzedaż może zostać objęta premią kogeneracyjną oraz premią kogeneracyjną indywidualną, a także </w:t>
      </w:r>
      <w:r w:rsidRPr="00A906E6">
        <w:rPr>
          <w:rFonts w:ascii="Arial" w:hAnsi="Arial" w:cs="Arial"/>
        </w:rPr>
        <w:lastRenderedPageBreak/>
        <w:t xml:space="preserve">maksymalna moc zainstalowana elektryczna nowych małych jednostek kogeneracji lub znacznie zmodernizowanych małych jednostek kogeneracji, dla których wytwórca może uzyskać premię gwarantowaną w roku 2025, została określona zgodnie z danymi przedstawionymi w Tabeli 6 w ocenie skutków regulacji do projektu ustawy o promowaniu energii elektrycznej z wysokosprawnej kogeneracji. </w:t>
      </w:r>
    </w:p>
    <w:p w:rsidR="00A906E6" w:rsidRPr="00A906E6" w:rsidRDefault="00A906E6" w:rsidP="00A906E6">
      <w:pPr>
        <w:spacing w:after="0"/>
        <w:jc w:val="both"/>
        <w:rPr>
          <w:rFonts w:ascii="Arial" w:hAnsi="Arial" w:cs="Arial"/>
        </w:rPr>
      </w:pPr>
      <w:r w:rsidRPr="00A906E6">
        <w:rPr>
          <w:rFonts w:ascii="Arial" w:hAnsi="Arial" w:cs="Arial"/>
        </w:rPr>
        <w:t xml:space="preserve">W związku z niewykorzystaniem w poprzednich latach pełnej puli energii, której sprzedaż może zostać objęta wsparciem, ustala się wartość maksymalnej ilości energii na aktualnie obowiązującym poziomie. </w:t>
      </w:r>
    </w:p>
    <w:p w:rsidR="00A906E6" w:rsidRPr="00A906E6" w:rsidRDefault="00A906E6" w:rsidP="00A906E6">
      <w:pPr>
        <w:spacing w:after="0"/>
        <w:jc w:val="both"/>
        <w:rPr>
          <w:rFonts w:ascii="Arial" w:hAnsi="Arial" w:cs="Arial"/>
        </w:rPr>
      </w:pPr>
      <w:r w:rsidRPr="00A906E6">
        <w:rPr>
          <w:rFonts w:ascii="Arial" w:hAnsi="Arial" w:cs="Arial"/>
        </w:rPr>
        <w:t>Wysokości premii gwarantowanej w odniesieniu do istniejących jednostek kogeneracji oraz istniejących małych jednostek kogeneracji została wyliczona na podstawie metody LCOE  (</w:t>
      </w:r>
      <w:proofErr w:type="spellStart"/>
      <w:r w:rsidRPr="00A906E6">
        <w:rPr>
          <w:rFonts w:ascii="Arial" w:hAnsi="Arial" w:cs="Arial"/>
        </w:rPr>
        <w:t>Levelized</w:t>
      </w:r>
      <w:proofErr w:type="spellEnd"/>
      <w:r w:rsidRPr="00A906E6">
        <w:rPr>
          <w:rFonts w:ascii="Arial" w:hAnsi="Arial" w:cs="Arial"/>
        </w:rPr>
        <w:t xml:space="preserve"> </w:t>
      </w:r>
      <w:proofErr w:type="spellStart"/>
      <w:r w:rsidRPr="00A906E6">
        <w:rPr>
          <w:rFonts w:ascii="Arial" w:hAnsi="Arial" w:cs="Arial"/>
        </w:rPr>
        <w:t>Cost</w:t>
      </w:r>
      <w:proofErr w:type="spellEnd"/>
      <w:r w:rsidRPr="00A906E6">
        <w:rPr>
          <w:rFonts w:ascii="Arial" w:hAnsi="Arial" w:cs="Arial"/>
        </w:rPr>
        <w:t xml:space="preserve"> Of </w:t>
      </w:r>
      <w:proofErr w:type="spellStart"/>
      <w:r w:rsidRPr="00A906E6">
        <w:rPr>
          <w:rFonts w:ascii="Arial" w:hAnsi="Arial" w:cs="Arial"/>
        </w:rPr>
        <w:t>Electricity</w:t>
      </w:r>
      <w:proofErr w:type="spellEnd"/>
      <w:r w:rsidRPr="00A906E6">
        <w:rPr>
          <w:rFonts w:ascii="Arial" w:hAnsi="Arial" w:cs="Arial"/>
        </w:rPr>
        <w:t xml:space="preserve"> - uśredniony koszt energii elektrycznej) i odpowiada luce finansowej pomiędzy prognozowanymi kosztami operacyjnymi a prognozowanymi przychodami jednostki referencyjnej (odpowiednio o mocy zainstalowanej elektrycznej 30 MW oraz 500 kW) opalanej danego rodzaju paliwem (odpowiednio: paliwa gazowe, paliwa stałe, biomasa, pozostałe paliwa oraz paliwa gazowe i pozostałe paliwa) z tytułu sprzedaży energii elektrycznej. Przyjęte do kalkulacji założenia </w:t>
      </w:r>
      <w:proofErr w:type="spellStart"/>
      <w:r w:rsidRPr="00A906E6">
        <w:rPr>
          <w:rFonts w:ascii="Arial" w:hAnsi="Arial" w:cs="Arial"/>
        </w:rPr>
        <w:t>techniczno</w:t>
      </w:r>
      <w:proofErr w:type="spellEnd"/>
      <w:r w:rsidRPr="00A906E6">
        <w:rPr>
          <w:rFonts w:ascii="Arial" w:hAnsi="Arial" w:cs="Arial"/>
        </w:rPr>
        <w:t xml:space="preserve"> – ekonomiczne oraz makroekonomiczne i rynkowe zostały zamieszczone w załącznikach.</w:t>
      </w:r>
    </w:p>
    <w:p w:rsidR="00A906E6" w:rsidRPr="00A906E6" w:rsidRDefault="00A906E6" w:rsidP="00A906E6">
      <w:pPr>
        <w:spacing w:after="0"/>
        <w:jc w:val="both"/>
        <w:rPr>
          <w:rFonts w:ascii="Arial" w:hAnsi="Arial" w:cs="Arial"/>
        </w:rPr>
      </w:pPr>
      <w:r w:rsidRPr="00A906E6">
        <w:rPr>
          <w:rFonts w:ascii="Arial" w:hAnsi="Arial" w:cs="Arial"/>
        </w:rPr>
        <w:t xml:space="preserve">Do kalkulacji premii gwarantowanej nie wlicza się poniesionych nakładów inwestycyjnych (w tym: nakładów odtworzeniowych), co wynika z decyzji Komisji Europejskiej z dnia 15.04.2019 r. w sprawie </w:t>
      </w:r>
      <w:proofErr w:type="spellStart"/>
      <w:r w:rsidRPr="00A906E6">
        <w:rPr>
          <w:rFonts w:ascii="Arial" w:hAnsi="Arial" w:cs="Arial"/>
        </w:rPr>
        <w:t>State</w:t>
      </w:r>
      <w:proofErr w:type="spellEnd"/>
      <w:r w:rsidRPr="00A906E6">
        <w:rPr>
          <w:rFonts w:ascii="Arial" w:hAnsi="Arial" w:cs="Arial"/>
        </w:rPr>
        <w:t xml:space="preserve"> Aid SA.51192 (2019/N) – Poland – CHP </w:t>
      </w:r>
      <w:proofErr w:type="spellStart"/>
      <w:r w:rsidRPr="00A906E6">
        <w:rPr>
          <w:rFonts w:ascii="Arial" w:hAnsi="Arial" w:cs="Arial"/>
        </w:rPr>
        <w:t>support</w:t>
      </w:r>
      <w:proofErr w:type="spellEnd"/>
      <w:r w:rsidRPr="00A906E6">
        <w:rPr>
          <w:rFonts w:ascii="Arial" w:hAnsi="Arial" w:cs="Arial"/>
        </w:rPr>
        <w:t xml:space="preserve"> and </w:t>
      </w:r>
      <w:proofErr w:type="spellStart"/>
      <w:r w:rsidRPr="00A906E6">
        <w:rPr>
          <w:rFonts w:ascii="Arial" w:hAnsi="Arial" w:cs="Arial"/>
        </w:rPr>
        <w:t>State</w:t>
      </w:r>
      <w:proofErr w:type="spellEnd"/>
      <w:r w:rsidRPr="00A906E6">
        <w:rPr>
          <w:rFonts w:ascii="Arial" w:hAnsi="Arial" w:cs="Arial"/>
        </w:rPr>
        <w:t xml:space="preserve"> </w:t>
      </w:r>
      <w:proofErr w:type="spellStart"/>
      <w:r w:rsidRPr="00A906E6">
        <w:rPr>
          <w:rFonts w:ascii="Arial" w:hAnsi="Arial" w:cs="Arial"/>
        </w:rPr>
        <w:t>aid</w:t>
      </w:r>
      <w:proofErr w:type="spellEnd"/>
      <w:r w:rsidRPr="00A906E6">
        <w:rPr>
          <w:rFonts w:ascii="Arial" w:hAnsi="Arial" w:cs="Arial"/>
        </w:rPr>
        <w:t xml:space="preserve"> SA.52530 (2019/N) – Poland – </w:t>
      </w:r>
      <w:proofErr w:type="spellStart"/>
      <w:r w:rsidRPr="00A906E6">
        <w:rPr>
          <w:rFonts w:ascii="Arial" w:hAnsi="Arial" w:cs="Arial"/>
        </w:rPr>
        <w:t>Reductions</w:t>
      </w:r>
      <w:proofErr w:type="spellEnd"/>
      <w:r w:rsidRPr="00A906E6">
        <w:rPr>
          <w:rFonts w:ascii="Arial" w:hAnsi="Arial" w:cs="Arial"/>
        </w:rPr>
        <w:t xml:space="preserve"> from CHP </w:t>
      </w:r>
      <w:proofErr w:type="spellStart"/>
      <w:r w:rsidRPr="00A906E6">
        <w:rPr>
          <w:rFonts w:ascii="Arial" w:hAnsi="Arial" w:cs="Arial"/>
        </w:rPr>
        <w:t>charges</w:t>
      </w:r>
      <w:proofErr w:type="spellEnd"/>
      <w:r w:rsidRPr="00A906E6">
        <w:rPr>
          <w:rFonts w:ascii="Arial" w:hAnsi="Arial" w:cs="Arial"/>
        </w:rPr>
        <w:t xml:space="preserve"> for Energy </w:t>
      </w:r>
      <w:proofErr w:type="spellStart"/>
      <w:r w:rsidRPr="00A906E6">
        <w:rPr>
          <w:rFonts w:ascii="Arial" w:hAnsi="Arial" w:cs="Arial"/>
        </w:rPr>
        <w:t>Intensive</w:t>
      </w:r>
      <w:proofErr w:type="spellEnd"/>
      <w:r w:rsidRPr="00A906E6">
        <w:rPr>
          <w:rFonts w:ascii="Arial" w:hAnsi="Arial" w:cs="Arial"/>
        </w:rPr>
        <w:t xml:space="preserve"> </w:t>
      </w:r>
      <w:proofErr w:type="spellStart"/>
      <w:r w:rsidRPr="00A906E6">
        <w:rPr>
          <w:rFonts w:ascii="Arial" w:hAnsi="Arial" w:cs="Arial"/>
        </w:rPr>
        <w:t>Users</w:t>
      </w:r>
      <w:proofErr w:type="spellEnd"/>
      <w:r w:rsidRPr="00A906E6">
        <w:rPr>
          <w:rFonts w:ascii="Arial" w:hAnsi="Arial" w:cs="Arial"/>
        </w:rPr>
        <w:t xml:space="preserve"> (Dz. Urz. UE C 268, s. 1). </w:t>
      </w:r>
    </w:p>
    <w:p w:rsidR="00A906E6" w:rsidRPr="00A906E6" w:rsidRDefault="00A906E6" w:rsidP="00A906E6">
      <w:pPr>
        <w:spacing w:after="0"/>
        <w:jc w:val="both"/>
        <w:rPr>
          <w:rFonts w:ascii="Arial" w:hAnsi="Arial" w:cs="Arial"/>
        </w:rPr>
      </w:pPr>
      <w:r w:rsidRPr="00A906E6">
        <w:rPr>
          <w:rFonts w:ascii="Arial" w:hAnsi="Arial" w:cs="Arial"/>
        </w:rPr>
        <w:t xml:space="preserve">Wysokości premii gwarantowanej w odniesieniu do zmodernizowanych jednostek kogeneracji oraz znacznie zmodernizowanych małych jednostek kogeneracji oraz zmodernizowanych małych jednostek kogeneracji została wyliczona na podstawie metody LCOE i odpowiada luce finansowej pomiędzy prognozowanymi kosztami operacyjnymi oraz nakładami kapitałowymi poniesionymi na znaczną modernizację lub modernizację a prognozowanymi przychodami jednostki referencyjnej (odpowiednio o mocy zainstalowanej elektrycznej 30 MW oraz 500 KW) opalanej danego rodzaju paliwem (odpowiednio: paliwa gazowe, paliwa stałe, biomasa, pozostałe paliwa oraz paliwa gazowe i pozostałe paliwa) z tytułu sprzedaży energii elektrycznej. </w:t>
      </w:r>
    </w:p>
    <w:p w:rsidR="00A906E6" w:rsidRPr="00A906E6" w:rsidRDefault="00A906E6" w:rsidP="00A906E6">
      <w:pPr>
        <w:spacing w:after="0"/>
        <w:jc w:val="both"/>
        <w:rPr>
          <w:rFonts w:ascii="Arial" w:hAnsi="Arial" w:cs="Arial"/>
        </w:rPr>
      </w:pPr>
      <w:r w:rsidRPr="00A906E6">
        <w:rPr>
          <w:rFonts w:ascii="Arial" w:hAnsi="Arial" w:cs="Arial"/>
        </w:rPr>
        <w:t xml:space="preserve">Dodatkowo, wysokości premii gwarantowanej dla znacznie zmodernizowanej małej jednostki kogeneracji odpowiada iloczynowi wysokości premii gwarantowanej jak dla nowej małej jednostki kogeneracji oraz współczynników korygujących dla znacznie zmodernizowanych jednostek kogeneracji, o których mowa w art. 15 ust. 6 ustawy, co wpłynie na uzależnienie wysokości premii od poziomu poniesionych na znaczną modernizację nakładów inwestycyjnych. Przyjęte do kalkulacji założenia </w:t>
      </w:r>
      <w:proofErr w:type="spellStart"/>
      <w:r w:rsidRPr="00A906E6">
        <w:rPr>
          <w:rFonts w:ascii="Arial" w:hAnsi="Arial" w:cs="Arial"/>
        </w:rPr>
        <w:t>techniczno</w:t>
      </w:r>
      <w:proofErr w:type="spellEnd"/>
      <w:r w:rsidRPr="00A906E6">
        <w:rPr>
          <w:rFonts w:ascii="Arial" w:hAnsi="Arial" w:cs="Arial"/>
        </w:rPr>
        <w:t xml:space="preserve"> – ekonomiczne oraz makroekonomiczne i rynkowe zostały zamieszczone w załącznikach.</w:t>
      </w:r>
    </w:p>
    <w:p w:rsidR="00A906E6" w:rsidRPr="00A906E6" w:rsidRDefault="00A906E6" w:rsidP="00A906E6">
      <w:pPr>
        <w:spacing w:after="0"/>
        <w:jc w:val="both"/>
        <w:rPr>
          <w:rFonts w:ascii="Arial" w:hAnsi="Arial" w:cs="Arial"/>
        </w:rPr>
      </w:pPr>
      <w:r w:rsidRPr="00A906E6">
        <w:rPr>
          <w:rFonts w:ascii="Arial" w:hAnsi="Arial" w:cs="Arial"/>
        </w:rPr>
        <w:t>Wysokości premii gwarantowanej w odniesieniu do nowych małych jednostek kogeneracji również odpowiada luce finansowej pomiędzy uśrednionym kosztem energii elektrycznej LCOE z jednostki kogeneracji opalanej danego rodzaju paliwem a prognozowanym przychodem z tytułu sprzedaży energii elektrycznej. Jednostkami referencyjnymi przyjętymi na potrzeby ustalenia wysokości premii gwarantowanych są jednostki kogeneracji o mocy zainstalowanej elektrycznej równej 500 kW, opalane danym rodzajem paliwa (paliwa gazowe oraz pozostałe paliwa). Przyjęte do kalkulacji założenia techniczno-ekonomiczne oraz makroekonomiczne i rynkowe zostały zamieszczone w załącznikach.</w:t>
      </w:r>
    </w:p>
    <w:p w:rsidR="00A906E6" w:rsidRPr="00A906E6" w:rsidRDefault="00A906E6" w:rsidP="00A906E6">
      <w:pPr>
        <w:spacing w:after="0"/>
        <w:jc w:val="both"/>
        <w:rPr>
          <w:rFonts w:ascii="Arial" w:hAnsi="Arial" w:cs="Arial"/>
        </w:rPr>
      </w:pPr>
      <w:r w:rsidRPr="00A906E6">
        <w:rPr>
          <w:rFonts w:ascii="Arial" w:hAnsi="Arial" w:cs="Arial"/>
        </w:rPr>
        <w:t xml:space="preserve">Rolą zróżnicowania wysokości premii gwarantowanych jest zapobieżenie przekroczeniu przez wsparcie wysokości odpowiadających faktycznym kosztom funkcjonowania jednostek </w:t>
      </w:r>
      <w:r w:rsidRPr="00A906E6">
        <w:rPr>
          <w:rFonts w:ascii="Arial" w:hAnsi="Arial" w:cs="Arial"/>
        </w:rPr>
        <w:lastRenderedPageBreak/>
        <w:t xml:space="preserve">kogeneracji opalanych danego rodzaju paliwem (paliwa gazowe, paliwa stałe, biomasa oraz pozostałe paliwa) i wyeliminowanie przez to możliwości </w:t>
      </w:r>
      <w:proofErr w:type="spellStart"/>
      <w:r w:rsidRPr="00A906E6">
        <w:rPr>
          <w:rFonts w:ascii="Arial" w:hAnsi="Arial" w:cs="Arial"/>
        </w:rPr>
        <w:t>nadkompensaty</w:t>
      </w:r>
      <w:proofErr w:type="spellEnd"/>
      <w:r w:rsidRPr="00A906E6">
        <w:rPr>
          <w:rFonts w:ascii="Arial" w:hAnsi="Arial" w:cs="Arial"/>
        </w:rPr>
        <w:t xml:space="preserve">. </w:t>
      </w:r>
    </w:p>
    <w:p w:rsidR="00A906E6" w:rsidRPr="00A906E6" w:rsidRDefault="00A906E6" w:rsidP="00A906E6">
      <w:pPr>
        <w:spacing w:after="0"/>
        <w:jc w:val="both"/>
        <w:rPr>
          <w:rFonts w:ascii="Arial" w:hAnsi="Arial" w:cs="Arial"/>
        </w:rPr>
      </w:pPr>
      <w:r w:rsidRPr="00A906E6">
        <w:rPr>
          <w:rFonts w:ascii="Arial" w:hAnsi="Arial" w:cs="Arial"/>
        </w:rPr>
        <w:t>W pracach nad projektem rozporządzenia wykorzystano model oparty o metodę LCOE oraz potwierdzone przez przedstawicieli branży elektrociepłowniczej i ciepłowniczej dane dotyczące funkcjonowania jednostek kogeneracji dla poszczególnych technologii, tj. m.in. przewidywany roczny czas pracy, współczynnik skojarzenia, wolumen produkcji ciepła użytkowego w przeliczeniu na jednostkę mocy elektrycznej zainstalowanej, koszty operacyjne i koszty zmienne (z wyłączeniem kosztów paliwowych oraz uprawnień do emisji CO2) w przeliczeniu na 1 MW mocy zainstalowanej elektrycznej.</w:t>
      </w:r>
    </w:p>
    <w:p w:rsidR="00A906E6" w:rsidRDefault="00A906E6" w:rsidP="00A906E6">
      <w:pPr>
        <w:spacing w:after="0"/>
        <w:jc w:val="both"/>
        <w:rPr>
          <w:rFonts w:ascii="Arial" w:hAnsi="Arial" w:cs="Arial"/>
        </w:rPr>
      </w:pPr>
      <w:r w:rsidRPr="00A906E6">
        <w:rPr>
          <w:rFonts w:ascii="Arial" w:hAnsi="Arial" w:cs="Arial"/>
        </w:rPr>
        <w:t>Osiągnięcie celu proponowanej regulacji nie jest możliwe za pomocą innych środków niż wydanie rozporządzenia</w:t>
      </w:r>
      <w:r>
        <w:rPr>
          <w:rFonts w:ascii="Arial" w:hAnsi="Arial" w:cs="Arial"/>
        </w:rPr>
        <w:t>.</w:t>
      </w:r>
    </w:p>
    <w:p w:rsidR="00A906E6" w:rsidRDefault="00A906E6" w:rsidP="00A906E6">
      <w:pPr>
        <w:spacing w:after="0"/>
        <w:jc w:val="both"/>
        <w:rPr>
          <w:rFonts w:ascii="Arial" w:hAnsi="Arial" w:cs="Arial"/>
        </w:rPr>
      </w:pPr>
    </w:p>
    <w:p w:rsidR="00477F2D" w:rsidRPr="00477F2D" w:rsidRDefault="00477F2D" w:rsidP="00477F2D">
      <w:pPr>
        <w:spacing w:after="0"/>
        <w:jc w:val="both"/>
        <w:rPr>
          <w:rFonts w:ascii="Arial" w:hAnsi="Arial" w:cs="Arial"/>
        </w:rPr>
      </w:pPr>
      <w:r w:rsidRPr="00477F2D">
        <w:rPr>
          <w:rFonts w:ascii="Arial" w:hAnsi="Arial" w:cs="Arial"/>
        </w:rPr>
        <w:t>Przedmiotowy projekt aktu prawnego wraz Uzasadnieniem, Oceną Skutków Regulacji oraz Tabelą uwag dostępny jest na stronach Rządowego Centrum Legislacji pod adresem:</w:t>
      </w:r>
    </w:p>
    <w:p w:rsidR="00A906E6" w:rsidRDefault="00477F2D" w:rsidP="00477F2D">
      <w:pPr>
        <w:spacing w:after="0"/>
        <w:jc w:val="both"/>
        <w:rPr>
          <w:rFonts w:ascii="Arial" w:hAnsi="Arial" w:cs="Arial"/>
        </w:rPr>
      </w:pPr>
      <w:hyperlink r:id="rId12" w:history="1">
        <w:r w:rsidRPr="00454EE5">
          <w:rPr>
            <w:rStyle w:val="Hipercze"/>
            <w:rFonts w:ascii="Arial" w:hAnsi="Arial" w:cs="Arial"/>
          </w:rPr>
          <w:t>https://legislacja.rcl.gov.pl/projekt/</w:t>
        </w:r>
        <w:r w:rsidRPr="00454EE5">
          <w:rPr>
            <w:rStyle w:val="Hipercze"/>
            <w:rFonts w:ascii="Arial" w:hAnsi="Arial" w:cs="Arial"/>
          </w:rPr>
          <w:t>1</w:t>
        </w:r>
        <w:r w:rsidRPr="00454EE5">
          <w:rPr>
            <w:rStyle w:val="Hipercze"/>
            <w:rFonts w:ascii="Arial" w:hAnsi="Arial" w:cs="Arial"/>
          </w:rPr>
          <w:t>2390159/katalog/13085560#13085560</w:t>
        </w:r>
      </w:hyperlink>
      <w:r>
        <w:rPr>
          <w:rFonts w:ascii="Arial" w:hAnsi="Arial" w:cs="Arial"/>
        </w:rPr>
        <w:t xml:space="preserve"> </w:t>
      </w:r>
    </w:p>
    <w:p w:rsidR="00477F2D" w:rsidRDefault="00477F2D" w:rsidP="00477F2D">
      <w:pPr>
        <w:spacing w:after="0"/>
        <w:jc w:val="both"/>
        <w:rPr>
          <w:rFonts w:ascii="Arial" w:hAnsi="Arial" w:cs="Arial"/>
        </w:rPr>
      </w:pPr>
    </w:p>
    <w:p w:rsidR="00A906E6" w:rsidRDefault="00477F2D" w:rsidP="00A906E6">
      <w:pPr>
        <w:spacing w:after="0"/>
        <w:jc w:val="both"/>
        <w:rPr>
          <w:rFonts w:ascii="Arial" w:hAnsi="Arial" w:cs="Arial"/>
        </w:rPr>
      </w:pPr>
      <w:r w:rsidRPr="00477F2D">
        <w:rPr>
          <w:rFonts w:ascii="Arial" w:hAnsi="Arial" w:cs="Arial"/>
        </w:rPr>
        <w:t>Projekt jest obecnie jednocześnie na etapie uzgodnień, konsultacji publicznych i opiniowania</w:t>
      </w:r>
      <w:r>
        <w:rPr>
          <w:rFonts w:ascii="Arial" w:hAnsi="Arial" w:cs="Arial"/>
        </w:rPr>
        <w:t>.</w:t>
      </w:r>
    </w:p>
    <w:p w:rsidR="00A906E6" w:rsidRPr="00A906E6" w:rsidRDefault="00A906E6" w:rsidP="00A906E6">
      <w:pPr>
        <w:spacing w:after="0"/>
        <w:jc w:val="both"/>
        <w:rPr>
          <w:rFonts w:ascii="Arial" w:hAnsi="Arial" w:cs="Arial"/>
        </w:rPr>
      </w:pPr>
    </w:p>
    <w:p w:rsidR="00477F2D" w:rsidRPr="00477F2D" w:rsidRDefault="00477F2D" w:rsidP="00477F2D">
      <w:pPr>
        <w:pStyle w:val="Akapitzlist"/>
        <w:numPr>
          <w:ilvl w:val="0"/>
          <w:numId w:val="4"/>
        </w:numPr>
        <w:spacing w:after="0"/>
        <w:jc w:val="both"/>
        <w:rPr>
          <w:rFonts w:ascii="Arial" w:hAnsi="Arial" w:cs="Arial"/>
          <w:b/>
          <w:u w:val="single"/>
        </w:rPr>
      </w:pPr>
      <w:r w:rsidRPr="00477F2D">
        <w:rPr>
          <w:rFonts w:ascii="Arial" w:hAnsi="Arial" w:cs="Arial"/>
          <w:b/>
          <w:u w:val="single"/>
        </w:rPr>
        <w:t>projekt rozporządzenia Ministra Klimatu i Środowiska w sprawie wartości referencyjnych dla nowych i znacznie zmodernizowanych jednostek kogeneracji w roku 2025 (numer z wykazu 1230)</w:t>
      </w:r>
    </w:p>
    <w:p w:rsidR="00477F2D" w:rsidRDefault="00477F2D" w:rsidP="00477F2D">
      <w:pPr>
        <w:spacing w:after="0"/>
        <w:jc w:val="both"/>
        <w:rPr>
          <w:rFonts w:ascii="Arial" w:hAnsi="Arial" w:cs="Arial"/>
        </w:rPr>
      </w:pPr>
    </w:p>
    <w:p w:rsidR="00477F2D" w:rsidRPr="00477F2D" w:rsidRDefault="00477F2D" w:rsidP="00477F2D">
      <w:pPr>
        <w:spacing w:after="0"/>
        <w:jc w:val="both"/>
        <w:rPr>
          <w:rFonts w:ascii="Arial" w:hAnsi="Arial" w:cs="Arial"/>
        </w:rPr>
      </w:pPr>
      <w:r w:rsidRPr="00477F2D">
        <w:rPr>
          <w:rFonts w:ascii="Arial" w:hAnsi="Arial" w:cs="Arial"/>
        </w:rPr>
        <w:t xml:space="preserve">Art. 15 ust. 7 ustawy z dnia 14 grudnia 2018 r. o promowaniu energii elektrycznej z wysokosprawnej kogeneracji (Dz. U. z 2024 r. poz. 639), zwanej dalej „ustawą”, nakłada na ministra właściwego do spraw energii obowiązek określenia, w drodze rozporządzenia, w terminie do 31 października każdego roku, wartości referencyjnych z podziałem dla nowych jednostek kogeneracji oraz znacznie zmodernizowanych jednostek kogeneracji, które obowiązywać będą na aukcjach w kolejnym roku kalendarzowym.  </w:t>
      </w:r>
    </w:p>
    <w:p w:rsidR="00477F2D" w:rsidRPr="00477F2D" w:rsidRDefault="00477F2D" w:rsidP="00477F2D">
      <w:pPr>
        <w:spacing w:after="0"/>
        <w:jc w:val="both"/>
        <w:rPr>
          <w:rFonts w:ascii="Arial" w:hAnsi="Arial" w:cs="Arial"/>
        </w:rPr>
      </w:pPr>
      <w:r w:rsidRPr="00477F2D">
        <w:rPr>
          <w:rFonts w:ascii="Arial" w:hAnsi="Arial" w:cs="Arial"/>
        </w:rPr>
        <w:t xml:space="preserve">W przypadku braku realizacji powyższego obowiązku, niemożliwe będzie w roku 2025 ogłoszenie oraz rozstrzygnięcie aukcji na premię kogeneracyjną dla jednostek kogeneracji o mocy zainstalowanej elektrycznej 1 – 50 </w:t>
      </w:r>
      <w:proofErr w:type="spellStart"/>
      <w:r w:rsidRPr="00477F2D">
        <w:rPr>
          <w:rFonts w:ascii="Arial" w:hAnsi="Arial" w:cs="Arial"/>
        </w:rPr>
        <w:t>MWe</w:t>
      </w:r>
      <w:proofErr w:type="spellEnd"/>
      <w:r w:rsidRPr="00477F2D">
        <w:rPr>
          <w:rFonts w:ascii="Arial" w:hAnsi="Arial" w:cs="Arial"/>
        </w:rPr>
        <w:t xml:space="preserve">, ze względu na brak publikacji parametrów aukcji, tj. wartości referencyjnych. </w:t>
      </w:r>
    </w:p>
    <w:p w:rsidR="00477F2D" w:rsidRPr="00477F2D" w:rsidRDefault="00477F2D" w:rsidP="00477F2D">
      <w:pPr>
        <w:spacing w:after="0"/>
        <w:jc w:val="both"/>
        <w:rPr>
          <w:rFonts w:ascii="Arial" w:hAnsi="Arial" w:cs="Arial"/>
        </w:rPr>
      </w:pPr>
      <w:r w:rsidRPr="00477F2D">
        <w:rPr>
          <w:rFonts w:ascii="Arial" w:hAnsi="Arial" w:cs="Arial"/>
        </w:rPr>
        <w:t>Coroczne określanie wartości referencyjnych przez ministra właściwego do spraw energii jest niezbędne dla rozwoju liczby jednostek kogeneracji wytwarzających energię elektryczną z wysokosprawnej kogeneracji w Polsce oraz w celu umożliwienia poprawy jakości powietrza przez wsparcie rozwoju ciepłownictwa systemowego. Ponadto zapewnia to wzrost bezpieczeństwa dostaw energii elektrycznej i ciepła oraz poprawę efektywności energetycznej.</w:t>
      </w:r>
    </w:p>
    <w:p w:rsidR="00477F2D" w:rsidRPr="00477F2D" w:rsidRDefault="00477F2D" w:rsidP="00477F2D">
      <w:pPr>
        <w:spacing w:after="0"/>
        <w:jc w:val="both"/>
        <w:rPr>
          <w:rFonts w:ascii="Arial" w:hAnsi="Arial" w:cs="Arial"/>
        </w:rPr>
      </w:pPr>
      <w:r w:rsidRPr="00477F2D">
        <w:rPr>
          <w:rFonts w:ascii="Arial" w:hAnsi="Arial" w:cs="Arial"/>
        </w:rPr>
        <w:t>Informacje dotyczące wartości referencyjnej są ważnym sygnałem dla inwestorów pozwalającym na określenie, czy dany projekt inwestycyjny ma szansę na partycypację w aukcyjnym systemie wsparcia, a tym samym na jego realizację.</w:t>
      </w:r>
    </w:p>
    <w:p w:rsidR="00477F2D" w:rsidRPr="00477F2D" w:rsidRDefault="00477F2D" w:rsidP="00477F2D">
      <w:pPr>
        <w:spacing w:after="0"/>
        <w:jc w:val="both"/>
        <w:rPr>
          <w:rFonts w:ascii="Arial" w:hAnsi="Arial" w:cs="Arial"/>
        </w:rPr>
      </w:pPr>
      <w:r w:rsidRPr="00477F2D">
        <w:rPr>
          <w:rFonts w:ascii="Arial" w:hAnsi="Arial" w:cs="Arial"/>
        </w:rPr>
        <w:t xml:space="preserve">Rekomenduje się wydanie rozporządzenia, które określi maksymalną wysokość premii kogeneracyjnej w złotych za 1 MWh, która może zostać złożona w ofercie przez uczestnika aukcji w odniesieniu do energii elektrycznej wytworzonej w wysokosprawnej kogeneracji, wprowadzonej do sieci i sprzedanej. Wprowadzenie wartości referencyjnej oznacza, że oferty powyżej tej wartości będą automatycznie odrzucane nawet, jeśli nie będzie innych ofert, co skutkować może brakiem osiągnięcia założonego dla danej aukcji celu w zakresie zakontraktowania odpowiedniego wolumenu energii. </w:t>
      </w:r>
    </w:p>
    <w:p w:rsidR="00477F2D" w:rsidRPr="00477F2D" w:rsidRDefault="00477F2D" w:rsidP="00477F2D">
      <w:pPr>
        <w:spacing w:after="0"/>
        <w:jc w:val="both"/>
        <w:rPr>
          <w:rFonts w:ascii="Arial" w:hAnsi="Arial" w:cs="Arial"/>
        </w:rPr>
      </w:pPr>
      <w:r w:rsidRPr="00477F2D">
        <w:rPr>
          <w:rFonts w:ascii="Arial" w:hAnsi="Arial" w:cs="Arial"/>
        </w:rPr>
        <w:lastRenderedPageBreak/>
        <w:t>Wysokość wartości referencyjnej jest to maksymalny poziom premii kogeneracyjnej, który odpowiada wielkości luki finansowej pomiędzy uśrednionym kosztem energii elektrycznej (</w:t>
      </w:r>
      <w:proofErr w:type="spellStart"/>
      <w:r w:rsidRPr="00477F2D">
        <w:rPr>
          <w:rFonts w:ascii="Arial" w:hAnsi="Arial" w:cs="Arial"/>
        </w:rPr>
        <w:t>Levelized</w:t>
      </w:r>
      <w:proofErr w:type="spellEnd"/>
      <w:r w:rsidRPr="00477F2D">
        <w:rPr>
          <w:rFonts w:ascii="Arial" w:hAnsi="Arial" w:cs="Arial"/>
        </w:rPr>
        <w:t xml:space="preserve"> </w:t>
      </w:r>
      <w:proofErr w:type="spellStart"/>
      <w:r w:rsidRPr="00477F2D">
        <w:rPr>
          <w:rFonts w:ascii="Arial" w:hAnsi="Arial" w:cs="Arial"/>
        </w:rPr>
        <w:t>Cost</w:t>
      </w:r>
      <w:proofErr w:type="spellEnd"/>
      <w:r w:rsidRPr="00477F2D">
        <w:rPr>
          <w:rFonts w:ascii="Arial" w:hAnsi="Arial" w:cs="Arial"/>
        </w:rPr>
        <w:t xml:space="preserve"> Of </w:t>
      </w:r>
      <w:proofErr w:type="spellStart"/>
      <w:r w:rsidRPr="00477F2D">
        <w:rPr>
          <w:rFonts w:ascii="Arial" w:hAnsi="Arial" w:cs="Arial"/>
        </w:rPr>
        <w:t>Electricity</w:t>
      </w:r>
      <w:proofErr w:type="spellEnd"/>
      <w:r w:rsidRPr="00477F2D">
        <w:rPr>
          <w:rFonts w:ascii="Arial" w:hAnsi="Arial" w:cs="Arial"/>
        </w:rPr>
        <w:t xml:space="preserve"> - LCOE) z jednostki kogeneracji opalanej danego rodzaju paliwem, a prognozowanym przychodem z tytułu sprzedaży energii elektrycznej. Rolą zróżnicowania poziomu wartości referencyjnych dla poszczególnych porównywalnych ze względu na parametry ekonomiczne technologii jest zapobieżenie przekroczeniu przez wsparcie wysokości odpowiadających faktycznym kosztom funkcjonowania jednostek kogeneracji opalanych danego rodzaju paliwem (paliwa gazowe, paliwa stałe, biomasa oraz pozostałe paliwa) i wyeliminowanie przez to możliwości </w:t>
      </w:r>
      <w:proofErr w:type="spellStart"/>
      <w:r w:rsidRPr="00477F2D">
        <w:rPr>
          <w:rFonts w:ascii="Arial" w:hAnsi="Arial" w:cs="Arial"/>
        </w:rPr>
        <w:t>nadkompensaty</w:t>
      </w:r>
      <w:proofErr w:type="spellEnd"/>
      <w:r w:rsidRPr="00477F2D">
        <w:rPr>
          <w:rFonts w:ascii="Arial" w:hAnsi="Arial" w:cs="Arial"/>
        </w:rPr>
        <w:t xml:space="preserve">, a także nadmiernemu obciążeniu odbiorców końcowych. </w:t>
      </w:r>
    </w:p>
    <w:p w:rsidR="00477F2D" w:rsidRPr="00477F2D" w:rsidRDefault="00477F2D" w:rsidP="00477F2D">
      <w:pPr>
        <w:spacing w:after="0"/>
        <w:jc w:val="both"/>
        <w:rPr>
          <w:rFonts w:ascii="Arial" w:hAnsi="Arial" w:cs="Arial"/>
        </w:rPr>
      </w:pPr>
      <w:r w:rsidRPr="00477F2D">
        <w:rPr>
          <w:rFonts w:ascii="Arial" w:hAnsi="Arial" w:cs="Arial"/>
        </w:rPr>
        <w:t xml:space="preserve">Jednostkami referencyjnymi przyjętymi na potrzeby ustalenia wartości referencyjnych są jednostki kogeneracji o mocy zainstalowanej elektrycznej równej 30 </w:t>
      </w:r>
      <w:proofErr w:type="spellStart"/>
      <w:r w:rsidRPr="00477F2D">
        <w:rPr>
          <w:rFonts w:ascii="Arial" w:hAnsi="Arial" w:cs="Arial"/>
        </w:rPr>
        <w:t>MWe</w:t>
      </w:r>
      <w:proofErr w:type="spellEnd"/>
      <w:r w:rsidRPr="00477F2D">
        <w:rPr>
          <w:rFonts w:ascii="Arial" w:hAnsi="Arial" w:cs="Arial"/>
        </w:rPr>
        <w:t xml:space="preserve">, opalane danym rodzajem paliwa (odrębnie: paliwa gazowe, paliwa stałe, biomasa oraz pozostałe paliwa). </w:t>
      </w:r>
    </w:p>
    <w:p w:rsidR="00477F2D" w:rsidRPr="00477F2D" w:rsidRDefault="00477F2D" w:rsidP="00477F2D">
      <w:pPr>
        <w:spacing w:after="0"/>
        <w:jc w:val="both"/>
        <w:rPr>
          <w:rFonts w:ascii="Arial" w:hAnsi="Arial" w:cs="Arial"/>
        </w:rPr>
      </w:pPr>
      <w:r w:rsidRPr="00477F2D">
        <w:rPr>
          <w:rFonts w:ascii="Arial" w:hAnsi="Arial" w:cs="Arial"/>
        </w:rPr>
        <w:t>W pracach nad projektem rozporządzenia wykorzystano model oparty o metodę LCOE (</w:t>
      </w:r>
      <w:proofErr w:type="spellStart"/>
      <w:r w:rsidRPr="00477F2D">
        <w:rPr>
          <w:rFonts w:ascii="Arial" w:hAnsi="Arial" w:cs="Arial"/>
        </w:rPr>
        <w:t>Levelized</w:t>
      </w:r>
      <w:proofErr w:type="spellEnd"/>
      <w:r w:rsidRPr="00477F2D">
        <w:rPr>
          <w:rFonts w:ascii="Arial" w:hAnsi="Arial" w:cs="Arial"/>
        </w:rPr>
        <w:t xml:space="preserve"> </w:t>
      </w:r>
      <w:proofErr w:type="spellStart"/>
      <w:r w:rsidRPr="00477F2D">
        <w:rPr>
          <w:rFonts w:ascii="Arial" w:hAnsi="Arial" w:cs="Arial"/>
        </w:rPr>
        <w:t>Cost</w:t>
      </w:r>
      <w:proofErr w:type="spellEnd"/>
      <w:r w:rsidRPr="00477F2D">
        <w:rPr>
          <w:rFonts w:ascii="Arial" w:hAnsi="Arial" w:cs="Arial"/>
        </w:rPr>
        <w:t xml:space="preserve"> Of </w:t>
      </w:r>
      <w:proofErr w:type="spellStart"/>
      <w:r w:rsidRPr="00477F2D">
        <w:rPr>
          <w:rFonts w:ascii="Arial" w:hAnsi="Arial" w:cs="Arial"/>
        </w:rPr>
        <w:t>Electricity</w:t>
      </w:r>
      <w:proofErr w:type="spellEnd"/>
      <w:r w:rsidRPr="00477F2D">
        <w:rPr>
          <w:rFonts w:ascii="Arial" w:hAnsi="Arial" w:cs="Arial"/>
        </w:rPr>
        <w:t>) oraz przekazane przez przedstawicieli branży elektrociepłowniczej dane dotyczące funkcjonowania jednostek kogeneracji dla poszczególnych technologii, tj. m.in. przewidywany roczny czas pracy, współczynnik skojarzenia, wolumen produkcji ciepła użytkowego w przeliczeniu na jednostkę mocy elektrycznej zainstalowanej, nakłady inwestycyjne w przeliczeniu na 1 MW mocy zainstalowanej elektrycznej, koszty operacyjne i koszty zmienne (z wyłączeniem kosztów paliwowych oraz uprawnień do emisji CO2) w przeliczeniu na 1 MW mocy zainstalowanej elektrycznej.</w:t>
      </w:r>
    </w:p>
    <w:p w:rsidR="00477F2D" w:rsidRPr="00477F2D" w:rsidRDefault="00477F2D" w:rsidP="00477F2D">
      <w:pPr>
        <w:spacing w:after="0"/>
        <w:jc w:val="both"/>
        <w:rPr>
          <w:rFonts w:ascii="Arial" w:hAnsi="Arial" w:cs="Arial"/>
        </w:rPr>
      </w:pPr>
      <w:r w:rsidRPr="00477F2D">
        <w:rPr>
          <w:rFonts w:ascii="Arial" w:hAnsi="Arial" w:cs="Arial"/>
        </w:rPr>
        <w:t>Do określenia wysokości wartości referencyjnych w roku 2025 przyjęto założenia przedstawione w załączniku nr 1 oraz załączniku nr 2.</w:t>
      </w:r>
    </w:p>
    <w:p w:rsidR="00477F2D" w:rsidRPr="00477F2D" w:rsidRDefault="00477F2D" w:rsidP="00477F2D">
      <w:pPr>
        <w:spacing w:after="0"/>
        <w:jc w:val="both"/>
        <w:rPr>
          <w:rFonts w:ascii="Arial" w:hAnsi="Arial" w:cs="Arial"/>
        </w:rPr>
      </w:pPr>
      <w:r w:rsidRPr="00477F2D">
        <w:rPr>
          <w:rFonts w:ascii="Arial" w:hAnsi="Arial" w:cs="Arial"/>
        </w:rPr>
        <w:t>Wartości referencyjne dla znacznie zmodernizowanych jednostek kogeneracji zostały obliczone jako iloczyn wartości referencyjnej dla nowej jednostki kogeneracji opalanej danego rodzaju paliwem oraz współczynników korygujących określonych w art. 15 ust. 6 ustawy.</w:t>
      </w:r>
    </w:p>
    <w:p w:rsidR="001779F8" w:rsidRDefault="00477F2D" w:rsidP="00477F2D">
      <w:pPr>
        <w:spacing w:after="0"/>
        <w:jc w:val="both"/>
        <w:rPr>
          <w:rFonts w:ascii="Arial" w:hAnsi="Arial" w:cs="Arial"/>
        </w:rPr>
      </w:pPr>
      <w:r w:rsidRPr="00477F2D">
        <w:rPr>
          <w:rFonts w:ascii="Arial" w:hAnsi="Arial" w:cs="Arial"/>
        </w:rPr>
        <w:t>Osiągnięcie celu proponowanej regulacji nie jest możliwe za pomocą innych środków niż wydanie rozporządzenia</w:t>
      </w:r>
      <w:r>
        <w:rPr>
          <w:rFonts w:ascii="Arial" w:hAnsi="Arial" w:cs="Arial"/>
        </w:rPr>
        <w:t>.</w:t>
      </w:r>
    </w:p>
    <w:p w:rsidR="00477F2D" w:rsidRDefault="00477F2D" w:rsidP="00477F2D">
      <w:pPr>
        <w:spacing w:after="0"/>
        <w:jc w:val="both"/>
        <w:rPr>
          <w:rFonts w:ascii="Arial" w:hAnsi="Arial" w:cs="Arial"/>
        </w:rPr>
      </w:pPr>
    </w:p>
    <w:p w:rsidR="00477F2D" w:rsidRPr="00477F2D" w:rsidRDefault="00477F2D" w:rsidP="00477F2D">
      <w:pPr>
        <w:spacing w:after="0"/>
        <w:jc w:val="both"/>
        <w:rPr>
          <w:rFonts w:ascii="Arial" w:hAnsi="Arial" w:cs="Arial"/>
        </w:rPr>
      </w:pPr>
      <w:r w:rsidRPr="00477F2D">
        <w:rPr>
          <w:rFonts w:ascii="Arial" w:hAnsi="Arial" w:cs="Arial"/>
        </w:rPr>
        <w:t>Przedmiotowy projekt aktu prawnego wraz Uzasadnieniem, Oceną Skutków Regulacji oraz Tabelą uwag dostępny jest na stronach Rządowego Centrum Legislacji pod adresem:</w:t>
      </w:r>
    </w:p>
    <w:p w:rsidR="00477F2D" w:rsidRDefault="00477F2D" w:rsidP="00477F2D">
      <w:pPr>
        <w:spacing w:after="0"/>
        <w:jc w:val="both"/>
        <w:rPr>
          <w:rFonts w:ascii="Arial" w:hAnsi="Arial" w:cs="Arial"/>
        </w:rPr>
      </w:pPr>
      <w:hyperlink r:id="rId13" w:history="1">
        <w:r w:rsidRPr="00454EE5">
          <w:rPr>
            <w:rStyle w:val="Hipercze"/>
            <w:rFonts w:ascii="Arial" w:hAnsi="Arial" w:cs="Arial"/>
          </w:rPr>
          <w:t>https://legislacja.rcl.gov.pl/projekt/1239016</w:t>
        </w:r>
        <w:r w:rsidRPr="00454EE5">
          <w:rPr>
            <w:rStyle w:val="Hipercze"/>
            <w:rFonts w:ascii="Arial" w:hAnsi="Arial" w:cs="Arial"/>
          </w:rPr>
          <w:t>1</w:t>
        </w:r>
        <w:r w:rsidRPr="00454EE5">
          <w:rPr>
            <w:rStyle w:val="Hipercze"/>
            <w:rFonts w:ascii="Arial" w:hAnsi="Arial" w:cs="Arial"/>
          </w:rPr>
          <w:t>/katalog/13085646#13085646</w:t>
        </w:r>
      </w:hyperlink>
      <w:r>
        <w:rPr>
          <w:rFonts w:ascii="Arial" w:hAnsi="Arial" w:cs="Arial"/>
        </w:rPr>
        <w:t xml:space="preserve"> </w:t>
      </w:r>
    </w:p>
    <w:p w:rsidR="00477F2D" w:rsidRDefault="00477F2D" w:rsidP="00477F2D">
      <w:pPr>
        <w:spacing w:after="0"/>
        <w:jc w:val="both"/>
        <w:rPr>
          <w:rFonts w:ascii="Arial" w:hAnsi="Arial" w:cs="Arial"/>
        </w:rPr>
      </w:pPr>
    </w:p>
    <w:p w:rsidR="00477F2D" w:rsidRPr="00477F2D" w:rsidRDefault="00477F2D" w:rsidP="00477F2D">
      <w:pPr>
        <w:spacing w:after="0"/>
        <w:jc w:val="both"/>
        <w:rPr>
          <w:rFonts w:ascii="Arial" w:hAnsi="Arial" w:cs="Arial"/>
        </w:rPr>
      </w:pPr>
      <w:r w:rsidRPr="00477F2D">
        <w:rPr>
          <w:rFonts w:ascii="Arial" w:hAnsi="Arial" w:cs="Arial"/>
        </w:rPr>
        <w:t>Projekt jest obecnie jednocześnie na etapie uzgodnień, konsultacji publicznych i opiniowania</w:t>
      </w:r>
      <w:r>
        <w:rPr>
          <w:rFonts w:ascii="Arial" w:hAnsi="Arial" w:cs="Arial"/>
        </w:rPr>
        <w:t>.</w:t>
      </w:r>
    </w:p>
    <w:p w:rsidR="001779F8" w:rsidRPr="00042C7F" w:rsidRDefault="001779F8" w:rsidP="001779F8">
      <w:pPr>
        <w:spacing w:after="0" w:line="240" w:lineRule="auto"/>
        <w:rPr>
          <w:rFonts w:ascii="Arial" w:hAnsi="Arial" w:cs="Arial"/>
        </w:rPr>
      </w:pPr>
    </w:p>
    <w:p w:rsidR="001779F8" w:rsidRPr="00CB4A6E" w:rsidRDefault="001779F8" w:rsidP="001779F8">
      <w:pPr>
        <w:spacing w:after="0" w:line="240" w:lineRule="auto"/>
        <w:rPr>
          <w:rFonts w:ascii="Arial" w:hAnsi="Arial" w:cs="Arial"/>
        </w:rPr>
      </w:pPr>
    </w:p>
    <w:p w:rsidR="001779F8" w:rsidRDefault="001779F8" w:rsidP="001779F8">
      <w:pPr>
        <w:spacing w:after="0"/>
        <w:jc w:val="both"/>
        <w:rPr>
          <w:rFonts w:ascii="Arial" w:hAnsi="Arial" w:cs="Arial"/>
          <w:b/>
        </w:rPr>
      </w:pPr>
      <w:r>
        <w:rPr>
          <w:rFonts w:ascii="Arial" w:hAnsi="Arial" w:cs="Arial"/>
          <w:b/>
        </w:rPr>
        <w:t>II. Ogłoszone akty prawne (Dziennik Ustaw RP)</w:t>
      </w:r>
    </w:p>
    <w:p w:rsidR="001779F8" w:rsidRDefault="001779F8" w:rsidP="001779F8">
      <w:pPr>
        <w:spacing w:after="0"/>
        <w:jc w:val="both"/>
        <w:rPr>
          <w:rFonts w:ascii="Arial" w:hAnsi="Arial" w:cs="Arial"/>
        </w:rPr>
      </w:pPr>
    </w:p>
    <w:p w:rsidR="001779F8" w:rsidRDefault="001779F8" w:rsidP="001779F8">
      <w:pPr>
        <w:spacing w:after="0"/>
        <w:jc w:val="both"/>
        <w:rPr>
          <w:rFonts w:ascii="Arial" w:hAnsi="Arial" w:cs="Arial"/>
        </w:rPr>
      </w:pPr>
      <w:r>
        <w:rPr>
          <w:rFonts w:ascii="Arial" w:hAnsi="Arial" w:cs="Arial"/>
        </w:rPr>
        <w:t xml:space="preserve">W analizowanym okresie opublikowano </w:t>
      </w:r>
      <w:r w:rsidR="003E56A1">
        <w:rPr>
          <w:rFonts w:ascii="Arial" w:hAnsi="Arial" w:cs="Arial"/>
        </w:rPr>
        <w:t>49</w:t>
      </w:r>
      <w:r>
        <w:rPr>
          <w:rFonts w:ascii="Arial" w:hAnsi="Arial" w:cs="Arial"/>
        </w:rPr>
        <w:t xml:space="preserve"> aktów prawnych, tzn. ustawy, rozporządzenia Rady Ministrów, Prezesa Rady Ministrów i poszczególnych ministrów, obwieszczenia w sprawie ogłoszenia tekstu jednolitego. Z powyższych publikacji w zainteresowaniu pracodawców i przedsiębiorców znaleźć się mogą następujące akty prawne:</w:t>
      </w:r>
    </w:p>
    <w:p w:rsidR="001779F8" w:rsidRDefault="001779F8" w:rsidP="001779F8">
      <w:pPr>
        <w:spacing w:after="0"/>
        <w:jc w:val="both"/>
        <w:rPr>
          <w:rFonts w:ascii="Arial" w:hAnsi="Arial" w:cs="Arial"/>
        </w:rPr>
      </w:pPr>
    </w:p>
    <w:p w:rsidR="001779F8" w:rsidRPr="003E56A1" w:rsidRDefault="001779F8" w:rsidP="003E56A1">
      <w:pPr>
        <w:pStyle w:val="Akapitzlist"/>
        <w:numPr>
          <w:ilvl w:val="0"/>
          <w:numId w:val="2"/>
        </w:numPr>
        <w:spacing w:after="0"/>
        <w:jc w:val="both"/>
        <w:rPr>
          <w:rFonts w:ascii="Arial" w:hAnsi="Arial" w:cs="Arial"/>
          <w:u w:val="single"/>
        </w:rPr>
      </w:pPr>
      <w:r w:rsidRPr="00390C2B">
        <w:rPr>
          <w:rFonts w:ascii="Arial" w:hAnsi="Arial" w:cs="Arial"/>
          <w:u w:val="single"/>
        </w:rPr>
        <w:t xml:space="preserve">Rozporządzenie </w:t>
      </w:r>
      <w:r w:rsidR="003E56A1">
        <w:rPr>
          <w:rFonts w:ascii="Arial" w:hAnsi="Arial" w:cs="Arial"/>
          <w:u w:val="single"/>
        </w:rPr>
        <w:t xml:space="preserve">Ministra Nauki z dnia 12 września 2024 roku </w:t>
      </w:r>
      <w:r w:rsidR="003E56A1" w:rsidRPr="003E56A1">
        <w:rPr>
          <w:rFonts w:ascii="Arial" w:hAnsi="Arial" w:cs="Arial"/>
          <w:u w:val="single"/>
        </w:rPr>
        <w:t>w sprawie udzielania pomocy publicznej za pośrednictwem Centrum Łukasiewicz</w:t>
      </w:r>
    </w:p>
    <w:p w:rsidR="003E56A1" w:rsidRDefault="003E56A1" w:rsidP="003E56A1">
      <w:pPr>
        <w:spacing w:after="0"/>
        <w:jc w:val="both"/>
        <w:rPr>
          <w:rFonts w:ascii="Arial" w:hAnsi="Arial" w:cs="Arial"/>
          <w:u w:val="single"/>
        </w:rPr>
      </w:pPr>
    </w:p>
    <w:p w:rsidR="003E56A1" w:rsidRPr="003E56A1" w:rsidRDefault="003E56A1" w:rsidP="003E56A1">
      <w:pPr>
        <w:spacing w:after="0"/>
        <w:jc w:val="both"/>
        <w:rPr>
          <w:rFonts w:ascii="Arial" w:hAnsi="Arial" w:cs="Arial"/>
          <w:u w:val="single"/>
        </w:rPr>
      </w:pPr>
    </w:p>
    <w:p w:rsidR="001779F8" w:rsidRPr="00993F5A" w:rsidRDefault="001779F8" w:rsidP="00993F5A">
      <w:pPr>
        <w:spacing w:after="0"/>
        <w:jc w:val="both"/>
        <w:rPr>
          <w:rFonts w:ascii="Arial" w:eastAsia="Times New Roman" w:hAnsi="Arial" w:cs="Arial"/>
          <w:lang w:eastAsia="pl-PL"/>
        </w:rPr>
      </w:pPr>
      <w:r w:rsidRPr="00993F5A">
        <w:rPr>
          <w:rFonts w:ascii="Arial" w:eastAsia="Times New Roman" w:hAnsi="Arial" w:cs="Arial"/>
          <w:lang w:eastAsia="pl-PL"/>
        </w:rPr>
        <w:t xml:space="preserve">Powyższy akt prawny opublikowany został </w:t>
      </w:r>
      <w:r w:rsidR="003E56A1" w:rsidRPr="00993F5A">
        <w:rPr>
          <w:rFonts w:ascii="Arial" w:eastAsia="Times New Roman" w:hAnsi="Arial" w:cs="Arial"/>
          <w:lang w:eastAsia="pl-PL"/>
        </w:rPr>
        <w:t>30</w:t>
      </w:r>
      <w:r w:rsidRPr="00993F5A">
        <w:rPr>
          <w:rFonts w:ascii="Arial" w:eastAsia="Times New Roman" w:hAnsi="Arial" w:cs="Arial"/>
          <w:lang w:eastAsia="pl-PL"/>
        </w:rPr>
        <w:t xml:space="preserve"> </w:t>
      </w:r>
      <w:r w:rsidR="003E56A1" w:rsidRPr="00993F5A">
        <w:rPr>
          <w:rFonts w:ascii="Arial" w:eastAsia="Times New Roman" w:hAnsi="Arial" w:cs="Arial"/>
          <w:lang w:eastAsia="pl-PL"/>
        </w:rPr>
        <w:t>września</w:t>
      </w:r>
      <w:r w:rsidRPr="00993F5A">
        <w:rPr>
          <w:rFonts w:ascii="Arial" w:eastAsia="Times New Roman" w:hAnsi="Arial" w:cs="Arial"/>
          <w:lang w:eastAsia="pl-PL"/>
        </w:rPr>
        <w:t xml:space="preserve"> 20</w:t>
      </w:r>
      <w:r w:rsidR="003E56A1" w:rsidRPr="00993F5A">
        <w:rPr>
          <w:rFonts w:ascii="Arial" w:eastAsia="Times New Roman" w:hAnsi="Arial" w:cs="Arial"/>
          <w:lang w:eastAsia="pl-PL"/>
        </w:rPr>
        <w:t>24</w:t>
      </w:r>
      <w:r w:rsidRPr="00993F5A">
        <w:rPr>
          <w:rFonts w:ascii="Arial" w:eastAsia="Times New Roman" w:hAnsi="Arial" w:cs="Arial"/>
          <w:lang w:eastAsia="pl-PL"/>
        </w:rPr>
        <w:t xml:space="preserve"> roku w Dzienniku Ustaw (Dz.U. z 202</w:t>
      </w:r>
      <w:r w:rsidR="003E56A1" w:rsidRPr="00993F5A">
        <w:rPr>
          <w:rFonts w:ascii="Arial" w:eastAsia="Times New Roman" w:hAnsi="Arial" w:cs="Arial"/>
          <w:lang w:eastAsia="pl-PL"/>
        </w:rPr>
        <w:t>4</w:t>
      </w:r>
      <w:r w:rsidRPr="00993F5A">
        <w:rPr>
          <w:rFonts w:ascii="Arial" w:eastAsia="Times New Roman" w:hAnsi="Arial" w:cs="Arial"/>
          <w:lang w:eastAsia="pl-PL"/>
        </w:rPr>
        <w:t xml:space="preserve">, poz. </w:t>
      </w:r>
      <w:r w:rsidR="003E56A1" w:rsidRPr="00993F5A">
        <w:rPr>
          <w:rFonts w:ascii="Arial" w:eastAsia="Times New Roman" w:hAnsi="Arial" w:cs="Arial"/>
          <w:lang w:eastAsia="pl-PL"/>
        </w:rPr>
        <w:t>1438</w:t>
      </w:r>
      <w:r w:rsidRPr="00993F5A">
        <w:rPr>
          <w:rFonts w:ascii="Arial" w:eastAsia="Times New Roman" w:hAnsi="Arial" w:cs="Arial"/>
          <w:lang w:eastAsia="pl-PL"/>
        </w:rPr>
        <w:t>).</w:t>
      </w:r>
    </w:p>
    <w:p w:rsidR="00993F5A" w:rsidRDefault="00993F5A" w:rsidP="001779F8">
      <w:pPr>
        <w:pStyle w:val="Akapitzlist"/>
        <w:spacing w:after="0"/>
        <w:ind w:left="425"/>
        <w:jc w:val="both"/>
        <w:rPr>
          <w:rFonts w:ascii="Arial" w:eastAsia="Times New Roman" w:hAnsi="Arial" w:cs="Arial"/>
          <w:lang w:eastAsia="pl-PL"/>
        </w:rPr>
      </w:pPr>
    </w:p>
    <w:p w:rsidR="00993F5A" w:rsidRPr="00993F5A" w:rsidRDefault="00993F5A" w:rsidP="00993F5A">
      <w:pPr>
        <w:pStyle w:val="Akapitzlist"/>
        <w:spacing w:after="0"/>
        <w:ind w:left="0"/>
        <w:jc w:val="both"/>
        <w:rPr>
          <w:rFonts w:ascii="Arial" w:eastAsia="Times New Roman" w:hAnsi="Arial" w:cs="Arial"/>
          <w:lang w:eastAsia="pl-PL"/>
        </w:rPr>
      </w:pPr>
      <w:r w:rsidRPr="00993F5A">
        <w:rPr>
          <w:rFonts w:ascii="Arial" w:eastAsia="Times New Roman" w:hAnsi="Arial" w:cs="Arial"/>
          <w:lang w:eastAsia="pl-PL"/>
        </w:rPr>
        <w:t>Rozporządzenie określa warunki i tryb udzielania pomocy publicznej za poś</w:t>
      </w:r>
      <w:r>
        <w:rPr>
          <w:rFonts w:ascii="Arial" w:eastAsia="Times New Roman" w:hAnsi="Arial" w:cs="Arial"/>
          <w:lang w:eastAsia="pl-PL"/>
        </w:rPr>
        <w:t xml:space="preserve">rednictwem Centrum </w:t>
      </w:r>
      <w:proofErr w:type="spellStart"/>
      <w:r>
        <w:rPr>
          <w:rFonts w:ascii="Arial" w:eastAsia="Times New Roman" w:hAnsi="Arial" w:cs="Arial"/>
          <w:lang w:eastAsia="pl-PL"/>
        </w:rPr>
        <w:t>Łukasiewicz,</w:t>
      </w:r>
      <w:r w:rsidRPr="00993F5A">
        <w:rPr>
          <w:rFonts w:ascii="Arial" w:eastAsia="Times New Roman" w:hAnsi="Arial" w:cs="Arial"/>
          <w:lang w:eastAsia="pl-PL"/>
        </w:rPr>
        <w:t>w</w:t>
      </w:r>
      <w:proofErr w:type="spellEnd"/>
      <w:r w:rsidRPr="00993F5A">
        <w:rPr>
          <w:rFonts w:ascii="Arial" w:eastAsia="Times New Roman" w:hAnsi="Arial" w:cs="Arial"/>
          <w:lang w:eastAsia="pl-PL"/>
        </w:rPr>
        <w:t xml:space="preserve"> tym:</w:t>
      </w:r>
    </w:p>
    <w:p w:rsidR="00993F5A" w:rsidRPr="00993F5A" w:rsidRDefault="00993F5A" w:rsidP="00993F5A">
      <w:pPr>
        <w:pStyle w:val="Akapitzlist"/>
        <w:spacing w:after="0"/>
        <w:ind w:left="284"/>
        <w:jc w:val="both"/>
        <w:rPr>
          <w:rFonts w:ascii="Arial" w:eastAsia="Times New Roman" w:hAnsi="Arial" w:cs="Arial"/>
          <w:lang w:eastAsia="pl-PL"/>
        </w:rPr>
      </w:pPr>
      <w:r w:rsidRPr="00993F5A">
        <w:rPr>
          <w:rFonts w:ascii="Arial" w:eastAsia="Times New Roman" w:hAnsi="Arial" w:cs="Arial"/>
          <w:lang w:eastAsia="pl-PL"/>
        </w:rPr>
        <w:t>1) przeznaczenie pomocy;</w:t>
      </w:r>
    </w:p>
    <w:p w:rsidR="00993F5A" w:rsidRPr="00993F5A" w:rsidRDefault="00993F5A" w:rsidP="00993F5A">
      <w:pPr>
        <w:pStyle w:val="Akapitzlist"/>
        <w:spacing w:after="0"/>
        <w:ind w:left="284"/>
        <w:jc w:val="both"/>
        <w:rPr>
          <w:rFonts w:ascii="Arial" w:eastAsia="Times New Roman" w:hAnsi="Arial" w:cs="Arial"/>
          <w:lang w:eastAsia="pl-PL"/>
        </w:rPr>
      </w:pPr>
      <w:r w:rsidRPr="00993F5A">
        <w:rPr>
          <w:rFonts w:ascii="Arial" w:eastAsia="Times New Roman" w:hAnsi="Arial" w:cs="Arial"/>
          <w:lang w:eastAsia="pl-PL"/>
        </w:rPr>
        <w:t>2) rodzaje kosztów kwalifikujących się do objęcia pomocą, zwanych dalej „kosztami kwalifikowalnymi”;</w:t>
      </w:r>
    </w:p>
    <w:p w:rsidR="00993F5A" w:rsidRPr="00993F5A" w:rsidRDefault="00993F5A" w:rsidP="00993F5A">
      <w:pPr>
        <w:pStyle w:val="Akapitzlist"/>
        <w:spacing w:after="0"/>
        <w:ind w:left="284"/>
        <w:jc w:val="both"/>
        <w:rPr>
          <w:rFonts w:ascii="Arial" w:eastAsia="Times New Roman" w:hAnsi="Arial" w:cs="Arial"/>
          <w:lang w:eastAsia="pl-PL"/>
        </w:rPr>
      </w:pPr>
      <w:r w:rsidRPr="00993F5A">
        <w:rPr>
          <w:rFonts w:ascii="Arial" w:eastAsia="Times New Roman" w:hAnsi="Arial" w:cs="Arial"/>
          <w:lang w:eastAsia="pl-PL"/>
        </w:rPr>
        <w:t>3) sposób kumulowania pomocy;</w:t>
      </w:r>
    </w:p>
    <w:p w:rsidR="00993F5A" w:rsidRPr="00993F5A" w:rsidRDefault="00993F5A" w:rsidP="00993F5A">
      <w:pPr>
        <w:pStyle w:val="Akapitzlist"/>
        <w:spacing w:after="0"/>
        <w:ind w:left="284"/>
        <w:jc w:val="both"/>
        <w:rPr>
          <w:rFonts w:ascii="Arial" w:eastAsia="Times New Roman" w:hAnsi="Arial" w:cs="Arial"/>
          <w:lang w:eastAsia="pl-PL"/>
        </w:rPr>
      </w:pPr>
      <w:r w:rsidRPr="00993F5A">
        <w:rPr>
          <w:rFonts w:ascii="Arial" w:eastAsia="Times New Roman" w:hAnsi="Arial" w:cs="Arial"/>
          <w:lang w:eastAsia="pl-PL"/>
        </w:rPr>
        <w:t>4) maksymalne wielkości pomocy.</w:t>
      </w:r>
    </w:p>
    <w:p w:rsidR="00993F5A" w:rsidRPr="00993F5A" w:rsidRDefault="00993F5A" w:rsidP="00993F5A">
      <w:pPr>
        <w:pStyle w:val="Akapitzlist"/>
        <w:spacing w:after="0"/>
        <w:ind w:left="0"/>
        <w:jc w:val="both"/>
        <w:rPr>
          <w:rFonts w:ascii="Arial" w:eastAsia="Times New Roman" w:hAnsi="Arial" w:cs="Arial"/>
          <w:lang w:eastAsia="pl-PL"/>
        </w:rPr>
      </w:pPr>
      <w:r w:rsidRPr="00993F5A">
        <w:rPr>
          <w:rFonts w:ascii="Arial" w:eastAsia="Times New Roman" w:hAnsi="Arial" w:cs="Arial"/>
          <w:lang w:eastAsia="pl-PL"/>
        </w:rPr>
        <w:t>Pomoc publiczna może być udzielana za pośredni</w:t>
      </w:r>
      <w:r>
        <w:rPr>
          <w:rFonts w:ascii="Arial" w:eastAsia="Times New Roman" w:hAnsi="Arial" w:cs="Arial"/>
          <w:lang w:eastAsia="pl-PL"/>
        </w:rPr>
        <w:t xml:space="preserve">ctwem Centrum Łukasiewicz jako </w:t>
      </w:r>
      <w:r w:rsidRPr="00993F5A">
        <w:rPr>
          <w:rFonts w:ascii="Arial" w:eastAsia="Times New Roman" w:hAnsi="Arial" w:cs="Arial"/>
          <w:lang w:eastAsia="pl-PL"/>
        </w:rPr>
        <w:t>pomoc zgodna z przepisami rozporządzenia Komisji (UE) nr 651/2014 z dnia 17 czerwca 2014 r. uznającego niektóre</w:t>
      </w:r>
      <w:r w:rsidRPr="00993F5A">
        <w:rPr>
          <w:rFonts w:ascii="Arial" w:eastAsia="Times New Roman" w:hAnsi="Arial" w:cs="Arial"/>
          <w:lang w:eastAsia="pl-PL"/>
        </w:rPr>
        <w:t xml:space="preserve"> </w:t>
      </w:r>
      <w:r w:rsidRPr="00993F5A">
        <w:rPr>
          <w:rFonts w:ascii="Arial" w:eastAsia="Times New Roman" w:hAnsi="Arial" w:cs="Arial"/>
          <w:lang w:eastAsia="pl-PL"/>
        </w:rPr>
        <w:t>rodzaje pomocy za zgodne z rynkiem wewnętrznym w zastosowaniu art. 107 i 108 Traktatu (Dz. Urz. UE L 187</w:t>
      </w:r>
      <w:r w:rsidRPr="00993F5A">
        <w:rPr>
          <w:rFonts w:ascii="Arial" w:eastAsia="Times New Roman" w:hAnsi="Arial" w:cs="Arial"/>
          <w:lang w:eastAsia="pl-PL"/>
        </w:rPr>
        <w:t xml:space="preserve"> </w:t>
      </w:r>
      <w:r w:rsidRPr="00993F5A">
        <w:rPr>
          <w:rFonts w:ascii="Arial" w:eastAsia="Times New Roman" w:hAnsi="Arial" w:cs="Arial"/>
          <w:lang w:eastAsia="pl-PL"/>
        </w:rPr>
        <w:t xml:space="preserve">z 26.06.2014, str. 1, z </w:t>
      </w:r>
      <w:proofErr w:type="spellStart"/>
      <w:r w:rsidRPr="00993F5A">
        <w:rPr>
          <w:rFonts w:ascii="Arial" w:eastAsia="Times New Roman" w:hAnsi="Arial" w:cs="Arial"/>
          <w:lang w:eastAsia="pl-PL"/>
        </w:rPr>
        <w:t>późn</w:t>
      </w:r>
      <w:proofErr w:type="spellEnd"/>
      <w:r w:rsidRPr="00993F5A">
        <w:rPr>
          <w:rFonts w:ascii="Arial" w:eastAsia="Times New Roman" w:hAnsi="Arial" w:cs="Arial"/>
          <w:lang w:eastAsia="pl-PL"/>
        </w:rPr>
        <w:t>. zm.2)), zwanego dalej „rozporządzeniem nr 651/2014”, przeznaczona na:</w:t>
      </w:r>
    </w:p>
    <w:p w:rsidR="00993F5A" w:rsidRPr="00993F5A" w:rsidRDefault="00993F5A" w:rsidP="00993F5A">
      <w:pPr>
        <w:pStyle w:val="Akapitzlist"/>
        <w:spacing w:after="0"/>
        <w:ind w:left="284"/>
        <w:jc w:val="both"/>
        <w:rPr>
          <w:rFonts w:ascii="Arial" w:eastAsia="Times New Roman" w:hAnsi="Arial" w:cs="Arial"/>
          <w:lang w:eastAsia="pl-PL"/>
        </w:rPr>
      </w:pPr>
      <w:r w:rsidRPr="00993F5A">
        <w:rPr>
          <w:rFonts w:ascii="Arial" w:eastAsia="Times New Roman" w:hAnsi="Arial" w:cs="Arial"/>
          <w:lang w:eastAsia="pl-PL"/>
        </w:rPr>
        <w:t>a) prowadzenie badań podstawowych, badań przemysłowych i eksperymentalnych prac rozwojowych oraz przygotowanie studiów wykonalności – zgodnie z art. 25 rozporządzenia nr 651/2014,</w:t>
      </w:r>
    </w:p>
    <w:p w:rsidR="00993F5A" w:rsidRPr="00993F5A" w:rsidRDefault="00993F5A" w:rsidP="00993F5A">
      <w:pPr>
        <w:pStyle w:val="Akapitzlist"/>
        <w:spacing w:after="0"/>
        <w:ind w:left="284"/>
        <w:jc w:val="both"/>
        <w:rPr>
          <w:rFonts w:ascii="Arial" w:eastAsia="Times New Roman" w:hAnsi="Arial" w:cs="Arial"/>
          <w:lang w:eastAsia="pl-PL"/>
        </w:rPr>
      </w:pPr>
      <w:r w:rsidRPr="00993F5A">
        <w:rPr>
          <w:rFonts w:ascii="Arial" w:eastAsia="Times New Roman" w:hAnsi="Arial" w:cs="Arial"/>
          <w:lang w:eastAsia="pl-PL"/>
        </w:rPr>
        <w:t>b) wspieranie innowacyjności – zgodnie z art. 28 rozporządzenia nr 651/2014,</w:t>
      </w:r>
    </w:p>
    <w:p w:rsidR="00993F5A" w:rsidRPr="00993F5A" w:rsidRDefault="00993F5A" w:rsidP="00993F5A">
      <w:pPr>
        <w:pStyle w:val="Akapitzlist"/>
        <w:spacing w:after="0"/>
        <w:ind w:left="284"/>
        <w:jc w:val="both"/>
        <w:rPr>
          <w:rFonts w:ascii="Arial" w:eastAsia="Times New Roman" w:hAnsi="Arial" w:cs="Arial"/>
          <w:lang w:eastAsia="pl-PL"/>
        </w:rPr>
      </w:pPr>
      <w:r w:rsidRPr="00993F5A">
        <w:rPr>
          <w:rFonts w:ascii="Arial" w:eastAsia="Times New Roman" w:hAnsi="Arial" w:cs="Arial"/>
          <w:lang w:eastAsia="pl-PL"/>
        </w:rPr>
        <w:t>c) prowadzenie badań podstawowych, badań przemysłowych i eksperymentalnych prac rozwojowych w sektorze rybołówstwa i akwakultury – zgodnie z art. 30 rozporządzenia nr 651/2014,</w:t>
      </w:r>
    </w:p>
    <w:p w:rsidR="00993F5A" w:rsidRPr="00993F5A" w:rsidRDefault="00993F5A" w:rsidP="00993F5A">
      <w:pPr>
        <w:pStyle w:val="Akapitzlist"/>
        <w:spacing w:after="0"/>
        <w:ind w:left="284"/>
        <w:jc w:val="both"/>
        <w:rPr>
          <w:rFonts w:ascii="Arial" w:eastAsia="Times New Roman" w:hAnsi="Arial" w:cs="Arial"/>
          <w:lang w:eastAsia="pl-PL"/>
        </w:rPr>
      </w:pPr>
      <w:r w:rsidRPr="00993F5A">
        <w:rPr>
          <w:rFonts w:ascii="Arial" w:eastAsia="Times New Roman" w:hAnsi="Arial" w:cs="Arial"/>
          <w:lang w:eastAsia="pl-PL"/>
        </w:rPr>
        <w:t>d) wspieranie przedsiębiorców rozpoczynających prowadzenie działalności badawczej, rozwojowej i innowacyjnej,</w:t>
      </w:r>
    </w:p>
    <w:p w:rsidR="00993F5A" w:rsidRPr="00993F5A" w:rsidRDefault="00993F5A" w:rsidP="00993F5A">
      <w:pPr>
        <w:pStyle w:val="Akapitzlist"/>
        <w:spacing w:after="0"/>
        <w:ind w:left="284"/>
        <w:jc w:val="both"/>
        <w:rPr>
          <w:rFonts w:ascii="Arial" w:eastAsia="Times New Roman" w:hAnsi="Arial" w:cs="Arial"/>
          <w:lang w:eastAsia="pl-PL"/>
        </w:rPr>
      </w:pPr>
      <w:r w:rsidRPr="00993F5A">
        <w:rPr>
          <w:rFonts w:ascii="Arial" w:eastAsia="Times New Roman" w:hAnsi="Arial" w:cs="Arial"/>
          <w:lang w:eastAsia="pl-PL"/>
        </w:rPr>
        <w:t>zwanej dalej „działalnością B+R+I” – zgodnie z art. 22 rozporządzenia nr 651/2014,</w:t>
      </w:r>
    </w:p>
    <w:p w:rsidR="00993F5A" w:rsidRDefault="00993F5A" w:rsidP="00993F5A">
      <w:pPr>
        <w:pStyle w:val="Akapitzlist"/>
        <w:spacing w:after="0"/>
        <w:ind w:left="284"/>
        <w:jc w:val="both"/>
        <w:rPr>
          <w:rFonts w:ascii="Arial" w:eastAsia="Times New Roman" w:hAnsi="Arial" w:cs="Arial"/>
          <w:lang w:eastAsia="pl-PL"/>
        </w:rPr>
      </w:pPr>
      <w:r w:rsidRPr="00993F5A">
        <w:rPr>
          <w:rFonts w:ascii="Arial" w:eastAsia="Times New Roman" w:hAnsi="Arial" w:cs="Arial"/>
          <w:lang w:eastAsia="pl-PL"/>
        </w:rPr>
        <w:t>e) usługi doradcze – zgodnie z art. 18 rozporządzenia nr 651/2014,</w:t>
      </w:r>
    </w:p>
    <w:p w:rsidR="00993F5A" w:rsidRPr="00993F5A" w:rsidRDefault="00993F5A" w:rsidP="00993F5A">
      <w:pPr>
        <w:pStyle w:val="Akapitzlist"/>
        <w:spacing w:after="0"/>
        <w:ind w:left="284"/>
        <w:jc w:val="both"/>
        <w:rPr>
          <w:rFonts w:ascii="Arial" w:eastAsia="Times New Roman" w:hAnsi="Arial" w:cs="Arial"/>
          <w:lang w:eastAsia="pl-PL"/>
        </w:rPr>
      </w:pPr>
      <w:r w:rsidRPr="00993F5A">
        <w:rPr>
          <w:rFonts w:ascii="Arial" w:eastAsia="Times New Roman" w:hAnsi="Arial" w:cs="Arial"/>
          <w:lang w:eastAsia="pl-PL"/>
        </w:rPr>
        <w:t>f) wspieranie wdrażania wyników badań podstawowych, badań przemysłowych i eksperymentalnych prac rozwojowych przez finansowanie inwestycji początkowych oraz inwestycji początko</w:t>
      </w:r>
      <w:r>
        <w:rPr>
          <w:rFonts w:ascii="Arial" w:eastAsia="Times New Roman" w:hAnsi="Arial" w:cs="Arial"/>
          <w:lang w:eastAsia="pl-PL"/>
        </w:rPr>
        <w:t xml:space="preserve">wych, które zapoczątkowują nową </w:t>
      </w:r>
      <w:r w:rsidRPr="00993F5A">
        <w:rPr>
          <w:rFonts w:ascii="Arial" w:eastAsia="Times New Roman" w:hAnsi="Arial" w:cs="Arial"/>
          <w:lang w:eastAsia="pl-PL"/>
        </w:rPr>
        <w:t>działalność gospodarczą na danym obszarze – zgodnie z art. 14 rozporządzenia nr 651/2014</w:t>
      </w:r>
    </w:p>
    <w:p w:rsidR="00993F5A" w:rsidRDefault="00993F5A" w:rsidP="00993F5A">
      <w:pPr>
        <w:pStyle w:val="Akapitzlist"/>
        <w:spacing w:after="0"/>
        <w:ind w:left="0"/>
        <w:jc w:val="both"/>
        <w:rPr>
          <w:rFonts w:ascii="Arial" w:eastAsia="Times New Roman" w:hAnsi="Arial" w:cs="Arial"/>
          <w:lang w:eastAsia="pl-PL"/>
        </w:rPr>
      </w:pPr>
      <w:r w:rsidRPr="00993F5A">
        <w:rPr>
          <w:rFonts w:ascii="Arial" w:eastAsia="Times New Roman" w:hAnsi="Arial" w:cs="Arial"/>
          <w:lang w:eastAsia="pl-PL"/>
        </w:rPr>
        <w:t xml:space="preserve">– zwana dalej „pomocą w ramach </w:t>
      </w:r>
      <w:proofErr w:type="spellStart"/>
      <w:r w:rsidRPr="00993F5A">
        <w:rPr>
          <w:rFonts w:ascii="Arial" w:eastAsia="Times New Roman" w:hAnsi="Arial" w:cs="Arial"/>
          <w:lang w:eastAsia="pl-PL"/>
        </w:rPr>
        <w:t>wyłączeń</w:t>
      </w:r>
      <w:proofErr w:type="spellEnd"/>
      <w:r w:rsidRPr="00993F5A">
        <w:rPr>
          <w:rFonts w:ascii="Arial" w:eastAsia="Times New Roman" w:hAnsi="Arial" w:cs="Arial"/>
          <w:lang w:eastAsia="pl-PL"/>
        </w:rPr>
        <w:t xml:space="preserve"> grupowych”;</w:t>
      </w:r>
    </w:p>
    <w:p w:rsidR="001779F8" w:rsidRDefault="001779F8" w:rsidP="001779F8">
      <w:pPr>
        <w:pStyle w:val="Akapitzlist"/>
        <w:spacing w:after="0"/>
        <w:ind w:left="425"/>
        <w:jc w:val="both"/>
        <w:rPr>
          <w:rFonts w:ascii="Arial" w:eastAsia="Times New Roman" w:hAnsi="Arial" w:cs="Arial"/>
          <w:lang w:eastAsia="pl-PL"/>
        </w:rPr>
      </w:pPr>
    </w:p>
    <w:p w:rsidR="001779F8" w:rsidRPr="00993F5A" w:rsidRDefault="00993F5A" w:rsidP="00993F5A">
      <w:pPr>
        <w:spacing w:after="0"/>
        <w:jc w:val="both"/>
        <w:rPr>
          <w:rFonts w:ascii="Arial" w:eastAsia="Times New Roman" w:hAnsi="Arial" w:cs="Arial"/>
          <w:lang w:eastAsia="pl-PL"/>
        </w:rPr>
      </w:pPr>
      <w:r w:rsidRPr="00993F5A">
        <w:rPr>
          <w:rStyle w:val="markedcontent"/>
          <w:rFonts w:ascii="Arial" w:hAnsi="Arial" w:cs="Arial"/>
        </w:rPr>
        <w:t>Rozporządzenie wchodzi w życie po upływie 14 dni od dnia ogłoszenia</w:t>
      </w:r>
      <w:r>
        <w:rPr>
          <w:rStyle w:val="markedcontent"/>
          <w:rFonts w:ascii="Arial" w:hAnsi="Arial" w:cs="Arial"/>
        </w:rPr>
        <w:t>, tj. 14</w:t>
      </w:r>
      <w:r w:rsidR="001779F8" w:rsidRPr="00993F5A">
        <w:rPr>
          <w:rStyle w:val="markedcontent"/>
          <w:rFonts w:ascii="Arial" w:hAnsi="Arial" w:cs="Arial"/>
        </w:rPr>
        <w:t xml:space="preserve"> </w:t>
      </w:r>
      <w:r>
        <w:rPr>
          <w:rStyle w:val="markedcontent"/>
          <w:rFonts w:ascii="Arial" w:hAnsi="Arial" w:cs="Arial"/>
        </w:rPr>
        <w:t>października</w:t>
      </w:r>
      <w:r w:rsidR="001779F8" w:rsidRPr="00993F5A">
        <w:rPr>
          <w:rStyle w:val="markedcontent"/>
          <w:rFonts w:ascii="Arial" w:hAnsi="Arial" w:cs="Arial"/>
        </w:rPr>
        <w:t xml:space="preserve"> 202</w:t>
      </w:r>
      <w:r>
        <w:rPr>
          <w:rStyle w:val="markedcontent"/>
          <w:rFonts w:ascii="Arial" w:hAnsi="Arial" w:cs="Arial"/>
        </w:rPr>
        <w:t>4</w:t>
      </w:r>
      <w:r w:rsidR="001779F8" w:rsidRPr="00993F5A">
        <w:rPr>
          <w:rStyle w:val="markedcontent"/>
          <w:rFonts w:ascii="Arial" w:hAnsi="Arial" w:cs="Arial"/>
        </w:rPr>
        <w:t xml:space="preserve"> roku.</w:t>
      </w:r>
    </w:p>
    <w:p w:rsidR="001779F8" w:rsidRDefault="001779F8" w:rsidP="001779F8">
      <w:pPr>
        <w:spacing w:after="0"/>
        <w:jc w:val="both"/>
        <w:rPr>
          <w:rFonts w:ascii="Arial" w:hAnsi="Arial" w:cs="Arial"/>
        </w:rPr>
      </w:pPr>
    </w:p>
    <w:p w:rsidR="001779F8" w:rsidRPr="00351751" w:rsidRDefault="001779F8" w:rsidP="00351751">
      <w:pPr>
        <w:pStyle w:val="Akapitzlist"/>
        <w:numPr>
          <w:ilvl w:val="0"/>
          <w:numId w:val="2"/>
        </w:numPr>
        <w:spacing w:after="0"/>
        <w:ind w:left="360"/>
        <w:jc w:val="both"/>
        <w:rPr>
          <w:rFonts w:ascii="Arial" w:hAnsi="Arial" w:cs="Arial"/>
          <w:u w:val="single"/>
        </w:rPr>
      </w:pPr>
      <w:r w:rsidRPr="00351751">
        <w:rPr>
          <w:rFonts w:ascii="Arial" w:hAnsi="Arial" w:cs="Arial"/>
          <w:u w:val="single"/>
        </w:rPr>
        <w:t xml:space="preserve">Rozporządzenie </w:t>
      </w:r>
      <w:r w:rsidR="00351751" w:rsidRPr="00351751">
        <w:rPr>
          <w:rFonts w:ascii="Arial" w:hAnsi="Arial" w:cs="Arial"/>
          <w:u w:val="single"/>
        </w:rPr>
        <w:t>Prezesa Rady Ministrów z dnia 5 października 2024 roku</w:t>
      </w:r>
      <w:r w:rsidR="00351751">
        <w:rPr>
          <w:rFonts w:ascii="Arial" w:hAnsi="Arial" w:cs="Arial"/>
          <w:u w:val="single"/>
        </w:rPr>
        <w:t xml:space="preserve"> </w:t>
      </w:r>
      <w:r w:rsidR="00351751" w:rsidRPr="00351751">
        <w:rPr>
          <w:rFonts w:ascii="Arial" w:hAnsi="Arial" w:cs="Arial"/>
          <w:u w:val="single"/>
        </w:rPr>
        <w:t>w sprawie gmin poszkodowanych w wyniku powodzi we wrześniu 2024 r., w których stosuje się szczególne zasady</w:t>
      </w:r>
      <w:r w:rsidR="00351751" w:rsidRPr="00351751">
        <w:rPr>
          <w:rFonts w:ascii="Arial" w:hAnsi="Arial" w:cs="Arial"/>
          <w:u w:val="single"/>
        </w:rPr>
        <w:t xml:space="preserve"> </w:t>
      </w:r>
      <w:r w:rsidR="00351751" w:rsidRPr="00351751">
        <w:rPr>
          <w:rFonts w:ascii="Arial" w:hAnsi="Arial" w:cs="Arial"/>
          <w:u w:val="single"/>
        </w:rPr>
        <w:t>odbudowy, remontów i rozbiórek obiektów budowlanych</w:t>
      </w:r>
      <w:r w:rsidRPr="00351751">
        <w:rPr>
          <w:rFonts w:ascii="Arial" w:hAnsi="Arial" w:cs="Arial"/>
          <w:u w:val="single"/>
        </w:rPr>
        <w:t xml:space="preserve"> </w:t>
      </w:r>
    </w:p>
    <w:p w:rsidR="00351751" w:rsidRDefault="00351751" w:rsidP="00351751">
      <w:pPr>
        <w:spacing w:after="0"/>
        <w:jc w:val="both"/>
        <w:rPr>
          <w:rFonts w:ascii="Arial" w:eastAsia="Times New Roman" w:hAnsi="Arial" w:cs="Arial"/>
          <w:lang w:eastAsia="pl-PL"/>
        </w:rPr>
      </w:pPr>
    </w:p>
    <w:p w:rsidR="00351751" w:rsidRDefault="001779F8" w:rsidP="00351751">
      <w:pPr>
        <w:spacing w:after="0"/>
        <w:jc w:val="both"/>
        <w:rPr>
          <w:rFonts w:ascii="Arial" w:eastAsia="Times New Roman" w:hAnsi="Arial" w:cs="Arial"/>
          <w:lang w:eastAsia="pl-PL"/>
        </w:rPr>
      </w:pPr>
      <w:r w:rsidRPr="00287656">
        <w:rPr>
          <w:rFonts w:ascii="Arial" w:eastAsia="Times New Roman" w:hAnsi="Arial" w:cs="Arial"/>
          <w:lang w:eastAsia="pl-PL"/>
        </w:rPr>
        <w:t xml:space="preserve">Powyższy akt prawny opublikowany został </w:t>
      </w:r>
      <w:r w:rsidR="00351751">
        <w:rPr>
          <w:rFonts w:ascii="Arial" w:eastAsia="Times New Roman" w:hAnsi="Arial" w:cs="Arial"/>
          <w:lang w:eastAsia="pl-PL"/>
        </w:rPr>
        <w:t>5</w:t>
      </w:r>
      <w:r w:rsidRPr="00287656">
        <w:rPr>
          <w:rFonts w:ascii="Arial" w:eastAsia="Times New Roman" w:hAnsi="Arial" w:cs="Arial"/>
          <w:lang w:eastAsia="pl-PL"/>
        </w:rPr>
        <w:t xml:space="preserve"> </w:t>
      </w:r>
      <w:r w:rsidR="00351751">
        <w:rPr>
          <w:rFonts w:ascii="Arial" w:eastAsia="Times New Roman" w:hAnsi="Arial" w:cs="Arial"/>
          <w:lang w:eastAsia="pl-PL"/>
        </w:rPr>
        <w:t>października</w:t>
      </w:r>
      <w:r w:rsidRPr="00287656">
        <w:rPr>
          <w:rFonts w:ascii="Arial" w:eastAsia="Times New Roman" w:hAnsi="Arial" w:cs="Arial"/>
          <w:lang w:eastAsia="pl-PL"/>
        </w:rPr>
        <w:t xml:space="preserve"> 20</w:t>
      </w:r>
      <w:r w:rsidR="00351751">
        <w:rPr>
          <w:rFonts w:ascii="Arial" w:eastAsia="Times New Roman" w:hAnsi="Arial" w:cs="Arial"/>
          <w:lang w:eastAsia="pl-PL"/>
        </w:rPr>
        <w:t>24</w:t>
      </w:r>
      <w:r w:rsidRPr="00287656">
        <w:rPr>
          <w:rFonts w:ascii="Arial" w:eastAsia="Times New Roman" w:hAnsi="Arial" w:cs="Arial"/>
          <w:lang w:eastAsia="pl-PL"/>
        </w:rPr>
        <w:t xml:space="preserve"> roku w Dzienniku Ustaw (Dz.U. z 202</w:t>
      </w:r>
      <w:r w:rsidR="00351751">
        <w:rPr>
          <w:rFonts w:ascii="Arial" w:eastAsia="Times New Roman" w:hAnsi="Arial" w:cs="Arial"/>
          <w:lang w:eastAsia="pl-PL"/>
        </w:rPr>
        <w:t>4, poz. 1483</w:t>
      </w:r>
      <w:r w:rsidRPr="00287656">
        <w:rPr>
          <w:rFonts w:ascii="Arial" w:eastAsia="Times New Roman" w:hAnsi="Arial" w:cs="Arial"/>
          <w:lang w:eastAsia="pl-PL"/>
        </w:rPr>
        <w:t>).</w:t>
      </w:r>
    </w:p>
    <w:p w:rsidR="00351751" w:rsidRDefault="00351751" w:rsidP="00351751">
      <w:pPr>
        <w:spacing w:after="0"/>
        <w:jc w:val="both"/>
        <w:rPr>
          <w:rFonts w:ascii="Arial" w:eastAsia="Times New Roman" w:hAnsi="Arial" w:cs="Arial"/>
          <w:lang w:eastAsia="pl-PL"/>
        </w:rPr>
      </w:pPr>
    </w:p>
    <w:p w:rsidR="00351751" w:rsidRDefault="00351751" w:rsidP="00351751">
      <w:pPr>
        <w:spacing w:after="0"/>
        <w:jc w:val="both"/>
        <w:rPr>
          <w:rFonts w:ascii="Arial" w:eastAsia="Times New Roman" w:hAnsi="Arial" w:cs="Arial"/>
          <w:lang w:eastAsia="pl-PL"/>
        </w:rPr>
      </w:pPr>
      <w:r>
        <w:rPr>
          <w:rFonts w:ascii="Arial" w:eastAsia="Times New Roman" w:hAnsi="Arial" w:cs="Arial"/>
          <w:lang w:eastAsia="pl-PL"/>
        </w:rPr>
        <w:t>Rozporządzenie wydane zostało na</w:t>
      </w:r>
      <w:r w:rsidRPr="00351751">
        <w:rPr>
          <w:rFonts w:ascii="Arial" w:eastAsia="Times New Roman" w:hAnsi="Arial" w:cs="Arial"/>
          <w:lang w:eastAsia="pl-PL"/>
        </w:rPr>
        <w:t xml:space="preserve"> podstawie art. 2 ustawy z dnia 11 sierpnia 2001 r. o szczególnych zasadach odbudowy</w:t>
      </w:r>
      <w:r>
        <w:rPr>
          <w:rFonts w:ascii="Arial" w:eastAsia="Times New Roman" w:hAnsi="Arial" w:cs="Arial"/>
          <w:lang w:eastAsia="pl-PL"/>
        </w:rPr>
        <w:t xml:space="preserve">, remontów i rozbiórek obiektów </w:t>
      </w:r>
      <w:r w:rsidRPr="00351751">
        <w:rPr>
          <w:rFonts w:ascii="Arial" w:eastAsia="Times New Roman" w:hAnsi="Arial" w:cs="Arial"/>
          <w:lang w:eastAsia="pl-PL"/>
        </w:rPr>
        <w:t xml:space="preserve">budowlanych zniszczonych lub uszkodzonych w wyniku działania żywiołu (Dz. U. z 2024 r. </w:t>
      </w:r>
      <w:r>
        <w:rPr>
          <w:rFonts w:ascii="Arial" w:eastAsia="Times New Roman" w:hAnsi="Arial" w:cs="Arial"/>
          <w:lang w:eastAsia="pl-PL"/>
        </w:rPr>
        <w:t>poz. 1190 i 1473).</w:t>
      </w:r>
    </w:p>
    <w:p w:rsidR="00351751" w:rsidRPr="00351751" w:rsidRDefault="00351751" w:rsidP="00351751">
      <w:pPr>
        <w:spacing w:after="0"/>
        <w:jc w:val="both"/>
        <w:rPr>
          <w:rFonts w:ascii="Arial" w:eastAsia="Times New Roman" w:hAnsi="Arial" w:cs="Arial"/>
          <w:lang w:eastAsia="pl-PL"/>
        </w:rPr>
      </w:pPr>
      <w:r w:rsidRPr="00351751">
        <w:rPr>
          <w:rFonts w:ascii="Arial" w:eastAsia="Times New Roman" w:hAnsi="Arial" w:cs="Arial"/>
          <w:lang w:eastAsia="pl-PL"/>
        </w:rPr>
        <w:lastRenderedPageBreak/>
        <w:t>Rozporządzenie określa gminy, w których stosuje się szczególne zasady odbudowy</w:t>
      </w:r>
      <w:r>
        <w:rPr>
          <w:rFonts w:ascii="Arial" w:eastAsia="Times New Roman" w:hAnsi="Arial" w:cs="Arial"/>
          <w:lang w:eastAsia="pl-PL"/>
        </w:rPr>
        <w:t xml:space="preserve">, remontów i rozbiórek obiektów </w:t>
      </w:r>
      <w:r w:rsidRPr="00351751">
        <w:rPr>
          <w:rFonts w:ascii="Arial" w:eastAsia="Times New Roman" w:hAnsi="Arial" w:cs="Arial"/>
          <w:lang w:eastAsia="pl-PL"/>
        </w:rPr>
        <w:t>budowlanych zniszczonych lub uszkodzonych w wyniku działania żywiołu.</w:t>
      </w:r>
    </w:p>
    <w:p w:rsidR="00351751" w:rsidRPr="00351751" w:rsidRDefault="00351751" w:rsidP="00351751">
      <w:pPr>
        <w:spacing w:after="0"/>
        <w:jc w:val="both"/>
        <w:rPr>
          <w:rFonts w:ascii="Arial" w:eastAsia="Times New Roman" w:hAnsi="Arial" w:cs="Arial"/>
          <w:lang w:eastAsia="pl-PL"/>
        </w:rPr>
      </w:pPr>
      <w:r w:rsidRPr="00351751">
        <w:rPr>
          <w:rFonts w:ascii="Arial" w:eastAsia="Times New Roman" w:hAnsi="Arial" w:cs="Arial"/>
          <w:lang w:eastAsia="pl-PL"/>
        </w:rPr>
        <w:t>Wykaz gmin, o których mowa w § 1, poszkodowanych w wy</w:t>
      </w:r>
      <w:r>
        <w:rPr>
          <w:rFonts w:ascii="Arial" w:eastAsia="Times New Roman" w:hAnsi="Arial" w:cs="Arial"/>
          <w:lang w:eastAsia="pl-PL"/>
        </w:rPr>
        <w:t xml:space="preserve">niku powodzi we wrześniu 2024 roku, jest określony </w:t>
      </w:r>
      <w:r w:rsidRPr="00351751">
        <w:rPr>
          <w:rFonts w:ascii="Arial" w:eastAsia="Times New Roman" w:hAnsi="Arial" w:cs="Arial"/>
          <w:lang w:eastAsia="pl-PL"/>
        </w:rPr>
        <w:t>w załączniku do rozporządzenia.</w:t>
      </w:r>
    </w:p>
    <w:p w:rsidR="00351751" w:rsidRPr="00351751" w:rsidRDefault="00351751" w:rsidP="00351751">
      <w:pPr>
        <w:spacing w:after="0"/>
        <w:jc w:val="both"/>
        <w:rPr>
          <w:rFonts w:ascii="Arial" w:eastAsia="Times New Roman" w:hAnsi="Arial" w:cs="Arial"/>
          <w:lang w:eastAsia="pl-PL"/>
        </w:rPr>
      </w:pPr>
      <w:r w:rsidRPr="00351751">
        <w:rPr>
          <w:rFonts w:ascii="Arial" w:eastAsia="Times New Roman" w:hAnsi="Arial" w:cs="Arial"/>
          <w:lang w:eastAsia="pl-PL"/>
        </w:rPr>
        <w:t>Rozporządzenie stosuje się przez okres 24 miesięcy od dnia jego wejścia w życie.</w:t>
      </w:r>
    </w:p>
    <w:p w:rsidR="00351751" w:rsidRDefault="00351751" w:rsidP="00351751">
      <w:pPr>
        <w:spacing w:after="0"/>
        <w:jc w:val="both"/>
        <w:rPr>
          <w:rStyle w:val="markedcontent"/>
          <w:rFonts w:ascii="Arial" w:hAnsi="Arial" w:cs="Arial"/>
        </w:rPr>
      </w:pPr>
    </w:p>
    <w:p w:rsidR="001779F8" w:rsidRPr="00351751" w:rsidRDefault="001779F8" w:rsidP="00351751">
      <w:pPr>
        <w:spacing w:after="0"/>
        <w:jc w:val="both"/>
        <w:rPr>
          <w:rStyle w:val="markedcontent"/>
          <w:rFonts w:ascii="Arial" w:eastAsia="Times New Roman" w:hAnsi="Arial" w:cs="Arial"/>
          <w:lang w:eastAsia="pl-PL"/>
        </w:rPr>
      </w:pPr>
      <w:r w:rsidRPr="00351751">
        <w:rPr>
          <w:rStyle w:val="markedcontent"/>
          <w:rFonts w:ascii="Arial" w:hAnsi="Arial" w:cs="Arial"/>
        </w:rPr>
        <w:t xml:space="preserve">Rozporządzenie </w:t>
      </w:r>
      <w:r w:rsidR="00351751" w:rsidRPr="00351751">
        <w:rPr>
          <w:rStyle w:val="markedcontent"/>
          <w:rFonts w:ascii="Arial" w:hAnsi="Arial" w:cs="Arial"/>
        </w:rPr>
        <w:t>wchodzi w życie z dniem następującym po dniu ogłoszenia</w:t>
      </w:r>
      <w:r w:rsidR="00351751">
        <w:rPr>
          <w:rStyle w:val="markedcontent"/>
          <w:rFonts w:ascii="Arial" w:hAnsi="Arial" w:cs="Arial"/>
        </w:rPr>
        <w:t xml:space="preserve"> tj.</w:t>
      </w:r>
      <w:r w:rsidR="00351751" w:rsidRPr="00351751">
        <w:rPr>
          <w:rStyle w:val="markedcontent"/>
          <w:rFonts w:ascii="Arial" w:hAnsi="Arial" w:cs="Arial"/>
        </w:rPr>
        <w:t xml:space="preserve"> </w:t>
      </w:r>
      <w:r w:rsidR="00351751">
        <w:rPr>
          <w:rStyle w:val="markedcontent"/>
          <w:rFonts w:ascii="Arial" w:hAnsi="Arial" w:cs="Arial"/>
        </w:rPr>
        <w:t>6</w:t>
      </w:r>
      <w:r w:rsidRPr="00351751">
        <w:rPr>
          <w:rStyle w:val="markedcontent"/>
          <w:rFonts w:ascii="Arial" w:hAnsi="Arial" w:cs="Arial"/>
        </w:rPr>
        <w:t xml:space="preserve"> </w:t>
      </w:r>
      <w:r w:rsidR="00351751">
        <w:rPr>
          <w:rStyle w:val="markedcontent"/>
          <w:rFonts w:ascii="Arial" w:hAnsi="Arial" w:cs="Arial"/>
        </w:rPr>
        <w:t>października</w:t>
      </w:r>
      <w:r w:rsidRPr="00351751">
        <w:rPr>
          <w:rStyle w:val="markedcontent"/>
          <w:rFonts w:ascii="Arial" w:hAnsi="Arial" w:cs="Arial"/>
        </w:rPr>
        <w:t xml:space="preserve"> 202</w:t>
      </w:r>
      <w:r w:rsidR="00351751">
        <w:rPr>
          <w:rStyle w:val="markedcontent"/>
          <w:rFonts w:ascii="Arial" w:hAnsi="Arial" w:cs="Arial"/>
        </w:rPr>
        <w:t>4</w:t>
      </w:r>
      <w:r w:rsidRPr="00351751">
        <w:rPr>
          <w:rStyle w:val="markedcontent"/>
          <w:rFonts w:ascii="Arial" w:hAnsi="Arial" w:cs="Arial"/>
        </w:rPr>
        <w:t xml:space="preserve"> roku.</w:t>
      </w:r>
      <w:bookmarkStart w:id="0" w:name="_GoBack"/>
      <w:bookmarkEnd w:id="0"/>
    </w:p>
    <w:sectPr w:rsidR="001779F8" w:rsidRPr="00351751" w:rsidSect="008D47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005F1"/>
    <w:multiLevelType w:val="hybridMultilevel"/>
    <w:tmpl w:val="4A449828"/>
    <w:lvl w:ilvl="0" w:tplc="BC5EEF4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7E64FCE"/>
    <w:multiLevelType w:val="hybridMultilevel"/>
    <w:tmpl w:val="ABB0EF4E"/>
    <w:lvl w:ilvl="0" w:tplc="7CDEB8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0E4088E"/>
    <w:multiLevelType w:val="hybridMultilevel"/>
    <w:tmpl w:val="CAF21E52"/>
    <w:lvl w:ilvl="0" w:tplc="43D8372A">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C980FD5"/>
    <w:multiLevelType w:val="hybridMultilevel"/>
    <w:tmpl w:val="52A4B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1ED00C6"/>
    <w:multiLevelType w:val="hybridMultilevel"/>
    <w:tmpl w:val="82C2C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9F8"/>
    <w:rsid w:val="001779F8"/>
    <w:rsid w:val="00351751"/>
    <w:rsid w:val="003E56A1"/>
    <w:rsid w:val="00477F2D"/>
    <w:rsid w:val="00690049"/>
    <w:rsid w:val="006E5545"/>
    <w:rsid w:val="00705A5B"/>
    <w:rsid w:val="008E39D4"/>
    <w:rsid w:val="00993F5A"/>
    <w:rsid w:val="00A906E6"/>
    <w:rsid w:val="00D93D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79F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779F8"/>
    <w:pPr>
      <w:ind w:left="720"/>
      <w:contextualSpacing/>
    </w:pPr>
  </w:style>
  <w:style w:type="character" w:customStyle="1" w:styleId="markedcontent">
    <w:name w:val="markedcontent"/>
    <w:basedOn w:val="Domylnaczcionkaakapitu"/>
    <w:rsid w:val="001779F8"/>
  </w:style>
  <w:style w:type="paragraph" w:styleId="Tekstdymka">
    <w:name w:val="Balloon Text"/>
    <w:basedOn w:val="Normalny"/>
    <w:link w:val="TekstdymkaZnak"/>
    <w:uiPriority w:val="99"/>
    <w:semiHidden/>
    <w:unhideWhenUsed/>
    <w:rsid w:val="001779F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779F8"/>
    <w:rPr>
      <w:rFonts w:ascii="Tahoma" w:hAnsi="Tahoma" w:cs="Tahoma"/>
      <w:sz w:val="16"/>
      <w:szCs w:val="16"/>
    </w:rPr>
  </w:style>
  <w:style w:type="character" w:styleId="Hipercze">
    <w:name w:val="Hyperlink"/>
    <w:basedOn w:val="Domylnaczcionkaakapitu"/>
    <w:uiPriority w:val="99"/>
    <w:unhideWhenUsed/>
    <w:rsid w:val="006E5545"/>
    <w:rPr>
      <w:color w:val="0000FF" w:themeColor="hyperlink"/>
      <w:u w:val="single"/>
    </w:rPr>
  </w:style>
  <w:style w:type="character" w:styleId="UyteHipercze">
    <w:name w:val="FollowedHyperlink"/>
    <w:basedOn w:val="Domylnaczcionkaakapitu"/>
    <w:uiPriority w:val="99"/>
    <w:semiHidden/>
    <w:unhideWhenUsed/>
    <w:rsid w:val="006E554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79F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779F8"/>
    <w:pPr>
      <w:ind w:left="720"/>
      <w:contextualSpacing/>
    </w:pPr>
  </w:style>
  <w:style w:type="character" w:customStyle="1" w:styleId="markedcontent">
    <w:name w:val="markedcontent"/>
    <w:basedOn w:val="Domylnaczcionkaakapitu"/>
    <w:rsid w:val="001779F8"/>
  </w:style>
  <w:style w:type="paragraph" w:styleId="Tekstdymka">
    <w:name w:val="Balloon Text"/>
    <w:basedOn w:val="Normalny"/>
    <w:link w:val="TekstdymkaZnak"/>
    <w:uiPriority w:val="99"/>
    <w:semiHidden/>
    <w:unhideWhenUsed/>
    <w:rsid w:val="001779F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779F8"/>
    <w:rPr>
      <w:rFonts w:ascii="Tahoma" w:hAnsi="Tahoma" w:cs="Tahoma"/>
      <w:sz w:val="16"/>
      <w:szCs w:val="16"/>
    </w:rPr>
  </w:style>
  <w:style w:type="character" w:styleId="Hipercze">
    <w:name w:val="Hyperlink"/>
    <w:basedOn w:val="Domylnaczcionkaakapitu"/>
    <w:uiPriority w:val="99"/>
    <w:unhideWhenUsed/>
    <w:rsid w:val="006E5545"/>
    <w:rPr>
      <w:color w:val="0000FF" w:themeColor="hyperlink"/>
      <w:u w:val="single"/>
    </w:rPr>
  </w:style>
  <w:style w:type="character" w:styleId="UyteHipercze">
    <w:name w:val="FollowedHyperlink"/>
    <w:basedOn w:val="Domylnaczcionkaakapitu"/>
    <w:uiPriority w:val="99"/>
    <w:semiHidden/>
    <w:unhideWhenUsed/>
    <w:rsid w:val="006E55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ja.rcl.gov.pl/projekt/12390106/katalog/13085037#13085037" TargetMode="External"/><Relationship Id="rId13" Type="http://schemas.openxmlformats.org/officeDocument/2006/relationships/hyperlink" Target="https://legislacja.rcl.gov.pl/projekt/12390161/katalog/13085646#13085646" TargetMode="External"/><Relationship Id="rId3" Type="http://schemas.microsoft.com/office/2007/relationships/stylesWithEffects" Target="stylesWithEffects.xml"/><Relationship Id="rId7" Type="http://schemas.openxmlformats.org/officeDocument/2006/relationships/hyperlink" Target="https://legislacja.rcl.gov.pl/projekt/12390002/katalog/13084275#13084275" TargetMode="External"/><Relationship Id="rId12" Type="http://schemas.openxmlformats.org/officeDocument/2006/relationships/hyperlink" Target="https://legislacja.rcl.gov.pl/projekt/12390159/katalog/13085560#130855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egislacja.rcl.gov.pl/projekt/12389700/katalog/13082024#1308202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egislacja.rcl.gov.pl/projekt/12390053/katalog/13084587#13084587" TargetMode="External"/><Relationship Id="rId4" Type="http://schemas.openxmlformats.org/officeDocument/2006/relationships/settings" Target="settings.xml"/><Relationship Id="rId9" Type="http://schemas.openxmlformats.org/officeDocument/2006/relationships/hyperlink" Target="https://legislacja.rcl.gov.pl/projekt/12390164/katalog/13085791#13085791"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21</Pages>
  <Words>10017</Words>
  <Characters>60108</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Związek Pracodawców Polska Miedź</Company>
  <LinksUpToDate>false</LinksUpToDate>
  <CharactersWithSpaces>69986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ZPPM</dc:creator>
  <cp:lastModifiedBy>ZPPM</cp:lastModifiedBy>
  <cp:revision>1</cp:revision>
  <dcterms:created xsi:type="dcterms:W3CDTF">2024-10-10T07:16:00Z</dcterms:created>
  <dcterms:modified xsi:type="dcterms:W3CDTF">2024-10-10T10:22:00Z</dcterms:modified>
</cp:coreProperties>
</file>