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D1" w:rsidRPr="00586923" w:rsidRDefault="007D16D1" w:rsidP="007D16D1">
      <w:pPr>
        <w:rPr>
          <w:rFonts w:ascii="Arial" w:hAnsi="Arial" w:cs="Arial"/>
        </w:rPr>
      </w:pPr>
      <w:r w:rsidRPr="00586923">
        <w:rPr>
          <w:rFonts w:ascii="Arial" w:hAnsi="Arial" w:cs="Arial"/>
          <w:noProof/>
          <w:lang w:eastAsia="pl-PL"/>
        </w:rPr>
        <w:drawing>
          <wp:inline distT="0" distB="0" distL="0" distR="0" wp14:anchorId="0E46E1EA" wp14:editId="505596C3">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7D16D1" w:rsidRDefault="007D16D1" w:rsidP="007D16D1">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rsidR="007D16D1" w:rsidRPr="00586923" w:rsidRDefault="007D16D1" w:rsidP="007D16D1">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7D16D1" w:rsidRPr="00586923" w:rsidRDefault="007D16D1" w:rsidP="007D16D1">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14</w:t>
      </w:r>
      <w:r>
        <w:rPr>
          <w:rFonts w:ascii="Arial" w:hAnsi="Arial" w:cs="Arial"/>
          <w:b/>
        </w:rPr>
        <w:t xml:space="preserve"> </w:t>
      </w:r>
      <w:r w:rsidRPr="00586923">
        <w:rPr>
          <w:rFonts w:ascii="Arial" w:hAnsi="Arial" w:cs="Arial"/>
          <w:b/>
        </w:rPr>
        <w:t xml:space="preserve">do </w:t>
      </w:r>
      <w:r>
        <w:rPr>
          <w:rFonts w:ascii="Arial" w:hAnsi="Arial" w:cs="Arial"/>
          <w:b/>
        </w:rPr>
        <w:t>20</w:t>
      </w:r>
      <w:r>
        <w:rPr>
          <w:rFonts w:ascii="Arial" w:hAnsi="Arial" w:cs="Arial"/>
          <w:b/>
        </w:rPr>
        <w:t xml:space="preserve"> </w:t>
      </w:r>
      <w:r>
        <w:rPr>
          <w:rFonts w:ascii="Arial" w:hAnsi="Arial" w:cs="Arial"/>
          <w:b/>
        </w:rPr>
        <w:t>października</w:t>
      </w:r>
      <w:r w:rsidRPr="00586923">
        <w:rPr>
          <w:rFonts w:ascii="Arial" w:hAnsi="Arial" w:cs="Arial"/>
          <w:b/>
        </w:rPr>
        <w:t xml:space="preserve"> 202</w:t>
      </w:r>
      <w:r>
        <w:rPr>
          <w:rFonts w:ascii="Arial" w:hAnsi="Arial" w:cs="Arial"/>
          <w:b/>
        </w:rPr>
        <w:t>4</w:t>
      </w:r>
      <w:r w:rsidRPr="00586923">
        <w:rPr>
          <w:rFonts w:ascii="Arial" w:hAnsi="Arial" w:cs="Arial"/>
          <w:b/>
        </w:rPr>
        <w:t xml:space="preserve"> roku</w:t>
      </w:r>
    </w:p>
    <w:p w:rsidR="007D16D1" w:rsidRPr="00AC3187" w:rsidRDefault="007D16D1" w:rsidP="007D16D1">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21</w:t>
      </w:r>
      <w:r w:rsidRPr="00AC3187">
        <w:rPr>
          <w:rFonts w:ascii="Arial" w:hAnsi="Arial" w:cs="Arial"/>
        </w:rPr>
        <w:t xml:space="preserve"> </w:t>
      </w:r>
      <w:r>
        <w:rPr>
          <w:rFonts w:ascii="Arial" w:hAnsi="Arial" w:cs="Arial"/>
        </w:rPr>
        <w:t>października</w:t>
      </w:r>
      <w:r w:rsidRPr="00AC3187">
        <w:rPr>
          <w:rFonts w:ascii="Arial" w:hAnsi="Arial" w:cs="Arial"/>
        </w:rPr>
        <w:t xml:space="preserve"> 202</w:t>
      </w:r>
      <w:r>
        <w:rPr>
          <w:rFonts w:ascii="Arial" w:hAnsi="Arial" w:cs="Arial"/>
        </w:rPr>
        <w:t>4</w:t>
      </w:r>
      <w:r w:rsidRPr="00AC3187">
        <w:rPr>
          <w:rFonts w:ascii="Arial" w:hAnsi="Arial" w:cs="Arial"/>
        </w:rPr>
        <w:t xml:space="preserve"> roku</w:t>
      </w:r>
    </w:p>
    <w:p w:rsidR="007D16D1" w:rsidRPr="00586923" w:rsidRDefault="007D16D1" w:rsidP="007D16D1">
      <w:pPr>
        <w:spacing w:after="0" w:line="240" w:lineRule="auto"/>
        <w:jc w:val="both"/>
        <w:rPr>
          <w:rFonts w:ascii="Arial" w:hAnsi="Arial" w:cs="Arial"/>
        </w:rPr>
      </w:pPr>
    </w:p>
    <w:p w:rsidR="007D16D1" w:rsidRPr="00287656" w:rsidRDefault="007D16D1" w:rsidP="007D16D1">
      <w:pPr>
        <w:pStyle w:val="Akapitzlist"/>
        <w:numPr>
          <w:ilvl w:val="0"/>
          <w:numId w:val="1"/>
        </w:numPr>
        <w:spacing w:after="0" w:line="240" w:lineRule="auto"/>
        <w:ind w:left="284" w:hanging="284"/>
        <w:jc w:val="both"/>
        <w:rPr>
          <w:rFonts w:ascii="Arial" w:hAnsi="Arial" w:cs="Arial"/>
          <w:b/>
          <w:u w:val="single"/>
        </w:rPr>
      </w:pPr>
      <w:r w:rsidRPr="00287656">
        <w:rPr>
          <w:rFonts w:ascii="Arial" w:hAnsi="Arial" w:cs="Arial"/>
          <w:b/>
          <w:u w:val="single"/>
        </w:rPr>
        <w:t>Projekty aktów prawnych</w:t>
      </w:r>
    </w:p>
    <w:p w:rsidR="007D16D1" w:rsidRDefault="007D16D1" w:rsidP="007D16D1">
      <w:pPr>
        <w:spacing w:after="0" w:line="240" w:lineRule="auto"/>
        <w:jc w:val="both"/>
        <w:rPr>
          <w:rFonts w:ascii="Arial" w:hAnsi="Arial" w:cs="Arial"/>
        </w:rPr>
      </w:pPr>
    </w:p>
    <w:p w:rsidR="007D16D1" w:rsidRPr="00C70674" w:rsidRDefault="007D16D1" w:rsidP="00D73C62">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8</w:t>
      </w:r>
      <w:r w:rsidRPr="00C70674">
        <w:rPr>
          <w:rFonts w:ascii="Arial" w:eastAsia="Calibri" w:hAnsi="Arial" w:cs="Arial"/>
          <w:bCs/>
        </w:rPr>
        <w:t xml:space="preserve"> projekt</w:t>
      </w:r>
      <w:r>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23</w:t>
      </w:r>
      <w:r w:rsidRPr="00C70674">
        <w:rPr>
          <w:rFonts w:ascii="Arial" w:hAnsi="Arial" w:cs="Arial"/>
        </w:rPr>
        <w:t xml:space="preserve"> projekt</w:t>
      </w:r>
      <w:r>
        <w:rPr>
          <w:rFonts w:ascii="Arial" w:hAnsi="Arial" w:cs="Arial"/>
        </w:rPr>
        <w:t>y</w:t>
      </w:r>
      <w:r w:rsidRPr="00C70674">
        <w:rPr>
          <w:rFonts w:ascii="Arial" w:hAnsi="Arial" w:cs="Arial"/>
        </w:rPr>
        <w:t xml:space="preserve"> rozporządzeń Rady Ministrów, Prezesa Rady Ministrów oraz poszczególnych Ministrów.</w:t>
      </w:r>
    </w:p>
    <w:p w:rsidR="007D16D1" w:rsidRPr="00C70674" w:rsidRDefault="007D16D1" w:rsidP="00D73C62">
      <w:pPr>
        <w:spacing w:after="0"/>
        <w:jc w:val="both"/>
        <w:rPr>
          <w:rFonts w:ascii="Arial" w:hAnsi="Arial" w:cs="Arial"/>
        </w:rPr>
      </w:pPr>
    </w:p>
    <w:p w:rsidR="007D16D1" w:rsidRDefault="007D16D1" w:rsidP="00D73C62">
      <w:pPr>
        <w:spacing w:after="0"/>
        <w:jc w:val="both"/>
        <w:rPr>
          <w:rFonts w:ascii="Arial" w:hAnsi="Arial" w:cs="Arial"/>
        </w:rPr>
      </w:pPr>
      <w:r>
        <w:rPr>
          <w:rFonts w:ascii="Arial" w:hAnsi="Arial" w:cs="Arial"/>
        </w:rPr>
        <w:t xml:space="preserve">Przeprowadzono konsultacje </w:t>
      </w:r>
      <w:r>
        <w:rPr>
          <w:rFonts w:ascii="Arial" w:hAnsi="Arial" w:cs="Arial"/>
        </w:rPr>
        <w:t>3 projektów ustaw</w:t>
      </w:r>
      <w:r>
        <w:rPr>
          <w:rFonts w:ascii="Arial" w:hAnsi="Arial" w:cs="Arial"/>
        </w:rPr>
        <w:t xml:space="preserve"> i </w:t>
      </w:r>
      <w:r>
        <w:rPr>
          <w:rFonts w:ascii="Arial" w:hAnsi="Arial" w:cs="Arial"/>
        </w:rPr>
        <w:t>3</w:t>
      </w:r>
      <w:r>
        <w:rPr>
          <w:rFonts w:ascii="Arial" w:hAnsi="Arial" w:cs="Arial"/>
        </w:rPr>
        <w:t xml:space="preserve"> projektów rozporządzeń dotyczących podmiotów członkowskich (pracodawcy, przedsiębiorcy, JST) zrzeszonych w Związku. </w:t>
      </w:r>
    </w:p>
    <w:p w:rsidR="007D16D1" w:rsidRDefault="007D16D1" w:rsidP="00D73C62">
      <w:pPr>
        <w:spacing w:after="0"/>
        <w:jc w:val="both"/>
        <w:rPr>
          <w:rFonts w:ascii="Arial" w:hAnsi="Arial" w:cs="Arial"/>
        </w:rPr>
      </w:pPr>
      <w:r>
        <w:rPr>
          <w:rFonts w:ascii="Arial" w:hAnsi="Arial" w:cs="Arial"/>
        </w:rPr>
        <w:t>Do konsultacji przekazane zostały następujące projekty:</w:t>
      </w:r>
    </w:p>
    <w:p w:rsidR="007D16D1" w:rsidRDefault="007D16D1" w:rsidP="00D73C62">
      <w:pPr>
        <w:spacing w:after="0"/>
        <w:jc w:val="both"/>
        <w:rPr>
          <w:rFonts w:ascii="Arial" w:hAnsi="Arial" w:cs="Arial"/>
        </w:rPr>
      </w:pPr>
    </w:p>
    <w:p w:rsidR="007D16D1" w:rsidRDefault="007D16D1" w:rsidP="00D73C62">
      <w:pPr>
        <w:spacing w:after="0"/>
        <w:jc w:val="both"/>
        <w:rPr>
          <w:rFonts w:ascii="Arial" w:hAnsi="Arial" w:cs="Arial"/>
        </w:rPr>
      </w:pPr>
      <w:r>
        <w:rPr>
          <w:rFonts w:ascii="Arial" w:hAnsi="Arial" w:cs="Arial"/>
        </w:rPr>
        <w:t>Projekty ustaw:</w:t>
      </w:r>
    </w:p>
    <w:p w:rsidR="007D16D1" w:rsidRDefault="007D16D1" w:rsidP="00D73C62">
      <w:pPr>
        <w:spacing w:after="0"/>
        <w:jc w:val="both"/>
        <w:rPr>
          <w:rFonts w:ascii="Arial" w:hAnsi="Arial" w:cs="Arial"/>
        </w:rPr>
      </w:pPr>
    </w:p>
    <w:p w:rsidR="007D16D1" w:rsidRPr="007D16D1" w:rsidRDefault="007D16D1" w:rsidP="00D73C62">
      <w:pPr>
        <w:pStyle w:val="Akapitzlist"/>
        <w:numPr>
          <w:ilvl w:val="0"/>
          <w:numId w:val="3"/>
        </w:numPr>
        <w:spacing w:after="0"/>
        <w:jc w:val="both"/>
        <w:rPr>
          <w:rFonts w:ascii="Arial" w:hAnsi="Arial" w:cs="Arial"/>
          <w:b/>
          <w:u w:val="single"/>
        </w:rPr>
      </w:pPr>
      <w:r w:rsidRPr="007D16D1">
        <w:rPr>
          <w:rFonts w:ascii="Arial" w:hAnsi="Arial" w:cs="Arial"/>
          <w:b/>
          <w:u w:val="single"/>
        </w:rPr>
        <w:t>projekt ustawy o zmianie ustawy o szczególnych rozwiązaniach związanych z usuwaniem skutków powodzi oraz niektórych innych ustaw</w:t>
      </w:r>
      <w:r w:rsidRPr="007D16D1">
        <w:rPr>
          <w:rFonts w:ascii="Arial" w:hAnsi="Arial" w:cs="Arial"/>
          <w:b/>
          <w:u w:val="single"/>
        </w:rPr>
        <w:t xml:space="preserve"> </w:t>
      </w:r>
      <w:r>
        <w:rPr>
          <w:rFonts w:ascii="Arial" w:hAnsi="Arial" w:cs="Arial"/>
          <w:b/>
          <w:u w:val="single"/>
        </w:rPr>
        <w:t>(numer z wykazu (UD149).</w:t>
      </w:r>
    </w:p>
    <w:p w:rsidR="007D16D1" w:rsidRDefault="007D16D1" w:rsidP="00D73C62">
      <w:pPr>
        <w:spacing w:after="0"/>
        <w:jc w:val="both"/>
        <w:rPr>
          <w:rFonts w:ascii="Arial" w:hAnsi="Arial" w:cs="Arial"/>
        </w:rPr>
      </w:pPr>
    </w:p>
    <w:p w:rsidR="00D73C62" w:rsidRPr="00D73C62" w:rsidRDefault="00D73C62" w:rsidP="00D73C62">
      <w:pPr>
        <w:spacing w:after="0"/>
        <w:jc w:val="both"/>
        <w:rPr>
          <w:rFonts w:ascii="Arial" w:hAnsi="Arial" w:cs="Arial"/>
        </w:rPr>
      </w:pPr>
      <w:r w:rsidRPr="00D73C62">
        <w:rPr>
          <w:rFonts w:ascii="Arial" w:hAnsi="Arial" w:cs="Arial"/>
        </w:rPr>
        <w:t>I. Ochrona zdrowia</w:t>
      </w:r>
    </w:p>
    <w:p w:rsidR="00D73C62" w:rsidRPr="00D73C62" w:rsidRDefault="00D73C62" w:rsidP="00D73C62">
      <w:pPr>
        <w:spacing w:after="0"/>
        <w:jc w:val="both"/>
        <w:rPr>
          <w:rFonts w:ascii="Arial" w:hAnsi="Arial" w:cs="Arial"/>
        </w:rPr>
      </w:pPr>
      <w:r w:rsidRPr="00D73C62">
        <w:rPr>
          <w:rFonts w:ascii="Arial" w:hAnsi="Arial" w:cs="Arial"/>
        </w:rPr>
        <w:t>1.</w:t>
      </w:r>
      <w:r w:rsidRPr="00D73C62">
        <w:rPr>
          <w:rFonts w:ascii="Arial" w:hAnsi="Arial" w:cs="Arial"/>
        </w:rPr>
        <w:tab/>
        <w:t>dodanie przepisu, zgodnie z którym w przypadku będącej skutkiem powodzi przerwy w udzielaniu świadczeń opieki zdrowotnej, do której doszło na terenie określonym w przepisach wydanych na podstawie art. 1 ust. 2 zmienianej ustawy, w okresie wskazanym w tych przepisach, art. 136c ust. 4 ustawy z dnia 27 sierpnia 2004 r. o świadczeniach opieki zdrowotnej finansowanych ze środków publicznych nie stosuje się;</w:t>
      </w:r>
    </w:p>
    <w:p w:rsidR="00D73C62" w:rsidRPr="00D73C62" w:rsidRDefault="00D73C62" w:rsidP="00D73C62">
      <w:pPr>
        <w:spacing w:after="0"/>
        <w:jc w:val="both"/>
        <w:rPr>
          <w:rFonts w:ascii="Arial" w:hAnsi="Arial" w:cs="Arial"/>
        </w:rPr>
      </w:pPr>
      <w:r w:rsidRPr="00D73C62">
        <w:rPr>
          <w:rFonts w:ascii="Arial" w:hAnsi="Arial" w:cs="Arial"/>
        </w:rPr>
        <w:t>2.</w:t>
      </w:r>
      <w:r w:rsidRPr="00D73C62">
        <w:rPr>
          <w:rFonts w:ascii="Arial" w:hAnsi="Arial" w:cs="Arial"/>
        </w:rPr>
        <w:tab/>
        <w:t>dodanie przepisu, zgodnie z którym w przypadku będącego następstwem powodzi, przeniesienia pacjenta do objęcia opieką przez innego świadczeniodawcę realizującego umowę z Narodowym Funduszem Zdrowia, przepisów ustawy z dnia 27 sierpnia 2004 r.  o świadczeniach opieki zdrowotnej i przepisów wydanych na podstawie tej ustawy dotyczących skierowań oraz list oczekujących nie stosuje się;</w:t>
      </w:r>
    </w:p>
    <w:p w:rsidR="00D73C62" w:rsidRPr="00D73C62" w:rsidRDefault="00D73C62" w:rsidP="00D73C62">
      <w:pPr>
        <w:spacing w:after="0"/>
        <w:jc w:val="both"/>
        <w:rPr>
          <w:rFonts w:ascii="Arial" w:hAnsi="Arial" w:cs="Arial"/>
        </w:rPr>
      </w:pPr>
      <w:r w:rsidRPr="00D73C62">
        <w:rPr>
          <w:rFonts w:ascii="Arial" w:hAnsi="Arial" w:cs="Arial"/>
        </w:rPr>
        <w:t>3.</w:t>
      </w:r>
      <w:r w:rsidRPr="00D73C62">
        <w:rPr>
          <w:rFonts w:ascii="Arial" w:hAnsi="Arial" w:cs="Arial"/>
        </w:rPr>
        <w:tab/>
        <w:t>zmiana art. 40i ust. 1 ma na celu wskazanie, że możliwość niestosowania tzw. wymagań fachowych i sanitarnych określonych w art. 22 ustawy z dnia 15 kwietnia 2011 r. o działalności leczniczej przez podmioty wykonujące działalność leczniczą nie tylko dotyczy okresu wskazanego w przepisach wydanych na podstawie art. 1 ust. 2 zmienianej ustawy, ale także terenu określonego w tych przepisach;</w:t>
      </w:r>
    </w:p>
    <w:p w:rsidR="00D73C62" w:rsidRPr="00D73C62" w:rsidRDefault="00D73C62" w:rsidP="00D73C62">
      <w:pPr>
        <w:spacing w:after="0"/>
        <w:jc w:val="both"/>
        <w:rPr>
          <w:rFonts w:ascii="Arial" w:hAnsi="Arial" w:cs="Arial"/>
        </w:rPr>
      </w:pPr>
      <w:r w:rsidRPr="00D73C62">
        <w:rPr>
          <w:rFonts w:ascii="Arial" w:hAnsi="Arial" w:cs="Arial"/>
        </w:rPr>
        <w:t>4.</w:t>
      </w:r>
      <w:r w:rsidRPr="00D73C62">
        <w:rPr>
          <w:rFonts w:ascii="Arial" w:hAnsi="Arial" w:cs="Arial"/>
        </w:rPr>
        <w:tab/>
        <w:t>zmiana art. 40i ust. 3 ma na celu doprecyzowanie sytuacji, w których apteki ogólnodostępne będą mogły skorzystać ze zwolnienia z niektórych wymagań przewidzianych przepisami Prawa farmaceutycznego dla tych aptek w normalnych warunkach ich funkcjonowania, w szczególności w zakresie wymagań odnoszących się do lokali tych aptek.</w:t>
      </w:r>
    </w:p>
    <w:p w:rsidR="00D73C62" w:rsidRPr="00D73C62" w:rsidRDefault="00D73C62" w:rsidP="00D73C62">
      <w:pPr>
        <w:spacing w:after="0"/>
        <w:jc w:val="both"/>
        <w:rPr>
          <w:rFonts w:ascii="Arial" w:hAnsi="Arial" w:cs="Arial"/>
        </w:rPr>
      </w:pPr>
      <w:r w:rsidRPr="00D73C62">
        <w:rPr>
          <w:rFonts w:ascii="Arial" w:hAnsi="Arial" w:cs="Arial"/>
        </w:rPr>
        <w:lastRenderedPageBreak/>
        <w:t>5.</w:t>
      </w:r>
      <w:r w:rsidRPr="00D73C62">
        <w:rPr>
          <w:rFonts w:ascii="Arial" w:hAnsi="Arial" w:cs="Arial"/>
        </w:rPr>
        <w:tab/>
        <w:t>zmiana przepisu art. 40j ma na celu wyłączenie warunku uzyskania opinii o celowości inwestycji w stosunku do inwestycji, w tym remontu, finansowanego ze środków innych niż dotacja celowa. Przyspieszy to proces inwestycyjny na terenach objętych powodzią w stosunku do podmiotów wykonujących działalność leczniczą (w tym zakresie wystarczająca będzie opinia wojewody, który zna sytuację na swoim terenie);</w:t>
      </w:r>
    </w:p>
    <w:p w:rsidR="00D73C62" w:rsidRPr="00D73C62" w:rsidRDefault="00D73C62" w:rsidP="00D73C62">
      <w:pPr>
        <w:spacing w:after="0"/>
        <w:jc w:val="both"/>
        <w:rPr>
          <w:rFonts w:ascii="Arial" w:hAnsi="Arial" w:cs="Arial"/>
        </w:rPr>
      </w:pPr>
      <w:r w:rsidRPr="00D73C62">
        <w:rPr>
          <w:rFonts w:ascii="Arial" w:hAnsi="Arial" w:cs="Arial"/>
        </w:rPr>
        <w:t>6.</w:t>
      </w:r>
      <w:r w:rsidRPr="00D73C62">
        <w:rPr>
          <w:rFonts w:ascii="Arial" w:hAnsi="Arial" w:cs="Arial"/>
        </w:rPr>
        <w:tab/>
        <w:t>dodanie do ustawy projektowanego przepisu art. 40q ust. 5 pozwoli na przyspieszenie procedury ewentualnego finansowania zadań, o których mowa w art. 40a–40g, art. 40j–40m oraz art. 40p tej ustawy. Zgodnie bowiem z obowiązującym przepisem art. 29 ustawy z dnia 27 sierpnia 2009 r. o finansach publicznych zmiany planu państwowego funduszu celowego jakim jest Fundusz Medyczny wymagają zgody Ministra Finansów oraz opinii Komisji Finansów Publicznych. Mając zatem na uwadze, iż ewentualne zmiany planu finansowego Funduszu Medycznego, o których mowa w ww. przepisie, będą konsekwencją uchwały Rady Ministrów (a zatem będą powszechnie znane, w tym Ministrowi Finansów), i swym zakresem będą dotyczyć umożliwienia finansowania m.in. świadczeń opieki zdrowotnej,  jest zasadnym aby możliwie skrócić czas niezbędny do dokonania zmian planu Funduszu Medycznego umożliwiających przekazanie środków na ten cel do Narodowego Funduszu Zdrowia i w konsekwencji tego ich dalszą redystrybucję do podmiotów, o których mowa w ww. przepisach.</w:t>
      </w:r>
    </w:p>
    <w:p w:rsidR="00D73C62" w:rsidRPr="00D73C62" w:rsidRDefault="00D73C62" w:rsidP="00D73C62">
      <w:pPr>
        <w:spacing w:after="0"/>
        <w:jc w:val="both"/>
        <w:rPr>
          <w:rFonts w:ascii="Arial" w:hAnsi="Arial" w:cs="Arial"/>
        </w:rPr>
      </w:pPr>
      <w:r w:rsidRPr="00D73C62">
        <w:rPr>
          <w:rFonts w:ascii="Arial" w:hAnsi="Arial" w:cs="Arial"/>
        </w:rPr>
        <w:t>7.</w:t>
      </w:r>
      <w:r w:rsidRPr="00D73C62">
        <w:rPr>
          <w:rFonts w:ascii="Arial" w:hAnsi="Arial" w:cs="Arial"/>
        </w:rPr>
        <w:tab/>
        <w:t>dodanie do ustawy projektowanego przepisu art. 40cc, zgodnie z którym gmina poszkodowana w wyniku wystąpienia powodzi, wskazana w przepisach wydanych na podstawie art. 1 ust. 2, albo gmina z nią sąsiadująca, może przeznaczyć dochody, o których mowa w art. 93 ust. 3 pkt 1, art. 111, art. 18 lub art. 181 ustawy z dnia 26 października 1982 r. o wychowaniu w trzeźwości i przeciwdziałaniu alkoholizmowi, w okresie wskazanym w przepisach wydanych na podstawie art. 1 ust. 2, na zadania związane z przeciwdziałaniem skutkom powodzi negatywnie wpływającym na realizację gminnych programów profilaktyki i rozwiązywania problemów alkoholowych oraz przeciwdziałania narkomanii, o których mowa w art. 41 ust. 2 tej ustawy, w szczególności w placówkach wsparcia dziennego, o których mowa w art. 9 pkt 2 ustawy z dnia 9 czerwca 2011 r. o wspieraniu rodziny i systemie pieczy zastępczej, i w specjalistycznych ośrodkach wsparcia dla osób doznających przemocy domowej.</w:t>
      </w:r>
    </w:p>
    <w:p w:rsidR="00D73C62" w:rsidRPr="00D73C62" w:rsidRDefault="00D73C62" w:rsidP="00D73C62">
      <w:pPr>
        <w:spacing w:after="0"/>
        <w:jc w:val="both"/>
        <w:rPr>
          <w:rFonts w:ascii="Arial" w:hAnsi="Arial" w:cs="Arial"/>
        </w:rPr>
      </w:pPr>
      <w:r w:rsidRPr="00D73C62">
        <w:rPr>
          <w:rFonts w:ascii="Arial" w:hAnsi="Arial" w:cs="Arial"/>
        </w:rPr>
        <w:t>II. Szkolnictwo wyższe</w:t>
      </w:r>
    </w:p>
    <w:p w:rsidR="00D73C62" w:rsidRPr="00D73C62" w:rsidRDefault="00D73C62" w:rsidP="00D73C62">
      <w:pPr>
        <w:spacing w:after="0"/>
        <w:jc w:val="both"/>
        <w:rPr>
          <w:rFonts w:ascii="Arial" w:hAnsi="Arial" w:cs="Arial"/>
        </w:rPr>
      </w:pPr>
      <w:r w:rsidRPr="00D73C62">
        <w:rPr>
          <w:rFonts w:ascii="Arial" w:hAnsi="Arial" w:cs="Arial"/>
        </w:rPr>
        <w:t>1.</w:t>
      </w:r>
      <w:r w:rsidRPr="00D73C62">
        <w:rPr>
          <w:rFonts w:ascii="Arial" w:hAnsi="Arial" w:cs="Arial"/>
        </w:rPr>
        <w:tab/>
        <w:t>Rekomendowanym rozwiązaniem jest wprowadzenie do porządku prawnego przepisu epizodycznego pozwalającego na przyznanie uczelniom niepublicznym przez ministra właściwego ds. szkolnictwa wyższego i nauki środków finansowych w formie dotacji celowej (na wniosek zainteresowanego podmiotu) z przeznaczeniem na działania remontowe służące przywróceniu budynków i budowli do stanu sprzed wystąpienia zdarzenia.</w:t>
      </w:r>
    </w:p>
    <w:p w:rsidR="00D73C62" w:rsidRPr="00D73C62" w:rsidRDefault="00D73C62" w:rsidP="00D73C62">
      <w:pPr>
        <w:spacing w:after="0"/>
        <w:jc w:val="both"/>
        <w:rPr>
          <w:rFonts w:ascii="Arial" w:hAnsi="Arial" w:cs="Arial"/>
        </w:rPr>
      </w:pPr>
      <w:r w:rsidRPr="00D73C62">
        <w:rPr>
          <w:rFonts w:ascii="Arial" w:hAnsi="Arial" w:cs="Arial"/>
        </w:rPr>
        <w:t>2.</w:t>
      </w:r>
      <w:r w:rsidRPr="00D73C62">
        <w:rPr>
          <w:rFonts w:ascii="Arial" w:hAnsi="Arial" w:cs="Arial"/>
        </w:rPr>
        <w:tab/>
        <w:t>Proponuje się zniesienie na okres roku akademickiego 2024/2025 ustawowego limitu ograniczającego możliwość przyznania studentom, którzy znaleźli się przejściowo w trudnej sytuacji życiowej wskutek powodzi, zapomóg, do dwóch zapomóg w roku akademickim. Rozwiązanie to pozwoli na udzielenie studentom finansowego wsparcia procesu kształcenia, adekwatnego do potrzeb w warunkach klęski żywiołowej. Wysokość zapomogi, szczegółowe kryteria i tryb jej przyznawania i wypłacania oraz sposób dokumentowania sytuacji materialnej studenta są określone w regulaminie świadczeń dla studentów ustalonym w uczelni na podstawie art. 95 ustawy z dnia 20 lipca 2018 r. – Prawo o szkolnictwie wyższym i nauce.</w:t>
      </w:r>
    </w:p>
    <w:p w:rsidR="00D73C62" w:rsidRPr="00D73C62" w:rsidRDefault="00D73C62" w:rsidP="00D73C62">
      <w:pPr>
        <w:spacing w:after="0"/>
        <w:jc w:val="both"/>
        <w:rPr>
          <w:rFonts w:ascii="Arial" w:hAnsi="Arial" w:cs="Arial"/>
        </w:rPr>
      </w:pPr>
      <w:r w:rsidRPr="00D73C62">
        <w:rPr>
          <w:rFonts w:ascii="Arial" w:hAnsi="Arial" w:cs="Arial"/>
        </w:rPr>
        <w:t>III. Programy pomocowe dla przedsiębiorców</w:t>
      </w:r>
    </w:p>
    <w:p w:rsidR="00D73C62" w:rsidRPr="00D73C62" w:rsidRDefault="00D73C62" w:rsidP="00D73C62">
      <w:pPr>
        <w:spacing w:after="0"/>
        <w:jc w:val="both"/>
        <w:rPr>
          <w:rFonts w:ascii="Arial" w:hAnsi="Arial" w:cs="Arial"/>
        </w:rPr>
      </w:pPr>
      <w:r w:rsidRPr="00D73C62">
        <w:rPr>
          <w:rFonts w:ascii="Arial" w:hAnsi="Arial" w:cs="Arial"/>
        </w:rPr>
        <w:t xml:space="preserve">Wprowadzenie delegacji dla ministra właściwego ds. rozwoju regionalnego dla wydawania programów pomocowych, na podstawie których możliwe będzie kierowanie pomocy </w:t>
      </w:r>
      <w:r w:rsidRPr="00D73C62">
        <w:rPr>
          <w:rFonts w:ascii="Arial" w:hAnsi="Arial" w:cs="Arial"/>
        </w:rPr>
        <w:lastRenderedPageBreak/>
        <w:t>publicznej do przedsiębiorców poszkodowanych wskutek powodzi. Wsparcie będzie udzielane ze środków pozostających w dyspozycji ministra właściwego do spraw rozwoju regionalnego (środki zwrotne pochodzące z programów krajowych) oraz zarządów województw (środku zwrotne pochodzące z programów regionalnych).</w:t>
      </w:r>
    </w:p>
    <w:p w:rsidR="00D73C62" w:rsidRPr="00D73C62" w:rsidRDefault="00D73C62" w:rsidP="00D73C62">
      <w:pPr>
        <w:spacing w:after="0"/>
        <w:jc w:val="both"/>
        <w:rPr>
          <w:rFonts w:ascii="Arial" w:hAnsi="Arial" w:cs="Arial"/>
        </w:rPr>
      </w:pPr>
      <w:r w:rsidRPr="00D73C62">
        <w:rPr>
          <w:rFonts w:ascii="Arial" w:hAnsi="Arial" w:cs="Arial"/>
        </w:rPr>
        <w:t>Dodawany w ustawie z dnia 6 grudnia 2006 r. o zasadach prowadzenia polityki rozwoju przepis epizodyczny umożliwi dokonywanie zmiany programu, służącej przeciwdziałaniu skutkom powodzi, w uproszczonej procedurze.</w:t>
      </w:r>
    </w:p>
    <w:p w:rsidR="00D73C62" w:rsidRPr="00D73C62" w:rsidRDefault="00D73C62" w:rsidP="00D73C62">
      <w:pPr>
        <w:spacing w:after="0"/>
        <w:jc w:val="both"/>
        <w:rPr>
          <w:rFonts w:ascii="Arial" w:hAnsi="Arial" w:cs="Arial"/>
        </w:rPr>
      </w:pPr>
      <w:r w:rsidRPr="00D73C62">
        <w:rPr>
          <w:rFonts w:ascii="Arial" w:hAnsi="Arial" w:cs="Arial"/>
        </w:rPr>
        <w:t>Przepis epizodyczny dodawany w ustawie z dnia 28 kwietnia 2022 r. o zasadach realizacji zadań finansowanych ze środków europejskich w perspektywie finansowej 2021–2027, umożliwi wybieranie projektów w trybie niekonkurencyjnym, w celu przeciwdziałania skutkom powodzi.</w:t>
      </w:r>
    </w:p>
    <w:p w:rsidR="00D73C62" w:rsidRPr="00D73C62" w:rsidRDefault="00D73C62" w:rsidP="00D73C62">
      <w:pPr>
        <w:spacing w:after="0"/>
        <w:jc w:val="both"/>
        <w:rPr>
          <w:rFonts w:ascii="Arial" w:hAnsi="Arial" w:cs="Arial"/>
        </w:rPr>
      </w:pPr>
      <w:r w:rsidRPr="00D73C62">
        <w:rPr>
          <w:rFonts w:ascii="Arial" w:hAnsi="Arial" w:cs="Arial"/>
        </w:rPr>
        <w:t xml:space="preserve">Uwzględniając horyzont czasowy dla wdrażania działań, z którymi wiąże się udzielanie pomocy publicznej lub pomocy de </w:t>
      </w:r>
      <w:proofErr w:type="spellStart"/>
      <w:r w:rsidRPr="00D73C62">
        <w:rPr>
          <w:rFonts w:ascii="Arial" w:hAnsi="Arial" w:cs="Arial"/>
        </w:rPr>
        <w:t>minimis</w:t>
      </w:r>
      <w:proofErr w:type="spellEnd"/>
      <w:r w:rsidRPr="00D73C62">
        <w:rPr>
          <w:rFonts w:ascii="Arial" w:hAnsi="Arial" w:cs="Arial"/>
        </w:rPr>
        <w:t xml:space="preserve"> w zakresie środków, o których mowa w art. 3b ustawy z dnia 6 grudnia 2006 r. o zasadach prowadzenia polityki rozwoju, tj. środków pochodzących z instrumentów wsparcia zwrotnego z programów polityki spójności 2007–2013, 2014–2020 oraz 2021–2027, proponuje się, aby przepisy wykonawcze, stanowiące programy pomocowe, wydawane na podstawie projektowanego art. 3c w powyższej ustawie, były stosowane do dnia 31 grudnia 2026 r.</w:t>
      </w:r>
    </w:p>
    <w:p w:rsidR="00D73C62" w:rsidRPr="00D73C62" w:rsidRDefault="00D73C62" w:rsidP="00D73C62">
      <w:pPr>
        <w:spacing w:after="0"/>
        <w:jc w:val="both"/>
        <w:rPr>
          <w:rFonts w:ascii="Arial" w:hAnsi="Arial" w:cs="Arial"/>
        </w:rPr>
      </w:pPr>
      <w:r w:rsidRPr="00D73C62">
        <w:rPr>
          <w:rFonts w:ascii="Arial" w:hAnsi="Arial" w:cs="Arial"/>
        </w:rPr>
        <w:t>IV. Systemy informacyjne jednostek publicznych</w:t>
      </w:r>
    </w:p>
    <w:p w:rsidR="00D73C62" w:rsidRPr="00D73C62" w:rsidRDefault="00D73C62" w:rsidP="00D73C62">
      <w:pPr>
        <w:spacing w:after="0"/>
        <w:jc w:val="both"/>
        <w:rPr>
          <w:rFonts w:ascii="Arial" w:hAnsi="Arial" w:cs="Arial"/>
        </w:rPr>
      </w:pPr>
      <w:r w:rsidRPr="00D73C62">
        <w:rPr>
          <w:rFonts w:ascii="Arial" w:hAnsi="Arial" w:cs="Arial"/>
        </w:rPr>
        <w:t xml:space="preserve">Utworzony zostanie Fundusz Odbudowy Systemów Informacyjnych, z którego będzie udzielane wsparcie na odbudowę systemów informacyjnych w rozumieniu ustawy z dnia 5 lipca 2018 r. o krajowym systemie </w:t>
      </w:r>
      <w:proofErr w:type="spellStart"/>
      <w:r w:rsidRPr="00D73C62">
        <w:rPr>
          <w:rFonts w:ascii="Arial" w:hAnsi="Arial" w:cs="Arial"/>
        </w:rPr>
        <w:t>cyberbezpieczeństwa</w:t>
      </w:r>
      <w:proofErr w:type="spellEnd"/>
      <w:r w:rsidRPr="00D73C62">
        <w:rPr>
          <w:rFonts w:ascii="Arial" w:hAnsi="Arial" w:cs="Arial"/>
        </w:rPr>
        <w:t>, zniszczonych lub uszkodzonych na skutek powodzi. Ze środków Funduszu beneficjenci (jednostki samorządu terytorialnego, samodzielne publiczne zakłady opieki zdrowotnej, organy rządowej administracji zespolonej w województwie, organy niezespolonej administracji rządowej) będą mogli także refinansować już poniesione wydatki. Pozwoli to na szybką odbudowę systemów informacyjnych i przywrócenie świadczenia usług.</w:t>
      </w:r>
    </w:p>
    <w:p w:rsidR="00D73C62" w:rsidRPr="00D73C62" w:rsidRDefault="00D73C62" w:rsidP="00D73C62">
      <w:pPr>
        <w:spacing w:after="0"/>
        <w:jc w:val="both"/>
        <w:rPr>
          <w:rFonts w:ascii="Arial" w:hAnsi="Arial" w:cs="Arial"/>
        </w:rPr>
      </w:pPr>
      <w:r w:rsidRPr="00D73C62">
        <w:rPr>
          <w:rFonts w:ascii="Arial" w:hAnsi="Arial" w:cs="Arial"/>
        </w:rPr>
        <w:t>V.  Infrastruktura telekomunikacyjna</w:t>
      </w:r>
    </w:p>
    <w:p w:rsidR="00D73C62" w:rsidRPr="00D73C62" w:rsidRDefault="00D73C62" w:rsidP="00D73C62">
      <w:pPr>
        <w:spacing w:after="0"/>
        <w:jc w:val="both"/>
        <w:rPr>
          <w:rFonts w:ascii="Arial" w:hAnsi="Arial" w:cs="Arial"/>
        </w:rPr>
      </w:pPr>
      <w:r w:rsidRPr="00D73C62">
        <w:rPr>
          <w:rFonts w:ascii="Arial" w:hAnsi="Arial" w:cs="Arial"/>
        </w:rPr>
        <w:t>Projektowany art. 39e ustawy z dnia 16 września 2011 r. o szczególnych rozwiązaniach związanych z usuwaniem skutków powodzi dotyczy terminu realizacji obowiązku przeprowadzenia okresowej kontroli, o której mowa w art. 62 ust. 1 pkt 1 i 2 ustawy z dnia 7 lipca 1994 r. – Prawo budowlane, dotyczącej infrastruktury telekomunikacyjnej, w przypadku gdy przypada on na dzień w okresie obowiązywania stanu klęski żywiołowej i obszarze, na którym wprowadzono  ten stan, lub w okresie 90 dni po zniesieniu tego stanu - wówczas termin ten ulegnie przedłużeniu o jeden rok. Zmiana ma na celu odciążenie osób zaangażowanych w przeprowadzanie kontroli w sytuacji, gdy z uwagi na stan klęski żywiołowej istnieją inne pilne zadania. W niektórych przypadkach zapewni to tym osobom również bezpieczeństwo, gdyby kontrola obiektu budowlanego musiała odbyć się podczas trwającego wysokiego poziomu wody powodziowej. Odsunięcie kontroli o rok może wydawać się terminem zbyt odległym, jednak intencją projektodawcy jest, by zachowane zostały miesiące (pory roku), w których kontrole miały się odbyć pierwotnie. Niewskazana byłaby sytuacja, w której kontrola pierwotnie zaplanowana np. w miesiącach letnich zostałaby przesunięta na okres zimowy, kiedy jej przeprowadzenie, z uwagi na warunki atmosferyczne, jest utrudnione i bardziej niebezpieczne.</w:t>
      </w:r>
    </w:p>
    <w:p w:rsidR="00D73C62" w:rsidRPr="00D73C62" w:rsidRDefault="00D73C62" w:rsidP="00D73C62">
      <w:pPr>
        <w:spacing w:after="0"/>
        <w:jc w:val="both"/>
        <w:rPr>
          <w:rFonts w:ascii="Arial" w:hAnsi="Arial" w:cs="Arial"/>
        </w:rPr>
      </w:pPr>
      <w:r w:rsidRPr="00D73C62">
        <w:rPr>
          <w:rFonts w:ascii="Arial" w:hAnsi="Arial" w:cs="Arial"/>
        </w:rPr>
        <w:t>VI. Kultura i dziedzictwo narodowe</w:t>
      </w:r>
    </w:p>
    <w:p w:rsidR="00D73C62" w:rsidRPr="00D73C62" w:rsidRDefault="00D73C62" w:rsidP="00D73C62">
      <w:pPr>
        <w:spacing w:after="0"/>
        <w:jc w:val="both"/>
        <w:rPr>
          <w:rFonts w:ascii="Arial" w:hAnsi="Arial" w:cs="Arial"/>
        </w:rPr>
      </w:pPr>
      <w:r w:rsidRPr="00D73C62">
        <w:rPr>
          <w:rFonts w:ascii="Arial" w:hAnsi="Arial" w:cs="Arial"/>
        </w:rPr>
        <w:t xml:space="preserve">Celem projektu jest wprowadzenie okresowych regulacji pozwalających przyspieszyć proces oceniania szkód w zasobie zabytkowym wpisanym do rejestru, jak i proces usuwania tych szkód i ich skutków. W tym celu proponuje się wprowadzenie przepisów, które czasowo </w:t>
      </w:r>
      <w:r w:rsidRPr="00D73C62">
        <w:rPr>
          <w:rFonts w:ascii="Arial" w:hAnsi="Arial" w:cs="Arial"/>
        </w:rPr>
        <w:lastRenderedPageBreak/>
        <w:t>usprawnią powyższe działania i wpłyną na skrócenie czasu do podjęcia prac budowlanych i konserwatorskich przy wpisanych do rejestru zabytków obiektach, zespołach i obszarach, które zostały dotknięte skutkami powodzi.</w:t>
      </w:r>
    </w:p>
    <w:p w:rsidR="00D73C62" w:rsidRPr="00D73C62" w:rsidRDefault="00D73C62" w:rsidP="00D73C62">
      <w:pPr>
        <w:spacing w:after="0"/>
        <w:jc w:val="both"/>
        <w:rPr>
          <w:rFonts w:ascii="Arial" w:hAnsi="Arial" w:cs="Arial"/>
        </w:rPr>
      </w:pPr>
      <w:r w:rsidRPr="00D73C62">
        <w:rPr>
          <w:rFonts w:ascii="Arial" w:hAnsi="Arial" w:cs="Arial"/>
        </w:rPr>
        <w:t>Dla usprawnienia procesu szacowania szkód i potrzeb związanych z naprawą projekt wprowadza:</w:t>
      </w:r>
    </w:p>
    <w:p w:rsidR="00D73C62" w:rsidRPr="00D73C62" w:rsidRDefault="00D73C62" w:rsidP="00D73C62">
      <w:pPr>
        <w:spacing w:after="0"/>
        <w:jc w:val="both"/>
        <w:rPr>
          <w:rFonts w:ascii="Arial" w:hAnsi="Arial" w:cs="Arial"/>
        </w:rPr>
      </w:pPr>
      <w:r w:rsidRPr="00D73C62">
        <w:rPr>
          <w:rFonts w:ascii="Arial" w:hAnsi="Arial" w:cs="Arial"/>
        </w:rPr>
        <w:t>1.</w:t>
      </w:r>
      <w:r w:rsidRPr="00D73C62">
        <w:rPr>
          <w:rFonts w:ascii="Arial" w:hAnsi="Arial" w:cs="Arial"/>
        </w:rPr>
        <w:tab/>
        <w:t>Przepis umożliwiający wojewódzkim konserwatorom zabytków skupienie się na wpisanych do rejestru zabytków obiektach, zespołach i obszarach, które zostały dotknięte skutkami powodzi, przedłużający terminy ważności pozwoleń konserwatorskich, określonych w art. 36 ust. 1 ustawy z dnia 23 lipca 2003 r. o ochronie zabytków i opiece nad zabytkami, na całym obszarze województw, w których znajdują się gminy dotknięte skutkami aktualnej powodzi. Przedłużenie terminu ważności dotyczy tych obiektów, zespołów i obszarów wpisanych do rejestru zabytków, które tymi skutkami nie zostały dotknięte. Regulacja odciąży wojewódzkich konserwatorów zabytków od postępowań w sprawie przedłużeń terminów ważności ich pozwoleń i umożliwi służbom konserwatorskim szybsze wykonanie pilniejszych zadań związanych z zabytkami, które doznały uszkodzeń lub zniszczeń w związku z powodzią.</w:t>
      </w:r>
    </w:p>
    <w:p w:rsidR="00D73C62" w:rsidRPr="00D73C62" w:rsidRDefault="00D73C62" w:rsidP="00D73C62">
      <w:pPr>
        <w:spacing w:after="0"/>
        <w:jc w:val="both"/>
        <w:rPr>
          <w:rFonts w:ascii="Arial" w:hAnsi="Arial" w:cs="Arial"/>
        </w:rPr>
      </w:pPr>
      <w:r w:rsidRPr="00D73C62">
        <w:rPr>
          <w:rFonts w:ascii="Arial" w:hAnsi="Arial" w:cs="Arial"/>
        </w:rPr>
        <w:t>2.</w:t>
      </w:r>
      <w:r w:rsidRPr="00D73C62">
        <w:rPr>
          <w:rFonts w:ascii="Arial" w:hAnsi="Arial" w:cs="Arial"/>
        </w:rPr>
        <w:tab/>
        <w:t>Instytucję zaleceń wojewódzkich konserwatorów zabytków wydawanych w formie – podejmowanej w uproszczonym trybie – decyzji określającej zakres pilnych i niezbędnych do przeprowadzenia prac, robót i innych działań, w celu usunięcia skutków powodzi. Decyzja będzie mogła być także wydawana ustnie przy zminimalizowanych wymogach formalnych, co pozwoli przyspieszyć proces przystępowania do wykonywania prac tymczasowych, zabezpieczających lub przygotowawczych do właściwych prac remontowych. Ten szczególny tryb postępowania nie ograniczy praw stron do zaskarżenia decyzji w administracyjnym toku instancji oraz do złożenia skargi do wojewódzkiego sądu administracyjnego i skargi kasacyjnej do NSA.</w:t>
      </w:r>
    </w:p>
    <w:p w:rsidR="00D73C62" w:rsidRPr="00D73C62" w:rsidRDefault="00D73C62" w:rsidP="00D73C62">
      <w:pPr>
        <w:spacing w:after="0"/>
        <w:jc w:val="both"/>
        <w:rPr>
          <w:rFonts w:ascii="Arial" w:hAnsi="Arial" w:cs="Arial"/>
        </w:rPr>
      </w:pPr>
      <w:r w:rsidRPr="00D73C62">
        <w:rPr>
          <w:rFonts w:ascii="Arial" w:hAnsi="Arial" w:cs="Arial"/>
        </w:rPr>
        <w:t>3.</w:t>
      </w:r>
      <w:r w:rsidRPr="00D73C62">
        <w:rPr>
          <w:rFonts w:ascii="Arial" w:hAnsi="Arial" w:cs="Arial"/>
        </w:rPr>
        <w:tab/>
        <w:t>Zniesienie wobec zabytków dotkniętych powodzią ograniczenia przewidzianego w § 4 rozporządzenia Ministra Kultury i Dziedzictwa Narodowego w sprawie dotacji celowej na prace konserwatorskie lub restauratorskie przy zabytku wpisanym na Listę Skarbów Dziedzictwa oraz prace konserwatorskie, restauratorskie i roboty budowlane przy zabytku wpisanym do rejestru zabytków (Dz. U. z 2023 r. poz. 2425), stanowiącego, że ponowna dotacja celowa na zabytek nie może być przyznana wcześniej niż po upływie 10 lat od ostatniej dotacji. Wprowadzenie regulacji umożliwi wcześniejsze usuwanie szkód niezależnie od wczesnego zaangażowania środków publicznych, które nastąpiło bez nadzwyczajnej sytuacji wywołanej klęską żywiołową.</w:t>
      </w:r>
    </w:p>
    <w:p w:rsidR="00D73C62" w:rsidRPr="00D73C62" w:rsidRDefault="00D73C62" w:rsidP="00D73C62">
      <w:pPr>
        <w:spacing w:after="0"/>
        <w:jc w:val="both"/>
        <w:rPr>
          <w:rFonts w:ascii="Arial" w:hAnsi="Arial" w:cs="Arial"/>
        </w:rPr>
      </w:pPr>
      <w:r w:rsidRPr="00D73C62">
        <w:rPr>
          <w:rFonts w:ascii="Arial" w:hAnsi="Arial" w:cs="Arial"/>
        </w:rPr>
        <w:t>4.</w:t>
      </w:r>
      <w:r w:rsidRPr="00D73C62">
        <w:rPr>
          <w:rFonts w:ascii="Arial" w:hAnsi="Arial" w:cs="Arial"/>
        </w:rPr>
        <w:tab/>
        <w:t xml:space="preserve">Właścicielom zabytków dotkniętych skutkami powodzi przysługiwać będzie odliczenie od podstawy ustalenia opodatkowania, zgodnie z art. 26hb ustawy o podatku dochodowym od osób fizycznych.  </w:t>
      </w:r>
    </w:p>
    <w:p w:rsidR="00D73C62" w:rsidRPr="00D73C62" w:rsidRDefault="00D73C62" w:rsidP="00D73C62">
      <w:pPr>
        <w:spacing w:after="0"/>
        <w:jc w:val="both"/>
        <w:rPr>
          <w:rFonts w:ascii="Arial" w:hAnsi="Arial" w:cs="Arial"/>
        </w:rPr>
      </w:pPr>
      <w:r w:rsidRPr="00D73C62">
        <w:rPr>
          <w:rFonts w:ascii="Arial" w:hAnsi="Arial" w:cs="Arial"/>
        </w:rPr>
        <w:t>VII. Edukacja</w:t>
      </w:r>
    </w:p>
    <w:p w:rsidR="00D73C62" w:rsidRPr="00D73C62" w:rsidRDefault="00D73C62" w:rsidP="00D73C62">
      <w:pPr>
        <w:spacing w:after="0"/>
        <w:jc w:val="both"/>
        <w:rPr>
          <w:rFonts w:ascii="Arial" w:hAnsi="Arial" w:cs="Arial"/>
        </w:rPr>
      </w:pPr>
      <w:r w:rsidRPr="00D73C62">
        <w:rPr>
          <w:rFonts w:ascii="Arial" w:hAnsi="Arial" w:cs="Arial"/>
        </w:rPr>
        <w:t xml:space="preserve">Rekomendowanym rozwiązaniem jest okresowe zwolnienie z opłaty w wysokości 30 zł za wydanie z Krajowego Rejestru Karnego informacji o osobie, osób, które wspomagają szkoły i placówki poszkodowane w wyniku powodzi w organizacji opieki dla uczniów. Zgodnie z projektowaną regulacją osoba ubiegająca się o wydanie ww. informacji  do wniosku o wydanie tej informacji załącza oświadczenie, że informacja ta ma być wydana dla celów wykonywania przez nią działalności, o której mowa w art. 21 ustawy z dnia 13 maja 2016 r. o przeciwdziałaniu zagrożeniom przestępczością na tle seksualnym i ochronie małoletnich, skierowanej do dzieci, uczniów i wychowanków przedszkoli, innych form wychowania przedszkolnego, szkół lub placówek, o których mowa w art. 2 ustawy z dnia 14 grudnia 2016 r. – Prawo oświatowe, w których wystąpiły szkody w wyniku działania intensywnych opadów </w:t>
      </w:r>
      <w:r w:rsidRPr="00D73C62">
        <w:rPr>
          <w:rFonts w:ascii="Arial" w:hAnsi="Arial" w:cs="Arial"/>
        </w:rPr>
        <w:lastRenderedPageBreak/>
        <w:t>atmosferycznych lub powodzi we wrześniu 2024 r., położonych na terenie gminy określonej w przepisach wydanych na podstawie art. 1 ust. 2 ustawy zmienianej w art. 1. Oświadczenie składa się pod rygorem odpowiedzialności karnej za składanie fałszywych oświadczeń.</w:t>
      </w:r>
    </w:p>
    <w:p w:rsidR="00D73C62" w:rsidRPr="00D73C62" w:rsidRDefault="00D73C62" w:rsidP="00D73C62">
      <w:pPr>
        <w:spacing w:after="0"/>
        <w:jc w:val="both"/>
        <w:rPr>
          <w:rFonts w:ascii="Arial" w:hAnsi="Arial" w:cs="Arial"/>
        </w:rPr>
      </w:pPr>
      <w:r w:rsidRPr="00D73C62">
        <w:rPr>
          <w:rFonts w:ascii="Arial" w:hAnsi="Arial" w:cs="Arial"/>
        </w:rPr>
        <w:t>VIII. Ulga w spłacie zobowiązań podatkowych</w:t>
      </w:r>
    </w:p>
    <w:p w:rsidR="00D73C62" w:rsidRPr="00D73C62" w:rsidRDefault="00D73C62" w:rsidP="00D73C62">
      <w:pPr>
        <w:spacing w:after="0"/>
        <w:jc w:val="both"/>
        <w:rPr>
          <w:rFonts w:ascii="Arial" w:hAnsi="Arial" w:cs="Arial"/>
        </w:rPr>
      </w:pPr>
      <w:r w:rsidRPr="00D73C62">
        <w:rPr>
          <w:rFonts w:ascii="Arial" w:hAnsi="Arial" w:cs="Arial"/>
        </w:rPr>
        <w:t>Projekt zawiera wskazanie art. 50 rozporządzenia Komisji (UE) nr 651/2014 z dnia 17 czerwca 2014 uznające niektóre rodzaje pomocy za zgodne z rynkiem wewnętrznym w zastosowaniu art. 107 i 108 Traktatu jako przepisu, którego spełnienie umożliwi udzielanie ulg w spłacie zobowiązań podatkowych po uchwaleniu ustawy zmieniającej bez konieczności oczekiwania na decyzję Komisji Europejskiej. Pozwoli to na szybsze wsparcie przedsiębiorców w zakresie udzielania ulg w spłacie zobowiązań podatkowych.</w:t>
      </w:r>
    </w:p>
    <w:p w:rsidR="00D73C62" w:rsidRPr="00D73C62" w:rsidRDefault="00D73C62" w:rsidP="00D73C62">
      <w:pPr>
        <w:spacing w:after="0"/>
        <w:jc w:val="both"/>
        <w:rPr>
          <w:rFonts w:ascii="Arial" w:hAnsi="Arial" w:cs="Arial"/>
        </w:rPr>
      </w:pPr>
      <w:r w:rsidRPr="00D73C62">
        <w:rPr>
          <w:rFonts w:ascii="Arial" w:hAnsi="Arial" w:cs="Arial"/>
        </w:rPr>
        <w:t>IX. Wyłączenie spod egzekucji sądowej i administracyjnej wszystkich środków pochodzących ze świadczeń uzyskanych w związku z powodzią</w:t>
      </w:r>
    </w:p>
    <w:p w:rsidR="00D73C62" w:rsidRPr="00D73C62" w:rsidRDefault="00D73C62" w:rsidP="00D73C62">
      <w:pPr>
        <w:spacing w:after="0"/>
        <w:jc w:val="both"/>
        <w:rPr>
          <w:rFonts w:ascii="Arial" w:hAnsi="Arial" w:cs="Arial"/>
        </w:rPr>
      </w:pPr>
      <w:r w:rsidRPr="00D73C62">
        <w:rPr>
          <w:rFonts w:ascii="Arial" w:hAnsi="Arial" w:cs="Arial"/>
        </w:rPr>
        <w:t>Zaproponowano wprowadzenie w ustawie o szczególnych rozwiązaniach związanych z usuwaniem skutków powodzi ogólnej regulacji wyłączającej spod egzekucji sądowej i administracyjnej środki pochodzące ze świadczeń uzyskanych w związku z powodzią. Oczekuje się, że regulacja ta pozwoli na wykorzystanie wsparcia udzielonego przez Państwo na likwidację skutków powodzi.</w:t>
      </w:r>
    </w:p>
    <w:p w:rsidR="00D73C62" w:rsidRPr="00D73C62" w:rsidRDefault="00D73C62" w:rsidP="00D73C62">
      <w:pPr>
        <w:spacing w:after="0"/>
        <w:jc w:val="both"/>
        <w:rPr>
          <w:rFonts w:ascii="Arial" w:hAnsi="Arial" w:cs="Arial"/>
        </w:rPr>
      </w:pPr>
      <w:r w:rsidRPr="00D73C62">
        <w:rPr>
          <w:rFonts w:ascii="Arial" w:hAnsi="Arial" w:cs="Arial"/>
        </w:rPr>
        <w:t xml:space="preserve"> X. Ulga rehabilitacyjna</w:t>
      </w:r>
    </w:p>
    <w:p w:rsidR="00D73C62" w:rsidRPr="00D73C62" w:rsidRDefault="00D73C62" w:rsidP="00D73C62">
      <w:pPr>
        <w:spacing w:after="0"/>
        <w:jc w:val="both"/>
        <w:rPr>
          <w:rFonts w:ascii="Arial" w:hAnsi="Arial" w:cs="Arial"/>
        </w:rPr>
      </w:pPr>
      <w:r w:rsidRPr="00D73C62">
        <w:rPr>
          <w:rFonts w:ascii="Arial" w:hAnsi="Arial" w:cs="Arial"/>
        </w:rPr>
        <w:t>Wyłączenie z rocznego limitu dochodów osoby z niepełnosprawnością dochodów zwolnionych na podstawie specustawy powodziowej. Dodawany przepis w art. 30 ust. 1a dotyczy ulgi rehabilitacyjnej stosowanej w podatku PIT. Aby dochody zwolnione na podstawie specustawy powodziowej nie wpływały na wysokość dochodów osoby z niepełnosprawnością należy je wprost wyłączyć w tej ustawie.</w:t>
      </w:r>
    </w:p>
    <w:p w:rsidR="00D73C62" w:rsidRPr="00D73C62" w:rsidRDefault="00D73C62" w:rsidP="00D73C62">
      <w:pPr>
        <w:spacing w:after="0"/>
        <w:jc w:val="both"/>
        <w:rPr>
          <w:rFonts w:ascii="Arial" w:hAnsi="Arial" w:cs="Arial"/>
        </w:rPr>
      </w:pPr>
      <w:r w:rsidRPr="00D73C62">
        <w:rPr>
          <w:rFonts w:ascii="Arial" w:hAnsi="Arial" w:cs="Arial"/>
        </w:rPr>
        <w:t>XI. Zniszczenia infrastruktury elektroenergetycznej, oświetleniowej oraz pocztowej</w:t>
      </w:r>
    </w:p>
    <w:p w:rsidR="00D73C62" w:rsidRPr="00D73C62" w:rsidRDefault="00D73C62" w:rsidP="00D73C62">
      <w:pPr>
        <w:spacing w:after="0"/>
        <w:jc w:val="both"/>
        <w:rPr>
          <w:rFonts w:ascii="Arial" w:hAnsi="Arial" w:cs="Arial"/>
        </w:rPr>
      </w:pPr>
      <w:r w:rsidRPr="00D73C62">
        <w:rPr>
          <w:rFonts w:ascii="Arial" w:hAnsi="Arial" w:cs="Arial"/>
        </w:rPr>
        <w:t xml:space="preserve">Wprowadzenie możliwości pokrycia strat podmiotowi będącemu operatorem systemu dystrybucyjnego elektroenergetycznego lub podmiotowi prowadzącemu działalność gospodarczą polegającą na wytwarzaniu energii elektrycznej, lub podmiotowi będącemu właścicielem infrastruktury oświetleniowej, a także operatorowi wyznaczonemu w celu naprawienia szkód powstałych w wyniku wystąpienia powodzi na podstawie przepisów zmieniających ustawę z dnia 16 września 2011 r. o szczególnych rozwiązaniach związanych z usuwaniem skutków powodzi. Rekompensaty stanowiłyby pomoc publiczną udzielaną zgodnie z art. 50 rozporządzenia Komisji (UE) nr 651/2014 z dnia 17 czerwca 2014 r. uznającego niektóre rodzaje pomocy za zgodne z rynkiem wewnętrznym w zastosowaniu art. 107 i 108 Traktatu.       </w:t>
      </w:r>
    </w:p>
    <w:p w:rsidR="00D73C62" w:rsidRPr="00D73C62" w:rsidRDefault="00D73C62" w:rsidP="00D73C62">
      <w:pPr>
        <w:spacing w:after="0"/>
        <w:jc w:val="both"/>
        <w:rPr>
          <w:rFonts w:ascii="Arial" w:hAnsi="Arial" w:cs="Arial"/>
        </w:rPr>
      </w:pPr>
      <w:r w:rsidRPr="00D73C62">
        <w:rPr>
          <w:rFonts w:ascii="Arial" w:hAnsi="Arial" w:cs="Arial"/>
        </w:rPr>
        <w:t>Projekt wprowadza również rozwiązanie zgodnie z którym na wniosek operatora wyznaczonego, o którym mowa w art. 3 pkt 13 ustawy – Prawo pocztowe, obowiązanego do świadczenia usług powszechnych, będzie mogło zostać ustanowione odstępstwo od obowiązku świadczenia usług powszechnych, w szczególności w zakresie wymogów dotyczących częstotliwości doręczeń i opróżniania skrzynek pocztowych, zachowania wskaźników czasu przebiegu przesyłek lub sposobu rozmieszczenia placówek pocztowych operatora wyznaczonego, na obszarze, na którym wprowadzono stan nadzwyczajny lub stan klęski żywiołowej.</w:t>
      </w:r>
    </w:p>
    <w:p w:rsidR="00D73C62" w:rsidRPr="00D73C62" w:rsidRDefault="00D73C62" w:rsidP="00D73C62">
      <w:pPr>
        <w:spacing w:after="0"/>
        <w:jc w:val="both"/>
        <w:rPr>
          <w:rFonts w:ascii="Arial" w:hAnsi="Arial" w:cs="Arial"/>
        </w:rPr>
      </w:pPr>
      <w:r w:rsidRPr="00D73C62">
        <w:rPr>
          <w:rFonts w:ascii="Arial" w:hAnsi="Arial" w:cs="Arial"/>
        </w:rPr>
        <w:t>Proponuje się również, aby przychody otrzymane na podstawie art. 22i i art. 22j (rekompensaty) były zwolnione od podatku, a wydatki i koszty bezpośrednio sfinansowane z tych przychodów nie były uważane za koszty uzyskania przychodów.</w:t>
      </w:r>
    </w:p>
    <w:p w:rsidR="00D73C62" w:rsidRDefault="00D73C62" w:rsidP="00D73C62">
      <w:pPr>
        <w:spacing w:after="0"/>
        <w:jc w:val="both"/>
        <w:rPr>
          <w:rFonts w:ascii="Arial" w:hAnsi="Arial" w:cs="Arial"/>
        </w:rPr>
      </w:pPr>
    </w:p>
    <w:p w:rsidR="00D73C62" w:rsidRDefault="00D73C62" w:rsidP="00D73C62">
      <w:pPr>
        <w:spacing w:after="0"/>
        <w:jc w:val="both"/>
        <w:rPr>
          <w:rFonts w:ascii="Arial" w:hAnsi="Arial" w:cs="Arial"/>
        </w:rPr>
      </w:pPr>
    </w:p>
    <w:p w:rsidR="00D73C62" w:rsidRDefault="00D73C62" w:rsidP="00D73C62">
      <w:pPr>
        <w:spacing w:after="0"/>
        <w:jc w:val="both"/>
        <w:rPr>
          <w:rFonts w:ascii="Arial" w:hAnsi="Arial" w:cs="Arial"/>
        </w:rPr>
      </w:pPr>
    </w:p>
    <w:p w:rsidR="00D73C62" w:rsidRPr="00D73C62" w:rsidRDefault="00D73C62" w:rsidP="00D73C62">
      <w:pPr>
        <w:spacing w:after="0"/>
        <w:jc w:val="both"/>
        <w:rPr>
          <w:rFonts w:ascii="Arial" w:hAnsi="Arial" w:cs="Arial"/>
        </w:rPr>
      </w:pPr>
      <w:r w:rsidRPr="00D73C62">
        <w:rPr>
          <w:rFonts w:ascii="Arial" w:hAnsi="Arial" w:cs="Arial"/>
        </w:rPr>
        <w:lastRenderedPageBreak/>
        <w:t>XII. Transport i gospodarka wodna</w:t>
      </w:r>
    </w:p>
    <w:p w:rsidR="00D73C62" w:rsidRPr="00D73C62" w:rsidRDefault="00D73C62" w:rsidP="00D73C62">
      <w:pPr>
        <w:spacing w:after="0"/>
        <w:jc w:val="both"/>
        <w:rPr>
          <w:rFonts w:ascii="Arial" w:hAnsi="Arial" w:cs="Arial"/>
        </w:rPr>
      </w:pPr>
      <w:r w:rsidRPr="00D73C62">
        <w:rPr>
          <w:rFonts w:ascii="Arial" w:hAnsi="Arial" w:cs="Arial"/>
        </w:rPr>
        <w:t>1.</w:t>
      </w:r>
      <w:r w:rsidRPr="00D73C62">
        <w:rPr>
          <w:rFonts w:ascii="Arial" w:hAnsi="Arial" w:cs="Arial"/>
        </w:rPr>
        <w:tab/>
        <w:t>Drogi publiczne</w:t>
      </w:r>
    </w:p>
    <w:p w:rsidR="00D73C62" w:rsidRPr="00D73C62" w:rsidRDefault="00D73C62" w:rsidP="00D73C62">
      <w:pPr>
        <w:spacing w:after="0"/>
        <w:jc w:val="both"/>
        <w:rPr>
          <w:rFonts w:ascii="Arial" w:hAnsi="Arial" w:cs="Arial"/>
        </w:rPr>
      </w:pPr>
      <w:r w:rsidRPr="00D73C62">
        <w:rPr>
          <w:rFonts w:ascii="Arial" w:hAnsi="Arial" w:cs="Arial"/>
        </w:rPr>
        <w:t xml:space="preserve">W celu ułatwienia jednostkom samorządu terytorialnego realizacji zadań dofinansowanych z Rządowego Funduszu Rozwoju Dróg na terenach dotkniętych powodzią przewiduje się likwidację obowiązku zwrotu przez jednostki samorządu terytorialnego dofinansowania otrzymanego z Rządowego Funduszu Rozwoju Dróg, w przypadku gdy zadanie dotyczące dróg samorządowych dofinansowywane lub finansowane z Funduszu nie zostanie zrealizowane z powodu powodzi we wrześniu 2024 r. lub osunięcia ziemie będącego jej skutkiem. </w:t>
      </w:r>
    </w:p>
    <w:p w:rsidR="00D73C62" w:rsidRPr="00D73C62" w:rsidRDefault="00D73C62" w:rsidP="00D73C62">
      <w:pPr>
        <w:spacing w:after="0"/>
        <w:jc w:val="both"/>
        <w:rPr>
          <w:rFonts w:ascii="Arial" w:hAnsi="Arial" w:cs="Arial"/>
        </w:rPr>
      </w:pPr>
      <w:r w:rsidRPr="00D73C62">
        <w:rPr>
          <w:rFonts w:ascii="Arial" w:hAnsi="Arial" w:cs="Arial"/>
        </w:rPr>
        <w:t xml:space="preserve">W celu ułatwienia realizacji zadań powiatowych i gminnych na terenach dotkniętych powodzią we wrześniu 2024 r. przewiduje się wydłużenie terminu na przekazanie list zadań do dofinansowania z RFRD do ministra właściwego do spraw transportu z 4 do 5 miesięcy od dnia ogłoszenia naboru przez wojewodów. Wydłużenie ww. terminu jest konieczne ze względu na trwający stan klęski żywiołowej na obszarach dotkniętych powodzią. W związku z trudną sytuacją jednostek samorządu terytorialnego zlokalizowanych na terenach objętych stanem klęski żywiołowej Prezes Rady Ministrów będzie mógł dokonać podziału rezerwy w ten sposób, że może zwiększyć wysokość dofinansowania zadań powiatowych oraz zadań gminnych zlokalizowanych w gminach wskazanych w przepisach wydanych na podstawie art. 1 ust. 2 ustawy zmienianej w art. 1 do 100 % kosztów realizacji tego zadania. </w:t>
      </w:r>
    </w:p>
    <w:p w:rsidR="00D73C62" w:rsidRPr="00D73C62" w:rsidRDefault="00D73C62" w:rsidP="00D73C62">
      <w:pPr>
        <w:spacing w:after="0"/>
        <w:jc w:val="both"/>
        <w:rPr>
          <w:rFonts w:ascii="Arial" w:hAnsi="Arial" w:cs="Arial"/>
        </w:rPr>
      </w:pPr>
      <w:r w:rsidRPr="00D73C62">
        <w:rPr>
          <w:rFonts w:ascii="Arial" w:hAnsi="Arial" w:cs="Arial"/>
        </w:rPr>
        <w:t>W celu wygospodarowania dodatkowych środków na usuwanie skutków klęsk żywiołowych przewiduje się wprowadzenie przepisu umożliwiającego w 2024 r. przeznaczenie niewykorzystanych środków programów wieloletnich rezerwy celowej przeznaczonej na przeciwdziałanie klęskom żywiołowym i usuwanie ich skutków. Przepisy te powinny umożliwić zasilenie Rządowego Funduszu Rozwoju Dróg w roku  2024 w kwocie 360 mln zł na realizację zadań powodziowych. Źródłem pochodzenia tych  środków  będą w szczególności środki uwolnione z programów wieloletnich poprzez ich przeniesie do rezerwy na usuwanie skutków klęsk żywiołowych - na podstawie proponowanego rozwiązania.</w:t>
      </w:r>
    </w:p>
    <w:p w:rsidR="00D73C62" w:rsidRPr="00D73C62" w:rsidRDefault="00D73C62" w:rsidP="00D73C62">
      <w:pPr>
        <w:spacing w:after="0"/>
        <w:jc w:val="both"/>
        <w:rPr>
          <w:rFonts w:ascii="Arial" w:hAnsi="Arial" w:cs="Arial"/>
        </w:rPr>
      </w:pPr>
      <w:r w:rsidRPr="00D73C62">
        <w:rPr>
          <w:rFonts w:ascii="Arial" w:hAnsi="Arial" w:cs="Arial"/>
        </w:rPr>
        <w:t>2.</w:t>
      </w:r>
      <w:r w:rsidRPr="00D73C62">
        <w:rPr>
          <w:rFonts w:ascii="Arial" w:hAnsi="Arial" w:cs="Arial"/>
        </w:rPr>
        <w:tab/>
        <w:t>Transport kolejowy</w:t>
      </w:r>
    </w:p>
    <w:p w:rsidR="00D73C62" w:rsidRPr="00D73C62" w:rsidRDefault="00D73C62" w:rsidP="00D73C62">
      <w:pPr>
        <w:spacing w:after="0"/>
        <w:jc w:val="both"/>
        <w:rPr>
          <w:rFonts w:ascii="Arial" w:hAnsi="Arial" w:cs="Arial"/>
        </w:rPr>
      </w:pPr>
      <w:r w:rsidRPr="00D73C62">
        <w:rPr>
          <w:rFonts w:ascii="Arial" w:hAnsi="Arial" w:cs="Arial"/>
        </w:rPr>
        <w:t>Projektowane przepisy pozwolą na uzupełnianie zbiorników paliwa w pojazdach kolejowych (np. lokomotyw spalinowych) bezpośrednio z autocystern poza stacją paliw ciekłych oraz stacją kontenerową w warunkach wystąpienia powodzi, kiedy może nie być możliwości dojechania pojazdów kolejowych do tych punktów.</w:t>
      </w:r>
    </w:p>
    <w:p w:rsidR="00D73C62" w:rsidRPr="00D73C62" w:rsidRDefault="00D73C62" w:rsidP="00D73C62">
      <w:pPr>
        <w:spacing w:after="0"/>
        <w:jc w:val="both"/>
        <w:rPr>
          <w:rFonts w:ascii="Arial" w:hAnsi="Arial" w:cs="Arial"/>
        </w:rPr>
      </w:pPr>
      <w:r w:rsidRPr="00D73C62">
        <w:rPr>
          <w:rFonts w:ascii="Arial" w:hAnsi="Arial" w:cs="Arial"/>
        </w:rPr>
        <w:t>Zakłada się także ułatwienie prowadzenia remontu i odbudowy zniszczonych w trakcie powodzi linii kolejowych poprzez rozszerzenie na te linii regulacji określonych w art. 6 i 7 ustawy z dnia 11 sierpnia 2001 r. o szczególnych zasadach odbudowy, remontów i rozbiórek obiektów budowlanych zniszczonych lub uszkodzonych w wyniku działania żywiołu (możliwość prowadzenia inwestycji bez odpowiednio zgłoszenia lub pozwolenia).</w:t>
      </w:r>
    </w:p>
    <w:p w:rsidR="00D73C62" w:rsidRPr="00D73C62" w:rsidRDefault="00D73C62" w:rsidP="00D73C62">
      <w:pPr>
        <w:spacing w:after="0"/>
        <w:jc w:val="both"/>
        <w:rPr>
          <w:rFonts w:ascii="Arial" w:hAnsi="Arial" w:cs="Arial"/>
        </w:rPr>
      </w:pPr>
      <w:r w:rsidRPr="00D73C62">
        <w:rPr>
          <w:rFonts w:ascii="Arial" w:hAnsi="Arial" w:cs="Arial"/>
        </w:rPr>
        <w:t>3.</w:t>
      </w:r>
      <w:r w:rsidRPr="00D73C62">
        <w:rPr>
          <w:rFonts w:ascii="Arial" w:hAnsi="Arial" w:cs="Arial"/>
        </w:rPr>
        <w:tab/>
        <w:t>Gospodarka wodna</w:t>
      </w:r>
    </w:p>
    <w:p w:rsidR="00D73C62" w:rsidRPr="00D73C62" w:rsidRDefault="00D73C62" w:rsidP="00D73C62">
      <w:pPr>
        <w:spacing w:after="0"/>
        <w:jc w:val="both"/>
        <w:rPr>
          <w:rFonts w:ascii="Arial" w:hAnsi="Arial" w:cs="Arial"/>
        </w:rPr>
      </w:pPr>
      <w:r w:rsidRPr="00D73C62">
        <w:rPr>
          <w:rFonts w:ascii="Arial" w:hAnsi="Arial" w:cs="Arial"/>
        </w:rPr>
        <w:t>Proponowana regulacja przewiduje wstrzymanie wymierzania przez ministra właściwego do spraw gospodarki wodnej kar dla Państwowego Gospodarstwa Wodnego Wody Polskie na podstawie następujących ustaw:</w:t>
      </w:r>
    </w:p>
    <w:p w:rsidR="00D73C62" w:rsidRPr="00D73C62" w:rsidRDefault="00D73C62" w:rsidP="00D73C62">
      <w:pPr>
        <w:spacing w:after="0"/>
        <w:jc w:val="both"/>
        <w:rPr>
          <w:rFonts w:ascii="Arial" w:hAnsi="Arial" w:cs="Arial"/>
        </w:rPr>
      </w:pPr>
      <w:r w:rsidRPr="00D73C62">
        <w:rPr>
          <w:rFonts w:ascii="Arial" w:hAnsi="Arial" w:cs="Arial"/>
        </w:rPr>
        <w:t xml:space="preserve">1) art.  18 ust. 3 ustawy z dnia 24 kwietnia 2009 r. o inwestycjach w zakresie terminalu </w:t>
      </w:r>
      <w:proofErr w:type="spellStart"/>
      <w:r w:rsidRPr="00D73C62">
        <w:rPr>
          <w:rFonts w:ascii="Arial" w:hAnsi="Arial" w:cs="Arial"/>
        </w:rPr>
        <w:t>regazyfikacyjnego</w:t>
      </w:r>
      <w:proofErr w:type="spellEnd"/>
      <w:r w:rsidRPr="00D73C62">
        <w:rPr>
          <w:rFonts w:ascii="Arial" w:hAnsi="Arial" w:cs="Arial"/>
        </w:rPr>
        <w:t xml:space="preserve">  skroplonego  gazu  ziemnego w Świnoujściu;</w:t>
      </w:r>
    </w:p>
    <w:p w:rsidR="00D73C62" w:rsidRPr="00D73C62" w:rsidRDefault="00D73C62" w:rsidP="00D73C62">
      <w:pPr>
        <w:spacing w:after="0"/>
        <w:jc w:val="both"/>
        <w:rPr>
          <w:rFonts w:ascii="Arial" w:hAnsi="Arial" w:cs="Arial"/>
        </w:rPr>
      </w:pPr>
      <w:r w:rsidRPr="00D73C62">
        <w:rPr>
          <w:rFonts w:ascii="Arial" w:hAnsi="Arial" w:cs="Arial"/>
        </w:rPr>
        <w:t>2) art.  16 ust. 6 ustawy z dnia 24 lutego 2017 r.  o inwestycjach w zakresie budowy drogi wodnej łączącej Zalew Wiślany z Zatoką Gdańską;</w:t>
      </w:r>
    </w:p>
    <w:p w:rsidR="00D73C62" w:rsidRPr="00D73C62" w:rsidRDefault="00D73C62" w:rsidP="00D73C62">
      <w:pPr>
        <w:spacing w:after="0"/>
        <w:jc w:val="both"/>
        <w:rPr>
          <w:rFonts w:ascii="Arial" w:hAnsi="Arial" w:cs="Arial"/>
        </w:rPr>
      </w:pPr>
      <w:r w:rsidRPr="00D73C62">
        <w:rPr>
          <w:rFonts w:ascii="Arial" w:hAnsi="Arial" w:cs="Arial"/>
        </w:rPr>
        <w:t>3) art.  13b ust.  7 ustawy z dnia 24 lipca 2015 r.  o przygotowaniu i realizacji strategicznych inwestycji w zakresie sieci przesyłowych;</w:t>
      </w:r>
    </w:p>
    <w:p w:rsidR="00D73C62" w:rsidRPr="00D73C62" w:rsidRDefault="00D73C62" w:rsidP="00D73C62">
      <w:pPr>
        <w:spacing w:after="0"/>
        <w:jc w:val="both"/>
        <w:rPr>
          <w:rFonts w:ascii="Arial" w:hAnsi="Arial" w:cs="Arial"/>
        </w:rPr>
      </w:pPr>
      <w:r w:rsidRPr="00D73C62">
        <w:rPr>
          <w:rFonts w:ascii="Arial" w:hAnsi="Arial" w:cs="Arial"/>
        </w:rPr>
        <w:lastRenderedPageBreak/>
        <w:t>4) art. 16 ust. 6 ustawy z dnia 14 kwietnia 2023 r. o przygotowaniu i realizacji inwestycji w zakresie elektrowni szczytowo-pompowych oraz inwestycji towarzyszących;</w:t>
      </w:r>
    </w:p>
    <w:p w:rsidR="00D73C62" w:rsidRPr="00D73C62" w:rsidRDefault="00D73C62" w:rsidP="00D73C62">
      <w:pPr>
        <w:spacing w:after="0"/>
        <w:jc w:val="both"/>
        <w:rPr>
          <w:rFonts w:ascii="Arial" w:hAnsi="Arial" w:cs="Arial"/>
        </w:rPr>
      </w:pPr>
      <w:r w:rsidRPr="00D73C62">
        <w:rPr>
          <w:rFonts w:ascii="Arial" w:hAnsi="Arial" w:cs="Arial"/>
        </w:rPr>
        <w:t>5) art. 472aa ust 2. ustawy z dnia 20 lipca 2017 r. Prawo wodne.</w:t>
      </w:r>
    </w:p>
    <w:p w:rsidR="00D73C62" w:rsidRPr="00D73C62" w:rsidRDefault="00D73C62" w:rsidP="00D73C62">
      <w:pPr>
        <w:spacing w:after="0"/>
        <w:jc w:val="both"/>
        <w:rPr>
          <w:rFonts w:ascii="Arial" w:hAnsi="Arial" w:cs="Arial"/>
        </w:rPr>
      </w:pPr>
      <w:r w:rsidRPr="00D73C62">
        <w:rPr>
          <w:rFonts w:ascii="Arial" w:hAnsi="Arial" w:cs="Arial"/>
        </w:rPr>
        <w:t xml:space="preserve">Przewiduje się również umorzenie kar już wymierzonych i odsetek od nich. </w:t>
      </w:r>
    </w:p>
    <w:p w:rsidR="00D73C62" w:rsidRPr="00D73C62" w:rsidRDefault="00D73C62" w:rsidP="00D73C62">
      <w:pPr>
        <w:spacing w:after="0"/>
        <w:jc w:val="both"/>
        <w:rPr>
          <w:rFonts w:ascii="Arial" w:hAnsi="Arial" w:cs="Arial"/>
        </w:rPr>
      </w:pPr>
      <w:r w:rsidRPr="00D73C62">
        <w:rPr>
          <w:rFonts w:ascii="Arial" w:hAnsi="Arial" w:cs="Arial"/>
        </w:rPr>
        <w:t>Czasowe zawieszenie wymierzania wyżej kar z tytułu opóźnień w dotrzymaniu terminów wynikających z wyżej wymienionych ustaw a także umorzenie kar już naliczonych i odsetek od nich, znacząco odciąży finansowo Państwowe Gospodarstwo Wodne Wody Polskie i pozwoli na większą płynność finansową tej jednostki, co ma istotne znaczenie w czasie usuwania skutków powodzi.</w:t>
      </w:r>
    </w:p>
    <w:p w:rsidR="00D73C62" w:rsidRPr="00D73C62" w:rsidRDefault="00D73C62" w:rsidP="00D73C62">
      <w:pPr>
        <w:spacing w:after="0"/>
        <w:jc w:val="both"/>
        <w:rPr>
          <w:rFonts w:ascii="Arial" w:hAnsi="Arial" w:cs="Arial"/>
        </w:rPr>
      </w:pPr>
      <w:r w:rsidRPr="00D73C62">
        <w:rPr>
          <w:rFonts w:ascii="Arial" w:hAnsi="Arial" w:cs="Arial"/>
        </w:rPr>
        <w:t>Ponadto istnieje konieczność wyłączenia stosowania do końca 2026 r. wobec Państwowego Gospodarstwa przepisu art. 472aa ust. 2 Prawa wodnego w odniesieniu do kary wymierzanej przez ministra właściwego do spraw gospodarki wodnej.</w:t>
      </w:r>
    </w:p>
    <w:p w:rsidR="00D73C62" w:rsidRPr="00D73C62" w:rsidRDefault="00D73C62" w:rsidP="00D73C62">
      <w:pPr>
        <w:spacing w:after="0"/>
        <w:jc w:val="both"/>
        <w:rPr>
          <w:rFonts w:ascii="Arial" w:hAnsi="Arial" w:cs="Arial"/>
        </w:rPr>
      </w:pPr>
      <w:r w:rsidRPr="00D73C62">
        <w:rPr>
          <w:rFonts w:ascii="Arial" w:hAnsi="Arial" w:cs="Arial"/>
        </w:rPr>
        <w:t>Proponowane czasowe wstrzymanie wymierzania przez ministra właściwego do spraw w gospodarki wodnej Wodom Polskim administracyjnej kary pieniężnej za naruszenia określone w art. 472aa ust. 1 ustawy z dnia 20 lipca 2017 r. – Prawo wodne, także pozytywnie wpłynie ich na płynność finansową i umożliwi przeznaczenie większej puli środków na usuwanie skutków powodzi.</w:t>
      </w:r>
    </w:p>
    <w:p w:rsidR="00D73C62" w:rsidRPr="00D73C62" w:rsidRDefault="00D73C62" w:rsidP="00D73C62">
      <w:pPr>
        <w:spacing w:after="0"/>
        <w:jc w:val="both"/>
        <w:rPr>
          <w:rFonts w:ascii="Arial" w:hAnsi="Arial" w:cs="Arial"/>
        </w:rPr>
      </w:pPr>
      <w:r w:rsidRPr="00D73C62">
        <w:rPr>
          <w:rFonts w:ascii="Arial" w:hAnsi="Arial" w:cs="Arial"/>
        </w:rPr>
        <w:t xml:space="preserve">Szacuje się, że łączna wysokość umorzonych kar do roku 2026 może wynieść 21,4 mln zł. </w:t>
      </w:r>
    </w:p>
    <w:p w:rsidR="00D73C62" w:rsidRPr="00D73C62" w:rsidRDefault="00D73C62" w:rsidP="00D73C62">
      <w:pPr>
        <w:spacing w:after="0"/>
        <w:jc w:val="both"/>
        <w:rPr>
          <w:rFonts w:ascii="Arial" w:hAnsi="Arial" w:cs="Arial"/>
        </w:rPr>
      </w:pPr>
      <w:r w:rsidRPr="00D73C62">
        <w:rPr>
          <w:rFonts w:ascii="Arial" w:hAnsi="Arial" w:cs="Arial"/>
        </w:rPr>
        <w:t>XIII. Klimat i ochrona środowiska</w:t>
      </w:r>
    </w:p>
    <w:p w:rsidR="00D73C62" w:rsidRPr="00D73C62" w:rsidRDefault="00D73C62" w:rsidP="00D73C62">
      <w:pPr>
        <w:spacing w:after="0"/>
        <w:jc w:val="both"/>
        <w:rPr>
          <w:rFonts w:ascii="Arial" w:hAnsi="Arial" w:cs="Arial"/>
        </w:rPr>
      </w:pPr>
      <w:r w:rsidRPr="00D73C62">
        <w:rPr>
          <w:rFonts w:ascii="Arial" w:hAnsi="Arial" w:cs="Arial"/>
        </w:rPr>
        <w:t>Propozycja art. 40u w ustawie z dnia 16 września 2011 r. o szczególnych rozwiązaniach związanych z usuwaniem skutków powodzi</w:t>
      </w:r>
    </w:p>
    <w:p w:rsidR="00D73C62" w:rsidRPr="00D73C62" w:rsidRDefault="00D73C62" w:rsidP="00D73C62">
      <w:pPr>
        <w:spacing w:after="0"/>
        <w:jc w:val="both"/>
        <w:rPr>
          <w:rFonts w:ascii="Arial" w:hAnsi="Arial" w:cs="Arial"/>
        </w:rPr>
      </w:pPr>
      <w:r w:rsidRPr="00D73C62">
        <w:rPr>
          <w:rFonts w:ascii="Arial" w:hAnsi="Arial" w:cs="Arial"/>
        </w:rPr>
        <w:t>Wprowadzenie proponowanych przepisów ma na celu umożliwienie wejścia przedstawicieli przedsiębiorstwa energetycznego na teren nieruchomości w celu usunięcia skutków powodzi w sytuacji, w której właściciel lub zarządca nieruchomości nie wydaje zgody na wejście. Przedsiębiorstwo energetyczne będzie zobowiązane do naprawienia ew. szkód, powstałych w wyniku wejścia na nieruchomość i usuwania skutków powodzi.</w:t>
      </w:r>
    </w:p>
    <w:p w:rsidR="00D73C62" w:rsidRPr="00D73C62" w:rsidRDefault="00D73C62" w:rsidP="00D73C62">
      <w:pPr>
        <w:spacing w:after="0"/>
        <w:jc w:val="both"/>
        <w:rPr>
          <w:rFonts w:ascii="Arial" w:hAnsi="Arial" w:cs="Arial"/>
        </w:rPr>
      </w:pPr>
      <w:r w:rsidRPr="00D73C62">
        <w:rPr>
          <w:rFonts w:ascii="Arial" w:hAnsi="Arial" w:cs="Arial"/>
        </w:rPr>
        <w:t>Propozycja art. 40w w ustawie z dnia 16 września 2011 r. o szczególnych rozwiązaniach związanych z usuwaniem skutków powodzi</w:t>
      </w:r>
    </w:p>
    <w:p w:rsidR="00D73C62" w:rsidRPr="00D73C62" w:rsidRDefault="00D73C62" w:rsidP="00D73C62">
      <w:pPr>
        <w:spacing w:after="0"/>
        <w:jc w:val="both"/>
        <w:rPr>
          <w:rFonts w:ascii="Arial" w:hAnsi="Arial" w:cs="Arial"/>
        </w:rPr>
      </w:pPr>
      <w:r w:rsidRPr="00D73C62">
        <w:rPr>
          <w:rFonts w:ascii="Arial" w:hAnsi="Arial" w:cs="Arial"/>
        </w:rPr>
        <w:t>Proponowane rozwiązanie polega na stworzeniu instrumentu prawnego do wykorzystania zasobów PGL LP w postaci posiadanych rzeczy ruchomych oraz drewna na potrzeby usuwania skutków powodzi. Mechanizm wykorzystania ww. zasobów jest następujący. W terminie 3 dni od dnia wydania rozporządzenia Rady Ministrów, o którym mowa w art. 1 ust. 2 ustawy o szczególnych rozwiązaniach związanych z usuwaniem skutków powodzi, PGL LP udostępnia wojewodzie informację o dostępności posiadanych rzeczach ruchomych, które mogą zostać użyczone, oraz o ilości drewna możliwego do przekazania. Informacja ta jest następnie aktualizowana na bieżąco. Wojewoda (na podstawie posiadanych informacji o dostępności zasobów PGL LP oraz o potrzebach wynikających z usuwania skutków powodzi) występuje do PGL LP z wnioskiem o udzielenie przez PGL LP świadczeń rzeczowych polegających na: 1) użyczeniu posiadanych rzeczy ruchomych, 2) nieodpłatnym przekazaniu drewna, wskazując przy tym rzeczy ruchome oraz ilość drewna, a także podmioty, którym, odpowiednio, rzeczy ruchome zostaną użyczone albo drewno nieodpłatnie przekazane. Wniosek wojewody jest podstawą dla PGL LP do użyczenia lub nieodpłatnego przekazania. PGL LP przekazuje informacje ministrowi właściwemu do spraw środowiska miesięczną informację o rodzaju i liczbie użyczonych rzeczy ruchomych oraz o ilości przekazanego drewna, objętych ww. wnioskiem wojewody.</w:t>
      </w:r>
    </w:p>
    <w:p w:rsidR="00D73C62" w:rsidRPr="00D73C62" w:rsidRDefault="00D73C62" w:rsidP="00D73C62">
      <w:pPr>
        <w:spacing w:after="0"/>
        <w:jc w:val="both"/>
        <w:rPr>
          <w:rFonts w:ascii="Arial" w:hAnsi="Arial" w:cs="Arial"/>
        </w:rPr>
      </w:pPr>
      <w:r w:rsidRPr="00D73C62">
        <w:rPr>
          <w:rFonts w:ascii="Arial" w:hAnsi="Arial" w:cs="Arial"/>
        </w:rPr>
        <w:t>Propozycja art. 40x w ustawie z dnia 16 września 2011 r. o szczególnych rozwiązaniach związanych z usuwaniem skutków powodzi</w:t>
      </w:r>
    </w:p>
    <w:p w:rsidR="00D73C62" w:rsidRPr="00D73C62" w:rsidRDefault="00D73C62" w:rsidP="00D73C62">
      <w:pPr>
        <w:spacing w:after="0"/>
        <w:jc w:val="both"/>
        <w:rPr>
          <w:rFonts w:ascii="Arial" w:hAnsi="Arial" w:cs="Arial"/>
        </w:rPr>
      </w:pPr>
      <w:r w:rsidRPr="00D73C62">
        <w:rPr>
          <w:rFonts w:ascii="Arial" w:hAnsi="Arial" w:cs="Arial"/>
        </w:rPr>
        <w:lastRenderedPageBreak/>
        <w:t>Proponowane rozwiązanie wskazuje dwie ścieżki postępowania – w zależności od podmiotu dokonującego usunięcia drzewa lub krzewu. Jednostki ochrony przeciwpożarowej, jednostki Sił Zbrojnych Rzeczypospolitej Polskiej, właściciele urządzeń, o których mowa w art. 49 § 1 Kodeksu cywilnego, zarządcy dróg, zarządcy infrastruktury kolejowej, gminne lub powiatowe jednostki oczyszczania lub inne podmioty działające w tym zakresie na zlecenie gminy lub powiatu mogą usuwać drzewa i krzewy przy wystąpieniu przesłanki zagrożenia złomem lub wywrotem w wyniku wystąpienia powodzi. Działania w tym zakresie innych podmiotów warunkuje dodatkowo przesłanka potwierdzenia istnienia zagrożenia oraz braku rozwiązań alternatywnych przez organ właściwy do wydania zezwolenia na usunięcie drzewa lub krzewu. Efektem planowanych rozwiązań będzie możliwość szybszego usunięcia zagrożenia i zapobieganie ewentualnym dalszym szkodom przy adekwatnym zabezpieczeniu drzew i krzewów przed arbitralna wycinką.</w:t>
      </w:r>
    </w:p>
    <w:p w:rsidR="00D73C62" w:rsidRPr="00D73C62" w:rsidRDefault="00D73C62" w:rsidP="00D73C62">
      <w:pPr>
        <w:spacing w:after="0"/>
        <w:jc w:val="both"/>
        <w:rPr>
          <w:rFonts w:ascii="Arial" w:hAnsi="Arial" w:cs="Arial"/>
        </w:rPr>
      </w:pPr>
      <w:r w:rsidRPr="00D73C62">
        <w:rPr>
          <w:rFonts w:ascii="Arial" w:hAnsi="Arial" w:cs="Arial"/>
        </w:rPr>
        <w:t>Propozycja zmiany art. 39a ustawy z dnia 1 października 2024 r. o zmianie ustawy o szczególnych rozwiązaniach związanych z usuwaniem skutków powodzi oraz niektórych innych ustaw</w:t>
      </w:r>
    </w:p>
    <w:p w:rsidR="00D73C62" w:rsidRPr="00D73C62" w:rsidRDefault="00D73C62" w:rsidP="00D73C62">
      <w:pPr>
        <w:spacing w:after="0"/>
        <w:jc w:val="both"/>
        <w:rPr>
          <w:rFonts w:ascii="Arial" w:hAnsi="Arial" w:cs="Arial"/>
        </w:rPr>
      </w:pPr>
      <w:r w:rsidRPr="00D73C62">
        <w:rPr>
          <w:rFonts w:ascii="Arial" w:hAnsi="Arial" w:cs="Arial"/>
        </w:rPr>
        <w:t>Inspekcja Ochrony Środowiska prowadzi postępowania na podstawie art. 109 ustawy – Prawo wodne. W związku z rozwiązaniami zawartymi w art. 38 i art. 39 ustawy z dnia 1 października 2024 r. o zmianie ustawy o szczególnych rozwiązaniach związanych z usuwaniem skutków powodzi oraz niektórych innych ustaw zachodzi potrzeba, aby IOŚ posiadała informacje na temat poszkodowanych, w stosunku do których zastosowanie znajdą te przepisy.</w:t>
      </w:r>
    </w:p>
    <w:p w:rsidR="00D73C62" w:rsidRPr="00D73C62" w:rsidRDefault="00D73C62" w:rsidP="00D73C62">
      <w:pPr>
        <w:spacing w:after="0"/>
        <w:jc w:val="both"/>
        <w:rPr>
          <w:rFonts w:ascii="Arial" w:hAnsi="Arial" w:cs="Arial"/>
        </w:rPr>
      </w:pPr>
      <w:r w:rsidRPr="00D73C62">
        <w:rPr>
          <w:rFonts w:ascii="Arial" w:hAnsi="Arial" w:cs="Arial"/>
        </w:rPr>
        <w:t>Propozycja zmiany art. 59 ustawy z dnia 1 października 2024 r. o zmianie ustawy o szczególnych rozwiązaniach związanych z usuwaniem skutków powodzi oraz niektórych innych ustaw</w:t>
      </w:r>
    </w:p>
    <w:p w:rsidR="00D73C62" w:rsidRPr="00D73C62" w:rsidRDefault="00D73C62" w:rsidP="00D73C62">
      <w:pPr>
        <w:spacing w:after="0"/>
        <w:jc w:val="both"/>
        <w:rPr>
          <w:rFonts w:ascii="Arial" w:hAnsi="Arial" w:cs="Arial"/>
        </w:rPr>
      </w:pPr>
      <w:r w:rsidRPr="00D73C62">
        <w:rPr>
          <w:rFonts w:ascii="Arial" w:hAnsi="Arial" w:cs="Arial"/>
        </w:rPr>
        <w:t>Zmiany w zakresie ustawy z dnia 3 października 2008 r. o udostępnianiu informacji o środowisku i jego ochronie, udziale społeczeństwa w ochronie środowiska oraz o ocenach oddziaływania na środowisko mają na celu uproszczenie procedur w zakresie uzyskiwania decyzji o środowiskowych uwarunkowaniach. Proponowana zmiana ułatwi szybką odbudowę zniszczonej infrastruktury przez przedsiębiorstwa energetyczne.</w:t>
      </w:r>
    </w:p>
    <w:p w:rsidR="00D73C62" w:rsidRPr="00D73C62" w:rsidRDefault="00D73C62" w:rsidP="00D73C62">
      <w:pPr>
        <w:spacing w:after="0"/>
        <w:jc w:val="both"/>
        <w:rPr>
          <w:rFonts w:ascii="Arial" w:hAnsi="Arial" w:cs="Arial"/>
        </w:rPr>
      </w:pPr>
      <w:r w:rsidRPr="00D73C62">
        <w:rPr>
          <w:rFonts w:ascii="Arial" w:hAnsi="Arial" w:cs="Arial"/>
        </w:rPr>
        <w:t>Propozycja zmiany art. 62 ustawy z dnia 1 października 2024 r. o zmianie ustawy o szczególnych rozwiązaniach związanych z usuwaniem skutków powodzi oraz niektórych innych ustaw</w:t>
      </w:r>
    </w:p>
    <w:p w:rsidR="00D73C62" w:rsidRPr="00D73C62" w:rsidRDefault="00D73C62" w:rsidP="00D73C62">
      <w:pPr>
        <w:spacing w:after="0"/>
        <w:jc w:val="both"/>
        <w:rPr>
          <w:rFonts w:ascii="Arial" w:hAnsi="Arial" w:cs="Arial"/>
        </w:rPr>
      </w:pPr>
      <w:r w:rsidRPr="00D73C62">
        <w:rPr>
          <w:rFonts w:ascii="Arial" w:hAnsi="Arial" w:cs="Arial"/>
        </w:rPr>
        <w:t>Aktualnie szkoły leśne, parki narodowe i jednostki organizacyjne Państwowego Gospodarstwa Leśnego Lasy Państwowe nie mają możliwości prawnych by organizować zajęcia opiekuńczo-wychowawcze dla dzieci i młodzieży. Dodanie proponowanych przepisów wypełni tę lukę, co wspomoże organizację pomocy dla osób poszkodowanych przez powódź oraz umożliwi kontynuowanie nauki przez dzieci i młodzież. Przewiduje się realizację tygodniowych lub dwutygodniowych pobytów dzieci i młodzieży. Koszt organizacji zajęć w parkach narodowych w 2024 r. to ok. 150 000 zł. Środki powinny pochodzić z budżetu państwa.</w:t>
      </w:r>
    </w:p>
    <w:p w:rsidR="00D73C62" w:rsidRPr="00D73C62" w:rsidRDefault="00D73C62" w:rsidP="00D73C62">
      <w:pPr>
        <w:spacing w:after="0"/>
        <w:jc w:val="both"/>
        <w:rPr>
          <w:rFonts w:ascii="Arial" w:hAnsi="Arial" w:cs="Arial"/>
        </w:rPr>
      </w:pPr>
      <w:r w:rsidRPr="00D73C62">
        <w:rPr>
          <w:rFonts w:ascii="Arial" w:hAnsi="Arial" w:cs="Arial"/>
        </w:rPr>
        <w:t>Propozycja zmiany art. 69 ustawy z dnia 1 października 2024 r. o zmianie ustawy o szczególnych rozwiązaniach związanych z usuwaniem skutków powodzi oraz niektórych innych ustaw</w:t>
      </w:r>
    </w:p>
    <w:p w:rsidR="00D73C62" w:rsidRPr="00D73C62" w:rsidRDefault="00D73C62" w:rsidP="00D73C62">
      <w:pPr>
        <w:spacing w:after="0"/>
        <w:jc w:val="both"/>
        <w:rPr>
          <w:rFonts w:ascii="Arial" w:hAnsi="Arial" w:cs="Arial"/>
        </w:rPr>
      </w:pPr>
      <w:r w:rsidRPr="00D73C62">
        <w:rPr>
          <w:rFonts w:ascii="Arial" w:hAnsi="Arial" w:cs="Arial"/>
        </w:rPr>
        <w:t>Wykreślenie wyrazu „brutto” (zasiłek nie jest opodatkowany).</w:t>
      </w:r>
    </w:p>
    <w:p w:rsidR="00D73C62" w:rsidRPr="00D73C62" w:rsidRDefault="00D73C62" w:rsidP="00D73C62">
      <w:pPr>
        <w:spacing w:after="0"/>
        <w:jc w:val="both"/>
        <w:rPr>
          <w:rFonts w:ascii="Arial" w:hAnsi="Arial" w:cs="Arial"/>
        </w:rPr>
      </w:pPr>
      <w:r w:rsidRPr="00D73C62">
        <w:rPr>
          <w:rFonts w:ascii="Arial" w:hAnsi="Arial" w:cs="Arial"/>
        </w:rPr>
        <w:t>Propozycja zmiany w ustawie z dnia 28 września 1991 r. o lasach</w:t>
      </w:r>
    </w:p>
    <w:p w:rsidR="00D73C62" w:rsidRPr="00D73C62" w:rsidRDefault="00D73C62" w:rsidP="00D73C62">
      <w:pPr>
        <w:spacing w:after="0"/>
        <w:jc w:val="both"/>
        <w:rPr>
          <w:rFonts w:ascii="Arial" w:hAnsi="Arial" w:cs="Arial"/>
        </w:rPr>
      </w:pPr>
      <w:r w:rsidRPr="00D73C62">
        <w:rPr>
          <w:rFonts w:ascii="Arial" w:hAnsi="Arial" w:cs="Arial"/>
        </w:rPr>
        <w:t xml:space="preserve">Dostosowanie terminologii w art. 29 ust. 3 ustawy o lasach do obowiązującej w ustawie o ochronie przeciwpożarowej (działania ratownicze), powiązanie uprawnień do wstępu także z </w:t>
      </w:r>
      <w:r w:rsidRPr="00D73C62">
        <w:rPr>
          <w:rFonts w:ascii="Arial" w:hAnsi="Arial" w:cs="Arial"/>
        </w:rPr>
        <w:lastRenderedPageBreak/>
        <w:t>ćwiczeniami oraz umożliwienie wstępu do lasu psom ratowniczym. Umożliwienie wstępu do lasu objętego zakazem wstępu Siłom Zbrojnym RP.</w:t>
      </w:r>
    </w:p>
    <w:p w:rsidR="00D73C62" w:rsidRPr="00D73C62" w:rsidRDefault="00D73C62" w:rsidP="00D73C62">
      <w:pPr>
        <w:spacing w:after="0"/>
        <w:jc w:val="both"/>
        <w:rPr>
          <w:rFonts w:ascii="Arial" w:hAnsi="Arial" w:cs="Arial"/>
        </w:rPr>
      </w:pPr>
      <w:r w:rsidRPr="00D73C62">
        <w:rPr>
          <w:rFonts w:ascii="Arial" w:hAnsi="Arial" w:cs="Arial"/>
        </w:rPr>
        <w:t>Propozycja zmiany w ustawie z dnia 13 września 1996 r. o utrzymaniu czystości i porządku w gminach</w:t>
      </w:r>
    </w:p>
    <w:p w:rsidR="00D73C62" w:rsidRPr="00D73C62" w:rsidRDefault="00D73C62" w:rsidP="00D73C62">
      <w:pPr>
        <w:spacing w:after="0"/>
        <w:jc w:val="both"/>
        <w:rPr>
          <w:rFonts w:ascii="Arial" w:hAnsi="Arial" w:cs="Arial"/>
        </w:rPr>
      </w:pPr>
      <w:r w:rsidRPr="00D73C62">
        <w:rPr>
          <w:rFonts w:ascii="Arial" w:hAnsi="Arial" w:cs="Arial"/>
        </w:rPr>
        <w:t>Rekomendowanym rozwiązaniem jest wprowadzenie przepisów zmniejszających obciążenie gmin, gminnych jednostek organizacyjnych oraz podmiotów odbierających odpady komunalne na podstawie indywidualnych umów z właścicielami nieruchomości, za brak osiągnięcia poziomów określonych w art. 3b ustawy z dnia 13 września 1996 r. o utrzymaniu czystości i porządku w gminach. W stosunku do podmiotów oraz gmin z obszaru objętego klęską żywiołową zakłada się zwolnienie z kar, natomiast w przypadku gmin i podmiotów z pozostałych obszarów kraju zakłada się zmniejszenie kar o połowę. Jest to rozwiązanie tymczasowe, nie wpływające na ogólny obowiązek związany z osiąganiem coraz wyższych poziomów przygotowania do ponownego użycia i recyklingu odpadów komunalnych oraz ograniczania składowania.</w:t>
      </w:r>
    </w:p>
    <w:p w:rsidR="00D73C62" w:rsidRPr="00D73C62" w:rsidRDefault="00D73C62" w:rsidP="00D73C62">
      <w:pPr>
        <w:spacing w:after="0"/>
        <w:jc w:val="both"/>
        <w:rPr>
          <w:rFonts w:ascii="Arial" w:hAnsi="Arial" w:cs="Arial"/>
        </w:rPr>
      </w:pPr>
      <w:r w:rsidRPr="00D73C62">
        <w:rPr>
          <w:rFonts w:ascii="Arial" w:hAnsi="Arial" w:cs="Arial"/>
        </w:rPr>
        <w:t>XIV. Sprawy wewnętrzne i administracja</w:t>
      </w:r>
    </w:p>
    <w:p w:rsidR="00D73C62" w:rsidRPr="00D73C62" w:rsidRDefault="00D73C62" w:rsidP="00D73C62">
      <w:pPr>
        <w:spacing w:after="0"/>
        <w:jc w:val="both"/>
        <w:rPr>
          <w:rFonts w:ascii="Arial" w:hAnsi="Arial" w:cs="Arial"/>
        </w:rPr>
      </w:pPr>
      <w:r w:rsidRPr="00D73C62">
        <w:rPr>
          <w:rFonts w:ascii="Arial" w:hAnsi="Arial" w:cs="Arial"/>
        </w:rPr>
        <w:t>1. Propozycja zmiany art. 35 ustawy o szczególnych rozwiązaniach związanych z usuwaniem skutków powodzi ma na celu umożliwienie wszystkim poszkodowanym gminom wskazanym art. 1 ust. 2 ww. ustawy skorzystanie z dofinansowania w 100% na realizację zadań własnych, również w przypadku jeżeli straty poniesione przez gminę nie przekroczyły 50% planowanych dochodów własnych za rok poprzedzający rok wystąpienia powodzi. Udzielenie dotacji (100%) wszystkim jednostkom samorządu terytorialnego poszkodowanych na skutek powodzi stanowi jeden z kluczowych elementów przywracania normalnego funkcjonowania życia społecznego. Oczekiwany efekt to przyspieszenie procesu odbudowy.</w:t>
      </w:r>
    </w:p>
    <w:p w:rsidR="00D73C62" w:rsidRPr="00D73C62" w:rsidRDefault="00D73C62" w:rsidP="00D73C62">
      <w:pPr>
        <w:spacing w:after="0"/>
        <w:jc w:val="both"/>
        <w:rPr>
          <w:rFonts w:ascii="Arial" w:hAnsi="Arial" w:cs="Arial"/>
        </w:rPr>
      </w:pPr>
      <w:r w:rsidRPr="00D73C62">
        <w:rPr>
          <w:rFonts w:ascii="Arial" w:hAnsi="Arial" w:cs="Arial"/>
        </w:rPr>
        <w:t>2. Niezależnie od przewidzianego w art. 5 ustawy o stanie klęski żywiołowej trybu ogłaszania stanu klęski żywiołowej, proponuje się, aby w przypadku wydawanych odpowiednio przez wójta (burmistrza, prezydenta miasta), starostę, wojewodę zarządzeń, decyzji lub rozporządzeń, były one niezwłocznie przekazywane do właściwych komendantów wojewódzkich Policji lub Komendanta Stołecznego Policji, właściwego miejscowo komendanta wojewódzkiego Państwowej Straży Pożarnej oraz właściwego miejscowo komendanta oddziału Straży Granicznej. Dlatego też w art. 23 ustawy o stanie klęski żywiołowej po ust. 2, proponuje się dodanie ust. 2a, który będzie nakładał obowiązek powiadamiania przedstawicieli Policji, SG oraz PSP. Takie rozwiązanie usprawni obieg informacji, które powinny w możliwie najkrótszym czasie dotrzeć do służb, których funkcjonariusze są niezwłocznie angażowani do realizacji niezbędnych zadań.</w:t>
      </w:r>
    </w:p>
    <w:p w:rsidR="00D73C62" w:rsidRPr="00D73C62" w:rsidRDefault="00D73C62" w:rsidP="00D73C62">
      <w:pPr>
        <w:spacing w:after="0"/>
        <w:jc w:val="both"/>
        <w:rPr>
          <w:rFonts w:ascii="Arial" w:hAnsi="Arial" w:cs="Arial"/>
        </w:rPr>
      </w:pPr>
      <w:r w:rsidRPr="00D73C62">
        <w:rPr>
          <w:rFonts w:ascii="Arial" w:hAnsi="Arial" w:cs="Arial"/>
        </w:rPr>
        <w:t>3. Proponuje się wprowadzić do ustawy o stanie klęski żywiołowej nowy art. 27a, który będzie stanowić: „Kto w związku z wystąpieniem stanu klęski żywiołowej wiedząc, że zagrożenie nie istnieje, publicznie rozpowszechnia informację mającą wywołać przekonanie o istnieniu zdarzenia, które zagraża życiu lub zdrowiu wielu osób lub mieniu w znacznych rozmiarach lub stwarza sytuację, mającą wywołać przekonanie o istnieniu takiego zagrożenia podlega grzywnie albo karze ograniczenia wolności do roku”.</w:t>
      </w:r>
    </w:p>
    <w:p w:rsidR="00D73C62" w:rsidRPr="00D73C62" w:rsidRDefault="00D73C62" w:rsidP="00D73C62">
      <w:pPr>
        <w:spacing w:after="0"/>
        <w:jc w:val="both"/>
        <w:rPr>
          <w:rFonts w:ascii="Arial" w:hAnsi="Arial" w:cs="Arial"/>
        </w:rPr>
      </w:pPr>
      <w:r w:rsidRPr="00D73C62">
        <w:rPr>
          <w:rFonts w:ascii="Arial" w:hAnsi="Arial" w:cs="Arial"/>
        </w:rPr>
        <w:t>4. Projekt umożliwia organom wykonawczym jednostek samorządu terytorialnego dokonywanie zmian w planach dochodów i wydatków.</w:t>
      </w:r>
    </w:p>
    <w:p w:rsidR="00D73C62" w:rsidRPr="00D73C62" w:rsidRDefault="00D73C62" w:rsidP="00D73C62">
      <w:pPr>
        <w:spacing w:after="0"/>
        <w:jc w:val="both"/>
        <w:rPr>
          <w:rFonts w:ascii="Arial" w:hAnsi="Arial" w:cs="Arial"/>
        </w:rPr>
      </w:pPr>
      <w:r w:rsidRPr="00D73C62">
        <w:rPr>
          <w:rFonts w:ascii="Arial" w:hAnsi="Arial" w:cs="Arial"/>
        </w:rPr>
        <w:t>XV. Zabezpieczenie społeczne, podmioty ekonomii społecznej, rynek pracy</w:t>
      </w:r>
    </w:p>
    <w:p w:rsidR="00D73C62" w:rsidRPr="00D73C62" w:rsidRDefault="00D73C62" w:rsidP="00D73C62">
      <w:pPr>
        <w:spacing w:after="0"/>
        <w:jc w:val="both"/>
        <w:rPr>
          <w:rFonts w:ascii="Arial" w:hAnsi="Arial" w:cs="Arial"/>
        </w:rPr>
      </w:pPr>
      <w:r w:rsidRPr="00D73C62">
        <w:rPr>
          <w:rFonts w:ascii="Arial" w:hAnsi="Arial" w:cs="Arial"/>
        </w:rPr>
        <w:t xml:space="preserve">1. Wdrożenie przepisów dających podstawę do udzielania dotacji celowej przez ministra właściwego do spraw rodziny za pośrednictwem wojewody umożliwi jej przekazanie jednostkom samorządu terytorialnego z terenów objętych powodzią, dając  możliwości na szybsze finansowanie niezbędnych inwestycji i zakupów niezbędnych do przywrócenia funkcji podmiotom systemu pieczy zastępczej w sposób gwarantujący bezpieczeństwo </w:t>
      </w:r>
      <w:r w:rsidRPr="00D73C62">
        <w:rPr>
          <w:rFonts w:ascii="Arial" w:hAnsi="Arial" w:cs="Arial"/>
        </w:rPr>
        <w:lastRenderedPageBreak/>
        <w:t>dzieci. Beneficjentami końcowymi udzielonej dotacji będą placówki opiekuńczo-wychowawcze, rodzinne domy dziecka i rodziny zastępcze, w których w skutek powodzi w 2024 r. doszło do zniszczenia infrastruktury służącej realizacji zadań  z zakresu pieczy zastępczej. Jednostki samorządu terytorialnego otrzymując dotacje na przywrócenie funkcjonowania systemu pieczy zastępczej i instytucji opieki nad dziećmi w wieku do lat 3 będą zwolnione z zapewnienia wkładu własnego, a terminy uruchomienia i przekazania dotacji będą dostosowane do trybu udzielenia dotacji celowych jako instrumentu pomocowego w związku z wystąpieniem powodzi tj. tożsamo do wdrożonych na mocy art. 25 ustawy z dnia 1 października 2024 r. o zmianie ustawy o szczególnych rozwiązaniach związanych z usuwaniem skutków powodzi oraz niektórych innych ustaw.</w:t>
      </w:r>
    </w:p>
    <w:p w:rsidR="00D73C62" w:rsidRPr="00D73C62" w:rsidRDefault="00D73C62" w:rsidP="00D73C62">
      <w:pPr>
        <w:spacing w:after="0"/>
        <w:jc w:val="both"/>
        <w:rPr>
          <w:rFonts w:ascii="Arial" w:hAnsi="Arial" w:cs="Arial"/>
        </w:rPr>
      </w:pPr>
      <w:r w:rsidRPr="00D73C62">
        <w:rPr>
          <w:rFonts w:ascii="Arial" w:hAnsi="Arial" w:cs="Arial"/>
        </w:rPr>
        <w:t>2. Usprawnienie procesu rozliczania zwrotu ze środków Funduszu Gwarantowanych Świadczeń Pracowniczych (FGŚP) poniesionych przez pracodawcę kosztów wynikających z prawa pracownika do zwolnienia od pracy, w wymiarze do 20 dni, w celu usuwania skutków powodzi. Zmiany mają na celu wprowadzenie dodatkowych narzędzi, które pozwolą marszałkom województw na kontrolę prawidłowości wydatkowania środków FGŚP w zakresie udzielonej pomocy. Zmiany mają też na celu określenie zasad udzielania ulg w spłacie należności wynikających z przedmiotowej pomocy. Zawarto również przepisy doprecyzowujące kwestie związane z przetwarzaniem danych osobowych.</w:t>
      </w:r>
    </w:p>
    <w:p w:rsidR="00D73C62" w:rsidRPr="00D73C62" w:rsidRDefault="00D73C62" w:rsidP="00D73C62">
      <w:pPr>
        <w:spacing w:after="0"/>
        <w:jc w:val="both"/>
        <w:rPr>
          <w:rFonts w:ascii="Arial" w:hAnsi="Arial" w:cs="Arial"/>
        </w:rPr>
      </w:pPr>
      <w:r w:rsidRPr="00D73C62">
        <w:rPr>
          <w:rFonts w:ascii="Arial" w:hAnsi="Arial" w:cs="Arial"/>
        </w:rPr>
        <w:t>3.Usprawnienie procesu rozliczania pożyczki z FGŚP. Zmiany mają na celu umożliwienie zastosowania szerszego katalogu ulg w stosunku do udzielonej pożyczki. Obok możliwości jej umorzenia, proponuje się wprowadzić możliwość odroczenia terminu jej spłaty czy rozłożenie jej spłaty w całości lub części. Rozszerzenie katalogu ulg poprawi również sytuację finansową FGŚP poprzez możliwość zastosowania innych niż umorzenie ulg  w spłacie należności. Wprowadzono również możliwość niedochodzenia zwrotu należności z tytułu pożyczki w przypadku gdy kwota należna do zwrotu nie przekracza kosztów doręczenia w obrocie krajowym przesyłki poleconej za potwierdzeniem odbioru. Dodatkowo wprowadzone zostały narzędzia, które pozwolą marszałkom województw (działającym przy pomocy wojewódzkich urzędów pracy) kontrolę prawidłowości wydatkowania środków FGŚP w zakresie udzielonej pożyczki.</w:t>
      </w:r>
    </w:p>
    <w:p w:rsidR="00D73C62" w:rsidRPr="00D73C62" w:rsidRDefault="00D73C62" w:rsidP="00D73C62">
      <w:pPr>
        <w:spacing w:after="0"/>
        <w:jc w:val="both"/>
        <w:rPr>
          <w:rFonts w:ascii="Arial" w:hAnsi="Arial" w:cs="Arial"/>
        </w:rPr>
      </w:pPr>
      <w:r w:rsidRPr="00D73C62">
        <w:rPr>
          <w:rFonts w:ascii="Arial" w:hAnsi="Arial" w:cs="Arial"/>
        </w:rPr>
        <w:t>. Proponuje się zmianę, która pozwoli na finansowanie warsztatów terapii zajęciowej dotkniętych skutkami powodzi lub położonych na terenach objętych stanem klęski żywiołowej bez zmniejszania wysokości dofinansowania w przypadku zawieszenia działalności warsztatu lub krótszego niż 35 godzin tygodniowo wymiaru zajęć.</w:t>
      </w:r>
    </w:p>
    <w:p w:rsidR="00D73C62" w:rsidRPr="00D73C62" w:rsidRDefault="00D73C62" w:rsidP="00D73C62">
      <w:pPr>
        <w:spacing w:after="0"/>
        <w:jc w:val="both"/>
        <w:rPr>
          <w:rFonts w:ascii="Arial" w:hAnsi="Arial" w:cs="Arial"/>
        </w:rPr>
      </w:pPr>
      <w:r w:rsidRPr="00D73C62">
        <w:rPr>
          <w:rFonts w:ascii="Arial" w:hAnsi="Arial" w:cs="Arial"/>
        </w:rPr>
        <w:t>4. Proponuje się zmianę pozwalającą na zachowanie statusu uczestnika warsztatów terapii zajęciowej w przypadku przekroczenia terminów dopuszczalnej nieobecności w zajęciach m.in. na skutek braku możliwości dojazdu do placówki czy dowozu uczestników z powodu nieprzejezdnych dróg.</w:t>
      </w:r>
    </w:p>
    <w:p w:rsidR="00D73C62" w:rsidRPr="00D73C62" w:rsidRDefault="00D73C62" w:rsidP="00D73C62">
      <w:pPr>
        <w:spacing w:after="0"/>
        <w:jc w:val="both"/>
        <w:rPr>
          <w:rFonts w:ascii="Arial" w:hAnsi="Arial" w:cs="Arial"/>
        </w:rPr>
      </w:pPr>
      <w:r w:rsidRPr="00D73C62">
        <w:rPr>
          <w:rFonts w:ascii="Arial" w:hAnsi="Arial" w:cs="Arial"/>
        </w:rPr>
        <w:t>5. Zwolnienie z obowiązku prowadzenia aktualizacji rodzinnego wywiadu środowiskowego w przypadku osób korzystających ze stałych form pomocy społecznej.</w:t>
      </w:r>
    </w:p>
    <w:p w:rsidR="00D73C62" w:rsidRPr="00D73C62" w:rsidRDefault="00D73C62" w:rsidP="00D73C62">
      <w:pPr>
        <w:spacing w:after="0"/>
        <w:jc w:val="both"/>
        <w:rPr>
          <w:rFonts w:ascii="Arial" w:hAnsi="Arial" w:cs="Arial"/>
        </w:rPr>
      </w:pPr>
      <w:r w:rsidRPr="00D73C62">
        <w:rPr>
          <w:rFonts w:ascii="Arial" w:hAnsi="Arial" w:cs="Arial"/>
        </w:rPr>
        <w:t>6. Umożliwienie przekazywania środków na prowadzenie ośrodków wsparcia dla osób z zaburzeniami psychicznymi (środowiskowe domy samopomocy i kluby samopomocy) pomimo czasowego zamknięcia działalności tych ośrodków.</w:t>
      </w:r>
    </w:p>
    <w:p w:rsidR="00D73C62" w:rsidRPr="00D73C62" w:rsidRDefault="00D73C62" w:rsidP="00D73C62">
      <w:pPr>
        <w:spacing w:after="0"/>
        <w:jc w:val="both"/>
        <w:rPr>
          <w:rFonts w:ascii="Arial" w:hAnsi="Arial" w:cs="Arial"/>
        </w:rPr>
      </w:pPr>
      <w:r w:rsidRPr="00D73C62">
        <w:rPr>
          <w:rFonts w:ascii="Arial" w:hAnsi="Arial" w:cs="Arial"/>
        </w:rPr>
        <w:t xml:space="preserve">7. Proponuje się objęcie świadczeniem interwencyjnym także organizacji pozarządowych oraz podmiotów wymienionych w art. 3 ust. 3 ustawy z dnia 24 kwietnia 2003 r. o działalności pożytku publicznego i o wolontariacie prowadzące działalność pożytku publicznego oraz podmioty ekonomii społecznej w rozumieniu ustawy z dnia 5 sierpnia 2022 r. o ekonomii społecznej, które obok działalności pożytku publicznego prowadzą również inną działalność o charakterze odpłatnym, które zostały poszkodowane w wyniku wystąpienia powodzi. </w:t>
      </w:r>
      <w:r w:rsidRPr="00D73C62">
        <w:rPr>
          <w:rFonts w:ascii="Arial" w:hAnsi="Arial" w:cs="Arial"/>
        </w:rPr>
        <w:lastRenderedPageBreak/>
        <w:t>Przedmiotowa pomoc ma na celu wsparcie tych podmiotów w dalszym prowadzeniu działalności pożytku publicznego (odpłatnej i nieodpłatnej) lub innej działalności o charakterze opłatnym w rozumieniu art. 2 pkt 2 ustawy o ekonomii społecznej. Wsparcie będzie udzielane na wniosek składany do Zakładu Ubezpieczeń Społecznych na zasadach i w trybie analogicznym, przewidzianym w propozycji dla przedsiębiorców.</w:t>
      </w:r>
    </w:p>
    <w:p w:rsidR="00D73C62" w:rsidRPr="00D73C62" w:rsidRDefault="00D73C62" w:rsidP="00D73C62">
      <w:pPr>
        <w:spacing w:after="0"/>
        <w:jc w:val="both"/>
        <w:rPr>
          <w:rFonts w:ascii="Arial" w:hAnsi="Arial" w:cs="Arial"/>
        </w:rPr>
      </w:pPr>
      <w:r w:rsidRPr="00D73C62">
        <w:rPr>
          <w:rFonts w:ascii="Arial" w:hAnsi="Arial" w:cs="Arial"/>
        </w:rPr>
        <w:t xml:space="preserve">8. Doprecyzowanie przepisów dotyczących wsparcia dla powodzian w zakresie przepisów związanych z pomocą publiczną w rozumieniu przepisów unijnych. </w:t>
      </w:r>
    </w:p>
    <w:p w:rsidR="00D73C62" w:rsidRPr="00D73C62" w:rsidRDefault="00D73C62" w:rsidP="00D73C62">
      <w:pPr>
        <w:spacing w:after="0"/>
        <w:jc w:val="both"/>
        <w:rPr>
          <w:rFonts w:ascii="Arial" w:hAnsi="Arial" w:cs="Arial"/>
        </w:rPr>
      </w:pPr>
      <w:r w:rsidRPr="00D73C62">
        <w:rPr>
          <w:rFonts w:ascii="Arial" w:hAnsi="Arial" w:cs="Arial"/>
        </w:rPr>
        <w:t>9. Zaproponowane zostało uchylenie 3 artykułów (art. 44, art. 45 i art. 50) w ustawie o zmianie ustawy o szczególnych rozwiązaniach związanych z usuwaniem skutków powodzi oraz niektórych innych ustaw. Jednocześnie zaproponowano dopisanie ww. przepisów w identycznym kształcie, dodając je do ustawy zmienianej, czyli ustawy z 2011 r. o szczególnych rozwiązaniach związanych z usuwaniem skutków powodzi. Dzięki temu zabiegowi możliwe będzie zastosowanie do instrumentów dla podmiotów ekonomii społecznej terminów określanych w rozporządzeniu wydawanym na podstawie ustawy zmienianej, a także uniknięcie wątpliwości interpretacyjnych w zakresie stosowania tych przepisów.</w:t>
      </w:r>
    </w:p>
    <w:p w:rsidR="00D73C62" w:rsidRPr="00D73C62" w:rsidRDefault="00D73C62" w:rsidP="00D73C62">
      <w:pPr>
        <w:spacing w:after="0"/>
        <w:jc w:val="both"/>
        <w:rPr>
          <w:rFonts w:ascii="Arial" w:hAnsi="Arial" w:cs="Arial"/>
        </w:rPr>
      </w:pPr>
      <w:r w:rsidRPr="00D73C62">
        <w:rPr>
          <w:rFonts w:ascii="Arial" w:hAnsi="Arial" w:cs="Arial"/>
        </w:rPr>
        <w:t>10. Zaproponowano wprowadzenie możliwości umorzenia w całości lub części wraz z odsetkami pożyczek na utworzenie stanowiska pracy i pożyczek na podjęcie działalności gospodarczej udzielonych na podstawie ustawy z dnia 20 kwietnia 2004 r. o promocji zatrudnienia i instytucjach rynku pracy, jeżeli utworzone stanowiska uległy zniszczeniu na skutek powodzi, a działalność nie może być kontynuowana lub jeżeli możliwość jej prowadzenia uległa istotnemu ograniczeniu.</w:t>
      </w:r>
    </w:p>
    <w:p w:rsidR="00D73C62" w:rsidRPr="00D73C62" w:rsidRDefault="00D73C62" w:rsidP="00D73C62">
      <w:pPr>
        <w:spacing w:after="0"/>
        <w:jc w:val="both"/>
        <w:rPr>
          <w:rFonts w:ascii="Arial" w:hAnsi="Arial" w:cs="Arial"/>
        </w:rPr>
      </w:pPr>
      <w:r w:rsidRPr="00D73C62">
        <w:rPr>
          <w:rFonts w:ascii="Arial" w:hAnsi="Arial" w:cs="Arial"/>
        </w:rPr>
        <w:t>11. Zmiana umożliwiająca sprawniejsze wprowadzanie zmian w planach finansowych również w roku kolejnym po roku w którym wystąpiła powódź, skróci procedurę dokonywania zmiany w planach i umożliwi szybsze pozyskanie środków z państwowych funduszy celowych, których środki są zaangażowane w realizację instrumentów wsparcia.</w:t>
      </w:r>
    </w:p>
    <w:p w:rsidR="00D73C62" w:rsidRPr="00D73C62" w:rsidRDefault="00D73C62" w:rsidP="00D73C62">
      <w:pPr>
        <w:spacing w:after="0"/>
        <w:jc w:val="both"/>
        <w:rPr>
          <w:rFonts w:ascii="Arial" w:hAnsi="Arial" w:cs="Arial"/>
        </w:rPr>
      </w:pPr>
      <w:r w:rsidRPr="00D73C62">
        <w:rPr>
          <w:rFonts w:ascii="Arial" w:hAnsi="Arial" w:cs="Arial"/>
        </w:rPr>
        <w:t>12. Wprowadzenie przepisów wydłużających ważność orzeczeń o niepełnosprawności albo o stopniu niepełnosprawności, wydanych na czas określony dla osób posiadających miejsce stałego pobytu, albo miejsce pobytu (m. in. w przypadku osób bezdomnych, przebywających poza miejscem stałego pobytu ze względów zdrowotnych lub rodzinnych, przebywających w zakładach karnych, w domach pomocy społecznej i ośrodkach wsparcia) na obszarze gminy poszkodowanej w wyniku wystąpienia powodzi w 2024 r., które nie złożyły w ustawowym terminu wniosku o wydanie kolejnego orzeczenia o niepełnosprawności albo o stopniu niepełnosprawności.</w:t>
      </w:r>
    </w:p>
    <w:p w:rsidR="00D73C62" w:rsidRPr="00D73C62" w:rsidRDefault="00D73C62" w:rsidP="00D73C62">
      <w:pPr>
        <w:spacing w:after="0"/>
        <w:jc w:val="both"/>
        <w:rPr>
          <w:rFonts w:ascii="Arial" w:hAnsi="Arial" w:cs="Arial"/>
        </w:rPr>
      </w:pPr>
      <w:r w:rsidRPr="00D73C62">
        <w:rPr>
          <w:rFonts w:ascii="Arial" w:hAnsi="Arial" w:cs="Arial"/>
        </w:rPr>
        <w:t>13. Wprowadzony został również przepis wydłużający ważność posiadanych kart parkingowych do dnia 31 marca 2025r.</w:t>
      </w:r>
    </w:p>
    <w:p w:rsidR="00D73C62" w:rsidRPr="00D73C62" w:rsidRDefault="00D73C62" w:rsidP="00D73C62">
      <w:pPr>
        <w:spacing w:after="0"/>
        <w:jc w:val="both"/>
        <w:rPr>
          <w:rFonts w:ascii="Arial" w:hAnsi="Arial" w:cs="Arial"/>
        </w:rPr>
      </w:pPr>
      <w:r w:rsidRPr="00D73C62">
        <w:rPr>
          <w:rFonts w:ascii="Arial" w:hAnsi="Arial" w:cs="Arial"/>
        </w:rPr>
        <w:t xml:space="preserve">14. Zaproponowane zostało rozwiązanie zapewniające uczestnikom centrum integracji społecznej, zamieszkującym na terenie obszaru wskazanego w przepisach wydanych na podstawie art. 1 ust. 2 ustawy z dnia 16 września 2011 r. o szczególnych rozwiązaniach związanych z usuwaniem skutków powodzi, świadczenie integracyjne, o którym mowa w art. 15 ust. 4 ustawy z dnia 13 czerwca 2003 r. o zatrudnieniu socjalnym, w pełnej wysokości, za okres usprawiedliwionej nieobecności, jeżeli nieobecność ta była spowodowana faktyczną niemożnością uczestnictwa w zajęciach w związku z powodzią. Decyzję o przyznaniu świadczenia integracyjnego za okres usprawiedliwionej nieobecności wydaje kierownik CIS, na wniosek uczestnika. </w:t>
      </w:r>
    </w:p>
    <w:p w:rsidR="00D73C62" w:rsidRPr="00D73C62" w:rsidRDefault="00D73C62" w:rsidP="00D73C62">
      <w:pPr>
        <w:spacing w:after="0"/>
        <w:jc w:val="both"/>
        <w:rPr>
          <w:rFonts w:ascii="Arial" w:hAnsi="Arial" w:cs="Arial"/>
        </w:rPr>
      </w:pPr>
      <w:r w:rsidRPr="00D73C62">
        <w:rPr>
          <w:rFonts w:ascii="Arial" w:hAnsi="Arial" w:cs="Arial"/>
        </w:rPr>
        <w:t xml:space="preserve">15. Uchylenie przepisu dot. dofinansowania likwidacji barier technicznych i architektonicznych w przedszkolach, szkołach i placówkach systemu oświaty. Propozycja przepisu z art. 11 ust. 1 pkt 4a projektu wychodzi poza zakres zadań realizowanych przez </w:t>
      </w:r>
      <w:r w:rsidRPr="00D73C62">
        <w:rPr>
          <w:rFonts w:ascii="Arial" w:hAnsi="Arial" w:cs="Arial"/>
        </w:rPr>
        <w:lastRenderedPageBreak/>
        <w:t>PFRON, zaś jednostki wskazane w tym przepisie mogą ubiegać się o dofinansowanie w ramach programów Rady Nadzorczej PFRON. Ponadto, wskazane placówki bardzo często są placówkami samorządowymi i wsparcie na likwidację barier technicznych i architektonicznych w przedszkolach, szkołach i placówkach oświatowych powinno być udzielone ze środków przyznanych samorządom na usuwanie skutków powodzi.</w:t>
      </w:r>
    </w:p>
    <w:p w:rsidR="00D73C62" w:rsidRPr="00D73C62" w:rsidRDefault="00D73C62" w:rsidP="00D73C62">
      <w:pPr>
        <w:spacing w:after="0"/>
        <w:jc w:val="both"/>
        <w:rPr>
          <w:rFonts w:ascii="Arial" w:hAnsi="Arial" w:cs="Arial"/>
        </w:rPr>
      </w:pPr>
      <w:r w:rsidRPr="00D73C62">
        <w:rPr>
          <w:rFonts w:ascii="Arial" w:hAnsi="Arial" w:cs="Arial"/>
        </w:rPr>
        <w:t>16. Umożliwienie wykorzystania przez samorządy powiatów środków Funduszu Pracy przeznaczonych na świadczenia, o których mowa w art. 19-21, które nie zostały niewykorzystane do końca roku budżetowego również w następnym roku budżetowym.</w:t>
      </w:r>
    </w:p>
    <w:p w:rsidR="00D73C62" w:rsidRPr="00D73C62" w:rsidRDefault="00D73C62" w:rsidP="00D73C62">
      <w:pPr>
        <w:spacing w:after="0"/>
        <w:jc w:val="both"/>
        <w:rPr>
          <w:rFonts w:ascii="Arial" w:hAnsi="Arial" w:cs="Arial"/>
        </w:rPr>
      </w:pPr>
      <w:r w:rsidRPr="00D73C62">
        <w:rPr>
          <w:rFonts w:ascii="Arial" w:hAnsi="Arial" w:cs="Arial"/>
        </w:rPr>
        <w:t>17. W celu uproszczenia sposobu obliczania kosztów kwalifikowanych w ramach programu pomocowego proponuje się, by za koszty kwalifikowane uznawać 100% kosztów.</w:t>
      </w:r>
    </w:p>
    <w:p w:rsidR="00D73C62" w:rsidRPr="00D73C62" w:rsidRDefault="00D73C62" w:rsidP="00D73C62">
      <w:pPr>
        <w:spacing w:after="0"/>
        <w:jc w:val="both"/>
        <w:rPr>
          <w:rFonts w:ascii="Arial" w:hAnsi="Arial" w:cs="Arial"/>
        </w:rPr>
      </w:pPr>
      <w:r w:rsidRPr="00D73C62">
        <w:rPr>
          <w:rFonts w:ascii="Arial" w:hAnsi="Arial" w:cs="Arial"/>
        </w:rPr>
        <w:t xml:space="preserve">18. Jednym z warunków udzielenia pomocy, zgodnie z ww. rozporządzeniem Komisji (UE), jest pozostawanie wnioskodawcy w dobrej sytuacji ekonomicznej. Biorąc pod uwagę uwarunkowania wynikające z sytuacji powodziowej, spełnienie tego warunku może być utrudnione lub niemożliwe dla pracodawców prowadzących działalność na terenach gmin objętych powodzią. Proponuje się, aby pomoc wynikająca z ustawy o rehabilitacji (...) udzielana dotychczas zgodnie z art. 33 i 34 rozporządzenia Komisji Europejskiej nr 651/2014, mogła być udzielana z pominięciem warunku dotyczącego sytuacji ekonomicznej jako pomoc, o której mowa w art. 50 rozporządzenia Komisji, pracodawcom znajdującym się w trudnej sytuacji ekonomicznej w rozumieniu rozporządzenia Komisji (UE) nr 651/2014, którzy prowadzą działalność na terenach gmin objętych powodzią. Nie jest planowane wydanie komunikatu przez Komisję Europejską w związku z uproszczonym trybem udzielania pomocy publicznej na podstawie art. 50 Komisji (UE) nr 651/2014. </w:t>
      </w:r>
    </w:p>
    <w:p w:rsidR="00D73C62" w:rsidRPr="00D73C62" w:rsidRDefault="00D73C62" w:rsidP="00D73C62">
      <w:pPr>
        <w:spacing w:after="0"/>
        <w:jc w:val="both"/>
        <w:rPr>
          <w:rFonts w:ascii="Arial" w:hAnsi="Arial" w:cs="Arial"/>
        </w:rPr>
      </w:pPr>
      <w:r w:rsidRPr="00D73C62">
        <w:rPr>
          <w:rFonts w:ascii="Arial" w:hAnsi="Arial" w:cs="Arial"/>
        </w:rPr>
        <w:t>XVI. Obrona narodowa</w:t>
      </w:r>
    </w:p>
    <w:p w:rsidR="00D73C62" w:rsidRPr="00D73C62" w:rsidRDefault="00D73C62" w:rsidP="00D73C62">
      <w:pPr>
        <w:spacing w:after="0"/>
        <w:jc w:val="both"/>
        <w:rPr>
          <w:rFonts w:ascii="Arial" w:hAnsi="Arial" w:cs="Arial"/>
        </w:rPr>
      </w:pPr>
      <w:r w:rsidRPr="00D73C62">
        <w:rPr>
          <w:rFonts w:ascii="Arial" w:hAnsi="Arial" w:cs="Arial"/>
        </w:rPr>
        <w:t>Sytuacja na obszarach dotkniętych przez powódź uzasadnia wprowadzenie regulacji, zgodnie z którą możliwe będzie udzielenie przez Ministra Obrony Narodowej, na wniosek wojewody, wsparcia finansowego w postaci dotacji celowej, w związku z likwidacją skutków powodzi, na dofinansowanie zadań inwestycyjnych w przedszkolach, szkołach, placówkach opiekuńczo-wychowawczych oraz żłobkach.</w:t>
      </w:r>
    </w:p>
    <w:p w:rsidR="00D73C62" w:rsidRPr="00D73C62" w:rsidRDefault="00D73C62" w:rsidP="00D73C62">
      <w:pPr>
        <w:spacing w:after="0"/>
        <w:jc w:val="both"/>
        <w:rPr>
          <w:rFonts w:ascii="Arial" w:hAnsi="Arial" w:cs="Arial"/>
        </w:rPr>
      </w:pPr>
      <w:r w:rsidRPr="00D73C62">
        <w:rPr>
          <w:rFonts w:ascii="Arial" w:hAnsi="Arial" w:cs="Arial"/>
        </w:rPr>
        <w:t xml:space="preserve">XVII. Zmiany w ustawie o informatyzacji działalności podmiotów realizujących zadania publiczne, ustawie o aplikacji </w:t>
      </w:r>
      <w:proofErr w:type="spellStart"/>
      <w:r w:rsidRPr="00D73C62">
        <w:rPr>
          <w:rFonts w:ascii="Arial" w:hAnsi="Arial" w:cs="Arial"/>
        </w:rPr>
        <w:t>mObywatel</w:t>
      </w:r>
      <w:proofErr w:type="spellEnd"/>
      <w:r w:rsidRPr="00D73C62">
        <w:rPr>
          <w:rFonts w:ascii="Arial" w:hAnsi="Arial" w:cs="Arial"/>
        </w:rPr>
        <w:t xml:space="preserve"> oraz ustawie o zmianie ustawy o dostępności cyfrowej stron internetowych i aplikacji mobilnych podmiotów publicznych oraz ustawy - Ordynacja podatkowa</w:t>
      </w:r>
    </w:p>
    <w:p w:rsidR="00D73C62" w:rsidRPr="00D73C62" w:rsidRDefault="00D73C62" w:rsidP="00D73C62">
      <w:pPr>
        <w:spacing w:after="0"/>
        <w:jc w:val="both"/>
        <w:rPr>
          <w:rFonts w:ascii="Arial" w:hAnsi="Arial" w:cs="Arial"/>
        </w:rPr>
      </w:pPr>
      <w:r w:rsidRPr="00D73C62">
        <w:rPr>
          <w:rFonts w:ascii="Arial" w:hAnsi="Arial" w:cs="Arial"/>
        </w:rPr>
        <w:t>1.</w:t>
      </w:r>
      <w:r w:rsidRPr="00D73C62">
        <w:rPr>
          <w:rFonts w:ascii="Arial" w:hAnsi="Arial" w:cs="Arial"/>
        </w:rPr>
        <w:tab/>
        <w:t>zmiany proponowane w ustawie o informatyzacji działalności podmiotów realizujących zadania publiczne dotyczą wprowadzenia uprawnienia dla ministra właściwego do spraw informatyzacji do udostępniania usług online przy wykorzystaniu systemów teleinformatycznych tego ministra. W skład tych usług wchodzi obsługa podań, w tym wniosków umożliwiających poszkodowanym uzyskanie wsparcia od państwa oraz usługi umożliwiające wykonanie przez ministrów kierujących działami administracji rządowej zadań związanych z m.in. z zapewnieniem bezpieczeństwa i porządku publicznego;</w:t>
      </w:r>
    </w:p>
    <w:p w:rsidR="00D73C62" w:rsidRPr="00D73C62" w:rsidRDefault="00D73C62" w:rsidP="00D73C62">
      <w:pPr>
        <w:spacing w:after="0"/>
        <w:jc w:val="both"/>
        <w:rPr>
          <w:rFonts w:ascii="Arial" w:hAnsi="Arial" w:cs="Arial"/>
        </w:rPr>
      </w:pPr>
      <w:r w:rsidRPr="00D73C62">
        <w:rPr>
          <w:rFonts w:ascii="Arial" w:hAnsi="Arial" w:cs="Arial"/>
        </w:rPr>
        <w:t>2.</w:t>
      </w:r>
      <w:r w:rsidRPr="00D73C62">
        <w:rPr>
          <w:rFonts w:ascii="Arial" w:hAnsi="Arial" w:cs="Arial"/>
        </w:rPr>
        <w:tab/>
        <w:t xml:space="preserve">proponowane zmiany w ustawie o aplikacji </w:t>
      </w:r>
      <w:proofErr w:type="spellStart"/>
      <w:r w:rsidRPr="00D73C62">
        <w:rPr>
          <w:rFonts w:ascii="Arial" w:hAnsi="Arial" w:cs="Arial"/>
        </w:rPr>
        <w:t>mObywatel</w:t>
      </w:r>
      <w:proofErr w:type="spellEnd"/>
      <w:r w:rsidRPr="00D73C62">
        <w:rPr>
          <w:rFonts w:ascii="Arial" w:hAnsi="Arial" w:cs="Arial"/>
        </w:rPr>
        <w:t xml:space="preserve">, mają na celu rozwój tej aplikacji przez rozszerzenie rodzaju usług udostępnianych w aplikacji </w:t>
      </w:r>
      <w:proofErr w:type="spellStart"/>
      <w:r w:rsidRPr="00D73C62">
        <w:rPr>
          <w:rFonts w:ascii="Arial" w:hAnsi="Arial" w:cs="Arial"/>
        </w:rPr>
        <w:t>mObywatel</w:t>
      </w:r>
      <w:proofErr w:type="spellEnd"/>
      <w:r w:rsidRPr="00D73C62">
        <w:rPr>
          <w:rFonts w:ascii="Arial" w:hAnsi="Arial" w:cs="Arial"/>
        </w:rPr>
        <w:t>;</w:t>
      </w:r>
    </w:p>
    <w:p w:rsidR="00D73C62" w:rsidRPr="00D73C62" w:rsidRDefault="00D73C62" w:rsidP="00D73C62">
      <w:pPr>
        <w:spacing w:after="0"/>
        <w:jc w:val="both"/>
        <w:rPr>
          <w:rFonts w:ascii="Arial" w:hAnsi="Arial" w:cs="Arial"/>
        </w:rPr>
      </w:pPr>
      <w:r w:rsidRPr="00D73C62">
        <w:rPr>
          <w:rFonts w:ascii="Arial" w:hAnsi="Arial" w:cs="Arial"/>
        </w:rPr>
        <w:t>3.</w:t>
      </w:r>
      <w:r w:rsidRPr="00D73C62">
        <w:rPr>
          <w:rFonts w:ascii="Arial" w:hAnsi="Arial" w:cs="Arial"/>
        </w:rPr>
        <w:tab/>
        <w:t xml:space="preserve">proponowane zmiany w ustawie o zmianie ustawy o dostępności cyfrowej stron internetowych i aplikacji mobilnych podmiotów publicznych oraz ustawy - Ordynacja podatkowa umożliwiają przedłużenie pilotażu dotyczącego dokonywania płatności elektronicznych na rzecz podmiotów publicznych. Obsługa elektronicznych transakcji płatniczych realizowanych na rzecz podmiotów publicznych będzie zadaniem Banku Gospodarstwa Krajowego (BGK), wykonywanym na podstawie umowy zawartej z ministrem właściwym do spraw informatyzacji, której warunki i zakres są określone w ustawie. BGK za </w:t>
      </w:r>
      <w:r w:rsidRPr="00D73C62">
        <w:rPr>
          <w:rFonts w:ascii="Arial" w:hAnsi="Arial" w:cs="Arial"/>
        </w:rPr>
        <w:lastRenderedPageBreak/>
        <w:t>zrealizowanie transakcji będzie przysługiwało wynagrodzenie ze środków budżetu państwa, z części, której dysponentem jest minister właściwy do spraw informatyzacji, przy czym zgodnie z projektowaną regulacją wysokość tego wynagrodzenia nie może przekroczyć 0,10 zł od pojedynczej transakcji.</w:t>
      </w:r>
    </w:p>
    <w:p w:rsidR="00D73C62" w:rsidRPr="00D73C62" w:rsidRDefault="00D73C62" w:rsidP="00D73C62">
      <w:pPr>
        <w:spacing w:after="0"/>
        <w:jc w:val="both"/>
        <w:rPr>
          <w:rFonts w:ascii="Arial" w:hAnsi="Arial" w:cs="Arial"/>
        </w:rPr>
      </w:pPr>
      <w:r w:rsidRPr="00D73C62">
        <w:rPr>
          <w:rFonts w:ascii="Arial" w:hAnsi="Arial" w:cs="Arial"/>
        </w:rPr>
        <w:t xml:space="preserve">XVIII. Gospodarka nieruchomościami, mieszkalnictwo i budownictwo </w:t>
      </w:r>
    </w:p>
    <w:p w:rsidR="00D73C62" w:rsidRPr="00D73C62" w:rsidRDefault="00D73C62" w:rsidP="00D73C62">
      <w:pPr>
        <w:spacing w:after="0"/>
        <w:jc w:val="both"/>
        <w:rPr>
          <w:rFonts w:ascii="Arial" w:hAnsi="Arial" w:cs="Arial"/>
        </w:rPr>
      </w:pPr>
      <w:r w:rsidRPr="00D73C62">
        <w:rPr>
          <w:rFonts w:ascii="Arial" w:hAnsi="Arial" w:cs="Arial"/>
        </w:rPr>
        <w:t>1)</w:t>
      </w:r>
      <w:r w:rsidRPr="00D73C62">
        <w:rPr>
          <w:rFonts w:ascii="Arial" w:hAnsi="Arial" w:cs="Arial"/>
        </w:rPr>
        <w:tab/>
        <w:t>nowelizacja ustawy o szczególnych rozwiązaniach związanych z usuwaniem skutków powodzi oraz niektórych innych ustaw</w:t>
      </w:r>
    </w:p>
    <w:p w:rsidR="00D73C62" w:rsidRPr="00D73C62" w:rsidRDefault="00D73C62" w:rsidP="00D73C62">
      <w:pPr>
        <w:spacing w:after="0"/>
        <w:jc w:val="both"/>
        <w:rPr>
          <w:rFonts w:ascii="Arial" w:hAnsi="Arial" w:cs="Arial"/>
        </w:rPr>
      </w:pPr>
      <w:r w:rsidRPr="00D73C62">
        <w:rPr>
          <w:rFonts w:ascii="Arial" w:hAnsi="Arial" w:cs="Arial"/>
        </w:rPr>
        <w:t>A) Projektowane zmiany przewidują pomniejszenie należnych od osób poszkodowanych powodzią opłat za użytkowanie wieczyste oraz za przekształcenie prawa użytkowania wieczystego w prawo własności proporcjonalnie do czasu trwania stanu klęski żywiołowej. Mając jednocześnie na uwadze, że termin płatności tych świadczeń za rok 2024 upłynął w dniu 1 kwietnia 2024 r., rozliczenie tej ulgi odbędzie się poprzez skompensowanie wartości pomniejszenia w należnościach odpowiednio z tytułu użytkowania wieczystego lub przekształcenia prawa użytkowania wieczystego w prawo własności za rok 2025.</w:t>
      </w:r>
    </w:p>
    <w:p w:rsidR="00D73C62" w:rsidRPr="00D73C62" w:rsidRDefault="00D73C62" w:rsidP="00D73C62">
      <w:pPr>
        <w:spacing w:after="0"/>
        <w:jc w:val="both"/>
        <w:rPr>
          <w:rFonts w:ascii="Arial" w:hAnsi="Arial" w:cs="Arial"/>
        </w:rPr>
      </w:pPr>
      <w:r w:rsidRPr="00D73C62">
        <w:rPr>
          <w:rFonts w:ascii="Arial" w:hAnsi="Arial" w:cs="Arial"/>
        </w:rPr>
        <w:t>Zaproponowano ponadto zmniejszenie zobowiązań podmiotów poszkodowanych, z tytułu najmu, dzierżawy oraz użytkowania gruntów należących do zasobu Skarbu Państwa. Celem tej preferencji jest zwolnienie osób uprawnionych ze świadczenia na rzecz publicznego właściciela gruntu za okres pełnych miesięcy w roku 2024, w których obowiązywał stan klęski żywiołowej. W przypadku, gdy świadczenie rozliczane jest w cyklach dłuższych niż jeden miesiąc, zobowiązanie będzie podlegało zmniejszeniu proporcjonalnie do pełnych miesięcy, w których obowiązywał stan klęski żywiołowej.</w:t>
      </w:r>
    </w:p>
    <w:p w:rsidR="00D73C62" w:rsidRPr="00D73C62" w:rsidRDefault="00D73C62" w:rsidP="00D73C62">
      <w:pPr>
        <w:spacing w:after="0"/>
        <w:jc w:val="both"/>
        <w:rPr>
          <w:rFonts w:ascii="Arial" w:hAnsi="Arial" w:cs="Arial"/>
        </w:rPr>
      </w:pPr>
      <w:r w:rsidRPr="00D73C62">
        <w:rPr>
          <w:rFonts w:ascii="Arial" w:hAnsi="Arial" w:cs="Arial"/>
        </w:rPr>
        <w:t>Projekt przewiduje również możliwość udzielenia analogicznych preferencji w odniesieniu do nieruchomości stanowiących własność jednostek samorządu terytorialnego.</w:t>
      </w:r>
    </w:p>
    <w:p w:rsidR="00D73C62" w:rsidRPr="00D73C62" w:rsidRDefault="00D73C62" w:rsidP="00D73C62">
      <w:pPr>
        <w:spacing w:after="0"/>
        <w:jc w:val="both"/>
        <w:rPr>
          <w:rFonts w:ascii="Arial" w:hAnsi="Arial" w:cs="Arial"/>
        </w:rPr>
      </w:pPr>
      <w:r w:rsidRPr="00D73C62">
        <w:rPr>
          <w:rFonts w:ascii="Arial" w:hAnsi="Arial" w:cs="Arial"/>
        </w:rPr>
        <w:t>W przypadku, gdy stan klęski żywiołowej będzie obowiązywał przez 60 dni w roku 2024, przykładowa wartość pomniejszenia opłaty rocznej z tytułu użytkowania wieczystego oraz za przekształcenie tego prawa we własność wynosić będzie:</w:t>
      </w:r>
    </w:p>
    <w:p w:rsidR="00D73C62" w:rsidRPr="00D73C62" w:rsidRDefault="00D73C62" w:rsidP="00D73C62">
      <w:pPr>
        <w:spacing w:after="0"/>
        <w:jc w:val="both"/>
        <w:rPr>
          <w:rFonts w:ascii="Arial" w:hAnsi="Arial" w:cs="Arial"/>
        </w:rPr>
      </w:pPr>
      <w:r w:rsidRPr="00D73C62">
        <w:rPr>
          <w:rFonts w:ascii="Arial" w:hAnsi="Arial" w:cs="Arial"/>
        </w:rPr>
        <w:t>- przy założeniu, że wysokość tej opłaty wynosi 1.000 złotych – 164 zł (1.000 zł / 366 dni x 60 dni)</w:t>
      </w:r>
    </w:p>
    <w:p w:rsidR="00D73C62" w:rsidRPr="00D73C62" w:rsidRDefault="00D73C62" w:rsidP="00D73C62">
      <w:pPr>
        <w:spacing w:after="0"/>
        <w:jc w:val="both"/>
        <w:rPr>
          <w:rFonts w:ascii="Arial" w:hAnsi="Arial" w:cs="Arial"/>
        </w:rPr>
      </w:pPr>
      <w:r w:rsidRPr="00D73C62">
        <w:rPr>
          <w:rFonts w:ascii="Arial" w:hAnsi="Arial" w:cs="Arial"/>
        </w:rPr>
        <w:t>- przy założeniu, że wysokość tej opłaty wynosi 10.000 złotych – 1.639 zł (10.000 zł / 366 dni x 60 dni)</w:t>
      </w:r>
    </w:p>
    <w:p w:rsidR="00D73C62" w:rsidRPr="00D73C62" w:rsidRDefault="00D73C62" w:rsidP="00D73C62">
      <w:pPr>
        <w:spacing w:after="0"/>
        <w:jc w:val="both"/>
        <w:rPr>
          <w:rFonts w:ascii="Arial" w:hAnsi="Arial" w:cs="Arial"/>
        </w:rPr>
      </w:pPr>
      <w:r w:rsidRPr="00D73C62">
        <w:rPr>
          <w:rFonts w:ascii="Arial" w:hAnsi="Arial" w:cs="Arial"/>
        </w:rPr>
        <w:t>- przy założeniu, że wysokość tej opłaty wynosi 30.000 złotych – 4.918 zł (30.000 zł / 366 dni x 60 dni).</w:t>
      </w:r>
    </w:p>
    <w:p w:rsidR="00D73C62" w:rsidRPr="00D73C62" w:rsidRDefault="00D73C62" w:rsidP="00D73C62">
      <w:pPr>
        <w:spacing w:after="0"/>
        <w:jc w:val="both"/>
        <w:rPr>
          <w:rFonts w:ascii="Arial" w:hAnsi="Arial" w:cs="Arial"/>
        </w:rPr>
      </w:pPr>
      <w:r w:rsidRPr="00D73C62">
        <w:rPr>
          <w:rFonts w:ascii="Arial" w:hAnsi="Arial" w:cs="Arial"/>
        </w:rPr>
        <w:t>W przypadku, gdy stan klęski żywiołowej obowiązywałby przez okres 60 dni (od września do listopada 2024 r.) najemcy, dzierżawcy oraz użytkownicy wieczyści będą zwolnieni z czynszów lub opłat z tytułu najmu, dzierżawy lub użytkowania za okres 3 miesięcy w roku 2024.</w:t>
      </w:r>
    </w:p>
    <w:p w:rsidR="00D73C62" w:rsidRPr="00D73C62" w:rsidRDefault="00D73C62" w:rsidP="00D73C62">
      <w:pPr>
        <w:spacing w:after="0"/>
        <w:jc w:val="both"/>
        <w:rPr>
          <w:rFonts w:ascii="Arial" w:hAnsi="Arial" w:cs="Arial"/>
        </w:rPr>
      </w:pPr>
      <w:r w:rsidRPr="00D73C62">
        <w:rPr>
          <w:rFonts w:ascii="Arial" w:hAnsi="Arial" w:cs="Arial"/>
        </w:rPr>
        <w:t>Wartość ulgi przypadku czynszu lub opłaty z tytułu najmu, dzierżawy lub użytkowania wynosić będzie:</w:t>
      </w:r>
    </w:p>
    <w:p w:rsidR="00D73C62" w:rsidRPr="00D73C62" w:rsidRDefault="00D73C62" w:rsidP="00D73C62">
      <w:pPr>
        <w:spacing w:after="0"/>
        <w:jc w:val="both"/>
        <w:rPr>
          <w:rFonts w:ascii="Arial" w:hAnsi="Arial" w:cs="Arial"/>
        </w:rPr>
      </w:pPr>
      <w:r w:rsidRPr="00D73C62">
        <w:rPr>
          <w:rFonts w:ascii="Arial" w:hAnsi="Arial" w:cs="Arial"/>
        </w:rPr>
        <w:t>- jeżeli wysokość świadczenia w cyklu miesięcznym wynosi 1.000 zł – 3.000 zł (1.000 zł x 3 miesiące)</w:t>
      </w:r>
    </w:p>
    <w:p w:rsidR="00D73C62" w:rsidRPr="00D73C62" w:rsidRDefault="00D73C62" w:rsidP="00D73C62">
      <w:pPr>
        <w:spacing w:after="0"/>
        <w:jc w:val="both"/>
        <w:rPr>
          <w:rFonts w:ascii="Arial" w:hAnsi="Arial" w:cs="Arial"/>
        </w:rPr>
      </w:pPr>
      <w:r w:rsidRPr="00D73C62">
        <w:rPr>
          <w:rFonts w:ascii="Arial" w:hAnsi="Arial" w:cs="Arial"/>
        </w:rPr>
        <w:t>- jeżeli wysokość świadczenia w cyklu miesięcznym wynosi 3.000 zł – 9.000 zł (3.000 zł x 3 miesiące).</w:t>
      </w:r>
    </w:p>
    <w:p w:rsidR="00D73C62" w:rsidRPr="00D73C62" w:rsidRDefault="00D73C62" w:rsidP="00D73C62">
      <w:pPr>
        <w:spacing w:after="0"/>
        <w:jc w:val="both"/>
        <w:rPr>
          <w:rFonts w:ascii="Arial" w:hAnsi="Arial" w:cs="Arial"/>
        </w:rPr>
      </w:pPr>
      <w:r w:rsidRPr="00D73C62">
        <w:rPr>
          <w:rFonts w:ascii="Arial" w:hAnsi="Arial" w:cs="Arial"/>
        </w:rPr>
        <w:t>B) W odniesieniu do należności z tytułu oddania nieruchomości w najem, dzierżawę lub użytkowanie możliwe będzie umarzanie w całości albo w części, odroczenie spłaty lub rozłożenie na raty, a także odstąpienie od dochodzenia należności, bez zgody wojewody. W przypadku należności jednostek samorządu terytorialnego – do czasu podjęcia stosownej uchwały - decyzję o udzieleniu ulgi będzie mógł samodzielnie podjąć organ wykonawczy tej jednostki (wójt, burmistrz, prezydenta miasta).</w:t>
      </w:r>
    </w:p>
    <w:p w:rsidR="00D73C62" w:rsidRPr="00D73C62" w:rsidRDefault="00D73C62" w:rsidP="00D73C62">
      <w:pPr>
        <w:spacing w:after="0"/>
        <w:jc w:val="both"/>
        <w:rPr>
          <w:rFonts w:ascii="Arial" w:hAnsi="Arial" w:cs="Arial"/>
        </w:rPr>
      </w:pPr>
      <w:r w:rsidRPr="00D73C62">
        <w:rPr>
          <w:rFonts w:ascii="Arial" w:hAnsi="Arial" w:cs="Arial"/>
        </w:rPr>
        <w:lastRenderedPageBreak/>
        <w:t>2)</w:t>
      </w:r>
      <w:r w:rsidRPr="00D73C62">
        <w:rPr>
          <w:rFonts w:ascii="Arial" w:hAnsi="Arial" w:cs="Arial"/>
        </w:rPr>
        <w:tab/>
        <w:t xml:space="preserve">Nowelizacja ustawy z dnia 21 sierpnia 1997 r. o gospodarce nieruchomościami. </w:t>
      </w:r>
    </w:p>
    <w:p w:rsidR="00D73C62" w:rsidRPr="00D73C62" w:rsidRDefault="00D73C62" w:rsidP="00D73C62">
      <w:pPr>
        <w:spacing w:after="0"/>
        <w:jc w:val="both"/>
        <w:rPr>
          <w:rFonts w:ascii="Arial" w:hAnsi="Arial" w:cs="Arial"/>
        </w:rPr>
      </w:pPr>
      <w:r w:rsidRPr="00D73C62">
        <w:rPr>
          <w:rFonts w:ascii="Arial" w:hAnsi="Arial" w:cs="Arial"/>
        </w:rPr>
        <w:t xml:space="preserve">W ustawie z dnia 21 sierpnia 1997 r. o gospodarce nieruchomościami proponuje się przywrócenie brzmienia art. 10 ust. 5 ustawy sprzed nowelizacji dokonanej ustawą z dnia 26 maja 2023 r. o zmianie ustawy o samorządzie gminnym, ustawy o społecznych formach rozwoju mieszkalnictwa, ustawy o gospodarce nieruchomościami, ustawy o podatku od czynności cywilnoprawnych oraz niektórych innych ustaw oraz dodanie do art. 69a ust. 1a. Rozwiązanie to w pełni koresponduje z intencją ustawodawcy oraz zakresem uzgodnień z Komisją Europejską w procesie negocjacji rynkowego modelu odpłatności za grunty wykorzystywane do prowadzenia działalności gospodarczej, jak również przyczyni się do wsparcia spółek komunalnych w realizacji zadań publicznych w okresie usuwania skutków powodzi, w tym poprzez poprawę dostępności gruntów pod budownictwo mieszkaniowe. </w:t>
      </w:r>
    </w:p>
    <w:p w:rsidR="00D73C62" w:rsidRPr="00D73C62" w:rsidRDefault="00D73C62" w:rsidP="00D73C62">
      <w:pPr>
        <w:spacing w:after="0"/>
        <w:jc w:val="both"/>
        <w:rPr>
          <w:rFonts w:ascii="Arial" w:hAnsi="Arial" w:cs="Arial"/>
        </w:rPr>
      </w:pPr>
      <w:r w:rsidRPr="00D73C62">
        <w:rPr>
          <w:rFonts w:ascii="Arial" w:hAnsi="Arial" w:cs="Arial"/>
        </w:rPr>
        <w:t>3)</w:t>
      </w:r>
      <w:r w:rsidRPr="00D73C62">
        <w:rPr>
          <w:rFonts w:ascii="Arial" w:hAnsi="Arial" w:cs="Arial"/>
        </w:rPr>
        <w:tab/>
        <w:t>Nowelizacja ustawy z dnia 5 lipca 2018 r. o ułatwieniach w przygotowaniu i realizacji inwestycji mieszkaniowych oraz inwestycji towarzyszących.</w:t>
      </w:r>
    </w:p>
    <w:p w:rsidR="00D73C62" w:rsidRPr="00D73C62" w:rsidRDefault="00D73C62" w:rsidP="00D73C62">
      <w:pPr>
        <w:spacing w:after="0"/>
        <w:jc w:val="both"/>
        <w:rPr>
          <w:rFonts w:ascii="Arial" w:hAnsi="Arial" w:cs="Arial"/>
        </w:rPr>
      </w:pPr>
      <w:r w:rsidRPr="00D73C62">
        <w:rPr>
          <w:rFonts w:ascii="Arial" w:hAnsi="Arial" w:cs="Arial"/>
        </w:rPr>
        <w:t>Przewiduje się rezygnację z określania na poziomie krajowym minimalnego współczynnika liczby miejsc postojowych przewidzianych do realizacji w ramach inwestycji mieszkaniowej i powrót do zasad obowiązujących przed 2023 rokiem. W uchwałach o ustaleniu lokalizacji inwestycji mieszkaniowej przyjmowanych na podstawie ustawy mieszkaniowej nadal będzie ustalana minimalna liczba miejsc postojowych, pozostanie także przepis upoważniający radę gminy do określenia w lokalnych standardach urbanistycznych liczby miejsc postojowych niezbędnych dla obsługi realizowanej inwestycji mieszkaniowej.</w:t>
      </w:r>
    </w:p>
    <w:p w:rsidR="00D73C62" w:rsidRPr="00D73C62" w:rsidRDefault="00D73C62" w:rsidP="00D73C62">
      <w:pPr>
        <w:spacing w:after="0"/>
        <w:jc w:val="both"/>
        <w:rPr>
          <w:rFonts w:ascii="Arial" w:hAnsi="Arial" w:cs="Arial"/>
        </w:rPr>
      </w:pPr>
      <w:r w:rsidRPr="00D73C62">
        <w:rPr>
          <w:rFonts w:ascii="Arial" w:hAnsi="Arial" w:cs="Arial"/>
        </w:rPr>
        <w:t>4)</w:t>
      </w:r>
      <w:r w:rsidRPr="00D73C62">
        <w:rPr>
          <w:rFonts w:ascii="Arial" w:hAnsi="Arial" w:cs="Arial"/>
        </w:rPr>
        <w:tab/>
        <w:t>Nowelizacja ustawy z dnia 16 września 2011 r. o szczególnych rozwiązaniach związanych usuwaniem skutków powodzi.</w:t>
      </w:r>
    </w:p>
    <w:p w:rsidR="00D73C62" w:rsidRPr="00D73C62" w:rsidRDefault="00D73C62" w:rsidP="00D73C62">
      <w:pPr>
        <w:spacing w:after="0"/>
        <w:jc w:val="both"/>
        <w:rPr>
          <w:rFonts w:ascii="Arial" w:hAnsi="Arial" w:cs="Arial"/>
        </w:rPr>
      </w:pPr>
      <w:r w:rsidRPr="00D73C62">
        <w:rPr>
          <w:rFonts w:ascii="Arial" w:hAnsi="Arial" w:cs="Arial"/>
        </w:rPr>
        <w:t>Dla inwestycji związanych z usuwaniem skutków powodzi w budynkach wielorodzinnych proponuje się uchylenie ogólnej zasady braku możliwości rozpoczęcia inwestycji przed przyznaniem finansowego wsparcia w formie premii MZG.</w:t>
      </w:r>
    </w:p>
    <w:p w:rsidR="00D73C62" w:rsidRPr="00D73C62" w:rsidRDefault="00D73C62" w:rsidP="00D73C62">
      <w:pPr>
        <w:spacing w:after="0"/>
        <w:jc w:val="both"/>
        <w:rPr>
          <w:rFonts w:ascii="Arial" w:hAnsi="Arial" w:cs="Arial"/>
        </w:rPr>
      </w:pPr>
      <w:r w:rsidRPr="00D73C62">
        <w:rPr>
          <w:rFonts w:ascii="Arial" w:hAnsi="Arial" w:cs="Arial"/>
        </w:rPr>
        <w:t>5)</w:t>
      </w:r>
      <w:r w:rsidRPr="00D73C62">
        <w:rPr>
          <w:rFonts w:ascii="Arial" w:hAnsi="Arial" w:cs="Arial"/>
        </w:rPr>
        <w:tab/>
        <w:t>Zmiany w ustawie z dnia 11 sierpnia 2001 r. o szczególnych zasadach odbudowy, remontów i rozbiórek obiektów budowlanych zniszczonych lub uszkodzonych w wyniku działania żywiołu</w:t>
      </w:r>
    </w:p>
    <w:p w:rsidR="00D73C62" w:rsidRPr="00D73C62" w:rsidRDefault="00D73C62" w:rsidP="00D73C62">
      <w:pPr>
        <w:spacing w:after="0"/>
        <w:jc w:val="both"/>
        <w:rPr>
          <w:rFonts w:ascii="Arial" w:hAnsi="Arial" w:cs="Arial"/>
        </w:rPr>
      </w:pPr>
      <w:r w:rsidRPr="00D73C62">
        <w:rPr>
          <w:rFonts w:ascii="Arial" w:hAnsi="Arial" w:cs="Arial"/>
        </w:rPr>
        <w:t>Zmiany wprowadzane w ustawie o szczególnych zasadach odbudowy, remontów i rozbiórek obiektów budowlanych zniszczonych lub uszkodzonych w wyniku działania żywiołu obejmują w szczególności:</w:t>
      </w:r>
    </w:p>
    <w:p w:rsidR="00D73C62" w:rsidRPr="00D73C62" w:rsidRDefault="00D73C62" w:rsidP="00D73C62">
      <w:pPr>
        <w:spacing w:after="0"/>
        <w:jc w:val="both"/>
        <w:rPr>
          <w:rFonts w:ascii="Arial" w:hAnsi="Arial" w:cs="Arial"/>
        </w:rPr>
      </w:pPr>
      <w:r w:rsidRPr="00D73C62">
        <w:rPr>
          <w:rFonts w:ascii="Arial" w:hAnsi="Arial" w:cs="Arial"/>
        </w:rPr>
        <w:t>1.</w:t>
      </w:r>
      <w:r w:rsidRPr="00D73C62">
        <w:rPr>
          <w:rFonts w:ascii="Arial" w:hAnsi="Arial" w:cs="Arial"/>
        </w:rPr>
        <w:tab/>
        <w:t>zwolnienie remontu wszystkich uszkodzonych w wyniku działania żywiołu obiektów budowlanych z obowiązku uzyskania pozwolenia na budowę i zgłoszenia organowi administracji architektoniczno-budowlanej;</w:t>
      </w:r>
    </w:p>
    <w:p w:rsidR="00D73C62" w:rsidRPr="00D73C62" w:rsidRDefault="00D73C62" w:rsidP="00D73C62">
      <w:pPr>
        <w:spacing w:after="0"/>
        <w:jc w:val="both"/>
        <w:rPr>
          <w:rFonts w:ascii="Arial" w:hAnsi="Arial" w:cs="Arial"/>
        </w:rPr>
      </w:pPr>
      <w:r w:rsidRPr="00D73C62">
        <w:rPr>
          <w:rFonts w:ascii="Arial" w:hAnsi="Arial" w:cs="Arial"/>
        </w:rPr>
        <w:t>2.</w:t>
      </w:r>
      <w:r w:rsidRPr="00D73C62">
        <w:rPr>
          <w:rFonts w:ascii="Arial" w:hAnsi="Arial" w:cs="Arial"/>
        </w:rPr>
        <w:tab/>
        <w:t>usprawnienie procedur rozbiórki obiektów budowlanych uszkodzonych w wyniku działania żywiołu;</w:t>
      </w:r>
    </w:p>
    <w:p w:rsidR="00D73C62" w:rsidRPr="00D73C62" w:rsidRDefault="00D73C62" w:rsidP="00D73C62">
      <w:pPr>
        <w:spacing w:after="0"/>
        <w:jc w:val="both"/>
        <w:rPr>
          <w:rFonts w:ascii="Arial" w:hAnsi="Arial" w:cs="Arial"/>
        </w:rPr>
      </w:pPr>
      <w:r w:rsidRPr="00D73C62">
        <w:rPr>
          <w:rFonts w:ascii="Arial" w:hAnsi="Arial" w:cs="Arial"/>
        </w:rPr>
        <w:t>3.</w:t>
      </w:r>
      <w:r w:rsidRPr="00D73C62">
        <w:rPr>
          <w:rFonts w:ascii="Arial" w:hAnsi="Arial" w:cs="Arial"/>
        </w:rPr>
        <w:tab/>
        <w:t>uproszczenie zasad odbudowy uszkodzonych w wyniku działania żywiołu obiektów budowlanych;</w:t>
      </w:r>
    </w:p>
    <w:p w:rsidR="00D73C62" w:rsidRPr="00D73C62" w:rsidRDefault="00D73C62" w:rsidP="00D73C62">
      <w:pPr>
        <w:spacing w:after="0"/>
        <w:jc w:val="both"/>
        <w:rPr>
          <w:rFonts w:ascii="Arial" w:hAnsi="Arial" w:cs="Arial"/>
        </w:rPr>
      </w:pPr>
      <w:r w:rsidRPr="00D73C62">
        <w:rPr>
          <w:rFonts w:ascii="Arial" w:hAnsi="Arial" w:cs="Arial"/>
        </w:rPr>
        <w:t>4.</w:t>
      </w:r>
      <w:r w:rsidRPr="00D73C62">
        <w:rPr>
          <w:rFonts w:ascii="Arial" w:hAnsi="Arial" w:cs="Arial"/>
        </w:rPr>
        <w:tab/>
        <w:t>wyłączenie stosowania przepisów o katastrofach budowlanych w stosunku do obiektów budowlanych uszkodzonych w wyniku działania żywiołu;</w:t>
      </w:r>
    </w:p>
    <w:p w:rsidR="00D73C62" w:rsidRPr="00D73C62" w:rsidRDefault="00D73C62" w:rsidP="00D73C62">
      <w:pPr>
        <w:spacing w:after="0"/>
        <w:jc w:val="both"/>
        <w:rPr>
          <w:rFonts w:ascii="Arial" w:hAnsi="Arial" w:cs="Arial"/>
        </w:rPr>
      </w:pPr>
      <w:r w:rsidRPr="00D73C62">
        <w:rPr>
          <w:rFonts w:ascii="Arial" w:hAnsi="Arial" w:cs="Arial"/>
        </w:rPr>
        <w:t>5.</w:t>
      </w:r>
      <w:r w:rsidRPr="00D73C62">
        <w:rPr>
          <w:rFonts w:ascii="Arial" w:hAnsi="Arial" w:cs="Arial"/>
        </w:rPr>
        <w:tab/>
        <w:t>uchylenie definicji obiektu liniowego.</w:t>
      </w:r>
    </w:p>
    <w:p w:rsidR="00D73C62" w:rsidRPr="00D73C62" w:rsidRDefault="00D73C62" w:rsidP="00D73C62">
      <w:pPr>
        <w:spacing w:after="0"/>
        <w:jc w:val="both"/>
        <w:rPr>
          <w:rFonts w:ascii="Arial" w:hAnsi="Arial" w:cs="Arial"/>
        </w:rPr>
      </w:pPr>
      <w:r w:rsidRPr="00D73C62">
        <w:rPr>
          <w:rFonts w:ascii="Arial" w:hAnsi="Arial" w:cs="Arial"/>
        </w:rPr>
        <w:t>Ad 1.</w:t>
      </w:r>
    </w:p>
    <w:p w:rsidR="00D73C62" w:rsidRPr="00D73C62" w:rsidRDefault="00D73C62" w:rsidP="00D73C62">
      <w:pPr>
        <w:spacing w:after="0"/>
        <w:jc w:val="both"/>
        <w:rPr>
          <w:rFonts w:ascii="Arial" w:hAnsi="Arial" w:cs="Arial"/>
        </w:rPr>
      </w:pPr>
      <w:r w:rsidRPr="00D73C62">
        <w:rPr>
          <w:rFonts w:ascii="Arial" w:hAnsi="Arial" w:cs="Arial"/>
        </w:rPr>
        <w:t>Obecnie zgodnie z ustawą o szczególnych zasadach odbudowy, remontów i rozbiórek obiektów budowlanych zniszczonych lub uszkodzonych w wyniku działania żywiołu jedynie niektóre remonty nie wymagają dokonania zgłoszenia, np. remonty obiektów liniowych, obiektów budowlanych o kubaturze mniejszej niż 1000 m3 i nie wyższych niż 12 m nad poziomem terenu.</w:t>
      </w:r>
    </w:p>
    <w:p w:rsidR="00D73C62" w:rsidRPr="00D73C62" w:rsidRDefault="00D73C62" w:rsidP="00D73C62">
      <w:pPr>
        <w:spacing w:after="0"/>
        <w:jc w:val="both"/>
        <w:rPr>
          <w:rFonts w:ascii="Arial" w:hAnsi="Arial" w:cs="Arial"/>
        </w:rPr>
      </w:pPr>
      <w:r w:rsidRPr="00D73C62">
        <w:rPr>
          <w:rFonts w:ascii="Arial" w:hAnsi="Arial" w:cs="Arial"/>
        </w:rPr>
        <w:lastRenderedPageBreak/>
        <w:t>Powyższa regulacja jest bardziej restrykcyjna niż regulacje zawarte obecnie w przepisach ustawy z dnia 7 lipca 1994 r. – Prawo budowlane, gdzie duża część remontów jest zwolniona z pozwolenia na budowę i zgłoszenia. Niektóre remonty na podstawie ustawy z dnia 7 lipca 1994 r. – Prawo budowlane wymagają dokonania zgłoszenia, tj. remont budowli, których budowa wymaga uzyskania decyzji o pozwoleniu na budowę oraz remont budynków, których budowa wymaga uzyskania decyzji o pozwoleniu na budowę – w zakresie przegród zewnętrznych albo elementów konstrukcyjnych.</w:t>
      </w:r>
    </w:p>
    <w:p w:rsidR="00D73C62" w:rsidRPr="00D73C62" w:rsidRDefault="00D73C62" w:rsidP="00D73C62">
      <w:pPr>
        <w:spacing w:after="0"/>
        <w:jc w:val="both"/>
        <w:rPr>
          <w:rFonts w:ascii="Arial" w:hAnsi="Arial" w:cs="Arial"/>
        </w:rPr>
      </w:pPr>
      <w:r w:rsidRPr="00D73C62">
        <w:rPr>
          <w:rFonts w:ascii="Arial" w:hAnsi="Arial" w:cs="Arial"/>
        </w:rPr>
        <w:t>Z uwagi na pilną potrzebę rozpoczęcia prac remontowych obiektów budowlanych, których stan techniczny pogorszył się w wyniku działania żywiołu, proponuje się zwolnić każdy remont z pozwolenia na budowę i zgłoszenia, aby umożliwić jak najszybsze przeprowadzenie remontów.</w:t>
      </w:r>
    </w:p>
    <w:p w:rsidR="00D73C62" w:rsidRPr="00D73C62" w:rsidRDefault="00D73C62" w:rsidP="00D73C62">
      <w:pPr>
        <w:spacing w:after="0"/>
        <w:jc w:val="both"/>
        <w:rPr>
          <w:rFonts w:ascii="Arial" w:hAnsi="Arial" w:cs="Arial"/>
        </w:rPr>
      </w:pPr>
      <w:r w:rsidRPr="00D73C62">
        <w:rPr>
          <w:rFonts w:ascii="Arial" w:hAnsi="Arial" w:cs="Arial"/>
        </w:rPr>
        <w:t>Ad 2.</w:t>
      </w:r>
    </w:p>
    <w:p w:rsidR="00D73C62" w:rsidRPr="00D73C62" w:rsidRDefault="00D73C62" w:rsidP="00D73C62">
      <w:pPr>
        <w:spacing w:after="0"/>
        <w:jc w:val="both"/>
        <w:rPr>
          <w:rFonts w:ascii="Arial" w:hAnsi="Arial" w:cs="Arial"/>
        </w:rPr>
      </w:pPr>
      <w:r w:rsidRPr="00D73C62">
        <w:rPr>
          <w:rFonts w:ascii="Arial" w:hAnsi="Arial" w:cs="Arial"/>
        </w:rPr>
        <w:t>Proponuje się wprowadzić przepis zwalniający rozbiórkę niektórych obiektów budowlanych z obowiązku dokonania pozwolenia na rozbiórkę lub dokonania zgłoszenia.</w:t>
      </w:r>
    </w:p>
    <w:p w:rsidR="00D73C62" w:rsidRPr="00D73C62" w:rsidRDefault="00D73C62" w:rsidP="00D73C62">
      <w:pPr>
        <w:spacing w:after="0"/>
        <w:jc w:val="both"/>
        <w:rPr>
          <w:rFonts w:ascii="Arial" w:hAnsi="Arial" w:cs="Arial"/>
        </w:rPr>
      </w:pPr>
      <w:r w:rsidRPr="00D73C62">
        <w:rPr>
          <w:rFonts w:ascii="Arial" w:hAnsi="Arial" w:cs="Arial"/>
        </w:rPr>
        <w:t>Zgodnie z art. 8 ust. 4 ustawy o szczególnych zasadach odbudowy, remontów i rozbiórek obiektów budowlanych zniszczonych lub uszkodzonych w wyniku działania żywiołu wymaga dokonania zgłoszenia rozbiórka obiektów budowlanych objętych, zgodnie z przepisami ustawy z dnia 7 lipca 1994 r. – Prawo budowlane, obowiązkiem uzyskania pozwolenia na budowę albo dokonania zgłoszenia.</w:t>
      </w:r>
    </w:p>
    <w:p w:rsidR="00D73C62" w:rsidRPr="00D73C62" w:rsidRDefault="00D73C62" w:rsidP="00D73C62">
      <w:pPr>
        <w:spacing w:after="0"/>
        <w:jc w:val="both"/>
        <w:rPr>
          <w:rFonts w:ascii="Arial" w:hAnsi="Arial" w:cs="Arial"/>
        </w:rPr>
      </w:pPr>
      <w:r w:rsidRPr="00D73C62">
        <w:rPr>
          <w:rFonts w:ascii="Arial" w:hAnsi="Arial" w:cs="Arial"/>
        </w:rPr>
        <w:t>Proponuje się wyłączyć z obowiązku uzyskania pozwolenia na rozbiórkę oraz dokonania zgłoszenia rozbiórki rozbiórkę budynków mieszkalnych jednorodzinnych oraz budynków i budowli, niebędących obiektami wpisanymi do rejestru zabytków lub nieobjętych ochroną konserwatorską, o wysokości poniżej 8 m, jeżeli ich odległość od granicy działki jest nie mniejsza niż połowa wysokości. Jednocześnie o przystąpieniu do rozbiórki ww. obiektów budowlanych inwestor będzie zobowiązany poinformować organ administracji architektoniczno-budowlanej w terminie 7 dni od dnia rozpoczęcia robót.</w:t>
      </w:r>
    </w:p>
    <w:p w:rsidR="00D73C62" w:rsidRPr="00D73C62" w:rsidRDefault="00D73C62" w:rsidP="00D73C62">
      <w:pPr>
        <w:spacing w:after="0"/>
        <w:jc w:val="both"/>
        <w:rPr>
          <w:rFonts w:ascii="Arial" w:hAnsi="Arial" w:cs="Arial"/>
        </w:rPr>
      </w:pPr>
      <w:r w:rsidRPr="00D73C62">
        <w:rPr>
          <w:rFonts w:ascii="Arial" w:hAnsi="Arial" w:cs="Arial"/>
        </w:rPr>
        <w:t>Przedmiotowe zmiany mają na celu przyspieszyć rozbiórkę obiektów, które z uwagi na uszkodzenia stanowią zagrożenie dla życia ludzi, i jednocześnie umożliwić jak najszybsze podjęcie działań zmierzających do odbudowy uszkodzonego obiektu.</w:t>
      </w:r>
    </w:p>
    <w:p w:rsidR="00D73C62" w:rsidRPr="00D73C62" w:rsidRDefault="00D73C62" w:rsidP="00D73C62">
      <w:pPr>
        <w:spacing w:after="0"/>
        <w:jc w:val="both"/>
        <w:rPr>
          <w:rFonts w:ascii="Arial" w:hAnsi="Arial" w:cs="Arial"/>
        </w:rPr>
      </w:pPr>
      <w:r w:rsidRPr="00D73C62">
        <w:rPr>
          <w:rFonts w:ascii="Arial" w:hAnsi="Arial" w:cs="Arial"/>
        </w:rPr>
        <w:t>Ad 3.</w:t>
      </w:r>
    </w:p>
    <w:p w:rsidR="00D73C62" w:rsidRPr="00D73C62" w:rsidRDefault="00D73C62" w:rsidP="00D73C62">
      <w:pPr>
        <w:spacing w:after="0"/>
        <w:jc w:val="both"/>
        <w:rPr>
          <w:rFonts w:ascii="Arial" w:hAnsi="Arial" w:cs="Arial"/>
        </w:rPr>
      </w:pPr>
      <w:r w:rsidRPr="00D73C62">
        <w:rPr>
          <w:rFonts w:ascii="Arial" w:hAnsi="Arial" w:cs="Arial"/>
        </w:rPr>
        <w:t xml:space="preserve">Zmiany w zakresie odbudowy obiektów budowlanych zniszczonych lub uszkodzonych w wyniku działania żywiołu mają na celu uporządkowanie przypadków odbudowy (zwolnionej z pozwolenia na budowę) wymagającej zgłoszenia i niewymagającej zgłoszenia. Proponuje się skonstruować przepisy na kształt art. 29 ust. 1 i 2 ustawy z dnia 7 lipca 1994 r. – Prawo budowlane, tak aby były one bardziej czytelne. </w:t>
      </w:r>
    </w:p>
    <w:p w:rsidR="00D73C62" w:rsidRPr="00D73C62" w:rsidRDefault="00D73C62" w:rsidP="00D73C62">
      <w:pPr>
        <w:spacing w:after="0"/>
        <w:jc w:val="both"/>
        <w:rPr>
          <w:rFonts w:ascii="Arial" w:hAnsi="Arial" w:cs="Arial"/>
        </w:rPr>
      </w:pPr>
      <w:r w:rsidRPr="00D73C62">
        <w:rPr>
          <w:rFonts w:ascii="Arial" w:hAnsi="Arial" w:cs="Arial"/>
        </w:rPr>
        <w:t>Obecnie odbudowa obiektów budowlanych o kubaturze mniejszej niż 1000 m3 i nie wyższych niż 12 m nad poziomem terenu wymaga zgłoszenia bez konieczności sporządzania dokumentacji projektowej. Proponowane zmiany mają na celu rozszerzenie przypadków zwolnienia z pozwolenia na budowę, ale wymagających zgłoszenia, o odbudowę obiektów budowlanych o kubaturze nie większej niż 2000 m3 (bez względu na ich wysokość). Jednak w takim przypadku, jeżeli obiekt będzie miał kubaturę nie większą 2000 m3 i większą niż 1000 m3 lub gdy obiekt o kubaturze nie większej niż 1000 m3 będzie wyższy niż 12 m nad poziomem terenu, do zgłoszenia odbudowy konieczne będzie załączenie (zamiast szkiców i rysunków) dokumentacji projektowej (tj. projekt zagospodarowania działki lub terenu oraz projekt architektoniczno-budowlany).</w:t>
      </w:r>
    </w:p>
    <w:p w:rsidR="00D73C62" w:rsidRPr="00D73C62" w:rsidRDefault="00D73C62" w:rsidP="00D73C62">
      <w:pPr>
        <w:spacing w:after="0"/>
        <w:jc w:val="both"/>
        <w:rPr>
          <w:rFonts w:ascii="Arial" w:hAnsi="Arial" w:cs="Arial"/>
        </w:rPr>
      </w:pPr>
      <w:r w:rsidRPr="00D73C62">
        <w:rPr>
          <w:rFonts w:ascii="Arial" w:hAnsi="Arial" w:cs="Arial"/>
        </w:rPr>
        <w:t>Ad 4.</w:t>
      </w:r>
    </w:p>
    <w:p w:rsidR="00D73C62" w:rsidRPr="00D73C62" w:rsidRDefault="00D73C62" w:rsidP="00D73C62">
      <w:pPr>
        <w:spacing w:after="0"/>
        <w:jc w:val="both"/>
        <w:rPr>
          <w:rFonts w:ascii="Arial" w:hAnsi="Arial" w:cs="Arial"/>
        </w:rPr>
      </w:pPr>
      <w:r w:rsidRPr="00D73C62">
        <w:rPr>
          <w:rFonts w:ascii="Arial" w:hAnsi="Arial" w:cs="Arial"/>
        </w:rPr>
        <w:t xml:space="preserve">Proponuje się dodać przepisy wyłączające w stosunku do obiektów budowlanych zniszczonych w wyniku powodzi, wiatru, osunięcia ziemi lub działania innego żywiołu </w:t>
      </w:r>
      <w:r w:rsidRPr="00D73C62">
        <w:rPr>
          <w:rFonts w:ascii="Arial" w:hAnsi="Arial" w:cs="Arial"/>
        </w:rPr>
        <w:lastRenderedPageBreak/>
        <w:t>przepisy rozdziału 7 ustawy z dnia 7 lipca 1994 r. – Prawo budowlane, tj. przepisy dotyczące katastrof budowlanych.</w:t>
      </w:r>
    </w:p>
    <w:p w:rsidR="00D73C62" w:rsidRPr="00D73C62" w:rsidRDefault="00D73C62" w:rsidP="00D73C62">
      <w:pPr>
        <w:spacing w:after="0"/>
        <w:jc w:val="both"/>
        <w:rPr>
          <w:rFonts w:ascii="Arial" w:hAnsi="Arial" w:cs="Arial"/>
        </w:rPr>
      </w:pPr>
      <w:r w:rsidRPr="00D73C62">
        <w:rPr>
          <w:rFonts w:ascii="Arial" w:hAnsi="Arial" w:cs="Arial"/>
        </w:rPr>
        <w:t xml:space="preserve">Zgodnie z art. 73 ustawy z dnia 7 lipca 1994 r. – Prawo budowlane katastrofą budowlaną jest niezamierzone, gwałtowne zniszczenie obiektu budowlanego lub jego części, a także konstrukcyjnych elementów rusztowań, elementów urządzeń formujących, ścianek szczelnych i obudowy wykopów. Powyższa definicja oznacza, że zniszczenie w sposób gwałtowny obiektu budowlanego np. w wyniku powodzi czy działania innego żywiołu, jest w myśl ustawy z dnia 7 lipca 1994 r. – Prawo budowlane uznawane za katastrofę budowlaną. Znajdują zatem do nich zastosowanie m.in. przepisy dotyczące obowiązku powołania komisji w celu ustalenia przyczyn i okoliczności katastrofy budowlanej, a także przepisy dotyczące przeprowadzenia postępowania wyjaśniającego przyczyny i okoliczności powstania katastrofy budowlanej. </w:t>
      </w:r>
    </w:p>
    <w:p w:rsidR="00D73C62" w:rsidRPr="00D73C62" w:rsidRDefault="00D73C62" w:rsidP="00D73C62">
      <w:pPr>
        <w:spacing w:after="0"/>
        <w:jc w:val="both"/>
        <w:rPr>
          <w:rFonts w:ascii="Arial" w:hAnsi="Arial" w:cs="Arial"/>
        </w:rPr>
      </w:pPr>
      <w:r w:rsidRPr="00D73C62">
        <w:rPr>
          <w:rFonts w:ascii="Arial" w:hAnsi="Arial" w:cs="Arial"/>
        </w:rPr>
        <w:t xml:space="preserve">Wydaje się, że w przypadku gdy do zniszczenia obiektu budowlanego doszło w wyniku działania żywiołu przepisy o katastrofach budowlanych mające na celu ustalenie przyczyn i okoliczności katastrofy nie powinny mieć zastosowania (przyczyna i okoliczności takiej katastrofy są bowiem powszechnie znane). Proponuje się więc wyłączyć ich stosowanie, z tym zastrzeżeniem, że na właścicielu lub zarządcy obiektu budowlanego zniszczonego w wyniku działania żywiołu spoczywał będzie obowiązek niezwłocznego zawiadomienia organu nadzoru budowlanego o zaistniałej katastrofie budowlanej. </w:t>
      </w:r>
    </w:p>
    <w:p w:rsidR="00D73C62" w:rsidRPr="00D73C62" w:rsidRDefault="00D73C62" w:rsidP="00D73C62">
      <w:pPr>
        <w:spacing w:after="0"/>
        <w:jc w:val="both"/>
        <w:rPr>
          <w:rFonts w:ascii="Arial" w:hAnsi="Arial" w:cs="Arial"/>
        </w:rPr>
      </w:pPr>
      <w:r w:rsidRPr="00D73C62">
        <w:rPr>
          <w:rFonts w:ascii="Arial" w:hAnsi="Arial" w:cs="Arial"/>
        </w:rPr>
        <w:t>Jednocześnie proponuje się wskazać, że powyższe ograniczenia w stosowaniu rozdziału 7 ustawy z dnia 7 lipca 1994 r. – Prawo budowlane będą wyłączone w stosunku do budowli regulacyjnych na wodach oraz urządzeń wodnych. Zniszczenie tego typu obiektów, w wyniku działania żywiołu, będzie podlegać w pełni regulacjom zawartym w rozdziale 7 ustawy z dnia 7 lipca 1994 r. – Prawo budowlane, tj. konieczne będzie powołanie komisji w celu ustalenia przyczyn i okoliczności katastrofy budowlanej, a także przeprowadzenie postępowania wyjaśniającego przyczyny i okoliczności powstania katastrofy budowlanej. W przypadku budowli regulacyjnych na wodach oraz urządzeń wodnych, których celem budowy jest m.in. ochrona przed niszczącym dzianiem żywiołu, wydaje się niezbędne szczegółowe ustalenie, dlaczego te obiekty uległy jednak uszkodzeniu w wyniku działania żywiołu</w:t>
      </w:r>
    </w:p>
    <w:p w:rsidR="00D73C62" w:rsidRPr="00D73C62" w:rsidRDefault="00D73C62" w:rsidP="00D73C62">
      <w:pPr>
        <w:spacing w:after="0"/>
        <w:jc w:val="both"/>
        <w:rPr>
          <w:rFonts w:ascii="Arial" w:hAnsi="Arial" w:cs="Arial"/>
        </w:rPr>
      </w:pPr>
      <w:r w:rsidRPr="00D73C62">
        <w:rPr>
          <w:rFonts w:ascii="Arial" w:hAnsi="Arial" w:cs="Arial"/>
        </w:rPr>
        <w:t>Ad 5.</w:t>
      </w:r>
    </w:p>
    <w:p w:rsidR="00D73C62" w:rsidRPr="00D73C62" w:rsidRDefault="00D73C62" w:rsidP="00D73C62">
      <w:pPr>
        <w:spacing w:after="0"/>
        <w:jc w:val="both"/>
        <w:rPr>
          <w:rFonts w:ascii="Arial" w:hAnsi="Arial" w:cs="Arial"/>
        </w:rPr>
      </w:pPr>
      <w:r w:rsidRPr="00D73C62">
        <w:rPr>
          <w:rFonts w:ascii="Arial" w:hAnsi="Arial" w:cs="Arial"/>
        </w:rPr>
        <w:t>Proponuje się uchylić definicję obiektu liniowego. Obecnie definicja ta znajduje się w art. 3 pkt 3a ustawy z dnia 7 lipca 1994 r. – Prawo budowlane i obejmuje obiekt budowlany, którego charakterystycznym parametrem jest długość, w szczególności drogę wraz ze zjazdami, drogę kolejową, wodociąg, kanał, gazociąg, ciepłociąg, rurociąg, linię i trakcję elektroenergetyczną, linię kablową nadziemną i, umieszczoną bezpośrednio w ziemi, podziemną, wał przeciwpowodziowy oraz kanalizację kablową, przy czym kable zainstalowane w kanalizacji kablowej, kable zainstalowane w kanale technologicznym oraz kable telekomunikacyjne dowieszone do już istniejącej linii kablowej nadziemnej nie stanowią obiektu budowlanego lub jego części ani urządzenia budowlanego. Przedmiotowa definicja została dodana do ustawy z dnia 7 lipca 1994 r. – Prawo budowlane na mocy art. 65 ustawy z dnia 7 maja 2010 r. o wspieraniu rozwoju usług i sieci telekomunikacyjnych.</w:t>
      </w:r>
    </w:p>
    <w:p w:rsidR="00D73C62" w:rsidRDefault="00D73C62" w:rsidP="00D73C62">
      <w:pPr>
        <w:spacing w:after="0"/>
        <w:jc w:val="both"/>
        <w:rPr>
          <w:rFonts w:ascii="Arial" w:hAnsi="Arial" w:cs="Arial"/>
        </w:rPr>
      </w:pPr>
      <w:r w:rsidRPr="00D73C62">
        <w:rPr>
          <w:rFonts w:ascii="Arial" w:hAnsi="Arial" w:cs="Arial"/>
        </w:rPr>
        <w:t xml:space="preserve">Mając na uwadze fakt, że ustawa z dnia 7 lipca 1994 r. – Prawo budowlane zawiera definicję obiektu liniowego, która jest zbliżona do definicji tego obiektu w ustawie o szczególnych zasadach odbudowy, remontów i rozbiórek obiektów budowlanych zniszczonych lub uszkodzonych w wyniku działania żywiołu zasadne jest uchylenie w art. 4 pkt 2, brak jest konieczności powielania tej definicji w ustawie zmienianej. Jak bowiem wynika z art. 3 ustawy o szczególnych zasadach odbudowy, remontów i rozbiórek obiektów budowlanych zniszczonych lub uszkodzonych w wyniku działania żywiołu, w sprawach nieuregulowanych </w:t>
      </w:r>
      <w:r w:rsidRPr="00D73C62">
        <w:rPr>
          <w:rFonts w:ascii="Arial" w:hAnsi="Arial" w:cs="Arial"/>
        </w:rPr>
        <w:lastRenderedPageBreak/>
        <w:t>w tej ustawie stosuje się przepisy ustawy z dnia 7 lipca 1994 r. – Prawo budowlane, w tym również definicję obiektu liniowego, o której mowa w art. 3 pkt 3a ustawy z dnia 7 lipca 1994 r. – Prawo budowlane</w:t>
      </w:r>
      <w:r>
        <w:rPr>
          <w:rFonts w:ascii="Arial" w:hAnsi="Arial" w:cs="Arial"/>
        </w:rPr>
        <w:t>.</w:t>
      </w:r>
    </w:p>
    <w:p w:rsidR="00D73C62" w:rsidRDefault="00D73C62" w:rsidP="00D73C62">
      <w:pPr>
        <w:spacing w:after="0"/>
        <w:jc w:val="both"/>
        <w:rPr>
          <w:rFonts w:ascii="Arial" w:hAnsi="Arial" w:cs="Arial"/>
        </w:rPr>
      </w:pPr>
    </w:p>
    <w:p w:rsidR="00D73C62" w:rsidRPr="00D73C62" w:rsidRDefault="00D73C62" w:rsidP="00D73C62">
      <w:pPr>
        <w:spacing w:after="0"/>
        <w:jc w:val="both"/>
        <w:rPr>
          <w:rFonts w:ascii="Arial" w:hAnsi="Arial" w:cs="Arial"/>
        </w:rPr>
      </w:pPr>
      <w:r w:rsidRPr="00D73C62">
        <w:rPr>
          <w:rFonts w:ascii="Arial" w:hAnsi="Arial" w:cs="Arial"/>
        </w:rPr>
        <w:t>Przedmiotowy projekt aktu prawnego wraz Uzasadnieniem oraz Oceną Skutków Regulacji dostępny jest na stronach Rządowego Centrum Legislacji pod adresem:</w:t>
      </w:r>
    </w:p>
    <w:p w:rsidR="007D16D1" w:rsidRDefault="00D73C62" w:rsidP="00D73C62">
      <w:pPr>
        <w:spacing w:after="0"/>
        <w:jc w:val="both"/>
        <w:rPr>
          <w:rFonts w:ascii="Arial" w:hAnsi="Arial" w:cs="Arial"/>
        </w:rPr>
      </w:pPr>
      <w:hyperlink r:id="rId7" w:history="1">
        <w:r w:rsidRPr="00332080">
          <w:rPr>
            <w:rStyle w:val="Hipercze"/>
            <w:rFonts w:ascii="Arial" w:hAnsi="Arial" w:cs="Arial"/>
          </w:rPr>
          <w:t>https://legislacja.rcl.gov.pl/projekt/12390452/ka</w:t>
        </w:r>
        <w:r w:rsidRPr="00332080">
          <w:rPr>
            <w:rStyle w:val="Hipercze"/>
            <w:rFonts w:ascii="Arial" w:hAnsi="Arial" w:cs="Arial"/>
          </w:rPr>
          <w:t>t</w:t>
        </w:r>
        <w:r w:rsidRPr="00332080">
          <w:rPr>
            <w:rStyle w:val="Hipercze"/>
            <w:rFonts w:ascii="Arial" w:hAnsi="Arial" w:cs="Arial"/>
          </w:rPr>
          <w:t>alog/13087365#13087365</w:t>
        </w:r>
      </w:hyperlink>
      <w:r>
        <w:rPr>
          <w:rFonts w:ascii="Arial" w:hAnsi="Arial" w:cs="Arial"/>
        </w:rPr>
        <w:t xml:space="preserve">  </w:t>
      </w:r>
    </w:p>
    <w:p w:rsidR="007D16D1" w:rsidRDefault="007D16D1" w:rsidP="00D73C62">
      <w:pPr>
        <w:spacing w:after="0"/>
        <w:jc w:val="both"/>
        <w:rPr>
          <w:rFonts w:ascii="Arial" w:hAnsi="Arial" w:cs="Arial"/>
        </w:rPr>
      </w:pPr>
    </w:p>
    <w:p w:rsidR="00D73C62" w:rsidRDefault="00D73C62" w:rsidP="00D73C62">
      <w:pPr>
        <w:spacing w:after="0"/>
        <w:jc w:val="both"/>
        <w:rPr>
          <w:rFonts w:ascii="Arial" w:hAnsi="Arial" w:cs="Arial"/>
        </w:rPr>
      </w:pPr>
      <w:r w:rsidRPr="006E5545">
        <w:rPr>
          <w:rFonts w:ascii="Arial" w:hAnsi="Arial" w:cs="Arial"/>
        </w:rPr>
        <w:t>Projekt jest obecnie jednocześnie na etapie uz</w:t>
      </w:r>
      <w:r>
        <w:rPr>
          <w:rFonts w:ascii="Arial" w:hAnsi="Arial" w:cs="Arial"/>
        </w:rPr>
        <w:t>godnień</w:t>
      </w:r>
      <w:r w:rsidRPr="006E5545">
        <w:rPr>
          <w:rFonts w:ascii="Arial" w:hAnsi="Arial" w:cs="Arial"/>
        </w:rPr>
        <w:t xml:space="preserve"> i opiniowania</w:t>
      </w:r>
      <w:r>
        <w:rPr>
          <w:rFonts w:ascii="Arial" w:hAnsi="Arial" w:cs="Arial"/>
        </w:rPr>
        <w:t>.</w:t>
      </w:r>
    </w:p>
    <w:p w:rsidR="00D73C62" w:rsidRPr="007D16D1" w:rsidRDefault="00D73C62" w:rsidP="00D73C62">
      <w:pPr>
        <w:spacing w:after="0"/>
        <w:jc w:val="both"/>
        <w:rPr>
          <w:rFonts w:ascii="Arial" w:hAnsi="Arial" w:cs="Arial"/>
        </w:rPr>
      </w:pPr>
    </w:p>
    <w:p w:rsidR="00D73C62" w:rsidRPr="00D73C62" w:rsidRDefault="00D73C62" w:rsidP="00D73C62">
      <w:pPr>
        <w:pStyle w:val="Akapitzlist"/>
        <w:numPr>
          <w:ilvl w:val="0"/>
          <w:numId w:val="3"/>
        </w:numPr>
        <w:spacing w:after="0"/>
        <w:jc w:val="both"/>
        <w:rPr>
          <w:rFonts w:ascii="Arial" w:hAnsi="Arial" w:cs="Arial"/>
          <w:b/>
          <w:u w:val="single"/>
        </w:rPr>
      </w:pPr>
      <w:r w:rsidRPr="00D73C62">
        <w:rPr>
          <w:rFonts w:ascii="Arial" w:hAnsi="Arial" w:cs="Arial"/>
          <w:b/>
          <w:u w:val="single"/>
        </w:rPr>
        <w:t>projekt ustawy o systemach sztucznej inteligencji (numer z wykazu UC71)</w:t>
      </w:r>
    </w:p>
    <w:p w:rsidR="00D73C62" w:rsidRDefault="00D73C62" w:rsidP="00D73C62">
      <w:pPr>
        <w:spacing w:after="0"/>
        <w:jc w:val="both"/>
        <w:rPr>
          <w:rFonts w:ascii="Arial" w:hAnsi="Arial" w:cs="Arial"/>
        </w:rPr>
      </w:pPr>
    </w:p>
    <w:p w:rsidR="00D73C62" w:rsidRPr="00D73C62" w:rsidRDefault="00D73C62" w:rsidP="00D73C62">
      <w:pPr>
        <w:spacing w:after="0"/>
        <w:jc w:val="both"/>
        <w:rPr>
          <w:rFonts w:ascii="Arial" w:hAnsi="Arial" w:cs="Arial"/>
        </w:rPr>
      </w:pPr>
      <w:r w:rsidRPr="00D73C62">
        <w:rPr>
          <w:rFonts w:ascii="Arial" w:hAnsi="Arial" w:cs="Arial"/>
        </w:rPr>
        <w:t>Projekt ustawy ma na celu wprowadzenie do krajowego porządku prawnego regulacji służących stosowaniu rozporządzenia Parlamentu Europejskiego i Rady (UE) 2024/1689 z dnia 13 czerwca 2024 r. w sprawie ustanowienia zharmonizowanych przepisów dotyczących sztucznej inteligencji oraz zmiany rozporządzeń (WE) nr 300/2008, (UE) nr 167/2013, (UE) nr 168/2013, (UE) 2018/858, (UE) 2018/1139 i (UE) 2019/2144 oraz dyrektyw 2014/90/UE, (UE) 2016/797 i (UE) 2020/1828 (akt w sprawie sztucznej inteligencji), zwanego dalej „rozporządzeniem 2024/1869” albo „Aktem o sztucznej inteligencji”.</w:t>
      </w:r>
    </w:p>
    <w:p w:rsidR="00D73C62" w:rsidRPr="00D73C62" w:rsidRDefault="00D73C62" w:rsidP="00D73C62">
      <w:pPr>
        <w:spacing w:after="0"/>
        <w:jc w:val="both"/>
        <w:rPr>
          <w:rFonts w:ascii="Arial" w:hAnsi="Arial" w:cs="Arial"/>
        </w:rPr>
      </w:pPr>
      <w:r w:rsidRPr="00D73C62">
        <w:rPr>
          <w:rFonts w:ascii="Arial" w:hAnsi="Arial" w:cs="Arial"/>
        </w:rPr>
        <w:t>Celem rozporządzenia 2024/1689 jest poprawa funkcjonowania rynku wewnętrznego przez ustanowienie jednolitych ram prawnych, w szczególności w zakresie rozwoju, wprowadzania do obrotu, oddawania do użytku i wykorzystywania systemów sztucznej inteligencji (zwanych dalej „systemami sztucznej inteligencji”) w Unii Europejskiej, zgodnie z wartościami UE, w celu promowania upowszechniania zorientowanej na człowieka i godnej zaufania sztucznej inteligencji przy jednoczesnym zapewnieniu wysokiego poziomu ochrony zdrowia, bezpieczeństwa, praw podstawowych zapisanych w Karcie praw podstawowych Unii Europejskiej, w tym demokracji, praworządności i ochrony środowiska, ochrony przed szkodliwymi skutkami systemów sztucznej inteligencji, a także wspierania innowacji.</w:t>
      </w:r>
    </w:p>
    <w:p w:rsidR="00D73C62" w:rsidRPr="00D73C62" w:rsidRDefault="00D73C62" w:rsidP="00D73C62">
      <w:pPr>
        <w:spacing w:after="0"/>
        <w:jc w:val="both"/>
        <w:rPr>
          <w:rFonts w:ascii="Arial" w:hAnsi="Arial" w:cs="Arial"/>
        </w:rPr>
      </w:pPr>
      <w:r w:rsidRPr="00D73C62">
        <w:rPr>
          <w:rFonts w:ascii="Arial" w:hAnsi="Arial" w:cs="Arial"/>
        </w:rPr>
        <w:t>Organem właściwym do przygotowania nowej regulacji prawnej w zakresie zapewnienia skutecznego stosowania Aktu o sztucznej inteligencji jest minister właściwy do spraw informatyzacji. Podjęte działania legislacyjne zgodnie z zasadami prawa Unii Europejskiej będą się opierały na założeniu, że ustawa będzie zawierała przepisy, które zostały przez prawodawcę unijnego wprost przekazane do uregulowania w prawie krajowym oraz takich, w których rozporządzenie 2024/1689 pozostawiło pewną swobodę regulacyjną państwom członkowskim.</w:t>
      </w:r>
    </w:p>
    <w:p w:rsidR="00D73C62" w:rsidRPr="00D73C62" w:rsidRDefault="00D73C62" w:rsidP="00D73C62">
      <w:pPr>
        <w:spacing w:after="0"/>
        <w:jc w:val="both"/>
        <w:rPr>
          <w:rFonts w:ascii="Arial" w:hAnsi="Arial" w:cs="Arial"/>
        </w:rPr>
      </w:pPr>
      <w:r w:rsidRPr="00D73C62">
        <w:rPr>
          <w:rFonts w:ascii="Arial" w:hAnsi="Arial" w:cs="Arial"/>
        </w:rPr>
        <w:t>Na podstawie przepisów rozporządzenia 2024/1689 państwa członkowskie obowiązane są m.in. do:</w:t>
      </w:r>
    </w:p>
    <w:p w:rsidR="00D73C62" w:rsidRPr="00D73C62" w:rsidRDefault="00D73C62" w:rsidP="00D73C62">
      <w:pPr>
        <w:spacing w:after="0"/>
        <w:jc w:val="both"/>
        <w:rPr>
          <w:rFonts w:ascii="Arial" w:hAnsi="Arial" w:cs="Arial"/>
        </w:rPr>
      </w:pPr>
      <w:r w:rsidRPr="00D73C62">
        <w:rPr>
          <w:rFonts w:ascii="Arial" w:hAnsi="Arial" w:cs="Arial"/>
        </w:rPr>
        <w:t>1) wskazania właściwych organów krajowych, tj.:</w:t>
      </w:r>
    </w:p>
    <w:p w:rsidR="00D73C62" w:rsidRPr="00D73C62" w:rsidRDefault="00D73C62" w:rsidP="00D73C62">
      <w:pPr>
        <w:spacing w:after="0"/>
        <w:jc w:val="both"/>
        <w:rPr>
          <w:rFonts w:ascii="Arial" w:hAnsi="Arial" w:cs="Arial"/>
        </w:rPr>
      </w:pPr>
      <w:r w:rsidRPr="00D73C62">
        <w:rPr>
          <w:rFonts w:ascii="Arial" w:hAnsi="Arial" w:cs="Arial"/>
        </w:rPr>
        <w:t>- organu lub organów nadzoru rynku,</w:t>
      </w:r>
    </w:p>
    <w:p w:rsidR="00D73C62" w:rsidRPr="00D73C62" w:rsidRDefault="00D73C62" w:rsidP="00D73C62">
      <w:pPr>
        <w:spacing w:after="0"/>
        <w:jc w:val="both"/>
        <w:rPr>
          <w:rFonts w:ascii="Arial" w:hAnsi="Arial" w:cs="Arial"/>
        </w:rPr>
      </w:pPr>
      <w:r w:rsidRPr="00D73C62">
        <w:rPr>
          <w:rFonts w:ascii="Arial" w:hAnsi="Arial" w:cs="Arial"/>
        </w:rPr>
        <w:t>- organu notyfikującego odpowiedzialnego za opracowanie i stosowanie procedur koniecznych do oceny, wyznaczania i notyfikowania jednostek oceniających zgodność systemów sztucznej inteligencji, jak również za ich monitorowanie;</w:t>
      </w:r>
    </w:p>
    <w:p w:rsidR="00D73C62" w:rsidRPr="00D73C62" w:rsidRDefault="00D73C62" w:rsidP="00D73C62">
      <w:pPr>
        <w:spacing w:after="0"/>
        <w:jc w:val="both"/>
        <w:rPr>
          <w:rFonts w:ascii="Arial" w:hAnsi="Arial" w:cs="Arial"/>
        </w:rPr>
      </w:pPr>
      <w:r w:rsidRPr="00D73C62">
        <w:rPr>
          <w:rFonts w:ascii="Arial" w:hAnsi="Arial" w:cs="Arial"/>
        </w:rPr>
        <w:t>2) przyjęcia przepisów umożliwiających nakładanie administracyjnych kar finansowych za naruszenia przepisów rozporządzenia 2024/1689;</w:t>
      </w:r>
    </w:p>
    <w:p w:rsidR="00D73C62" w:rsidRPr="00D73C62" w:rsidRDefault="00D73C62" w:rsidP="00D73C62">
      <w:pPr>
        <w:spacing w:after="0"/>
        <w:jc w:val="both"/>
        <w:rPr>
          <w:rFonts w:ascii="Arial" w:hAnsi="Arial" w:cs="Arial"/>
        </w:rPr>
      </w:pPr>
      <w:r w:rsidRPr="00D73C62">
        <w:rPr>
          <w:rFonts w:ascii="Arial" w:hAnsi="Arial" w:cs="Arial"/>
        </w:rPr>
        <w:t>3) określenia procedury umożliwiającej egzekwowanie zakazu stosowania systemów spełniających kryteria zakazanych praktyk sztucznej inteligencji, w tym umożliwienie złożenia skargi do właściwych organów krajowych na naruszenie art. 5 rozporządzenia 2024/1689.</w:t>
      </w:r>
    </w:p>
    <w:p w:rsidR="00D73C62" w:rsidRPr="00D73C62" w:rsidRDefault="00D73C62" w:rsidP="00D73C62">
      <w:pPr>
        <w:spacing w:after="0"/>
        <w:jc w:val="both"/>
        <w:rPr>
          <w:rFonts w:ascii="Arial" w:hAnsi="Arial" w:cs="Arial"/>
        </w:rPr>
      </w:pPr>
      <w:r w:rsidRPr="00D73C62">
        <w:rPr>
          <w:rFonts w:ascii="Arial" w:hAnsi="Arial" w:cs="Arial"/>
        </w:rPr>
        <w:lastRenderedPageBreak/>
        <w:t xml:space="preserve">Przeprowadzona analiza powyższego problemu wykazała, że optymalnym rozwiązaniem jest opracowanie i uchwalenie aktu prawnego o randze ustawy, a alternatywne sposoby rozwiązania problemu nie znajdują uzasadnienia. Dodatkowo, szeroki zakres koniecznych do wdrożenia rozwiązań, brak uregulowania do tej pory kwestii wykorzystania systemów sztucznej inteligencji w krajowych przepisach oraz względy przejrzystości regulacji dotyczącej nowego zagadnienia prawnego, jakim jest sztuczna inteligencja, przemawiają za wdrożeniem przepisów rozporządzenia 2024/1689 w odrębnej ustawie. </w:t>
      </w:r>
    </w:p>
    <w:p w:rsidR="00D73C62" w:rsidRPr="00D73C62" w:rsidRDefault="00D73C62" w:rsidP="00D73C62">
      <w:pPr>
        <w:spacing w:after="0"/>
        <w:jc w:val="both"/>
        <w:rPr>
          <w:rFonts w:ascii="Arial" w:hAnsi="Arial" w:cs="Arial"/>
        </w:rPr>
      </w:pPr>
      <w:r w:rsidRPr="00D73C62">
        <w:rPr>
          <w:rFonts w:ascii="Arial" w:hAnsi="Arial" w:cs="Arial"/>
        </w:rPr>
        <w:t xml:space="preserve">Proponowana ustawa wprowadzi do polskiego prawa związane z wejściem w życie przepisów rozporządzenia 2024/1689 obowiązki, których realizacja jest wymagana w okresie przed 2 sierpnia 2025, tj. wejściem w życie części jego przepisów (rozdział I, II, III sekcja 4, V, VII, XII). W szczególności, przedmiotem projektowanej ustawy są kwestie dotyczące: krajowego organu nadzoru; postępowania przed tym organem; postępowania kontrolnego; organu notyfikującego; certyfikacji; sądowej ochrony praw przysługujących obywatelom oraz wszczynania postępowań i nakładania administracyjnych kar finansowych za naruszenie przepisów art. 5 rozporządzenia 2024/1689. Projektowana ustawa ma na celu umożliwienie stosowania ww. przepisów rozporządzenia 2024/1689 bezpośrednio, w zgodzie z przepisami polskiego prawa. </w:t>
      </w:r>
    </w:p>
    <w:p w:rsidR="00D73C62" w:rsidRPr="00D73C62" w:rsidRDefault="00D73C62" w:rsidP="00D73C62">
      <w:pPr>
        <w:spacing w:after="0"/>
        <w:jc w:val="both"/>
        <w:rPr>
          <w:rFonts w:ascii="Arial" w:hAnsi="Arial" w:cs="Arial"/>
        </w:rPr>
      </w:pPr>
      <w:r w:rsidRPr="00D73C62">
        <w:rPr>
          <w:rFonts w:ascii="Arial" w:hAnsi="Arial" w:cs="Arial"/>
        </w:rPr>
        <w:t xml:space="preserve">Projektu ustawy nie stosuje się do:  </w:t>
      </w:r>
    </w:p>
    <w:p w:rsidR="00D73C62" w:rsidRPr="00D73C62" w:rsidRDefault="00D73C62" w:rsidP="00D73C62">
      <w:pPr>
        <w:spacing w:after="0"/>
        <w:jc w:val="both"/>
        <w:rPr>
          <w:rFonts w:ascii="Arial" w:hAnsi="Arial" w:cs="Arial"/>
        </w:rPr>
      </w:pPr>
      <w:r w:rsidRPr="00D73C62">
        <w:rPr>
          <w:rFonts w:ascii="Arial" w:hAnsi="Arial" w:cs="Arial"/>
        </w:rPr>
        <w:t xml:space="preserve">1) spraw związanych z obroną narodową określonych w art. 19 ust. 1 ustawy z dnia 4 września 1997 r. o działach administracji rządowej (Dz. U. z 2024 r. poz. 1370);  </w:t>
      </w:r>
    </w:p>
    <w:p w:rsidR="00D73C62" w:rsidRPr="00D73C62" w:rsidRDefault="00D73C62" w:rsidP="00D73C62">
      <w:pPr>
        <w:spacing w:after="0"/>
        <w:jc w:val="both"/>
        <w:rPr>
          <w:rFonts w:ascii="Arial" w:hAnsi="Arial" w:cs="Arial"/>
        </w:rPr>
      </w:pPr>
      <w:r w:rsidRPr="00D73C62">
        <w:rPr>
          <w:rFonts w:ascii="Arial" w:hAnsi="Arial" w:cs="Arial"/>
        </w:rPr>
        <w:t xml:space="preserve">2) w zakresie bezpieczeństwa wewnętrznego państwa oraz jego porządku konstytucyjnego, o których mowa w art. 5 ust. 1 pkt 1 ustawy z dnia 24 maja 2002 r. o Agencji Bezpieczeństwa Wewnętrznego oraz Agencji Wywiadu (Dz. U. z 2024 r. poz. 812, z </w:t>
      </w:r>
      <w:proofErr w:type="spellStart"/>
      <w:r w:rsidRPr="00D73C62">
        <w:rPr>
          <w:rFonts w:ascii="Arial" w:hAnsi="Arial" w:cs="Arial"/>
        </w:rPr>
        <w:t>późn</w:t>
      </w:r>
      <w:proofErr w:type="spellEnd"/>
      <w:r w:rsidRPr="00D73C62">
        <w:rPr>
          <w:rFonts w:ascii="Arial" w:hAnsi="Arial" w:cs="Arial"/>
        </w:rPr>
        <w:t xml:space="preserve">. zm.);  </w:t>
      </w:r>
    </w:p>
    <w:p w:rsidR="00D73C62" w:rsidRPr="00D73C62" w:rsidRDefault="00D73C62" w:rsidP="00D73C62">
      <w:pPr>
        <w:spacing w:after="0"/>
        <w:jc w:val="both"/>
        <w:rPr>
          <w:rFonts w:ascii="Arial" w:hAnsi="Arial" w:cs="Arial"/>
        </w:rPr>
      </w:pPr>
      <w:r w:rsidRPr="00D73C62">
        <w:rPr>
          <w:rFonts w:ascii="Arial" w:hAnsi="Arial" w:cs="Arial"/>
        </w:rPr>
        <w:t xml:space="preserve">3) podstawowych badań naukowych, o których mowa w art. 4 ust. 2 pkt 2 ustawy z dnia 20 lipca 2018 r. - Prawo o szkolnictwie wyższym (Dz. U. z 2023 r. poz. 742, z </w:t>
      </w:r>
      <w:proofErr w:type="spellStart"/>
      <w:r w:rsidRPr="00D73C62">
        <w:rPr>
          <w:rFonts w:ascii="Arial" w:hAnsi="Arial" w:cs="Arial"/>
        </w:rPr>
        <w:t>późn</w:t>
      </w:r>
      <w:proofErr w:type="spellEnd"/>
      <w:r w:rsidRPr="00D73C62">
        <w:rPr>
          <w:rFonts w:ascii="Arial" w:hAnsi="Arial" w:cs="Arial"/>
        </w:rPr>
        <w:t xml:space="preserve">. zm.), jak również dla celów naukowych w związku z eksperymentem, o którym mowa w art. 27 ustawy z dnia 6 czerwca 1997 r. - Kodeks karny (Dz. U. z 2024 r. poz. 17, z </w:t>
      </w:r>
      <w:proofErr w:type="spellStart"/>
      <w:r w:rsidRPr="00D73C62">
        <w:rPr>
          <w:rFonts w:ascii="Arial" w:hAnsi="Arial" w:cs="Arial"/>
        </w:rPr>
        <w:t>późn</w:t>
      </w:r>
      <w:proofErr w:type="spellEnd"/>
      <w:r w:rsidRPr="00D73C62">
        <w:rPr>
          <w:rFonts w:ascii="Arial" w:hAnsi="Arial" w:cs="Arial"/>
        </w:rPr>
        <w:t xml:space="preserve">. </w:t>
      </w:r>
      <w:proofErr w:type="spellStart"/>
      <w:r w:rsidRPr="00D73C62">
        <w:rPr>
          <w:rFonts w:ascii="Arial" w:hAnsi="Arial" w:cs="Arial"/>
        </w:rPr>
        <w:t>zm</w:t>
      </w:r>
      <w:proofErr w:type="spellEnd"/>
      <w:r w:rsidRPr="00D73C62">
        <w:rPr>
          <w:rFonts w:ascii="Arial" w:hAnsi="Arial" w:cs="Arial"/>
        </w:rPr>
        <w:t xml:space="preserve">). </w:t>
      </w:r>
    </w:p>
    <w:p w:rsidR="00D73C62" w:rsidRPr="00D73C62" w:rsidRDefault="00D73C62" w:rsidP="00D73C62">
      <w:pPr>
        <w:spacing w:after="0"/>
        <w:jc w:val="both"/>
        <w:rPr>
          <w:rFonts w:ascii="Arial" w:hAnsi="Arial" w:cs="Arial"/>
        </w:rPr>
      </w:pPr>
      <w:r w:rsidRPr="00D73C62">
        <w:rPr>
          <w:rFonts w:ascii="Arial" w:hAnsi="Arial" w:cs="Arial"/>
        </w:rPr>
        <w:t xml:space="preserve">1. Właściwe organy krajowe </w:t>
      </w:r>
    </w:p>
    <w:p w:rsidR="00D73C62" w:rsidRPr="00D73C62" w:rsidRDefault="00D73C62" w:rsidP="00D73C62">
      <w:pPr>
        <w:spacing w:after="0"/>
        <w:jc w:val="both"/>
        <w:rPr>
          <w:rFonts w:ascii="Arial" w:hAnsi="Arial" w:cs="Arial"/>
        </w:rPr>
      </w:pPr>
      <w:r w:rsidRPr="00D73C62">
        <w:rPr>
          <w:rFonts w:ascii="Arial" w:hAnsi="Arial" w:cs="Arial"/>
        </w:rPr>
        <w:t xml:space="preserve">Organ nadzoru rynku oraz punkt kontaktowy </w:t>
      </w:r>
    </w:p>
    <w:p w:rsidR="00D73C62" w:rsidRPr="00D73C62" w:rsidRDefault="00D73C62" w:rsidP="00D73C62">
      <w:pPr>
        <w:spacing w:after="0"/>
        <w:jc w:val="both"/>
        <w:rPr>
          <w:rFonts w:ascii="Arial" w:hAnsi="Arial" w:cs="Arial"/>
        </w:rPr>
      </w:pPr>
      <w:r w:rsidRPr="00D73C62">
        <w:rPr>
          <w:rFonts w:ascii="Arial" w:hAnsi="Arial" w:cs="Arial"/>
        </w:rPr>
        <w:t xml:space="preserve">W związku z brakiem istnienia w Polsce organu lub instytucji publicznej spełniających wszystkie wymogi określone w rozporządzeniu 2024/1689 przewiduje się powołanie nowego organu nadzoru rynku dla systemów sztucznej inteligencji, którym będzie Komisja Rozwoju i Bezpieczeństwa Sztucznej Inteligencji, dalej zwana „Komisją”. W wyniku dokonanych analiz (prawnych, ekonomicznych i technologicznych), konsultacji z przedstawicielami sektora sztucznej inteligencji oraz spotkań roboczych z przedstawicielami organów publicznych ustalono, że powołanie nowego organu właściwego we wszystkich sprawa regulowanych przepisami rozporządzenia z wyłączeniem obszarów, w których rozporządzenie wyraźnie wskazuje inne organy właściwe, jest to rozwiązanie optymalne. </w:t>
      </w:r>
    </w:p>
    <w:p w:rsidR="00D73C62" w:rsidRPr="00D73C62" w:rsidRDefault="00D73C62" w:rsidP="00D73C62">
      <w:pPr>
        <w:spacing w:after="0"/>
        <w:jc w:val="both"/>
        <w:rPr>
          <w:rFonts w:ascii="Arial" w:hAnsi="Arial" w:cs="Arial"/>
        </w:rPr>
      </w:pPr>
      <w:r w:rsidRPr="00D73C62">
        <w:rPr>
          <w:rFonts w:ascii="Arial" w:hAnsi="Arial" w:cs="Arial"/>
        </w:rPr>
        <w:t xml:space="preserve">Powołanie nowego organu kolegialnego ds. nadzoru w zakresie systemów sztucznej inteligencji pozwoli na spełnienie wymogów rozporządzenia 2024/1689 dotyczących niezależności organu nadzoru, a jednocześnie pozwoli na sprawną koordynację działań między instytucjami kluczowymi w zakresie nadzoru nad sektorem technologii cyfrowych, w tym sztucznej inteligencji. Mechanizmem wzmacniającym współpracę między nowym organem, a istniejącymi podmiotami publicznymi jest kolegialna konstrukcja Komisji, której członkami byliby przedstawiciele innych organów publicznych kluczowych dla osiągnięcia całościowego nadzoru nad rozwojem i działaniem systemów sztucznej inteligencji. Jako organ kolegialny Komisja pozwoli zapewnić wysoki poziom konsolidacji i koordynacji nadzoru w zakresie systemów sztucznej inteligencji bez generowania niepotrzebnych, nadmiernych </w:t>
      </w:r>
      <w:r w:rsidRPr="00D73C62">
        <w:rPr>
          <w:rFonts w:ascii="Arial" w:hAnsi="Arial" w:cs="Arial"/>
        </w:rPr>
        <w:lastRenderedPageBreak/>
        <w:t>kosztów (praca członków – przedstawicieli innych instytucji publicznych nie wymaga dodatkowego finansowania).</w:t>
      </w:r>
    </w:p>
    <w:p w:rsidR="00D73C62" w:rsidRPr="00D73C62" w:rsidRDefault="00D73C62" w:rsidP="00D73C62">
      <w:pPr>
        <w:spacing w:after="0"/>
        <w:jc w:val="both"/>
        <w:rPr>
          <w:rFonts w:ascii="Arial" w:hAnsi="Arial" w:cs="Arial"/>
        </w:rPr>
      </w:pPr>
      <w:r w:rsidRPr="00D73C62">
        <w:rPr>
          <w:rFonts w:ascii="Arial" w:hAnsi="Arial" w:cs="Arial"/>
        </w:rPr>
        <w:t xml:space="preserve">Okolicznością przemawiającą za racjonalnością wskazanego modelu jest również mała liczba specjalistów z ww. obszarów, co w przypadku Polski powodowałoby ryzyko niespełnienia wymagań aktu o sztucznej inteligencji oraz prowadziło do szkodliwej konkurencji między organami i rywalizacji o wąskie grono pracowników - ekspertów. W aktualnym stanie prawnym brak istniejącego organu o niezbędnych kompetencjach, co w połączeniu z wyrażonym w rozporządzeniu 2024/1689 obowiązkiem spełnienia wymagań, o których mowa w art. 70 ust. 3 (tj. zagwarantowania odpowiedniej liczby specjalistów w zakresie dogłębnej znajomości kwestii z zakresu technologii sztucznej inteligencji, danych i metod przetwarzania danych, ochrony danych osobowych, </w:t>
      </w:r>
      <w:proofErr w:type="spellStart"/>
      <w:r w:rsidRPr="00D73C62">
        <w:rPr>
          <w:rFonts w:ascii="Arial" w:hAnsi="Arial" w:cs="Arial"/>
        </w:rPr>
        <w:t>cyberbezpieczeństwa</w:t>
      </w:r>
      <w:proofErr w:type="spellEnd"/>
      <w:r w:rsidRPr="00D73C62">
        <w:rPr>
          <w:rFonts w:ascii="Arial" w:hAnsi="Arial" w:cs="Arial"/>
        </w:rPr>
        <w:t xml:space="preserve">, praw podstawowych, ryzyka dla zdrowia i bezpieczeństwa oraz wiedzy na temat obowiązujących norm i wymogów prawnych), prowadzi do wniosku, że utworzenie nowego organu jest pod względem finansowym mniej kosztowne niż rozwiązanie alternatywne, zakładające nałożenie takiego obowiązku na wszystkie organy właściwe z osobna. </w:t>
      </w:r>
    </w:p>
    <w:p w:rsidR="00D73C62" w:rsidRPr="00D73C62" w:rsidRDefault="00D73C62" w:rsidP="00D73C62">
      <w:pPr>
        <w:spacing w:after="0"/>
        <w:jc w:val="both"/>
        <w:rPr>
          <w:rFonts w:ascii="Arial" w:hAnsi="Arial" w:cs="Arial"/>
        </w:rPr>
      </w:pPr>
      <w:r w:rsidRPr="00D73C62">
        <w:rPr>
          <w:rFonts w:ascii="Arial" w:hAnsi="Arial" w:cs="Arial"/>
        </w:rPr>
        <w:t xml:space="preserve">Pracami Komisji będzie kierował Przewodniczący powoływany przez Prezesa Rady Ministrów w drodze otwartego i konkurencyjnego naboru, spośród osób posiadających obywatelstwo polskie, cieszących się nieposzlakowaną opinią, jak również posiadających wykształcenie wyższe i tytuł zawodowy magistra lub magistra inżyniera lub wyższy oraz wyróżniających się wiedzą i posiadających dorobek w zakresie sztucznej inteligencji lub prawa oraz doświadczenie zawodowe uzyskane w trakcie pracy naukowej, pracy w podmiotach wykonujących działalność w obszarach cyfryzacji, </w:t>
      </w:r>
      <w:proofErr w:type="spellStart"/>
      <w:r w:rsidRPr="00D73C62">
        <w:rPr>
          <w:rFonts w:ascii="Arial" w:hAnsi="Arial" w:cs="Arial"/>
        </w:rPr>
        <w:t>cyberbezpieczeństwa</w:t>
      </w:r>
      <w:proofErr w:type="spellEnd"/>
      <w:r w:rsidRPr="00D73C62">
        <w:rPr>
          <w:rFonts w:ascii="Arial" w:hAnsi="Arial" w:cs="Arial"/>
        </w:rPr>
        <w:t xml:space="preserve"> lub technologii informacyjnych. Niezależność Przewodniczącego dodatkowo gwarantować będzie wąski katalog przypadków umożliwiających jego odwołanie przed końcem kadencji. </w:t>
      </w:r>
    </w:p>
    <w:p w:rsidR="00D73C62" w:rsidRPr="00D73C62" w:rsidRDefault="00D73C62" w:rsidP="00D73C62">
      <w:pPr>
        <w:spacing w:after="0"/>
        <w:jc w:val="both"/>
        <w:rPr>
          <w:rFonts w:ascii="Arial" w:hAnsi="Arial" w:cs="Arial"/>
        </w:rPr>
      </w:pPr>
      <w:r w:rsidRPr="00D73C62">
        <w:rPr>
          <w:rFonts w:ascii="Arial" w:hAnsi="Arial" w:cs="Arial"/>
        </w:rPr>
        <w:t xml:space="preserve">W skład Komisji będą także wchodzili Zastępcy Przewodniczącego oraz członkowie – przedstawiciele organów i urzędów właściwych ze względu na przedmiot regulacji. Proponuje się, aby członkami Komisji byli przedstawiciele instytucji kluczowych dla rozwoju rynku technologii sztucznej inteligencji, w tym: </w:t>
      </w:r>
    </w:p>
    <w:p w:rsidR="00D73C62" w:rsidRPr="00D73C62" w:rsidRDefault="00D73C62" w:rsidP="00D73C62">
      <w:pPr>
        <w:spacing w:after="0"/>
        <w:jc w:val="both"/>
        <w:rPr>
          <w:rFonts w:ascii="Arial" w:hAnsi="Arial" w:cs="Arial"/>
        </w:rPr>
      </w:pPr>
      <w:r w:rsidRPr="00D73C62">
        <w:rPr>
          <w:rFonts w:ascii="Arial" w:hAnsi="Arial" w:cs="Arial"/>
        </w:rPr>
        <w:t xml:space="preserve">1) ministra właściwego do spraw informatyzacji; </w:t>
      </w:r>
    </w:p>
    <w:p w:rsidR="00D73C62" w:rsidRPr="00D73C62" w:rsidRDefault="00D73C62" w:rsidP="00D73C62">
      <w:pPr>
        <w:spacing w:after="0"/>
        <w:jc w:val="both"/>
        <w:rPr>
          <w:rFonts w:ascii="Arial" w:hAnsi="Arial" w:cs="Arial"/>
        </w:rPr>
      </w:pPr>
      <w:r w:rsidRPr="00D73C62">
        <w:rPr>
          <w:rFonts w:ascii="Arial" w:hAnsi="Arial" w:cs="Arial"/>
        </w:rPr>
        <w:t xml:space="preserve">2) ministra powołanego do koordynowania działalności służb specjalnych, a w przypadku, gdy nie został wyznaczony - Kancelarii Prezesa Rady Ministrów; </w:t>
      </w:r>
    </w:p>
    <w:p w:rsidR="00D73C62" w:rsidRPr="00D73C62" w:rsidRDefault="00D73C62" w:rsidP="00D73C62">
      <w:pPr>
        <w:spacing w:after="0"/>
        <w:jc w:val="both"/>
        <w:rPr>
          <w:rFonts w:ascii="Arial" w:hAnsi="Arial" w:cs="Arial"/>
        </w:rPr>
      </w:pPr>
      <w:r w:rsidRPr="00D73C62">
        <w:rPr>
          <w:rFonts w:ascii="Arial" w:hAnsi="Arial" w:cs="Arial"/>
        </w:rPr>
        <w:t xml:space="preserve">3) Prezesa Urzędu Ochrony Danych Osobowych; </w:t>
      </w:r>
    </w:p>
    <w:p w:rsidR="00D73C62" w:rsidRPr="00D73C62" w:rsidRDefault="00D73C62" w:rsidP="00D73C62">
      <w:pPr>
        <w:spacing w:after="0"/>
        <w:jc w:val="both"/>
        <w:rPr>
          <w:rFonts w:ascii="Arial" w:hAnsi="Arial" w:cs="Arial"/>
        </w:rPr>
      </w:pPr>
      <w:r w:rsidRPr="00D73C62">
        <w:rPr>
          <w:rFonts w:ascii="Arial" w:hAnsi="Arial" w:cs="Arial"/>
        </w:rPr>
        <w:t xml:space="preserve">4) Prezesa Urzędu Ochrony Konkurencji i Konsumentów; </w:t>
      </w:r>
    </w:p>
    <w:p w:rsidR="00D73C62" w:rsidRPr="00D73C62" w:rsidRDefault="00D73C62" w:rsidP="00D73C62">
      <w:pPr>
        <w:spacing w:after="0"/>
        <w:jc w:val="both"/>
        <w:rPr>
          <w:rFonts w:ascii="Arial" w:hAnsi="Arial" w:cs="Arial"/>
        </w:rPr>
      </w:pPr>
      <w:r w:rsidRPr="00D73C62">
        <w:rPr>
          <w:rFonts w:ascii="Arial" w:hAnsi="Arial" w:cs="Arial"/>
        </w:rPr>
        <w:t xml:space="preserve">5) Komisji Nadzoru Finansowego; </w:t>
      </w:r>
    </w:p>
    <w:p w:rsidR="00D73C62" w:rsidRPr="00D73C62" w:rsidRDefault="00D73C62" w:rsidP="00D73C62">
      <w:pPr>
        <w:spacing w:after="0"/>
        <w:jc w:val="both"/>
        <w:rPr>
          <w:rFonts w:ascii="Arial" w:hAnsi="Arial" w:cs="Arial"/>
        </w:rPr>
      </w:pPr>
      <w:r w:rsidRPr="00D73C62">
        <w:rPr>
          <w:rFonts w:ascii="Arial" w:hAnsi="Arial" w:cs="Arial"/>
        </w:rPr>
        <w:t xml:space="preserve">6) Rzecznika Praw Obywatelskich; </w:t>
      </w:r>
    </w:p>
    <w:p w:rsidR="00D73C62" w:rsidRPr="00D73C62" w:rsidRDefault="00D73C62" w:rsidP="00D73C62">
      <w:pPr>
        <w:spacing w:after="0"/>
        <w:jc w:val="both"/>
        <w:rPr>
          <w:rFonts w:ascii="Arial" w:hAnsi="Arial" w:cs="Arial"/>
        </w:rPr>
      </w:pPr>
      <w:r w:rsidRPr="00D73C62">
        <w:rPr>
          <w:rFonts w:ascii="Arial" w:hAnsi="Arial" w:cs="Arial"/>
        </w:rPr>
        <w:t xml:space="preserve">7) Rzecznika Praw Dziecka; </w:t>
      </w:r>
    </w:p>
    <w:p w:rsidR="00D73C62" w:rsidRPr="00D73C62" w:rsidRDefault="00D73C62" w:rsidP="00D73C62">
      <w:pPr>
        <w:spacing w:after="0"/>
        <w:jc w:val="both"/>
        <w:rPr>
          <w:rFonts w:ascii="Arial" w:hAnsi="Arial" w:cs="Arial"/>
        </w:rPr>
      </w:pPr>
      <w:r w:rsidRPr="00D73C62">
        <w:rPr>
          <w:rFonts w:ascii="Arial" w:hAnsi="Arial" w:cs="Arial"/>
        </w:rPr>
        <w:t xml:space="preserve">8) Krajowej Rady Radiofonii i Telewizji; </w:t>
      </w:r>
    </w:p>
    <w:p w:rsidR="00D73C62" w:rsidRPr="00D73C62" w:rsidRDefault="00D73C62" w:rsidP="00D73C62">
      <w:pPr>
        <w:spacing w:after="0"/>
        <w:jc w:val="both"/>
        <w:rPr>
          <w:rFonts w:ascii="Arial" w:hAnsi="Arial" w:cs="Arial"/>
        </w:rPr>
      </w:pPr>
      <w:r w:rsidRPr="00D73C62">
        <w:rPr>
          <w:rFonts w:ascii="Arial" w:hAnsi="Arial" w:cs="Arial"/>
        </w:rPr>
        <w:t xml:space="preserve">9) Prezesa Urzędu Komunikacji Elektronicznej. </w:t>
      </w:r>
    </w:p>
    <w:p w:rsidR="00D73C62" w:rsidRPr="00D73C62" w:rsidRDefault="00D73C62" w:rsidP="00D73C62">
      <w:pPr>
        <w:spacing w:after="0"/>
        <w:jc w:val="both"/>
        <w:rPr>
          <w:rFonts w:ascii="Arial" w:hAnsi="Arial" w:cs="Arial"/>
        </w:rPr>
      </w:pPr>
      <w:r w:rsidRPr="00D73C62">
        <w:rPr>
          <w:rFonts w:ascii="Arial" w:hAnsi="Arial" w:cs="Arial"/>
        </w:rPr>
        <w:t xml:space="preserve">Dodatkowo, w posiedzeniach Komisji bez prawa głosu będą mogli uczestniczyć przedstawiciele: </w:t>
      </w:r>
    </w:p>
    <w:p w:rsidR="00D73C62" w:rsidRPr="00D73C62" w:rsidRDefault="00D73C62" w:rsidP="00D73C62">
      <w:pPr>
        <w:spacing w:after="0"/>
        <w:jc w:val="both"/>
        <w:rPr>
          <w:rFonts w:ascii="Arial" w:hAnsi="Arial" w:cs="Arial"/>
        </w:rPr>
      </w:pPr>
      <w:r w:rsidRPr="00D73C62">
        <w:rPr>
          <w:rFonts w:ascii="Arial" w:hAnsi="Arial" w:cs="Arial"/>
        </w:rPr>
        <w:t xml:space="preserve">1) Kancelarii Prezydenta Rzeczypospolitej Polskiej; </w:t>
      </w:r>
    </w:p>
    <w:p w:rsidR="00D73C62" w:rsidRPr="00D73C62" w:rsidRDefault="00D73C62" w:rsidP="00D73C62">
      <w:pPr>
        <w:spacing w:after="0"/>
        <w:jc w:val="both"/>
        <w:rPr>
          <w:rFonts w:ascii="Arial" w:hAnsi="Arial" w:cs="Arial"/>
        </w:rPr>
      </w:pPr>
      <w:r w:rsidRPr="00D73C62">
        <w:rPr>
          <w:rFonts w:ascii="Arial" w:hAnsi="Arial" w:cs="Arial"/>
        </w:rPr>
        <w:t xml:space="preserve">2) Kancelarii Sejmu Rzeczypospolitej Polskiej; </w:t>
      </w:r>
    </w:p>
    <w:p w:rsidR="00D73C62" w:rsidRPr="00D73C62" w:rsidRDefault="00D73C62" w:rsidP="00D73C62">
      <w:pPr>
        <w:spacing w:after="0"/>
        <w:jc w:val="both"/>
        <w:rPr>
          <w:rFonts w:ascii="Arial" w:hAnsi="Arial" w:cs="Arial"/>
        </w:rPr>
      </w:pPr>
      <w:r w:rsidRPr="00D73C62">
        <w:rPr>
          <w:rFonts w:ascii="Arial" w:hAnsi="Arial" w:cs="Arial"/>
        </w:rPr>
        <w:t xml:space="preserve">3) Kancelarii Senatu Rzeczypospolitej Polskiej; </w:t>
      </w:r>
    </w:p>
    <w:p w:rsidR="00D73C62" w:rsidRPr="00D73C62" w:rsidRDefault="00D73C62" w:rsidP="00D73C62">
      <w:pPr>
        <w:spacing w:after="0"/>
        <w:jc w:val="both"/>
        <w:rPr>
          <w:rFonts w:ascii="Arial" w:hAnsi="Arial" w:cs="Arial"/>
        </w:rPr>
      </w:pPr>
      <w:r w:rsidRPr="00D73C62">
        <w:rPr>
          <w:rFonts w:ascii="Arial" w:hAnsi="Arial" w:cs="Arial"/>
        </w:rPr>
        <w:t xml:space="preserve">4) urzędu obsługującego Ministra Obrony Narodowej; </w:t>
      </w:r>
    </w:p>
    <w:p w:rsidR="00D73C62" w:rsidRPr="00D73C62" w:rsidRDefault="00D73C62" w:rsidP="00D73C62">
      <w:pPr>
        <w:spacing w:after="0"/>
        <w:jc w:val="both"/>
        <w:rPr>
          <w:rFonts w:ascii="Arial" w:hAnsi="Arial" w:cs="Arial"/>
        </w:rPr>
      </w:pPr>
      <w:r w:rsidRPr="00D73C62">
        <w:rPr>
          <w:rFonts w:ascii="Arial" w:hAnsi="Arial" w:cs="Arial"/>
        </w:rPr>
        <w:t>5) urzędu obsługującego ministra właściwego do spraw kultury i dziedzictwa narodowego;</w:t>
      </w:r>
    </w:p>
    <w:p w:rsidR="00D73C62" w:rsidRPr="00D73C62" w:rsidRDefault="00D73C62" w:rsidP="00D73C62">
      <w:pPr>
        <w:spacing w:after="0"/>
        <w:jc w:val="both"/>
        <w:rPr>
          <w:rFonts w:ascii="Arial" w:hAnsi="Arial" w:cs="Arial"/>
        </w:rPr>
      </w:pPr>
      <w:r w:rsidRPr="00D73C62">
        <w:rPr>
          <w:rFonts w:ascii="Arial" w:hAnsi="Arial" w:cs="Arial"/>
        </w:rPr>
        <w:t xml:space="preserve">6) urzędu obsługującego ministra właściwego do spraw gospodarki </w:t>
      </w:r>
    </w:p>
    <w:p w:rsidR="00D73C62" w:rsidRPr="00D73C62" w:rsidRDefault="00D73C62" w:rsidP="00D73C62">
      <w:pPr>
        <w:spacing w:after="0"/>
        <w:jc w:val="both"/>
        <w:rPr>
          <w:rFonts w:ascii="Arial" w:hAnsi="Arial" w:cs="Arial"/>
        </w:rPr>
      </w:pPr>
      <w:r w:rsidRPr="00D73C62">
        <w:rPr>
          <w:rFonts w:ascii="Arial" w:hAnsi="Arial" w:cs="Arial"/>
        </w:rPr>
        <w:t xml:space="preserve">7) Polskiego Centrum Akredytacji; </w:t>
      </w:r>
    </w:p>
    <w:p w:rsidR="00D73C62" w:rsidRPr="00D73C62" w:rsidRDefault="00D73C62" w:rsidP="00D73C62">
      <w:pPr>
        <w:spacing w:after="0"/>
        <w:jc w:val="both"/>
        <w:rPr>
          <w:rFonts w:ascii="Arial" w:hAnsi="Arial" w:cs="Arial"/>
        </w:rPr>
      </w:pPr>
      <w:r w:rsidRPr="00D73C62">
        <w:rPr>
          <w:rFonts w:ascii="Arial" w:hAnsi="Arial" w:cs="Arial"/>
        </w:rPr>
        <w:t xml:space="preserve">8) Polskiego Komitetu Normalizacyjnego; </w:t>
      </w:r>
    </w:p>
    <w:p w:rsidR="00D73C62" w:rsidRPr="00D73C62" w:rsidRDefault="00D73C62" w:rsidP="00D73C62">
      <w:pPr>
        <w:spacing w:after="0"/>
        <w:jc w:val="both"/>
        <w:rPr>
          <w:rFonts w:ascii="Arial" w:hAnsi="Arial" w:cs="Arial"/>
        </w:rPr>
      </w:pPr>
      <w:r w:rsidRPr="00D73C62">
        <w:rPr>
          <w:rFonts w:ascii="Arial" w:hAnsi="Arial" w:cs="Arial"/>
        </w:rPr>
        <w:lastRenderedPageBreak/>
        <w:t xml:space="preserve">9) Rady Dialogu Społecznego – strony pracowników; </w:t>
      </w:r>
    </w:p>
    <w:p w:rsidR="00D73C62" w:rsidRPr="00D73C62" w:rsidRDefault="00D73C62" w:rsidP="00D73C62">
      <w:pPr>
        <w:spacing w:after="0"/>
        <w:jc w:val="both"/>
        <w:rPr>
          <w:rFonts w:ascii="Arial" w:hAnsi="Arial" w:cs="Arial"/>
        </w:rPr>
      </w:pPr>
      <w:r w:rsidRPr="00D73C62">
        <w:rPr>
          <w:rFonts w:ascii="Arial" w:hAnsi="Arial" w:cs="Arial"/>
        </w:rPr>
        <w:t xml:space="preserve">10) Rady Dialogu Społecznego – strony pracodawców; </w:t>
      </w:r>
    </w:p>
    <w:p w:rsidR="00D73C62" w:rsidRPr="00D73C62" w:rsidRDefault="00D73C62" w:rsidP="00D73C62">
      <w:pPr>
        <w:spacing w:after="0"/>
        <w:jc w:val="both"/>
        <w:rPr>
          <w:rFonts w:ascii="Arial" w:hAnsi="Arial" w:cs="Arial"/>
        </w:rPr>
      </w:pPr>
      <w:r w:rsidRPr="00D73C62">
        <w:rPr>
          <w:rFonts w:ascii="Arial" w:hAnsi="Arial" w:cs="Arial"/>
        </w:rPr>
        <w:t xml:space="preserve">11) Biura Rzecznika Praw Pacjenta; </w:t>
      </w:r>
    </w:p>
    <w:p w:rsidR="00D73C62" w:rsidRPr="00D73C62" w:rsidRDefault="00D73C62" w:rsidP="00D73C62">
      <w:pPr>
        <w:spacing w:after="0"/>
        <w:jc w:val="both"/>
        <w:rPr>
          <w:rFonts w:ascii="Arial" w:hAnsi="Arial" w:cs="Arial"/>
        </w:rPr>
      </w:pPr>
      <w:r w:rsidRPr="00D73C62">
        <w:rPr>
          <w:rFonts w:ascii="Arial" w:hAnsi="Arial" w:cs="Arial"/>
        </w:rPr>
        <w:t xml:space="preserve">12) Biura Rzecznika Finansowego; </w:t>
      </w:r>
    </w:p>
    <w:p w:rsidR="00D73C62" w:rsidRPr="00D73C62" w:rsidRDefault="00D73C62" w:rsidP="00D73C62">
      <w:pPr>
        <w:spacing w:after="0"/>
        <w:jc w:val="both"/>
        <w:rPr>
          <w:rFonts w:ascii="Arial" w:hAnsi="Arial" w:cs="Arial"/>
        </w:rPr>
      </w:pPr>
      <w:r w:rsidRPr="00D73C62">
        <w:rPr>
          <w:rFonts w:ascii="Arial" w:hAnsi="Arial" w:cs="Arial"/>
        </w:rPr>
        <w:t xml:space="preserve">13) Biura Rzecznika Małych i Średnich Przedsiębiorców; </w:t>
      </w:r>
    </w:p>
    <w:p w:rsidR="00D73C62" w:rsidRPr="00D73C62" w:rsidRDefault="00D73C62" w:rsidP="00D73C62">
      <w:pPr>
        <w:spacing w:after="0"/>
        <w:jc w:val="both"/>
        <w:rPr>
          <w:rFonts w:ascii="Arial" w:hAnsi="Arial" w:cs="Arial"/>
        </w:rPr>
      </w:pPr>
      <w:r w:rsidRPr="00D73C62">
        <w:rPr>
          <w:rFonts w:ascii="Arial" w:hAnsi="Arial" w:cs="Arial"/>
        </w:rPr>
        <w:t xml:space="preserve">14) Państwowej Inspekcji Pracy; </w:t>
      </w:r>
    </w:p>
    <w:p w:rsidR="00D73C62" w:rsidRPr="00D73C62" w:rsidRDefault="00D73C62" w:rsidP="00D73C62">
      <w:pPr>
        <w:spacing w:after="0"/>
        <w:jc w:val="both"/>
        <w:rPr>
          <w:rFonts w:ascii="Arial" w:hAnsi="Arial" w:cs="Arial"/>
        </w:rPr>
      </w:pPr>
      <w:r w:rsidRPr="00D73C62">
        <w:rPr>
          <w:rFonts w:ascii="Arial" w:hAnsi="Arial" w:cs="Arial"/>
        </w:rPr>
        <w:t xml:space="preserve">15) Urzędu Patentowego Rzeczpospolitej Polskiej; </w:t>
      </w:r>
    </w:p>
    <w:p w:rsidR="00D73C62" w:rsidRPr="00D73C62" w:rsidRDefault="00D73C62" w:rsidP="00D73C62">
      <w:pPr>
        <w:spacing w:after="0"/>
        <w:jc w:val="both"/>
        <w:rPr>
          <w:rFonts w:ascii="Arial" w:hAnsi="Arial" w:cs="Arial"/>
        </w:rPr>
      </w:pPr>
      <w:r w:rsidRPr="00D73C62">
        <w:rPr>
          <w:rFonts w:ascii="Arial" w:hAnsi="Arial" w:cs="Arial"/>
        </w:rPr>
        <w:t>16) Biura Komisji Rozwoju Sztucznej Inteligencji.</w:t>
      </w:r>
    </w:p>
    <w:p w:rsidR="00D73C62" w:rsidRPr="00D73C62" w:rsidRDefault="00D73C62" w:rsidP="00D73C62">
      <w:pPr>
        <w:spacing w:after="0"/>
        <w:jc w:val="both"/>
        <w:rPr>
          <w:rFonts w:ascii="Arial" w:hAnsi="Arial" w:cs="Arial"/>
        </w:rPr>
      </w:pPr>
      <w:r w:rsidRPr="00D73C62">
        <w:rPr>
          <w:rFonts w:ascii="Arial" w:hAnsi="Arial" w:cs="Arial"/>
        </w:rPr>
        <w:t xml:space="preserve">Przepisy uregulują również tryb powoływania i odwoływania członków komisji, ich obowiązków i uprawnień członków komisji, a także sposobu wykonywania zadań. </w:t>
      </w:r>
    </w:p>
    <w:p w:rsidR="00D73C62" w:rsidRPr="00D73C62" w:rsidRDefault="00D73C62" w:rsidP="00D73C62">
      <w:pPr>
        <w:spacing w:after="0"/>
        <w:jc w:val="both"/>
        <w:rPr>
          <w:rFonts w:ascii="Arial" w:hAnsi="Arial" w:cs="Arial"/>
        </w:rPr>
      </w:pPr>
      <w:r w:rsidRPr="00D73C62">
        <w:rPr>
          <w:rFonts w:ascii="Arial" w:hAnsi="Arial" w:cs="Arial"/>
        </w:rPr>
        <w:t>Efektem wejścia proponowanych przepisów dotyczących nowego organu będzie utworzenie organu posiadającego kompetencje do współpracy na poziomie administracyjnym oraz eksperckim z organami na poziomie instytucji Unii Europejskiej oraz innych państw członkowskich. Umożliwi to nie tylko budowę potencjału eksperckiego w sektorze publicznym, ale także w przyszłości wspieranie rozwoju konkurencyjności europejskiej gospodarki przez współpracę w zakresie tworzenia, regulowania i współdziałania w ramach tzw. piaskownic regulacyjnych, których celem będzie zapewnienie atrakcyjnych dla przedsiębiorców oraz bezpiecznych dla obywateli, konsumentów i środowiska warunków testowania innowacyjnych zastosowań technologii sztucznej inteligencji.</w:t>
      </w:r>
    </w:p>
    <w:p w:rsidR="00D73C62" w:rsidRPr="00D73C62" w:rsidRDefault="00D73C62" w:rsidP="00D73C62">
      <w:pPr>
        <w:spacing w:after="0"/>
        <w:jc w:val="both"/>
        <w:rPr>
          <w:rFonts w:ascii="Arial" w:hAnsi="Arial" w:cs="Arial"/>
        </w:rPr>
      </w:pPr>
      <w:r w:rsidRPr="00D73C62">
        <w:rPr>
          <w:rFonts w:ascii="Arial" w:hAnsi="Arial" w:cs="Arial"/>
        </w:rPr>
        <w:t xml:space="preserve">W celu umożliwienia realizacji zadań organu nadzoru rynku wynikających z rozporządzenia 2024/1689 konieczne jest również utworzenie Biura Komisji Rozwoju i Bezpieczeństwa Sztucznej Inteligencji z siedzibą w Warszawie.  </w:t>
      </w:r>
    </w:p>
    <w:p w:rsidR="00D73C62" w:rsidRPr="00D73C62" w:rsidRDefault="00D73C62" w:rsidP="00D73C62">
      <w:pPr>
        <w:spacing w:after="0"/>
        <w:jc w:val="both"/>
        <w:rPr>
          <w:rFonts w:ascii="Arial" w:hAnsi="Arial" w:cs="Arial"/>
        </w:rPr>
      </w:pPr>
      <w:r w:rsidRPr="00D73C62">
        <w:rPr>
          <w:rFonts w:ascii="Arial" w:hAnsi="Arial" w:cs="Arial"/>
        </w:rPr>
        <w:t xml:space="preserve">Zgodnie z rozporządzeniem 2024/1689 właściwy krajowy organ nadzoru nad systemami sztucznej inteligencji ma być organem niezależnym oraz wykonywać swoje uprawnienia w sposób bezstronny i wolny od uprzedzeń. Biorąc to pod uwagę, zaproponowano, aby obsługujące organ Biuro Komisji, również charakteryzował się niezależnością. Jako przykład posłużono się organizacją i funkcjonowaniem Urzędu Komisji Nadzoru Finansowego, który został utworzony jako urząd obsługujący organ nadzoru niezależny od administracji rządowej, co oznacza, że jego pracownicy nie należą do korpusu służby cywilnej. Jednocześnie Urząd Komisji jest organem, do którego nie stosuje się przepisów ustawy z dnia 16 września 1982 r. o pracownikach urzędów państwowych (Dz. U. z 2023 r. poz. 1917). Takie samo rozwiązanie przyjęto w planowanej ustawie. </w:t>
      </w:r>
    </w:p>
    <w:p w:rsidR="00D73C62" w:rsidRPr="00D73C62" w:rsidRDefault="00D73C62" w:rsidP="00D73C62">
      <w:pPr>
        <w:spacing w:after="0"/>
        <w:jc w:val="both"/>
        <w:rPr>
          <w:rFonts w:ascii="Arial" w:hAnsi="Arial" w:cs="Arial"/>
        </w:rPr>
      </w:pPr>
      <w:r w:rsidRPr="00D73C62">
        <w:rPr>
          <w:rFonts w:ascii="Arial" w:hAnsi="Arial" w:cs="Arial"/>
        </w:rPr>
        <w:t xml:space="preserve">Biuro Komisji, którego zadaniem będzie zapewnienie obsługi Komisji i Przewodniczącego Komisji, ma mieć status państwowej osoby prawnej. Nadzór nad działalnością Biura sprawować ma Prezes Rady Ministrów, który też nada mu, w drodze zarządzenia, statut. Do pracowników Biura zastosowanie znajdą przepisy ustawy z dnia 26 czerwca 1974 r. - Kodeks pracy (Dz. U. z 2023 r. poz. 1465 oraz z 2024 r. poz. 878 i 1222).. Uregulowane zostaną także kwestie dotyczące organizacji pracy pracowników biura, takie jak wydawanie legitymacji upoważniających do udziału w czynnościach kontrolnych. </w:t>
      </w:r>
    </w:p>
    <w:p w:rsidR="00D73C62" w:rsidRPr="00D73C62" w:rsidRDefault="00D73C62" w:rsidP="00D73C62">
      <w:pPr>
        <w:spacing w:after="0"/>
        <w:jc w:val="both"/>
        <w:rPr>
          <w:rFonts w:ascii="Arial" w:hAnsi="Arial" w:cs="Arial"/>
        </w:rPr>
      </w:pPr>
      <w:r w:rsidRPr="00D73C62">
        <w:rPr>
          <w:rFonts w:ascii="Arial" w:hAnsi="Arial" w:cs="Arial"/>
        </w:rPr>
        <w:t xml:space="preserve">Zadania nowego organu będą obejmowały, w szczególności: </w:t>
      </w:r>
    </w:p>
    <w:p w:rsidR="00D73C62" w:rsidRPr="00D73C62" w:rsidRDefault="00D73C62" w:rsidP="00D73C62">
      <w:pPr>
        <w:spacing w:after="0"/>
        <w:jc w:val="both"/>
        <w:rPr>
          <w:rFonts w:ascii="Arial" w:hAnsi="Arial" w:cs="Arial"/>
        </w:rPr>
      </w:pPr>
      <w:r w:rsidRPr="00D73C62">
        <w:rPr>
          <w:rFonts w:ascii="Arial" w:hAnsi="Arial" w:cs="Arial"/>
        </w:rPr>
        <w:t xml:space="preserve">1) sprawowanie nadzoru nad rynkiem systemów sztucznej inteligencji w zakresie określonym w rozporządzeniu 2024/1689; </w:t>
      </w:r>
    </w:p>
    <w:p w:rsidR="00D73C62" w:rsidRPr="00D73C62" w:rsidRDefault="00D73C62" w:rsidP="00D73C62">
      <w:pPr>
        <w:spacing w:after="0"/>
        <w:jc w:val="both"/>
        <w:rPr>
          <w:rFonts w:ascii="Arial" w:hAnsi="Arial" w:cs="Arial"/>
        </w:rPr>
      </w:pPr>
      <w:r w:rsidRPr="00D73C62">
        <w:rPr>
          <w:rFonts w:ascii="Arial" w:hAnsi="Arial" w:cs="Arial"/>
        </w:rPr>
        <w:t xml:space="preserve">2) realizację zadań pojedynczego punktu kontaktowego w rozumieniu art. 70 ust. 2 rozporządzenia 2024/1689; </w:t>
      </w:r>
    </w:p>
    <w:p w:rsidR="00D73C62" w:rsidRPr="00D73C62" w:rsidRDefault="00D73C62" w:rsidP="00D73C62">
      <w:pPr>
        <w:spacing w:after="0"/>
        <w:jc w:val="both"/>
        <w:rPr>
          <w:rFonts w:ascii="Arial" w:hAnsi="Arial" w:cs="Arial"/>
        </w:rPr>
      </w:pPr>
      <w:r w:rsidRPr="00D73C62">
        <w:rPr>
          <w:rFonts w:ascii="Arial" w:hAnsi="Arial" w:cs="Arial"/>
        </w:rPr>
        <w:t xml:space="preserve">3)współpracę z Prezesem Urzędu Ochrony Danych Osobowych oraz innymi organami w zakresie realizacji zadań określonych rozporządzeniem 2024/1689; </w:t>
      </w:r>
    </w:p>
    <w:p w:rsidR="00D73C62" w:rsidRPr="00D73C62" w:rsidRDefault="00D73C62" w:rsidP="00D73C62">
      <w:pPr>
        <w:spacing w:after="0"/>
        <w:jc w:val="both"/>
        <w:rPr>
          <w:rFonts w:ascii="Arial" w:hAnsi="Arial" w:cs="Arial"/>
        </w:rPr>
      </w:pPr>
      <w:r w:rsidRPr="00D73C62">
        <w:rPr>
          <w:rFonts w:ascii="Arial" w:hAnsi="Arial" w:cs="Arial"/>
        </w:rPr>
        <w:t>4) współpracę z właściwymi organami i instytucjami Unii Europejskiej oraz państw członkowskich;</w:t>
      </w:r>
    </w:p>
    <w:p w:rsidR="00D73C62" w:rsidRPr="00D73C62" w:rsidRDefault="00D73C62" w:rsidP="00D73C62">
      <w:pPr>
        <w:spacing w:after="0"/>
        <w:jc w:val="both"/>
        <w:rPr>
          <w:rFonts w:ascii="Arial" w:hAnsi="Arial" w:cs="Arial"/>
        </w:rPr>
      </w:pPr>
      <w:r w:rsidRPr="00D73C62">
        <w:rPr>
          <w:rFonts w:ascii="Arial" w:hAnsi="Arial" w:cs="Arial"/>
        </w:rPr>
        <w:lastRenderedPageBreak/>
        <w:t xml:space="preserve">5) opiniowanie projektów aktów prawnych związanych z regulacjami sztucznej inteligencji. </w:t>
      </w:r>
    </w:p>
    <w:p w:rsidR="00D73C62" w:rsidRPr="00D73C62" w:rsidRDefault="00D73C62" w:rsidP="00D73C62">
      <w:pPr>
        <w:spacing w:after="0"/>
        <w:jc w:val="both"/>
        <w:rPr>
          <w:rFonts w:ascii="Arial" w:hAnsi="Arial" w:cs="Arial"/>
        </w:rPr>
      </w:pPr>
      <w:r w:rsidRPr="00D73C62">
        <w:rPr>
          <w:rFonts w:ascii="Arial" w:hAnsi="Arial" w:cs="Arial"/>
        </w:rPr>
        <w:t xml:space="preserve">Powołanie nowego organu umożliwi również docelowo, na mocy kolejnych działań legislacyjnych, pełnienie innych, przewidzianych w rozporządzeniu 2024/1689 funkcji, takich jak:  </w:t>
      </w:r>
    </w:p>
    <w:p w:rsidR="00D73C62" w:rsidRPr="00D73C62" w:rsidRDefault="00D73C62" w:rsidP="00D73C62">
      <w:pPr>
        <w:spacing w:after="0"/>
        <w:jc w:val="both"/>
        <w:rPr>
          <w:rFonts w:ascii="Arial" w:hAnsi="Arial" w:cs="Arial"/>
        </w:rPr>
      </w:pPr>
      <w:r w:rsidRPr="00D73C62">
        <w:rPr>
          <w:rFonts w:ascii="Arial" w:hAnsi="Arial" w:cs="Arial"/>
        </w:rPr>
        <w:t xml:space="preserve">1) nadzór nad ustanowieniem i działaniem piaskownic regulacyjnych, które mają pozwolić na testowanie innowacyjnych systemów sztucznej inteligencji w bezpiecznych, kontrolowanych warunkach; </w:t>
      </w:r>
    </w:p>
    <w:p w:rsidR="00D73C62" w:rsidRPr="00D73C62" w:rsidRDefault="00D73C62" w:rsidP="00D73C62">
      <w:pPr>
        <w:spacing w:after="0"/>
        <w:jc w:val="both"/>
        <w:rPr>
          <w:rFonts w:ascii="Arial" w:hAnsi="Arial" w:cs="Arial"/>
        </w:rPr>
      </w:pPr>
      <w:r w:rsidRPr="00D73C62">
        <w:rPr>
          <w:rFonts w:ascii="Arial" w:hAnsi="Arial" w:cs="Arial"/>
        </w:rPr>
        <w:t xml:space="preserve">2) realizację przez Komisję obowiązku informacyjnego związanego z podejmowanymi działaniami oraz spełnieniem  innych obowiązków ustawowych; </w:t>
      </w:r>
    </w:p>
    <w:p w:rsidR="00D73C62" w:rsidRPr="00D73C62" w:rsidRDefault="00D73C62" w:rsidP="00D73C62">
      <w:pPr>
        <w:spacing w:after="0"/>
        <w:jc w:val="both"/>
        <w:rPr>
          <w:rFonts w:ascii="Arial" w:hAnsi="Arial" w:cs="Arial"/>
        </w:rPr>
      </w:pPr>
      <w:r w:rsidRPr="00D73C62">
        <w:rPr>
          <w:rFonts w:ascii="Arial" w:hAnsi="Arial" w:cs="Arial"/>
        </w:rPr>
        <w:t xml:space="preserve">3) działania monitorujące, komunikacyjne i edukacyjne wspierające rozwój sektora sztucznej inteligencji w Polsce. </w:t>
      </w:r>
    </w:p>
    <w:p w:rsidR="00D73C62" w:rsidRPr="00D73C62" w:rsidRDefault="00D73C62" w:rsidP="00D73C62">
      <w:pPr>
        <w:spacing w:after="0"/>
        <w:jc w:val="both"/>
        <w:rPr>
          <w:rFonts w:ascii="Arial" w:hAnsi="Arial" w:cs="Arial"/>
        </w:rPr>
      </w:pPr>
      <w:r w:rsidRPr="00D73C62">
        <w:rPr>
          <w:rFonts w:ascii="Arial" w:hAnsi="Arial" w:cs="Arial"/>
        </w:rPr>
        <w:t xml:space="preserve">Jako organ nadzoru rynku Komisja będzie mogła docelowo rozpatrywać wnioski dotyczące zezwolenia na wprowadzenie do obrotu lub oddanie do użytku systemów sztucznej inteligencji uznanych za systemy wysokiego ryzyka (art. 6 i art.7 rozporządzenia 2024/1689), będzie przyjmowała zgłoszenia dotyczące poważnych incydentów, rozpatrywała skargi składane przez osoby poddane działaniom systemów sztucznej inteligencji oraz współpracowała z instytucjami publicznymi, w tym organami nadzoru rynku, w postępowaniach związanych z wykorzystaniem takich systemów. Przepisy ustawy uregulują także tryb postępowania przed Komisją w sprawach znajdujących się w zakresie jej właściwości takich jak: sprawy o naruszenie przepisów rozporządzenia 2024/1689, sprawy z zakresu nadzoru nad przyznaniem oznakowania CE oraz kontrola deklaracji zgodności systemów sztucznej inteligencji. </w:t>
      </w:r>
    </w:p>
    <w:p w:rsidR="00D73C62" w:rsidRPr="00D73C62" w:rsidRDefault="00D73C62" w:rsidP="00D73C62">
      <w:pPr>
        <w:spacing w:after="0"/>
        <w:jc w:val="both"/>
        <w:rPr>
          <w:rFonts w:ascii="Arial" w:hAnsi="Arial" w:cs="Arial"/>
        </w:rPr>
      </w:pPr>
      <w:r w:rsidRPr="00D73C62">
        <w:rPr>
          <w:rFonts w:ascii="Arial" w:hAnsi="Arial" w:cs="Arial"/>
        </w:rPr>
        <w:t>Projekt zakłada również stworzenie mechanizmów dla skoordynowanej współpracy między organami publicznymi (ministrem właściwym do spraw informatyzacji, a Komisją w tym podmiotami, których upoważnieni przedstawiciele występują w roli jej członków), zakłada także działania z zakresu wspierania rozwoju sektora sztucznej inteligencji. Wśród tych działań wymienić należy m.in. prowadzenie działań informacyjnych i edukacyjnych, jak również wykorzystywanie i przekazywanie informacji o kluczowych dla zaawansowanych technicznie projektów oraz dostępnych dla innowatorów centrach oferujących moce obliczeniowe.</w:t>
      </w:r>
    </w:p>
    <w:p w:rsidR="00D73C62" w:rsidRPr="00D73C62" w:rsidRDefault="00D73C62" w:rsidP="00D73C62">
      <w:pPr>
        <w:spacing w:after="0"/>
        <w:jc w:val="both"/>
        <w:rPr>
          <w:rFonts w:ascii="Arial" w:hAnsi="Arial" w:cs="Arial"/>
        </w:rPr>
      </w:pPr>
      <w:r w:rsidRPr="00D73C62">
        <w:rPr>
          <w:rFonts w:ascii="Arial" w:hAnsi="Arial" w:cs="Arial"/>
        </w:rPr>
        <w:t>W celu realizacji obowiązków nadzorczych, Komisja będzie uprawniona do prowadzenia kontroli działalności podmiotów obowiązanych do przestrzegania przepisów rozporządzenia 2024/1689, której celem będzie ustalenie zgodności działalności podmiotów z ww. przepisami. Komisja będzie przeprowadzała kontrolę na podstawie uzyskanych informacji lub w ramach monitorowania przestrzegania stosowania rozporządzenia 2024/1689. Domyślnym trybem prowadzenia kontroli, jak również innych czynności wymagających udziału stron, jest forma zdalna za pomocą środków komunikacji elektronicznej.</w:t>
      </w:r>
    </w:p>
    <w:p w:rsidR="00D73C62" w:rsidRPr="00D73C62" w:rsidRDefault="00D73C62" w:rsidP="00D73C62">
      <w:pPr>
        <w:spacing w:after="0"/>
        <w:jc w:val="both"/>
        <w:rPr>
          <w:rFonts w:ascii="Arial" w:hAnsi="Arial" w:cs="Arial"/>
        </w:rPr>
      </w:pPr>
      <w:r w:rsidRPr="00D73C62">
        <w:rPr>
          <w:rFonts w:ascii="Arial" w:hAnsi="Arial" w:cs="Arial"/>
        </w:rPr>
        <w:t xml:space="preserve">Kontrola może zostać przeprowadzona przez upoważnionego pracowników Biura Komisji po uprzednim powiadomieniu podmiotu kontrolowanego. W projekcie uregulowane zostały również kwestie dotyczące sposobu prowadzenia kontroli, a także uprawnień i obowiązków kontrolerów i podmiotów kontrolowanych.  </w:t>
      </w:r>
    </w:p>
    <w:p w:rsidR="00D73C62" w:rsidRPr="00D73C62" w:rsidRDefault="00D73C62" w:rsidP="00D73C62">
      <w:pPr>
        <w:spacing w:after="0"/>
        <w:jc w:val="both"/>
        <w:rPr>
          <w:rFonts w:ascii="Arial" w:hAnsi="Arial" w:cs="Arial"/>
        </w:rPr>
      </w:pPr>
      <w:r w:rsidRPr="00D73C62">
        <w:rPr>
          <w:rFonts w:ascii="Arial" w:hAnsi="Arial" w:cs="Arial"/>
        </w:rPr>
        <w:t>Komisja prowadzić będzie postępowanie w sprawie naruszenia przepisów rozporządzenia 2024/1689. Postępowania będzie wszczynane z urzędu, na wniosek członka Komisji/ podmiotu uczestniczącego w jej pracach lub na podstawie skargi.</w:t>
      </w:r>
    </w:p>
    <w:p w:rsidR="00D73C62" w:rsidRPr="00D73C62" w:rsidRDefault="00D73C62" w:rsidP="00D73C62">
      <w:pPr>
        <w:spacing w:after="0"/>
        <w:jc w:val="both"/>
        <w:rPr>
          <w:rFonts w:ascii="Arial" w:hAnsi="Arial" w:cs="Arial"/>
        </w:rPr>
      </w:pPr>
      <w:r w:rsidRPr="00D73C62">
        <w:rPr>
          <w:rFonts w:ascii="Arial" w:hAnsi="Arial" w:cs="Arial"/>
        </w:rPr>
        <w:t xml:space="preserve">W ramach prowadzonego postępowania organ nadzoru będzie mógł przeprowadzać postępowanie dowodowe. </w:t>
      </w:r>
    </w:p>
    <w:p w:rsidR="00D73C62" w:rsidRPr="00D73C62" w:rsidRDefault="00D73C62" w:rsidP="00D73C62">
      <w:pPr>
        <w:spacing w:after="0"/>
        <w:jc w:val="both"/>
        <w:rPr>
          <w:rFonts w:ascii="Arial" w:hAnsi="Arial" w:cs="Arial"/>
        </w:rPr>
      </w:pPr>
      <w:r w:rsidRPr="00D73C62">
        <w:rPr>
          <w:rFonts w:ascii="Arial" w:hAnsi="Arial" w:cs="Arial"/>
        </w:rPr>
        <w:lastRenderedPageBreak/>
        <w:t xml:space="preserve">W przypadku stwierdzenia naruszenia zakończeniem postępowania przed właściwym organem krajowym ma być wydanie decyzji w przedmiocie naruszenia obowiązków wynikających z rozporządzenia nakazującej zaprzestania naruszeń.  </w:t>
      </w:r>
    </w:p>
    <w:p w:rsidR="00D73C62" w:rsidRPr="00D73C62" w:rsidRDefault="00D73C62" w:rsidP="00D73C62">
      <w:pPr>
        <w:spacing w:after="0"/>
        <w:jc w:val="both"/>
        <w:rPr>
          <w:rFonts w:ascii="Arial" w:hAnsi="Arial" w:cs="Arial"/>
        </w:rPr>
      </w:pPr>
      <w:r w:rsidRPr="00D73C62">
        <w:rPr>
          <w:rFonts w:ascii="Arial" w:hAnsi="Arial" w:cs="Arial"/>
        </w:rPr>
        <w:t xml:space="preserve">Uregulowania wymaga także tryb postępowania w sytuacji stwierdzenia przez właściwy organ, że system sztucznej inteligencji stwarza ryzyko, o którym mowa w art. 79 rozporządzenia 2024/1689. W takim wypadku organ obowiązany będzie wszcząć postępowanie z urzędu. W przypadku stwierdzenia, że będący przedmiotem kontroli system sztucznej inteligencji nie jest zgodny z przepisami rozporządzenia 2024/1689, organ wyda decyzję o nakazie podjęcia działań naprawczych lub wycofania systemu z rynku lub z użytku.  </w:t>
      </w:r>
    </w:p>
    <w:p w:rsidR="00D73C62" w:rsidRPr="00D73C62" w:rsidRDefault="00D73C62" w:rsidP="00D73C62">
      <w:pPr>
        <w:spacing w:after="0"/>
        <w:jc w:val="both"/>
        <w:rPr>
          <w:rFonts w:ascii="Arial" w:hAnsi="Arial" w:cs="Arial"/>
        </w:rPr>
      </w:pPr>
      <w:r w:rsidRPr="00D73C62">
        <w:rPr>
          <w:rFonts w:ascii="Arial" w:hAnsi="Arial" w:cs="Arial"/>
        </w:rPr>
        <w:t xml:space="preserve">Projekt ustawy przewiduje Społecznej Rady do spraw Sztucznej Inteligencji działającej przy Komisji. Rada będzie organem opiniodawczo-doradczym, który skupi ekspertów i ekspertki o znaczącej wiedzy i dorobku w obszarze sztucznej inteligencji, w szczególności w obszarze informatyki, </w:t>
      </w:r>
      <w:proofErr w:type="spellStart"/>
      <w:r w:rsidRPr="00D73C62">
        <w:rPr>
          <w:rFonts w:ascii="Arial" w:hAnsi="Arial" w:cs="Arial"/>
        </w:rPr>
        <w:t>cyberbezpieczeństwa</w:t>
      </w:r>
      <w:proofErr w:type="spellEnd"/>
      <w:r w:rsidRPr="00D73C62">
        <w:rPr>
          <w:rFonts w:ascii="Arial" w:hAnsi="Arial" w:cs="Arial"/>
        </w:rPr>
        <w:t xml:space="preserve">, ochrony danych osobowych, zdrowia, prawa nowych technologii czy praw człowieka. Do zadań Rady będzie należało przede wszystkim wydawanie opinii i stanowisk w sprawach przekazanych przez Komisję m.in. projektów dokumentów rządowych i innych dokumentów organów i instytucji UE dotyczących spraw nadzoru nad sztuczną inteligencją oraz wspieranie innowacyjności w tym zakresie. Udział w pracach Rady nie będzie wiązał się z wynagrodzeniem dla jej członków. </w:t>
      </w:r>
    </w:p>
    <w:p w:rsidR="00D73C62" w:rsidRPr="00D73C62" w:rsidRDefault="00D73C62" w:rsidP="00D73C62">
      <w:pPr>
        <w:spacing w:after="0"/>
        <w:jc w:val="both"/>
        <w:rPr>
          <w:rFonts w:ascii="Arial" w:hAnsi="Arial" w:cs="Arial"/>
        </w:rPr>
      </w:pPr>
      <w:r w:rsidRPr="00D73C62">
        <w:rPr>
          <w:rFonts w:ascii="Arial" w:hAnsi="Arial" w:cs="Arial"/>
        </w:rPr>
        <w:t xml:space="preserve">Organ notyfikujący </w:t>
      </w:r>
    </w:p>
    <w:p w:rsidR="00D73C62" w:rsidRPr="00D73C62" w:rsidRDefault="00D73C62" w:rsidP="00D73C62">
      <w:pPr>
        <w:spacing w:after="0"/>
        <w:jc w:val="both"/>
        <w:rPr>
          <w:rFonts w:ascii="Arial" w:hAnsi="Arial" w:cs="Arial"/>
        </w:rPr>
      </w:pPr>
      <w:r w:rsidRPr="00D73C62">
        <w:rPr>
          <w:rFonts w:ascii="Arial" w:hAnsi="Arial" w:cs="Arial"/>
        </w:rPr>
        <w:t xml:space="preserve">Uregulowania wymaga również tryb i zasady notyfikacji, o której mowa w art. 28 rozporządzenia 2024/1689. Proponuje się, aby wskazanie ministra właściwego do spraw informatyzacji jako organu właściwego w zakresie notyfikacji jednostek oceniających zgodność oraz jako organ notyfikujący. Dla spójności z przepisami prawa oraz praktyką rynkową sprawy związane z akredytacją, o których mowa w art. 28 ust. 2 rozporządzenia 2024/1689 r. powierzone zostaną Polskiemu Centrum Akredytacji w oparciu o przepisy ustawy z dnia 13 kwietnia 2016 r. o systemach oceny zgodności i nadzoru rynku (Dz. U. z 2022 r. poz. 1854).  </w:t>
      </w:r>
    </w:p>
    <w:p w:rsidR="00D73C62" w:rsidRPr="00D73C62" w:rsidRDefault="00D73C62" w:rsidP="00D73C62">
      <w:pPr>
        <w:spacing w:after="0"/>
        <w:jc w:val="both"/>
        <w:rPr>
          <w:rFonts w:ascii="Arial" w:hAnsi="Arial" w:cs="Arial"/>
        </w:rPr>
      </w:pPr>
      <w:r w:rsidRPr="00D73C62">
        <w:rPr>
          <w:rFonts w:ascii="Arial" w:hAnsi="Arial" w:cs="Arial"/>
        </w:rPr>
        <w:t>2. Skargi i zgłaszanie poważnych incydentów</w:t>
      </w:r>
    </w:p>
    <w:p w:rsidR="00D73C62" w:rsidRPr="00D73C62" w:rsidRDefault="00D73C62" w:rsidP="00D73C62">
      <w:pPr>
        <w:spacing w:after="0"/>
        <w:jc w:val="both"/>
        <w:rPr>
          <w:rFonts w:ascii="Arial" w:hAnsi="Arial" w:cs="Arial"/>
        </w:rPr>
      </w:pPr>
      <w:r w:rsidRPr="00D73C62">
        <w:rPr>
          <w:rFonts w:ascii="Arial" w:hAnsi="Arial" w:cs="Arial"/>
        </w:rPr>
        <w:t xml:space="preserve">W celu zapewnienia właściwego stosowania przepisów rozporządzenia 2024/1689 projekt ustawy umożliwia złożenie skargi na naruszenie przepisów rozporządzenia 2024/1689. Organem właściwym w tym zakresie będzie Komisja. Projektowane przepisy przesądzają, że postępowanie skargowe zakończone będzie wydaniem decyzji. Proponuje się, aby na decyzję właściwego organu krajowego przysługiwało odwołanie do właściwego sądu, którym ze względu na potrzebę specjalizacji oraz wysokich wymagań co do znajomości spraw z zakresu technologii cyfrowych oraz nadzoru rynku będzie Sąd Okręgowy w Warszawie – Sąd Ochrony Konkurencji i Konsumentów.  </w:t>
      </w:r>
    </w:p>
    <w:p w:rsidR="00D73C62" w:rsidRPr="00D73C62" w:rsidRDefault="00D73C62" w:rsidP="00D73C62">
      <w:pPr>
        <w:spacing w:after="0"/>
        <w:jc w:val="both"/>
        <w:rPr>
          <w:rFonts w:ascii="Arial" w:hAnsi="Arial" w:cs="Arial"/>
        </w:rPr>
      </w:pPr>
      <w:r w:rsidRPr="00D73C62">
        <w:rPr>
          <w:rFonts w:ascii="Arial" w:hAnsi="Arial" w:cs="Arial"/>
        </w:rPr>
        <w:t>Wzorując się na postępowaniu prowadzonym przez Prezesa Urzędu Ochrony Danych Osobowych, zakłada się, że postępowanie przed Komisją będzie jednoinstancyjne. W przypadku wydanej przez Komisję decyzji nie będzie możliwości odwołania w ramach procedury administracyjnej. Wyłączona jest możliwość uchylenia, czy zmiany takiej decyzji przez organ administracyjny wyższego stopnia. Jednak podmiot będący stroną postępowania przed Komisją, będzie miał możliwość zwrócenia się na drogę sądową, poprzez złożenie odwołania od decyzji do Sądu Ochrony Konkurencji i Konsumentów.</w:t>
      </w:r>
    </w:p>
    <w:p w:rsidR="00D73C62" w:rsidRPr="00D73C62" w:rsidRDefault="00D73C62" w:rsidP="00D73C62">
      <w:pPr>
        <w:spacing w:after="0"/>
        <w:jc w:val="both"/>
        <w:rPr>
          <w:rFonts w:ascii="Arial" w:hAnsi="Arial" w:cs="Arial"/>
        </w:rPr>
      </w:pPr>
      <w:r w:rsidRPr="00D73C62">
        <w:rPr>
          <w:rFonts w:ascii="Arial" w:hAnsi="Arial" w:cs="Arial"/>
        </w:rPr>
        <w:t xml:space="preserve">Należy wskazać, że przewidziany przez projektodawcę wyjątek od zasady dwuinstancyjności postępowania administracyjnego, jest rozwiązaniem optymalnym dla zapewnienia wolności i praw osób. Jest to rozwiązanie adekwatne i konieczne dla osiągnięcia celu, jakim jest skuteczna i udzielona we właściwym czasie ochrona praw podstawowych chronionych na mocy Karty Praw Podstawowych. Do praw, które są narażone na niepożądane działanie </w:t>
      </w:r>
      <w:r w:rsidRPr="00D73C62">
        <w:rPr>
          <w:rFonts w:ascii="Arial" w:hAnsi="Arial" w:cs="Arial"/>
        </w:rPr>
        <w:lastRenderedPageBreak/>
        <w:t xml:space="preserve">sztucznej inteligencji należą m.in. prawo do godności człowieka, poszanowanie życia prywatnego i rodzinnego, ochrona danych osobowych, wolność wypowiedzi i informacji, wolność zgromadzania się i stowarzyszania się oraz prawo do niedyskryminacji, prawo do edukacji, ochrona konsumentów, prawa pracownicze, prawa osób z niepełnosprawnościami, równość płci, prawa własności intelektualnej. Biorąc pod uwagę powyższe zagrożenia społeczne, szybka i skuteczna ochrona ww. praw pozostaje w odpowiedniej proporcji do ograniczenia, jakim jest pozbawienie prawa do ponownego rozpatrzenia sprawy przez właściwy organ. </w:t>
      </w:r>
    </w:p>
    <w:p w:rsidR="00D73C62" w:rsidRPr="00D73C62" w:rsidRDefault="00D73C62" w:rsidP="00D73C62">
      <w:pPr>
        <w:spacing w:after="0"/>
        <w:jc w:val="both"/>
        <w:rPr>
          <w:rFonts w:ascii="Arial" w:hAnsi="Arial" w:cs="Arial"/>
        </w:rPr>
      </w:pPr>
      <w:r w:rsidRPr="00D73C62">
        <w:rPr>
          <w:rFonts w:ascii="Arial" w:hAnsi="Arial" w:cs="Arial"/>
        </w:rPr>
        <w:t xml:space="preserve">Ze względu na międzynarodową dostępność produktów i usług wykorzystujących technologię sztucznej inteligencji, rozporządzenie 2024/1689 wprowadza także mechanizm zgłaszania incydentów   o szczególnie dużym ryzyku. W związku z tym, projekt ustawy przewiduje stworzenie trybu postępowania w sytuacji stwierdzenia przez właściwy organ prawdopodobieństwa, że system sztucznej inteligencji stwarza ryzyko, o którym mowa w art. 79 rozporządzenia 2024/1689. W takim wypadku organ obowiązany będzie wszcząć z urzędu postępowanie kontrolne. W przypadku stwierdzenia w ramach dokonywanych czynności w sprawie, że będący przedmiotem kontroli system sztucznej inteligencji nie jest zgodny z przepisami rozporządzenia 2024/1689, organ będzie mógł wydać decyzje o nakazie podjęcia działań naprawczych lub wycofania systemu z rynku lub z użytku, a także o nałożeniu kary administracyjnej.  </w:t>
      </w:r>
    </w:p>
    <w:p w:rsidR="00D73C62" w:rsidRPr="00D73C62" w:rsidRDefault="00D73C62" w:rsidP="00D73C62">
      <w:pPr>
        <w:spacing w:after="0"/>
        <w:jc w:val="both"/>
        <w:rPr>
          <w:rFonts w:ascii="Arial" w:hAnsi="Arial" w:cs="Arial"/>
        </w:rPr>
      </w:pPr>
      <w:r w:rsidRPr="00D73C62">
        <w:rPr>
          <w:rFonts w:ascii="Arial" w:hAnsi="Arial" w:cs="Arial"/>
        </w:rPr>
        <w:t>Projekt ustawy uwzględnia również tryb zgłaszania poważnych incydentów. Zgodnie z projektem ustawy dostawca systemu sztucznej inteligencji będzie miał obowiązek zgłoszenia do Komisji poważnego incydentu w rozumieniu art. 3 pkt 49 rozporządzenia 2024/1689.</w:t>
      </w:r>
    </w:p>
    <w:p w:rsidR="00D73C62" w:rsidRPr="00D73C62" w:rsidRDefault="00D73C62" w:rsidP="00D73C62">
      <w:pPr>
        <w:spacing w:after="0"/>
        <w:jc w:val="both"/>
        <w:rPr>
          <w:rFonts w:ascii="Arial" w:hAnsi="Arial" w:cs="Arial"/>
        </w:rPr>
      </w:pPr>
      <w:r w:rsidRPr="00D73C62">
        <w:rPr>
          <w:rFonts w:ascii="Arial" w:hAnsi="Arial" w:cs="Arial"/>
        </w:rPr>
        <w:t>3. Administracyjne kary pieniężne</w:t>
      </w:r>
    </w:p>
    <w:p w:rsidR="00D73C62" w:rsidRPr="00D73C62" w:rsidRDefault="00D73C62" w:rsidP="00D73C62">
      <w:pPr>
        <w:spacing w:after="0"/>
        <w:jc w:val="both"/>
        <w:rPr>
          <w:rFonts w:ascii="Arial" w:hAnsi="Arial" w:cs="Arial"/>
        </w:rPr>
      </w:pPr>
      <w:r w:rsidRPr="00D73C62">
        <w:rPr>
          <w:rFonts w:ascii="Arial" w:hAnsi="Arial" w:cs="Arial"/>
        </w:rPr>
        <w:t xml:space="preserve">Uregulowania w przepisach polskiego prawa wymagają także kwestie możliwości nakładania przez organ nadzoru kar administracyjnych, w tym administracyjnych kar pieniężnych. Nie ma możliwości osiągnięcia powyższych celów projektu środkami </w:t>
      </w:r>
      <w:proofErr w:type="spellStart"/>
      <w:r w:rsidRPr="00D73C62">
        <w:rPr>
          <w:rFonts w:ascii="Arial" w:hAnsi="Arial" w:cs="Arial"/>
        </w:rPr>
        <w:t>pozalegislacyjnymi</w:t>
      </w:r>
      <w:proofErr w:type="spellEnd"/>
      <w:r w:rsidRPr="00D73C62">
        <w:rPr>
          <w:rFonts w:ascii="Arial" w:hAnsi="Arial" w:cs="Arial"/>
        </w:rPr>
        <w:t xml:space="preserve">, w związku z czym rekomendowane jest, aby administracyjne kary pieniężne podlegały egzekucji w trybie przepisów o postępowaniu egzekucyjnym w administracji w zakresie egzekucji obowiązków o charakterze pieniężnym. Proponuje się, aby ustawowo określone przypadki, w których właściwy organ może nałożyć w drodze decyzji karę, jak również jej wysokość dotyczyły naruszeń przepisów art. 5 rozporządzenia 2024/1689. Zgodnie z w art. 5 rozporządzenia 2024/1689 kara, o której mowa wynosi do 35 000 000 euro lub, jeśli sprawcą jest przedsiębiorca lub osoba prawna, 7 % jego całkowitego rocznego światowego obrotu z poprzedniego roku obrotowego, w zależności od tego, która z tych kwot jest wyższa. W przypadku, gdy odpowiedzialny za naruszenie jest mikro-, mały lub średni przedsiębiorca rozporządzenie 2024/1689 wskazuje, że nałożona kara powinna mieć wymiar mniejszy niż w przypadku innych typów podmiotów, co powinno znaleźć wyraz w przepisach ustawy. Postępowanie w sprawie wydania decyzji w sprawie nałożenia kar będzie jednoinstancyjne. Od decyzji w sprawie nałożenia kar wydanych przez właściwy organ przysługiwać ma natomiast odwołanie do Sądu Okręgowego w Warszawie – Sądu Ochrony Konkurencji i Konsumentów.  </w:t>
      </w:r>
    </w:p>
    <w:p w:rsidR="00D73C62" w:rsidRPr="00D73C62" w:rsidRDefault="00D73C62" w:rsidP="00D73C62">
      <w:pPr>
        <w:spacing w:after="0"/>
        <w:jc w:val="both"/>
        <w:rPr>
          <w:rFonts w:ascii="Arial" w:hAnsi="Arial" w:cs="Arial"/>
        </w:rPr>
      </w:pPr>
      <w:r w:rsidRPr="00D73C62">
        <w:rPr>
          <w:rFonts w:ascii="Arial" w:hAnsi="Arial" w:cs="Arial"/>
        </w:rPr>
        <w:t xml:space="preserve">Dodatkowo, projekt zakłada możliwość osiągnięcia celu zapewnienia bezpieczeństwa i zgodności z prawem stosowanych systemów sztucznej inteligencji środkami innymi niż przez nałożenia kar administracyjnych. W przypadku uzasadnionego podejrzenia, że działalność strony narusza przepisy rozporządzenia, Przewodniczący Komisji w toku postępowania może wydać stronie ostrzeżenie, w którym może on wskazać rekomendacje dotyczące przywrócenia przez stronę stanu faktycznego i prawnego zgodnego z przepisami prawa. </w:t>
      </w:r>
      <w:r w:rsidRPr="00D73C62">
        <w:rPr>
          <w:rFonts w:ascii="Arial" w:hAnsi="Arial" w:cs="Arial"/>
        </w:rPr>
        <w:lastRenderedPageBreak/>
        <w:t>Wywiązanie się przez podmiot z rekomendacji zawartych w ostrzeżeniu może być podstawą do odstąpienia od nałożenia przez Komisję kary.</w:t>
      </w:r>
    </w:p>
    <w:p w:rsidR="00D73C62" w:rsidRDefault="00D73C62" w:rsidP="00D73C62">
      <w:pPr>
        <w:spacing w:after="0"/>
        <w:jc w:val="both"/>
        <w:rPr>
          <w:rFonts w:ascii="Arial" w:hAnsi="Arial" w:cs="Arial"/>
        </w:rPr>
      </w:pPr>
      <w:r w:rsidRPr="00D73C62">
        <w:rPr>
          <w:rFonts w:ascii="Arial" w:hAnsi="Arial" w:cs="Arial"/>
        </w:rPr>
        <w:t>Z uwagi na charakter regulacji w projekcie ustawy zostaną zawarte również niezbędne zmiany przepisów obowiązujących ustaw</w:t>
      </w:r>
      <w:r>
        <w:rPr>
          <w:rFonts w:ascii="Arial" w:hAnsi="Arial" w:cs="Arial"/>
        </w:rPr>
        <w:t>.</w:t>
      </w:r>
    </w:p>
    <w:p w:rsidR="00D73C62" w:rsidRDefault="00D73C62" w:rsidP="00D73C62">
      <w:pPr>
        <w:spacing w:after="0"/>
        <w:jc w:val="both"/>
        <w:rPr>
          <w:rFonts w:ascii="Arial" w:hAnsi="Arial" w:cs="Arial"/>
        </w:rPr>
      </w:pPr>
    </w:p>
    <w:p w:rsidR="00D73C62" w:rsidRPr="00D73C62" w:rsidRDefault="00D73C62" w:rsidP="00D73C62">
      <w:pPr>
        <w:spacing w:after="0"/>
        <w:jc w:val="both"/>
        <w:rPr>
          <w:rFonts w:ascii="Arial" w:hAnsi="Arial" w:cs="Arial"/>
        </w:rPr>
      </w:pPr>
      <w:r w:rsidRPr="00D73C62">
        <w:rPr>
          <w:rFonts w:ascii="Arial" w:hAnsi="Arial" w:cs="Arial"/>
        </w:rPr>
        <w:t>Przedmiotowy projekt aktu prawnego wraz Uzasadnieniem oraz Oceną Skutków Regulacji dostępny jest na stronach Rządowego Centrum Legislacji pod adresem:</w:t>
      </w:r>
    </w:p>
    <w:p w:rsidR="00D73C62" w:rsidRDefault="00D73C62" w:rsidP="00D73C62">
      <w:pPr>
        <w:spacing w:after="0"/>
        <w:jc w:val="both"/>
        <w:rPr>
          <w:rFonts w:ascii="Arial" w:hAnsi="Arial" w:cs="Arial"/>
        </w:rPr>
      </w:pPr>
      <w:hyperlink r:id="rId8" w:history="1">
        <w:r w:rsidRPr="00332080">
          <w:rPr>
            <w:rStyle w:val="Hipercze"/>
            <w:rFonts w:ascii="Arial" w:hAnsi="Arial" w:cs="Arial"/>
          </w:rPr>
          <w:t>https://legislacja.rcl.gov.pl/projekt/1</w:t>
        </w:r>
        <w:r w:rsidRPr="00332080">
          <w:rPr>
            <w:rStyle w:val="Hipercze"/>
            <w:rFonts w:ascii="Arial" w:hAnsi="Arial" w:cs="Arial"/>
          </w:rPr>
          <w:t>2</w:t>
        </w:r>
        <w:r w:rsidRPr="00332080">
          <w:rPr>
            <w:rStyle w:val="Hipercze"/>
            <w:rFonts w:ascii="Arial" w:hAnsi="Arial" w:cs="Arial"/>
          </w:rPr>
          <w:t>390551/katalog/13087907#13087907</w:t>
        </w:r>
      </w:hyperlink>
      <w:r>
        <w:rPr>
          <w:rFonts w:ascii="Arial" w:hAnsi="Arial" w:cs="Arial"/>
        </w:rPr>
        <w:t xml:space="preserve">  </w:t>
      </w:r>
    </w:p>
    <w:p w:rsidR="00D73C62" w:rsidRDefault="00D73C62" w:rsidP="00D73C62">
      <w:pPr>
        <w:spacing w:after="0"/>
        <w:jc w:val="both"/>
        <w:rPr>
          <w:rFonts w:ascii="Arial" w:hAnsi="Arial" w:cs="Arial"/>
        </w:rPr>
      </w:pPr>
    </w:p>
    <w:p w:rsidR="00D73C62" w:rsidRDefault="00D73C62" w:rsidP="00D73C62">
      <w:pPr>
        <w:spacing w:after="0"/>
        <w:jc w:val="both"/>
        <w:rPr>
          <w:rFonts w:ascii="Arial" w:hAnsi="Arial" w:cs="Arial"/>
        </w:rPr>
      </w:pPr>
      <w:r w:rsidRPr="006E5545">
        <w:rPr>
          <w:rFonts w:ascii="Arial" w:hAnsi="Arial" w:cs="Arial"/>
        </w:rPr>
        <w:t>Projekt jest obecnie jednocześnie na etapie uzgodnień, konsultacji publicznych i opiniowania</w:t>
      </w:r>
      <w:r>
        <w:rPr>
          <w:rFonts w:ascii="Arial" w:hAnsi="Arial" w:cs="Arial"/>
        </w:rPr>
        <w:t>.</w:t>
      </w:r>
    </w:p>
    <w:p w:rsidR="00D73C62" w:rsidRPr="00D73C62" w:rsidRDefault="00D73C62" w:rsidP="00D73C62">
      <w:pPr>
        <w:spacing w:after="0"/>
        <w:jc w:val="both"/>
        <w:rPr>
          <w:rFonts w:ascii="Arial" w:hAnsi="Arial" w:cs="Arial"/>
        </w:rPr>
      </w:pPr>
    </w:p>
    <w:p w:rsidR="003B6B9A" w:rsidRPr="003B6B9A" w:rsidRDefault="003B6B9A" w:rsidP="003B6B9A">
      <w:pPr>
        <w:pStyle w:val="Akapitzlist"/>
        <w:numPr>
          <w:ilvl w:val="0"/>
          <w:numId w:val="3"/>
        </w:numPr>
        <w:spacing w:after="0"/>
        <w:jc w:val="both"/>
        <w:rPr>
          <w:rFonts w:ascii="Arial" w:hAnsi="Arial" w:cs="Arial"/>
          <w:b/>
          <w:u w:val="single"/>
        </w:rPr>
      </w:pPr>
      <w:r w:rsidRPr="003B6B9A">
        <w:rPr>
          <w:rFonts w:ascii="Arial" w:hAnsi="Arial" w:cs="Arial"/>
          <w:b/>
          <w:u w:val="single"/>
        </w:rPr>
        <w:t>projekt ustawy o zmianie ustawy - Prawo restrukturyzacyjne oraz ustawy – Prawo upadłościowe (numer z wykazu UC43)</w:t>
      </w:r>
    </w:p>
    <w:p w:rsidR="003B6B9A" w:rsidRDefault="003B6B9A" w:rsidP="003B6B9A">
      <w:pPr>
        <w:spacing w:after="0"/>
        <w:jc w:val="both"/>
        <w:rPr>
          <w:rFonts w:ascii="Arial" w:hAnsi="Arial" w:cs="Arial"/>
        </w:rPr>
      </w:pPr>
    </w:p>
    <w:p w:rsidR="000D41E8" w:rsidRPr="000D41E8" w:rsidRDefault="000D41E8" w:rsidP="000D41E8">
      <w:pPr>
        <w:spacing w:after="0"/>
        <w:jc w:val="both"/>
        <w:rPr>
          <w:rFonts w:ascii="Arial" w:hAnsi="Arial" w:cs="Arial"/>
        </w:rPr>
      </w:pPr>
      <w:r w:rsidRPr="000D41E8">
        <w:rPr>
          <w:rFonts w:ascii="Arial" w:hAnsi="Arial" w:cs="Arial"/>
        </w:rPr>
        <w:t xml:space="preserve">Celem projektu jest dopełnienie implementacji dyrektywy Parlamentu Europejskiego i Rady (UE) 2019/1023 z dnia 20 czerwca 2019 r. w sprawie ram restrukturyzacji zapobiegawczej, umorzenia długów i zakazów prowadzenia działalności gospodarczej oraz w sprawie środków zwiększających skuteczność postępowań dotyczących restrukturyzacji, niewypłacalności i umorzenia długów, a także zmieniającej dyrektywę (UE) 2017/1132 (dyrektywa o restrukturyzacji i upadłości).  </w:t>
      </w:r>
    </w:p>
    <w:p w:rsidR="000D41E8" w:rsidRPr="000D41E8" w:rsidRDefault="000D41E8" w:rsidP="000D41E8">
      <w:pPr>
        <w:spacing w:after="0"/>
        <w:jc w:val="both"/>
        <w:rPr>
          <w:rFonts w:ascii="Arial" w:hAnsi="Arial" w:cs="Arial"/>
        </w:rPr>
      </w:pPr>
      <w:r w:rsidRPr="000D41E8">
        <w:rPr>
          <w:rFonts w:ascii="Arial" w:hAnsi="Arial" w:cs="Arial"/>
        </w:rPr>
        <w:t>Dyrektywa 2019/1023 ma na celu ujednolicenie regulacji dotyczących postępowań restrukturyzacyjnych w krajach członkowskich w celu zapewnienia prawidłowego funkcjonowania rynku wewnętrznego. Postępowanie restrukturyzacyjne ma umożliwić przedsiębiorcom znajdującym się w trudnej sytuacji kontynuowanie prowadzonej działalności oraz przeciwdziałać likwidacji miejsc pracy.</w:t>
      </w:r>
    </w:p>
    <w:p w:rsidR="000D41E8" w:rsidRPr="000D41E8" w:rsidRDefault="000D41E8" w:rsidP="000D41E8">
      <w:pPr>
        <w:spacing w:after="0"/>
        <w:jc w:val="both"/>
        <w:rPr>
          <w:rFonts w:ascii="Arial" w:hAnsi="Arial" w:cs="Arial"/>
        </w:rPr>
      </w:pPr>
      <w:r w:rsidRPr="000D41E8">
        <w:rPr>
          <w:rFonts w:ascii="Arial" w:hAnsi="Arial" w:cs="Arial"/>
        </w:rPr>
        <w:t>Ponadto założeniem dyrektywy jest także określenie przesłanek determinujących jak najszybsze podjęcie działań służących ustaleniu trudności przedsiębiorcy związanych z płynnością finansową, a następnie odpowiednich działań naprawczych, o ile są one możliwe i słuszne. W przeciwnym razie, zasadne będzie podjęcie działań zmierzających do jak najszybszej likwidacji przedsiębiorcy, z zachowaniem praw wierzycieli, tj. zaspokojenie ich roszczeń w sposób rzetelny i w możliwie największym zakresie, równomiernie oraz w najszybszym terminie.</w:t>
      </w:r>
    </w:p>
    <w:p w:rsidR="000D41E8" w:rsidRPr="000D41E8" w:rsidRDefault="000D41E8" w:rsidP="000D41E8">
      <w:pPr>
        <w:spacing w:after="0"/>
        <w:jc w:val="both"/>
        <w:rPr>
          <w:rFonts w:ascii="Arial" w:hAnsi="Arial" w:cs="Arial"/>
        </w:rPr>
      </w:pPr>
      <w:r w:rsidRPr="000D41E8">
        <w:rPr>
          <w:rFonts w:ascii="Arial" w:hAnsi="Arial" w:cs="Arial"/>
        </w:rPr>
        <w:t>Kolejnym celem, zakładanym przez ustawodawcę unijnego, jest zmniejszenie różnic istniejących między państwami członkowskimi, utrudniających wczesną restrukturyzację rentownych dłużników znajdujących się w trudnej sytuacji finansowej oraz możliwość umorzenia długów dla uczciwych przedsiębiorców. Szybkie wykluczenie z rynku nierentownych przedsiębiorstw, które nie mają szans na przetrwanie, pozwoli bowiem na uniknięcie dalszych strat, do zwiększenia których mogłyby się przyczynić wysiłki podjęte w celu restrukturyzacji takiego przedsiębiorstwa.</w:t>
      </w:r>
    </w:p>
    <w:p w:rsidR="000D41E8" w:rsidRPr="000D41E8" w:rsidRDefault="000D41E8" w:rsidP="000D41E8">
      <w:pPr>
        <w:spacing w:after="0"/>
        <w:jc w:val="both"/>
        <w:rPr>
          <w:rFonts w:ascii="Arial" w:hAnsi="Arial" w:cs="Arial"/>
        </w:rPr>
      </w:pPr>
      <w:r w:rsidRPr="000D41E8">
        <w:rPr>
          <w:rFonts w:ascii="Arial" w:hAnsi="Arial" w:cs="Arial"/>
        </w:rPr>
        <w:t xml:space="preserve">Dążenie do harmonizacji przepisów dotyczących restrukturyzacji zapobiegawczej w państwach członkowskich jest również podyktowane transgranicznym charakterem prowadzenia działalności gospodarczej w Unii Europejskiej. Rynek wewnętrzny na którym istnieje swobodny przepływ towarów, usług, kapitału i pracowników, i który ma coraz silniejszy wymiar cyfrowy, oznacza, że bardzo niewiele przedsiębiorstw zachowuje czysto narodowy charakter, jeśli wziąć pod uwagę wszystkie istotne czynniki, takie jak baza klientów, łańcuch dostaw, zakres działalności, baza inwestorów i baza kapitałowa. Nawet niewypłacalność o charakterze czysto krajowym może mieć wpływ na funkcjonowanie rynku </w:t>
      </w:r>
      <w:r w:rsidRPr="000D41E8">
        <w:rPr>
          <w:rFonts w:ascii="Arial" w:hAnsi="Arial" w:cs="Arial"/>
        </w:rPr>
        <w:lastRenderedPageBreak/>
        <w:t xml:space="preserve">wewnętrznego przez tzw. efekt domina, kiedy niewypłacalność jednego dłużnika może powodować niewypłacalność kolejnych przedsiębiorstw w łańcuchu dostaw. </w:t>
      </w:r>
    </w:p>
    <w:p w:rsidR="000D41E8" w:rsidRPr="000D41E8" w:rsidRDefault="000D41E8" w:rsidP="000D41E8">
      <w:pPr>
        <w:spacing w:after="0"/>
        <w:jc w:val="both"/>
        <w:rPr>
          <w:rFonts w:ascii="Arial" w:hAnsi="Arial" w:cs="Arial"/>
        </w:rPr>
      </w:pPr>
      <w:r w:rsidRPr="000D41E8">
        <w:rPr>
          <w:rFonts w:ascii="Arial" w:hAnsi="Arial" w:cs="Arial"/>
        </w:rPr>
        <w:t xml:space="preserve">Jednym z kluczowych elementów przewidzianych w Dyrektywie 2019/1023 jest kwestia umorzenia długów przedsiębiorcy. Zgodnie z art. 20 ust. 1 Dyrektywy państwa członkowskie zapewniają, aby niewypłacalni przedsiębiorcy mieli dostęp do co najmniej jednego rodzaju postępowania, które może prowadzić do całkowitego umorzenia długów. </w:t>
      </w:r>
    </w:p>
    <w:p w:rsidR="000D41E8" w:rsidRPr="000D41E8" w:rsidRDefault="000D41E8" w:rsidP="000D41E8">
      <w:pPr>
        <w:spacing w:after="0"/>
        <w:jc w:val="both"/>
        <w:rPr>
          <w:rFonts w:ascii="Arial" w:hAnsi="Arial" w:cs="Arial"/>
        </w:rPr>
      </w:pPr>
      <w:r w:rsidRPr="000D41E8">
        <w:rPr>
          <w:rFonts w:ascii="Arial" w:hAnsi="Arial" w:cs="Arial"/>
        </w:rPr>
        <w:t>Dyrektywa 2019/1023 w znacznej mierze znajduje już odzwierciedlenie w przepisach ustawy z dnia 15 maja 2015 r. – Prawo restrukturyzacyjne (Dz. U. z 2024 r. poz. 1428) oraz ustawy z dnia 28 lutego 2003 r. – Prawo upadłościowe (Dz. U. z 2024 r. poz. 794 i 1222), jednak niezbędne jest usunięcie możliwych wątpliwości interpretacyjnych oraz zapewnienie spójności przepisów dotyczących różnych typów postępowań restrukturyzacyjnych. W szczególności jednak niezbędna jest pełna implementacja części jej przepisów dotyczących m.in. uregulowania w zakresie zatwierdzenia planu restrukturyzacji wbrew sprzeciwowi grupy wierzycieli („</w:t>
      </w:r>
      <w:proofErr w:type="spellStart"/>
      <w:r w:rsidRPr="000D41E8">
        <w:rPr>
          <w:rFonts w:ascii="Arial" w:hAnsi="Arial" w:cs="Arial"/>
        </w:rPr>
        <w:t>cramdown</w:t>
      </w:r>
      <w:proofErr w:type="spellEnd"/>
      <w:r w:rsidRPr="000D41E8">
        <w:rPr>
          <w:rFonts w:ascii="Arial" w:hAnsi="Arial" w:cs="Arial"/>
        </w:rPr>
        <w:t xml:space="preserve">”), tak aby umożliwić efektywne przeprowadzenie postępowania restrukturyzacyjnego, jak również kwestii sporządzenia już na początku postępowania testu zaspokojenia, zawierającego projekcję wartości majątku dłużnika przy założeniu różnych scenariuszy sytuacji, w których może znaleźć się dłużnik, a co będzie miało bezpośredni wpływ na stopień zaspokojenia wierzycieli (z obowiązku złożenia testu zaspokojenia zwolnieni będą </w:t>
      </w:r>
      <w:proofErr w:type="spellStart"/>
      <w:r w:rsidRPr="000D41E8">
        <w:rPr>
          <w:rFonts w:ascii="Arial" w:hAnsi="Arial" w:cs="Arial"/>
        </w:rPr>
        <w:t>mikroprzedsiębiorcy</w:t>
      </w:r>
      <w:proofErr w:type="spellEnd"/>
      <w:r w:rsidRPr="000D41E8">
        <w:rPr>
          <w:rFonts w:ascii="Arial" w:hAnsi="Arial" w:cs="Arial"/>
        </w:rPr>
        <w:t>).</w:t>
      </w:r>
    </w:p>
    <w:p w:rsidR="000D41E8" w:rsidRPr="000D41E8" w:rsidRDefault="000D41E8" w:rsidP="000D41E8">
      <w:pPr>
        <w:spacing w:after="0"/>
        <w:jc w:val="both"/>
        <w:rPr>
          <w:rFonts w:ascii="Arial" w:hAnsi="Arial" w:cs="Arial"/>
        </w:rPr>
      </w:pPr>
      <w:r w:rsidRPr="000D41E8">
        <w:rPr>
          <w:rFonts w:ascii="Arial" w:hAnsi="Arial" w:cs="Arial"/>
        </w:rPr>
        <w:t xml:space="preserve">Projekt ustawy opiera się na założeniu wprowadzania jedynie takich zmian w obecnie obowiązujących regulacjach, które są konieczne dla stwierdzenia pełnej transpozycji dyrektywy. Poniżej wyszczególnione zostały najważniejsze zmiany zawarte w ustawie z dnia 15 maja 2015 r. – Prawo restrukturyzacyjne (Dz. U. z 2024 r. poz. 1428). </w:t>
      </w:r>
    </w:p>
    <w:p w:rsidR="000D41E8" w:rsidRPr="000D41E8" w:rsidRDefault="000D41E8" w:rsidP="000D41E8">
      <w:pPr>
        <w:spacing w:after="0"/>
        <w:jc w:val="both"/>
        <w:rPr>
          <w:rFonts w:ascii="Arial" w:hAnsi="Arial" w:cs="Arial"/>
        </w:rPr>
      </w:pPr>
      <w:r w:rsidRPr="000D41E8">
        <w:rPr>
          <w:rFonts w:ascii="Arial" w:hAnsi="Arial" w:cs="Arial"/>
        </w:rPr>
        <w:t>Rozszerzenie katalogu dokumentów dołączanych przez dłużnika do wniosku o otwarcie postępowania restrukturyzacyjnego (m.in. o informacje dotyczące wpływu otwarcia tego postępowania na zatrudnienie w przedsiębiorstwie dłużnika).</w:t>
      </w:r>
    </w:p>
    <w:p w:rsidR="000D41E8" w:rsidRPr="000D41E8" w:rsidRDefault="000D41E8" w:rsidP="000D41E8">
      <w:pPr>
        <w:spacing w:after="0"/>
        <w:jc w:val="both"/>
        <w:rPr>
          <w:rFonts w:ascii="Arial" w:hAnsi="Arial" w:cs="Arial"/>
        </w:rPr>
      </w:pPr>
      <w:r w:rsidRPr="000D41E8">
        <w:rPr>
          <w:rFonts w:ascii="Arial" w:hAnsi="Arial" w:cs="Arial"/>
        </w:rPr>
        <w:t xml:space="preserve">Zmiana projektowana w art. 1 pkt 3 lit. a </w:t>
      </w:r>
      <w:proofErr w:type="spellStart"/>
      <w:r w:rsidRPr="000D41E8">
        <w:rPr>
          <w:rFonts w:ascii="Arial" w:hAnsi="Arial" w:cs="Arial"/>
        </w:rPr>
        <w:t>tiret</w:t>
      </w:r>
      <w:proofErr w:type="spellEnd"/>
      <w:r w:rsidRPr="000D41E8">
        <w:rPr>
          <w:rFonts w:ascii="Arial" w:hAnsi="Arial" w:cs="Arial"/>
        </w:rPr>
        <w:t xml:space="preserve"> pierwsze projektu (zmiana pkt 4 w art. 10 ust. 1 ustawy – Prawo restrukturyzacyjne) zawiera wskazanie obligatoryjnych informacji, jakie mają być zawarte w planie restrukturyzacji przedkładanym przez dłużnika. W obecnym stanie prawnym art. 10 Prawa restrukturyzacyjnego nie zawiera obowiązku wskazania w tym dokumencie skutków, jakie postępowanie restrukturyzacyjne będzie wywoływać w zakresie zatrudnienia w przedsiębiorstwie dłużnika, ustaleń dotyczących informowania przedstawicieli pracowników o możliwych skutkach postępowania restrukturyzacyjnego oraz przeprowadzania z nimi konsultacji. Projektowana zmiana spowoduje dodanie tych informacji do obowiązkowego zakresu planu restrukturyzacyjnego. </w:t>
      </w:r>
    </w:p>
    <w:p w:rsidR="000D41E8" w:rsidRPr="000D41E8" w:rsidRDefault="000D41E8" w:rsidP="000D41E8">
      <w:pPr>
        <w:spacing w:after="0"/>
        <w:jc w:val="both"/>
        <w:rPr>
          <w:rFonts w:ascii="Arial" w:hAnsi="Arial" w:cs="Arial"/>
        </w:rPr>
      </w:pPr>
      <w:r w:rsidRPr="000D41E8">
        <w:rPr>
          <w:rFonts w:ascii="Arial" w:hAnsi="Arial" w:cs="Arial"/>
        </w:rPr>
        <w:t xml:space="preserve">Zmiana projektowana w art. 1 pkt 3 lit. a </w:t>
      </w:r>
      <w:proofErr w:type="spellStart"/>
      <w:r w:rsidRPr="000D41E8">
        <w:rPr>
          <w:rFonts w:ascii="Arial" w:hAnsi="Arial" w:cs="Arial"/>
        </w:rPr>
        <w:t>tiret</w:t>
      </w:r>
      <w:proofErr w:type="spellEnd"/>
      <w:r w:rsidRPr="000D41E8">
        <w:rPr>
          <w:rFonts w:ascii="Arial" w:hAnsi="Arial" w:cs="Arial"/>
        </w:rPr>
        <w:t xml:space="preserve"> drugie projektu (dodanie pkt 8a w art. 10 ust. 1 ustawy – Prawo restrukturyzacyjne) rozszerza katalog informacji, które powinny być zawarte w planie restrukturyzacyjnym, o zestawienie aktywów i pasywów dłużnika wraz ze wskazaniem wartości aktywów oraz opis sytuacji ekonomicznej dłużnika i sytuacji jego pracowników. Przy czym, poprzez sformułowanie „sytuacja pracowników” należy rozumieć wszelkie okoliczności dotyczące sytuacji pracownika w danym przedsiębiorstwie, na które będą oddziaływały proponowane w planie restrukturyzacyjnym środki restrukturyzacyjne, w tym propozycje układowe. </w:t>
      </w:r>
    </w:p>
    <w:p w:rsidR="000D41E8" w:rsidRPr="000D41E8" w:rsidRDefault="000D41E8" w:rsidP="000D41E8">
      <w:pPr>
        <w:spacing w:after="0"/>
        <w:jc w:val="both"/>
        <w:rPr>
          <w:rFonts w:ascii="Arial" w:hAnsi="Arial" w:cs="Arial"/>
        </w:rPr>
      </w:pPr>
      <w:r w:rsidRPr="000D41E8">
        <w:rPr>
          <w:rFonts w:ascii="Arial" w:hAnsi="Arial" w:cs="Arial"/>
        </w:rPr>
        <w:t>Wprowadzenie obowiązku wskazania w opisie przedsiębiorstwa informacji o tym, czy dłużnik jest mikro-, małym- lub średnim przedsiębiorcą.</w:t>
      </w:r>
    </w:p>
    <w:p w:rsidR="000D41E8" w:rsidRPr="000D41E8" w:rsidRDefault="000D41E8" w:rsidP="000D41E8">
      <w:pPr>
        <w:spacing w:after="0"/>
        <w:jc w:val="both"/>
        <w:rPr>
          <w:rFonts w:ascii="Arial" w:hAnsi="Arial" w:cs="Arial"/>
        </w:rPr>
      </w:pPr>
      <w:r w:rsidRPr="000D41E8">
        <w:rPr>
          <w:rFonts w:ascii="Arial" w:hAnsi="Arial" w:cs="Arial"/>
        </w:rPr>
        <w:t xml:space="preserve">Zmiana proponowana w art. 1 pkt 3 lit. b projektu (dodanie w art. 10 ustawy – Prawo restrukturyzacyjne ust. 2a) jest uzasadniona tym, że zgodnie z Dyrektywą 2019/1023 państwa członkowskie są zobowiązane do gromadzenia i agregowania danych dotyczących </w:t>
      </w:r>
      <w:r w:rsidRPr="000D41E8">
        <w:rPr>
          <w:rFonts w:ascii="Arial" w:hAnsi="Arial" w:cs="Arial"/>
        </w:rPr>
        <w:lastRenderedPageBreak/>
        <w:t xml:space="preserve">postępowań obejmujących restrukturyzację, niewypłacalność i umorzenie długów, w tym danych dotyczących wielkości dłużnika. Wprowadzenie obowiązku wskazania w opisie przedsiębiorstwa informacji o tym, czy dłużnik jest </w:t>
      </w:r>
      <w:proofErr w:type="spellStart"/>
      <w:r w:rsidRPr="000D41E8">
        <w:rPr>
          <w:rFonts w:ascii="Arial" w:hAnsi="Arial" w:cs="Arial"/>
        </w:rPr>
        <w:t>mikroprzedsiębiorcą</w:t>
      </w:r>
      <w:proofErr w:type="spellEnd"/>
      <w:r w:rsidRPr="000D41E8">
        <w:rPr>
          <w:rFonts w:ascii="Arial" w:hAnsi="Arial" w:cs="Arial"/>
        </w:rPr>
        <w:t>, małym przedsiębiorcą lub średnim przedsiębiorcą, umożliwi Rzeczpospolitej Polskiej prawidłowe wykonanie obowiązków związanych z monitorowaniem postępowań dotyczących restrukturyzacji.</w:t>
      </w:r>
    </w:p>
    <w:p w:rsidR="000D41E8" w:rsidRPr="000D41E8" w:rsidRDefault="000D41E8" w:rsidP="000D41E8">
      <w:pPr>
        <w:spacing w:after="0"/>
        <w:jc w:val="both"/>
        <w:rPr>
          <w:rFonts w:ascii="Arial" w:hAnsi="Arial" w:cs="Arial"/>
        </w:rPr>
      </w:pPr>
      <w:r w:rsidRPr="000D41E8">
        <w:rPr>
          <w:rFonts w:ascii="Arial" w:hAnsi="Arial" w:cs="Arial"/>
        </w:rPr>
        <w:t xml:space="preserve">Obowiązek przygotowania testu zaspokojenia na początku postępowania restrukturyzacyjnego. </w:t>
      </w:r>
    </w:p>
    <w:p w:rsidR="000D41E8" w:rsidRPr="000D41E8" w:rsidRDefault="000D41E8" w:rsidP="000D41E8">
      <w:pPr>
        <w:spacing w:after="0"/>
        <w:jc w:val="both"/>
        <w:rPr>
          <w:rFonts w:ascii="Arial" w:hAnsi="Arial" w:cs="Arial"/>
        </w:rPr>
      </w:pPr>
      <w:r w:rsidRPr="000D41E8">
        <w:rPr>
          <w:rFonts w:ascii="Arial" w:hAnsi="Arial" w:cs="Arial"/>
        </w:rPr>
        <w:t xml:space="preserve">Proponowany art. 1 pkt 4 (nowy art. 10a Prawa restrukturyzacyjnego) wiąże się ściśle z regulacjami, które umożliwiają wierzycielom kwestionowanie zasadności zawarcia układu, a z drugiej strony pozwalają dłużnikowi na wystąpienie do sądu o jego zatwierdzenie wbrew sprzeciwowi części grup wierzycieli w trybie mechanizmu </w:t>
      </w:r>
      <w:proofErr w:type="spellStart"/>
      <w:r w:rsidRPr="000D41E8">
        <w:rPr>
          <w:rFonts w:ascii="Arial" w:hAnsi="Arial" w:cs="Arial"/>
        </w:rPr>
        <w:t>cramdown</w:t>
      </w:r>
      <w:proofErr w:type="spellEnd"/>
      <w:r w:rsidRPr="000D41E8">
        <w:rPr>
          <w:rFonts w:ascii="Arial" w:hAnsi="Arial" w:cs="Arial"/>
        </w:rPr>
        <w:t xml:space="preserve">. Aby umożliwić odpowiednią kontrolę ekonomicznej zasadności prowadzenia postępowania restrukturyzacyjnego konieczne było zaprojektowanie czynności, które powinny poprzedzać ewentualną sądową kontrolę spełnienia zasady ochrony najlepszych interesów wierzycieli albo możliwości zastosowania mechanizmu </w:t>
      </w:r>
      <w:proofErr w:type="spellStart"/>
      <w:r w:rsidRPr="000D41E8">
        <w:rPr>
          <w:rFonts w:ascii="Arial" w:hAnsi="Arial" w:cs="Arial"/>
        </w:rPr>
        <w:t>cramdown</w:t>
      </w:r>
      <w:proofErr w:type="spellEnd"/>
      <w:r w:rsidRPr="000D41E8">
        <w:rPr>
          <w:rFonts w:ascii="Arial" w:hAnsi="Arial" w:cs="Arial"/>
        </w:rPr>
        <w:t xml:space="preserve">. Chodziło także o to, aby spór dotyczący wycen nie był przesunięty na koniec postępowania, ale by wierzyciele, już przed głosowaniem nad układem, mogli dysponować materiałami pozwalającymi na podjęcie świadomej decyzji co do głosowania za lub przeciw, ewentualnie mogli zaproponować alternatywne rozwiązania wobec propozycji układowych dłużnika lub nadzorcy. </w:t>
      </w:r>
    </w:p>
    <w:p w:rsidR="000D41E8" w:rsidRPr="000D41E8" w:rsidRDefault="000D41E8" w:rsidP="000D41E8">
      <w:pPr>
        <w:spacing w:after="0"/>
        <w:jc w:val="both"/>
        <w:rPr>
          <w:rFonts w:ascii="Arial" w:hAnsi="Arial" w:cs="Arial"/>
        </w:rPr>
      </w:pPr>
      <w:r w:rsidRPr="000D41E8">
        <w:rPr>
          <w:rFonts w:ascii="Arial" w:hAnsi="Arial" w:cs="Arial"/>
        </w:rPr>
        <w:t xml:space="preserve">Podstawowym dokumentem umożliwiającym realizację założonych celów jest test zaspokojenia, sporządzany już na początku postępowania, zawierający projekcję wartości majątku dłużnika przy założeniu różnych scenariuszy, w których może znaleźć się dłużnik, a co będzie miało bezpośredni wpływ na stopień zaspokojenia wierzycieli. </w:t>
      </w:r>
    </w:p>
    <w:p w:rsidR="000D41E8" w:rsidRPr="000D41E8" w:rsidRDefault="000D41E8" w:rsidP="000D41E8">
      <w:pPr>
        <w:spacing w:after="0"/>
        <w:jc w:val="both"/>
        <w:rPr>
          <w:rFonts w:ascii="Arial" w:hAnsi="Arial" w:cs="Arial"/>
        </w:rPr>
      </w:pPr>
      <w:r w:rsidRPr="000D41E8">
        <w:rPr>
          <w:rFonts w:ascii="Arial" w:hAnsi="Arial" w:cs="Arial"/>
        </w:rPr>
        <w:t>Test zaspokojenia zawiera następujące informacje:</w:t>
      </w:r>
    </w:p>
    <w:p w:rsidR="000D41E8" w:rsidRPr="000D41E8" w:rsidRDefault="000D41E8" w:rsidP="000D41E8">
      <w:pPr>
        <w:spacing w:after="0"/>
        <w:jc w:val="both"/>
        <w:rPr>
          <w:rFonts w:ascii="Arial" w:hAnsi="Arial" w:cs="Arial"/>
        </w:rPr>
      </w:pPr>
      <w:r w:rsidRPr="000D41E8">
        <w:rPr>
          <w:rFonts w:ascii="Arial" w:hAnsi="Arial" w:cs="Arial"/>
        </w:rPr>
        <w:t>1.</w:t>
      </w:r>
      <w:r w:rsidRPr="000D41E8">
        <w:rPr>
          <w:rFonts w:ascii="Arial" w:hAnsi="Arial" w:cs="Arial"/>
        </w:rPr>
        <w:tab/>
        <w:t>wycenę wskazującą metody i założenia przyjęte w trakcie jej sporządzania, która obejmuje:</w:t>
      </w:r>
    </w:p>
    <w:p w:rsidR="000D41E8" w:rsidRPr="000D41E8" w:rsidRDefault="000D41E8" w:rsidP="000D41E8">
      <w:pPr>
        <w:spacing w:after="0"/>
        <w:jc w:val="both"/>
        <w:rPr>
          <w:rFonts w:ascii="Arial" w:hAnsi="Arial" w:cs="Arial"/>
        </w:rPr>
      </w:pPr>
      <w:r w:rsidRPr="000D41E8">
        <w:rPr>
          <w:rFonts w:ascii="Arial" w:hAnsi="Arial" w:cs="Arial"/>
        </w:rPr>
        <w:t>a)</w:t>
      </w:r>
      <w:r w:rsidRPr="000D41E8">
        <w:rPr>
          <w:rFonts w:ascii="Arial" w:hAnsi="Arial" w:cs="Arial"/>
        </w:rPr>
        <w:tab/>
        <w:t>wartość przedsiębiorstwa dłużnika przy założeniu realizacji planu restrukturyzacyjnego i kontynuacji działalności gospodarczej,</w:t>
      </w:r>
    </w:p>
    <w:p w:rsidR="000D41E8" w:rsidRPr="000D41E8" w:rsidRDefault="000D41E8" w:rsidP="000D41E8">
      <w:pPr>
        <w:spacing w:after="0"/>
        <w:jc w:val="both"/>
        <w:rPr>
          <w:rFonts w:ascii="Arial" w:hAnsi="Arial" w:cs="Arial"/>
        </w:rPr>
      </w:pPr>
      <w:r w:rsidRPr="000D41E8">
        <w:rPr>
          <w:rFonts w:ascii="Arial" w:hAnsi="Arial" w:cs="Arial"/>
        </w:rPr>
        <w:t>b)</w:t>
      </w:r>
      <w:r w:rsidRPr="000D41E8">
        <w:rPr>
          <w:rFonts w:ascii="Arial" w:hAnsi="Arial" w:cs="Arial"/>
        </w:rPr>
        <w:tab/>
        <w:t xml:space="preserve">wartość majątku dłużnika przy założeniu ogłoszenia jego upadłości i sprzedaży przedsiębiorstwa jako całości oraz odstąpienia od sprzedaży przedsiębiorstwa jako całości i sprzedaży poszczególnych składników majątku. </w:t>
      </w:r>
    </w:p>
    <w:p w:rsidR="000D41E8" w:rsidRPr="000D41E8" w:rsidRDefault="000D41E8" w:rsidP="000D41E8">
      <w:pPr>
        <w:spacing w:after="0"/>
        <w:jc w:val="both"/>
        <w:rPr>
          <w:rFonts w:ascii="Arial" w:hAnsi="Arial" w:cs="Arial"/>
        </w:rPr>
      </w:pPr>
      <w:r w:rsidRPr="000D41E8">
        <w:rPr>
          <w:rFonts w:ascii="Arial" w:hAnsi="Arial" w:cs="Arial"/>
        </w:rPr>
        <w:t>2.</w:t>
      </w:r>
      <w:r w:rsidRPr="000D41E8">
        <w:rPr>
          <w:rFonts w:ascii="Arial" w:hAnsi="Arial" w:cs="Arial"/>
        </w:rPr>
        <w:tab/>
        <w:t xml:space="preserve">informację o przewidywanym stopniu zaspokojenia wierzycieli, których wierzytelności są objęte układem, </w:t>
      </w:r>
    </w:p>
    <w:p w:rsidR="000D41E8" w:rsidRPr="000D41E8" w:rsidRDefault="000D41E8" w:rsidP="000D41E8">
      <w:pPr>
        <w:spacing w:after="0"/>
        <w:jc w:val="both"/>
        <w:rPr>
          <w:rFonts w:ascii="Arial" w:hAnsi="Arial" w:cs="Arial"/>
        </w:rPr>
      </w:pPr>
      <w:r w:rsidRPr="000D41E8">
        <w:rPr>
          <w:rFonts w:ascii="Arial" w:hAnsi="Arial" w:cs="Arial"/>
        </w:rPr>
        <w:t>w postępowaniu upadłościowym, które byłoby prowadzone wobec dłużnika</w:t>
      </w:r>
    </w:p>
    <w:p w:rsidR="000D41E8" w:rsidRPr="000D41E8" w:rsidRDefault="000D41E8" w:rsidP="000D41E8">
      <w:pPr>
        <w:spacing w:after="0"/>
        <w:jc w:val="both"/>
        <w:rPr>
          <w:rFonts w:ascii="Arial" w:hAnsi="Arial" w:cs="Arial"/>
        </w:rPr>
      </w:pPr>
      <w:r w:rsidRPr="000D41E8">
        <w:rPr>
          <w:rFonts w:ascii="Arial" w:hAnsi="Arial" w:cs="Arial"/>
        </w:rPr>
        <w:t>3.</w:t>
      </w:r>
      <w:r w:rsidRPr="000D41E8">
        <w:rPr>
          <w:rFonts w:ascii="Arial" w:hAnsi="Arial" w:cs="Arial"/>
        </w:rPr>
        <w:tab/>
        <w:t xml:space="preserve">ocenę, czy wierzytelności objęte układem będą zaspokojone w wyższym stopniu w przypadku zawarcia </w:t>
      </w:r>
    </w:p>
    <w:p w:rsidR="000D41E8" w:rsidRPr="000D41E8" w:rsidRDefault="000D41E8" w:rsidP="000D41E8">
      <w:pPr>
        <w:spacing w:after="0"/>
        <w:jc w:val="both"/>
        <w:rPr>
          <w:rFonts w:ascii="Arial" w:hAnsi="Arial" w:cs="Arial"/>
        </w:rPr>
      </w:pPr>
      <w:r w:rsidRPr="000D41E8">
        <w:rPr>
          <w:rFonts w:ascii="Arial" w:hAnsi="Arial" w:cs="Arial"/>
        </w:rPr>
        <w:t>i wykonania układu, czy w postępowaniu upadłościowym.</w:t>
      </w:r>
    </w:p>
    <w:p w:rsidR="000D41E8" w:rsidRPr="000D41E8" w:rsidRDefault="000D41E8" w:rsidP="000D41E8">
      <w:pPr>
        <w:spacing w:after="0"/>
        <w:jc w:val="both"/>
        <w:rPr>
          <w:rFonts w:ascii="Arial" w:hAnsi="Arial" w:cs="Arial"/>
        </w:rPr>
      </w:pPr>
      <w:r w:rsidRPr="000D41E8">
        <w:rPr>
          <w:rFonts w:ascii="Arial" w:hAnsi="Arial" w:cs="Arial"/>
        </w:rPr>
        <w:t>Chcąc ograniczyć podstawy do kwestionowania przygotowanych wycen na późniejszym etapie postępowania przewidziano, że zawarcie umowy z ekspertem na wykonanie testu zaspokojenia będzie możliwe bezpośrednio przez nadzorcę, za zgodą dłużnika, albo zarządcę (podobnie jak przygotowanie planu restrukturyzacyjnego czy wyceny na żądanie sądu).</w:t>
      </w:r>
    </w:p>
    <w:p w:rsidR="000D41E8" w:rsidRPr="000D41E8" w:rsidRDefault="000D41E8" w:rsidP="000D41E8">
      <w:pPr>
        <w:spacing w:after="0"/>
        <w:jc w:val="both"/>
        <w:rPr>
          <w:rFonts w:ascii="Arial" w:hAnsi="Arial" w:cs="Arial"/>
        </w:rPr>
      </w:pPr>
      <w:r w:rsidRPr="000D41E8">
        <w:rPr>
          <w:rFonts w:ascii="Arial" w:hAnsi="Arial" w:cs="Arial"/>
        </w:rPr>
        <w:t xml:space="preserve">Testu zaspokojenia nie trzeba będzie jednak sporządzać w postępowaniach restrukturyzacyjnych, dotyczących </w:t>
      </w:r>
      <w:proofErr w:type="spellStart"/>
      <w:r w:rsidRPr="000D41E8">
        <w:rPr>
          <w:rFonts w:ascii="Arial" w:hAnsi="Arial" w:cs="Arial"/>
        </w:rPr>
        <w:t>mikroprzedsiębiorców</w:t>
      </w:r>
      <w:proofErr w:type="spellEnd"/>
      <w:r w:rsidRPr="000D41E8">
        <w:rPr>
          <w:rFonts w:ascii="Arial" w:hAnsi="Arial" w:cs="Arial"/>
        </w:rPr>
        <w:t>.</w:t>
      </w:r>
    </w:p>
    <w:p w:rsidR="000D41E8" w:rsidRPr="000D41E8" w:rsidRDefault="000D41E8" w:rsidP="000D41E8">
      <w:pPr>
        <w:spacing w:after="0"/>
        <w:jc w:val="both"/>
        <w:rPr>
          <w:rFonts w:ascii="Arial" w:hAnsi="Arial" w:cs="Arial"/>
        </w:rPr>
      </w:pPr>
      <w:r w:rsidRPr="000D41E8">
        <w:rPr>
          <w:rFonts w:ascii="Arial" w:hAnsi="Arial" w:cs="Arial"/>
        </w:rPr>
        <w:t xml:space="preserve">Modyfikacja mechanizmu zatwierdzania układu wbrew sprzeciwowi grupy wierzycieli. </w:t>
      </w:r>
    </w:p>
    <w:p w:rsidR="000D41E8" w:rsidRPr="000D41E8" w:rsidRDefault="000D41E8" w:rsidP="000D41E8">
      <w:pPr>
        <w:spacing w:after="0"/>
        <w:jc w:val="both"/>
        <w:rPr>
          <w:rFonts w:ascii="Arial" w:hAnsi="Arial" w:cs="Arial"/>
        </w:rPr>
      </w:pPr>
      <w:r w:rsidRPr="000D41E8">
        <w:rPr>
          <w:rFonts w:ascii="Arial" w:hAnsi="Arial" w:cs="Arial"/>
        </w:rPr>
        <w:t xml:space="preserve">Zmiana projektowana w art. 119 ust. 3 Prawa restrukturyzacyjnego (pkt 12 projektu) stanowi transpozycję mechanizmu zatwierdzania układu wbrew sprzeciwowi grupy wierzycieli </w:t>
      </w:r>
      <w:r w:rsidRPr="000D41E8">
        <w:rPr>
          <w:rFonts w:ascii="Arial" w:hAnsi="Arial" w:cs="Arial"/>
        </w:rPr>
        <w:lastRenderedPageBreak/>
        <w:t xml:space="preserve">(mechanizm </w:t>
      </w:r>
      <w:proofErr w:type="spellStart"/>
      <w:r w:rsidRPr="000D41E8">
        <w:rPr>
          <w:rFonts w:ascii="Arial" w:hAnsi="Arial" w:cs="Arial"/>
        </w:rPr>
        <w:t>cramdown</w:t>
      </w:r>
      <w:proofErr w:type="spellEnd"/>
      <w:r w:rsidRPr="000D41E8">
        <w:rPr>
          <w:rFonts w:ascii="Arial" w:hAnsi="Arial" w:cs="Arial"/>
        </w:rPr>
        <w:t>), pozwalającej sądowi na zatwierdzenie układu, który nie uzyskał poparcia wszystkich grup wierzycieli. Rozwiązanie to jest kluczowe dla zapewnienia efektywności procedur restrukturyzacyjnych przy utrzymaniu odpowiedniej ochrony wierzycieli uprzywilejowanych.</w:t>
      </w:r>
    </w:p>
    <w:p w:rsidR="000D41E8" w:rsidRPr="000D41E8" w:rsidRDefault="000D41E8" w:rsidP="000D41E8">
      <w:pPr>
        <w:spacing w:after="0"/>
        <w:jc w:val="both"/>
        <w:rPr>
          <w:rFonts w:ascii="Arial" w:hAnsi="Arial" w:cs="Arial"/>
        </w:rPr>
      </w:pPr>
      <w:r w:rsidRPr="000D41E8">
        <w:rPr>
          <w:rFonts w:ascii="Arial" w:hAnsi="Arial" w:cs="Arial"/>
        </w:rPr>
        <w:t>Istota proponowanego rozwiązania polega na przyjęciu, że w przypadku braku większości do przyjęcia układu w każdej grupie wierzycieli, sąd będzie mógł stwierdzić przyjęcie układu na wniosek dłużnika lub za jego zgodą, jeśli:</w:t>
      </w:r>
    </w:p>
    <w:p w:rsidR="000D41E8" w:rsidRPr="000D41E8" w:rsidRDefault="000D41E8" w:rsidP="000D41E8">
      <w:pPr>
        <w:spacing w:after="0"/>
        <w:jc w:val="both"/>
        <w:rPr>
          <w:rFonts w:ascii="Arial" w:hAnsi="Arial" w:cs="Arial"/>
        </w:rPr>
      </w:pPr>
      <w:r w:rsidRPr="000D41E8">
        <w:rPr>
          <w:rFonts w:ascii="Arial" w:hAnsi="Arial" w:cs="Arial"/>
        </w:rPr>
        <w:t>1.</w:t>
      </w:r>
      <w:r w:rsidRPr="000D41E8">
        <w:rPr>
          <w:rFonts w:ascii="Arial" w:hAnsi="Arial" w:cs="Arial"/>
        </w:rPr>
        <w:tab/>
        <w:t xml:space="preserve">większość grup wierzycieli głosowała za układem, w tym co najmniej jedna grupa wierzycieli zabezpieczonych rzeczowo lub wierzycieli o wyższym stopniu zaspokojenia od wierzycieli kat. II z regulacji prawa upadłościowego, a w przypadku niespełnienia tego warunku, </w:t>
      </w:r>
    </w:p>
    <w:p w:rsidR="000D41E8" w:rsidRPr="000D41E8" w:rsidRDefault="000D41E8" w:rsidP="000D41E8">
      <w:pPr>
        <w:spacing w:after="0"/>
        <w:jc w:val="both"/>
        <w:rPr>
          <w:rFonts w:ascii="Arial" w:hAnsi="Arial" w:cs="Arial"/>
        </w:rPr>
      </w:pPr>
      <w:r w:rsidRPr="000D41E8">
        <w:rPr>
          <w:rFonts w:ascii="Arial" w:hAnsi="Arial" w:cs="Arial"/>
        </w:rPr>
        <w:t>2.</w:t>
      </w:r>
      <w:r w:rsidRPr="000D41E8">
        <w:rPr>
          <w:rFonts w:ascii="Arial" w:hAnsi="Arial" w:cs="Arial"/>
        </w:rPr>
        <w:tab/>
        <w:t xml:space="preserve">za przyjęciem układu głosowała grupa lub grupy wierzycieli stanowiące co najmniej połowę grup należących do tych kategorii wierzycieli, którzy w przypadku przeprowadzenia postępowania upadłościowego otrzymaliby częściowe zaspokojenie, przy zastosowaniu wyceny zakładającej kontynuację działalności przedsiębiorstwa dłużnika. </w:t>
      </w:r>
    </w:p>
    <w:p w:rsidR="000D41E8" w:rsidRPr="000D41E8" w:rsidRDefault="000D41E8" w:rsidP="000D41E8">
      <w:pPr>
        <w:spacing w:after="0"/>
        <w:jc w:val="both"/>
        <w:rPr>
          <w:rFonts w:ascii="Arial" w:hAnsi="Arial" w:cs="Arial"/>
        </w:rPr>
      </w:pPr>
      <w:r w:rsidRPr="000D41E8">
        <w:rPr>
          <w:rFonts w:ascii="Arial" w:hAnsi="Arial" w:cs="Arial"/>
        </w:rPr>
        <w:t>Mając na uwadze, że przyjęcie układu wbrew sprzeciwowi grupy wierzycieli oraz w przypadku przedstawienia zarzutu naruszenia słusznych interesów wierzycieli wymaga wyceny przedsiębiorstwa dłużnika, co w praktyce może znacznie wydłużyć czas postępowania, za niezbędne uznano jak najszybsze opracowanie wycen, tak aby uczestnicy postępowania mogli ocenić opłacalność przyjęcia układu w ramach planu restrukturyzacyjnego dłużnika.</w:t>
      </w:r>
    </w:p>
    <w:p w:rsidR="000D41E8" w:rsidRPr="000D41E8" w:rsidRDefault="000D41E8" w:rsidP="000D41E8">
      <w:pPr>
        <w:spacing w:after="0"/>
        <w:jc w:val="both"/>
        <w:rPr>
          <w:rFonts w:ascii="Arial" w:hAnsi="Arial" w:cs="Arial"/>
        </w:rPr>
      </w:pPr>
      <w:r w:rsidRPr="000D41E8">
        <w:rPr>
          <w:rFonts w:ascii="Arial" w:hAnsi="Arial" w:cs="Arial"/>
        </w:rPr>
        <w:t xml:space="preserve">Proponuje się, aby test zaspokojenia zawierał taką wycenę w trzech wariantach – to jest w przypadku realizacji planu restrukturyzacyjnego, w przypadku sprzedaży przedsiębiorstwa w postępowaniu upadłościowym oraz w przypadku sprzedaży poszczególnych składników przedsiębiorstwa. Wymóg przedstawienia trzech wycen, w tym dwóch o charakterze prognozy ma pozwolić wierzycielom realnie ocenić korzyści wynikające z przyjęcia układu. </w:t>
      </w:r>
    </w:p>
    <w:p w:rsidR="000D41E8" w:rsidRPr="000D41E8" w:rsidRDefault="000D41E8" w:rsidP="000D41E8">
      <w:pPr>
        <w:spacing w:after="0"/>
        <w:jc w:val="both"/>
        <w:rPr>
          <w:rFonts w:ascii="Arial" w:hAnsi="Arial" w:cs="Arial"/>
        </w:rPr>
      </w:pPr>
      <w:r w:rsidRPr="000D41E8">
        <w:rPr>
          <w:rFonts w:ascii="Arial" w:hAnsi="Arial" w:cs="Arial"/>
        </w:rPr>
        <w:t xml:space="preserve">Objęcie układem z mocy prawa wierzytelności zabezpieczonych rzeczowo. </w:t>
      </w:r>
    </w:p>
    <w:p w:rsidR="000D41E8" w:rsidRPr="000D41E8" w:rsidRDefault="000D41E8" w:rsidP="000D41E8">
      <w:pPr>
        <w:spacing w:after="0"/>
        <w:jc w:val="both"/>
        <w:rPr>
          <w:rFonts w:ascii="Arial" w:hAnsi="Arial" w:cs="Arial"/>
        </w:rPr>
      </w:pPr>
      <w:r w:rsidRPr="000D41E8">
        <w:rPr>
          <w:rFonts w:ascii="Arial" w:hAnsi="Arial" w:cs="Arial"/>
        </w:rPr>
        <w:t xml:space="preserve">Wobec przewidzianego w prawie polskim odrębnego traktowania wierzycieli zabezpieczonych rzeczowo w postępowaniu upadłościowym oraz wprowadzonego dyrektywą obowiązku objęcia układem także tego typu wierzytelności, konieczne jest uregulowanie sposobów restrukturyzacji wierzytelności zabezpieczonych w ramach postępowań restrukturyzacyjnych. Rozwiązanie zawarte w projektowanym pkt. 17 (nowy art. 161a ust. 1 i 2 Prawa restrukturyzacyjnego) ma zapewnić właściwą ochronę interesów tej kategorii wierzycieli, tak by ewentualne przyjęcie propozycji układowych wbrew zgodzie wierzycieli zabezpieczonych, nie wiązało się ze zmianą sposobu zaspokojenia, na którą nie wyrazili oni zgody. </w:t>
      </w:r>
    </w:p>
    <w:p w:rsidR="003B6B9A" w:rsidRDefault="000D41E8" w:rsidP="000D41E8">
      <w:pPr>
        <w:spacing w:after="0"/>
        <w:jc w:val="both"/>
        <w:rPr>
          <w:rFonts w:ascii="Arial" w:hAnsi="Arial" w:cs="Arial"/>
        </w:rPr>
      </w:pPr>
      <w:r w:rsidRPr="000D41E8">
        <w:rPr>
          <w:rFonts w:ascii="Arial" w:hAnsi="Arial" w:cs="Arial"/>
        </w:rPr>
        <w:t>W ust. 3 i 4 art. 161a przewiduje się z kolei możliwość dokonania, za zgodą wierzyciela, sprzedaży przedmiotu zabezpieczenia wierzytelności lub jego zmianę. Sprzedaży dokonuje nadzorca wykonania układu lub zarządca przymusowy. Regulacje te dają dużą elastyczność w prowadzeniu negocjacji dłużnika z wierzycielami i pozwalają na zawarcie układu także w przypadku, gdy sama działalność gospodarcza w całości lub części nie może być kontynuowana. Tym samym, zakłada się, że proponowane rozwiązanie pozwoli na zakończenie postępowania restrukturyzacyjnego, bez konieczności otwierania postępowania upadłościowego. W zakresie przedmiotowej sprzedaży nadzorca wykonania układu lub zarządca przymusowy działa w imieniu własnym na rachunek dłużnika</w:t>
      </w:r>
      <w:r>
        <w:rPr>
          <w:rFonts w:ascii="Arial" w:hAnsi="Arial" w:cs="Arial"/>
        </w:rPr>
        <w:t>.</w:t>
      </w:r>
    </w:p>
    <w:p w:rsidR="003B6B9A" w:rsidRDefault="003B6B9A" w:rsidP="003B6B9A">
      <w:pPr>
        <w:spacing w:after="0"/>
        <w:jc w:val="both"/>
        <w:rPr>
          <w:rFonts w:ascii="Arial" w:hAnsi="Arial" w:cs="Arial"/>
        </w:rPr>
      </w:pPr>
    </w:p>
    <w:p w:rsidR="000D41E8" w:rsidRPr="000D41E8" w:rsidRDefault="000D41E8" w:rsidP="000D41E8">
      <w:pPr>
        <w:spacing w:after="0"/>
        <w:jc w:val="both"/>
        <w:rPr>
          <w:rFonts w:ascii="Arial" w:hAnsi="Arial" w:cs="Arial"/>
        </w:rPr>
      </w:pPr>
      <w:r w:rsidRPr="000D41E8">
        <w:rPr>
          <w:rFonts w:ascii="Arial" w:hAnsi="Arial" w:cs="Arial"/>
        </w:rPr>
        <w:lastRenderedPageBreak/>
        <w:t>Przedmiotowy projekt aktu prawnego wraz Uzasadnieniem, Oceną Skutków Regulacji, Tabelą zgodności oraz Odwróconą Tabelą Zgodności dostępny jest na stronach Rządowego Centrum Legislacji pod adresem:</w:t>
      </w:r>
    </w:p>
    <w:p w:rsidR="007D16D1" w:rsidRPr="003B6B9A" w:rsidRDefault="000D41E8" w:rsidP="000D41E8">
      <w:pPr>
        <w:spacing w:after="0"/>
        <w:jc w:val="both"/>
        <w:rPr>
          <w:rFonts w:ascii="Arial" w:hAnsi="Arial" w:cs="Arial"/>
        </w:rPr>
      </w:pPr>
      <w:hyperlink r:id="rId9" w:history="1">
        <w:r w:rsidRPr="00332080">
          <w:rPr>
            <w:rStyle w:val="Hipercze"/>
            <w:rFonts w:ascii="Arial" w:hAnsi="Arial" w:cs="Arial"/>
          </w:rPr>
          <w:t>https://legislacja.rcl.gov.pl/projekt/12390655/katalog/130887</w:t>
        </w:r>
        <w:r w:rsidRPr="00332080">
          <w:rPr>
            <w:rStyle w:val="Hipercze"/>
            <w:rFonts w:ascii="Arial" w:hAnsi="Arial" w:cs="Arial"/>
          </w:rPr>
          <w:t>0</w:t>
        </w:r>
        <w:r w:rsidRPr="00332080">
          <w:rPr>
            <w:rStyle w:val="Hipercze"/>
            <w:rFonts w:ascii="Arial" w:hAnsi="Arial" w:cs="Arial"/>
          </w:rPr>
          <w:t>4#13088704</w:t>
        </w:r>
      </w:hyperlink>
      <w:r>
        <w:rPr>
          <w:rFonts w:ascii="Arial" w:hAnsi="Arial" w:cs="Arial"/>
        </w:rPr>
        <w:t xml:space="preserve">   </w:t>
      </w:r>
    </w:p>
    <w:p w:rsidR="007D16D1" w:rsidRDefault="007D16D1" w:rsidP="00D73C62">
      <w:pPr>
        <w:spacing w:after="0"/>
        <w:jc w:val="both"/>
        <w:rPr>
          <w:rFonts w:ascii="Arial" w:hAnsi="Arial" w:cs="Arial"/>
        </w:rPr>
      </w:pPr>
    </w:p>
    <w:p w:rsidR="000D41E8" w:rsidRDefault="000D41E8" w:rsidP="00D73C62">
      <w:pPr>
        <w:spacing w:after="0"/>
        <w:jc w:val="both"/>
        <w:rPr>
          <w:rFonts w:ascii="Arial" w:hAnsi="Arial" w:cs="Arial"/>
        </w:rPr>
      </w:pPr>
      <w:r w:rsidRPr="000D41E8">
        <w:rPr>
          <w:rFonts w:ascii="Arial" w:hAnsi="Arial" w:cs="Arial"/>
        </w:rPr>
        <w:t>Projekt jest obecnie jednocześnie na etapie uzgodnień, konsultacji publicznych i opiniowania.</w:t>
      </w:r>
    </w:p>
    <w:p w:rsidR="000D41E8" w:rsidRDefault="000D41E8" w:rsidP="00D73C62">
      <w:pPr>
        <w:spacing w:after="0"/>
        <w:jc w:val="both"/>
        <w:rPr>
          <w:rFonts w:ascii="Arial" w:hAnsi="Arial" w:cs="Arial"/>
        </w:rPr>
      </w:pPr>
    </w:p>
    <w:p w:rsidR="007D16D1" w:rsidRDefault="007D16D1" w:rsidP="00D73C62">
      <w:pPr>
        <w:spacing w:after="0"/>
        <w:jc w:val="both"/>
        <w:rPr>
          <w:rFonts w:ascii="Arial" w:hAnsi="Arial" w:cs="Arial"/>
        </w:rPr>
      </w:pPr>
      <w:r>
        <w:rPr>
          <w:rFonts w:ascii="Arial" w:hAnsi="Arial" w:cs="Arial"/>
        </w:rPr>
        <w:t>Projekty rozporządzeń:</w:t>
      </w:r>
    </w:p>
    <w:p w:rsidR="000D41E8" w:rsidRDefault="000D41E8" w:rsidP="00D73C62">
      <w:pPr>
        <w:spacing w:after="0"/>
        <w:jc w:val="both"/>
        <w:rPr>
          <w:rFonts w:ascii="Arial" w:hAnsi="Arial" w:cs="Arial"/>
        </w:rPr>
      </w:pPr>
    </w:p>
    <w:p w:rsidR="000D41E8" w:rsidRPr="000D41E8" w:rsidRDefault="000D41E8" w:rsidP="000D41E8">
      <w:pPr>
        <w:pStyle w:val="Akapitzlist"/>
        <w:numPr>
          <w:ilvl w:val="0"/>
          <w:numId w:val="4"/>
        </w:numPr>
        <w:spacing w:after="0"/>
        <w:jc w:val="both"/>
        <w:rPr>
          <w:rFonts w:ascii="Arial" w:hAnsi="Arial" w:cs="Arial"/>
          <w:b/>
          <w:u w:val="single"/>
        </w:rPr>
      </w:pPr>
      <w:r w:rsidRPr="000D41E8">
        <w:rPr>
          <w:rFonts w:ascii="Arial" w:hAnsi="Arial" w:cs="Arial"/>
          <w:b/>
          <w:u w:val="single"/>
        </w:rPr>
        <w:t>projekt rozporządzenia Ministra Rozwoju i Technologii zmieniającego rozporządzenie w sprawie zasadniczych wymagań dotyczących ograniczenia stosowania niektórych niebezpiecznych substancji w sprzęcie elektrycznym i elektronicznym (numer z wykazu 43)</w:t>
      </w:r>
    </w:p>
    <w:p w:rsidR="000D41E8" w:rsidRDefault="000D41E8" w:rsidP="000D41E8">
      <w:pPr>
        <w:spacing w:after="0"/>
        <w:jc w:val="both"/>
        <w:rPr>
          <w:rFonts w:ascii="Arial" w:hAnsi="Arial" w:cs="Arial"/>
        </w:rPr>
      </w:pPr>
    </w:p>
    <w:p w:rsidR="000D41E8" w:rsidRPr="000D41E8" w:rsidRDefault="000D41E8" w:rsidP="000D41E8">
      <w:pPr>
        <w:spacing w:after="0"/>
        <w:jc w:val="both"/>
        <w:rPr>
          <w:rFonts w:ascii="Arial" w:hAnsi="Arial" w:cs="Arial"/>
        </w:rPr>
      </w:pPr>
      <w:r w:rsidRPr="000D41E8">
        <w:rPr>
          <w:rFonts w:ascii="Arial" w:hAnsi="Arial" w:cs="Arial"/>
        </w:rPr>
        <w:t xml:space="preserve">Rozporządzenie Ministra Rozwoju i Finansów z dnia 21 grudnia 2016 r. w sprawie zasadniczych wymagań dotyczących ograniczenia stosowania niektórych niebezpiecznych substancji w sprzęcie elektrycznym </w:t>
      </w:r>
    </w:p>
    <w:p w:rsidR="000D41E8" w:rsidRPr="000D41E8" w:rsidRDefault="000D41E8" w:rsidP="000D41E8">
      <w:pPr>
        <w:spacing w:after="0"/>
        <w:jc w:val="both"/>
        <w:rPr>
          <w:rFonts w:ascii="Arial" w:hAnsi="Arial" w:cs="Arial"/>
        </w:rPr>
      </w:pPr>
      <w:r w:rsidRPr="000D41E8">
        <w:rPr>
          <w:rFonts w:ascii="Arial" w:hAnsi="Arial" w:cs="Arial"/>
        </w:rPr>
        <w:t xml:space="preserve">i elektronicznym (Dz. U. z 2021 r. poz. 1513, z </w:t>
      </w:r>
      <w:proofErr w:type="spellStart"/>
      <w:r w:rsidRPr="000D41E8">
        <w:rPr>
          <w:rFonts w:ascii="Arial" w:hAnsi="Arial" w:cs="Arial"/>
        </w:rPr>
        <w:t>późn</w:t>
      </w:r>
      <w:proofErr w:type="spellEnd"/>
      <w:r w:rsidRPr="000D41E8">
        <w:rPr>
          <w:rFonts w:ascii="Arial" w:hAnsi="Arial" w:cs="Arial"/>
        </w:rPr>
        <w:t xml:space="preserve">. zm.) wdraża w zakresie swojej regulacji do krajowego porządku prawnego dyrektywę Parlamentu Europejskiego i Rady 2011/65/UE z dnia 8 czerwca 2011 r. w sprawie ograniczenia stosowania niebezpiecznych substancji w sprzęcie elektrycznym i elektronicznym, zwaną dalej „dyrektywą </w:t>
      </w:r>
      <w:proofErr w:type="spellStart"/>
      <w:r w:rsidRPr="000D41E8">
        <w:rPr>
          <w:rFonts w:ascii="Arial" w:hAnsi="Arial" w:cs="Arial"/>
        </w:rPr>
        <w:t>RoHS</w:t>
      </w:r>
      <w:proofErr w:type="spellEnd"/>
      <w:r w:rsidRPr="000D41E8">
        <w:rPr>
          <w:rFonts w:ascii="Arial" w:hAnsi="Arial" w:cs="Arial"/>
        </w:rPr>
        <w:t xml:space="preserve"> II”.</w:t>
      </w:r>
    </w:p>
    <w:p w:rsidR="000D41E8" w:rsidRPr="000D41E8" w:rsidRDefault="000D41E8" w:rsidP="000D41E8">
      <w:pPr>
        <w:spacing w:after="0"/>
        <w:jc w:val="both"/>
        <w:rPr>
          <w:rFonts w:ascii="Arial" w:hAnsi="Arial" w:cs="Arial"/>
        </w:rPr>
      </w:pPr>
      <w:r w:rsidRPr="000D41E8">
        <w:rPr>
          <w:rFonts w:ascii="Arial" w:hAnsi="Arial" w:cs="Arial"/>
        </w:rPr>
        <w:t>Nowelizacja niniejszego rozporządzenia związana jest z koniecznością transpozycji do krajowego porządku prawnego dyrektywy delegowanej Komisji (UE) 2024/1416 z dnia 13 marca 2024 r. zmieniającej dyrektywę Parlamentu Europejskiego i Rady 2011/65/UE w odniesieniu do wyłączenia dla kadmu w konwertujących w dół kropkach kwantowych, umieszczonych bezpośrednio na chipach półprzewodnikowych LED, zwanej dalej „dyrektywą delegowaną”.</w:t>
      </w:r>
    </w:p>
    <w:p w:rsidR="000D41E8" w:rsidRPr="000D41E8" w:rsidRDefault="000D41E8" w:rsidP="000D41E8">
      <w:pPr>
        <w:spacing w:after="0"/>
        <w:jc w:val="both"/>
        <w:rPr>
          <w:rFonts w:ascii="Arial" w:hAnsi="Arial" w:cs="Arial"/>
        </w:rPr>
      </w:pPr>
      <w:r w:rsidRPr="000D41E8">
        <w:rPr>
          <w:rFonts w:ascii="Arial" w:hAnsi="Arial" w:cs="Arial"/>
        </w:rPr>
        <w:t>Na podstawie dyrektywy delegowanej (UE) 2017/1975 (2) Komisja przyznała wyłączenie dotyczące stosowania selenku kadmu w konwertujących w dół (z ang. „</w:t>
      </w:r>
      <w:proofErr w:type="spellStart"/>
      <w:r w:rsidRPr="000D41E8">
        <w:rPr>
          <w:rFonts w:ascii="Arial" w:hAnsi="Arial" w:cs="Arial"/>
        </w:rPr>
        <w:t>downshifting</w:t>
      </w:r>
      <w:proofErr w:type="spellEnd"/>
      <w:r w:rsidRPr="000D41E8">
        <w:rPr>
          <w:rFonts w:ascii="Arial" w:hAnsi="Arial" w:cs="Arial"/>
        </w:rPr>
        <w:t>”) nanokrystalicznych półprzewodzących kropkach kwantowych do zastosowania w systemach wyświetlania („obowiązujące wyłączenie”), które wymieniono w pkt 39a załącznika III do dyrektywy 2011/65/UE. Wyłączenie to miało wygasnąć w dniu 31 października 2019 r.</w:t>
      </w:r>
    </w:p>
    <w:p w:rsidR="000D41E8" w:rsidRPr="000D41E8" w:rsidRDefault="000D41E8" w:rsidP="000D41E8">
      <w:pPr>
        <w:spacing w:after="0"/>
        <w:jc w:val="both"/>
        <w:rPr>
          <w:rFonts w:ascii="Arial" w:hAnsi="Arial" w:cs="Arial"/>
        </w:rPr>
      </w:pPr>
      <w:r w:rsidRPr="000D41E8">
        <w:rPr>
          <w:rFonts w:ascii="Arial" w:hAnsi="Arial" w:cs="Arial"/>
        </w:rPr>
        <w:t xml:space="preserve">W dniach 29 września 2017 r., 29 kwietnia 2018 r. i 30 kwietnia 2018 r. – tj. w terminie określonym w art. 5 ust. 5 dyrektywy 2011/65/UE – Komisja otrzymała wnioski o zmianę obowiązującego wyłączenia („wnioski”). Zgodnie </w:t>
      </w:r>
    </w:p>
    <w:p w:rsidR="000D41E8" w:rsidRPr="000D41E8" w:rsidRDefault="000D41E8" w:rsidP="000D41E8">
      <w:pPr>
        <w:spacing w:after="0"/>
        <w:jc w:val="both"/>
        <w:rPr>
          <w:rFonts w:ascii="Arial" w:hAnsi="Arial" w:cs="Arial"/>
        </w:rPr>
      </w:pPr>
      <w:r w:rsidRPr="000D41E8">
        <w:rPr>
          <w:rFonts w:ascii="Arial" w:hAnsi="Arial" w:cs="Arial"/>
        </w:rPr>
        <w:t xml:space="preserve">z art. 5 ust. 5 akapit drugi dyrektywy 2011/65/UE wyłączenie pozostaje ważne do czasu przyjęcia decyzji </w:t>
      </w:r>
    </w:p>
    <w:p w:rsidR="000D41E8" w:rsidRPr="000D41E8" w:rsidRDefault="000D41E8" w:rsidP="000D41E8">
      <w:pPr>
        <w:spacing w:after="0"/>
        <w:jc w:val="both"/>
        <w:rPr>
          <w:rFonts w:ascii="Arial" w:hAnsi="Arial" w:cs="Arial"/>
        </w:rPr>
      </w:pPr>
      <w:r w:rsidRPr="000D41E8">
        <w:rPr>
          <w:rFonts w:ascii="Arial" w:hAnsi="Arial" w:cs="Arial"/>
        </w:rPr>
        <w:t>w sprawie wniosku o przedłużenie.</w:t>
      </w:r>
    </w:p>
    <w:p w:rsidR="000D41E8" w:rsidRPr="000D41E8" w:rsidRDefault="000D41E8" w:rsidP="000D41E8">
      <w:pPr>
        <w:spacing w:after="0"/>
        <w:jc w:val="both"/>
        <w:rPr>
          <w:rFonts w:ascii="Arial" w:hAnsi="Arial" w:cs="Arial"/>
        </w:rPr>
      </w:pPr>
      <w:r w:rsidRPr="000D41E8">
        <w:rPr>
          <w:rFonts w:ascii="Arial" w:hAnsi="Arial" w:cs="Arial"/>
        </w:rPr>
        <w:t xml:space="preserve">Nowelizacja rozporządzenia Ministra Rozwoju i Finansów z dnia 21 grudnia 2016 r. w sprawie zasadniczych wymagań dotyczących ograniczenia stosowania niektórych niebezpiecznych substancji w sprzęcie elektrycznym </w:t>
      </w:r>
    </w:p>
    <w:p w:rsidR="000D41E8" w:rsidRPr="000D41E8" w:rsidRDefault="000D41E8" w:rsidP="000D41E8">
      <w:pPr>
        <w:spacing w:after="0"/>
        <w:jc w:val="both"/>
        <w:rPr>
          <w:rFonts w:ascii="Arial" w:hAnsi="Arial" w:cs="Arial"/>
        </w:rPr>
      </w:pPr>
      <w:r w:rsidRPr="000D41E8">
        <w:rPr>
          <w:rFonts w:ascii="Arial" w:hAnsi="Arial" w:cs="Arial"/>
        </w:rPr>
        <w:t xml:space="preserve">i elektronicznym jest związana z obowiązkiem transpozycji dyrektyw delegowanych do prawa krajowego, zmieniających dyrektywę </w:t>
      </w:r>
      <w:proofErr w:type="spellStart"/>
      <w:r w:rsidRPr="000D41E8">
        <w:rPr>
          <w:rFonts w:ascii="Arial" w:hAnsi="Arial" w:cs="Arial"/>
        </w:rPr>
        <w:t>RoHS</w:t>
      </w:r>
      <w:proofErr w:type="spellEnd"/>
      <w:r w:rsidRPr="000D41E8">
        <w:rPr>
          <w:rFonts w:ascii="Arial" w:hAnsi="Arial" w:cs="Arial"/>
        </w:rPr>
        <w:t xml:space="preserve"> II. Zmiana ta polega na aktualizacji „publikatora” dyrektywy </w:t>
      </w:r>
      <w:proofErr w:type="spellStart"/>
      <w:r w:rsidRPr="000D41E8">
        <w:rPr>
          <w:rFonts w:ascii="Arial" w:hAnsi="Arial" w:cs="Arial"/>
        </w:rPr>
        <w:t>RoHS</w:t>
      </w:r>
      <w:proofErr w:type="spellEnd"/>
      <w:r w:rsidRPr="000D41E8">
        <w:rPr>
          <w:rFonts w:ascii="Arial" w:hAnsi="Arial" w:cs="Arial"/>
        </w:rPr>
        <w:t xml:space="preserve"> II. Dyrektywy w aktach prawa krajowego są przywoływane w odnośnikach informujących o wdrożeniu w określonym akcie normatywnym (ustawie lub rozporządzeniu). Jeżeli dyrektywa wdrożona do prawa krajowego ulega zmianom, informacja zawarta w odnośniku, wskazująca określone publikatory dyrektyw zmieniających, staje się istotna dla adresata przepisów danego rozporządzenia.</w:t>
      </w:r>
    </w:p>
    <w:p w:rsidR="000D41E8" w:rsidRPr="000D41E8" w:rsidRDefault="000D41E8" w:rsidP="000D41E8">
      <w:pPr>
        <w:spacing w:after="0"/>
        <w:jc w:val="both"/>
        <w:rPr>
          <w:rFonts w:ascii="Arial" w:hAnsi="Arial" w:cs="Arial"/>
        </w:rPr>
      </w:pPr>
      <w:r w:rsidRPr="000D41E8">
        <w:rPr>
          <w:rFonts w:ascii="Arial" w:hAnsi="Arial" w:cs="Arial"/>
        </w:rPr>
        <w:lastRenderedPageBreak/>
        <w:t xml:space="preserve">Pomimo, że odnośnik jest elementem aktu normatywnego o charakterze informacyjnym, a nie normatywnym </w:t>
      </w:r>
    </w:p>
    <w:p w:rsidR="000D41E8" w:rsidRPr="000D41E8" w:rsidRDefault="000D41E8" w:rsidP="000D41E8">
      <w:pPr>
        <w:spacing w:after="0"/>
        <w:jc w:val="both"/>
        <w:rPr>
          <w:rFonts w:ascii="Arial" w:hAnsi="Arial" w:cs="Arial"/>
        </w:rPr>
      </w:pPr>
      <w:r w:rsidRPr="000D41E8">
        <w:rPr>
          <w:rFonts w:ascii="Arial" w:hAnsi="Arial" w:cs="Arial"/>
        </w:rPr>
        <w:t xml:space="preserve">to ustalenie, czy dany akt prawa krajowego wdraża dyrektywę w jej zmienionym kształcie, ma charakter merytoryczny. </w:t>
      </w:r>
    </w:p>
    <w:p w:rsidR="000D41E8" w:rsidRPr="000D41E8" w:rsidRDefault="000D41E8" w:rsidP="000D41E8">
      <w:pPr>
        <w:spacing w:after="0"/>
        <w:jc w:val="both"/>
        <w:rPr>
          <w:rFonts w:ascii="Arial" w:hAnsi="Arial" w:cs="Arial"/>
        </w:rPr>
      </w:pPr>
      <w:r w:rsidRPr="000D41E8">
        <w:rPr>
          <w:rFonts w:ascii="Arial" w:hAnsi="Arial" w:cs="Arial"/>
        </w:rPr>
        <w:t>Przedmiotem projektowanych przepisów, wynikających z postanowień dyrektywy delegowanej jest wyłączenie dotyczące dla kadmu w konwertujących w dół kropkach kwantowych, umieszczonych bezpośrednio na chipach półprzewodnikowych LED.</w:t>
      </w:r>
    </w:p>
    <w:p w:rsidR="000D41E8" w:rsidRPr="000D41E8" w:rsidRDefault="000D41E8" w:rsidP="000D41E8">
      <w:pPr>
        <w:spacing w:after="0"/>
        <w:jc w:val="both"/>
        <w:rPr>
          <w:rFonts w:ascii="Arial" w:hAnsi="Arial" w:cs="Arial"/>
        </w:rPr>
      </w:pPr>
      <w:r w:rsidRPr="000D41E8">
        <w:rPr>
          <w:rFonts w:ascii="Arial" w:hAnsi="Arial" w:cs="Arial"/>
        </w:rPr>
        <w:t>Kadm jest substancją objętą ograniczeniem wymienionym w załączniku II do dyrektywy 2011/65/UE. Stosowanie kadmu do maksymalnej wartości stężenia 0,01 % masy w jednorodnych materiałach.</w:t>
      </w:r>
    </w:p>
    <w:p w:rsidR="000D41E8" w:rsidRPr="000D41E8" w:rsidRDefault="000D41E8" w:rsidP="000D41E8">
      <w:pPr>
        <w:spacing w:after="0"/>
        <w:jc w:val="both"/>
        <w:rPr>
          <w:rFonts w:ascii="Arial" w:hAnsi="Arial" w:cs="Arial"/>
        </w:rPr>
      </w:pPr>
      <w:r w:rsidRPr="000D41E8">
        <w:rPr>
          <w:rFonts w:ascii="Arial" w:hAnsi="Arial" w:cs="Arial"/>
        </w:rPr>
        <w:t>Na podstawie dyrektywy delegowanej (UE) 2017/1975 (2) Komisja przyznała wyłączenie dotyczące stosowania selenku kadmu w konwertujących w dół (z ang. „</w:t>
      </w:r>
      <w:proofErr w:type="spellStart"/>
      <w:r w:rsidRPr="000D41E8">
        <w:rPr>
          <w:rFonts w:ascii="Arial" w:hAnsi="Arial" w:cs="Arial"/>
        </w:rPr>
        <w:t>downshifting</w:t>
      </w:r>
      <w:proofErr w:type="spellEnd"/>
      <w:r w:rsidRPr="000D41E8">
        <w:rPr>
          <w:rFonts w:ascii="Arial" w:hAnsi="Arial" w:cs="Arial"/>
        </w:rPr>
        <w:t>”) nanokrystalicznych półprzewodzących kropkach kwantowych do zastosowania w systemach wyświetlania („obowiązujące wyłączenie”), które wymieniono w pkt 39a załącznika III do dyrektywy 2011/65/UE. Wyłączenie to miało wygasnąć w dniu 31 października 2019 r.</w:t>
      </w:r>
    </w:p>
    <w:p w:rsidR="000D41E8" w:rsidRPr="000D41E8" w:rsidRDefault="000D41E8" w:rsidP="000D41E8">
      <w:pPr>
        <w:spacing w:after="0"/>
        <w:jc w:val="both"/>
        <w:rPr>
          <w:rFonts w:ascii="Arial" w:hAnsi="Arial" w:cs="Arial"/>
        </w:rPr>
      </w:pPr>
      <w:r w:rsidRPr="000D41E8">
        <w:rPr>
          <w:rFonts w:ascii="Arial" w:hAnsi="Arial" w:cs="Arial"/>
        </w:rPr>
        <w:t xml:space="preserve">W dniach 29 września 2017 r., 29 kwietnia 2018 r. i 30 kwietnia 2018 r. – tj. w terminie określonym w art. 5 ust. 5 dyrektywy 2011/65/UE – Komisja otrzymała wnioski o zmianę obowiązującego wyłączenia („wnioski”). Zgodnie </w:t>
      </w:r>
    </w:p>
    <w:p w:rsidR="000D41E8" w:rsidRPr="000D41E8" w:rsidRDefault="000D41E8" w:rsidP="000D41E8">
      <w:pPr>
        <w:spacing w:after="0"/>
        <w:jc w:val="both"/>
        <w:rPr>
          <w:rFonts w:ascii="Arial" w:hAnsi="Arial" w:cs="Arial"/>
        </w:rPr>
      </w:pPr>
      <w:r w:rsidRPr="000D41E8">
        <w:rPr>
          <w:rFonts w:ascii="Arial" w:hAnsi="Arial" w:cs="Arial"/>
        </w:rPr>
        <w:t xml:space="preserve">z art. 5 ust. 5 akapit drugi dyrektywy 2011/65/UE wyłączenie pozostaje ważne do czasu przyjęcia decyzji </w:t>
      </w:r>
    </w:p>
    <w:p w:rsidR="000D41E8" w:rsidRPr="000D41E8" w:rsidRDefault="000D41E8" w:rsidP="000D41E8">
      <w:pPr>
        <w:spacing w:after="0"/>
        <w:jc w:val="both"/>
        <w:rPr>
          <w:rFonts w:ascii="Arial" w:hAnsi="Arial" w:cs="Arial"/>
        </w:rPr>
      </w:pPr>
      <w:r w:rsidRPr="000D41E8">
        <w:rPr>
          <w:rFonts w:ascii="Arial" w:hAnsi="Arial" w:cs="Arial"/>
        </w:rPr>
        <w:t>w sprawie wniosku o przedłużenie.</w:t>
      </w:r>
    </w:p>
    <w:p w:rsidR="000D41E8" w:rsidRPr="000D41E8" w:rsidRDefault="000D41E8" w:rsidP="000D41E8">
      <w:pPr>
        <w:spacing w:after="0"/>
        <w:jc w:val="both"/>
        <w:rPr>
          <w:rFonts w:ascii="Arial" w:hAnsi="Arial" w:cs="Arial"/>
        </w:rPr>
      </w:pPr>
      <w:r w:rsidRPr="000D41E8">
        <w:rPr>
          <w:rFonts w:ascii="Arial" w:hAnsi="Arial" w:cs="Arial"/>
        </w:rPr>
        <w:t>Ocena wniosków, w której uwzględniono dostępność substytutów i społeczno-gospodarczy wpływ zastąpienia, obejmowała badanie oceny technicznej i naukowej oraz badanie uzupełniające. Ocena obejmowała także konsultacje z zainteresowanymi stronami zgodnie z art. 5 ust. 7 dyrektywy 2011/65/UE.</w:t>
      </w:r>
    </w:p>
    <w:p w:rsidR="000D41E8" w:rsidRPr="000D41E8" w:rsidRDefault="000D41E8" w:rsidP="000D41E8">
      <w:pPr>
        <w:spacing w:after="0"/>
        <w:jc w:val="both"/>
        <w:rPr>
          <w:rFonts w:ascii="Arial" w:hAnsi="Arial" w:cs="Arial"/>
        </w:rPr>
      </w:pPr>
      <w:r w:rsidRPr="000D41E8">
        <w:rPr>
          <w:rFonts w:ascii="Arial" w:hAnsi="Arial" w:cs="Arial"/>
        </w:rPr>
        <w:t>W obowiązującym wyłączeniu nie stosuje się rozróżnienia w odniesieniu do różnych konfiguracji pod względem sposobu osadzenia materiału zawierającego kadm w kropce kwantowej. Ocena wykazała, że zastosowania wykorzystujące tzw. konfiguracje „na krawędzi” i „na powierzchni” nie spełniają już warunków określonych w art. 5 ust. 1 lit. a) dyrektywy 2011/65/UE. Tak zwana konfiguracja „na chipie” wymaga najmniejszej ilości kadmu i wykazuje lepsze poziomy wydajności.</w:t>
      </w:r>
    </w:p>
    <w:p w:rsidR="000D41E8" w:rsidRPr="000D41E8" w:rsidRDefault="000D41E8" w:rsidP="000D41E8">
      <w:pPr>
        <w:spacing w:after="0"/>
        <w:jc w:val="both"/>
        <w:rPr>
          <w:rFonts w:ascii="Arial" w:hAnsi="Arial" w:cs="Arial"/>
        </w:rPr>
      </w:pPr>
      <w:r w:rsidRPr="000D41E8">
        <w:rPr>
          <w:rFonts w:ascii="Arial" w:hAnsi="Arial" w:cs="Arial"/>
        </w:rPr>
        <w:t xml:space="preserve">W ocenie stwierdzono ponadto, że obecnie dostępnych jest wiele rozwiązań alternatywnych dla technologii „na chipie” mających zastosowanie w systemach wyświetlania, jednak w przypadku niektórych konkretnych technologii, takich jak </w:t>
      </w:r>
      <w:proofErr w:type="spellStart"/>
      <w:r w:rsidRPr="000D41E8">
        <w:rPr>
          <w:rFonts w:ascii="Arial" w:hAnsi="Arial" w:cs="Arial"/>
        </w:rPr>
        <w:t>mikrowyświetlacze</w:t>
      </w:r>
      <w:proofErr w:type="spellEnd"/>
      <w:r w:rsidRPr="000D41E8">
        <w:rPr>
          <w:rFonts w:ascii="Arial" w:hAnsi="Arial" w:cs="Arial"/>
        </w:rPr>
        <w:t xml:space="preserve">, aktualnie nie jest dostępne niezawodne rozwiązanie alternatywne. W przypadku tych szczególnych zastosowań w systemach wyświetlania – mimo że substytuty są w trakcie opracowywania – spełniony jest warunek określony w art. 5 ust. 1 lit. a) </w:t>
      </w:r>
      <w:proofErr w:type="spellStart"/>
      <w:r w:rsidRPr="000D41E8">
        <w:rPr>
          <w:rFonts w:ascii="Arial" w:hAnsi="Arial" w:cs="Arial"/>
        </w:rPr>
        <w:t>tiret</w:t>
      </w:r>
      <w:proofErr w:type="spellEnd"/>
      <w:r w:rsidRPr="000D41E8">
        <w:rPr>
          <w:rFonts w:ascii="Arial" w:hAnsi="Arial" w:cs="Arial"/>
        </w:rPr>
        <w:t xml:space="preserve"> drugie dyrektywy 2011/65/UE, a mianowicie, że nie można zapewnić niezawodności substytutów.</w:t>
      </w:r>
    </w:p>
    <w:p w:rsidR="000D41E8" w:rsidRPr="000D41E8" w:rsidRDefault="000D41E8" w:rsidP="000D41E8">
      <w:pPr>
        <w:spacing w:after="0"/>
        <w:jc w:val="both"/>
        <w:rPr>
          <w:rFonts w:ascii="Arial" w:hAnsi="Arial" w:cs="Arial"/>
        </w:rPr>
      </w:pPr>
      <w:r w:rsidRPr="000D41E8">
        <w:rPr>
          <w:rFonts w:ascii="Arial" w:hAnsi="Arial" w:cs="Arial"/>
        </w:rPr>
        <w:t xml:space="preserve">Konfiguracja „na chipie” może również skutkować zmniejszeniem ilości kadmu na urządzenie, w szczególności </w:t>
      </w:r>
    </w:p>
    <w:p w:rsidR="000D41E8" w:rsidRPr="000D41E8" w:rsidRDefault="000D41E8" w:rsidP="000D41E8">
      <w:pPr>
        <w:spacing w:after="0"/>
        <w:jc w:val="both"/>
        <w:rPr>
          <w:rFonts w:ascii="Arial" w:hAnsi="Arial" w:cs="Arial"/>
        </w:rPr>
      </w:pPr>
      <w:r w:rsidRPr="000D41E8">
        <w:rPr>
          <w:rFonts w:ascii="Arial" w:hAnsi="Arial" w:cs="Arial"/>
        </w:rPr>
        <w:t xml:space="preserve">w przypadku wyświetlaczy ciekłokrystalicznych, w porównaniu z konfiguracjami „na powierzchni”, </w:t>
      </w:r>
    </w:p>
    <w:p w:rsidR="000D41E8" w:rsidRPr="000D41E8" w:rsidRDefault="000D41E8" w:rsidP="000D41E8">
      <w:pPr>
        <w:spacing w:after="0"/>
        <w:jc w:val="both"/>
        <w:rPr>
          <w:rFonts w:ascii="Arial" w:hAnsi="Arial" w:cs="Arial"/>
        </w:rPr>
      </w:pPr>
      <w:r w:rsidRPr="000D41E8">
        <w:rPr>
          <w:rFonts w:ascii="Arial" w:hAnsi="Arial" w:cs="Arial"/>
        </w:rPr>
        <w:t>w których wykorzystuje się mniej niż 0,01 % wagowo kadmu w jednorodnych materiałach. Ze względu na większą efektywność energetyczną i mniejsze wykorzystanie kadmu łącznie korzyści dla środowiska przeważają nad ogólnym negatywnym wpływem na środowisko, zdrowie i bezpieczeństwo konsumentów spowodowanym zastąpieniem kadmu.</w:t>
      </w:r>
    </w:p>
    <w:p w:rsidR="000D41E8" w:rsidRPr="000D41E8" w:rsidRDefault="000D41E8" w:rsidP="000D41E8">
      <w:pPr>
        <w:spacing w:after="0"/>
        <w:jc w:val="both"/>
        <w:rPr>
          <w:rFonts w:ascii="Arial" w:hAnsi="Arial" w:cs="Arial"/>
        </w:rPr>
      </w:pPr>
      <w:r w:rsidRPr="000D41E8">
        <w:rPr>
          <w:rFonts w:ascii="Arial" w:hAnsi="Arial" w:cs="Arial"/>
        </w:rPr>
        <w:lastRenderedPageBreak/>
        <w:t xml:space="preserve">Wyłączenie dotyczy zastosowania kadmu w konwertujących w dół nanokrystalicznych półprzewodzących kropkach kwantowych umieszczonych bezpośrednio na chipach półprzewodnikowych LED do zastosowania w systemach wyświetlania i projekcji. </w:t>
      </w:r>
    </w:p>
    <w:p w:rsidR="000D41E8" w:rsidRPr="000D41E8" w:rsidRDefault="000D41E8" w:rsidP="000D41E8">
      <w:pPr>
        <w:spacing w:after="0"/>
        <w:jc w:val="both"/>
        <w:rPr>
          <w:rFonts w:ascii="Arial" w:hAnsi="Arial" w:cs="Arial"/>
        </w:rPr>
      </w:pPr>
      <w:r w:rsidRPr="000D41E8">
        <w:rPr>
          <w:rFonts w:ascii="Arial" w:hAnsi="Arial" w:cs="Arial"/>
        </w:rPr>
        <w:t xml:space="preserve">Oczekuje się, że rozwiązania alternatywne dla tych zastosowań kropek kwantowych zawierających kadm mogą być dostępne do końca 2027 r. W ocenie wniosku uwzględniono zarówno pozytywny wpływ na innowacje (np. w zakresie miniaturyzacji), jak i negatywny wpływ na innowacje (np. mniej zachęt do opracowywania rozwiązań alternatywnych niezawierających kadmu). </w:t>
      </w:r>
    </w:p>
    <w:p w:rsidR="000D41E8" w:rsidRPr="000D41E8" w:rsidRDefault="000D41E8" w:rsidP="000D41E8">
      <w:pPr>
        <w:spacing w:after="0"/>
        <w:jc w:val="both"/>
        <w:rPr>
          <w:rFonts w:ascii="Arial" w:hAnsi="Arial" w:cs="Arial"/>
        </w:rPr>
      </w:pPr>
      <w:r w:rsidRPr="000D41E8">
        <w:rPr>
          <w:rFonts w:ascii="Arial" w:hAnsi="Arial" w:cs="Arial"/>
        </w:rPr>
        <w:t>Z art. 5 ust. 6 dyrektywy 2011/65/UE w celu zapewnienia przedsiębiorstwom wystarczająco dużo czasu oraz biorąc pod uwagę złożoność globalnych łańcuchów dostaw takich produktów, ustalono maksymalną możliwą datę wygaśnięcia wynoszącą 18 miesięcy od podjęcia decyzji w sprawie obowiązującego wyłączenia.</w:t>
      </w:r>
    </w:p>
    <w:p w:rsidR="000D41E8" w:rsidRPr="000D41E8" w:rsidRDefault="000D41E8" w:rsidP="000D41E8">
      <w:pPr>
        <w:spacing w:after="0"/>
        <w:jc w:val="both"/>
        <w:rPr>
          <w:rFonts w:ascii="Arial" w:hAnsi="Arial" w:cs="Arial"/>
        </w:rPr>
      </w:pPr>
      <w:r w:rsidRPr="000D41E8">
        <w:rPr>
          <w:rFonts w:ascii="Arial" w:hAnsi="Arial" w:cs="Arial"/>
        </w:rPr>
        <w:t>Wobec powyższego w załączniku III do dyrektywy 2011/65/UE wprowadza się następujące zmiany: pkt 39 a) otrzymuje brzmienie: Selenek kadmu w konwertujących w dół (</w:t>
      </w:r>
      <w:proofErr w:type="spellStart"/>
      <w:r w:rsidRPr="000D41E8">
        <w:rPr>
          <w:rFonts w:ascii="Arial" w:hAnsi="Arial" w:cs="Arial"/>
        </w:rPr>
        <w:t>downshifting</w:t>
      </w:r>
      <w:proofErr w:type="spellEnd"/>
      <w:r w:rsidRPr="000D41E8">
        <w:rPr>
          <w:rFonts w:ascii="Arial" w:hAnsi="Arial" w:cs="Arial"/>
        </w:rPr>
        <w:t xml:space="preserve">) nanokrystalicznych półprzewodzących kropkach kwantowych zawierających kadm do zastosowania w systemach wyświetlania (&lt; 0,2 </w:t>
      </w:r>
      <w:proofErr w:type="spellStart"/>
      <w:r w:rsidRPr="000D41E8">
        <w:rPr>
          <w:rFonts w:ascii="Arial" w:hAnsi="Arial" w:cs="Arial"/>
        </w:rPr>
        <w:t>μg</w:t>
      </w:r>
      <w:proofErr w:type="spellEnd"/>
      <w:r w:rsidRPr="000D41E8">
        <w:rPr>
          <w:rFonts w:ascii="Arial" w:hAnsi="Arial" w:cs="Arial"/>
        </w:rPr>
        <w:t xml:space="preserve"> Cd na mm2 powierzchni ekranu wyświetlacza – z terminem wygaśnięcia – 21 listopada 2025 r. dla wszystkich kategorii oraz dodaje się pkt. 39 b) w brzmieniu: Kadm w konwertujących w dół nanokrystalicznych półprzewodzących kropkach kwantowych umieszczonych bezpośrednio na chipach półprzewodnikowych LED do zastosowań w systemach wyświetlania i projekcji (&lt; 5 </w:t>
      </w:r>
      <w:proofErr w:type="spellStart"/>
      <w:r w:rsidRPr="000D41E8">
        <w:rPr>
          <w:rFonts w:ascii="Arial" w:hAnsi="Arial" w:cs="Arial"/>
        </w:rPr>
        <w:t>μg</w:t>
      </w:r>
      <w:proofErr w:type="spellEnd"/>
      <w:r w:rsidRPr="000D41E8">
        <w:rPr>
          <w:rFonts w:ascii="Arial" w:hAnsi="Arial" w:cs="Arial"/>
        </w:rPr>
        <w:t xml:space="preserve"> Cd na mm2 powierzchni chipa LED) w maksymalnej ilości na urządzenie wynoszącej 1 mg – z terminem wygaśnięcia – 31 grudnia 2027 r. dla wszystkich kategorii.</w:t>
      </w:r>
    </w:p>
    <w:p w:rsidR="000D41E8" w:rsidRPr="000D41E8" w:rsidRDefault="000D41E8" w:rsidP="000D41E8">
      <w:pPr>
        <w:spacing w:after="0"/>
        <w:jc w:val="both"/>
        <w:rPr>
          <w:rFonts w:ascii="Arial" w:hAnsi="Arial" w:cs="Arial"/>
        </w:rPr>
      </w:pPr>
      <w:r w:rsidRPr="000D41E8">
        <w:rPr>
          <w:rFonts w:ascii="Arial" w:hAnsi="Arial" w:cs="Arial"/>
        </w:rPr>
        <w:t xml:space="preserve"> Nowelizowane rozporządzenie umożliwi zniesienie barier technicznych oraz prowadzenie działalności gospodarczej w obszarze produkcji sprzętu elektrycznego i elektronicznego, opartego na półprzewodnikowych chipach, zawierających kadm. Ułatwi także międzynarodowy obrót towarowy. </w:t>
      </w:r>
    </w:p>
    <w:p w:rsidR="000D41E8" w:rsidRPr="000D41E8" w:rsidRDefault="000D41E8" w:rsidP="000D41E8">
      <w:pPr>
        <w:spacing w:after="0"/>
        <w:jc w:val="both"/>
        <w:rPr>
          <w:rFonts w:ascii="Arial" w:hAnsi="Arial" w:cs="Arial"/>
        </w:rPr>
      </w:pPr>
      <w:r w:rsidRPr="000D41E8">
        <w:rPr>
          <w:rFonts w:ascii="Arial" w:hAnsi="Arial" w:cs="Arial"/>
        </w:rPr>
        <w:t xml:space="preserve">Procedowane za pośrednictwem dyrektywy delegowanej wyłączenie, stanowiące przedmiot projektowanych przepisów, przyniosą wymierne korzyści dla przedsiębiorców oraz końcowych użytkowników sprzętu SEE opartego na chipach półprzewodnikowych LED, stosowanych w systemach wyświetlania i projekcji. W rezultacie przyznanego wyłączenia procesy produkcji, wprowadzania do obrotu oraz stosowania chipów, zawierających w swym składzie kadm, będą mogły być nadal realizowane. </w:t>
      </w:r>
    </w:p>
    <w:p w:rsidR="000D41E8" w:rsidRPr="000D41E8" w:rsidRDefault="000D41E8" w:rsidP="000D41E8">
      <w:pPr>
        <w:spacing w:after="0"/>
        <w:jc w:val="both"/>
        <w:rPr>
          <w:rFonts w:ascii="Arial" w:hAnsi="Arial" w:cs="Arial"/>
        </w:rPr>
      </w:pPr>
      <w:r w:rsidRPr="000D41E8">
        <w:rPr>
          <w:rFonts w:ascii="Arial" w:hAnsi="Arial" w:cs="Arial"/>
        </w:rPr>
        <w:t>Przyznane wyłączenie zapewni czas na adaptację nowych wymagań, zgodnych z nr (WE) nr 1907/2006 Parlamentu Europejskiego i Rady z dnia 18 grudnia 2006 r. w sprawie rejestracji, oceny, udzielania zezwoleń i stosowanych ograniczeń w zakresie chemikaliów (REACH) oraz na wykorzystanie rozwiązań alternatywnych niezawierających kadmu w zastosowaniach w systemach wyświetlania i projekcji.</w:t>
      </w:r>
    </w:p>
    <w:p w:rsidR="000D41E8" w:rsidRDefault="000D41E8" w:rsidP="000D41E8">
      <w:pPr>
        <w:spacing w:after="0"/>
        <w:jc w:val="both"/>
        <w:rPr>
          <w:rFonts w:ascii="Arial" w:hAnsi="Arial" w:cs="Arial"/>
        </w:rPr>
      </w:pPr>
      <w:r w:rsidRPr="000D41E8">
        <w:rPr>
          <w:rFonts w:ascii="Arial" w:hAnsi="Arial" w:cs="Arial"/>
        </w:rPr>
        <w:t>Przedmiotowe wyłączenie jest zgodne z rozporządzeniem REACH i utworzenia Europejskiej Agencji Chemikaliów, zmieniające dyrektywę 1999/45/WE oraz uchylające rozporządzenie Rady (EWG) nr 793/93 i rozporządzenie Komisji (WE) nr 1488/94, jak również dyrektywę Rady 76/769/EWG i dyrektywy Komisji 91/155/EWG, 93/67/EWG, 93/105/WE i 2000/21/WE (Dz. Urz. UE L 396 z 30.12.2006, str. 1) i w związku z tym nie obniża poziomu ochrony środowiska i zdrowia przewidzianego w tym rozporządzeniu</w:t>
      </w:r>
      <w:r>
        <w:rPr>
          <w:rFonts w:ascii="Arial" w:hAnsi="Arial" w:cs="Arial"/>
        </w:rPr>
        <w:t>.</w:t>
      </w:r>
    </w:p>
    <w:p w:rsidR="000D41E8" w:rsidRDefault="000D41E8" w:rsidP="000D41E8">
      <w:pPr>
        <w:spacing w:after="0"/>
        <w:jc w:val="both"/>
        <w:rPr>
          <w:rFonts w:ascii="Arial" w:hAnsi="Arial" w:cs="Arial"/>
        </w:rPr>
      </w:pPr>
    </w:p>
    <w:p w:rsidR="000D41E8" w:rsidRPr="000D41E8" w:rsidRDefault="000D41E8" w:rsidP="000D41E8">
      <w:pPr>
        <w:spacing w:after="0"/>
        <w:jc w:val="both"/>
        <w:rPr>
          <w:rFonts w:ascii="Arial" w:hAnsi="Arial" w:cs="Arial"/>
        </w:rPr>
      </w:pPr>
      <w:r w:rsidRPr="000D41E8">
        <w:rPr>
          <w:rFonts w:ascii="Arial" w:hAnsi="Arial" w:cs="Arial"/>
        </w:rPr>
        <w:t>Przedmiotowy projekt aktu prawnego wraz Uzasadnieniem oraz Oceną Skutków Regulacji dostępny jest na stronach Rządowego Centrum Legislacji pod adresem:</w:t>
      </w:r>
    </w:p>
    <w:p w:rsidR="000D41E8" w:rsidRDefault="000D41E8" w:rsidP="000D41E8">
      <w:pPr>
        <w:spacing w:after="0"/>
        <w:jc w:val="both"/>
        <w:rPr>
          <w:rFonts w:ascii="Arial" w:hAnsi="Arial" w:cs="Arial"/>
        </w:rPr>
      </w:pPr>
      <w:hyperlink r:id="rId10" w:history="1">
        <w:r w:rsidRPr="00332080">
          <w:rPr>
            <w:rStyle w:val="Hipercze"/>
            <w:rFonts w:ascii="Arial" w:hAnsi="Arial" w:cs="Arial"/>
          </w:rPr>
          <w:t>https://legislacja.rcl.gov.pl/projekt/12390550/katalog/13087</w:t>
        </w:r>
        <w:r w:rsidRPr="00332080">
          <w:rPr>
            <w:rStyle w:val="Hipercze"/>
            <w:rFonts w:ascii="Arial" w:hAnsi="Arial" w:cs="Arial"/>
          </w:rPr>
          <w:t>8</w:t>
        </w:r>
        <w:r w:rsidRPr="00332080">
          <w:rPr>
            <w:rStyle w:val="Hipercze"/>
            <w:rFonts w:ascii="Arial" w:hAnsi="Arial" w:cs="Arial"/>
          </w:rPr>
          <w:t>64#13087864</w:t>
        </w:r>
      </w:hyperlink>
      <w:r>
        <w:rPr>
          <w:rFonts w:ascii="Arial" w:hAnsi="Arial" w:cs="Arial"/>
        </w:rPr>
        <w:t xml:space="preserve">  </w:t>
      </w:r>
    </w:p>
    <w:p w:rsidR="000D41E8" w:rsidRDefault="000D41E8" w:rsidP="000D41E8">
      <w:pPr>
        <w:spacing w:after="0"/>
        <w:jc w:val="both"/>
        <w:rPr>
          <w:rFonts w:ascii="Arial" w:hAnsi="Arial" w:cs="Arial"/>
        </w:rPr>
      </w:pPr>
    </w:p>
    <w:p w:rsidR="000D41E8" w:rsidRDefault="000D41E8" w:rsidP="000D41E8">
      <w:pPr>
        <w:spacing w:after="0"/>
        <w:jc w:val="both"/>
        <w:rPr>
          <w:rFonts w:ascii="Arial" w:hAnsi="Arial" w:cs="Arial"/>
        </w:rPr>
      </w:pPr>
      <w:r w:rsidRPr="000D41E8">
        <w:rPr>
          <w:rFonts w:ascii="Arial" w:hAnsi="Arial" w:cs="Arial"/>
        </w:rPr>
        <w:lastRenderedPageBreak/>
        <w:t>Projekt jest obecnie jednocześnie na etapie uzgodnień, konsultacji publicznych i opiniowania.</w:t>
      </w:r>
    </w:p>
    <w:p w:rsidR="000D41E8" w:rsidRPr="000D41E8" w:rsidRDefault="000D41E8" w:rsidP="000D41E8">
      <w:pPr>
        <w:spacing w:after="0"/>
        <w:jc w:val="both"/>
        <w:rPr>
          <w:rFonts w:ascii="Arial" w:hAnsi="Arial" w:cs="Arial"/>
        </w:rPr>
      </w:pPr>
    </w:p>
    <w:p w:rsidR="00875AF3" w:rsidRPr="00875AF3" w:rsidRDefault="00875AF3" w:rsidP="00875AF3">
      <w:pPr>
        <w:pStyle w:val="Akapitzlist"/>
        <w:numPr>
          <w:ilvl w:val="0"/>
          <w:numId w:val="4"/>
        </w:numPr>
        <w:spacing w:after="0"/>
        <w:jc w:val="both"/>
        <w:rPr>
          <w:rFonts w:ascii="Arial" w:hAnsi="Arial" w:cs="Arial"/>
          <w:b/>
          <w:u w:val="single"/>
        </w:rPr>
      </w:pPr>
      <w:r w:rsidRPr="00875AF3">
        <w:rPr>
          <w:rFonts w:ascii="Arial" w:hAnsi="Arial" w:cs="Arial"/>
          <w:b/>
          <w:u w:val="single"/>
        </w:rPr>
        <w:t xml:space="preserve">projekt rozporządzenia Ministra Funduszy i Polityki Regionalnej w sprawie pomocy publicznej na realizację projektów w zakresie wyposażenia pojazdów kolejowych z napędem lub z kabiną sterowniczą w system ERTMS w ramach programu Fundusze Europejskie na Infrastrukturę, Klimat, Środowisko 2021–2027 </w:t>
      </w:r>
      <w:r w:rsidRPr="00875AF3">
        <w:rPr>
          <w:rFonts w:ascii="Arial" w:hAnsi="Arial" w:cs="Arial"/>
          <w:b/>
          <w:u w:val="single"/>
        </w:rPr>
        <w:t>(numer z wykazu 108)</w:t>
      </w:r>
    </w:p>
    <w:p w:rsidR="00875AF3" w:rsidRDefault="00875AF3" w:rsidP="00875AF3">
      <w:pPr>
        <w:spacing w:after="0"/>
        <w:jc w:val="both"/>
        <w:rPr>
          <w:rFonts w:ascii="Arial" w:hAnsi="Arial" w:cs="Arial"/>
        </w:rPr>
      </w:pPr>
    </w:p>
    <w:p w:rsidR="00875AF3" w:rsidRPr="00875AF3" w:rsidRDefault="00875AF3" w:rsidP="00875AF3">
      <w:pPr>
        <w:spacing w:after="0"/>
        <w:jc w:val="both"/>
        <w:rPr>
          <w:rFonts w:ascii="Arial" w:hAnsi="Arial" w:cs="Arial"/>
        </w:rPr>
      </w:pPr>
      <w:r w:rsidRPr="00875AF3">
        <w:rPr>
          <w:rFonts w:ascii="Arial" w:hAnsi="Arial" w:cs="Arial"/>
        </w:rPr>
        <w:t xml:space="preserve">Konieczność realizacji upoważnienia zawartego w art. 30 ust. 4 ustawy z dnia 28 kwietnia 2022 r. o zasadach realizacji zadań finansowanych ze środków europejskich w perspektywie finansowej 2021–2027, zgodnie z którym właściwy minister może określić, w drodze rozporządzenia, szczegółowe przeznaczenie, warunki i tryb udzielania pomocy publicznej ze środków funduszy UE, a także podmioty udzielające tej pomocy, uwzględniając konieczność zapewnienia jej zgodności z rynkiem wewnętrznym, efektywnego i skutecznego jej wykorzystania oraz przejrzystości jej udzielania, w przypadku gdy przepisy odrębne nie określają szczegółowego przeznaczenia, warunków lub trybu udzielania tej pomocy. </w:t>
      </w:r>
    </w:p>
    <w:p w:rsidR="00875AF3" w:rsidRPr="00875AF3" w:rsidRDefault="00875AF3" w:rsidP="00875AF3">
      <w:pPr>
        <w:spacing w:after="0"/>
        <w:jc w:val="both"/>
        <w:rPr>
          <w:rFonts w:ascii="Arial" w:hAnsi="Arial" w:cs="Arial"/>
        </w:rPr>
      </w:pPr>
      <w:r w:rsidRPr="00875AF3">
        <w:rPr>
          <w:rFonts w:ascii="Arial" w:hAnsi="Arial" w:cs="Arial"/>
        </w:rPr>
        <w:t>Wysokość alokacji przeznaczonej w ramach programu Fundusze Europejskie na Infrastrukturę, Klimat, Środowisko 2021–2027 na projekty w zakresie wyposażenia pojazdów kolejowych w pokładowe urządzenia systemu ERTMS, wynosi 150 mln zł.</w:t>
      </w:r>
    </w:p>
    <w:p w:rsidR="00875AF3" w:rsidRPr="00875AF3" w:rsidRDefault="00875AF3" w:rsidP="00875AF3">
      <w:pPr>
        <w:spacing w:after="0"/>
        <w:jc w:val="both"/>
        <w:rPr>
          <w:rFonts w:ascii="Arial" w:hAnsi="Arial" w:cs="Arial"/>
        </w:rPr>
      </w:pPr>
      <w:r w:rsidRPr="00875AF3">
        <w:rPr>
          <w:rFonts w:ascii="Arial" w:hAnsi="Arial" w:cs="Arial"/>
        </w:rPr>
        <w:t>Pomoc publiczna przewidziana w projektowanym rozporządzeniu będzie udzielana na zasadach zbliżonych do określonych w programie pomocowym dla perspektywy 2014–2020, tj. w rozporządzeniu Ministra Rozwoju i Finansów z dnia 24 listopada 2017 r. w sprawie pomocy publicznej na realizację projektów w zakresie transportu intermodalnego w ramach Programu Operacyjnego Infrastruktura i Środowisko na lata 2014–2020 (Dz. U. poz. 2269). Ww. program pomocowy został uznany za zgodny z rynkiem wewnętrznym na podstawie decyzji Komisji Europejskiej z dnia 31 października 2017 r. w sprawie pomocy państwa SA.48093 (2017/N) – Polska – Pomoc na realizację projektów w zakresie transportu intermodalnego w ramach Programu Operacyjnego Infrastruktura i Środowisko na lata 2014–2020.</w:t>
      </w:r>
    </w:p>
    <w:p w:rsidR="00875AF3" w:rsidRPr="00875AF3" w:rsidRDefault="00875AF3" w:rsidP="00875AF3">
      <w:pPr>
        <w:spacing w:after="0"/>
        <w:jc w:val="both"/>
        <w:rPr>
          <w:rFonts w:ascii="Arial" w:hAnsi="Arial" w:cs="Arial"/>
        </w:rPr>
      </w:pPr>
      <w:r w:rsidRPr="00875AF3">
        <w:rPr>
          <w:rFonts w:ascii="Arial" w:hAnsi="Arial" w:cs="Arial"/>
        </w:rPr>
        <w:t>Projektowane rozporządzenie będzie stanowiło program pomocowy dla projektów w zakresie wyposażenia pojazdów kolejowych z napędem lub z kabiną sterowniczą w system ERTMS realizowanych w ramach programu Fundusze Europejskie na Infrastrukturę, Klimat, Środowisko 2021–2027.</w:t>
      </w:r>
    </w:p>
    <w:p w:rsidR="00875AF3" w:rsidRPr="00875AF3" w:rsidRDefault="00875AF3" w:rsidP="00875AF3">
      <w:pPr>
        <w:spacing w:after="0"/>
        <w:jc w:val="both"/>
        <w:rPr>
          <w:rFonts w:ascii="Arial" w:hAnsi="Arial" w:cs="Arial"/>
        </w:rPr>
      </w:pPr>
      <w:r w:rsidRPr="00875AF3">
        <w:rPr>
          <w:rFonts w:ascii="Arial" w:hAnsi="Arial" w:cs="Arial"/>
        </w:rPr>
        <w:t>W projektowanym rozporządzeniu przez system ERTMS należy rozumieć system ERTMS według wzorca 3 (</w:t>
      </w:r>
      <w:proofErr w:type="spellStart"/>
      <w:r w:rsidRPr="00875AF3">
        <w:rPr>
          <w:rFonts w:ascii="Arial" w:hAnsi="Arial" w:cs="Arial"/>
        </w:rPr>
        <w:t>baseline</w:t>
      </w:r>
      <w:proofErr w:type="spellEnd"/>
      <w:r w:rsidRPr="00875AF3">
        <w:rPr>
          <w:rFonts w:ascii="Arial" w:hAnsi="Arial" w:cs="Arial"/>
        </w:rPr>
        <w:t xml:space="preserve"> 3) lub wyższego, obejmujący urządzenie pokładowe Europejskiego Systemu Sterowania Pociągiem, zwanego dalej „systemem ETCS”, oraz Globalnego Systemu Kolejowej Radiokomunikacji Ruchomej, zwanego dalej „systemem GSM-R”, łącznie albo tylko urządzenie pokładowe systemu ETCS w przypadku, gdy system GSM-R jest już zainstalowany.</w:t>
      </w:r>
    </w:p>
    <w:p w:rsidR="00875AF3" w:rsidRPr="00875AF3" w:rsidRDefault="00875AF3" w:rsidP="00875AF3">
      <w:pPr>
        <w:spacing w:after="0"/>
        <w:jc w:val="both"/>
        <w:rPr>
          <w:rFonts w:ascii="Arial" w:hAnsi="Arial" w:cs="Arial"/>
        </w:rPr>
      </w:pPr>
      <w:r w:rsidRPr="00875AF3">
        <w:rPr>
          <w:rFonts w:ascii="Arial" w:hAnsi="Arial" w:cs="Arial"/>
        </w:rPr>
        <w:t>Podstawowym celem wydania projektowanego rozporządzenia jest poprawa konkurencyjności transportu kolejowego w szczególności w ramach publicznego transportu zbiorowego oraz w przewozach towarowych, przez wdrożenie nowoczesnych systemów sterowania pociągami.</w:t>
      </w:r>
    </w:p>
    <w:p w:rsidR="00875AF3" w:rsidRPr="00875AF3" w:rsidRDefault="00875AF3" w:rsidP="00875AF3">
      <w:pPr>
        <w:spacing w:after="0"/>
        <w:jc w:val="both"/>
        <w:rPr>
          <w:rFonts w:ascii="Arial" w:hAnsi="Arial" w:cs="Arial"/>
        </w:rPr>
      </w:pPr>
      <w:r w:rsidRPr="00875AF3">
        <w:rPr>
          <w:rFonts w:ascii="Arial" w:hAnsi="Arial" w:cs="Arial"/>
        </w:rPr>
        <w:t>Z uwagi na znaczne wyeksploatowanie taboru kolejowego wykorzystywanego w ramach publicznego transportu zbiorowego oraz w przewozach towarowych, konieczne jest realizowanie założeń projektowanego rozporządzenia w celu umożliwienia udzielania wsparcia na zakup i instalację urządzeń pokładowych systemu ERTMS.</w:t>
      </w:r>
    </w:p>
    <w:p w:rsidR="00875AF3" w:rsidRDefault="00875AF3" w:rsidP="00875AF3">
      <w:pPr>
        <w:spacing w:after="0"/>
        <w:jc w:val="both"/>
        <w:rPr>
          <w:rFonts w:ascii="Arial" w:hAnsi="Arial" w:cs="Arial"/>
        </w:rPr>
      </w:pPr>
      <w:r w:rsidRPr="00875AF3">
        <w:rPr>
          <w:rFonts w:ascii="Arial" w:hAnsi="Arial" w:cs="Arial"/>
        </w:rPr>
        <w:lastRenderedPageBreak/>
        <w:t>Nie ma możliwości osiągnięcia celów projektu w sposób inny niż wydanie projektowanego rozporządzenia</w:t>
      </w:r>
    </w:p>
    <w:p w:rsidR="00875AF3" w:rsidRDefault="00875AF3" w:rsidP="00875AF3">
      <w:pPr>
        <w:spacing w:after="0"/>
        <w:jc w:val="both"/>
        <w:rPr>
          <w:rFonts w:ascii="Arial" w:hAnsi="Arial" w:cs="Arial"/>
        </w:rPr>
      </w:pPr>
    </w:p>
    <w:p w:rsidR="00875AF3" w:rsidRPr="00875AF3" w:rsidRDefault="00875AF3" w:rsidP="00875AF3">
      <w:pPr>
        <w:spacing w:after="0"/>
        <w:jc w:val="both"/>
        <w:rPr>
          <w:rFonts w:ascii="Arial" w:hAnsi="Arial" w:cs="Arial"/>
        </w:rPr>
      </w:pPr>
      <w:r w:rsidRPr="00875AF3">
        <w:rPr>
          <w:rFonts w:ascii="Arial" w:hAnsi="Arial" w:cs="Arial"/>
        </w:rPr>
        <w:t>Przedmiotowy projekt aktu prawnego wraz Uzasadnieniem oraz Oceną Skutków Regulacji dostępny jest na stronach Rządowego Centrum Legislacji pod adresem:</w:t>
      </w:r>
    </w:p>
    <w:p w:rsidR="00875AF3" w:rsidRDefault="00875AF3" w:rsidP="00875AF3">
      <w:pPr>
        <w:spacing w:after="0"/>
        <w:jc w:val="both"/>
        <w:rPr>
          <w:rFonts w:ascii="Arial" w:hAnsi="Arial" w:cs="Arial"/>
        </w:rPr>
      </w:pPr>
      <w:hyperlink r:id="rId11" w:history="1">
        <w:r w:rsidRPr="00332080">
          <w:rPr>
            <w:rStyle w:val="Hipercze"/>
            <w:rFonts w:ascii="Arial" w:hAnsi="Arial" w:cs="Arial"/>
          </w:rPr>
          <w:t>https://legislacja.rcl.go</w:t>
        </w:r>
        <w:r w:rsidRPr="00332080">
          <w:rPr>
            <w:rStyle w:val="Hipercze"/>
            <w:rFonts w:ascii="Arial" w:hAnsi="Arial" w:cs="Arial"/>
          </w:rPr>
          <w:t>v</w:t>
        </w:r>
        <w:r w:rsidRPr="00332080">
          <w:rPr>
            <w:rStyle w:val="Hipercze"/>
            <w:rFonts w:ascii="Arial" w:hAnsi="Arial" w:cs="Arial"/>
          </w:rPr>
          <w:t>.pl/projekt/12390555/katalog/13088119#13088119</w:t>
        </w:r>
      </w:hyperlink>
      <w:r>
        <w:rPr>
          <w:rFonts w:ascii="Arial" w:hAnsi="Arial" w:cs="Arial"/>
        </w:rPr>
        <w:t xml:space="preserve">   </w:t>
      </w:r>
      <w:r w:rsidRPr="00875AF3">
        <w:rPr>
          <w:rFonts w:ascii="Arial" w:hAnsi="Arial" w:cs="Arial"/>
        </w:rPr>
        <w:t xml:space="preserve">  </w:t>
      </w:r>
    </w:p>
    <w:p w:rsidR="00875AF3" w:rsidRDefault="00875AF3" w:rsidP="00875AF3">
      <w:pPr>
        <w:spacing w:after="0"/>
        <w:jc w:val="both"/>
        <w:rPr>
          <w:rFonts w:ascii="Arial" w:hAnsi="Arial" w:cs="Arial"/>
        </w:rPr>
      </w:pPr>
    </w:p>
    <w:p w:rsidR="00875AF3" w:rsidRDefault="00875AF3" w:rsidP="00875AF3">
      <w:pPr>
        <w:spacing w:after="0"/>
        <w:jc w:val="both"/>
        <w:rPr>
          <w:rFonts w:ascii="Arial" w:hAnsi="Arial" w:cs="Arial"/>
        </w:rPr>
      </w:pPr>
      <w:r w:rsidRPr="00875AF3">
        <w:rPr>
          <w:rFonts w:ascii="Arial" w:hAnsi="Arial" w:cs="Arial"/>
        </w:rPr>
        <w:t>Projekt jest obecnie jednocześnie na etapie uzgodnień, konsultacji publicznych i opiniowania.</w:t>
      </w:r>
    </w:p>
    <w:p w:rsidR="00875AF3" w:rsidRPr="00875AF3" w:rsidRDefault="00875AF3" w:rsidP="00875AF3">
      <w:pPr>
        <w:spacing w:after="0"/>
        <w:jc w:val="both"/>
        <w:rPr>
          <w:rFonts w:ascii="Arial" w:hAnsi="Arial" w:cs="Arial"/>
        </w:rPr>
      </w:pPr>
    </w:p>
    <w:p w:rsidR="00875AF3" w:rsidRPr="001A5CB1" w:rsidRDefault="00875AF3" w:rsidP="00875AF3">
      <w:pPr>
        <w:pStyle w:val="Akapitzlist"/>
        <w:numPr>
          <w:ilvl w:val="0"/>
          <w:numId w:val="4"/>
        </w:numPr>
        <w:spacing w:after="0"/>
        <w:jc w:val="both"/>
        <w:rPr>
          <w:rFonts w:ascii="Arial" w:hAnsi="Arial" w:cs="Arial"/>
          <w:b/>
          <w:u w:val="single"/>
        </w:rPr>
      </w:pPr>
      <w:r w:rsidRPr="001A5CB1">
        <w:rPr>
          <w:rFonts w:ascii="Arial" w:hAnsi="Arial" w:cs="Arial"/>
          <w:b/>
          <w:u w:val="single"/>
        </w:rPr>
        <w:t>projekt rozporządzenia Ministra Spraw Wewnętrznych i Administracji zmieniającego rozporządzenie w sprawie ochrony przeciwpożarowej budynków, innych obiektów budowlanych i terenów (numer z wykazu 1156)</w:t>
      </w:r>
    </w:p>
    <w:p w:rsidR="00875AF3" w:rsidRDefault="00875AF3" w:rsidP="00875AF3">
      <w:pPr>
        <w:spacing w:after="0"/>
        <w:jc w:val="both"/>
        <w:rPr>
          <w:rFonts w:ascii="Arial" w:hAnsi="Arial" w:cs="Arial"/>
        </w:rPr>
      </w:pPr>
    </w:p>
    <w:p w:rsidR="001A5CB1" w:rsidRPr="001A5CB1" w:rsidRDefault="001A5CB1" w:rsidP="001A5CB1">
      <w:pPr>
        <w:spacing w:after="0"/>
        <w:jc w:val="both"/>
        <w:rPr>
          <w:rFonts w:ascii="Arial" w:hAnsi="Arial" w:cs="Arial"/>
        </w:rPr>
      </w:pPr>
      <w:r w:rsidRPr="001A5CB1">
        <w:rPr>
          <w:rFonts w:ascii="Arial" w:hAnsi="Arial" w:cs="Arial"/>
        </w:rPr>
        <w:t>Projekt nowelizacji rozporządzenia Ministra Spraw Wewnętrznych i Administracji z dnia 7 czerwca 2010 r. w sprawie ochrony przeciwpożarowej budynków, innych obiektów budowlanych i terenów (Dz. U. z 2023 r. poz. 822) ma na celu poprawę poziomu ochrony przeciwpożarowej w kraju przez wprowadzenie rozwiązań, które powinny spowodować zmniejszenie:</w:t>
      </w:r>
    </w:p>
    <w:p w:rsidR="001A5CB1" w:rsidRPr="001A5CB1" w:rsidRDefault="001A5CB1" w:rsidP="001A5CB1">
      <w:pPr>
        <w:spacing w:after="0"/>
        <w:jc w:val="both"/>
        <w:rPr>
          <w:rFonts w:ascii="Arial" w:hAnsi="Arial" w:cs="Arial"/>
        </w:rPr>
      </w:pPr>
      <w:r w:rsidRPr="001A5CB1">
        <w:rPr>
          <w:rFonts w:ascii="Arial" w:hAnsi="Arial" w:cs="Arial"/>
        </w:rPr>
        <w:t>1)</w:t>
      </w:r>
      <w:r w:rsidRPr="001A5CB1">
        <w:rPr>
          <w:rFonts w:ascii="Arial" w:hAnsi="Arial" w:cs="Arial"/>
        </w:rPr>
        <w:tab/>
        <w:t>liczby osób poszkodowanych w czasie pożarów oraz zdarzeń związanych z uwolnieniem tlenku węgla;</w:t>
      </w:r>
    </w:p>
    <w:p w:rsidR="001A5CB1" w:rsidRPr="001A5CB1" w:rsidRDefault="001A5CB1" w:rsidP="001A5CB1">
      <w:pPr>
        <w:spacing w:after="0"/>
        <w:jc w:val="both"/>
        <w:rPr>
          <w:rFonts w:ascii="Arial" w:hAnsi="Arial" w:cs="Arial"/>
        </w:rPr>
      </w:pPr>
      <w:r w:rsidRPr="001A5CB1">
        <w:rPr>
          <w:rFonts w:ascii="Arial" w:hAnsi="Arial" w:cs="Arial"/>
        </w:rPr>
        <w:t>2)</w:t>
      </w:r>
      <w:r w:rsidRPr="001A5CB1">
        <w:rPr>
          <w:rFonts w:ascii="Arial" w:hAnsi="Arial" w:cs="Arial"/>
        </w:rPr>
        <w:tab/>
        <w:t>skutków pożarów w wielkopowierzchniowych budynkach handlowych, produkcyjnych i magazynowych.</w:t>
      </w:r>
    </w:p>
    <w:p w:rsidR="001A5CB1" w:rsidRPr="001A5CB1" w:rsidRDefault="001A5CB1" w:rsidP="001A5CB1">
      <w:pPr>
        <w:spacing w:after="0"/>
        <w:jc w:val="both"/>
        <w:rPr>
          <w:rFonts w:ascii="Arial" w:hAnsi="Arial" w:cs="Arial"/>
        </w:rPr>
      </w:pPr>
      <w:r w:rsidRPr="001A5CB1">
        <w:rPr>
          <w:rFonts w:ascii="Arial" w:hAnsi="Arial" w:cs="Arial"/>
        </w:rPr>
        <w:t>Ad 1) Tragiczne pożary, w których giną ludzie (względnie zostają ranni), najczęściej mają miejsce w budynkach o funkcji mieszkalnej. Ponadto co roku w lokalach mieszkalnych oraz użytkowych przeznaczonych na pobyt ludzi odnotowywanych jest szereg zdarzeń związanych z zatruciami tlenkiem węgla (w skrajnych sytuacjach śmiertelnymi) uwalnianym z urządzeń lub instalacji, w których odbywa się proces spalania paliwa stałego, ciekłego lub gazowego. Wprowadzenie obowiązku stosowania w takich miejscach autonomicznych czujek dymu oraz tlenku węgla, tj. urządzeń do wczesnego wykrywania zagrożenia i alarmowania ludzi, powinno wpłynąć na zmniejszenie liczby poszkodowanych (rannych oraz ofiar śmiertelnych) w pożarach oraz w zdarzeniach związanych z emisją tlenku węgla.</w:t>
      </w:r>
    </w:p>
    <w:p w:rsidR="001A5CB1" w:rsidRPr="001A5CB1" w:rsidRDefault="001A5CB1" w:rsidP="001A5CB1">
      <w:pPr>
        <w:spacing w:after="0"/>
        <w:jc w:val="both"/>
        <w:rPr>
          <w:rFonts w:ascii="Arial" w:hAnsi="Arial" w:cs="Arial"/>
        </w:rPr>
      </w:pPr>
      <w:r w:rsidRPr="001A5CB1">
        <w:rPr>
          <w:rFonts w:ascii="Arial" w:hAnsi="Arial" w:cs="Arial"/>
        </w:rPr>
        <w:t xml:space="preserve">Ad 2) Wiele budynków handlowych, produkcyjnych i magazynowych charakteryzuje się dużymi powierzchniami użytkowymi, lekką konstrukcją, przegrodami zewnętrznymi izolowanymi z wykorzystaniem materiałów palnych (spienionych tworzyw sztucznych), a także dużą gęstością obciążenia ogniowego (lokalnie lub w całym obiekcie). Bywa, że pożary w tej grupie obiektów mają dużą dynamikę i rozprzestrzeniają się do sąsiednich stref pożarowych mimo wykonania ścian oddzielenia przeciwpożarowego wymaganych przepisami techniczno-budowlanymi. Strażacy podczas działań gaśniczych w tego typu obiektach mają ograniczony czas na rozpoznanie warunków prowadzenia działań i wypracowanie taktyki obrony części budynku nieobjętej pożarem. Z tego względu zaproponowano wprowadzenie rozwiązań umożliwiających ratownikom szybkie ustalenie lokalizacji ścian oddzielenia przeciwpożarowego od zewnętrz, co zwiększy szanse na podjęcie skutecznych działań gaśniczych. Inicjatywa legislacyjna w tym zakresie wynika z analizy działań ratowniczo-gaśniczych prowadzonych przez podmioty krajowego systemu ratowniczo-gaśniczego. Wejście w życie postulowanych rozwiązań powinno wpłynąć zarówno na poprawę bezpieczeństwa strażaków, jak i na ograniczenie wielkości skutków pożarów, w tym strat </w:t>
      </w:r>
      <w:proofErr w:type="spellStart"/>
      <w:r w:rsidRPr="001A5CB1">
        <w:rPr>
          <w:rFonts w:ascii="Arial" w:hAnsi="Arial" w:cs="Arial"/>
        </w:rPr>
        <w:t>popożarowych</w:t>
      </w:r>
      <w:proofErr w:type="spellEnd"/>
      <w:r w:rsidRPr="001A5CB1">
        <w:rPr>
          <w:rFonts w:ascii="Arial" w:hAnsi="Arial" w:cs="Arial"/>
        </w:rPr>
        <w:t>.</w:t>
      </w:r>
    </w:p>
    <w:p w:rsidR="001A5CB1" w:rsidRPr="001A5CB1" w:rsidRDefault="001A5CB1" w:rsidP="001A5CB1">
      <w:pPr>
        <w:spacing w:after="0"/>
        <w:jc w:val="both"/>
        <w:rPr>
          <w:rFonts w:ascii="Arial" w:hAnsi="Arial" w:cs="Arial"/>
        </w:rPr>
      </w:pPr>
      <w:r w:rsidRPr="001A5CB1">
        <w:rPr>
          <w:rFonts w:ascii="Arial" w:hAnsi="Arial" w:cs="Arial"/>
        </w:rPr>
        <w:lastRenderedPageBreak/>
        <w:t>W § 4 ust. 2 zmienianego rozporządzenia (określającego obowiązki w zakresie ochrony przeciwpożarowej m.in. właścicieli budynków) dodano pkt 6, wprowadzający obowiązek oznakowania w budynkach handlowych, produkcyjnych oraz magazynowych miejsc połączenia ściany oddzielenia przeciwpożarowego ze ścianą zewnętrzną oraz z dachem. Obowiązek ten będzie dotyczył przedmiotowych budynków, w przypadku gdy ściana oddzielenia przeciwpożarowego oddziela strefy pożarowe o powierzchni co najmniej 2000 m2 każda, a ściany zewnętrzne co najmniej jednej strefy pożarowej wykonane są z materiałów palnych lub w co najmniej jednej strefie pożarowej gęstość obciążenia ogniowego przekracza 1000 MJ/m2. Każdorazowo będzie on realizowany poprzez oznakowanie budynku w sposób:</w:t>
      </w:r>
    </w:p>
    <w:p w:rsidR="001A5CB1" w:rsidRPr="001A5CB1" w:rsidRDefault="001A5CB1" w:rsidP="001A5CB1">
      <w:pPr>
        <w:spacing w:after="0"/>
        <w:jc w:val="both"/>
        <w:rPr>
          <w:rFonts w:ascii="Arial" w:hAnsi="Arial" w:cs="Arial"/>
        </w:rPr>
      </w:pPr>
      <w:r w:rsidRPr="001A5CB1">
        <w:rPr>
          <w:rFonts w:ascii="Arial" w:hAnsi="Arial" w:cs="Arial"/>
        </w:rPr>
        <w:t>- określony w załączniku do rozporządzenia (przewidziano w nim zastosowanie pasa koloru czerwonego lub znaku przedstawiającego schematycznie ścianę oddzielenia przeciwpożarowego) albo</w:t>
      </w:r>
    </w:p>
    <w:p w:rsidR="001A5CB1" w:rsidRPr="001A5CB1" w:rsidRDefault="001A5CB1" w:rsidP="001A5CB1">
      <w:pPr>
        <w:spacing w:after="0"/>
        <w:jc w:val="both"/>
        <w:rPr>
          <w:rFonts w:ascii="Arial" w:hAnsi="Arial" w:cs="Arial"/>
        </w:rPr>
      </w:pPr>
      <w:r w:rsidRPr="001A5CB1">
        <w:rPr>
          <w:rFonts w:ascii="Arial" w:hAnsi="Arial" w:cs="Arial"/>
        </w:rPr>
        <w:t xml:space="preserve">- uzgodniony z właściwym miejscowo komendantem powiatowym (miejskim) Państwowej Straży Pożarnej. </w:t>
      </w:r>
    </w:p>
    <w:p w:rsidR="001A5CB1" w:rsidRPr="001A5CB1" w:rsidRDefault="001A5CB1" w:rsidP="001A5CB1">
      <w:pPr>
        <w:spacing w:after="0"/>
        <w:jc w:val="both"/>
        <w:rPr>
          <w:rFonts w:ascii="Arial" w:hAnsi="Arial" w:cs="Arial"/>
        </w:rPr>
      </w:pPr>
      <w:r w:rsidRPr="001A5CB1">
        <w:rPr>
          <w:rFonts w:ascii="Arial" w:hAnsi="Arial" w:cs="Arial"/>
        </w:rPr>
        <w:t xml:space="preserve">Wprowadzenie tego rozwiązania przyczyni się do poprawy skuteczności działań gaśniczych oraz bezpieczeństwa strażaków, a także ograniczenia szkód </w:t>
      </w:r>
      <w:proofErr w:type="spellStart"/>
      <w:r w:rsidRPr="001A5CB1">
        <w:rPr>
          <w:rFonts w:ascii="Arial" w:hAnsi="Arial" w:cs="Arial"/>
        </w:rPr>
        <w:t>popożarowych</w:t>
      </w:r>
      <w:proofErr w:type="spellEnd"/>
      <w:r w:rsidRPr="001A5CB1">
        <w:rPr>
          <w:rFonts w:ascii="Arial" w:hAnsi="Arial" w:cs="Arial"/>
        </w:rPr>
        <w:t>.</w:t>
      </w:r>
    </w:p>
    <w:p w:rsidR="001A5CB1" w:rsidRPr="001A5CB1" w:rsidRDefault="001A5CB1" w:rsidP="001A5CB1">
      <w:pPr>
        <w:spacing w:after="0"/>
        <w:jc w:val="both"/>
        <w:rPr>
          <w:rFonts w:ascii="Arial" w:hAnsi="Arial" w:cs="Arial"/>
        </w:rPr>
      </w:pPr>
      <w:r w:rsidRPr="001A5CB1">
        <w:rPr>
          <w:rFonts w:ascii="Arial" w:hAnsi="Arial" w:cs="Arial"/>
        </w:rPr>
        <w:t>Ponadto uzupełniono tytuł rozdziału 6 przez jego rozszerzenie o „autonomiczne czujki dymu i tlenku węgla”, które nie stanowią elementów stałych urządzeń gaśniczych, systemów sygnalizacji pożarowej, dźwiękowych systemów ostrzegawczych i gaśnic (tj. urządzeń wymienionych w dotychczasowym tytule tego rozdziału).</w:t>
      </w:r>
    </w:p>
    <w:p w:rsidR="001A5CB1" w:rsidRPr="001A5CB1" w:rsidRDefault="001A5CB1" w:rsidP="001A5CB1">
      <w:pPr>
        <w:spacing w:after="0"/>
        <w:jc w:val="both"/>
        <w:rPr>
          <w:rFonts w:ascii="Arial" w:hAnsi="Arial" w:cs="Arial"/>
        </w:rPr>
      </w:pPr>
      <w:r w:rsidRPr="001A5CB1">
        <w:rPr>
          <w:rFonts w:ascii="Arial" w:hAnsi="Arial" w:cs="Arial"/>
        </w:rPr>
        <w:t xml:space="preserve">W rozdziale 6 zmienianego rozporządzenia dodano § 28a, w którego ust. 1 sformułowano obowiązek wyposażenia lokalu mieszkalnego, a także pomieszczenia mieszkalnego lub jednostki mieszkalnej, w których są świadczone usługi hotelarskie, w co najmniej jedną autonomiczną czujkę dymu, spełniającą wymagania Polskiej Normy </w:t>
      </w:r>
    </w:p>
    <w:p w:rsidR="001A5CB1" w:rsidRPr="001A5CB1" w:rsidRDefault="001A5CB1" w:rsidP="001A5CB1">
      <w:pPr>
        <w:spacing w:after="0"/>
        <w:jc w:val="both"/>
        <w:rPr>
          <w:rFonts w:ascii="Arial" w:hAnsi="Arial" w:cs="Arial"/>
        </w:rPr>
      </w:pPr>
      <w:r w:rsidRPr="001A5CB1">
        <w:rPr>
          <w:rFonts w:ascii="Arial" w:hAnsi="Arial" w:cs="Arial"/>
        </w:rPr>
        <w:t>PN-EN 14604 Autonomiczne czujki dymu.</w:t>
      </w:r>
    </w:p>
    <w:p w:rsidR="001A5CB1" w:rsidRPr="001A5CB1" w:rsidRDefault="001A5CB1" w:rsidP="001A5CB1">
      <w:pPr>
        <w:spacing w:after="0"/>
        <w:jc w:val="both"/>
        <w:rPr>
          <w:rFonts w:ascii="Arial" w:hAnsi="Arial" w:cs="Arial"/>
        </w:rPr>
      </w:pPr>
      <w:r w:rsidRPr="001A5CB1">
        <w:rPr>
          <w:rFonts w:ascii="Arial" w:hAnsi="Arial" w:cs="Arial"/>
        </w:rPr>
        <w:t>Wprowadzenie tego przepisu ma na celu zapewnienie właściwych warunków bezpieczeństwa w budynkach, w których ludzie mieszkają i przebywają w porze nocnej. Jego stosowanie powinno w konsekwencji spowodować zmniejszenie liczby ofiar śmiertelnych i rannych w pożarach.</w:t>
      </w:r>
    </w:p>
    <w:p w:rsidR="001A5CB1" w:rsidRPr="001A5CB1" w:rsidRDefault="001A5CB1" w:rsidP="001A5CB1">
      <w:pPr>
        <w:spacing w:after="0"/>
        <w:jc w:val="both"/>
        <w:rPr>
          <w:rFonts w:ascii="Arial" w:hAnsi="Arial" w:cs="Arial"/>
        </w:rPr>
      </w:pPr>
      <w:r w:rsidRPr="001A5CB1">
        <w:rPr>
          <w:rFonts w:ascii="Arial" w:hAnsi="Arial" w:cs="Arial"/>
        </w:rPr>
        <w:t>W § 28a ust. 2 wyłączono z tego obowiązku części budynku objęte ochroną przez system sygnalizacji pożarowej, który zapewnia co najmniej równorzędny poziom bezpieczeństwa pożarowego.</w:t>
      </w:r>
    </w:p>
    <w:p w:rsidR="001A5CB1" w:rsidRPr="001A5CB1" w:rsidRDefault="001A5CB1" w:rsidP="001A5CB1">
      <w:pPr>
        <w:spacing w:after="0"/>
        <w:jc w:val="both"/>
        <w:rPr>
          <w:rFonts w:ascii="Arial" w:hAnsi="Arial" w:cs="Arial"/>
        </w:rPr>
      </w:pPr>
      <w:r w:rsidRPr="001A5CB1">
        <w:rPr>
          <w:rFonts w:ascii="Arial" w:hAnsi="Arial" w:cs="Arial"/>
        </w:rPr>
        <w:t xml:space="preserve">W § 28a ust. 3 określono obowiązek wyposażenia pomieszczenia, w którym odbywa się proces spalania paliwa stałego, ciekłego lub gazowego i które wchodzi w skład lokalu mieszkalnego lub lokalu użytkowego przeznaczonego na pobyt ludzi, znajdującego się w strefie pożarowej zakwalifikowanej do kategorii zagrożenia życia ludzi ZL, w co najmniej jedną autonomiczną czujkę tlenku węgla, spełniającą wymagania Polskiej Normy PN-EN 50291-1 Wykrywacze gazu - Urządzenia elektryczne do wykrywania tlenku węgla w pomieszczeniach domowych - Część 1: Metody badań i wymagania eksploatacyjne. </w:t>
      </w:r>
    </w:p>
    <w:p w:rsidR="001A5CB1" w:rsidRPr="001A5CB1" w:rsidRDefault="001A5CB1" w:rsidP="001A5CB1">
      <w:pPr>
        <w:spacing w:after="0"/>
        <w:jc w:val="both"/>
        <w:rPr>
          <w:rFonts w:ascii="Arial" w:hAnsi="Arial" w:cs="Arial"/>
        </w:rPr>
      </w:pPr>
      <w:r w:rsidRPr="001A5CB1">
        <w:rPr>
          <w:rFonts w:ascii="Arial" w:hAnsi="Arial" w:cs="Arial"/>
        </w:rPr>
        <w:t>Oczekiwanym efektem tej regulacji, podobnie jak w przypadku proponowanych przepisów dotyczących obowiązku stosowania autonomicznych czujek dymu, powinno być ograniczenie liczby poszkodowanych przez toksyczne oddziaływanie tlenku węgla, a w szczególności zmniejszenie liczby ofiar śmiertelnych w zdarzeniach związanych z uwolnieniem tej substancji podczas stosowania urządzeń grzewczych.</w:t>
      </w:r>
    </w:p>
    <w:p w:rsidR="001A5CB1" w:rsidRPr="001A5CB1" w:rsidRDefault="001A5CB1" w:rsidP="001A5CB1">
      <w:pPr>
        <w:spacing w:after="0"/>
        <w:jc w:val="both"/>
        <w:rPr>
          <w:rFonts w:ascii="Arial" w:hAnsi="Arial" w:cs="Arial"/>
        </w:rPr>
      </w:pPr>
      <w:r w:rsidRPr="001A5CB1">
        <w:rPr>
          <w:rFonts w:ascii="Arial" w:hAnsi="Arial" w:cs="Arial"/>
        </w:rPr>
        <w:t>Przepis § 28a ust. 4 wyłącza natomiast obowiązek stosowania autonomicznych czujek tlenku węgla w pomieszczeniach, w których:</w:t>
      </w:r>
    </w:p>
    <w:p w:rsidR="001A5CB1" w:rsidRPr="001A5CB1" w:rsidRDefault="001A5CB1" w:rsidP="001A5CB1">
      <w:pPr>
        <w:spacing w:after="0"/>
        <w:jc w:val="both"/>
        <w:rPr>
          <w:rFonts w:ascii="Arial" w:hAnsi="Arial" w:cs="Arial"/>
        </w:rPr>
      </w:pPr>
      <w:r w:rsidRPr="001A5CB1">
        <w:rPr>
          <w:rFonts w:ascii="Arial" w:hAnsi="Arial" w:cs="Arial"/>
        </w:rPr>
        <w:lastRenderedPageBreak/>
        <w:t>a) proces spalania odbywa się w urządzeniu z zamkniętą komorą spalania (odizolowaną od tego pomieszczenia);</w:t>
      </w:r>
    </w:p>
    <w:p w:rsidR="001A5CB1" w:rsidRPr="001A5CB1" w:rsidRDefault="001A5CB1" w:rsidP="001A5CB1">
      <w:pPr>
        <w:spacing w:after="0"/>
        <w:jc w:val="both"/>
        <w:rPr>
          <w:rFonts w:ascii="Arial" w:hAnsi="Arial" w:cs="Arial"/>
        </w:rPr>
      </w:pPr>
      <w:r w:rsidRPr="001A5CB1">
        <w:rPr>
          <w:rFonts w:ascii="Arial" w:hAnsi="Arial" w:cs="Arial"/>
        </w:rPr>
        <w:t>b) spalanie ma miejsce w zasilanym paliwem gazowym urządzeniu przeznaczonym do przygotowania posiłków.</w:t>
      </w:r>
    </w:p>
    <w:p w:rsidR="001A5CB1" w:rsidRPr="001A5CB1" w:rsidRDefault="001A5CB1" w:rsidP="001A5CB1">
      <w:pPr>
        <w:spacing w:after="0"/>
        <w:jc w:val="both"/>
        <w:rPr>
          <w:rFonts w:ascii="Arial" w:hAnsi="Arial" w:cs="Arial"/>
        </w:rPr>
      </w:pPr>
      <w:r w:rsidRPr="001A5CB1">
        <w:rPr>
          <w:rFonts w:ascii="Arial" w:hAnsi="Arial" w:cs="Arial"/>
        </w:rPr>
        <w:t>Przy stosowaniu elementarnych zasad bezpiecznego użytkowania wskazanych powyżej urządzeń zagrożenie związane z zatruciem tlenkiem węgla jest ograniczone.</w:t>
      </w:r>
    </w:p>
    <w:p w:rsidR="00875AF3" w:rsidRDefault="001A5CB1" w:rsidP="001A5CB1">
      <w:pPr>
        <w:spacing w:after="0"/>
        <w:jc w:val="both"/>
        <w:rPr>
          <w:rFonts w:ascii="Arial" w:hAnsi="Arial" w:cs="Arial"/>
        </w:rPr>
      </w:pPr>
      <w:r w:rsidRPr="001A5CB1">
        <w:rPr>
          <w:rFonts w:ascii="Arial" w:hAnsi="Arial" w:cs="Arial"/>
        </w:rPr>
        <w:t>Ponadto, mając na względzie fakt, że autonomiczne czujki dymu oraz tlenku węgla, o których mowa w projektowanym § 28a, co do zasady są urządzeniami niewymagającymi do ich stosowania specjalistycznej wiedzy oraz dokumentacji projektowej, w § 3 ust. 3a zmienianego rozporządzenia określono, że w przypadku tych urządzeń nie stosuje się wynikającego z § 3 ust. 1-3 obowiązku opracowywania projektów urządzeń przeciwpożarowych i ich uzgadniania z rzeczoznawcą do spraw zabezpieczeń przeciwpożarowych, a także obowiązku poddawania ich przeglądom technicznym i czynnościom konserwacyjnym, zgodnie z zasadami i w sposób określony w Polskich Normach dotyczących urządzeń przeciwpożarowych i gaśnic oraz w dokumentacji techniczno-ruchowej. W zamian sformułowano obowiązek przestrzegania zaleceń określonych przez producenta czujki w instrukcji obsługi w zakresie: montażu, konserwacji i jej eksploatacji. Powinno to zapewnić zachowanie przez czujkę w całym jej okresie użytkowania sprawności technicznej i funkcjonalnej</w:t>
      </w:r>
      <w:r>
        <w:rPr>
          <w:rFonts w:ascii="Arial" w:hAnsi="Arial" w:cs="Arial"/>
        </w:rPr>
        <w:t>.</w:t>
      </w:r>
    </w:p>
    <w:p w:rsidR="00875AF3" w:rsidRDefault="00875AF3" w:rsidP="00875AF3">
      <w:pPr>
        <w:spacing w:after="0"/>
        <w:jc w:val="both"/>
        <w:rPr>
          <w:rFonts w:ascii="Arial" w:hAnsi="Arial" w:cs="Arial"/>
        </w:rPr>
      </w:pPr>
    </w:p>
    <w:p w:rsidR="001A5CB1" w:rsidRPr="001A5CB1" w:rsidRDefault="001A5CB1" w:rsidP="001A5CB1">
      <w:pPr>
        <w:spacing w:after="0"/>
        <w:jc w:val="both"/>
        <w:rPr>
          <w:rFonts w:ascii="Arial" w:hAnsi="Arial" w:cs="Arial"/>
        </w:rPr>
      </w:pPr>
      <w:r w:rsidRPr="001A5CB1">
        <w:rPr>
          <w:rFonts w:ascii="Arial" w:hAnsi="Arial" w:cs="Arial"/>
        </w:rPr>
        <w:t>Przedmiotowy projekt aktu prawnego wraz Uzasadnieniem, Oceną Skutków Regulacji oraz Załącznikiem do rozporządzenia dostępny jest na stronach Rządowego Centrum Legislacji pod adresem:</w:t>
      </w:r>
    </w:p>
    <w:p w:rsidR="00875AF3" w:rsidRDefault="001A5CB1" w:rsidP="001A5CB1">
      <w:pPr>
        <w:spacing w:after="0"/>
        <w:jc w:val="both"/>
        <w:rPr>
          <w:rFonts w:ascii="Arial" w:hAnsi="Arial" w:cs="Arial"/>
        </w:rPr>
      </w:pPr>
      <w:hyperlink r:id="rId12" w:history="1">
        <w:r w:rsidRPr="00332080">
          <w:rPr>
            <w:rStyle w:val="Hipercze"/>
            <w:rFonts w:ascii="Arial" w:hAnsi="Arial" w:cs="Arial"/>
          </w:rPr>
          <w:t>https://legislacja.rcl.gov.pl/projekt/12390656/katalog/13088730#</w:t>
        </w:r>
        <w:r w:rsidRPr="00332080">
          <w:rPr>
            <w:rStyle w:val="Hipercze"/>
            <w:rFonts w:ascii="Arial" w:hAnsi="Arial" w:cs="Arial"/>
          </w:rPr>
          <w:t>1</w:t>
        </w:r>
        <w:r w:rsidRPr="00332080">
          <w:rPr>
            <w:rStyle w:val="Hipercze"/>
            <w:rFonts w:ascii="Arial" w:hAnsi="Arial" w:cs="Arial"/>
          </w:rPr>
          <w:t>3088730</w:t>
        </w:r>
      </w:hyperlink>
      <w:r>
        <w:rPr>
          <w:rFonts w:ascii="Arial" w:hAnsi="Arial" w:cs="Arial"/>
        </w:rPr>
        <w:t xml:space="preserve">   </w:t>
      </w:r>
    </w:p>
    <w:p w:rsidR="007D16D1" w:rsidRPr="00875AF3" w:rsidRDefault="007D16D1" w:rsidP="00875AF3">
      <w:pPr>
        <w:spacing w:after="0"/>
        <w:jc w:val="both"/>
        <w:rPr>
          <w:rFonts w:ascii="Arial" w:hAnsi="Arial" w:cs="Arial"/>
        </w:rPr>
      </w:pPr>
    </w:p>
    <w:p w:rsidR="007D16D1" w:rsidRPr="00042C7F" w:rsidRDefault="001A5CB1" w:rsidP="00D73C62">
      <w:pPr>
        <w:spacing w:after="0"/>
        <w:jc w:val="both"/>
        <w:rPr>
          <w:rFonts w:ascii="Arial" w:hAnsi="Arial" w:cs="Arial"/>
        </w:rPr>
      </w:pPr>
      <w:r w:rsidRPr="001A5CB1">
        <w:rPr>
          <w:rFonts w:ascii="Arial" w:hAnsi="Arial" w:cs="Arial"/>
        </w:rPr>
        <w:t>Projekt jest obecnie jednocześnie na etapie uzgodnień, konsultacji publicznych i opiniowania.</w:t>
      </w:r>
    </w:p>
    <w:p w:rsidR="007D16D1" w:rsidRDefault="007D16D1" w:rsidP="00D73C62">
      <w:pPr>
        <w:spacing w:after="0"/>
        <w:jc w:val="both"/>
        <w:rPr>
          <w:rFonts w:ascii="Arial" w:hAnsi="Arial" w:cs="Arial"/>
        </w:rPr>
      </w:pPr>
    </w:p>
    <w:p w:rsidR="007D16D1" w:rsidRPr="00CB4A6E" w:rsidRDefault="007D16D1" w:rsidP="00D73C62">
      <w:pPr>
        <w:spacing w:after="0"/>
        <w:rPr>
          <w:rFonts w:ascii="Arial" w:hAnsi="Arial" w:cs="Arial"/>
        </w:rPr>
      </w:pPr>
    </w:p>
    <w:p w:rsidR="007D16D1" w:rsidRDefault="007D16D1" w:rsidP="00D73C62">
      <w:pPr>
        <w:spacing w:after="0"/>
        <w:jc w:val="both"/>
        <w:rPr>
          <w:rFonts w:ascii="Arial" w:hAnsi="Arial" w:cs="Arial"/>
          <w:b/>
        </w:rPr>
      </w:pPr>
      <w:r>
        <w:rPr>
          <w:rFonts w:ascii="Arial" w:hAnsi="Arial" w:cs="Arial"/>
          <w:b/>
        </w:rPr>
        <w:t>II. Ogłoszone akty prawne (Dziennik Ustaw RP)</w:t>
      </w:r>
    </w:p>
    <w:p w:rsidR="007D16D1" w:rsidRDefault="007D16D1" w:rsidP="00D73C62">
      <w:pPr>
        <w:spacing w:after="0"/>
        <w:jc w:val="both"/>
        <w:rPr>
          <w:rFonts w:ascii="Arial" w:hAnsi="Arial" w:cs="Arial"/>
        </w:rPr>
      </w:pPr>
    </w:p>
    <w:p w:rsidR="007D16D1" w:rsidRDefault="007D16D1" w:rsidP="00D73C62">
      <w:pPr>
        <w:spacing w:after="0"/>
        <w:jc w:val="both"/>
        <w:rPr>
          <w:rFonts w:ascii="Arial" w:hAnsi="Arial" w:cs="Arial"/>
        </w:rPr>
      </w:pPr>
      <w:r>
        <w:rPr>
          <w:rFonts w:ascii="Arial" w:hAnsi="Arial" w:cs="Arial"/>
        </w:rPr>
        <w:t xml:space="preserve">W analizowanym okresie opublikowano </w:t>
      </w:r>
      <w:r w:rsidR="001A5CB1">
        <w:rPr>
          <w:rFonts w:ascii="Arial" w:hAnsi="Arial" w:cs="Arial"/>
        </w:rPr>
        <w:t>44</w:t>
      </w:r>
      <w:r>
        <w:rPr>
          <w:rFonts w:ascii="Arial" w:hAnsi="Arial" w:cs="Arial"/>
        </w:rPr>
        <w:t xml:space="preserve"> akt</w:t>
      </w:r>
      <w:r w:rsidR="001A5CB1">
        <w:rPr>
          <w:rFonts w:ascii="Arial" w:hAnsi="Arial" w:cs="Arial"/>
        </w:rPr>
        <w:t>y</w:t>
      </w:r>
      <w:r>
        <w:rPr>
          <w:rFonts w:ascii="Arial" w:hAnsi="Arial" w:cs="Arial"/>
        </w:rPr>
        <w:t xml:space="preserve"> prawn</w:t>
      </w:r>
      <w:r w:rsidR="001A5CB1">
        <w:rPr>
          <w:rFonts w:ascii="Arial" w:hAnsi="Arial" w:cs="Arial"/>
        </w:rPr>
        <w:t>e</w:t>
      </w:r>
      <w:r>
        <w:rPr>
          <w:rFonts w:ascii="Arial" w:hAnsi="Arial" w:cs="Arial"/>
        </w:rPr>
        <w:t>,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rsidR="007D16D1" w:rsidRDefault="007D16D1" w:rsidP="00D73C62">
      <w:pPr>
        <w:spacing w:after="0"/>
        <w:jc w:val="both"/>
        <w:rPr>
          <w:rFonts w:ascii="Arial" w:hAnsi="Arial" w:cs="Arial"/>
        </w:rPr>
      </w:pPr>
    </w:p>
    <w:p w:rsidR="007D16D1" w:rsidRPr="008F59D4" w:rsidRDefault="008F59D4" w:rsidP="008F59D4">
      <w:pPr>
        <w:pStyle w:val="Akapitzlist"/>
        <w:spacing w:after="0"/>
        <w:ind w:left="426"/>
        <w:jc w:val="both"/>
        <w:rPr>
          <w:rFonts w:ascii="Arial" w:hAnsi="Arial" w:cs="Arial"/>
          <w:u w:val="single"/>
        </w:rPr>
      </w:pPr>
      <w:r>
        <w:rPr>
          <w:rFonts w:ascii="Arial" w:hAnsi="Arial" w:cs="Arial"/>
          <w:u w:val="single"/>
        </w:rPr>
        <w:t xml:space="preserve">Rozporządzenie Ministra Finansów z dnia 9 października 2024 roku </w:t>
      </w:r>
      <w:r w:rsidRPr="008F59D4">
        <w:rPr>
          <w:rFonts w:ascii="Arial" w:hAnsi="Arial" w:cs="Arial"/>
          <w:u w:val="single"/>
        </w:rPr>
        <w:t>w sprawie wzorów pełnomocnictwa szczególnego i pełnomocnictwa do doręczeń oraz wzorów zawiadomienia</w:t>
      </w:r>
      <w:r>
        <w:rPr>
          <w:rFonts w:ascii="Arial" w:hAnsi="Arial" w:cs="Arial"/>
          <w:u w:val="single"/>
        </w:rPr>
        <w:t xml:space="preserve"> </w:t>
      </w:r>
      <w:r w:rsidRPr="008F59D4">
        <w:rPr>
          <w:rFonts w:ascii="Arial" w:hAnsi="Arial" w:cs="Arial"/>
          <w:u w:val="single"/>
        </w:rPr>
        <w:t>o zmianie, odwołaniu lub wypowiedzeniu tych pełnomocnictw</w:t>
      </w:r>
    </w:p>
    <w:p w:rsidR="008F59D4" w:rsidRDefault="008F59D4" w:rsidP="008F59D4">
      <w:pPr>
        <w:spacing w:after="0"/>
        <w:jc w:val="both"/>
        <w:rPr>
          <w:rFonts w:ascii="Arial" w:eastAsia="Times New Roman" w:hAnsi="Arial" w:cs="Arial"/>
          <w:lang w:eastAsia="pl-PL"/>
        </w:rPr>
      </w:pPr>
    </w:p>
    <w:p w:rsidR="007D16D1" w:rsidRPr="008F59D4" w:rsidRDefault="007D16D1" w:rsidP="008F59D4">
      <w:pPr>
        <w:spacing w:after="0"/>
        <w:jc w:val="both"/>
        <w:rPr>
          <w:rFonts w:ascii="Arial" w:eastAsia="Times New Roman" w:hAnsi="Arial" w:cs="Arial"/>
          <w:lang w:eastAsia="pl-PL"/>
        </w:rPr>
      </w:pPr>
      <w:r w:rsidRPr="008F59D4">
        <w:rPr>
          <w:rFonts w:ascii="Arial" w:eastAsia="Times New Roman" w:hAnsi="Arial" w:cs="Arial"/>
          <w:lang w:eastAsia="pl-PL"/>
        </w:rPr>
        <w:t xml:space="preserve">Powyższy akt prawny opublikowany został </w:t>
      </w:r>
      <w:r w:rsidR="008F59D4">
        <w:rPr>
          <w:rFonts w:ascii="Arial" w:eastAsia="Times New Roman" w:hAnsi="Arial" w:cs="Arial"/>
          <w:lang w:eastAsia="pl-PL"/>
        </w:rPr>
        <w:t>18</w:t>
      </w:r>
      <w:r w:rsidRPr="008F59D4">
        <w:rPr>
          <w:rFonts w:ascii="Arial" w:eastAsia="Times New Roman" w:hAnsi="Arial" w:cs="Arial"/>
          <w:lang w:eastAsia="pl-PL"/>
        </w:rPr>
        <w:t xml:space="preserve"> </w:t>
      </w:r>
      <w:r w:rsidR="008F59D4">
        <w:rPr>
          <w:rFonts w:ascii="Arial" w:eastAsia="Times New Roman" w:hAnsi="Arial" w:cs="Arial"/>
          <w:lang w:eastAsia="pl-PL"/>
        </w:rPr>
        <w:t>października</w:t>
      </w:r>
      <w:r w:rsidRPr="008F59D4">
        <w:rPr>
          <w:rFonts w:ascii="Arial" w:eastAsia="Times New Roman" w:hAnsi="Arial" w:cs="Arial"/>
          <w:lang w:eastAsia="pl-PL"/>
        </w:rPr>
        <w:t xml:space="preserve"> 20</w:t>
      </w:r>
      <w:r w:rsidR="008F59D4">
        <w:rPr>
          <w:rFonts w:ascii="Arial" w:eastAsia="Times New Roman" w:hAnsi="Arial" w:cs="Arial"/>
          <w:lang w:eastAsia="pl-PL"/>
        </w:rPr>
        <w:t>24</w:t>
      </w:r>
      <w:r w:rsidRPr="008F59D4">
        <w:rPr>
          <w:rFonts w:ascii="Arial" w:eastAsia="Times New Roman" w:hAnsi="Arial" w:cs="Arial"/>
          <w:lang w:eastAsia="pl-PL"/>
        </w:rPr>
        <w:t xml:space="preserve"> roku w Dzienniku Ustaw (Dz.U. z 202</w:t>
      </w:r>
      <w:r w:rsidR="008F59D4">
        <w:rPr>
          <w:rFonts w:ascii="Arial" w:eastAsia="Times New Roman" w:hAnsi="Arial" w:cs="Arial"/>
          <w:lang w:eastAsia="pl-PL"/>
        </w:rPr>
        <w:t>4</w:t>
      </w:r>
      <w:r w:rsidRPr="008F59D4">
        <w:rPr>
          <w:rFonts w:ascii="Arial" w:eastAsia="Times New Roman" w:hAnsi="Arial" w:cs="Arial"/>
          <w:lang w:eastAsia="pl-PL"/>
        </w:rPr>
        <w:t xml:space="preserve">, poz. </w:t>
      </w:r>
      <w:r w:rsidR="008F59D4">
        <w:rPr>
          <w:rFonts w:ascii="Arial" w:eastAsia="Times New Roman" w:hAnsi="Arial" w:cs="Arial"/>
          <w:lang w:eastAsia="pl-PL"/>
        </w:rPr>
        <w:t>1549</w:t>
      </w:r>
      <w:r w:rsidRPr="008F59D4">
        <w:rPr>
          <w:rFonts w:ascii="Arial" w:eastAsia="Times New Roman" w:hAnsi="Arial" w:cs="Arial"/>
          <w:lang w:eastAsia="pl-PL"/>
        </w:rPr>
        <w:t>).</w:t>
      </w:r>
    </w:p>
    <w:p w:rsidR="008F59D4" w:rsidRDefault="008F59D4" w:rsidP="008F59D4">
      <w:pPr>
        <w:spacing w:after="0"/>
        <w:jc w:val="both"/>
        <w:rPr>
          <w:rFonts w:ascii="Arial" w:eastAsia="Times New Roman" w:hAnsi="Arial" w:cs="Arial"/>
          <w:lang w:eastAsia="pl-PL"/>
        </w:rPr>
      </w:pPr>
    </w:p>
    <w:p w:rsidR="008F59D4" w:rsidRPr="008F59D4" w:rsidRDefault="008F59D4" w:rsidP="008F59D4">
      <w:pPr>
        <w:spacing w:after="0"/>
        <w:jc w:val="both"/>
        <w:rPr>
          <w:rFonts w:ascii="Arial" w:eastAsia="Times New Roman" w:hAnsi="Arial" w:cs="Arial"/>
          <w:lang w:eastAsia="pl-PL"/>
        </w:rPr>
      </w:pPr>
      <w:r>
        <w:rPr>
          <w:rFonts w:ascii="Arial" w:eastAsia="Times New Roman" w:hAnsi="Arial" w:cs="Arial"/>
          <w:lang w:eastAsia="pl-PL"/>
        </w:rPr>
        <w:t>Rozporządzenie o</w:t>
      </w:r>
      <w:r w:rsidRPr="008F59D4">
        <w:rPr>
          <w:rFonts w:ascii="Arial" w:eastAsia="Times New Roman" w:hAnsi="Arial" w:cs="Arial"/>
          <w:lang w:eastAsia="pl-PL"/>
        </w:rPr>
        <w:t>kreśla się wzory:</w:t>
      </w:r>
    </w:p>
    <w:p w:rsidR="008F59D4" w:rsidRPr="008F59D4" w:rsidRDefault="008F59D4" w:rsidP="008F59D4">
      <w:pPr>
        <w:spacing w:after="0"/>
        <w:jc w:val="both"/>
        <w:rPr>
          <w:rFonts w:ascii="Arial" w:eastAsia="Times New Roman" w:hAnsi="Arial" w:cs="Arial"/>
          <w:lang w:eastAsia="pl-PL"/>
        </w:rPr>
      </w:pPr>
      <w:r w:rsidRPr="008F59D4">
        <w:rPr>
          <w:rFonts w:ascii="Arial" w:eastAsia="Times New Roman" w:hAnsi="Arial" w:cs="Arial"/>
          <w:lang w:eastAsia="pl-PL"/>
        </w:rPr>
        <w:t>1) pełnomocnictwa szczególnego, stanowiący załącznik nr 1 do rozporządzenia;</w:t>
      </w:r>
    </w:p>
    <w:p w:rsidR="008F59D4" w:rsidRPr="008F59D4" w:rsidRDefault="008F59D4" w:rsidP="008F59D4">
      <w:pPr>
        <w:spacing w:after="0"/>
        <w:jc w:val="both"/>
        <w:rPr>
          <w:rFonts w:ascii="Arial" w:eastAsia="Times New Roman" w:hAnsi="Arial" w:cs="Arial"/>
          <w:lang w:eastAsia="pl-PL"/>
        </w:rPr>
      </w:pPr>
      <w:r w:rsidRPr="008F59D4">
        <w:rPr>
          <w:rFonts w:ascii="Arial" w:eastAsia="Times New Roman" w:hAnsi="Arial" w:cs="Arial"/>
          <w:lang w:eastAsia="pl-PL"/>
        </w:rPr>
        <w:t>2) pełnomocnictwa do doręczeń, stanowiący załącznik nr 2 do rozporządzenia;</w:t>
      </w:r>
    </w:p>
    <w:p w:rsidR="008F59D4" w:rsidRPr="008F59D4" w:rsidRDefault="008F59D4" w:rsidP="008F59D4">
      <w:pPr>
        <w:spacing w:after="0"/>
        <w:jc w:val="both"/>
        <w:rPr>
          <w:rFonts w:ascii="Arial" w:eastAsia="Times New Roman" w:hAnsi="Arial" w:cs="Arial"/>
          <w:lang w:eastAsia="pl-PL"/>
        </w:rPr>
      </w:pPr>
      <w:r w:rsidRPr="008F59D4">
        <w:rPr>
          <w:rFonts w:ascii="Arial" w:eastAsia="Times New Roman" w:hAnsi="Arial" w:cs="Arial"/>
          <w:lang w:eastAsia="pl-PL"/>
        </w:rPr>
        <w:t>3) zawiadomienia o zmianie, odwołaniu lub wypowiedzeniu pełnomocnictwa szczegól</w:t>
      </w:r>
      <w:r>
        <w:rPr>
          <w:rFonts w:ascii="Arial" w:eastAsia="Times New Roman" w:hAnsi="Arial" w:cs="Arial"/>
          <w:lang w:eastAsia="pl-PL"/>
        </w:rPr>
        <w:t xml:space="preserve">nego, stanowiący załącznik nr 3 </w:t>
      </w:r>
      <w:r w:rsidRPr="008F59D4">
        <w:rPr>
          <w:rFonts w:ascii="Arial" w:eastAsia="Times New Roman" w:hAnsi="Arial" w:cs="Arial"/>
          <w:lang w:eastAsia="pl-PL"/>
        </w:rPr>
        <w:t>do rozporządzenia;</w:t>
      </w:r>
    </w:p>
    <w:p w:rsidR="008F59D4" w:rsidRDefault="008F59D4" w:rsidP="008F59D4">
      <w:pPr>
        <w:spacing w:after="0"/>
        <w:jc w:val="both"/>
        <w:rPr>
          <w:rFonts w:ascii="Arial" w:eastAsia="Times New Roman" w:hAnsi="Arial" w:cs="Arial"/>
          <w:lang w:eastAsia="pl-PL"/>
        </w:rPr>
      </w:pPr>
      <w:r w:rsidRPr="008F59D4">
        <w:rPr>
          <w:rFonts w:ascii="Arial" w:eastAsia="Times New Roman" w:hAnsi="Arial" w:cs="Arial"/>
          <w:lang w:eastAsia="pl-PL"/>
        </w:rPr>
        <w:lastRenderedPageBreak/>
        <w:t>4) zawiadomienia o zmianie, odwołaniu lub wypowiedzeniu pełnomocnictwa do dorę</w:t>
      </w:r>
      <w:r>
        <w:rPr>
          <w:rFonts w:ascii="Arial" w:eastAsia="Times New Roman" w:hAnsi="Arial" w:cs="Arial"/>
          <w:lang w:eastAsia="pl-PL"/>
        </w:rPr>
        <w:t xml:space="preserve">czeń, stanowiący załącznik nr 4 </w:t>
      </w:r>
      <w:r w:rsidRPr="008F59D4">
        <w:rPr>
          <w:rFonts w:ascii="Arial" w:eastAsia="Times New Roman" w:hAnsi="Arial" w:cs="Arial"/>
          <w:lang w:eastAsia="pl-PL"/>
        </w:rPr>
        <w:t>do rozporządzenia</w:t>
      </w:r>
      <w:r>
        <w:rPr>
          <w:rFonts w:ascii="Arial" w:eastAsia="Times New Roman" w:hAnsi="Arial" w:cs="Arial"/>
          <w:lang w:eastAsia="pl-PL"/>
        </w:rPr>
        <w:t>.</w:t>
      </w:r>
    </w:p>
    <w:p w:rsidR="008F59D4" w:rsidRDefault="008F59D4" w:rsidP="008F59D4">
      <w:pPr>
        <w:spacing w:after="0"/>
        <w:jc w:val="both"/>
        <w:rPr>
          <w:rFonts w:ascii="Arial" w:eastAsia="Times New Roman" w:hAnsi="Arial" w:cs="Arial"/>
          <w:lang w:eastAsia="pl-PL"/>
        </w:rPr>
      </w:pPr>
    </w:p>
    <w:p w:rsidR="007D16D1" w:rsidRPr="008F59D4" w:rsidRDefault="007D16D1" w:rsidP="008F59D4">
      <w:pPr>
        <w:spacing w:after="0"/>
        <w:jc w:val="both"/>
        <w:rPr>
          <w:rFonts w:ascii="Arial" w:eastAsia="Times New Roman" w:hAnsi="Arial" w:cs="Arial"/>
          <w:lang w:eastAsia="pl-PL"/>
        </w:rPr>
      </w:pPr>
      <w:r w:rsidRPr="008F59D4">
        <w:rPr>
          <w:rStyle w:val="markedcontent"/>
          <w:rFonts w:ascii="Arial" w:hAnsi="Arial" w:cs="Arial"/>
        </w:rPr>
        <w:t xml:space="preserve">Rozporządzenie wchodzi w życie </w:t>
      </w:r>
      <w:r w:rsidR="008F59D4">
        <w:rPr>
          <w:rStyle w:val="markedcontent"/>
          <w:rFonts w:ascii="Arial" w:hAnsi="Arial" w:cs="Arial"/>
        </w:rPr>
        <w:t>z dniem 1 stycznia</w:t>
      </w:r>
      <w:r w:rsidRPr="008F59D4">
        <w:rPr>
          <w:rStyle w:val="markedcontent"/>
          <w:rFonts w:ascii="Arial" w:hAnsi="Arial" w:cs="Arial"/>
        </w:rPr>
        <w:t xml:space="preserve"> 202</w:t>
      </w:r>
      <w:r w:rsidR="008F59D4">
        <w:rPr>
          <w:rStyle w:val="markedcontent"/>
          <w:rFonts w:ascii="Arial" w:hAnsi="Arial" w:cs="Arial"/>
        </w:rPr>
        <w:t>5</w:t>
      </w:r>
      <w:r w:rsidRPr="008F59D4">
        <w:rPr>
          <w:rStyle w:val="markedcontent"/>
          <w:rFonts w:ascii="Arial" w:hAnsi="Arial" w:cs="Arial"/>
        </w:rPr>
        <w:t xml:space="preserve"> roku.</w:t>
      </w:r>
    </w:p>
    <w:p w:rsidR="007D16D1" w:rsidRDefault="007D16D1" w:rsidP="00D73C62">
      <w:pPr>
        <w:spacing w:after="0"/>
        <w:jc w:val="both"/>
        <w:rPr>
          <w:rFonts w:ascii="Arial" w:hAnsi="Arial" w:cs="Arial"/>
        </w:rPr>
      </w:pPr>
      <w:bookmarkStart w:id="0" w:name="_GoBack"/>
      <w:bookmarkEnd w:id="0"/>
    </w:p>
    <w:sectPr w:rsidR="007D16D1"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D1"/>
    <w:rsid w:val="000D41E8"/>
    <w:rsid w:val="001A5CB1"/>
    <w:rsid w:val="003B6B9A"/>
    <w:rsid w:val="007D16D1"/>
    <w:rsid w:val="00841F56"/>
    <w:rsid w:val="00875AF3"/>
    <w:rsid w:val="008F59D4"/>
    <w:rsid w:val="00D73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6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16D1"/>
    <w:pPr>
      <w:ind w:left="720"/>
      <w:contextualSpacing/>
    </w:pPr>
  </w:style>
  <w:style w:type="character" w:customStyle="1" w:styleId="markedcontent">
    <w:name w:val="markedcontent"/>
    <w:basedOn w:val="Domylnaczcionkaakapitu"/>
    <w:rsid w:val="007D16D1"/>
  </w:style>
  <w:style w:type="paragraph" w:styleId="Tekstdymka">
    <w:name w:val="Balloon Text"/>
    <w:basedOn w:val="Normalny"/>
    <w:link w:val="TekstdymkaZnak"/>
    <w:uiPriority w:val="99"/>
    <w:semiHidden/>
    <w:unhideWhenUsed/>
    <w:rsid w:val="007D16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16D1"/>
    <w:rPr>
      <w:rFonts w:ascii="Tahoma" w:hAnsi="Tahoma" w:cs="Tahoma"/>
      <w:sz w:val="16"/>
      <w:szCs w:val="16"/>
    </w:rPr>
  </w:style>
  <w:style w:type="character" w:styleId="Hipercze">
    <w:name w:val="Hyperlink"/>
    <w:basedOn w:val="Domylnaczcionkaakapitu"/>
    <w:uiPriority w:val="99"/>
    <w:unhideWhenUsed/>
    <w:rsid w:val="00D73C62"/>
    <w:rPr>
      <w:color w:val="0000FF" w:themeColor="hyperlink"/>
      <w:u w:val="single"/>
    </w:rPr>
  </w:style>
  <w:style w:type="character" w:styleId="UyteHipercze">
    <w:name w:val="FollowedHyperlink"/>
    <w:basedOn w:val="Domylnaczcionkaakapitu"/>
    <w:uiPriority w:val="99"/>
    <w:semiHidden/>
    <w:unhideWhenUsed/>
    <w:rsid w:val="00D73C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6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16D1"/>
    <w:pPr>
      <w:ind w:left="720"/>
      <w:contextualSpacing/>
    </w:pPr>
  </w:style>
  <w:style w:type="character" w:customStyle="1" w:styleId="markedcontent">
    <w:name w:val="markedcontent"/>
    <w:basedOn w:val="Domylnaczcionkaakapitu"/>
    <w:rsid w:val="007D16D1"/>
  </w:style>
  <w:style w:type="paragraph" w:styleId="Tekstdymka">
    <w:name w:val="Balloon Text"/>
    <w:basedOn w:val="Normalny"/>
    <w:link w:val="TekstdymkaZnak"/>
    <w:uiPriority w:val="99"/>
    <w:semiHidden/>
    <w:unhideWhenUsed/>
    <w:rsid w:val="007D16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16D1"/>
    <w:rPr>
      <w:rFonts w:ascii="Tahoma" w:hAnsi="Tahoma" w:cs="Tahoma"/>
      <w:sz w:val="16"/>
      <w:szCs w:val="16"/>
    </w:rPr>
  </w:style>
  <w:style w:type="character" w:styleId="Hipercze">
    <w:name w:val="Hyperlink"/>
    <w:basedOn w:val="Domylnaczcionkaakapitu"/>
    <w:uiPriority w:val="99"/>
    <w:unhideWhenUsed/>
    <w:rsid w:val="00D73C62"/>
    <w:rPr>
      <w:color w:val="0000FF" w:themeColor="hyperlink"/>
      <w:u w:val="single"/>
    </w:rPr>
  </w:style>
  <w:style w:type="character" w:styleId="UyteHipercze">
    <w:name w:val="FollowedHyperlink"/>
    <w:basedOn w:val="Domylnaczcionkaakapitu"/>
    <w:uiPriority w:val="99"/>
    <w:semiHidden/>
    <w:unhideWhenUsed/>
    <w:rsid w:val="00D73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0551/katalog/13087907#1308790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islacja.rcl.gov.pl/projekt/12390452/katalog/13087365#13087365" TargetMode="External"/><Relationship Id="rId12" Type="http://schemas.openxmlformats.org/officeDocument/2006/relationships/hyperlink" Target="https://legislacja.rcl.gov.pl/projekt/12390656/katalog/13088730#130887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islacja.rcl.gov.pl/projekt/12390555/katalog/13088119#13088119" TargetMode="External"/><Relationship Id="rId5" Type="http://schemas.openxmlformats.org/officeDocument/2006/relationships/webSettings" Target="webSettings.xml"/><Relationship Id="rId10" Type="http://schemas.openxmlformats.org/officeDocument/2006/relationships/hyperlink" Target="https://legislacja.rcl.gov.pl/projekt/12390550/katalog/13087864#13087864" TargetMode="External"/><Relationship Id="rId4" Type="http://schemas.openxmlformats.org/officeDocument/2006/relationships/settings" Target="settings.xml"/><Relationship Id="rId9" Type="http://schemas.openxmlformats.org/officeDocument/2006/relationships/hyperlink" Target="https://legislacja.rcl.gov.pl/projekt/12390655/katalog/13088704#13088704"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35</Pages>
  <Words>16918</Words>
  <Characters>101509</Characters>
  <Application>Microsoft Office Word</Application>
  <DocSecurity>0</DocSecurity>
  <Lines>845</Lines>
  <Paragraphs>236</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118191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2024-10-23T11:15:00Z</dcterms:created>
  <dcterms:modified xsi:type="dcterms:W3CDTF">2024-10-23T12:57:00Z</dcterms:modified>
</cp:coreProperties>
</file>