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A5C09" w14:textId="2A321AB3" w:rsidR="00AE5859" w:rsidRPr="00C6413F" w:rsidRDefault="00132F76" w:rsidP="00132F76">
      <w:pPr>
        <w:pStyle w:val="Tytu"/>
      </w:pPr>
      <w:r w:rsidRPr="0029414C">
        <w:t xml:space="preserve">Standard dostępności dla projektów B+R+I w FENG </w:t>
      </w:r>
    </w:p>
    <w:bookmarkStart w:id="0" w:name="_Toc176864248"/>
    <w:p w14:paraId="0A8BA076" w14:textId="30F6795C" w:rsidR="00C5519D" w:rsidRDefault="00E60BB5">
      <w:pPr>
        <w:pStyle w:val="Spistreci1"/>
        <w:rPr>
          <w:rFonts w:asciiTheme="minorHAnsi" w:eastAsiaTheme="minorEastAsia" w:hAnsiTheme="minorHAnsi" w:cstheme="minorBidi"/>
          <w:b w:val="0"/>
          <w:bCs w:val="0"/>
          <w:color w:val="auto"/>
          <w:lang w:eastAsia="pl-PL"/>
        </w:rPr>
      </w:pPr>
      <w:r>
        <w:rPr>
          <w:highlight w:val="darkGray"/>
        </w:rPr>
        <w:fldChar w:fldCharType="begin"/>
      </w:r>
      <w:r>
        <w:rPr>
          <w:highlight w:val="darkGray"/>
        </w:rPr>
        <w:instrText xml:space="preserve"> TOC \o "1-5" \h \z \u </w:instrText>
      </w:r>
      <w:r>
        <w:rPr>
          <w:highlight w:val="darkGray"/>
        </w:rPr>
        <w:fldChar w:fldCharType="separate"/>
      </w:r>
      <w:hyperlink w:anchor="_Toc182319507" w:history="1">
        <w:r w:rsidR="00C5519D" w:rsidRPr="007D476E">
          <w:rPr>
            <w:rStyle w:val="Hipercze"/>
          </w:rPr>
          <w:t>I.</w:t>
        </w:r>
        <w:r w:rsidR="00C5519D">
          <w:rPr>
            <w:rFonts w:asciiTheme="minorHAnsi" w:eastAsiaTheme="minorEastAsia" w:hAnsiTheme="minorHAnsi" w:cstheme="minorBidi"/>
            <w:b w:val="0"/>
            <w:bCs w:val="0"/>
            <w:color w:val="auto"/>
            <w:lang w:eastAsia="pl-PL"/>
          </w:rPr>
          <w:tab/>
        </w:r>
        <w:r w:rsidR="00C5519D" w:rsidRPr="007D476E">
          <w:rPr>
            <w:rStyle w:val="Hipercze"/>
          </w:rPr>
          <w:t xml:space="preserve">Standard dostępności dla projektów B+R+I realizowanych w ramach </w:t>
        </w:r>
        <w:r w:rsidR="00F336AB">
          <w:rPr>
            <w:rStyle w:val="Hipercze"/>
          </w:rPr>
          <w:t>P</w:t>
        </w:r>
        <w:r w:rsidR="00C5519D" w:rsidRPr="007D476E">
          <w:rPr>
            <w:rStyle w:val="Hipercze"/>
          </w:rPr>
          <w:t>rogramu FENG</w:t>
        </w:r>
        <w:r w:rsidR="00C5519D">
          <w:rPr>
            <w:webHidden/>
          </w:rPr>
          <w:tab/>
        </w:r>
        <w:r w:rsidR="00C5519D">
          <w:rPr>
            <w:webHidden/>
          </w:rPr>
          <w:fldChar w:fldCharType="begin"/>
        </w:r>
        <w:r w:rsidR="00C5519D">
          <w:rPr>
            <w:webHidden/>
          </w:rPr>
          <w:instrText xml:space="preserve"> PAGEREF _Toc182319507 \h </w:instrText>
        </w:r>
        <w:r w:rsidR="00C5519D">
          <w:rPr>
            <w:webHidden/>
          </w:rPr>
        </w:r>
        <w:r w:rsidR="00C5519D">
          <w:rPr>
            <w:webHidden/>
          </w:rPr>
          <w:fldChar w:fldCharType="separate"/>
        </w:r>
        <w:r w:rsidR="00C5519D">
          <w:rPr>
            <w:webHidden/>
          </w:rPr>
          <w:t>4</w:t>
        </w:r>
        <w:r w:rsidR="00C5519D">
          <w:rPr>
            <w:webHidden/>
          </w:rPr>
          <w:fldChar w:fldCharType="end"/>
        </w:r>
      </w:hyperlink>
    </w:p>
    <w:p w14:paraId="29978AE3" w14:textId="00046E70" w:rsidR="00C5519D" w:rsidRDefault="00000000">
      <w:pPr>
        <w:pStyle w:val="Spistreci2"/>
        <w:rPr>
          <w:rFonts w:asciiTheme="minorHAnsi" w:eastAsiaTheme="minorEastAsia" w:hAnsiTheme="minorHAnsi" w:cstheme="minorBidi"/>
          <w:noProof/>
          <w:color w:val="auto"/>
          <w:lang w:eastAsia="pl-PL"/>
        </w:rPr>
      </w:pPr>
      <w:hyperlink w:anchor="_Toc182319508" w:history="1">
        <w:r w:rsidR="00C5519D" w:rsidRPr="007D476E">
          <w:rPr>
            <w:rStyle w:val="Hipercze"/>
            <w:noProof/>
          </w:rPr>
          <w:t>Informacje ogólne</w:t>
        </w:r>
        <w:r w:rsidR="00C5519D">
          <w:rPr>
            <w:noProof/>
            <w:webHidden/>
          </w:rPr>
          <w:tab/>
        </w:r>
        <w:r w:rsidR="00C5519D">
          <w:rPr>
            <w:noProof/>
            <w:webHidden/>
          </w:rPr>
          <w:fldChar w:fldCharType="begin"/>
        </w:r>
        <w:r w:rsidR="00C5519D">
          <w:rPr>
            <w:noProof/>
            <w:webHidden/>
          </w:rPr>
          <w:instrText xml:space="preserve"> PAGEREF _Toc182319508 \h </w:instrText>
        </w:r>
        <w:r w:rsidR="00C5519D">
          <w:rPr>
            <w:noProof/>
            <w:webHidden/>
          </w:rPr>
        </w:r>
        <w:r w:rsidR="00C5519D">
          <w:rPr>
            <w:noProof/>
            <w:webHidden/>
          </w:rPr>
          <w:fldChar w:fldCharType="separate"/>
        </w:r>
        <w:r w:rsidR="00C5519D">
          <w:rPr>
            <w:noProof/>
            <w:webHidden/>
          </w:rPr>
          <w:t>4</w:t>
        </w:r>
        <w:r w:rsidR="00C5519D">
          <w:rPr>
            <w:noProof/>
            <w:webHidden/>
          </w:rPr>
          <w:fldChar w:fldCharType="end"/>
        </w:r>
      </w:hyperlink>
    </w:p>
    <w:p w14:paraId="4FB7CB8C" w14:textId="169C81DA" w:rsidR="00C5519D" w:rsidRDefault="00000000" w:rsidP="00C5519D">
      <w:pPr>
        <w:pStyle w:val="Spistreci2"/>
        <w:rPr>
          <w:rFonts w:asciiTheme="minorHAnsi" w:eastAsiaTheme="minorEastAsia" w:hAnsiTheme="minorHAnsi" w:cstheme="minorBidi"/>
          <w:noProof/>
          <w:color w:val="auto"/>
          <w:lang w:eastAsia="pl-PL"/>
        </w:rPr>
      </w:pPr>
      <w:hyperlink w:anchor="_Toc182319509" w:history="1">
        <w:r w:rsidR="00C5519D" w:rsidRPr="007D476E">
          <w:rPr>
            <w:rStyle w:val="Hipercze"/>
            <w:noProof/>
          </w:rPr>
          <w:t xml:space="preserve">Zapewnienie dostępności na każdym etapie projektów realizowanych z </w:t>
        </w:r>
        <w:r w:rsidR="00F336AB">
          <w:rPr>
            <w:rStyle w:val="Hipercze"/>
            <w:noProof/>
          </w:rPr>
          <w:t>P</w:t>
        </w:r>
        <w:r w:rsidR="00C5519D" w:rsidRPr="007D476E">
          <w:rPr>
            <w:rStyle w:val="Hipercze"/>
            <w:noProof/>
          </w:rPr>
          <w:t>rogramu FENG</w:t>
        </w:r>
        <w:r w:rsidR="00C5519D">
          <w:rPr>
            <w:noProof/>
            <w:webHidden/>
          </w:rPr>
          <w:tab/>
        </w:r>
        <w:r w:rsidR="00C5519D">
          <w:rPr>
            <w:noProof/>
            <w:webHidden/>
          </w:rPr>
          <w:fldChar w:fldCharType="begin"/>
        </w:r>
        <w:r w:rsidR="00C5519D">
          <w:rPr>
            <w:noProof/>
            <w:webHidden/>
          </w:rPr>
          <w:instrText xml:space="preserve"> PAGEREF _Toc182319509 \h </w:instrText>
        </w:r>
        <w:r w:rsidR="00C5519D">
          <w:rPr>
            <w:noProof/>
            <w:webHidden/>
          </w:rPr>
        </w:r>
        <w:r w:rsidR="00C5519D">
          <w:rPr>
            <w:noProof/>
            <w:webHidden/>
          </w:rPr>
          <w:fldChar w:fldCharType="separate"/>
        </w:r>
        <w:r w:rsidR="00C5519D">
          <w:rPr>
            <w:noProof/>
            <w:webHidden/>
          </w:rPr>
          <w:t>5</w:t>
        </w:r>
        <w:r w:rsidR="00C5519D">
          <w:rPr>
            <w:noProof/>
            <w:webHidden/>
          </w:rPr>
          <w:fldChar w:fldCharType="end"/>
        </w:r>
      </w:hyperlink>
    </w:p>
    <w:p w14:paraId="5908A83A" w14:textId="259FB7EB" w:rsidR="00C5519D" w:rsidRDefault="00000000">
      <w:pPr>
        <w:pStyle w:val="Spistreci1"/>
        <w:rPr>
          <w:rFonts w:asciiTheme="minorHAnsi" w:eastAsiaTheme="minorEastAsia" w:hAnsiTheme="minorHAnsi" w:cstheme="minorBidi"/>
          <w:b w:val="0"/>
          <w:bCs w:val="0"/>
          <w:color w:val="auto"/>
          <w:lang w:eastAsia="pl-PL"/>
        </w:rPr>
      </w:pPr>
      <w:hyperlink w:anchor="_Toc182319514" w:history="1">
        <w:r w:rsidR="00C5519D" w:rsidRPr="007D476E">
          <w:rPr>
            <w:rStyle w:val="Hipercze"/>
          </w:rPr>
          <w:t>II.</w:t>
        </w:r>
        <w:r w:rsidR="00C5519D">
          <w:rPr>
            <w:rFonts w:asciiTheme="minorHAnsi" w:eastAsiaTheme="minorEastAsia" w:hAnsiTheme="minorHAnsi" w:cstheme="minorBidi"/>
            <w:b w:val="0"/>
            <w:bCs w:val="0"/>
            <w:color w:val="auto"/>
            <w:lang w:eastAsia="pl-PL"/>
          </w:rPr>
          <w:tab/>
        </w:r>
        <w:r w:rsidR="00C5519D" w:rsidRPr="007D476E">
          <w:rPr>
            <w:rStyle w:val="Hipercze"/>
          </w:rPr>
          <w:t>Standard edukacyjny i szkoleniowy</w:t>
        </w:r>
        <w:r w:rsidR="00C5519D">
          <w:rPr>
            <w:webHidden/>
          </w:rPr>
          <w:tab/>
        </w:r>
        <w:r w:rsidR="00C5519D">
          <w:rPr>
            <w:webHidden/>
          </w:rPr>
          <w:fldChar w:fldCharType="begin"/>
        </w:r>
        <w:r w:rsidR="00C5519D">
          <w:rPr>
            <w:webHidden/>
          </w:rPr>
          <w:instrText xml:space="preserve"> PAGEREF _Toc182319514 \h </w:instrText>
        </w:r>
        <w:r w:rsidR="00C5519D">
          <w:rPr>
            <w:webHidden/>
          </w:rPr>
        </w:r>
        <w:r w:rsidR="00C5519D">
          <w:rPr>
            <w:webHidden/>
          </w:rPr>
          <w:fldChar w:fldCharType="separate"/>
        </w:r>
        <w:r w:rsidR="00C5519D">
          <w:rPr>
            <w:webHidden/>
          </w:rPr>
          <w:t>8</w:t>
        </w:r>
        <w:r w:rsidR="00C5519D">
          <w:rPr>
            <w:webHidden/>
          </w:rPr>
          <w:fldChar w:fldCharType="end"/>
        </w:r>
      </w:hyperlink>
    </w:p>
    <w:p w14:paraId="3C2AA844" w14:textId="6F16DC1A" w:rsidR="00C5519D" w:rsidRDefault="00000000">
      <w:pPr>
        <w:pStyle w:val="Spistreci1"/>
        <w:rPr>
          <w:rFonts w:asciiTheme="minorHAnsi" w:eastAsiaTheme="minorEastAsia" w:hAnsiTheme="minorHAnsi" w:cstheme="minorBidi"/>
          <w:b w:val="0"/>
          <w:bCs w:val="0"/>
          <w:color w:val="auto"/>
          <w:lang w:eastAsia="pl-PL"/>
        </w:rPr>
      </w:pPr>
      <w:hyperlink w:anchor="_Toc182319515" w:history="1">
        <w:r w:rsidR="00C5519D" w:rsidRPr="007D476E">
          <w:rPr>
            <w:rStyle w:val="Hipercze"/>
          </w:rPr>
          <w:t>III.</w:t>
        </w:r>
        <w:r w:rsidR="00C5519D">
          <w:rPr>
            <w:rFonts w:asciiTheme="minorHAnsi" w:eastAsiaTheme="minorEastAsia" w:hAnsiTheme="minorHAnsi" w:cstheme="minorBidi"/>
            <w:b w:val="0"/>
            <w:bCs w:val="0"/>
            <w:color w:val="auto"/>
            <w:lang w:eastAsia="pl-PL"/>
          </w:rPr>
          <w:tab/>
        </w:r>
        <w:r w:rsidR="00C5519D" w:rsidRPr="007D476E">
          <w:rPr>
            <w:rStyle w:val="Hipercze"/>
          </w:rPr>
          <w:t>Standard informacyjno-promocyjny (w tym organizacji wydarzeń)</w:t>
        </w:r>
        <w:r w:rsidR="00C5519D">
          <w:rPr>
            <w:webHidden/>
          </w:rPr>
          <w:tab/>
        </w:r>
        <w:r w:rsidR="00C5519D">
          <w:rPr>
            <w:webHidden/>
          </w:rPr>
          <w:fldChar w:fldCharType="begin"/>
        </w:r>
        <w:r w:rsidR="00C5519D">
          <w:rPr>
            <w:webHidden/>
          </w:rPr>
          <w:instrText xml:space="preserve"> PAGEREF _Toc182319515 \h </w:instrText>
        </w:r>
        <w:r w:rsidR="00C5519D">
          <w:rPr>
            <w:webHidden/>
          </w:rPr>
        </w:r>
        <w:r w:rsidR="00C5519D">
          <w:rPr>
            <w:webHidden/>
          </w:rPr>
          <w:fldChar w:fldCharType="separate"/>
        </w:r>
        <w:r w:rsidR="00C5519D">
          <w:rPr>
            <w:webHidden/>
          </w:rPr>
          <w:t>9</w:t>
        </w:r>
        <w:r w:rsidR="00C5519D">
          <w:rPr>
            <w:webHidden/>
          </w:rPr>
          <w:fldChar w:fldCharType="end"/>
        </w:r>
      </w:hyperlink>
    </w:p>
    <w:p w14:paraId="4B860175" w14:textId="01DC7720" w:rsidR="00C5519D" w:rsidRDefault="00000000">
      <w:pPr>
        <w:pStyle w:val="Spistreci1"/>
        <w:rPr>
          <w:rFonts w:asciiTheme="minorHAnsi" w:eastAsiaTheme="minorEastAsia" w:hAnsiTheme="minorHAnsi" w:cstheme="minorBidi"/>
          <w:b w:val="0"/>
          <w:bCs w:val="0"/>
          <w:color w:val="auto"/>
          <w:lang w:eastAsia="pl-PL"/>
        </w:rPr>
      </w:pPr>
      <w:hyperlink w:anchor="_Toc182319516" w:history="1">
        <w:r w:rsidR="00C5519D" w:rsidRPr="007D476E">
          <w:rPr>
            <w:rStyle w:val="Hipercze"/>
          </w:rPr>
          <w:t>IV.</w:t>
        </w:r>
        <w:r w:rsidR="00C5519D">
          <w:rPr>
            <w:rFonts w:asciiTheme="minorHAnsi" w:eastAsiaTheme="minorEastAsia" w:hAnsiTheme="minorHAnsi" w:cstheme="minorBidi"/>
            <w:b w:val="0"/>
            <w:bCs w:val="0"/>
            <w:color w:val="auto"/>
            <w:lang w:eastAsia="pl-PL"/>
          </w:rPr>
          <w:tab/>
        </w:r>
        <w:r w:rsidR="00C5519D" w:rsidRPr="007D476E">
          <w:rPr>
            <w:rStyle w:val="Hipercze"/>
          </w:rPr>
          <w:t>Standard transportowy</w:t>
        </w:r>
        <w:r w:rsidR="00C5519D">
          <w:rPr>
            <w:webHidden/>
          </w:rPr>
          <w:tab/>
        </w:r>
        <w:r w:rsidR="00C5519D">
          <w:rPr>
            <w:webHidden/>
          </w:rPr>
          <w:fldChar w:fldCharType="begin"/>
        </w:r>
        <w:r w:rsidR="00C5519D">
          <w:rPr>
            <w:webHidden/>
          </w:rPr>
          <w:instrText xml:space="preserve"> PAGEREF _Toc182319516 \h </w:instrText>
        </w:r>
        <w:r w:rsidR="00C5519D">
          <w:rPr>
            <w:webHidden/>
          </w:rPr>
        </w:r>
        <w:r w:rsidR="00C5519D">
          <w:rPr>
            <w:webHidden/>
          </w:rPr>
          <w:fldChar w:fldCharType="separate"/>
        </w:r>
        <w:r w:rsidR="00C5519D">
          <w:rPr>
            <w:webHidden/>
          </w:rPr>
          <w:t>10</w:t>
        </w:r>
        <w:r w:rsidR="00C5519D">
          <w:rPr>
            <w:webHidden/>
          </w:rPr>
          <w:fldChar w:fldCharType="end"/>
        </w:r>
      </w:hyperlink>
    </w:p>
    <w:p w14:paraId="6EF2CDA7" w14:textId="23222523" w:rsidR="00C5519D" w:rsidRDefault="00000000">
      <w:pPr>
        <w:pStyle w:val="Spistreci1"/>
        <w:rPr>
          <w:rFonts w:asciiTheme="minorHAnsi" w:eastAsiaTheme="minorEastAsia" w:hAnsiTheme="minorHAnsi" w:cstheme="minorBidi"/>
          <w:b w:val="0"/>
          <w:bCs w:val="0"/>
          <w:color w:val="auto"/>
          <w:lang w:eastAsia="pl-PL"/>
        </w:rPr>
      </w:pPr>
      <w:hyperlink w:anchor="_Toc182319517" w:history="1">
        <w:r w:rsidR="00C5519D" w:rsidRPr="007D476E">
          <w:rPr>
            <w:rStyle w:val="Hipercze"/>
          </w:rPr>
          <w:t>V.</w:t>
        </w:r>
        <w:r w:rsidR="00C5519D">
          <w:rPr>
            <w:rFonts w:asciiTheme="minorHAnsi" w:eastAsiaTheme="minorEastAsia" w:hAnsiTheme="minorHAnsi" w:cstheme="minorBidi"/>
            <w:b w:val="0"/>
            <w:bCs w:val="0"/>
            <w:color w:val="auto"/>
            <w:lang w:eastAsia="pl-PL"/>
          </w:rPr>
          <w:tab/>
        </w:r>
        <w:r w:rsidR="00C5519D" w:rsidRPr="007D476E">
          <w:rPr>
            <w:rStyle w:val="Hipercze"/>
          </w:rPr>
          <w:t>Standard cyfrowy</w:t>
        </w:r>
        <w:r w:rsidR="00C5519D">
          <w:rPr>
            <w:webHidden/>
          </w:rPr>
          <w:tab/>
        </w:r>
        <w:r w:rsidR="00C5519D">
          <w:rPr>
            <w:webHidden/>
          </w:rPr>
          <w:fldChar w:fldCharType="begin"/>
        </w:r>
        <w:r w:rsidR="00C5519D">
          <w:rPr>
            <w:webHidden/>
          </w:rPr>
          <w:instrText xml:space="preserve"> PAGEREF _Toc182319517 \h </w:instrText>
        </w:r>
        <w:r w:rsidR="00C5519D">
          <w:rPr>
            <w:webHidden/>
          </w:rPr>
        </w:r>
        <w:r w:rsidR="00C5519D">
          <w:rPr>
            <w:webHidden/>
          </w:rPr>
          <w:fldChar w:fldCharType="separate"/>
        </w:r>
        <w:r w:rsidR="00C5519D">
          <w:rPr>
            <w:webHidden/>
          </w:rPr>
          <w:t>10</w:t>
        </w:r>
        <w:r w:rsidR="00C5519D">
          <w:rPr>
            <w:webHidden/>
          </w:rPr>
          <w:fldChar w:fldCharType="end"/>
        </w:r>
      </w:hyperlink>
    </w:p>
    <w:p w14:paraId="73C86BF0" w14:textId="51BB177E" w:rsidR="00C5519D" w:rsidRDefault="00000000">
      <w:pPr>
        <w:pStyle w:val="Spistreci1"/>
        <w:rPr>
          <w:rFonts w:asciiTheme="minorHAnsi" w:eastAsiaTheme="minorEastAsia" w:hAnsiTheme="minorHAnsi" w:cstheme="minorBidi"/>
          <w:b w:val="0"/>
          <w:bCs w:val="0"/>
          <w:color w:val="auto"/>
          <w:lang w:eastAsia="pl-PL"/>
        </w:rPr>
      </w:pPr>
      <w:hyperlink w:anchor="_Toc182319518" w:history="1">
        <w:r w:rsidR="00C5519D" w:rsidRPr="007D476E">
          <w:rPr>
            <w:rStyle w:val="Hipercze"/>
          </w:rPr>
          <w:t>VI.</w:t>
        </w:r>
        <w:r w:rsidR="00C5519D">
          <w:rPr>
            <w:rFonts w:asciiTheme="minorHAnsi" w:eastAsiaTheme="minorEastAsia" w:hAnsiTheme="minorHAnsi" w:cstheme="minorBidi"/>
            <w:b w:val="0"/>
            <w:bCs w:val="0"/>
            <w:color w:val="auto"/>
            <w:lang w:eastAsia="pl-PL"/>
          </w:rPr>
          <w:tab/>
        </w:r>
        <w:r w:rsidR="00C5519D" w:rsidRPr="007D476E">
          <w:rPr>
            <w:rStyle w:val="Hipercze"/>
          </w:rPr>
          <w:t>Standard architektoniczny</w:t>
        </w:r>
        <w:r w:rsidR="00C5519D">
          <w:rPr>
            <w:webHidden/>
          </w:rPr>
          <w:tab/>
        </w:r>
        <w:r w:rsidR="00C5519D">
          <w:rPr>
            <w:webHidden/>
          </w:rPr>
          <w:fldChar w:fldCharType="begin"/>
        </w:r>
        <w:r w:rsidR="00C5519D">
          <w:rPr>
            <w:webHidden/>
          </w:rPr>
          <w:instrText xml:space="preserve"> PAGEREF _Toc182319518 \h </w:instrText>
        </w:r>
        <w:r w:rsidR="00C5519D">
          <w:rPr>
            <w:webHidden/>
          </w:rPr>
        </w:r>
        <w:r w:rsidR="00C5519D">
          <w:rPr>
            <w:webHidden/>
          </w:rPr>
          <w:fldChar w:fldCharType="separate"/>
        </w:r>
        <w:r w:rsidR="00C5519D">
          <w:rPr>
            <w:webHidden/>
          </w:rPr>
          <w:t>11</w:t>
        </w:r>
        <w:r w:rsidR="00C5519D">
          <w:rPr>
            <w:webHidden/>
          </w:rPr>
          <w:fldChar w:fldCharType="end"/>
        </w:r>
      </w:hyperlink>
    </w:p>
    <w:p w14:paraId="6AE1C228" w14:textId="7A736866" w:rsidR="00C5519D" w:rsidRDefault="00000000">
      <w:pPr>
        <w:pStyle w:val="Spistreci2"/>
        <w:rPr>
          <w:rFonts w:asciiTheme="minorHAnsi" w:eastAsiaTheme="minorEastAsia" w:hAnsiTheme="minorHAnsi" w:cstheme="minorBidi"/>
          <w:noProof/>
          <w:color w:val="auto"/>
          <w:lang w:eastAsia="pl-PL"/>
        </w:rPr>
      </w:pPr>
      <w:hyperlink w:anchor="_Toc182319519" w:history="1">
        <w:r w:rsidR="00C5519D" w:rsidRPr="007D476E">
          <w:rPr>
            <w:rStyle w:val="Hipercze"/>
            <w:noProof/>
          </w:rPr>
          <w:t>Rozdział 1. Stanowiska postojowe dla samochodów osób z niepełnosprawnościami</w:t>
        </w:r>
        <w:r w:rsidR="00C5519D">
          <w:rPr>
            <w:noProof/>
            <w:webHidden/>
          </w:rPr>
          <w:tab/>
        </w:r>
        <w:r w:rsidR="00C5519D">
          <w:rPr>
            <w:noProof/>
            <w:webHidden/>
          </w:rPr>
          <w:fldChar w:fldCharType="begin"/>
        </w:r>
        <w:r w:rsidR="00C5519D">
          <w:rPr>
            <w:noProof/>
            <w:webHidden/>
          </w:rPr>
          <w:instrText xml:space="preserve"> PAGEREF _Toc182319519 \h </w:instrText>
        </w:r>
        <w:r w:rsidR="00C5519D">
          <w:rPr>
            <w:noProof/>
            <w:webHidden/>
          </w:rPr>
        </w:r>
        <w:r w:rsidR="00C5519D">
          <w:rPr>
            <w:noProof/>
            <w:webHidden/>
          </w:rPr>
          <w:fldChar w:fldCharType="separate"/>
        </w:r>
        <w:r w:rsidR="00C5519D">
          <w:rPr>
            <w:noProof/>
            <w:webHidden/>
          </w:rPr>
          <w:t>11</w:t>
        </w:r>
        <w:r w:rsidR="00C5519D">
          <w:rPr>
            <w:noProof/>
            <w:webHidden/>
          </w:rPr>
          <w:fldChar w:fldCharType="end"/>
        </w:r>
      </w:hyperlink>
    </w:p>
    <w:p w14:paraId="71E26EFD" w14:textId="508B5035" w:rsidR="00C5519D" w:rsidRDefault="00000000">
      <w:pPr>
        <w:pStyle w:val="Spistreci2"/>
        <w:rPr>
          <w:rFonts w:asciiTheme="minorHAnsi" w:eastAsiaTheme="minorEastAsia" w:hAnsiTheme="minorHAnsi" w:cstheme="minorBidi"/>
          <w:noProof/>
          <w:color w:val="auto"/>
          <w:lang w:eastAsia="pl-PL"/>
        </w:rPr>
      </w:pPr>
      <w:hyperlink w:anchor="_Toc182319520" w:history="1">
        <w:r w:rsidR="00C5519D" w:rsidRPr="007D476E">
          <w:rPr>
            <w:rStyle w:val="Hipercze"/>
            <w:noProof/>
          </w:rPr>
          <w:t>Rozdział 2. Budynki – wymagania ogólne</w:t>
        </w:r>
        <w:r w:rsidR="00C5519D">
          <w:rPr>
            <w:noProof/>
            <w:webHidden/>
          </w:rPr>
          <w:tab/>
        </w:r>
        <w:r w:rsidR="00C5519D">
          <w:rPr>
            <w:noProof/>
            <w:webHidden/>
          </w:rPr>
          <w:fldChar w:fldCharType="begin"/>
        </w:r>
        <w:r w:rsidR="00C5519D">
          <w:rPr>
            <w:noProof/>
            <w:webHidden/>
          </w:rPr>
          <w:instrText xml:space="preserve"> PAGEREF _Toc182319520 \h </w:instrText>
        </w:r>
        <w:r w:rsidR="00C5519D">
          <w:rPr>
            <w:noProof/>
            <w:webHidden/>
          </w:rPr>
        </w:r>
        <w:r w:rsidR="00C5519D">
          <w:rPr>
            <w:noProof/>
            <w:webHidden/>
          </w:rPr>
          <w:fldChar w:fldCharType="separate"/>
        </w:r>
        <w:r w:rsidR="00C5519D">
          <w:rPr>
            <w:noProof/>
            <w:webHidden/>
          </w:rPr>
          <w:t>11</w:t>
        </w:r>
        <w:r w:rsidR="00C5519D">
          <w:rPr>
            <w:noProof/>
            <w:webHidden/>
          </w:rPr>
          <w:fldChar w:fldCharType="end"/>
        </w:r>
      </w:hyperlink>
    </w:p>
    <w:p w14:paraId="16C8E6DC" w14:textId="09C96443" w:rsidR="00C5519D" w:rsidRDefault="00000000">
      <w:pPr>
        <w:pStyle w:val="Spistreci2"/>
        <w:rPr>
          <w:rFonts w:asciiTheme="minorHAnsi" w:eastAsiaTheme="minorEastAsia" w:hAnsiTheme="minorHAnsi" w:cstheme="minorBidi"/>
          <w:noProof/>
          <w:color w:val="auto"/>
          <w:lang w:eastAsia="pl-PL"/>
        </w:rPr>
      </w:pPr>
      <w:hyperlink w:anchor="_Toc182319521" w:history="1">
        <w:r w:rsidR="00C5519D" w:rsidRPr="007D476E">
          <w:rPr>
            <w:rStyle w:val="Hipercze"/>
            <w:noProof/>
          </w:rPr>
          <w:t>Rozdział 3. Dostępność przestrzeni i funkcji</w:t>
        </w:r>
        <w:r w:rsidR="00C5519D">
          <w:rPr>
            <w:noProof/>
            <w:webHidden/>
          </w:rPr>
          <w:tab/>
        </w:r>
        <w:r w:rsidR="00C5519D">
          <w:rPr>
            <w:noProof/>
            <w:webHidden/>
          </w:rPr>
          <w:fldChar w:fldCharType="begin"/>
        </w:r>
        <w:r w:rsidR="00C5519D">
          <w:rPr>
            <w:noProof/>
            <w:webHidden/>
          </w:rPr>
          <w:instrText xml:space="preserve"> PAGEREF _Toc182319521 \h </w:instrText>
        </w:r>
        <w:r w:rsidR="00C5519D">
          <w:rPr>
            <w:noProof/>
            <w:webHidden/>
          </w:rPr>
        </w:r>
        <w:r w:rsidR="00C5519D">
          <w:rPr>
            <w:noProof/>
            <w:webHidden/>
          </w:rPr>
          <w:fldChar w:fldCharType="separate"/>
        </w:r>
        <w:r w:rsidR="00C5519D">
          <w:rPr>
            <w:noProof/>
            <w:webHidden/>
          </w:rPr>
          <w:t>11</w:t>
        </w:r>
        <w:r w:rsidR="00C5519D">
          <w:rPr>
            <w:noProof/>
            <w:webHidden/>
          </w:rPr>
          <w:fldChar w:fldCharType="end"/>
        </w:r>
      </w:hyperlink>
    </w:p>
    <w:p w14:paraId="344D3EA5" w14:textId="6657A994" w:rsidR="00C5519D" w:rsidRDefault="00000000">
      <w:pPr>
        <w:pStyle w:val="Spistreci3"/>
        <w:rPr>
          <w:rFonts w:asciiTheme="minorHAnsi" w:eastAsiaTheme="minorEastAsia" w:hAnsiTheme="minorHAnsi" w:cstheme="minorBidi"/>
          <w:noProof/>
          <w:color w:val="auto"/>
          <w:lang w:eastAsia="pl-PL"/>
        </w:rPr>
      </w:pPr>
      <w:hyperlink w:anchor="_Toc182319522" w:history="1">
        <w:r w:rsidR="00C5519D" w:rsidRPr="007D476E">
          <w:rPr>
            <w:rStyle w:val="Hipercze"/>
            <w:noProof/>
          </w:rPr>
          <w:t>1.</w:t>
        </w:r>
        <w:r w:rsidR="00C5519D">
          <w:rPr>
            <w:rFonts w:asciiTheme="minorHAnsi" w:eastAsiaTheme="minorEastAsia" w:hAnsiTheme="minorHAnsi" w:cstheme="minorBidi"/>
            <w:noProof/>
            <w:color w:val="auto"/>
            <w:lang w:eastAsia="pl-PL"/>
          </w:rPr>
          <w:tab/>
        </w:r>
        <w:r w:rsidR="00C5519D" w:rsidRPr="007D476E">
          <w:rPr>
            <w:rStyle w:val="Hipercze"/>
            <w:noProof/>
          </w:rPr>
          <w:t>Ogólne wymagania</w:t>
        </w:r>
        <w:r w:rsidR="00C5519D">
          <w:rPr>
            <w:noProof/>
            <w:webHidden/>
          </w:rPr>
          <w:tab/>
        </w:r>
        <w:r w:rsidR="00C5519D">
          <w:rPr>
            <w:noProof/>
            <w:webHidden/>
          </w:rPr>
          <w:fldChar w:fldCharType="begin"/>
        </w:r>
        <w:r w:rsidR="00C5519D">
          <w:rPr>
            <w:noProof/>
            <w:webHidden/>
          </w:rPr>
          <w:instrText xml:space="preserve"> PAGEREF _Toc182319522 \h </w:instrText>
        </w:r>
        <w:r w:rsidR="00C5519D">
          <w:rPr>
            <w:noProof/>
            <w:webHidden/>
          </w:rPr>
        </w:r>
        <w:r w:rsidR="00C5519D">
          <w:rPr>
            <w:noProof/>
            <w:webHidden/>
          </w:rPr>
          <w:fldChar w:fldCharType="separate"/>
        </w:r>
        <w:r w:rsidR="00C5519D">
          <w:rPr>
            <w:noProof/>
            <w:webHidden/>
          </w:rPr>
          <w:t>11</w:t>
        </w:r>
        <w:r w:rsidR="00C5519D">
          <w:rPr>
            <w:noProof/>
            <w:webHidden/>
          </w:rPr>
          <w:fldChar w:fldCharType="end"/>
        </w:r>
      </w:hyperlink>
    </w:p>
    <w:p w14:paraId="126906AD" w14:textId="082A0999" w:rsidR="00C5519D" w:rsidRDefault="00000000" w:rsidP="00C5519D">
      <w:pPr>
        <w:pStyle w:val="Spistreci4"/>
        <w:rPr>
          <w:rFonts w:asciiTheme="minorHAnsi" w:eastAsiaTheme="minorEastAsia" w:hAnsiTheme="minorHAnsi" w:cstheme="minorBidi"/>
          <w:noProof/>
          <w:color w:val="auto"/>
          <w:lang w:eastAsia="pl-PL"/>
        </w:rPr>
      </w:pPr>
      <w:hyperlink w:anchor="_Toc182319523" w:history="1">
        <w:r w:rsidR="00C5519D" w:rsidRPr="007D476E">
          <w:rPr>
            <w:rStyle w:val="Hipercze"/>
            <w:noProof/>
          </w:rPr>
          <w:t>1.1.</w:t>
        </w:r>
        <w:r w:rsidR="00C5519D">
          <w:rPr>
            <w:rFonts w:asciiTheme="minorHAnsi" w:eastAsiaTheme="minorEastAsia" w:hAnsiTheme="minorHAnsi" w:cstheme="minorBidi"/>
            <w:noProof/>
            <w:color w:val="auto"/>
            <w:lang w:eastAsia="pl-PL"/>
          </w:rPr>
          <w:tab/>
        </w:r>
        <w:r w:rsidR="00C5519D" w:rsidRPr="007D476E">
          <w:rPr>
            <w:rStyle w:val="Hipercze"/>
            <w:noProof/>
          </w:rPr>
          <w:t>Układ pomieszczeń</w:t>
        </w:r>
        <w:r w:rsidR="00C5519D">
          <w:rPr>
            <w:noProof/>
            <w:webHidden/>
          </w:rPr>
          <w:tab/>
        </w:r>
        <w:r w:rsidR="00C5519D">
          <w:rPr>
            <w:noProof/>
            <w:webHidden/>
          </w:rPr>
          <w:fldChar w:fldCharType="begin"/>
        </w:r>
        <w:r w:rsidR="00C5519D">
          <w:rPr>
            <w:noProof/>
            <w:webHidden/>
          </w:rPr>
          <w:instrText xml:space="preserve"> PAGEREF _Toc182319523 \h </w:instrText>
        </w:r>
        <w:r w:rsidR="00C5519D">
          <w:rPr>
            <w:noProof/>
            <w:webHidden/>
          </w:rPr>
        </w:r>
        <w:r w:rsidR="00C5519D">
          <w:rPr>
            <w:noProof/>
            <w:webHidden/>
          </w:rPr>
          <w:fldChar w:fldCharType="separate"/>
        </w:r>
        <w:r w:rsidR="00C5519D">
          <w:rPr>
            <w:noProof/>
            <w:webHidden/>
          </w:rPr>
          <w:t>11</w:t>
        </w:r>
        <w:r w:rsidR="00C5519D">
          <w:rPr>
            <w:noProof/>
            <w:webHidden/>
          </w:rPr>
          <w:fldChar w:fldCharType="end"/>
        </w:r>
      </w:hyperlink>
    </w:p>
    <w:p w14:paraId="6231E04E" w14:textId="0E1F249A" w:rsidR="00C5519D" w:rsidRDefault="00000000" w:rsidP="00C5519D">
      <w:pPr>
        <w:pStyle w:val="Spistreci4"/>
        <w:rPr>
          <w:rFonts w:asciiTheme="minorHAnsi" w:eastAsiaTheme="minorEastAsia" w:hAnsiTheme="minorHAnsi" w:cstheme="minorBidi"/>
          <w:noProof/>
          <w:color w:val="auto"/>
          <w:lang w:eastAsia="pl-PL"/>
        </w:rPr>
      </w:pPr>
      <w:hyperlink w:anchor="_Toc182319524" w:history="1">
        <w:r w:rsidR="00C5519D" w:rsidRPr="007D476E">
          <w:rPr>
            <w:rStyle w:val="Hipercze"/>
            <w:noProof/>
          </w:rPr>
          <w:t>1.2.</w:t>
        </w:r>
        <w:r w:rsidR="00C5519D">
          <w:rPr>
            <w:rFonts w:asciiTheme="minorHAnsi" w:eastAsiaTheme="minorEastAsia" w:hAnsiTheme="minorHAnsi" w:cstheme="minorBidi"/>
            <w:noProof/>
            <w:color w:val="auto"/>
            <w:lang w:eastAsia="pl-PL"/>
          </w:rPr>
          <w:tab/>
        </w:r>
        <w:r w:rsidR="00C5519D" w:rsidRPr="007D476E">
          <w:rPr>
            <w:rStyle w:val="Hipercze"/>
            <w:noProof/>
          </w:rPr>
          <w:t>Materiały wykończeniowe</w:t>
        </w:r>
        <w:r w:rsidR="00C5519D">
          <w:rPr>
            <w:noProof/>
            <w:webHidden/>
          </w:rPr>
          <w:tab/>
        </w:r>
        <w:r w:rsidR="00C5519D">
          <w:rPr>
            <w:noProof/>
            <w:webHidden/>
          </w:rPr>
          <w:fldChar w:fldCharType="begin"/>
        </w:r>
        <w:r w:rsidR="00C5519D">
          <w:rPr>
            <w:noProof/>
            <w:webHidden/>
          </w:rPr>
          <w:instrText xml:space="preserve"> PAGEREF _Toc182319524 \h </w:instrText>
        </w:r>
        <w:r w:rsidR="00C5519D">
          <w:rPr>
            <w:noProof/>
            <w:webHidden/>
          </w:rPr>
        </w:r>
        <w:r w:rsidR="00C5519D">
          <w:rPr>
            <w:noProof/>
            <w:webHidden/>
          </w:rPr>
          <w:fldChar w:fldCharType="separate"/>
        </w:r>
        <w:r w:rsidR="00C5519D">
          <w:rPr>
            <w:noProof/>
            <w:webHidden/>
          </w:rPr>
          <w:t>12</w:t>
        </w:r>
        <w:r w:rsidR="00C5519D">
          <w:rPr>
            <w:noProof/>
            <w:webHidden/>
          </w:rPr>
          <w:fldChar w:fldCharType="end"/>
        </w:r>
      </w:hyperlink>
    </w:p>
    <w:p w14:paraId="2E76F8CA" w14:textId="39517265" w:rsidR="00C5519D" w:rsidRDefault="00000000" w:rsidP="00C5519D">
      <w:pPr>
        <w:pStyle w:val="Spistreci4"/>
        <w:rPr>
          <w:rFonts w:asciiTheme="minorHAnsi" w:eastAsiaTheme="minorEastAsia" w:hAnsiTheme="minorHAnsi" w:cstheme="minorBidi"/>
          <w:noProof/>
          <w:color w:val="auto"/>
          <w:lang w:eastAsia="pl-PL"/>
        </w:rPr>
      </w:pPr>
      <w:hyperlink w:anchor="_Toc182319525" w:history="1">
        <w:r w:rsidR="00C5519D" w:rsidRPr="007D476E">
          <w:rPr>
            <w:rStyle w:val="Hipercze"/>
            <w:noProof/>
          </w:rPr>
          <w:t>1.3.</w:t>
        </w:r>
        <w:r w:rsidR="00C5519D">
          <w:rPr>
            <w:rFonts w:asciiTheme="minorHAnsi" w:eastAsiaTheme="minorEastAsia" w:hAnsiTheme="minorHAnsi" w:cstheme="minorBidi"/>
            <w:noProof/>
            <w:color w:val="auto"/>
            <w:lang w:eastAsia="pl-PL"/>
          </w:rPr>
          <w:tab/>
        </w:r>
        <w:r w:rsidR="00C5519D" w:rsidRPr="007D476E">
          <w:rPr>
            <w:rStyle w:val="Hipercze"/>
            <w:noProof/>
          </w:rPr>
          <w:t>Drzwi do pomieszczeń</w:t>
        </w:r>
        <w:r w:rsidR="00C5519D">
          <w:rPr>
            <w:noProof/>
            <w:webHidden/>
          </w:rPr>
          <w:tab/>
        </w:r>
        <w:r w:rsidR="00C5519D">
          <w:rPr>
            <w:noProof/>
            <w:webHidden/>
          </w:rPr>
          <w:fldChar w:fldCharType="begin"/>
        </w:r>
        <w:r w:rsidR="00C5519D">
          <w:rPr>
            <w:noProof/>
            <w:webHidden/>
          </w:rPr>
          <w:instrText xml:space="preserve"> PAGEREF _Toc182319525 \h </w:instrText>
        </w:r>
        <w:r w:rsidR="00C5519D">
          <w:rPr>
            <w:noProof/>
            <w:webHidden/>
          </w:rPr>
        </w:r>
        <w:r w:rsidR="00C5519D">
          <w:rPr>
            <w:noProof/>
            <w:webHidden/>
          </w:rPr>
          <w:fldChar w:fldCharType="separate"/>
        </w:r>
        <w:r w:rsidR="00C5519D">
          <w:rPr>
            <w:noProof/>
            <w:webHidden/>
          </w:rPr>
          <w:t>13</w:t>
        </w:r>
        <w:r w:rsidR="00C5519D">
          <w:rPr>
            <w:noProof/>
            <w:webHidden/>
          </w:rPr>
          <w:fldChar w:fldCharType="end"/>
        </w:r>
      </w:hyperlink>
    </w:p>
    <w:p w14:paraId="253318CE" w14:textId="332DF932" w:rsidR="00C5519D" w:rsidRDefault="00000000" w:rsidP="00C5519D">
      <w:pPr>
        <w:pStyle w:val="Spistreci4"/>
        <w:rPr>
          <w:rFonts w:asciiTheme="minorHAnsi" w:eastAsiaTheme="minorEastAsia" w:hAnsiTheme="minorHAnsi" w:cstheme="minorBidi"/>
          <w:noProof/>
          <w:color w:val="auto"/>
          <w:lang w:eastAsia="pl-PL"/>
        </w:rPr>
      </w:pPr>
      <w:hyperlink w:anchor="_Toc182319526" w:history="1">
        <w:r w:rsidR="00C5519D" w:rsidRPr="007D476E">
          <w:rPr>
            <w:rStyle w:val="Hipercze"/>
            <w:noProof/>
          </w:rPr>
          <w:t>1.4.</w:t>
        </w:r>
        <w:r w:rsidR="00C5519D">
          <w:rPr>
            <w:rFonts w:asciiTheme="minorHAnsi" w:eastAsiaTheme="minorEastAsia" w:hAnsiTheme="minorHAnsi" w:cstheme="minorBidi"/>
            <w:noProof/>
            <w:color w:val="auto"/>
            <w:lang w:eastAsia="pl-PL"/>
          </w:rPr>
          <w:tab/>
        </w:r>
        <w:r w:rsidR="00C5519D" w:rsidRPr="007D476E">
          <w:rPr>
            <w:rStyle w:val="Hipercze"/>
            <w:noProof/>
          </w:rPr>
          <w:t>Włączniki i gniazda elektryczne</w:t>
        </w:r>
        <w:r w:rsidR="00C5519D">
          <w:rPr>
            <w:noProof/>
            <w:webHidden/>
          </w:rPr>
          <w:tab/>
        </w:r>
        <w:r w:rsidR="00C5519D">
          <w:rPr>
            <w:noProof/>
            <w:webHidden/>
          </w:rPr>
          <w:fldChar w:fldCharType="begin"/>
        </w:r>
        <w:r w:rsidR="00C5519D">
          <w:rPr>
            <w:noProof/>
            <w:webHidden/>
          </w:rPr>
          <w:instrText xml:space="preserve"> PAGEREF _Toc182319526 \h </w:instrText>
        </w:r>
        <w:r w:rsidR="00C5519D">
          <w:rPr>
            <w:noProof/>
            <w:webHidden/>
          </w:rPr>
        </w:r>
        <w:r w:rsidR="00C5519D">
          <w:rPr>
            <w:noProof/>
            <w:webHidden/>
          </w:rPr>
          <w:fldChar w:fldCharType="separate"/>
        </w:r>
        <w:r w:rsidR="00C5519D">
          <w:rPr>
            <w:noProof/>
            <w:webHidden/>
          </w:rPr>
          <w:t>13</w:t>
        </w:r>
        <w:r w:rsidR="00C5519D">
          <w:rPr>
            <w:noProof/>
            <w:webHidden/>
          </w:rPr>
          <w:fldChar w:fldCharType="end"/>
        </w:r>
      </w:hyperlink>
    </w:p>
    <w:p w14:paraId="344B4BE3" w14:textId="790B4457" w:rsidR="00C5519D" w:rsidRDefault="00000000">
      <w:pPr>
        <w:pStyle w:val="Spistreci3"/>
        <w:rPr>
          <w:rFonts w:asciiTheme="minorHAnsi" w:eastAsiaTheme="minorEastAsia" w:hAnsiTheme="minorHAnsi" w:cstheme="minorBidi"/>
          <w:noProof/>
          <w:color w:val="auto"/>
          <w:lang w:eastAsia="pl-PL"/>
        </w:rPr>
      </w:pPr>
      <w:hyperlink w:anchor="_Toc182319527" w:history="1">
        <w:r w:rsidR="00C5519D" w:rsidRPr="007D476E">
          <w:rPr>
            <w:rStyle w:val="Hipercze"/>
            <w:noProof/>
          </w:rPr>
          <w:t>2.</w:t>
        </w:r>
        <w:r w:rsidR="00C5519D">
          <w:rPr>
            <w:rFonts w:asciiTheme="minorHAnsi" w:eastAsiaTheme="minorEastAsia" w:hAnsiTheme="minorHAnsi" w:cstheme="minorBidi"/>
            <w:noProof/>
            <w:color w:val="auto"/>
            <w:lang w:eastAsia="pl-PL"/>
          </w:rPr>
          <w:tab/>
        </w:r>
        <w:r w:rsidR="00C5519D" w:rsidRPr="007D476E">
          <w:rPr>
            <w:rStyle w:val="Hipercze"/>
            <w:noProof/>
          </w:rPr>
          <w:t>Stanowiska obsługi i punkty informacyjne</w:t>
        </w:r>
        <w:r w:rsidR="00C5519D">
          <w:rPr>
            <w:noProof/>
            <w:webHidden/>
          </w:rPr>
          <w:tab/>
        </w:r>
        <w:r w:rsidR="00C5519D">
          <w:rPr>
            <w:noProof/>
            <w:webHidden/>
          </w:rPr>
          <w:fldChar w:fldCharType="begin"/>
        </w:r>
        <w:r w:rsidR="00C5519D">
          <w:rPr>
            <w:noProof/>
            <w:webHidden/>
          </w:rPr>
          <w:instrText xml:space="preserve"> PAGEREF _Toc182319527 \h </w:instrText>
        </w:r>
        <w:r w:rsidR="00C5519D">
          <w:rPr>
            <w:noProof/>
            <w:webHidden/>
          </w:rPr>
        </w:r>
        <w:r w:rsidR="00C5519D">
          <w:rPr>
            <w:noProof/>
            <w:webHidden/>
          </w:rPr>
          <w:fldChar w:fldCharType="separate"/>
        </w:r>
        <w:r w:rsidR="00C5519D">
          <w:rPr>
            <w:noProof/>
            <w:webHidden/>
          </w:rPr>
          <w:t>14</w:t>
        </w:r>
        <w:r w:rsidR="00C5519D">
          <w:rPr>
            <w:noProof/>
            <w:webHidden/>
          </w:rPr>
          <w:fldChar w:fldCharType="end"/>
        </w:r>
      </w:hyperlink>
    </w:p>
    <w:p w14:paraId="47AB0E05" w14:textId="59F729C8" w:rsidR="00C5519D" w:rsidRDefault="00000000" w:rsidP="00C5519D">
      <w:pPr>
        <w:pStyle w:val="Spistreci4"/>
        <w:rPr>
          <w:rFonts w:asciiTheme="minorHAnsi" w:eastAsiaTheme="minorEastAsia" w:hAnsiTheme="minorHAnsi" w:cstheme="minorBidi"/>
          <w:noProof/>
          <w:color w:val="auto"/>
          <w:lang w:eastAsia="pl-PL"/>
        </w:rPr>
      </w:pPr>
      <w:hyperlink w:anchor="_Toc182319528" w:history="1">
        <w:r w:rsidR="00C5519D" w:rsidRPr="007D476E">
          <w:rPr>
            <w:rStyle w:val="Hipercze"/>
            <w:noProof/>
          </w:rPr>
          <w:t>2.1.</w:t>
        </w:r>
        <w:r w:rsidR="00C5519D">
          <w:rPr>
            <w:rFonts w:asciiTheme="minorHAnsi" w:eastAsiaTheme="minorEastAsia" w:hAnsiTheme="minorHAnsi" w:cstheme="minorBidi"/>
            <w:noProof/>
            <w:color w:val="auto"/>
            <w:lang w:eastAsia="pl-PL"/>
          </w:rPr>
          <w:tab/>
        </w:r>
        <w:r w:rsidR="00C5519D" w:rsidRPr="007D476E">
          <w:rPr>
            <w:rStyle w:val="Hipercze"/>
            <w:noProof/>
          </w:rPr>
          <w:t>Oświetlenie</w:t>
        </w:r>
        <w:r w:rsidR="00C5519D">
          <w:rPr>
            <w:noProof/>
            <w:webHidden/>
          </w:rPr>
          <w:tab/>
        </w:r>
        <w:r w:rsidR="00C5519D">
          <w:rPr>
            <w:noProof/>
            <w:webHidden/>
          </w:rPr>
          <w:fldChar w:fldCharType="begin"/>
        </w:r>
        <w:r w:rsidR="00C5519D">
          <w:rPr>
            <w:noProof/>
            <w:webHidden/>
          </w:rPr>
          <w:instrText xml:space="preserve"> PAGEREF _Toc182319528 \h </w:instrText>
        </w:r>
        <w:r w:rsidR="00C5519D">
          <w:rPr>
            <w:noProof/>
            <w:webHidden/>
          </w:rPr>
        </w:r>
        <w:r w:rsidR="00C5519D">
          <w:rPr>
            <w:noProof/>
            <w:webHidden/>
          </w:rPr>
          <w:fldChar w:fldCharType="separate"/>
        </w:r>
        <w:r w:rsidR="00C5519D">
          <w:rPr>
            <w:noProof/>
            <w:webHidden/>
          </w:rPr>
          <w:t>14</w:t>
        </w:r>
        <w:r w:rsidR="00C5519D">
          <w:rPr>
            <w:noProof/>
            <w:webHidden/>
          </w:rPr>
          <w:fldChar w:fldCharType="end"/>
        </w:r>
      </w:hyperlink>
    </w:p>
    <w:p w14:paraId="0845A565" w14:textId="09A26982" w:rsidR="00C5519D" w:rsidRDefault="00000000" w:rsidP="00C5519D">
      <w:pPr>
        <w:pStyle w:val="Spistreci4"/>
        <w:rPr>
          <w:rFonts w:asciiTheme="minorHAnsi" w:eastAsiaTheme="minorEastAsia" w:hAnsiTheme="minorHAnsi" w:cstheme="minorBidi"/>
          <w:noProof/>
          <w:color w:val="auto"/>
          <w:lang w:eastAsia="pl-PL"/>
        </w:rPr>
      </w:pPr>
      <w:hyperlink w:anchor="_Toc182319529" w:history="1">
        <w:r w:rsidR="00C5519D" w:rsidRPr="007D476E">
          <w:rPr>
            <w:rStyle w:val="Hipercze"/>
            <w:noProof/>
          </w:rPr>
          <w:t>2.2.</w:t>
        </w:r>
        <w:r w:rsidR="00C5519D">
          <w:rPr>
            <w:rFonts w:asciiTheme="minorHAnsi" w:eastAsiaTheme="minorEastAsia" w:hAnsiTheme="minorHAnsi" w:cstheme="minorBidi"/>
            <w:noProof/>
            <w:color w:val="auto"/>
            <w:lang w:eastAsia="pl-PL"/>
          </w:rPr>
          <w:tab/>
        </w:r>
        <w:r w:rsidR="00C5519D" w:rsidRPr="007D476E">
          <w:rPr>
            <w:rStyle w:val="Hipercze"/>
            <w:noProof/>
          </w:rPr>
          <w:t>Dostępna lada/kontuar</w:t>
        </w:r>
        <w:r w:rsidR="00C5519D">
          <w:rPr>
            <w:noProof/>
            <w:webHidden/>
          </w:rPr>
          <w:tab/>
        </w:r>
        <w:r w:rsidR="00C5519D">
          <w:rPr>
            <w:noProof/>
            <w:webHidden/>
          </w:rPr>
          <w:fldChar w:fldCharType="begin"/>
        </w:r>
        <w:r w:rsidR="00C5519D">
          <w:rPr>
            <w:noProof/>
            <w:webHidden/>
          </w:rPr>
          <w:instrText xml:space="preserve"> PAGEREF _Toc182319529 \h </w:instrText>
        </w:r>
        <w:r w:rsidR="00C5519D">
          <w:rPr>
            <w:noProof/>
            <w:webHidden/>
          </w:rPr>
        </w:r>
        <w:r w:rsidR="00C5519D">
          <w:rPr>
            <w:noProof/>
            <w:webHidden/>
          </w:rPr>
          <w:fldChar w:fldCharType="separate"/>
        </w:r>
        <w:r w:rsidR="00C5519D">
          <w:rPr>
            <w:noProof/>
            <w:webHidden/>
          </w:rPr>
          <w:t>15</w:t>
        </w:r>
        <w:r w:rsidR="00C5519D">
          <w:rPr>
            <w:noProof/>
            <w:webHidden/>
          </w:rPr>
          <w:fldChar w:fldCharType="end"/>
        </w:r>
      </w:hyperlink>
    </w:p>
    <w:p w14:paraId="72E6C36B" w14:textId="699C9EB1" w:rsidR="00C5519D" w:rsidRDefault="00000000">
      <w:pPr>
        <w:pStyle w:val="Spistreci3"/>
        <w:rPr>
          <w:rFonts w:asciiTheme="minorHAnsi" w:eastAsiaTheme="minorEastAsia" w:hAnsiTheme="minorHAnsi" w:cstheme="minorBidi"/>
          <w:noProof/>
          <w:color w:val="auto"/>
          <w:lang w:eastAsia="pl-PL"/>
        </w:rPr>
      </w:pPr>
      <w:hyperlink w:anchor="_Toc182319530" w:history="1">
        <w:r w:rsidR="00C5519D" w:rsidRPr="007D476E">
          <w:rPr>
            <w:rStyle w:val="Hipercze"/>
            <w:noProof/>
          </w:rPr>
          <w:t>3.</w:t>
        </w:r>
        <w:r w:rsidR="00C5519D">
          <w:rPr>
            <w:rFonts w:asciiTheme="minorHAnsi" w:eastAsiaTheme="minorEastAsia" w:hAnsiTheme="minorHAnsi" w:cstheme="minorBidi"/>
            <w:noProof/>
            <w:color w:val="auto"/>
            <w:lang w:eastAsia="pl-PL"/>
          </w:rPr>
          <w:tab/>
        </w:r>
        <w:r w:rsidR="00C5519D" w:rsidRPr="007D476E">
          <w:rPr>
            <w:rStyle w:val="Hipercze"/>
            <w:noProof/>
          </w:rPr>
          <w:t>Wystawy i targi</w:t>
        </w:r>
        <w:r w:rsidR="00C5519D">
          <w:rPr>
            <w:noProof/>
            <w:webHidden/>
          </w:rPr>
          <w:tab/>
        </w:r>
        <w:r w:rsidR="00C5519D">
          <w:rPr>
            <w:noProof/>
            <w:webHidden/>
          </w:rPr>
          <w:fldChar w:fldCharType="begin"/>
        </w:r>
        <w:r w:rsidR="00C5519D">
          <w:rPr>
            <w:noProof/>
            <w:webHidden/>
          </w:rPr>
          <w:instrText xml:space="preserve"> PAGEREF _Toc182319530 \h </w:instrText>
        </w:r>
        <w:r w:rsidR="00C5519D">
          <w:rPr>
            <w:noProof/>
            <w:webHidden/>
          </w:rPr>
        </w:r>
        <w:r w:rsidR="00C5519D">
          <w:rPr>
            <w:noProof/>
            <w:webHidden/>
          </w:rPr>
          <w:fldChar w:fldCharType="separate"/>
        </w:r>
        <w:r w:rsidR="00C5519D">
          <w:rPr>
            <w:noProof/>
            <w:webHidden/>
          </w:rPr>
          <w:t>15</w:t>
        </w:r>
        <w:r w:rsidR="00C5519D">
          <w:rPr>
            <w:noProof/>
            <w:webHidden/>
          </w:rPr>
          <w:fldChar w:fldCharType="end"/>
        </w:r>
      </w:hyperlink>
    </w:p>
    <w:p w14:paraId="19E3D4C3" w14:textId="36491985" w:rsidR="00C5519D" w:rsidRDefault="00000000" w:rsidP="00C5519D">
      <w:pPr>
        <w:pStyle w:val="Spistreci4"/>
        <w:rPr>
          <w:rFonts w:asciiTheme="minorHAnsi" w:eastAsiaTheme="minorEastAsia" w:hAnsiTheme="minorHAnsi" w:cstheme="minorBidi"/>
          <w:noProof/>
          <w:color w:val="auto"/>
          <w:lang w:eastAsia="pl-PL"/>
        </w:rPr>
      </w:pPr>
      <w:hyperlink w:anchor="_Toc182319531" w:history="1">
        <w:r w:rsidR="00C5519D" w:rsidRPr="007D476E">
          <w:rPr>
            <w:rStyle w:val="Hipercze"/>
            <w:noProof/>
          </w:rPr>
          <w:t>3.1.</w:t>
        </w:r>
        <w:r w:rsidR="00C5519D">
          <w:rPr>
            <w:rFonts w:asciiTheme="minorHAnsi" w:eastAsiaTheme="minorEastAsia" w:hAnsiTheme="minorHAnsi" w:cstheme="minorBidi"/>
            <w:noProof/>
            <w:color w:val="auto"/>
            <w:lang w:eastAsia="pl-PL"/>
          </w:rPr>
          <w:tab/>
        </w:r>
        <w:r w:rsidR="00C5519D" w:rsidRPr="007D476E">
          <w:rPr>
            <w:rStyle w:val="Hipercze"/>
            <w:noProof/>
          </w:rPr>
          <w:t>Stoły i gabloty ekspozycyjne</w:t>
        </w:r>
        <w:r w:rsidR="00C5519D">
          <w:rPr>
            <w:noProof/>
            <w:webHidden/>
          </w:rPr>
          <w:tab/>
        </w:r>
        <w:r w:rsidR="00C5519D">
          <w:rPr>
            <w:noProof/>
            <w:webHidden/>
          </w:rPr>
          <w:fldChar w:fldCharType="begin"/>
        </w:r>
        <w:r w:rsidR="00C5519D">
          <w:rPr>
            <w:noProof/>
            <w:webHidden/>
          </w:rPr>
          <w:instrText xml:space="preserve"> PAGEREF _Toc182319531 \h </w:instrText>
        </w:r>
        <w:r w:rsidR="00C5519D">
          <w:rPr>
            <w:noProof/>
            <w:webHidden/>
          </w:rPr>
        </w:r>
        <w:r w:rsidR="00C5519D">
          <w:rPr>
            <w:noProof/>
            <w:webHidden/>
          </w:rPr>
          <w:fldChar w:fldCharType="separate"/>
        </w:r>
        <w:r w:rsidR="00C5519D">
          <w:rPr>
            <w:noProof/>
            <w:webHidden/>
          </w:rPr>
          <w:t>16</w:t>
        </w:r>
        <w:r w:rsidR="00C5519D">
          <w:rPr>
            <w:noProof/>
            <w:webHidden/>
          </w:rPr>
          <w:fldChar w:fldCharType="end"/>
        </w:r>
      </w:hyperlink>
    </w:p>
    <w:p w14:paraId="5465FE1A" w14:textId="71B4D419" w:rsidR="00C5519D" w:rsidRDefault="00000000" w:rsidP="00C5519D">
      <w:pPr>
        <w:pStyle w:val="Spistreci4"/>
        <w:rPr>
          <w:rFonts w:asciiTheme="minorHAnsi" w:eastAsiaTheme="minorEastAsia" w:hAnsiTheme="minorHAnsi" w:cstheme="minorBidi"/>
          <w:noProof/>
          <w:color w:val="auto"/>
          <w:lang w:eastAsia="pl-PL"/>
        </w:rPr>
      </w:pPr>
      <w:hyperlink w:anchor="_Toc182319532" w:history="1">
        <w:r w:rsidR="00C5519D" w:rsidRPr="007D476E">
          <w:rPr>
            <w:rStyle w:val="Hipercze"/>
            <w:noProof/>
          </w:rPr>
          <w:t>3.2.</w:t>
        </w:r>
        <w:r w:rsidR="00C5519D">
          <w:rPr>
            <w:rFonts w:asciiTheme="minorHAnsi" w:eastAsiaTheme="minorEastAsia" w:hAnsiTheme="minorHAnsi" w:cstheme="minorBidi"/>
            <w:noProof/>
            <w:color w:val="auto"/>
            <w:lang w:eastAsia="pl-PL"/>
          </w:rPr>
          <w:tab/>
        </w:r>
        <w:r w:rsidR="00C5519D" w:rsidRPr="007D476E">
          <w:rPr>
            <w:rStyle w:val="Hipercze"/>
            <w:noProof/>
          </w:rPr>
          <w:t>Elementy prezentowane na ścianach i stojakach planszowych</w:t>
        </w:r>
        <w:r w:rsidR="00C5519D">
          <w:rPr>
            <w:noProof/>
            <w:webHidden/>
          </w:rPr>
          <w:tab/>
        </w:r>
        <w:r w:rsidR="00C5519D">
          <w:rPr>
            <w:noProof/>
            <w:webHidden/>
          </w:rPr>
          <w:fldChar w:fldCharType="begin"/>
        </w:r>
        <w:r w:rsidR="00C5519D">
          <w:rPr>
            <w:noProof/>
            <w:webHidden/>
          </w:rPr>
          <w:instrText xml:space="preserve"> PAGEREF _Toc182319532 \h </w:instrText>
        </w:r>
        <w:r w:rsidR="00C5519D">
          <w:rPr>
            <w:noProof/>
            <w:webHidden/>
          </w:rPr>
        </w:r>
        <w:r w:rsidR="00C5519D">
          <w:rPr>
            <w:noProof/>
            <w:webHidden/>
          </w:rPr>
          <w:fldChar w:fldCharType="separate"/>
        </w:r>
        <w:r w:rsidR="00C5519D">
          <w:rPr>
            <w:noProof/>
            <w:webHidden/>
          </w:rPr>
          <w:t>16</w:t>
        </w:r>
        <w:r w:rsidR="00C5519D">
          <w:rPr>
            <w:noProof/>
            <w:webHidden/>
          </w:rPr>
          <w:fldChar w:fldCharType="end"/>
        </w:r>
      </w:hyperlink>
    </w:p>
    <w:p w14:paraId="67D20D4D" w14:textId="3CAB9F25" w:rsidR="00C5519D" w:rsidRDefault="00000000" w:rsidP="00C5519D">
      <w:pPr>
        <w:pStyle w:val="Spistreci4"/>
        <w:rPr>
          <w:rFonts w:asciiTheme="minorHAnsi" w:eastAsiaTheme="minorEastAsia" w:hAnsiTheme="minorHAnsi" w:cstheme="minorBidi"/>
          <w:noProof/>
          <w:color w:val="auto"/>
          <w:lang w:eastAsia="pl-PL"/>
        </w:rPr>
      </w:pPr>
      <w:hyperlink w:anchor="_Toc182319533" w:history="1">
        <w:r w:rsidR="00C5519D" w:rsidRPr="007D476E">
          <w:rPr>
            <w:rStyle w:val="Hipercze"/>
            <w:noProof/>
          </w:rPr>
          <w:t>3.3.</w:t>
        </w:r>
        <w:r w:rsidR="00C5519D">
          <w:rPr>
            <w:rFonts w:asciiTheme="minorHAnsi" w:eastAsiaTheme="minorEastAsia" w:hAnsiTheme="minorHAnsi" w:cstheme="minorBidi"/>
            <w:noProof/>
            <w:color w:val="auto"/>
            <w:lang w:eastAsia="pl-PL"/>
          </w:rPr>
          <w:tab/>
        </w:r>
        <w:r w:rsidR="00C5519D" w:rsidRPr="007D476E">
          <w:rPr>
            <w:rStyle w:val="Hipercze"/>
            <w:noProof/>
          </w:rPr>
          <w:t>Elementy na cokołach i postumentach</w:t>
        </w:r>
        <w:r w:rsidR="00C5519D">
          <w:rPr>
            <w:noProof/>
            <w:webHidden/>
          </w:rPr>
          <w:tab/>
        </w:r>
        <w:r w:rsidR="00C5519D">
          <w:rPr>
            <w:noProof/>
            <w:webHidden/>
          </w:rPr>
          <w:fldChar w:fldCharType="begin"/>
        </w:r>
        <w:r w:rsidR="00C5519D">
          <w:rPr>
            <w:noProof/>
            <w:webHidden/>
          </w:rPr>
          <w:instrText xml:space="preserve"> PAGEREF _Toc182319533 \h </w:instrText>
        </w:r>
        <w:r w:rsidR="00C5519D">
          <w:rPr>
            <w:noProof/>
            <w:webHidden/>
          </w:rPr>
        </w:r>
        <w:r w:rsidR="00C5519D">
          <w:rPr>
            <w:noProof/>
            <w:webHidden/>
          </w:rPr>
          <w:fldChar w:fldCharType="separate"/>
        </w:r>
        <w:r w:rsidR="00C5519D">
          <w:rPr>
            <w:noProof/>
            <w:webHidden/>
          </w:rPr>
          <w:t>16</w:t>
        </w:r>
        <w:r w:rsidR="00C5519D">
          <w:rPr>
            <w:noProof/>
            <w:webHidden/>
          </w:rPr>
          <w:fldChar w:fldCharType="end"/>
        </w:r>
      </w:hyperlink>
    </w:p>
    <w:p w14:paraId="0055255C" w14:textId="3C3CADD8" w:rsidR="00C5519D" w:rsidRDefault="00000000">
      <w:pPr>
        <w:pStyle w:val="Spistreci3"/>
        <w:rPr>
          <w:rFonts w:asciiTheme="minorHAnsi" w:eastAsiaTheme="minorEastAsia" w:hAnsiTheme="minorHAnsi" w:cstheme="minorBidi"/>
          <w:noProof/>
          <w:color w:val="auto"/>
          <w:lang w:eastAsia="pl-PL"/>
        </w:rPr>
      </w:pPr>
      <w:hyperlink w:anchor="_Toc182319534" w:history="1">
        <w:r w:rsidR="00C5519D" w:rsidRPr="007D476E">
          <w:rPr>
            <w:rStyle w:val="Hipercze"/>
            <w:noProof/>
          </w:rPr>
          <w:t>4.</w:t>
        </w:r>
        <w:r w:rsidR="00C5519D">
          <w:rPr>
            <w:rFonts w:asciiTheme="minorHAnsi" w:eastAsiaTheme="minorEastAsia" w:hAnsiTheme="minorHAnsi" w:cstheme="minorBidi"/>
            <w:noProof/>
            <w:color w:val="auto"/>
            <w:lang w:eastAsia="pl-PL"/>
          </w:rPr>
          <w:tab/>
        </w:r>
        <w:r w:rsidR="00C5519D" w:rsidRPr="007D476E">
          <w:rPr>
            <w:rStyle w:val="Hipercze"/>
            <w:noProof/>
          </w:rPr>
          <w:t>Sale konferencyjne i wykładowe, audytoria</w:t>
        </w:r>
        <w:r w:rsidR="00C5519D">
          <w:rPr>
            <w:noProof/>
            <w:webHidden/>
          </w:rPr>
          <w:tab/>
        </w:r>
        <w:r w:rsidR="00C5519D">
          <w:rPr>
            <w:noProof/>
            <w:webHidden/>
          </w:rPr>
          <w:fldChar w:fldCharType="begin"/>
        </w:r>
        <w:r w:rsidR="00C5519D">
          <w:rPr>
            <w:noProof/>
            <w:webHidden/>
          </w:rPr>
          <w:instrText xml:space="preserve"> PAGEREF _Toc182319534 \h </w:instrText>
        </w:r>
        <w:r w:rsidR="00C5519D">
          <w:rPr>
            <w:noProof/>
            <w:webHidden/>
          </w:rPr>
        </w:r>
        <w:r w:rsidR="00C5519D">
          <w:rPr>
            <w:noProof/>
            <w:webHidden/>
          </w:rPr>
          <w:fldChar w:fldCharType="separate"/>
        </w:r>
        <w:r w:rsidR="00C5519D">
          <w:rPr>
            <w:noProof/>
            <w:webHidden/>
          </w:rPr>
          <w:t>16</w:t>
        </w:r>
        <w:r w:rsidR="00C5519D">
          <w:rPr>
            <w:noProof/>
            <w:webHidden/>
          </w:rPr>
          <w:fldChar w:fldCharType="end"/>
        </w:r>
      </w:hyperlink>
    </w:p>
    <w:p w14:paraId="5D86DA7D" w14:textId="660E141C" w:rsidR="00C5519D" w:rsidRDefault="00000000" w:rsidP="00C5519D">
      <w:pPr>
        <w:pStyle w:val="Spistreci4"/>
        <w:rPr>
          <w:rFonts w:asciiTheme="minorHAnsi" w:eastAsiaTheme="minorEastAsia" w:hAnsiTheme="minorHAnsi" w:cstheme="minorBidi"/>
          <w:noProof/>
          <w:color w:val="auto"/>
          <w:lang w:eastAsia="pl-PL"/>
        </w:rPr>
      </w:pPr>
      <w:hyperlink w:anchor="_Toc182319535" w:history="1">
        <w:r w:rsidR="00C5519D" w:rsidRPr="007D476E">
          <w:rPr>
            <w:rStyle w:val="Hipercze"/>
            <w:noProof/>
          </w:rPr>
          <w:t>4.1.</w:t>
        </w:r>
        <w:r w:rsidR="00C5519D">
          <w:rPr>
            <w:rFonts w:asciiTheme="minorHAnsi" w:eastAsiaTheme="minorEastAsia" w:hAnsiTheme="minorHAnsi" w:cstheme="minorBidi"/>
            <w:noProof/>
            <w:color w:val="auto"/>
            <w:lang w:eastAsia="pl-PL"/>
          </w:rPr>
          <w:tab/>
        </w:r>
        <w:r w:rsidR="00C5519D" w:rsidRPr="007D476E">
          <w:rPr>
            <w:rStyle w:val="Hipercze"/>
            <w:noProof/>
          </w:rPr>
          <w:t>Widownia</w:t>
        </w:r>
        <w:r w:rsidR="00C5519D">
          <w:rPr>
            <w:noProof/>
            <w:webHidden/>
          </w:rPr>
          <w:tab/>
        </w:r>
        <w:r w:rsidR="00C5519D">
          <w:rPr>
            <w:noProof/>
            <w:webHidden/>
          </w:rPr>
          <w:fldChar w:fldCharType="begin"/>
        </w:r>
        <w:r w:rsidR="00C5519D">
          <w:rPr>
            <w:noProof/>
            <w:webHidden/>
          </w:rPr>
          <w:instrText xml:space="preserve"> PAGEREF _Toc182319535 \h </w:instrText>
        </w:r>
        <w:r w:rsidR="00C5519D">
          <w:rPr>
            <w:noProof/>
            <w:webHidden/>
          </w:rPr>
        </w:r>
        <w:r w:rsidR="00C5519D">
          <w:rPr>
            <w:noProof/>
            <w:webHidden/>
          </w:rPr>
          <w:fldChar w:fldCharType="separate"/>
        </w:r>
        <w:r w:rsidR="00C5519D">
          <w:rPr>
            <w:noProof/>
            <w:webHidden/>
          </w:rPr>
          <w:t>17</w:t>
        </w:r>
        <w:r w:rsidR="00C5519D">
          <w:rPr>
            <w:noProof/>
            <w:webHidden/>
          </w:rPr>
          <w:fldChar w:fldCharType="end"/>
        </w:r>
      </w:hyperlink>
    </w:p>
    <w:p w14:paraId="1978E3BA" w14:textId="252692B8" w:rsidR="00C5519D" w:rsidRDefault="00000000" w:rsidP="00C5519D">
      <w:pPr>
        <w:pStyle w:val="Spistreci4"/>
        <w:rPr>
          <w:rFonts w:asciiTheme="minorHAnsi" w:eastAsiaTheme="minorEastAsia" w:hAnsiTheme="minorHAnsi" w:cstheme="minorBidi"/>
          <w:noProof/>
          <w:color w:val="auto"/>
          <w:lang w:eastAsia="pl-PL"/>
        </w:rPr>
      </w:pPr>
      <w:hyperlink w:anchor="_Toc182319536" w:history="1">
        <w:r w:rsidR="00C5519D" w:rsidRPr="007D476E">
          <w:rPr>
            <w:rStyle w:val="Hipercze"/>
            <w:noProof/>
          </w:rPr>
          <w:t>4.2.</w:t>
        </w:r>
        <w:r w:rsidR="00C5519D">
          <w:rPr>
            <w:rFonts w:asciiTheme="minorHAnsi" w:eastAsiaTheme="minorEastAsia" w:hAnsiTheme="minorHAnsi" w:cstheme="minorBidi"/>
            <w:noProof/>
            <w:color w:val="auto"/>
            <w:lang w:eastAsia="pl-PL"/>
          </w:rPr>
          <w:tab/>
        </w:r>
        <w:r w:rsidR="00C5519D" w:rsidRPr="007D476E">
          <w:rPr>
            <w:rStyle w:val="Hipercze"/>
            <w:noProof/>
          </w:rPr>
          <w:t>Scena/podium</w:t>
        </w:r>
        <w:r w:rsidR="00C5519D">
          <w:rPr>
            <w:noProof/>
            <w:webHidden/>
          </w:rPr>
          <w:tab/>
        </w:r>
        <w:r w:rsidR="00C5519D">
          <w:rPr>
            <w:noProof/>
            <w:webHidden/>
          </w:rPr>
          <w:fldChar w:fldCharType="begin"/>
        </w:r>
        <w:r w:rsidR="00C5519D">
          <w:rPr>
            <w:noProof/>
            <w:webHidden/>
          </w:rPr>
          <w:instrText xml:space="preserve"> PAGEREF _Toc182319536 \h </w:instrText>
        </w:r>
        <w:r w:rsidR="00C5519D">
          <w:rPr>
            <w:noProof/>
            <w:webHidden/>
          </w:rPr>
        </w:r>
        <w:r w:rsidR="00C5519D">
          <w:rPr>
            <w:noProof/>
            <w:webHidden/>
          </w:rPr>
          <w:fldChar w:fldCharType="separate"/>
        </w:r>
        <w:r w:rsidR="00C5519D">
          <w:rPr>
            <w:noProof/>
            <w:webHidden/>
          </w:rPr>
          <w:t>18</w:t>
        </w:r>
        <w:r w:rsidR="00C5519D">
          <w:rPr>
            <w:noProof/>
            <w:webHidden/>
          </w:rPr>
          <w:fldChar w:fldCharType="end"/>
        </w:r>
      </w:hyperlink>
    </w:p>
    <w:p w14:paraId="4DC5112A" w14:textId="4460F8A4" w:rsidR="00C5519D" w:rsidRDefault="00000000">
      <w:pPr>
        <w:pStyle w:val="Spistreci3"/>
        <w:rPr>
          <w:rFonts w:asciiTheme="minorHAnsi" w:eastAsiaTheme="minorEastAsia" w:hAnsiTheme="minorHAnsi" w:cstheme="minorBidi"/>
          <w:noProof/>
          <w:color w:val="auto"/>
          <w:lang w:eastAsia="pl-PL"/>
        </w:rPr>
      </w:pPr>
      <w:hyperlink w:anchor="_Toc182319537" w:history="1">
        <w:r w:rsidR="00C5519D" w:rsidRPr="007D476E">
          <w:rPr>
            <w:rStyle w:val="Hipercze"/>
            <w:noProof/>
          </w:rPr>
          <w:t>5.</w:t>
        </w:r>
        <w:r w:rsidR="00C5519D">
          <w:rPr>
            <w:rFonts w:asciiTheme="minorHAnsi" w:eastAsiaTheme="minorEastAsia" w:hAnsiTheme="minorHAnsi" w:cstheme="minorBidi"/>
            <w:noProof/>
            <w:color w:val="auto"/>
            <w:lang w:eastAsia="pl-PL"/>
          </w:rPr>
          <w:tab/>
        </w:r>
        <w:r w:rsidR="00C5519D" w:rsidRPr="007D476E">
          <w:rPr>
            <w:rStyle w:val="Hipercze"/>
            <w:noProof/>
          </w:rPr>
          <w:t>Sale spotkań, pomieszczenia seminaryjne</w:t>
        </w:r>
        <w:r w:rsidR="00C5519D">
          <w:rPr>
            <w:noProof/>
            <w:webHidden/>
          </w:rPr>
          <w:tab/>
        </w:r>
        <w:r w:rsidR="00C5519D">
          <w:rPr>
            <w:noProof/>
            <w:webHidden/>
          </w:rPr>
          <w:fldChar w:fldCharType="begin"/>
        </w:r>
        <w:r w:rsidR="00C5519D">
          <w:rPr>
            <w:noProof/>
            <w:webHidden/>
          </w:rPr>
          <w:instrText xml:space="preserve"> PAGEREF _Toc182319537 \h </w:instrText>
        </w:r>
        <w:r w:rsidR="00C5519D">
          <w:rPr>
            <w:noProof/>
            <w:webHidden/>
          </w:rPr>
        </w:r>
        <w:r w:rsidR="00C5519D">
          <w:rPr>
            <w:noProof/>
            <w:webHidden/>
          </w:rPr>
          <w:fldChar w:fldCharType="separate"/>
        </w:r>
        <w:r w:rsidR="00C5519D">
          <w:rPr>
            <w:noProof/>
            <w:webHidden/>
          </w:rPr>
          <w:t>19</w:t>
        </w:r>
        <w:r w:rsidR="00C5519D">
          <w:rPr>
            <w:noProof/>
            <w:webHidden/>
          </w:rPr>
          <w:fldChar w:fldCharType="end"/>
        </w:r>
      </w:hyperlink>
    </w:p>
    <w:p w14:paraId="1C3053BF" w14:textId="3442B6B9" w:rsidR="00C5519D" w:rsidRDefault="00000000">
      <w:pPr>
        <w:pStyle w:val="Spistreci3"/>
        <w:rPr>
          <w:rFonts w:asciiTheme="minorHAnsi" w:eastAsiaTheme="minorEastAsia" w:hAnsiTheme="minorHAnsi" w:cstheme="minorBidi"/>
          <w:noProof/>
          <w:color w:val="auto"/>
          <w:lang w:eastAsia="pl-PL"/>
        </w:rPr>
      </w:pPr>
      <w:hyperlink w:anchor="_Toc182319538" w:history="1">
        <w:r w:rsidR="00C5519D" w:rsidRPr="007D476E">
          <w:rPr>
            <w:rStyle w:val="Hipercze"/>
            <w:noProof/>
          </w:rPr>
          <w:t>6.</w:t>
        </w:r>
        <w:r w:rsidR="00C5519D">
          <w:rPr>
            <w:rFonts w:asciiTheme="minorHAnsi" w:eastAsiaTheme="minorEastAsia" w:hAnsiTheme="minorHAnsi" w:cstheme="minorBidi"/>
            <w:noProof/>
            <w:color w:val="auto"/>
            <w:lang w:eastAsia="pl-PL"/>
          </w:rPr>
          <w:tab/>
        </w:r>
        <w:r w:rsidR="00C5519D" w:rsidRPr="007D476E">
          <w:rPr>
            <w:rStyle w:val="Hipercze"/>
            <w:noProof/>
          </w:rPr>
          <w:t>Pomieszczenia do prac biurowych</w:t>
        </w:r>
        <w:r w:rsidR="00C5519D">
          <w:rPr>
            <w:noProof/>
            <w:webHidden/>
          </w:rPr>
          <w:tab/>
        </w:r>
        <w:r w:rsidR="00C5519D">
          <w:rPr>
            <w:noProof/>
            <w:webHidden/>
          </w:rPr>
          <w:fldChar w:fldCharType="begin"/>
        </w:r>
        <w:r w:rsidR="00C5519D">
          <w:rPr>
            <w:noProof/>
            <w:webHidden/>
          </w:rPr>
          <w:instrText xml:space="preserve"> PAGEREF _Toc182319538 \h </w:instrText>
        </w:r>
        <w:r w:rsidR="00C5519D">
          <w:rPr>
            <w:noProof/>
            <w:webHidden/>
          </w:rPr>
        </w:r>
        <w:r w:rsidR="00C5519D">
          <w:rPr>
            <w:noProof/>
            <w:webHidden/>
          </w:rPr>
          <w:fldChar w:fldCharType="separate"/>
        </w:r>
        <w:r w:rsidR="00C5519D">
          <w:rPr>
            <w:noProof/>
            <w:webHidden/>
          </w:rPr>
          <w:t>19</w:t>
        </w:r>
        <w:r w:rsidR="00C5519D">
          <w:rPr>
            <w:noProof/>
            <w:webHidden/>
          </w:rPr>
          <w:fldChar w:fldCharType="end"/>
        </w:r>
      </w:hyperlink>
    </w:p>
    <w:p w14:paraId="050997EA" w14:textId="5456CF63" w:rsidR="00C5519D" w:rsidRDefault="00000000">
      <w:pPr>
        <w:pStyle w:val="Spistreci3"/>
        <w:rPr>
          <w:rFonts w:asciiTheme="minorHAnsi" w:eastAsiaTheme="minorEastAsia" w:hAnsiTheme="minorHAnsi" w:cstheme="minorBidi"/>
          <w:noProof/>
          <w:color w:val="auto"/>
          <w:lang w:eastAsia="pl-PL"/>
        </w:rPr>
      </w:pPr>
      <w:hyperlink w:anchor="_Toc182319539" w:history="1">
        <w:r w:rsidR="00C5519D" w:rsidRPr="007D476E">
          <w:rPr>
            <w:rStyle w:val="Hipercze"/>
            <w:noProof/>
          </w:rPr>
          <w:t>7.</w:t>
        </w:r>
        <w:r w:rsidR="00C5519D">
          <w:rPr>
            <w:rFonts w:asciiTheme="minorHAnsi" w:eastAsiaTheme="minorEastAsia" w:hAnsiTheme="minorHAnsi" w:cstheme="minorBidi"/>
            <w:noProof/>
            <w:color w:val="auto"/>
            <w:lang w:eastAsia="pl-PL"/>
          </w:rPr>
          <w:tab/>
        </w:r>
        <w:r w:rsidR="00C5519D" w:rsidRPr="007D476E">
          <w:rPr>
            <w:rStyle w:val="Hipercze"/>
            <w:noProof/>
          </w:rPr>
          <w:t>Laboratoria i sale operacyjne</w:t>
        </w:r>
        <w:r w:rsidR="00C5519D">
          <w:rPr>
            <w:noProof/>
            <w:webHidden/>
          </w:rPr>
          <w:tab/>
        </w:r>
        <w:r w:rsidR="00C5519D">
          <w:rPr>
            <w:noProof/>
            <w:webHidden/>
          </w:rPr>
          <w:fldChar w:fldCharType="begin"/>
        </w:r>
        <w:r w:rsidR="00C5519D">
          <w:rPr>
            <w:noProof/>
            <w:webHidden/>
          </w:rPr>
          <w:instrText xml:space="preserve"> PAGEREF _Toc182319539 \h </w:instrText>
        </w:r>
        <w:r w:rsidR="00C5519D">
          <w:rPr>
            <w:noProof/>
            <w:webHidden/>
          </w:rPr>
        </w:r>
        <w:r w:rsidR="00C5519D">
          <w:rPr>
            <w:noProof/>
            <w:webHidden/>
          </w:rPr>
          <w:fldChar w:fldCharType="separate"/>
        </w:r>
        <w:r w:rsidR="00C5519D">
          <w:rPr>
            <w:noProof/>
            <w:webHidden/>
          </w:rPr>
          <w:t>20</w:t>
        </w:r>
        <w:r w:rsidR="00C5519D">
          <w:rPr>
            <w:noProof/>
            <w:webHidden/>
          </w:rPr>
          <w:fldChar w:fldCharType="end"/>
        </w:r>
      </w:hyperlink>
    </w:p>
    <w:p w14:paraId="5C159119" w14:textId="3AE5560A" w:rsidR="00C5519D" w:rsidRDefault="00000000">
      <w:pPr>
        <w:pStyle w:val="Spistreci3"/>
        <w:rPr>
          <w:rFonts w:asciiTheme="minorHAnsi" w:eastAsiaTheme="minorEastAsia" w:hAnsiTheme="minorHAnsi" w:cstheme="minorBidi"/>
          <w:noProof/>
          <w:color w:val="auto"/>
          <w:lang w:eastAsia="pl-PL"/>
        </w:rPr>
      </w:pPr>
      <w:hyperlink w:anchor="_Toc182319540" w:history="1">
        <w:r w:rsidR="00C5519D" w:rsidRPr="007D476E">
          <w:rPr>
            <w:rStyle w:val="Hipercze"/>
            <w:noProof/>
          </w:rPr>
          <w:t>8.</w:t>
        </w:r>
        <w:r w:rsidR="00C5519D">
          <w:rPr>
            <w:rFonts w:asciiTheme="minorHAnsi" w:eastAsiaTheme="minorEastAsia" w:hAnsiTheme="minorHAnsi" w:cstheme="minorBidi"/>
            <w:noProof/>
            <w:color w:val="auto"/>
            <w:lang w:eastAsia="pl-PL"/>
          </w:rPr>
          <w:tab/>
        </w:r>
        <w:r w:rsidR="00C5519D" w:rsidRPr="007D476E">
          <w:rPr>
            <w:rStyle w:val="Hipercze"/>
            <w:noProof/>
          </w:rPr>
          <w:t>Przestrzenie pokazowe (</w:t>
        </w:r>
        <w:r w:rsidR="00C5519D" w:rsidRPr="007D476E">
          <w:rPr>
            <w:rStyle w:val="Hipercze"/>
            <w:noProof/>
            <w:lang w:val="en-GB"/>
          </w:rPr>
          <w:t>demonstration areas</w:t>
        </w:r>
        <w:r w:rsidR="00C5519D" w:rsidRPr="007D476E">
          <w:rPr>
            <w:rStyle w:val="Hipercze"/>
            <w:noProof/>
          </w:rPr>
          <w:t>)</w:t>
        </w:r>
        <w:r w:rsidR="00C5519D">
          <w:rPr>
            <w:noProof/>
            <w:webHidden/>
          </w:rPr>
          <w:tab/>
        </w:r>
        <w:r w:rsidR="00C5519D">
          <w:rPr>
            <w:noProof/>
            <w:webHidden/>
          </w:rPr>
          <w:fldChar w:fldCharType="begin"/>
        </w:r>
        <w:r w:rsidR="00C5519D">
          <w:rPr>
            <w:noProof/>
            <w:webHidden/>
          </w:rPr>
          <w:instrText xml:space="preserve"> PAGEREF _Toc182319540 \h </w:instrText>
        </w:r>
        <w:r w:rsidR="00C5519D">
          <w:rPr>
            <w:noProof/>
            <w:webHidden/>
          </w:rPr>
        </w:r>
        <w:r w:rsidR="00C5519D">
          <w:rPr>
            <w:noProof/>
            <w:webHidden/>
          </w:rPr>
          <w:fldChar w:fldCharType="separate"/>
        </w:r>
        <w:r w:rsidR="00C5519D">
          <w:rPr>
            <w:noProof/>
            <w:webHidden/>
          </w:rPr>
          <w:t>21</w:t>
        </w:r>
        <w:r w:rsidR="00C5519D">
          <w:rPr>
            <w:noProof/>
            <w:webHidden/>
          </w:rPr>
          <w:fldChar w:fldCharType="end"/>
        </w:r>
      </w:hyperlink>
    </w:p>
    <w:p w14:paraId="426C428D" w14:textId="3995CFEF" w:rsidR="00C5519D" w:rsidRDefault="00000000">
      <w:pPr>
        <w:pStyle w:val="Spistreci3"/>
        <w:rPr>
          <w:rFonts w:asciiTheme="minorHAnsi" w:eastAsiaTheme="minorEastAsia" w:hAnsiTheme="minorHAnsi" w:cstheme="minorBidi"/>
          <w:noProof/>
          <w:color w:val="auto"/>
          <w:lang w:eastAsia="pl-PL"/>
        </w:rPr>
      </w:pPr>
      <w:hyperlink w:anchor="_Toc182319541" w:history="1">
        <w:r w:rsidR="00C5519D" w:rsidRPr="007D476E">
          <w:rPr>
            <w:rStyle w:val="Hipercze"/>
            <w:noProof/>
          </w:rPr>
          <w:t>9.</w:t>
        </w:r>
        <w:r w:rsidR="00C5519D">
          <w:rPr>
            <w:rFonts w:asciiTheme="minorHAnsi" w:eastAsiaTheme="minorEastAsia" w:hAnsiTheme="minorHAnsi" w:cstheme="minorBidi"/>
            <w:noProof/>
            <w:color w:val="auto"/>
            <w:lang w:eastAsia="pl-PL"/>
          </w:rPr>
          <w:tab/>
        </w:r>
        <w:r w:rsidR="00C5519D" w:rsidRPr="007D476E">
          <w:rPr>
            <w:rStyle w:val="Hipercze"/>
            <w:noProof/>
          </w:rPr>
          <w:t>Warsztaty, hale i magazyny</w:t>
        </w:r>
        <w:r w:rsidR="00C5519D">
          <w:rPr>
            <w:noProof/>
            <w:webHidden/>
          </w:rPr>
          <w:tab/>
        </w:r>
        <w:r w:rsidR="00C5519D">
          <w:rPr>
            <w:noProof/>
            <w:webHidden/>
          </w:rPr>
          <w:fldChar w:fldCharType="begin"/>
        </w:r>
        <w:r w:rsidR="00C5519D">
          <w:rPr>
            <w:noProof/>
            <w:webHidden/>
          </w:rPr>
          <w:instrText xml:space="preserve"> PAGEREF _Toc182319541 \h </w:instrText>
        </w:r>
        <w:r w:rsidR="00C5519D">
          <w:rPr>
            <w:noProof/>
            <w:webHidden/>
          </w:rPr>
        </w:r>
        <w:r w:rsidR="00C5519D">
          <w:rPr>
            <w:noProof/>
            <w:webHidden/>
          </w:rPr>
          <w:fldChar w:fldCharType="separate"/>
        </w:r>
        <w:r w:rsidR="00C5519D">
          <w:rPr>
            <w:noProof/>
            <w:webHidden/>
          </w:rPr>
          <w:t>21</w:t>
        </w:r>
        <w:r w:rsidR="00C5519D">
          <w:rPr>
            <w:noProof/>
            <w:webHidden/>
          </w:rPr>
          <w:fldChar w:fldCharType="end"/>
        </w:r>
      </w:hyperlink>
    </w:p>
    <w:p w14:paraId="4E41E63A" w14:textId="08FB8C9C" w:rsidR="00C5519D" w:rsidRDefault="00000000">
      <w:pPr>
        <w:pStyle w:val="Spistreci3"/>
        <w:rPr>
          <w:rFonts w:asciiTheme="minorHAnsi" w:eastAsiaTheme="minorEastAsia" w:hAnsiTheme="minorHAnsi" w:cstheme="minorBidi"/>
          <w:noProof/>
          <w:color w:val="auto"/>
          <w:lang w:eastAsia="pl-PL"/>
        </w:rPr>
      </w:pPr>
      <w:hyperlink w:anchor="_Toc182319542" w:history="1">
        <w:r w:rsidR="00C5519D" w:rsidRPr="007D476E">
          <w:rPr>
            <w:rStyle w:val="Hipercze"/>
            <w:noProof/>
          </w:rPr>
          <w:t>10.</w:t>
        </w:r>
        <w:r w:rsidR="00C5519D">
          <w:rPr>
            <w:rFonts w:asciiTheme="minorHAnsi" w:eastAsiaTheme="minorEastAsia" w:hAnsiTheme="minorHAnsi" w:cstheme="minorBidi"/>
            <w:noProof/>
            <w:color w:val="auto"/>
            <w:lang w:eastAsia="pl-PL"/>
          </w:rPr>
          <w:tab/>
        </w:r>
        <w:r w:rsidR="00C5519D" w:rsidRPr="007D476E">
          <w:rPr>
            <w:rStyle w:val="Hipercze"/>
            <w:noProof/>
          </w:rPr>
          <w:t>Szatnie i przebieralnie</w:t>
        </w:r>
        <w:r w:rsidR="00C5519D">
          <w:rPr>
            <w:noProof/>
            <w:webHidden/>
          </w:rPr>
          <w:tab/>
        </w:r>
        <w:r w:rsidR="00C5519D">
          <w:rPr>
            <w:noProof/>
            <w:webHidden/>
          </w:rPr>
          <w:fldChar w:fldCharType="begin"/>
        </w:r>
        <w:r w:rsidR="00C5519D">
          <w:rPr>
            <w:noProof/>
            <w:webHidden/>
          </w:rPr>
          <w:instrText xml:space="preserve"> PAGEREF _Toc182319542 \h </w:instrText>
        </w:r>
        <w:r w:rsidR="00C5519D">
          <w:rPr>
            <w:noProof/>
            <w:webHidden/>
          </w:rPr>
        </w:r>
        <w:r w:rsidR="00C5519D">
          <w:rPr>
            <w:noProof/>
            <w:webHidden/>
          </w:rPr>
          <w:fldChar w:fldCharType="separate"/>
        </w:r>
        <w:r w:rsidR="00C5519D">
          <w:rPr>
            <w:noProof/>
            <w:webHidden/>
          </w:rPr>
          <w:t>22</w:t>
        </w:r>
        <w:r w:rsidR="00C5519D">
          <w:rPr>
            <w:noProof/>
            <w:webHidden/>
          </w:rPr>
          <w:fldChar w:fldCharType="end"/>
        </w:r>
      </w:hyperlink>
    </w:p>
    <w:p w14:paraId="512A1217" w14:textId="5B6277C8" w:rsidR="00C5519D" w:rsidRDefault="00000000" w:rsidP="00C5519D">
      <w:pPr>
        <w:pStyle w:val="Spistreci4"/>
        <w:rPr>
          <w:rFonts w:asciiTheme="minorHAnsi" w:eastAsiaTheme="minorEastAsia" w:hAnsiTheme="minorHAnsi" w:cstheme="minorBidi"/>
          <w:noProof/>
          <w:color w:val="auto"/>
          <w:lang w:eastAsia="pl-PL"/>
        </w:rPr>
      </w:pPr>
      <w:hyperlink w:anchor="_Toc182319543" w:history="1">
        <w:r w:rsidR="00C5519D" w:rsidRPr="007D476E">
          <w:rPr>
            <w:rStyle w:val="Hipercze"/>
            <w:noProof/>
          </w:rPr>
          <w:t>10.1.</w:t>
        </w:r>
        <w:r w:rsidR="00C5519D">
          <w:rPr>
            <w:rFonts w:asciiTheme="minorHAnsi" w:eastAsiaTheme="minorEastAsia" w:hAnsiTheme="minorHAnsi" w:cstheme="minorBidi"/>
            <w:noProof/>
            <w:color w:val="auto"/>
            <w:lang w:eastAsia="pl-PL"/>
          </w:rPr>
          <w:tab/>
        </w:r>
        <w:r w:rsidR="00C5519D" w:rsidRPr="007D476E">
          <w:rPr>
            <w:rStyle w:val="Hipercze"/>
            <w:noProof/>
          </w:rPr>
          <w:t>Szafki na odzież ochronną i osobistą</w:t>
        </w:r>
        <w:r w:rsidR="00C5519D">
          <w:rPr>
            <w:noProof/>
            <w:webHidden/>
          </w:rPr>
          <w:tab/>
        </w:r>
        <w:r w:rsidR="00C5519D">
          <w:rPr>
            <w:noProof/>
            <w:webHidden/>
          </w:rPr>
          <w:fldChar w:fldCharType="begin"/>
        </w:r>
        <w:r w:rsidR="00C5519D">
          <w:rPr>
            <w:noProof/>
            <w:webHidden/>
          </w:rPr>
          <w:instrText xml:space="preserve"> PAGEREF _Toc182319543 \h </w:instrText>
        </w:r>
        <w:r w:rsidR="00C5519D">
          <w:rPr>
            <w:noProof/>
            <w:webHidden/>
          </w:rPr>
        </w:r>
        <w:r w:rsidR="00C5519D">
          <w:rPr>
            <w:noProof/>
            <w:webHidden/>
          </w:rPr>
          <w:fldChar w:fldCharType="separate"/>
        </w:r>
        <w:r w:rsidR="00C5519D">
          <w:rPr>
            <w:noProof/>
            <w:webHidden/>
          </w:rPr>
          <w:t>22</w:t>
        </w:r>
        <w:r w:rsidR="00C5519D">
          <w:rPr>
            <w:noProof/>
            <w:webHidden/>
          </w:rPr>
          <w:fldChar w:fldCharType="end"/>
        </w:r>
      </w:hyperlink>
    </w:p>
    <w:p w14:paraId="5604E016" w14:textId="4DC6C6ED" w:rsidR="00C5519D" w:rsidRDefault="00000000" w:rsidP="00C5519D">
      <w:pPr>
        <w:pStyle w:val="Spistreci4"/>
        <w:rPr>
          <w:rFonts w:asciiTheme="minorHAnsi" w:eastAsiaTheme="minorEastAsia" w:hAnsiTheme="minorHAnsi" w:cstheme="minorBidi"/>
          <w:noProof/>
          <w:color w:val="auto"/>
          <w:lang w:eastAsia="pl-PL"/>
        </w:rPr>
      </w:pPr>
      <w:hyperlink w:anchor="_Toc182319544" w:history="1">
        <w:r w:rsidR="00C5519D" w:rsidRPr="007D476E">
          <w:rPr>
            <w:rStyle w:val="Hipercze"/>
            <w:noProof/>
          </w:rPr>
          <w:t>10.2.</w:t>
        </w:r>
        <w:r w:rsidR="00C5519D">
          <w:rPr>
            <w:rFonts w:asciiTheme="minorHAnsi" w:eastAsiaTheme="minorEastAsia" w:hAnsiTheme="minorHAnsi" w:cstheme="minorBidi"/>
            <w:noProof/>
            <w:color w:val="auto"/>
            <w:lang w:eastAsia="pl-PL"/>
          </w:rPr>
          <w:tab/>
        </w:r>
        <w:r w:rsidR="00C5519D" w:rsidRPr="007D476E">
          <w:rPr>
            <w:rStyle w:val="Hipercze"/>
            <w:noProof/>
          </w:rPr>
          <w:t>Przebieralnie</w:t>
        </w:r>
        <w:r w:rsidR="00C5519D">
          <w:rPr>
            <w:noProof/>
            <w:webHidden/>
          </w:rPr>
          <w:tab/>
        </w:r>
        <w:r w:rsidR="00C5519D">
          <w:rPr>
            <w:noProof/>
            <w:webHidden/>
          </w:rPr>
          <w:fldChar w:fldCharType="begin"/>
        </w:r>
        <w:r w:rsidR="00C5519D">
          <w:rPr>
            <w:noProof/>
            <w:webHidden/>
          </w:rPr>
          <w:instrText xml:space="preserve"> PAGEREF _Toc182319544 \h </w:instrText>
        </w:r>
        <w:r w:rsidR="00C5519D">
          <w:rPr>
            <w:noProof/>
            <w:webHidden/>
          </w:rPr>
        </w:r>
        <w:r w:rsidR="00C5519D">
          <w:rPr>
            <w:noProof/>
            <w:webHidden/>
          </w:rPr>
          <w:fldChar w:fldCharType="separate"/>
        </w:r>
        <w:r w:rsidR="00C5519D">
          <w:rPr>
            <w:noProof/>
            <w:webHidden/>
          </w:rPr>
          <w:t>22</w:t>
        </w:r>
        <w:r w:rsidR="00C5519D">
          <w:rPr>
            <w:noProof/>
            <w:webHidden/>
          </w:rPr>
          <w:fldChar w:fldCharType="end"/>
        </w:r>
      </w:hyperlink>
    </w:p>
    <w:p w14:paraId="14157CC5" w14:textId="03EDD66F" w:rsidR="00C5519D" w:rsidRDefault="00000000">
      <w:pPr>
        <w:pStyle w:val="Spistreci3"/>
        <w:rPr>
          <w:rFonts w:asciiTheme="minorHAnsi" w:eastAsiaTheme="minorEastAsia" w:hAnsiTheme="minorHAnsi" w:cstheme="minorBidi"/>
          <w:noProof/>
          <w:color w:val="auto"/>
          <w:lang w:eastAsia="pl-PL"/>
        </w:rPr>
      </w:pPr>
      <w:hyperlink w:anchor="_Toc182319545" w:history="1">
        <w:r w:rsidR="00C5519D" w:rsidRPr="007D476E">
          <w:rPr>
            <w:rStyle w:val="Hipercze"/>
            <w:noProof/>
          </w:rPr>
          <w:t>11.</w:t>
        </w:r>
        <w:r w:rsidR="00C5519D">
          <w:rPr>
            <w:rFonts w:asciiTheme="minorHAnsi" w:eastAsiaTheme="minorEastAsia" w:hAnsiTheme="minorHAnsi" w:cstheme="minorBidi"/>
            <w:noProof/>
            <w:color w:val="auto"/>
            <w:lang w:eastAsia="pl-PL"/>
          </w:rPr>
          <w:tab/>
        </w:r>
        <w:r w:rsidR="00C5519D" w:rsidRPr="007D476E">
          <w:rPr>
            <w:rStyle w:val="Hipercze"/>
            <w:noProof/>
          </w:rPr>
          <w:t>Pomieszczenia higieniczne i sanitarne</w:t>
        </w:r>
        <w:r w:rsidR="00C5519D">
          <w:rPr>
            <w:noProof/>
            <w:webHidden/>
          </w:rPr>
          <w:tab/>
        </w:r>
        <w:r w:rsidR="00C5519D">
          <w:rPr>
            <w:noProof/>
            <w:webHidden/>
          </w:rPr>
          <w:fldChar w:fldCharType="begin"/>
        </w:r>
        <w:r w:rsidR="00C5519D">
          <w:rPr>
            <w:noProof/>
            <w:webHidden/>
          </w:rPr>
          <w:instrText xml:space="preserve"> PAGEREF _Toc182319545 \h </w:instrText>
        </w:r>
        <w:r w:rsidR="00C5519D">
          <w:rPr>
            <w:noProof/>
            <w:webHidden/>
          </w:rPr>
        </w:r>
        <w:r w:rsidR="00C5519D">
          <w:rPr>
            <w:noProof/>
            <w:webHidden/>
          </w:rPr>
          <w:fldChar w:fldCharType="separate"/>
        </w:r>
        <w:r w:rsidR="00C5519D">
          <w:rPr>
            <w:noProof/>
            <w:webHidden/>
          </w:rPr>
          <w:t>23</w:t>
        </w:r>
        <w:r w:rsidR="00C5519D">
          <w:rPr>
            <w:noProof/>
            <w:webHidden/>
          </w:rPr>
          <w:fldChar w:fldCharType="end"/>
        </w:r>
      </w:hyperlink>
    </w:p>
    <w:p w14:paraId="17603DB4" w14:textId="6C652755" w:rsidR="00C5519D" w:rsidRDefault="00000000" w:rsidP="00C5519D">
      <w:pPr>
        <w:pStyle w:val="Spistreci4"/>
        <w:rPr>
          <w:rFonts w:asciiTheme="minorHAnsi" w:eastAsiaTheme="minorEastAsia" w:hAnsiTheme="minorHAnsi" w:cstheme="minorBidi"/>
          <w:noProof/>
          <w:color w:val="auto"/>
          <w:lang w:eastAsia="pl-PL"/>
        </w:rPr>
      </w:pPr>
      <w:hyperlink w:anchor="_Toc182319546" w:history="1">
        <w:r w:rsidR="00C5519D" w:rsidRPr="007D476E">
          <w:rPr>
            <w:rStyle w:val="Hipercze"/>
            <w:noProof/>
          </w:rPr>
          <w:t>11.1.</w:t>
        </w:r>
        <w:r w:rsidR="00C5519D">
          <w:rPr>
            <w:rFonts w:asciiTheme="minorHAnsi" w:eastAsiaTheme="minorEastAsia" w:hAnsiTheme="minorHAnsi" w:cstheme="minorBidi"/>
            <w:noProof/>
            <w:color w:val="auto"/>
            <w:lang w:eastAsia="pl-PL"/>
          </w:rPr>
          <w:tab/>
        </w:r>
        <w:r w:rsidR="00C5519D" w:rsidRPr="007D476E">
          <w:rPr>
            <w:rStyle w:val="Hipercze"/>
            <w:noProof/>
          </w:rPr>
          <w:t>Toalety</w:t>
        </w:r>
        <w:r w:rsidR="00C5519D">
          <w:rPr>
            <w:noProof/>
            <w:webHidden/>
          </w:rPr>
          <w:tab/>
        </w:r>
        <w:r w:rsidR="00C5519D">
          <w:rPr>
            <w:noProof/>
            <w:webHidden/>
          </w:rPr>
          <w:fldChar w:fldCharType="begin"/>
        </w:r>
        <w:r w:rsidR="00C5519D">
          <w:rPr>
            <w:noProof/>
            <w:webHidden/>
          </w:rPr>
          <w:instrText xml:space="preserve"> PAGEREF _Toc182319546 \h </w:instrText>
        </w:r>
        <w:r w:rsidR="00C5519D">
          <w:rPr>
            <w:noProof/>
            <w:webHidden/>
          </w:rPr>
        </w:r>
        <w:r w:rsidR="00C5519D">
          <w:rPr>
            <w:noProof/>
            <w:webHidden/>
          </w:rPr>
          <w:fldChar w:fldCharType="separate"/>
        </w:r>
        <w:r w:rsidR="00C5519D">
          <w:rPr>
            <w:noProof/>
            <w:webHidden/>
          </w:rPr>
          <w:t>23</w:t>
        </w:r>
        <w:r w:rsidR="00C5519D">
          <w:rPr>
            <w:noProof/>
            <w:webHidden/>
          </w:rPr>
          <w:fldChar w:fldCharType="end"/>
        </w:r>
      </w:hyperlink>
    </w:p>
    <w:p w14:paraId="622BD557" w14:textId="554FECE2" w:rsidR="00C5519D" w:rsidRDefault="00000000" w:rsidP="00C5519D">
      <w:pPr>
        <w:pStyle w:val="Spistreci4"/>
        <w:rPr>
          <w:rFonts w:asciiTheme="minorHAnsi" w:eastAsiaTheme="minorEastAsia" w:hAnsiTheme="minorHAnsi" w:cstheme="minorBidi"/>
          <w:noProof/>
          <w:color w:val="auto"/>
          <w:lang w:eastAsia="pl-PL"/>
        </w:rPr>
      </w:pPr>
      <w:hyperlink w:anchor="_Toc182319547" w:history="1">
        <w:r w:rsidR="00C5519D" w:rsidRPr="007D476E">
          <w:rPr>
            <w:rStyle w:val="Hipercze"/>
            <w:noProof/>
          </w:rPr>
          <w:t>11.2.</w:t>
        </w:r>
        <w:r w:rsidR="00C5519D">
          <w:rPr>
            <w:rFonts w:asciiTheme="minorHAnsi" w:eastAsiaTheme="minorEastAsia" w:hAnsiTheme="minorHAnsi" w:cstheme="minorBidi"/>
            <w:noProof/>
            <w:color w:val="auto"/>
            <w:lang w:eastAsia="pl-PL"/>
          </w:rPr>
          <w:tab/>
        </w:r>
        <w:r w:rsidR="00C5519D" w:rsidRPr="007D476E">
          <w:rPr>
            <w:rStyle w:val="Hipercze"/>
            <w:noProof/>
          </w:rPr>
          <w:t>Pomieszczenia z przewijakami</w:t>
        </w:r>
        <w:r w:rsidR="00C5519D">
          <w:rPr>
            <w:noProof/>
            <w:webHidden/>
          </w:rPr>
          <w:tab/>
        </w:r>
        <w:r w:rsidR="00C5519D">
          <w:rPr>
            <w:noProof/>
            <w:webHidden/>
          </w:rPr>
          <w:fldChar w:fldCharType="begin"/>
        </w:r>
        <w:r w:rsidR="00C5519D">
          <w:rPr>
            <w:noProof/>
            <w:webHidden/>
          </w:rPr>
          <w:instrText xml:space="preserve"> PAGEREF _Toc182319547 \h </w:instrText>
        </w:r>
        <w:r w:rsidR="00C5519D">
          <w:rPr>
            <w:noProof/>
            <w:webHidden/>
          </w:rPr>
        </w:r>
        <w:r w:rsidR="00C5519D">
          <w:rPr>
            <w:noProof/>
            <w:webHidden/>
          </w:rPr>
          <w:fldChar w:fldCharType="separate"/>
        </w:r>
        <w:r w:rsidR="00C5519D">
          <w:rPr>
            <w:noProof/>
            <w:webHidden/>
          </w:rPr>
          <w:t>23</w:t>
        </w:r>
        <w:r w:rsidR="00C5519D">
          <w:rPr>
            <w:noProof/>
            <w:webHidden/>
          </w:rPr>
          <w:fldChar w:fldCharType="end"/>
        </w:r>
      </w:hyperlink>
    </w:p>
    <w:p w14:paraId="46A4583A" w14:textId="5D7BAD38" w:rsidR="00C5519D" w:rsidRDefault="00000000" w:rsidP="00C5519D">
      <w:pPr>
        <w:pStyle w:val="Spistreci5"/>
        <w:rPr>
          <w:rFonts w:asciiTheme="minorHAnsi" w:eastAsiaTheme="minorEastAsia" w:hAnsiTheme="minorHAnsi" w:cstheme="minorBidi"/>
          <w:noProof/>
          <w:color w:val="auto"/>
          <w:lang w:eastAsia="pl-PL"/>
        </w:rPr>
      </w:pPr>
      <w:hyperlink w:anchor="_Toc182319548" w:history="1">
        <w:r w:rsidR="00C5519D" w:rsidRPr="007D476E">
          <w:rPr>
            <w:rStyle w:val="Hipercze"/>
            <w:noProof/>
          </w:rPr>
          <w:t>Przewijaki dla dzieci</w:t>
        </w:r>
        <w:r w:rsidR="00C5519D">
          <w:rPr>
            <w:noProof/>
            <w:webHidden/>
          </w:rPr>
          <w:tab/>
        </w:r>
        <w:r w:rsidR="00C5519D">
          <w:rPr>
            <w:noProof/>
            <w:webHidden/>
          </w:rPr>
          <w:fldChar w:fldCharType="begin"/>
        </w:r>
        <w:r w:rsidR="00C5519D">
          <w:rPr>
            <w:noProof/>
            <w:webHidden/>
          </w:rPr>
          <w:instrText xml:space="preserve"> PAGEREF _Toc182319548 \h </w:instrText>
        </w:r>
        <w:r w:rsidR="00C5519D">
          <w:rPr>
            <w:noProof/>
            <w:webHidden/>
          </w:rPr>
        </w:r>
        <w:r w:rsidR="00C5519D">
          <w:rPr>
            <w:noProof/>
            <w:webHidden/>
          </w:rPr>
          <w:fldChar w:fldCharType="separate"/>
        </w:r>
        <w:r w:rsidR="00C5519D">
          <w:rPr>
            <w:noProof/>
            <w:webHidden/>
          </w:rPr>
          <w:t>23</w:t>
        </w:r>
        <w:r w:rsidR="00C5519D">
          <w:rPr>
            <w:noProof/>
            <w:webHidden/>
          </w:rPr>
          <w:fldChar w:fldCharType="end"/>
        </w:r>
      </w:hyperlink>
    </w:p>
    <w:p w14:paraId="29D978F2" w14:textId="02690FB0" w:rsidR="00C5519D" w:rsidRDefault="00000000" w:rsidP="00C5519D">
      <w:pPr>
        <w:pStyle w:val="Spistreci5"/>
        <w:rPr>
          <w:rFonts w:asciiTheme="minorHAnsi" w:eastAsiaTheme="minorEastAsia" w:hAnsiTheme="minorHAnsi" w:cstheme="minorBidi"/>
          <w:noProof/>
          <w:color w:val="auto"/>
          <w:lang w:eastAsia="pl-PL"/>
        </w:rPr>
      </w:pPr>
      <w:hyperlink w:anchor="_Toc182319549" w:history="1">
        <w:r w:rsidR="00C5519D" w:rsidRPr="007D476E">
          <w:rPr>
            <w:rStyle w:val="Hipercze"/>
            <w:noProof/>
          </w:rPr>
          <w:t>Przewijaki/komfortki dla osób dorosłych</w:t>
        </w:r>
        <w:r w:rsidR="00C5519D">
          <w:rPr>
            <w:noProof/>
            <w:webHidden/>
          </w:rPr>
          <w:tab/>
        </w:r>
        <w:r w:rsidR="00C5519D">
          <w:rPr>
            <w:noProof/>
            <w:webHidden/>
          </w:rPr>
          <w:fldChar w:fldCharType="begin"/>
        </w:r>
        <w:r w:rsidR="00C5519D">
          <w:rPr>
            <w:noProof/>
            <w:webHidden/>
          </w:rPr>
          <w:instrText xml:space="preserve"> PAGEREF _Toc182319549 \h </w:instrText>
        </w:r>
        <w:r w:rsidR="00C5519D">
          <w:rPr>
            <w:noProof/>
            <w:webHidden/>
          </w:rPr>
        </w:r>
        <w:r w:rsidR="00C5519D">
          <w:rPr>
            <w:noProof/>
            <w:webHidden/>
          </w:rPr>
          <w:fldChar w:fldCharType="separate"/>
        </w:r>
        <w:r w:rsidR="00C5519D">
          <w:rPr>
            <w:noProof/>
            <w:webHidden/>
          </w:rPr>
          <w:t>24</w:t>
        </w:r>
        <w:r w:rsidR="00C5519D">
          <w:rPr>
            <w:noProof/>
            <w:webHidden/>
          </w:rPr>
          <w:fldChar w:fldCharType="end"/>
        </w:r>
      </w:hyperlink>
    </w:p>
    <w:p w14:paraId="1701A785" w14:textId="28D65D99" w:rsidR="00C5519D" w:rsidRDefault="00000000" w:rsidP="00C5519D">
      <w:pPr>
        <w:pStyle w:val="Spistreci4"/>
        <w:rPr>
          <w:rFonts w:asciiTheme="minorHAnsi" w:eastAsiaTheme="minorEastAsia" w:hAnsiTheme="minorHAnsi" w:cstheme="minorBidi"/>
          <w:noProof/>
          <w:color w:val="auto"/>
          <w:lang w:eastAsia="pl-PL"/>
        </w:rPr>
      </w:pPr>
      <w:hyperlink w:anchor="_Toc182319550" w:history="1">
        <w:r w:rsidR="00C5519D" w:rsidRPr="007D476E">
          <w:rPr>
            <w:rStyle w:val="Hipercze"/>
            <w:noProof/>
          </w:rPr>
          <w:t>11.3.</w:t>
        </w:r>
        <w:r w:rsidR="00C5519D">
          <w:rPr>
            <w:rFonts w:asciiTheme="minorHAnsi" w:eastAsiaTheme="minorEastAsia" w:hAnsiTheme="minorHAnsi" w:cstheme="minorBidi"/>
            <w:noProof/>
            <w:color w:val="auto"/>
            <w:lang w:eastAsia="pl-PL"/>
          </w:rPr>
          <w:tab/>
        </w:r>
        <w:r w:rsidR="00C5519D" w:rsidRPr="007D476E">
          <w:rPr>
            <w:rStyle w:val="Hipercze"/>
            <w:noProof/>
          </w:rPr>
          <w:t>Prysznice/natryski</w:t>
        </w:r>
        <w:r w:rsidR="00C5519D">
          <w:rPr>
            <w:noProof/>
            <w:webHidden/>
          </w:rPr>
          <w:tab/>
        </w:r>
        <w:r w:rsidR="00C5519D">
          <w:rPr>
            <w:noProof/>
            <w:webHidden/>
          </w:rPr>
          <w:fldChar w:fldCharType="begin"/>
        </w:r>
        <w:r w:rsidR="00C5519D">
          <w:rPr>
            <w:noProof/>
            <w:webHidden/>
          </w:rPr>
          <w:instrText xml:space="preserve"> PAGEREF _Toc182319550 \h </w:instrText>
        </w:r>
        <w:r w:rsidR="00C5519D">
          <w:rPr>
            <w:noProof/>
            <w:webHidden/>
          </w:rPr>
        </w:r>
        <w:r w:rsidR="00C5519D">
          <w:rPr>
            <w:noProof/>
            <w:webHidden/>
          </w:rPr>
          <w:fldChar w:fldCharType="separate"/>
        </w:r>
        <w:r w:rsidR="00C5519D">
          <w:rPr>
            <w:noProof/>
            <w:webHidden/>
          </w:rPr>
          <w:t>25</w:t>
        </w:r>
        <w:r w:rsidR="00C5519D">
          <w:rPr>
            <w:noProof/>
            <w:webHidden/>
          </w:rPr>
          <w:fldChar w:fldCharType="end"/>
        </w:r>
      </w:hyperlink>
    </w:p>
    <w:p w14:paraId="3584575C" w14:textId="62F60629" w:rsidR="00C5519D" w:rsidRDefault="00000000" w:rsidP="00C5519D">
      <w:pPr>
        <w:pStyle w:val="Spistreci4"/>
        <w:rPr>
          <w:rFonts w:asciiTheme="minorHAnsi" w:eastAsiaTheme="minorEastAsia" w:hAnsiTheme="minorHAnsi" w:cstheme="minorBidi"/>
          <w:noProof/>
          <w:color w:val="auto"/>
          <w:lang w:eastAsia="pl-PL"/>
        </w:rPr>
      </w:pPr>
      <w:hyperlink w:anchor="_Toc182319551" w:history="1">
        <w:r w:rsidR="00C5519D" w:rsidRPr="007D476E">
          <w:rPr>
            <w:rStyle w:val="Hipercze"/>
            <w:noProof/>
          </w:rPr>
          <w:t>11.4.</w:t>
        </w:r>
        <w:r w:rsidR="00C5519D">
          <w:rPr>
            <w:rFonts w:asciiTheme="minorHAnsi" w:eastAsiaTheme="minorEastAsia" w:hAnsiTheme="minorHAnsi" w:cstheme="minorBidi"/>
            <w:noProof/>
            <w:color w:val="auto"/>
            <w:lang w:eastAsia="pl-PL"/>
          </w:rPr>
          <w:tab/>
        </w:r>
        <w:r w:rsidR="00C5519D" w:rsidRPr="007D476E">
          <w:rPr>
            <w:rStyle w:val="Hipercze"/>
            <w:noProof/>
          </w:rPr>
          <w:t>Oczomyjki i prysznice bezpieczeństwa</w:t>
        </w:r>
        <w:r w:rsidR="00C5519D">
          <w:rPr>
            <w:noProof/>
            <w:webHidden/>
          </w:rPr>
          <w:tab/>
        </w:r>
        <w:r w:rsidR="00C5519D">
          <w:rPr>
            <w:noProof/>
            <w:webHidden/>
          </w:rPr>
          <w:fldChar w:fldCharType="begin"/>
        </w:r>
        <w:r w:rsidR="00C5519D">
          <w:rPr>
            <w:noProof/>
            <w:webHidden/>
          </w:rPr>
          <w:instrText xml:space="preserve"> PAGEREF _Toc182319551 \h </w:instrText>
        </w:r>
        <w:r w:rsidR="00C5519D">
          <w:rPr>
            <w:noProof/>
            <w:webHidden/>
          </w:rPr>
        </w:r>
        <w:r w:rsidR="00C5519D">
          <w:rPr>
            <w:noProof/>
            <w:webHidden/>
          </w:rPr>
          <w:fldChar w:fldCharType="separate"/>
        </w:r>
        <w:r w:rsidR="00C5519D">
          <w:rPr>
            <w:noProof/>
            <w:webHidden/>
          </w:rPr>
          <w:t>26</w:t>
        </w:r>
        <w:r w:rsidR="00C5519D">
          <w:rPr>
            <w:noProof/>
            <w:webHidden/>
          </w:rPr>
          <w:fldChar w:fldCharType="end"/>
        </w:r>
      </w:hyperlink>
    </w:p>
    <w:p w14:paraId="3118272F" w14:textId="49A1D7D6" w:rsidR="00C5519D" w:rsidRDefault="00000000">
      <w:pPr>
        <w:pStyle w:val="Spistreci2"/>
        <w:rPr>
          <w:rFonts w:asciiTheme="minorHAnsi" w:eastAsiaTheme="minorEastAsia" w:hAnsiTheme="minorHAnsi" w:cstheme="minorBidi"/>
          <w:noProof/>
          <w:color w:val="auto"/>
          <w:lang w:eastAsia="pl-PL"/>
        </w:rPr>
      </w:pPr>
      <w:hyperlink w:anchor="_Toc182319552" w:history="1">
        <w:r w:rsidR="00C5519D" w:rsidRPr="007D476E">
          <w:rPr>
            <w:rStyle w:val="Hipercze"/>
            <w:noProof/>
          </w:rPr>
          <w:t>Rozdział 4. Obiekty i punkty mobilne</w:t>
        </w:r>
        <w:r w:rsidR="00C5519D">
          <w:rPr>
            <w:noProof/>
            <w:webHidden/>
          </w:rPr>
          <w:tab/>
        </w:r>
        <w:r w:rsidR="00C5519D">
          <w:rPr>
            <w:noProof/>
            <w:webHidden/>
          </w:rPr>
          <w:fldChar w:fldCharType="begin"/>
        </w:r>
        <w:r w:rsidR="00C5519D">
          <w:rPr>
            <w:noProof/>
            <w:webHidden/>
          </w:rPr>
          <w:instrText xml:space="preserve"> PAGEREF _Toc182319552 \h </w:instrText>
        </w:r>
        <w:r w:rsidR="00C5519D">
          <w:rPr>
            <w:noProof/>
            <w:webHidden/>
          </w:rPr>
        </w:r>
        <w:r w:rsidR="00C5519D">
          <w:rPr>
            <w:noProof/>
            <w:webHidden/>
          </w:rPr>
          <w:fldChar w:fldCharType="separate"/>
        </w:r>
        <w:r w:rsidR="00C5519D">
          <w:rPr>
            <w:noProof/>
            <w:webHidden/>
          </w:rPr>
          <w:t>27</w:t>
        </w:r>
        <w:r w:rsidR="00C5519D">
          <w:rPr>
            <w:noProof/>
            <w:webHidden/>
          </w:rPr>
          <w:fldChar w:fldCharType="end"/>
        </w:r>
      </w:hyperlink>
    </w:p>
    <w:p w14:paraId="06A409D9" w14:textId="065AE88B" w:rsidR="00C5519D" w:rsidRDefault="00000000">
      <w:pPr>
        <w:pStyle w:val="Spistreci1"/>
        <w:rPr>
          <w:rFonts w:asciiTheme="minorHAnsi" w:eastAsiaTheme="minorEastAsia" w:hAnsiTheme="minorHAnsi" w:cstheme="minorBidi"/>
          <w:b w:val="0"/>
          <w:bCs w:val="0"/>
          <w:color w:val="auto"/>
          <w:lang w:eastAsia="pl-PL"/>
        </w:rPr>
      </w:pPr>
      <w:hyperlink w:anchor="_Toc182319553" w:history="1">
        <w:r w:rsidR="00C5519D" w:rsidRPr="007D476E">
          <w:rPr>
            <w:rStyle w:val="Hipercze"/>
          </w:rPr>
          <w:t>VII.</w:t>
        </w:r>
        <w:r w:rsidR="00C5519D">
          <w:rPr>
            <w:rFonts w:asciiTheme="minorHAnsi" w:eastAsiaTheme="minorEastAsia" w:hAnsiTheme="minorHAnsi" w:cstheme="minorBidi"/>
            <w:b w:val="0"/>
            <w:bCs w:val="0"/>
            <w:color w:val="auto"/>
            <w:lang w:eastAsia="pl-PL"/>
          </w:rPr>
          <w:tab/>
        </w:r>
        <w:r w:rsidR="00C5519D" w:rsidRPr="007D476E">
          <w:rPr>
            <w:rStyle w:val="Hipercze"/>
          </w:rPr>
          <w:t>Standard produktów, sprzętu i infrastruktury</w:t>
        </w:r>
        <w:r w:rsidR="00C5519D">
          <w:rPr>
            <w:webHidden/>
          </w:rPr>
          <w:tab/>
        </w:r>
        <w:r w:rsidR="00C5519D">
          <w:rPr>
            <w:webHidden/>
          </w:rPr>
          <w:fldChar w:fldCharType="begin"/>
        </w:r>
        <w:r w:rsidR="00C5519D">
          <w:rPr>
            <w:webHidden/>
          </w:rPr>
          <w:instrText xml:space="preserve"> PAGEREF _Toc182319553 \h </w:instrText>
        </w:r>
        <w:r w:rsidR="00C5519D">
          <w:rPr>
            <w:webHidden/>
          </w:rPr>
        </w:r>
        <w:r w:rsidR="00C5519D">
          <w:rPr>
            <w:webHidden/>
          </w:rPr>
          <w:fldChar w:fldCharType="separate"/>
        </w:r>
        <w:r w:rsidR="00C5519D">
          <w:rPr>
            <w:webHidden/>
          </w:rPr>
          <w:t>28</w:t>
        </w:r>
        <w:r w:rsidR="00C5519D">
          <w:rPr>
            <w:webHidden/>
          </w:rPr>
          <w:fldChar w:fldCharType="end"/>
        </w:r>
      </w:hyperlink>
    </w:p>
    <w:p w14:paraId="5E1A8027" w14:textId="660BB5B0" w:rsidR="00C5519D" w:rsidRDefault="00000000">
      <w:pPr>
        <w:pStyle w:val="Spistreci2"/>
        <w:rPr>
          <w:rFonts w:asciiTheme="minorHAnsi" w:eastAsiaTheme="minorEastAsia" w:hAnsiTheme="minorHAnsi" w:cstheme="minorBidi"/>
          <w:noProof/>
          <w:color w:val="auto"/>
          <w:lang w:eastAsia="pl-PL"/>
        </w:rPr>
      </w:pPr>
      <w:hyperlink w:anchor="_Toc182319554" w:history="1">
        <w:r w:rsidR="00C5519D" w:rsidRPr="007D476E">
          <w:rPr>
            <w:rStyle w:val="Hipercze"/>
            <w:noProof/>
          </w:rPr>
          <w:t>Rozdział 1. Urządzenia i systemy kontroli</w:t>
        </w:r>
        <w:r w:rsidR="00C5519D">
          <w:rPr>
            <w:noProof/>
            <w:webHidden/>
          </w:rPr>
          <w:tab/>
        </w:r>
        <w:r w:rsidR="00C5519D">
          <w:rPr>
            <w:noProof/>
            <w:webHidden/>
          </w:rPr>
          <w:fldChar w:fldCharType="begin"/>
        </w:r>
        <w:r w:rsidR="00C5519D">
          <w:rPr>
            <w:noProof/>
            <w:webHidden/>
          </w:rPr>
          <w:instrText xml:space="preserve"> PAGEREF _Toc182319554 \h </w:instrText>
        </w:r>
        <w:r w:rsidR="00C5519D">
          <w:rPr>
            <w:noProof/>
            <w:webHidden/>
          </w:rPr>
        </w:r>
        <w:r w:rsidR="00C5519D">
          <w:rPr>
            <w:noProof/>
            <w:webHidden/>
          </w:rPr>
          <w:fldChar w:fldCharType="separate"/>
        </w:r>
        <w:r w:rsidR="00C5519D">
          <w:rPr>
            <w:noProof/>
            <w:webHidden/>
          </w:rPr>
          <w:t>28</w:t>
        </w:r>
        <w:r w:rsidR="00C5519D">
          <w:rPr>
            <w:noProof/>
            <w:webHidden/>
          </w:rPr>
          <w:fldChar w:fldCharType="end"/>
        </w:r>
      </w:hyperlink>
    </w:p>
    <w:p w14:paraId="39B34C75" w14:textId="5E1537A5" w:rsidR="00C5519D" w:rsidRDefault="00000000">
      <w:pPr>
        <w:pStyle w:val="Spistreci3"/>
        <w:rPr>
          <w:rFonts w:asciiTheme="minorHAnsi" w:eastAsiaTheme="minorEastAsia" w:hAnsiTheme="minorHAnsi" w:cstheme="minorBidi"/>
          <w:noProof/>
          <w:color w:val="auto"/>
          <w:lang w:eastAsia="pl-PL"/>
        </w:rPr>
      </w:pPr>
      <w:hyperlink w:anchor="_Toc182319555" w:history="1">
        <w:r w:rsidR="00C5519D" w:rsidRPr="007D476E">
          <w:rPr>
            <w:rStyle w:val="Hipercze"/>
            <w:noProof/>
          </w:rPr>
          <w:t>1.</w:t>
        </w:r>
        <w:r w:rsidR="00C5519D">
          <w:rPr>
            <w:rFonts w:asciiTheme="minorHAnsi" w:eastAsiaTheme="minorEastAsia" w:hAnsiTheme="minorHAnsi" w:cstheme="minorBidi"/>
            <w:noProof/>
            <w:color w:val="auto"/>
            <w:lang w:eastAsia="pl-PL"/>
          </w:rPr>
          <w:tab/>
        </w:r>
        <w:r w:rsidR="00C5519D" w:rsidRPr="007D476E">
          <w:rPr>
            <w:rStyle w:val="Hipercze"/>
            <w:noProof/>
          </w:rPr>
          <w:t>Śluzy</w:t>
        </w:r>
        <w:r w:rsidR="00C5519D">
          <w:rPr>
            <w:noProof/>
            <w:webHidden/>
          </w:rPr>
          <w:tab/>
        </w:r>
        <w:r w:rsidR="00C5519D">
          <w:rPr>
            <w:noProof/>
            <w:webHidden/>
          </w:rPr>
          <w:fldChar w:fldCharType="begin"/>
        </w:r>
        <w:r w:rsidR="00C5519D">
          <w:rPr>
            <w:noProof/>
            <w:webHidden/>
          </w:rPr>
          <w:instrText xml:space="preserve"> PAGEREF _Toc182319555 \h </w:instrText>
        </w:r>
        <w:r w:rsidR="00C5519D">
          <w:rPr>
            <w:noProof/>
            <w:webHidden/>
          </w:rPr>
        </w:r>
        <w:r w:rsidR="00C5519D">
          <w:rPr>
            <w:noProof/>
            <w:webHidden/>
          </w:rPr>
          <w:fldChar w:fldCharType="separate"/>
        </w:r>
        <w:r w:rsidR="00C5519D">
          <w:rPr>
            <w:noProof/>
            <w:webHidden/>
          </w:rPr>
          <w:t>28</w:t>
        </w:r>
        <w:r w:rsidR="00C5519D">
          <w:rPr>
            <w:noProof/>
            <w:webHidden/>
          </w:rPr>
          <w:fldChar w:fldCharType="end"/>
        </w:r>
      </w:hyperlink>
    </w:p>
    <w:p w14:paraId="2E88FABF" w14:textId="1D34E273" w:rsidR="00C5519D" w:rsidRDefault="00000000" w:rsidP="00C5519D">
      <w:pPr>
        <w:pStyle w:val="Spistreci4"/>
        <w:rPr>
          <w:rFonts w:asciiTheme="minorHAnsi" w:eastAsiaTheme="minorEastAsia" w:hAnsiTheme="minorHAnsi" w:cstheme="minorBidi"/>
          <w:noProof/>
          <w:color w:val="auto"/>
          <w:lang w:eastAsia="pl-PL"/>
        </w:rPr>
      </w:pPr>
      <w:hyperlink w:anchor="_Toc182319556" w:history="1">
        <w:r w:rsidR="00C5519D" w:rsidRPr="007D476E">
          <w:rPr>
            <w:rStyle w:val="Hipercze"/>
            <w:noProof/>
          </w:rPr>
          <w:t>1.1.</w:t>
        </w:r>
        <w:r w:rsidR="00C5519D">
          <w:rPr>
            <w:rFonts w:asciiTheme="minorHAnsi" w:eastAsiaTheme="minorEastAsia" w:hAnsiTheme="minorHAnsi" w:cstheme="minorBidi"/>
            <w:noProof/>
            <w:color w:val="auto"/>
            <w:lang w:eastAsia="pl-PL"/>
          </w:rPr>
          <w:tab/>
        </w:r>
        <w:r w:rsidR="00C5519D" w:rsidRPr="007D476E">
          <w:rPr>
            <w:rStyle w:val="Hipercze"/>
            <w:noProof/>
          </w:rPr>
          <w:t>Śluzy osobowe</w:t>
        </w:r>
        <w:r w:rsidR="00C5519D">
          <w:rPr>
            <w:noProof/>
            <w:webHidden/>
          </w:rPr>
          <w:tab/>
        </w:r>
        <w:r w:rsidR="00C5519D">
          <w:rPr>
            <w:noProof/>
            <w:webHidden/>
          </w:rPr>
          <w:fldChar w:fldCharType="begin"/>
        </w:r>
        <w:r w:rsidR="00C5519D">
          <w:rPr>
            <w:noProof/>
            <w:webHidden/>
          </w:rPr>
          <w:instrText xml:space="preserve"> PAGEREF _Toc182319556 \h </w:instrText>
        </w:r>
        <w:r w:rsidR="00C5519D">
          <w:rPr>
            <w:noProof/>
            <w:webHidden/>
          </w:rPr>
        </w:r>
        <w:r w:rsidR="00C5519D">
          <w:rPr>
            <w:noProof/>
            <w:webHidden/>
          </w:rPr>
          <w:fldChar w:fldCharType="separate"/>
        </w:r>
        <w:r w:rsidR="00C5519D">
          <w:rPr>
            <w:noProof/>
            <w:webHidden/>
          </w:rPr>
          <w:t>28</w:t>
        </w:r>
        <w:r w:rsidR="00C5519D">
          <w:rPr>
            <w:noProof/>
            <w:webHidden/>
          </w:rPr>
          <w:fldChar w:fldCharType="end"/>
        </w:r>
      </w:hyperlink>
    </w:p>
    <w:p w14:paraId="58084DD9" w14:textId="5B9AFD88" w:rsidR="00C5519D" w:rsidRDefault="00000000" w:rsidP="00C5519D">
      <w:pPr>
        <w:pStyle w:val="Spistreci4"/>
        <w:rPr>
          <w:rFonts w:asciiTheme="minorHAnsi" w:eastAsiaTheme="minorEastAsia" w:hAnsiTheme="minorHAnsi" w:cstheme="minorBidi"/>
          <w:noProof/>
          <w:color w:val="auto"/>
          <w:lang w:eastAsia="pl-PL"/>
        </w:rPr>
      </w:pPr>
      <w:hyperlink w:anchor="_Toc182319557" w:history="1">
        <w:r w:rsidR="00C5519D" w:rsidRPr="007D476E">
          <w:rPr>
            <w:rStyle w:val="Hipercze"/>
            <w:noProof/>
          </w:rPr>
          <w:t>1.2.</w:t>
        </w:r>
        <w:r w:rsidR="00C5519D">
          <w:rPr>
            <w:rFonts w:asciiTheme="minorHAnsi" w:eastAsiaTheme="minorEastAsia" w:hAnsiTheme="minorHAnsi" w:cstheme="minorBidi"/>
            <w:noProof/>
            <w:color w:val="auto"/>
            <w:lang w:eastAsia="pl-PL"/>
          </w:rPr>
          <w:tab/>
        </w:r>
        <w:r w:rsidR="00C5519D" w:rsidRPr="007D476E">
          <w:rPr>
            <w:rStyle w:val="Hipercze"/>
            <w:noProof/>
          </w:rPr>
          <w:t>Śluzy towarowe i okna podawcze</w:t>
        </w:r>
        <w:r w:rsidR="00C5519D">
          <w:rPr>
            <w:noProof/>
            <w:webHidden/>
          </w:rPr>
          <w:tab/>
        </w:r>
        <w:r w:rsidR="00C5519D">
          <w:rPr>
            <w:noProof/>
            <w:webHidden/>
          </w:rPr>
          <w:fldChar w:fldCharType="begin"/>
        </w:r>
        <w:r w:rsidR="00C5519D">
          <w:rPr>
            <w:noProof/>
            <w:webHidden/>
          </w:rPr>
          <w:instrText xml:space="preserve"> PAGEREF _Toc182319557 \h </w:instrText>
        </w:r>
        <w:r w:rsidR="00C5519D">
          <w:rPr>
            <w:noProof/>
            <w:webHidden/>
          </w:rPr>
        </w:r>
        <w:r w:rsidR="00C5519D">
          <w:rPr>
            <w:noProof/>
            <w:webHidden/>
          </w:rPr>
          <w:fldChar w:fldCharType="separate"/>
        </w:r>
        <w:r w:rsidR="00C5519D">
          <w:rPr>
            <w:noProof/>
            <w:webHidden/>
          </w:rPr>
          <w:t>29</w:t>
        </w:r>
        <w:r w:rsidR="00C5519D">
          <w:rPr>
            <w:noProof/>
            <w:webHidden/>
          </w:rPr>
          <w:fldChar w:fldCharType="end"/>
        </w:r>
      </w:hyperlink>
    </w:p>
    <w:p w14:paraId="519F5D37" w14:textId="166676A4" w:rsidR="00C5519D" w:rsidRDefault="00000000">
      <w:pPr>
        <w:pStyle w:val="Spistreci3"/>
        <w:rPr>
          <w:rFonts w:asciiTheme="minorHAnsi" w:eastAsiaTheme="minorEastAsia" w:hAnsiTheme="minorHAnsi" w:cstheme="minorBidi"/>
          <w:noProof/>
          <w:color w:val="auto"/>
          <w:lang w:eastAsia="pl-PL"/>
        </w:rPr>
      </w:pPr>
      <w:hyperlink w:anchor="_Toc182319558" w:history="1">
        <w:r w:rsidR="00C5519D" w:rsidRPr="007D476E">
          <w:rPr>
            <w:rStyle w:val="Hipercze"/>
            <w:noProof/>
          </w:rPr>
          <w:t>2.</w:t>
        </w:r>
        <w:r w:rsidR="00C5519D">
          <w:rPr>
            <w:rFonts w:asciiTheme="minorHAnsi" w:eastAsiaTheme="minorEastAsia" w:hAnsiTheme="minorHAnsi" w:cstheme="minorBidi"/>
            <w:noProof/>
            <w:color w:val="auto"/>
            <w:lang w:eastAsia="pl-PL"/>
          </w:rPr>
          <w:tab/>
        </w:r>
        <w:r w:rsidR="00C5519D" w:rsidRPr="007D476E">
          <w:rPr>
            <w:rStyle w:val="Hipercze"/>
            <w:noProof/>
          </w:rPr>
          <w:t>Bramki detekcyjne i kontroli dostępu</w:t>
        </w:r>
        <w:r w:rsidR="00C5519D">
          <w:rPr>
            <w:noProof/>
            <w:webHidden/>
          </w:rPr>
          <w:tab/>
        </w:r>
        <w:r w:rsidR="00C5519D">
          <w:rPr>
            <w:noProof/>
            <w:webHidden/>
          </w:rPr>
          <w:fldChar w:fldCharType="begin"/>
        </w:r>
        <w:r w:rsidR="00C5519D">
          <w:rPr>
            <w:noProof/>
            <w:webHidden/>
          </w:rPr>
          <w:instrText xml:space="preserve"> PAGEREF _Toc182319558 \h </w:instrText>
        </w:r>
        <w:r w:rsidR="00C5519D">
          <w:rPr>
            <w:noProof/>
            <w:webHidden/>
          </w:rPr>
        </w:r>
        <w:r w:rsidR="00C5519D">
          <w:rPr>
            <w:noProof/>
            <w:webHidden/>
          </w:rPr>
          <w:fldChar w:fldCharType="separate"/>
        </w:r>
        <w:r w:rsidR="00C5519D">
          <w:rPr>
            <w:noProof/>
            <w:webHidden/>
          </w:rPr>
          <w:t>29</w:t>
        </w:r>
        <w:r w:rsidR="00C5519D">
          <w:rPr>
            <w:noProof/>
            <w:webHidden/>
          </w:rPr>
          <w:fldChar w:fldCharType="end"/>
        </w:r>
      </w:hyperlink>
    </w:p>
    <w:p w14:paraId="69C7E995" w14:textId="070C4000" w:rsidR="00C5519D" w:rsidRDefault="00000000" w:rsidP="00C5519D">
      <w:pPr>
        <w:pStyle w:val="Spistreci4"/>
        <w:rPr>
          <w:rFonts w:asciiTheme="minorHAnsi" w:eastAsiaTheme="minorEastAsia" w:hAnsiTheme="minorHAnsi" w:cstheme="minorBidi"/>
          <w:noProof/>
          <w:color w:val="auto"/>
          <w:lang w:eastAsia="pl-PL"/>
        </w:rPr>
      </w:pPr>
      <w:hyperlink w:anchor="_Toc182319559" w:history="1">
        <w:r w:rsidR="00C5519D" w:rsidRPr="007D476E">
          <w:rPr>
            <w:rStyle w:val="Hipercze"/>
            <w:noProof/>
          </w:rPr>
          <w:t>2.1.</w:t>
        </w:r>
        <w:r w:rsidR="00C5519D">
          <w:rPr>
            <w:rFonts w:asciiTheme="minorHAnsi" w:eastAsiaTheme="minorEastAsia" w:hAnsiTheme="minorHAnsi" w:cstheme="minorBidi"/>
            <w:noProof/>
            <w:color w:val="auto"/>
            <w:lang w:eastAsia="pl-PL"/>
          </w:rPr>
          <w:tab/>
        </w:r>
        <w:r w:rsidR="00C5519D" w:rsidRPr="007D476E">
          <w:rPr>
            <w:rStyle w:val="Hipercze"/>
            <w:noProof/>
          </w:rPr>
          <w:t>Bramki detekcyjne</w:t>
        </w:r>
        <w:r w:rsidR="00C5519D">
          <w:rPr>
            <w:noProof/>
            <w:webHidden/>
          </w:rPr>
          <w:tab/>
        </w:r>
        <w:r w:rsidR="00C5519D">
          <w:rPr>
            <w:noProof/>
            <w:webHidden/>
          </w:rPr>
          <w:fldChar w:fldCharType="begin"/>
        </w:r>
        <w:r w:rsidR="00C5519D">
          <w:rPr>
            <w:noProof/>
            <w:webHidden/>
          </w:rPr>
          <w:instrText xml:space="preserve"> PAGEREF _Toc182319559 \h </w:instrText>
        </w:r>
        <w:r w:rsidR="00C5519D">
          <w:rPr>
            <w:noProof/>
            <w:webHidden/>
          </w:rPr>
        </w:r>
        <w:r w:rsidR="00C5519D">
          <w:rPr>
            <w:noProof/>
            <w:webHidden/>
          </w:rPr>
          <w:fldChar w:fldCharType="separate"/>
        </w:r>
        <w:r w:rsidR="00C5519D">
          <w:rPr>
            <w:noProof/>
            <w:webHidden/>
          </w:rPr>
          <w:t>29</w:t>
        </w:r>
        <w:r w:rsidR="00C5519D">
          <w:rPr>
            <w:noProof/>
            <w:webHidden/>
          </w:rPr>
          <w:fldChar w:fldCharType="end"/>
        </w:r>
      </w:hyperlink>
    </w:p>
    <w:p w14:paraId="3558FAD5" w14:textId="32EF210F" w:rsidR="00C5519D" w:rsidRDefault="00000000" w:rsidP="00C5519D">
      <w:pPr>
        <w:pStyle w:val="Spistreci4"/>
        <w:rPr>
          <w:rFonts w:asciiTheme="minorHAnsi" w:eastAsiaTheme="minorEastAsia" w:hAnsiTheme="minorHAnsi" w:cstheme="minorBidi"/>
          <w:noProof/>
          <w:color w:val="auto"/>
          <w:lang w:eastAsia="pl-PL"/>
        </w:rPr>
      </w:pPr>
      <w:hyperlink w:anchor="_Toc182319560" w:history="1">
        <w:r w:rsidR="00C5519D" w:rsidRPr="007D476E">
          <w:rPr>
            <w:rStyle w:val="Hipercze"/>
            <w:noProof/>
          </w:rPr>
          <w:t>2.2.</w:t>
        </w:r>
        <w:r w:rsidR="00C5519D">
          <w:rPr>
            <w:rFonts w:asciiTheme="minorHAnsi" w:eastAsiaTheme="minorEastAsia" w:hAnsiTheme="minorHAnsi" w:cstheme="minorBidi"/>
            <w:noProof/>
            <w:color w:val="auto"/>
            <w:lang w:eastAsia="pl-PL"/>
          </w:rPr>
          <w:tab/>
        </w:r>
        <w:r w:rsidR="00C5519D" w:rsidRPr="007D476E">
          <w:rPr>
            <w:rStyle w:val="Hipercze"/>
            <w:noProof/>
          </w:rPr>
          <w:t>Bramki obrotowe (kołowrotki)</w:t>
        </w:r>
        <w:r w:rsidR="00C5519D">
          <w:rPr>
            <w:noProof/>
            <w:webHidden/>
          </w:rPr>
          <w:tab/>
        </w:r>
        <w:r w:rsidR="00C5519D">
          <w:rPr>
            <w:noProof/>
            <w:webHidden/>
          </w:rPr>
          <w:fldChar w:fldCharType="begin"/>
        </w:r>
        <w:r w:rsidR="00C5519D">
          <w:rPr>
            <w:noProof/>
            <w:webHidden/>
          </w:rPr>
          <w:instrText xml:space="preserve"> PAGEREF _Toc182319560 \h </w:instrText>
        </w:r>
        <w:r w:rsidR="00C5519D">
          <w:rPr>
            <w:noProof/>
            <w:webHidden/>
          </w:rPr>
        </w:r>
        <w:r w:rsidR="00C5519D">
          <w:rPr>
            <w:noProof/>
            <w:webHidden/>
          </w:rPr>
          <w:fldChar w:fldCharType="separate"/>
        </w:r>
        <w:r w:rsidR="00C5519D">
          <w:rPr>
            <w:noProof/>
            <w:webHidden/>
          </w:rPr>
          <w:t>30</w:t>
        </w:r>
        <w:r w:rsidR="00C5519D">
          <w:rPr>
            <w:noProof/>
            <w:webHidden/>
          </w:rPr>
          <w:fldChar w:fldCharType="end"/>
        </w:r>
      </w:hyperlink>
    </w:p>
    <w:p w14:paraId="319B80F7" w14:textId="74714E65" w:rsidR="00C5519D" w:rsidRDefault="00000000">
      <w:pPr>
        <w:pStyle w:val="Spistreci3"/>
        <w:rPr>
          <w:rFonts w:asciiTheme="minorHAnsi" w:eastAsiaTheme="minorEastAsia" w:hAnsiTheme="minorHAnsi" w:cstheme="minorBidi"/>
          <w:noProof/>
          <w:color w:val="auto"/>
          <w:lang w:eastAsia="pl-PL"/>
        </w:rPr>
      </w:pPr>
      <w:hyperlink w:anchor="_Toc182319561" w:history="1">
        <w:r w:rsidR="00C5519D" w:rsidRPr="007D476E">
          <w:rPr>
            <w:rStyle w:val="Hipercze"/>
            <w:noProof/>
          </w:rPr>
          <w:t>3.</w:t>
        </w:r>
        <w:r w:rsidR="00C5519D">
          <w:rPr>
            <w:rFonts w:asciiTheme="minorHAnsi" w:eastAsiaTheme="minorEastAsia" w:hAnsiTheme="minorHAnsi" w:cstheme="minorBidi"/>
            <w:noProof/>
            <w:color w:val="auto"/>
            <w:lang w:eastAsia="pl-PL"/>
          </w:rPr>
          <w:tab/>
        </w:r>
        <w:r w:rsidR="00C5519D" w:rsidRPr="007D476E">
          <w:rPr>
            <w:rStyle w:val="Hipercze"/>
            <w:noProof/>
          </w:rPr>
          <w:t>Systemy kontroli dostępu (domofony, wideofony, czytniki kart).</w:t>
        </w:r>
        <w:r w:rsidR="00C5519D">
          <w:rPr>
            <w:noProof/>
            <w:webHidden/>
          </w:rPr>
          <w:tab/>
        </w:r>
        <w:r w:rsidR="00C5519D">
          <w:rPr>
            <w:noProof/>
            <w:webHidden/>
          </w:rPr>
          <w:fldChar w:fldCharType="begin"/>
        </w:r>
        <w:r w:rsidR="00C5519D">
          <w:rPr>
            <w:noProof/>
            <w:webHidden/>
          </w:rPr>
          <w:instrText xml:space="preserve"> PAGEREF _Toc182319561 \h </w:instrText>
        </w:r>
        <w:r w:rsidR="00C5519D">
          <w:rPr>
            <w:noProof/>
            <w:webHidden/>
          </w:rPr>
        </w:r>
        <w:r w:rsidR="00C5519D">
          <w:rPr>
            <w:noProof/>
            <w:webHidden/>
          </w:rPr>
          <w:fldChar w:fldCharType="separate"/>
        </w:r>
        <w:r w:rsidR="00C5519D">
          <w:rPr>
            <w:noProof/>
            <w:webHidden/>
          </w:rPr>
          <w:t>30</w:t>
        </w:r>
        <w:r w:rsidR="00C5519D">
          <w:rPr>
            <w:noProof/>
            <w:webHidden/>
          </w:rPr>
          <w:fldChar w:fldCharType="end"/>
        </w:r>
      </w:hyperlink>
    </w:p>
    <w:p w14:paraId="35AF576D" w14:textId="3730699A" w:rsidR="00C5519D" w:rsidRDefault="00000000">
      <w:pPr>
        <w:pStyle w:val="Spistreci3"/>
        <w:rPr>
          <w:rFonts w:asciiTheme="minorHAnsi" w:eastAsiaTheme="minorEastAsia" w:hAnsiTheme="minorHAnsi" w:cstheme="minorBidi"/>
          <w:noProof/>
          <w:color w:val="auto"/>
          <w:lang w:eastAsia="pl-PL"/>
        </w:rPr>
      </w:pPr>
      <w:hyperlink w:anchor="_Toc182319562" w:history="1">
        <w:r w:rsidR="00C5519D" w:rsidRPr="007D476E">
          <w:rPr>
            <w:rStyle w:val="Hipercze"/>
            <w:noProof/>
          </w:rPr>
          <w:t>4.</w:t>
        </w:r>
        <w:r w:rsidR="00C5519D">
          <w:rPr>
            <w:rFonts w:asciiTheme="minorHAnsi" w:eastAsiaTheme="minorEastAsia" w:hAnsiTheme="minorHAnsi" w:cstheme="minorBidi"/>
            <w:noProof/>
            <w:color w:val="auto"/>
            <w:lang w:eastAsia="pl-PL"/>
          </w:rPr>
          <w:tab/>
        </w:r>
        <w:r w:rsidR="00C5519D" w:rsidRPr="007D476E">
          <w:rPr>
            <w:rStyle w:val="Hipercze"/>
            <w:noProof/>
          </w:rPr>
          <w:t>Systemy rezerwacji sal i zajętości pomieszczeń</w:t>
        </w:r>
        <w:r w:rsidR="00C5519D">
          <w:rPr>
            <w:noProof/>
            <w:webHidden/>
          </w:rPr>
          <w:tab/>
        </w:r>
        <w:r w:rsidR="00C5519D">
          <w:rPr>
            <w:noProof/>
            <w:webHidden/>
          </w:rPr>
          <w:fldChar w:fldCharType="begin"/>
        </w:r>
        <w:r w:rsidR="00C5519D">
          <w:rPr>
            <w:noProof/>
            <w:webHidden/>
          </w:rPr>
          <w:instrText xml:space="preserve"> PAGEREF _Toc182319562 \h </w:instrText>
        </w:r>
        <w:r w:rsidR="00C5519D">
          <w:rPr>
            <w:noProof/>
            <w:webHidden/>
          </w:rPr>
        </w:r>
        <w:r w:rsidR="00C5519D">
          <w:rPr>
            <w:noProof/>
            <w:webHidden/>
          </w:rPr>
          <w:fldChar w:fldCharType="separate"/>
        </w:r>
        <w:r w:rsidR="00C5519D">
          <w:rPr>
            <w:noProof/>
            <w:webHidden/>
          </w:rPr>
          <w:t>30</w:t>
        </w:r>
        <w:r w:rsidR="00C5519D">
          <w:rPr>
            <w:noProof/>
            <w:webHidden/>
          </w:rPr>
          <w:fldChar w:fldCharType="end"/>
        </w:r>
      </w:hyperlink>
    </w:p>
    <w:p w14:paraId="22B9C651" w14:textId="3FDE64F6" w:rsidR="00C5519D" w:rsidRDefault="00000000">
      <w:pPr>
        <w:pStyle w:val="Spistreci2"/>
        <w:rPr>
          <w:rFonts w:asciiTheme="minorHAnsi" w:eastAsiaTheme="minorEastAsia" w:hAnsiTheme="minorHAnsi" w:cstheme="minorBidi"/>
          <w:noProof/>
          <w:color w:val="auto"/>
          <w:lang w:eastAsia="pl-PL"/>
        </w:rPr>
      </w:pPr>
      <w:hyperlink w:anchor="_Toc182319563" w:history="1">
        <w:r w:rsidR="00C5519D" w:rsidRPr="007D476E">
          <w:rPr>
            <w:rStyle w:val="Hipercze"/>
            <w:noProof/>
          </w:rPr>
          <w:t>Rozdział 3. Meble i elementy wyposażenia biurowego, laboratoryjnego i magazynowego</w:t>
        </w:r>
        <w:r w:rsidR="00C5519D">
          <w:rPr>
            <w:noProof/>
            <w:webHidden/>
          </w:rPr>
          <w:tab/>
        </w:r>
        <w:r w:rsidR="00C5519D">
          <w:rPr>
            <w:noProof/>
            <w:webHidden/>
          </w:rPr>
          <w:fldChar w:fldCharType="begin"/>
        </w:r>
        <w:r w:rsidR="00C5519D">
          <w:rPr>
            <w:noProof/>
            <w:webHidden/>
          </w:rPr>
          <w:instrText xml:space="preserve"> PAGEREF _Toc182319563 \h </w:instrText>
        </w:r>
        <w:r w:rsidR="00C5519D">
          <w:rPr>
            <w:noProof/>
            <w:webHidden/>
          </w:rPr>
        </w:r>
        <w:r w:rsidR="00C5519D">
          <w:rPr>
            <w:noProof/>
            <w:webHidden/>
          </w:rPr>
          <w:fldChar w:fldCharType="separate"/>
        </w:r>
        <w:r w:rsidR="00C5519D">
          <w:rPr>
            <w:noProof/>
            <w:webHidden/>
          </w:rPr>
          <w:t>31</w:t>
        </w:r>
        <w:r w:rsidR="00C5519D">
          <w:rPr>
            <w:noProof/>
            <w:webHidden/>
          </w:rPr>
          <w:fldChar w:fldCharType="end"/>
        </w:r>
      </w:hyperlink>
    </w:p>
    <w:p w14:paraId="4BF9E379" w14:textId="6BA835D8" w:rsidR="00C5519D" w:rsidRDefault="00000000">
      <w:pPr>
        <w:pStyle w:val="Spistreci3"/>
        <w:rPr>
          <w:rFonts w:asciiTheme="minorHAnsi" w:eastAsiaTheme="minorEastAsia" w:hAnsiTheme="minorHAnsi" w:cstheme="minorBidi"/>
          <w:noProof/>
          <w:color w:val="auto"/>
          <w:lang w:eastAsia="pl-PL"/>
        </w:rPr>
      </w:pPr>
      <w:hyperlink w:anchor="_Toc182319564" w:history="1">
        <w:r w:rsidR="00C5519D" w:rsidRPr="007D476E">
          <w:rPr>
            <w:rStyle w:val="Hipercze"/>
            <w:noProof/>
          </w:rPr>
          <w:t>1.</w:t>
        </w:r>
        <w:r w:rsidR="00C5519D">
          <w:rPr>
            <w:rFonts w:asciiTheme="minorHAnsi" w:eastAsiaTheme="minorEastAsia" w:hAnsiTheme="minorHAnsi" w:cstheme="minorBidi"/>
            <w:noProof/>
            <w:color w:val="auto"/>
            <w:lang w:eastAsia="pl-PL"/>
          </w:rPr>
          <w:tab/>
        </w:r>
        <w:r w:rsidR="00C5519D" w:rsidRPr="007D476E">
          <w:rPr>
            <w:rStyle w:val="Hipercze"/>
            <w:noProof/>
          </w:rPr>
          <w:t>Stoły, blaty, biurka</w:t>
        </w:r>
        <w:r w:rsidR="00C5519D">
          <w:rPr>
            <w:noProof/>
            <w:webHidden/>
          </w:rPr>
          <w:tab/>
        </w:r>
        <w:r w:rsidR="00C5519D">
          <w:rPr>
            <w:noProof/>
            <w:webHidden/>
          </w:rPr>
          <w:fldChar w:fldCharType="begin"/>
        </w:r>
        <w:r w:rsidR="00C5519D">
          <w:rPr>
            <w:noProof/>
            <w:webHidden/>
          </w:rPr>
          <w:instrText xml:space="preserve"> PAGEREF _Toc182319564 \h </w:instrText>
        </w:r>
        <w:r w:rsidR="00C5519D">
          <w:rPr>
            <w:noProof/>
            <w:webHidden/>
          </w:rPr>
        </w:r>
        <w:r w:rsidR="00C5519D">
          <w:rPr>
            <w:noProof/>
            <w:webHidden/>
          </w:rPr>
          <w:fldChar w:fldCharType="separate"/>
        </w:r>
        <w:r w:rsidR="00C5519D">
          <w:rPr>
            <w:noProof/>
            <w:webHidden/>
          </w:rPr>
          <w:t>32</w:t>
        </w:r>
        <w:r w:rsidR="00C5519D">
          <w:rPr>
            <w:noProof/>
            <w:webHidden/>
          </w:rPr>
          <w:fldChar w:fldCharType="end"/>
        </w:r>
      </w:hyperlink>
    </w:p>
    <w:p w14:paraId="4C986ED3" w14:textId="0E5B5288" w:rsidR="00C5519D" w:rsidRDefault="00000000" w:rsidP="00C5519D">
      <w:pPr>
        <w:pStyle w:val="Spistreci4"/>
        <w:rPr>
          <w:rFonts w:asciiTheme="minorHAnsi" w:eastAsiaTheme="minorEastAsia" w:hAnsiTheme="minorHAnsi" w:cstheme="minorBidi"/>
          <w:noProof/>
          <w:color w:val="auto"/>
          <w:lang w:eastAsia="pl-PL"/>
        </w:rPr>
      </w:pPr>
      <w:hyperlink w:anchor="_Toc182319565" w:history="1">
        <w:r w:rsidR="00C5519D" w:rsidRPr="007D476E">
          <w:rPr>
            <w:rStyle w:val="Hipercze"/>
            <w:noProof/>
          </w:rPr>
          <w:t>1.1.</w:t>
        </w:r>
        <w:r w:rsidR="00C5519D">
          <w:rPr>
            <w:rFonts w:asciiTheme="minorHAnsi" w:eastAsiaTheme="minorEastAsia" w:hAnsiTheme="minorHAnsi" w:cstheme="minorBidi"/>
            <w:noProof/>
            <w:color w:val="auto"/>
            <w:lang w:eastAsia="pl-PL"/>
          </w:rPr>
          <w:tab/>
        </w:r>
        <w:r w:rsidR="00C5519D" w:rsidRPr="007D476E">
          <w:rPr>
            <w:rStyle w:val="Hipercze"/>
            <w:noProof/>
          </w:rPr>
          <w:t>Stoły i biurka do pracy</w:t>
        </w:r>
        <w:r w:rsidR="00C5519D">
          <w:rPr>
            <w:noProof/>
            <w:webHidden/>
          </w:rPr>
          <w:tab/>
        </w:r>
        <w:r w:rsidR="00C5519D">
          <w:rPr>
            <w:noProof/>
            <w:webHidden/>
          </w:rPr>
          <w:fldChar w:fldCharType="begin"/>
        </w:r>
        <w:r w:rsidR="00C5519D">
          <w:rPr>
            <w:noProof/>
            <w:webHidden/>
          </w:rPr>
          <w:instrText xml:space="preserve"> PAGEREF _Toc182319565 \h </w:instrText>
        </w:r>
        <w:r w:rsidR="00C5519D">
          <w:rPr>
            <w:noProof/>
            <w:webHidden/>
          </w:rPr>
        </w:r>
        <w:r w:rsidR="00C5519D">
          <w:rPr>
            <w:noProof/>
            <w:webHidden/>
          </w:rPr>
          <w:fldChar w:fldCharType="separate"/>
        </w:r>
        <w:r w:rsidR="00C5519D">
          <w:rPr>
            <w:noProof/>
            <w:webHidden/>
          </w:rPr>
          <w:t>32</w:t>
        </w:r>
        <w:r w:rsidR="00C5519D">
          <w:rPr>
            <w:noProof/>
            <w:webHidden/>
          </w:rPr>
          <w:fldChar w:fldCharType="end"/>
        </w:r>
      </w:hyperlink>
    </w:p>
    <w:p w14:paraId="0EE074A4" w14:textId="57AD37D0" w:rsidR="00C5519D" w:rsidRDefault="00000000" w:rsidP="00C5519D">
      <w:pPr>
        <w:pStyle w:val="Spistreci4"/>
        <w:rPr>
          <w:rFonts w:asciiTheme="minorHAnsi" w:eastAsiaTheme="minorEastAsia" w:hAnsiTheme="minorHAnsi" w:cstheme="minorBidi"/>
          <w:noProof/>
          <w:color w:val="auto"/>
          <w:lang w:eastAsia="pl-PL"/>
        </w:rPr>
      </w:pPr>
      <w:hyperlink w:anchor="_Toc182319566" w:history="1">
        <w:r w:rsidR="00C5519D" w:rsidRPr="007D476E">
          <w:rPr>
            <w:rStyle w:val="Hipercze"/>
            <w:noProof/>
          </w:rPr>
          <w:t>1.2.</w:t>
        </w:r>
        <w:r w:rsidR="00C5519D">
          <w:rPr>
            <w:rFonts w:asciiTheme="minorHAnsi" w:eastAsiaTheme="minorEastAsia" w:hAnsiTheme="minorHAnsi" w:cstheme="minorBidi"/>
            <w:noProof/>
            <w:color w:val="auto"/>
            <w:lang w:eastAsia="pl-PL"/>
          </w:rPr>
          <w:tab/>
        </w:r>
        <w:r w:rsidR="00C5519D" w:rsidRPr="007D476E">
          <w:rPr>
            <w:rStyle w:val="Hipercze"/>
            <w:noProof/>
          </w:rPr>
          <w:t>Stoły operacyjne</w:t>
        </w:r>
        <w:r w:rsidR="00C5519D">
          <w:rPr>
            <w:noProof/>
            <w:webHidden/>
          </w:rPr>
          <w:tab/>
        </w:r>
        <w:r w:rsidR="00C5519D">
          <w:rPr>
            <w:noProof/>
            <w:webHidden/>
          </w:rPr>
          <w:fldChar w:fldCharType="begin"/>
        </w:r>
        <w:r w:rsidR="00C5519D">
          <w:rPr>
            <w:noProof/>
            <w:webHidden/>
          </w:rPr>
          <w:instrText xml:space="preserve"> PAGEREF _Toc182319566 \h </w:instrText>
        </w:r>
        <w:r w:rsidR="00C5519D">
          <w:rPr>
            <w:noProof/>
            <w:webHidden/>
          </w:rPr>
        </w:r>
        <w:r w:rsidR="00C5519D">
          <w:rPr>
            <w:noProof/>
            <w:webHidden/>
          </w:rPr>
          <w:fldChar w:fldCharType="separate"/>
        </w:r>
        <w:r w:rsidR="00C5519D">
          <w:rPr>
            <w:noProof/>
            <w:webHidden/>
          </w:rPr>
          <w:t>33</w:t>
        </w:r>
        <w:r w:rsidR="00C5519D">
          <w:rPr>
            <w:noProof/>
            <w:webHidden/>
          </w:rPr>
          <w:fldChar w:fldCharType="end"/>
        </w:r>
      </w:hyperlink>
    </w:p>
    <w:p w14:paraId="53E75ED7" w14:textId="4D8F7333" w:rsidR="00C5519D" w:rsidRDefault="00000000" w:rsidP="00C5519D">
      <w:pPr>
        <w:pStyle w:val="Spistreci4"/>
        <w:rPr>
          <w:rFonts w:asciiTheme="minorHAnsi" w:eastAsiaTheme="minorEastAsia" w:hAnsiTheme="minorHAnsi" w:cstheme="minorBidi"/>
          <w:noProof/>
          <w:color w:val="auto"/>
          <w:lang w:eastAsia="pl-PL"/>
        </w:rPr>
      </w:pPr>
      <w:hyperlink w:anchor="_Toc182319567" w:history="1">
        <w:r w:rsidR="00C5519D" w:rsidRPr="007D476E">
          <w:rPr>
            <w:rStyle w:val="Hipercze"/>
            <w:noProof/>
          </w:rPr>
          <w:t>1.3.</w:t>
        </w:r>
        <w:r w:rsidR="00C5519D">
          <w:rPr>
            <w:rFonts w:asciiTheme="minorHAnsi" w:eastAsiaTheme="minorEastAsia" w:hAnsiTheme="minorHAnsi" w:cstheme="minorBidi"/>
            <w:noProof/>
            <w:color w:val="auto"/>
            <w:lang w:eastAsia="pl-PL"/>
          </w:rPr>
          <w:tab/>
        </w:r>
        <w:r w:rsidR="00C5519D" w:rsidRPr="007D476E">
          <w:rPr>
            <w:rStyle w:val="Hipercze"/>
            <w:noProof/>
          </w:rPr>
          <w:t>Stoły laboratoryjne (w tym wagowe)</w:t>
        </w:r>
        <w:r w:rsidR="00C5519D">
          <w:rPr>
            <w:noProof/>
            <w:webHidden/>
          </w:rPr>
          <w:tab/>
        </w:r>
        <w:r w:rsidR="00C5519D">
          <w:rPr>
            <w:noProof/>
            <w:webHidden/>
          </w:rPr>
          <w:fldChar w:fldCharType="begin"/>
        </w:r>
        <w:r w:rsidR="00C5519D">
          <w:rPr>
            <w:noProof/>
            <w:webHidden/>
          </w:rPr>
          <w:instrText xml:space="preserve"> PAGEREF _Toc182319567 \h </w:instrText>
        </w:r>
        <w:r w:rsidR="00C5519D">
          <w:rPr>
            <w:noProof/>
            <w:webHidden/>
          </w:rPr>
        </w:r>
        <w:r w:rsidR="00C5519D">
          <w:rPr>
            <w:noProof/>
            <w:webHidden/>
          </w:rPr>
          <w:fldChar w:fldCharType="separate"/>
        </w:r>
        <w:r w:rsidR="00C5519D">
          <w:rPr>
            <w:noProof/>
            <w:webHidden/>
          </w:rPr>
          <w:t>34</w:t>
        </w:r>
        <w:r w:rsidR="00C5519D">
          <w:rPr>
            <w:noProof/>
            <w:webHidden/>
          </w:rPr>
          <w:fldChar w:fldCharType="end"/>
        </w:r>
      </w:hyperlink>
    </w:p>
    <w:p w14:paraId="6E2E3ED6" w14:textId="0F4100E8" w:rsidR="00C5519D" w:rsidRDefault="00000000" w:rsidP="00C5519D">
      <w:pPr>
        <w:pStyle w:val="Spistreci4"/>
        <w:rPr>
          <w:rFonts w:asciiTheme="minorHAnsi" w:eastAsiaTheme="minorEastAsia" w:hAnsiTheme="minorHAnsi" w:cstheme="minorBidi"/>
          <w:noProof/>
          <w:color w:val="auto"/>
          <w:lang w:eastAsia="pl-PL"/>
        </w:rPr>
      </w:pPr>
      <w:hyperlink w:anchor="_Toc182319568" w:history="1">
        <w:r w:rsidR="00C5519D" w:rsidRPr="007D476E">
          <w:rPr>
            <w:rStyle w:val="Hipercze"/>
            <w:noProof/>
          </w:rPr>
          <w:t>1.4.</w:t>
        </w:r>
        <w:r w:rsidR="00C5519D">
          <w:rPr>
            <w:rFonts w:asciiTheme="minorHAnsi" w:eastAsiaTheme="minorEastAsia" w:hAnsiTheme="minorHAnsi" w:cstheme="minorBidi"/>
            <w:noProof/>
            <w:color w:val="auto"/>
            <w:lang w:eastAsia="pl-PL"/>
          </w:rPr>
          <w:tab/>
        </w:r>
        <w:r w:rsidR="00C5519D" w:rsidRPr="007D476E">
          <w:rPr>
            <w:rStyle w:val="Hipercze"/>
            <w:noProof/>
          </w:rPr>
          <w:t>Stanowiska do mycia (zmywalnie i zlewy)</w:t>
        </w:r>
        <w:r w:rsidR="00C5519D">
          <w:rPr>
            <w:noProof/>
            <w:webHidden/>
          </w:rPr>
          <w:tab/>
        </w:r>
        <w:r w:rsidR="00C5519D">
          <w:rPr>
            <w:noProof/>
            <w:webHidden/>
          </w:rPr>
          <w:fldChar w:fldCharType="begin"/>
        </w:r>
        <w:r w:rsidR="00C5519D">
          <w:rPr>
            <w:noProof/>
            <w:webHidden/>
          </w:rPr>
          <w:instrText xml:space="preserve"> PAGEREF _Toc182319568 \h </w:instrText>
        </w:r>
        <w:r w:rsidR="00C5519D">
          <w:rPr>
            <w:noProof/>
            <w:webHidden/>
          </w:rPr>
        </w:r>
        <w:r w:rsidR="00C5519D">
          <w:rPr>
            <w:noProof/>
            <w:webHidden/>
          </w:rPr>
          <w:fldChar w:fldCharType="separate"/>
        </w:r>
        <w:r w:rsidR="00C5519D">
          <w:rPr>
            <w:noProof/>
            <w:webHidden/>
          </w:rPr>
          <w:t>35</w:t>
        </w:r>
        <w:r w:rsidR="00C5519D">
          <w:rPr>
            <w:noProof/>
            <w:webHidden/>
          </w:rPr>
          <w:fldChar w:fldCharType="end"/>
        </w:r>
      </w:hyperlink>
    </w:p>
    <w:p w14:paraId="7F2D84AF" w14:textId="595DDD40" w:rsidR="00C5519D" w:rsidRDefault="00000000" w:rsidP="00C5519D">
      <w:pPr>
        <w:pStyle w:val="Spistreci4"/>
        <w:rPr>
          <w:rFonts w:asciiTheme="minorHAnsi" w:eastAsiaTheme="minorEastAsia" w:hAnsiTheme="minorHAnsi" w:cstheme="minorBidi"/>
          <w:noProof/>
          <w:color w:val="auto"/>
          <w:lang w:eastAsia="pl-PL"/>
        </w:rPr>
      </w:pPr>
      <w:hyperlink w:anchor="_Toc182319569" w:history="1">
        <w:r w:rsidR="00C5519D" w:rsidRPr="007D476E">
          <w:rPr>
            <w:rStyle w:val="Hipercze"/>
            <w:noProof/>
          </w:rPr>
          <w:t>1.5.</w:t>
        </w:r>
        <w:r w:rsidR="00C5519D">
          <w:rPr>
            <w:rFonts w:asciiTheme="minorHAnsi" w:eastAsiaTheme="minorEastAsia" w:hAnsiTheme="minorHAnsi" w:cstheme="minorBidi"/>
            <w:noProof/>
            <w:color w:val="auto"/>
            <w:lang w:eastAsia="pl-PL"/>
          </w:rPr>
          <w:tab/>
        </w:r>
        <w:r w:rsidR="00C5519D" w:rsidRPr="007D476E">
          <w:rPr>
            <w:rStyle w:val="Hipercze"/>
            <w:noProof/>
          </w:rPr>
          <w:t>Stoły i meble montażowe</w:t>
        </w:r>
        <w:r w:rsidR="00C5519D">
          <w:rPr>
            <w:noProof/>
            <w:webHidden/>
          </w:rPr>
          <w:tab/>
        </w:r>
        <w:r w:rsidR="00C5519D">
          <w:rPr>
            <w:noProof/>
            <w:webHidden/>
          </w:rPr>
          <w:fldChar w:fldCharType="begin"/>
        </w:r>
        <w:r w:rsidR="00C5519D">
          <w:rPr>
            <w:noProof/>
            <w:webHidden/>
          </w:rPr>
          <w:instrText xml:space="preserve"> PAGEREF _Toc182319569 \h </w:instrText>
        </w:r>
        <w:r w:rsidR="00C5519D">
          <w:rPr>
            <w:noProof/>
            <w:webHidden/>
          </w:rPr>
        </w:r>
        <w:r w:rsidR="00C5519D">
          <w:rPr>
            <w:noProof/>
            <w:webHidden/>
          </w:rPr>
          <w:fldChar w:fldCharType="separate"/>
        </w:r>
        <w:r w:rsidR="00C5519D">
          <w:rPr>
            <w:noProof/>
            <w:webHidden/>
          </w:rPr>
          <w:t>35</w:t>
        </w:r>
        <w:r w:rsidR="00C5519D">
          <w:rPr>
            <w:noProof/>
            <w:webHidden/>
          </w:rPr>
          <w:fldChar w:fldCharType="end"/>
        </w:r>
      </w:hyperlink>
    </w:p>
    <w:p w14:paraId="104831FA" w14:textId="64390E57" w:rsidR="00C5519D" w:rsidRDefault="00000000">
      <w:pPr>
        <w:pStyle w:val="Spistreci3"/>
        <w:rPr>
          <w:rFonts w:asciiTheme="minorHAnsi" w:eastAsiaTheme="minorEastAsia" w:hAnsiTheme="minorHAnsi" w:cstheme="minorBidi"/>
          <w:noProof/>
          <w:color w:val="auto"/>
          <w:lang w:eastAsia="pl-PL"/>
        </w:rPr>
      </w:pPr>
      <w:hyperlink w:anchor="_Toc182319570" w:history="1">
        <w:r w:rsidR="00C5519D" w:rsidRPr="007D476E">
          <w:rPr>
            <w:rStyle w:val="Hipercze"/>
            <w:noProof/>
          </w:rPr>
          <w:t>2.</w:t>
        </w:r>
        <w:r w:rsidR="00C5519D">
          <w:rPr>
            <w:rFonts w:asciiTheme="minorHAnsi" w:eastAsiaTheme="minorEastAsia" w:hAnsiTheme="minorHAnsi" w:cstheme="minorBidi"/>
            <w:noProof/>
            <w:color w:val="auto"/>
            <w:lang w:eastAsia="pl-PL"/>
          </w:rPr>
          <w:tab/>
        </w:r>
        <w:r w:rsidR="00C5519D" w:rsidRPr="007D476E">
          <w:rPr>
            <w:rStyle w:val="Hipercze"/>
            <w:noProof/>
          </w:rPr>
          <w:t>Miejsca do siedzenia</w:t>
        </w:r>
        <w:r w:rsidR="00C5519D">
          <w:rPr>
            <w:noProof/>
            <w:webHidden/>
          </w:rPr>
          <w:tab/>
        </w:r>
        <w:r w:rsidR="00C5519D">
          <w:rPr>
            <w:noProof/>
            <w:webHidden/>
          </w:rPr>
          <w:fldChar w:fldCharType="begin"/>
        </w:r>
        <w:r w:rsidR="00C5519D">
          <w:rPr>
            <w:noProof/>
            <w:webHidden/>
          </w:rPr>
          <w:instrText xml:space="preserve"> PAGEREF _Toc182319570 \h </w:instrText>
        </w:r>
        <w:r w:rsidR="00C5519D">
          <w:rPr>
            <w:noProof/>
            <w:webHidden/>
          </w:rPr>
        </w:r>
        <w:r w:rsidR="00C5519D">
          <w:rPr>
            <w:noProof/>
            <w:webHidden/>
          </w:rPr>
          <w:fldChar w:fldCharType="separate"/>
        </w:r>
        <w:r w:rsidR="00C5519D">
          <w:rPr>
            <w:noProof/>
            <w:webHidden/>
          </w:rPr>
          <w:t>36</w:t>
        </w:r>
        <w:r w:rsidR="00C5519D">
          <w:rPr>
            <w:noProof/>
            <w:webHidden/>
          </w:rPr>
          <w:fldChar w:fldCharType="end"/>
        </w:r>
      </w:hyperlink>
    </w:p>
    <w:p w14:paraId="3CB1F5CC" w14:textId="432C73D4" w:rsidR="00C5519D" w:rsidRDefault="00000000" w:rsidP="00C5519D">
      <w:pPr>
        <w:pStyle w:val="Spistreci4"/>
        <w:rPr>
          <w:rFonts w:asciiTheme="minorHAnsi" w:eastAsiaTheme="minorEastAsia" w:hAnsiTheme="minorHAnsi" w:cstheme="minorBidi"/>
          <w:noProof/>
          <w:color w:val="auto"/>
          <w:lang w:eastAsia="pl-PL"/>
        </w:rPr>
      </w:pPr>
      <w:hyperlink w:anchor="_Toc182319571" w:history="1">
        <w:r w:rsidR="00C5519D" w:rsidRPr="007D476E">
          <w:rPr>
            <w:rStyle w:val="Hipercze"/>
            <w:noProof/>
          </w:rPr>
          <w:t>2.1.</w:t>
        </w:r>
        <w:r w:rsidR="00C5519D">
          <w:rPr>
            <w:rFonts w:asciiTheme="minorHAnsi" w:eastAsiaTheme="minorEastAsia" w:hAnsiTheme="minorHAnsi" w:cstheme="minorBidi"/>
            <w:noProof/>
            <w:color w:val="auto"/>
            <w:lang w:eastAsia="pl-PL"/>
          </w:rPr>
          <w:tab/>
        </w:r>
        <w:r w:rsidR="00C5519D" w:rsidRPr="007D476E">
          <w:rPr>
            <w:rStyle w:val="Hipercze"/>
            <w:noProof/>
          </w:rPr>
          <w:t>Miejsca siedzące przeznaczone do pracy</w:t>
        </w:r>
        <w:r w:rsidR="00C5519D">
          <w:rPr>
            <w:noProof/>
            <w:webHidden/>
          </w:rPr>
          <w:tab/>
        </w:r>
        <w:r w:rsidR="00C5519D">
          <w:rPr>
            <w:noProof/>
            <w:webHidden/>
          </w:rPr>
          <w:fldChar w:fldCharType="begin"/>
        </w:r>
        <w:r w:rsidR="00C5519D">
          <w:rPr>
            <w:noProof/>
            <w:webHidden/>
          </w:rPr>
          <w:instrText xml:space="preserve"> PAGEREF _Toc182319571 \h </w:instrText>
        </w:r>
        <w:r w:rsidR="00C5519D">
          <w:rPr>
            <w:noProof/>
            <w:webHidden/>
          </w:rPr>
        </w:r>
        <w:r w:rsidR="00C5519D">
          <w:rPr>
            <w:noProof/>
            <w:webHidden/>
          </w:rPr>
          <w:fldChar w:fldCharType="separate"/>
        </w:r>
        <w:r w:rsidR="00C5519D">
          <w:rPr>
            <w:noProof/>
            <w:webHidden/>
          </w:rPr>
          <w:t>36</w:t>
        </w:r>
        <w:r w:rsidR="00C5519D">
          <w:rPr>
            <w:noProof/>
            <w:webHidden/>
          </w:rPr>
          <w:fldChar w:fldCharType="end"/>
        </w:r>
      </w:hyperlink>
    </w:p>
    <w:p w14:paraId="122F72DF" w14:textId="5C42F03C" w:rsidR="00C5519D" w:rsidRDefault="00000000" w:rsidP="00C5519D">
      <w:pPr>
        <w:pStyle w:val="Spistreci4"/>
        <w:rPr>
          <w:rFonts w:asciiTheme="minorHAnsi" w:eastAsiaTheme="minorEastAsia" w:hAnsiTheme="minorHAnsi" w:cstheme="minorBidi"/>
          <w:noProof/>
          <w:color w:val="auto"/>
          <w:lang w:eastAsia="pl-PL"/>
        </w:rPr>
      </w:pPr>
      <w:hyperlink w:anchor="_Toc182319572" w:history="1">
        <w:r w:rsidR="00C5519D" w:rsidRPr="007D476E">
          <w:rPr>
            <w:rStyle w:val="Hipercze"/>
            <w:noProof/>
          </w:rPr>
          <w:t>2.2.</w:t>
        </w:r>
        <w:r w:rsidR="00C5519D">
          <w:rPr>
            <w:rFonts w:asciiTheme="minorHAnsi" w:eastAsiaTheme="minorEastAsia" w:hAnsiTheme="minorHAnsi" w:cstheme="minorBidi"/>
            <w:noProof/>
            <w:color w:val="auto"/>
            <w:lang w:eastAsia="pl-PL"/>
          </w:rPr>
          <w:tab/>
        </w:r>
        <w:r w:rsidR="00C5519D" w:rsidRPr="007D476E">
          <w:rPr>
            <w:rStyle w:val="Hipercze"/>
            <w:noProof/>
          </w:rPr>
          <w:t>Miejsca siedzące do odpoczynku</w:t>
        </w:r>
        <w:r w:rsidR="00C5519D">
          <w:rPr>
            <w:noProof/>
            <w:webHidden/>
          </w:rPr>
          <w:tab/>
        </w:r>
        <w:r w:rsidR="00C5519D">
          <w:rPr>
            <w:noProof/>
            <w:webHidden/>
          </w:rPr>
          <w:fldChar w:fldCharType="begin"/>
        </w:r>
        <w:r w:rsidR="00C5519D">
          <w:rPr>
            <w:noProof/>
            <w:webHidden/>
          </w:rPr>
          <w:instrText xml:space="preserve"> PAGEREF _Toc182319572 \h </w:instrText>
        </w:r>
        <w:r w:rsidR="00C5519D">
          <w:rPr>
            <w:noProof/>
            <w:webHidden/>
          </w:rPr>
        </w:r>
        <w:r w:rsidR="00C5519D">
          <w:rPr>
            <w:noProof/>
            <w:webHidden/>
          </w:rPr>
          <w:fldChar w:fldCharType="separate"/>
        </w:r>
        <w:r w:rsidR="00C5519D">
          <w:rPr>
            <w:noProof/>
            <w:webHidden/>
          </w:rPr>
          <w:t>37</w:t>
        </w:r>
        <w:r w:rsidR="00C5519D">
          <w:rPr>
            <w:noProof/>
            <w:webHidden/>
          </w:rPr>
          <w:fldChar w:fldCharType="end"/>
        </w:r>
      </w:hyperlink>
    </w:p>
    <w:p w14:paraId="41568DBC" w14:textId="3680C6EB" w:rsidR="00C5519D" w:rsidRDefault="00000000">
      <w:pPr>
        <w:pStyle w:val="Spistreci3"/>
        <w:rPr>
          <w:rFonts w:asciiTheme="minorHAnsi" w:eastAsiaTheme="minorEastAsia" w:hAnsiTheme="minorHAnsi" w:cstheme="minorBidi"/>
          <w:noProof/>
          <w:color w:val="auto"/>
          <w:lang w:eastAsia="pl-PL"/>
        </w:rPr>
      </w:pPr>
      <w:hyperlink w:anchor="_Toc182319573" w:history="1">
        <w:r w:rsidR="00C5519D" w:rsidRPr="007D476E">
          <w:rPr>
            <w:rStyle w:val="Hipercze"/>
            <w:noProof/>
          </w:rPr>
          <w:t>3.</w:t>
        </w:r>
        <w:r w:rsidR="00C5519D">
          <w:rPr>
            <w:rFonts w:asciiTheme="minorHAnsi" w:eastAsiaTheme="minorEastAsia" w:hAnsiTheme="minorHAnsi" w:cstheme="minorBidi"/>
            <w:noProof/>
            <w:color w:val="auto"/>
            <w:lang w:eastAsia="pl-PL"/>
          </w:rPr>
          <w:tab/>
        </w:r>
        <w:r w:rsidR="00C5519D" w:rsidRPr="007D476E">
          <w:rPr>
            <w:rStyle w:val="Hipercze"/>
            <w:noProof/>
          </w:rPr>
          <w:t>Urządzenia wagowe i pomiarowe</w:t>
        </w:r>
        <w:r w:rsidR="00C5519D">
          <w:rPr>
            <w:noProof/>
            <w:webHidden/>
          </w:rPr>
          <w:tab/>
        </w:r>
        <w:r w:rsidR="00C5519D">
          <w:rPr>
            <w:noProof/>
            <w:webHidden/>
          </w:rPr>
          <w:fldChar w:fldCharType="begin"/>
        </w:r>
        <w:r w:rsidR="00C5519D">
          <w:rPr>
            <w:noProof/>
            <w:webHidden/>
          </w:rPr>
          <w:instrText xml:space="preserve"> PAGEREF _Toc182319573 \h </w:instrText>
        </w:r>
        <w:r w:rsidR="00C5519D">
          <w:rPr>
            <w:noProof/>
            <w:webHidden/>
          </w:rPr>
        </w:r>
        <w:r w:rsidR="00C5519D">
          <w:rPr>
            <w:noProof/>
            <w:webHidden/>
          </w:rPr>
          <w:fldChar w:fldCharType="separate"/>
        </w:r>
        <w:r w:rsidR="00C5519D">
          <w:rPr>
            <w:noProof/>
            <w:webHidden/>
          </w:rPr>
          <w:t>37</w:t>
        </w:r>
        <w:r w:rsidR="00C5519D">
          <w:rPr>
            <w:noProof/>
            <w:webHidden/>
          </w:rPr>
          <w:fldChar w:fldCharType="end"/>
        </w:r>
      </w:hyperlink>
    </w:p>
    <w:p w14:paraId="30882C08" w14:textId="32A5238A" w:rsidR="00C5519D" w:rsidRDefault="00000000">
      <w:pPr>
        <w:pStyle w:val="Spistreci3"/>
        <w:rPr>
          <w:rFonts w:asciiTheme="minorHAnsi" w:eastAsiaTheme="minorEastAsia" w:hAnsiTheme="minorHAnsi" w:cstheme="minorBidi"/>
          <w:noProof/>
          <w:color w:val="auto"/>
          <w:lang w:eastAsia="pl-PL"/>
        </w:rPr>
      </w:pPr>
      <w:hyperlink w:anchor="_Toc182319574" w:history="1">
        <w:r w:rsidR="00C5519D" w:rsidRPr="007D476E">
          <w:rPr>
            <w:rStyle w:val="Hipercze"/>
            <w:noProof/>
          </w:rPr>
          <w:t>4.</w:t>
        </w:r>
        <w:r w:rsidR="00C5519D">
          <w:rPr>
            <w:rFonts w:asciiTheme="minorHAnsi" w:eastAsiaTheme="minorEastAsia" w:hAnsiTheme="minorHAnsi" w:cstheme="minorBidi"/>
            <w:noProof/>
            <w:color w:val="auto"/>
            <w:lang w:eastAsia="pl-PL"/>
          </w:rPr>
          <w:tab/>
        </w:r>
        <w:r w:rsidR="00C5519D" w:rsidRPr="007D476E">
          <w:rPr>
            <w:rStyle w:val="Hipercze"/>
            <w:noProof/>
          </w:rPr>
          <w:t>Urządzenia grzewcze i chłodnicze, wirówki, sterylizatory, destylarki i autoklawy</w:t>
        </w:r>
        <w:r w:rsidR="00C5519D">
          <w:rPr>
            <w:noProof/>
            <w:webHidden/>
          </w:rPr>
          <w:tab/>
        </w:r>
        <w:r w:rsidR="00C5519D">
          <w:rPr>
            <w:noProof/>
            <w:webHidden/>
          </w:rPr>
          <w:fldChar w:fldCharType="begin"/>
        </w:r>
        <w:r w:rsidR="00C5519D">
          <w:rPr>
            <w:noProof/>
            <w:webHidden/>
          </w:rPr>
          <w:instrText xml:space="preserve"> PAGEREF _Toc182319574 \h </w:instrText>
        </w:r>
        <w:r w:rsidR="00C5519D">
          <w:rPr>
            <w:noProof/>
            <w:webHidden/>
          </w:rPr>
        </w:r>
        <w:r w:rsidR="00C5519D">
          <w:rPr>
            <w:noProof/>
            <w:webHidden/>
          </w:rPr>
          <w:fldChar w:fldCharType="separate"/>
        </w:r>
        <w:r w:rsidR="00C5519D">
          <w:rPr>
            <w:noProof/>
            <w:webHidden/>
          </w:rPr>
          <w:t>38</w:t>
        </w:r>
        <w:r w:rsidR="00C5519D">
          <w:rPr>
            <w:noProof/>
            <w:webHidden/>
          </w:rPr>
          <w:fldChar w:fldCharType="end"/>
        </w:r>
      </w:hyperlink>
    </w:p>
    <w:p w14:paraId="730DF45D" w14:textId="21A36AA9" w:rsidR="00C5519D" w:rsidRDefault="00000000">
      <w:pPr>
        <w:pStyle w:val="Spistreci3"/>
        <w:rPr>
          <w:rFonts w:asciiTheme="minorHAnsi" w:eastAsiaTheme="minorEastAsia" w:hAnsiTheme="minorHAnsi" w:cstheme="minorBidi"/>
          <w:noProof/>
          <w:color w:val="auto"/>
          <w:lang w:eastAsia="pl-PL"/>
        </w:rPr>
      </w:pPr>
      <w:hyperlink w:anchor="_Toc182319575" w:history="1">
        <w:r w:rsidR="00C5519D" w:rsidRPr="007D476E">
          <w:rPr>
            <w:rStyle w:val="Hipercze"/>
            <w:noProof/>
          </w:rPr>
          <w:t>5.</w:t>
        </w:r>
        <w:r w:rsidR="00C5519D">
          <w:rPr>
            <w:rFonts w:asciiTheme="minorHAnsi" w:eastAsiaTheme="minorEastAsia" w:hAnsiTheme="minorHAnsi" w:cstheme="minorBidi"/>
            <w:noProof/>
            <w:color w:val="auto"/>
            <w:lang w:eastAsia="pl-PL"/>
          </w:rPr>
          <w:tab/>
        </w:r>
        <w:r w:rsidR="00C5519D" w:rsidRPr="007D476E">
          <w:rPr>
            <w:rStyle w:val="Hipercze"/>
            <w:noProof/>
          </w:rPr>
          <w:t>Dygestoria</w:t>
        </w:r>
        <w:r w:rsidR="00C5519D">
          <w:rPr>
            <w:noProof/>
            <w:webHidden/>
          </w:rPr>
          <w:tab/>
        </w:r>
        <w:r w:rsidR="00C5519D">
          <w:rPr>
            <w:noProof/>
            <w:webHidden/>
          </w:rPr>
          <w:fldChar w:fldCharType="begin"/>
        </w:r>
        <w:r w:rsidR="00C5519D">
          <w:rPr>
            <w:noProof/>
            <w:webHidden/>
          </w:rPr>
          <w:instrText xml:space="preserve"> PAGEREF _Toc182319575 \h </w:instrText>
        </w:r>
        <w:r w:rsidR="00C5519D">
          <w:rPr>
            <w:noProof/>
            <w:webHidden/>
          </w:rPr>
        </w:r>
        <w:r w:rsidR="00C5519D">
          <w:rPr>
            <w:noProof/>
            <w:webHidden/>
          </w:rPr>
          <w:fldChar w:fldCharType="separate"/>
        </w:r>
        <w:r w:rsidR="00C5519D">
          <w:rPr>
            <w:noProof/>
            <w:webHidden/>
          </w:rPr>
          <w:t>39</w:t>
        </w:r>
        <w:r w:rsidR="00C5519D">
          <w:rPr>
            <w:noProof/>
            <w:webHidden/>
          </w:rPr>
          <w:fldChar w:fldCharType="end"/>
        </w:r>
      </w:hyperlink>
    </w:p>
    <w:p w14:paraId="79647C3B" w14:textId="11144656" w:rsidR="00C5519D" w:rsidRDefault="00000000">
      <w:pPr>
        <w:pStyle w:val="Spistreci3"/>
        <w:rPr>
          <w:rFonts w:asciiTheme="minorHAnsi" w:eastAsiaTheme="minorEastAsia" w:hAnsiTheme="minorHAnsi" w:cstheme="minorBidi"/>
          <w:noProof/>
          <w:color w:val="auto"/>
          <w:lang w:eastAsia="pl-PL"/>
        </w:rPr>
      </w:pPr>
      <w:hyperlink w:anchor="_Toc182319576" w:history="1">
        <w:r w:rsidR="00C5519D" w:rsidRPr="007D476E">
          <w:rPr>
            <w:rStyle w:val="Hipercze"/>
            <w:noProof/>
          </w:rPr>
          <w:t>6.</w:t>
        </w:r>
        <w:r w:rsidR="00C5519D">
          <w:rPr>
            <w:rFonts w:asciiTheme="minorHAnsi" w:eastAsiaTheme="minorEastAsia" w:hAnsiTheme="minorHAnsi" w:cstheme="minorBidi"/>
            <w:noProof/>
            <w:color w:val="auto"/>
            <w:lang w:eastAsia="pl-PL"/>
          </w:rPr>
          <w:tab/>
        </w:r>
        <w:r w:rsidR="00C5519D" w:rsidRPr="007D476E">
          <w:rPr>
            <w:rStyle w:val="Hipercze"/>
            <w:noProof/>
          </w:rPr>
          <w:t>Regały i szafy stałe i przejezdne</w:t>
        </w:r>
        <w:r w:rsidR="00C5519D">
          <w:rPr>
            <w:noProof/>
            <w:webHidden/>
          </w:rPr>
          <w:tab/>
        </w:r>
        <w:r w:rsidR="00C5519D">
          <w:rPr>
            <w:noProof/>
            <w:webHidden/>
          </w:rPr>
          <w:fldChar w:fldCharType="begin"/>
        </w:r>
        <w:r w:rsidR="00C5519D">
          <w:rPr>
            <w:noProof/>
            <w:webHidden/>
          </w:rPr>
          <w:instrText xml:space="preserve"> PAGEREF _Toc182319576 \h </w:instrText>
        </w:r>
        <w:r w:rsidR="00C5519D">
          <w:rPr>
            <w:noProof/>
            <w:webHidden/>
          </w:rPr>
        </w:r>
        <w:r w:rsidR="00C5519D">
          <w:rPr>
            <w:noProof/>
            <w:webHidden/>
          </w:rPr>
          <w:fldChar w:fldCharType="separate"/>
        </w:r>
        <w:r w:rsidR="00C5519D">
          <w:rPr>
            <w:noProof/>
            <w:webHidden/>
          </w:rPr>
          <w:t>39</w:t>
        </w:r>
        <w:r w:rsidR="00C5519D">
          <w:rPr>
            <w:noProof/>
            <w:webHidden/>
          </w:rPr>
          <w:fldChar w:fldCharType="end"/>
        </w:r>
      </w:hyperlink>
    </w:p>
    <w:p w14:paraId="1EFEEBBB" w14:textId="62F38916" w:rsidR="00C5519D" w:rsidRDefault="00000000">
      <w:pPr>
        <w:pStyle w:val="Spistreci3"/>
        <w:rPr>
          <w:rFonts w:asciiTheme="minorHAnsi" w:eastAsiaTheme="minorEastAsia" w:hAnsiTheme="minorHAnsi" w:cstheme="minorBidi"/>
          <w:noProof/>
          <w:color w:val="auto"/>
          <w:lang w:eastAsia="pl-PL"/>
        </w:rPr>
      </w:pPr>
      <w:hyperlink w:anchor="_Toc182319577" w:history="1">
        <w:r w:rsidR="00C5519D" w:rsidRPr="007D476E">
          <w:rPr>
            <w:rStyle w:val="Hipercze"/>
            <w:noProof/>
          </w:rPr>
          <w:t>7.</w:t>
        </w:r>
        <w:r w:rsidR="00C5519D">
          <w:rPr>
            <w:rFonts w:asciiTheme="minorHAnsi" w:eastAsiaTheme="minorEastAsia" w:hAnsiTheme="minorHAnsi" w:cstheme="minorBidi"/>
            <w:noProof/>
            <w:color w:val="auto"/>
            <w:lang w:eastAsia="pl-PL"/>
          </w:rPr>
          <w:tab/>
        </w:r>
        <w:r w:rsidR="00C5519D" w:rsidRPr="007D476E">
          <w:rPr>
            <w:rStyle w:val="Hipercze"/>
            <w:noProof/>
          </w:rPr>
          <w:t>Kosze i pojemniki na odpady</w:t>
        </w:r>
        <w:r w:rsidR="00C5519D">
          <w:rPr>
            <w:noProof/>
            <w:webHidden/>
          </w:rPr>
          <w:tab/>
        </w:r>
        <w:r w:rsidR="00C5519D">
          <w:rPr>
            <w:noProof/>
            <w:webHidden/>
          </w:rPr>
          <w:fldChar w:fldCharType="begin"/>
        </w:r>
        <w:r w:rsidR="00C5519D">
          <w:rPr>
            <w:noProof/>
            <w:webHidden/>
          </w:rPr>
          <w:instrText xml:space="preserve"> PAGEREF _Toc182319577 \h </w:instrText>
        </w:r>
        <w:r w:rsidR="00C5519D">
          <w:rPr>
            <w:noProof/>
            <w:webHidden/>
          </w:rPr>
        </w:r>
        <w:r w:rsidR="00C5519D">
          <w:rPr>
            <w:noProof/>
            <w:webHidden/>
          </w:rPr>
          <w:fldChar w:fldCharType="separate"/>
        </w:r>
        <w:r w:rsidR="00C5519D">
          <w:rPr>
            <w:noProof/>
            <w:webHidden/>
          </w:rPr>
          <w:t>40</w:t>
        </w:r>
        <w:r w:rsidR="00C5519D">
          <w:rPr>
            <w:noProof/>
            <w:webHidden/>
          </w:rPr>
          <w:fldChar w:fldCharType="end"/>
        </w:r>
      </w:hyperlink>
    </w:p>
    <w:p w14:paraId="34A627FF" w14:textId="3020D0D2" w:rsidR="00C5519D" w:rsidRDefault="00000000">
      <w:pPr>
        <w:pStyle w:val="Spistreci1"/>
        <w:rPr>
          <w:rFonts w:asciiTheme="minorHAnsi" w:eastAsiaTheme="minorEastAsia" w:hAnsiTheme="minorHAnsi" w:cstheme="minorBidi"/>
          <w:b w:val="0"/>
          <w:bCs w:val="0"/>
          <w:color w:val="auto"/>
          <w:lang w:eastAsia="pl-PL"/>
        </w:rPr>
      </w:pPr>
      <w:hyperlink w:anchor="_Toc182319578" w:history="1">
        <w:r w:rsidR="00C5519D" w:rsidRPr="007D476E">
          <w:rPr>
            <w:rStyle w:val="Hipercze"/>
          </w:rPr>
          <w:t>VIII.</w:t>
        </w:r>
        <w:r w:rsidR="00C5519D">
          <w:rPr>
            <w:rFonts w:asciiTheme="minorHAnsi" w:eastAsiaTheme="minorEastAsia" w:hAnsiTheme="minorHAnsi" w:cstheme="minorBidi"/>
            <w:b w:val="0"/>
            <w:bCs w:val="0"/>
            <w:color w:val="auto"/>
            <w:lang w:eastAsia="pl-PL"/>
          </w:rPr>
          <w:tab/>
        </w:r>
        <w:r w:rsidR="00C5519D" w:rsidRPr="007D476E">
          <w:rPr>
            <w:rStyle w:val="Hipercze"/>
          </w:rPr>
          <w:t>Standard bezpieczeństwa i ewakuacji</w:t>
        </w:r>
        <w:r w:rsidR="00C5519D">
          <w:rPr>
            <w:webHidden/>
          </w:rPr>
          <w:tab/>
        </w:r>
        <w:r w:rsidR="00C5519D">
          <w:rPr>
            <w:webHidden/>
          </w:rPr>
          <w:fldChar w:fldCharType="begin"/>
        </w:r>
        <w:r w:rsidR="00C5519D">
          <w:rPr>
            <w:webHidden/>
          </w:rPr>
          <w:instrText xml:space="preserve"> PAGEREF _Toc182319578 \h </w:instrText>
        </w:r>
        <w:r w:rsidR="00C5519D">
          <w:rPr>
            <w:webHidden/>
          </w:rPr>
        </w:r>
        <w:r w:rsidR="00C5519D">
          <w:rPr>
            <w:webHidden/>
          </w:rPr>
          <w:fldChar w:fldCharType="separate"/>
        </w:r>
        <w:r w:rsidR="00C5519D">
          <w:rPr>
            <w:webHidden/>
          </w:rPr>
          <w:t>41</w:t>
        </w:r>
        <w:r w:rsidR="00C5519D">
          <w:rPr>
            <w:webHidden/>
          </w:rPr>
          <w:fldChar w:fldCharType="end"/>
        </w:r>
      </w:hyperlink>
    </w:p>
    <w:p w14:paraId="65592AEA" w14:textId="6C7AB941" w:rsidR="00C5519D" w:rsidRDefault="00000000">
      <w:pPr>
        <w:pStyle w:val="Spistreci2"/>
        <w:rPr>
          <w:rFonts w:asciiTheme="minorHAnsi" w:eastAsiaTheme="minorEastAsia" w:hAnsiTheme="minorHAnsi" w:cstheme="minorBidi"/>
          <w:noProof/>
          <w:color w:val="auto"/>
          <w:lang w:eastAsia="pl-PL"/>
        </w:rPr>
      </w:pPr>
      <w:hyperlink w:anchor="_Toc182319579" w:history="1">
        <w:r w:rsidR="00C5519D" w:rsidRPr="007D476E">
          <w:rPr>
            <w:rStyle w:val="Hipercze"/>
            <w:noProof/>
          </w:rPr>
          <w:t>Rozdział 1. Wymagania architektoniczne dla ewakuacji</w:t>
        </w:r>
        <w:r w:rsidR="00C5519D">
          <w:rPr>
            <w:noProof/>
            <w:webHidden/>
          </w:rPr>
          <w:tab/>
        </w:r>
        <w:r w:rsidR="00C5519D">
          <w:rPr>
            <w:noProof/>
            <w:webHidden/>
          </w:rPr>
          <w:fldChar w:fldCharType="begin"/>
        </w:r>
        <w:r w:rsidR="00C5519D">
          <w:rPr>
            <w:noProof/>
            <w:webHidden/>
          </w:rPr>
          <w:instrText xml:space="preserve"> PAGEREF _Toc182319579 \h </w:instrText>
        </w:r>
        <w:r w:rsidR="00C5519D">
          <w:rPr>
            <w:noProof/>
            <w:webHidden/>
          </w:rPr>
        </w:r>
        <w:r w:rsidR="00C5519D">
          <w:rPr>
            <w:noProof/>
            <w:webHidden/>
          </w:rPr>
          <w:fldChar w:fldCharType="separate"/>
        </w:r>
        <w:r w:rsidR="00C5519D">
          <w:rPr>
            <w:noProof/>
            <w:webHidden/>
          </w:rPr>
          <w:t>41</w:t>
        </w:r>
        <w:r w:rsidR="00C5519D">
          <w:rPr>
            <w:noProof/>
            <w:webHidden/>
          </w:rPr>
          <w:fldChar w:fldCharType="end"/>
        </w:r>
      </w:hyperlink>
    </w:p>
    <w:p w14:paraId="28D04593" w14:textId="4084AC00" w:rsidR="00C5519D" w:rsidRDefault="00000000">
      <w:pPr>
        <w:pStyle w:val="Spistreci2"/>
        <w:rPr>
          <w:rFonts w:asciiTheme="minorHAnsi" w:eastAsiaTheme="minorEastAsia" w:hAnsiTheme="minorHAnsi" w:cstheme="minorBidi"/>
          <w:noProof/>
          <w:color w:val="auto"/>
          <w:lang w:eastAsia="pl-PL"/>
        </w:rPr>
      </w:pPr>
      <w:hyperlink w:anchor="_Toc182319580" w:history="1">
        <w:r w:rsidR="00C5519D" w:rsidRPr="007D476E">
          <w:rPr>
            <w:rStyle w:val="Hipercze"/>
            <w:noProof/>
          </w:rPr>
          <w:t>Rozdział. 2. Podręczny i przenośny sprzęt gaśniczy</w:t>
        </w:r>
        <w:r w:rsidR="00C5519D">
          <w:rPr>
            <w:noProof/>
            <w:webHidden/>
          </w:rPr>
          <w:tab/>
        </w:r>
        <w:r w:rsidR="00C5519D">
          <w:rPr>
            <w:noProof/>
            <w:webHidden/>
          </w:rPr>
          <w:fldChar w:fldCharType="begin"/>
        </w:r>
        <w:r w:rsidR="00C5519D">
          <w:rPr>
            <w:noProof/>
            <w:webHidden/>
          </w:rPr>
          <w:instrText xml:space="preserve"> PAGEREF _Toc182319580 \h </w:instrText>
        </w:r>
        <w:r w:rsidR="00C5519D">
          <w:rPr>
            <w:noProof/>
            <w:webHidden/>
          </w:rPr>
        </w:r>
        <w:r w:rsidR="00C5519D">
          <w:rPr>
            <w:noProof/>
            <w:webHidden/>
          </w:rPr>
          <w:fldChar w:fldCharType="separate"/>
        </w:r>
        <w:r w:rsidR="00C5519D">
          <w:rPr>
            <w:noProof/>
            <w:webHidden/>
          </w:rPr>
          <w:t>41</w:t>
        </w:r>
        <w:r w:rsidR="00C5519D">
          <w:rPr>
            <w:noProof/>
            <w:webHidden/>
          </w:rPr>
          <w:fldChar w:fldCharType="end"/>
        </w:r>
      </w:hyperlink>
    </w:p>
    <w:p w14:paraId="5909E7D3" w14:textId="5BC48625" w:rsidR="00C5519D" w:rsidRDefault="00000000">
      <w:pPr>
        <w:pStyle w:val="Spistreci2"/>
        <w:rPr>
          <w:rFonts w:asciiTheme="minorHAnsi" w:eastAsiaTheme="minorEastAsia" w:hAnsiTheme="minorHAnsi" w:cstheme="minorBidi"/>
          <w:noProof/>
          <w:color w:val="auto"/>
          <w:lang w:eastAsia="pl-PL"/>
        </w:rPr>
      </w:pPr>
      <w:hyperlink w:anchor="_Toc182319581" w:history="1">
        <w:r w:rsidR="00C5519D" w:rsidRPr="007D476E">
          <w:rPr>
            <w:rStyle w:val="Hipercze"/>
            <w:noProof/>
          </w:rPr>
          <w:t>Rozdział 3. Procedury ewakuacji</w:t>
        </w:r>
        <w:r w:rsidR="00C5519D">
          <w:rPr>
            <w:noProof/>
            <w:webHidden/>
          </w:rPr>
          <w:tab/>
        </w:r>
        <w:r w:rsidR="00C5519D">
          <w:rPr>
            <w:noProof/>
            <w:webHidden/>
          </w:rPr>
          <w:fldChar w:fldCharType="begin"/>
        </w:r>
        <w:r w:rsidR="00C5519D">
          <w:rPr>
            <w:noProof/>
            <w:webHidden/>
          </w:rPr>
          <w:instrText xml:space="preserve"> PAGEREF _Toc182319581 \h </w:instrText>
        </w:r>
        <w:r w:rsidR="00C5519D">
          <w:rPr>
            <w:noProof/>
            <w:webHidden/>
          </w:rPr>
        </w:r>
        <w:r w:rsidR="00C5519D">
          <w:rPr>
            <w:noProof/>
            <w:webHidden/>
          </w:rPr>
          <w:fldChar w:fldCharType="separate"/>
        </w:r>
        <w:r w:rsidR="00C5519D">
          <w:rPr>
            <w:noProof/>
            <w:webHidden/>
          </w:rPr>
          <w:t>42</w:t>
        </w:r>
        <w:r w:rsidR="00C5519D">
          <w:rPr>
            <w:noProof/>
            <w:webHidden/>
          </w:rPr>
          <w:fldChar w:fldCharType="end"/>
        </w:r>
      </w:hyperlink>
    </w:p>
    <w:p w14:paraId="6C0F782B" w14:textId="368885B7" w:rsidR="00C5519D" w:rsidRDefault="00000000">
      <w:pPr>
        <w:pStyle w:val="Spistreci1"/>
        <w:rPr>
          <w:rFonts w:asciiTheme="minorHAnsi" w:eastAsiaTheme="minorEastAsia" w:hAnsiTheme="minorHAnsi" w:cstheme="minorBidi"/>
          <w:b w:val="0"/>
          <w:bCs w:val="0"/>
          <w:color w:val="auto"/>
          <w:lang w:eastAsia="pl-PL"/>
        </w:rPr>
      </w:pPr>
      <w:hyperlink w:anchor="_Toc182319582" w:history="1">
        <w:r w:rsidR="00C5519D" w:rsidRPr="007D476E">
          <w:rPr>
            <w:rStyle w:val="Hipercze"/>
          </w:rPr>
          <w:t>IX.</w:t>
        </w:r>
        <w:r w:rsidR="00C5519D">
          <w:rPr>
            <w:rFonts w:asciiTheme="minorHAnsi" w:eastAsiaTheme="minorEastAsia" w:hAnsiTheme="minorHAnsi" w:cstheme="minorBidi"/>
            <w:b w:val="0"/>
            <w:bCs w:val="0"/>
            <w:color w:val="auto"/>
            <w:lang w:eastAsia="pl-PL"/>
          </w:rPr>
          <w:tab/>
        </w:r>
        <w:r w:rsidR="00C5519D" w:rsidRPr="007D476E">
          <w:rPr>
            <w:rStyle w:val="Hipercze"/>
          </w:rPr>
          <w:t>Standard zatrudnienia i organizacji pracy</w:t>
        </w:r>
        <w:r w:rsidR="00C5519D">
          <w:rPr>
            <w:webHidden/>
          </w:rPr>
          <w:tab/>
        </w:r>
        <w:r w:rsidR="00C5519D">
          <w:rPr>
            <w:webHidden/>
          </w:rPr>
          <w:fldChar w:fldCharType="begin"/>
        </w:r>
        <w:r w:rsidR="00C5519D">
          <w:rPr>
            <w:webHidden/>
          </w:rPr>
          <w:instrText xml:space="preserve"> PAGEREF _Toc182319582 \h </w:instrText>
        </w:r>
        <w:r w:rsidR="00C5519D">
          <w:rPr>
            <w:webHidden/>
          </w:rPr>
        </w:r>
        <w:r w:rsidR="00C5519D">
          <w:rPr>
            <w:webHidden/>
          </w:rPr>
          <w:fldChar w:fldCharType="separate"/>
        </w:r>
        <w:r w:rsidR="00C5519D">
          <w:rPr>
            <w:webHidden/>
          </w:rPr>
          <w:t>43</w:t>
        </w:r>
        <w:r w:rsidR="00C5519D">
          <w:rPr>
            <w:webHidden/>
          </w:rPr>
          <w:fldChar w:fldCharType="end"/>
        </w:r>
      </w:hyperlink>
    </w:p>
    <w:p w14:paraId="288206C1" w14:textId="5F35D3AF" w:rsidR="00C5519D" w:rsidRDefault="00000000">
      <w:pPr>
        <w:pStyle w:val="Spistreci2"/>
        <w:rPr>
          <w:rFonts w:asciiTheme="minorHAnsi" w:eastAsiaTheme="minorEastAsia" w:hAnsiTheme="minorHAnsi" w:cstheme="minorBidi"/>
          <w:noProof/>
          <w:color w:val="auto"/>
          <w:lang w:eastAsia="pl-PL"/>
        </w:rPr>
      </w:pPr>
      <w:hyperlink w:anchor="_Toc182319583" w:history="1">
        <w:r w:rsidR="00C5519D" w:rsidRPr="007D476E">
          <w:rPr>
            <w:rStyle w:val="Hipercze"/>
            <w:noProof/>
          </w:rPr>
          <w:t>Rozdział 1. Proces rekrutacji</w:t>
        </w:r>
        <w:r w:rsidR="00C5519D">
          <w:rPr>
            <w:noProof/>
            <w:webHidden/>
          </w:rPr>
          <w:tab/>
        </w:r>
        <w:r w:rsidR="00C5519D">
          <w:rPr>
            <w:noProof/>
            <w:webHidden/>
          </w:rPr>
          <w:fldChar w:fldCharType="begin"/>
        </w:r>
        <w:r w:rsidR="00C5519D">
          <w:rPr>
            <w:noProof/>
            <w:webHidden/>
          </w:rPr>
          <w:instrText xml:space="preserve"> PAGEREF _Toc182319583 \h </w:instrText>
        </w:r>
        <w:r w:rsidR="00C5519D">
          <w:rPr>
            <w:noProof/>
            <w:webHidden/>
          </w:rPr>
        </w:r>
        <w:r w:rsidR="00C5519D">
          <w:rPr>
            <w:noProof/>
            <w:webHidden/>
          </w:rPr>
          <w:fldChar w:fldCharType="separate"/>
        </w:r>
        <w:r w:rsidR="00C5519D">
          <w:rPr>
            <w:noProof/>
            <w:webHidden/>
          </w:rPr>
          <w:t>43</w:t>
        </w:r>
        <w:r w:rsidR="00C5519D">
          <w:rPr>
            <w:noProof/>
            <w:webHidden/>
          </w:rPr>
          <w:fldChar w:fldCharType="end"/>
        </w:r>
      </w:hyperlink>
    </w:p>
    <w:p w14:paraId="1F49DAC7" w14:textId="1D1F0A42" w:rsidR="00C5519D" w:rsidRDefault="00000000">
      <w:pPr>
        <w:pStyle w:val="Spistreci3"/>
        <w:rPr>
          <w:rFonts w:asciiTheme="minorHAnsi" w:eastAsiaTheme="minorEastAsia" w:hAnsiTheme="minorHAnsi" w:cstheme="minorBidi"/>
          <w:noProof/>
          <w:color w:val="auto"/>
          <w:lang w:eastAsia="pl-PL"/>
        </w:rPr>
      </w:pPr>
      <w:hyperlink w:anchor="_Toc182319584" w:history="1">
        <w:r w:rsidR="00C5519D" w:rsidRPr="007D476E">
          <w:rPr>
            <w:rStyle w:val="Hipercze"/>
            <w:noProof/>
          </w:rPr>
          <w:t>1.</w:t>
        </w:r>
        <w:r w:rsidR="00C5519D">
          <w:rPr>
            <w:rFonts w:asciiTheme="minorHAnsi" w:eastAsiaTheme="minorEastAsia" w:hAnsiTheme="minorHAnsi" w:cstheme="minorBidi"/>
            <w:noProof/>
            <w:color w:val="auto"/>
            <w:lang w:eastAsia="pl-PL"/>
          </w:rPr>
          <w:tab/>
        </w:r>
        <w:r w:rsidR="00C5519D" w:rsidRPr="007D476E">
          <w:rPr>
            <w:rStyle w:val="Hipercze"/>
            <w:noProof/>
          </w:rPr>
          <w:t>Ogłoszenie rekrutacyjne</w:t>
        </w:r>
        <w:r w:rsidR="00C5519D">
          <w:rPr>
            <w:noProof/>
            <w:webHidden/>
          </w:rPr>
          <w:tab/>
        </w:r>
        <w:r w:rsidR="00C5519D">
          <w:rPr>
            <w:noProof/>
            <w:webHidden/>
          </w:rPr>
          <w:fldChar w:fldCharType="begin"/>
        </w:r>
        <w:r w:rsidR="00C5519D">
          <w:rPr>
            <w:noProof/>
            <w:webHidden/>
          </w:rPr>
          <w:instrText xml:space="preserve"> PAGEREF _Toc182319584 \h </w:instrText>
        </w:r>
        <w:r w:rsidR="00C5519D">
          <w:rPr>
            <w:noProof/>
            <w:webHidden/>
          </w:rPr>
        </w:r>
        <w:r w:rsidR="00C5519D">
          <w:rPr>
            <w:noProof/>
            <w:webHidden/>
          </w:rPr>
          <w:fldChar w:fldCharType="separate"/>
        </w:r>
        <w:r w:rsidR="00C5519D">
          <w:rPr>
            <w:noProof/>
            <w:webHidden/>
          </w:rPr>
          <w:t>44</w:t>
        </w:r>
        <w:r w:rsidR="00C5519D">
          <w:rPr>
            <w:noProof/>
            <w:webHidden/>
          </w:rPr>
          <w:fldChar w:fldCharType="end"/>
        </w:r>
      </w:hyperlink>
    </w:p>
    <w:p w14:paraId="6F5AD4C3" w14:textId="5DB72E9E" w:rsidR="00C5519D" w:rsidRDefault="00000000">
      <w:pPr>
        <w:pStyle w:val="Spistreci3"/>
        <w:rPr>
          <w:rFonts w:asciiTheme="minorHAnsi" w:eastAsiaTheme="minorEastAsia" w:hAnsiTheme="minorHAnsi" w:cstheme="minorBidi"/>
          <w:noProof/>
          <w:color w:val="auto"/>
          <w:lang w:eastAsia="pl-PL"/>
        </w:rPr>
      </w:pPr>
      <w:hyperlink w:anchor="_Toc182319585" w:history="1">
        <w:r w:rsidR="00C5519D" w:rsidRPr="007D476E">
          <w:rPr>
            <w:rStyle w:val="Hipercze"/>
            <w:noProof/>
          </w:rPr>
          <w:t>2.</w:t>
        </w:r>
        <w:r w:rsidR="00C5519D">
          <w:rPr>
            <w:rFonts w:asciiTheme="minorHAnsi" w:eastAsiaTheme="minorEastAsia" w:hAnsiTheme="minorHAnsi" w:cstheme="minorBidi"/>
            <w:noProof/>
            <w:color w:val="auto"/>
            <w:lang w:eastAsia="pl-PL"/>
          </w:rPr>
          <w:tab/>
        </w:r>
        <w:r w:rsidR="00C5519D" w:rsidRPr="007D476E">
          <w:rPr>
            <w:rStyle w:val="Hipercze"/>
            <w:noProof/>
          </w:rPr>
          <w:t>Spotkania rekrutacyjne</w:t>
        </w:r>
        <w:r w:rsidR="00C5519D">
          <w:rPr>
            <w:noProof/>
            <w:webHidden/>
          </w:rPr>
          <w:tab/>
        </w:r>
        <w:r w:rsidR="00C5519D">
          <w:rPr>
            <w:noProof/>
            <w:webHidden/>
          </w:rPr>
          <w:fldChar w:fldCharType="begin"/>
        </w:r>
        <w:r w:rsidR="00C5519D">
          <w:rPr>
            <w:noProof/>
            <w:webHidden/>
          </w:rPr>
          <w:instrText xml:space="preserve"> PAGEREF _Toc182319585 \h </w:instrText>
        </w:r>
        <w:r w:rsidR="00C5519D">
          <w:rPr>
            <w:noProof/>
            <w:webHidden/>
          </w:rPr>
        </w:r>
        <w:r w:rsidR="00C5519D">
          <w:rPr>
            <w:noProof/>
            <w:webHidden/>
          </w:rPr>
          <w:fldChar w:fldCharType="separate"/>
        </w:r>
        <w:r w:rsidR="00C5519D">
          <w:rPr>
            <w:noProof/>
            <w:webHidden/>
          </w:rPr>
          <w:t>44</w:t>
        </w:r>
        <w:r w:rsidR="00C5519D">
          <w:rPr>
            <w:noProof/>
            <w:webHidden/>
          </w:rPr>
          <w:fldChar w:fldCharType="end"/>
        </w:r>
      </w:hyperlink>
    </w:p>
    <w:p w14:paraId="0AA14031" w14:textId="7CED6604" w:rsidR="00C5519D" w:rsidRDefault="00000000">
      <w:pPr>
        <w:pStyle w:val="Spistreci3"/>
        <w:rPr>
          <w:rFonts w:asciiTheme="minorHAnsi" w:eastAsiaTheme="minorEastAsia" w:hAnsiTheme="minorHAnsi" w:cstheme="minorBidi"/>
          <w:noProof/>
          <w:color w:val="auto"/>
          <w:lang w:eastAsia="pl-PL"/>
        </w:rPr>
      </w:pPr>
      <w:hyperlink w:anchor="_Toc182319586" w:history="1">
        <w:r w:rsidR="00C5519D" w:rsidRPr="007D476E">
          <w:rPr>
            <w:rStyle w:val="Hipercze"/>
            <w:noProof/>
          </w:rPr>
          <w:t>3.</w:t>
        </w:r>
        <w:r w:rsidR="00C5519D">
          <w:rPr>
            <w:rFonts w:asciiTheme="minorHAnsi" w:eastAsiaTheme="minorEastAsia" w:hAnsiTheme="minorHAnsi" w:cstheme="minorBidi"/>
            <w:noProof/>
            <w:color w:val="auto"/>
            <w:lang w:eastAsia="pl-PL"/>
          </w:rPr>
          <w:tab/>
        </w:r>
        <w:r w:rsidR="00C5519D" w:rsidRPr="007D476E">
          <w:rPr>
            <w:rStyle w:val="Hipercze"/>
            <w:noProof/>
          </w:rPr>
          <w:t>Wyniki rekrutacji</w:t>
        </w:r>
        <w:r w:rsidR="00C5519D">
          <w:rPr>
            <w:noProof/>
            <w:webHidden/>
          </w:rPr>
          <w:tab/>
        </w:r>
        <w:r w:rsidR="00C5519D">
          <w:rPr>
            <w:noProof/>
            <w:webHidden/>
          </w:rPr>
          <w:fldChar w:fldCharType="begin"/>
        </w:r>
        <w:r w:rsidR="00C5519D">
          <w:rPr>
            <w:noProof/>
            <w:webHidden/>
          </w:rPr>
          <w:instrText xml:space="preserve"> PAGEREF _Toc182319586 \h </w:instrText>
        </w:r>
        <w:r w:rsidR="00C5519D">
          <w:rPr>
            <w:noProof/>
            <w:webHidden/>
          </w:rPr>
        </w:r>
        <w:r w:rsidR="00C5519D">
          <w:rPr>
            <w:noProof/>
            <w:webHidden/>
          </w:rPr>
          <w:fldChar w:fldCharType="separate"/>
        </w:r>
        <w:r w:rsidR="00C5519D">
          <w:rPr>
            <w:noProof/>
            <w:webHidden/>
          </w:rPr>
          <w:t>46</w:t>
        </w:r>
        <w:r w:rsidR="00C5519D">
          <w:rPr>
            <w:noProof/>
            <w:webHidden/>
          </w:rPr>
          <w:fldChar w:fldCharType="end"/>
        </w:r>
      </w:hyperlink>
    </w:p>
    <w:p w14:paraId="67285B4F" w14:textId="306A82C4" w:rsidR="00C5519D" w:rsidRDefault="00000000">
      <w:pPr>
        <w:pStyle w:val="Spistreci2"/>
        <w:rPr>
          <w:rFonts w:asciiTheme="minorHAnsi" w:eastAsiaTheme="minorEastAsia" w:hAnsiTheme="minorHAnsi" w:cstheme="minorBidi"/>
          <w:noProof/>
          <w:color w:val="auto"/>
          <w:lang w:eastAsia="pl-PL"/>
        </w:rPr>
      </w:pPr>
      <w:hyperlink w:anchor="_Toc182319587" w:history="1">
        <w:r w:rsidR="00C5519D" w:rsidRPr="007D476E">
          <w:rPr>
            <w:rStyle w:val="Hipercze"/>
            <w:noProof/>
          </w:rPr>
          <w:t>Rozdział 2. Organizacja pracy</w:t>
        </w:r>
        <w:r w:rsidR="00C5519D">
          <w:rPr>
            <w:noProof/>
            <w:webHidden/>
          </w:rPr>
          <w:tab/>
        </w:r>
        <w:r w:rsidR="00C5519D">
          <w:rPr>
            <w:noProof/>
            <w:webHidden/>
          </w:rPr>
          <w:fldChar w:fldCharType="begin"/>
        </w:r>
        <w:r w:rsidR="00C5519D">
          <w:rPr>
            <w:noProof/>
            <w:webHidden/>
          </w:rPr>
          <w:instrText xml:space="preserve"> PAGEREF _Toc182319587 \h </w:instrText>
        </w:r>
        <w:r w:rsidR="00C5519D">
          <w:rPr>
            <w:noProof/>
            <w:webHidden/>
          </w:rPr>
        </w:r>
        <w:r w:rsidR="00C5519D">
          <w:rPr>
            <w:noProof/>
            <w:webHidden/>
          </w:rPr>
          <w:fldChar w:fldCharType="separate"/>
        </w:r>
        <w:r w:rsidR="00C5519D">
          <w:rPr>
            <w:noProof/>
            <w:webHidden/>
          </w:rPr>
          <w:t>46</w:t>
        </w:r>
        <w:r w:rsidR="00C5519D">
          <w:rPr>
            <w:noProof/>
            <w:webHidden/>
          </w:rPr>
          <w:fldChar w:fldCharType="end"/>
        </w:r>
      </w:hyperlink>
    </w:p>
    <w:p w14:paraId="1243D8CB" w14:textId="7599921B" w:rsidR="00C5519D" w:rsidRDefault="00000000">
      <w:pPr>
        <w:pStyle w:val="Spistreci2"/>
        <w:rPr>
          <w:rFonts w:asciiTheme="minorHAnsi" w:eastAsiaTheme="minorEastAsia" w:hAnsiTheme="minorHAnsi" w:cstheme="minorBidi"/>
          <w:noProof/>
          <w:color w:val="auto"/>
          <w:lang w:eastAsia="pl-PL"/>
        </w:rPr>
      </w:pPr>
      <w:hyperlink w:anchor="_Toc182319588" w:history="1">
        <w:r w:rsidR="00C5519D" w:rsidRPr="007D476E">
          <w:rPr>
            <w:rStyle w:val="Hipercze"/>
            <w:noProof/>
          </w:rPr>
          <w:t>Rozdział 3. Dostosowanie stanowiska pracy</w:t>
        </w:r>
        <w:r w:rsidR="00C5519D">
          <w:rPr>
            <w:noProof/>
            <w:webHidden/>
          </w:rPr>
          <w:tab/>
        </w:r>
        <w:r w:rsidR="00C5519D">
          <w:rPr>
            <w:noProof/>
            <w:webHidden/>
          </w:rPr>
          <w:fldChar w:fldCharType="begin"/>
        </w:r>
        <w:r w:rsidR="00C5519D">
          <w:rPr>
            <w:noProof/>
            <w:webHidden/>
          </w:rPr>
          <w:instrText xml:space="preserve"> PAGEREF _Toc182319588 \h </w:instrText>
        </w:r>
        <w:r w:rsidR="00C5519D">
          <w:rPr>
            <w:noProof/>
            <w:webHidden/>
          </w:rPr>
        </w:r>
        <w:r w:rsidR="00C5519D">
          <w:rPr>
            <w:noProof/>
            <w:webHidden/>
          </w:rPr>
          <w:fldChar w:fldCharType="separate"/>
        </w:r>
        <w:r w:rsidR="00C5519D">
          <w:rPr>
            <w:noProof/>
            <w:webHidden/>
          </w:rPr>
          <w:t>47</w:t>
        </w:r>
        <w:r w:rsidR="00C5519D">
          <w:rPr>
            <w:noProof/>
            <w:webHidden/>
          </w:rPr>
          <w:fldChar w:fldCharType="end"/>
        </w:r>
      </w:hyperlink>
    </w:p>
    <w:p w14:paraId="4FE09739" w14:textId="1E4A2D49" w:rsidR="00C5519D" w:rsidRDefault="00000000">
      <w:pPr>
        <w:pStyle w:val="Spistreci1"/>
        <w:rPr>
          <w:rFonts w:asciiTheme="minorHAnsi" w:eastAsiaTheme="minorEastAsia" w:hAnsiTheme="minorHAnsi" w:cstheme="minorBidi"/>
          <w:b w:val="0"/>
          <w:bCs w:val="0"/>
          <w:color w:val="auto"/>
          <w:lang w:eastAsia="pl-PL"/>
        </w:rPr>
      </w:pPr>
      <w:hyperlink w:anchor="_Toc182319589" w:history="1">
        <w:r w:rsidR="00C5519D" w:rsidRPr="007D476E">
          <w:rPr>
            <w:rStyle w:val="Hipercze"/>
          </w:rPr>
          <w:t>X.</w:t>
        </w:r>
        <w:r w:rsidR="00C5519D">
          <w:rPr>
            <w:rFonts w:asciiTheme="minorHAnsi" w:eastAsiaTheme="minorEastAsia" w:hAnsiTheme="minorHAnsi" w:cstheme="minorBidi"/>
            <w:b w:val="0"/>
            <w:bCs w:val="0"/>
            <w:color w:val="auto"/>
            <w:lang w:eastAsia="pl-PL"/>
          </w:rPr>
          <w:tab/>
        </w:r>
        <w:r w:rsidR="00C5519D" w:rsidRPr="007D476E">
          <w:rPr>
            <w:rStyle w:val="Hipercze"/>
          </w:rPr>
          <w:t>Standard komunikacyjno-językowy</w:t>
        </w:r>
        <w:r w:rsidR="00C5519D">
          <w:rPr>
            <w:webHidden/>
          </w:rPr>
          <w:tab/>
        </w:r>
        <w:r w:rsidR="00C5519D">
          <w:rPr>
            <w:webHidden/>
          </w:rPr>
          <w:fldChar w:fldCharType="begin"/>
        </w:r>
        <w:r w:rsidR="00C5519D">
          <w:rPr>
            <w:webHidden/>
          </w:rPr>
          <w:instrText xml:space="preserve"> PAGEREF _Toc182319589 \h </w:instrText>
        </w:r>
        <w:r w:rsidR="00C5519D">
          <w:rPr>
            <w:webHidden/>
          </w:rPr>
        </w:r>
        <w:r w:rsidR="00C5519D">
          <w:rPr>
            <w:webHidden/>
          </w:rPr>
          <w:fldChar w:fldCharType="separate"/>
        </w:r>
        <w:r w:rsidR="00C5519D">
          <w:rPr>
            <w:webHidden/>
          </w:rPr>
          <w:t>49</w:t>
        </w:r>
        <w:r w:rsidR="00C5519D">
          <w:rPr>
            <w:webHidden/>
          </w:rPr>
          <w:fldChar w:fldCharType="end"/>
        </w:r>
      </w:hyperlink>
    </w:p>
    <w:p w14:paraId="76163760" w14:textId="3FB26D03" w:rsidR="00C5519D" w:rsidRDefault="00000000">
      <w:pPr>
        <w:pStyle w:val="Spistreci2"/>
        <w:rPr>
          <w:rFonts w:asciiTheme="minorHAnsi" w:eastAsiaTheme="minorEastAsia" w:hAnsiTheme="minorHAnsi" w:cstheme="minorBidi"/>
          <w:noProof/>
          <w:color w:val="auto"/>
          <w:lang w:eastAsia="pl-PL"/>
        </w:rPr>
      </w:pPr>
      <w:hyperlink w:anchor="_Toc182319590" w:history="1">
        <w:r w:rsidR="00C5519D" w:rsidRPr="007D476E">
          <w:rPr>
            <w:rStyle w:val="Hipercze"/>
            <w:noProof/>
          </w:rPr>
          <w:t>Rozdział 1. Niedyskryminujący przekaz</w:t>
        </w:r>
        <w:r w:rsidR="00C5519D">
          <w:rPr>
            <w:noProof/>
            <w:webHidden/>
          </w:rPr>
          <w:tab/>
        </w:r>
        <w:r w:rsidR="00C5519D">
          <w:rPr>
            <w:noProof/>
            <w:webHidden/>
          </w:rPr>
          <w:fldChar w:fldCharType="begin"/>
        </w:r>
        <w:r w:rsidR="00C5519D">
          <w:rPr>
            <w:noProof/>
            <w:webHidden/>
          </w:rPr>
          <w:instrText xml:space="preserve"> PAGEREF _Toc182319590 \h </w:instrText>
        </w:r>
        <w:r w:rsidR="00C5519D">
          <w:rPr>
            <w:noProof/>
            <w:webHidden/>
          </w:rPr>
        </w:r>
        <w:r w:rsidR="00C5519D">
          <w:rPr>
            <w:noProof/>
            <w:webHidden/>
          </w:rPr>
          <w:fldChar w:fldCharType="separate"/>
        </w:r>
        <w:r w:rsidR="00C5519D">
          <w:rPr>
            <w:noProof/>
            <w:webHidden/>
          </w:rPr>
          <w:t>49</w:t>
        </w:r>
        <w:r w:rsidR="00C5519D">
          <w:rPr>
            <w:noProof/>
            <w:webHidden/>
          </w:rPr>
          <w:fldChar w:fldCharType="end"/>
        </w:r>
      </w:hyperlink>
    </w:p>
    <w:p w14:paraId="4D575DA1" w14:textId="0D316A38" w:rsidR="00C5519D" w:rsidRDefault="00000000">
      <w:pPr>
        <w:pStyle w:val="Spistreci2"/>
        <w:rPr>
          <w:rFonts w:asciiTheme="minorHAnsi" w:eastAsiaTheme="minorEastAsia" w:hAnsiTheme="minorHAnsi" w:cstheme="minorBidi"/>
          <w:noProof/>
          <w:color w:val="auto"/>
          <w:lang w:eastAsia="pl-PL"/>
        </w:rPr>
      </w:pPr>
      <w:hyperlink w:anchor="_Toc182319591" w:history="1">
        <w:r w:rsidR="00C5519D" w:rsidRPr="007D476E">
          <w:rPr>
            <w:rStyle w:val="Hipercze"/>
            <w:noProof/>
          </w:rPr>
          <w:t>Rozdział 2. Upraszczanie przekazu</w:t>
        </w:r>
        <w:r w:rsidR="00C5519D">
          <w:rPr>
            <w:noProof/>
            <w:webHidden/>
          </w:rPr>
          <w:tab/>
        </w:r>
        <w:r w:rsidR="00C5519D">
          <w:rPr>
            <w:noProof/>
            <w:webHidden/>
          </w:rPr>
          <w:fldChar w:fldCharType="begin"/>
        </w:r>
        <w:r w:rsidR="00C5519D">
          <w:rPr>
            <w:noProof/>
            <w:webHidden/>
          </w:rPr>
          <w:instrText xml:space="preserve"> PAGEREF _Toc182319591 \h </w:instrText>
        </w:r>
        <w:r w:rsidR="00C5519D">
          <w:rPr>
            <w:noProof/>
            <w:webHidden/>
          </w:rPr>
        </w:r>
        <w:r w:rsidR="00C5519D">
          <w:rPr>
            <w:noProof/>
            <w:webHidden/>
          </w:rPr>
          <w:fldChar w:fldCharType="separate"/>
        </w:r>
        <w:r w:rsidR="00C5519D">
          <w:rPr>
            <w:noProof/>
            <w:webHidden/>
          </w:rPr>
          <w:t>49</w:t>
        </w:r>
        <w:r w:rsidR="00C5519D">
          <w:rPr>
            <w:noProof/>
            <w:webHidden/>
          </w:rPr>
          <w:fldChar w:fldCharType="end"/>
        </w:r>
      </w:hyperlink>
    </w:p>
    <w:p w14:paraId="2BAFB7CA" w14:textId="51D8B524" w:rsidR="00C5519D" w:rsidRDefault="00000000">
      <w:pPr>
        <w:pStyle w:val="Spistreci3"/>
        <w:rPr>
          <w:rFonts w:asciiTheme="minorHAnsi" w:eastAsiaTheme="minorEastAsia" w:hAnsiTheme="minorHAnsi" w:cstheme="minorBidi"/>
          <w:noProof/>
          <w:color w:val="auto"/>
          <w:lang w:eastAsia="pl-PL"/>
        </w:rPr>
      </w:pPr>
      <w:hyperlink w:anchor="_Toc182319592" w:history="1">
        <w:r w:rsidR="00C5519D" w:rsidRPr="007D476E">
          <w:rPr>
            <w:rStyle w:val="Hipercze"/>
            <w:noProof/>
          </w:rPr>
          <w:t>1.</w:t>
        </w:r>
        <w:r w:rsidR="00C5519D">
          <w:rPr>
            <w:rFonts w:asciiTheme="minorHAnsi" w:eastAsiaTheme="minorEastAsia" w:hAnsiTheme="minorHAnsi" w:cstheme="minorBidi"/>
            <w:noProof/>
            <w:color w:val="auto"/>
            <w:lang w:eastAsia="pl-PL"/>
          </w:rPr>
          <w:tab/>
        </w:r>
        <w:r w:rsidR="00C5519D" w:rsidRPr="007D476E">
          <w:rPr>
            <w:rStyle w:val="Hipercze"/>
            <w:noProof/>
          </w:rPr>
          <w:t>Prosty język</w:t>
        </w:r>
        <w:r w:rsidR="00C5519D">
          <w:rPr>
            <w:noProof/>
            <w:webHidden/>
          </w:rPr>
          <w:tab/>
        </w:r>
        <w:r w:rsidR="00C5519D">
          <w:rPr>
            <w:noProof/>
            <w:webHidden/>
          </w:rPr>
          <w:fldChar w:fldCharType="begin"/>
        </w:r>
        <w:r w:rsidR="00C5519D">
          <w:rPr>
            <w:noProof/>
            <w:webHidden/>
          </w:rPr>
          <w:instrText xml:space="preserve"> PAGEREF _Toc182319592 \h </w:instrText>
        </w:r>
        <w:r w:rsidR="00C5519D">
          <w:rPr>
            <w:noProof/>
            <w:webHidden/>
          </w:rPr>
        </w:r>
        <w:r w:rsidR="00C5519D">
          <w:rPr>
            <w:noProof/>
            <w:webHidden/>
          </w:rPr>
          <w:fldChar w:fldCharType="separate"/>
        </w:r>
        <w:r w:rsidR="00C5519D">
          <w:rPr>
            <w:noProof/>
            <w:webHidden/>
          </w:rPr>
          <w:t>49</w:t>
        </w:r>
        <w:r w:rsidR="00C5519D">
          <w:rPr>
            <w:noProof/>
            <w:webHidden/>
          </w:rPr>
          <w:fldChar w:fldCharType="end"/>
        </w:r>
      </w:hyperlink>
    </w:p>
    <w:p w14:paraId="0F2A931B" w14:textId="0BCB8083" w:rsidR="00C5519D" w:rsidRDefault="00000000">
      <w:pPr>
        <w:pStyle w:val="Spistreci3"/>
        <w:rPr>
          <w:rFonts w:asciiTheme="minorHAnsi" w:eastAsiaTheme="minorEastAsia" w:hAnsiTheme="minorHAnsi" w:cstheme="minorBidi"/>
          <w:noProof/>
          <w:color w:val="auto"/>
          <w:lang w:eastAsia="pl-PL"/>
        </w:rPr>
      </w:pPr>
      <w:hyperlink w:anchor="_Toc182319593" w:history="1">
        <w:r w:rsidR="00C5519D" w:rsidRPr="007D476E">
          <w:rPr>
            <w:rStyle w:val="Hipercze"/>
            <w:noProof/>
          </w:rPr>
          <w:t>2.</w:t>
        </w:r>
        <w:r w:rsidR="00C5519D">
          <w:rPr>
            <w:rFonts w:asciiTheme="minorHAnsi" w:eastAsiaTheme="minorEastAsia" w:hAnsiTheme="minorHAnsi" w:cstheme="minorBidi"/>
            <w:noProof/>
            <w:color w:val="auto"/>
            <w:lang w:eastAsia="pl-PL"/>
          </w:rPr>
          <w:tab/>
        </w:r>
        <w:r w:rsidR="00C5519D" w:rsidRPr="007D476E">
          <w:rPr>
            <w:rStyle w:val="Hipercze"/>
            <w:noProof/>
          </w:rPr>
          <w:t>Tekst łatwy do czytania i zrozumienia (ETR)</w:t>
        </w:r>
        <w:r w:rsidR="00C5519D">
          <w:rPr>
            <w:noProof/>
            <w:webHidden/>
          </w:rPr>
          <w:tab/>
        </w:r>
        <w:r w:rsidR="00C5519D">
          <w:rPr>
            <w:noProof/>
            <w:webHidden/>
          </w:rPr>
          <w:fldChar w:fldCharType="begin"/>
        </w:r>
        <w:r w:rsidR="00C5519D">
          <w:rPr>
            <w:noProof/>
            <w:webHidden/>
          </w:rPr>
          <w:instrText xml:space="preserve"> PAGEREF _Toc182319593 \h </w:instrText>
        </w:r>
        <w:r w:rsidR="00C5519D">
          <w:rPr>
            <w:noProof/>
            <w:webHidden/>
          </w:rPr>
        </w:r>
        <w:r w:rsidR="00C5519D">
          <w:rPr>
            <w:noProof/>
            <w:webHidden/>
          </w:rPr>
          <w:fldChar w:fldCharType="separate"/>
        </w:r>
        <w:r w:rsidR="00C5519D">
          <w:rPr>
            <w:noProof/>
            <w:webHidden/>
          </w:rPr>
          <w:t>50</w:t>
        </w:r>
        <w:r w:rsidR="00C5519D">
          <w:rPr>
            <w:noProof/>
            <w:webHidden/>
          </w:rPr>
          <w:fldChar w:fldCharType="end"/>
        </w:r>
      </w:hyperlink>
    </w:p>
    <w:p w14:paraId="1A7ADE85" w14:textId="544D9CC7" w:rsidR="002342E9" w:rsidRPr="00B16B6C" w:rsidRDefault="00E60BB5" w:rsidP="004C6439">
      <w:pPr>
        <w:pStyle w:val="Nagwek1"/>
      </w:pPr>
      <w:r>
        <w:rPr>
          <w:noProof/>
          <w:highlight w:val="darkGray"/>
        </w:rPr>
        <w:lastRenderedPageBreak/>
        <w:fldChar w:fldCharType="end"/>
      </w:r>
      <w:bookmarkStart w:id="1" w:name="_Toc182319507"/>
      <w:r w:rsidR="002342E9" w:rsidRPr="00B16B6C">
        <w:t xml:space="preserve">Standard dostępności </w:t>
      </w:r>
      <w:r w:rsidR="00A54693">
        <w:t xml:space="preserve">dla projektów B+R+I realizowanych w ramach </w:t>
      </w:r>
      <w:r w:rsidR="00F336AB">
        <w:t>P</w:t>
      </w:r>
      <w:r w:rsidR="00A54693">
        <w:t xml:space="preserve">rogramu </w:t>
      </w:r>
      <w:r w:rsidR="002342E9" w:rsidRPr="00B16B6C">
        <w:t>FE</w:t>
      </w:r>
      <w:bookmarkEnd w:id="0"/>
      <w:r w:rsidR="002342E9">
        <w:t>NG</w:t>
      </w:r>
      <w:bookmarkEnd w:id="1"/>
      <w:r w:rsidR="002342E9" w:rsidRPr="00B16B6C">
        <w:t xml:space="preserve"> </w:t>
      </w:r>
    </w:p>
    <w:p w14:paraId="7F31AF08" w14:textId="77777777" w:rsidR="00435B0A" w:rsidRDefault="00435B0A" w:rsidP="008C4032">
      <w:pPr>
        <w:pStyle w:val="Nagwek2"/>
      </w:pPr>
      <w:bookmarkStart w:id="2" w:name="_Toc182319508"/>
      <w:r w:rsidRPr="008C4032">
        <w:t>Informacje</w:t>
      </w:r>
      <w:r w:rsidRPr="00055F24">
        <w:t xml:space="preserve"> ogólne</w:t>
      </w:r>
      <w:bookmarkEnd w:id="2"/>
    </w:p>
    <w:p w14:paraId="622959E0" w14:textId="61969D56" w:rsidR="001F5421" w:rsidRPr="00B16B6C" w:rsidRDefault="00AE5859" w:rsidP="001F5421">
      <w:pPr>
        <w:rPr>
          <w:bCs/>
        </w:rPr>
      </w:pPr>
      <w:r w:rsidRPr="0029414C">
        <w:t>Standard dostępności dla projektów B+R+I w</w:t>
      </w:r>
      <w:r w:rsidR="00D61569">
        <w:t xml:space="preserve"> Programie</w:t>
      </w:r>
      <w:r w:rsidRPr="0029414C">
        <w:t xml:space="preserve"> FENG oraz projektów dot</w:t>
      </w:r>
      <w:r w:rsidR="00132F76">
        <w:t>yczących</w:t>
      </w:r>
      <w:r w:rsidRPr="0029414C">
        <w:t xml:space="preserve"> wdrożenia wyników prac badawczo–rozwojowych i innowacji</w:t>
      </w:r>
      <w:r w:rsidR="001F5421">
        <w:t xml:space="preserve"> </w:t>
      </w:r>
      <w:r w:rsidR="006E7734">
        <w:t xml:space="preserve">(dalej: „Standard dostępności dla projektów B+R+I w </w:t>
      </w:r>
      <w:r w:rsidR="00D61569">
        <w:t xml:space="preserve">Programie </w:t>
      </w:r>
      <w:r w:rsidR="006E7734" w:rsidRPr="00B16B6C">
        <w:t>FE</w:t>
      </w:r>
      <w:r w:rsidR="006E7734">
        <w:t xml:space="preserve">NG”) </w:t>
      </w:r>
      <w:r w:rsidR="001F5421">
        <w:t xml:space="preserve">jest </w:t>
      </w:r>
      <w:r w:rsidRPr="0029414C">
        <w:t>odrębnym dokumentem,</w:t>
      </w:r>
      <w:r w:rsidR="001F5421">
        <w:t xml:space="preserve"> </w:t>
      </w:r>
      <w:r w:rsidR="001F5421" w:rsidRPr="00B16B6C">
        <w:t>komplementarnym do „Standardów dostępności dla polityki spójności 2021-2027”</w:t>
      </w:r>
      <w:r w:rsidR="00D61569">
        <w:t xml:space="preserve"> – z</w:t>
      </w:r>
      <w:r w:rsidR="001F5421" w:rsidRPr="00B16B6C">
        <w:t xml:space="preserve">ałącznika do „Wytycznych </w:t>
      </w:r>
      <w:r w:rsidR="001F5421" w:rsidRPr="00B16B6C">
        <w:rPr>
          <w:bCs/>
        </w:rPr>
        <w:t>w zakresie realizacji zasad równościowych w ramach funduszy unijnych na lata 2021-2027”.</w:t>
      </w:r>
    </w:p>
    <w:p w14:paraId="6769D052" w14:textId="3644B8A1" w:rsidR="001F5421" w:rsidRPr="00B16B6C" w:rsidRDefault="00F22B70" w:rsidP="001F5421">
      <w:r>
        <w:t>„</w:t>
      </w:r>
      <w:r w:rsidRPr="0029414C">
        <w:t>Standard dostępności dla projektów B+R+I w FENG</w:t>
      </w:r>
      <w:r>
        <w:t>”</w:t>
      </w:r>
      <w:r w:rsidRPr="0029414C">
        <w:t xml:space="preserve"> </w:t>
      </w:r>
      <w:r w:rsidR="001F5421" w:rsidRPr="00B16B6C">
        <w:t xml:space="preserve">określa wymagania związane z realizacją i wdrożeniem projektów w ramach </w:t>
      </w:r>
      <w:r w:rsidR="008D2B8A">
        <w:t>P</w:t>
      </w:r>
      <w:r w:rsidR="001F5421" w:rsidRPr="00B16B6C">
        <w:t>rogramu F</w:t>
      </w:r>
      <w:r w:rsidR="001F5421">
        <w:t>ENG</w:t>
      </w:r>
      <w:r w:rsidR="001F5421" w:rsidRPr="00B16B6C">
        <w:t xml:space="preserve"> a tam, gdzie jest to zasadne, zawiera odwołania do „Standardów dostępności dla polityki spójności 2021-2027”.</w:t>
      </w:r>
    </w:p>
    <w:p w14:paraId="6169D3D8" w14:textId="65E9F78A" w:rsidR="001F5421" w:rsidRPr="00B16B6C" w:rsidRDefault="001F5421" w:rsidP="001F5421">
      <w:r w:rsidRPr="00B16B6C">
        <w:t xml:space="preserve">W niektórych przypadkach poszczególne projekty mogą i powinny być realizowane </w:t>
      </w:r>
      <w:r>
        <w:t>zgodnie z wymaganiami</w:t>
      </w:r>
      <w:r w:rsidRPr="00B16B6C">
        <w:t xml:space="preserve"> określonego modelu/standardu zapewniania dostępności, opracowanego w perspektywie </w:t>
      </w:r>
      <w:r w:rsidR="00D61569">
        <w:t xml:space="preserve">finansowej </w:t>
      </w:r>
      <w:r w:rsidRPr="00B16B6C">
        <w:t xml:space="preserve">2014-2020. Dotyczy to np.: </w:t>
      </w:r>
    </w:p>
    <w:p w14:paraId="33F1018D" w14:textId="590A969D" w:rsidR="001F5421" w:rsidRPr="006E7734" w:rsidRDefault="001F5421" w:rsidP="006E7734">
      <w:pPr>
        <w:pStyle w:val="Dokumenty"/>
        <w:numPr>
          <w:ilvl w:val="0"/>
          <w:numId w:val="33"/>
        </w:numPr>
        <w:ind w:left="426" w:hanging="284"/>
      </w:pPr>
      <w:r w:rsidRPr="006E7734">
        <w:t>Model</w:t>
      </w:r>
      <w:r w:rsidR="006E7734" w:rsidRPr="006E7734">
        <w:t>u</w:t>
      </w:r>
      <w:r w:rsidRPr="006E7734">
        <w:t xml:space="preserve"> dostępnego parku przyrodniczego,</w:t>
      </w:r>
    </w:p>
    <w:p w14:paraId="3FD55045" w14:textId="77777777" w:rsidR="001F5421" w:rsidRPr="006E7734" w:rsidRDefault="001F5421" w:rsidP="006E7734">
      <w:pPr>
        <w:pStyle w:val="Dokumenty"/>
        <w:numPr>
          <w:ilvl w:val="0"/>
          <w:numId w:val="33"/>
        </w:numPr>
        <w:ind w:left="426" w:hanging="284"/>
      </w:pPr>
      <w:r w:rsidRPr="006E7734">
        <w:t xml:space="preserve">Modelu dostępnej szkoły, </w:t>
      </w:r>
    </w:p>
    <w:p w14:paraId="75753CEE" w14:textId="0640F428" w:rsidR="001F5421" w:rsidRPr="006E7734" w:rsidRDefault="001F5421" w:rsidP="006E7734">
      <w:pPr>
        <w:pStyle w:val="Dokumenty"/>
        <w:numPr>
          <w:ilvl w:val="0"/>
          <w:numId w:val="33"/>
        </w:numPr>
        <w:ind w:left="426" w:hanging="284"/>
      </w:pPr>
      <w:r w:rsidRPr="006E7734">
        <w:t>Model</w:t>
      </w:r>
      <w:r w:rsidR="006E7734" w:rsidRPr="006E7734">
        <w:t>u</w:t>
      </w:r>
      <w:r w:rsidRPr="006E7734">
        <w:t xml:space="preserve"> dostępnego sądu,</w:t>
      </w:r>
    </w:p>
    <w:p w14:paraId="2DAF7CCF" w14:textId="77777777" w:rsidR="001F5421" w:rsidRPr="006E7734" w:rsidRDefault="001F5421" w:rsidP="006E7734">
      <w:pPr>
        <w:pStyle w:val="Dokumenty"/>
        <w:numPr>
          <w:ilvl w:val="0"/>
          <w:numId w:val="33"/>
        </w:numPr>
        <w:ind w:left="426" w:hanging="284"/>
      </w:pPr>
      <w:r w:rsidRPr="006E7734">
        <w:t xml:space="preserve">Modelu dostępnej kultury, </w:t>
      </w:r>
    </w:p>
    <w:p w14:paraId="15F99653" w14:textId="77777777" w:rsidR="001F5421" w:rsidRPr="006E7734" w:rsidRDefault="001F5421" w:rsidP="006E7734">
      <w:pPr>
        <w:pStyle w:val="Dokumenty"/>
        <w:numPr>
          <w:ilvl w:val="0"/>
          <w:numId w:val="33"/>
        </w:numPr>
        <w:ind w:left="426" w:hanging="284"/>
      </w:pPr>
      <w:r w:rsidRPr="006E7734">
        <w:t>Modeli usług społecznych (Opieki, Opieki wytchnieniowej, Opieki nad dziećmi, Rehabilitacji, Turystyki społecznej),</w:t>
      </w:r>
    </w:p>
    <w:p w14:paraId="0EABB1A4" w14:textId="00E60900" w:rsidR="001F5421" w:rsidRPr="006E7734" w:rsidRDefault="001F5421" w:rsidP="006E7734">
      <w:pPr>
        <w:pStyle w:val="Dokumenty"/>
        <w:numPr>
          <w:ilvl w:val="0"/>
          <w:numId w:val="33"/>
        </w:numPr>
        <w:ind w:left="426" w:hanging="284"/>
      </w:pPr>
      <w:r w:rsidRPr="006E7734">
        <w:t>Modeli wsparcia uczelni w celu zwiększenia ich dostępności dla osób z niepełnosprawnościami,</w:t>
      </w:r>
    </w:p>
    <w:p w14:paraId="4053DEE6" w14:textId="77777777" w:rsidR="001F5421" w:rsidRPr="006E7734" w:rsidRDefault="001F5421" w:rsidP="006E7734">
      <w:pPr>
        <w:pStyle w:val="Dokumenty"/>
        <w:numPr>
          <w:ilvl w:val="0"/>
          <w:numId w:val="33"/>
        </w:numPr>
        <w:ind w:left="426" w:hanging="284"/>
      </w:pPr>
      <w:r w:rsidRPr="006E7734">
        <w:t>Standardu dostępności POZ,</w:t>
      </w:r>
    </w:p>
    <w:p w14:paraId="6C9B0541" w14:textId="77777777" w:rsidR="001F5421" w:rsidRPr="006E7734" w:rsidRDefault="001F5421" w:rsidP="006E7734">
      <w:pPr>
        <w:pStyle w:val="Dokumenty"/>
        <w:numPr>
          <w:ilvl w:val="0"/>
          <w:numId w:val="33"/>
        </w:numPr>
        <w:ind w:left="426" w:hanging="284"/>
      </w:pPr>
      <w:r w:rsidRPr="006E7734">
        <w:t>Standardu dostępności szpitali.</w:t>
      </w:r>
    </w:p>
    <w:p w14:paraId="12257771" w14:textId="7D648FC9" w:rsidR="001F5421" w:rsidRPr="00B16B6C" w:rsidRDefault="001F5421" w:rsidP="001F5421">
      <w:r w:rsidRPr="00B16B6C">
        <w:lastRenderedPageBreak/>
        <w:t>W takiej sytuacji obowiązujący model/standard ma pierwszeństwo zastosowania wobec „Standard</w:t>
      </w:r>
      <w:r w:rsidR="006E7734">
        <w:t>u</w:t>
      </w:r>
      <w:r w:rsidRPr="00B16B6C">
        <w:t xml:space="preserve"> dostępności </w:t>
      </w:r>
      <w:r w:rsidR="006E7734">
        <w:t xml:space="preserve">dla projektów B+R+I w </w:t>
      </w:r>
      <w:r w:rsidR="00D61569">
        <w:t xml:space="preserve">Programie </w:t>
      </w:r>
      <w:r w:rsidR="006E7734">
        <w:t>FENG</w:t>
      </w:r>
      <w:r w:rsidRPr="00B16B6C">
        <w:t>” oraz „Standardów dostępności dla polityki spójności 2021-2027”.</w:t>
      </w:r>
    </w:p>
    <w:p w14:paraId="0CE2CDF5" w14:textId="55679A8E" w:rsidR="001F5421" w:rsidRPr="00B16B6C" w:rsidRDefault="00F22B70" w:rsidP="001F5421">
      <w:r>
        <w:t>„</w:t>
      </w:r>
      <w:r w:rsidRPr="0029414C">
        <w:t xml:space="preserve">Standard dostępności dla projektów B+R+I w </w:t>
      </w:r>
      <w:r w:rsidR="00D61569">
        <w:t xml:space="preserve">Programie </w:t>
      </w:r>
      <w:r w:rsidRPr="0029414C">
        <w:t>FENG</w:t>
      </w:r>
      <w:r>
        <w:t>”</w:t>
      </w:r>
      <w:r w:rsidR="001F5421" w:rsidRPr="00B16B6C">
        <w:t xml:space="preserve"> powin</w:t>
      </w:r>
      <w:r w:rsidR="006E7734">
        <w:t>ien</w:t>
      </w:r>
      <w:r w:rsidR="001F5421" w:rsidRPr="00B16B6C">
        <w:t xml:space="preserve"> być przestrzegan</w:t>
      </w:r>
      <w:r w:rsidR="006E7734">
        <w:t>y</w:t>
      </w:r>
      <w:r w:rsidR="001F5421" w:rsidRPr="00B16B6C">
        <w:t xml:space="preserve"> przez instytucje </w:t>
      </w:r>
      <w:r w:rsidR="00D61569">
        <w:t>systemu wdrażania</w:t>
      </w:r>
      <w:r w:rsidR="001F5421" w:rsidRPr="00B16B6C">
        <w:t xml:space="preserve"> </w:t>
      </w:r>
      <w:r w:rsidR="008D2B8A">
        <w:t>P</w:t>
      </w:r>
      <w:r w:rsidR="001F5421" w:rsidRPr="00B16B6C">
        <w:t xml:space="preserve">rogramu </w:t>
      </w:r>
      <w:r w:rsidR="006E7734">
        <w:t>FENG</w:t>
      </w:r>
      <w:r w:rsidR="00D61569">
        <w:t xml:space="preserve"> oraz wnioskodawców i beneficjentów. </w:t>
      </w:r>
      <w:r w:rsidR="001F5421" w:rsidRPr="00B16B6C">
        <w:t xml:space="preserve">Standard ustanawia minimalne wymogi wsparcia. </w:t>
      </w:r>
      <w:r w:rsidR="008D2B8A" w:rsidRPr="00B16B6C">
        <w:t xml:space="preserve">W poszczególnych </w:t>
      </w:r>
      <w:r w:rsidR="008D2B8A">
        <w:t>naborach</w:t>
      </w:r>
      <w:r w:rsidR="008D2B8A" w:rsidRPr="00B16B6C">
        <w:t xml:space="preserve"> można </w:t>
      </w:r>
      <w:r w:rsidR="008D2B8A">
        <w:t>jednak zachęcać wnioskodawców do podejmowania dodatkowych działań na rzecz dostępności poprzez stosowanie kryteriów premiujących czy rankingujących</w:t>
      </w:r>
      <w:r w:rsidR="00954DFB">
        <w:t>.</w:t>
      </w:r>
    </w:p>
    <w:p w14:paraId="7403F84F" w14:textId="73B8D435" w:rsidR="001F5421" w:rsidRPr="00B16B6C" w:rsidRDefault="001F5421" w:rsidP="001F5421">
      <w:r w:rsidRPr="00B16B6C">
        <w:t xml:space="preserve">Wymagania </w:t>
      </w:r>
      <w:r w:rsidR="00F22B70">
        <w:t>„</w:t>
      </w:r>
      <w:r w:rsidRPr="00B16B6C">
        <w:t>Standard</w:t>
      </w:r>
      <w:r w:rsidR="006E7734">
        <w:t>u</w:t>
      </w:r>
      <w:r w:rsidR="00F22B70">
        <w:t xml:space="preserve"> </w:t>
      </w:r>
      <w:r w:rsidR="00F22B70" w:rsidRPr="0029414C">
        <w:t xml:space="preserve">dostępności dla projektów B+R+I w </w:t>
      </w:r>
      <w:r w:rsidR="00D61569">
        <w:t xml:space="preserve">Programie </w:t>
      </w:r>
      <w:r w:rsidR="00F22B70" w:rsidRPr="0029414C">
        <w:t>FENG</w:t>
      </w:r>
      <w:r w:rsidR="00F22B70">
        <w:t>”</w:t>
      </w:r>
      <w:r w:rsidRPr="00B16B6C">
        <w:t xml:space="preserve"> są obligatoryjne. Wyjątkiem są informacje wskazane jako „Dobre praktyki”, które są fakultatywne i rekomendowane jako działania dodatkowe, pożądane. </w:t>
      </w:r>
    </w:p>
    <w:p w14:paraId="5759D367" w14:textId="7A223D88" w:rsidR="001F5421" w:rsidRPr="00B16B6C" w:rsidRDefault="001F5421" w:rsidP="001F5421">
      <w:r w:rsidRPr="00B16B6C">
        <w:t xml:space="preserve">Oprócz wymagań (obowiązkowych) i zaleceń („dobrych praktyk”) </w:t>
      </w:r>
      <w:r w:rsidR="00F22B70">
        <w:t>„</w:t>
      </w:r>
      <w:r w:rsidR="00F22B70" w:rsidRPr="0029414C">
        <w:t xml:space="preserve">Standard dostępności dla projektów B+R+I w </w:t>
      </w:r>
      <w:r w:rsidR="00D61569">
        <w:t xml:space="preserve">Programie </w:t>
      </w:r>
      <w:r w:rsidR="00F22B70" w:rsidRPr="0029414C">
        <w:t>FENG</w:t>
      </w:r>
      <w:r w:rsidR="00F22B70">
        <w:t>”</w:t>
      </w:r>
      <w:r w:rsidRPr="00B16B6C">
        <w:t xml:space="preserve"> zawiera wskazówki o charakterze edukacyjnym i informacyjnym – stworzone, aby lepiej przygotować instytucje</w:t>
      </w:r>
      <w:r w:rsidR="00D61569">
        <w:t xml:space="preserve"> systemu wdrażania oraz</w:t>
      </w:r>
      <w:r w:rsidRPr="00B16B6C">
        <w:t xml:space="preserve"> beneficjentów do </w:t>
      </w:r>
      <w:r w:rsidR="00F22B70">
        <w:t xml:space="preserve">jego </w:t>
      </w:r>
      <w:r w:rsidR="00D61569">
        <w:t>stosowania</w:t>
      </w:r>
      <w:r w:rsidRPr="00B16B6C">
        <w:t xml:space="preserve">. </w:t>
      </w:r>
    </w:p>
    <w:p w14:paraId="472977F9" w14:textId="238BA5B1" w:rsidR="00AE5859" w:rsidRPr="00AE5859" w:rsidRDefault="001F5421" w:rsidP="006E7734">
      <w:pPr>
        <w:pStyle w:val="Wane"/>
      </w:pPr>
      <w:r w:rsidRPr="003A5514">
        <w:t>W każdym przypadku w pierwszej kolejności należy zawsze dążyć do zapewnienia zgodności produktów</w:t>
      </w:r>
      <w:r w:rsidR="00D61569">
        <w:t>, usług i technologii</w:t>
      </w:r>
      <w:r w:rsidRPr="003A5514">
        <w:t xml:space="preserve"> projektu z koncepcją projektowania uniwersalnego, a dopiero w drugiej kolejności należy rozważyć zastosowanie racjonalnych usprawnień. </w:t>
      </w:r>
    </w:p>
    <w:p w14:paraId="7A2080EE" w14:textId="447CE715" w:rsidR="0029414C" w:rsidRDefault="00DC1EEF" w:rsidP="008C4032">
      <w:pPr>
        <w:pStyle w:val="Nagwek2"/>
      </w:pPr>
      <w:bookmarkStart w:id="3" w:name="_Toc176864250"/>
      <w:bookmarkStart w:id="4" w:name="_Toc182319509"/>
      <w:r w:rsidRPr="00E60BB5">
        <w:t>Zapewnienie dostępności na każdym etapie</w:t>
      </w:r>
      <w:r w:rsidR="0029414C" w:rsidRPr="00E60BB5">
        <w:t xml:space="preserve"> projektów realizowanych z </w:t>
      </w:r>
      <w:r w:rsidR="00F336AB">
        <w:t>P</w:t>
      </w:r>
      <w:r w:rsidR="0029414C" w:rsidRPr="00E60BB5">
        <w:t>rogramu FE</w:t>
      </w:r>
      <w:bookmarkEnd w:id="3"/>
      <w:r w:rsidR="0029414C" w:rsidRPr="00E60BB5">
        <w:t>NG</w:t>
      </w:r>
      <w:bookmarkEnd w:id="4"/>
    </w:p>
    <w:p w14:paraId="273ED6E9" w14:textId="1C55EFE9" w:rsidR="00CB1804" w:rsidRDefault="00CB1804" w:rsidP="00CB1804">
      <w:r>
        <w:t xml:space="preserve">Zapewnienie dostępności dla osób z niepełnosprawnościami i innych osób ze szczególnymi potrzebami w projektach realizowanych w ramach Programu FENG jest kluczowe na każdym etapie realizacji. Dzięki temu innowacje i rezultaty projektów </w:t>
      </w:r>
      <w:r w:rsidR="006D4F59">
        <w:t>mogą być faktycznie d</w:t>
      </w:r>
      <w:r>
        <w:t>ostępne i użyteczne dla wszystkich, niezależnie od ich indywidualnych możliwości. Jednocześnie pełne d</w:t>
      </w:r>
      <w:r w:rsidRPr="00DB782E">
        <w:t xml:space="preserve">ostosowanie miejsc pracy, narzędzi i procesów projektowych </w:t>
      </w:r>
      <w:r>
        <w:t>sprawia</w:t>
      </w:r>
      <w:r w:rsidRPr="00DB782E">
        <w:t>, że wszy</w:t>
      </w:r>
      <w:r w:rsidR="00D61569">
        <w:t xml:space="preserve">stkie członkinie i wszyscy członkowie </w:t>
      </w:r>
      <w:r w:rsidRPr="00DB782E">
        <w:t>zespołu mogą w pełni uczestniczyć w</w:t>
      </w:r>
      <w:r>
        <w:t xml:space="preserve"> realizacji każdego z etapów prowadzonego projektu.</w:t>
      </w:r>
    </w:p>
    <w:p w14:paraId="4BFF35D4" w14:textId="24F58105" w:rsidR="0029414C" w:rsidRDefault="00DC1EEF" w:rsidP="00BC36E5">
      <w:pPr>
        <w:pStyle w:val="Nagwek3"/>
      </w:pPr>
      <w:bookmarkStart w:id="5" w:name="_Toc181784832"/>
      <w:bookmarkStart w:id="6" w:name="_Toc181959028"/>
      <w:bookmarkStart w:id="7" w:name="_Toc182319510"/>
      <w:r w:rsidRPr="00E60BB5">
        <w:lastRenderedPageBreak/>
        <w:t>Planowanie prac</w:t>
      </w:r>
      <w:bookmarkEnd w:id="5"/>
      <w:bookmarkEnd w:id="6"/>
      <w:bookmarkEnd w:id="7"/>
    </w:p>
    <w:p w14:paraId="33626BBE" w14:textId="3E729053" w:rsidR="00CB1804" w:rsidRDefault="00CB1804" w:rsidP="00CB1804">
      <w:r>
        <w:t>Na etapie planowania</w:t>
      </w:r>
      <w:r w:rsidR="00D61569">
        <w:t xml:space="preserve"> </w:t>
      </w:r>
      <w:r>
        <w:t xml:space="preserve">ważne jest uwzględnienie różnorodnych potrzeb </w:t>
      </w:r>
      <w:r w:rsidR="00D61569">
        <w:t xml:space="preserve">użytkowniczek i użytkowników </w:t>
      </w:r>
      <w:r>
        <w:t>już w założeniach projektu. Warto przeprowadzić analizę potencjalnych barier i ograniczeń, jakie mogą napot</w:t>
      </w:r>
      <w:r w:rsidR="006D4F59">
        <w:t>y</w:t>
      </w:r>
      <w:r>
        <w:t>kać osoby z niepełnosprawnościami i innymi szczególnymi potrzebami w kontakcie z przyszłymi produktami lub rozwiązaniami projektu. Należy zadbać o odpowiednie konsultacje z ekspert</w:t>
      </w:r>
      <w:r w:rsidR="00D61569">
        <w:t xml:space="preserve">kami i ekspertami </w:t>
      </w:r>
      <w:r>
        <w:t xml:space="preserve">w zakresie dostępności oraz bezpośrednio z osobami z niepełnosprawnościami lub organizacjami reprezentującymi ich interesy. W planach prac badawczo-rozwojowych warto uwzględnić testy </w:t>
      </w:r>
      <w:r w:rsidR="006D4F59">
        <w:t xml:space="preserve">z </w:t>
      </w:r>
      <w:r>
        <w:t>użytkowni</w:t>
      </w:r>
      <w:r w:rsidR="00D61569">
        <w:t>cz</w:t>
      </w:r>
      <w:r>
        <w:t>k</w:t>
      </w:r>
      <w:r w:rsidR="006D4F59">
        <w:t>ami</w:t>
      </w:r>
      <w:r w:rsidR="00D61569">
        <w:t xml:space="preserve"> i </w:t>
      </w:r>
      <w:r>
        <w:t>użytkowniczk</w:t>
      </w:r>
      <w:r w:rsidR="006D4F59">
        <w:t>ami</w:t>
      </w:r>
      <w:r>
        <w:t xml:space="preserve"> o zróżnicowanych potrzebach, </w:t>
      </w:r>
      <w:r w:rsidR="006D4F59">
        <w:t>w celu</w:t>
      </w:r>
      <w:r>
        <w:t xml:space="preserve"> zapewni</w:t>
      </w:r>
      <w:r w:rsidR="006D4F59">
        <w:t>enia</w:t>
      </w:r>
      <w:r>
        <w:t xml:space="preserve"> dostępnoś</w:t>
      </w:r>
      <w:r w:rsidR="006D4F59">
        <w:t>ci</w:t>
      </w:r>
      <w:r>
        <w:t xml:space="preserve"> produktów</w:t>
      </w:r>
      <w:r w:rsidR="00D61569">
        <w:t>, usług i technologii</w:t>
      </w:r>
      <w:r>
        <w:t xml:space="preserve"> projektu</w:t>
      </w:r>
      <w:r w:rsidR="006D4F59">
        <w:t>.</w:t>
      </w:r>
    </w:p>
    <w:p w14:paraId="61CC342F" w14:textId="08E0EDC9" w:rsidR="00CB1804" w:rsidRDefault="00CB1804" w:rsidP="00CB1804">
      <w:r w:rsidRPr="00DB782E">
        <w:t xml:space="preserve">Na </w:t>
      </w:r>
      <w:r w:rsidR="006D4F59">
        <w:t xml:space="preserve">tym </w:t>
      </w:r>
      <w:r w:rsidRPr="00DB782E">
        <w:t xml:space="preserve">etapie </w:t>
      </w:r>
      <w:r>
        <w:t>należy</w:t>
      </w:r>
      <w:r w:rsidRPr="00DB782E">
        <w:t xml:space="preserve"> zadbać</w:t>
      </w:r>
      <w:r>
        <w:t xml:space="preserve"> też </w:t>
      </w:r>
      <w:r w:rsidRPr="00DB782E">
        <w:t xml:space="preserve">o stworzenie przyjaznego i dostępnego środowiska pracy dla wszystkich osób zatrudnionych w projekcie. </w:t>
      </w:r>
      <w:r w:rsidR="006D4F59">
        <w:t xml:space="preserve">Konieczna jest analiza i weryfikacja potencjalnie potrzebnych rodzajów wsparcia i dostosowań, </w:t>
      </w:r>
      <w:r w:rsidR="007A6D7C">
        <w:t>istotnych,</w:t>
      </w:r>
      <w:r w:rsidRPr="00DB782E">
        <w:t xml:space="preserve"> aby </w:t>
      </w:r>
      <w:r>
        <w:t>wszystkie</w:t>
      </w:r>
      <w:r w:rsidRPr="00DB782E">
        <w:t xml:space="preserve"> osoby mogły komfortowo wykonywać swoje obowiązki. Kluczowe jest również zapewnienie równych szans rozwoju zawodowego poprzez przystosowanie przestrzeni</w:t>
      </w:r>
      <w:r w:rsidR="006D4F59">
        <w:t xml:space="preserve"> i</w:t>
      </w:r>
      <w:r w:rsidRPr="00DB782E">
        <w:t xml:space="preserve"> narzędzi, a także zaplanowanie szkoleń uwzględniających róż</w:t>
      </w:r>
      <w:r>
        <w:t>norodne</w:t>
      </w:r>
      <w:r w:rsidRPr="00DB782E">
        <w:t xml:space="preserve"> potrzeby zespołu</w:t>
      </w:r>
      <w:r w:rsidR="00D110BF">
        <w:t xml:space="preserve"> i poszczególnych osób</w:t>
      </w:r>
      <w:r w:rsidRPr="00DB782E">
        <w:t>.</w:t>
      </w:r>
    </w:p>
    <w:p w14:paraId="759C372A" w14:textId="21297C8C" w:rsidR="00DC1EEF" w:rsidRPr="00E60BB5" w:rsidRDefault="00DC1EEF" w:rsidP="00BC36E5">
      <w:pPr>
        <w:pStyle w:val="Nagwek3"/>
      </w:pPr>
      <w:bookmarkStart w:id="8" w:name="_Toc181784833"/>
      <w:bookmarkStart w:id="9" w:name="_Toc181959029"/>
      <w:bookmarkStart w:id="10" w:name="_Toc182319511"/>
      <w:r w:rsidRPr="00E60BB5">
        <w:t>Prowadzenie prac</w:t>
      </w:r>
      <w:bookmarkEnd w:id="8"/>
      <w:bookmarkEnd w:id="9"/>
      <w:bookmarkEnd w:id="10"/>
    </w:p>
    <w:p w14:paraId="35D52464" w14:textId="025DD4DE" w:rsidR="00CB1804" w:rsidRDefault="00CB1804" w:rsidP="00CB1804">
      <w:r>
        <w:t xml:space="preserve">Podczas realizacji prac badawczo-rozwojowych </w:t>
      </w:r>
      <w:r w:rsidR="00D110BF">
        <w:t xml:space="preserve">i wdrożeniowych </w:t>
      </w:r>
      <w:r>
        <w:t xml:space="preserve">kluczowe jest stosowanie </w:t>
      </w:r>
      <w:r w:rsidR="00D110BF">
        <w:t xml:space="preserve">zasad </w:t>
      </w:r>
      <w:r>
        <w:t>uniwersalnego projektowania, aby tworzone rozwiązania były dostępne dla szerokiego grona użytkowni</w:t>
      </w:r>
      <w:r w:rsidR="00D61569">
        <w:t xml:space="preserve">czek i </w:t>
      </w:r>
      <w:r w:rsidR="00D110BF">
        <w:t>użytkowni</w:t>
      </w:r>
      <w:r w:rsidR="00D61569">
        <w:t>ków</w:t>
      </w:r>
      <w:r>
        <w:t xml:space="preserve">. Obejmuje to dobór technologii i narzędzi zgodnych ze standardami dostępności oraz regularne testy prototypów z udziałem </w:t>
      </w:r>
      <w:r w:rsidR="00D110BF">
        <w:t>osób z różnymi</w:t>
      </w:r>
      <w:r>
        <w:t xml:space="preserve"> niepełnosprawnościami</w:t>
      </w:r>
      <w:r w:rsidR="00D110BF">
        <w:t xml:space="preserve"> i innymi szczególnymi potrzebami</w:t>
      </w:r>
      <w:r w:rsidR="006D4F59">
        <w:t xml:space="preserve"> lub organizacji reprezentujących interesy</w:t>
      </w:r>
      <w:r w:rsidR="000A7AB5">
        <w:t xml:space="preserve"> osób z niepełnosprawnościami</w:t>
      </w:r>
      <w:r>
        <w:t xml:space="preserve">. Dzięki </w:t>
      </w:r>
      <w:r w:rsidR="00212FBF">
        <w:t xml:space="preserve">takiemu podejściu możliwe jest wprowadzanie </w:t>
      </w:r>
      <w:r>
        <w:t>konieczn</w:t>
      </w:r>
      <w:r w:rsidR="00212FBF">
        <w:t>ych</w:t>
      </w:r>
      <w:r>
        <w:t xml:space="preserve"> modyfikacj</w:t>
      </w:r>
      <w:r w:rsidR="00212FBF">
        <w:t>i</w:t>
      </w:r>
      <w:r>
        <w:t xml:space="preserve"> na bieżąco</w:t>
      </w:r>
      <w:r w:rsidR="00212FBF">
        <w:t>, co pozwala uniknąć s</w:t>
      </w:r>
      <w:r>
        <w:t xml:space="preserve">ytuacji, w której </w:t>
      </w:r>
      <w:r w:rsidR="000A7AB5">
        <w:t>rezultat</w:t>
      </w:r>
      <w:r>
        <w:t xml:space="preserve"> końcowy będzie wymagał kosztownych przeróbek, by spełniał potrzeby wszystkich </w:t>
      </w:r>
      <w:r w:rsidR="000A7AB5">
        <w:t>użytkowniczek i użytkowników</w:t>
      </w:r>
      <w:r>
        <w:t>.</w:t>
      </w:r>
    </w:p>
    <w:p w14:paraId="4CE1DEA1" w14:textId="7CF37BE4" w:rsidR="00CB1804" w:rsidRDefault="00212FBF" w:rsidP="00CB1804">
      <w:r>
        <w:t>K</w:t>
      </w:r>
      <w:r w:rsidR="00CB1804" w:rsidRPr="00DB782E">
        <w:t>onieczne jest</w:t>
      </w:r>
      <w:r>
        <w:t xml:space="preserve"> też</w:t>
      </w:r>
      <w:r w:rsidR="00CB1804" w:rsidRPr="00DB782E">
        <w:t xml:space="preserve"> zapewnienie odpowiednich warunków pracy dla osób zatrudnionych w projekcie. Może to obejmować modyfikacje stanowisk pracy, przystosowanie sprzętu czy wsparcie technologiczne (takie jak oprogramowanie </w:t>
      </w:r>
      <w:r w:rsidR="00CB1804" w:rsidRPr="00DB782E">
        <w:lastRenderedPageBreak/>
        <w:t xml:space="preserve">wspomagające). Ważne jest, aby wszystkie procedury badawcze oraz zasady bezpieczeństwa pracy były dostosowane do potrzeb </w:t>
      </w:r>
      <w:r w:rsidR="000A7AB5">
        <w:t xml:space="preserve">każdej osoby z zespołu. </w:t>
      </w:r>
      <w:r w:rsidR="00CB1804" w:rsidRPr="00DB782E">
        <w:t xml:space="preserve"> </w:t>
      </w:r>
    </w:p>
    <w:p w14:paraId="2E96CACC" w14:textId="3301EA05" w:rsidR="00DC1EEF" w:rsidRDefault="00DC1EEF" w:rsidP="00BC36E5">
      <w:pPr>
        <w:pStyle w:val="Nagwek3"/>
      </w:pPr>
      <w:bookmarkStart w:id="11" w:name="_Toc181784834"/>
      <w:bookmarkStart w:id="12" w:name="_Toc181959030"/>
      <w:bookmarkStart w:id="13" w:name="_Toc182319512"/>
      <w:r w:rsidRPr="00E60BB5">
        <w:t>Upowszechnianie wyników prac</w:t>
      </w:r>
      <w:bookmarkEnd w:id="11"/>
      <w:bookmarkEnd w:id="12"/>
      <w:bookmarkEnd w:id="13"/>
    </w:p>
    <w:p w14:paraId="33632C3C" w14:textId="5A4E5621" w:rsidR="00CB1804" w:rsidRDefault="006D4F59" w:rsidP="00CB1804">
      <w:r>
        <w:t>Upowszechnianie wyników badań musi odbywać się w sposób zapewniających ich pełną dostępność i wysoki poziom zrozumiałości dla użytkowni</w:t>
      </w:r>
      <w:r w:rsidR="000A7AB5">
        <w:t xml:space="preserve">czek i użytkowników. </w:t>
      </w:r>
      <w:r w:rsidR="00CB1804">
        <w:t xml:space="preserve">Dokumenty i publikacje </w:t>
      </w:r>
      <w:r>
        <w:t xml:space="preserve">należy przygotować </w:t>
      </w:r>
      <w:r w:rsidR="00CB1804">
        <w:t>w formatach dostępnych</w:t>
      </w:r>
      <w:r w:rsidR="000A7AB5">
        <w:t>. P</w:t>
      </w:r>
      <w:r>
        <w:t>odczas</w:t>
      </w:r>
      <w:r w:rsidR="00FD31AE">
        <w:t xml:space="preserve"> k</w:t>
      </w:r>
      <w:r w:rsidR="00CB1804">
        <w:t>onferencj</w:t>
      </w:r>
      <w:r>
        <w:t>i</w:t>
      </w:r>
      <w:r w:rsidR="00CB1804">
        <w:t xml:space="preserve"> i wydarze</w:t>
      </w:r>
      <w:r>
        <w:t xml:space="preserve">ń </w:t>
      </w:r>
      <w:r w:rsidR="00CB1804">
        <w:t>poświęcon</w:t>
      </w:r>
      <w:r>
        <w:t>ych</w:t>
      </w:r>
      <w:r w:rsidR="00CB1804">
        <w:t xml:space="preserve"> prezentacji wyników badań </w:t>
      </w:r>
      <w:r>
        <w:t>muszą zostać wprowadzone</w:t>
      </w:r>
      <w:r w:rsidR="00CB1804">
        <w:t xml:space="preserve"> środki ułatwiające uczestnictwo, takie jak tłumaczenia na język migowy, napisy do materiałów wideo czy dostępność miejsc dla osób poruszających się na wózkach.</w:t>
      </w:r>
    </w:p>
    <w:p w14:paraId="7EA4CFF6" w14:textId="4F0FBC9A" w:rsidR="00CB1804" w:rsidRPr="00FD31AE" w:rsidRDefault="00CB1804" w:rsidP="00FD31AE">
      <w:pPr>
        <w:rPr>
          <w:color w:val="auto"/>
        </w:rPr>
      </w:pPr>
      <w:r w:rsidRPr="00DB782E">
        <w:t xml:space="preserve">Podczas upowszechniania wyników badań należy uwzględnić </w:t>
      </w:r>
      <w:r w:rsidR="006D4F59">
        <w:t xml:space="preserve">również </w:t>
      </w:r>
      <w:r w:rsidRPr="00DB782E">
        <w:t>dostępność publikacji oraz materiałów dla osób zatrudnionych w projekcie. P</w:t>
      </w:r>
      <w:r w:rsidR="000A7AB5">
        <w:t>racownice i p</w:t>
      </w:r>
      <w:r w:rsidRPr="00DB782E">
        <w:t>racownicy z niepełnosprawnościami powinn</w:t>
      </w:r>
      <w:r w:rsidR="00FD31AE">
        <w:t>y</w:t>
      </w:r>
      <w:r w:rsidRPr="00DB782E">
        <w:t xml:space="preserve"> mieć możliwość wygodnego i aktywnego uczestnictwa w konferencjach, seminariach oraz innych wydarzeniach związanych z projektem</w:t>
      </w:r>
      <w:r w:rsidR="00FD31AE">
        <w:t xml:space="preserve"> i upowszechnianiem wyników prac badawczych – niezależnie od tego, czy </w:t>
      </w:r>
      <w:r w:rsidR="00FD31AE" w:rsidRPr="00FD31AE">
        <w:rPr>
          <w:color w:val="auto"/>
        </w:rPr>
        <w:t>odbywają się one stacjonarnie, czy online.</w:t>
      </w:r>
    </w:p>
    <w:p w14:paraId="5F9257F8" w14:textId="10711C2F" w:rsidR="00FD31AE" w:rsidRPr="00FD31AE" w:rsidRDefault="00A54693" w:rsidP="00FD31AE">
      <w:pPr>
        <w:rPr>
          <w:color w:val="auto"/>
        </w:rPr>
      </w:pPr>
      <w:r w:rsidRPr="00FD31AE">
        <w:rPr>
          <w:color w:val="auto"/>
        </w:rPr>
        <w:t xml:space="preserve">Wszystkie spotkania badawcze powinny mieć charakter włączający, dostępny i pełen szacunku dla różnorodności doświadczeń i opinii. </w:t>
      </w:r>
      <w:r w:rsidR="00FD31AE" w:rsidRPr="00FD31AE">
        <w:rPr>
          <w:color w:val="auto"/>
        </w:rPr>
        <w:t>Istotną kwestią jest używanie języka włączającego</w:t>
      </w:r>
      <w:r w:rsidR="000A7AB5">
        <w:rPr>
          <w:color w:val="auto"/>
        </w:rPr>
        <w:t>. P</w:t>
      </w:r>
      <w:r w:rsidR="00FD31AE" w:rsidRPr="00FD31AE">
        <w:rPr>
          <w:color w:val="auto"/>
        </w:rPr>
        <w:t>ozwala on na odpowiednie</w:t>
      </w:r>
      <w:r w:rsidRPr="00FD31AE">
        <w:rPr>
          <w:color w:val="auto"/>
        </w:rPr>
        <w:t xml:space="preserve"> okazywania szacunku </w:t>
      </w:r>
      <w:r w:rsidR="00FD31AE" w:rsidRPr="00FD31AE">
        <w:rPr>
          <w:color w:val="auto"/>
        </w:rPr>
        <w:t xml:space="preserve">różnym grupom osób </w:t>
      </w:r>
      <w:r w:rsidRPr="00FD31AE">
        <w:rPr>
          <w:color w:val="auto"/>
        </w:rPr>
        <w:t xml:space="preserve">i </w:t>
      </w:r>
      <w:r w:rsidR="00FD31AE" w:rsidRPr="00FD31AE">
        <w:rPr>
          <w:color w:val="auto"/>
        </w:rPr>
        <w:t>sprawia</w:t>
      </w:r>
      <w:r w:rsidRPr="00FD31AE">
        <w:rPr>
          <w:color w:val="auto"/>
        </w:rPr>
        <w:t xml:space="preserve">, że ​​wszystkie akronimy lub słownictwo specyficzne dla danej dziedziny są wyjaśnione w jasny i przystępny sposób. Kluczowe znaczenie ma </w:t>
      </w:r>
      <w:r w:rsidR="00FD31AE" w:rsidRPr="00FD31AE">
        <w:rPr>
          <w:color w:val="auto"/>
        </w:rPr>
        <w:t xml:space="preserve">też </w:t>
      </w:r>
      <w:r w:rsidRPr="00FD31AE">
        <w:rPr>
          <w:color w:val="auto"/>
        </w:rPr>
        <w:t>rozpoznanie różn</w:t>
      </w:r>
      <w:r w:rsidR="00F33299">
        <w:rPr>
          <w:color w:val="auto"/>
        </w:rPr>
        <w:t>orodnych</w:t>
      </w:r>
      <w:r w:rsidRPr="00FD31AE">
        <w:rPr>
          <w:color w:val="auto"/>
        </w:rPr>
        <w:t xml:space="preserve"> preferencj</w:t>
      </w:r>
      <w:r w:rsidR="00F33299">
        <w:rPr>
          <w:color w:val="auto"/>
        </w:rPr>
        <w:t>i</w:t>
      </w:r>
      <w:r w:rsidRPr="00FD31AE">
        <w:rPr>
          <w:color w:val="auto"/>
        </w:rPr>
        <w:t xml:space="preserve"> komunikacyjn</w:t>
      </w:r>
      <w:r w:rsidR="00F33299">
        <w:rPr>
          <w:color w:val="auto"/>
        </w:rPr>
        <w:t>ych</w:t>
      </w:r>
      <w:r w:rsidRPr="00FD31AE">
        <w:rPr>
          <w:color w:val="auto"/>
        </w:rPr>
        <w:t xml:space="preserve">. </w:t>
      </w:r>
    </w:p>
    <w:p w14:paraId="386598A3" w14:textId="005B01C9" w:rsidR="00DC1EEF" w:rsidRPr="00E60BB5" w:rsidRDefault="00DC1EEF" w:rsidP="00FD31AE">
      <w:pPr>
        <w:pStyle w:val="Nagwek3"/>
      </w:pPr>
      <w:bookmarkStart w:id="14" w:name="_Toc181784835"/>
      <w:bookmarkStart w:id="15" w:name="_Toc181959031"/>
      <w:bookmarkStart w:id="16" w:name="_Toc182319513"/>
      <w:r w:rsidRPr="00E60BB5">
        <w:t xml:space="preserve">Upowszechnianie </w:t>
      </w:r>
      <w:r w:rsidR="000A7AB5">
        <w:t>rezultatów</w:t>
      </w:r>
      <w:r w:rsidRPr="00E60BB5">
        <w:t xml:space="preserve"> projektu</w:t>
      </w:r>
      <w:bookmarkEnd w:id="14"/>
      <w:bookmarkEnd w:id="15"/>
      <w:bookmarkEnd w:id="16"/>
    </w:p>
    <w:p w14:paraId="7C5FDD4A" w14:textId="59161C49" w:rsidR="00CB1804" w:rsidRDefault="00FD31AE" w:rsidP="00CB1804">
      <w:r>
        <w:t xml:space="preserve">Wszystkie </w:t>
      </w:r>
      <w:r w:rsidR="000A7AB5">
        <w:t xml:space="preserve">produkty, usługi i technologie </w:t>
      </w:r>
      <w:r w:rsidR="00CB1804">
        <w:t xml:space="preserve">powstałe w wyniku realizacji projektu muszą być dostępne dla </w:t>
      </w:r>
      <w:r>
        <w:t>różnorodnych użytkowniczek i</w:t>
      </w:r>
      <w:r w:rsidR="00CB1804">
        <w:t xml:space="preserve"> użytkowników, w tym osób z niepełnosprawnościami. Strony internetowe, aplikacje czy materiały promocyjne </w:t>
      </w:r>
      <w:r w:rsidR="00F33299">
        <w:t>należy opracować</w:t>
      </w:r>
      <w:r w:rsidR="00CB1804">
        <w:t xml:space="preserve"> zgodnie z zasadami dostępności cyfrowej. W przypadku produktów fizycznych </w:t>
      </w:r>
      <w:r>
        <w:t>należy</w:t>
      </w:r>
      <w:r w:rsidR="00CB1804">
        <w:t xml:space="preserve"> zadbać o ergonomię i zrozumiałość </w:t>
      </w:r>
      <w:r>
        <w:t>użytkowania o</w:t>
      </w:r>
      <w:r w:rsidR="00CB1804">
        <w:t>raz</w:t>
      </w:r>
      <w:r>
        <w:t xml:space="preserve"> ewentualną</w:t>
      </w:r>
      <w:r w:rsidR="00CB1804">
        <w:t xml:space="preserve"> możliwość dostosowania</w:t>
      </w:r>
      <w:r>
        <w:t xml:space="preserve"> produktów</w:t>
      </w:r>
      <w:r w:rsidR="00CB1804">
        <w:t xml:space="preserve"> do indywidualnych potrzeb </w:t>
      </w:r>
      <w:r>
        <w:t>osób użytkujących</w:t>
      </w:r>
      <w:r w:rsidR="00CB1804">
        <w:t>.</w:t>
      </w:r>
    </w:p>
    <w:p w14:paraId="3916E5DB" w14:textId="3F9B5550" w:rsidR="0037707D" w:rsidRDefault="00FD31AE" w:rsidP="00F8271C">
      <w:pPr>
        <w:rPr>
          <w:rFonts w:eastAsiaTheme="majorEastAsia"/>
          <w:b/>
          <w:bCs/>
          <w:color w:val="3A7C22" w:themeColor="accent6" w:themeShade="BF"/>
          <w:sz w:val="36"/>
          <w:szCs w:val="32"/>
        </w:rPr>
      </w:pPr>
      <w:r>
        <w:lastRenderedPageBreak/>
        <w:t>K</w:t>
      </w:r>
      <w:r w:rsidR="00CB1804" w:rsidRPr="00DB782E">
        <w:t>luczowe jest</w:t>
      </w:r>
      <w:r>
        <w:t xml:space="preserve"> też</w:t>
      </w:r>
      <w:r w:rsidR="00CB1804" w:rsidRPr="00DB782E">
        <w:t xml:space="preserve">, aby </w:t>
      </w:r>
      <w:r w:rsidR="000A7AB5">
        <w:t xml:space="preserve">osoby </w:t>
      </w:r>
      <w:r w:rsidR="00CB1804" w:rsidRPr="00DB782E">
        <w:t>z niepełnosprawnościami zatrudni</w:t>
      </w:r>
      <w:r w:rsidR="000A7AB5">
        <w:t xml:space="preserve">one </w:t>
      </w:r>
      <w:r w:rsidR="00CB1804" w:rsidRPr="00DB782E">
        <w:t>w projekcie mog</w:t>
      </w:r>
      <w:r w:rsidR="000A7AB5">
        <w:t>ły</w:t>
      </w:r>
      <w:r w:rsidR="00CB1804" w:rsidRPr="00DB782E">
        <w:t xml:space="preserve"> uczestniczyć w procesach promocyjnych i wdrożeniowych na równi z innymi członk</w:t>
      </w:r>
      <w:r w:rsidR="000A7AB5">
        <w:t xml:space="preserve">iniami i członkami </w:t>
      </w:r>
      <w:r w:rsidR="00CB1804" w:rsidRPr="00DB782E">
        <w:t>zespołu. Powinni mieć dostęp do narzędzi i materiałów umożliwiających realizację ich zadań</w:t>
      </w:r>
      <w:r w:rsidR="000A7AB5">
        <w:t xml:space="preserve"> (</w:t>
      </w:r>
      <w:r w:rsidR="00CB1804" w:rsidRPr="00DB782E">
        <w:t>np. dostępn</w:t>
      </w:r>
      <w:r w:rsidR="00F33299">
        <w:t>ych</w:t>
      </w:r>
      <w:r w:rsidR="00CB1804" w:rsidRPr="00DB782E">
        <w:t xml:space="preserve"> stron internetowych, aplikacji czy broszur</w:t>
      </w:r>
      <w:r w:rsidR="000A7AB5">
        <w:t>)</w:t>
      </w:r>
      <w:r w:rsidR="00CB1804" w:rsidRPr="00DB782E">
        <w:t xml:space="preserve">. Istotne jest także wsparcie logistyczne </w:t>
      </w:r>
      <w:r w:rsidR="00F33299">
        <w:t xml:space="preserve">i zapewnienie dostępności podczas wydarzeń </w:t>
      </w:r>
      <w:r w:rsidR="00CB1804" w:rsidRPr="00DB782E">
        <w:t>promujących produkty</w:t>
      </w:r>
      <w:r w:rsidR="00123446">
        <w:t xml:space="preserve"> i rezultaty projektów</w:t>
      </w:r>
      <w:r w:rsidR="00CB1804" w:rsidRPr="00DB782E">
        <w:t xml:space="preserve">, takich jak </w:t>
      </w:r>
      <w:r w:rsidR="00F8271C">
        <w:t>targi czy wystawy.</w:t>
      </w:r>
    </w:p>
    <w:p w14:paraId="18E78962" w14:textId="670EE555" w:rsidR="001F0207" w:rsidRDefault="001F0207" w:rsidP="001F0207">
      <w:pPr>
        <w:pStyle w:val="Nagwek1"/>
      </w:pPr>
      <w:bookmarkStart w:id="17" w:name="_Toc182319514"/>
      <w:r>
        <w:t>Standard edukacyjn</w:t>
      </w:r>
      <w:r w:rsidR="007A4D66">
        <w:t xml:space="preserve">y i </w:t>
      </w:r>
      <w:r>
        <w:t>szkoleniowy</w:t>
      </w:r>
      <w:bookmarkEnd w:id="17"/>
    </w:p>
    <w:p w14:paraId="00D43184" w14:textId="77777777" w:rsidR="006270DB" w:rsidRPr="00EF1B2A" w:rsidRDefault="006270DB" w:rsidP="00496C5D">
      <w:pPr>
        <w:pStyle w:val="Przykad"/>
      </w:pPr>
      <w:r w:rsidRPr="00EF1B2A">
        <w:t>Wymagania i zalecenia opisują Standardy dostępności dla polityki spójności 2021-2027 – część II. Standard szkoleniowy.</w:t>
      </w:r>
    </w:p>
    <w:p w14:paraId="6E3ADEF4" w14:textId="77777777" w:rsidR="00B15DAB" w:rsidRPr="00B16B6C" w:rsidRDefault="00B15DAB" w:rsidP="00B15DAB">
      <w:pPr>
        <w:pStyle w:val="Dodatkowedokumenty"/>
      </w:pPr>
      <w:r w:rsidRPr="00B16B6C">
        <w:t>Przydatne dokumenty i opracowania</w:t>
      </w:r>
    </w:p>
    <w:p w14:paraId="6388338B" w14:textId="6573C38B" w:rsidR="00B15DAB" w:rsidRPr="00B16B6C" w:rsidRDefault="00B15DAB" w:rsidP="00B15DAB">
      <w:r w:rsidRPr="00B16B6C">
        <w:t>W celu zapewnienia najwyższego poziomu szkoleń w zakresie dostępności opracowano listy kontrolne, zawierające zestaw pytań i wskazówek, na które zamawiający usługę szkoleniową powinien odpowiedzieć sobie na każdym z etapów identyfikacji i planowania tej usługi, wyboru wykonawcy, realizacji szkoleń oraz późniejszej ewaluacji. Listy są dostępne w publikacji</w:t>
      </w:r>
      <w:r w:rsidR="00F22B70">
        <w:t>:</w:t>
      </w:r>
    </w:p>
    <w:p w14:paraId="7B2E53E7" w14:textId="77777777" w:rsidR="00B15DAB" w:rsidRDefault="00B15DAB" w:rsidP="00B15DAB">
      <w:pPr>
        <w:pStyle w:val="Dokumenty"/>
      </w:pPr>
      <w:r w:rsidRPr="00B16B6C">
        <w:t xml:space="preserve">Rekomendacje dla zapewnienia jakości szkoleń w temacie dostępności </w:t>
      </w:r>
      <w:r w:rsidRPr="00B16B6C">
        <w:rPr>
          <w:b w:val="0"/>
          <w:bCs w:val="0"/>
        </w:rPr>
        <w:t xml:space="preserve">(link do dokumentu pdf online). </w:t>
      </w:r>
      <w:hyperlink r:id="rId8" w:history="1">
        <w:r w:rsidRPr="00B16B6C">
          <w:rPr>
            <w:rStyle w:val="Hipercze"/>
            <w:highlight w:val="cyan"/>
          </w:rPr>
          <w:t>https://www.funduszeeuropejskie.gov.pl/media/108945/Material_Rekomendacje_vdostepna.pdf</w:t>
        </w:r>
      </w:hyperlink>
      <w:r w:rsidRPr="00B16B6C">
        <w:t xml:space="preserve"> </w:t>
      </w:r>
    </w:p>
    <w:p w14:paraId="28406A3B" w14:textId="423E273A" w:rsidR="00B33657" w:rsidRDefault="00B33657" w:rsidP="00B33657">
      <w:r>
        <w:t>Podczas opracowywania elektronicznych materiałów edukacyjnych pomocny może być poradnik</w:t>
      </w:r>
      <w:r w:rsidR="00F22B70">
        <w:t>:</w:t>
      </w:r>
    </w:p>
    <w:p w14:paraId="01956B8B" w14:textId="0C64C1DD" w:rsidR="00B33657" w:rsidRDefault="00B33657" w:rsidP="00B33657">
      <w:pPr>
        <w:pStyle w:val="Dokumenty"/>
        <w:rPr>
          <w:b w:val="0"/>
          <w:bCs w:val="0"/>
        </w:rPr>
      </w:pPr>
      <w:r w:rsidRPr="00B33657">
        <w:t>E-podręcznik dostępny dla wszystkich</w:t>
      </w:r>
      <w:r>
        <w:t>.</w:t>
      </w:r>
      <w:r w:rsidRPr="00B33657">
        <w:t xml:space="preserve"> Poradnik dla twórców elektronicznych materiałów edukacyjnych</w:t>
      </w:r>
      <w:r>
        <w:t xml:space="preserve"> </w:t>
      </w:r>
      <w:r w:rsidRPr="00B16B6C">
        <w:rPr>
          <w:b w:val="0"/>
          <w:bCs w:val="0"/>
        </w:rPr>
        <w:t>(link do dokumentu pdf online).</w:t>
      </w:r>
    </w:p>
    <w:p w14:paraId="624B5915" w14:textId="5BA4D8F0" w:rsidR="00B33657" w:rsidRPr="00B33657" w:rsidRDefault="00B33657" w:rsidP="00B33657">
      <w:pPr>
        <w:pStyle w:val="Dokumenty"/>
        <w:rPr>
          <w:b w:val="0"/>
          <w:bCs w:val="0"/>
        </w:rPr>
      </w:pPr>
      <w:r w:rsidRPr="00B33657">
        <w:rPr>
          <w:b w:val="0"/>
          <w:bCs w:val="0"/>
          <w:highlight w:val="cyan"/>
        </w:rPr>
        <w:t>https://www.power.gov.pl/media/13591/e_podrecznik_dostepny_dla_wszystkich.pdf</w:t>
      </w:r>
    </w:p>
    <w:p w14:paraId="00ABDB31" w14:textId="1ED7DADB" w:rsidR="001F0207" w:rsidRDefault="001F0207" w:rsidP="001F0207">
      <w:pPr>
        <w:pStyle w:val="Nagwek1"/>
      </w:pPr>
      <w:bookmarkStart w:id="18" w:name="_Toc182319515"/>
      <w:r>
        <w:lastRenderedPageBreak/>
        <w:t xml:space="preserve">Standard </w:t>
      </w:r>
      <w:r w:rsidRPr="001F0207">
        <w:t>informacyjno</w:t>
      </w:r>
      <w:r>
        <w:t xml:space="preserve">-promocyjny </w:t>
      </w:r>
      <w:r w:rsidRPr="00B16B6C">
        <w:t>(w tym organizacji wydarzeń)</w:t>
      </w:r>
      <w:bookmarkEnd w:id="18"/>
    </w:p>
    <w:p w14:paraId="7E38A6E8" w14:textId="77777777" w:rsidR="006270DB" w:rsidRDefault="006270DB" w:rsidP="00496C5D">
      <w:pPr>
        <w:pStyle w:val="Przykad"/>
      </w:pPr>
      <w:r w:rsidRPr="00B16B6C">
        <w:t>Wymagania i zalecenia opisują Standardy dostępności dla polityki spójności 2021-2027 – część III. Standard informacyjno-promocyjny.</w:t>
      </w:r>
    </w:p>
    <w:p w14:paraId="3AC36163" w14:textId="77777777" w:rsidR="00B141A2" w:rsidRPr="00B16B6C" w:rsidRDefault="00B141A2" w:rsidP="005B4947">
      <w:pPr>
        <w:pStyle w:val="Dodatkowedokumenty"/>
        <w:pBdr>
          <w:left w:val="single" w:sz="4" w:space="1" w:color="F1A983" w:themeColor="accent2" w:themeTint="99"/>
        </w:pBdr>
      </w:pPr>
      <w:bookmarkStart w:id="19" w:name="_Hlk181958573"/>
      <w:r w:rsidRPr="00B16B6C">
        <w:t>Przydatne dokumenty i opracowania</w:t>
      </w:r>
    </w:p>
    <w:p w14:paraId="747BE456" w14:textId="2521A5C8" w:rsidR="00B141A2" w:rsidRPr="00B16B6C" w:rsidRDefault="00B141A2" w:rsidP="00B141A2">
      <w:r w:rsidRPr="00B16B6C">
        <w:t>Podczas sporządzania dokumentów elektronicznych – publikacji czy raportów – warto stosować również wytyczne dokumentu</w:t>
      </w:r>
      <w:r w:rsidR="00F22B70">
        <w:t>:</w:t>
      </w:r>
    </w:p>
    <w:p w14:paraId="4FF39B1F" w14:textId="77777777" w:rsidR="00B141A2" w:rsidRPr="00B16B6C" w:rsidRDefault="00B141A2" w:rsidP="00B141A2">
      <w:pPr>
        <w:pStyle w:val="Dokumenty"/>
      </w:pPr>
      <w:r w:rsidRPr="00B16B6C">
        <w:t>Standardy dostępności – dokumenty elektroniczne (</w:t>
      </w:r>
      <w:r w:rsidRPr="00B16B6C">
        <w:rPr>
          <w:b w:val="0"/>
          <w:bCs w:val="0"/>
        </w:rPr>
        <w:t>link do publikacji pdf online).</w:t>
      </w:r>
      <w:r w:rsidRPr="00B16B6C">
        <w:t xml:space="preserve"> </w:t>
      </w:r>
      <w:hyperlink r:id="rId9" w:history="1">
        <w:r w:rsidRPr="00B16B6C">
          <w:rPr>
            <w:rStyle w:val="Hipercze"/>
            <w:highlight w:val="cyan"/>
          </w:rPr>
          <w:t>https://www.funduszeeuropejskie.gov.pl/media/124079/standardy_dostepnosci_dokumenty_elektroniczne_wersja_dostepna.pdf</w:t>
        </w:r>
      </w:hyperlink>
      <w:r w:rsidRPr="00B16B6C">
        <w:t xml:space="preserve"> </w:t>
      </w:r>
    </w:p>
    <w:p w14:paraId="4F92D30C" w14:textId="77777777" w:rsidR="00B141A2" w:rsidRPr="00B16B6C" w:rsidRDefault="00B141A2" w:rsidP="00B141A2">
      <w:r w:rsidRPr="00B16B6C">
        <w:t>Podczas organizacji wydarzeń przydatne mogą być poradniki:</w:t>
      </w:r>
    </w:p>
    <w:p w14:paraId="4EB74495" w14:textId="77777777" w:rsidR="00B141A2" w:rsidRPr="00B16B6C" w:rsidRDefault="00B141A2" w:rsidP="00B141A2">
      <w:pPr>
        <w:pStyle w:val="Dokumenty"/>
      </w:pPr>
      <w:r w:rsidRPr="00B16B6C">
        <w:t xml:space="preserve">Dostępne wydarzenia w praktyce </w:t>
      </w:r>
      <w:r w:rsidRPr="00B16B6C">
        <w:rPr>
          <w:b w:val="0"/>
          <w:bCs w:val="0"/>
        </w:rPr>
        <w:t xml:space="preserve">(link do dokumentu pdf online), </w:t>
      </w:r>
      <w:hyperlink r:id="rId10" w:history="1">
        <w:r w:rsidRPr="00B16B6C">
          <w:rPr>
            <w:rStyle w:val="Hipercze"/>
            <w:highlight w:val="cyan"/>
          </w:rPr>
          <w:t>https://www.power.gov.pl/media/13589/DOSTePNE-WYDARZENIA-W-PRAKTYCE.pdf</w:t>
        </w:r>
      </w:hyperlink>
      <w:r w:rsidRPr="00B16B6C">
        <w:t xml:space="preserve"> </w:t>
      </w:r>
    </w:p>
    <w:p w14:paraId="67CEDE12" w14:textId="77777777" w:rsidR="00B141A2" w:rsidRPr="00B16B6C" w:rsidRDefault="00B141A2" w:rsidP="00B141A2">
      <w:pPr>
        <w:pStyle w:val="Dokumenty"/>
      </w:pPr>
      <w:r w:rsidRPr="00B16B6C">
        <w:t xml:space="preserve">WELCOME. Jak zadbać o dostępność wydarzeń międzynarodowych? </w:t>
      </w:r>
      <w:r w:rsidRPr="00B16B6C">
        <w:rPr>
          <w:b w:val="0"/>
          <w:bCs w:val="0"/>
        </w:rPr>
        <w:t xml:space="preserve">(link do dokumentu pdf online). </w:t>
      </w:r>
      <w:hyperlink r:id="rId11" w:history="1">
        <w:r w:rsidRPr="00B16B6C">
          <w:rPr>
            <w:rStyle w:val="Hipercze"/>
            <w:highlight w:val="cyan"/>
          </w:rPr>
          <w:t>https://www.funduszeeuropejskie.gov.pl/media/114369/WELCOME.pdf</w:t>
        </w:r>
      </w:hyperlink>
      <w:r w:rsidRPr="00B16B6C">
        <w:t xml:space="preserve"> </w:t>
      </w:r>
    </w:p>
    <w:p w14:paraId="062A3F7F" w14:textId="16E1ADEB" w:rsidR="00B141A2" w:rsidRPr="00B16B6C" w:rsidRDefault="00B141A2" w:rsidP="00B141A2">
      <w:r w:rsidRPr="00B16B6C">
        <w:t>W zakresie organizacji wydarzeń i wystaw oraz przygotowania składu publikacji i zapewnienia jej dostępności – zadań publicznych realizowanych przez podmioty inne niż publiczne – przydatne mogą być też przykładowe propozycje zapisów umów, znajdujące się w dokumencie</w:t>
      </w:r>
      <w:r w:rsidR="00F22B70">
        <w:t>:</w:t>
      </w:r>
    </w:p>
    <w:p w14:paraId="1DD28E48" w14:textId="497513D1" w:rsidR="00B141A2" w:rsidRPr="00B16B6C" w:rsidRDefault="00B141A2" w:rsidP="00B141A2">
      <w:pPr>
        <w:pStyle w:val="Dokumenty"/>
      </w:pPr>
      <w:r w:rsidRPr="00B16B6C">
        <w:t xml:space="preserve">Umowy na realizację zadań publicznych zawierane z podmiotami innymi niż podmioty publiczne </w:t>
      </w:r>
      <w:r w:rsidR="000E4329">
        <w:t>–</w:t>
      </w:r>
      <w:r w:rsidRPr="00B16B6C">
        <w:t xml:space="preserve"> obowiązki wynikające z art. 4 ust. 3 ustawy z dnia 19 lipca 2019 r</w:t>
      </w:r>
      <w:r w:rsidR="000A7AB5">
        <w:t xml:space="preserve">oku </w:t>
      </w:r>
      <w:r w:rsidRPr="00B16B6C">
        <w:t xml:space="preserve">o zapewnianiu dostępności osobom ze szczególnymi potrzebami. Przykładowe propozycje zapisów ww. umów </w:t>
      </w:r>
      <w:r w:rsidRPr="00B16B6C">
        <w:rPr>
          <w:b w:val="0"/>
          <w:bCs w:val="0"/>
        </w:rPr>
        <w:t>(link do dokumentu pdf online).</w:t>
      </w:r>
      <w:r w:rsidRPr="00B16B6C">
        <w:t xml:space="preserve"> </w:t>
      </w:r>
      <w:hyperlink r:id="rId12" w:history="1">
        <w:r w:rsidRPr="00B16B6C">
          <w:rPr>
            <w:rStyle w:val="Hipercze"/>
            <w:highlight w:val="cyan"/>
          </w:rPr>
          <w:t>https://www.funduszeeuropejskie.gov.pl/media/107276/Umowynarealizacjezadanpublicznych.pdf</w:t>
        </w:r>
      </w:hyperlink>
    </w:p>
    <w:p w14:paraId="6F533D23" w14:textId="77777777" w:rsidR="001F0207" w:rsidRDefault="001F0207" w:rsidP="001F0207">
      <w:pPr>
        <w:pStyle w:val="Nagwek1"/>
      </w:pPr>
      <w:bookmarkStart w:id="20" w:name="_Toc182319516"/>
      <w:bookmarkEnd w:id="19"/>
      <w:r>
        <w:t>Standard transportowy</w:t>
      </w:r>
      <w:bookmarkEnd w:id="20"/>
    </w:p>
    <w:p w14:paraId="47D0EAF6" w14:textId="7D9CD1DC" w:rsidR="00370B60" w:rsidRDefault="00370B60" w:rsidP="00496C5D">
      <w:pPr>
        <w:pStyle w:val="Przykad"/>
      </w:pPr>
      <w:r w:rsidRPr="00B16B6C">
        <w:t xml:space="preserve">Wymagania i zalecenia opisują Standardy dostępności dla polityki spójności 2021-2027 – część </w:t>
      </w:r>
      <w:r>
        <w:t>I</w:t>
      </w:r>
      <w:r w:rsidRPr="00B16B6C">
        <w:t xml:space="preserve">V. Standard </w:t>
      </w:r>
      <w:r>
        <w:t>transportowy.</w:t>
      </w:r>
    </w:p>
    <w:p w14:paraId="15031EEF" w14:textId="680A16FE" w:rsidR="00B141A2" w:rsidRPr="00B16B6C" w:rsidRDefault="00B141A2" w:rsidP="00B141A2">
      <w:r w:rsidRPr="00B16B6C">
        <w:t xml:space="preserve">W poszczególnych projektach realizowanych w ramach </w:t>
      </w:r>
      <w:r w:rsidR="00DC11BA">
        <w:t>P</w:t>
      </w:r>
      <w:r w:rsidRPr="00B16B6C">
        <w:t>rogramu F</w:t>
      </w:r>
      <w:r>
        <w:t>ENG (np. w ramach projektowania / prototypowania nowych środków transportu publicznego lub elementów infrastruktury pasażerskiej)</w:t>
      </w:r>
      <w:r w:rsidRPr="00B16B6C">
        <w:t xml:space="preserve"> przydatne mogą być poniższe dokumenty:</w:t>
      </w:r>
    </w:p>
    <w:p w14:paraId="33C6698D" w14:textId="2B500572" w:rsidR="00B141A2" w:rsidRPr="00B16B6C" w:rsidRDefault="00B141A2" w:rsidP="00B141A2">
      <w:pPr>
        <w:pStyle w:val="Dokumenty"/>
      </w:pPr>
      <w:r w:rsidRPr="00B16B6C">
        <w:t>Jak zaplanować inwestycje dostępną dla wszystkich? Standard minimum dostępności budynków, dróg, chodników i środków transportu dla osób z różnymi niepełnosprawnościami</w:t>
      </w:r>
      <w:r w:rsidRPr="00B16B6C">
        <w:rPr>
          <w:b w:val="0"/>
          <w:bCs w:val="0"/>
        </w:rPr>
        <w:t>– standard obejmujący m.in. wymagania dla taboru transportu publicznego</w:t>
      </w:r>
      <w:r w:rsidR="00DC11BA">
        <w:rPr>
          <w:b w:val="0"/>
          <w:bCs w:val="0"/>
        </w:rPr>
        <w:t xml:space="preserve"> </w:t>
      </w:r>
      <w:r w:rsidR="00DC11BA" w:rsidRPr="00B16B6C">
        <w:rPr>
          <w:b w:val="0"/>
          <w:bCs w:val="0"/>
        </w:rPr>
        <w:t>(link do dokumentu pdf online)</w:t>
      </w:r>
      <w:r w:rsidRPr="00B16B6C">
        <w:rPr>
          <w:b w:val="0"/>
          <w:bCs w:val="0"/>
        </w:rPr>
        <w:t xml:space="preserve">, </w:t>
      </w:r>
      <w:hyperlink r:id="rId13" w:history="1">
        <w:r w:rsidRPr="00B16B6C">
          <w:rPr>
            <w:rStyle w:val="Hipercze"/>
          </w:rPr>
          <w:t>http://inwestycjedlawszystkich.pl/materialy/Standard_minimum_dla_dostępności_inwestycji_budowlanych_i_transportowych.pdf</w:t>
        </w:r>
      </w:hyperlink>
      <w:r w:rsidRPr="00B16B6C">
        <w:t xml:space="preserve"> </w:t>
      </w:r>
    </w:p>
    <w:p w14:paraId="20F40D5C" w14:textId="77777777" w:rsidR="000A7AB5" w:rsidRDefault="00B141A2" w:rsidP="00B141A2">
      <w:pPr>
        <w:pStyle w:val="Dokumenty"/>
        <w:rPr>
          <w:b w:val="0"/>
          <w:bCs w:val="0"/>
        </w:rPr>
      </w:pPr>
      <w:r w:rsidRPr="00B16B6C">
        <w:t xml:space="preserve">Projektowanie uniwersalne w transporcie jest na +. Transport dla wszystkich </w:t>
      </w:r>
      <w:r w:rsidRPr="00B16B6C">
        <w:rPr>
          <w:b w:val="0"/>
          <w:bCs w:val="0"/>
        </w:rPr>
        <w:t>(link do dokumentu pdf online)</w:t>
      </w:r>
      <w:r w:rsidR="000A7AB5">
        <w:rPr>
          <w:b w:val="0"/>
          <w:bCs w:val="0"/>
        </w:rPr>
        <w:t>.</w:t>
      </w:r>
    </w:p>
    <w:p w14:paraId="5DCC1EF0" w14:textId="0455957B" w:rsidR="00B141A2" w:rsidRDefault="000A7AB5" w:rsidP="00B141A2">
      <w:pPr>
        <w:pStyle w:val="Dokumenty"/>
        <w:rPr>
          <w:rStyle w:val="Hipercze"/>
        </w:rPr>
      </w:pPr>
      <w:hyperlink r:id="rId14" w:history="1">
        <w:r w:rsidRPr="006850C1">
          <w:rPr>
            <w:rStyle w:val="Hipercze"/>
          </w:rPr>
          <w:t>https://www.funduszeeuropejskie.gov.pl/media/105735/ostateczna.pdf</w:t>
        </w:r>
      </w:hyperlink>
    </w:p>
    <w:p w14:paraId="506BA596" w14:textId="77777777" w:rsidR="001F0207" w:rsidRDefault="001F0207" w:rsidP="001F0207">
      <w:pPr>
        <w:pStyle w:val="Nagwek1"/>
      </w:pPr>
      <w:bookmarkStart w:id="21" w:name="_Toc182319517"/>
      <w:r>
        <w:t>Standard cyfrowy</w:t>
      </w:r>
      <w:bookmarkEnd w:id="21"/>
    </w:p>
    <w:p w14:paraId="2C997D7F" w14:textId="1687FD8A" w:rsidR="006270DB" w:rsidRPr="00B16B6C" w:rsidRDefault="006270DB" w:rsidP="00496C5D">
      <w:pPr>
        <w:pStyle w:val="Przykad"/>
      </w:pPr>
      <w:r w:rsidRPr="00B16B6C">
        <w:t xml:space="preserve">Wymagania i </w:t>
      </w:r>
      <w:r w:rsidRPr="007A4D66">
        <w:t>zalecenia</w:t>
      </w:r>
      <w:r w:rsidRPr="00B16B6C">
        <w:t xml:space="preserve"> opisują Standardy dostępności dla polityki spójności 2021-2027 – część V. Standard cyfrowy.</w:t>
      </w:r>
    </w:p>
    <w:p w14:paraId="17704E20" w14:textId="77777777" w:rsidR="006270DB" w:rsidRPr="00B16B6C" w:rsidRDefault="006270DB" w:rsidP="006270DB">
      <w:pPr>
        <w:pStyle w:val="Dodatkowedokumenty"/>
      </w:pPr>
      <w:r w:rsidRPr="00B16B6C">
        <w:t>Przydatne dokumenty i opracowania</w:t>
      </w:r>
    </w:p>
    <w:p w14:paraId="4A71E50F" w14:textId="41F5AE14" w:rsidR="006270DB" w:rsidRPr="00B16B6C" w:rsidRDefault="006270DB" w:rsidP="006270DB">
      <w:r w:rsidRPr="00B16B6C">
        <w:t>W zakresie kontroli poprawności zastosowanych rozwiązań przydatna może być</w:t>
      </w:r>
      <w:r w:rsidR="00F22B70">
        <w:t>:</w:t>
      </w:r>
    </w:p>
    <w:p w14:paraId="0E6D5C93" w14:textId="77777777" w:rsidR="006270DB" w:rsidRPr="00B16B6C" w:rsidRDefault="006270DB" w:rsidP="006270DB">
      <w:pPr>
        <w:pStyle w:val="Dokumenty"/>
      </w:pPr>
      <w:r w:rsidRPr="00B16B6C">
        <w:t xml:space="preserve">Lista kontrolna do badania dostępności cyfrowej strony internetowej. </w:t>
      </w:r>
    </w:p>
    <w:p w14:paraId="14852B01" w14:textId="77777777" w:rsidR="006270DB" w:rsidRPr="00B16B6C" w:rsidRDefault="006270DB" w:rsidP="006270DB">
      <w:pPr>
        <w:pStyle w:val="Dokumenty"/>
        <w:rPr>
          <w:b w:val="0"/>
          <w:bCs w:val="0"/>
        </w:rPr>
      </w:pPr>
      <w:r w:rsidRPr="00B16B6C">
        <w:rPr>
          <w:b w:val="0"/>
          <w:bCs w:val="0"/>
        </w:rPr>
        <w:t xml:space="preserve">Lista jest narzędziem do samodzielnego badania strony internetowej pod kątem jej dostępności cyfrowej. Przy jej pomocy możliwa jest ocena zgodności ze </w:t>
      </w:r>
      <w:r w:rsidRPr="00B16B6C">
        <w:rPr>
          <w:b w:val="0"/>
          <w:bCs w:val="0"/>
        </w:rPr>
        <w:lastRenderedPageBreak/>
        <w:t>standardami WCAG 2.1 i z ustawą z dnia 4 kwietnia 2019 o dostępności cyfrowej stron internetowych i aplikacji mobilnych podmiotów publicznych.</w:t>
      </w:r>
    </w:p>
    <w:p w14:paraId="53CF704C" w14:textId="4235F1F8" w:rsidR="006270DB" w:rsidRPr="00B16B6C" w:rsidRDefault="006270DB" w:rsidP="006270DB">
      <w:pPr>
        <w:pStyle w:val="Dokumenty"/>
        <w:rPr>
          <w:b w:val="0"/>
          <w:bCs w:val="0"/>
        </w:rPr>
      </w:pPr>
      <w:r w:rsidRPr="00B16B6C">
        <w:rPr>
          <w:b w:val="0"/>
          <w:bCs w:val="0"/>
        </w:rPr>
        <w:t xml:space="preserve">Link do strony na Serwisie Rzeczpospolitej Polskiej, z której można pobrać listę w formacie docx </w:t>
      </w:r>
      <w:hyperlink r:id="rId15" w:history="1">
        <w:r w:rsidRPr="00B16B6C">
          <w:rPr>
            <w:rStyle w:val="Hipercze"/>
            <w:b w:val="0"/>
            <w:bCs w:val="0"/>
          </w:rPr>
          <w:t>https://www.gov.pl/web/dostepnosc-cyfrowa/jak-zbadac-czy-strona-www-jest-dostepna-cyfrowo</w:t>
        </w:r>
      </w:hyperlink>
    </w:p>
    <w:p w14:paraId="093A98D0" w14:textId="77777777" w:rsidR="007A4D66" w:rsidRDefault="00AE5859" w:rsidP="006E58BF">
      <w:pPr>
        <w:pStyle w:val="Nagwek1"/>
      </w:pPr>
      <w:bookmarkStart w:id="22" w:name="_Toc182319518"/>
      <w:r>
        <w:t>Standard architektoniczny</w:t>
      </w:r>
      <w:bookmarkEnd w:id="22"/>
      <w:r w:rsidR="001948D7">
        <w:t xml:space="preserve"> </w:t>
      </w:r>
    </w:p>
    <w:p w14:paraId="0E30D241" w14:textId="58DC58D9" w:rsidR="00B6460F" w:rsidRDefault="007A4D66" w:rsidP="008C4032">
      <w:pPr>
        <w:pStyle w:val="Nagwek2"/>
      </w:pPr>
      <w:bookmarkStart w:id="23" w:name="_Toc182319519"/>
      <w:r>
        <w:t xml:space="preserve">Rozdział </w:t>
      </w:r>
      <w:r w:rsidR="00B6460F">
        <w:t>1</w:t>
      </w:r>
      <w:r>
        <w:t xml:space="preserve">. </w:t>
      </w:r>
      <w:r w:rsidR="00A21E91">
        <w:t>Stanowiska postojowe dla samochodów osób z niepełnosprawnościami</w:t>
      </w:r>
      <w:bookmarkEnd w:id="23"/>
    </w:p>
    <w:p w14:paraId="54492B38" w14:textId="072D1B04" w:rsidR="00A21E91" w:rsidRPr="00A21E91" w:rsidRDefault="00A21E91" w:rsidP="00496C5D">
      <w:pPr>
        <w:pStyle w:val="Przykad"/>
      </w:pPr>
      <w:r>
        <w:t xml:space="preserve">Wymagania i zalecenia dla stanowisk postojowych </w:t>
      </w:r>
      <w:r w:rsidRPr="00A21E91">
        <w:t>opisują</w:t>
      </w:r>
      <w:r w:rsidRPr="007A4D66">
        <w:t xml:space="preserve"> Standardy dostępności dla polityki </w:t>
      </w:r>
      <w:r w:rsidRPr="008D674D">
        <w:t xml:space="preserve">spójności 2021-2027 – część VI. Standard architektoniczny, rozdz. </w:t>
      </w:r>
      <w:r>
        <w:t>1</w:t>
      </w:r>
      <w:r w:rsidRPr="008D674D">
        <w:t xml:space="preserve">. </w:t>
      </w:r>
      <w:r w:rsidRPr="00A21E91">
        <w:t>Stanowiska postojowe dla samochodów osób z niepełnosprawnościami</w:t>
      </w:r>
      <w:r w:rsidRPr="008D674D">
        <w:t>.</w:t>
      </w:r>
    </w:p>
    <w:p w14:paraId="5DF1EA7A" w14:textId="46D056D8" w:rsidR="007A4D66" w:rsidRPr="007A4D66" w:rsidRDefault="00B6460F" w:rsidP="008C4032">
      <w:pPr>
        <w:pStyle w:val="Nagwek2"/>
      </w:pPr>
      <w:bookmarkStart w:id="24" w:name="_Toc182319520"/>
      <w:r>
        <w:t xml:space="preserve">Rozdział 2. </w:t>
      </w:r>
      <w:r w:rsidR="007A4D66">
        <w:t>Budyn</w:t>
      </w:r>
      <w:r w:rsidR="00704276">
        <w:t>ki – wymagania ogólne</w:t>
      </w:r>
      <w:bookmarkEnd w:id="24"/>
    </w:p>
    <w:p w14:paraId="26CFF1D6" w14:textId="6ED3FD6C" w:rsidR="006270DB" w:rsidRPr="007A4D66" w:rsidRDefault="008D674D" w:rsidP="00496C5D">
      <w:pPr>
        <w:pStyle w:val="Przykad"/>
      </w:pPr>
      <w:r>
        <w:t>Ogólne w</w:t>
      </w:r>
      <w:r w:rsidR="006270DB" w:rsidRPr="007A4D66">
        <w:t xml:space="preserve">ymagania i zalecenia </w:t>
      </w:r>
      <w:r>
        <w:t>dla</w:t>
      </w:r>
      <w:r w:rsidR="006270DB" w:rsidRPr="007A4D66">
        <w:t xml:space="preserve"> budynków </w:t>
      </w:r>
      <w:r w:rsidR="006270DB" w:rsidRPr="00A21E91">
        <w:t>opisują</w:t>
      </w:r>
      <w:r w:rsidR="006270DB" w:rsidRPr="007A4D66">
        <w:t xml:space="preserve"> Standardy dostępności dla polityki </w:t>
      </w:r>
      <w:r w:rsidR="006270DB" w:rsidRPr="008D674D">
        <w:t>spójności 2021-2027 – część VI. Standard architektoniczny, rozdz. 2. Budynek.</w:t>
      </w:r>
    </w:p>
    <w:p w14:paraId="741F07F2" w14:textId="46294C60" w:rsidR="006270DB" w:rsidRDefault="006270DB" w:rsidP="008C4032">
      <w:pPr>
        <w:pStyle w:val="Nagwek2"/>
      </w:pPr>
      <w:bookmarkStart w:id="25" w:name="_Toc176864276"/>
      <w:bookmarkStart w:id="26" w:name="_Toc182319521"/>
      <w:r w:rsidRPr="00B16B6C">
        <w:t xml:space="preserve">Rozdział </w:t>
      </w:r>
      <w:r w:rsidR="00B6460F">
        <w:t>3</w:t>
      </w:r>
      <w:r w:rsidRPr="00B16B6C">
        <w:t xml:space="preserve">. </w:t>
      </w:r>
      <w:bookmarkEnd w:id="25"/>
      <w:r w:rsidR="00704276">
        <w:t>Dostępność przestrzeni i funkcji</w:t>
      </w:r>
      <w:bookmarkEnd w:id="26"/>
    </w:p>
    <w:p w14:paraId="3B0AA946" w14:textId="1369B5BD" w:rsidR="00637E6E" w:rsidRPr="001E710C" w:rsidRDefault="00637E6E" w:rsidP="00580617">
      <w:pPr>
        <w:pStyle w:val="Nagwek3"/>
        <w:numPr>
          <w:ilvl w:val="0"/>
          <w:numId w:val="38"/>
        </w:numPr>
        <w:ind w:left="426" w:hanging="426"/>
      </w:pPr>
      <w:bookmarkStart w:id="27" w:name="_Toc182319522"/>
      <w:r w:rsidRPr="001E710C">
        <w:t>Ogólne wymagania</w:t>
      </w:r>
      <w:bookmarkEnd w:id="27"/>
    </w:p>
    <w:p w14:paraId="338677ED" w14:textId="77777777" w:rsidR="00CC6893" w:rsidRPr="001E710C" w:rsidRDefault="00CC6893" w:rsidP="00637E6E">
      <w:pPr>
        <w:pStyle w:val="Nagwek4"/>
      </w:pPr>
      <w:bookmarkStart w:id="28" w:name="_Toc182319523"/>
      <w:r w:rsidRPr="001E710C">
        <w:t>Układ pomieszczeń</w:t>
      </w:r>
      <w:bookmarkEnd w:id="28"/>
    </w:p>
    <w:p w14:paraId="38B70517" w14:textId="107EF143" w:rsidR="00CC6893" w:rsidRPr="001E710C" w:rsidRDefault="00CC6893" w:rsidP="00CC6893">
      <w:r w:rsidRPr="001E710C">
        <w:t xml:space="preserve">W każdym pomieszczeniu – zarówno przeznaczonym na potrzeby </w:t>
      </w:r>
      <w:r w:rsidR="00540BBF">
        <w:t>p</w:t>
      </w:r>
      <w:r w:rsidRPr="001E710C">
        <w:t>racownic</w:t>
      </w:r>
      <w:r w:rsidR="000A7AB5">
        <w:t xml:space="preserve"> i pracowników</w:t>
      </w:r>
      <w:r w:rsidRPr="001E710C">
        <w:t>, jak i osób z zewnątrz – konieczne jest zapewnienie:</w:t>
      </w:r>
    </w:p>
    <w:p w14:paraId="320421C0" w14:textId="63CB8D90" w:rsidR="00CC6893" w:rsidRPr="001E710C" w:rsidRDefault="00CC6893" w:rsidP="00CC6893">
      <w:pPr>
        <w:pStyle w:val="Akapitzlist"/>
        <w:ind w:left="284" w:hanging="284"/>
      </w:pPr>
      <w:r w:rsidRPr="001E710C">
        <w:lastRenderedPageBreak/>
        <w:t>logicznego i przewidywalnego układu z wydzielonymi wewnątrz ciągami komunikacyjnymi o szerokości co najmniej 1,00 m (pomiędzy meblami, elementami wyposażenia itp.)</w:t>
      </w:r>
      <w:r w:rsidR="000A7AB5">
        <w:t>,</w:t>
      </w:r>
    </w:p>
    <w:p w14:paraId="7C12C8DE" w14:textId="77777777" w:rsidR="00CC6893" w:rsidRPr="001E710C" w:rsidRDefault="00CC6893" w:rsidP="00CC6893">
      <w:pPr>
        <w:pStyle w:val="Akapitzlist"/>
        <w:ind w:left="284" w:hanging="284"/>
      </w:pPr>
      <w:r w:rsidRPr="001E710C">
        <w:t>przestrzeni manewrowej dla wózka o wymiarach co najmniej 1,50 x 1,50 m.</w:t>
      </w:r>
    </w:p>
    <w:p w14:paraId="1D4BA2DD" w14:textId="54225E6C" w:rsidR="00CC6893" w:rsidRPr="001E710C" w:rsidRDefault="00CC6893" w:rsidP="00CC6893">
      <w:r w:rsidRPr="001E710C">
        <w:t>Podłogi i posadzki w pomieszczeniach należy organizować na jednym poziomie a ewentualne konieczne zmiany wysokości pokonywać w miarę możliwości za pomocą spadków do 5% lub ewentualnie pochylni o zgodnym z przepisami nachyleniu i obustronnych pochwytach. Jeśli zastosowanie pochylni nie jest możliwe, dopuszczalny jest montaż podnośnika</w:t>
      </w:r>
      <w:r w:rsidRPr="001E710C">
        <w:rPr>
          <w:rStyle w:val="Odwoanieprzypisudolnego"/>
        </w:rPr>
        <w:footnoteReference w:id="1"/>
      </w:r>
      <w:r w:rsidRPr="001E710C">
        <w:t>.</w:t>
      </w:r>
    </w:p>
    <w:p w14:paraId="62C283CB" w14:textId="7D795A34" w:rsidR="00637E6E" w:rsidRPr="005C7386" w:rsidRDefault="00637E6E" w:rsidP="00637E6E">
      <w:pPr>
        <w:pStyle w:val="Nagwek4"/>
      </w:pPr>
      <w:bookmarkStart w:id="29" w:name="_Toc182319524"/>
      <w:r w:rsidRPr="005C7386">
        <w:t>Materiały wykończeniowe</w:t>
      </w:r>
      <w:bookmarkEnd w:id="29"/>
    </w:p>
    <w:p w14:paraId="735F4D2C" w14:textId="77777777" w:rsidR="005C7386" w:rsidRPr="005C7386" w:rsidRDefault="005C7386" w:rsidP="005C7386">
      <w:r w:rsidRPr="005C7386">
        <w:t>Należy stosować nawierzchnie podłóg zapewniające stabilne oparcie, wykonane z materiału o podwyższonej odporności na ścieranie (nie powodującego jednocześnie hamowania kół wózka), o właściwościach antypoślizgowych i zapewniających dobrą przyczepność (klasa antypoślizgowości odpowiednia dla danego pomieszczenia).</w:t>
      </w:r>
    </w:p>
    <w:p w14:paraId="12CACAD3" w14:textId="74662F71" w:rsidR="005C7386" w:rsidRPr="005C7386" w:rsidRDefault="005C7386" w:rsidP="005C7386">
      <w:r w:rsidRPr="005C7386">
        <w:t>Wszystkie podł</w:t>
      </w:r>
      <w:r w:rsidR="00540BBF">
        <w:t>ogi</w:t>
      </w:r>
      <w:r w:rsidRPr="005C7386">
        <w:t xml:space="preserve"> powinny mieć jednolitą barwę (bez wzorów). Konieczne jest skontrastowanie ścian i podłóg: albo stosowanie zdecydowanie odmiennych barw, albo montaż listew przypodłogowych lub cokołów w kontrastowym kolorze. Powierzchnie ścian i podłóg powinny być matowe – nie mogą powodować odbić światła i zjawiska olśnienia.</w:t>
      </w:r>
    </w:p>
    <w:p w14:paraId="38E3EF98" w14:textId="0D847A62" w:rsidR="005C7386" w:rsidRDefault="005C7386" w:rsidP="005C7386">
      <w:r w:rsidRPr="005C7386">
        <w:t>Wszystkie dywany, wykładziny i wycieraczki muszą być przymocowane do podłoża lub w nie wpuszczone, obrzeża należy wykończyć w sposób niestwarzający zagrożenia podwijaniem oraz potykaniem się o nie. Dopuszczalne jest stosowania wykładzin</w:t>
      </w:r>
      <w:r w:rsidR="00540BBF">
        <w:t xml:space="preserve">, </w:t>
      </w:r>
      <w:r w:rsidRPr="005C7386">
        <w:t>dywanów</w:t>
      </w:r>
      <w:r w:rsidR="00540BBF">
        <w:t xml:space="preserve"> i wycieraczek</w:t>
      </w:r>
      <w:r w:rsidRPr="005C7386">
        <w:t xml:space="preserve"> o włóknach długości nieprzekraczającej 15 mm. </w:t>
      </w:r>
    </w:p>
    <w:p w14:paraId="661CC331" w14:textId="360E0F50" w:rsidR="002B4F88" w:rsidRDefault="002B4F88" w:rsidP="00C857A7">
      <w:pPr>
        <w:pStyle w:val="Dobrapraktyka"/>
      </w:pPr>
      <w:r>
        <w:lastRenderedPageBreak/>
        <w:t>Dobra praktyka</w:t>
      </w:r>
    </w:p>
    <w:p w14:paraId="25D0F7B2" w14:textId="687E1111" w:rsidR="002B4F88" w:rsidRPr="00C857A7" w:rsidRDefault="002B4F88" w:rsidP="00C857A7">
      <w:pPr>
        <w:pStyle w:val="Dobrapraktyka"/>
        <w:rPr>
          <w:b w:val="0"/>
          <w:bCs/>
        </w:rPr>
      </w:pPr>
      <w:r w:rsidRPr="00C857A7">
        <w:rPr>
          <w:b w:val="0"/>
          <w:bCs/>
        </w:rPr>
        <w:t>W przypadku budynków o skomplikowanym układzie zalecane jest stosowanie odmiennej kolorystyki dla różnych stref funkcjonalnych, pomieszczeń lub kondygnacji (w zależności od rodzaju i wielkości poszczególnych stref).</w:t>
      </w:r>
    </w:p>
    <w:p w14:paraId="305658ED" w14:textId="547EB45B" w:rsidR="00637E6E" w:rsidRPr="002B4F88" w:rsidRDefault="008228D1" w:rsidP="00637E6E">
      <w:pPr>
        <w:pStyle w:val="Nagwek4"/>
      </w:pPr>
      <w:bookmarkStart w:id="30" w:name="_Toc182319525"/>
      <w:r>
        <w:t>Drzwi do pomieszczeń</w:t>
      </w:r>
      <w:bookmarkEnd w:id="30"/>
    </w:p>
    <w:p w14:paraId="5C325D66" w14:textId="40A4AEBD" w:rsidR="002B4F88" w:rsidRPr="002B4F88" w:rsidRDefault="002B4F88" w:rsidP="002B4F88">
      <w:r w:rsidRPr="002B4F88">
        <w:t>Drzwi do pomieszczeń (poza technicznymi) powinny mieć szerokość nie mniejszą niż 0,90 m</w:t>
      </w:r>
      <w:r w:rsidR="0075103C">
        <w:t xml:space="preserve"> a progi w nich – </w:t>
      </w:r>
      <w:r w:rsidRPr="002B4F88">
        <w:t xml:space="preserve">wysokość do 20 mm (optymalnie: do 10 mm). </w:t>
      </w:r>
    </w:p>
    <w:p w14:paraId="5B3F3BC3" w14:textId="3175B8E9" w:rsidR="002B4F88" w:rsidRPr="002B4F88" w:rsidRDefault="002B4F88" w:rsidP="002B4F88">
      <w:r w:rsidRPr="002B4F88">
        <w:t>Siła potrzebna do otwarcia drzwi otwieranych i zamykanych ręcznie nie może przekraczać 25 N, a w przypadku drzwi obsługiwanych za pomocą urządzeń sterujących – 15 N.</w:t>
      </w:r>
    </w:p>
    <w:p w14:paraId="152DFCE2" w14:textId="3EB5AAC8" w:rsidR="002B4F88" w:rsidRPr="002B4F88" w:rsidRDefault="002B4F88" w:rsidP="002B4F88">
      <w:r w:rsidRPr="002B4F88">
        <w:t>Drzwi pełne muszą być łatwe do odnalezienia na tle ściany, w której się znajdują. W tym celu konieczn</w:t>
      </w:r>
      <w:r w:rsidR="0075103C">
        <w:t>y</w:t>
      </w:r>
      <w:r w:rsidRPr="002B4F88">
        <w:t xml:space="preserve"> jest:</w:t>
      </w:r>
    </w:p>
    <w:p w14:paraId="18F2C72B" w14:textId="158E9444" w:rsidR="002B4F88" w:rsidRPr="002B4F88" w:rsidRDefault="002B4F88" w:rsidP="00683BD9">
      <w:pPr>
        <w:pStyle w:val="Akapitzlist"/>
        <w:ind w:left="284" w:hanging="284"/>
      </w:pPr>
      <w:r w:rsidRPr="002B4F88">
        <w:t>albo montaż drzwi, których cała powierzchnia jest skontrastowana w stosunku do ściany,</w:t>
      </w:r>
    </w:p>
    <w:p w14:paraId="73928878" w14:textId="43EA92E4" w:rsidR="002B4F88" w:rsidRDefault="002B4F88" w:rsidP="00683BD9">
      <w:pPr>
        <w:pStyle w:val="Akapitzlist"/>
        <w:ind w:left="284" w:hanging="284"/>
      </w:pPr>
      <w:r w:rsidRPr="002B4F88">
        <w:t>albo oznaczenie ościeżnicy kolorem kontrastującym z kolorem ściany (w przypadku framug o szerokości mniejszej niż 50 mm należy zastosować pas w kontrastowym kolorze wokół ościeżnicy i skrzydła).</w:t>
      </w:r>
    </w:p>
    <w:p w14:paraId="73A35C17" w14:textId="2A7AD89B" w:rsidR="002B4F88" w:rsidRPr="002B4F88" w:rsidRDefault="00683BD9" w:rsidP="002B4F88">
      <w:r>
        <w:t>W</w:t>
      </w:r>
      <w:r w:rsidRPr="00683BD9">
        <w:t xml:space="preserve"> przypadku drzwi przeźroczystych </w:t>
      </w:r>
      <w:r>
        <w:t>konieczne jest</w:t>
      </w:r>
      <w:r w:rsidRPr="00683BD9">
        <w:t xml:space="preserve"> oznaczenie </w:t>
      </w:r>
      <w:r>
        <w:t xml:space="preserve">przeszkleń </w:t>
      </w:r>
      <w:r w:rsidRPr="00683BD9">
        <w:t>przynajmniej dwoma pasami kontrastującymi, znajdującymi się na wysokości 1,3</w:t>
      </w:r>
      <w:r>
        <w:t>0</w:t>
      </w:r>
      <w:r w:rsidRPr="00683BD9">
        <w:t>-1,4</w:t>
      </w:r>
      <w:r>
        <w:t>0</w:t>
      </w:r>
      <w:r w:rsidRPr="00683BD9">
        <w:t xml:space="preserve"> m (pierwszy pas), 0,9</w:t>
      </w:r>
      <w:r>
        <w:t>0</w:t>
      </w:r>
      <w:r w:rsidRPr="00683BD9">
        <w:t>–1</w:t>
      </w:r>
      <w:r>
        <w:t>,00</w:t>
      </w:r>
      <w:r w:rsidRPr="00683BD9">
        <w:t xml:space="preserve"> m (drugi pas)</w:t>
      </w:r>
      <w:r>
        <w:t>.</w:t>
      </w:r>
    </w:p>
    <w:p w14:paraId="646C4A3A" w14:textId="1B12B768" w:rsidR="00637E6E" w:rsidRPr="00314177" w:rsidRDefault="00637E6E" w:rsidP="00637E6E">
      <w:pPr>
        <w:pStyle w:val="Nagwek4"/>
      </w:pPr>
      <w:bookmarkStart w:id="31" w:name="_Toc182319526"/>
      <w:r w:rsidRPr="00314177">
        <w:t>Włączniki i gniazda elektryczne</w:t>
      </w:r>
      <w:bookmarkEnd w:id="31"/>
    </w:p>
    <w:p w14:paraId="5D2C6359" w14:textId="77777777" w:rsidR="00314177" w:rsidRPr="00314177" w:rsidRDefault="00314177" w:rsidP="002B4F88">
      <w:r w:rsidRPr="00314177">
        <w:t>Włączniki należy montować na wysokości w przedziale 0,80-1,10 m od poziomu posadzki do środka elementu. Gniazda wtykowe należy montować na wysokości 0,40-1,00 m powyżej poziomu posadzki do środka elementu (chyba, że wysokość lub miejsce montażu gniazda wynika ze specyfikacji sprzętu, dla którego jest przewidziane).</w:t>
      </w:r>
    </w:p>
    <w:p w14:paraId="4A908820" w14:textId="77777777" w:rsidR="00314177" w:rsidRPr="00314177" w:rsidRDefault="00314177" w:rsidP="002B4F88">
      <w:r w:rsidRPr="00314177">
        <w:t xml:space="preserve">W przypadku zarówno włączników, jak i gniazd elektrycznych, konieczne jest: </w:t>
      </w:r>
    </w:p>
    <w:p w14:paraId="2C440965" w14:textId="5B74B269" w:rsidR="00314177" w:rsidRPr="00314177" w:rsidRDefault="00314177" w:rsidP="00314177">
      <w:pPr>
        <w:pStyle w:val="Akapitzlist"/>
        <w:ind w:left="284" w:hanging="284"/>
      </w:pPr>
      <w:r w:rsidRPr="00314177">
        <w:t>zapewnienie możliwości obsługi jedną ręką, bez konieczności obracania, mocnego chwytania i ściskania</w:t>
      </w:r>
      <w:r w:rsidR="000A7AB5">
        <w:t>,</w:t>
      </w:r>
    </w:p>
    <w:p w14:paraId="62F7DCBE" w14:textId="53C4334E" w:rsidR="002B4F88" w:rsidRDefault="00314177" w:rsidP="00314177">
      <w:pPr>
        <w:pStyle w:val="Akapitzlist"/>
        <w:ind w:left="284" w:hanging="284"/>
      </w:pPr>
      <w:r w:rsidRPr="00314177">
        <w:lastRenderedPageBreak/>
        <w:t>zapewnienie kontrastu z tłem – możliwe jest albo stosowanie elementów w kolorze skontrastowanym w stosunku do ściany, albo stosowanie wokół nich kontrastowych ramek.</w:t>
      </w:r>
    </w:p>
    <w:p w14:paraId="65EB90E1" w14:textId="2FAB9E2B" w:rsidR="00357655" w:rsidRDefault="00357655" w:rsidP="00357655">
      <w:pPr>
        <w:pStyle w:val="Dobrapraktyka"/>
      </w:pPr>
      <w:r>
        <w:t>Dobra praktyka</w:t>
      </w:r>
    </w:p>
    <w:p w14:paraId="5165B083" w14:textId="532E917B" w:rsidR="00357655" w:rsidRPr="00357655" w:rsidRDefault="00357655" w:rsidP="00357655">
      <w:pPr>
        <w:pStyle w:val="Dobrapraktyka"/>
        <w:rPr>
          <w:b w:val="0"/>
          <w:bCs/>
        </w:rPr>
      </w:pPr>
      <w:r w:rsidRPr="00357655">
        <w:rPr>
          <w:b w:val="0"/>
          <w:bCs/>
        </w:rPr>
        <w:t>Zalecany jest montaż poszczególnych elementów zawsze w tych samych miejscach (np. włączniki światła na ścianie przy drzwiach, po stronie klamki).</w:t>
      </w:r>
    </w:p>
    <w:p w14:paraId="1533A8B1" w14:textId="2DAF5989" w:rsidR="00580617" w:rsidRDefault="00580617" w:rsidP="00580617">
      <w:pPr>
        <w:pStyle w:val="Nagwek3"/>
        <w:numPr>
          <w:ilvl w:val="0"/>
          <w:numId w:val="38"/>
        </w:numPr>
        <w:ind w:left="426" w:hanging="426"/>
      </w:pPr>
      <w:bookmarkStart w:id="32" w:name="_Toc182319527"/>
      <w:r>
        <w:t>Stanowiska obsługi i punkty informacyjne</w:t>
      </w:r>
      <w:bookmarkEnd w:id="32"/>
    </w:p>
    <w:p w14:paraId="6DCD2610" w14:textId="667C19DD" w:rsidR="00580617" w:rsidRPr="00B16B6C" w:rsidRDefault="00580617" w:rsidP="00580617">
      <w:r w:rsidRPr="00B834BF">
        <w:t>Stanowiska obsługi i punkty informacyjne</w:t>
      </w:r>
      <w:r>
        <w:t xml:space="preserve"> </w:t>
      </w:r>
      <w:r w:rsidRPr="00B16B6C">
        <w:t xml:space="preserve">należy lokalizować w miejscu łatwym do odnalezienia z głównej strefy wejściowej do budynku (lub jego części, zajmowanej przez </w:t>
      </w:r>
      <w:r w:rsidR="000A7AB5">
        <w:t>organizację</w:t>
      </w:r>
      <w:r w:rsidRPr="00B16B6C">
        <w:t>) oraz z głównych ciągów komunikacji pionowej i poziomej w budynku, ale też w takim miejscu, by stojąc</w:t>
      </w:r>
      <w:r w:rsidR="000A7AB5">
        <w:t xml:space="preserve">e przy niej osoby (np. klientki i klienci) </w:t>
      </w:r>
      <w:r w:rsidRPr="00B16B6C">
        <w:t>nie utrudnia</w:t>
      </w:r>
      <w:r w:rsidR="000A7AB5">
        <w:t xml:space="preserve">ły </w:t>
      </w:r>
      <w:r w:rsidRPr="00B16B6C">
        <w:t>przejścia innym osobom.</w:t>
      </w:r>
      <w:r w:rsidR="000F0C7B">
        <w:t xml:space="preserve"> </w:t>
      </w:r>
      <w:r w:rsidRPr="00B16B6C">
        <w:t>Powinny być umieszczane w miejscach oddalonych od potencjalnych źródeł hałasu lub z zastosowaniem elementów wygłuszających/ograniczających hałas.</w:t>
      </w:r>
    </w:p>
    <w:p w14:paraId="723A2686" w14:textId="77777777" w:rsidR="00580617" w:rsidRDefault="00580617" w:rsidP="00580617">
      <w:r w:rsidRPr="00B16B6C">
        <w:t xml:space="preserve">Przynajmniej w jednym wybranym stanowisku obsługi danego rodzaju (jeden punkt informacyjny, </w:t>
      </w:r>
      <w:r>
        <w:t>jedno stanowisko</w:t>
      </w:r>
      <w:r w:rsidRPr="00B16B6C">
        <w:t xml:space="preserve"> obsługi) należy zapewnić możliwość tłumaczenia na PJM (zdalnego lub bezpośredniego) oraz pętlę indukcyjną, oznakowaną odpowiednim piktogramem: </w:t>
      </w:r>
    </w:p>
    <w:p w14:paraId="3BE4E67B" w14:textId="77777777" w:rsidR="00580617" w:rsidRPr="00B16B6C" w:rsidRDefault="00580617" w:rsidP="00580617">
      <w:pPr>
        <w:keepNext/>
      </w:pPr>
      <w:r w:rsidRPr="00B16B6C">
        <w:rPr>
          <w:noProof/>
        </w:rPr>
        <w:drawing>
          <wp:inline distT="0" distB="0" distL="0" distR="0" wp14:anchorId="341ADC40" wp14:editId="7A624930">
            <wp:extent cx="1447800" cy="1451393"/>
            <wp:effectExtent l="0" t="0" r="0" b="0"/>
            <wp:docPr id="927756908" name="Obraz 1" descr="Piktogram pętli indukcyjn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56908" name="Obraz 1" descr="Piktogram pętli indukcyjnej "/>
                    <pic:cNvPicPr/>
                  </pic:nvPicPr>
                  <pic:blipFill>
                    <a:blip r:embed="rId16"/>
                    <a:stretch>
                      <a:fillRect/>
                    </a:stretch>
                  </pic:blipFill>
                  <pic:spPr>
                    <a:xfrm>
                      <a:off x="0" y="0"/>
                      <a:ext cx="1455097" cy="1458708"/>
                    </a:xfrm>
                    <a:prstGeom prst="rect">
                      <a:avLst/>
                    </a:prstGeom>
                  </pic:spPr>
                </pic:pic>
              </a:graphicData>
            </a:graphic>
          </wp:inline>
        </w:drawing>
      </w:r>
    </w:p>
    <w:p w14:paraId="576AC3A4" w14:textId="7FB03AE3" w:rsidR="00580617" w:rsidRPr="00B16B6C" w:rsidRDefault="00580617" w:rsidP="00580617">
      <w:pPr>
        <w:pStyle w:val="Podpisyobrazki"/>
      </w:pPr>
      <w:r w:rsidRPr="00B16B6C">
        <w:t xml:space="preserve">Ilustracja </w:t>
      </w:r>
      <w:r w:rsidR="00000000">
        <w:fldChar w:fldCharType="begin"/>
      </w:r>
      <w:r w:rsidR="00000000">
        <w:instrText xml:space="preserve"> SEQ Ilustracja \* ARABIC </w:instrText>
      </w:r>
      <w:r w:rsidR="00000000">
        <w:fldChar w:fldCharType="separate"/>
      </w:r>
      <w:r w:rsidR="00524E06">
        <w:rPr>
          <w:noProof/>
        </w:rPr>
        <w:t>1</w:t>
      </w:r>
      <w:r w:rsidR="00000000">
        <w:rPr>
          <w:noProof/>
        </w:rPr>
        <w:fldChar w:fldCharType="end"/>
      </w:r>
      <w:r w:rsidRPr="00B16B6C">
        <w:t>. Oznaczenie pętli indukcyjnej</w:t>
      </w:r>
    </w:p>
    <w:p w14:paraId="35E044F1" w14:textId="77777777" w:rsidR="00580617" w:rsidRPr="00B16B6C" w:rsidRDefault="00580617" w:rsidP="00580617">
      <w:pPr>
        <w:pStyle w:val="Nagwek4"/>
      </w:pPr>
      <w:bookmarkStart w:id="33" w:name="_Toc182319528"/>
      <w:r w:rsidRPr="00B16B6C">
        <w:t>Oświetlenie</w:t>
      </w:r>
      <w:bookmarkEnd w:id="33"/>
    </w:p>
    <w:p w14:paraId="77C1ADA2" w14:textId="0DA21A33" w:rsidR="00580617" w:rsidRPr="00B16B6C" w:rsidRDefault="00580617" w:rsidP="00580617">
      <w:r w:rsidRPr="00B16B6C">
        <w:t xml:space="preserve">Stanowiska obsługi </w:t>
      </w:r>
      <w:r>
        <w:t xml:space="preserve">i punkty informacyjne </w:t>
      </w:r>
      <w:r w:rsidRPr="00B16B6C">
        <w:t>należy oświetlać jasnym światłem niepowodującym zjawiska olśnienia o</w:t>
      </w:r>
      <w:r w:rsidRPr="00B16B6C">
        <w:rPr>
          <w:rFonts w:ascii="Cambria Math" w:hAnsi="Cambria Math" w:cs="Cambria Math"/>
        </w:rPr>
        <w:t xml:space="preserve"> </w:t>
      </w:r>
      <w:r w:rsidRPr="00B16B6C">
        <w:t xml:space="preserve">natężeniu 300 lx. Należy unikać odbić światła i zbyt kontrastowych cieni oraz źródeł światła znajdujących się za plecami osoby </w:t>
      </w:r>
      <w:r w:rsidRPr="00B16B6C">
        <w:lastRenderedPageBreak/>
        <w:t>pracującej. Należy natomiast oświetlić jej twarz w taki sposób, by umożliwić klient</w:t>
      </w:r>
      <w:r w:rsidR="00BE3D7D">
        <w:t>kom i klientom c</w:t>
      </w:r>
      <w:r w:rsidRPr="00B16B6C">
        <w:t>zytanie z ruchu warg i spostrzeganie mimiki twarzy.</w:t>
      </w:r>
    </w:p>
    <w:p w14:paraId="5C2F291E" w14:textId="77777777" w:rsidR="00580617" w:rsidRPr="00B16B6C" w:rsidRDefault="00580617" w:rsidP="00580617">
      <w:pPr>
        <w:pStyle w:val="Nagwek4"/>
      </w:pPr>
      <w:bookmarkStart w:id="34" w:name="_Toc182319529"/>
      <w:r w:rsidRPr="00B16B6C">
        <w:t>Dostępna lada</w:t>
      </w:r>
      <w:r>
        <w:t>/</w:t>
      </w:r>
      <w:r w:rsidRPr="00B16B6C">
        <w:t>kontuar</w:t>
      </w:r>
      <w:bookmarkEnd w:id="34"/>
    </w:p>
    <w:p w14:paraId="18495B1D" w14:textId="77777777" w:rsidR="00580617" w:rsidRPr="00B16B6C" w:rsidRDefault="00580617" w:rsidP="00580617">
      <w:r w:rsidRPr="00B16B6C">
        <w:t xml:space="preserve">Przed ladą/kontuarem (jeśli się znajdują) należy zapewnić przestrzeń manewrową o wymiarach minimalnych 1,50 x 1,50 m. </w:t>
      </w:r>
    </w:p>
    <w:p w14:paraId="51391AA3" w14:textId="5DD77BD6" w:rsidR="00580617" w:rsidRPr="00B16B6C" w:rsidRDefault="00580617" w:rsidP="00580617">
      <w:r w:rsidRPr="00B16B6C">
        <w:t xml:space="preserve">Na odcinku długości co najmniej 0,90 m blat powinien </w:t>
      </w:r>
      <w:r w:rsidR="000F0C7B">
        <w:t>znajdować się na wysokości</w:t>
      </w:r>
      <w:r w:rsidRPr="00B16B6C">
        <w:t xml:space="preserve"> nieprzekraczając</w:t>
      </w:r>
      <w:r w:rsidR="000F0C7B">
        <w:t>ej</w:t>
      </w:r>
      <w:r w:rsidRPr="00B16B6C">
        <w:t xml:space="preserve"> 0,80 m. Obniżenie blatu należy umieszczać z przodu lady/kontuaru, nie z boku lub z tyłu. W przypadku wysuniętego blatu konieczne jest zapewnienie przestrzeni pod nim o wysokości min. 0,70 m, szerokości min. 0,90 m i głębokości min. 0,60 m</w:t>
      </w:r>
      <w:r>
        <w:t xml:space="preserve"> – </w:t>
      </w:r>
      <w:r w:rsidRPr="00B16B6C">
        <w:t>lub największej, jaka jest możliwa.</w:t>
      </w:r>
    </w:p>
    <w:p w14:paraId="16BFB469" w14:textId="77777777" w:rsidR="00580617" w:rsidRPr="00B16B6C" w:rsidRDefault="00580617" w:rsidP="00580617">
      <w:pPr>
        <w:pStyle w:val="Dobrapraktyka"/>
      </w:pPr>
      <w:r w:rsidRPr="00B16B6C">
        <w:t>Dobre praktyki</w:t>
      </w:r>
    </w:p>
    <w:p w14:paraId="5378E7C6" w14:textId="623FD6CE" w:rsidR="00580617" w:rsidRPr="000F0C7B" w:rsidRDefault="000F0C7B" w:rsidP="000F0C7B">
      <w:pPr>
        <w:pStyle w:val="Dobrapraktyka"/>
        <w:rPr>
          <w:b w:val="0"/>
          <w:bCs/>
        </w:rPr>
      </w:pPr>
      <w:r>
        <w:rPr>
          <w:b w:val="0"/>
          <w:bCs/>
        </w:rPr>
        <w:t xml:space="preserve">Zalecane jest </w:t>
      </w:r>
      <w:r w:rsidR="00580617" w:rsidRPr="000F0C7B">
        <w:rPr>
          <w:b w:val="0"/>
          <w:bCs/>
        </w:rPr>
        <w:t>ograniczanie użycia szyb i przeszkleń w obrębie lad i kontuarów</w:t>
      </w:r>
      <w:r w:rsidR="00BE3D7D">
        <w:rPr>
          <w:b w:val="0"/>
          <w:bCs/>
        </w:rPr>
        <w:t>. W</w:t>
      </w:r>
      <w:r w:rsidR="00580617" w:rsidRPr="000F0C7B">
        <w:rPr>
          <w:b w:val="0"/>
          <w:bCs/>
        </w:rPr>
        <w:t xml:space="preserve"> przypadku, w którym są one konieczne</w:t>
      </w:r>
      <w:r w:rsidR="00F22B70" w:rsidRPr="000F0C7B">
        <w:rPr>
          <w:b w:val="0"/>
          <w:bCs/>
        </w:rPr>
        <w:t>,</w:t>
      </w:r>
      <w:r w:rsidR="00580617" w:rsidRPr="000F0C7B">
        <w:rPr>
          <w:b w:val="0"/>
          <w:bCs/>
        </w:rPr>
        <w:t xml:space="preserve"> dobrą praktyką jest zapewnienie możliwości ich demontażu lub wyposażenie lady/kontuaru w system głośnomówiący (interkom)</w:t>
      </w:r>
      <w:r>
        <w:rPr>
          <w:b w:val="0"/>
          <w:bCs/>
        </w:rPr>
        <w:t>.</w:t>
      </w:r>
    </w:p>
    <w:p w14:paraId="606089A5" w14:textId="2E77B87C" w:rsidR="00580617" w:rsidRPr="000F0C7B" w:rsidRDefault="000F0C7B" w:rsidP="000F0C7B">
      <w:pPr>
        <w:pStyle w:val="Dobrapraktyka"/>
        <w:rPr>
          <w:b w:val="0"/>
          <w:bCs/>
        </w:rPr>
      </w:pPr>
      <w:r>
        <w:rPr>
          <w:b w:val="0"/>
          <w:bCs/>
        </w:rPr>
        <w:t>N</w:t>
      </w:r>
      <w:r w:rsidR="00580617" w:rsidRPr="000F0C7B">
        <w:rPr>
          <w:b w:val="0"/>
          <w:bCs/>
        </w:rPr>
        <w:t xml:space="preserve">a kontuarach/ladach </w:t>
      </w:r>
      <w:r>
        <w:rPr>
          <w:b w:val="0"/>
          <w:bCs/>
        </w:rPr>
        <w:t xml:space="preserve">dobrze jest stosować </w:t>
      </w:r>
      <w:r w:rsidR="00580617" w:rsidRPr="000F0C7B">
        <w:rPr>
          <w:b w:val="0"/>
          <w:bCs/>
        </w:rPr>
        <w:t>kontrastow</w:t>
      </w:r>
      <w:r>
        <w:rPr>
          <w:b w:val="0"/>
          <w:bCs/>
        </w:rPr>
        <w:t>e</w:t>
      </w:r>
      <w:r w:rsidR="00580617" w:rsidRPr="000F0C7B">
        <w:rPr>
          <w:b w:val="0"/>
          <w:bCs/>
        </w:rPr>
        <w:t xml:space="preserve"> i wyróżniając</w:t>
      </w:r>
      <w:r>
        <w:rPr>
          <w:b w:val="0"/>
          <w:bCs/>
        </w:rPr>
        <w:t>e</w:t>
      </w:r>
      <w:r w:rsidR="00580617" w:rsidRPr="000F0C7B">
        <w:rPr>
          <w:b w:val="0"/>
          <w:bCs/>
        </w:rPr>
        <w:t xml:space="preserve"> się dotykowo podkład</w:t>
      </w:r>
      <w:r>
        <w:rPr>
          <w:b w:val="0"/>
          <w:bCs/>
        </w:rPr>
        <w:t>ki</w:t>
      </w:r>
      <w:r w:rsidR="00580617" w:rsidRPr="000F0C7B">
        <w:rPr>
          <w:b w:val="0"/>
          <w:bCs/>
        </w:rPr>
        <w:t xml:space="preserve"> z informacją brajlowską o rodzaju stanowiska.</w:t>
      </w:r>
    </w:p>
    <w:p w14:paraId="0ECF64A5" w14:textId="77777777" w:rsidR="008D674D" w:rsidRDefault="008D674D" w:rsidP="00580617">
      <w:pPr>
        <w:pStyle w:val="Nagwek3"/>
      </w:pPr>
      <w:bookmarkStart w:id="35" w:name="_Toc182319530"/>
      <w:r>
        <w:t>Wystawy i targi</w:t>
      </w:r>
      <w:bookmarkEnd w:id="35"/>
    </w:p>
    <w:p w14:paraId="5801E056" w14:textId="77777777" w:rsidR="00580617" w:rsidRPr="00B16B6C" w:rsidRDefault="00580617" w:rsidP="00580617">
      <w:r w:rsidRPr="00B16B6C">
        <w:t>W przypadku przestrzeni wystaw i targów konieczne jest zapewnienie logicznego i przewidywalnego układu pomieszczeń i przestrzeni z wydzielonymi ciągami komunikacyjnymi.</w:t>
      </w:r>
    </w:p>
    <w:p w14:paraId="5B08252C" w14:textId="51BA4170" w:rsidR="00580617" w:rsidRPr="003A5514" w:rsidRDefault="00580617" w:rsidP="00580617">
      <w:pPr>
        <w:pStyle w:val="Przykad"/>
      </w:pPr>
      <w:r w:rsidRPr="003A5514">
        <w:t xml:space="preserve">Wymagania i zalecenia w zakresie </w:t>
      </w:r>
      <w:r w:rsidR="00F22B70">
        <w:t xml:space="preserve">ciągów komunikacyjnych </w:t>
      </w:r>
      <w:r w:rsidRPr="003A5514">
        <w:t>opisują Standardy dostępności dla polityki spójności 2021-2027 – część VI. Standard architektoniczny, rozdz. 2. Budynek – Komunikacja pozioma budynku.</w:t>
      </w:r>
    </w:p>
    <w:p w14:paraId="44C2BB49" w14:textId="77777777" w:rsidR="000F0C7B" w:rsidRDefault="00580617" w:rsidP="00580617">
      <w:r w:rsidRPr="00B16B6C">
        <w:t xml:space="preserve">Przed eksponatami, stanowiskami targowymi i elementami ich wyposażenia należy zapewnić przestrzeń manewrową o wymiarach co najmniej 1,50 x 1,50 m. </w:t>
      </w:r>
    </w:p>
    <w:p w14:paraId="6286F255" w14:textId="41ED3979" w:rsidR="00580617" w:rsidRPr="00B16B6C" w:rsidRDefault="00580617" w:rsidP="00580617">
      <w:r w:rsidRPr="00B16B6C">
        <w:t xml:space="preserve">Elementy wyposażenia (np. stojaki, postumenty, regały), szczególnie wiszące lub wystające z poziomu ściany, należy wyróżnić kontrastowym kolorem – powinny być łatwe do zauważenia w stosunku do tła. </w:t>
      </w:r>
    </w:p>
    <w:p w14:paraId="6E0B8F8D" w14:textId="77777777" w:rsidR="00580617" w:rsidRPr="00B16B6C" w:rsidRDefault="00580617" w:rsidP="00580617">
      <w:pPr>
        <w:pStyle w:val="Dobrapraktyka"/>
      </w:pPr>
      <w:r w:rsidRPr="00B16B6C">
        <w:lastRenderedPageBreak/>
        <w:t>Dobra praktyka</w:t>
      </w:r>
    </w:p>
    <w:p w14:paraId="4C8F0AE9" w14:textId="262C9E5E" w:rsidR="00580617" w:rsidRPr="00B16B6C" w:rsidRDefault="000F0C7B" w:rsidP="00580617">
      <w:pPr>
        <w:pStyle w:val="Dobrapraktyka"/>
        <w:rPr>
          <w:b w:val="0"/>
          <w:bCs/>
        </w:rPr>
      </w:pPr>
      <w:r>
        <w:rPr>
          <w:b w:val="0"/>
          <w:bCs/>
        </w:rPr>
        <w:t>Zalecane jest s</w:t>
      </w:r>
      <w:r w:rsidR="00580617" w:rsidRPr="00B16B6C">
        <w:rPr>
          <w:b w:val="0"/>
          <w:bCs/>
        </w:rPr>
        <w:t>tosowanie podświetleń w poziomie podłogi w formie listwy lub ciągu punktów świetlnych, wyznaczających kierunek i przebieg komunikacji w przestrzeniach o mniejszym natężeniu światła.</w:t>
      </w:r>
    </w:p>
    <w:p w14:paraId="26A25BB2" w14:textId="77777777" w:rsidR="00580617" w:rsidRPr="00B16B6C" w:rsidRDefault="00580617" w:rsidP="00580617">
      <w:pPr>
        <w:pStyle w:val="Nagwek4"/>
      </w:pPr>
      <w:bookmarkStart w:id="36" w:name="_Toc182319531"/>
      <w:r w:rsidRPr="00B16B6C">
        <w:t>Stoły i gabloty ekspozycyjne</w:t>
      </w:r>
      <w:bookmarkEnd w:id="36"/>
    </w:p>
    <w:p w14:paraId="3DA48758" w14:textId="2E815DDC" w:rsidR="00580617" w:rsidRPr="00B16B6C" w:rsidRDefault="00580617" w:rsidP="00580617">
      <w:r w:rsidRPr="00B16B6C">
        <w:t xml:space="preserve">W przypadku stołów i gablot ekspozycyjnych konieczne jest wykonywanie ich ze szkła nieodbijającego światła oraz zapewnienie oświetlenia niepowodującego zjawiska olśnienia lub innego rodzaju dyskomfortu </w:t>
      </w:r>
      <w:r w:rsidR="007A076E">
        <w:t xml:space="preserve">użytkowniczek i </w:t>
      </w:r>
      <w:r w:rsidRPr="00B16B6C">
        <w:t>użytkowników przestrzeni.</w:t>
      </w:r>
    </w:p>
    <w:p w14:paraId="6BE8FFFA" w14:textId="2285F2E9" w:rsidR="00580617" w:rsidRPr="00B16B6C" w:rsidRDefault="00580617" w:rsidP="00580617">
      <w:r w:rsidRPr="00B16B6C">
        <w:t>Blat należy umieszczać na wysokości maksymalnie 0,80 m, z zapewnieniem przestrzeni pod nim o wysokości min. 0,70 m, szerokości min. 0,90 m i głębokości min. 0,60 m</w:t>
      </w:r>
      <w:r w:rsidR="0088165B">
        <w:t xml:space="preserve"> (lub największej, jaka jest możliwa)</w:t>
      </w:r>
      <w:r w:rsidRPr="00B16B6C">
        <w:t xml:space="preserve">. </w:t>
      </w:r>
    </w:p>
    <w:p w14:paraId="64B0FED2" w14:textId="77777777" w:rsidR="00580617" w:rsidRPr="00B16B6C" w:rsidRDefault="00580617" w:rsidP="00580617">
      <w:pPr>
        <w:pStyle w:val="Nagwek4"/>
      </w:pPr>
      <w:bookmarkStart w:id="37" w:name="_Toc182319532"/>
      <w:r w:rsidRPr="00B16B6C">
        <w:t>Elementy prezentowane na ścianach i stojakach planszowych</w:t>
      </w:r>
      <w:bookmarkEnd w:id="37"/>
    </w:p>
    <w:p w14:paraId="752CB8CB" w14:textId="09FC6F42" w:rsidR="00580617" w:rsidRPr="00B16B6C" w:rsidRDefault="00580617" w:rsidP="00580617">
      <w:r w:rsidRPr="00B16B6C">
        <w:t>Wszystkie tego rodzaju elementy powinny być prezentowane w taki sposób, by zachować warunek dobrego widzenia przez osoby siedzące i stojące – optymalnie: na wysokości 1,22-1,70 m</w:t>
      </w:r>
      <w:r w:rsidR="00F22B70">
        <w:t>.</w:t>
      </w:r>
    </w:p>
    <w:p w14:paraId="37B3B444" w14:textId="77777777" w:rsidR="00580617" w:rsidRPr="00B16B6C" w:rsidRDefault="00580617" w:rsidP="00580617">
      <w:pPr>
        <w:pStyle w:val="Nagwek4"/>
      </w:pPr>
      <w:bookmarkStart w:id="38" w:name="_Toc182319533"/>
      <w:r w:rsidRPr="00B16B6C">
        <w:t>Elementy na cokołach i postumentach</w:t>
      </w:r>
      <w:bookmarkEnd w:id="38"/>
    </w:p>
    <w:p w14:paraId="04175465" w14:textId="77777777" w:rsidR="00580617" w:rsidRPr="00B16B6C" w:rsidRDefault="00580617" w:rsidP="00580617">
      <w:r w:rsidRPr="00B16B6C">
        <w:t>Wysokość cokołu/postumentu nie powinna przekraczać 0,90 m, przy czym im większy jest eksponat, tym mniejszy powinien być cokół.</w:t>
      </w:r>
    </w:p>
    <w:p w14:paraId="0E0D694E" w14:textId="77777777" w:rsidR="00580617" w:rsidRPr="00B16B6C" w:rsidRDefault="00580617" w:rsidP="00580617">
      <w:pPr>
        <w:pStyle w:val="Dobrapraktyka"/>
      </w:pPr>
      <w:r w:rsidRPr="00B16B6C">
        <w:t>Dobra praktyka</w:t>
      </w:r>
    </w:p>
    <w:p w14:paraId="338D9B2C" w14:textId="1C19D734" w:rsidR="00580617" w:rsidRPr="00B16B6C" w:rsidRDefault="00580617" w:rsidP="00580617">
      <w:pPr>
        <w:pStyle w:val="Dobrapraktyka"/>
        <w:rPr>
          <w:b w:val="0"/>
          <w:bCs/>
        </w:rPr>
      </w:pPr>
      <w:r w:rsidRPr="00B16B6C">
        <w:rPr>
          <w:b w:val="0"/>
          <w:bCs/>
        </w:rPr>
        <w:t>O ile nie ma innych szczegółowych wytycznych co do prezentacji, wysokość cokołu/postumentu powinna być dobrana w taki sposób, by środek geometryczny eksponatu znajdował się na wysokości nie większej niż 1,55 m.</w:t>
      </w:r>
    </w:p>
    <w:p w14:paraId="649DA60F" w14:textId="28B038D2" w:rsidR="007A4D66" w:rsidRDefault="007A4D66" w:rsidP="00BC36E5">
      <w:pPr>
        <w:pStyle w:val="Nagwek3"/>
      </w:pPr>
      <w:bookmarkStart w:id="39" w:name="_Toc182319534"/>
      <w:r w:rsidRPr="001364FE">
        <w:t xml:space="preserve">Sale </w:t>
      </w:r>
      <w:r w:rsidR="002A3EA7">
        <w:t xml:space="preserve">konferencyjne i </w:t>
      </w:r>
      <w:r w:rsidRPr="001364FE">
        <w:t>wykładowe, audytoria</w:t>
      </w:r>
      <w:bookmarkEnd w:id="39"/>
    </w:p>
    <w:p w14:paraId="3AD116B2" w14:textId="77777777" w:rsidR="001D5528" w:rsidRDefault="001D5528" w:rsidP="001D5528">
      <w:pPr>
        <w:pStyle w:val="Dobrapraktyka"/>
      </w:pPr>
      <w:r>
        <w:t>Dobra praktyka</w:t>
      </w:r>
    </w:p>
    <w:p w14:paraId="5B067C94" w14:textId="02275AC0" w:rsidR="00B834BF" w:rsidRPr="001D5528" w:rsidRDefault="00B834BF" w:rsidP="001D5528">
      <w:pPr>
        <w:pStyle w:val="Dobrapraktyka"/>
        <w:rPr>
          <w:b w:val="0"/>
          <w:bCs/>
        </w:rPr>
      </w:pPr>
      <w:r w:rsidRPr="001D5528">
        <w:rPr>
          <w:b w:val="0"/>
          <w:bCs/>
        </w:rPr>
        <w:lastRenderedPageBreak/>
        <w:t xml:space="preserve">W najbliższym sąsiedztwie </w:t>
      </w:r>
      <w:r w:rsidR="00EF4772" w:rsidRPr="001D5528">
        <w:rPr>
          <w:b w:val="0"/>
          <w:bCs/>
        </w:rPr>
        <w:t xml:space="preserve">sal konferencyjnych, wykładowych i </w:t>
      </w:r>
      <w:r w:rsidRPr="001D5528">
        <w:rPr>
          <w:b w:val="0"/>
          <w:bCs/>
        </w:rPr>
        <w:t>audytori</w:t>
      </w:r>
      <w:r w:rsidR="00EF4772" w:rsidRPr="001D5528">
        <w:rPr>
          <w:b w:val="0"/>
          <w:bCs/>
        </w:rPr>
        <w:t>ów</w:t>
      </w:r>
      <w:r w:rsidRPr="001D5528">
        <w:rPr>
          <w:b w:val="0"/>
          <w:bCs/>
        </w:rPr>
        <w:t xml:space="preserve"> zaleca się lokalizację szatni i toalety dostępnej oraz miejsca odpoczynku i oczekiwania z miejscami do siedzenia i przestrzenią dla wózka.</w:t>
      </w:r>
    </w:p>
    <w:p w14:paraId="22E61747" w14:textId="77777777" w:rsidR="00B834BF" w:rsidRDefault="00B834BF" w:rsidP="00B834BF">
      <w:pPr>
        <w:pStyle w:val="Nagwek4"/>
      </w:pPr>
      <w:bookmarkStart w:id="40" w:name="_Toc182319535"/>
      <w:r>
        <w:t>Widownia</w:t>
      </w:r>
      <w:bookmarkEnd w:id="40"/>
    </w:p>
    <w:p w14:paraId="048985D6" w14:textId="627205F3" w:rsidR="00021552" w:rsidRDefault="00021552" w:rsidP="00021552">
      <w:r>
        <w:t xml:space="preserve">Na widowni należy wyznaczyć miejsca do ustawienia wózka o wymiarach co najmniej 0,90 m szerokości i 1,40 m głębokości. W przypadku widowni nachylonych konieczne jest zapewnienie poziomej przestrzeni, przeznaczonej na postój wózka, zabezpieczonej poręczą lub innego rodzaju ograniczeniem, chroniącym przed zsunięciem się </w:t>
      </w:r>
      <w:r w:rsidR="004002E1">
        <w:t xml:space="preserve">kół </w:t>
      </w:r>
      <w:r>
        <w:t>wózka.</w:t>
      </w:r>
    </w:p>
    <w:p w14:paraId="76530019" w14:textId="77777777" w:rsidR="00021552" w:rsidRDefault="00021552" w:rsidP="00021552">
      <w:r>
        <w:t xml:space="preserve">Ilość miejsc dla osób na wózkach należy wyznaczać w stosunku do ogólnej liczby miejsc siedzących i adekwatnie do układu sali: </w:t>
      </w:r>
    </w:p>
    <w:p w14:paraId="784E63C6" w14:textId="77777777" w:rsidR="00D25880" w:rsidRPr="00B16B6C" w:rsidRDefault="00D25880" w:rsidP="00D25880">
      <w:pPr>
        <w:pStyle w:val="Akapitzlist"/>
        <w:ind w:left="284" w:hanging="284"/>
        <w:rPr>
          <w:rFonts w:ascii="Cambria Math" w:hAnsi="Cambria Math" w:cs="Cambria Math"/>
        </w:rPr>
      </w:pPr>
      <w:r w:rsidRPr="00B16B6C">
        <w:t xml:space="preserve">dla ogólnej liczby miejsc &lt; 50 – co najmniej 2 miejsca dla </w:t>
      </w:r>
      <w:r>
        <w:t>osób na wózkach</w:t>
      </w:r>
      <w:r w:rsidRPr="00B16B6C">
        <w:t xml:space="preserve">, </w:t>
      </w:r>
    </w:p>
    <w:p w14:paraId="4E5CD13A" w14:textId="5F41B1E8" w:rsidR="00021552" w:rsidRPr="00B16B6C" w:rsidRDefault="00021552" w:rsidP="00021552">
      <w:pPr>
        <w:pStyle w:val="Akapitzlist"/>
        <w:ind w:left="284" w:hanging="284"/>
      </w:pPr>
      <w:r w:rsidRPr="00B16B6C">
        <w:t xml:space="preserve">dla ogólnej liczby miejsc 51-100 – co najmniej 3 miejsca dla </w:t>
      </w:r>
      <w:r>
        <w:t>osób na wózkach</w:t>
      </w:r>
      <w:r w:rsidRPr="00B16B6C">
        <w:t xml:space="preserve">, </w:t>
      </w:r>
    </w:p>
    <w:p w14:paraId="59D38ACA" w14:textId="77777777" w:rsidR="00021552" w:rsidRPr="00B16B6C" w:rsidRDefault="00021552" w:rsidP="00021552">
      <w:pPr>
        <w:pStyle w:val="Akapitzlist"/>
        <w:ind w:left="284" w:hanging="284"/>
        <w:rPr>
          <w:rFonts w:ascii="Cambria Math" w:hAnsi="Cambria Math" w:cs="Cambria Math"/>
        </w:rPr>
      </w:pPr>
      <w:r w:rsidRPr="00B16B6C">
        <w:t xml:space="preserve">dla ogólnej liczby miejsc 101-200 – co najmniej 4 miejsca dla </w:t>
      </w:r>
      <w:r>
        <w:t>osób na wózkach</w:t>
      </w:r>
      <w:r w:rsidRPr="00B16B6C">
        <w:t xml:space="preserve">, </w:t>
      </w:r>
    </w:p>
    <w:p w14:paraId="238056BA" w14:textId="77777777" w:rsidR="00021552" w:rsidRPr="00B16B6C" w:rsidRDefault="00021552" w:rsidP="00021552">
      <w:pPr>
        <w:pStyle w:val="Akapitzlist"/>
        <w:ind w:left="284" w:hanging="284"/>
      </w:pPr>
      <w:r w:rsidRPr="00B16B6C">
        <w:t xml:space="preserve">dla ogólnej liczby miejsc &gt; 200 – co najmniej 2% miejsc siedzących przeznaczonych dla </w:t>
      </w:r>
      <w:r>
        <w:t>osób na wózkach</w:t>
      </w:r>
      <w:r w:rsidRPr="00B16B6C">
        <w:t>.</w:t>
      </w:r>
    </w:p>
    <w:p w14:paraId="4D268E3F" w14:textId="77777777" w:rsidR="00021552" w:rsidRPr="00B16B6C" w:rsidRDefault="00021552" w:rsidP="00021552">
      <w:r w:rsidRPr="00B16B6C">
        <w:t>Z każdego miejsca dla osoby na wózku należy zapewnić pozbawione barier architektonicznych i wyraźnie oznakowane dojście do toalety dostępnej.</w:t>
      </w:r>
    </w:p>
    <w:p w14:paraId="5250E0DF" w14:textId="77777777" w:rsidR="00D25880" w:rsidRPr="00B16B6C" w:rsidRDefault="00D25880" w:rsidP="00D25880">
      <w:r w:rsidRPr="00B16B6C">
        <w:t>Konieczne jest zapewnienie – niezależnie od układu podłogi (płaska/nachylona) – poziomu dobrej widoczności i słyszalności w obrębie wszystkich miejsc siedzących. Widoczne muszą być: scena/podwyższenie (jeśli się znajduje) oraz osoby występujące</w:t>
      </w:r>
      <w:r>
        <w:t>,</w:t>
      </w:r>
      <w:r w:rsidRPr="00B16B6C">
        <w:t xml:space="preserve"> a także wszystkie ekrany i monitory, na których wyświetlane są prezentacje, tłumaczenie na PJM lub transkrypcje na żywo. </w:t>
      </w:r>
    </w:p>
    <w:p w14:paraId="636134EC" w14:textId="28C8D953" w:rsidR="00021552" w:rsidRPr="00B16B6C" w:rsidRDefault="00021552" w:rsidP="00021552">
      <w:r w:rsidRPr="00B16B6C">
        <w:t>W przypadku instalacji pętli indukcyjnej w całości lub w części widowni, konieczne jest wyraźne i czytelne jej oznaczenie. W przypadku pętli obejmującej całą salę/przestrzeń – na drzwiach wejściowych do tej sali/przestrzeni, a w przypadku pętli zamontowanej w części pomieszczenia – na ścianie w obrębie tej części.</w:t>
      </w:r>
    </w:p>
    <w:p w14:paraId="12FAF239" w14:textId="77777777" w:rsidR="00D25880" w:rsidRDefault="00D25880" w:rsidP="00D25880">
      <w:pPr>
        <w:pStyle w:val="Dobrapraktyka"/>
      </w:pPr>
      <w:r>
        <w:t>Dobra praktyka</w:t>
      </w:r>
    </w:p>
    <w:p w14:paraId="51BF62CF" w14:textId="4EEE2018" w:rsidR="00B834BF" w:rsidRDefault="00B834BF" w:rsidP="00D25880">
      <w:pPr>
        <w:pStyle w:val="Dobrapraktyka"/>
        <w:rPr>
          <w:b w:val="0"/>
          <w:bCs/>
        </w:rPr>
      </w:pPr>
      <w:r w:rsidRPr="00D25880">
        <w:rPr>
          <w:b w:val="0"/>
          <w:bCs/>
        </w:rPr>
        <w:lastRenderedPageBreak/>
        <w:t xml:space="preserve">Jeśli ustawienie siedzeń w sali jest stałe, </w:t>
      </w:r>
      <w:r w:rsidR="00D25880">
        <w:rPr>
          <w:b w:val="0"/>
          <w:bCs/>
        </w:rPr>
        <w:t>dobrą praktyką jest zapewnienie</w:t>
      </w:r>
      <w:r w:rsidRPr="00D25880">
        <w:rPr>
          <w:b w:val="0"/>
          <w:bCs/>
        </w:rPr>
        <w:t xml:space="preserve"> co najmniej 15-30 miejsc składanych lub </w:t>
      </w:r>
      <w:r w:rsidR="00D25880" w:rsidRPr="00D25880">
        <w:rPr>
          <w:b w:val="0"/>
          <w:bCs/>
        </w:rPr>
        <w:t>zdejmowanych</w:t>
      </w:r>
      <w:r w:rsidR="00D25880">
        <w:rPr>
          <w:b w:val="0"/>
          <w:bCs/>
        </w:rPr>
        <w:t>,</w:t>
      </w:r>
      <w:r w:rsidR="00D25880" w:rsidRPr="00D25880">
        <w:rPr>
          <w:b w:val="0"/>
          <w:bCs/>
        </w:rPr>
        <w:t xml:space="preserve"> aby</w:t>
      </w:r>
      <w:r w:rsidRPr="00D25880">
        <w:rPr>
          <w:b w:val="0"/>
          <w:bCs/>
        </w:rPr>
        <w:t xml:space="preserve"> w razie potrzeby zwiększyć liczbę wyznaczonych miejsc dla użytkowników wózków</w:t>
      </w:r>
      <w:r w:rsidR="00D25880">
        <w:rPr>
          <w:b w:val="0"/>
          <w:bCs/>
        </w:rPr>
        <w:t>.</w:t>
      </w:r>
    </w:p>
    <w:p w14:paraId="393163CF" w14:textId="4E6A36DF" w:rsidR="004002E1" w:rsidRPr="00D25880" w:rsidRDefault="004002E1" w:rsidP="00D25880">
      <w:pPr>
        <w:pStyle w:val="Dobrapraktyka"/>
        <w:rPr>
          <w:b w:val="0"/>
          <w:bCs/>
        </w:rPr>
      </w:pPr>
      <w:r w:rsidRPr="004002E1">
        <w:rPr>
          <w:b w:val="0"/>
          <w:bCs/>
        </w:rPr>
        <w:t>Miejsca dla osób na wózkach powinny mieć różne konfiguracje</w:t>
      </w:r>
      <w:r w:rsidR="00B35876">
        <w:rPr>
          <w:b w:val="0"/>
          <w:bCs/>
        </w:rPr>
        <w:t xml:space="preserve"> (</w:t>
      </w:r>
      <w:r w:rsidRPr="004002E1">
        <w:rPr>
          <w:b w:val="0"/>
          <w:bCs/>
        </w:rPr>
        <w:t>np. dwa miejsca obok siebie, miejsce dla osoby na wózku i miejsce siedzące osoby towarzyszącej</w:t>
      </w:r>
      <w:r w:rsidR="00B35876">
        <w:rPr>
          <w:b w:val="0"/>
          <w:bCs/>
        </w:rPr>
        <w:t>)</w:t>
      </w:r>
      <w:r w:rsidRPr="004002E1">
        <w:rPr>
          <w:b w:val="0"/>
          <w:bCs/>
        </w:rPr>
        <w:t>. Dodatkowo w przypadku widowni/trybun nachylonych należy zapewnić miejsca na różnych poziomach (nie tylko najniższym i/lub najwyższym).</w:t>
      </w:r>
    </w:p>
    <w:p w14:paraId="363E92F7" w14:textId="6760576F" w:rsidR="00B834BF" w:rsidRDefault="00B834BF" w:rsidP="00B834BF">
      <w:pPr>
        <w:pStyle w:val="Nagwek4"/>
      </w:pPr>
      <w:bookmarkStart w:id="41" w:name="_Toc182319536"/>
      <w:r>
        <w:t>Scena/podium</w:t>
      </w:r>
      <w:bookmarkEnd w:id="41"/>
    </w:p>
    <w:p w14:paraId="1D79107A" w14:textId="67C833DC" w:rsidR="00940CC6" w:rsidRDefault="00B834BF" w:rsidP="00CE7B20">
      <w:r w:rsidRPr="00B834BF">
        <w:t xml:space="preserve">Na scenę lub podium należy zapewnić swobodny dostęp i możliwość pokonania różnic wysokości za pomocą schodów wraz z towarzyszącymi im pochylniami, dźwigami lub </w:t>
      </w:r>
      <w:r w:rsidR="00FC46E3">
        <w:t xml:space="preserve">(ewentualnie) </w:t>
      </w:r>
      <w:r w:rsidRPr="00B834BF">
        <w:t>podnośnikami.</w:t>
      </w:r>
    </w:p>
    <w:p w14:paraId="0AA46DF9" w14:textId="77777777" w:rsidR="001A6B14" w:rsidRPr="00B16B6C" w:rsidRDefault="001A6B14" w:rsidP="001A6B14">
      <w:pPr>
        <w:pStyle w:val="Przykad"/>
      </w:pPr>
      <w:r w:rsidRPr="00B16B6C">
        <w:t xml:space="preserve">Wymagania i zalecenia dla schodów, dźwigów osobowych i podnośników opisują </w:t>
      </w:r>
      <w:r>
        <w:t>„</w:t>
      </w:r>
      <w:r w:rsidRPr="00B16B6C">
        <w:t>Standardy dostępności dla polityki spójności 2021–2027</w:t>
      </w:r>
      <w:r>
        <w:t>”</w:t>
      </w:r>
      <w:r w:rsidRPr="00B16B6C">
        <w:t xml:space="preserve"> – część VI. Standard architektoniczny, rozdz. 2. Budynek – Komunikacja pionowa budynku.</w:t>
      </w:r>
    </w:p>
    <w:p w14:paraId="2A19C690" w14:textId="42FD107F" w:rsidR="00CE7B20" w:rsidRDefault="00B834BF" w:rsidP="00CE7B20">
      <w:r w:rsidRPr="00B834BF">
        <w:t xml:space="preserve">Na scenie lub podium konieczne jest zachowanie przestrzeni manewrowej o wymiarach co najmniej 1,50 x 1,50 m. </w:t>
      </w:r>
      <w:r w:rsidR="00CE7B20" w:rsidRPr="00B834BF">
        <w:t>Miejsca siedzące dla prelegen</w:t>
      </w:r>
      <w:r w:rsidR="00B35876">
        <w:t xml:space="preserve">tek i prelegentów </w:t>
      </w:r>
      <w:r w:rsidR="00CE7B20" w:rsidRPr="00B834BF">
        <w:t xml:space="preserve">należy umieszczać w taki sposób, by nie kolidowały z wyznaczonymi na scenie ciągami komunikacyjnymi i przestrzenią manewrową dla wózka. </w:t>
      </w:r>
    </w:p>
    <w:p w14:paraId="5D29B9A4" w14:textId="3904633A" w:rsidR="00CE7B20" w:rsidRPr="00B834BF" w:rsidRDefault="00CE7B20" w:rsidP="00CE7B20">
      <w:r w:rsidRPr="00D44E0C">
        <w:t xml:space="preserve">Miejsca siedzące powinny spełniać wymagania opisane w </w:t>
      </w:r>
      <w:r w:rsidRPr="00D44E0C">
        <w:rPr>
          <w:b/>
          <w:bCs/>
          <w:highlight w:val="cyan"/>
        </w:rPr>
        <w:t>części VII. Standard produktów, sprzętu i infrastruktury, rozdz. 3. Meble i elementy wyposażenia, pkt. 2. Miejsca do siedzenia</w:t>
      </w:r>
      <w:r w:rsidRPr="00CE7B20">
        <w:rPr>
          <w:highlight w:val="cyan"/>
        </w:rPr>
        <w:t>.</w:t>
      </w:r>
    </w:p>
    <w:p w14:paraId="68E944FB" w14:textId="39E34E37" w:rsidR="006E5AA7" w:rsidRDefault="00B834BF" w:rsidP="00CE7B20">
      <w:r w:rsidRPr="00B834BF">
        <w:t>Wymagane jest też zapewnienie</w:t>
      </w:r>
      <w:r w:rsidR="006E5AA7">
        <w:t>:</w:t>
      </w:r>
    </w:p>
    <w:p w14:paraId="6933FB25" w14:textId="2F940BFE" w:rsidR="006E5AA7" w:rsidRDefault="006E5AA7" w:rsidP="00CE7B20">
      <w:pPr>
        <w:pStyle w:val="Akapitzlist"/>
        <w:ind w:left="284" w:hanging="284"/>
      </w:pPr>
      <w:r>
        <w:t xml:space="preserve">albo mównicy z blatem regulowanym w przedziale wysokości </w:t>
      </w:r>
      <w:r w:rsidRPr="00B834BF">
        <w:t>0,75-1,18 m</w:t>
      </w:r>
      <w:r>
        <w:t>,</w:t>
      </w:r>
    </w:p>
    <w:p w14:paraId="1998D990" w14:textId="1D95E9D2" w:rsidR="00B834BF" w:rsidRPr="00B834BF" w:rsidRDefault="006E5AA7" w:rsidP="00CE7B20">
      <w:pPr>
        <w:pStyle w:val="Akapitzlist"/>
        <w:ind w:left="284" w:hanging="284"/>
      </w:pPr>
      <w:r>
        <w:t xml:space="preserve">albo dwóch mównic: </w:t>
      </w:r>
      <w:r w:rsidR="00B834BF" w:rsidRPr="00B834BF">
        <w:t xml:space="preserve">co najmniej jednej dostępnej dla </w:t>
      </w:r>
      <w:r w:rsidR="00B35876">
        <w:t xml:space="preserve">użytkowniczek i </w:t>
      </w:r>
      <w:r w:rsidR="00B834BF" w:rsidRPr="00B834BF">
        <w:t xml:space="preserve">użytkowników wózków </w:t>
      </w:r>
      <w:r w:rsidR="00B35876">
        <w:t>oraz o</w:t>
      </w:r>
      <w:r w:rsidR="00B834BF" w:rsidRPr="00B834BF">
        <w:t>sób niskiego wzrostu</w:t>
      </w:r>
      <w:r w:rsidR="00940CC6">
        <w:t xml:space="preserve"> </w:t>
      </w:r>
      <w:r>
        <w:t xml:space="preserve">(z blatem na wysokości w przedziale 0,75-0,80 m </w:t>
      </w:r>
      <w:r w:rsidR="00940CC6">
        <w:t xml:space="preserve">i </w:t>
      </w:r>
      <w:r w:rsidR="00940CC6" w:rsidRPr="00B834BF">
        <w:t>co najmniej jednej dla osób stojących</w:t>
      </w:r>
      <w:r>
        <w:t xml:space="preserve"> (</w:t>
      </w:r>
      <w:r w:rsidR="00940CC6">
        <w:t xml:space="preserve">blat </w:t>
      </w:r>
      <w:r>
        <w:t>na wysokości w</w:t>
      </w:r>
      <w:r w:rsidR="00B834BF" w:rsidRPr="00B834BF">
        <w:t xml:space="preserve"> przedziale 1,00-1,18 m</w:t>
      </w:r>
      <w:r>
        <w:t>).</w:t>
      </w:r>
    </w:p>
    <w:p w14:paraId="6457CEF3" w14:textId="63EE303B" w:rsidR="00B834BF" w:rsidRDefault="00B834BF" w:rsidP="00B834BF">
      <w:r w:rsidRPr="00D44E0C">
        <w:rPr>
          <w:color w:val="auto"/>
        </w:rPr>
        <w:lastRenderedPageBreak/>
        <w:t xml:space="preserve">Jeśli na scenie znajdują się stoły lub biurka, co najmniej 1/3 z nich musi </w:t>
      </w:r>
      <w:r w:rsidR="00FC46E3" w:rsidRPr="00D44E0C">
        <w:rPr>
          <w:color w:val="auto"/>
        </w:rPr>
        <w:t xml:space="preserve">spełniać </w:t>
      </w:r>
      <w:r w:rsidR="00FC46E3" w:rsidRPr="00D44E0C">
        <w:t xml:space="preserve">wymagania opisane w </w:t>
      </w:r>
      <w:r w:rsidR="00FC46E3" w:rsidRPr="00C06EA3">
        <w:rPr>
          <w:b/>
          <w:bCs/>
          <w:highlight w:val="cyan"/>
        </w:rPr>
        <w:t>części VII. Standard produktów, sprzętu i infrastruktury, rozdz. 3. Meble i elementy wyposażenia, pkt. 1. Stoły, blaty i biurka</w:t>
      </w:r>
      <w:r w:rsidR="00FC46E3">
        <w:rPr>
          <w:highlight w:val="cyan"/>
        </w:rPr>
        <w:t>.</w:t>
      </w:r>
    </w:p>
    <w:p w14:paraId="7DA1B535" w14:textId="77777777" w:rsidR="001A6B14" w:rsidRDefault="001A6B14" w:rsidP="001A6B14">
      <w:pPr>
        <w:pStyle w:val="Dobrapraktyka"/>
      </w:pPr>
      <w:r w:rsidRPr="00B16B6C">
        <w:t>Dobre praktyki</w:t>
      </w:r>
    </w:p>
    <w:p w14:paraId="2FA92CCB" w14:textId="0D9476F9" w:rsidR="004002E1" w:rsidRPr="004002E1" w:rsidRDefault="004002E1" w:rsidP="001A6B14">
      <w:pPr>
        <w:pStyle w:val="Dobrapraktyka"/>
        <w:rPr>
          <w:b w:val="0"/>
          <w:bCs/>
        </w:rPr>
      </w:pPr>
      <w:r w:rsidRPr="004002E1">
        <w:rPr>
          <w:b w:val="0"/>
          <w:bCs/>
        </w:rPr>
        <w:t>Zalecane jest:</w:t>
      </w:r>
    </w:p>
    <w:p w14:paraId="3FB1AA5D" w14:textId="26B676C5" w:rsidR="001A6B14" w:rsidRPr="00B16B6C" w:rsidRDefault="001A6B14" w:rsidP="00B26202">
      <w:pPr>
        <w:pStyle w:val="akapitzlistdobrychypraktyk"/>
        <w:rPr>
          <w:b/>
        </w:rPr>
      </w:pPr>
      <w:r w:rsidRPr="00B16B6C">
        <w:t>wyposażanie mównic w możliwość podświetlenia blatu</w:t>
      </w:r>
      <w:r>
        <w:t>,</w:t>
      </w:r>
    </w:p>
    <w:p w14:paraId="1DE19238" w14:textId="77777777" w:rsidR="001A6B14" w:rsidRPr="00B16B6C" w:rsidRDefault="001A6B14" w:rsidP="00B26202">
      <w:pPr>
        <w:pStyle w:val="akapitzlistdobrychypraktyk"/>
        <w:rPr>
          <w:b/>
        </w:rPr>
      </w:pPr>
      <w:r w:rsidRPr="00B16B6C">
        <w:t>zapewnienie pętli indukcyjnej w strefie sceny/podium</w:t>
      </w:r>
      <w:r>
        <w:t>,</w:t>
      </w:r>
    </w:p>
    <w:p w14:paraId="71B33F6A" w14:textId="77777777" w:rsidR="001A6B14" w:rsidRPr="00B16B6C" w:rsidRDefault="001A6B14" w:rsidP="00B26202">
      <w:pPr>
        <w:pStyle w:val="akapitzlistdobrychypraktyk"/>
        <w:rPr>
          <w:b/>
        </w:rPr>
      </w:pPr>
      <w:r w:rsidRPr="00B16B6C">
        <w:t>zapewnienie pozbawionego barier architektonicznych i wyraźnie oznakowanego dojścia ze sceny/podium do toalety dostępnej.</w:t>
      </w:r>
    </w:p>
    <w:p w14:paraId="49EA5F32" w14:textId="690CC33E" w:rsidR="007A4D66" w:rsidRDefault="007A4D66" w:rsidP="00BC36E5">
      <w:pPr>
        <w:pStyle w:val="Nagwek3"/>
      </w:pPr>
      <w:bookmarkStart w:id="42" w:name="_Toc182319537"/>
      <w:r w:rsidRPr="001364FE">
        <w:t>Sale spotkań, pomieszczenia seminaryjne</w:t>
      </w:r>
      <w:bookmarkEnd w:id="42"/>
    </w:p>
    <w:p w14:paraId="6B734FA9" w14:textId="77777777" w:rsidR="00882784" w:rsidRDefault="00882784" w:rsidP="000E08BA">
      <w:r>
        <w:t>Meble i elementy wyposażenia pomieszczeń należy rozmieszczać w sposób logiczny i uporządkowany, tak, aby nie utrudniały poruszania się w przestrzeni. Przejścia powinny być szerokie (min. 1,20 m) i wolne od przeszkód a meble rozmieszczone zgodnie z przewidywalnymi schematami, które pomagają w orientacji w przestrzeni.</w:t>
      </w:r>
    </w:p>
    <w:p w14:paraId="394F52B7" w14:textId="31783418" w:rsidR="00B834BF" w:rsidRPr="00B834BF" w:rsidRDefault="00B834BF" w:rsidP="000E08BA">
      <w:r w:rsidRPr="00B834BF">
        <w:t xml:space="preserve">Miejsca siedzące w </w:t>
      </w:r>
      <w:r w:rsidR="000E08BA">
        <w:t>salach spotkań i pomieszczeniach seminaryjnych</w:t>
      </w:r>
      <w:r w:rsidRPr="00B834BF">
        <w:t xml:space="preserve"> należy organizować w taki sposób, by w miarę możliwości zapewnić jak największą dowolność ich układu. Zamiast miejsc stałych (krzeseł z pulpitami), zaleca się odsuwane krzesła i biurka lub ławki. Zalecane jest wyposażenie 1/3 miejsc siedzących w oparcia i obustronne podłokietniki. </w:t>
      </w:r>
    </w:p>
    <w:p w14:paraId="37A1B2C3" w14:textId="54899CE7" w:rsidR="00580617" w:rsidRDefault="00B834BF" w:rsidP="000E08BA">
      <w:r w:rsidRPr="00B834BF">
        <w:t>Przynajmniej część stołów</w:t>
      </w:r>
      <w:r w:rsidR="000E08BA">
        <w:t xml:space="preserve">, </w:t>
      </w:r>
      <w:r w:rsidRPr="00B834BF">
        <w:t>biurek</w:t>
      </w:r>
      <w:r w:rsidR="000E08BA">
        <w:t xml:space="preserve"> i blatów</w:t>
      </w:r>
      <w:r w:rsidRPr="00B834BF">
        <w:t xml:space="preserve"> powinna zapewniać możliwość swobodnego skorzystania z nich przez osoby na wózkach. Jeśli stoły stoją w rzędach, przy tych umieszczonych na końcach rzędów należy zapewnić przestrzeń manewrową o wymiarach co najmniej 1,50 x 1,50 m. Blaty należy umieścić na wysokości 0,75-0,85 m a pod nim pozostawić wolną przestrzeń na nogi osoby siedzącej (o wysokości co najmniej 0,70 m, szerokości 0,90 m i głębokości 0,60 m lub największej, na jaką pozwoli blat). </w:t>
      </w:r>
    </w:p>
    <w:p w14:paraId="539CFE3B" w14:textId="77777777" w:rsidR="000E08BA" w:rsidRDefault="000E08BA" w:rsidP="000E08BA">
      <w:pPr>
        <w:pStyle w:val="Dobrapraktyka"/>
      </w:pPr>
      <w:r>
        <w:t>Dobra praktyka</w:t>
      </w:r>
    </w:p>
    <w:p w14:paraId="3324F652" w14:textId="3B5E1AB6" w:rsidR="00B834BF" w:rsidRPr="000E08BA" w:rsidRDefault="000E08BA" w:rsidP="000E08BA">
      <w:pPr>
        <w:pStyle w:val="Dobrapraktyka"/>
        <w:rPr>
          <w:b w:val="0"/>
          <w:bCs/>
        </w:rPr>
      </w:pPr>
      <w:r w:rsidRPr="000E08BA">
        <w:rPr>
          <w:b w:val="0"/>
          <w:bCs/>
        </w:rPr>
        <w:t>Z</w:t>
      </w:r>
      <w:r w:rsidR="00B834BF" w:rsidRPr="000E08BA">
        <w:rPr>
          <w:b w:val="0"/>
          <w:bCs/>
        </w:rPr>
        <w:t>alecane jest stosowanie blatów o regulowanej wysokości (możliwych do stosowania w pracy na siedząco i na stojąco) w przedziale minimalnym 0,60-1,18 m.</w:t>
      </w:r>
    </w:p>
    <w:p w14:paraId="4DF58A7F" w14:textId="7289E617" w:rsidR="007A4D66" w:rsidRDefault="007A4D66" w:rsidP="00BC36E5">
      <w:pPr>
        <w:pStyle w:val="Nagwek3"/>
      </w:pPr>
      <w:bookmarkStart w:id="43" w:name="_Toc182319538"/>
      <w:r w:rsidRPr="001364FE">
        <w:lastRenderedPageBreak/>
        <w:t>Pomieszczenia do prac biurowych</w:t>
      </w:r>
      <w:bookmarkEnd w:id="43"/>
    </w:p>
    <w:p w14:paraId="31354066" w14:textId="0258DD64" w:rsidR="00CD31A1" w:rsidRDefault="00CD31A1" w:rsidP="00CD31A1">
      <w:r>
        <w:t>Meble i elementy wyposażenia pomieszczeń należy rozmieszczać w sposób logiczny i uporządkowany, tak, aby nie utrudniały poruszania się w przestrzeni. Przejścia powinny być szerokie (min. 1,20 m) i wolne od przeszkód</w:t>
      </w:r>
      <w:r w:rsidR="00B35876">
        <w:t>. M</w:t>
      </w:r>
      <w:r>
        <w:t xml:space="preserve">eble </w:t>
      </w:r>
      <w:r w:rsidR="00B35876">
        <w:t xml:space="preserve">powinny być </w:t>
      </w:r>
      <w:r>
        <w:t xml:space="preserve">rozmieszczone zgodnie z przewidywalnymi schematami, które pomagają w orientacji w przestrzeni i zmniejszają czas potrzebny na znalezienie określonego miejsca czy elementu wyposażenia. Elementy takie jak stoliki kawowe, sprzęt biurowy czy </w:t>
      </w:r>
      <w:r w:rsidR="00882784">
        <w:t xml:space="preserve">elementy </w:t>
      </w:r>
      <w:r>
        <w:t xml:space="preserve">dekoracyjne </w:t>
      </w:r>
      <w:r w:rsidR="00882784">
        <w:t xml:space="preserve">(np. rośliny) </w:t>
      </w:r>
      <w:r>
        <w:t>nie powinny blokować ścieżek ani tworzyć wąskich przejść.</w:t>
      </w:r>
    </w:p>
    <w:p w14:paraId="25AEED72" w14:textId="72336AF7" w:rsidR="00CD31A1" w:rsidRDefault="00CD31A1" w:rsidP="00CD31A1">
      <w:r>
        <w:t xml:space="preserve">Konieczne jest zapewnienie w pomieszczeniach do prac biurowych przestrzeni manewrowej dla wózka o wymiarach co najmniej 1,50 x 1,50 m – na końcach każdego przejścia i przy kluczowych elementach wyposażenia. </w:t>
      </w:r>
    </w:p>
    <w:p w14:paraId="09EA0B90" w14:textId="55F3E15B" w:rsidR="00CD31A1" w:rsidRPr="00B834BF" w:rsidRDefault="00CD31A1" w:rsidP="00CD31A1">
      <w:pPr>
        <w:rPr>
          <w:color w:val="FF0000"/>
        </w:rPr>
      </w:pPr>
      <w:r>
        <w:t xml:space="preserve">Stanowisko pracy należy zaplanować w taki sposób, aby przynajmniej część półek i szafek znajdowała się w zasięgu ręki osoby siedzącej – na wysokości w przedziale 0,40-1,30 m </w:t>
      </w:r>
      <w:r w:rsidRPr="005235B7">
        <w:t>od podłogi. Uchwyty szafek i szuflad powinny być duże, skontrastowane, z możliwością obsłużenia za pomocą jednej ręki, zapewniające wygodny chwyt i oparcie</w:t>
      </w:r>
      <w:r w:rsidR="005235B7" w:rsidRPr="005235B7">
        <w:t xml:space="preserve"> – </w:t>
      </w:r>
      <w:r w:rsidR="00BF35CB">
        <w:t>na przykład</w:t>
      </w:r>
      <w:r w:rsidR="005235B7" w:rsidRPr="005235B7">
        <w:t xml:space="preserve"> uchwyty typu reling (długie, łatwe do uchwycenia drążki) lub uchwyty o większej powierzchni, które można wygodnie chwycić całą dłonią lub nawet przedramieniem, zapewniając łatwiejszy dostęp.</w:t>
      </w:r>
    </w:p>
    <w:p w14:paraId="36E5FF1A" w14:textId="136FA01D" w:rsidR="00CD31A1" w:rsidRDefault="00CD31A1" w:rsidP="00CD31A1">
      <w:r>
        <w:t xml:space="preserve">Wymagane są także ergonomiczne parametry pracy przy biurku: blat na wysokości 0,72-0,80 m (dostosowany do wzrostu </w:t>
      </w:r>
      <w:r w:rsidR="00BF35CB">
        <w:t>pracownicy lub pracownika</w:t>
      </w:r>
      <w:r>
        <w:t>, z przestrzenią pod biurkiem o wysokości co najmniej 0,70 m). Krzesło powinno być wyposażone w regulację wysokości siedziska i oparcia</w:t>
      </w:r>
      <w:r w:rsidR="002C64DA">
        <w:t xml:space="preserve"> oraz podłokietniki</w:t>
      </w:r>
      <w:r>
        <w:t>.</w:t>
      </w:r>
    </w:p>
    <w:p w14:paraId="5FCF0B64" w14:textId="530311E6" w:rsidR="007A4D66" w:rsidRDefault="007A4D66" w:rsidP="00CD31A1">
      <w:pPr>
        <w:pStyle w:val="Nagwek3"/>
      </w:pPr>
      <w:bookmarkStart w:id="44" w:name="_Toc182319539"/>
      <w:r w:rsidRPr="001364FE">
        <w:t xml:space="preserve">Laboratoria </w:t>
      </w:r>
      <w:r w:rsidR="00A54693">
        <w:t>i sale operacyjne</w:t>
      </w:r>
      <w:bookmarkEnd w:id="44"/>
    </w:p>
    <w:p w14:paraId="68F84BA8" w14:textId="6222E27A" w:rsidR="00090051" w:rsidRDefault="00090051" w:rsidP="007C517B">
      <w:r>
        <w:t>Meble i elementy wyposażenia pomieszczeń należy rozmieszczać w sposób logiczny i uporządkowany, tak, aby nie utrudniały poruszania się w przestrzeni. Przejścia powinny być szerokie (min. 1,20 m) i wolne od przeszkód</w:t>
      </w:r>
      <w:r w:rsidR="00BF35CB">
        <w:t xml:space="preserve">. Meble powinny być </w:t>
      </w:r>
      <w:r>
        <w:t xml:space="preserve">rozmieszczone zgodnie z przewidywalnymi schematami, które pomagają w orientacji w przestrzeni i zmniejszają czas potrzebny na znalezienie określonego miejsca czy elementu wyposażenia. </w:t>
      </w:r>
    </w:p>
    <w:p w14:paraId="383B7143" w14:textId="3586F463" w:rsidR="007C517B" w:rsidRDefault="00090051" w:rsidP="00090051">
      <w:r>
        <w:lastRenderedPageBreak/>
        <w:t>K</w:t>
      </w:r>
      <w:r w:rsidR="007C517B" w:rsidRPr="007C517B">
        <w:t xml:space="preserve">onieczne jest zapewnienie odpowiedniej przestrzeni funkcjonalnej </w:t>
      </w:r>
      <w:r w:rsidR="007C517B">
        <w:t xml:space="preserve">w najbliższym sąsiedztwie </w:t>
      </w:r>
      <w:r w:rsidR="007C517B" w:rsidRPr="007C517B">
        <w:t>głównych elementów wyposażenia</w:t>
      </w:r>
      <w:r>
        <w:t xml:space="preserve"> – co najmniej 1,50 x 1,50 m</w:t>
      </w:r>
      <w:r w:rsidR="007C517B">
        <w:t>.</w:t>
      </w:r>
    </w:p>
    <w:p w14:paraId="7D99728B" w14:textId="797D90E4" w:rsidR="00090051" w:rsidRDefault="00090051" w:rsidP="00090051">
      <w:r>
        <w:t xml:space="preserve">Meble i elementy wyposażenia laboratoryjnego i operacyjnego powinny spełniać wymagania opisane w </w:t>
      </w:r>
      <w:r w:rsidRPr="00DD36C8">
        <w:rPr>
          <w:b/>
          <w:bCs/>
          <w:highlight w:val="cyan"/>
        </w:rPr>
        <w:t xml:space="preserve">części </w:t>
      </w:r>
      <w:r w:rsidR="00833E11" w:rsidRPr="00DD36C8">
        <w:rPr>
          <w:b/>
          <w:bCs/>
          <w:highlight w:val="cyan"/>
        </w:rPr>
        <w:t>VII. Standard produktów, sprzętu i infrastruktury, rozdz. 3. Meble i elementy wyposażenia</w:t>
      </w:r>
      <w:r w:rsidR="00833E11">
        <w:t>.</w:t>
      </w:r>
    </w:p>
    <w:p w14:paraId="24724E2A" w14:textId="2C162C29" w:rsidR="00B834BF" w:rsidRDefault="00FA5F58" w:rsidP="00FA5F58">
      <w:pPr>
        <w:pStyle w:val="Nagwek3"/>
      </w:pPr>
      <w:bookmarkStart w:id="45" w:name="_Toc182319540"/>
      <w:r>
        <w:t>Przestrzenie pokazowe (</w:t>
      </w:r>
      <w:r w:rsidR="00BF35CB">
        <w:t xml:space="preserve">ang. </w:t>
      </w:r>
      <w:r w:rsidRPr="007A6D7C">
        <w:rPr>
          <w:lang w:val="en-GB"/>
        </w:rPr>
        <w:t>demonstration area</w:t>
      </w:r>
      <w:r w:rsidR="00D8280F" w:rsidRPr="007A6D7C">
        <w:rPr>
          <w:lang w:val="en-GB"/>
        </w:rPr>
        <w:t>s</w:t>
      </w:r>
      <w:r>
        <w:t>)</w:t>
      </w:r>
      <w:bookmarkEnd w:id="45"/>
    </w:p>
    <w:p w14:paraId="3526406A" w14:textId="2A942FCA" w:rsidR="006B3596" w:rsidRDefault="006B3596" w:rsidP="006B3596">
      <w:r>
        <w:t>Przestrzenie pokazowe umożliwiają</w:t>
      </w:r>
      <w:r w:rsidRPr="006B3596">
        <w:t xml:space="preserve"> bezpośrednią interakcję ze sprzętem, co pozwala </w:t>
      </w:r>
      <w:r w:rsidR="00BF35CB">
        <w:t>osobom biorących w nich udział na</w:t>
      </w:r>
      <w:r w:rsidRPr="006B3596">
        <w:t xml:space="preserve"> lepsze zrozumienie funkcjonalności i zastosowań technologii. </w:t>
      </w:r>
      <w:r w:rsidR="00834983">
        <w:t xml:space="preserve">Ich dostępność jest </w:t>
      </w:r>
      <w:r w:rsidR="00834983" w:rsidRPr="00834983">
        <w:t xml:space="preserve">kluczowa, aby umożliwić pełny udział w prezentacjach i </w:t>
      </w:r>
      <w:r w:rsidR="001B4DEC">
        <w:t>zapoznanie się</w:t>
      </w:r>
      <w:r w:rsidR="00834983" w:rsidRPr="00834983">
        <w:t xml:space="preserve"> z </w:t>
      </w:r>
      <w:r w:rsidR="00834983">
        <w:t xml:space="preserve">demonstrowaną </w:t>
      </w:r>
      <w:r w:rsidR="00834983" w:rsidRPr="00834983">
        <w:t>technologią.</w:t>
      </w:r>
    </w:p>
    <w:p w14:paraId="7E91704B" w14:textId="19C5EF72" w:rsidR="00834983" w:rsidRPr="00834983" w:rsidRDefault="00834983" w:rsidP="00834983">
      <w:r>
        <w:t>K</w:t>
      </w:r>
      <w:r w:rsidRPr="00834983">
        <w:t xml:space="preserve">onieczne jest zapewnienie szerokich, łatwo dostępnych przejść </w:t>
      </w:r>
      <w:r>
        <w:t xml:space="preserve">(min. 1,20 m) </w:t>
      </w:r>
      <w:r w:rsidRPr="00834983">
        <w:t xml:space="preserve">oraz </w:t>
      </w:r>
      <w:r>
        <w:t>przestrzeni manewrowej dla wózka o</w:t>
      </w:r>
      <w:r w:rsidRPr="00834983">
        <w:t xml:space="preserve"> wymiarach </w:t>
      </w:r>
      <w:r>
        <w:t xml:space="preserve">co najmniej </w:t>
      </w:r>
      <w:r w:rsidRPr="00834983">
        <w:t>1,5</w:t>
      </w:r>
      <w:r>
        <w:t>0</w:t>
      </w:r>
      <w:r w:rsidRPr="00834983">
        <w:t xml:space="preserve"> x 1,5</w:t>
      </w:r>
      <w:r>
        <w:t>0</w:t>
      </w:r>
      <w:r w:rsidRPr="00834983">
        <w:t xml:space="preserve"> m. Powierzchnie pracy, takie jak blaty czy panele interaktywne, powinny być zamontowane na wysokości </w:t>
      </w:r>
      <w:r>
        <w:t>wy</w:t>
      </w:r>
      <w:r w:rsidRPr="00834983">
        <w:t>godnej zarówno dla osób stojących, jak i siedzących</w:t>
      </w:r>
      <w:r>
        <w:t xml:space="preserve"> </w:t>
      </w:r>
      <w:r w:rsidRPr="00834983">
        <w:t>– w przedziale 0,</w:t>
      </w:r>
      <w:r>
        <w:t>40-1,30</w:t>
      </w:r>
      <w:r w:rsidRPr="00834983">
        <w:t xml:space="preserve"> m.</w:t>
      </w:r>
    </w:p>
    <w:p w14:paraId="2FBA5509" w14:textId="1C37B6BF" w:rsidR="00834983" w:rsidRDefault="00834983" w:rsidP="00834983">
      <w:r w:rsidRPr="00834983">
        <w:t xml:space="preserve">Elementy, z którymi </w:t>
      </w:r>
      <w:r w:rsidR="00BF35CB">
        <w:t xml:space="preserve">użytkowniczki i </w:t>
      </w:r>
      <w:r w:rsidRPr="00834983">
        <w:t xml:space="preserve">użytkownicy mają wchodzić w interakcję, muszą być odpowiednio oznakowane oraz łatwe </w:t>
      </w:r>
      <w:r>
        <w:t>w obsłudze</w:t>
      </w:r>
      <w:r w:rsidR="00BF35CB">
        <w:t xml:space="preserve"> (</w:t>
      </w:r>
      <w:r w:rsidRPr="00834983">
        <w:t>np. poprzez zastosowanie dużych, kontrastowych przycisków czy dźwigni, które nie wymagają precyzyjnego chwytu</w:t>
      </w:r>
      <w:r w:rsidR="00BF35CB">
        <w:t>).</w:t>
      </w:r>
    </w:p>
    <w:p w14:paraId="493998D4" w14:textId="77777777" w:rsidR="00834983" w:rsidRDefault="00834983" w:rsidP="00834983">
      <w:pPr>
        <w:pStyle w:val="Dobrapraktyka"/>
      </w:pPr>
      <w:r>
        <w:t xml:space="preserve">Dobra praktyka </w:t>
      </w:r>
    </w:p>
    <w:p w14:paraId="2C8DE2CF" w14:textId="6F87A9C1" w:rsidR="00834983" w:rsidRPr="00834983" w:rsidRDefault="00834983" w:rsidP="00834983">
      <w:pPr>
        <w:pStyle w:val="Dobrapraktyka"/>
        <w:rPr>
          <w:b w:val="0"/>
          <w:bCs/>
        </w:rPr>
      </w:pPr>
      <w:r w:rsidRPr="00834983">
        <w:rPr>
          <w:b w:val="0"/>
          <w:bCs/>
        </w:rPr>
        <w:t>Warto zadbać o możliwość regulacji wysokości stołów demonstracyjnych oraz monitorów, aby dostosować je do potrzeb osób o różnym wzroście czy preferencjach pracy siedzącej lub stojącej.</w:t>
      </w:r>
    </w:p>
    <w:p w14:paraId="5A42F8E3" w14:textId="113C7071" w:rsidR="00834983" w:rsidRPr="00834983" w:rsidRDefault="00834983" w:rsidP="00834983">
      <w:pPr>
        <w:pStyle w:val="Dobrapraktyka"/>
        <w:rPr>
          <w:b w:val="0"/>
          <w:bCs/>
        </w:rPr>
      </w:pPr>
      <w:r w:rsidRPr="00834983">
        <w:rPr>
          <w:b w:val="0"/>
          <w:bCs/>
        </w:rPr>
        <w:t>W miejscach, gdzie wymaga</w:t>
      </w:r>
      <w:r w:rsidR="00422044">
        <w:rPr>
          <w:b w:val="0"/>
          <w:bCs/>
        </w:rPr>
        <w:t xml:space="preserve">na jest obsługa prezentowanych technologii </w:t>
      </w:r>
      <w:r w:rsidRPr="00834983">
        <w:rPr>
          <w:b w:val="0"/>
          <w:bCs/>
        </w:rPr>
        <w:t xml:space="preserve">za pomocą ekranów dotykowych lub </w:t>
      </w:r>
      <w:r w:rsidR="00422044">
        <w:rPr>
          <w:b w:val="0"/>
          <w:bCs/>
        </w:rPr>
        <w:t xml:space="preserve">dotykowych </w:t>
      </w:r>
      <w:r w:rsidRPr="00834983">
        <w:rPr>
          <w:b w:val="0"/>
          <w:bCs/>
        </w:rPr>
        <w:t xml:space="preserve">paneli sterujących, </w:t>
      </w:r>
      <w:r w:rsidR="00422044">
        <w:rPr>
          <w:b w:val="0"/>
          <w:bCs/>
        </w:rPr>
        <w:t xml:space="preserve">zalecane jest zapewnienie </w:t>
      </w:r>
      <w:r w:rsidRPr="00834983">
        <w:rPr>
          <w:b w:val="0"/>
          <w:bCs/>
        </w:rPr>
        <w:t>alternatywn</w:t>
      </w:r>
      <w:r w:rsidR="00422044">
        <w:rPr>
          <w:b w:val="0"/>
          <w:bCs/>
        </w:rPr>
        <w:t>ych</w:t>
      </w:r>
      <w:r w:rsidRPr="00834983">
        <w:rPr>
          <w:b w:val="0"/>
          <w:bCs/>
        </w:rPr>
        <w:t xml:space="preserve"> form kontroli, </w:t>
      </w:r>
      <w:r w:rsidR="00422044">
        <w:rPr>
          <w:b w:val="0"/>
          <w:bCs/>
        </w:rPr>
        <w:t>np.</w:t>
      </w:r>
      <w:r w:rsidRPr="00834983">
        <w:rPr>
          <w:b w:val="0"/>
          <w:bCs/>
        </w:rPr>
        <w:t xml:space="preserve"> sterowani</w:t>
      </w:r>
      <w:r w:rsidR="00422044">
        <w:rPr>
          <w:b w:val="0"/>
          <w:bCs/>
        </w:rPr>
        <w:t>a</w:t>
      </w:r>
      <w:r w:rsidRPr="00834983">
        <w:rPr>
          <w:b w:val="0"/>
          <w:bCs/>
        </w:rPr>
        <w:t xml:space="preserve"> głosowe</w:t>
      </w:r>
      <w:r w:rsidR="00422044">
        <w:rPr>
          <w:b w:val="0"/>
          <w:bCs/>
        </w:rPr>
        <w:t xml:space="preserve">go lub </w:t>
      </w:r>
      <w:r w:rsidRPr="00834983">
        <w:rPr>
          <w:b w:val="0"/>
          <w:bCs/>
        </w:rPr>
        <w:t>zdalne</w:t>
      </w:r>
      <w:r w:rsidR="00422044">
        <w:rPr>
          <w:b w:val="0"/>
          <w:bCs/>
        </w:rPr>
        <w:t>go</w:t>
      </w:r>
      <w:r w:rsidRPr="00834983">
        <w:rPr>
          <w:b w:val="0"/>
          <w:bCs/>
        </w:rPr>
        <w:t xml:space="preserve"> (np. za pomocą pilota</w:t>
      </w:r>
      <w:r w:rsidR="001B4DEC">
        <w:rPr>
          <w:b w:val="0"/>
          <w:bCs/>
        </w:rPr>
        <w:t>/aplikacji</w:t>
      </w:r>
      <w:r w:rsidRPr="00834983">
        <w:rPr>
          <w:b w:val="0"/>
          <w:bCs/>
        </w:rPr>
        <w:t>).</w:t>
      </w:r>
    </w:p>
    <w:p w14:paraId="6B818DEB" w14:textId="04E98086" w:rsidR="007A4D66" w:rsidRDefault="007A4D66" w:rsidP="00BC36E5">
      <w:pPr>
        <w:pStyle w:val="Nagwek3"/>
      </w:pPr>
      <w:bookmarkStart w:id="46" w:name="_Toc182319541"/>
      <w:r w:rsidRPr="001364FE">
        <w:t>Warsztaty</w:t>
      </w:r>
      <w:r w:rsidR="00B07145">
        <w:t>,</w:t>
      </w:r>
      <w:r w:rsidRPr="001364FE">
        <w:t xml:space="preserve"> hale</w:t>
      </w:r>
      <w:r w:rsidR="00B07145">
        <w:t xml:space="preserve"> i m</w:t>
      </w:r>
      <w:r w:rsidRPr="001364FE">
        <w:t>agazyny</w:t>
      </w:r>
      <w:bookmarkEnd w:id="46"/>
    </w:p>
    <w:p w14:paraId="38E60313" w14:textId="0B79AF56" w:rsidR="0018738B" w:rsidRDefault="0018738B" w:rsidP="0018738B">
      <w:r>
        <w:t xml:space="preserve">Meble i elementy wyposażenia pomieszczeń należy rozmieszczać w sposób logiczny i uporządkowany, tak, aby nie utrudniały poruszania się w przestrzeni. Przejścia </w:t>
      </w:r>
      <w:r>
        <w:lastRenderedPageBreak/>
        <w:t>powinny być szerokie (min. 1,20 m) i wolne od przeszkód. Konieczne jest zapewnienie przestrzeni manewrowej wymiarach co najmniej 1,50 x 1,50 m. Wszelkie urządzenia, maszyny i narzędzia powinny być łatwo dostępne, a ich obsługa powinna być dostosowana do potrzeb i możliwości różnych osób.</w:t>
      </w:r>
    </w:p>
    <w:p w14:paraId="3C489854" w14:textId="77777777" w:rsidR="0018738B" w:rsidRDefault="0018738B" w:rsidP="0018738B">
      <w:pPr>
        <w:pStyle w:val="Dobrapraktyka"/>
      </w:pPr>
      <w:r>
        <w:t>Dobra praktyka</w:t>
      </w:r>
    </w:p>
    <w:p w14:paraId="0B3BE773" w14:textId="10711147" w:rsidR="0018738B" w:rsidRPr="0018738B" w:rsidRDefault="0018738B" w:rsidP="0018738B">
      <w:pPr>
        <w:pStyle w:val="Dobrapraktyka"/>
        <w:rPr>
          <w:b w:val="0"/>
          <w:bCs/>
        </w:rPr>
      </w:pPr>
      <w:r w:rsidRPr="0018738B">
        <w:rPr>
          <w:b w:val="0"/>
          <w:bCs/>
        </w:rPr>
        <w:t xml:space="preserve">Użyteczność przestrzeni magazynowych można zwiększyć poprzez zainstalowanie regałów o regulowanej wysokości, aby umożliwić dostęp do </w:t>
      </w:r>
      <w:r w:rsidR="00707B30">
        <w:rPr>
          <w:b w:val="0"/>
          <w:bCs/>
        </w:rPr>
        <w:t>przedmiotów na nich</w:t>
      </w:r>
      <w:r w:rsidRPr="0018738B">
        <w:rPr>
          <w:b w:val="0"/>
          <w:bCs/>
        </w:rPr>
        <w:t xml:space="preserve"> zarówno osobom stojącym, jak i siedzącym. </w:t>
      </w:r>
    </w:p>
    <w:p w14:paraId="7E7C6BB7" w14:textId="008D40CD" w:rsidR="0018738B" w:rsidRPr="0018738B" w:rsidRDefault="0018738B" w:rsidP="0018738B">
      <w:r>
        <w:t xml:space="preserve">W przestrzeniach warsztatowych, halach i magazynach należy wprowadzić systemy alarmowe i oznaczenia ewakuacyjne, które będą dostępne i zrozumiałe dla wszystkich osób. </w:t>
      </w:r>
      <w:r w:rsidRPr="00B16B6C">
        <w:t>Konieczne jest określenie szczegółowych wytycznych prowadzenia ewakuacji ze szczególnym uwzględnieniem ewakuacji osób o ograniczonej możliwości poruszania się lub rozpoznawania znaków i sygnałów alarmowych</w:t>
      </w:r>
      <w:r>
        <w:t xml:space="preserve">, </w:t>
      </w:r>
      <w:r w:rsidRPr="00DD36C8">
        <w:t>zgodnie z wytycznymi</w:t>
      </w:r>
      <w:r w:rsidRPr="00DD36C8">
        <w:rPr>
          <w:b/>
          <w:bCs/>
        </w:rPr>
        <w:t xml:space="preserve"> </w:t>
      </w:r>
      <w:r w:rsidRPr="00B55344">
        <w:rPr>
          <w:b/>
          <w:bCs/>
          <w:highlight w:val="cyan"/>
        </w:rPr>
        <w:t>części VIII. Standard bezpieczeństwa i ewakuacji, rozdz</w:t>
      </w:r>
      <w:r w:rsidR="00B752EA">
        <w:rPr>
          <w:b/>
          <w:bCs/>
          <w:highlight w:val="cyan"/>
        </w:rPr>
        <w:t>.</w:t>
      </w:r>
      <w:r w:rsidRPr="00B55344">
        <w:rPr>
          <w:b/>
          <w:bCs/>
          <w:highlight w:val="cyan"/>
        </w:rPr>
        <w:t xml:space="preserve"> </w:t>
      </w:r>
      <w:r w:rsidR="00707B30">
        <w:rPr>
          <w:b/>
          <w:bCs/>
          <w:highlight w:val="cyan"/>
        </w:rPr>
        <w:t>3</w:t>
      </w:r>
      <w:r w:rsidRPr="00B55344">
        <w:rPr>
          <w:b/>
          <w:bCs/>
          <w:highlight w:val="cyan"/>
        </w:rPr>
        <w:t>. Procedury ewakuacji.</w:t>
      </w:r>
    </w:p>
    <w:p w14:paraId="26424773" w14:textId="42A934FA" w:rsidR="00C31128" w:rsidRPr="0063139C" w:rsidRDefault="00C31128" w:rsidP="00BC36E5">
      <w:pPr>
        <w:pStyle w:val="Nagwek3"/>
        <w:rPr>
          <w:b w:val="0"/>
        </w:rPr>
      </w:pPr>
      <w:bookmarkStart w:id="47" w:name="_Toc182319542"/>
      <w:r>
        <w:t>Szatnie</w:t>
      </w:r>
      <w:r w:rsidR="002A3EA7">
        <w:t xml:space="preserve"> i przebieralnie</w:t>
      </w:r>
      <w:bookmarkEnd w:id="47"/>
    </w:p>
    <w:p w14:paraId="0919F7B1" w14:textId="77777777" w:rsidR="007A6718" w:rsidRPr="0063139C" w:rsidRDefault="007A6718" w:rsidP="007A6718">
      <w:pPr>
        <w:pStyle w:val="Przykad"/>
        <w:rPr>
          <w:bCs/>
        </w:rPr>
      </w:pPr>
      <w:r w:rsidRPr="0063139C">
        <w:rPr>
          <w:bCs/>
        </w:rPr>
        <w:t>W zakresie ogólnej organizacji pomieszczenia należy stosować wymagania jak dla toalet, opisane Standardach dostępności dla polityki spójności 2021-2027 – część VI. Standard architektoniczny, rozdz. 2. Budynek – Pomieszczenia i urządzenia higieniczno-sanitarne – Toalety (punkty 1-5).</w:t>
      </w:r>
    </w:p>
    <w:p w14:paraId="1577982B" w14:textId="77777777" w:rsidR="00CF6741" w:rsidRPr="00A54693" w:rsidRDefault="00CF6741" w:rsidP="00CF6741">
      <w:pPr>
        <w:pStyle w:val="Nagwek4"/>
      </w:pPr>
      <w:bookmarkStart w:id="48" w:name="_Toc182319543"/>
      <w:r w:rsidRPr="00A54693">
        <w:t>Szafki na odzież ochronną i osobistą</w:t>
      </w:r>
      <w:bookmarkEnd w:id="48"/>
    </w:p>
    <w:p w14:paraId="527D1084" w14:textId="6287A061" w:rsidR="00EF4772" w:rsidRPr="0063139C" w:rsidRDefault="00EF4772" w:rsidP="007A6718">
      <w:pPr>
        <w:rPr>
          <w:bCs/>
        </w:rPr>
      </w:pPr>
      <w:r w:rsidRPr="0063139C">
        <w:rPr>
          <w:bCs/>
        </w:rPr>
        <w:t>Jeśli w szatni/przebieralni znajdują się wieszaki i szafki samoobsługowe, przynajmniej część należy lokalizować na wysokości w przedziale 0,4-1,1 m (szafki) i ok. 1,1 m (wieszaki). Miejsce otwarcia szafki (kluczyk / czytnik karty) należy umieszczać na wysokości 0,80-1,10 m.</w:t>
      </w:r>
    </w:p>
    <w:p w14:paraId="6C021246" w14:textId="62DCD3DA" w:rsidR="00EF4772" w:rsidRPr="00222860" w:rsidRDefault="00EF4772" w:rsidP="00EF4772">
      <w:pPr>
        <w:pStyle w:val="Dobrapraktyka"/>
      </w:pPr>
      <w:r w:rsidRPr="00222860">
        <w:t>Dobra praktyka</w:t>
      </w:r>
    </w:p>
    <w:p w14:paraId="4FFDB048" w14:textId="323E7481" w:rsidR="00EF4772" w:rsidRDefault="00EF4772" w:rsidP="00EF4772">
      <w:pPr>
        <w:pStyle w:val="Dobrapraktyka"/>
      </w:pPr>
      <w:r w:rsidRPr="0063139C">
        <w:rPr>
          <w:b w:val="0"/>
          <w:bCs/>
        </w:rPr>
        <w:lastRenderedPageBreak/>
        <w:t>Zaleca się stosowanie szafek z bezprzewodowym systemem zamykania</w:t>
      </w:r>
      <w:r w:rsidR="00BF35CB">
        <w:rPr>
          <w:b w:val="0"/>
          <w:bCs/>
        </w:rPr>
        <w:t>/</w:t>
      </w:r>
      <w:r w:rsidRPr="0063139C">
        <w:rPr>
          <w:b w:val="0"/>
          <w:bCs/>
        </w:rPr>
        <w:t xml:space="preserve">otwierania (z czytnikiem karty/opaski) zamiast </w:t>
      </w:r>
      <w:r w:rsidR="00576F53" w:rsidRPr="0063139C">
        <w:rPr>
          <w:b w:val="0"/>
          <w:bCs/>
        </w:rPr>
        <w:t>mechanizmów z kluczem</w:t>
      </w:r>
      <w:r w:rsidR="00BE0498" w:rsidRPr="0063139C">
        <w:rPr>
          <w:b w:val="0"/>
          <w:bCs/>
        </w:rPr>
        <w:t xml:space="preserve"> lub zamkiem szyfrowym.</w:t>
      </w:r>
    </w:p>
    <w:p w14:paraId="51FE929A" w14:textId="0D360A03" w:rsidR="00CF6741" w:rsidRDefault="00CF6741" w:rsidP="00CF6741">
      <w:pPr>
        <w:pStyle w:val="Nagwek4"/>
      </w:pPr>
      <w:bookmarkStart w:id="49" w:name="_Toc182319544"/>
      <w:r>
        <w:t>Przebieralnie</w:t>
      </w:r>
      <w:bookmarkEnd w:id="49"/>
    </w:p>
    <w:p w14:paraId="443FE98A" w14:textId="1AB0E342" w:rsidR="007A6718" w:rsidRPr="00B16B6C" w:rsidRDefault="007A6718" w:rsidP="007A6718">
      <w:r w:rsidRPr="00B16B6C">
        <w:t>Przebieralni</w:t>
      </w:r>
      <w:r w:rsidR="00707B30">
        <w:t>ę</w:t>
      </w:r>
      <w:r w:rsidRPr="00B16B6C">
        <w:t xml:space="preserve"> dostępną dla osób z niepełnosprawnościami należy wyposażyć w:</w:t>
      </w:r>
    </w:p>
    <w:p w14:paraId="62EF1B5D" w14:textId="58A874F8" w:rsidR="007A6718" w:rsidRPr="00B16B6C" w:rsidRDefault="007A6718" w:rsidP="007A6718">
      <w:pPr>
        <w:pStyle w:val="Akapitzlist"/>
        <w:ind w:left="284" w:hanging="284"/>
      </w:pPr>
      <w:r w:rsidRPr="00B16B6C">
        <w:t>siedzenie o wymiarach co najmniej 0,50 m szerokości, 0,45 m głębokości, zamontowane na wysokości 0,45-0,48 m, w sposób umożliwiający ustawienie obok niego wózka</w:t>
      </w:r>
      <w:r w:rsidR="00BF35CB">
        <w:t xml:space="preserve"> (</w:t>
      </w:r>
      <w:r w:rsidRPr="00B16B6C">
        <w:t>w przypadku przebieralni, w których siedzenie stałe mogłoby zmniejszać przestrzeń manewrową lub przestrzeń transferu, możliwe jest stosowanie siedzeń składanych, montowanych do ścian</w:t>
      </w:r>
      <w:r w:rsidR="00BF35CB">
        <w:t>),</w:t>
      </w:r>
    </w:p>
    <w:p w14:paraId="09F99C86" w14:textId="476796FA" w:rsidR="007A6718" w:rsidRPr="00B16B6C" w:rsidRDefault="007A6718" w:rsidP="007A6718">
      <w:pPr>
        <w:pStyle w:val="Akapitzlist"/>
        <w:ind w:left="284" w:hanging="284"/>
      </w:pPr>
      <w:r w:rsidRPr="00B16B6C">
        <w:t>pochwyty zamontowane na wysokości 0,68-0,80 m od poziomu posadzki, o średnicy 35-45 mm, skontrastowane kolorystycznie z tłem</w:t>
      </w:r>
      <w:r w:rsidR="00BF35CB">
        <w:t>,</w:t>
      </w:r>
    </w:p>
    <w:p w14:paraId="47F67D12" w14:textId="77777777" w:rsidR="007A6718" w:rsidRPr="00B16B6C" w:rsidRDefault="007A6718" w:rsidP="007A6718">
      <w:pPr>
        <w:pStyle w:val="Akapitzlist"/>
        <w:ind w:left="284" w:hanging="284"/>
      </w:pPr>
      <w:r w:rsidRPr="00B16B6C">
        <w:t>wieszaki na ubrania/bagaż: przynajmniej jeden na wysokości ok. 1,80 m i przynajmniej jeden na wysokości ok. 1,10 m.</w:t>
      </w:r>
    </w:p>
    <w:p w14:paraId="22F042B2" w14:textId="06797BC5" w:rsidR="00C31128" w:rsidRDefault="00C31128" w:rsidP="00BC36E5">
      <w:pPr>
        <w:pStyle w:val="Nagwek3"/>
      </w:pPr>
      <w:bookmarkStart w:id="50" w:name="_Toc182319545"/>
      <w:r>
        <w:t>Pomieszczenia higieniczne i sanitarne</w:t>
      </w:r>
      <w:bookmarkEnd w:id="50"/>
    </w:p>
    <w:p w14:paraId="340CFF06" w14:textId="77777777" w:rsidR="007A6718" w:rsidRPr="00B16B6C" w:rsidRDefault="007A6718" w:rsidP="007A6718">
      <w:pPr>
        <w:pStyle w:val="Nagwek4"/>
      </w:pPr>
      <w:bookmarkStart w:id="51" w:name="_Toc182319546"/>
      <w:r w:rsidRPr="00B16B6C">
        <w:t>Toalety</w:t>
      </w:r>
      <w:bookmarkEnd w:id="51"/>
      <w:r w:rsidRPr="00B16B6C">
        <w:t xml:space="preserve"> </w:t>
      </w:r>
    </w:p>
    <w:p w14:paraId="71A06A49" w14:textId="77777777" w:rsidR="007A6718" w:rsidRPr="00B16B6C" w:rsidRDefault="007A6718" w:rsidP="007A6718">
      <w:pPr>
        <w:pStyle w:val="Przykad"/>
      </w:pPr>
      <w:r w:rsidRPr="003A5514">
        <w:t xml:space="preserve">Wymagania i zalecenia w opisują Standardy dostępności dla polityki spójności 2021-2027 – część VI. </w:t>
      </w:r>
      <w:r w:rsidRPr="00B16B6C">
        <w:t>Standard architektoniczny, rozdz. 2. Budynek – Pomieszczenia i urządzenia higieniczno-sanitarne.</w:t>
      </w:r>
    </w:p>
    <w:p w14:paraId="321A5BF2" w14:textId="77777777" w:rsidR="007A6718" w:rsidRPr="00B16B6C" w:rsidRDefault="007A6718" w:rsidP="007A6718">
      <w:pPr>
        <w:pStyle w:val="Nagwek4"/>
      </w:pPr>
      <w:bookmarkStart w:id="52" w:name="_Toc182319547"/>
      <w:r w:rsidRPr="00B16B6C">
        <w:t>Pomieszczenia z przewijakami</w:t>
      </w:r>
      <w:bookmarkEnd w:id="52"/>
    </w:p>
    <w:p w14:paraId="38461C45" w14:textId="77777777" w:rsidR="007A6718" w:rsidRPr="003A5514" w:rsidRDefault="007A6718" w:rsidP="007A6718">
      <w:pPr>
        <w:pStyle w:val="Przykad"/>
      </w:pPr>
      <w:r w:rsidRPr="003A5514">
        <w:t>W zakresie ogólnej organizacji pomieszczenia należy stosować wymagania jak dla toalet, opisane Standardach dostępności dla polityki spójności 2021-2027 – część VI. Standard architektoniczny, rozdz. 2. Budynek – Pomieszczenia i urządzenia higieniczno-sanitarne – Toalety (punkty 1-5).</w:t>
      </w:r>
    </w:p>
    <w:p w14:paraId="560B01E3" w14:textId="1DCBA2BE" w:rsidR="00222860" w:rsidRPr="00222860" w:rsidRDefault="006C3F9A" w:rsidP="00222860">
      <w:pPr>
        <w:pStyle w:val="Nagwek5"/>
      </w:pPr>
      <w:bookmarkStart w:id="53" w:name="_Toc182319548"/>
      <w:r>
        <w:t>P</w:t>
      </w:r>
      <w:r w:rsidR="00222860" w:rsidRPr="00222860">
        <w:t>rzewijaki dla dzieci</w:t>
      </w:r>
      <w:bookmarkEnd w:id="53"/>
    </w:p>
    <w:p w14:paraId="38742D77" w14:textId="415E3459" w:rsidR="007A6718" w:rsidRPr="00B16B6C" w:rsidRDefault="007A6718" w:rsidP="007A6718">
      <w:r w:rsidRPr="00B16B6C">
        <w:t xml:space="preserve">W położeniu opuszczonym przewijak </w:t>
      </w:r>
      <w:r w:rsidR="00FA5F58">
        <w:t xml:space="preserve">dla dzieci </w:t>
      </w:r>
      <w:r w:rsidRPr="00B16B6C">
        <w:t xml:space="preserve">powinien być zamontowany na wysokości 0,80-1,00 m powyżej poziomu podłogi. Jego konstrukcja i sposób montażu </w:t>
      </w:r>
      <w:r w:rsidRPr="00B16B6C">
        <w:lastRenderedPageBreak/>
        <w:t>powinny zapewniać możliwość podjechania wózkiem (wolna przestrzeń pod przewijakiem o wysokości min. 0,70 m, szerokości min. 0,90 m i głębokości min. 0,60 m). Obsługa stanowiska powinna być możliwa do wykonania jedną ręką.</w:t>
      </w:r>
    </w:p>
    <w:p w14:paraId="5C00F6D6" w14:textId="77777777" w:rsidR="007A6718" w:rsidRPr="00B16B6C" w:rsidRDefault="007A6718" w:rsidP="007A6718">
      <w:r w:rsidRPr="00B16B6C">
        <w:t>Minimalne wymiary stanowiska przewijania: 0,50 m szerokości, 0,70 m długości. Minimalne wytrzymywane obciążenie dynamiczne: 80 kg.</w:t>
      </w:r>
    </w:p>
    <w:p w14:paraId="2C0A49F5" w14:textId="77777777" w:rsidR="007A6718" w:rsidRDefault="007A6718" w:rsidP="007A6718">
      <w:r w:rsidRPr="00B16B6C">
        <w:t>Wszystkie elementy powinny mieć obłe, bezpieczne krawędzie: nie należy stosować przewijaków o krawędziach ostrych lub kanciastych.</w:t>
      </w:r>
    </w:p>
    <w:p w14:paraId="73ACE21F" w14:textId="198A0680" w:rsidR="00222860" w:rsidRDefault="006C3F9A" w:rsidP="00222860">
      <w:pPr>
        <w:pStyle w:val="Nagwek5"/>
      </w:pPr>
      <w:bookmarkStart w:id="54" w:name="_Toc182319549"/>
      <w:r>
        <w:t>Przewijaki/komfortki</w:t>
      </w:r>
      <w:r w:rsidR="00222860">
        <w:t xml:space="preserve"> dla osób dorosłych</w:t>
      </w:r>
      <w:bookmarkEnd w:id="54"/>
    </w:p>
    <w:p w14:paraId="43CE9575" w14:textId="77777777" w:rsidR="00222860" w:rsidRPr="00B16B6C" w:rsidRDefault="00222860" w:rsidP="00222860">
      <w:r w:rsidRPr="00B16B6C">
        <w:t>Wyznaczenie stanowiska przewijania dla osób dorosłych jest wymagane</w:t>
      </w:r>
      <w:r w:rsidRPr="00B16B6C">
        <w:rPr>
          <w:rStyle w:val="Odwoanieprzypisudolnego"/>
        </w:rPr>
        <w:footnoteReference w:id="2"/>
      </w:r>
      <w:r w:rsidRPr="00B16B6C">
        <w:t xml:space="preserve"> w budynku:</w:t>
      </w:r>
    </w:p>
    <w:p w14:paraId="674876D4" w14:textId="77777777" w:rsidR="00222860" w:rsidRPr="00B16B6C" w:rsidRDefault="00222860" w:rsidP="00222860">
      <w:pPr>
        <w:pStyle w:val="Akapitzlist"/>
        <w:ind w:left="284" w:hanging="284"/>
      </w:pPr>
      <w:r w:rsidRPr="00B16B6C">
        <w:t>przeznaczonym na potrzeby administracji publicznej o powierzchni użytkowej powyżej 2000 m</w:t>
      </w:r>
      <w:r w:rsidRPr="00B16B6C">
        <w:rPr>
          <w:vertAlign w:val="superscript"/>
        </w:rPr>
        <w:t>2</w:t>
      </w:r>
      <w:r w:rsidRPr="00B16B6C">
        <w:t xml:space="preserve">, </w:t>
      </w:r>
    </w:p>
    <w:p w14:paraId="62038E3C" w14:textId="77777777" w:rsidR="00222860" w:rsidRPr="00B16B6C" w:rsidRDefault="00222860" w:rsidP="00222860">
      <w:pPr>
        <w:pStyle w:val="Akapitzlist"/>
        <w:ind w:left="284" w:hanging="284"/>
      </w:pPr>
      <w:r w:rsidRPr="00B16B6C">
        <w:t>przeznaczonym na potrzeby kultury, sportu, handlu, usług lub obsługi pasażerów w transporcie kolejowym, drogowym lub lotniczym o powierzchni użytkowej powyżej 10 000 m</w:t>
      </w:r>
      <w:r w:rsidRPr="00B16B6C">
        <w:rPr>
          <w:vertAlign w:val="superscript"/>
        </w:rPr>
        <w:t>2</w:t>
      </w:r>
      <w:r w:rsidRPr="00B16B6C">
        <w:t xml:space="preserve">, </w:t>
      </w:r>
    </w:p>
    <w:p w14:paraId="3D74913A" w14:textId="77777777" w:rsidR="00222860" w:rsidRPr="00B16B6C" w:rsidRDefault="00222860" w:rsidP="00222860">
      <w:pPr>
        <w:pStyle w:val="Akapitzlist"/>
        <w:ind w:left="284" w:hanging="284"/>
      </w:pPr>
      <w:r w:rsidRPr="00B16B6C">
        <w:t>stacji paliw o powierzchni użytkowej powyżej 300 m</w:t>
      </w:r>
      <w:r w:rsidRPr="00B16B6C">
        <w:rPr>
          <w:vertAlign w:val="superscript"/>
        </w:rPr>
        <w:t>2</w:t>
      </w:r>
      <w:r w:rsidRPr="00B16B6C">
        <w:t xml:space="preserve"> zlokalizowanej przy autostradzie lub drodze ekspresowej, </w:t>
      </w:r>
    </w:p>
    <w:p w14:paraId="3BF43A75" w14:textId="77777777" w:rsidR="00222860" w:rsidRPr="00B16B6C" w:rsidRDefault="00222860" w:rsidP="00222860">
      <w:pPr>
        <w:pStyle w:val="Akapitzlist"/>
        <w:ind w:left="284" w:hanging="284"/>
      </w:pPr>
      <w:r w:rsidRPr="00B16B6C">
        <w:t>przeznaczonym na potrzeby opieki zdrowotnej.</w:t>
      </w:r>
    </w:p>
    <w:p w14:paraId="237372EC" w14:textId="6C17C597" w:rsidR="00222860" w:rsidRPr="00B16B6C" w:rsidRDefault="00222860" w:rsidP="00222860">
      <w:pPr>
        <w:pStyle w:val="Przykad"/>
      </w:pPr>
      <w:r w:rsidRPr="00B16B6C">
        <w:t>Wymagania w zakresie wielkości i wyposażenia pomieszczenia przeznaczonego do przewijania osób dorosłych określa Rozporządzenie Ministra Rozwoju i Technologii z dnia 27 października 2023 r. zmieniające rozporządzenie w sprawie warunków technicznych, jakim powinny odpowiadać budynki i ich usytuowanie (Dz.</w:t>
      </w:r>
      <w:r w:rsidR="00BF35CB">
        <w:t xml:space="preserve"> </w:t>
      </w:r>
      <w:r w:rsidRPr="00B16B6C">
        <w:t>U. 2023 poz. 2442), § 1, pkt 7.</w:t>
      </w:r>
    </w:p>
    <w:p w14:paraId="21C40A28" w14:textId="7C3B1574" w:rsidR="007A6718" w:rsidRDefault="00FA5F58" w:rsidP="00FA5F58">
      <w:pPr>
        <w:pStyle w:val="Dobrapraktyka"/>
      </w:pPr>
      <w:r>
        <w:lastRenderedPageBreak/>
        <w:t>Dobra praktyka</w:t>
      </w:r>
    </w:p>
    <w:p w14:paraId="2014D3FC" w14:textId="20414A18" w:rsidR="00531E24" w:rsidRDefault="004D696A" w:rsidP="00FA5F58">
      <w:pPr>
        <w:pStyle w:val="Dobrapraktyka"/>
        <w:rPr>
          <w:b w:val="0"/>
          <w:bCs/>
        </w:rPr>
      </w:pPr>
      <w:r w:rsidRPr="00222860">
        <w:rPr>
          <w:b w:val="0"/>
          <w:bCs/>
        </w:rPr>
        <w:t>Dobrą praktyką jest</w:t>
      </w:r>
      <w:r w:rsidR="00222860" w:rsidRPr="00222860">
        <w:rPr>
          <w:b w:val="0"/>
          <w:bCs/>
        </w:rPr>
        <w:t xml:space="preserve"> wyznaczanie pomieszczeń z przewijakami/komfortkami dla osób dorosłych w każdym budynku</w:t>
      </w:r>
      <w:r w:rsidR="00222860">
        <w:rPr>
          <w:b w:val="0"/>
          <w:bCs/>
        </w:rPr>
        <w:t xml:space="preserve">, niezależnie od jego funkcji i powierzchni użytkowej. </w:t>
      </w:r>
    </w:p>
    <w:p w14:paraId="67D8AB7E" w14:textId="4C039062" w:rsidR="00531E24" w:rsidRPr="00531E24" w:rsidRDefault="00531E24" w:rsidP="00531E24">
      <w:pPr>
        <w:pStyle w:val="Dobrapraktyka"/>
        <w:rPr>
          <w:b w:val="0"/>
          <w:bCs/>
        </w:rPr>
      </w:pPr>
      <w:r w:rsidRPr="00531E24">
        <w:rPr>
          <w:b w:val="0"/>
          <w:bCs/>
        </w:rPr>
        <w:t>Pomieszczenie</w:t>
      </w:r>
      <w:r>
        <w:rPr>
          <w:b w:val="0"/>
          <w:bCs/>
        </w:rPr>
        <w:t xml:space="preserve"> z komfortk</w:t>
      </w:r>
      <w:r w:rsidR="006C3F9A">
        <w:rPr>
          <w:b w:val="0"/>
          <w:bCs/>
        </w:rPr>
        <w:t>ą</w:t>
      </w:r>
      <w:r>
        <w:rPr>
          <w:b w:val="0"/>
          <w:bCs/>
        </w:rPr>
        <w:t xml:space="preserve"> powinno być z</w:t>
      </w:r>
      <w:r w:rsidRPr="00531E24">
        <w:rPr>
          <w:b w:val="0"/>
          <w:bCs/>
        </w:rPr>
        <w:t>lokalizowane w odległości nie większej niż 20 m od wejścia do budynku, na tej samej</w:t>
      </w:r>
      <w:r w:rsidR="00DA63E6">
        <w:rPr>
          <w:b w:val="0"/>
          <w:bCs/>
        </w:rPr>
        <w:t>, co wejście,</w:t>
      </w:r>
      <w:r w:rsidRPr="00531E24">
        <w:rPr>
          <w:b w:val="0"/>
          <w:bCs/>
        </w:rPr>
        <w:t xml:space="preserve"> kondygnacji</w:t>
      </w:r>
      <w:r>
        <w:rPr>
          <w:b w:val="0"/>
          <w:bCs/>
        </w:rPr>
        <w:t>. Zalecana m</w:t>
      </w:r>
      <w:r w:rsidRPr="00531E24">
        <w:rPr>
          <w:b w:val="0"/>
          <w:bCs/>
        </w:rPr>
        <w:t>inimalna powierzchnia użytkowa pomieszczenia</w:t>
      </w:r>
      <w:r>
        <w:rPr>
          <w:b w:val="0"/>
          <w:bCs/>
        </w:rPr>
        <w:t xml:space="preserve"> to</w:t>
      </w:r>
      <w:r w:rsidRPr="00531E24">
        <w:rPr>
          <w:b w:val="0"/>
          <w:bCs/>
        </w:rPr>
        <w:t xml:space="preserve"> </w:t>
      </w:r>
      <w:r>
        <w:rPr>
          <w:b w:val="0"/>
          <w:bCs/>
        </w:rPr>
        <w:t>1</w:t>
      </w:r>
      <w:r w:rsidRPr="00531E24">
        <w:rPr>
          <w:b w:val="0"/>
          <w:bCs/>
        </w:rPr>
        <w:t>2 m</w:t>
      </w:r>
      <w:r w:rsidRPr="00531E24">
        <w:rPr>
          <w:b w:val="0"/>
          <w:bCs/>
          <w:vertAlign w:val="superscript"/>
        </w:rPr>
        <w:t>2</w:t>
      </w:r>
      <w:r w:rsidRPr="00531E24">
        <w:rPr>
          <w:b w:val="0"/>
          <w:bCs/>
        </w:rPr>
        <w:t xml:space="preserve">, minimalna szerokość </w:t>
      </w:r>
      <w:r>
        <w:rPr>
          <w:b w:val="0"/>
          <w:bCs/>
        </w:rPr>
        <w:t xml:space="preserve">– </w:t>
      </w:r>
      <w:r w:rsidRPr="00531E24">
        <w:rPr>
          <w:b w:val="0"/>
          <w:bCs/>
        </w:rPr>
        <w:t>3</w:t>
      </w:r>
      <w:r>
        <w:rPr>
          <w:b w:val="0"/>
          <w:bCs/>
        </w:rPr>
        <w:t xml:space="preserve">,00 </w:t>
      </w:r>
      <w:r w:rsidRPr="00531E24">
        <w:rPr>
          <w:b w:val="0"/>
          <w:bCs/>
        </w:rPr>
        <w:t>m.</w:t>
      </w:r>
      <w:r>
        <w:rPr>
          <w:b w:val="0"/>
          <w:bCs/>
        </w:rPr>
        <w:t xml:space="preserve"> </w:t>
      </w:r>
      <w:r w:rsidRPr="00531E24">
        <w:rPr>
          <w:b w:val="0"/>
          <w:bCs/>
        </w:rPr>
        <w:t>W pomieszczeniu musi być zapewniona przestrzeń manewrowa – min.1,5</w:t>
      </w:r>
      <w:r>
        <w:rPr>
          <w:b w:val="0"/>
          <w:bCs/>
        </w:rPr>
        <w:t>0</w:t>
      </w:r>
      <w:r w:rsidRPr="00531E24">
        <w:rPr>
          <w:b w:val="0"/>
          <w:bCs/>
        </w:rPr>
        <w:t xml:space="preserve"> x 1,5</w:t>
      </w:r>
      <w:r>
        <w:rPr>
          <w:b w:val="0"/>
          <w:bCs/>
        </w:rPr>
        <w:t>0</w:t>
      </w:r>
      <w:r w:rsidRPr="00531E24">
        <w:rPr>
          <w:b w:val="0"/>
          <w:bCs/>
        </w:rPr>
        <w:t xml:space="preserve"> m.</w:t>
      </w:r>
    </w:p>
    <w:p w14:paraId="34D3180C" w14:textId="77777777" w:rsidR="00DA63E6" w:rsidRPr="00222860" w:rsidRDefault="00DA63E6" w:rsidP="00DA63E6">
      <w:pPr>
        <w:pStyle w:val="Dobrapraktyka"/>
        <w:rPr>
          <w:b w:val="0"/>
          <w:bCs/>
        </w:rPr>
      </w:pPr>
      <w:r w:rsidRPr="00531E24">
        <w:rPr>
          <w:b w:val="0"/>
          <w:bCs/>
        </w:rPr>
        <w:t xml:space="preserve">Pomieszczenie powinno zostać oznaczone za pomocą czytelnej infografiki (piktogramu) i opisu brajlowskiego, informujących o jego przeznaczeniu. Informacja dotykowa powinna być zlokalizowana po stronie otwierania drzwi, na wysokości ok. 15-30 cm powyżej klamki. </w:t>
      </w:r>
    </w:p>
    <w:p w14:paraId="214E635F" w14:textId="77777777" w:rsidR="00DA63E6" w:rsidRPr="00531E24" w:rsidRDefault="00DA63E6" w:rsidP="00DA63E6">
      <w:pPr>
        <w:pStyle w:val="Dobrapraktyka"/>
        <w:rPr>
          <w:b w:val="0"/>
          <w:bCs/>
        </w:rPr>
      </w:pPr>
      <w:r w:rsidRPr="00531E24">
        <w:rPr>
          <w:b w:val="0"/>
          <w:bCs/>
        </w:rPr>
        <w:t>W pomieszczeniu, w którym znajduje się przewijak/komfortka należy umieścić</w:t>
      </w:r>
      <w:r>
        <w:rPr>
          <w:b w:val="0"/>
          <w:bCs/>
        </w:rPr>
        <w:t xml:space="preserve"> także</w:t>
      </w:r>
      <w:r w:rsidRPr="00531E24">
        <w:rPr>
          <w:b w:val="0"/>
          <w:bCs/>
        </w:rPr>
        <w:t>:</w:t>
      </w:r>
    </w:p>
    <w:p w14:paraId="5746F346" w14:textId="77777777" w:rsidR="00DA63E6" w:rsidRPr="00B26202" w:rsidRDefault="00DA63E6" w:rsidP="00DA63E6">
      <w:pPr>
        <w:pStyle w:val="akapitzlistdobrychypraktyk"/>
      </w:pPr>
      <w:r w:rsidRPr="00B26202">
        <w:t>umywalkę i miskę ustępową,</w:t>
      </w:r>
    </w:p>
    <w:p w14:paraId="556DE7F3" w14:textId="77777777" w:rsidR="00DA63E6" w:rsidRDefault="00DA63E6" w:rsidP="00DA63E6">
      <w:pPr>
        <w:pStyle w:val="akapitzlistdobrychypraktyk"/>
      </w:pPr>
      <w:r w:rsidRPr="00B26202">
        <w:t>duży kosz na śmieci,</w:t>
      </w:r>
    </w:p>
    <w:p w14:paraId="7D93FA8C" w14:textId="7562413E" w:rsidR="00DA63E6" w:rsidRDefault="00DA63E6" w:rsidP="00DA63E6">
      <w:pPr>
        <w:pStyle w:val="akapitzlistdobrychypraktyk"/>
      </w:pPr>
      <w:r w:rsidRPr="00B26202">
        <w:t>podnośnik (sufitowy lub wolnostojący) o udźwigu min. 150 kg, przeznaczony do transportu osoby na leżankę i ułatwiający przesiadanie się z wózka na poszczególne sprzęty.</w:t>
      </w:r>
    </w:p>
    <w:p w14:paraId="090C08AB" w14:textId="44294049" w:rsidR="00531E24" w:rsidRPr="00531E24" w:rsidRDefault="00531E24" w:rsidP="00DA63E6">
      <w:pPr>
        <w:pStyle w:val="Dobrapraktyka"/>
        <w:rPr>
          <w:b w:val="0"/>
          <w:bCs/>
        </w:rPr>
      </w:pPr>
      <w:r w:rsidRPr="00531E24">
        <w:rPr>
          <w:b w:val="0"/>
          <w:bCs/>
        </w:rPr>
        <w:t>Wyposażenie</w:t>
      </w:r>
      <w:r>
        <w:rPr>
          <w:b w:val="0"/>
          <w:bCs/>
        </w:rPr>
        <w:t xml:space="preserve"> musi umożliwiać </w:t>
      </w:r>
      <w:r w:rsidRPr="00531E24">
        <w:rPr>
          <w:b w:val="0"/>
          <w:bCs/>
        </w:rPr>
        <w:t xml:space="preserve">przewinięcie dorosłej osoby ze szczególnymi potrzebami w pozycji leżącej (czyli </w:t>
      </w:r>
      <w:r>
        <w:rPr>
          <w:b w:val="0"/>
          <w:bCs/>
        </w:rPr>
        <w:t xml:space="preserve">być wyposażone w </w:t>
      </w:r>
      <w:r w:rsidRPr="00531E24">
        <w:rPr>
          <w:b w:val="0"/>
          <w:bCs/>
        </w:rPr>
        <w:t>leżank</w:t>
      </w:r>
      <w:r>
        <w:rPr>
          <w:b w:val="0"/>
          <w:bCs/>
        </w:rPr>
        <w:t>ę</w:t>
      </w:r>
      <w:r w:rsidRPr="00531E24">
        <w:rPr>
          <w:b w:val="0"/>
          <w:bCs/>
        </w:rPr>
        <w:t>/komfortk</w:t>
      </w:r>
      <w:r>
        <w:rPr>
          <w:b w:val="0"/>
          <w:bCs/>
        </w:rPr>
        <w:t>ę</w:t>
      </w:r>
      <w:r w:rsidR="00DA63E6">
        <w:rPr>
          <w:b w:val="0"/>
          <w:bCs/>
        </w:rPr>
        <w:t>/przewijak</w:t>
      </w:r>
      <w:r w:rsidRPr="00531E24">
        <w:rPr>
          <w:b w:val="0"/>
          <w:bCs/>
        </w:rPr>
        <w:t>)</w:t>
      </w:r>
      <w:r>
        <w:rPr>
          <w:b w:val="0"/>
          <w:bCs/>
        </w:rPr>
        <w:t xml:space="preserve">. </w:t>
      </w:r>
      <w:r w:rsidRPr="00531E24">
        <w:rPr>
          <w:b w:val="0"/>
          <w:bCs/>
        </w:rPr>
        <w:t>Wymiary komfortki powinny być nie mniejsze niż: 0,6</w:t>
      </w:r>
      <w:r>
        <w:rPr>
          <w:b w:val="0"/>
          <w:bCs/>
        </w:rPr>
        <w:t>0</w:t>
      </w:r>
      <w:r w:rsidRPr="00531E24">
        <w:rPr>
          <w:b w:val="0"/>
          <w:bCs/>
        </w:rPr>
        <w:t xml:space="preserve"> m szerokości i 1,6</w:t>
      </w:r>
      <w:r>
        <w:rPr>
          <w:b w:val="0"/>
          <w:bCs/>
        </w:rPr>
        <w:t>0</w:t>
      </w:r>
      <w:r w:rsidRPr="00531E24">
        <w:rPr>
          <w:b w:val="0"/>
          <w:bCs/>
        </w:rPr>
        <w:t xml:space="preserve"> m długości</w:t>
      </w:r>
      <w:r>
        <w:rPr>
          <w:b w:val="0"/>
          <w:bCs/>
        </w:rPr>
        <w:t>,</w:t>
      </w:r>
      <w:r w:rsidRPr="00531E24">
        <w:rPr>
          <w:b w:val="0"/>
          <w:bCs/>
        </w:rPr>
        <w:t xml:space="preserve"> a zalecane są wymiary 0,8</w:t>
      </w:r>
      <w:r>
        <w:rPr>
          <w:b w:val="0"/>
          <w:bCs/>
        </w:rPr>
        <w:t>0</w:t>
      </w:r>
      <w:r w:rsidRPr="00531E24">
        <w:rPr>
          <w:b w:val="0"/>
          <w:bCs/>
        </w:rPr>
        <w:t>-1,0</w:t>
      </w:r>
      <w:r>
        <w:rPr>
          <w:b w:val="0"/>
          <w:bCs/>
        </w:rPr>
        <w:t>0</w:t>
      </w:r>
      <w:r w:rsidRPr="00531E24">
        <w:rPr>
          <w:b w:val="0"/>
          <w:bCs/>
        </w:rPr>
        <w:t xml:space="preserve"> m szerokości i 1,8</w:t>
      </w:r>
      <w:r>
        <w:rPr>
          <w:b w:val="0"/>
          <w:bCs/>
        </w:rPr>
        <w:t>0</w:t>
      </w:r>
      <w:r w:rsidRPr="00531E24">
        <w:rPr>
          <w:b w:val="0"/>
          <w:bCs/>
        </w:rPr>
        <w:t>-2,</w:t>
      </w:r>
      <w:r>
        <w:rPr>
          <w:b w:val="0"/>
          <w:bCs/>
        </w:rPr>
        <w:t>0</w:t>
      </w:r>
      <w:r w:rsidRPr="00531E24">
        <w:rPr>
          <w:b w:val="0"/>
          <w:bCs/>
        </w:rPr>
        <w:t>0 m długości.</w:t>
      </w:r>
      <w:r w:rsidR="00DA63E6">
        <w:rPr>
          <w:b w:val="0"/>
          <w:bCs/>
        </w:rPr>
        <w:t xml:space="preserve"> </w:t>
      </w:r>
      <w:r w:rsidRPr="00531E24">
        <w:rPr>
          <w:b w:val="0"/>
          <w:bCs/>
        </w:rPr>
        <w:t>Minimalne wytrzymywane przez komfortkę/przewijak obciążenie to 100 kg, a obciążenie optymalnie 130–200 kg.</w:t>
      </w:r>
    </w:p>
    <w:p w14:paraId="1ACAE4A1" w14:textId="7A122A16" w:rsidR="00531E24" w:rsidRPr="00531E24" w:rsidRDefault="00531E24" w:rsidP="00531E24">
      <w:pPr>
        <w:pStyle w:val="Dobrapraktyka"/>
        <w:rPr>
          <w:b w:val="0"/>
          <w:bCs/>
        </w:rPr>
      </w:pPr>
      <w:r w:rsidRPr="00531E24">
        <w:rPr>
          <w:b w:val="0"/>
          <w:bCs/>
        </w:rPr>
        <w:t>Wysokość płyty/leża przewijaka powinna być regulowana w przedziale 0,4</w:t>
      </w:r>
      <w:r>
        <w:rPr>
          <w:b w:val="0"/>
          <w:bCs/>
        </w:rPr>
        <w:t>0</w:t>
      </w:r>
      <w:r w:rsidRPr="00531E24">
        <w:rPr>
          <w:b w:val="0"/>
          <w:bCs/>
        </w:rPr>
        <w:t>-1,0</w:t>
      </w:r>
      <w:r>
        <w:rPr>
          <w:b w:val="0"/>
          <w:bCs/>
        </w:rPr>
        <w:t>0</w:t>
      </w:r>
      <w:r w:rsidRPr="00531E24">
        <w:rPr>
          <w:b w:val="0"/>
          <w:bCs/>
        </w:rPr>
        <w:t xml:space="preserve"> m powyżej poziomu posadzki, konieczne jest też zapewnienie dostępu do przewijaka przynajmniej od strony jednego dłuższego i jednego krótszego boku.</w:t>
      </w:r>
    </w:p>
    <w:p w14:paraId="5965B68E" w14:textId="431A65BD" w:rsidR="00531E24" w:rsidRPr="00DA63E6" w:rsidRDefault="00531E24" w:rsidP="00DA63E6">
      <w:pPr>
        <w:pStyle w:val="Dobrapraktyka"/>
        <w:rPr>
          <w:b w:val="0"/>
          <w:bCs/>
        </w:rPr>
      </w:pPr>
      <w:r w:rsidRPr="00531E24">
        <w:rPr>
          <w:b w:val="0"/>
          <w:bCs/>
        </w:rPr>
        <w:t>Siła potrzebna do rozkładania i regulacji wysokości przewijaka nie może przekraczać 25 N, przy czym możliwe jest zastosowanie systemów elektrycznych, obsługiwanych za pomocą pilota.</w:t>
      </w:r>
    </w:p>
    <w:p w14:paraId="197C6D3D" w14:textId="0EE81C64" w:rsidR="00C31128" w:rsidRDefault="002A3EA7" w:rsidP="00BC36E5">
      <w:pPr>
        <w:pStyle w:val="Nagwek4"/>
      </w:pPr>
      <w:bookmarkStart w:id="55" w:name="_Toc182319550"/>
      <w:r>
        <w:lastRenderedPageBreak/>
        <w:t>Prysznice/natryski</w:t>
      </w:r>
      <w:bookmarkEnd w:id="55"/>
    </w:p>
    <w:p w14:paraId="2F19456D" w14:textId="77777777" w:rsidR="00FA5F58" w:rsidRPr="003A5514" w:rsidRDefault="00FA5F58" w:rsidP="00FA5F58">
      <w:pPr>
        <w:pStyle w:val="Przykad"/>
      </w:pPr>
      <w:r w:rsidRPr="003A5514">
        <w:t>W zakresie ogólnej organizacji pomieszczenia należy stosować wymagania jak dla toalet, opisane Standardach dostępności dla polityki spójności 2021-2027 – Standard architektoniczny, rozdz. 2. Budynek – Pomieszczenia i urządzenia higieniczno-sanitarne – Toalety (punkty 1-5).</w:t>
      </w:r>
    </w:p>
    <w:p w14:paraId="7789217D" w14:textId="77777777" w:rsidR="00FA5F58" w:rsidRPr="00B16B6C" w:rsidRDefault="00FA5F58" w:rsidP="00FA5F58">
      <w:r w:rsidRPr="00B16B6C">
        <w:t xml:space="preserve">Minimalna szerokość zamkniętej kabiny prysznicowej nie może być mniejsza niż 1,50 m. </w:t>
      </w:r>
    </w:p>
    <w:p w14:paraId="62D6AFC5" w14:textId="77777777" w:rsidR="00FA5F58" w:rsidRPr="00B16B6C" w:rsidRDefault="00FA5F58" w:rsidP="00FA5F58">
      <w:r w:rsidRPr="00B16B6C">
        <w:t>Dostępne dla osób z niepełnosprawnościami prysznice/natryski należy wyposażyć w:</w:t>
      </w:r>
    </w:p>
    <w:p w14:paraId="6122000A" w14:textId="4DCEA72D" w:rsidR="00FA5F58" w:rsidRPr="00B16B6C" w:rsidRDefault="00FA5F58" w:rsidP="00FA5F58">
      <w:pPr>
        <w:pStyle w:val="Akapitzlist"/>
        <w:ind w:left="284" w:hanging="284"/>
      </w:pPr>
      <w:r w:rsidRPr="00B16B6C">
        <w:t>składane siedzenie o wymiarach co najmniej 0,50 m szerokości, 0,45 m głębokości, zamontowane na wysokości 0,45-0,48 m, w sposób umożliwiający ustawienie obok niego wózka</w:t>
      </w:r>
      <w:r w:rsidR="009A7133">
        <w:t>,</w:t>
      </w:r>
    </w:p>
    <w:p w14:paraId="706879EA" w14:textId="3BA354D8" w:rsidR="00FA5F58" w:rsidRPr="00B16B6C" w:rsidRDefault="00FA5F58" w:rsidP="00FA5F58">
      <w:pPr>
        <w:pStyle w:val="Akapitzlist"/>
        <w:ind w:left="284" w:hanging="284"/>
      </w:pPr>
      <w:r w:rsidRPr="00B16B6C">
        <w:t>baterię prysznicową, zamontowaną na ścianie, obok siedziska, na wysokości 0,80-1,10 m powyżej poziomu posadzki</w:t>
      </w:r>
      <w:r w:rsidR="009A7133">
        <w:t>,</w:t>
      </w:r>
    </w:p>
    <w:p w14:paraId="7319F0A1" w14:textId="41AA3BD1" w:rsidR="00FA5F58" w:rsidRPr="00B16B6C" w:rsidRDefault="00FA5F58" w:rsidP="00FA5F58">
      <w:pPr>
        <w:pStyle w:val="Akapitzlist"/>
        <w:ind w:left="284" w:hanging="284"/>
      </w:pPr>
      <w:r w:rsidRPr="00B16B6C">
        <w:t>pochwyty zamontowane na wysokości 0,68-0,80 m od poziomu posadzki, o średnicy 35-45 mm, skontrastowane kolorystycznie z tłem (łatwe do odnalezienia)</w:t>
      </w:r>
      <w:r w:rsidR="009A7133">
        <w:t>,</w:t>
      </w:r>
    </w:p>
    <w:p w14:paraId="45313C9C" w14:textId="4862134D" w:rsidR="00FA5F58" w:rsidRPr="00B16B6C" w:rsidRDefault="00FA5F58" w:rsidP="00FA5F58">
      <w:pPr>
        <w:pStyle w:val="Akapitzlist"/>
        <w:ind w:left="284" w:hanging="284"/>
      </w:pPr>
      <w:r w:rsidRPr="00B16B6C">
        <w:t>podajniki i półki na kosmetyki, zamontowane na wysokości w przedziale 0,80-1,10 m od poziomu posadzki do środka elementu i skontrastowane kolorystycznie z tłem</w:t>
      </w:r>
      <w:r w:rsidR="009A7133">
        <w:t>,</w:t>
      </w:r>
    </w:p>
    <w:p w14:paraId="0CEF0AB6" w14:textId="77777777" w:rsidR="00FA5F58" w:rsidRPr="00B16B6C" w:rsidRDefault="00FA5F58" w:rsidP="00FA5F58">
      <w:pPr>
        <w:pStyle w:val="Akapitzlist"/>
        <w:ind w:left="284" w:hanging="284"/>
      </w:pPr>
      <w:r w:rsidRPr="00B16B6C">
        <w:t>wieszaki na ubrania/bagaż: przynajmniej jeden na wysokości ok. 1,80 m i przynajmniej jeden na wysokości ok. 1,10 m.</w:t>
      </w:r>
    </w:p>
    <w:p w14:paraId="1DF5D2CE" w14:textId="77777777" w:rsidR="00FC1DEB" w:rsidRDefault="00FC1DEB" w:rsidP="00BC36E5">
      <w:pPr>
        <w:pStyle w:val="Nagwek4"/>
      </w:pPr>
      <w:bookmarkStart w:id="56" w:name="_Toc182319551"/>
      <w:r w:rsidRPr="001948D7">
        <w:t>Oczomyjki i prysznice bezpieczeństwa</w:t>
      </w:r>
      <w:bookmarkEnd w:id="56"/>
    </w:p>
    <w:p w14:paraId="22B87767" w14:textId="6D1CFF56" w:rsidR="00C91F74" w:rsidRDefault="009B13C3" w:rsidP="009B13C3">
      <w:r w:rsidRPr="009B13C3">
        <w:t>Oczomyjki i prysznice bezpieczeństwa powinny być umieszczone w miejscach łatwo dostępnych dla wszystkich osób, blisko potencjalnych źródeł zagrożenia. Nawierzchnia przed urządzeniem i na trasie dojścia do niego musi być gładka, równa, antypoślizgowa, bez pojedynczych stopni i schodów oraz bez nierówności i ubytków w strukturze.</w:t>
      </w:r>
      <w:r w:rsidR="00C91F74">
        <w:t xml:space="preserve"> Przed nimi należy pozostawić wolną przestrzeń manewrową o wymiarach co najmniej 1,50 x 1,50 m.</w:t>
      </w:r>
    </w:p>
    <w:p w14:paraId="0920DDF2" w14:textId="629C42A0" w:rsidR="00343055" w:rsidRDefault="00C91F74" w:rsidP="00DA63E6">
      <w:r>
        <w:t xml:space="preserve">Urządzenia </w:t>
      </w:r>
      <w:r w:rsidR="00DA63E6">
        <w:t>muszą</w:t>
      </w:r>
      <w:r w:rsidR="009B13C3" w:rsidRPr="009B13C3">
        <w:t xml:space="preserve"> być wyraźnie oznakowane, aby można je było szybko zlokalizować</w:t>
      </w:r>
      <w:r w:rsidR="00343055">
        <w:t xml:space="preserve"> </w:t>
      </w:r>
      <w:r w:rsidR="009B13C3" w:rsidRPr="009B13C3">
        <w:t>w sytuacjach awaryjnych.</w:t>
      </w:r>
      <w:r w:rsidR="00DA63E6">
        <w:t xml:space="preserve"> Kluczowa jest też łatwość ich obsługi i </w:t>
      </w:r>
      <w:r w:rsidR="00DA63E6">
        <w:lastRenderedPageBreak/>
        <w:t xml:space="preserve">intuicyjne mechanizmy uruchamiające. </w:t>
      </w:r>
      <w:r w:rsidR="00343055" w:rsidRPr="009B13C3">
        <w:t>Przyciski i dźwignie powinny mieć wystarczającą powierzchnię do obsługi jedną ręką lub przedramieniem, co ułatwia korzystanie z urządzenia osobom z ograniczeniami w chwytaniu</w:t>
      </w:r>
      <w:r w:rsidR="00343055">
        <w:t>.</w:t>
      </w:r>
    </w:p>
    <w:p w14:paraId="69D65B1E" w14:textId="233CA200" w:rsidR="00C91F74" w:rsidRDefault="00C91F74" w:rsidP="009B13C3">
      <w:r>
        <w:t>O</w:t>
      </w:r>
      <w:r w:rsidR="009B13C3" w:rsidRPr="009B13C3">
        <w:t>czomyjki powinny być zainstalowane na odpowiedniej wysokości, umożliwiającej łatwy dostęp zarówno osobom stojącym, jak i siedzącym</w:t>
      </w:r>
      <w:r>
        <w:t>. K</w:t>
      </w:r>
      <w:r w:rsidRPr="00C91F74">
        <w:t xml:space="preserve">ształt i lokalizacja </w:t>
      </w:r>
      <w:r>
        <w:t xml:space="preserve">urządzenia </w:t>
      </w:r>
      <w:r w:rsidR="007A6D7C">
        <w:t>muszą</w:t>
      </w:r>
      <w:r>
        <w:t xml:space="preserve"> pozwalać</w:t>
      </w:r>
      <w:r w:rsidRPr="00C91F74">
        <w:t xml:space="preserve"> na pozostawienie pod nim wolnej przestrzeni o wymiarach co najmniej: </w:t>
      </w:r>
      <w:r>
        <w:t>0,</w:t>
      </w:r>
      <w:r w:rsidRPr="00C91F74">
        <w:t>70 m wysokości</w:t>
      </w:r>
      <w:r w:rsidR="00DA63E6">
        <w:t xml:space="preserve"> i</w:t>
      </w:r>
      <w:r w:rsidRPr="00C91F74">
        <w:t xml:space="preserve"> </w:t>
      </w:r>
      <w:r>
        <w:t>0,</w:t>
      </w:r>
      <w:r w:rsidRPr="00C91F74">
        <w:t>90 m szerokości</w:t>
      </w:r>
      <w:r>
        <w:t xml:space="preserve">. Konieczna jest </w:t>
      </w:r>
      <w:r w:rsidRPr="00C91F74">
        <w:t xml:space="preserve">lokalizacja przynajmniej jednego kranu oraz jednego przycisku obsługującego na wysokości </w:t>
      </w:r>
      <w:r>
        <w:t>0,</w:t>
      </w:r>
      <w:r w:rsidRPr="00C91F74">
        <w:t>75-</w:t>
      </w:r>
      <w:r>
        <w:t>0,</w:t>
      </w:r>
      <w:r w:rsidRPr="00C91F74">
        <w:t>90 m od poziomu</w:t>
      </w:r>
      <w:r>
        <w:t xml:space="preserve"> podłogi. </w:t>
      </w:r>
    </w:p>
    <w:p w14:paraId="4AF36913" w14:textId="63CF0248" w:rsidR="00343055" w:rsidRDefault="009B13C3" w:rsidP="009B13C3">
      <w:r w:rsidRPr="009B13C3">
        <w:t xml:space="preserve">Prysznice </w:t>
      </w:r>
      <w:r w:rsidR="00343055">
        <w:t xml:space="preserve">bezpieczeństwa </w:t>
      </w:r>
      <w:r w:rsidRPr="009B13C3">
        <w:t xml:space="preserve">powinny być umiejscowione tak, aby </w:t>
      </w:r>
      <w:r w:rsidR="009A7133">
        <w:t xml:space="preserve">osoba korzystająca mogła </w:t>
      </w:r>
      <w:r w:rsidRPr="009B13C3">
        <w:t>do nich łatwo podejść i z nich skorzysta</w:t>
      </w:r>
      <w:r w:rsidR="00343055">
        <w:t xml:space="preserve">ć. </w:t>
      </w:r>
      <w:r w:rsidR="00303C60">
        <w:t>M</w:t>
      </w:r>
      <w:r w:rsidR="00343055" w:rsidRPr="00343055">
        <w:t>uszą być odpowiednio oznakowane</w:t>
      </w:r>
      <w:r w:rsidR="009A7133">
        <w:t>,</w:t>
      </w:r>
      <w:r w:rsidR="00343055" w:rsidRPr="00343055">
        <w:t xml:space="preserve"> a ich działanie powinno być intuicyjne – zazwyczaj uruchamia się je poprzez pociągnięcie za dźwignię lub naciśnięcie przycisku.</w:t>
      </w:r>
      <w:r w:rsidR="00343055">
        <w:t xml:space="preserve"> Przycisk lub dźwignia powinny znajdować się na wysokości w przedziale 0,80-1,10 m. </w:t>
      </w:r>
    </w:p>
    <w:p w14:paraId="7CC73F7E" w14:textId="77777777" w:rsidR="00343055" w:rsidRDefault="00343055" w:rsidP="00343055">
      <w:pPr>
        <w:pStyle w:val="Dobrapraktyka"/>
      </w:pPr>
      <w:r>
        <w:t>Dobra praktyka</w:t>
      </w:r>
    </w:p>
    <w:p w14:paraId="45BF5F24" w14:textId="17976976" w:rsidR="009B13C3" w:rsidRPr="00343055" w:rsidRDefault="00343055" w:rsidP="00343055">
      <w:pPr>
        <w:pStyle w:val="Dobrapraktyka"/>
        <w:rPr>
          <w:b w:val="0"/>
          <w:bCs/>
        </w:rPr>
      </w:pPr>
      <w:r>
        <w:rPr>
          <w:b w:val="0"/>
          <w:bCs/>
        </w:rPr>
        <w:t xml:space="preserve">Zaleca się </w:t>
      </w:r>
      <w:r w:rsidRPr="00343055">
        <w:rPr>
          <w:b w:val="0"/>
          <w:bCs/>
        </w:rPr>
        <w:t xml:space="preserve">stosowanie termostatycznych zaworów mieszających z ograniczeniem maksymalnej temperatury do 40°C </w:t>
      </w:r>
      <w:r>
        <w:rPr>
          <w:b w:val="0"/>
          <w:bCs/>
        </w:rPr>
        <w:t>w przypadku oczomyjek</w:t>
      </w:r>
      <w:r w:rsidR="009A7133">
        <w:rPr>
          <w:b w:val="0"/>
          <w:bCs/>
        </w:rPr>
        <w:t>,</w:t>
      </w:r>
      <w:r>
        <w:rPr>
          <w:b w:val="0"/>
          <w:bCs/>
        </w:rPr>
        <w:t xml:space="preserve"> </w:t>
      </w:r>
      <w:r w:rsidRPr="00343055">
        <w:rPr>
          <w:b w:val="0"/>
          <w:bCs/>
        </w:rPr>
        <w:t>a w instalacjach prysznicowych do 38°C, zapobiegających poparzeniu.</w:t>
      </w:r>
    </w:p>
    <w:p w14:paraId="3000C7CB" w14:textId="27D610B5" w:rsidR="00C31128" w:rsidRDefault="00B07145" w:rsidP="008C4032">
      <w:pPr>
        <w:pStyle w:val="Nagwek2"/>
      </w:pPr>
      <w:bookmarkStart w:id="57" w:name="_Toc182319552"/>
      <w:r>
        <w:t xml:space="preserve">Rozdział </w:t>
      </w:r>
      <w:r w:rsidR="003A00A3">
        <w:t>4</w:t>
      </w:r>
      <w:r>
        <w:t>. Obiekty i punkty mobilne</w:t>
      </w:r>
      <w:bookmarkEnd w:id="57"/>
    </w:p>
    <w:p w14:paraId="172D7C39" w14:textId="77777777" w:rsidR="00BB0E45" w:rsidRPr="00B16B6C" w:rsidRDefault="00BB0E45" w:rsidP="00BB0E45">
      <w:r w:rsidRPr="00B16B6C">
        <w:t xml:space="preserve">Obiekty mobilne należy lokalizować w taki sposób, by zapewnić utwardzone, szerokie dojście do nich – pozwalające na wygodne minięcie się osoby chodzącej i osoby na wózku lub z wózkiem. </w:t>
      </w:r>
    </w:p>
    <w:p w14:paraId="470351D3" w14:textId="19B860DE" w:rsidR="00BB0E45" w:rsidRDefault="00BB0E45" w:rsidP="00BB0E45">
      <w:r w:rsidRPr="00B16B6C">
        <w:t>Strefa obsługi powinna być łatwa do odnalezienia</w:t>
      </w:r>
      <w:r w:rsidR="009A7133">
        <w:t xml:space="preserve">: w </w:t>
      </w:r>
      <w:r w:rsidRPr="00B16B6C">
        <w:t>miarę możliwości wyróżniona przez elementy aranżacji i/lub kontrast kolorystyczny. W strefie obsługi powinna znajdować się platforma lub podest. Należy też zapewnić możliwość wejścia na nią z poziomu ciągu pieszego, bez konieczności pokonywania różnic wysokości albo po pochylni/podjeździe o jak najniższym nachyleniu – optymalnie do 5%.</w:t>
      </w:r>
    </w:p>
    <w:p w14:paraId="2E6F2C30" w14:textId="79FEEC4D" w:rsidR="00357FC2" w:rsidRDefault="00357FC2" w:rsidP="00BB0E45">
      <w:r w:rsidRPr="00B16B6C">
        <w:t xml:space="preserve">Jeśli obiekt mobilny ma być wyposażony w ladę, należy umieścić ją na wysokości i w sposób wygodnej dla osób na wózkach, niskiego wzrostu i dzieci. Przed ladą należy zapewnić przestrzeń manewrową o wymiarach min. 1,50 x 1,50 m. Wysokość blatu </w:t>
      </w:r>
      <w:r w:rsidRPr="00B16B6C">
        <w:lastRenderedPageBreak/>
        <w:t>na odcinku długości co najmniej 0,90 m nie powinna przekraczać 0,80 m od poziomu platformy/podestu. W przypadku wysuniętego blatu konieczne jest zapewnienie przestrzeni pod nim o wysokości min. 0,70 m, szerokości min. 0,90 m i głębokości min. 0,60 m (lub największej, jaka jest możliwa).</w:t>
      </w:r>
    </w:p>
    <w:p w14:paraId="2379D7D5" w14:textId="2564C622" w:rsidR="00B307A3" w:rsidRDefault="00B307A3" w:rsidP="00BB0E45">
      <w:r>
        <w:t xml:space="preserve">W zależności od rodzaju działań, wykonywanych w punkcie mobilnym, konieczne jest też stosowanie </w:t>
      </w:r>
      <w:r w:rsidR="00ED18F5">
        <w:t>dodatkowych wymagań</w:t>
      </w:r>
      <w:r w:rsidR="00357FC2">
        <w:t>:</w:t>
      </w:r>
    </w:p>
    <w:p w14:paraId="4A6DBABC" w14:textId="43AD70FB" w:rsidR="00ED18F5" w:rsidRDefault="00357FC2" w:rsidP="00357FC2">
      <w:pPr>
        <w:pStyle w:val="Akapitzlist"/>
        <w:ind w:left="284" w:hanging="284"/>
      </w:pPr>
      <w:r>
        <w:t>p</w:t>
      </w:r>
      <w:r w:rsidR="00ED18F5">
        <w:t xml:space="preserve">unkty badawcze, laboratoria mobilne i mobilne platformy analityczne: konieczne jest przede wszystkim zapewnienie dostępu do punktu oraz elementów wyposażenia badawczego, dostępnych dla wszystkich osób pracujących, zgodnie z wymaganiami z </w:t>
      </w:r>
      <w:r w:rsidR="00ED18F5" w:rsidRPr="00EC3752">
        <w:rPr>
          <w:b/>
          <w:bCs/>
          <w:highlight w:val="cyan"/>
        </w:rPr>
        <w:t>części VII. Standard produktów, sprzętu i infrastruktury, rozdz. 3. Meble i elementy wyposażenia</w:t>
      </w:r>
      <w:r w:rsidR="009A7133">
        <w:t>,</w:t>
      </w:r>
    </w:p>
    <w:p w14:paraId="6566F18E" w14:textId="1F9AE551" w:rsidR="00BB0E45" w:rsidRPr="00B16B6C" w:rsidRDefault="00357FC2" w:rsidP="00357FC2">
      <w:pPr>
        <w:pStyle w:val="Akapitzlist"/>
        <w:ind w:left="284" w:hanging="284"/>
      </w:pPr>
      <w:r>
        <w:t>p</w:t>
      </w:r>
      <w:r w:rsidR="00ED18F5">
        <w:t xml:space="preserve">unkty informacyjne i demonstracyjne: konieczne jest zapewnienie dostępu do punktu oraz elementów wyposażenia badawczego, dostępnych dla wszystkich osób pracujących, zgodnie z wymaganiami </w:t>
      </w:r>
      <w:r w:rsidR="00ED18F5" w:rsidRPr="00EC3752">
        <w:t xml:space="preserve">z </w:t>
      </w:r>
      <w:r w:rsidR="00ED18F5" w:rsidRPr="00EC3752">
        <w:rPr>
          <w:b/>
          <w:bCs/>
          <w:highlight w:val="cyan"/>
        </w:rPr>
        <w:t>części VII. Standard produktów, sprzętu i infrastruktury, rozdz. 3. Meble i elementy wyposażenia</w:t>
      </w:r>
      <w:r w:rsidR="00ED18F5">
        <w:t xml:space="preserve">. Dodatkowo wymagane jest także zapewnienie dostępności dla osób odwiedzających punkt. </w:t>
      </w:r>
    </w:p>
    <w:p w14:paraId="546401CD" w14:textId="77777777" w:rsidR="008B7543" w:rsidRPr="00A54693" w:rsidRDefault="008B7543" w:rsidP="00EA4309">
      <w:pPr>
        <w:pStyle w:val="Nagwek1"/>
        <w:ind w:hanging="153"/>
      </w:pPr>
      <w:bookmarkStart w:id="58" w:name="_Toc182319553"/>
      <w:r w:rsidRPr="00A54693">
        <w:t>Standard produktów, sprzętu i infrastruktury</w:t>
      </w:r>
      <w:bookmarkEnd w:id="58"/>
      <w:r w:rsidRPr="00A54693">
        <w:t xml:space="preserve"> </w:t>
      </w:r>
    </w:p>
    <w:p w14:paraId="1BA5E8B8" w14:textId="77777777" w:rsidR="008B7543" w:rsidRPr="00A54693" w:rsidRDefault="008B7543" w:rsidP="008C4032">
      <w:pPr>
        <w:pStyle w:val="Nagwek2"/>
      </w:pPr>
      <w:bookmarkStart w:id="59" w:name="_Toc182319554"/>
      <w:r>
        <w:t xml:space="preserve">Rozdział 1. </w:t>
      </w:r>
      <w:r w:rsidRPr="00A54693">
        <w:t>Urządzenia i systemy kontroli</w:t>
      </w:r>
      <w:bookmarkEnd w:id="59"/>
      <w:r w:rsidRPr="00A54693">
        <w:t xml:space="preserve"> </w:t>
      </w:r>
    </w:p>
    <w:p w14:paraId="46DDAD1D" w14:textId="0B13FF45" w:rsidR="008B7543" w:rsidRPr="00BC36E5" w:rsidRDefault="008B7543" w:rsidP="008B7543">
      <w:pPr>
        <w:pStyle w:val="Nagwek3"/>
        <w:numPr>
          <w:ilvl w:val="0"/>
          <w:numId w:val="26"/>
        </w:numPr>
        <w:ind w:left="426" w:hanging="426"/>
      </w:pPr>
      <w:bookmarkStart w:id="60" w:name="_Toc182319555"/>
      <w:r w:rsidRPr="00BC36E5">
        <w:t>Śluzy</w:t>
      </w:r>
      <w:bookmarkEnd w:id="60"/>
    </w:p>
    <w:p w14:paraId="41471C4F" w14:textId="25210811" w:rsidR="008B7543" w:rsidRDefault="008B7543" w:rsidP="008B7543">
      <w:pPr>
        <w:pStyle w:val="Nagwek4"/>
      </w:pPr>
      <w:bookmarkStart w:id="61" w:name="_Toc182319556"/>
      <w:r w:rsidRPr="00BC36E5">
        <w:t>Śluz</w:t>
      </w:r>
      <w:r w:rsidR="00C067C0">
        <w:t>y</w:t>
      </w:r>
      <w:r w:rsidRPr="00BC36E5">
        <w:t xml:space="preserve"> </w:t>
      </w:r>
      <w:r w:rsidR="00C067C0">
        <w:t>osobowe</w:t>
      </w:r>
      <w:bookmarkEnd w:id="61"/>
    </w:p>
    <w:p w14:paraId="2CF7EB32" w14:textId="2402D88F" w:rsidR="0014359E" w:rsidRDefault="0014359E" w:rsidP="0014359E">
      <w:r>
        <w:t xml:space="preserve">Śluzy osobowe </w:t>
      </w:r>
      <w:r w:rsidR="00236AB6">
        <w:t xml:space="preserve">muszą być </w:t>
      </w:r>
      <w:r>
        <w:t>czyteln</w:t>
      </w:r>
      <w:r w:rsidR="00236AB6">
        <w:t>i</w:t>
      </w:r>
      <w:r>
        <w:t>e</w:t>
      </w:r>
      <w:r w:rsidR="00236AB6">
        <w:t xml:space="preserve"> oznakowane</w:t>
      </w:r>
      <w:r>
        <w:t>, z dużymi, kontrastowymi opisami i piktogramami, które ułatwiają orientację.</w:t>
      </w:r>
      <w:r w:rsidR="0059569D">
        <w:t xml:space="preserve"> Przejścia w pobliżu śluz powinny być wolne od przeszkód i umożliwiać swobodne manewrowanie – konieczne jest zapewnienie przestrzeni o wymiarach co najmniej 1,50 x 1,50 m.</w:t>
      </w:r>
    </w:p>
    <w:p w14:paraId="0DD2EC51" w14:textId="486CA25C" w:rsidR="0014359E" w:rsidRDefault="0014359E" w:rsidP="0014359E">
      <w:r>
        <w:t xml:space="preserve">Drzwi do śluz powinny mieć szerokość co najmniej 0,90 m, aby umożliwić swobodne przechodzenie osobom o większej masie ciała lub poruszającym się na wózkach albo z pomocami ortopedycznymi. </w:t>
      </w:r>
      <w:r w:rsidR="0059569D">
        <w:t>Wysokość progu w przejściu nie może przekraczać 20 mm (optymalnie, gdy nie przekracza 10 mm). S</w:t>
      </w:r>
      <w:r w:rsidR="0059569D" w:rsidRPr="0059569D">
        <w:t>iła potrzebna do otwarcia drzwi</w:t>
      </w:r>
      <w:r w:rsidR="0059569D">
        <w:t xml:space="preserve"> nie może przekraczać 25 N w</w:t>
      </w:r>
      <w:r w:rsidR="0059569D" w:rsidRPr="0059569D">
        <w:t xml:space="preserve"> przypadku drzwi otwieranych i </w:t>
      </w:r>
      <w:r w:rsidR="0059569D" w:rsidRPr="0059569D">
        <w:lastRenderedPageBreak/>
        <w:t xml:space="preserve">zamykanych ręcznie </w:t>
      </w:r>
      <w:r w:rsidR="0059569D">
        <w:t>i 15 N</w:t>
      </w:r>
      <w:r w:rsidR="0059569D" w:rsidRPr="0059569D">
        <w:t xml:space="preserve"> w przypadku drzwi obsługiwanych za pomocą urządzeń sterujących</w:t>
      </w:r>
      <w:r w:rsidR="0059569D">
        <w:t xml:space="preserve">. </w:t>
      </w:r>
      <w:bookmarkStart w:id="62" w:name="_Hlk182317982"/>
      <w:r w:rsidR="0059569D">
        <w:t xml:space="preserve">W przypadku klamek, pochwytów i zamków konieczne jest </w:t>
      </w:r>
      <w:r w:rsidR="0059569D" w:rsidRPr="0059569D">
        <w:t xml:space="preserve">stosowanie elementów </w:t>
      </w:r>
      <w:r w:rsidR="00AD77AA">
        <w:t xml:space="preserve">łatwych do zauważenia (skontrastowanych), </w:t>
      </w:r>
      <w:r w:rsidR="0059569D" w:rsidRPr="0059569D">
        <w:t>niewymagających obrotu, o ergonomicznych kształtach (zapewniających wygodny uchwyt i oparcie)</w:t>
      </w:r>
      <w:r w:rsidR="00AD77AA">
        <w:t xml:space="preserve">. Należy montować je </w:t>
      </w:r>
      <w:r w:rsidR="0059569D" w:rsidRPr="0059569D">
        <w:t>na wysokości w przedziale 0,8</w:t>
      </w:r>
      <w:r w:rsidR="0059569D">
        <w:t>0</w:t>
      </w:r>
      <w:r w:rsidR="0059569D" w:rsidRPr="0059569D">
        <w:t>-1,1</w:t>
      </w:r>
      <w:r w:rsidR="0059569D">
        <w:t>0</w:t>
      </w:r>
      <w:r w:rsidR="0059569D" w:rsidRPr="0059569D">
        <w:t xml:space="preserve"> m od poziomu posadzki</w:t>
      </w:r>
      <w:r w:rsidR="00AD77AA">
        <w:t>.</w:t>
      </w:r>
      <w:bookmarkEnd w:id="62"/>
    </w:p>
    <w:p w14:paraId="37DFCD81" w14:textId="4F25BEFC" w:rsidR="0014359E" w:rsidRDefault="0014359E" w:rsidP="0014359E">
      <w:r>
        <w:t xml:space="preserve">Powierzchnia wewnątrz śluzy powinna być wystarczająco </w:t>
      </w:r>
      <w:r w:rsidR="00570A05">
        <w:t>duża</w:t>
      </w:r>
      <w:r>
        <w:t xml:space="preserve">, aby umożliwić manewrowanie </w:t>
      </w:r>
      <w:r w:rsidR="00570A05">
        <w:t>wózkiem (min. 1,50 x 1,50 m)</w:t>
      </w:r>
      <w:r>
        <w:t xml:space="preserve"> oraz zapewnić komfortowe korzystanie z urządzeń ochrony osobistej.</w:t>
      </w:r>
      <w:r w:rsidR="00570A05">
        <w:t xml:space="preserve"> </w:t>
      </w:r>
      <w:r w:rsidR="00AD77AA">
        <w:t>E</w:t>
      </w:r>
      <w:r w:rsidR="00570A05">
        <w:t>lementy wyposażenia, takie jak półki czy dozowniki, powinny być zainstalowane na wysokości w przedziale 0,80-1,10 m, aby były dostępne zarówno dla osób stojących, jak i siedzących. W przypadku wieszaków przynajmniej</w:t>
      </w:r>
      <w:r w:rsidR="00570A05" w:rsidRPr="00570A05">
        <w:t xml:space="preserve"> jeden </w:t>
      </w:r>
      <w:r w:rsidR="00570A05">
        <w:t xml:space="preserve">powinien znajdować się </w:t>
      </w:r>
      <w:r w:rsidR="00570A05" w:rsidRPr="00570A05">
        <w:t>na wysokości ok. 1,8</w:t>
      </w:r>
      <w:r w:rsidR="00570A05">
        <w:t>0</w:t>
      </w:r>
      <w:r w:rsidR="00570A05" w:rsidRPr="00570A05">
        <w:t xml:space="preserve"> m</w:t>
      </w:r>
      <w:r w:rsidR="00570A05">
        <w:t xml:space="preserve"> i</w:t>
      </w:r>
      <w:r w:rsidR="00570A05" w:rsidRPr="00570A05">
        <w:t xml:space="preserve"> przynajmniej jeden na wysokości ok. 1,1</w:t>
      </w:r>
      <w:r w:rsidR="00570A05">
        <w:t>0</w:t>
      </w:r>
      <w:r w:rsidR="00570A05" w:rsidRPr="00570A05">
        <w:t xml:space="preserve"> m</w:t>
      </w:r>
      <w:r w:rsidR="00570A05">
        <w:t>.</w:t>
      </w:r>
    </w:p>
    <w:p w14:paraId="6015D651" w14:textId="0A577A00" w:rsidR="008B7543" w:rsidRDefault="008B7543" w:rsidP="008B7543">
      <w:pPr>
        <w:pStyle w:val="Nagwek4"/>
      </w:pPr>
      <w:bookmarkStart w:id="63" w:name="_Toc182319557"/>
      <w:r w:rsidRPr="00D17CC2">
        <w:t>Śluz</w:t>
      </w:r>
      <w:r w:rsidR="00C067C0">
        <w:t>y</w:t>
      </w:r>
      <w:r w:rsidRPr="00D17CC2">
        <w:t xml:space="preserve"> </w:t>
      </w:r>
      <w:r w:rsidR="00C067C0">
        <w:t>towarowe i okna podawcze</w:t>
      </w:r>
      <w:bookmarkEnd w:id="63"/>
    </w:p>
    <w:p w14:paraId="0BFF5BF8" w14:textId="62A93B09" w:rsidR="00BC4653" w:rsidRDefault="00BC4653" w:rsidP="00BC4653">
      <w:r>
        <w:t xml:space="preserve">Okna podawcze i śluzy towarowe powinny być umiejscowione w taki sposób, aby osoby na wózkach i niskiego wzrostu mogły z nich swobodnie korzystać. Dolna część otworu powinna znajdować się na wysokości ok. 0,75-0,80 m a miejsce otwarcia na wysokości 0,80-1,10 m. </w:t>
      </w:r>
    </w:p>
    <w:p w14:paraId="3C7BAF07" w14:textId="5D7C8192" w:rsidR="00BC4653" w:rsidRDefault="00BC4653" w:rsidP="00BC4653">
      <w:r>
        <w:t>Mechanizmy otwierania</w:t>
      </w:r>
      <w:r w:rsidR="00713E26">
        <w:t xml:space="preserve"> muszą być </w:t>
      </w:r>
      <w:r>
        <w:t>łatwe w obsłudze</w:t>
      </w:r>
      <w:r w:rsidR="00713E26">
        <w:t xml:space="preserve">. Konieczne jest </w:t>
      </w:r>
      <w:r w:rsidR="00713E26" w:rsidRPr="00713E26">
        <w:t>zapewnienie możliwości obsługi jedną ręką, bez konieczności obracania, mocnego chwytania i ściskania</w:t>
      </w:r>
      <w:r w:rsidR="00713E26">
        <w:t xml:space="preserve">, oraz </w:t>
      </w:r>
      <w:r w:rsidR="00713E26" w:rsidRPr="00713E26">
        <w:t>stosowanie prostych w obsłudze klamek (np. w postaci dźwigni), skontrastowanych kolorystycznie z tłem</w:t>
      </w:r>
      <w:r w:rsidR="00713E26">
        <w:t xml:space="preserve">. </w:t>
      </w:r>
    </w:p>
    <w:p w14:paraId="40CBD68A" w14:textId="77777777" w:rsidR="008B7543" w:rsidRPr="00B16B6C" w:rsidRDefault="008B7543" w:rsidP="008B7543">
      <w:pPr>
        <w:pStyle w:val="Nagwek3"/>
      </w:pPr>
      <w:bookmarkStart w:id="64" w:name="_Toc176864293"/>
      <w:bookmarkStart w:id="65" w:name="_Toc182319558"/>
      <w:r w:rsidRPr="003E4C28">
        <w:t>Bramki</w:t>
      </w:r>
      <w:r w:rsidRPr="00B16B6C">
        <w:t xml:space="preserve"> detekcyjne i kontroli dostępu</w:t>
      </w:r>
      <w:bookmarkEnd w:id="64"/>
      <w:bookmarkEnd w:id="65"/>
    </w:p>
    <w:p w14:paraId="66F2424C" w14:textId="77777777" w:rsidR="008B7543" w:rsidRPr="00B16B6C" w:rsidRDefault="008B7543" w:rsidP="008B7543">
      <w:r w:rsidRPr="00B16B6C">
        <w:t>W przypadku stosowania bramek detekcyjnych przechodnich i bramek obrotowych (kołowrotki) konieczne jest zapewnienie co najmniej jednego przejścia, z którego będą mogły korzystać osoby z niepełnosprawnościami (w tym osoby na wózkach, osoby poruszające się przy pomocy kul, balkoników itp.).</w:t>
      </w:r>
    </w:p>
    <w:p w14:paraId="76E65976" w14:textId="77777777" w:rsidR="008B7543" w:rsidRPr="00B16B6C" w:rsidRDefault="008B7543" w:rsidP="008B7543">
      <w:r w:rsidRPr="00B16B6C">
        <w:t>W przypadku bramek przeźroczystych, szklanych lub z przeszkleniami – elementy przeźroczyste muszą zostać oznaczone pasem o szerokości min. 0,10 m, znajdującym się przy górnej krawędzi bramki/przeszklenia.</w:t>
      </w:r>
    </w:p>
    <w:p w14:paraId="7E030DBB" w14:textId="77777777" w:rsidR="008B7543" w:rsidRPr="00B16B6C" w:rsidRDefault="008B7543" w:rsidP="008B7543">
      <w:pPr>
        <w:pStyle w:val="Nagwek4"/>
      </w:pPr>
      <w:bookmarkStart w:id="66" w:name="_Toc182319559"/>
      <w:r w:rsidRPr="00B16B6C">
        <w:lastRenderedPageBreak/>
        <w:t>Bramki detekcyjne</w:t>
      </w:r>
      <w:bookmarkEnd w:id="66"/>
    </w:p>
    <w:p w14:paraId="5632C787" w14:textId="77777777" w:rsidR="008B7543" w:rsidRPr="00B16B6C" w:rsidRDefault="008B7543" w:rsidP="008B7543">
      <w:r w:rsidRPr="00B16B6C">
        <w:t>Przynajmniej jedna bramka w danym zespole musi mieć szerokość min. 0,90 m i zapewniać przed i za bramką przestrzeń manewrową o wymiarach co najmniej 1,50 x 1,50 m.</w:t>
      </w:r>
    </w:p>
    <w:p w14:paraId="751D64F9" w14:textId="77777777" w:rsidR="008B7543" w:rsidRPr="00B16B6C" w:rsidRDefault="008B7543" w:rsidP="008B7543">
      <w:pPr>
        <w:pStyle w:val="Nagwek4"/>
      </w:pPr>
      <w:bookmarkStart w:id="67" w:name="_Toc182319560"/>
      <w:r w:rsidRPr="00B16B6C">
        <w:t>Bramki obrotowe (kołowrotki)</w:t>
      </w:r>
      <w:bookmarkEnd w:id="67"/>
    </w:p>
    <w:p w14:paraId="03B7A9FC" w14:textId="7DC96DB6" w:rsidR="008B7543" w:rsidRPr="00B16B6C" w:rsidRDefault="008B7543" w:rsidP="008B7543">
      <w:r w:rsidRPr="00B16B6C">
        <w:t xml:space="preserve">Przynajmniej jedna bramka w danym zespole musi </w:t>
      </w:r>
      <w:r w:rsidR="00AD77AA">
        <w:t xml:space="preserve">być </w:t>
      </w:r>
      <w:r w:rsidR="00AD77AA" w:rsidRPr="00B16B6C">
        <w:t>rozwierana lub rozsuwana (bez systemów kołowrotkowych)</w:t>
      </w:r>
      <w:r w:rsidR="00AD77AA">
        <w:t xml:space="preserve">, o szerokości </w:t>
      </w:r>
      <w:r w:rsidRPr="00B16B6C">
        <w:t>min. 0,90 m</w:t>
      </w:r>
      <w:r w:rsidR="00AD77AA">
        <w:t xml:space="preserve">. Konieczne jest zapewnienie </w:t>
      </w:r>
      <w:r w:rsidRPr="00B16B6C">
        <w:t>przed i za bramką przestrze</w:t>
      </w:r>
      <w:r w:rsidR="00AD77AA">
        <w:t>ni</w:t>
      </w:r>
      <w:r w:rsidRPr="00B16B6C">
        <w:t xml:space="preserve"> manewrow</w:t>
      </w:r>
      <w:r w:rsidR="00AD77AA">
        <w:t>ej</w:t>
      </w:r>
      <w:r w:rsidRPr="00B16B6C">
        <w:t xml:space="preserve"> o wymiarach co najmniej 1,50 x 1,50 m. </w:t>
      </w:r>
      <w:r w:rsidR="00AD77AA">
        <w:t>Bramkę należy wyposażyć</w:t>
      </w:r>
      <w:r w:rsidRPr="00B16B6C">
        <w:t xml:space="preserve"> w czytnik kart dostępu / skaner biletów umieszczony na wysokości w przedziale 0,80-1,10 m.</w:t>
      </w:r>
    </w:p>
    <w:p w14:paraId="3800D009" w14:textId="77777777" w:rsidR="008B7543" w:rsidRPr="00B16B6C" w:rsidRDefault="008B7543" w:rsidP="008B7543">
      <w:pPr>
        <w:pStyle w:val="Nagwek3"/>
      </w:pPr>
      <w:bookmarkStart w:id="68" w:name="_Toc176864294"/>
      <w:bookmarkStart w:id="69" w:name="_Toc182319561"/>
      <w:r w:rsidRPr="00B16B6C">
        <w:t>Systemy kontroli dostępu (domofony, wideofony, czytniki kart).</w:t>
      </w:r>
      <w:bookmarkEnd w:id="68"/>
      <w:bookmarkEnd w:id="69"/>
    </w:p>
    <w:p w14:paraId="4B698D14" w14:textId="513D7D45" w:rsidR="008B7543" w:rsidRPr="00B16B6C" w:rsidRDefault="008B7543" w:rsidP="008B7543">
      <w:r w:rsidRPr="00B16B6C">
        <w:t>Elementy, które wymagają obsługi, należy montować w przedziale wysokości 0,80-1,10 m i w odległości nie większej niż 0,60 m od krawędzi drzwi.</w:t>
      </w:r>
      <w:r w:rsidR="00AD77AA">
        <w:t xml:space="preserve"> </w:t>
      </w:r>
      <w:r w:rsidRPr="00B16B6C">
        <w:t>Mechanizm otwierający powinien zamykać się po co najmniej 5-10 sekundach (dając możliwość bezpiecznego przejścia osobom o obniżonej mobilności).</w:t>
      </w:r>
    </w:p>
    <w:p w14:paraId="2B561747" w14:textId="77777777" w:rsidR="008B7543" w:rsidRPr="00B16B6C" w:rsidRDefault="008B7543" w:rsidP="008B7543">
      <w:r w:rsidRPr="00B16B6C">
        <w:t>Należy wybierać systemy:</w:t>
      </w:r>
    </w:p>
    <w:p w14:paraId="20C7BE8F" w14:textId="6146B900" w:rsidR="008B7543" w:rsidRPr="00B16B6C" w:rsidRDefault="008B7543" w:rsidP="008B7543">
      <w:pPr>
        <w:pStyle w:val="Akapitzlist"/>
        <w:ind w:left="284" w:hanging="284"/>
      </w:pPr>
      <w:r w:rsidRPr="00B16B6C">
        <w:t>możliwe do obsłużenia metodą bezwzrokową i przy użyciu jak najmniejszej siły, w sposób wygodny dla różnych osób (np. za pomocą łokcia)</w:t>
      </w:r>
      <w:r w:rsidR="009A7133">
        <w:t>,</w:t>
      </w:r>
    </w:p>
    <w:p w14:paraId="29E63D88" w14:textId="78DEB519" w:rsidR="008B7543" w:rsidRPr="00B16B6C" w:rsidRDefault="008B7543" w:rsidP="008B7543">
      <w:pPr>
        <w:pStyle w:val="Akapitzlist"/>
        <w:ind w:left="284" w:hanging="284"/>
      </w:pPr>
      <w:r w:rsidRPr="00B16B6C">
        <w:t>z przyciskami klawiszowymi rozmieszczonymi w układzie klawiatury telefonu</w:t>
      </w:r>
      <w:r w:rsidR="009A7133">
        <w:t>,</w:t>
      </w:r>
      <w:r w:rsidRPr="00B16B6C">
        <w:t xml:space="preserve"> </w:t>
      </w:r>
    </w:p>
    <w:p w14:paraId="00D34C1F" w14:textId="77777777" w:rsidR="008B7543" w:rsidRPr="00B16B6C" w:rsidRDefault="008B7543" w:rsidP="008B7543">
      <w:pPr>
        <w:pStyle w:val="Akapitzlist"/>
        <w:ind w:left="284" w:hanging="284"/>
      </w:pPr>
      <w:r w:rsidRPr="00B16B6C">
        <w:t>z elementami sterującymi, które przekazują komunikat dźwiękowy i wizualny (podświetlenie wybranego przycisku, dźwiękowe potwierdzenie otwierania zamka).</w:t>
      </w:r>
    </w:p>
    <w:p w14:paraId="451C0034" w14:textId="77777777" w:rsidR="008B7543" w:rsidRPr="00B16B6C" w:rsidRDefault="008B7543" w:rsidP="008B7543">
      <w:r w:rsidRPr="00B16B6C">
        <w:t>Wszystkie ekrany, monitory i kamery muszą spełniać warunek dobrego widzenia osoby znajdującej się zarówno w pozycji stojącej, jak i siedzącej.</w:t>
      </w:r>
    </w:p>
    <w:p w14:paraId="5E40948B" w14:textId="77777777" w:rsidR="008B7543" w:rsidRPr="00B16B6C" w:rsidRDefault="008B7543" w:rsidP="008B7543">
      <w:pPr>
        <w:pStyle w:val="Dobrapraktyka"/>
      </w:pPr>
      <w:r w:rsidRPr="00B16B6C">
        <w:t>Dobra praktyka</w:t>
      </w:r>
    </w:p>
    <w:p w14:paraId="6E8F9300" w14:textId="57225DE8" w:rsidR="008B7543" w:rsidRPr="00B16B6C" w:rsidRDefault="008B7543" w:rsidP="008B7543">
      <w:pPr>
        <w:pStyle w:val="Dobrapraktyka"/>
        <w:rPr>
          <w:b w:val="0"/>
          <w:bCs/>
        </w:rPr>
      </w:pPr>
      <w:r w:rsidRPr="00B16B6C">
        <w:rPr>
          <w:b w:val="0"/>
          <w:bCs/>
        </w:rPr>
        <w:t>Z</w:t>
      </w:r>
      <w:r w:rsidR="00AD77AA">
        <w:rPr>
          <w:b w:val="0"/>
          <w:bCs/>
        </w:rPr>
        <w:t>alecane jest z</w:t>
      </w:r>
      <w:r w:rsidRPr="00B16B6C">
        <w:rPr>
          <w:b w:val="0"/>
          <w:bCs/>
        </w:rPr>
        <w:t>apewnienie prostej i czytelnej instrukcji obsługi dla wszystkich urządzeń kontroli dostępu</w:t>
      </w:r>
      <w:r w:rsidR="009A7133">
        <w:rPr>
          <w:b w:val="0"/>
          <w:bCs/>
        </w:rPr>
        <w:t>. I</w:t>
      </w:r>
      <w:r w:rsidRPr="00B16B6C">
        <w:rPr>
          <w:b w:val="0"/>
          <w:bCs/>
        </w:rPr>
        <w:t>nstrukcja powinna znajdować się w ich najbliższym sąsiedztwie (np. obok czytników kart, z boku systemów bramkowych).</w:t>
      </w:r>
    </w:p>
    <w:p w14:paraId="15076688" w14:textId="77777777" w:rsidR="008B7543" w:rsidRPr="00B16B6C" w:rsidRDefault="008B7543" w:rsidP="008B7543">
      <w:pPr>
        <w:pStyle w:val="Nagwek3"/>
      </w:pPr>
      <w:bookmarkStart w:id="70" w:name="_Toc176864295"/>
      <w:bookmarkStart w:id="71" w:name="_Toc182319562"/>
      <w:r w:rsidRPr="00B16B6C">
        <w:lastRenderedPageBreak/>
        <w:t>Systemy rezerwacji sal i zajętości pomieszczeń</w:t>
      </w:r>
      <w:bookmarkEnd w:id="70"/>
      <w:bookmarkEnd w:id="71"/>
    </w:p>
    <w:p w14:paraId="57F528E0" w14:textId="7F7F44F2" w:rsidR="008B7543" w:rsidRPr="00B16B6C" w:rsidRDefault="008B7543" w:rsidP="008B7543">
      <w:r w:rsidRPr="00B16B6C">
        <w:t>Elementy, które wymagają obsługi, należy montować w przedziale wysokości 0,80-1,10 m i w odległości nie większej niż 0,60 m od krawędzi drzwi.</w:t>
      </w:r>
    </w:p>
    <w:p w14:paraId="732DFF6D" w14:textId="77777777" w:rsidR="008B7543" w:rsidRPr="00B16B6C" w:rsidRDefault="008B7543" w:rsidP="008B7543">
      <w:r w:rsidRPr="00B16B6C">
        <w:t>W przypadku stosowania systemów rezerwacji sal i/lub zajętości pomieszczeń konieczne jest stosowanie urządzeń:</w:t>
      </w:r>
    </w:p>
    <w:p w14:paraId="46ACE192" w14:textId="388CE0E6" w:rsidR="008B7543" w:rsidRPr="00B16B6C" w:rsidRDefault="008B7543" w:rsidP="008B7543">
      <w:pPr>
        <w:pStyle w:val="Akapitzlist"/>
        <w:ind w:left="284" w:hanging="284"/>
      </w:pPr>
      <w:r w:rsidRPr="00B16B6C">
        <w:t>opartych o system audio-wizualny i możliwych do obsłużenia metodą bezwzrokową oraz przy użyciu jak najmniejszej siły, w sposób wygodny dla różnych osób (np. za pomocą łokcia)</w:t>
      </w:r>
      <w:r w:rsidR="009A7133">
        <w:t>,</w:t>
      </w:r>
    </w:p>
    <w:p w14:paraId="71568A4F" w14:textId="0A0BF8D5" w:rsidR="008B7543" w:rsidRPr="00B16B6C" w:rsidRDefault="008B7543" w:rsidP="008B7543">
      <w:pPr>
        <w:pStyle w:val="Akapitzlist"/>
        <w:ind w:left="284" w:hanging="284"/>
      </w:pPr>
      <w:r w:rsidRPr="00B16B6C">
        <w:t>z przyciskami klawiszowymi rozmieszczonymi w układzie klawiatury telefonu</w:t>
      </w:r>
      <w:r w:rsidR="009A7133">
        <w:t>,</w:t>
      </w:r>
    </w:p>
    <w:p w14:paraId="2004E499" w14:textId="77777777" w:rsidR="008B7543" w:rsidRPr="00B16B6C" w:rsidRDefault="008B7543" w:rsidP="008B7543">
      <w:pPr>
        <w:pStyle w:val="Akapitzlist"/>
        <w:ind w:left="284" w:hanging="284"/>
      </w:pPr>
      <w:r w:rsidRPr="00B16B6C">
        <w:t>z elementami sterującymi, które przekazują komunikat dźwiękowy i wizualny (podświetlenie wybranego przycisku, dźwiękowe potwierdzenie rezerwacji sali itp.).</w:t>
      </w:r>
    </w:p>
    <w:p w14:paraId="76C28AA2" w14:textId="77777777" w:rsidR="008B7543" w:rsidRPr="00B16B6C" w:rsidRDefault="008B7543" w:rsidP="008B7543">
      <w:pPr>
        <w:pStyle w:val="Dobrapraktyka"/>
      </w:pPr>
      <w:r w:rsidRPr="00B16B6C">
        <w:t>Dobre praktyki</w:t>
      </w:r>
    </w:p>
    <w:p w14:paraId="204D6CE1" w14:textId="33C35ED2" w:rsidR="008B7543" w:rsidRPr="00AD77AA" w:rsidRDefault="00AD77AA" w:rsidP="00AD77AA">
      <w:pPr>
        <w:pStyle w:val="Dobrapraktyka"/>
        <w:rPr>
          <w:b w:val="0"/>
          <w:bCs/>
        </w:rPr>
      </w:pPr>
      <w:r w:rsidRPr="00AD77AA">
        <w:rPr>
          <w:b w:val="0"/>
          <w:bCs/>
        </w:rPr>
        <w:t xml:space="preserve">Zaleca się </w:t>
      </w:r>
      <w:r w:rsidR="008B7543" w:rsidRPr="00AD77AA">
        <w:rPr>
          <w:b w:val="0"/>
          <w:bCs/>
        </w:rPr>
        <w:t>montaż poszczególnych elementów zawsze w tych samych miejscach (np. zawsze na tej samej wysokości, na ścianie po stronie klamki)</w:t>
      </w:r>
      <w:r>
        <w:rPr>
          <w:b w:val="0"/>
          <w:bCs/>
        </w:rPr>
        <w:t xml:space="preserve">. </w:t>
      </w:r>
    </w:p>
    <w:p w14:paraId="5556A950" w14:textId="6E35A903" w:rsidR="008B7543" w:rsidRPr="00AD77AA" w:rsidRDefault="00AD77AA" w:rsidP="00AD77AA">
      <w:pPr>
        <w:pStyle w:val="Dobrapraktyka"/>
        <w:rPr>
          <w:b w:val="0"/>
          <w:bCs/>
        </w:rPr>
      </w:pPr>
      <w:r>
        <w:rPr>
          <w:b w:val="0"/>
          <w:bCs/>
        </w:rPr>
        <w:t xml:space="preserve">Dobrą praktyką jest </w:t>
      </w:r>
      <w:r w:rsidR="008B7543" w:rsidRPr="00AD77AA">
        <w:rPr>
          <w:b w:val="0"/>
          <w:bCs/>
        </w:rPr>
        <w:t>stosowanie oznaczeń barwnych, np. kolor biały lub zielony – pomieszczenie wolne, kolor czerwony – pomieszczenie zajęte (przy czym kombinacja kolorów czerwonego i zielonego powinna być stosowana w wyraźnym kontraście jasności: ciemna czerwień z jasną zielenią)</w:t>
      </w:r>
      <w:r>
        <w:rPr>
          <w:b w:val="0"/>
          <w:bCs/>
        </w:rPr>
        <w:t>.</w:t>
      </w:r>
    </w:p>
    <w:p w14:paraId="78AA3707" w14:textId="36137A9E" w:rsidR="008B7543" w:rsidRPr="009A7133" w:rsidRDefault="00AD77AA" w:rsidP="00AD77AA">
      <w:pPr>
        <w:pStyle w:val="Dobrapraktyka"/>
        <w:rPr>
          <w:b w:val="0"/>
          <w:bCs/>
        </w:rPr>
      </w:pPr>
      <w:r>
        <w:rPr>
          <w:b w:val="0"/>
          <w:bCs/>
        </w:rPr>
        <w:t xml:space="preserve">Zalecane jest także </w:t>
      </w:r>
      <w:r w:rsidR="008B7543" w:rsidRPr="00AD77AA">
        <w:rPr>
          <w:b w:val="0"/>
          <w:bCs/>
        </w:rPr>
        <w:t>zapewnienie prostej i czytelnej instrukcji obsługi dla wszystkich urządzeń</w:t>
      </w:r>
      <w:r w:rsidR="009A7133">
        <w:rPr>
          <w:b w:val="0"/>
          <w:bCs/>
        </w:rPr>
        <w:t>. I</w:t>
      </w:r>
      <w:r w:rsidR="008B7543" w:rsidRPr="00AD77AA">
        <w:rPr>
          <w:b w:val="0"/>
          <w:bCs/>
        </w:rPr>
        <w:t>nstrukcja powinna</w:t>
      </w:r>
      <w:r w:rsidR="008B7543" w:rsidRPr="00B16B6C">
        <w:t xml:space="preserve"> </w:t>
      </w:r>
      <w:r w:rsidR="008B7543" w:rsidRPr="009A7133">
        <w:rPr>
          <w:b w:val="0"/>
          <w:bCs/>
        </w:rPr>
        <w:t>znajdować się w najbliższym sąsiedztwie (np. obok czytników kart).</w:t>
      </w:r>
    </w:p>
    <w:p w14:paraId="350E06FF" w14:textId="77777777" w:rsidR="008B7543" w:rsidRDefault="008B7543" w:rsidP="008C4032">
      <w:pPr>
        <w:pStyle w:val="Nagwek2"/>
      </w:pPr>
      <w:bookmarkStart w:id="72" w:name="_Toc182319563"/>
      <w:r>
        <w:t>Rozdział 3. Meble i elementy wyposażenia biurowego, laboratoryjnego i magazynowego</w:t>
      </w:r>
      <w:bookmarkEnd w:id="72"/>
    </w:p>
    <w:p w14:paraId="0D5461CE" w14:textId="740785C9" w:rsidR="008B7543" w:rsidRPr="00B16B6C" w:rsidRDefault="008B7543" w:rsidP="00B300B2">
      <w:r w:rsidRPr="00B16B6C">
        <w:t xml:space="preserve">Dobór urządzeń </w:t>
      </w:r>
      <w:r w:rsidR="008C4032">
        <w:t xml:space="preserve">i wyposażenia, </w:t>
      </w:r>
      <w:r w:rsidRPr="00B16B6C">
        <w:t>a przede wszystkim miejsce ich usytuowania</w:t>
      </w:r>
      <w:r w:rsidR="008C4032">
        <w:t>,</w:t>
      </w:r>
      <w:r w:rsidRPr="00B16B6C">
        <w:t xml:space="preserve"> </w:t>
      </w:r>
      <w:r>
        <w:t xml:space="preserve">powinny </w:t>
      </w:r>
      <w:r w:rsidRPr="00B16B6C">
        <w:t xml:space="preserve">zapewniać możliwość obsługi zarówno przez osoby siedzące lub niskiego wzrostu, jak i stojące. </w:t>
      </w:r>
    </w:p>
    <w:p w14:paraId="7938E231" w14:textId="3CC5E94E" w:rsidR="008B7543" w:rsidRPr="00B16B6C" w:rsidRDefault="008B7543" w:rsidP="00B300B2">
      <w:pPr>
        <w:rPr>
          <w:b/>
        </w:rPr>
      </w:pPr>
      <w:r>
        <w:t>W</w:t>
      </w:r>
      <w:r w:rsidRPr="00B16B6C">
        <w:t xml:space="preserve">szystkie urządzenia należy umieszczać </w:t>
      </w:r>
      <w:r w:rsidR="008C4032">
        <w:t>w sposób logiczny i w miarę możliwości przewidywalny, tak, a</w:t>
      </w:r>
      <w:r w:rsidRPr="00B16B6C">
        <w:t xml:space="preserve">by główne elementy, które wymagają czynności </w:t>
      </w:r>
      <w:r w:rsidRPr="00B16B6C">
        <w:lastRenderedPageBreak/>
        <w:t>manipulacyjnych</w:t>
      </w:r>
      <w:r w:rsidR="008C4032">
        <w:t>,</w:t>
      </w:r>
      <w:r w:rsidRPr="00B16B6C">
        <w:t xml:space="preserve"> znajdowały się na wysokości w przedziale 0,80-1,10 m</w:t>
      </w:r>
      <w:r w:rsidR="008C4032">
        <w:t>,</w:t>
      </w:r>
      <w:r w:rsidRPr="00B16B6C">
        <w:t xml:space="preserve"> a elementy mniej istotne (jeśli takie występują) – na wysokości w przedziale 0,40-1,30 m. </w:t>
      </w:r>
    </w:p>
    <w:p w14:paraId="164A6126" w14:textId="3B35E268" w:rsidR="008B7543" w:rsidRDefault="008B7543" w:rsidP="00B300B2">
      <w:r w:rsidRPr="00B16B6C">
        <w:t xml:space="preserve">Dostęp do wszystkich </w:t>
      </w:r>
      <w:r>
        <w:t xml:space="preserve">mebli i </w:t>
      </w:r>
      <w:r w:rsidRPr="00B16B6C">
        <w:t xml:space="preserve">elementów </w:t>
      </w:r>
      <w:r>
        <w:t xml:space="preserve">wyposażenia, </w:t>
      </w:r>
      <w:r w:rsidRPr="00B16B6C">
        <w:t xml:space="preserve">używanych </w:t>
      </w:r>
      <w:r>
        <w:t xml:space="preserve">podczas prac </w:t>
      </w:r>
      <w:r w:rsidRPr="00B16B6C">
        <w:t>powinien być maksymalnie ułatwiony</w:t>
      </w:r>
      <w:r w:rsidR="009A7133">
        <w:t>. P</w:t>
      </w:r>
      <w:r w:rsidRPr="00B16B6C">
        <w:t xml:space="preserve">rzynajmniej część półek i szafek powinna znajdować się w zasięgu wyciągniętej ręki osoby siedzącej, czyli na wysokości w przedziale 0,40-1,30 m od podłogi. Uchwyty szafek i szuflad powinny być </w:t>
      </w:r>
      <w:r w:rsidRPr="00B300B2">
        <w:t>duże</w:t>
      </w:r>
      <w:r w:rsidRPr="00B16B6C">
        <w:t>, skontrastowane, z możliwością obsłużenia za pomocą jednej ręki, zapewniające wygodny uchwyt i oparcie</w:t>
      </w:r>
      <w:r w:rsidR="008C4032">
        <w:t xml:space="preserve"> (uchwyty relingowe)</w:t>
      </w:r>
      <w:r w:rsidRPr="00B16B6C">
        <w:t>.</w:t>
      </w:r>
    </w:p>
    <w:p w14:paraId="44FA0342" w14:textId="41602B1A" w:rsidR="00394266" w:rsidRDefault="00394266" w:rsidP="00394266">
      <w:pPr>
        <w:pStyle w:val="Dobrapraktyka"/>
      </w:pPr>
      <w:r>
        <w:t>Dobra praktyka</w:t>
      </w:r>
    </w:p>
    <w:p w14:paraId="0B064E1B" w14:textId="1009A06D" w:rsidR="00394266" w:rsidRDefault="00394266" w:rsidP="00394266">
      <w:pPr>
        <w:pStyle w:val="Dobrapraktyka"/>
        <w:rPr>
          <w:b w:val="0"/>
          <w:bCs/>
        </w:rPr>
      </w:pPr>
      <w:r>
        <w:rPr>
          <w:b w:val="0"/>
          <w:bCs/>
        </w:rPr>
        <w:t xml:space="preserve">Dobrą praktyką jest wyposażenie biur i laboratoriów w sprzęt pozwalający na samodzielne </w:t>
      </w:r>
      <w:r w:rsidR="009A7133">
        <w:rPr>
          <w:b w:val="0"/>
          <w:bCs/>
        </w:rPr>
        <w:t>wy</w:t>
      </w:r>
      <w:r>
        <w:rPr>
          <w:b w:val="0"/>
          <w:bCs/>
        </w:rPr>
        <w:t xml:space="preserve">korzystywanie przez osoby z różnymi niepełnosprawnościami i innymi szczególnymi potrzebami. Mogą to być </w:t>
      </w:r>
      <w:r w:rsidR="001C37CE">
        <w:rPr>
          <w:b w:val="0"/>
          <w:bCs/>
        </w:rPr>
        <w:t>na przykład:</w:t>
      </w:r>
    </w:p>
    <w:p w14:paraId="0D58F953" w14:textId="0D555039" w:rsidR="00D93B41" w:rsidRDefault="00D93B41" w:rsidP="00B26202">
      <w:pPr>
        <w:pStyle w:val="akapitzlistdobrychypraktyk"/>
      </w:pPr>
      <w:r>
        <w:t>zlewki i cylindry pomiarowe z dużymi uchwytami lub umieszczane na obrotowych tacach,</w:t>
      </w:r>
    </w:p>
    <w:p w14:paraId="3C89D891" w14:textId="6FE3BDA7" w:rsidR="00D93B41" w:rsidRDefault="00D93B41" w:rsidP="00B26202">
      <w:pPr>
        <w:pStyle w:val="akapitzlistdobrychypraktyk"/>
      </w:pPr>
      <w:r>
        <w:t xml:space="preserve">mikroskopy z przedłużonymi okularami lub </w:t>
      </w:r>
      <w:r w:rsidR="00FA4818" w:rsidRPr="00FA4818">
        <w:t>wyświetlają</w:t>
      </w:r>
      <w:r w:rsidR="00FA4818">
        <w:t>ce w</w:t>
      </w:r>
      <w:r w:rsidR="00FA4818" w:rsidRPr="00FA4818">
        <w:t>yniki obrazowania na dużym ekranie monitora</w:t>
      </w:r>
      <w:r w:rsidR="00FA4818">
        <w:t>,</w:t>
      </w:r>
    </w:p>
    <w:p w14:paraId="7F684468" w14:textId="5F109C9E" w:rsidR="00D93B41" w:rsidRDefault="00D93B41" w:rsidP="00B26202">
      <w:pPr>
        <w:pStyle w:val="akapitzlistdobrychypraktyk"/>
      </w:pPr>
      <w:r w:rsidRPr="00D93B41">
        <w:t xml:space="preserve">strzykawki z </w:t>
      </w:r>
      <w:r>
        <w:t>dotykowym oznaczeniem (</w:t>
      </w:r>
      <w:r w:rsidRPr="00D93B41">
        <w:t>wycięciami</w:t>
      </w:r>
      <w:r>
        <w:t>),</w:t>
      </w:r>
      <w:r w:rsidRPr="00D93B41">
        <w:t xml:space="preserve"> odpowiadającymi każdemu pomiarowi</w:t>
      </w:r>
      <w:r>
        <w:t>,</w:t>
      </w:r>
    </w:p>
    <w:p w14:paraId="2C890041" w14:textId="6EE6EBF9" w:rsidR="00D93B41" w:rsidRDefault="00D93B41" w:rsidP="00B26202">
      <w:pPr>
        <w:pStyle w:val="akapitzlistdobrychypraktyk"/>
      </w:pPr>
      <w:r w:rsidRPr="00D93B41">
        <w:t>teksturowane półki i fronty szafek ułatwiające identyfikację oraz teksturowane</w:t>
      </w:r>
      <w:r>
        <w:t>/skontrastowane podkładki,</w:t>
      </w:r>
      <w:r w:rsidRPr="00D93B41">
        <w:t xml:space="preserve"> pomagające wskazać, gdzie znajdują</w:t>
      </w:r>
      <w:r>
        <w:t xml:space="preserve"> się poszczególne urządzenia i sprzęty,</w:t>
      </w:r>
    </w:p>
    <w:p w14:paraId="3D88A10D" w14:textId="5A4A65FC" w:rsidR="001C37CE" w:rsidRDefault="001C37CE" w:rsidP="00B26202">
      <w:pPr>
        <w:pStyle w:val="akapitzlistdobrychypraktyk"/>
      </w:pPr>
      <w:r w:rsidRPr="00B26202">
        <w:t>udźwiękowione urządzenia pomiarowe</w:t>
      </w:r>
      <w:r w:rsidR="00D93B41">
        <w:t xml:space="preserve"> i urządzenia pozwalające na sterowanie głosowe</w:t>
      </w:r>
      <w:r w:rsidRPr="00B26202">
        <w:t xml:space="preserve"> (np. wagi laboratoryjne, termometry, sygnalizatory wrzenia),</w:t>
      </w:r>
    </w:p>
    <w:p w14:paraId="580C58DD" w14:textId="79C55D6A" w:rsidR="00D93B41" w:rsidRPr="00B26202" w:rsidRDefault="00D93B41" w:rsidP="00B26202">
      <w:pPr>
        <w:pStyle w:val="akapitzlistdobrychypraktyk"/>
      </w:pPr>
      <w:r>
        <w:t>urządzenia pomiarowe, pozwalające na personalizowanie kolorów wyświetlanych informacji lub alertów,</w:t>
      </w:r>
    </w:p>
    <w:p w14:paraId="719C0B9E" w14:textId="35E2259F" w:rsidR="001C37CE" w:rsidRPr="00B26202" w:rsidRDefault="001C37CE" w:rsidP="00B26202">
      <w:pPr>
        <w:pStyle w:val="akapitzlistdobrychypraktyk"/>
      </w:pPr>
      <w:r w:rsidRPr="00B26202">
        <w:t>udźwiękowione lub wibracyjne wskaźniki poziomu cieczy,</w:t>
      </w:r>
    </w:p>
    <w:p w14:paraId="5431AD12" w14:textId="2E921172" w:rsidR="001C37CE" w:rsidRPr="00B26202" w:rsidRDefault="001C37CE" w:rsidP="00B26202">
      <w:pPr>
        <w:pStyle w:val="akapitzlistdobrychypraktyk"/>
      </w:pPr>
      <w:r w:rsidRPr="00B26202">
        <w:t>automatyczne pojemniki na odpady, uruchamiane czujnikiem ruchu,</w:t>
      </w:r>
    </w:p>
    <w:p w14:paraId="7C67BE63" w14:textId="61D4924C" w:rsidR="001C37CE" w:rsidRPr="00B26202" w:rsidRDefault="001C37CE" w:rsidP="00B26202">
      <w:pPr>
        <w:pStyle w:val="akapitzlistdobrychypraktyk"/>
      </w:pPr>
      <w:r w:rsidRPr="00B26202">
        <w:t>urządzenia nagrywająco-odtwarzające (np. dyktafony), pozwalające na wykonywanie notatek głosowych,</w:t>
      </w:r>
    </w:p>
    <w:p w14:paraId="360556C3" w14:textId="05C7F277" w:rsidR="00FA4818" w:rsidRDefault="001C37CE" w:rsidP="00FA4818">
      <w:pPr>
        <w:pStyle w:val="akapitzlistdobrychypraktyk"/>
      </w:pPr>
      <w:r w:rsidRPr="00B26202">
        <w:t xml:space="preserve">stoły i biurka z </w:t>
      </w:r>
      <w:r w:rsidR="00FE6603">
        <w:t xml:space="preserve">elektryczną </w:t>
      </w:r>
      <w:r w:rsidRPr="00B26202">
        <w:t>regulacją wysokości</w:t>
      </w:r>
      <w:r w:rsidR="00FA4818">
        <w:t xml:space="preserve">, </w:t>
      </w:r>
    </w:p>
    <w:p w14:paraId="30571F40" w14:textId="55C9B3D8" w:rsidR="00D93B41" w:rsidRPr="00B26202" w:rsidRDefault="00FA4818" w:rsidP="00FA4818">
      <w:pPr>
        <w:pStyle w:val="akapitzlistdobrychypraktyk"/>
      </w:pPr>
      <w:r>
        <w:t xml:space="preserve">oprogramowanie pozwalające na sterowanie głosowe, odczytywanie </w:t>
      </w:r>
      <w:r w:rsidRPr="00FA4818">
        <w:t xml:space="preserve">zawartości ekranu, dyktowanie </w:t>
      </w:r>
      <w:r>
        <w:t>i</w:t>
      </w:r>
      <w:r w:rsidRPr="00FA4818">
        <w:t xml:space="preserve"> zamian</w:t>
      </w:r>
      <w:r>
        <w:t>ę mowy na tekst.</w:t>
      </w:r>
    </w:p>
    <w:p w14:paraId="3E7D9F49" w14:textId="77777777" w:rsidR="008B7543" w:rsidRDefault="008B7543" w:rsidP="008B7543">
      <w:pPr>
        <w:pStyle w:val="Nagwek3"/>
        <w:numPr>
          <w:ilvl w:val="0"/>
          <w:numId w:val="27"/>
        </w:numPr>
        <w:ind w:left="426" w:hanging="426"/>
      </w:pPr>
      <w:bookmarkStart w:id="73" w:name="_Toc182319564"/>
      <w:r w:rsidRPr="00A54693">
        <w:lastRenderedPageBreak/>
        <w:t>Stoły</w:t>
      </w:r>
      <w:r>
        <w:t>, blaty, biurka</w:t>
      </w:r>
      <w:bookmarkEnd w:id="73"/>
    </w:p>
    <w:p w14:paraId="74547B00" w14:textId="77777777" w:rsidR="008B7543" w:rsidRDefault="008B7543" w:rsidP="008B7543">
      <w:pPr>
        <w:pStyle w:val="Nagwek4"/>
      </w:pPr>
      <w:bookmarkStart w:id="74" w:name="_Toc182319565"/>
      <w:r>
        <w:t>Stoły i biurka do pracy</w:t>
      </w:r>
      <w:bookmarkEnd w:id="74"/>
    </w:p>
    <w:p w14:paraId="3BE9B8C7" w14:textId="5999C226" w:rsidR="002A66BE" w:rsidRDefault="002A66BE" w:rsidP="00543059">
      <w:r>
        <w:t xml:space="preserve">Stosowane biurka i stoły do pracy muszą być stabilne – zapewniać możliwość bezpiecznego oparcia się lub podparcia. </w:t>
      </w:r>
      <w:r w:rsidR="00543059">
        <w:t xml:space="preserve">Co najmniej 1/3 wszystkich stołów i biurek </w:t>
      </w:r>
      <w:r>
        <w:t xml:space="preserve">w danej przestrzeni </w:t>
      </w:r>
      <w:r w:rsidR="00543059">
        <w:t>do pracy powinna być w pełni dostępna dla osób poruszających się na wózkach. Oznacza to, że p</w:t>
      </w:r>
      <w:r w:rsidR="00FC46E3" w:rsidRPr="00B834BF">
        <w:t xml:space="preserve">rzynajmniej z jednej strony </w:t>
      </w:r>
      <w:r w:rsidR="00543059">
        <w:t>stołu</w:t>
      </w:r>
      <w:r>
        <w:t>/biurka</w:t>
      </w:r>
      <w:r w:rsidR="00543059">
        <w:t xml:space="preserve"> </w:t>
      </w:r>
      <w:r w:rsidR="00FC46E3" w:rsidRPr="00B834BF">
        <w:t xml:space="preserve">należy zapewnić możliwość podjechania wózkiem – wolną przestrzeń o wymiarach </w:t>
      </w:r>
      <w:r w:rsidR="00543059">
        <w:t>min.</w:t>
      </w:r>
      <w:r w:rsidR="00FC46E3" w:rsidRPr="00B834BF">
        <w:t xml:space="preserve"> 1,50 x 1,50 m.</w:t>
      </w:r>
    </w:p>
    <w:p w14:paraId="506559CB" w14:textId="55EBA8EB" w:rsidR="00FE6603" w:rsidRDefault="00FC46E3" w:rsidP="00FE6603">
      <w:r w:rsidRPr="00B834BF">
        <w:t>Blat należy umieścić na wysokości 0,75-0,85 m a pod nim pozostawić wolną przestrzeń na nogi osoby siedzącej (o wysokości co najmniej 0,70 m, szerokości 0,90 m i głębokości 0,60 m lub największej, na jaką pozwoli blat).</w:t>
      </w:r>
      <w:r w:rsidR="002A66BE">
        <w:t xml:space="preserve"> Należy stosować meble zapewniające łatwy dostęp do sprzętu i materiałów</w:t>
      </w:r>
      <w:r w:rsidR="008C4B5E">
        <w:t xml:space="preserve"> (</w:t>
      </w:r>
      <w:r w:rsidR="002A66BE">
        <w:t>np. z wysuwanymi półkami lub szufladami</w:t>
      </w:r>
      <w:r w:rsidR="008C4B5E">
        <w:t>)</w:t>
      </w:r>
      <w:r w:rsidR="002A66BE">
        <w:t xml:space="preserve">. </w:t>
      </w:r>
      <w:r w:rsidR="002A66BE" w:rsidRPr="002A66BE">
        <w:t>Uchwyty szafek i szuflad powinny być duże, skontrastowane, z możliwością obsłużenia za pomocą jednej ręki, zapewniające wygodny uchwyt i oparcie</w:t>
      </w:r>
      <w:r w:rsidR="00FE6603">
        <w:t xml:space="preserve"> </w:t>
      </w:r>
      <w:r w:rsidR="007C4EF9">
        <w:t>–</w:t>
      </w:r>
      <w:r w:rsidR="00FE6603">
        <w:t xml:space="preserve"> </w:t>
      </w:r>
      <w:r w:rsidR="00FE6603" w:rsidRPr="005235B7">
        <w:t>np. uchwyty typu reling (długie, łatwe do uchwycenia drążki) lub uchwyty o większej powierzchni, które można wygodnie chwycić całą dłonią lub nawet przedramieniem, zapewniając łatwiejszy dostęp.</w:t>
      </w:r>
    </w:p>
    <w:p w14:paraId="6ED04A41" w14:textId="5C9ECAF4" w:rsidR="00543059" w:rsidRDefault="00543059" w:rsidP="00543059">
      <w:pPr>
        <w:pStyle w:val="Dobrapraktyka"/>
      </w:pPr>
      <w:r>
        <w:t>Dobra praktyka:</w:t>
      </w:r>
    </w:p>
    <w:p w14:paraId="056A24BE" w14:textId="7134A53B" w:rsidR="002A66BE" w:rsidRPr="002A66BE" w:rsidRDefault="002A66BE" w:rsidP="002A66BE">
      <w:pPr>
        <w:pStyle w:val="Dobrapraktyka"/>
        <w:rPr>
          <w:rFonts w:eastAsiaTheme="majorEastAsia" w:cstheme="majorBidi"/>
          <w:b w:val="0"/>
          <w:bCs/>
          <w:color w:val="0F4761" w:themeColor="accent1" w:themeShade="BF"/>
          <w:kern w:val="2"/>
          <w:sz w:val="28"/>
          <w:szCs w:val="28"/>
          <w:lang w:eastAsia="en-US"/>
          <w14:ligatures w14:val="standardContextual"/>
        </w:rPr>
      </w:pPr>
      <w:r w:rsidRPr="002A66BE">
        <w:rPr>
          <w:b w:val="0"/>
          <w:bCs/>
        </w:rPr>
        <w:t>Zalecane jest stosowanie blatów o regulowanej wysokości (możliwych do użytkowania na siedząco i na stojąco) w przedziale minimalnym 0,60-1,18 m, z elektrycznym sterowaniem.</w:t>
      </w:r>
    </w:p>
    <w:p w14:paraId="67FF93C7" w14:textId="23E7946C" w:rsidR="008B7543" w:rsidRDefault="008B7543" w:rsidP="002A66BE">
      <w:pPr>
        <w:pStyle w:val="Nagwek4"/>
      </w:pPr>
      <w:bookmarkStart w:id="75" w:name="_Toc182319566"/>
      <w:r>
        <w:t xml:space="preserve">Stoły </w:t>
      </w:r>
      <w:r w:rsidR="007C517B">
        <w:t>operacyjne</w:t>
      </w:r>
      <w:bookmarkEnd w:id="75"/>
      <w:r w:rsidR="001032EA">
        <w:t xml:space="preserve"> </w:t>
      </w:r>
    </w:p>
    <w:p w14:paraId="026CE2E9" w14:textId="3E2E6965" w:rsidR="00C60582" w:rsidRDefault="007C517B" w:rsidP="00086C78">
      <w:r>
        <w:t>P</w:t>
      </w:r>
      <w:r w:rsidRPr="007C517B">
        <w:t xml:space="preserve">rzynajmniej jeden </w:t>
      </w:r>
      <w:r w:rsidR="002A66BE">
        <w:t>stół</w:t>
      </w:r>
      <w:r w:rsidRPr="007C517B">
        <w:t xml:space="preserve"> </w:t>
      </w:r>
      <w:r w:rsidR="001032EA">
        <w:t>operacyjny</w:t>
      </w:r>
      <w:r w:rsidR="002A66BE">
        <w:t xml:space="preserve"> </w:t>
      </w:r>
      <w:r w:rsidRPr="007C517B">
        <w:t>powinien</w:t>
      </w:r>
      <w:r w:rsidR="002A66BE">
        <w:t xml:space="preserve"> być w pełni dostępny dla osób poruszających się na wózkach:</w:t>
      </w:r>
    </w:p>
    <w:p w14:paraId="7277E172" w14:textId="4C4CC77B" w:rsidR="002A66BE" w:rsidRDefault="003F1CED" w:rsidP="00C60582">
      <w:pPr>
        <w:pStyle w:val="Akapitzlist"/>
        <w:ind w:left="284" w:hanging="284"/>
      </w:pPr>
      <w:r w:rsidRPr="003F1CED">
        <w:t>z każdej strony, z której można podejść i pracować przy stole, należy zapewnić wolną przestrzeń o szerokości co najmniej 1,20 m a przynajmniej z dwóch stron</w:t>
      </w:r>
      <w:r w:rsidRPr="00B834BF">
        <w:t xml:space="preserve"> </w:t>
      </w:r>
      <w:r>
        <w:t xml:space="preserve">stołu </w:t>
      </w:r>
      <w:r w:rsidRPr="00B834BF">
        <w:t xml:space="preserve">należy zapewnić </w:t>
      </w:r>
      <w:r w:rsidR="002A66BE" w:rsidRPr="00B834BF">
        <w:t>możliwość podjechania</w:t>
      </w:r>
      <w:r>
        <w:t xml:space="preserve"> i manewrowania</w:t>
      </w:r>
      <w:r w:rsidR="002A66BE" w:rsidRPr="00B834BF">
        <w:t xml:space="preserve"> wózkiem </w:t>
      </w:r>
      <w:r w:rsidR="008910A0">
        <w:t>(</w:t>
      </w:r>
      <w:r w:rsidR="002A66BE" w:rsidRPr="00B834BF">
        <w:t>woln</w:t>
      </w:r>
      <w:r w:rsidR="008910A0">
        <w:t>a</w:t>
      </w:r>
      <w:r w:rsidR="002A66BE" w:rsidRPr="00B834BF">
        <w:t xml:space="preserve"> przestrzeń o wymiarach </w:t>
      </w:r>
      <w:r w:rsidR="002A66BE">
        <w:t>min.</w:t>
      </w:r>
      <w:r w:rsidR="002A66BE" w:rsidRPr="00B834BF">
        <w:t xml:space="preserve"> 1,50 x 1,50 m</w:t>
      </w:r>
      <w:r w:rsidR="008910A0">
        <w:t>),</w:t>
      </w:r>
    </w:p>
    <w:p w14:paraId="62B0F48F" w14:textId="436914D4" w:rsidR="00C60582" w:rsidRDefault="00C60582" w:rsidP="001032EA">
      <w:pPr>
        <w:pStyle w:val="Akapitzlist"/>
        <w:ind w:left="284" w:hanging="284"/>
      </w:pPr>
      <w:r>
        <w:lastRenderedPageBreak/>
        <w:t xml:space="preserve">blat </w:t>
      </w:r>
      <w:r w:rsidR="003F1CED">
        <w:t xml:space="preserve">powinien znajdować się </w:t>
      </w:r>
      <w:r>
        <w:t xml:space="preserve">na </w:t>
      </w:r>
      <w:r w:rsidRPr="00B834BF">
        <w:t>wysokości 0,75-0,85 m</w:t>
      </w:r>
      <w:r w:rsidR="003F1CED">
        <w:t>, pod nim należy zapewnić wol</w:t>
      </w:r>
      <w:r w:rsidRPr="00B834BF">
        <w:t>ną przestrze</w:t>
      </w:r>
      <w:r w:rsidR="008B65FB">
        <w:t xml:space="preserve">ń </w:t>
      </w:r>
      <w:r w:rsidRPr="00B834BF">
        <w:t xml:space="preserve">na nogi osoby siedzącej (o wysokości </w:t>
      </w:r>
      <w:r w:rsidR="008B65FB">
        <w:t xml:space="preserve">min. </w:t>
      </w:r>
      <w:r w:rsidRPr="00B834BF">
        <w:t xml:space="preserve">0,70 m, szerokości </w:t>
      </w:r>
      <w:r w:rsidR="008B65FB">
        <w:t xml:space="preserve">min. </w:t>
      </w:r>
      <w:r w:rsidRPr="00B834BF">
        <w:t xml:space="preserve">0,90 m i głębokości </w:t>
      </w:r>
      <w:r w:rsidR="008B65FB">
        <w:t xml:space="preserve">min. </w:t>
      </w:r>
      <w:r w:rsidRPr="00B834BF">
        <w:t>0,60 m lub największej, na jaką pozwoli blat)</w:t>
      </w:r>
      <w:r w:rsidRPr="002A66BE">
        <w:t>.</w:t>
      </w:r>
    </w:p>
    <w:p w14:paraId="5BB29D76" w14:textId="6B2F3830" w:rsidR="00C60582" w:rsidRDefault="00C60582" w:rsidP="002A66BE">
      <w:r>
        <w:t>Stosowane stoły muszą być stabilne – zapewniać możliwość bezpiecznego oparcia się lub podparcia. Powinny posiadać antypoślizgową powierzchnię, zapewniającą bezpieczeństwo a równocześnie – możliwość łatwej dezynfekcji.</w:t>
      </w:r>
    </w:p>
    <w:p w14:paraId="572B2823" w14:textId="77777777" w:rsidR="00C60582" w:rsidRDefault="00C60582" w:rsidP="00C60582">
      <w:pPr>
        <w:pStyle w:val="Dobrapraktyka"/>
      </w:pPr>
      <w:r>
        <w:t>Dobra praktyka:</w:t>
      </w:r>
    </w:p>
    <w:p w14:paraId="52C4114C" w14:textId="68A40CD4" w:rsidR="001032EA" w:rsidRPr="002A66BE" w:rsidRDefault="00C60582" w:rsidP="00FE6603">
      <w:pPr>
        <w:pStyle w:val="Dobrapraktyka"/>
        <w:rPr>
          <w:rFonts w:eastAsiaTheme="majorEastAsia" w:cstheme="majorBidi"/>
          <w:color w:val="0F4761" w:themeColor="accent1" w:themeShade="BF"/>
          <w:kern w:val="2"/>
          <w:sz w:val="28"/>
          <w:szCs w:val="28"/>
          <w:lang w:eastAsia="en-US"/>
          <w14:ligatures w14:val="standardContextual"/>
        </w:rPr>
      </w:pPr>
      <w:r w:rsidRPr="002A66BE">
        <w:rPr>
          <w:b w:val="0"/>
          <w:bCs/>
        </w:rPr>
        <w:t xml:space="preserve">Zalecane jest stosowanie blatów </w:t>
      </w:r>
      <w:r w:rsidR="001032EA" w:rsidRPr="002A66BE">
        <w:rPr>
          <w:b w:val="0"/>
          <w:bCs/>
        </w:rPr>
        <w:t>z elektrycznym sterowanie</w:t>
      </w:r>
      <w:r w:rsidR="001032EA">
        <w:rPr>
          <w:b w:val="0"/>
          <w:bCs/>
        </w:rPr>
        <w:t xml:space="preserve">m </w:t>
      </w:r>
      <w:r w:rsidRPr="002A66BE">
        <w:rPr>
          <w:b w:val="0"/>
          <w:bCs/>
        </w:rPr>
        <w:t>o</w:t>
      </w:r>
      <w:r w:rsidR="00FE6603">
        <w:rPr>
          <w:b w:val="0"/>
          <w:bCs/>
        </w:rPr>
        <w:t xml:space="preserve"> regulowanym k</w:t>
      </w:r>
      <w:r w:rsidR="008C4B5E">
        <w:rPr>
          <w:b w:val="0"/>
          <w:bCs/>
        </w:rPr>
        <w:t>ą</w:t>
      </w:r>
      <w:r w:rsidR="00FE6603">
        <w:rPr>
          <w:b w:val="0"/>
          <w:bCs/>
        </w:rPr>
        <w:t xml:space="preserve">cie nachylenia i regulowanej </w:t>
      </w:r>
      <w:r w:rsidRPr="00FE6603">
        <w:rPr>
          <w:b w:val="0"/>
          <w:bCs/>
        </w:rPr>
        <w:t>wysokości (możliwych do użytkowania na siedząco i na stojąco) w przedziale minimalnym 0,60-1,18 m</w:t>
      </w:r>
      <w:r w:rsidR="001032EA" w:rsidRPr="00FE6603">
        <w:rPr>
          <w:b w:val="0"/>
          <w:bCs/>
        </w:rPr>
        <w:t>.</w:t>
      </w:r>
    </w:p>
    <w:p w14:paraId="2E14074C" w14:textId="5A89C8D5" w:rsidR="008B7543" w:rsidRDefault="008B7543" w:rsidP="008B7543">
      <w:pPr>
        <w:pStyle w:val="Nagwek4"/>
      </w:pPr>
      <w:bookmarkStart w:id="76" w:name="_Toc182319567"/>
      <w:r>
        <w:t>Stoły</w:t>
      </w:r>
      <w:r w:rsidR="001032EA">
        <w:t xml:space="preserve"> laboratoryjne (w tym</w:t>
      </w:r>
      <w:r>
        <w:t xml:space="preserve"> wagowe</w:t>
      </w:r>
      <w:r w:rsidR="001032EA">
        <w:t>)</w:t>
      </w:r>
      <w:bookmarkEnd w:id="76"/>
    </w:p>
    <w:p w14:paraId="3E431EF6" w14:textId="77777777" w:rsidR="001032EA" w:rsidRDefault="001032EA" w:rsidP="001032EA">
      <w:r>
        <w:t>P</w:t>
      </w:r>
      <w:r w:rsidRPr="007C517B">
        <w:t xml:space="preserve">rzynajmniej jeden </w:t>
      </w:r>
      <w:r>
        <w:t>stół</w:t>
      </w:r>
      <w:r w:rsidRPr="007C517B">
        <w:t xml:space="preserve"> </w:t>
      </w:r>
      <w:r>
        <w:t xml:space="preserve">danego typu </w:t>
      </w:r>
      <w:r w:rsidRPr="007C517B">
        <w:t>powinien</w:t>
      </w:r>
      <w:r>
        <w:t xml:space="preserve"> być w pełni dostępny dla osób poruszających się na wózkach:</w:t>
      </w:r>
    </w:p>
    <w:p w14:paraId="30078861" w14:textId="77777777" w:rsidR="001032EA" w:rsidRDefault="001032EA" w:rsidP="001032EA">
      <w:pPr>
        <w:pStyle w:val="Akapitzlist"/>
        <w:ind w:left="284" w:hanging="284"/>
      </w:pPr>
      <w:r>
        <w:t xml:space="preserve">w przypadku stołów wyspowych – </w:t>
      </w:r>
      <w:r w:rsidRPr="003F1CED">
        <w:t>z każdej strony, z której można podejść i pracować przy stole, należy zapewnić wolną przestrzeń o szerokości co najmniej 1,20 m a przynajmniej z dwóch stron</w:t>
      </w:r>
      <w:r w:rsidRPr="00B834BF">
        <w:t xml:space="preserve"> </w:t>
      </w:r>
      <w:r>
        <w:t xml:space="preserve">stołu </w:t>
      </w:r>
      <w:r w:rsidRPr="00B834BF">
        <w:t>należy zapewnić możliwość podjechania</w:t>
      </w:r>
      <w:r>
        <w:t xml:space="preserve"> i manewrowania</w:t>
      </w:r>
      <w:r w:rsidRPr="00B834BF">
        <w:t xml:space="preserve"> wózkiem </w:t>
      </w:r>
      <w:r>
        <w:t>(</w:t>
      </w:r>
      <w:r w:rsidRPr="00B834BF">
        <w:t>woln</w:t>
      </w:r>
      <w:r>
        <w:t>a</w:t>
      </w:r>
      <w:r w:rsidRPr="00B834BF">
        <w:t xml:space="preserve"> przestrzeń o wymiarach </w:t>
      </w:r>
      <w:r>
        <w:t>min.</w:t>
      </w:r>
      <w:r w:rsidRPr="00B834BF">
        <w:t xml:space="preserve"> 1,50 x 1,50 m</w:t>
      </w:r>
      <w:r>
        <w:t>),</w:t>
      </w:r>
    </w:p>
    <w:p w14:paraId="2C07AFE1" w14:textId="77777777" w:rsidR="001032EA" w:rsidRDefault="001032EA" w:rsidP="001032EA">
      <w:pPr>
        <w:pStyle w:val="Akapitzlist"/>
        <w:ind w:left="284" w:hanging="284"/>
      </w:pPr>
      <w:r>
        <w:t xml:space="preserve">w przypadku stołów przyściennych – przynajmniej z jednej strony stołu </w:t>
      </w:r>
      <w:r w:rsidRPr="00B834BF">
        <w:t>należy zapewnić możliwość podjechania</w:t>
      </w:r>
      <w:r>
        <w:t xml:space="preserve"> i manewrowania</w:t>
      </w:r>
      <w:r w:rsidRPr="00B834BF">
        <w:t xml:space="preserve"> wózkiem </w:t>
      </w:r>
      <w:r>
        <w:t>(</w:t>
      </w:r>
      <w:r w:rsidRPr="00B834BF">
        <w:t>woln</w:t>
      </w:r>
      <w:r>
        <w:t>a</w:t>
      </w:r>
      <w:r w:rsidRPr="00B834BF">
        <w:t xml:space="preserve"> przestrzeń o wymiarach </w:t>
      </w:r>
      <w:r>
        <w:t>min.</w:t>
      </w:r>
      <w:r w:rsidRPr="00B834BF">
        <w:t xml:space="preserve"> 1,50 x 1,50 m</w:t>
      </w:r>
      <w:r>
        <w:t>),</w:t>
      </w:r>
    </w:p>
    <w:p w14:paraId="3DF31EE2" w14:textId="07D75986" w:rsidR="001032EA" w:rsidRDefault="001032EA" w:rsidP="001032EA">
      <w:pPr>
        <w:pStyle w:val="Akapitzlist"/>
        <w:ind w:left="284" w:hanging="284"/>
      </w:pPr>
      <w:r>
        <w:t xml:space="preserve">blat powinien znajdować się na </w:t>
      </w:r>
      <w:r w:rsidRPr="00B834BF">
        <w:t>wysokości 0,75-0,85 m</w:t>
      </w:r>
      <w:r>
        <w:t>, pod nim należy zapewnić wol</w:t>
      </w:r>
      <w:r w:rsidRPr="00B834BF">
        <w:t>ną przestrze</w:t>
      </w:r>
      <w:r>
        <w:t xml:space="preserve">ń </w:t>
      </w:r>
      <w:r w:rsidRPr="00B834BF">
        <w:t xml:space="preserve">na nogi osoby siedzącej (o wysokości </w:t>
      </w:r>
      <w:r>
        <w:t xml:space="preserve">min. </w:t>
      </w:r>
      <w:r w:rsidRPr="00B834BF">
        <w:t xml:space="preserve">0,70 m, szerokości </w:t>
      </w:r>
      <w:r>
        <w:t xml:space="preserve">min. </w:t>
      </w:r>
      <w:r w:rsidRPr="00B834BF">
        <w:t xml:space="preserve">0,90 m i głębokości </w:t>
      </w:r>
      <w:r>
        <w:t xml:space="preserve">min. </w:t>
      </w:r>
      <w:r w:rsidRPr="00B834BF">
        <w:t>0,60 m lub największej, na jaką pozwoli blat)</w:t>
      </w:r>
      <w:r>
        <w:t>;</w:t>
      </w:r>
    </w:p>
    <w:p w14:paraId="32F49D44" w14:textId="29E47E0F" w:rsidR="001032EA" w:rsidRDefault="001032EA" w:rsidP="001032EA">
      <w:pPr>
        <w:pStyle w:val="Akapitzlist"/>
        <w:numPr>
          <w:ilvl w:val="0"/>
          <w:numId w:val="0"/>
        </w:numPr>
        <w:ind w:left="284"/>
      </w:pPr>
      <w:r>
        <w:t>w przypadku stołów / blatów montowanych na zestawach szafkowych, konieczne jest zapewnienie wolnej przestrzeni co najmniej pod centralną częścią blatu,</w:t>
      </w:r>
    </w:p>
    <w:p w14:paraId="6D421962" w14:textId="75F31D42" w:rsidR="001032EA" w:rsidRDefault="001032EA" w:rsidP="001032EA">
      <w:pPr>
        <w:pStyle w:val="Akapitzlist"/>
        <w:ind w:left="284" w:hanging="284"/>
      </w:pPr>
      <w:r>
        <w:t>należy zapewnić łatwy dostęp do sprzętu i materiałów</w:t>
      </w:r>
      <w:r w:rsidR="008C4B5E">
        <w:t xml:space="preserve"> (</w:t>
      </w:r>
      <w:r>
        <w:t>np. z wysuwane półki lub szuflady</w:t>
      </w:r>
      <w:r w:rsidR="008C4B5E">
        <w:t>)</w:t>
      </w:r>
      <w:r>
        <w:t>; u</w:t>
      </w:r>
      <w:r w:rsidRPr="002A66BE">
        <w:t xml:space="preserve">chwyty szafek i szuflad powinny być duże, skontrastowane, z możliwością obsłużenia za pomocą jednej ręki, zapewniające wygodny uchwyt i </w:t>
      </w:r>
      <w:r w:rsidR="007C4EF9" w:rsidRPr="002A66BE">
        <w:t>oparcie</w:t>
      </w:r>
      <w:r w:rsidR="007C4EF9">
        <w:t xml:space="preserve"> – </w:t>
      </w:r>
      <w:r w:rsidR="007C4EF9" w:rsidRPr="005235B7">
        <w:t xml:space="preserve">np. uchwyty typu reling (długie, łatwe do uchwycenia drążki) lub uchwyty </w:t>
      </w:r>
      <w:r w:rsidR="007C4EF9" w:rsidRPr="005235B7">
        <w:lastRenderedPageBreak/>
        <w:t>o większej powierzchni, które można wygodnie chwycić całą dłonią lub nawet przedramieniem, zapewniając łatwiejszy dostęp.</w:t>
      </w:r>
    </w:p>
    <w:p w14:paraId="1BD4C315" w14:textId="77777777" w:rsidR="001032EA" w:rsidRDefault="001032EA" w:rsidP="001032EA">
      <w:r>
        <w:t>Stosowane stoły muszą być stabilne – zapewniać możliwość bezpiecznego oparcia się lub podparcia. Powinny posiadać antypoślizgową powierzchnię, zapewniającą bezpieczeństwo a równocześnie – możliwość łatwej dezynfekcji.</w:t>
      </w:r>
    </w:p>
    <w:p w14:paraId="62F77B4D" w14:textId="580A0BCE" w:rsidR="001032EA" w:rsidRDefault="001032EA" w:rsidP="001032EA">
      <w:pPr>
        <w:pStyle w:val="Dobrapraktyka"/>
      </w:pPr>
      <w:r>
        <w:t>Dobra praktyka</w:t>
      </w:r>
    </w:p>
    <w:p w14:paraId="0A33DD74" w14:textId="3F1148B3" w:rsidR="001032EA" w:rsidRPr="002A66BE" w:rsidRDefault="001032EA" w:rsidP="001032EA">
      <w:pPr>
        <w:pStyle w:val="Dobrapraktyka"/>
        <w:rPr>
          <w:rFonts w:eastAsiaTheme="majorEastAsia" w:cstheme="majorBidi"/>
          <w:b w:val="0"/>
          <w:bCs/>
          <w:color w:val="0F4761" w:themeColor="accent1" w:themeShade="BF"/>
          <w:kern w:val="2"/>
          <w:sz w:val="28"/>
          <w:szCs w:val="28"/>
          <w:lang w:eastAsia="en-US"/>
          <w14:ligatures w14:val="standardContextual"/>
        </w:rPr>
      </w:pPr>
      <w:r w:rsidRPr="002A66BE">
        <w:rPr>
          <w:b w:val="0"/>
          <w:bCs/>
        </w:rPr>
        <w:t xml:space="preserve">Zalecane jest stosowanie </w:t>
      </w:r>
      <w:r>
        <w:rPr>
          <w:b w:val="0"/>
          <w:bCs/>
        </w:rPr>
        <w:t>stołów z opcją montażu akcesoriów: ekranów ochronnych czy sprzętu pomiarowego</w:t>
      </w:r>
      <w:r>
        <w:t>.</w:t>
      </w:r>
    </w:p>
    <w:p w14:paraId="61A61EF8" w14:textId="77777777" w:rsidR="008B7543" w:rsidRDefault="008B7543" w:rsidP="008B7543">
      <w:pPr>
        <w:pStyle w:val="Nagwek4"/>
      </w:pPr>
      <w:bookmarkStart w:id="77" w:name="_Toc182319568"/>
      <w:r>
        <w:t>Stanowiska do mycia (zmywalnie i zlewy)</w:t>
      </w:r>
      <w:bookmarkEnd w:id="77"/>
    </w:p>
    <w:p w14:paraId="3CFEF70C" w14:textId="0AB669A9" w:rsidR="008B7543" w:rsidRPr="00B834BF" w:rsidRDefault="008B7543" w:rsidP="00671EB7">
      <w:r w:rsidRPr="00B834BF">
        <w:t>Z każdej strony, z której można podejść i pracować przy s</w:t>
      </w:r>
      <w:r w:rsidR="007C4EF9">
        <w:t>tanowisku</w:t>
      </w:r>
      <w:r w:rsidRPr="00B834BF">
        <w:t>, należy zapewnić wolną przestrzeń o szerokości co najmniej 1,20 m</w:t>
      </w:r>
      <w:r w:rsidR="008C4B5E">
        <w:t>,</w:t>
      </w:r>
      <w:r w:rsidRPr="00B834BF">
        <w:t xml:space="preserve"> a przynajmniej z jednej strony stołu – przestrzeń dla wygodnego manewrowania i obrotu wózka – co najmniej 1,50 x 1,50 m. </w:t>
      </w:r>
    </w:p>
    <w:p w14:paraId="1BE50DEB" w14:textId="77777777" w:rsidR="00671EB7" w:rsidRDefault="008B7543" w:rsidP="00671EB7">
      <w:r w:rsidRPr="00B834BF">
        <w:t xml:space="preserve">Blat stołu powinien znajdować się na wysokości 0,75-0,85 m, z zachowaniem pod nim przestrzeni o wysokości co najmniej 0,70 m, szerokości co najmniej 0,90 m i głębokości co najmniej 0,60 m (lub największej, na jaką pozwala konstrukcja stołu). </w:t>
      </w:r>
      <w:r w:rsidRPr="00B834BF">
        <w:br/>
        <w:t xml:space="preserve">Przy zlewie zaleca się zachowanie pola odstawczego o szerokości co najmniej 0,40 m. </w:t>
      </w:r>
    </w:p>
    <w:p w14:paraId="255C50AF" w14:textId="386FCA7B" w:rsidR="00D3063F" w:rsidRDefault="008B7543" w:rsidP="00671EB7">
      <w:r w:rsidRPr="00B834BF">
        <w:t>Przynajmniej jeden zlew w każdym pomieszczeniu, w którym znajduje się stanowisko mycia, powinien być dostępny dla osób poruszających się na wózkach</w:t>
      </w:r>
      <w:r w:rsidR="008C4B5E">
        <w:t>. W</w:t>
      </w:r>
      <w:r w:rsidRPr="00B834BF">
        <w:t xml:space="preserve"> tym celu należy stosować zlewy o p</w:t>
      </w:r>
      <w:r w:rsidRPr="00B834BF">
        <w:rPr>
          <w:rFonts w:ascii="Calibri" w:hAnsi="Calibri" w:cs="Calibri"/>
        </w:rPr>
        <w:t>ł</w:t>
      </w:r>
      <w:r w:rsidRPr="00B834BF">
        <w:t xml:space="preserve">ytkich komorach (ok. 0,15-0,20 m) i z baterią uruchamianą automatycznie lub za pomocą przedłużonej dźwigni. </w:t>
      </w:r>
    </w:p>
    <w:p w14:paraId="59C599E1" w14:textId="77777777" w:rsidR="00D3063F" w:rsidRDefault="00D3063F" w:rsidP="00D3063F">
      <w:pPr>
        <w:pStyle w:val="Dobrapraktyka"/>
      </w:pPr>
      <w:r>
        <w:t>Dobra praktyka</w:t>
      </w:r>
    </w:p>
    <w:p w14:paraId="1C5850DE" w14:textId="0552EFC9" w:rsidR="008B7543" w:rsidRPr="00D3063F" w:rsidRDefault="008B7543" w:rsidP="00D3063F">
      <w:pPr>
        <w:pStyle w:val="Dobrapraktyka"/>
        <w:rPr>
          <w:b w:val="0"/>
          <w:bCs/>
        </w:rPr>
      </w:pPr>
      <w:r w:rsidRPr="00D3063F">
        <w:rPr>
          <w:b w:val="0"/>
          <w:bCs/>
        </w:rPr>
        <w:t xml:space="preserve">Zalecane jest stosowanie bezdotykowych baterii o przedłużonej, ruchomej wylewce. </w:t>
      </w:r>
    </w:p>
    <w:p w14:paraId="21E3AD66" w14:textId="77777777" w:rsidR="008B7543" w:rsidRDefault="008B7543" w:rsidP="008B7543">
      <w:pPr>
        <w:pStyle w:val="Nagwek4"/>
      </w:pPr>
      <w:bookmarkStart w:id="78" w:name="_Toc182319569"/>
      <w:r>
        <w:t xml:space="preserve">Stoły i meble </w:t>
      </w:r>
      <w:r w:rsidRPr="00A54693">
        <w:t>montażowe</w:t>
      </w:r>
      <w:bookmarkEnd w:id="78"/>
    </w:p>
    <w:p w14:paraId="3F53CC7D" w14:textId="26C2CDB9" w:rsidR="00D3063F" w:rsidRDefault="00D3063F" w:rsidP="00D3063F">
      <w:r>
        <w:t>Stosowane stoły i meble montażowe muszą być stabilne – zapewniać możliwość bezpiecznego oparcia się lub podparcia. Co najmniej 1/3 wszystkich stołów i mebli montażowych w danej przestrzeni do pracy powinna być w pełni dostępna dla osób poruszających się na wózkach. Oznacza to, że p</w:t>
      </w:r>
      <w:r w:rsidRPr="00B834BF">
        <w:t xml:space="preserve">rzynajmniej z jednej strony </w:t>
      </w:r>
      <w:r>
        <w:t xml:space="preserve">stołu </w:t>
      </w:r>
      <w:r w:rsidRPr="00B834BF">
        <w:lastRenderedPageBreak/>
        <w:t xml:space="preserve">należy zapewnić możliwość podjechania wózkiem – wolną przestrzeń o wymiarach </w:t>
      </w:r>
      <w:r>
        <w:t>min.</w:t>
      </w:r>
      <w:r w:rsidRPr="00B834BF">
        <w:t xml:space="preserve"> 1,50 x 1,50 m.</w:t>
      </w:r>
    </w:p>
    <w:p w14:paraId="2C86381C" w14:textId="77777777" w:rsidR="00D3063F" w:rsidRDefault="00D3063F" w:rsidP="00D3063F">
      <w:r w:rsidRPr="00B834BF">
        <w:t>Blat należy umieścić na wysokości 0,75-0,85 m a pod nim pozostawić wolną przestrzeń na nogi osoby siedzącej (o wysokości co najmniej 0,70 m, szerokości 0,90 m i głębokości 0,60 m lub największej, na jaką pozwoli blat).</w:t>
      </w:r>
      <w:r>
        <w:t xml:space="preserve"> </w:t>
      </w:r>
    </w:p>
    <w:p w14:paraId="0CD8A677" w14:textId="606E773C" w:rsidR="00D3063F" w:rsidRDefault="00D3063F" w:rsidP="00D3063F">
      <w:r>
        <w:t>Należy stosować meble zapewniające łatwy dostęp do sprzętu, narzędzi i materiałów</w:t>
      </w:r>
      <w:r w:rsidR="008C4B5E">
        <w:t xml:space="preserve"> (</w:t>
      </w:r>
      <w:r>
        <w:t>np. z wysuwanymi półkami, szufladami, wieszakami</w:t>
      </w:r>
      <w:r w:rsidR="008C4B5E">
        <w:t>)</w:t>
      </w:r>
      <w:r>
        <w:t xml:space="preserve">. </w:t>
      </w:r>
      <w:r w:rsidRPr="002A66BE">
        <w:t xml:space="preserve">Uchwyty szafek i szuflad powinny być duże, skontrastowane, z możliwością obsłużenia za pomocą jednej ręki, zapewniające wygodny uchwyt i </w:t>
      </w:r>
      <w:r w:rsidR="007C4EF9" w:rsidRPr="002A66BE">
        <w:t>oparcie</w:t>
      </w:r>
      <w:r w:rsidR="007C4EF9">
        <w:t xml:space="preserve"> – </w:t>
      </w:r>
      <w:r w:rsidR="007C4EF9" w:rsidRPr="005235B7">
        <w:t>np. uchwyty typu reling (długie, łatwe do uchwycenia drążki) lub uchwyty o większej powierzchni, które można wygodnie chwycić całą dłonią lub nawet przedramieniem, zapewniając łatwiejszy dostęp.</w:t>
      </w:r>
    </w:p>
    <w:p w14:paraId="1E39167E" w14:textId="54282596" w:rsidR="00D3063F" w:rsidRDefault="00D3063F" w:rsidP="00D3063F">
      <w:r>
        <w:t xml:space="preserve">Wszystkie włączniki i elementy wymagające </w:t>
      </w:r>
      <w:r w:rsidR="00637E6E">
        <w:t xml:space="preserve">obsługi manualnej urządzeń zintegrowanych z meblami montażowymi należy umieszczać </w:t>
      </w:r>
      <w:r w:rsidR="00637E6E" w:rsidRPr="00637E6E">
        <w:t>na wysokości 0,8</w:t>
      </w:r>
      <w:r w:rsidR="00637E6E">
        <w:t>0</w:t>
      </w:r>
      <w:r w:rsidR="00637E6E" w:rsidRPr="00637E6E">
        <w:t>-1,1</w:t>
      </w:r>
      <w:r w:rsidR="00637E6E">
        <w:t>0</w:t>
      </w:r>
      <w:r w:rsidR="00637E6E" w:rsidRPr="00637E6E">
        <w:t xml:space="preserve"> m powyżej poziomu posadzki</w:t>
      </w:r>
      <w:r w:rsidR="00637E6E">
        <w:t xml:space="preserve">. Muszą być też skontrastowane w stosunku do tła (łatwe do zauważenia) i możliwe do obsłużenia jedną </w:t>
      </w:r>
      <w:r w:rsidR="00637E6E" w:rsidRPr="00637E6E">
        <w:t>ręką, bez konieczności obracania, mocnego chwytania i ściskania</w:t>
      </w:r>
      <w:r w:rsidR="00637E6E">
        <w:t>.</w:t>
      </w:r>
    </w:p>
    <w:p w14:paraId="6E76C88B" w14:textId="7F1F84FF" w:rsidR="00D3063F" w:rsidRDefault="00D3063F" w:rsidP="00D3063F">
      <w:pPr>
        <w:pStyle w:val="Dobrapraktyka"/>
      </w:pPr>
      <w:r>
        <w:t>Dobra praktyka</w:t>
      </w:r>
    </w:p>
    <w:p w14:paraId="5DF867DE" w14:textId="14E4EEF1" w:rsidR="00D3063F" w:rsidRPr="002A66BE" w:rsidRDefault="00637E6E" w:rsidP="00D3063F">
      <w:pPr>
        <w:pStyle w:val="Dobrapraktyka"/>
        <w:rPr>
          <w:rFonts w:eastAsiaTheme="majorEastAsia" w:cstheme="majorBidi"/>
          <w:b w:val="0"/>
          <w:bCs/>
          <w:color w:val="0F4761" w:themeColor="accent1" w:themeShade="BF"/>
          <w:kern w:val="2"/>
          <w:sz w:val="28"/>
          <w:szCs w:val="28"/>
          <w:lang w:eastAsia="en-US"/>
          <w14:ligatures w14:val="standardContextual"/>
        </w:rPr>
      </w:pPr>
      <w:r>
        <w:rPr>
          <w:b w:val="0"/>
          <w:bCs/>
        </w:rPr>
        <w:t>W przypadku samodzielnych stołów montażowych z</w:t>
      </w:r>
      <w:r w:rsidR="00D3063F" w:rsidRPr="002A66BE">
        <w:rPr>
          <w:b w:val="0"/>
          <w:bCs/>
        </w:rPr>
        <w:t>alecane jest stosowanie blatów o regulowanej wysokości (możliwych do użytkowania na siedząco i na stojąco) w przedziale minimalnym 0,60-1,18 m, z elektrycznym sterowaniem.</w:t>
      </w:r>
    </w:p>
    <w:p w14:paraId="6299C3C8" w14:textId="77777777" w:rsidR="008B7543" w:rsidRDefault="008B7543" w:rsidP="008B7543">
      <w:pPr>
        <w:pStyle w:val="Nagwek3"/>
      </w:pPr>
      <w:bookmarkStart w:id="79" w:name="_Toc182319570"/>
      <w:r>
        <w:t>Miejsca do siedzenia</w:t>
      </w:r>
      <w:bookmarkEnd w:id="79"/>
    </w:p>
    <w:p w14:paraId="3FF8BAE1" w14:textId="2A896D92" w:rsidR="008B7543" w:rsidRDefault="005E3FBA" w:rsidP="008B7543">
      <w:pPr>
        <w:pStyle w:val="Nagwek4"/>
      </w:pPr>
      <w:bookmarkStart w:id="80" w:name="_Toc182319571"/>
      <w:r>
        <w:t>Miejsca siedzące przeznaczone do pracy</w:t>
      </w:r>
      <w:bookmarkEnd w:id="80"/>
    </w:p>
    <w:p w14:paraId="25066012" w14:textId="1043E241" w:rsidR="005E3FBA" w:rsidRDefault="005E3FBA" w:rsidP="005E3FBA">
      <w:r>
        <w:t xml:space="preserve">Konieczne jest dobranie miejsc zapewniających ergonomię pracy na siedząco, spełniających podstawowe wymagania dostępności: </w:t>
      </w:r>
    </w:p>
    <w:p w14:paraId="533A4E45" w14:textId="188197D8" w:rsidR="005E3FBA" w:rsidRDefault="005E3FBA" w:rsidP="005E3FBA">
      <w:pPr>
        <w:pStyle w:val="Akapitzlist"/>
        <w:ind w:left="284" w:hanging="284"/>
      </w:pPr>
      <w:r>
        <w:t>regulacja wysokości siedziska, oparcia i podłokietników (w przypadku krzeseł z podłokietnikami i oparciami),</w:t>
      </w:r>
    </w:p>
    <w:p w14:paraId="61E76AD7" w14:textId="7CB0EBF4" w:rsidR="005E3FBA" w:rsidRDefault="005E3FBA" w:rsidP="005E3FBA">
      <w:pPr>
        <w:pStyle w:val="Akapitzlist"/>
        <w:ind w:left="284" w:hanging="284"/>
      </w:pPr>
      <w:r>
        <w:t>w przypadku krzeseł z oparciami – ergonomiczne podparcie pleców i lędźwi,</w:t>
      </w:r>
    </w:p>
    <w:p w14:paraId="296D4F3A" w14:textId="4E4BA19E" w:rsidR="001C2092" w:rsidRDefault="001C2092" w:rsidP="005A2D84">
      <w:pPr>
        <w:pStyle w:val="Akapitzlist"/>
        <w:ind w:left="284" w:hanging="284"/>
      </w:pPr>
      <w:r>
        <w:t>co najmniej 1/3 krzeseł/taboretów powinna mieć stabilne, antypoślizgowe podstawy (zapobiegające przypadkowemu przesunięciu),</w:t>
      </w:r>
    </w:p>
    <w:p w14:paraId="48DFFCFD" w14:textId="55247FB9" w:rsidR="001C2092" w:rsidRDefault="001C2092" w:rsidP="005A2D84">
      <w:pPr>
        <w:pStyle w:val="Akapitzlist"/>
        <w:ind w:left="284" w:hanging="284"/>
      </w:pPr>
      <w:r>
        <w:lastRenderedPageBreak/>
        <w:t xml:space="preserve">co najmniej 1/3 krzeseł/taboretów powinna mieć możliwość obrotu i łatwego przesuwania (co jest istotne dla osób </w:t>
      </w:r>
      <w:r w:rsidRPr="001C2092">
        <w:t>z ograniczonym zakresem ruchu</w:t>
      </w:r>
      <w:r>
        <w:t xml:space="preserve">), w przypadku mebli na kółkach – </w:t>
      </w:r>
      <w:r w:rsidR="007C4EF9">
        <w:t xml:space="preserve">konieczna jest </w:t>
      </w:r>
      <w:r>
        <w:t>możliwość ich zablokowania,</w:t>
      </w:r>
    </w:p>
    <w:p w14:paraId="6973A348" w14:textId="10FDDC44" w:rsidR="005E3FBA" w:rsidRDefault="001C2092" w:rsidP="005A2D84">
      <w:pPr>
        <w:pStyle w:val="Akapitzlist"/>
        <w:ind w:left="284" w:hanging="284"/>
      </w:pPr>
      <w:r>
        <w:t>c</w:t>
      </w:r>
      <w:r w:rsidR="005E3FBA">
        <w:t xml:space="preserve">o najmniej 1/3 przewidzianych miejsc siedzących do pracy (ale nie wszystkie) powinna posiadać obustronne podłokietniki i oparcia. </w:t>
      </w:r>
    </w:p>
    <w:p w14:paraId="442620CE" w14:textId="5B285B47" w:rsidR="008B7543" w:rsidRDefault="005E3FBA" w:rsidP="008B7543">
      <w:pPr>
        <w:pStyle w:val="Nagwek4"/>
      </w:pPr>
      <w:bookmarkStart w:id="81" w:name="_Toc182319572"/>
      <w:r>
        <w:t>Miejsca siedzące do odpoczynku</w:t>
      </w:r>
      <w:bookmarkEnd w:id="81"/>
    </w:p>
    <w:p w14:paraId="000E7B68" w14:textId="23278C2C" w:rsidR="005E3FBA" w:rsidRDefault="005E3FBA" w:rsidP="005E3FBA">
      <w:r>
        <w:t xml:space="preserve">Wszystkie meble przeznaczone do odpoczynku (kanapy, siedziska, huśtawki itp.) należy umieszczać w taki sposób, </w:t>
      </w:r>
      <w:r w:rsidRPr="003A77A8">
        <w:t>by nie zawężały szerokości przejścia i nie powodowały utrudnień w poruszaniu się</w:t>
      </w:r>
      <w:r>
        <w:t xml:space="preserve">. Powinny znajdować się nie bliżej niż 0,40 m od krawędzi ciągu pieszego (np. wyznaczonego pasa ruchu w korytarzu). Co najmniej przy 1/3 kanap/siedzisk/ławek należy zapewnić miejsce do zaparkowania </w:t>
      </w:r>
      <w:r w:rsidR="005A334A">
        <w:t xml:space="preserve">obok nich </w:t>
      </w:r>
      <w:r>
        <w:t xml:space="preserve">wózka </w:t>
      </w:r>
      <w:r w:rsidR="005A334A">
        <w:t xml:space="preserve">– przestrzeń </w:t>
      </w:r>
      <w:r>
        <w:t xml:space="preserve">o szerokości min. 0,90 m i głębokości min. 1,40 m. Przy siedzisku należy zapewnić przestrzeń </w:t>
      </w:r>
      <w:r w:rsidR="005A334A">
        <w:t xml:space="preserve">także </w:t>
      </w:r>
      <w:r>
        <w:t xml:space="preserve">manewrową (co najmniej 1,50 x 1,50 m). </w:t>
      </w:r>
    </w:p>
    <w:p w14:paraId="46A0F915" w14:textId="77777777" w:rsidR="005E3FBA" w:rsidRDefault="005E3FBA" w:rsidP="005E3FBA">
      <w:r>
        <w:t xml:space="preserve">Co najmniej 1/3 przewidzianych miejsc siedzących (ale nie wszystkie) powinna posiadać obustronne podłokietniki i oparcia. Konieczne jest także dobranie miejsc siedzących, spełniających podstawowe wymagania wymiarowe: </w:t>
      </w:r>
    </w:p>
    <w:p w14:paraId="28806C3B" w14:textId="77777777" w:rsidR="005E3FBA" w:rsidRDefault="005E3FBA" w:rsidP="005E3FBA">
      <w:pPr>
        <w:pStyle w:val="Akapitzlist"/>
        <w:ind w:left="284" w:hanging="284"/>
      </w:pPr>
      <w:r>
        <w:t xml:space="preserve">siedzisko na wysokości 0,40-0,45 m, </w:t>
      </w:r>
    </w:p>
    <w:p w14:paraId="61C4CD20" w14:textId="77777777" w:rsidR="005E3FBA" w:rsidRDefault="005E3FBA" w:rsidP="005E3FBA">
      <w:pPr>
        <w:pStyle w:val="Akapitzlist"/>
        <w:ind w:left="284" w:hanging="284"/>
      </w:pPr>
      <w:r>
        <w:t xml:space="preserve">podłokietniki na wysokości ok. 0,20 m powyżej siedziska, </w:t>
      </w:r>
    </w:p>
    <w:p w14:paraId="55FE3F95" w14:textId="77777777" w:rsidR="005E3FBA" w:rsidRDefault="005E3FBA" w:rsidP="005E3FBA">
      <w:pPr>
        <w:pStyle w:val="Akapitzlist"/>
        <w:ind w:left="284" w:hanging="284"/>
      </w:pPr>
      <w:r>
        <w:t>oparcie do wysokości ok. 0,80 m, umieszczone pod kątem 100-105</w:t>
      </w:r>
      <w:r w:rsidRPr="00C178D0">
        <w:rPr>
          <w:vertAlign w:val="superscript"/>
        </w:rPr>
        <w:t>O</w:t>
      </w:r>
      <w:r>
        <w:t xml:space="preserve"> w stosunku </w:t>
      </w:r>
      <w:r>
        <w:br/>
        <w:t xml:space="preserve">do siedziska. </w:t>
      </w:r>
    </w:p>
    <w:p w14:paraId="4596B278" w14:textId="77777777" w:rsidR="005E3FBA" w:rsidRDefault="005E3FBA" w:rsidP="005E3FBA">
      <w:pPr>
        <w:pStyle w:val="Dobrapraktyka"/>
      </w:pPr>
      <w:r>
        <w:t>Dobra praktyka</w:t>
      </w:r>
    </w:p>
    <w:p w14:paraId="41497C10" w14:textId="02BDE36C" w:rsidR="005E3FBA" w:rsidRPr="005E3FBA" w:rsidRDefault="005E3FBA" w:rsidP="005E3FBA">
      <w:pPr>
        <w:pStyle w:val="Dobrapraktyka"/>
        <w:rPr>
          <w:b w:val="0"/>
          <w:bCs/>
        </w:rPr>
      </w:pPr>
      <w:r w:rsidRPr="005E3FBA">
        <w:rPr>
          <w:b w:val="0"/>
          <w:bCs/>
        </w:rPr>
        <w:t>W przypadku miejsc odpoczynku zalecana jest różnorodność rozwiązań: stosowanie w przestrzeniach elementów o tej samej funkcji, ale różnym układzie i formie</w:t>
      </w:r>
      <w:r w:rsidR="008C4B5E">
        <w:rPr>
          <w:b w:val="0"/>
          <w:bCs/>
        </w:rPr>
        <w:t xml:space="preserve"> (</w:t>
      </w:r>
      <w:r w:rsidRPr="005E3FBA">
        <w:rPr>
          <w:b w:val="0"/>
          <w:bCs/>
        </w:rPr>
        <w:t>np. ławki/siedziska/krzesła z podłokietnikami i bez, z miejscami dla wózka obok</w:t>
      </w:r>
      <w:r w:rsidR="008C4B5E">
        <w:rPr>
          <w:b w:val="0"/>
          <w:bCs/>
        </w:rPr>
        <w:t>)</w:t>
      </w:r>
      <w:r w:rsidRPr="005E3FBA">
        <w:rPr>
          <w:b w:val="0"/>
          <w:bCs/>
        </w:rPr>
        <w:t>.</w:t>
      </w:r>
    </w:p>
    <w:p w14:paraId="05C55B3A" w14:textId="77777777" w:rsidR="008B7543" w:rsidRDefault="008B7543" w:rsidP="008B7543">
      <w:pPr>
        <w:pStyle w:val="Nagwek3"/>
      </w:pPr>
      <w:bookmarkStart w:id="82" w:name="_Toc182319573"/>
      <w:r w:rsidRPr="00A54693">
        <w:t>Urządzenia wagowe i pomiarowe</w:t>
      </w:r>
      <w:bookmarkEnd w:id="82"/>
    </w:p>
    <w:p w14:paraId="0119E80A" w14:textId="476646B6" w:rsidR="00480E6B" w:rsidRDefault="00480E6B" w:rsidP="00480E6B">
      <w:r>
        <w:t>Przynajmniej jedno z urządzeń każdego typu musi być dostępne dla osób poruszających się na wózkach i niskiego wzrostu</w:t>
      </w:r>
      <w:r w:rsidR="00D77C0A">
        <w:t>. N</w:t>
      </w:r>
      <w:r>
        <w:t>ależy umieszczać je w taki sposób, aby wszystkie ekrany i elementy wymagające obsługi manualnej znajdowały się na wysokości w przedziale 0,80-1,10 m powyżej podłogi. Możliwe</w:t>
      </w:r>
      <w:r w:rsidRPr="00480E6B">
        <w:t xml:space="preserve"> jest </w:t>
      </w:r>
      <w:r w:rsidRPr="00480E6B">
        <w:lastRenderedPageBreak/>
        <w:t>umieszczenie ekranu na innej wysokości, jeśli spełniony jest warunek dobrej widoczności zarówno z poziomu osoby siedzącej</w:t>
      </w:r>
      <w:r w:rsidR="005A334A">
        <w:t>,</w:t>
      </w:r>
      <w:r w:rsidRPr="00480E6B">
        <w:t xml:space="preserve"> jak i stojącej</w:t>
      </w:r>
      <w:r>
        <w:t>.</w:t>
      </w:r>
    </w:p>
    <w:p w14:paraId="75F27BD9" w14:textId="7B52AD42" w:rsidR="00480E6B" w:rsidRDefault="00480E6B" w:rsidP="00480E6B">
      <w:r>
        <w:t xml:space="preserve">Wyświetlacze, monitory i ekrany muszą być czytelne i kontrastowe, w przypadku operowania kolorem, skalibrowane w taki sposób, by dawały pełną informację również osobom nierozróżniającym barw. </w:t>
      </w:r>
    </w:p>
    <w:p w14:paraId="484156FC" w14:textId="77777777" w:rsidR="00B240A5" w:rsidRDefault="00B240A5" w:rsidP="00B240A5">
      <w:pPr>
        <w:pStyle w:val="Dobrapraktyka"/>
      </w:pPr>
      <w:r>
        <w:t>Dobra praktyka</w:t>
      </w:r>
    </w:p>
    <w:p w14:paraId="49F0733F" w14:textId="19BEA9C2" w:rsidR="00480E6B" w:rsidRPr="00B240A5" w:rsidRDefault="00B240A5" w:rsidP="00B240A5">
      <w:pPr>
        <w:pStyle w:val="Dobrapraktyka"/>
        <w:rPr>
          <w:b w:val="0"/>
          <w:bCs/>
        </w:rPr>
      </w:pPr>
      <w:r w:rsidRPr="00B240A5">
        <w:rPr>
          <w:b w:val="0"/>
          <w:bCs/>
        </w:rPr>
        <w:t>Zaleca się, aby w</w:t>
      </w:r>
      <w:r w:rsidR="00480E6B" w:rsidRPr="00B240A5">
        <w:rPr>
          <w:b w:val="0"/>
          <w:bCs/>
        </w:rPr>
        <w:t xml:space="preserve">szystkie przyciski, włączniki i elementy wymagające ręcznej obsługi </w:t>
      </w:r>
      <w:r w:rsidRPr="00B240A5">
        <w:rPr>
          <w:b w:val="0"/>
          <w:bCs/>
        </w:rPr>
        <w:t>były</w:t>
      </w:r>
      <w:r w:rsidR="00480E6B" w:rsidRPr="00B240A5">
        <w:rPr>
          <w:b w:val="0"/>
          <w:bCs/>
        </w:rPr>
        <w:t xml:space="preserve"> łatwo dostępne, możliwe do obsługi jedną ręką, bez ściskania</w:t>
      </w:r>
      <w:r w:rsidRPr="00B240A5">
        <w:rPr>
          <w:b w:val="0"/>
          <w:bCs/>
        </w:rPr>
        <w:t xml:space="preserve"> i przekręcania, przy użyciu jak najmniejszej siły. </w:t>
      </w:r>
    </w:p>
    <w:p w14:paraId="58F1041A" w14:textId="159B46BC" w:rsidR="00480E6B" w:rsidRPr="00B240A5" w:rsidRDefault="00B240A5" w:rsidP="00B240A5">
      <w:pPr>
        <w:pStyle w:val="Dobrapraktyka"/>
        <w:rPr>
          <w:b w:val="0"/>
          <w:bCs/>
        </w:rPr>
      </w:pPr>
      <w:r w:rsidRPr="00B240A5">
        <w:rPr>
          <w:b w:val="0"/>
          <w:bCs/>
        </w:rPr>
        <w:t>Dobrą praktyką jest też stosowanie urządzeń z opcją zdalnego odcz</w:t>
      </w:r>
      <w:r w:rsidR="00480E6B" w:rsidRPr="00B240A5">
        <w:rPr>
          <w:b w:val="0"/>
          <w:bCs/>
        </w:rPr>
        <w:t xml:space="preserve">ytu danych </w:t>
      </w:r>
      <w:r w:rsidR="00D77C0A">
        <w:rPr>
          <w:b w:val="0"/>
          <w:bCs/>
        </w:rPr>
        <w:t>(</w:t>
      </w:r>
      <w:r w:rsidR="00480E6B" w:rsidRPr="00B240A5">
        <w:rPr>
          <w:b w:val="0"/>
          <w:bCs/>
        </w:rPr>
        <w:t xml:space="preserve">np. poprzez Bluetooth lub </w:t>
      </w:r>
      <w:r w:rsidR="00BD229E">
        <w:rPr>
          <w:b w:val="0"/>
          <w:bCs/>
        </w:rPr>
        <w:t>aplikację</w:t>
      </w:r>
      <w:r w:rsidR="00D77C0A">
        <w:rPr>
          <w:b w:val="0"/>
          <w:bCs/>
        </w:rPr>
        <w:t xml:space="preserve">) </w:t>
      </w:r>
      <w:r w:rsidRPr="00B240A5">
        <w:rPr>
          <w:b w:val="0"/>
          <w:bCs/>
        </w:rPr>
        <w:t xml:space="preserve">i funkcją </w:t>
      </w:r>
      <w:r w:rsidR="00480E6B" w:rsidRPr="00B240A5">
        <w:rPr>
          <w:b w:val="0"/>
          <w:bCs/>
        </w:rPr>
        <w:t>automatycznej kalibracji</w:t>
      </w:r>
      <w:r w:rsidRPr="00B240A5">
        <w:rPr>
          <w:b w:val="0"/>
          <w:bCs/>
        </w:rPr>
        <w:t>, co pozwala na</w:t>
      </w:r>
      <w:r w:rsidR="00480E6B" w:rsidRPr="00B240A5">
        <w:rPr>
          <w:b w:val="0"/>
          <w:bCs/>
        </w:rPr>
        <w:t xml:space="preserve"> uproszczone użytkowanie bez potrzeby manualnej regulacji.</w:t>
      </w:r>
    </w:p>
    <w:p w14:paraId="1FD44D6A" w14:textId="6E36A3A8" w:rsidR="001B29BA" w:rsidRPr="00A54693" w:rsidRDefault="008B7543" w:rsidP="001B29BA">
      <w:pPr>
        <w:pStyle w:val="Nagwek3"/>
      </w:pPr>
      <w:bookmarkStart w:id="83" w:name="_Toc182319574"/>
      <w:r w:rsidRPr="00A54693">
        <w:t>Urządzenia grzewcze i chłodnicze</w:t>
      </w:r>
      <w:r w:rsidR="001B29BA">
        <w:t>, w</w:t>
      </w:r>
      <w:r w:rsidR="001B29BA" w:rsidRPr="00A54693">
        <w:t>irówki</w:t>
      </w:r>
      <w:r w:rsidR="001B29BA">
        <w:t>, sterylizatory, destylarki</w:t>
      </w:r>
      <w:r w:rsidR="001B29BA" w:rsidRPr="00A54693">
        <w:t xml:space="preserve"> i autoklawy</w:t>
      </w:r>
      <w:bookmarkEnd w:id="83"/>
    </w:p>
    <w:p w14:paraId="647848C1" w14:textId="32171CCA" w:rsidR="00BD229E" w:rsidRDefault="00BD229E" w:rsidP="00BD229E">
      <w:r>
        <w:t>Przynajmniej jedno z urządzeń każdego typu musi być dostępne dla osób poruszających się na wózkach i niskiego wzrostu</w:t>
      </w:r>
      <w:r w:rsidR="00D77C0A">
        <w:t>. W</w:t>
      </w:r>
      <w:r>
        <w:t>szystkie ekrany, wyświetlacze, panele sterowania i inne elementy wymagające obsługi manualnej powinny znajdować się na wysokości w przedziale 0,80-1,10 m powyżej podłogi. Możliwe</w:t>
      </w:r>
      <w:r w:rsidRPr="00480E6B">
        <w:t xml:space="preserve"> jest umieszczenie ekranu</w:t>
      </w:r>
      <w:r>
        <w:t>/wyświetlacza</w:t>
      </w:r>
      <w:r w:rsidRPr="00480E6B">
        <w:t xml:space="preserve"> na innej wysokości, jeśli spełniony jest warunek dobrej widoczności zarówno z poziomu osoby siedzącej jak i stojącej</w:t>
      </w:r>
      <w:r>
        <w:t>.</w:t>
      </w:r>
    </w:p>
    <w:p w14:paraId="0993765B" w14:textId="7BAA7CC1" w:rsidR="00BD229E" w:rsidRDefault="00BD229E" w:rsidP="00BD229E">
      <w:r>
        <w:t>S</w:t>
      </w:r>
      <w:r w:rsidRPr="0059569D">
        <w:t>iła potrzebna do otwarcia</w:t>
      </w:r>
      <w:r>
        <w:t xml:space="preserve">/zamknięcia </w:t>
      </w:r>
      <w:r w:rsidR="000441D7">
        <w:t xml:space="preserve">i blokowania </w:t>
      </w:r>
      <w:r>
        <w:t xml:space="preserve">urządzenia nie może przekraczać 25 N. W przypadku klamek, pochwytów i zamków konieczne jest </w:t>
      </w:r>
      <w:r w:rsidRPr="0059569D">
        <w:t xml:space="preserve">stosowanie </w:t>
      </w:r>
      <w:r>
        <w:t xml:space="preserve">dużych, skontrastowanych </w:t>
      </w:r>
      <w:r w:rsidRPr="0059569D">
        <w:t>elementów o ergonomicznych kształtach (zapewniających wygodny uchwyt i oparcie) i o obłych krawędziach</w:t>
      </w:r>
      <w:r>
        <w:t>, montowanych</w:t>
      </w:r>
      <w:r w:rsidRPr="0059569D">
        <w:t xml:space="preserve"> na wysokości w przedziale 0,8</w:t>
      </w:r>
      <w:r>
        <w:t>0</w:t>
      </w:r>
      <w:r w:rsidRPr="0059569D">
        <w:t>-1,1</w:t>
      </w:r>
      <w:r>
        <w:t>0</w:t>
      </w:r>
      <w:r w:rsidRPr="0059569D">
        <w:t xml:space="preserve"> m od poziomu posadzki</w:t>
      </w:r>
      <w:r>
        <w:t>.</w:t>
      </w:r>
    </w:p>
    <w:p w14:paraId="0D075A29" w14:textId="460D075E" w:rsidR="00BD229E" w:rsidRDefault="00BD229E" w:rsidP="00BD229E">
      <w:r>
        <w:t xml:space="preserve">Urządzenia powinny przekazywać informacje (np. o osiągnięciu zadanej temperatury) za pomocą </w:t>
      </w:r>
      <w:r w:rsidRPr="00BD229E">
        <w:t>dwóch modalności równocześnie – np. poprzez sygnał dźwiękowy</w:t>
      </w:r>
      <w:r>
        <w:t xml:space="preserve"> i podświetlenie lub inny rodzaj komunikatu wizualnego. </w:t>
      </w:r>
    </w:p>
    <w:p w14:paraId="6D405966" w14:textId="77777777" w:rsidR="00BD229E" w:rsidRDefault="00BD229E" w:rsidP="00BD229E">
      <w:pPr>
        <w:pStyle w:val="Dobrapraktyka"/>
      </w:pPr>
      <w:r>
        <w:t>Dobra praktyka</w:t>
      </w:r>
    </w:p>
    <w:p w14:paraId="52D670B1" w14:textId="1A900776" w:rsidR="00BD229E" w:rsidRPr="00B240A5" w:rsidRDefault="00BD229E" w:rsidP="00BD229E">
      <w:pPr>
        <w:pStyle w:val="Dobrapraktyka"/>
        <w:rPr>
          <w:b w:val="0"/>
          <w:bCs/>
        </w:rPr>
      </w:pPr>
      <w:r w:rsidRPr="00B240A5">
        <w:rPr>
          <w:b w:val="0"/>
          <w:bCs/>
        </w:rPr>
        <w:lastRenderedPageBreak/>
        <w:t xml:space="preserve">Dobrą praktyką jest stosowanie urządzeń z opcją zdalnego </w:t>
      </w:r>
      <w:r>
        <w:rPr>
          <w:b w:val="0"/>
          <w:bCs/>
        </w:rPr>
        <w:t>sterowania i monitorowania procesów</w:t>
      </w:r>
      <w:r w:rsidRPr="00B240A5">
        <w:rPr>
          <w:b w:val="0"/>
          <w:bCs/>
        </w:rPr>
        <w:t xml:space="preserve"> </w:t>
      </w:r>
      <w:r w:rsidR="00D77C0A">
        <w:rPr>
          <w:b w:val="0"/>
          <w:bCs/>
        </w:rPr>
        <w:t>(</w:t>
      </w:r>
      <w:r w:rsidRPr="00B240A5">
        <w:rPr>
          <w:b w:val="0"/>
          <w:bCs/>
        </w:rPr>
        <w:t xml:space="preserve">np. poprzez Bluetooth lub </w:t>
      </w:r>
      <w:r>
        <w:rPr>
          <w:b w:val="0"/>
          <w:bCs/>
        </w:rPr>
        <w:t>aplikację</w:t>
      </w:r>
      <w:r w:rsidR="00D77C0A">
        <w:rPr>
          <w:b w:val="0"/>
          <w:bCs/>
        </w:rPr>
        <w:t>)</w:t>
      </w:r>
      <w:r w:rsidRPr="00B240A5">
        <w:rPr>
          <w:b w:val="0"/>
          <w:bCs/>
        </w:rPr>
        <w:t xml:space="preserve"> i funkcją automatycznej kalibracji, co pozwala na uproszczone użytkowanie bez potrzeby manualnej regulacji.</w:t>
      </w:r>
    </w:p>
    <w:p w14:paraId="08BB2D79" w14:textId="77777777" w:rsidR="005707F1" w:rsidRDefault="005707F1" w:rsidP="008B7543">
      <w:pPr>
        <w:pStyle w:val="Nagwek3"/>
      </w:pPr>
      <w:bookmarkStart w:id="84" w:name="_Toc182319575"/>
      <w:r>
        <w:t>Dygestoria</w:t>
      </w:r>
      <w:bookmarkEnd w:id="84"/>
    </w:p>
    <w:p w14:paraId="186FD68E" w14:textId="77777777" w:rsidR="00A70D0B" w:rsidRDefault="00A70D0B" w:rsidP="00A70D0B">
      <w:r>
        <w:t xml:space="preserve">Przynajmniej jedno z dygestoriów musi być dostępne dla osób poruszających się na wózkach i niskiego wzrostu: </w:t>
      </w:r>
    </w:p>
    <w:p w14:paraId="4D95F4F3" w14:textId="77777777" w:rsidR="00A70D0B" w:rsidRDefault="00A70D0B" w:rsidP="00A70D0B">
      <w:pPr>
        <w:pStyle w:val="Akapitzlist"/>
        <w:ind w:left="284" w:hanging="284"/>
      </w:pPr>
      <w:r>
        <w:t xml:space="preserve">od strony otwierania </w:t>
      </w:r>
      <w:r w:rsidRPr="00B834BF">
        <w:t xml:space="preserve">należy zapewnić możliwość podjechania </w:t>
      </w:r>
      <w:r>
        <w:t xml:space="preserve">i manewrowania </w:t>
      </w:r>
      <w:r w:rsidRPr="00B834BF">
        <w:t xml:space="preserve">wózkiem – wolną przestrzeń o wymiarach </w:t>
      </w:r>
      <w:r>
        <w:t>min.</w:t>
      </w:r>
      <w:r w:rsidRPr="00B834BF">
        <w:t xml:space="preserve"> 1,50 x 1,50 m</w:t>
      </w:r>
      <w:r>
        <w:t>,</w:t>
      </w:r>
    </w:p>
    <w:p w14:paraId="01479E00" w14:textId="798AA613" w:rsidR="00A70D0B" w:rsidRDefault="00A70D0B" w:rsidP="00A70D0B">
      <w:pPr>
        <w:pStyle w:val="Akapitzlist"/>
        <w:ind w:left="284" w:hanging="284"/>
      </w:pPr>
      <w:r>
        <w:t xml:space="preserve">wszystkie elementy wymagające obsługi manualnej powinny znajdować się na wysokości w przedziale 0,80-1,10 m powyżej podłogi, muszą być też skontrastowane w stosunku do tła (łatwe do zauważenia) i możliwe do obsłużenia jedną </w:t>
      </w:r>
      <w:r w:rsidRPr="00637E6E">
        <w:t>ręką, bez konieczności obracania, mocnego chwytania i ściskania</w:t>
      </w:r>
      <w:r>
        <w:t>,</w:t>
      </w:r>
    </w:p>
    <w:p w14:paraId="6FEE3670" w14:textId="22883930" w:rsidR="00A70D0B" w:rsidRDefault="00A70D0B" w:rsidP="00A70D0B">
      <w:pPr>
        <w:pStyle w:val="Akapitzlist"/>
        <w:ind w:left="284" w:hanging="284"/>
      </w:pPr>
      <w:r>
        <w:t xml:space="preserve">element przezierny, pozwalający na obserwację działań we wnętrzu dygestorium, powinien znajdować się nie </w:t>
      </w:r>
      <w:r w:rsidR="007A6D7C">
        <w:t>wyżej</w:t>
      </w:r>
      <w:r>
        <w:t xml:space="preserve"> niż 0,80 m, z zachowaniem warunku dobrego widzenia na wysokości od </w:t>
      </w:r>
      <w:r w:rsidRPr="00B16B6C">
        <w:t>1,22</w:t>
      </w:r>
      <w:r>
        <w:t xml:space="preserve"> m do </w:t>
      </w:r>
      <w:r w:rsidRPr="00B16B6C">
        <w:t>1,70 m</w:t>
      </w:r>
      <w:r>
        <w:t>.</w:t>
      </w:r>
    </w:p>
    <w:p w14:paraId="4B8FFDD6" w14:textId="77777777" w:rsidR="000A2B68" w:rsidRDefault="00A70D0B" w:rsidP="000A2B68">
      <w:r>
        <w:t>Stosowane dygestoria muszą być stabilne i zapewniać możliwość bezpiecznego oparcia się lub podparcia. Należy stosować modele zapewniające łatwy dostęp do wnętrza. S</w:t>
      </w:r>
      <w:r w:rsidRPr="0059569D">
        <w:t xml:space="preserve">iła potrzebna do </w:t>
      </w:r>
      <w:r>
        <w:t xml:space="preserve">ręcznego </w:t>
      </w:r>
      <w:r w:rsidRPr="0059569D">
        <w:t>otwarcia</w:t>
      </w:r>
      <w:r>
        <w:t xml:space="preserve">/zamknięcia dygestorium nie może przekraczać 25 N. </w:t>
      </w:r>
      <w:r w:rsidR="000A2B68">
        <w:t xml:space="preserve">W przypadku klamek, pochwytów i zamków konieczne jest </w:t>
      </w:r>
      <w:r w:rsidR="000A2B68" w:rsidRPr="0059569D">
        <w:t xml:space="preserve">stosowanie elementów </w:t>
      </w:r>
      <w:r w:rsidR="000A2B68">
        <w:t xml:space="preserve">łatwych do zauważenia (skontrastowanych), </w:t>
      </w:r>
      <w:r w:rsidR="000A2B68" w:rsidRPr="0059569D">
        <w:t>niewymagających obrotu, o ergonomicznych kształtach (zapewniających wygodny uchwyt i oparcie)</w:t>
      </w:r>
      <w:r w:rsidR="000A2B68">
        <w:t xml:space="preserve">. Należy montować je </w:t>
      </w:r>
      <w:r w:rsidR="000A2B68" w:rsidRPr="0059569D">
        <w:t>na wysokości w przedziale 0,8</w:t>
      </w:r>
      <w:r w:rsidR="000A2B68">
        <w:t>0</w:t>
      </w:r>
      <w:r w:rsidR="000A2B68" w:rsidRPr="0059569D">
        <w:t>-1,1</w:t>
      </w:r>
      <w:r w:rsidR="000A2B68">
        <w:t>0</w:t>
      </w:r>
      <w:r w:rsidR="000A2B68" w:rsidRPr="0059569D">
        <w:t xml:space="preserve"> m od poziomu posadzki</w:t>
      </w:r>
      <w:r w:rsidR="000A2B68">
        <w:t>.</w:t>
      </w:r>
    </w:p>
    <w:p w14:paraId="52CC7111" w14:textId="2BDC45A3" w:rsidR="00A70D0B" w:rsidRDefault="00A70D0B" w:rsidP="000A2B68">
      <w:r>
        <w:t xml:space="preserve">Wszystkie włączniki i elementy wymagające obsługi manualnej (np. w przypadku dygestoriów czy szaf otwieranych elektrycznie) należy umieszczać </w:t>
      </w:r>
      <w:r w:rsidRPr="00637E6E">
        <w:t>na wysokości 0,8</w:t>
      </w:r>
      <w:r>
        <w:t>0</w:t>
      </w:r>
      <w:r w:rsidRPr="00637E6E">
        <w:t>-1,1</w:t>
      </w:r>
      <w:r>
        <w:t>0</w:t>
      </w:r>
      <w:r w:rsidRPr="00637E6E">
        <w:t xml:space="preserve"> m powyżej poziomu posadzki</w:t>
      </w:r>
      <w:r w:rsidR="000A2B68">
        <w:t>.</w:t>
      </w:r>
    </w:p>
    <w:p w14:paraId="4308C5F3" w14:textId="2971AB08" w:rsidR="008B7543" w:rsidRDefault="005707F1" w:rsidP="008B7543">
      <w:pPr>
        <w:pStyle w:val="Nagwek3"/>
      </w:pPr>
      <w:bookmarkStart w:id="85" w:name="_Toc182319576"/>
      <w:r>
        <w:t>Regały i s</w:t>
      </w:r>
      <w:r w:rsidR="008B7543" w:rsidRPr="00A54693">
        <w:t>zafy stałe i przejezdne</w:t>
      </w:r>
      <w:bookmarkEnd w:id="85"/>
    </w:p>
    <w:p w14:paraId="429EC95A" w14:textId="420A83AC" w:rsidR="008B7543" w:rsidRDefault="008B7543" w:rsidP="005707F1">
      <w:r w:rsidRPr="007E26BF">
        <w:t xml:space="preserve">Dostęp do wszystkich </w:t>
      </w:r>
      <w:r w:rsidR="000441D7">
        <w:t>szaf</w:t>
      </w:r>
      <w:r w:rsidRPr="007E26BF">
        <w:t xml:space="preserve"> i elementów </w:t>
      </w:r>
      <w:r w:rsidR="000441D7">
        <w:t>w nich przechowywanych</w:t>
      </w:r>
      <w:r w:rsidRPr="007E26BF">
        <w:t xml:space="preserve"> (odczynniki, aparatura itp.) powinien być maksymalnie ułatwiony</w:t>
      </w:r>
      <w:r w:rsidR="00D77C0A">
        <w:t>. P</w:t>
      </w:r>
      <w:r w:rsidRPr="007E26BF">
        <w:t xml:space="preserve">rzynajmniej część półek i szafek powinna znajdować się w zasięgu wyciągniętej ręki osoby siedzącej, czyli na </w:t>
      </w:r>
      <w:r w:rsidRPr="007E26BF">
        <w:lastRenderedPageBreak/>
        <w:t>wysokości w przedziale 0,40-1,30 m od powierzchni podłogi. Uchwyty szafek i szuflad powinny być du</w:t>
      </w:r>
      <w:r w:rsidRPr="005707F1">
        <w:t>ż</w:t>
      </w:r>
      <w:r w:rsidRPr="007E26BF">
        <w:t>e, skontrastowane, z możliwością obsłużenia za pomocą jednej ręki, zapewniające wygodny uchwyt i oparcie.</w:t>
      </w:r>
    </w:p>
    <w:p w14:paraId="56D709F2" w14:textId="3395ADBA" w:rsidR="005707F1" w:rsidRDefault="005707F1" w:rsidP="005707F1">
      <w:r>
        <w:t xml:space="preserve">Stosowane szafy – szczególnie przejezdne – muszą być stabilne i zapewniać możliwość bezpiecznego oparcia się lub podparcia. Co najmniej 1/3 wszystkich szaf, znajdujących się w danej przestrzeni, powinna być w pełni dostępna dla osób poruszających się na wózkach. Oznacza to, że od strony jej otwierania </w:t>
      </w:r>
      <w:r w:rsidRPr="00B834BF">
        <w:t xml:space="preserve">należy zapewnić możliwość podjechania wózkiem – wolną przestrzeń o wymiarach </w:t>
      </w:r>
      <w:r>
        <w:t>min.</w:t>
      </w:r>
      <w:r w:rsidRPr="00B834BF">
        <w:t xml:space="preserve"> 1,50 x 1,50 m.</w:t>
      </w:r>
    </w:p>
    <w:p w14:paraId="67AE0A27" w14:textId="77777777" w:rsidR="005707F1" w:rsidRDefault="005707F1" w:rsidP="005707F1">
      <w:r>
        <w:t xml:space="preserve">Należy stosować szafy zapewniające łatwy dostęp do sprzętu, narzędzi i materiałów, np. z wysuwanymi lub regulowanymi półkami, szufladami, wieszakami. </w:t>
      </w:r>
      <w:r w:rsidRPr="002A66BE">
        <w:t>Uchwyty szafek i szuflad powinny być duże, skontrastowane, z możliwością obsłużenia za pomocą jednej ręki, zapewniające wygodny uchwyt i oparcie.</w:t>
      </w:r>
    </w:p>
    <w:p w14:paraId="07B0FDA9" w14:textId="7C6363A4" w:rsidR="000A2B68" w:rsidRDefault="005707F1" w:rsidP="000A2B68">
      <w:r>
        <w:t>S</w:t>
      </w:r>
      <w:r w:rsidRPr="0059569D">
        <w:t xml:space="preserve">iła potrzebna do </w:t>
      </w:r>
      <w:r>
        <w:t xml:space="preserve">ręcznego </w:t>
      </w:r>
      <w:r w:rsidRPr="0059569D">
        <w:t>otwarcia</w:t>
      </w:r>
      <w:r>
        <w:t>/zamknięcia szafy</w:t>
      </w:r>
      <w:r w:rsidR="000A2B68">
        <w:t>/regału</w:t>
      </w:r>
      <w:r>
        <w:t xml:space="preserve"> nie może przekraczać 25 N. </w:t>
      </w:r>
      <w:r w:rsidR="000A2B68">
        <w:t xml:space="preserve">W przypadku klamek, pochwytów i zamków konieczne jest </w:t>
      </w:r>
      <w:r w:rsidR="000A2B68" w:rsidRPr="0059569D">
        <w:t xml:space="preserve">stosowanie elementów </w:t>
      </w:r>
      <w:r w:rsidR="000A2B68">
        <w:t xml:space="preserve">łatwych do zauważenia (skontrastowanych), </w:t>
      </w:r>
      <w:r w:rsidR="000A2B68" w:rsidRPr="0059569D">
        <w:t>niewymagających obrotu, o ergonomicznych kształtach (zapewniających wygodny uchwyt i oparcie)</w:t>
      </w:r>
      <w:r w:rsidR="000A2B68">
        <w:t xml:space="preserve">. Należy montować je </w:t>
      </w:r>
      <w:r w:rsidR="000A2B68" w:rsidRPr="0059569D">
        <w:t>na wysokości w przedziale 0,8</w:t>
      </w:r>
      <w:r w:rsidR="000A2B68">
        <w:t>0</w:t>
      </w:r>
      <w:r w:rsidR="000A2B68" w:rsidRPr="0059569D">
        <w:t>-1,1</w:t>
      </w:r>
      <w:r w:rsidR="000A2B68">
        <w:t>0</w:t>
      </w:r>
      <w:r w:rsidR="000A2B68" w:rsidRPr="0059569D">
        <w:t xml:space="preserve"> m od poziomu posadzki</w:t>
      </w:r>
      <w:r w:rsidR="000A2B68">
        <w:t>.</w:t>
      </w:r>
    </w:p>
    <w:p w14:paraId="39FB8EC8" w14:textId="0BF27A73" w:rsidR="005707F1" w:rsidRDefault="005707F1" w:rsidP="005707F1">
      <w:r>
        <w:t xml:space="preserve">Wszystkie włączniki i elementy wymagające obsługi manualnej (np. w przypadku szaf otwieranych elektrycznie) należy umieszczać </w:t>
      </w:r>
      <w:r w:rsidRPr="00637E6E">
        <w:t>na wysokości 0,8</w:t>
      </w:r>
      <w:r>
        <w:t>0</w:t>
      </w:r>
      <w:r w:rsidRPr="00637E6E">
        <w:t>-1,1</w:t>
      </w:r>
      <w:r>
        <w:t>0</w:t>
      </w:r>
      <w:r w:rsidRPr="00637E6E">
        <w:t xml:space="preserve"> m powyżej poziomu posadzki</w:t>
      </w:r>
      <w:r>
        <w:t xml:space="preserve">. Muszą być też skontrastowane w stosunku do tła (łatwe do zauważenia) i możliwe do obsłużenia jedną </w:t>
      </w:r>
      <w:r w:rsidRPr="00637E6E">
        <w:t>ręką, bez konieczności obracania, mocnego chwytania i ściskania</w:t>
      </w:r>
      <w:r>
        <w:t>.</w:t>
      </w:r>
    </w:p>
    <w:p w14:paraId="525F38D1" w14:textId="33D062BF" w:rsidR="00392706" w:rsidRDefault="00392706" w:rsidP="00392706">
      <w:pPr>
        <w:pStyle w:val="Nagwek3"/>
      </w:pPr>
      <w:bookmarkStart w:id="86" w:name="_Toc182319577"/>
      <w:r>
        <w:t>Kosze i pojemniki na odpady</w:t>
      </w:r>
      <w:bookmarkEnd w:id="86"/>
    </w:p>
    <w:p w14:paraId="2933750B" w14:textId="0D95F802" w:rsidR="009A3041" w:rsidRDefault="009A3041" w:rsidP="009A3041">
      <w:r>
        <w:t>Pojemniki na odpady powinny być skontrastowane w stosunku do tła (łatwe do zauważenia) i czytelnie oznaczone (dla jakiego rodzaju odpadów są przeznaczone). C</w:t>
      </w:r>
      <w:r w:rsidRPr="009A3041">
        <w:t xml:space="preserve">ałkowita wysokość </w:t>
      </w:r>
      <w:r>
        <w:t xml:space="preserve">pojemnika nie powinna przekraczać </w:t>
      </w:r>
      <w:r w:rsidRPr="009A3041">
        <w:t>1,3</w:t>
      </w:r>
      <w:r>
        <w:t>0</w:t>
      </w:r>
      <w:r w:rsidRPr="009A3041">
        <w:t xml:space="preserve"> m</w:t>
      </w:r>
      <w:r>
        <w:t xml:space="preserve"> a</w:t>
      </w:r>
      <w:r w:rsidRPr="009A3041">
        <w:t xml:space="preserve"> miejsc</w:t>
      </w:r>
      <w:r>
        <w:t>e</w:t>
      </w:r>
      <w:r w:rsidRPr="009A3041">
        <w:t xml:space="preserve"> wrzucania </w:t>
      </w:r>
      <w:r>
        <w:t xml:space="preserve">odpadów należy umieszczać </w:t>
      </w:r>
      <w:r w:rsidRPr="009A3041">
        <w:t xml:space="preserve">na wysokości </w:t>
      </w:r>
      <w:r>
        <w:t>nie przekraczającej 1,00 m.</w:t>
      </w:r>
    </w:p>
    <w:p w14:paraId="61BC4D27" w14:textId="2B6A81C4" w:rsidR="000F5D2F" w:rsidRDefault="000F5D2F" w:rsidP="001A6BDE">
      <w:pPr>
        <w:pStyle w:val="Dobrapraktyka"/>
      </w:pPr>
      <w:r>
        <w:t>Dobra praktyka</w:t>
      </w:r>
    </w:p>
    <w:p w14:paraId="31255ECB" w14:textId="59ED76C0" w:rsidR="001A6BDE" w:rsidRPr="001A6BDE" w:rsidRDefault="001A6BDE" w:rsidP="001A6BDE">
      <w:pPr>
        <w:pStyle w:val="Dobrapraktyka"/>
        <w:rPr>
          <w:b w:val="0"/>
          <w:bCs/>
        </w:rPr>
      </w:pPr>
      <w:r>
        <w:rPr>
          <w:b w:val="0"/>
          <w:bCs/>
        </w:rPr>
        <w:t>Zalecane jest stosowanie</w:t>
      </w:r>
      <w:r w:rsidRPr="001A6BDE">
        <w:rPr>
          <w:b w:val="0"/>
          <w:bCs/>
        </w:rPr>
        <w:t xml:space="preserve"> pojemnik</w:t>
      </w:r>
      <w:r>
        <w:rPr>
          <w:b w:val="0"/>
          <w:bCs/>
        </w:rPr>
        <w:t>ów</w:t>
      </w:r>
      <w:r w:rsidRPr="001A6BDE">
        <w:rPr>
          <w:b w:val="0"/>
          <w:bCs/>
        </w:rPr>
        <w:t xml:space="preserve"> na odpady uruchamian</w:t>
      </w:r>
      <w:r>
        <w:rPr>
          <w:b w:val="0"/>
          <w:bCs/>
        </w:rPr>
        <w:t>ych automatycznie</w:t>
      </w:r>
      <w:r w:rsidRPr="001A6BDE">
        <w:rPr>
          <w:b w:val="0"/>
          <w:bCs/>
        </w:rPr>
        <w:t xml:space="preserve"> czujnikiem ruchu</w:t>
      </w:r>
      <w:r>
        <w:rPr>
          <w:b w:val="0"/>
          <w:bCs/>
        </w:rPr>
        <w:t>.</w:t>
      </w:r>
    </w:p>
    <w:p w14:paraId="69D7030A" w14:textId="2F3EEB4D" w:rsidR="00440A86" w:rsidRDefault="00440A86" w:rsidP="001F0207">
      <w:pPr>
        <w:pStyle w:val="Nagwek1"/>
      </w:pPr>
      <w:bookmarkStart w:id="87" w:name="_Toc182319578"/>
      <w:r w:rsidRPr="0051598D">
        <w:lastRenderedPageBreak/>
        <w:t>Standard</w:t>
      </w:r>
      <w:r w:rsidR="001948D7" w:rsidRPr="0051598D">
        <w:t xml:space="preserve"> </w:t>
      </w:r>
      <w:r w:rsidR="00FA5F58">
        <w:t xml:space="preserve">bezpieczeństwa i </w:t>
      </w:r>
      <w:r w:rsidR="00B07145" w:rsidRPr="0051598D">
        <w:t>ewakuac</w:t>
      </w:r>
      <w:r w:rsidR="00FA5F58">
        <w:t>ji</w:t>
      </w:r>
      <w:bookmarkEnd w:id="87"/>
    </w:p>
    <w:p w14:paraId="71EF0E5B" w14:textId="77777777" w:rsidR="00FA5F58" w:rsidRPr="00B16B6C" w:rsidRDefault="00FA5F58" w:rsidP="00FA5F58">
      <w:pPr>
        <w:pStyle w:val="Dodatkowedokumenty"/>
      </w:pPr>
      <w:r w:rsidRPr="00B16B6C">
        <w:t>Przydatne dokumenty i opracowania</w:t>
      </w:r>
    </w:p>
    <w:p w14:paraId="7B06A8C6" w14:textId="77777777" w:rsidR="00FA5F58" w:rsidRPr="00B16B6C" w:rsidRDefault="00FA5F58" w:rsidP="00FA5F58">
      <w:pPr>
        <w:rPr>
          <w:b/>
          <w:bCs/>
        </w:rPr>
      </w:pPr>
      <w:r w:rsidRPr="00B16B6C">
        <w:t>Podczas przygotowywania budynku, opracowywania szczegółowych procedur czy doboru sprzętu wspomagającego ewakuację przydatna może być publikacja</w:t>
      </w:r>
    </w:p>
    <w:p w14:paraId="4985AD8A" w14:textId="77777777" w:rsidR="00FA5F58" w:rsidRPr="00B16B6C" w:rsidRDefault="00FA5F58" w:rsidP="00FA5F58">
      <w:pPr>
        <w:pStyle w:val="Dokumenty"/>
      </w:pPr>
      <w:r w:rsidRPr="00B16B6C">
        <w:t xml:space="preserve">Dostępność. Bezpieczna ewakuacja </w:t>
      </w:r>
      <w:r w:rsidRPr="00B16B6C">
        <w:rPr>
          <w:b w:val="0"/>
          <w:bCs w:val="0"/>
        </w:rPr>
        <w:t>(link do dokumentu pdf online).</w:t>
      </w:r>
      <w:r w:rsidRPr="00B16B6C">
        <w:t xml:space="preserve"> </w:t>
      </w:r>
      <w:hyperlink r:id="rId17" w:history="1">
        <w:r w:rsidRPr="00B16B6C">
          <w:rPr>
            <w:rStyle w:val="Hipercze"/>
          </w:rPr>
          <w:t>https://www.funduszeeuropejskie.gov.pl/media/108348/Dostepnosc-Bezpieczna-Ewakuacja.pdf</w:t>
        </w:r>
      </w:hyperlink>
      <w:r w:rsidRPr="00B16B6C">
        <w:t xml:space="preserve"> </w:t>
      </w:r>
    </w:p>
    <w:p w14:paraId="711ECD7A" w14:textId="168D27CD" w:rsidR="00965BFD" w:rsidRDefault="00965BFD" w:rsidP="008C4032">
      <w:pPr>
        <w:pStyle w:val="Nagwek2"/>
      </w:pPr>
      <w:bookmarkStart w:id="88" w:name="_Toc182319579"/>
      <w:r>
        <w:t xml:space="preserve">Rozdział 1. Wymagania architektoniczne </w:t>
      </w:r>
      <w:r w:rsidR="00FA5F58">
        <w:t>dla ewakuacji</w:t>
      </w:r>
      <w:bookmarkEnd w:id="88"/>
    </w:p>
    <w:p w14:paraId="68C2E6E9" w14:textId="68C538BE" w:rsidR="00CA2A2C" w:rsidRPr="00B16B6C" w:rsidRDefault="00CA2A2C" w:rsidP="00CA2A2C">
      <w:r w:rsidRPr="00B16B6C">
        <w:t>Budynek i urządzenia z nim związane muszą być zaprojektowane i wykonane w taki sposób, by zapewnić możliwość ewakuacji ludzi lub ich uratowania w inny sposób.</w:t>
      </w:r>
    </w:p>
    <w:p w14:paraId="18215BC7" w14:textId="00E05AD2" w:rsidR="00CA2A2C" w:rsidRPr="00B16B6C" w:rsidRDefault="00CA2A2C" w:rsidP="00496C5D">
      <w:pPr>
        <w:pStyle w:val="Przykad"/>
      </w:pPr>
      <w:r w:rsidRPr="00B16B6C">
        <w:t>Obowiązki właściciela budynku, obiektu lub terenu określa Ustawa z dnia 24 sierpnia 1991 r</w:t>
      </w:r>
      <w:r w:rsidR="00D77C0A">
        <w:t xml:space="preserve">oku </w:t>
      </w:r>
      <w:r w:rsidRPr="00B16B6C">
        <w:t>o ochronie przeciwpożarowej (Dz.U. 2024 poz. 275), art. 4, ust. 1.</w:t>
      </w:r>
    </w:p>
    <w:p w14:paraId="52CAA0AE" w14:textId="77777777" w:rsidR="00CA2A2C" w:rsidRDefault="00CA2A2C" w:rsidP="00496C5D">
      <w:pPr>
        <w:pStyle w:val="Przykad"/>
      </w:pPr>
      <w:r w:rsidRPr="00B16B6C">
        <w:t>Wymagania i zalecenia w zakresie przygotowania budynku do prowadzenia ewakuacji opisują Standardy dostępności dla polityki spójności 2021-2027 – część VI. Standard architektoniczny, rozdz. 2. Budynek – Bezpieczeństwo pożarowe.</w:t>
      </w:r>
    </w:p>
    <w:p w14:paraId="507AA572" w14:textId="5F15F1E3" w:rsidR="00DE35F8" w:rsidRDefault="00DE35F8" w:rsidP="00DE35F8">
      <w:pPr>
        <w:pStyle w:val="Nagwek2"/>
      </w:pPr>
      <w:bookmarkStart w:id="89" w:name="_Toc182319580"/>
      <w:bookmarkStart w:id="90" w:name="_Toc176864288"/>
      <w:r>
        <w:t>Rozdział. 2. Podręczny i przenośny sprzęt gaśniczy</w:t>
      </w:r>
      <w:bookmarkEnd w:id="89"/>
    </w:p>
    <w:p w14:paraId="66F81CE5" w14:textId="1B7DE4E1" w:rsidR="00CD4F5B" w:rsidRDefault="00CD4F5B" w:rsidP="00CD4F5B">
      <w:r>
        <w:t xml:space="preserve">Stosowany w budynkach podręczny sprzęt gaśniczy musi </w:t>
      </w:r>
      <w:r w:rsidRPr="00CD4F5B">
        <w:t>być dostosowany do rodzaju potencjalnego pożaru, jaki może się pojawić. Bardzo ważne jest także jego prawidłowe rozmieszczenie</w:t>
      </w:r>
      <w:r w:rsidR="00281489">
        <w:t xml:space="preserve"> (zgodnie z IBP) </w:t>
      </w:r>
      <w:r w:rsidRPr="00CD4F5B">
        <w:t>i oznakowanie.</w:t>
      </w:r>
    </w:p>
    <w:p w14:paraId="1DAC0668" w14:textId="5615390F" w:rsidR="00B752EA" w:rsidRDefault="00B752EA" w:rsidP="00B752EA">
      <w:pPr>
        <w:pStyle w:val="Dobrapraktyka"/>
      </w:pPr>
      <w:r>
        <w:t>Dobra praktyka</w:t>
      </w:r>
    </w:p>
    <w:p w14:paraId="205AC48A" w14:textId="4B34782A" w:rsidR="00B752EA" w:rsidRPr="00B752EA" w:rsidRDefault="00B752EA" w:rsidP="00B752EA">
      <w:pPr>
        <w:pStyle w:val="Dobrapraktyka"/>
        <w:rPr>
          <w:b w:val="0"/>
          <w:bCs/>
        </w:rPr>
      </w:pPr>
      <w:r w:rsidRPr="00B752EA">
        <w:rPr>
          <w:b w:val="0"/>
          <w:bCs/>
        </w:rPr>
        <w:t>Zaleca się, aby gaśnice były montowane na wysokości dostępnej dla osób niskiego wzrostu / osób na wózkach, tj. na wysokości w przedziale 0,80-1,10 (miejsce montażu / element chwytny).</w:t>
      </w:r>
    </w:p>
    <w:p w14:paraId="4B956EB3" w14:textId="1C4B4937" w:rsidR="00965BFD" w:rsidRPr="00B16B6C" w:rsidRDefault="00965BFD" w:rsidP="008C4032">
      <w:pPr>
        <w:pStyle w:val="Nagwek2"/>
      </w:pPr>
      <w:bookmarkStart w:id="91" w:name="_Toc182319581"/>
      <w:r w:rsidRPr="00B16B6C">
        <w:lastRenderedPageBreak/>
        <w:t xml:space="preserve">Rozdział </w:t>
      </w:r>
      <w:r w:rsidR="00DE35F8">
        <w:t>3</w:t>
      </w:r>
      <w:r w:rsidRPr="00B16B6C">
        <w:t>. Procedury ewakuacji</w:t>
      </w:r>
      <w:bookmarkEnd w:id="90"/>
      <w:bookmarkEnd w:id="91"/>
    </w:p>
    <w:p w14:paraId="3EC496A7" w14:textId="22B633D6" w:rsidR="00965BFD" w:rsidRPr="00B16B6C" w:rsidRDefault="00965BFD" w:rsidP="00965BFD">
      <w:r w:rsidRPr="00B16B6C">
        <w:t xml:space="preserve">Konieczne jest określenie szczegółowych wytycznych prowadzenia ewakuacji z budynku ze szczególnym uwzględnieniem ewakuacji osób z niepełnosprawnościami, </w:t>
      </w:r>
      <w:r w:rsidR="00D77C0A">
        <w:t xml:space="preserve">seniorek i </w:t>
      </w:r>
      <w:r w:rsidRPr="00B16B6C">
        <w:t xml:space="preserve">seniorów oraz wszystkich osób o ograniczonej możliwości poruszania się lub rozpoznawania znaków i sygnałów alarmowych. </w:t>
      </w:r>
    </w:p>
    <w:p w14:paraId="16D46567" w14:textId="42EF68FE" w:rsidR="00965BFD" w:rsidRPr="00B16B6C" w:rsidRDefault="00965BFD" w:rsidP="00965BFD">
      <w:r w:rsidRPr="00B16B6C">
        <w:t xml:space="preserve">Wytyczne tego rodzaju powinny stanowić załącznik do procedur ewakuacji </w:t>
      </w:r>
      <w:r>
        <w:t>dla budynku/</w:t>
      </w:r>
      <w:r w:rsidRPr="00B16B6C">
        <w:t>instytucji</w:t>
      </w:r>
      <w:r w:rsidR="00D77C0A">
        <w:t>,</w:t>
      </w:r>
      <w:r w:rsidRPr="00B16B6C">
        <w:t xml:space="preserve"> a ich minimalny zakres powinien obejmować określenie: </w:t>
      </w:r>
    </w:p>
    <w:p w14:paraId="6D42E6FF" w14:textId="7EA039EC" w:rsidR="00965BFD" w:rsidRPr="00B16B6C" w:rsidRDefault="00965BFD" w:rsidP="00965BFD">
      <w:pPr>
        <w:pStyle w:val="Akapitzlist"/>
        <w:ind w:left="284" w:hanging="284"/>
        <w:rPr>
          <w:rFonts w:ascii="Cambria Math" w:hAnsi="Cambria Math" w:cs="Cambria Math"/>
        </w:rPr>
      </w:pPr>
      <w:r w:rsidRPr="00B16B6C">
        <w:t>potencjalnych problemów w sytuacji zagrożenia, których mogą doświadczać osoby z niepełnosprawnościami</w:t>
      </w:r>
      <w:r w:rsidR="00F037F3">
        <w:t xml:space="preserve"> i innymi szczególnymi potrzebami</w:t>
      </w:r>
      <w:r w:rsidRPr="00B16B6C">
        <w:t xml:space="preserve">, </w:t>
      </w:r>
    </w:p>
    <w:p w14:paraId="3AA4C8E3" w14:textId="77777777" w:rsidR="00965BFD" w:rsidRPr="00B16B6C" w:rsidRDefault="00965BFD" w:rsidP="00965BFD">
      <w:pPr>
        <w:pStyle w:val="Akapitzlist"/>
        <w:ind w:left="284" w:hanging="284"/>
      </w:pPr>
      <w:r w:rsidRPr="00B16B6C">
        <w:t>szczegółowych wytycznych w zakresie systemów powiadamiania, dróg ewakuacji i indywidualnych planów ewakuacji (jeśli są tworzone).</w:t>
      </w:r>
    </w:p>
    <w:p w14:paraId="5EBB76DE" w14:textId="77777777" w:rsidR="00965BFD" w:rsidRPr="00B16B6C" w:rsidRDefault="00965BFD" w:rsidP="00965BFD">
      <w:r w:rsidRPr="00B16B6C">
        <w:t xml:space="preserve">Podczas przygotowywania procedur ewakuacji należy uwzględnić: </w:t>
      </w:r>
    </w:p>
    <w:p w14:paraId="58CC0AA6" w14:textId="6E6392DB" w:rsidR="00965BFD" w:rsidRPr="00B16B6C" w:rsidRDefault="00965BFD" w:rsidP="00965BFD">
      <w:pPr>
        <w:pStyle w:val="Akapitzlist"/>
        <w:ind w:left="284" w:hanging="284"/>
      </w:pPr>
      <w:r w:rsidRPr="00B16B6C">
        <w:t>rodzaj budynku/przestrzeni (liczbę kondygnacji, parametry dróg ewakuacyjnych, rodzaje stosowanych systemów powiadamiania)</w:t>
      </w:r>
      <w:r w:rsidR="00D77C0A">
        <w:t>,</w:t>
      </w:r>
    </w:p>
    <w:p w14:paraId="26C160A4" w14:textId="61A1FE0E" w:rsidR="00965BFD" w:rsidRPr="00B16B6C" w:rsidRDefault="00965BFD" w:rsidP="00965BFD">
      <w:pPr>
        <w:pStyle w:val="Akapitzlist"/>
        <w:ind w:left="284" w:hanging="284"/>
      </w:pPr>
      <w:r w:rsidRPr="00B16B6C">
        <w:t>liczbę osób z niepełnosprawnościami mogących podlegać ewakuacji</w:t>
      </w:r>
      <w:r w:rsidR="00D77C0A">
        <w:t>,</w:t>
      </w:r>
    </w:p>
    <w:p w14:paraId="63A5415A" w14:textId="77777777" w:rsidR="00965BFD" w:rsidRPr="00B16B6C" w:rsidRDefault="00965BFD" w:rsidP="00965BFD">
      <w:pPr>
        <w:pStyle w:val="Akapitzlist"/>
        <w:ind w:left="284" w:hanging="284"/>
      </w:pPr>
      <w:r w:rsidRPr="00B16B6C">
        <w:t>rodzaj i stopień ich niepełnosprawności (a w związku z tym – ewentualną liczbę dodatkowych środków technicznych / urządzeń wspomagających ewakuację oraz liczbę osób asystujących).</w:t>
      </w:r>
    </w:p>
    <w:p w14:paraId="55C9085D" w14:textId="77777777" w:rsidR="00965BFD" w:rsidRPr="00B16B6C" w:rsidRDefault="00965BFD" w:rsidP="00965BFD">
      <w:pPr>
        <w:pStyle w:val="Dobrapraktyka"/>
      </w:pPr>
      <w:r w:rsidRPr="00B16B6C">
        <w:t>Dobra praktyka</w:t>
      </w:r>
    </w:p>
    <w:p w14:paraId="1C52BC7E" w14:textId="77777777" w:rsidR="00965BFD" w:rsidRPr="00B16B6C" w:rsidRDefault="00965BFD" w:rsidP="00965BFD">
      <w:pPr>
        <w:pStyle w:val="Dobrapraktyka"/>
        <w:rPr>
          <w:b w:val="0"/>
          <w:bCs/>
        </w:rPr>
      </w:pPr>
      <w:r w:rsidRPr="00B16B6C">
        <w:rPr>
          <w:b w:val="0"/>
          <w:bCs/>
        </w:rPr>
        <w:t xml:space="preserve">Przy opracowywaniu procedur ewakuacji należy pamiętać, że nie każda osoba z niepełnosprawnością jest w stanie samodzielnie poruszać się po budynku w wypadku wystąpienia zagrożenia. </w:t>
      </w:r>
    </w:p>
    <w:p w14:paraId="2D15E60C" w14:textId="4668049A" w:rsidR="00965BFD" w:rsidRPr="00B16B6C" w:rsidRDefault="00965BFD" w:rsidP="00965BFD">
      <w:pPr>
        <w:pStyle w:val="Dobrapraktyka"/>
        <w:rPr>
          <w:b w:val="0"/>
          <w:bCs/>
        </w:rPr>
      </w:pPr>
      <w:r w:rsidRPr="00B16B6C">
        <w:rPr>
          <w:b w:val="0"/>
          <w:bCs/>
        </w:rPr>
        <w:t>Po zdiagnozowaniu potrzeb konkretnej osoby koniecznym może okazać się wyznaczenie osoby asystującej, odpowiedzialnej za pomoc w ewakuacji. W każdym przypadku zaleca się wyznaczenie minimum 2-3 a</w:t>
      </w:r>
      <w:r w:rsidR="0039770C">
        <w:rPr>
          <w:b w:val="0"/>
          <w:bCs/>
        </w:rPr>
        <w:t xml:space="preserve">systentek lub asystentów </w:t>
      </w:r>
      <w:r w:rsidRPr="00B16B6C">
        <w:rPr>
          <w:b w:val="0"/>
          <w:bCs/>
        </w:rPr>
        <w:t>dla każdej osoby z niepełnosprawnością</w:t>
      </w:r>
      <w:r w:rsidR="0039770C">
        <w:rPr>
          <w:b w:val="0"/>
          <w:bCs/>
        </w:rPr>
        <w:t>. M</w:t>
      </w:r>
      <w:r w:rsidRPr="00B16B6C">
        <w:rPr>
          <w:b w:val="0"/>
          <w:bCs/>
        </w:rPr>
        <w:t>a to na celu uniknięcie sytuacji, w której podczas wystąpienia zagrożenia osoba asystująca jest nieobecna</w:t>
      </w:r>
      <w:r w:rsidR="0039770C">
        <w:rPr>
          <w:b w:val="0"/>
          <w:bCs/>
        </w:rPr>
        <w:t>,</w:t>
      </w:r>
      <w:r w:rsidRPr="00B16B6C">
        <w:rPr>
          <w:b w:val="0"/>
          <w:bCs/>
        </w:rPr>
        <w:t xml:space="preserve"> a osoba z niepełnosprawnością pozostawiona bez pomocy.</w:t>
      </w:r>
    </w:p>
    <w:p w14:paraId="3C271DA5" w14:textId="77777777" w:rsidR="00965BFD" w:rsidRPr="00B16B6C" w:rsidRDefault="00965BFD" w:rsidP="00965BFD">
      <w:r w:rsidRPr="00B16B6C">
        <w:t>W zakresie obowiązujących w obiekcie lub podczas wydarzenia procedur ewakuacji konieczne jest przeszkolenie personelu, w szczególności z:</w:t>
      </w:r>
    </w:p>
    <w:p w14:paraId="43A92120" w14:textId="6874DBDC" w:rsidR="00965BFD" w:rsidRPr="00B16B6C" w:rsidRDefault="00965BFD" w:rsidP="00965BFD">
      <w:pPr>
        <w:pStyle w:val="Akapitzlist"/>
        <w:ind w:left="284" w:hanging="284"/>
      </w:pPr>
      <w:r w:rsidRPr="00B16B6C">
        <w:lastRenderedPageBreak/>
        <w:t>odczytywania sygnałów alarmowych i sposobów wydostania się z obiektu</w:t>
      </w:r>
      <w:r w:rsidR="00F037F3">
        <w:t>,</w:t>
      </w:r>
    </w:p>
    <w:p w14:paraId="4A68AED4" w14:textId="76F9025C" w:rsidR="00965BFD" w:rsidRPr="00B16B6C" w:rsidRDefault="00965BFD" w:rsidP="00965BFD">
      <w:pPr>
        <w:pStyle w:val="Akapitzlist"/>
        <w:ind w:left="284" w:hanging="284"/>
      </w:pPr>
      <w:r w:rsidRPr="00B16B6C">
        <w:t>prowadzenia sprawnej ewakuacji z budynku, w tym pomocy osobom z niepełnosprawnościami (transfer z wózka na wózek ewakuacyjny, asysta)</w:t>
      </w:r>
      <w:r w:rsidR="00F037F3">
        <w:t>,</w:t>
      </w:r>
    </w:p>
    <w:p w14:paraId="2D07CB91" w14:textId="7BF25A20" w:rsidR="00965BFD" w:rsidRPr="00B16B6C" w:rsidRDefault="00965BFD" w:rsidP="00965BFD">
      <w:pPr>
        <w:pStyle w:val="Akapitzlist"/>
        <w:ind w:left="284" w:hanging="284"/>
      </w:pPr>
      <w:r w:rsidRPr="00B16B6C">
        <w:t xml:space="preserve">używania obowiązkowego sprzętu i akcesoriów </w:t>
      </w:r>
      <w:r w:rsidR="007A6D7C" w:rsidRPr="00B16B6C">
        <w:t>p. poż</w:t>
      </w:r>
      <w:r w:rsidRPr="00B16B6C">
        <w:t xml:space="preserve">. oraz </w:t>
      </w:r>
      <w:r w:rsidR="00F037F3">
        <w:t>dodatkowego</w:t>
      </w:r>
      <w:r w:rsidR="00762912">
        <w:t xml:space="preserve"> </w:t>
      </w:r>
      <w:r w:rsidRPr="00B16B6C">
        <w:t>sprzętu wspomagającego ewakuację (wózki/krzesła, materace, maty).</w:t>
      </w:r>
    </w:p>
    <w:p w14:paraId="1F193745" w14:textId="3EBFB818" w:rsidR="00965BFD" w:rsidRPr="00B16B6C" w:rsidRDefault="00965BFD" w:rsidP="00965BFD">
      <w:pPr>
        <w:pStyle w:val="Dobrapraktyka"/>
      </w:pPr>
      <w:bookmarkStart w:id="92" w:name="_Toc176864289"/>
      <w:r>
        <w:t>Dobra praktyka:</w:t>
      </w:r>
      <w:r w:rsidRPr="00B16B6C">
        <w:t xml:space="preserve"> </w:t>
      </w:r>
      <w:r>
        <w:t>u</w:t>
      </w:r>
      <w:r w:rsidRPr="00B16B6C">
        <w:t>rządzenia wspomagające ewakuację</w:t>
      </w:r>
      <w:bookmarkEnd w:id="92"/>
    </w:p>
    <w:p w14:paraId="256A1162" w14:textId="04529D64" w:rsidR="00965BFD" w:rsidRPr="00965BFD" w:rsidRDefault="00965BFD" w:rsidP="00965BFD">
      <w:pPr>
        <w:pStyle w:val="Dobrapraktyka"/>
        <w:rPr>
          <w:b w:val="0"/>
          <w:bCs/>
        </w:rPr>
      </w:pPr>
      <w:r w:rsidRPr="00965BFD">
        <w:rPr>
          <w:b w:val="0"/>
          <w:bCs/>
        </w:rPr>
        <w:t>Dobrą praktyką jest wyposażenie obiektu w urządzenia wspomagające ewakuację, które służą do bezpiecznej ewakuacji osób o ograniczonej możliwości poruszania się (</w:t>
      </w:r>
      <w:r w:rsidR="0039770C">
        <w:rPr>
          <w:b w:val="0"/>
          <w:bCs/>
        </w:rPr>
        <w:t xml:space="preserve">użytkowniczek i </w:t>
      </w:r>
      <w:r w:rsidRPr="00965BFD">
        <w:rPr>
          <w:b w:val="0"/>
          <w:bCs/>
        </w:rPr>
        <w:t xml:space="preserve">użytkowników wózków, kobiet w ciąży, osób z czasową niepełnosprawnością, seniorów, itp.). Są to: </w:t>
      </w:r>
    </w:p>
    <w:p w14:paraId="7129A2BB" w14:textId="1020F945" w:rsidR="00965BFD" w:rsidRPr="00965BFD" w:rsidRDefault="00965BFD" w:rsidP="00965BFD">
      <w:pPr>
        <w:pStyle w:val="Dobrapraktyka"/>
        <w:numPr>
          <w:ilvl w:val="0"/>
          <w:numId w:val="34"/>
        </w:numPr>
        <w:ind w:left="284" w:hanging="284"/>
        <w:rPr>
          <w:b w:val="0"/>
          <w:bCs/>
        </w:rPr>
      </w:pPr>
      <w:r w:rsidRPr="00965BFD">
        <w:rPr>
          <w:b w:val="0"/>
          <w:bCs/>
        </w:rPr>
        <w:t>wózki (krzesła) ewakuacyjne – stosowane do ewakuacji w pozycji siedzącej po schodach w dół lub w górę i w dół</w:t>
      </w:r>
      <w:r w:rsidR="0039770C">
        <w:rPr>
          <w:b w:val="0"/>
          <w:bCs/>
        </w:rPr>
        <w:t>,</w:t>
      </w:r>
    </w:p>
    <w:p w14:paraId="6554E0BC" w14:textId="4AFBF2D1" w:rsidR="00965BFD" w:rsidRDefault="00965BFD" w:rsidP="00965BFD">
      <w:pPr>
        <w:pStyle w:val="Dobrapraktyka"/>
        <w:numPr>
          <w:ilvl w:val="0"/>
          <w:numId w:val="34"/>
        </w:numPr>
        <w:ind w:left="284" w:hanging="284"/>
        <w:rPr>
          <w:b w:val="0"/>
          <w:bCs/>
        </w:rPr>
      </w:pPr>
      <w:r w:rsidRPr="00965BFD">
        <w:rPr>
          <w:b w:val="0"/>
          <w:bCs/>
        </w:rPr>
        <w:t>materace ewakuacyjne – stosowane do ewakuacji w pozycji leżącej, przeznaczone dla osób, które nie mogą być ewakuowane za pomocą krzesła/wózka lub do miejsc, gdzie krzesło/wózek może być niewygodne w użyciu (np. na wąskich klatkach schodowych)</w:t>
      </w:r>
      <w:r>
        <w:rPr>
          <w:b w:val="0"/>
          <w:bCs/>
        </w:rPr>
        <w:t>.</w:t>
      </w:r>
    </w:p>
    <w:p w14:paraId="755B9DE0" w14:textId="699FF649" w:rsidR="00AE5859" w:rsidRPr="00A54693" w:rsidRDefault="00AE5859" w:rsidP="001F0207">
      <w:pPr>
        <w:pStyle w:val="Nagwek1"/>
      </w:pPr>
      <w:bookmarkStart w:id="93" w:name="_Toc182319582"/>
      <w:r w:rsidRPr="00A54693">
        <w:t>Standard zatrudnienia i organizacji pracy</w:t>
      </w:r>
      <w:bookmarkEnd w:id="93"/>
    </w:p>
    <w:p w14:paraId="43176FC5" w14:textId="77777777" w:rsidR="00CA2A2C" w:rsidRPr="00B16B6C" w:rsidRDefault="00CA2A2C" w:rsidP="00CA2A2C">
      <w:r w:rsidRPr="00B16B6C">
        <w:t>Osoby z niepełnosprawnościami muszą mieć prawo do pracy na zasadzie równości z innymi osobami, w otwartym, integracyjnym i dostępnym środowisku pracy, nie mogą też być dyskryminowane ze względu na niepełnosprawność.</w:t>
      </w:r>
    </w:p>
    <w:p w14:paraId="7527B360" w14:textId="77777777" w:rsidR="00CA2A2C" w:rsidRDefault="00CA2A2C" w:rsidP="008C4032">
      <w:pPr>
        <w:pStyle w:val="Nagwek2"/>
      </w:pPr>
      <w:bookmarkStart w:id="94" w:name="_Toc176864297"/>
      <w:bookmarkStart w:id="95" w:name="_Toc182319583"/>
      <w:r w:rsidRPr="00B16B6C">
        <w:t>Rozdział 1. Proces rekrutacji</w:t>
      </w:r>
      <w:bookmarkEnd w:id="94"/>
      <w:bookmarkEnd w:id="95"/>
    </w:p>
    <w:p w14:paraId="0F196FC6" w14:textId="77777777" w:rsidR="00CA2A2C" w:rsidRPr="00B16B6C" w:rsidRDefault="00CA2A2C" w:rsidP="00CA2A2C">
      <w:pPr>
        <w:pStyle w:val="Wane"/>
      </w:pPr>
      <w:r w:rsidRPr="00B16B6C">
        <w:t>Ważne</w:t>
      </w:r>
    </w:p>
    <w:p w14:paraId="5DE1C92F" w14:textId="2C7D785C" w:rsidR="00CA2A2C" w:rsidRPr="00B16B6C" w:rsidRDefault="00CA2A2C" w:rsidP="00CA2A2C">
      <w:pPr>
        <w:pStyle w:val="Wane"/>
        <w:rPr>
          <w:b w:val="0"/>
          <w:bCs/>
        </w:rPr>
      </w:pPr>
      <w:r w:rsidRPr="00B16B6C">
        <w:rPr>
          <w:rFonts w:cs="Arial"/>
          <w:b w:val="0"/>
          <w:bCs/>
          <w:szCs w:val="24"/>
        </w:rPr>
        <w:t>Nikt nie ma obowiązku informować o swojej niepełnosprawności. Należy więc tak zaplanować proces rekrutacji, aby był w jak największym stopniu dostępny dla wszystkich potencjaln</w:t>
      </w:r>
      <w:r w:rsidR="0039770C">
        <w:rPr>
          <w:rFonts w:cs="Arial"/>
          <w:b w:val="0"/>
          <w:bCs/>
          <w:szCs w:val="24"/>
        </w:rPr>
        <w:t xml:space="preserve">ych kandydatek i kandydatów. </w:t>
      </w:r>
    </w:p>
    <w:p w14:paraId="39EFEA24" w14:textId="5DE88086" w:rsidR="00CA2A2C" w:rsidRPr="00B16B6C" w:rsidRDefault="00CA2A2C" w:rsidP="00CA2A2C">
      <w:r w:rsidRPr="00B16B6C">
        <w:t xml:space="preserve">Podczas rekrutacji na stanowiska w projektach realizowanych w ramach </w:t>
      </w:r>
      <w:r w:rsidR="00762912">
        <w:t>P</w:t>
      </w:r>
      <w:r w:rsidRPr="00B16B6C">
        <w:t>rogramu FE</w:t>
      </w:r>
      <w:r w:rsidR="00F15051">
        <w:t>NG</w:t>
      </w:r>
      <w:r w:rsidRPr="00B16B6C">
        <w:t xml:space="preserve"> należy:</w:t>
      </w:r>
    </w:p>
    <w:p w14:paraId="43F6274B" w14:textId="6D5440ED" w:rsidR="00CA2A2C" w:rsidRPr="00B16B6C" w:rsidRDefault="00CA2A2C" w:rsidP="00CA2A2C">
      <w:pPr>
        <w:pStyle w:val="Akapitzlist"/>
        <w:ind w:left="284" w:hanging="284"/>
      </w:pPr>
      <w:r w:rsidRPr="00B16B6C">
        <w:lastRenderedPageBreak/>
        <w:t xml:space="preserve">zapewnić możliwość komunikacji za pomocą różnych kanałów, np. pisemnie </w:t>
      </w:r>
      <w:r w:rsidR="007328C7">
        <w:t>(</w:t>
      </w:r>
      <w:r w:rsidRPr="00B16B6C">
        <w:t>e-mail, chat, komunikator internetowy</w:t>
      </w:r>
      <w:r w:rsidR="0039770C">
        <w:t>, itp.</w:t>
      </w:r>
      <w:r w:rsidR="007328C7">
        <w:t>)</w:t>
      </w:r>
      <w:r w:rsidRPr="00B16B6C">
        <w:t>, telefonicznie, osobiście w siedzibie instytucji rekrutującej,</w:t>
      </w:r>
    </w:p>
    <w:p w14:paraId="554E3545" w14:textId="0A4023D8" w:rsidR="00CA2A2C" w:rsidRPr="00B16B6C" w:rsidRDefault="00CA2A2C" w:rsidP="00CA2A2C">
      <w:pPr>
        <w:pStyle w:val="Akapitzlist"/>
        <w:ind w:left="284" w:hanging="284"/>
      </w:pPr>
      <w:r w:rsidRPr="00B16B6C">
        <w:t>zapewnić możliwość spełnienia indywidualnych potrzeb danej osoby</w:t>
      </w:r>
      <w:r w:rsidR="0039770C">
        <w:t>:</w:t>
      </w:r>
      <w:r w:rsidRPr="00B16B6C">
        <w:t xml:space="preserve"> asysty podczas dotarcia do budynku lub poruszania się po nim, tłumaczenia na język migowy, udostępnienia dokumentów w różnych formatach (</w:t>
      </w:r>
      <w:r w:rsidR="0039770C">
        <w:t xml:space="preserve">np. </w:t>
      </w:r>
      <w:r w:rsidR="00517237" w:rsidRPr="00B16B6C">
        <w:t>Word</w:t>
      </w:r>
      <w:r w:rsidRPr="00B16B6C">
        <w:t>).</w:t>
      </w:r>
    </w:p>
    <w:p w14:paraId="345E8DC8" w14:textId="77777777" w:rsidR="00CA2A2C" w:rsidRPr="00B16B6C" w:rsidRDefault="00CA2A2C" w:rsidP="0051598D">
      <w:pPr>
        <w:pStyle w:val="Nagwek3"/>
        <w:numPr>
          <w:ilvl w:val="0"/>
          <w:numId w:val="30"/>
        </w:numPr>
        <w:ind w:left="426" w:hanging="426"/>
      </w:pPr>
      <w:bookmarkStart w:id="96" w:name="_Toc176864298"/>
      <w:bookmarkStart w:id="97" w:name="_Toc182319584"/>
      <w:r w:rsidRPr="00B16B6C">
        <w:t>Ogłoszenie rekrutacyjne</w:t>
      </w:r>
      <w:bookmarkEnd w:id="96"/>
      <w:bookmarkEnd w:id="97"/>
    </w:p>
    <w:p w14:paraId="633009AC" w14:textId="77777777" w:rsidR="00B752EA" w:rsidRDefault="00CA2A2C" w:rsidP="00CA2A2C">
      <w:r w:rsidRPr="00B16B6C">
        <w:t xml:space="preserve">Podczas formułowania ogłoszenia należy unikać skomplikowanego, specjalistycznego słownictwa (np. </w:t>
      </w:r>
      <w:r w:rsidR="00496C5D">
        <w:t>naukowego</w:t>
      </w:r>
      <w:r w:rsidRPr="00B16B6C">
        <w:t xml:space="preserve">, technicznego), chyba że jego znajomość wynika wprost z charakteru późniejszej pracy. </w:t>
      </w:r>
    </w:p>
    <w:p w14:paraId="2A71F2D8" w14:textId="07CFB4DD" w:rsidR="00CA2A2C" w:rsidRPr="00B16B6C" w:rsidRDefault="00CA2A2C" w:rsidP="00CA2A2C">
      <w:r w:rsidRPr="00B16B6C">
        <w:t xml:space="preserve">Ogłoszenie w formie elektronicznej (np. na stronie internetowej </w:t>
      </w:r>
      <w:r w:rsidR="0039770C">
        <w:t>organizacji</w:t>
      </w:r>
      <w:r w:rsidRPr="00B16B6C">
        <w:t xml:space="preserve">) musi być zgodne z wymaganiami Standardu dostępności cyfrowej. </w:t>
      </w:r>
    </w:p>
    <w:p w14:paraId="707E235B" w14:textId="77777777" w:rsidR="00CA2A2C" w:rsidRPr="00B16B6C" w:rsidRDefault="00CA2A2C" w:rsidP="00496C5D">
      <w:pPr>
        <w:pStyle w:val="Przykad"/>
      </w:pPr>
      <w:r w:rsidRPr="00B16B6C">
        <w:t>Wymagania i zalecenia opisują Standardy dostępności dla polityki spójności 2021-2027 – część V. Standard cyfrowy.</w:t>
      </w:r>
    </w:p>
    <w:p w14:paraId="321F4090" w14:textId="77777777" w:rsidR="00CA2A2C" w:rsidRPr="00B16B6C" w:rsidRDefault="00CA2A2C" w:rsidP="00CA2A2C">
      <w:pPr>
        <w:pStyle w:val="Dobrapraktyka"/>
      </w:pPr>
      <w:r w:rsidRPr="00B16B6C">
        <w:t>Dobra praktyka</w:t>
      </w:r>
    </w:p>
    <w:p w14:paraId="58EFB318" w14:textId="0D2B205A" w:rsidR="00B752EA" w:rsidRDefault="00B752EA" w:rsidP="00CA2A2C">
      <w:pPr>
        <w:pStyle w:val="Dobrapraktyka"/>
        <w:rPr>
          <w:rFonts w:cs="Arial"/>
          <w:b w:val="0"/>
          <w:bCs/>
          <w:szCs w:val="24"/>
        </w:rPr>
      </w:pPr>
      <w:r>
        <w:rPr>
          <w:rFonts w:cs="Arial"/>
          <w:b w:val="0"/>
          <w:bCs/>
          <w:szCs w:val="24"/>
        </w:rPr>
        <w:t>Zalecane jest przygotowanie</w:t>
      </w:r>
      <w:r w:rsidRPr="00B752EA">
        <w:rPr>
          <w:rFonts w:cs="Arial"/>
          <w:b w:val="0"/>
          <w:bCs/>
          <w:szCs w:val="24"/>
        </w:rPr>
        <w:t xml:space="preserve"> szczegółow</w:t>
      </w:r>
      <w:r>
        <w:rPr>
          <w:rFonts w:cs="Arial"/>
          <w:b w:val="0"/>
          <w:bCs/>
          <w:szCs w:val="24"/>
        </w:rPr>
        <w:t>ego</w:t>
      </w:r>
      <w:r w:rsidRPr="00B752EA">
        <w:rPr>
          <w:rFonts w:cs="Arial"/>
          <w:b w:val="0"/>
          <w:bCs/>
          <w:szCs w:val="24"/>
        </w:rPr>
        <w:t xml:space="preserve"> opis</w:t>
      </w:r>
      <w:r>
        <w:rPr>
          <w:rFonts w:cs="Arial"/>
          <w:b w:val="0"/>
          <w:bCs/>
          <w:szCs w:val="24"/>
        </w:rPr>
        <w:t>u</w:t>
      </w:r>
      <w:r w:rsidRPr="00B752EA">
        <w:rPr>
          <w:rFonts w:cs="Arial"/>
          <w:b w:val="0"/>
          <w:bCs/>
          <w:szCs w:val="24"/>
        </w:rPr>
        <w:t xml:space="preserve"> wymagań związanych ze stanowiskiem pracy</w:t>
      </w:r>
      <w:r w:rsidR="0039770C">
        <w:rPr>
          <w:rFonts w:cs="Arial"/>
          <w:b w:val="0"/>
          <w:bCs/>
          <w:szCs w:val="24"/>
        </w:rPr>
        <w:t>. M</w:t>
      </w:r>
      <w:r w:rsidRPr="00B752EA">
        <w:rPr>
          <w:rFonts w:cs="Arial"/>
          <w:b w:val="0"/>
          <w:bCs/>
          <w:szCs w:val="24"/>
        </w:rPr>
        <w:t xml:space="preserve">ogą mieć one istotne znaczenie w odniesieniu do </w:t>
      </w:r>
      <w:r>
        <w:rPr>
          <w:rFonts w:cs="Arial"/>
          <w:b w:val="0"/>
          <w:bCs/>
          <w:szCs w:val="24"/>
        </w:rPr>
        <w:t>możliwości i ograniczeń kandydujących osób</w:t>
      </w:r>
      <w:r w:rsidRPr="00B752EA">
        <w:rPr>
          <w:rFonts w:cs="Arial"/>
          <w:b w:val="0"/>
          <w:bCs/>
          <w:szCs w:val="24"/>
        </w:rPr>
        <w:t>.</w:t>
      </w:r>
    </w:p>
    <w:p w14:paraId="73FC9A5E" w14:textId="68CEFB18" w:rsidR="00CA2A2C" w:rsidRPr="00B16B6C" w:rsidRDefault="00CA2A2C" w:rsidP="00CA2A2C">
      <w:pPr>
        <w:pStyle w:val="Dobrapraktyka"/>
        <w:rPr>
          <w:b w:val="0"/>
          <w:bCs/>
        </w:rPr>
      </w:pPr>
      <w:r w:rsidRPr="00B16B6C">
        <w:rPr>
          <w:rFonts w:cs="Arial"/>
          <w:b w:val="0"/>
          <w:bCs/>
          <w:szCs w:val="24"/>
        </w:rPr>
        <w:t>P</w:t>
      </w:r>
      <w:r w:rsidRPr="00B16B6C">
        <w:rPr>
          <w:b w:val="0"/>
          <w:bCs/>
        </w:rPr>
        <w:t>oza formą elektroniczną, ogłoszenie rekrutacyjne warto publikować w prasie i umieszczać także n</w:t>
      </w:r>
      <w:r w:rsidR="0039770C">
        <w:rPr>
          <w:b w:val="0"/>
          <w:bCs/>
        </w:rPr>
        <w:t xml:space="preserve">a przykład </w:t>
      </w:r>
      <w:r w:rsidRPr="00B16B6C">
        <w:rPr>
          <w:b w:val="0"/>
          <w:bCs/>
        </w:rPr>
        <w:t xml:space="preserve">na tablicach ogłoszeniowych w konkretnych instytucjach/urzędach/jednostkach/uczelniach. </w:t>
      </w:r>
      <w:r w:rsidRPr="00B16B6C">
        <w:rPr>
          <w:rFonts w:cs="Arial"/>
          <w:b w:val="0"/>
          <w:bCs/>
          <w:szCs w:val="24"/>
        </w:rPr>
        <w:t>Jeśli to możliwe, warto też wykorzystać dodatkowe kanały do rozpowszechniania ogłoszenia rekrutacyjnego</w:t>
      </w:r>
      <w:r w:rsidR="0039770C">
        <w:rPr>
          <w:rFonts w:cs="Arial"/>
          <w:b w:val="0"/>
          <w:bCs/>
          <w:szCs w:val="24"/>
        </w:rPr>
        <w:t xml:space="preserve"> (</w:t>
      </w:r>
      <w:r w:rsidRPr="00B16B6C">
        <w:rPr>
          <w:rFonts w:cs="Arial"/>
          <w:b w:val="0"/>
          <w:bCs/>
          <w:szCs w:val="24"/>
        </w:rPr>
        <w:t>np. spoty w radiu, lokalnej telewizji lub na branżowym portalu informacyjnym</w:t>
      </w:r>
      <w:r w:rsidR="0039770C">
        <w:rPr>
          <w:rFonts w:cs="Arial"/>
          <w:b w:val="0"/>
          <w:bCs/>
          <w:szCs w:val="24"/>
        </w:rPr>
        <w:t>)</w:t>
      </w:r>
      <w:r w:rsidRPr="00B16B6C">
        <w:rPr>
          <w:rFonts w:cs="Arial"/>
          <w:b w:val="0"/>
          <w:bCs/>
          <w:szCs w:val="24"/>
        </w:rPr>
        <w:t>.</w:t>
      </w:r>
    </w:p>
    <w:p w14:paraId="3CBB01FB" w14:textId="77777777" w:rsidR="00CA2A2C" w:rsidRPr="00B16B6C" w:rsidRDefault="00CA2A2C" w:rsidP="00BC36E5">
      <w:pPr>
        <w:pStyle w:val="Nagwek3"/>
      </w:pPr>
      <w:bookmarkStart w:id="98" w:name="_Toc176864299"/>
      <w:bookmarkStart w:id="99" w:name="_Toc182319585"/>
      <w:r w:rsidRPr="00B16B6C">
        <w:t>Spotkania rekrutacyjne</w:t>
      </w:r>
      <w:bookmarkEnd w:id="98"/>
      <w:bookmarkEnd w:id="99"/>
    </w:p>
    <w:p w14:paraId="131E0BCF" w14:textId="1E4997FF" w:rsidR="00B752EA" w:rsidRPr="00B16B6C" w:rsidRDefault="00B752EA" w:rsidP="00B752EA">
      <w:r w:rsidRPr="00B16B6C">
        <w:t xml:space="preserve">Umawiając spotkanie należy zadać pytanie o indywidualne potrzeby danej osoby </w:t>
      </w:r>
      <w:r w:rsidR="0039770C">
        <w:t>(</w:t>
      </w:r>
      <w:r w:rsidRPr="00B16B6C">
        <w:t>np. asystę, tłumaczenie na PJM, pętlę indukcyjną</w:t>
      </w:r>
      <w:r w:rsidR="0039770C">
        <w:t>).</w:t>
      </w:r>
    </w:p>
    <w:p w14:paraId="02BEE80F" w14:textId="5F4A3FC8" w:rsidR="00CA2A2C" w:rsidRPr="00B16B6C" w:rsidRDefault="00CA2A2C" w:rsidP="00CA2A2C">
      <w:r w:rsidRPr="00B16B6C">
        <w:t xml:space="preserve">Spotkania rekrutacyjne należy organizować w pomieszczeniach dostępnych architektonicznie. Wymagania i zalecenia dla dostępnych pomieszczeń określa niniejszy dokument – </w:t>
      </w:r>
      <w:r w:rsidRPr="00B752EA">
        <w:rPr>
          <w:b/>
          <w:bCs/>
          <w:highlight w:val="cyan"/>
        </w:rPr>
        <w:t>część VI. Standard architektoniczny</w:t>
      </w:r>
      <w:r w:rsidR="00B752EA" w:rsidRPr="00B752EA">
        <w:rPr>
          <w:b/>
          <w:bCs/>
          <w:highlight w:val="cyan"/>
        </w:rPr>
        <w:t xml:space="preserve">, rozdz. 3. Dostępność </w:t>
      </w:r>
      <w:r w:rsidR="00B752EA" w:rsidRPr="00B752EA">
        <w:rPr>
          <w:b/>
          <w:bCs/>
          <w:highlight w:val="cyan"/>
        </w:rPr>
        <w:lastRenderedPageBreak/>
        <w:t>przestrzeni i funkcji.</w:t>
      </w:r>
      <w:r w:rsidR="00B752EA">
        <w:rPr>
          <w:b/>
          <w:bCs/>
        </w:rPr>
        <w:t xml:space="preserve"> </w:t>
      </w:r>
      <w:r w:rsidRPr="00B16B6C">
        <w:t>Podczas spotkania rekrutacyjnego w miejscu jego prowadzenia nie powinien występować hałas lub inne potencjalnie drażniące bodźce (np. migające światło).</w:t>
      </w:r>
    </w:p>
    <w:p w14:paraId="70D93407" w14:textId="4F074898" w:rsidR="00CA2A2C" w:rsidRPr="00B16B6C" w:rsidRDefault="00CA2A2C" w:rsidP="00CA2A2C">
      <w:r w:rsidRPr="00B16B6C">
        <w:t>Rozmowa z osobą kandydującą powinna być prowadzona łatwym do zrozumienia językiem, bez przenośni i metafor</w:t>
      </w:r>
      <w:r w:rsidR="0039770C">
        <w:t>. S</w:t>
      </w:r>
      <w:r w:rsidRPr="00B16B6C">
        <w:t>łownictwo specjalistyczne powinno być stosowane tylko jeśli jest to konieczne z uwagi na charakter stanowiska pracy, którego dotyczy rekrutacja.</w:t>
      </w:r>
    </w:p>
    <w:p w14:paraId="42E14B74" w14:textId="1ABBCF04" w:rsidR="00B752EA" w:rsidRDefault="00B752EA" w:rsidP="00CA2A2C">
      <w:r w:rsidRPr="00B16B6C">
        <w:t>Jeśli podczas spotkania wykonywane są zadania rekrutacyjne</w:t>
      </w:r>
      <w:r>
        <w:t xml:space="preserve"> z użyciem dokumentów w formie papierowej, muszą być one przygotowane zgodnie z wytycznymi dostępności. </w:t>
      </w:r>
    </w:p>
    <w:p w14:paraId="027ED342" w14:textId="22D1B3BF" w:rsidR="00B752EA" w:rsidRDefault="00B752EA" w:rsidP="00B752EA">
      <w:pPr>
        <w:pStyle w:val="Przykad"/>
      </w:pPr>
      <w:r w:rsidRPr="00B16B6C">
        <w:t>Wymagania i zalecenia</w:t>
      </w:r>
      <w:r>
        <w:t xml:space="preserve"> w tym zakresie</w:t>
      </w:r>
      <w:r w:rsidRPr="00B16B6C">
        <w:t xml:space="preserve"> opisują Standardy dostępności dla polityki spójności 2021-2027 – część III. Standard informacyjno-promocyjny.</w:t>
      </w:r>
    </w:p>
    <w:p w14:paraId="57ADF3AB" w14:textId="172074DA" w:rsidR="00CA2A2C" w:rsidRPr="00B16B6C" w:rsidRDefault="00CA2A2C" w:rsidP="00CA2A2C">
      <w:r w:rsidRPr="00B16B6C">
        <w:t>Jeśli podczas spotkania wykonywane są zadania rekrutacyjne na komputerze, należy zapewnić oprogramowanie lub dodatkowe urządzenia peryferyjne, umożliwiające danej osobie wykonanie tych zadań. Jeśli niwelowanie barier wymaga posługiwania się specjalistycznym, płatnym oprogramowaniem, możliwe jest używanie własnego sprzętu (</w:t>
      </w:r>
      <w:r w:rsidR="0039770C">
        <w:t xml:space="preserve">np. </w:t>
      </w:r>
      <w:r w:rsidRPr="00B16B6C">
        <w:t>laptopa, tabletu) osoby kandydującej.</w:t>
      </w:r>
    </w:p>
    <w:p w14:paraId="4769D318" w14:textId="77777777" w:rsidR="00CA2A2C" w:rsidRPr="00B16B6C" w:rsidRDefault="00CA2A2C" w:rsidP="00CA2A2C">
      <w:pPr>
        <w:pStyle w:val="Dobrapraktyka"/>
      </w:pPr>
      <w:r w:rsidRPr="00B16B6C">
        <w:t xml:space="preserve">Dobra praktyka </w:t>
      </w:r>
    </w:p>
    <w:p w14:paraId="41D40FBE" w14:textId="77777777" w:rsidR="00CA2A2C" w:rsidRPr="00B16B6C" w:rsidRDefault="00CA2A2C" w:rsidP="00CA2A2C">
      <w:pPr>
        <w:pStyle w:val="Dobrapraktyka"/>
        <w:rPr>
          <w:b w:val="0"/>
          <w:bCs/>
        </w:rPr>
      </w:pPr>
      <w:r w:rsidRPr="00B16B6C">
        <w:rPr>
          <w:b w:val="0"/>
          <w:bCs/>
        </w:rPr>
        <w:t>Warto pytać osobę kandydującą na dane stanowisko czy proces rekrutacji / rozmowa są prowadzone w odpowiedni sposób oraz czy nie ma przeciwskazań do wykonywania określonych prac:</w:t>
      </w:r>
    </w:p>
    <w:p w14:paraId="7F6CC58F" w14:textId="77777777" w:rsidR="00CA2A2C" w:rsidRPr="00B16B6C" w:rsidRDefault="00CA2A2C" w:rsidP="00CA2A2C">
      <w:pPr>
        <w:pStyle w:val="Dobrapraktyka"/>
        <w:numPr>
          <w:ilvl w:val="0"/>
          <w:numId w:val="18"/>
        </w:numPr>
        <w:ind w:left="284" w:hanging="284"/>
        <w:rPr>
          <w:b w:val="0"/>
          <w:bCs/>
        </w:rPr>
      </w:pPr>
      <w:r w:rsidRPr="00B16B6C">
        <w:rPr>
          <w:b w:val="0"/>
          <w:bCs/>
        </w:rPr>
        <w:t>czy warunki w pomieszczeniu rekrutacji / w siedzibie instytucji są komfortowe,</w:t>
      </w:r>
    </w:p>
    <w:p w14:paraId="0AE4017A" w14:textId="77777777" w:rsidR="00CA2A2C" w:rsidRPr="00B16B6C" w:rsidRDefault="00CA2A2C" w:rsidP="00CA2A2C">
      <w:pPr>
        <w:pStyle w:val="Dobrapraktyka"/>
        <w:numPr>
          <w:ilvl w:val="0"/>
          <w:numId w:val="17"/>
        </w:numPr>
        <w:ind w:left="284" w:hanging="284"/>
        <w:rPr>
          <w:b w:val="0"/>
          <w:bCs/>
        </w:rPr>
      </w:pPr>
      <w:r w:rsidRPr="00B16B6C">
        <w:rPr>
          <w:b w:val="0"/>
          <w:bCs/>
        </w:rPr>
        <w:t>czy dostępność została zapewniona w odpowiedni sposób (np. pętla indukcyjna działa prawidłowo, dokumenty zostały odpowiednio przygotowane),</w:t>
      </w:r>
    </w:p>
    <w:p w14:paraId="681968FA" w14:textId="77777777" w:rsidR="00CA2A2C" w:rsidRPr="00B16B6C" w:rsidRDefault="00CA2A2C" w:rsidP="00CA2A2C">
      <w:pPr>
        <w:pStyle w:val="Dobrapraktyka"/>
        <w:numPr>
          <w:ilvl w:val="0"/>
          <w:numId w:val="17"/>
        </w:numPr>
        <w:ind w:left="284" w:hanging="284"/>
        <w:rPr>
          <w:b w:val="0"/>
          <w:bCs/>
        </w:rPr>
      </w:pPr>
      <w:r w:rsidRPr="00B16B6C">
        <w:rPr>
          <w:b w:val="0"/>
          <w:bCs/>
        </w:rPr>
        <w:t xml:space="preserve">czy osoba rozumie zakres obowiązków na stanowisku, na które kandyduje oraz czy nie ma przeszkód w ich wykonywaniu – warto uzyskać informacje, jakich zadań nie może wykonywać, jakie zadania (lub warunki) mogą powodować trudności z wykonywaniem pracy (np. brak możliwości skupienia się w dużej </w:t>
      </w:r>
      <w:r w:rsidRPr="00B16B6C">
        <w:rPr>
          <w:b w:val="0"/>
          <w:bCs/>
        </w:rPr>
        <w:lastRenderedPageBreak/>
        <w:t xml:space="preserve">przestrzeni </w:t>
      </w:r>
      <w:r w:rsidRPr="00C5519D">
        <w:rPr>
          <w:b w:val="0"/>
          <w:bCs/>
        </w:rPr>
        <w:t>open-</w:t>
      </w:r>
      <w:proofErr w:type="spellStart"/>
      <w:r w:rsidRPr="00C5519D">
        <w:rPr>
          <w:b w:val="0"/>
          <w:bCs/>
        </w:rPr>
        <w:t>space</w:t>
      </w:r>
      <w:proofErr w:type="spellEnd"/>
      <w:r w:rsidRPr="00B16B6C">
        <w:rPr>
          <w:b w:val="0"/>
          <w:bCs/>
        </w:rPr>
        <w:t>), jakie są jej potrzeby w zakresie przystosowania stanowiska pracy.</w:t>
      </w:r>
    </w:p>
    <w:p w14:paraId="31DD3FD9" w14:textId="77777777" w:rsidR="00CA2A2C" w:rsidRPr="00B16B6C" w:rsidRDefault="00CA2A2C" w:rsidP="00BC36E5">
      <w:pPr>
        <w:pStyle w:val="Nagwek3"/>
      </w:pPr>
      <w:bookmarkStart w:id="100" w:name="_Toc176864300"/>
      <w:bookmarkStart w:id="101" w:name="_Toc182319586"/>
      <w:r w:rsidRPr="00B16B6C">
        <w:t>Wyniki rekrutacji</w:t>
      </w:r>
      <w:bookmarkEnd w:id="100"/>
      <w:bookmarkEnd w:id="101"/>
    </w:p>
    <w:p w14:paraId="0FE7396F" w14:textId="77777777" w:rsidR="00CA2A2C" w:rsidRPr="00B16B6C" w:rsidRDefault="00CA2A2C" w:rsidP="00CA2A2C">
      <w:r w:rsidRPr="00B16B6C">
        <w:t>Informacja o wynikach rekrutacji powinna być przekazywana łatwym do zrozumienia językiem, bez przenośni i metafor.</w:t>
      </w:r>
    </w:p>
    <w:p w14:paraId="34930362" w14:textId="77777777" w:rsidR="00CA2A2C" w:rsidRPr="00B16B6C" w:rsidRDefault="00CA2A2C" w:rsidP="00CA2A2C">
      <w:r w:rsidRPr="00B16B6C">
        <w:t>Publikowanie informacji na stronach internetowych instytucji musi odbywać się zgodnie ze Standardem cyfrowym.</w:t>
      </w:r>
    </w:p>
    <w:p w14:paraId="06F598F4" w14:textId="77777777" w:rsidR="00CA2A2C" w:rsidRPr="00B16B6C" w:rsidRDefault="00CA2A2C" w:rsidP="00496C5D">
      <w:pPr>
        <w:pStyle w:val="Przykad"/>
      </w:pPr>
      <w:r w:rsidRPr="00B16B6C">
        <w:t>Wymagania i zalecenia opisują Standardy dostępności dla polityki spójności 2021-2027 – część V. Standard cyfrowy.</w:t>
      </w:r>
    </w:p>
    <w:p w14:paraId="0075788A" w14:textId="0A8954C2" w:rsidR="002C1E60" w:rsidRDefault="002C1E60" w:rsidP="008C4032">
      <w:pPr>
        <w:pStyle w:val="Nagwek2"/>
      </w:pPr>
      <w:bookmarkStart w:id="102" w:name="_Toc182319587"/>
      <w:r>
        <w:t xml:space="preserve">Rozdział </w:t>
      </w:r>
      <w:r w:rsidR="007A4D66">
        <w:t>2</w:t>
      </w:r>
      <w:r>
        <w:t>. Organizacja pracy</w:t>
      </w:r>
      <w:bookmarkEnd w:id="102"/>
    </w:p>
    <w:p w14:paraId="0BDCA27A" w14:textId="392FF336" w:rsidR="00B3043F" w:rsidRDefault="00B3043F" w:rsidP="00B3043F">
      <w:bookmarkStart w:id="103" w:name="_Toc176864301"/>
      <w:r w:rsidRPr="00B3043F">
        <w:t xml:space="preserve">Tworzenie inkluzywnego środowiska pracy w zespołach badawczych i rozwojowych poprawia efektywność i komfort wszystkich </w:t>
      </w:r>
      <w:r w:rsidR="0039770C">
        <w:t xml:space="preserve">zatrudnionych osób, </w:t>
      </w:r>
      <w:r w:rsidRPr="00B3043F">
        <w:t>wspiera</w:t>
      </w:r>
      <w:r>
        <w:t>jąc</w:t>
      </w:r>
      <w:r w:rsidRPr="00B3043F">
        <w:t xml:space="preserve"> różnorodność i umożliwia</w:t>
      </w:r>
      <w:r>
        <w:t>jąc</w:t>
      </w:r>
      <w:r w:rsidRPr="00B3043F">
        <w:t xml:space="preserve"> pełne wykorzystanie potencjału zespołu</w:t>
      </w:r>
      <w:r>
        <w:t>. W procesie jego zapewniania konieczne są:</w:t>
      </w:r>
    </w:p>
    <w:p w14:paraId="1C1D34DC" w14:textId="5B3141E7" w:rsidR="00B3043F" w:rsidRDefault="00B3043F" w:rsidP="00B3043F">
      <w:pPr>
        <w:pStyle w:val="Akapitzlist"/>
        <w:ind w:left="426" w:hanging="426"/>
      </w:pPr>
      <w:r w:rsidRPr="00B3043F">
        <w:t>zapewnienie łatwego dostępu do wszystkich narzędzi i pomieszczeń, uwzględniającego osoby o różnych potrzebach</w:t>
      </w:r>
      <w:r>
        <w:t xml:space="preserve"> – wymagania w tym zakresie opisano w </w:t>
      </w:r>
      <w:r w:rsidR="00C34B07">
        <w:t>niniejszym</w:t>
      </w:r>
      <w:r>
        <w:t xml:space="preserve"> dokumencie, w częściach:</w:t>
      </w:r>
    </w:p>
    <w:p w14:paraId="285E2A40" w14:textId="1F3D4552" w:rsidR="00B3043F" w:rsidRDefault="00B3043F" w:rsidP="00B3043F">
      <w:pPr>
        <w:pStyle w:val="Akapitzlist"/>
        <w:numPr>
          <w:ilvl w:val="0"/>
          <w:numId w:val="0"/>
        </w:numPr>
        <w:ind w:left="426"/>
      </w:pPr>
      <w:r w:rsidRPr="00B752EA">
        <w:rPr>
          <w:b/>
          <w:bCs/>
          <w:highlight w:val="cyan"/>
        </w:rPr>
        <w:t>część VI. Standard architektoniczny</w:t>
      </w:r>
      <w:r>
        <w:t>,</w:t>
      </w:r>
    </w:p>
    <w:p w14:paraId="41445EE5" w14:textId="27B4F05E" w:rsidR="00B3043F" w:rsidRPr="00B3043F" w:rsidRDefault="00B3043F" w:rsidP="00B3043F">
      <w:pPr>
        <w:pStyle w:val="Akapitzlist"/>
        <w:numPr>
          <w:ilvl w:val="0"/>
          <w:numId w:val="0"/>
        </w:numPr>
        <w:ind w:left="426"/>
      </w:pPr>
      <w:r w:rsidRPr="00B752EA">
        <w:rPr>
          <w:b/>
          <w:bCs/>
          <w:highlight w:val="cyan"/>
        </w:rPr>
        <w:t>część V</w:t>
      </w:r>
      <w:r>
        <w:rPr>
          <w:b/>
          <w:bCs/>
          <w:highlight w:val="cyan"/>
        </w:rPr>
        <w:t>I</w:t>
      </w:r>
      <w:r w:rsidRPr="00B752EA">
        <w:rPr>
          <w:b/>
          <w:bCs/>
          <w:highlight w:val="cyan"/>
        </w:rPr>
        <w:t xml:space="preserve">I. Standard </w:t>
      </w:r>
      <w:r>
        <w:rPr>
          <w:b/>
          <w:bCs/>
          <w:highlight w:val="cyan"/>
        </w:rPr>
        <w:t>produktów, sprzętu i infrastruktury</w:t>
      </w:r>
      <w:r w:rsidR="0039770C" w:rsidRPr="0039770C">
        <w:t>,</w:t>
      </w:r>
    </w:p>
    <w:p w14:paraId="65C97E39" w14:textId="41B55F93" w:rsidR="00C34B07" w:rsidRPr="00C34B07" w:rsidRDefault="00C34B07" w:rsidP="00C34B07">
      <w:pPr>
        <w:pStyle w:val="Akapitzlist"/>
        <w:ind w:left="426" w:hanging="426"/>
      </w:pPr>
      <w:r>
        <w:t>d</w:t>
      </w:r>
      <w:r w:rsidRPr="00C34B07">
        <w:t>ostosowane stanowiska pracy</w:t>
      </w:r>
      <w:r>
        <w:t xml:space="preserve">: zapewnienie mebli i elementów wyposażenia, </w:t>
      </w:r>
      <w:r w:rsidRPr="00C34B07">
        <w:t>wspierając</w:t>
      </w:r>
      <w:r>
        <w:t>ych</w:t>
      </w:r>
      <w:r w:rsidRPr="00C34B07">
        <w:t xml:space="preserve"> wygodę</w:t>
      </w:r>
      <w:r>
        <w:t>,</w:t>
      </w:r>
      <w:r w:rsidRPr="00C34B07">
        <w:t xml:space="preserve"> bezpieczeństwo </w:t>
      </w:r>
      <w:r>
        <w:t xml:space="preserve">i możliwość skutecznej pracy </w:t>
      </w:r>
      <w:r w:rsidRPr="00C34B07">
        <w:t xml:space="preserve">wszystkich </w:t>
      </w:r>
      <w:r>
        <w:t>osób z</w:t>
      </w:r>
      <w:r w:rsidRPr="00C34B07">
        <w:t xml:space="preserve"> zespołu</w:t>
      </w:r>
      <w:r>
        <w:t xml:space="preserve"> – wymagania w tym zakresie opisano w niniejszym dokumencie, w </w:t>
      </w:r>
      <w:r w:rsidRPr="00C34B07">
        <w:rPr>
          <w:b/>
          <w:bCs/>
          <w:highlight w:val="cyan"/>
        </w:rPr>
        <w:t>części IX. Standard zatrudnienia i organizacji pracy, rozdz. 3. Dostosowanie stanowiska pracy</w:t>
      </w:r>
      <w:r>
        <w:t>,</w:t>
      </w:r>
    </w:p>
    <w:p w14:paraId="154BE88E" w14:textId="6A0C2B47" w:rsidR="00B3043F" w:rsidRDefault="00B3043F" w:rsidP="00B3043F">
      <w:pPr>
        <w:pStyle w:val="Akapitzlist"/>
        <w:ind w:left="426" w:hanging="426"/>
      </w:pPr>
      <w:r>
        <w:t xml:space="preserve">wprowadzenie jasnego modelu komunikacji w zespole: </w:t>
      </w:r>
      <w:r w:rsidRPr="00B3043F">
        <w:t xml:space="preserve">zapewnienie dostępnych form przekazu, </w:t>
      </w:r>
      <w:r>
        <w:t xml:space="preserve">adekwatnych do potrzeb i możliwości wszystkich </w:t>
      </w:r>
      <w:r w:rsidR="0039770C">
        <w:t>zatrudnionych osób</w:t>
      </w:r>
      <w:r>
        <w:t>,</w:t>
      </w:r>
    </w:p>
    <w:p w14:paraId="66DF5BD4" w14:textId="761302AC" w:rsidR="00B3043F" w:rsidRDefault="00B3043F" w:rsidP="00B3043F">
      <w:pPr>
        <w:pStyle w:val="Akapitzlist"/>
        <w:ind w:left="426" w:hanging="426"/>
      </w:pPr>
      <w:r w:rsidRPr="00B3043F">
        <w:lastRenderedPageBreak/>
        <w:t xml:space="preserve">promowanie współpracy między </w:t>
      </w:r>
      <w:r w:rsidR="0039770C">
        <w:t>członkiniami i członkami z</w:t>
      </w:r>
      <w:r w:rsidRPr="00B3043F">
        <w:t>espołu, w tym mentor</w:t>
      </w:r>
      <w:r w:rsidR="00517237">
        <w:t>ing</w:t>
      </w:r>
      <w:r w:rsidRPr="00B3043F">
        <w:t>, integracja oraz inicjatywy rozwijające świadomość na temat potrze</w:t>
      </w:r>
      <w:r>
        <w:t>b</w:t>
      </w:r>
      <w:r w:rsidR="00517237">
        <w:t xml:space="preserve"> różnorodnych grup.</w:t>
      </w:r>
    </w:p>
    <w:p w14:paraId="179073E7" w14:textId="77777777" w:rsidR="005B4947" w:rsidRPr="00B16B6C" w:rsidRDefault="005B4947" w:rsidP="005B4947">
      <w:pPr>
        <w:pStyle w:val="Dodatkowedokumenty"/>
        <w:pBdr>
          <w:left w:val="single" w:sz="4" w:space="1" w:color="F1A983" w:themeColor="accent2" w:themeTint="99"/>
        </w:pBdr>
      </w:pPr>
      <w:r w:rsidRPr="00B16B6C">
        <w:t>Przydatne dokumenty i opracowania</w:t>
      </w:r>
    </w:p>
    <w:p w14:paraId="1BBB2C54" w14:textId="412DC4C3" w:rsidR="005B4947" w:rsidRPr="00B16B6C" w:rsidRDefault="005B4947" w:rsidP="005B4947">
      <w:r>
        <w:t xml:space="preserve">W procesie </w:t>
      </w:r>
      <w:r w:rsidR="009E75EC">
        <w:t xml:space="preserve">tworzenia </w:t>
      </w:r>
      <w:r>
        <w:t xml:space="preserve">dostępnego, inkluzywnego środowiska pracy </w:t>
      </w:r>
      <w:r w:rsidRPr="00B16B6C">
        <w:t xml:space="preserve">warto stosować </w:t>
      </w:r>
      <w:r>
        <w:t>rozwiązania wypracowane</w:t>
      </w:r>
      <w:r w:rsidR="0039770C">
        <w:t xml:space="preserve"> przez specjalistki i</w:t>
      </w:r>
      <w:r>
        <w:t xml:space="preserve"> specjalistów w ramach projektu </w:t>
      </w:r>
      <w:r w:rsidRPr="005B4947">
        <w:t>pn. „Wypracowanie i upowszechnianie, we współpracy z partnerami społecznymi, modelu wsparcia osób niepełnosprawnych w środowisku pracy” współfinansowanego ze środków Europejskiego Funduszu Społecznego w ramach Programu Operacyjnego Wiedza Edukacja Rozwój 2014-2020</w:t>
      </w:r>
      <w:r>
        <w:t>:</w:t>
      </w:r>
    </w:p>
    <w:p w14:paraId="65AA3106" w14:textId="4B1AE113" w:rsidR="005B4947" w:rsidRDefault="005B4947" w:rsidP="005B4947">
      <w:pPr>
        <w:pStyle w:val="Dokumenty"/>
      </w:pPr>
      <w:r w:rsidRPr="005B4947">
        <w:t>Osoba z niepełnosprawnością wzrokową w pracy</w:t>
      </w:r>
      <w:r>
        <w:t xml:space="preserve">. </w:t>
      </w:r>
      <w:r w:rsidRPr="005B4947">
        <w:t>Poradnik dla pracodawców</w:t>
      </w:r>
      <w:r w:rsidRPr="00B16B6C">
        <w:t xml:space="preserve"> (</w:t>
      </w:r>
      <w:r w:rsidRPr="00B16B6C">
        <w:rPr>
          <w:b w:val="0"/>
          <w:bCs w:val="0"/>
        </w:rPr>
        <w:t>link do publikacji pdf online).</w:t>
      </w:r>
      <w:r w:rsidRPr="00B16B6C">
        <w:t xml:space="preserve"> </w:t>
      </w:r>
      <w:hyperlink r:id="rId18" w:history="1">
        <w:r w:rsidRPr="005B4947">
          <w:t xml:space="preserve"> </w:t>
        </w:r>
        <w:r w:rsidRPr="005B4947">
          <w:rPr>
            <w:rStyle w:val="Hipercze"/>
          </w:rPr>
          <w:t>https://m.ciop.pl/CIOPPortalWAR/file/97895/niepelnosprawnosc-wzrokowa-poradnik-dla-pracodawcy.pdf</w:t>
        </w:r>
      </w:hyperlink>
      <w:r w:rsidRPr="00B16B6C">
        <w:t xml:space="preserve"> </w:t>
      </w:r>
    </w:p>
    <w:p w14:paraId="65E3EAB8" w14:textId="4C2B913E" w:rsidR="005B4947" w:rsidRDefault="005B4947" w:rsidP="005B4947">
      <w:pPr>
        <w:pStyle w:val="Dokumenty"/>
      </w:pPr>
      <w:r w:rsidRPr="005B4947">
        <w:t xml:space="preserve">Osoba z niepełnosprawnością </w:t>
      </w:r>
      <w:r>
        <w:t>słuchową</w:t>
      </w:r>
      <w:r w:rsidRPr="005B4947">
        <w:t xml:space="preserve"> w pracy</w:t>
      </w:r>
      <w:r>
        <w:t xml:space="preserve">. </w:t>
      </w:r>
      <w:r w:rsidRPr="005B4947">
        <w:t>Poradnik dla pracodawców</w:t>
      </w:r>
      <w:r w:rsidRPr="00B16B6C">
        <w:t xml:space="preserve"> (</w:t>
      </w:r>
      <w:r w:rsidRPr="00B16B6C">
        <w:rPr>
          <w:b w:val="0"/>
          <w:bCs w:val="0"/>
        </w:rPr>
        <w:t>link do publikacji pdf online).</w:t>
      </w:r>
      <w:r w:rsidRPr="00B16B6C">
        <w:t xml:space="preserve"> </w:t>
      </w:r>
      <w:hyperlink r:id="rId19" w:history="1">
        <w:r w:rsidRPr="005B4947">
          <w:t xml:space="preserve"> </w:t>
        </w:r>
        <w:r w:rsidRPr="005B4947">
          <w:rPr>
            <w:rStyle w:val="Hipercze"/>
          </w:rPr>
          <w:t>https://m.ciop.pl/CIOPPortalWAR/file/97893/niepelnosprawnosc-sluchowa-poradnik-dla-pracodawcy.pdf</w:t>
        </w:r>
      </w:hyperlink>
      <w:r w:rsidRPr="005B4947">
        <w:t xml:space="preserve"> </w:t>
      </w:r>
    </w:p>
    <w:p w14:paraId="53259AA6" w14:textId="18D24A40" w:rsidR="005B4947" w:rsidRDefault="005B4947" w:rsidP="005B4947">
      <w:pPr>
        <w:pStyle w:val="Dokumenty"/>
      </w:pPr>
      <w:r w:rsidRPr="005B4947">
        <w:t xml:space="preserve">Osoba z niepełnosprawnością </w:t>
      </w:r>
      <w:r>
        <w:t>ruchow</w:t>
      </w:r>
      <w:r w:rsidRPr="005B4947">
        <w:t>ą w pracy</w:t>
      </w:r>
      <w:r>
        <w:t xml:space="preserve">. </w:t>
      </w:r>
      <w:r w:rsidRPr="005B4947">
        <w:t>Poradnik dla pracodawców</w:t>
      </w:r>
      <w:r w:rsidRPr="00B16B6C">
        <w:t xml:space="preserve"> (</w:t>
      </w:r>
      <w:r w:rsidRPr="00B16B6C">
        <w:rPr>
          <w:b w:val="0"/>
          <w:bCs w:val="0"/>
        </w:rPr>
        <w:t>link do publikacji pdf online).</w:t>
      </w:r>
      <w:r w:rsidRPr="00B16B6C">
        <w:t xml:space="preserve"> </w:t>
      </w:r>
      <w:hyperlink r:id="rId20" w:history="1">
        <w:r w:rsidRPr="005B4947">
          <w:t xml:space="preserve"> </w:t>
        </w:r>
        <w:r w:rsidRPr="005B4947">
          <w:rPr>
            <w:rStyle w:val="Hipercze"/>
          </w:rPr>
          <w:t>https://m.ciop.pl/CIOPPortalWAR/file/97894/niepelnosprawnosc-ruchowa-poradnik-dla-pracodawcy.pdf</w:t>
        </w:r>
      </w:hyperlink>
      <w:r w:rsidRPr="005B4947">
        <w:t xml:space="preserve"> </w:t>
      </w:r>
    </w:p>
    <w:p w14:paraId="7532AA2A" w14:textId="57E5B26C" w:rsidR="005B4947" w:rsidRDefault="005B4947" w:rsidP="005B4947">
      <w:pPr>
        <w:pStyle w:val="Dokumenty"/>
      </w:pPr>
      <w:r w:rsidRPr="005B4947">
        <w:t xml:space="preserve">Osoba z niepełnosprawnością </w:t>
      </w:r>
      <w:r>
        <w:t>intelektualną</w:t>
      </w:r>
      <w:r w:rsidRPr="005B4947">
        <w:t xml:space="preserve"> w pracy</w:t>
      </w:r>
      <w:r>
        <w:t xml:space="preserve">. </w:t>
      </w:r>
      <w:r w:rsidRPr="005B4947">
        <w:t>Poradnik dla pracodawców</w:t>
      </w:r>
      <w:r w:rsidRPr="00B16B6C">
        <w:t xml:space="preserve"> (</w:t>
      </w:r>
      <w:r w:rsidRPr="00B16B6C">
        <w:rPr>
          <w:b w:val="0"/>
          <w:bCs w:val="0"/>
        </w:rPr>
        <w:t>link do publikacji pdf online).</w:t>
      </w:r>
      <w:r w:rsidRPr="00B16B6C">
        <w:t xml:space="preserve"> </w:t>
      </w:r>
      <w:hyperlink r:id="rId21" w:history="1">
        <w:r w:rsidRPr="005B4947">
          <w:t xml:space="preserve"> </w:t>
        </w:r>
        <w:r w:rsidRPr="005B4947">
          <w:rPr>
            <w:rStyle w:val="Hipercze"/>
          </w:rPr>
          <w:t>https://www.funduszeeuropejskie.gov.pl/media/102433/Osoba_z_niepelnosprawnoscia_intelektualna_w_pracy-Poradnik_dla_pracodawcow.pdf</w:t>
        </w:r>
      </w:hyperlink>
    </w:p>
    <w:p w14:paraId="7E853883" w14:textId="102F910F" w:rsidR="007A4D66" w:rsidRPr="00B16B6C" w:rsidRDefault="00C12480" w:rsidP="008C4032">
      <w:pPr>
        <w:pStyle w:val="Nagwek2"/>
      </w:pPr>
      <w:bookmarkStart w:id="104" w:name="_Toc182319588"/>
      <w:r>
        <w:t xml:space="preserve">Rozdział 3. </w:t>
      </w:r>
      <w:r w:rsidR="007A4D66" w:rsidRPr="00B16B6C">
        <w:t>Dostosowanie stanowiska pracy</w:t>
      </w:r>
      <w:bookmarkEnd w:id="103"/>
      <w:bookmarkEnd w:id="104"/>
    </w:p>
    <w:p w14:paraId="57D5FC0A" w14:textId="77777777" w:rsidR="007A4D66" w:rsidRPr="00B16B6C" w:rsidRDefault="007A4D66" w:rsidP="007A4D66">
      <w:pPr>
        <w:pStyle w:val="Wane"/>
      </w:pPr>
      <w:r w:rsidRPr="00B16B6C">
        <w:t>Ważne</w:t>
      </w:r>
    </w:p>
    <w:p w14:paraId="4732FA27" w14:textId="0A4B4F3B" w:rsidR="007A4D66" w:rsidRPr="00B16B6C" w:rsidRDefault="007A4D66" w:rsidP="007A4D66">
      <w:pPr>
        <w:pStyle w:val="Wane"/>
        <w:rPr>
          <w:rFonts w:eastAsia="Calibri" w:cs="Arial"/>
          <w:b w:val="0"/>
          <w:bCs/>
          <w:szCs w:val="24"/>
        </w:rPr>
      </w:pPr>
      <w:r w:rsidRPr="00B16B6C">
        <w:rPr>
          <w:b w:val="0"/>
          <w:bCs/>
        </w:rPr>
        <w:lastRenderedPageBreak/>
        <w:t>Jeśli miejsce pracy wymaga wprowadzenia dostosowań, pracodawca jest zobowiązan</w:t>
      </w:r>
      <w:r w:rsidR="0039770C">
        <w:rPr>
          <w:b w:val="0"/>
          <w:bCs/>
        </w:rPr>
        <w:t>y</w:t>
      </w:r>
      <w:r w:rsidRPr="00B16B6C">
        <w:rPr>
          <w:b w:val="0"/>
          <w:bCs/>
        </w:rPr>
        <w:t xml:space="preserve"> do ich wdrożeni</w:t>
      </w:r>
      <w:r w:rsidR="0039770C">
        <w:rPr>
          <w:b w:val="0"/>
          <w:bCs/>
        </w:rPr>
        <w:t>a. N</w:t>
      </w:r>
      <w:r w:rsidRPr="00B16B6C">
        <w:rPr>
          <w:rFonts w:eastAsia="Calibri" w:cs="Arial"/>
          <w:b w:val="0"/>
          <w:bCs/>
          <w:szCs w:val="24"/>
        </w:rPr>
        <w:t>iewprowadzenie niezbędnych usprawnień uważane jest za naruszenie zasady równego traktowania w zatrudnieniu w rozumieniu przepisów Kodeksu Pracy.</w:t>
      </w:r>
    </w:p>
    <w:p w14:paraId="09B380F0" w14:textId="77777777" w:rsidR="007A4D66" w:rsidRPr="00B16B6C" w:rsidRDefault="007A4D66" w:rsidP="007A4D66">
      <w:r w:rsidRPr="00B16B6C">
        <w:t>Dostosowanie środowiska pracy ma zawsze charakter indywidualny i musi być przeprowadzone odpowiednio do potrzeb – możliwości i ograniczeń – danej osoby z niepełnosprawnością.</w:t>
      </w:r>
    </w:p>
    <w:p w14:paraId="466637B3" w14:textId="77777777" w:rsidR="007A4D66" w:rsidRPr="00B16B6C" w:rsidRDefault="007A4D66" w:rsidP="007A4D66">
      <w:pPr>
        <w:rPr>
          <w:rFonts w:eastAsia="Calibri"/>
        </w:rPr>
      </w:pPr>
      <w:r w:rsidRPr="00B16B6C">
        <w:rPr>
          <w:rFonts w:eastAsia="Calibri"/>
        </w:rPr>
        <w:t>Dostosowanie środowiska pracy może polegać na:</w:t>
      </w:r>
    </w:p>
    <w:p w14:paraId="5A73B6ED" w14:textId="77777777" w:rsidR="007A4D66" w:rsidRPr="00B16B6C" w:rsidRDefault="007A4D66" w:rsidP="007A4D66">
      <w:pPr>
        <w:pStyle w:val="Akapitzlist"/>
        <w:ind w:left="284" w:hanging="284"/>
      </w:pPr>
      <w:r w:rsidRPr="00B16B6C">
        <w:t xml:space="preserve">fizycznej adaptacji pomieszczeń / elementów wyposażenia (np. zabudowy meblowej) w miejscu pracy, </w:t>
      </w:r>
    </w:p>
    <w:p w14:paraId="243D8754" w14:textId="77777777" w:rsidR="007A4D66" w:rsidRPr="00B16B6C" w:rsidRDefault="007A4D66" w:rsidP="007A4D66">
      <w:pPr>
        <w:pStyle w:val="Akapitzlist"/>
        <w:ind w:left="284" w:hanging="284"/>
      </w:pPr>
      <w:r w:rsidRPr="00B16B6C">
        <w:t>wyposażeniu stanowiska w specjalistyczny sprzęt,</w:t>
      </w:r>
    </w:p>
    <w:p w14:paraId="677D6433" w14:textId="3F957AEF" w:rsidR="007A4D66" w:rsidRPr="00B16B6C" w:rsidRDefault="007A4D66" w:rsidP="007A4D66">
      <w:pPr>
        <w:pStyle w:val="Akapitzlist"/>
        <w:ind w:left="284" w:hanging="284"/>
      </w:pPr>
      <w:r w:rsidRPr="00B16B6C">
        <w:t>dostosowaniu do potrzeb informacyjno-komunikacyjnych</w:t>
      </w:r>
      <w:r w:rsidR="0039770C">
        <w:t xml:space="preserve"> zatrudnionej osoby</w:t>
      </w:r>
      <w:r w:rsidRPr="00B16B6C">
        <w:t xml:space="preserve"> (np. wprowadzeniu możliwości chatu przez komunikator zamiast rozmów telefonicznych itp.),</w:t>
      </w:r>
    </w:p>
    <w:p w14:paraId="5079EBB1" w14:textId="77777777" w:rsidR="007A4D66" w:rsidRPr="00B16B6C" w:rsidRDefault="007A4D66" w:rsidP="007A4D66">
      <w:pPr>
        <w:pStyle w:val="Akapitzlist"/>
        <w:ind w:left="284" w:hanging="284"/>
      </w:pPr>
      <w:r w:rsidRPr="00B16B6C">
        <w:t>wprowadzeniu nowych lub zmianie istniejących procedur (np. możliwości pracy zdalnej, procedur ewakuacji osób z niepełnosprawnościami),</w:t>
      </w:r>
    </w:p>
    <w:p w14:paraId="7053C61B" w14:textId="1B40ADBD" w:rsidR="007A4D66" w:rsidRPr="00B16B6C" w:rsidRDefault="007A4D66" w:rsidP="007A4D66">
      <w:pPr>
        <w:pStyle w:val="Akapitzlist"/>
        <w:ind w:left="284" w:hanging="284"/>
      </w:pPr>
      <w:r w:rsidRPr="00B16B6C">
        <w:t xml:space="preserve">organizacji wsparcia w pracy (np. możliwości korzystania ze </w:t>
      </w:r>
      <w:r w:rsidRPr="00B16B6C">
        <w:rPr>
          <w:rFonts w:eastAsia="Calibri"/>
        </w:rPr>
        <w:t>wsparcia asystentki</w:t>
      </w:r>
      <w:r w:rsidR="00F51757">
        <w:rPr>
          <w:rFonts w:eastAsia="Calibri"/>
        </w:rPr>
        <w:t xml:space="preserve"> i </w:t>
      </w:r>
      <w:r w:rsidRPr="00B16B6C">
        <w:rPr>
          <w:rFonts w:eastAsia="Calibri"/>
        </w:rPr>
        <w:t>asystenta zawodowego lub trenerki</w:t>
      </w:r>
      <w:r w:rsidR="00F51757">
        <w:rPr>
          <w:rFonts w:eastAsia="Calibri"/>
        </w:rPr>
        <w:t xml:space="preserve"> i </w:t>
      </w:r>
      <w:r w:rsidRPr="00B16B6C">
        <w:rPr>
          <w:rFonts w:eastAsia="Calibri"/>
        </w:rPr>
        <w:t>trenera pracy),</w:t>
      </w:r>
    </w:p>
    <w:p w14:paraId="58E3EDB9" w14:textId="77777777" w:rsidR="007A4D66" w:rsidRPr="00B16B6C" w:rsidRDefault="007A4D66" w:rsidP="007A4D66">
      <w:pPr>
        <w:pStyle w:val="Akapitzlist"/>
        <w:ind w:left="284" w:hanging="284"/>
      </w:pPr>
      <w:r w:rsidRPr="00B16B6C">
        <w:t xml:space="preserve">zapewnieniu dostępności cyfrowej dokumentów, strony internetowej i wewnętrznych systemów pracowniczych. </w:t>
      </w:r>
    </w:p>
    <w:p w14:paraId="3B23AC0C" w14:textId="77777777" w:rsidR="007A4D66" w:rsidRPr="00B16B6C" w:rsidRDefault="007A4D66" w:rsidP="007A4D66">
      <w:pPr>
        <w:pStyle w:val="Wane"/>
      </w:pPr>
      <w:r w:rsidRPr="00B16B6C">
        <w:t>Ważne</w:t>
      </w:r>
    </w:p>
    <w:p w14:paraId="628C1A08" w14:textId="77777777" w:rsidR="007A4D66" w:rsidRPr="00B16B6C" w:rsidRDefault="007A4D66" w:rsidP="007A4D66">
      <w:pPr>
        <w:pStyle w:val="Wane"/>
        <w:rPr>
          <w:b w:val="0"/>
        </w:rPr>
      </w:pPr>
      <w:r w:rsidRPr="00B16B6C">
        <w:rPr>
          <w:b w:val="0"/>
        </w:rPr>
        <w:t>Działania wyrównawcze w zakresie dostępu osób z niepełnosprawnościami do otwartego rynku pracy polegają m.in. na rekompensowaniu pracodawcom dodatkowych kosztów związanych z zatrudnianiem. Pracodawcy mogą więc ubiegać się o</w:t>
      </w:r>
      <w:r w:rsidRPr="00B16B6C">
        <w:rPr>
          <w:rStyle w:val="Odwoanieprzypisudolnego"/>
          <w:b w:val="0"/>
        </w:rPr>
        <w:footnoteReference w:id="3"/>
      </w:r>
      <w:r w:rsidRPr="00B16B6C">
        <w:rPr>
          <w:b w:val="0"/>
        </w:rPr>
        <w:t xml:space="preserve">: </w:t>
      </w:r>
    </w:p>
    <w:p w14:paraId="33CF7E4C" w14:textId="5C8E8EFF" w:rsidR="007A4D66" w:rsidRPr="00B16B6C" w:rsidRDefault="007A4D66" w:rsidP="007A4D66">
      <w:pPr>
        <w:pStyle w:val="Wane"/>
        <w:numPr>
          <w:ilvl w:val="0"/>
          <w:numId w:val="19"/>
        </w:numPr>
        <w:ind w:left="284" w:hanging="284"/>
        <w:rPr>
          <w:b w:val="0"/>
        </w:rPr>
      </w:pPr>
      <w:r w:rsidRPr="00B16B6C">
        <w:rPr>
          <w:b w:val="0"/>
        </w:rPr>
        <w:t xml:space="preserve">zwrot dodatkowych kosztów związanych z zatrudnieniem, w tym kosztów adaptacji pomieszczeń zakładu pracy, adaptacji lub nabycia urządzeń ułatwiających osobie </w:t>
      </w:r>
      <w:r w:rsidRPr="00B16B6C">
        <w:rPr>
          <w:b w:val="0"/>
        </w:rPr>
        <w:lastRenderedPageBreak/>
        <w:t xml:space="preserve">wykonywanie pracy lub funkcjonowanie w zakładzie pracy czy kosztów zakupu i autoryzacji oprogramowania na użytek </w:t>
      </w:r>
      <w:r w:rsidR="00F51757">
        <w:rPr>
          <w:b w:val="0"/>
        </w:rPr>
        <w:t xml:space="preserve">zatrudnionych osób </w:t>
      </w:r>
      <w:r w:rsidRPr="00B16B6C">
        <w:rPr>
          <w:b w:val="0"/>
        </w:rPr>
        <w:t>oraz urządzeń technologii wspomagających</w:t>
      </w:r>
      <w:r w:rsidR="00F51757">
        <w:rPr>
          <w:b w:val="0"/>
        </w:rPr>
        <w:t>,</w:t>
      </w:r>
    </w:p>
    <w:p w14:paraId="3A2CF7D6" w14:textId="373F5A93" w:rsidR="007A4D66" w:rsidRPr="00B16B6C" w:rsidRDefault="007A4D66" w:rsidP="007A4D66">
      <w:pPr>
        <w:pStyle w:val="Wane"/>
        <w:numPr>
          <w:ilvl w:val="0"/>
          <w:numId w:val="19"/>
        </w:numPr>
        <w:ind w:left="284" w:hanging="284"/>
        <w:rPr>
          <w:b w:val="0"/>
        </w:rPr>
      </w:pPr>
      <w:r w:rsidRPr="00B16B6C">
        <w:rPr>
          <w:b w:val="0"/>
        </w:rPr>
        <w:t xml:space="preserve">miesięczne dofinansowanie do wynagrodzenia i zwrot kosztów zatrudnienia </w:t>
      </w:r>
      <w:r w:rsidR="00F51757">
        <w:rPr>
          <w:b w:val="0"/>
        </w:rPr>
        <w:t xml:space="preserve">pracownic i </w:t>
      </w:r>
      <w:r w:rsidRPr="00B16B6C">
        <w:rPr>
          <w:b w:val="0"/>
        </w:rPr>
        <w:t xml:space="preserve">pracowników pomagających osobie z niepełnosprawnością w pracy oraz kosztów szkolenia tych </w:t>
      </w:r>
      <w:r w:rsidR="00F51757">
        <w:rPr>
          <w:b w:val="0"/>
        </w:rPr>
        <w:t xml:space="preserve">pracownic i </w:t>
      </w:r>
      <w:r w:rsidRPr="00B16B6C">
        <w:rPr>
          <w:b w:val="0"/>
        </w:rPr>
        <w:t>pracowników</w:t>
      </w:r>
      <w:r w:rsidR="00F51757">
        <w:rPr>
          <w:b w:val="0"/>
        </w:rPr>
        <w:t>,</w:t>
      </w:r>
    </w:p>
    <w:p w14:paraId="6A2C987E" w14:textId="77777777" w:rsidR="007A4D66" w:rsidRDefault="007A4D66" w:rsidP="007A4D66">
      <w:pPr>
        <w:pStyle w:val="Wane"/>
        <w:numPr>
          <w:ilvl w:val="0"/>
          <w:numId w:val="19"/>
        </w:numPr>
        <w:ind w:left="284" w:hanging="284"/>
        <w:rPr>
          <w:b w:val="0"/>
        </w:rPr>
      </w:pPr>
      <w:r w:rsidRPr="00B16B6C">
        <w:rPr>
          <w:b w:val="0"/>
        </w:rPr>
        <w:t>zwrot kosztów wyposażenia stanowiska pracy.</w:t>
      </w:r>
    </w:p>
    <w:p w14:paraId="56C48239" w14:textId="77777777" w:rsidR="00AE5859" w:rsidRPr="006C27BD" w:rsidRDefault="00AE5859" w:rsidP="001F0207">
      <w:pPr>
        <w:pStyle w:val="Nagwek1"/>
      </w:pPr>
      <w:bookmarkStart w:id="105" w:name="_Toc182319589"/>
      <w:r w:rsidRPr="006C27BD">
        <w:t>Standard komunikacyjno-językowy</w:t>
      </w:r>
      <w:bookmarkEnd w:id="105"/>
    </w:p>
    <w:p w14:paraId="118020DC" w14:textId="77777777" w:rsidR="00CE0FFB" w:rsidRPr="00B16B6C" w:rsidRDefault="00CE0FFB" w:rsidP="008C4032">
      <w:pPr>
        <w:pStyle w:val="Nagwek2"/>
      </w:pPr>
      <w:bookmarkStart w:id="106" w:name="_Toc176864303"/>
      <w:bookmarkStart w:id="107" w:name="_Toc182319590"/>
      <w:r w:rsidRPr="00B16B6C">
        <w:t>Rozdział 1. Niedyskryminujący przekaz</w:t>
      </w:r>
      <w:bookmarkEnd w:id="106"/>
      <w:bookmarkEnd w:id="107"/>
    </w:p>
    <w:p w14:paraId="794B22D5" w14:textId="50FCD834" w:rsidR="00CE0FFB" w:rsidRPr="00B16B6C" w:rsidRDefault="00CE0FFB" w:rsidP="00CE0FFB">
      <w:r w:rsidRPr="00B16B6C">
        <w:t xml:space="preserve">W komunikacji należy unikać przekazu dyskryminującego, ośmieszającego bądź utrwalającego stereotypy ze względu na niepełnosprawność (podobnie, jak inne przesłanki, takie jak płeć, rasę lub pochodzenie etniczne, religię, światopogląd, wiek lub orientację seksualną). Tam, gdzie jest to zasadne należy różnicować tematykę przekazu i sposoby komunikacji w zależności od oczekiwanych potrzeb </w:t>
      </w:r>
      <w:r w:rsidR="00F51757">
        <w:t xml:space="preserve">odbiorczyń i </w:t>
      </w:r>
      <w:r w:rsidRPr="00B16B6C">
        <w:t>odbiorców.</w:t>
      </w:r>
    </w:p>
    <w:p w14:paraId="528444AE" w14:textId="77777777" w:rsidR="00CE0FFB" w:rsidRPr="00B16B6C" w:rsidRDefault="00CE0FFB" w:rsidP="008C4032">
      <w:pPr>
        <w:pStyle w:val="Nagwek2"/>
      </w:pPr>
      <w:bookmarkStart w:id="108" w:name="_Toc176864304"/>
      <w:bookmarkStart w:id="109" w:name="_Toc182319591"/>
      <w:r w:rsidRPr="00B16B6C">
        <w:t>Rozdział 2. Upraszczanie przekazu</w:t>
      </w:r>
      <w:bookmarkEnd w:id="108"/>
      <w:bookmarkEnd w:id="109"/>
    </w:p>
    <w:p w14:paraId="374BB86E" w14:textId="77777777" w:rsidR="00CE0FFB" w:rsidRPr="00B16B6C" w:rsidRDefault="00CE0FFB" w:rsidP="00694429">
      <w:pPr>
        <w:pStyle w:val="Nagwek3"/>
        <w:numPr>
          <w:ilvl w:val="0"/>
          <w:numId w:val="32"/>
        </w:numPr>
        <w:ind w:left="426" w:hanging="426"/>
      </w:pPr>
      <w:bookmarkStart w:id="110" w:name="_Toc176864305"/>
      <w:bookmarkStart w:id="111" w:name="_Toc182319592"/>
      <w:r w:rsidRPr="00B16B6C">
        <w:t>Prosty język</w:t>
      </w:r>
      <w:bookmarkEnd w:id="110"/>
      <w:bookmarkEnd w:id="111"/>
    </w:p>
    <w:p w14:paraId="5712FDD9" w14:textId="48EF57D6" w:rsidR="00CE0FFB" w:rsidRPr="00B16B6C" w:rsidRDefault="00CE0FFB" w:rsidP="00CE0FFB">
      <w:r w:rsidRPr="00B16B6C">
        <w:t>Prosty język to zrozumiała, przejrzysta i partnerska komunikacja oraz sposób organizacji tekstu, który zapewnia przeciętne</w:t>
      </w:r>
      <w:r w:rsidR="009E75EC">
        <w:t>j osobie</w:t>
      </w:r>
      <w:r w:rsidRPr="00B16B6C">
        <w:t xml:space="preserve"> szybki dostęp do zawartych w nim informacji, lepsze ich zrozumienie oraz skuteczne działanie na ich podstawie. </w:t>
      </w:r>
    </w:p>
    <w:p w14:paraId="0EA1596F" w14:textId="77777777" w:rsidR="00CE0FFB" w:rsidRPr="00B16B6C" w:rsidRDefault="00CE0FFB" w:rsidP="00CE0FFB">
      <w:r w:rsidRPr="00B16B6C">
        <w:t xml:space="preserve">Prosty język należy stosować w: </w:t>
      </w:r>
    </w:p>
    <w:p w14:paraId="5EF0A481" w14:textId="6414E182" w:rsidR="00CE0FFB" w:rsidRPr="00B16B6C" w:rsidRDefault="00496C5D" w:rsidP="00CE0FFB">
      <w:pPr>
        <w:pStyle w:val="Akapitzlist"/>
        <w:ind w:left="284" w:hanging="284"/>
      </w:pPr>
      <w:r>
        <w:t>tekstach</w:t>
      </w:r>
      <w:r w:rsidR="00CE0FFB" w:rsidRPr="00B16B6C">
        <w:t xml:space="preserve"> informacyjnych, </w:t>
      </w:r>
    </w:p>
    <w:p w14:paraId="4FBC4204" w14:textId="037ED9D4" w:rsidR="00CE0FFB" w:rsidRPr="00B16B6C" w:rsidRDefault="00CE0FFB" w:rsidP="005C6023">
      <w:pPr>
        <w:pStyle w:val="Akapitzlist"/>
        <w:ind w:left="284" w:hanging="284"/>
      </w:pPr>
      <w:r w:rsidRPr="00B16B6C">
        <w:t>regulaminach</w:t>
      </w:r>
      <w:r w:rsidR="00496C5D">
        <w:t xml:space="preserve"> i </w:t>
      </w:r>
      <w:r w:rsidRPr="00B16B6C">
        <w:t>umowach</w:t>
      </w:r>
      <w:r w:rsidR="00496C5D">
        <w:t>,</w:t>
      </w:r>
    </w:p>
    <w:p w14:paraId="043D6893" w14:textId="77777777" w:rsidR="00CE0FFB" w:rsidRPr="00B16B6C" w:rsidRDefault="00CE0FFB" w:rsidP="00CE0FFB">
      <w:pPr>
        <w:pStyle w:val="Akapitzlist"/>
        <w:ind w:left="284" w:hanging="284"/>
      </w:pPr>
      <w:r w:rsidRPr="00B16B6C">
        <w:t xml:space="preserve">komunikatach, ogłoszeniach (również rekrutacyjnych) i artykułach (poza naukowymi). </w:t>
      </w:r>
    </w:p>
    <w:p w14:paraId="42E19011" w14:textId="77777777" w:rsidR="00CE0FFB" w:rsidRPr="00B16B6C" w:rsidRDefault="00CE0FFB" w:rsidP="00CE0FFB">
      <w:pPr>
        <w:pStyle w:val="Wane"/>
      </w:pPr>
      <w:r w:rsidRPr="00B16B6C">
        <w:t>Ważne</w:t>
      </w:r>
    </w:p>
    <w:p w14:paraId="6260ACA6" w14:textId="185FA23A" w:rsidR="00CE0FFB" w:rsidRPr="00B16B6C" w:rsidRDefault="00F51757" w:rsidP="00CE0FFB">
      <w:pPr>
        <w:pStyle w:val="Wane"/>
      </w:pPr>
      <w:r>
        <w:lastRenderedPageBreak/>
        <w:t xml:space="preserve">Teksty </w:t>
      </w:r>
      <w:r w:rsidR="00CE0FFB" w:rsidRPr="00B16B6C">
        <w:t xml:space="preserve">z użyciem języka prostego </w:t>
      </w:r>
      <w:r>
        <w:t>skierowane są do szerszego grona odbiorczyń i odbiorców, czyli osób p</w:t>
      </w:r>
      <w:r w:rsidR="00CE0FFB" w:rsidRPr="00B16B6C">
        <w:t xml:space="preserve">rzeciętnie </w:t>
      </w:r>
      <w:r w:rsidR="009E75EC">
        <w:t>wykształcon</w:t>
      </w:r>
      <w:r>
        <w:t>ych.</w:t>
      </w:r>
    </w:p>
    <w:p w14:paraId="31CC394B" w14:textId="77777777" w:rsidR="00CE0FFB" w:rsidRPr="00B16B6C" w:rsidRDefault="00CE0FFB" w:rsidP="00496C5D">
      <w:pPr>
        <w:pStyle w:val="Przykad"/>
      </w:pPr>
      <w:r w:rsidRPr="00B16B6C">
        <w:t xml:space="preserve">Linki do </w:t>
      </w:r>
      <w:r w:rsidRPr="00496C5D">
        <w:t>publikacji</w:t>
      </w:r>
      <w:r w:rsidRPr="00B16B6C">
        <w:t xml:space="preserve"> o języku prostym znajdują się w Standardach dostępności dla polityki spójności 2021-2027 – część III. Standard informacyjno-promocyjny, rozdz. 3. Materiały. Informacja pisana.</w:t>
      </w:r>
    </w:p>
    <w:p w14:paraId="02BEB5B0" w14:textId="77777777" w:rsidR="00CE0FFB" w:rsidRPr="00B16B6C" w:rsidRDefault="00CE0FFB" w:rsidP="00BC36E5">
      <w:pPr>
        <w:pStyle w:val="Nagwek3"/>
      </w:pPr>
      <w:bookmarkStart w:id="112" w:name="_Toc176864306"/>
      <w:bookmarkStart w:id="113" w:name="_Toc182319593"/>
      <w:r w:rsidRPr="00B16B6C">
        <w:t>Tekst łatwy do czytania i zrozumienia (ETR)</w:t>
      </w:r>
      <w:bookmarkEnd w:id="112"/>
      <w:bookmarkEnd w:id="113"/>
    </w:p>
    <w:p w14:paraId="694CC055" w14:textId="12E5F538" w:rsidR="00CE0FFB" w:rsidRPr="00B16B6C" w:rsidRDefault="00CE0FFB" w:rsidP="00CE0FFB">
      <w:r w:rsidRPr="00B16B6C">
        <w:t>Tekst łatwy do czytania i zrozumienia (ETR</w:t>
      </w:r>
      <w:r w:rsidR="00F51757">
        <w:t>,</w:t>
      </w:r>
      <w:r w:rsidRPr="00B16B6C">
        <w:t xml:space="preserve"> ang. </w:t>
      </w:r>
      <w:proofErr w:type="spellStart"/>
      <w:r w:rsidRPr="00C5519D">
        <w:t>Easy</w:t>
      </w:r>
      <w:proofErr w:type="spellEnd"/>
      <w:r w:rsidRPr="00C5519D">
        <w:t>-to-Read</w:t>
      </w:r>
      <w:r w:rsidRPr="00B16B6C">
        <w:t xml:space="preserve">) to metoda adaptacji treści (dokumentów, informacji i komunikatów) do potrzeb i możliwości osób, które mają trudności w czytaniu i zrozumieniu </w:t>
      </w:r>
      <w:r w:rsidR="00C466B7">
        <w:t>przekazywanych komunikatów</w:t>
      </w:r>
      <w:r w:rsidRPr="00B16B6C">
        <w:t xml:space="preserve">. Tekst łatwy do czytania i zrozumienia tworzony jest dla osób, które mają trudności z przetwarzaniem informacji. </w:t>
      </w:r>
    </w:p>
    <w:p w14:paraId="407B5AD7" w14:textId="1C1C0C86" w:rsidR="00CE0FFB" w:rsidRPr="00B16B6C" w:rsidRDefault="00CE0FFB" w:rsidP="00CE0FFB">
      <w:r w:rsidRPr="00B16B6C">
        <w:t xml:space="preserve">ETR należy umieszczać w broszurach, ulotkach, na stronach internetowych, uwzględniając w nich przede wszystkim podstawowe informacje o </w:t>
      </w:r>
      <w:r w:rsidR="00496C5D">
        <w:t xml:space="preserve">konkretnym </w:t>
      </w:r>
      <w:r w:rsidRPr="00B16B6C">
        <w:t>wydarzeniu/działaniu</w:t>
      </w:r>
      <w:r w:rsidR="00496C5D">
        <w:t xml:space="preserve"> lub informacje o danym produkcie projektu.</w:t>
      </w:r>
    </w:p>
    <w:p w14:paraId="5758D268" w14:textId="77777777" w:rsidR="00CE0FFB" w:rsidRPr="00B16B6C" w:rsidRDefault="00CE0FFB" w:rsidP="00CE0FFB">
      <w:pPr>
        <w:pStyle w:val="Wane"/>
      </w:pPr>
      <w:r w:rsidRPr="00B16B6C">
        <w:t>Ważne</w:t>
      </w:r>
    </w:p>
    <w:p w14:paraId="058CB3A1" w14:textId="1E43655D" w:rsidR="00CE0FFB" w:rsidRPr="00B16B6C" w:rsidRDefault="00CE0FFB" w:rsidP="00CE0FFB">
      <w:pPr>
        <w:pStyle w:val="Wane"/>
      </w:pPr>
      <w:r w:rsidRPr="00B16B6C">
        <w:t>O</w:t>
      </w:r>
      <w:r w:rsidR="00F51757">
        <w:t>dbiorczyniami i o</w:t>
      </w:r>
      <w:r w:rsidRPr="00B16B6C">
        <w:t xml:space="preserve">dbiorcami tekstów w ETR są lub mogą być: </w:t>
      </w:r>
    </w:p>
    <w:p w14:paraId="01D3E4C9" w14:textId="77777777" w:rsidR="00CE0FFB" w:rsidRPr="00B16B6C" w:rsidRDefault="00CE0FFB" w:rsidP="00CE0FFB">
      <w:pPr>
        <w:pStyle w:val="Wane"/>
        <w:numPr>
          <w:ilvl w:val="0"/>
          <w:numId w:val="20"/>
        </w:numPr>
        <w:ind w:left="284" w:hanging="284"/>
      </w:pPr>
      <w:r w:rsidRPr="00B16B6C">
        <w:t xml:space="preserve">osoby z niepełnosprawnością intelektualną, </w:t>
      </w:r>
    </w:p>
    <w:p w14:paraId="38FC9676" w14:textId="77777777" w:rsidR="00CE0FFB" w:rsidRPr="00B16B6C" w:rsidRDefault="00CE0FFB" w:rsidP="00CE0FFB">
      <w:pPr>
        <w:pStyle w:val="Wane"/>
        <w:numPr>
          <w:ilvl w:val="0"/>
          <w:numId w:val="20"/>
        </w:numPr>
        <w:ind w:left="284" w:hanging="284"/>
      </w:pPr>
      <w:r w:rsidRPr="00B16B6C">
        <w:t>osoby z niepełnosprawnością wzroku,</w:t>
      </w:r>
    </w:p>
    <w:p w14:paraId="4D25037C" w14:textId="0FDCECFF" w:rsidR="00CE0FFB" w:rsidRPr="00B16B6C" w:rsidRDefault="00CE0FFB" w:rsidP="00CE0FFB">
      <w:pPr>
        <w:pStyle w:val="Wane"/>
        <w:numPr>
          <w:ilvl w:val="0"/>
          <w:numId w:val="20"/>
        </w:numPr>
        <w:ind w:left="284" w:hanging="284"/>
      </w:pPr>
      <w:r w:rsidRPr="00B16B6C">
        <w:t xml:space="preserve">osoby, które nie posługują się biegle językiem polskim (np. </w:t>
      </w:r>
      <w:r w:rsidR="00F51757">
        <w:t xml:space="preserve">cudzoziemki i </w:t>
      </w:r>
      <w:r w:rsidRPr="00B16B6C">
        <w:t>cudzoziemcy, osoby g/Głuche),</w:t>
      </w:r>
    </w:p>
    <w:p w14:paraId="24D24B35" w14:textId="77777777" w:rsidR="00F51757" w:rsidRDefault="00CE0FFB" w:rsidP="00CE0FFB">
      <w:pPr>
        <w:pStyle w:val="Wane"/>
        <w:numPr>
          <w:ilvl w:val="0"/>
          <w:numId w:val="20"/>
        </w:numPr>
        <w:ind w:left="284" w:hanging="284"/>
      </w:pPr>
      <w:r w:rsidRPr="00B16B6C">
        <w:t>osoby starsz</w:t>
      </w:r>
      <w:r w:rsidR="00F51757">
        <w:t>e,</w:t>
      </w:r>
    </w:p>
    <w:p w14:paraId="20039BFE" w14:textId="20689942" w:rsidR="00CE0FFB" w:rsidRPr="00B16B6C" w:rsidRDefault="00F51757" w:rsidP="00CE0FFB">
      <w:pPr>
        <w:pStyle w:val="Wane"/>
        <w:numPr>
          <w:ilvl w:val="0"/>
          <w:numId w:val="20"/>
        </w:numPr>
        <w:ind w:left="284" w:hanging="284"/>
      </w:pPr>
      <w:r>
        <w:t xml:space="preserve">osoby, </w:t>
      </w:r>
      <w:r w:rsidR="00CE0FFB" w:rsidRPr="00B16B6C">
        <w:t>które mają trudności w uczeniu się.</w:t>
      </w:r>
    </w:p>
    <w:p w14:paraId="458420FC" w14:textId="77777777" w:rsidR="00CE0FFB" w:rsidRPr="000C7291" w:rsidRDefault="00CE0FFB" w:rsidP="00496C5D">
      <w:pPr>
        <w:pStyle w:val="Przykad"/>
      </w:pPr>
      <w:r w:rsidRPr="00B16B6C">
        <w:t>Więcej informacji o tekstach ETR znajduje się w Standardach dostępności dla polityki spójności 2021-2027 – część III. Standard informacyjno-promocyjny, rozdz. 3. Materiały. Informacja pisana.</w:t>
      </w:r>
    </w:p>
    <w:p w14:paraId="6FE74920" w14:textId="77777777" w:rsidR="00CE0FFB" w:rsidRPr="00440A86" w:rsidRDefault="00CE0FFB" w:rsidP="00440A86"/>
    <w:sectPr w:rsidR="00CE0FFB" w:rsidRPr="00440A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43E9A" w14:textId="77777777" w:rsidR="00CC4049" w:rsidRDefault="00CC4049" w:rsidP="009E719B">
      <w:r>
        <w:separator/>
      </w:r>
    </w:p>
  </w:endnote>
  <w:endnote w:type="continuationSeparator" w:id="0">
    <w:p w14:paraId="686B0CD4" w14:textId="77777777" w:rsidR="00CC4049" w:rsidRDefault="00CC4049" w:rsidP="009E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BD75" w14:textId="77777777" w:rsidR="00CC4049" w:rsidRDefault="00CC4049" w:rsidP="009E719B">
      <w:r>
        <w:separator/>
      </w:r>
    </w:p>
  </w:footnote>
  <w:footnote w:type="continuationSeparator" w:id="0">
    <w:p w14:paraId="5A1179EA" w14:textId="77777777" w:rsidR="00CC4049" w:rsidRDefault="00CC4049" w:rsidP="009E719B">
      <w:r>
        <w:continuationSeparator/>
      </w:r>
    </w:p>
  </w:footnote>
  <w:footnote w:id="1">
    <w:p w14:paraId="120BF7D7" w14:textId="17B3A1C0" w:rsidR="00CC6893" w:rsidRPr="00CC6893" w:rsidRDefault="00CC6893" w:rsidP="00CC6893">
      <w:pPr>
        <w:pStyle w:val="Tekstprzypisudolnego"/>
        <w:spacing w:line="276" w:lineRule="auto"/>
        <w:rPr>
          <w:sz w:val="22"/>
          <w:szCs w:val="22"/>
        </w:rPr>
      </w:pPr>
      <w:r>
        <w:rPr>
          <w:rStyle w:val="Odwoanieprzypisudolnego"/>
        </w:rPr>
        <w:footnoteRef/>
      </w:r>
      <w:r>
        <w:t xml:space="preserve"> </w:t>
      </w:r>
      <w:r w:rsidRPr="00CC6893">
        <w:rPr>
          <w:sz w:val="22"/>
          <w:szCs w:val="22"/>
        </w:rPr>
        <w:t>Korzystanie z podnośników może być trudne dla części u</w:t>
      </w:r>
      <w:r w:rsidR="000A7AB5">
        <w:rPr>
          <w:sz w:val="22"/>
          <w:szCs w:val="22"/>
        </w:rPr>
        <w:t>żytkowniczek i u</w:t>
      </w:r>
      <w:r w:rsidRPr="00CC6893">
        <w:rPr>
          <w:sz w:val="22"/>
          <w:szCs w:val="22"/>
        </w:rPr>
        <w:t xml:space="preserve">żytkowników, głównie z uwagi na konieczność stałego trzymania przycisku (utrudniona obsługa, szczególnie dla osób mających problemy z czynnościami manualnymi), a samo rozwiązanie </w:t>
      </w:r>
      <w:r w:rsidR="00C857A7">
        <w:rPr>
          <w:sz w:val="22"/>
          <w:szCs w:val="22"/>
        </w:rPr>
        <w:t>często</w:t>
      </w:r>
      <w:r w:rsidRPr="00CC6893">
        <w:rPr>
          <w:sz w:val="22"/>
          <w:szCs w:val="22"/>
        </w:rPr>
        <w:t xml:space="preserve"> przeznaczone jest wyłącznie dla osób z niepełnosprawnościami narządu ruchu, </w:t>
      </w:r>
      <w:r w:rsidR="000A7AB5">
        <w:rPr>
          <w:sz w:val="22"/>
          <w:szCs w:val="22"/>
        </w:rPr>
        <w:t xml:space="preserve">a </w:t>
      </w:r>
      <w:r w:rsidRPr="00CC6893">
        <w:rPr>
          <w:sz w:val="22"/>
          <w:szCs w:val="22"/>
        </w:rPr>
        <w:t xml:space="preserve">nie dla wszystkich </w:t>
      </w:r>
      <w:r w:rsidR="000A7AB5">
        <w:rPr>
          <w:sz w:val="22"/>
          <w:szCs w:val="22"/>
        </w:rPr>
        <w:t xml:space="preserve">użytkowniczek i </w:t>
      </w:r>
      <w:r w:rsidRPr="00CC6893">
        <w:rPr>
          <w:sz w:val="22"/>
          <w:szCs w:val="22"/>
        </w:rPr>
        <w:t>użytkowników (nie jest więc zgodne z zasadami projektowania uniwersalnego).</w:t>
      </w:r>
    </w:p>
    <w:p w14:paraId="6699A9B6" w14:textId="700941FD" w:rsidR="00CC6893" w:rsidRDefault="00CC6893" w:rsidP="00CC6893">
      <w:pPr>
        <w:pStyle w:val="Tekstprzypisudolnego"/>
        <w:spacing w:line="276" w:lineRule="auto"/>
      </w:pPr>
      <w:r w:rsidRPr="00CC6893">
        <w:rPr>
          <w:sz w:val="22"/>
          <w:szCs w:val="22"/>
        </w:rPr>
        <w:t>Najbardziej wszechstronnym i praktycznym spośród dostępnych modeli jest podnośnik pionowy, zapewniający możliwość przemieszczania się zarówno osobom na wózkach, jak i osobom chodzącym.</w:t>
      </w:r>
    </w:p>
  </w:footnote>
  <w:footnote w:id="2">
    <w:p w14:paraId="1F0C881A" w14:textId="7EE15B60" w:rsidR="00222860" w:rsidRPr="0001666F" w:rsidRDefault="00222860" w:rsidP="00222860">
      <w:pPr>
        <w:pStyle w:val="Tekstprzypisudolnego"/>
        <w:spacing w:line="276" w:lineRule="auto"/>
        <w:rPr>
          <w:rFonts w:cs="Arial"/>
          <w:sz w:val="22"/>
          <w:szCs w:val="22"/>
        </w:rPr>
      </w:pPr>
      <w:r w:rsidRPr="0001666F">
        <w:rPr>
          <w:rStyle w:val="Odwoanieprzypisudolnego"/>
          <w:rFonts w:cs="Arial"/>
          <w:sz w:val="22"/>
          <w:szCs w:val="22"/>
        </w:rPr>
        <w:footnoteRef/>
      </w:r>
      <w:r w:rsidRPr="0001666F">
        <w:rPr>
          <w:rFonts w:cs="Arial"/>
          <w:sz w:val="22"/>
          <w:szCs w:val="22"/>
        </w:rPr>
        <w:t xml:space="preserve"> Wymaganie wynika z Rozporządzenia Ministra Rozwoju i Technologii z dnia 27 października 2023 </w:t>
      </w:r>
      <w:r w:rsidR="00BF35CB">
        <w:rPr>
          <w:rFonts w:cs="Arial"/>
          <w:sz w:val="22"/>
          <w:szCs w:val="22"/>
        </w:rPr>
        <w:t>roku</w:t>
      </w:r>
      <w:r w:rsidRPr="0001666F">
        <w:rPr>
          <w:rFonts w:cs="Arial"/>
          <w:sz w:val="22"/>
          <w:szCs w:val="22"/>
        </w:rPr>
        <w:t xml:space="preserve"> zmieniające rozporządzenie w sprawie warunków technicznych, jakim powinny odpowiadać budynki i ich usytuowanie, § 1, pkt 7.</w:t>
      </w:r>
      <w:r w:rsidR="00BF35CB">
        <w:rPr>
          <w:rFonts w:cs="Arial"/>
          <w:sz w:val="22"/>
          <w:szCs w:val="22"/>
        </w:rPr>
        <w:t xml:space="preserve"> </w:t>
      </w:r>
      <w:r w:rsidRPr="0001666F">
        <w:rPr>
          <w:rFonts w:cs="Arial"/>
          <w:sz w:val="22"/>
          <w:szCs w:val="22"/>
        </w:rPr>
        <w:t>Wymaganie to nie dotyczy budynków, dla których przed dniem 1 kwietnia 2024 r</w:t>
      </w:r>
      <w:r w:rsidR="00BF35CB">
        <w:rPr>
          <w:rFonts w:cs="Arial"/>
          <w:sz w:val="22"/>
          <w:szCs w:val="22"/>
        </w:rPr>
        <w:t>oku</w:t>
      </w:r>
      <w:r w:rsidRPr="0001666F">
        <w:rPr>
          <w:rFonts w:cs="Arial"/>
          <w:sz w:val="22"/>
          <w:szCs w:val="22"/>
        </w:rPr>
        <w:t xml:space="preserve"> została wydana decyzja o pozwoleniu na budowę albo zostało dokonane zgłoszenie budowy, do którego organ administracji architektoniczno-budowlanej nie wniósł sprzeciwu lub zostało wydane zaświadczenie o braku podstaw do wniesienia sprzeciwu, o którym mowa w art. 30 ust. 5aa ustawy z dnia 7 lipca 1994 r</w:t>
      </w:r>
      <w:r w:rsidR="00BF35CB">
        <w:rPr>
          <w:rFonts w:cs="Arial"/>
          <w:sz w:val="22"/>
          <w:szCs w:val="22"/>
        </w:rPr>
        <w:t>oku</w:t>
      </w:r>
      <w:r w:rsidRPr="0001666F">
        <w:rPr>
          <w:rFonts w:cs="Arial"/>
          <w:sz w:val="22"/>
          <w:szCs w:val="22"/>
        </w:rPr>
        <w:t xml:space="preserve"> – Prawo budowlane.</w:t>
      </w:r>
    </w:p>
  </w:footnote>
  <w:footnote w:id="3">
    <w:p w14:paraId="4BE30C1D" w14:textId="6B254D4A" w:rsidR="007A4D66" w:rsidRPr="0001666F" w:rsidRDefault="007A4D66" w:rsidP="007A4D66">
      <w:pPr>
        <w:pStyle w:val="Tekstprzypisudolnego"/>
        <w:spacing w:line="276" w:lineRule="auto"/>
        <w:rPr>
          <w:rFonts w:cs="Arial"/>
          <w:sz w:val="22"/>
          <w:szCs w:val="22"/>
        </w:rPr>
      </w:pPr>
      <w:r w:rsidRPr="0001666F">
        <w:rPr>
          <w:rStyle w:val="Odwoanieprzypisudolnego"/>
          <w:rFonts w:cs="Arial"/>
          <w:sz w:val="22"/>
          <w:szCs w:val="22"/>
        </w:rPr>
        <w:footnoteRef/>
      </w:r>
      <w:r w:rsidRPr="0001666F">
        <w:rPr>
          <w:rFonts w:cs="Arial"/>
          <w:sz w:val="22"/>
          <w:szCs w:val="22"/>
        </w:rPr>
        <w:t xml:space="preserve"> Ustawa z dnia 27 sierpnia 1997 r</w:t>
      </w:r>
      <w:r w:rsidR="00F51757">
        <w:rPr>
          <w:rFonts w:cs="Arial"/>
          <w:sz w:val="22"/>
          <w:szCs w:val="22"/>
        </w:rPr>
        <w:t>oku</w:t>
      </w:r>
      <w:r w:rsidRPr="0001666F">
        <w:rPr>
          <w:rFonts w:cs="Arial"/>
          <w:sz w:val="22"/>
          <w:szCs w:val="22"/>
        </w:rPr>
        <w:t xml:space="preserve"> o rehabilitacji zawodowej i społecznej oraz zatrudnianiu osób niepełnosprawnych (Dz.U. 2024 poz. 44), art. 26-26e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9E5"/>
    <w:multiLevelType w:val="hybridMultilevel"/>
    <w:tmpl w:val="4D5C4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042E2"/>
    <w:multiLevelType w:val="hybridMultilevel"/>
    <w:tmpl w:val="2D9638C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CD671B"/>
    <w:multiLevelType w:val="hybridMultilevel"/>
    <w:tmpl w:val="AC0A8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EF7F73"/>
    <w:multiLevelType w:val="hybridMultilevel"/>
    <w:tmpl w:val="7570C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6323B"/>
    <w:multiLevelType w:val="multilevel"/>
    <w:tmpl w:val="A78412C4"/>
    <w:lvl w:ilvl="0">
      <w:start w:val="1"/>
      <w:numFmt w:val="decimal"/>
      <w:pStyle w:val="Nagwek3"/>
      <w:lvlText w:val="%1."/>
      <w:lvlJc w:val="left"/>
      <w:pPr>
        <w:ind w:left="720" w:hanging="360"/>
      </w:pPr>
      <w:rPr>
        <w:b/>
        <w:bCs w:val="0"/>
      </w:rPr>
    </w:lvl>
    <w:lvl w:ilvl="1">
      <w:start w:val="1"/>
      <w:numFmt w:val="decimal"/>
      <w:pStyle w:val="Nagwek4"/>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4257FA"/>
    <w:multiLevelType w:val="hybridMultilevel"/>
    <w:tmpl w:val="A48E6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16295C"/>
    <w:multiLevelType w:val="hybridMultilevel"/>
    <w:tmpl w:val="D7685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6028BC"/>
    <w:multiLevelType w:val="hybridMultilevel"/>
    <w:tmpl w:val="D334F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082D47"/>
    <w:multiLevelType w:val="hybridMultilevel"/>
    <w:tmpl w:val="7E9813B6"/>
    <w:lvl w:ilvl="0" w:tplc="04150001">
      <w:start w:val="1"/>
      <w:numFmt w:val="bullet"/>
      <w:lvlText w:val=""/>
      <w:lvlJc w:val="left"/>
      <w:pPr>
        <w:ind w:left="720" w:hanging="360"/>
      </w:pPr>
      <w:rPr>
        <w:rFonts w:ascii="Symbol" w:hAnsi="Symbol" w:hint="default"/>
      </w:rPr>
    </w:lvl>
    <w:lvl w:ilvl="1" w:tplc="3632AEF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F05AB5"/>
    <w:multiLevelType w:val="hybridMultilevel"/>
    <w:tmpl w:val="38568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2104C9"/>
    <w:multiLevelType w:val="hybridMultilevel"/>
    <w:tmpl w:val="846CA730"/>
    <w:lvl w:ilvl="0" w:tplc="1EF03840">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3254062"/>
    <w:multiLevelType w:val="hybridMultilevel"/>
    <w:tmpl w:val="6CC09FF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2" w15:restartNumberingAfterBreak="0">
    <w:nsid w:val="34474FDD"/>
    <w:multiLevelType w:val="hybridMultilevel"/>
    <w:tmpl w:val="2E780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807858"/>
    <w:multiLevelType w:val="hybridMultilevel"/>
    <w:tmpl w:val="38C8B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836CF7"/>
    <w:multiLevelType w:val="multilevel"/>
    <w:tmpl w:val="B992A24A"/>
    <w:lvl w:ilvl="0">
      <w:start w:val="1"/>
      <w:numFmt w:val="bullet"/>
      <w:pStyle w:val="Bezodstpw"/>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9D23E4"/>
    <w:multiLevelType w:val="hybridMultilevel"/>
    <w:tmpl w:val="4DEE08D4"/>
    <w:lvl w:ilvl="0" w:tplc="2C38E8A8">
      <w:start w:val="1"/>
      <w:numFmt w:val="bullet"/>
      <w:pStyle w:val="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324BBA"/>
    <w:multiLevelType w:val="hybridMultilevel"/>
    <w:tmpl w:val="6D3E3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1D3E95"/>
    <w:multiLevelType w:val="hybridMultilevel"/>
    <w:tmpl w:val="37DAFEBC"/>
    <w:lvl w:ilvl="0" w:tplc="3F66B7F6">
      <w:start w:val="1"/>
      <w:numFmt w:val="bullet"/>
      <w:pStyle w:val="akapitzlistdobrychyprakty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0751C3"/>
    <w:multiLevelType w:val="hybridMultilevel"/>
    <w:tmpl w:val="C234D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2F3B4F"/>
    <w:multiLevelType w:val="hybridMultilevel"/>
    <w:tmpl w:val="FBF80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1F2DD0"/>
    <w:multiLevelType w:val="hybridMultilevel"/>
    <w:tmpl w:val="79286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546AC5"/>
    <w:multiLevelType w:val="hybridMultilevel"/>
    <w:tmpl w:val="1C4E26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9D92886"/>
    <w:multiLevelType w:val="hybridMultilevel"/>
    <w:tmpl w:val="9F88C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731773"/>
    <w:multiLevelType w:val="hybridMultilevel"/>
    <w:tmpl w:val="9092C9A2"/>
    <w:lvl w:ilvl="0" w:tplc="0415000F">
      <w:start w:val="1"/>
      <w:numFmt w:val="decimal"/>
      <w:lvlText w:val="%1."/>
      <w:lvlJc w:val="left"/>
      <w:pPr>
        <w:ind w:left="19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E3F5A81"/>
    <w:multiLevelType w:val="hybridMultilevel"/>
    <w:tmpl w:val="05FE34B2"/>
    <w:lvl w:ilvl="0" w:tplc="ED0805B2">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15719F"/>
    <w:multiLevelType w:val="hybridMultilevel"/>
    <w:tmpl w:val="53426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85533C6"/>
    <w:multiLevelType w:val="hybridMultilevel"/>
    <w:tmpl w:val="C3006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78FF15B8"/>
    <w:multiLevelType w:val="hybridMultilevel"/>
    <w:tmpl w:val="C23E3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672BBA"/>
    <w:multiLevelType w:val="hybridMultilevel"/>
    <w:tmpl w:val="88B89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0557763">
    <w:abstractNumId w:val="23"/>
  </w:num>
  <w:num w:numId="2" w16cid:durableId="2125804027">
    <w:abstractNumId w:val="11"/>
  </w:num>
  <w:num w:numId="3" w16cid:durableId="322977918">
    <w:abstractNumId w:val="21"/>
  </w:num>
  <w:num w:numId="4" w16cid:durableId="1122959537">
    <w:abstractNumId w:val="8"/>
  </w:num>
  <w:num w:numId="5" w16cid:durableId="2113277362">
    <w:abstractNumId w:val="7"/>
  </w:num>
  <w:num w:numId="6" w16cid:durableId="791829930">
    <w:abstractNumId w:val="2"/>
  </w:num>
  <w:num w:numId="7" w16cid:durableId="653026230">
    <w:abstractNumId w:val="5"/>
  </w:num>
  <w:num w:numId="8" w16cid:durableId="1331640810">
    <w:abstractNumId w:val="3"/>
  </w:num>
  <w:num w:numId="9" w16cid:durableId="1321348862">
    <w:abstractNumId w:val="27"/>
  </w:num>
  <w:num w:numId="10" w16cid:durableId="1652251007">
    <w:abstractNumId w:val="14"/>
  </w:num>
  <w:num w:numId="11" w16cid:durableId="2092584686">
    <w:abstractNumId w:val="16"/>
  </w:num>
  <w:num w:numId="12" w16cid:durableId="1730108541">
    <w:abstractNumId w:val="24"/>
  </w:num>
  <w:num w:numId="13" w16cid:durableId="334186784">
    <w:abstractNumId w:val="24"/>
    <w:lvlOverride w:ilvl="0">
      <w:startOverride w:val="1"/>
    </w:lvlOverride>
  </w:num>
  <w:num w:numId="14" w16cid:durableId="211699920">
    <w:abstractNumId w:val="24"/>
    <w:lvlOverride w:ilvl="0">
      <w:startOverride w:val="1"/>
    </w:lvlOverride>
  </w:num>
  <w:num w:numId="15" w16cid:durableId="695423000">
    <w:abstractNumId w:val="24"/>
    <w:lvlOverride w:ilvl="0">
      <w:startOverride w:val="1"/>
    </w:lvlOverride>
  </w:num>
  <w:num w:numId="16" w16cid:durableId="598490719">
    <w:abstractNumId w:val="24"/>
    <w:lvlOverride w:ilvl="0">
      <w:startOverride w:val="1"/>
    </w:lvlOverride>
  </w:num>
  <w:num w:numId="17" w16cid:durableId="1632592046">
    <w:abstractNumId w:val="19"/>
  </w:num>
  <w:num w:numId="18" w16cid:durableId="1683967513">
    <w:abstractNumId w:val="25"/>
  </w:num>
  <w:num w:numId="19" w16cid:durableId="2107966948">
    <w:abstractNumId w:val="13"/>
  </w:num>
  <w:num w:numId="20" w16cid:durableId="164823874">
    <w:abstractNumId w:val="9"/>
  </w:num>
  <w:num w:numId="21" w16cid:durableId="729965241">
    <w:abstractNumId w:val="0"/>
  </w:num>
  <w:num w:numId="22" w16cid:durableId="1976252783">
    <w:abstractNumId w:val="4"/>
  </w:num>
  <w:num w:numId="23" w16cid:durableId="2034921415">
    <w:abstractNumId w:val="4"/>
    <w:lvlOverride w:ilvl="0">
      <w:startOverride w:val="1"/>
    </w:lvlOverride>
  </w:num>
  <w:num w:numId="24" w16cid:durableId="1399205621">
    <w:abstractNumId w:val="4"/>
    <w:lvlOverride w:ilvl="0">
      <w:startOverride w:val="1"/>
    </w:lvlOverride>
  </w:num>
  <w:num w:numId="25" w16cid:durableId="227114128">
    <w:abstractNumId w:val="28"/>
  </w:num>
  <w:num w:numId="26" w16cid:durableId="161045601">
    <w:abstractNumId w:val="4"/>
    <w:lvlOverride w:ilvl="0">
      <w:startOverride w:val="1"/>
    </w:lvlOverride>
  </w:num>
  <w:num w:numId="27" w16cid:durableId="609707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6226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6803467">
    <w:abstractNumId w:val="10"/>
  </w:num>
  <w:num w:numId="30" w16cid:durableId="1884824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3774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7677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4902379">
    <w:abstractNumId w:val="26"/>
  </w:num>
  <w:num w:numId="34" w16cid:durableId="708601767">
    <w:abstractNumId w:val="18"/>
  </w:num>
  <w:num w:numId="35" w16cid:durableId="2000569714">
    <w:abstractNumId w:val="22"/>
  </w:num>
  <w:num w:numId="36" w16cid:durableId="773205647">
    <w:abstractNumId w:val="15"/>
  </w:num>
  <w:num w:numId="37" w16cid:durableId="1310668107">
    <w:abstractNumId w:val="1"/>
  </w:num>
  <w:num w:numId="38" w16cid:durableId="882205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654328">
    <w:abstractNumId w:val="6"/>
  </w:num>
  <w:num w:numId="40" w16cid:durableId="736901784">
    <w:abstractNumId w:val="20"/>
  </w:num>
  <w:num w:numId="41" w16cid:durableId="1887713981">
    <w:abstractNumId w:val="12"/>
  </w:num>
  <w:num w:numId="42" w16cid:durableId="1491481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71"/>
    <w:rsid w:val="000124A8"/>
    <w:rsid w:val="00021552"/>
    <w:rsid w:val="00027311"/>
    <w:rsid w:val="00033DB2"/>
    <w:rsid w:val="00035449"/>
    <w:rsid w:val="000441D7"/>
    <w:rsid w:val="00055F24"/>
    <w:rsid w:val="00086C78"/>
    <w:rsid w:val="00090051"/>
    <w:rsid w:val="000A2B68"/>
    <w:rsid w:val="000A7AB5"/>
    <w:rsid w:val="000D4F39"/>
    <w:rsid w:val="000E08BA"/>
    <w:rsid w:val="000E1EF3"/>
    <w:rsid w:val="000E336E"/>
    <w:rsid w:val="000E4329"/>
    <w:rsid w:val="000E4503"/>
    <w:rsid w:val="000F0C7B"/>
    <w:rsid w:val="000F5D2F"/>
    <w:rsid w:val="000F6E63"/>
    <w:rsid w:val="001032EA"/>
    <w:rsid w:val="00103DA5"/>
    <w:rsid w:val="001054B5"/>
    <w:rsid w:val="00123446"/>
    <w:rsid w:val="00132F76"/>
    <w:rsid w:val="001364FE"/>
    <w:rsid w:val="0014359E"/>
    <w:rsid w:val="00156D1B"/>
    <w:rsid w:val="00171343"/>
    <w:rsid w:val="001848C2"/>
    <w:rsid w:val="0018738B"/>
    <w:rsid w:val="001948D7"/>
    <w:rsid w:val="001A48F4"/>
    <w:rsid w:val="001A6B14"/>
    <w:rsid w:val="001A6BDE"/>
    <w:rsid w:val="001B29BA"/>
    <w:rsid w:val="001B4DEC"/>
    <w:rsid w:val="001C200C"/>
    <w:rsid w:val="001C2092"/>
    <w:rsid w:val="001C37CE"/>
    <w:rsid w:val="001D1470"/>
    <w:rsid w:val="001D4304"/>
    <w:rsid w:val="001D4A8F"/>
    <w:rsid w:val="001D5528"/>
    <w:rsid w:val="001E1E6A"/>
    <w:rsid w:val="001E710C"/>
    <w:rsid w:val="001F0207"/>
    <w:rsid w:val="001F5421"/>
    <w:rsid w:val="002123E6"/>
    <w:rsid w:val="00212FBF"/>
    <w:rsid w:val="00217069"/>
    <w:rsid w:val="00222860"/>
    <w:rsid w:val="00226592"/>
    <w:rsid w:val="00233E66"/>
    <w:rsid w:val="002342E9"/>
    <w:rsid w:val="00235DE9"/>
    <w:rsid w:val="00236AB6"/>
    <w:rsid w:val="00281489"/>
    <w:rsid w:val="00282CE8"/>
    <w:rsid w:val="0029414C"/>
    <w:rsid w:val="002A3EA7"/>
    <w:rsid w:val="002A66BE"/>
    <w:rsid w:val="002A772C"/>
    <w:rsid w:val="002B1D9C"/>
    <w:rsid w:val="002B4F88"/>
    <w:rsid w:val="002C1E60"/>
    <w:rsid w:val="002C64DA"/>
    <w:rsid w:val="002E717D"/>
    <w:rsid w:val="002F4871"/>
    <w:rsid w:val="002F7B88"/>
    <w:rsid w:val="00303C60"/>
    <w:rsid w:val="003106D8"/>
    <w:rsid w:val="00310FAA"/>
    <w:rsid w:val="00314177"/>
    <w:rsid w:val="00324418"/>
    <w:rsid w:val="00324BC7"/>
    <w:rsid w:val="003319DC"/>
    <w:rsid w:val="00343055"/>
    <w:rsid w:val="00346384"/>
    <w:rsid w:val="00350D62"/>
    <w:rsid w:val="00357655"/>
    <w:rsid w:val="00357FC2"/>
    <w:rsid w:val="00370B60"/>
    <w:rsid w:val="0037707D"/>
    <w:rsid w:val="00392706"/>
    <w:rsid w:val="00394266"/>
    <w:rsid w:val="0039770C"/>
    <w:rsid w:val="003A00A3"/>
    <w:rsid w:val="003B629F"/>
    <w:rsid w:val="003C3926"/>
    <w:rsid w:val="003D29F4"/>
    <w:rsid w:val="003E4C28"/>
    <w:rsid w:val="003F1CED"/>
    <w:rsid w:val="004002E1"/>
    <w:rsid w:val="00422044"/>
    <w:rsid w:val="00423713"/>
    <w:rsid w:val="00423BA9"/>
    <w:rsid w:val="00427647"/>
    <w:rsid w:val="00434742"/>
    <w:rsid w:val="00435B0A"/>
    <w:rsid w:val="00440A86"/>
    <w:rsid w:val="0047426F"/>
    <w:rsid w:val="00480E6B"/>
    <w:rsid w:val="00496C5D"/>
    <w:rsid w:val="004A2E40"/>
    <w:rsid w:val="004B3B68"/>
    <w:rsid w:val="004C6439"/>
    <w:rsid w:val="004C64C7"/>
    <w:rsid w:val="004D696A"/>
    <w:rsid w:val="004E1693"/>
    <w:rsid w:val="004F1B0C"/>
    <w:rsid w:val="004F367E"/>
    <w:rsid w:val="005005E3"/>
    <w:rsid w:val="0051598D"/>
    <w:rsid w:val="00517237"/>
    <w:rsid w:val="005235B7"/>
    <w:rsid w:val="00524E06"/>
    <w:rsid w:val="00531E24"/>
    <w:rsid w:val="00535012"/>
    <w:rsid w:val="00540BBF"/>
    <w:rsid w:val="00543059"/>
    <w:rsid w:val="00567D97"/>
    <w:rsid w:val="005707F1"/>
    <w:rsid w:val="00570A05"/>
    <w:rsid w:val="00576F53"/>
    <w:rsid w:val="00580617"/>
    <w:rsid w:val="00586867"/>
    <w:rsid w:val="0059569D"/>
    <w:rsid w:val="005A10F9"/>
    <w:rsid w:val="005A334A"/>
    <w:rsid w:val="005B3ED8"/>
    <w:rsid w:val="005B3FA1"/>
    <w:rsid w:val="005B4947"/>
    <w:rsid w:val="005C45F9"/>
    <w:rsid w:val="005C7386"/>
    <w:rsid w:val="005E3FBA"/>
    <w:rsid w:val="005F5A49"/>
    <w:rsid w:val="006177A3"/>
    <w:rsid w:val="00624C9F"/>
    <w:rsid w:val="006270DB"/>
    <w:rsid w:val="006305E7"/>
    <w:rsid w:val="0063139C"/>
    <w:rsid w:val="00635A6C"/>
    <w:rsid w:val="00637E6E"/>
    <w:rsid w:val="00657048"/>
    <w:rsid w:val="00671EB7"/>
    <w:rsid w:val="00675B5A"/>
    <w:rsid w:val="00683BD9"/>
    <w:rsid w:val="00694429"/>
    <w:rsid w:val="006B3596"/>
    <w:rsid w:val="006C27BD"/>
    <w:rsid w:val="006C3F9A"/>
    <w:rsid w:val="006D0645"/>
    <w:rsid w:val="006D4F59"/>
    <w:rsid w:val="006E3F3C"/>
    <w:rsid w:val="006E5AA7"/>
    <w:rsid w:val="006E7734"/>
    <w:rsid w:val="00704276"/>
    <w:rsid w:val="00707B30"/>
    <w:rsid w:val="007110C8"/>
    <w:rsid w:val="00713E26"/>
    <w:rsid w:val="00724822"/>
    <w:rsid w:val="007328C7"/>
    <w:rsid w:val="00734017"/>
    <w:rsid w:val="0075103C"/>
    <w:rsid w:val="007513B4"/>
    <w:rsid w:val="00752E2B"/>
    <w:rsid w:val="00755146"/>
    <w:rsid w:val="00762912"/>
    <w:rsid w:val="00764DB3"/>
    <w:rsid w:val="00777B11"/>
    <w:rsid w:val="0078514A"/>
    <w:rsid w:val="007866CB"/>
    <w:rsid w:val="007A076E"/>
    <w:rsid w:val="007A4D66"/>
    <w:rsid w:val="007A6718"/>
    <w:rsid w:val="007A6D7C"/>
    <w:rsid w:val="007B1C64"/>
    <w:rsid w:val="007C2F8D"/>
    <w:rsid w:val="007C3BBA"/>
    <w:rsid w:val="007C4EF9"/>
    <w:rsid w:val="007C517B"/>
    <w:rsid w:val="007E26BF"/>
    <w:rsid w:val="00803274"/>
    <w:rsid w:val="008228D1"/>
    <w:rsid w:val="008322E9"/>
    <w:rsid w:val="00832AD3"/>
    <w:rsid w:val="00833E11"/>
    <w:rsid w:val="00834983"/>
    <w:rsid w:val="0088165B"/>
    <w:rsid w:val="00882784"/>
    <w:rsid w:val="008910A0"/>
    <w:rsid w:val="008971EE"/>
    <w:rsid w:val="008A7374"/>
    <w:rsid w:val="008B65FB"/>
    <w:rsid w:val="008B727A"/>
    <w:rsid w:val="008B7543"/>
    <w:rsid w:val="008C4032"/>
    <w:rsid w:val="008C4B5E"/>
    <w:rsid w:val="008D2B8A"/>
    <w:rsid w:val="008D3D6A"/>
    <w:rsid w:val="008D674D"/>
    <w:rsid w:val="008F4B9E"/>
    <w:rsid w:val="00905AE0"/>
    <w:rsid w:val="00923DBA"/>
    <w:rsid w:val="0093503D"/>
    <w:rsid w:val="00940CC6"/>
    <w:rsid w:val="00954BC9"/>
    <w:rsid w:val="00954DFB"/>
    <w:rsid w:val="00957727"/>
    <w:rsid w:val="00965BFD"/>
    <w:rsid w:val="00966C15"/>
    <w:rsid w:val="009A10DD"/>
    <w:rsid w:val="009A3041"/>
    <w:rsid w:val="009A7133"/>
    <w:rsid w:val="009B13C3"/>
    <w:rsid w:val="009B752D"/>
    <w:rsid w:val="009C12A1"/>
    <w:rsid w:val="009C18C0"/>
    <w:rsid w:val="009C555B"/>
    <w:rsid w:val="009D09E4"/>
    <w:rsid w:val="009E363A"/>
    <w:rsid w:val="009E4004"/>
    <w:rsid w:val="009E719B"/>
    <w:rsid w:val="009E75EC"/>
    <w:rsid w:val="00A141BF"/>
    <w:rsid w:val="00A21E91"/>
    <w:rsid w:val="00A54693"/>
    <w:rsid w:val="00A56FC9"/>
    <w:rsid w:val="00A5761B"/>
    <w:rsid w:val="00A70D0B"/>
    <w:rsid w:val="00AB030E"/>
    <w:rsid w:val="00AC651C"/>
    <w:rsid w:val="00AD77AA"/>
    <w:rsid w:val="00AD7E1E"/>
    <w:rsid w:val="00AE5859"/>
    <w:rsid w:val="00B00341"/>
    <w:rsid w:val="00B07145"/>
    <w:rsid w:val="00B141A2"/>
    <w:rsid w:val="00B15DAB"/>
    <w:rsid w:val="00B240A5"/>
    <w:rsid w:val="00B26202"/>
    <w:rsid w:val="00B263CD"/>
    <w:rsid w:val="00B300B2"/>
    <w:rsid w:val="00B3043F"/>
    <w:rsid w:val="00B307A3"/>
    <w:rsid w:val="00B33657"/>
    <w:rsid w:val="00B35876"/>
    <w:rsid w:val="00B55344"/>
    <w:rsid w:val="00B6460F"/>
    <w:rsid w:val="00B752EA"/>
    <w:rsid w:val="00B834BF"/>
    <w:rsid w:val="00BA4D43"/>
    <w:rsid w:val="00BB0E45"/>
    <w:rsid w:val="00BB2574"/>
    <w:rsid w:val="00BB39DD"/>
    <w:rsid w:val="00BC36E5"/>
    <w:rsid w:val="00BC4653"/>
    <w:rsid w:val="00BC6BEA"/>
    <w:rsid w:val="00BD229E"/>
    <w:rsid w:val="00BE0498"/>
    <w:rsid w:val="00BE3D7D"/>
    <w:rsid w:val="00BF2BF3"/>
    <w:rsid w:val="00BF35CB"/>
    <w:rsid w:val="00C003FC"/>
    <w:rsid w:val="00C067C0"/>
    <w:rsid w:val="00C06EA3"/>
    <w:rsid w:val="00C12480"/>
    <w:rsid w:val="00C13AC4"/>
    <w:rsid w:val="00C2158A"/>
    <w:rsid w:val="00C31128"/>
    <w:rsid w:val="00C31E7E"/>
    <w:rsid w:val="00C34B07"/>
    <w:rsid w:val="00C466B7"/>
    <w:rsid w:val="00C5519D"/>
    <w:rsid w:val="00C60582"/>
    <w:rsid w:val="00C6413F"/>
    <w:rsid w:val="00C7723B"/>
    <w:rsid w:val="00C8054D"/>
    <w:rsid w:val="00C8172B"/>
    <w:rsid w:val="00C857A7"/>
    <w:rsid w:val="00C87CEB"/>
    <w:rsid w:val="00C91F74"/>
    <w:rsid w:val="00C95971"/>
    <w:rsid w:val="00C95FBA"/>
    <w:rsid w:val="00CA2A2C"/>
    <w:rsid w:val="00CB1804"/>
    <w:rsid w:val="00CC4049"/>
    <w:rsid w:val="00CC6893"/>
    <w:rsid w:val="00CD31A1"/>
    <w:rsid w:val="00CD4F5B"/>
    <w:rsid w:val="00CE0FFB"/>
    <w:rsid w:val="00CE4951"/>
    <w:rsid w:val="00CE7B20"/>
    <w:rsid w:val="00CF24EC"/>
    <w:rsid w:val="00CF6741"/>
    <w:rsid w:val="00D004F7"/>
    <w:rsid w:val="00D01264"/>
    <w:rsid w:val="00D02434"/>
    <w:rsid w:val="00D05C40"/>
    <w:rsid w:val="00D110BF"/>
    <w:rsid w:val="00D17CC2"/>
    <w:rsid w:val="00D25880"/>
    <w:rsid w:val="00D3063F"/>
    <w:rsid w:val="00D44E0C"/>
    <w:rsid w:val="00D51489"/>
    <w:rsid w:val="00D61569"/>
    <w:rsid w:val="00D70451"/>
    <w:rsid w:val="00D77C0A"/>
    <w:rsid w:val="00D8280F"/>
    <w:rsid w:val="00D93B41"/>
    <w:rsid w:val="00DA63E6"/>
    <w:rsid w:val="00DA6C36"/>
    <w:rsid w:val="00DB369F"/>
    <w:rsid w:val="00DC11BA"/>
    <w:rsid w:val="00DC1EEF"/>
    <w:rsid w:val="00DC28A7"/>
    <w:rsid w:val="00DC6216"/>
    <w:rsid w:val="00DD36C8"/>
    <w:rsid w:val="00DD59DF"/>
    <w:rsid w:val="00DD6494"/>
    <w:rsid w:val="00DE14AC"/>
    <w:rsid w:val="00DE35F8"/>
    <w:rsid w:val="00E04ABA"/>
    <w:rsid w:val="00E057B4"/>
    <w:rsid w:val="00E343DE"/>
    <w:rsid w:val="00E60BB5"/>
    <w:rsid w:val="00E72E48"/>
    <w:rsid w:val="00E72FAB"/>
    <w:rsid w:val="00E935A3"/>
    <w:rsid w:val="00E965D0"/>
    <w:rsid w:val="00EA2F8C"/>
    <w:rsid w:val="00EA4309"/>
    <w:rsid w:val="00EC3752"/>
    <w:rsid w:val="00EC54A7"/>
    <w:rsid w:val="00EC7609"/>
    <w:rsid w:val="00ED13AC"/>
    <w:rsid w:val="00ED18F5"/>
    <w:rsid w:val="00ED19E2"/>
    <w:rsid w:val="00ED2273"/>
    <w:rsid w:val="00EF1B2A"/>
    <w:rsid w:val="00EF4772"/>
    <w:rsid w:val="00F037F3"/>
    <w:rsid w:val="00F15051"/>
    <w:rsid w:val="00F22B70"/>
    <w:rsid w:val="00F33299"/>
    <w:rsid w:val="00F336AB"/>
    <w:rsid w:val="00F45799"/>
    <w:rsid w:val="00F51757"/>
    <w:rsid w:val="00F56D77"/>
    <w:rsid w:val="00F577E1"/>
    <w:rsid w:val="00F61780"/>
    <w:rsid w:val="00F67348"/>
    <w:rsid w:val="00F8271C"/>
    <w:rsid w:val="00FA4818"/>
    <w:rsid w:val="00FA5F58"/>
    <w:rsid w:val="00FC1DEB"/>
    <w:rsid w:val="00FC46E3"/>
    <w:rsid w:val="00FD31AE"/>
    <w:rsid w:val="00FE6603"/>
    <w:rsid w:val="00FE7D75"/>
    <w:rsid w:val="00FF1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DCD3"/>
  <w15:chartTrackingRefBased/>
  <w15:docId w15:val="{7A11C258-B858-4C0F-AF03-0A901F48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647"/>
    <w:pPr>
      <w:spacing w:before="120" w:after="120" w:line="360" w:lineRule="auto"/>
    </w:pPr>
    <w:rPr>
      <w:rFonts w:ascii="Arial" w:hAnsi="Arial" w:cs="Arial"/>
      <w:color w:val="000000" w:themeColor="text1"/>
      <w:sz w:val="24"/>
      <w:szCs w:val="24"/>
    </w:rPr>
  </w:style>
  <w:style w:type="paragraph" w:styleId="Nagwek1">
    <w:name w:val="heading 1"/>
    <w:basedOn w:val="Normalny"/>
    <w:next w:val="Normalny"/>
    <w:link w:val="Nagwek1Znak"/>
    <w:autoRedefine/>
    <w:uiPriority w:val="9"/>
    <w:qFormat/>
    <w:rsid w:val="001F0207"/>
    <w:pPr>
      <w:keepNext/>
      <w:keepLines/>
      <w:numPr>
        <w:numId w:val="12"/>
      </w:numPr>
      <w:spacing w:before="360" w:after="80"/>
      <w:outlineLvl w:val="0"/>
    </w:pPr>
    <w:rPr>
      <w:rFonts w:eastAsiaTheme="majorEastAsia"/>
      <w:b/>
      <w:bCs/>
      <w:color w:val="3A7C22" w:themeColor="accent6" w:themeShade="BF"/>
      <w:sz w:val="36"/>
      <w:szCs w:val="32"/>
    </w:rPr>
  </w:style>
  <w:style w:type="paragraph" w:styleId="Nagwek2">
    <w:name w:val="heading 2"/>
    <w:basedOn w:val="Normalny"/>
    <w:next w:val="Normalny"/>
    <w:link w:val="Nagwek2Znak"/>
    <w:uiPriority w:val="9"/>
    <w:unhideWhenUsed/>
    <w:qFormat/>
    <w:rsid w:val="008C4032"/>
    <w:pPr>
      <w:keepNext/>
      <w:keepLines/>
      <w:spacing w:before="480" w:after="80"/>
      <w:outlineLvl w:val="1"/>
    </w:pPr>
    <w:rPr>
      <w:rFonts w:eastAsiaTheme="majorEastAsia"/>
      <w:b/>
      <w:bCs/>
      <w:color w:val="D86DCB" w:themeColor="accent5" w:themeTint="99"/>
      <w:sz w:val="32"/>
      <w:szCs w:val="32"/>
    </w:rPr>
  </w:style>
  <w:style w:type="paragraph" w:styleId="Nagwek3">
    <w:name w:val="heading 3"/>
    <w:basedOn w:val="Normalny"/>
    <w:next w:val="Normalny"/>
    <w:link w:val="Nagwek3Znak"/>
    <w:uiPriority w:val="9"/>
    <w:unhideWhenUsed/>
    <w:qFormat/>
    <w:rsid w:val="00BC36E5"/>
    <w:pPr>
      <w:keepNext/>
      <w:keepLines/>
      <w:numPr>
        <w:numId w:val="22"/>
      </w:numPr>
      <w:spacing w:before="160" w:after="80"/>
      <w:ind w:left="426" w:hanging="426"/>
      <w:outlineLvl w:val="2"/>
    </w:pPr>
    <w:rPr>
      <w:rFonts w:eastAsiaTheme="majorEastAsia" w:cstheme="majorBidi"/>
      <w:b/>
      <w:bCs/>
      <w:color w:val="0A2F41" w:themeColor="accent1" w:themeShade="80"/>
      <w:sz w:val="28"/>
      <w:szCs w:val="28"/>
    </w:rPr>
  </w:style>
  <w:style w:type="paragraph" w:styleId="Nagwek4">
    <w:name w:val="heading 4"/>
    <w:basedOn w:val="Normalny"/>
    <w:next w:val="Normalny"/>
    <w:link w:val="Nagwek4Znak"/>
    <w:uiPriority w:val="9"/>
    <w:unhideWhenUsed/>
    <w:qFormat/>
    <w:rsid w:val="00BC36E5"/>
    <w:pPr>
      <w:keepNext/>
      <w:keepLines/>
      <w:numPr>
        <w:ilvl w:val="1"/>
        <w:numId w:val="22"/>
      </w:numPr>
      <w:pBdr>
        <w:top w:val="single" w:sz="4" w:space="1" w:color="C1E4F5" w:themeColor="accent1" w:themeTint="33"/>
        <w:left w:val="single" w:sz="4" w:space="4" w:color="C1E4F5" w:themeColor="accent1" w:themeTint="33"/>
        <w:bottom w:val="single" w:sz="4" w:space="1" w:color="C1E4F5" w:themeColor="accent1" w:themeTint="33"/>
        <w:right w:val="single" w:sz="4" w:space="4" w:color="C1E4F5" w:themeColor="accent1" w:themeTint="33"/>
      </w:pBdr>
      <w:shd w:val="clear" w:color="auto" w:fill="C1E4F5" w:themeFill="accent1" w:themeFillTint="33"/>
      <w:spacing w:before="80" w:after="40"/>
      <w:ind w:left="567" w:hanging="567"/>
      <w:outlineLvl w:val="3"/>
    </w:pPr>
    <w:rPr>
      <w:rFonts w:eastAsiaTheme="majorEastAsia" w:cstheme="majorBidi"/>
      <w:b/>
      <w:bCs/>
      <w:color w:val="0F4761" w:themeColor="accent1" w:themeShade="BF"/>
      <w:sz w:val="28"/>
      <w:szCs w:val="28"/>
    </w:rPr>
  </w:style>
  <w:style w:type="paragraph" w:styleId="Nagwek5">
    <w:name w:val="heading 5"/>
    <w:basedOn w:val="Normalny"/>
    <w:next w:val="Normalny"/>
    <w:link w:val="Nagwek5Znak"/>
    <w:uiPriority w:val="9"/>
    <w:unhideWhenUsed/>
    <w:qFormat/>
    <w:rsid w:val="00222860"/>
    <w:pPr>
      <w:keepNext/>
      <w:keepLines/>
      <w:spacing w:before="80" w:after="40"/>
      <w:outlineLvl w:val="4"/>
    </w:pPr>
    <w:rPr>
      <w:rFonts w:eastAsiaTheme="majorEastAsia" w:cstheme="majorBidi"/>
      <w:b/>
      <w:bCs/>
      <w:color w:val="0F4761" w:themeColor="accent1" w:themeShade="BF"/>
    </w:rPr>
  </w:style>
  <w:style w:type="paragraph" w:styleId="Nagwek6">
    <w:name w:val="heading 6"/>
    <w:basedOn w:val="Normalny"/>
    <w:next w:val="Normalny"/>
    <w:link w:val="Nagwek6Znak"/>
    <w:uiPriority w:val="9"/>
    <w:semiHidden/>
    <w:unhideWhenUsed/>
    <w:qFormat/>
    <w:rsid w:val="002F48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48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48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48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0207"/>
    <w:rPr>
      <w:rFonts w:ascii="Arial" w:eastAsiaTheme="majorEastAsia" w:hAnsi="Arial" w:cs="Arial"/>
      <w:b/>
      <w:bCs/>
      <w:color w:val="3A7C22" w:themeColor="accent6" w:themeShade="BF"/>
      <w:sz w:val="36"/>
      <w:szCs w:val="32"/>
    </w:rPr>
  </w:style>
  <w:style w:type="character" w:customStyle="1" w:styleId="Nagwek2Znak">
    <w:name w:val="Nagłówek 2 Znak"/>
    <w:basedOn w:val="Domylnaczcionkaakapitu"/>
    <w:link w:val="Nagwek2"/>
    <w:uiPriority w:val="9"/>
    <w:rsid w:val="008C4032"/>
    <w:rPr>
      <w:rFonts w:ascii="Arial" w:eastAsiaTheme="majorEastAsia" w:hAnsi="Arial" w:cs="Arial"/>
      <w:b/>
      <w:bCs/>
      <w:color w:val="D86DCB" w:themeColor="accent5" w:themeTint="99"/>
      <w:sz w:val="32"/>
      <w:szCs w:val="32"/>
    </w:rPr>
  </w:style>
  <w:style w:type="character" w:customStyle="1" w:styleId="Nagwek3Znak">
    <w:name w:val="Nagłówek 3 Znak"/>
    <w:basedOn w:val="Domylnaczcionkaakapitu"/>
    <w:link w:val="Nagwek3"/>
    <w:uiPriority w:val="9"/>
    <w:rsid w:val="00BC36E5"/>
    <w:rPr>
      <w:rFonts w:ascii="Arial" w:eastAsiaTheme="majorEastAsia" w:hAnsi="Arial" w:cstheme="majorBidi"/>
      <w:b/>
      <w:bCs/>
      <w:color w:val="0A2F41" w:themeColor="accent1" w:themeShade="80"/>
      <w:sz w:val="28"/>
      <w:szCs w:val="28"/>
    </w:rPr>
  </w:style>
  <w:style w:type="character" w:customStyle="1" w:styleId="Nagwek4Znak">
    <w:name w:val="Nagłówek 4 Znak"/>
    <w:basedOn w:val="Domylnaczcionkaakapitu"/>
    <w:link w:val="Nagwek4"/>
    <w:uiPriority w:val="9"/>
    <w:rsid w:val="00BC36E5"/>
    <w:rPr>
      <w:rFonts w:ascii="Arial" w:eastAsiaTheme="majorEastAsia" w:hAnsi="Arial" w:cstheme="majorBidi"/>
      <w:b/>
      <w:bCs/>
      <w:color w:val="0F4761" w:themeColor="accent1" w:themeShade="BF"/>
      <w:sz w:val="28"/>
      <w:szCs w:val="28"/>
      <w:shd w:val="clear" w:color="auto" w:fill="C1E4F5" w:themeFill="accent1" w:themeFillTint="33"/>
    </w:rPr>
  </w:style>
  <w:style w:type="character" w:customStyle="1" w:styleId="Nagwek5Znak">
    <w:name w:val="Nagłówek 5 Znak"/>
    <w:basedOn w:val="Domylnaczcionkaakapitu"/>
    <w:link w:val="Nagwek5"/>
    <w:uiPriority w:val="9"/>
    <w:rsid w:val="00222860"/>
    <w:rPr>
      <w:rFonts w:ascii="Arial" w:eastAsiaTheme="majorEastAsia" w:hAnsi="Arial" w:cstheme="majorBidi"/>
      <w:b/>
      <w:bCs/>
      <w:color w:val="0F4761" w:themeColor="accent1" w:themeShade="BF"/>
      <w:sz w:val="24"/>
      <w:szCs w:val="24"/>
    </w:rPr>
  </w:style>
  <w:style w:type="character" w:customStyle="1" w:styleId="Nagwek6Znak">
    <w:name w:val="Nagłówek 6 Znak"/>
    <w:basedOn w:val="Domylnaczcionkaakapitu"/>
    <w:link w:val="Nagwek6"/>
    <w:uiPriority w:val="9"/>
    <w:semiHidden/>
    <w:rsid w:val="002F48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48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48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4871"/>
    <w:rPr>
      <w:rFonts w:eastAsiaTheme="majorEastAsia" w:cstheme="majorBidi"/>
      <w:color w:val="272727" w:themeColor="text1" w:themeTint="D8"/>
    </w:rPr>
  </w:style>
  <w:style w:type="paragraph" w:styleId="Tytu">
    <w:name w:val="Title"/>
    <w:basedOn w:val="Normalny"/>
    <w:next w:val="Normalny"/>
    <w:link w:val="TytuZnak"/>
    <w:uiPriority w:val="10"/>
    <w:qFormat/>
    <w:rsid w:val="00C6413F"/>
    <w:pPr>
      <w:spacing w:after="1080" w:line="240" w:lineRule="auto"/>
      <w:contextualSpacing/>
    </w:pPr>
    <w:rPr>
      <w:rFonts w:eastAsiaTheme="majorEastAsia"/>
      <w:color w:val="275317" w:themeColor="accent6" w:themeShade="80"/>
      <w:sz w:val="56"/>
      <w:szCs w:val="56"/>
    </w:rPr>
  </w:style>
  <w:style w:type="character" w:customStyle="1" w:styleId="TytuZnak">
    <w:name w:val="Tytuł Znak"/>
    <w:basedOn w:val="Domylnaczcionkaakapitu"/>
    <w:link w:val="Tytu"/>
    <w:uiPriority w:val="10"/>
    <w:rsid w:val="00C6413F"/>
    <w:rPr>
      <w:rFonts w:ascii="Arial" w:eastAsiaTheme="majorEastAsia" w:hAnsi="Arial" w:cs="Arial"/>
      <w:color w:val="275317" w:themeColor="accent6" w:themeShade="80"/>
      <w:sz w:val="56"/>
      <w:szCs w:val="56"/>
    </w:rPr>
  </w:style>
  <w:style w:type="paragraph" w:styleId="Podtytu">
    <w:name w:val="Subtitle"/>
    <w:basedOn w:val="Normalny"/>
    <w:next w:val="Normalny"/>
    <w:link w:val="PodtytuZnak"/>
    <w:uiPriority w:val="11"/>
    <w:qFormat/>
    <w:rsid w:val="002F48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48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4871"/>
    <w:pPr>
      <w:spacing w:before="160"/>
      <w:jc w:val="center"/>
    </w:pPr>
    <w:rPr>
      <w:i/>
      <w:iCs/>
      <w:color w:val="404040" w:themeColor="text1" w:themeTint="BF"/>
    </w:rPr>
  </w:style>
  <w:style w:type="character" w:customStyle="1" w:styleId="CytatZnak">
    <w:name w:val="Cytat Znak"/>
    <w:basedOn w:val="Domylnaczcionkaakapitu"/>
    <w:link w:val="Cytat"/>
    <w:uiPriority w:val="29"/>
    <w:rsid w:val="002F4871"/>
    <w:rPr>
      <w:i/>
      <w:iCs/>
      <w:color w:val="404040" w:themeColor="text1" w:themeTint="BF"/>
    </w:rPr>
  </w:style>
  <w:style w:type="paragraph" w:styleId="Akapitzlist">
    <w:name w:val="List Paragraph"/>
    <w:basedOn w:val="Normalny"/>
    <w:uiPriority w:val="34"/>
    <w:qFormat/>
    <w:rsid w:val="002F4871"/>
    <w:pPr>
      <w:numPr>
        <w:numId w:val="29"/>
      </w:numPr>
      <w:contextualSpacing/>
    </w:pPr>
  </w:style>
  <w:style w:type="character" w:styleId="Wyrnienieintensywne">
    <w:name w:val="Intense Emphasis"/>
    <w:basedOn w:val="Domylnaczcionkaakapitu"/>
    <w:uiPriority w:val="21"/>
    <w:qFormat/>
    <w:rsid w:val="002F4871"/>
    <w:rPr>
      <w:i/>
      <w:iCs/>
      <w:color w:val="0F4761" w:themeColor="accent1" w:themeShade="BF"/>
    </w:rPr>
  </w:style>
  <w:style w:type="paragraph" w:styleId="Cytatintensywny">
    <w:name w:val="Intense Quote"/>
    <w:basedOn w:val="Normalny"/>
    <w:next w:val="Normalny"/>
    <w:link w:val="CytatintensywnyZnak"/>
    <w:uiPriority w:val="30"/>
    <w:qFormat/>
    <w:rsid w:val="002F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4871"/>
    <w:rPr>
      <w:i/>
      <w:iCs/>
      <w:color w:val="0F4761" w:themeColor="accent1" w:themeShade="BF"/>
    </w:rPr>
  </w:style>
  <w:style w:type="character" w:styleId="Odwoanieintensywne">
    <w:name w:val="Intense Reference"/>
    <w:basedOn w:val="Domylnaczcionkaakapitu"/>
    <w:uiPriority w:val="32"/>
    <w:qFormat/>
    <w:rsid w:val="002F4871"/>
    <w:rPr>
      <w:b/>
      <w:bCs/>
      <w:smallCaps/>
      <w:color w:val="0F4761" w:themeColor="accent1" w:themeShade="BF"/>
      <w:spacing w:val="5"/>
    </w:rPr>
  </w:style>
  <w:style w:type="table" w:styleId="Tabela-Siatka">
    <w:name w:val="Table Grid"/>
    <w:basedOn w:val="Standardowy"/>
    <w:uiPriority w:val="39"/>
    <w:rsid w:val="008A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9C18C0"/>
    <w:rPr>
      <w:i/>
      <w:iCs/>
      <w:color w:val="404040" w:themeColor="text1" w:themeTint="BF"/>
    </w:rPr>
  </w:style>
  <w:style w:type="character" w:styleId="Uwydatnienie">
    <w:name w:val="Emphasis"/>
    <w:basedOn w:val="Domylnaczcionkaakapitu"/>
    <w:uiPriority w:val="20"/>
    <w:qFormat/>
    <w:rsid w:val="006305E7"/>
    <w:rPr>
      <w:rFonts w:eastAsia="Aptos" w:cs="Aptos"/>
      <w:i/>
      <w:iCs/>
      <w:color w:val="77206D" w:themeColor="accent5" w:themeShade="BF"/>
      <w:kern w:val="0"/>
      <w:sz w:val="28"/>
      <w:szCs w:val="28"/>
      <w:lang w:eastAsia="pl-PL"/>
      <w14:ligatures w14:val="none"/>
    </w:rPr>
  </w:style>
  <w:style w:type="paragraph" w:styleId="Tekstprzypisukocowego">
    <w:name w:val="endnote text"/>
    <w:basedOn w:val="Normalny"/>
    <w:link w:val="TekstprzypisukocowegoZnak"/>
    <w:uiPriority w:val="99"/>
    <w:semiHidden/>
    <w:unhideWhenUsed/>
    <w:rsid w:val="004742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426F"/>
    <w:rPr>
      <w:sz w:val="20"/>
      <w:szCs w:val="20"/>
    </w:rPr>
  </w:style>
  <w:style w:type="character" w:styleId="Odwoanieprzypisukocowego">
    <w:name w:val="endnote reference"/>
    <w:basedOn w:val="Domylnaczcionkaakapitu"/>
    <w:uiPriority w:val="99"/>
    <w:semiHidden/>
    <w:unhideWhenUsed/>
    <w:rsid w:val="0047426F"/>
    <w:rPr>
      <w:vertAlign w:val="superscript"/>
    </w:rPr>
  </w:style>
  <w:style w:type="character" w:styleId="Odwoaniedokomentarza">
    <w:name w:val="annotation reference"/>
    <w:basedOn w:val="Domylnaczcionkaakapitu"/>
    <w:uiPriority w:val="99"/>
    <w:semiHidden/>
    <w:unhideWhenUsed/>
    <w:rsid w:val="00BB39DD"/>
    <w:rPr>
      <w:sz w:val="16"/>
      <w:szCs w:val="16"/>
    </w:rPr>
  </w:style>
  <w:style w:type="paragraph" w:styleId="Tekstkomentarza">
    <w:name w:val="annotation text"/>
    <w:basedOn w:val="Normalny"/>
    <w:link w:val="TekstkomentarzaZnak"/>
    <w:uiPriority w:val="99"/>
    <w:unhideWhenUsed/>
    <w:rsid w:val="00BB39DD"/>
    <w:pPr>
      <w:spacing w:line="240" w:lineRule="auto"/>
    </w:pPr>
    <w:rPr>
      <w:sz w:val="20"/>
      <w:szCs w:val="20"/>
    </w:rPr>
  </w:style>
  <w:style w:type="character" w:customStyle="1" w:styleId="TekstkomentarzaZnak">
    <w:name w:val="Tekst komentarza Znak"/>
    <w:basedOn w:val="Domylnaczcionkaakapitu"/>
    <w:link w:val="Tekstkomentarza"/>
    <w:uiPriority w:val="99"/>
    <w:rsid w:val="00BB39DD"/>
    <w:rPr>
      <w:sz w:val="20"/>
      <w:szCs w:val="20"/>
    </w:rPr>
  </w:style>
  <w:style w:type="paragraph" w:styleId="Tematkomentarza">
    <w:name w:val="annotation subject"/>
    <w:basedOn w:val="Tekstkomentarza"/>
    <w:next w:val="Tekstkomentarza"/>
    <w:link w:val="TematkomentarzaZnak"/>
    <w:uiPriority w:val="99"/>
    <w:semiHidden/>
    <w:unhideWhenUsed/>
    <w:rsid w:val="00BB39DD"/>
    <w:rPr>
      <w:b/>
      <w:bCs/>
    </w:rPr>
  </w:style>
  <w:style w:type="character" w:customStyle="1" w:styleId="TematkomentarzaZnak">
    <w:name w:val="Temat komentarza Znak"/>
    <w:basedOn w:val="TekstkomentarzaZnak"/>
    <w:link w:val="Tematkomentarza"/>
    <w:uiPriority w:val="99"/>
    <w:semiHidden/>
    <w:rsid w:val="00BB39DD"/>
    <w:rPr>
      <w:b/>
      <w:bCs/>
      <w:sz w:val="20"/>
      <w:szCs w:val="20"/>
    </w:rPr>
  </w:style>
  <w:style w:type="paragraph" w:customStyle="1" w:styleId="pf1">
    <w:name w:val="pf1"/>
    <w:basedOn w:val="Normalny"/>
    <w:rsid w:val="008D3D6A"/>
    <w:pPr>
      <w:spacing w:before="100" w:beforeAutospacing="1" w:after="100" w:afterAutospacing="1" w:line="240" w:lineRule="auto"/>
      <w:ind w:left="300"/>
    </w:pPr>
    <w:rPr>
      <w:rFonts w:ascii="Times New Roman" w:eastAsia="Times New Roman" w:hAnsi="Times New Roman" w:cs="Times New Roman"/>
      <w:kern w:val="0"/>
      <w:lang w:eastAsia="pl-PL"/>
      <w14:ligatures w14:val="none"/>
    </w:rPr>
  </w:style>
  <w:style w:type="paragraph" w:customStyle="1" w:styleId="pf0">
    <w:name w:val="pf0"/>
    <w:basedOn w:val="Normalny"/>
    <w:rsid w:val="008D3D6A"/>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Przykad">
    <w:name w:val="Przykład"/>
    <w:basedOn w:val="Normalny"/>
    <w:qFormat/>
    <w:rsid w:val="00496C5D"/>
    <w:pPr>
      <w:pBdr>
        <w:top w:val="single" w:sz="24" w:space="10" w:color="275317" w:themeColor="accent6" w:themeShade="80"/>
        <w:left w:val="single" w:sz="24" w:space="10" w:color="275317" w:themeColor="accent6" w:themeShade="80"/>
        <w:bottom w:val="single" w:sz="24" w:space="10" w:color="275317" w:themeColor="accent6" w:themeShade="80"/>
        <w:right w:val="single" w:sz="24" w:space="10" w:color="275317" w:themeColor="accent6" w:themeShade="80"/>
      </w:pBdr>
      <w:shd w:val="clear" w:color="auto" w:fill="D9F2D0" w:themeFill="accent6" w:themeFillTint="33"/>
      <w:spacing w:line="276" w:lineRule="auto"/>
      <w:ind w:left="142"/>
    </w:pPr>
    <w:rPr>
      <w:sz w:val="28"/>
    </w:rPr>
  </w:style>
  <w:style w:type="paragraph" w:styleId="Bezodstpw">
    <w:name w:val="No Spacing"/>
    <w:basedOn w:val="Akapitzlist"/>
    <w:autoRedefine/>
    <w:uiPriority w:val="1"/>
    <w:qFormat/>
    <w:rsid w:val="009B752D"/>
    <w:pPr>
      <w:numPr>
        <w:numId w:val="10"/>
      </w:numPr>
      <w:ind w:left="714" w:hanging="357"/>
      <w:contextualSpacing w:val="0"/>
    </w:pPr>
    <w:rPr>
      <w:rFonts w:eastAsia="Aptos" w:cs="Aptos"/>
      <w:color w:val="auto"/>
      <w:kern w:val="0"/>
      <w:szCs w:val="22"/>
      <w:lang w:eastAsia="pl-PL"/>
      <w14:ligatures w14:val="none"/>
    </w:rPr>
  </w:style>
  <w:style w:type="paragraph" w:customStyle="1" w:styleId="Reko">
    <w:name w:val="Reko"/>
    <w:basedOn w:val="Normalny"/>
    <w:autoRedefine/>
    <w:qFormat/>
    <w:rsid w:val="00D51489"/>
    <w:pPr>
      <w:ind w:left="708"/>
    </w:pPr>
    <w:rPr>
      <w:color w:val="3A7C22" w:themeColor="accent6" w:themeShade="BF"/>
      <w:lang w:val="en-US"/>
    </w:rPr>
  </w:style>
  <w:style w:type="paragraph" w:customStyle="1" w:styleId="Bd">
    <w:name w:val="Błąd"/>
    <w:basedOn w:val="Normalny"/>
    <w:qFormat/>
    <w:rsid w:val="00D51489"/>
    <w:pPr>
      <w:ind w:left="708"/>
    </w:pPr>
    <w:rPr>
      <w:b/>
      <w:bCs/>
      <w:color w:val="C00000"/>
      <w:lang w:val="en-US"/>
    </w:rPr>
  </w:style>
  <w:style w:type="paragraph" w:styleId="Nagwek">
    <w:name w:val="header"/>
    <w:basedOn w:val="Normalny"/>
    <w:link w:val="NagwekZnak"/>
    <w:uiPriority w:val="99"/>
    <w:unhideWhenUsed/>
    <w:rsid w:val="00F4579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45799"/>
    <w:rPr>
      <w:rFonts w:ascii="Arial" w:hAnsi="Arial" w:cs="Arial"/>
      <w:color w:val="000000" w:themeColor="text1"/>
      <w:sz w:val="24"/>
      <w:szCs w:val="24"/>
    </w:rPr>
  </w:style>
  <w:style w:type="paragraph" w:styleId="Stopka">
    <w:name w:val="footer"/>
    <w:basedOn w:val="Normalny"/>
    <w:link w:val="StopkaZnak"/>
    <w:uiPriority w:val="99"/>
    <w:unhideWhenUsed/>
    <w:rsid w:val="00F4579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45799"/>
    <w:rPr>
      <w:rFonts w:ascii="Arial" w:hAnsi="Arial" w:cs="Arial"/>
      <w:color w:val="000000" w:themeColor="text1"/>
      <w:sz w:val="24"/>
      <w:szCs w:val="24"/>
    </w:rPr>
  </w:style>
  <w:style w:type="paragraph" w:customStyle="1" w:styleId="Dobrapraktyka">
    <w:name w:val="Dobra praktyka"/>
    <w:basedOn w:val="Normalny"/>
    <w:link w:val="DobrapraktykaZnak"/>
    <w:qFormat/>
    <w:rsid w:val="0029414C"/>
    <w:pPr>
      <w:pBdr>
        <w:top w:val="single" w:sz="4" w:space="4" w:color="B3E5A1" w:themeColor="accent6" w:themeTint="66"/>
        <w:left w:val="single" w:sz="4" w:space="4" w:color="B3E5A1" w:themeColor="accent6" w:themeTint="66"/>
        <w:bottom w:val="single" w:sz="4" w:space="4" w:color="B3E5A1" w:themeColor="accent6" w:themeTint="66"/>
        <w:right w:val="single" w:sz="4" w:space="4" w:color="B3E5A1" w:themeColor="accent6" w:themeTint="66"/>
      </w:pBdr>
      <w:shd w:val="clear" w:color="auto" w:fill="B3E5A1" w:themeFill="accent6" w:themeFillTint="66"/>
    </w:pPr>
    <w:rPr>
      <w:rFonts w:eastAsia="Aptos" w:cs="Aptos"/>
      <w:b/>
      <w:color w:val="auto"/>
      <w:kern w:val="0"/>
      <w:szCs w:val="22"/>
      <w:lang w:eastAsia="pl-PL"/>
      <w14:ligatures w14:val="none"/>
    </w:rPr>
  </w:style>
  <w:style w:type="character" w:customStyle="1" w:styleId="DobrapraktykaZnak">
    <w:name w:val="Dobra praktyka Znak"/>
    <w:basedOn w:val="Domylnaczcionkaakapitu"/>
    <w:link w:val="Dobrapraktyka"/>
    <w:rsid w:val="0029414C"/>
    <w:rPr>
      <w:rFonts w:ascii="Arial" w:eastAsia="Aptos" w:hAnsi="Arial" w:cs="Aptos"/>
      <w:b/>
      <w:kern w:val="0"/>
      <w:sz w:val="24"/>
      <w:shd w:val="clear" w:color="auto" w:fill="B3E5A1" w:themeFill="accent6" w:themeFillTint="66"/>
      <w:lang w:eastAsia="pl-PL"/>
      <w14:ligatures w14:val="none"/>
    </w:rPr>
  </w:style>
  <w:style w:type="paragraph" w:customStyle="1" w:styleId="Wane">
    <w:name w:val="Ważne"/>
    <w:basedOn w:val="Dobrapraktyka"/>
    <w:link w:val="WaneZnak"/>
    <w:qFormat/>
    <w:rsid w:val="0029414C"/>
    <w:pPr>
      <w:pBdr>
        <w:top w:val="single" w:sz="18" w:space="4" w:color="501549" w:themeColor="accent5" w:themeShade="80"/>
        <w:left w:val="single" w:sz="18" w:space="4" w:color="501549" w:themeColor="accent5" w:themeShade="80"/>
        <w:bottom w:val="single" w:sz="18" w:space="4" w:color="501549" w:themeColor="accent5" w:themeShade="80"/>
        <w:right w:val="single" w:sz="18" w:space="4" w:color="501549" w:themeColor="accent5" w:themeShade="80"/>
      </w:pBdr>
      <w:shd w:val="clear" w:color="auto" w:fill="F2CEED" w:themeFill="accent5" w:themeFillTint="33"/>
    </w:pPr>
  </w:style>
  <w:style w:type="character" w:customStyle="1" w:styleId="WaneZnak">
    <w:name w:val="Ważne Znak"/>
    <w:basedOn w:val="DobrapraktykaZnak"/>
    <w:link w:val="Wane"/>
    <w:rsid w:val="0029414C"/>
    <w:rPr>
      <w:rFonts w:ascii="Arial" w:eastAsia="Aptos" w:hAnsi="Arial" w:cs="Aptos"/>
      <w:b/>
      <w:kern w:val="0"/>
      <w:sz w:val="24"/>
      <w:shd w:val="clear" w:color="auto" w:fill="F2CEED" w:themeFill="accent5" w:themeFillTint="33"/>
      <w:lang w:eastAsia="pl-PL"/>
      <w14:ligatures w14:val="none"/>
    </w:rPr>
  </w:style>
  <w:style w:type="paragraph" w:styleId="Spistreci1">
    <w:name w:val="toc 1"/>
    <w:basedOn w:val="Normalny"/>
    <w:next w:val="Normalny"/>
    <w:autoRedefine/>
    <w:uiPriority w:val="39"/>
    <w:unhideWhenUsed/>
    <w:rsid w:val="00DD6494"/>
    <w:pPr>
      <w:tabs>
        <w:tab w:val="left" w:pos="480"/>
        <w:tab w:val="right" w:leader="dot" w:pos="9062"/>
      </w:tabs>
      <w:spacing w:line="240" w:lineRule="auto"/>
    </w:pPr>
    <w:rPr>
      <w:b/>
      <w:bCs/>
      <w:noProof/>
    </w:rPr>
  </w:style>
  <w:style w:type="paragraph" w:styleId="Spistreci2">
    <w:name w:val="toc 2"/>
    <w:basedOn w:val="Normalny"/>
    <w:next w:val="Normalny"/>
    <w:autoRedefine/>
    <w:uiPriority w:val="39"/>
    <w:unhideWhenUsed/>
    <w:rsid w:val="008971EE"/>
    <w:pPr>
      <w:tabs>
        <w:tab w:val="right" w:leader="dot" w:pos="9062"/>
      </w:tabs>
      <w:spacing w:before="0" w:after="0"/>
      <w:ind w:left="240"/>
    </w:pPr>
  </w:style>
  <w:style w:type="paragraph" w:styleId="Spistreci3">
    <w:name w:val="toc 3"/>
    <w:basedOn w:val="Normalny"/>
    <w:next w:val="Normalny"/>
    <w:autoRedefine/>
    <w:uiPriority w:val="39"/>
    <w:unhideWhenUsed/>
    <w:rsid w:val="004C64C7"/>
    <w:pPr>
      <w:tabs>
        <w:tab w:val="left" w:pos="851"/>
        <w:tab w:val="right" w:leader="dot" w:pos="9062"/>
      </w:tabs>
      <w:spacing w:before="0" w:after="0"/>
      <w:ind w:left="480"/>
    </w:pPr>
  </w:style>
  <w:style w:type="character" w:styleId="Hipercze">
    <w:name w:val="Hyperlink"/>
    <w:basedOn w:val="Domylnaczcionkaakapitu"/>
    <w:uiPriority w:val="99"/>
    <w:unhideWhenUsed/>
    <w:rsid w:val="006270DB"/>
    <w:rPr>
      <w:color w:val="467886" w:themeColor="hyperlink"/>
      <w:u w:val="single"/>
    </w:rPr>
  </w:style>
  <w:style w:type="paragraph" w:customStyle="1" w:styleId="Dokumenty">
    <w:name w:val="Dokumenty"/>
    <w:basedOn w:val="Normalny"/>
    <w:link w:val="DokumentyZnak"/>
    <w:qFormat/>
    <w:rsid w:val="006270DB"/>
    <w:pPr>
      <w:pBdr>
        <w:top w:val="single" w:sz="4" w:space="4" w:color="FAE2D5" w:themeColor="accent2" w:themeTint="33"/>
        <w:left w:val="single" w:sz="4" w:space="4" w:color="FAE2D5" w:themeColor="accent2" w:themeTint="33"/>
        <w:bottom w:val="single" w:sz="4" w:space="4" w:color="FAE2D5" w:themeColor="accent2" w:themeTint="33"/>
        <w:right w:val="single" w:sz="4" w:space="4" w:color="FAE2D5" w:themeColor="accent2" w:themeTint="33"/>
      </w:pBdr>
      <w:shd w:val="clear" w:color="auto" w:fill="FAE2D5" w:themeFill="accent2" w:themeFillTint="33"/>
      <w:ind w:left="426"/>
    </w:pPr>
    <w:rPr>
      <w:rFonts w:eastAsia="Aptos" w:cs="Aptos"/>
      <w:b/>
      <w:bCs/>
      <w:color w:val="auto"/>
      <w:kern w:val="0"/>
      <w:szCs w:val="22"/>
      <w:lang w:eastAsia="pl-PL"/>
      <w14:ligatures w14:val="none"/>
    </w:rPr>
  </w:style>
  <w:style w:type="character" w:customStyle="1" w:styleId="DokumentyZnak">
    <w:name w:val="Dokumenty Znak"/>
    <w:basedOn w:val="Domylnaczcionkaakapitu"/>
    <w:link w:val="Dokumenty"/>
    <w:rsid w:val="006270DB"/>
    <w:rPr>
      <w:rFonts w:ascii="Arial" w:eastAsia="Aptos" w:hAnsi="Arial" w:cs="Aptos"/>
      <w:b/>
      <w:bCs/>
      <w:kern w:val="0"/>
      <w:sz w:val="24"/>
      <w:shd w:val="clear" w:color="auto" w:fill="FAE2D5" w:themeFill="accent2" w:themeFillTint="33"/>
      <w:lang w:eastAsia="pl-PL"/>
      <w14:ligatures w14:val="none"/>
    </w:rPr>
  </w:style>
  <w:style w:type="paragraph" w:customStyle="1" w:styleId="Dodatkowedokumenty">
    <w:name w:val="Dodatkowe dokumenty"/>
    <w:basedOn w:val="Dobrapraktyka"/>
    <w:link w:val="DodatkowedokumentyZnak"/>
    <w:qFormat/>
    <w:rsid w:val="006270DB"/>
    <w:pPr>
      <w:pBdr>
        <w:top w:val="single" w:sz="4" w:space="4" w:color="F1A983" w:themeColor="accent2" w:themeTint="99"/>
        <w:left w:val="single" w:sz="4" w:space="4" w:color="F1A983" w:themeColor="accent2" w:themeTint="99"/>
        <w:bottom w:val="single" w:sz="4" w:space="4" w:color="F1A983" w:themeColor="accent2" w:themeTint="99"/>
        <w:right w:val="single" w:sz="4" w:space="4" w:color="F1A983" w:themeColor="accent2" w:themeTint="99"/>
      </w:pBdr>
      <w:shd w:val="clear" w:color="auto" w:fill="F1A983" w:themeFill="accent2" w:themeFillTint="99"/>
    </w:pPr>
  </w:style>
  <w:style w:type="character" w:customStyle="1" w:styleId="DodatkowedokumentyZnak">
    <w:name w:val="Dodatkowe dokumenty Znak"/>
    <w:basedOn w:val="DobrapraktykaZnak"/>
    <w:link w:val="Dodatkowedokumenty"/>
    <w:rsid w:val="006270DB"/>
    <w:rPr>
      <w:rFonts w:ascii="Arial" w:eastAsia="Aptos" w:hAnsi="Arial" w:cs="Aptos"/>
      <w:b/>
      <w:kern w:val="0"/>
      <w:sz w:val="24"/>
      <w:shd w:val="clear" w:color="auto" w:fill="F1A983" w:themeFill="accent2" w:themeFillTint="99"/>
      <w:lang w:eastAsia="pl-PL"/>
      <w14:ligatures w14:val="none"/>
    </w:rPr>
  </w:style>
  <w:style w:type="paragraph" w:styleId="Tekstprzypisudolnego">
    <w:name w:val="footnote text"/>
    <w:basedOn w:val="Normalny"/>
    <w:link w:val="TekstprzypisudolnegoZnak"/>
    <w:uiPriority w:val="99"/>
    <w:unhideWhenUsed/>
    <w:rsid w:val="00CA2A2C"/>
    <w:pPr>
      <w:spacing w:after="0" w:line="240" w:lineRule="auto"/>
    </w:pPr>
    <w:rPr>
      <w:rFonts w:eastAsia="Aptos" w:cs="Aptos"/>
      <w:color w:val="auto"/>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CA2A2C"/>
    <w:rPr>
      <w:rFonts w:ascii="Arial" w:eastAsia="Aptos" w:hAnsi="Arial" w:cs="Aptos"/>
      <w:kern w:val="0"/>
      <w:sz w:val="20"/>
      <w:szCs w:val="20"/>
      <w:lang w:eastAsia="pl-PL"/>
      <w14:ligatures w14:val="none"/>
    </w:rPr>
  </w:style>
  <w:style w:type="character" w:styleId="Odwoanieprzypisudolnego">
    <w:name w:val="footnote reference"/>
    <w:basedOn w:val="Domylnaczcionkaakapitu"/>
    <w:uiPriority w:val="99"/>
    <w:semiHidden/>
    <w:unhideWhenUsed/>
    <w:qFormat/>
    <w:rsid w:val="00CA2A2C"/>
    <w:rPr>
      <w:vertAlign w:val="superscript"/>
    </w:rPr>
  </w:style>
  <w:style w:type="character" w:styleId="Nierozpoznanawzmianka">
    <w:name w:val="Unresolved Mention"/>
    <w:basedOn w:val="Domylnaczcionkaakapitu"/>
    <w:uiPriority w:val="99"/>
    <w:semiHidden/>
    <w:unhideWhenUsed/>
    <w:rsid w:val="00ED19E2"/>
    <w:rPr>
      <w:color w:val="605E5C"/>
      <w:shd w:val="clear" w:color="auto" w:fill="E1DFDD"/>
    </w:rPr>
  </w:style>
  <w:style w:type="paragraph" w:customStyle="1" w:styleId="Podpisyobrazki">
    <w:name w:val="Podpisy obrazki"/>
    <w:basedOn w:val="Legenda"/>
    <w:link w:val="PodpisyobrazkiZnak"/>
    <w:qFormat/>
    <w:rsid w:val="00B834BF"/>
    <w:rPr>
      <w:rFonts w:eastAsia="Aptos" w:cs="Aptos"/>
      <w:i w:val="0"/>
      <w:iCs w:val="0"/>
      <w:kern w:val="0"/>
      <w:sz w:val="22"/>
      <w:szCs w:val="22"/>
      <w:lang w:eastAsia="pl-PL"/>
      <w14:ligatures w14:val="none"/>
    </w:rPr>
  </w:style>
  <w:style w:type="character" w:customStyle="1" w:styleId="PodpisyobrazkiZnak">
    <w:name w:val="Podpisy obrazki Znak"/>
    <w:basedOn w:val="Domylnaczcionkaakapitu"/>
    <w:link w:val="Podpisyobrazki"/>
    <w:rsid w:val="00B834BF"/>
    <w:rPr>
      <w:rFonts w:ascii="Arial" w:eastAsia="Aptos" w:hAnsi="Arial" w:cs="Aptos"/>
      <w:color w:val="0E2841" w:themeColor="text2"/>
      <w:kern w:val="0"/>
      <w:lang w:eastAsia="pl-PL"/>
      <w14:ligatures w14:val="none"/>
    </w:rPr>
  </w:style>
  <w:style w:type="paragraph" w:styleId="Legenda">
    <w:name w:val="caption"/>
    <w:basedOn w:val="Normalny"/>
    <w:next w:val="Normalny"/>
    <w:uiPriority w:val="35"/>
    <w:semiHidden/>
    <w:unhideWhenUsed/>
    <w:qFormat/>
    <w:rsid w:val="00B834BF"/>
    <w:pPr>
      <w:spacing w:before="0" w:after="200" w:line="240" w:lineRule="auto"/>
    </w:pPr>
    <w:rPr>
      <w:i/>
      <w:iCs/>
      <w:color w:val="0E2841" w:themeColor="text2"/>
      <w:sz w:val="18"/>
      <w:szCs w:val="18"/>
    </w:rPr>
  </w:style>
  <w:style w:type="paragraph" w:customStyle="1" w:styleId="punktowanie">
    <w:name w:val="punktowanie"/>
    <w:basedOn w:val="Akapitzlist"/>
    <w:link w:val="punktowanieZnak"/>
    <w:qFormat/>
    <w:rsid w:val="00B834BF"/>
    <w:pPr>
      <w:numPr>
        <w:numId w:val="36"/>
      </w:numPr>
      <w:spacing w:before="0" w:after="0"/>
      <w:ind w:left="284" w:hanging="284"/>
    </w:pPr>
    <w:rPr>
      <w:rFonts w:asciiTheme="minorHAnsi" w:eastAsia="Times New Roman" w:hAnsiTheme="minorHAnsi" w:cs="Times New Roman"/>
      <w:color w:val="auto"/>
      <w:kern w:val="0"/>
      <w:lang w:eastAsia="pl-PL"/>
      <w14:ligatures w14:val="none"/>
    </w:rPr>
  </w:style>
  <w:style w:type="character" w:customStyle="1" w:styleId="punktowanieZnak">
    <w:name w:val="punktowanie Znak"/>
    <w:basedOn w:val="Domylnaczcionkaakapitu"/>
    <w:link w:val="punktowanie"/>
    <w:rsid w:val="00B834BF"/>
    <w:rPr>
      <w:rFonts w:eastAsia="Times New Roman" w:cs="Times New Roman"/>
      <w:kern w:val="0"/>
      <w:sz w:val="24"/>
      <w:szCs w:val="24"/>
      <w:lang w:eastAsia="pl-PL"/>
      <w14:ligatures w14:val="none"/>
    </w:rPr>
  </w:style>
  <w:style w:type="paragraph" w:styleId="Spistreci4">
    <w:name w:val="toc 4"/>
    <w:basedOn w:val="Normalny"/>
    <w:next w:val="Normalny"/>
    <w:autoRedefine/>
    <w:uiPriority w:val="39"/>
    <w:unhideWhenUsed/>
    <w:rsid w:val="00C5519D"/>
    <w:pPr>
      <w:tabs>
        <w:tab w:val="left" w:pos="1276"/>
        <w:tab w:val="right" w:leader="dot" w:pos="9062"/>
      </w:tabs>
      <w:spacing w:before="0" w:after="0"/>
      <w:ind w:left="720"/>
    </w:pPr>
  </w:style>
  <w:style w:type="character" w:styleId="UyteHipercze">
    <w:name w:val="FollowedHyperlink"/>
    <w:basedOn w:val="Domylnaczcionkaakapitu"/>
    <w:uiPriority w:val="99"/>
    <w:semiHidden/>
    <w:unhideWhenUsed/>
    <w:rsid w:val="00B300B2"/>
    <w:rPr>
      <w:color w:val="96607D" w:themeColor="followedHyperlink"/>
      <w:u w:val="single"/>
    </w:rPr>
  </w:style>
  <w:style w:type="paragraph" w:customStyle="1" w:styleId="akapitzlistdobrychypraktyk">
    <w:name w:val="akapit z listą dobrychy praktyk"/>
    <w:basedOn w:val="Dobrapraktyka"/>
    <w:link w:val="akapitzlistdobrychypraktykZnak"/>
    <w:qFormat/>
    <w:rsid w:val="00B26202"/>
    <w:pPr>
      <w:numPr>
        <w:numId w:val="42"/>
      </w:numPr>
      <w:spacing w:before="0" w:after="0"/>
      <w:ind w:left="284" w:hanging="284"/>
    </w:pPr>
    <w:rPr>
      <w:b w:val="0"/>
      <w:bCs/>
    </w:rPr>
  </w:style>
  <w:style w:type="character" w:customStyle="1" w:styleId="akapitzlistdobrychypraktykZnak">
    <w:name w:val="akapit z listą dobrychy praktyk Znak"/>
    <w:basedOn w:val="DobrapraktykaZnak"/>
    <w:link w:val="akapitzlistdobrychypraktyk"/>
    <w:rsid w:val="00B26202"/>
    <w:rPr>
      <w:rFonts w:ascii="Arial" w:eastAsia="Aptos" w:hAnsi="Arial" w:cs="Aptos"/>
      <w:b w:val="0"/>
      <w:bCs/>
      <w:kern w:val="0"/>
      <w:sz w:val="24"/>
      <w:shd w:val="clear" w:color="auto" w:fill="B3E5A1" w:themeFill="accent6" w:themeFillTint="66"/>
      <w:lang w:eastAsia="pl-PL"/>
      <w14:ligatures w14:val="none"/>
    </w:rPr>
  </w:style>
  <w:style w:type="paragraph" w:styleId="Spistreci5">
    <w:name w:val="toc 5"/>
    <w:basedOn w:val="Normalny"/>
    <w:next w:val="Normalny"/>
    <w:autoRedefine/>
    <w:uiPriority w:val="39"/>
    <w:unhideWhenUsed/>
    <w:rsid w:val="00C5519D"/>
    <w:pPr>
      <w:tabs>
        <w:tab w:val="right" w:leader="dot" w:pos="9062"/>
      </w:tabs>
      <w:spacing w:before="0" w:after="0"/>
      <w:ind w:left="960"/>
    </w:pPr>
  </w:style>
  <w:style w:type="paragraph" w:styleId="Spistreci6">
    <w:name w:val="toc 6"/>
    <w:basedOn w:val="Normalny"/>
    <w:next w:val="Normalny"/>
    <w:autoRedefine/>
    <w:uiPriority w:val="39"/>
    <w:unhideWhenUsed/>
    <w:rsid w:val="008971EE"/>
    <w:pPr>
      <w:spacing w:before="0" w:after="100" w:line="278" w:lineRule="auto"/>
      <w:ind w:left="1200"/>
    </w:pPr>
    <w:rPr>
      <w:rFonts w:asciiTheme="minorHAnsi" w:eastAsiaTheme="minorEastAsia" w:hAnsiTheme="minorHAnsi" w:cstheme="minorBidi"/>
      <w:color w:val="auto"/>
      <w:lang w:eastAsia="pl-PL"/>
    </w:rPr>
  </w:style>
  <w:style w:type="paragraph" w:styleId="Spistreci7">
    <w:name w:val="toc 7"/>
    <w:basedOn w:val="Normalny"/>
    <w:next w:val="Normalny"/>
    <w:autoRedefine/>
    <w:uiPriority w:val="39"/>
    <w:unhideWhenUsed/>
    <w:rsid w:val="008971EE"/>
    <w:pPr>
      <w:spacing w:before="0" w:after="100" w:line="278" w:lineRule="auto"/>
      <w:ind w:left="1440"/>
    </w:pPr>
    <w:rPr>
      <w:rFonts w:asciiTheme="minorHAnsi" w:eastAsiaTheme="minorEastAsia" w:hAnsiTheme="minorHAnsi" w:cstheme="minorBidi"/>
      <w:color w:val="auto"/>
      <w:lang w:eastAsia="pl-PL"/>
    </w:rPr>
  </w:style>
  <w:style w:type="paragraph" w:styleId="Spistreci8">
    <w:name w:val="toc 8"/>
    <w:basedOn w:val="Normalny"/>
    <w:next w:val="Normalny"/>
    <w:autoRedefine/>
    <w:uiPriority w:val="39"/>
    <w:unhideWhenUsed/>
    <w:rsid w:val="008971EE"/>
    <w:pPr>
      <w:spacing w:before="0" w:after="100" w:line="278" w:lineRule="auto"/>
      <w:ind w:left="1680"/>
    </w:pPr>
    <w:rPr>
      <w:rFonts w:asciiTheme="minorHAnsi" w:eastAsiaTheme="minorEastAsia" w:hAnsiTheme="minorHAnsi" w:cstheme="minorBidi"/>
      <w:color w:val="auto"/>
      <w:lang w:eastAsia="pl-PL"/>
    </w:rPr>
  </w:style>
  <w:style w:type="paragraph" w:styleId="Spistreci9">
    <w:name w:val="toc 9"/>
    <w:basedOn w:val="Normalny"/>
    <w:next w:val="Normalny"/>
    <w:autoRedefine/>
    <w:uiPriority w:val="39"/>
    <w:unhideWhenUsed/>
    <w:rsid w:val="008971EE"/>
    <w:pPr>
      <w:spacing w:before="0" w:after="100" w:line="278" w:lineRule="auto"/>
      <w:ind w:left="1920"/>
    </w:pPr>
    <w:rPr>
      <w:rFonts w:asciiTheme="minorHAnsi" w:eastAsiaTheme="minorEastAsia" w:hAnsiTheme="minorHAnsi" w:cstheme="minorBidi"/>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3676">
      <w:bodyDiv w:val="1"/>
      <w:marLeft w:val="0"/>
      <w:marRight w:val="0"/>
      <w:marTop w:val="0"/>
      <w:marBottom w:val="0"/>
      <w:divBdr>
        <w:top w:val="none" w:sz="0" w:space="0" w:color="auto"/>
        <w:left w:val="none" w:sz="0" w:space="0" w:color="auto"/>
        <w:bottom w:val="none" w:sz="0" w:space="0" w:color="auto"/>
        <w:right w:val="none" w:sz="0" w:space="0" w:color="auto"/>
      </w:divBdr>
    </w:div>
    <w:div w:id="215167785">
      <w:bodyDiv w:val="1"/>
      <w:marLeft w:val="0"/>
      <w:marRight w:val="0"/>
      <w:marTop w:val="0"/>
      <w:marBottom w:val="0"/>
      <w:divBdr>
        <w:top w:val="none" w:sz="0" w:space="0" w:color="auto"/>
        <w:left w:val="none" w:sz="0" w:space="0" w:color="auto"/>
        <w:bottom w:val="none" w:sz="0" w:space="0" w:color="auto"/>
        <w:right w:val="none" w:sz="0" w:space="0" w:color="auto"/>
      </w:divBdr>
    </w:div>
    <w:div w:id="247468118">
      <w:bodyDiv w:val="1"/>
      <w:marLeft w:val="0"/>
      <w:marRight w:val="0"/>
      <w:marTop w:val="0"/>
      <w:marBottom w:val="0"/>
      <w:divBdr>
        <w:top w:val="none" w:sz="0" w:space="0" w:color="auto"/>
        <w:left w:val="none" w:sz="0" w:space="0" w:color="auto"/>
        <w:bottom w:val="none" w:sz="0" w:space="0" w:color="auto"/>
        <w:right w:val="none" w:sz="0" w:space="0" w:color="auto"/>
      </w:divBdr>
    </w:div>
    <w:div w:id="275987677">
      <w:bodyDiv w:val="1"/>
      <w:marLeft w:val="0"/>
      <w:marRight w:val="0"/>
      <w:marTop w:val="0"/>
      <w:marBottom w:val="0"/>
      <w:divBdr>
        <w:top w:val="none" w:sz="0" w:space="0" w:color="auto"/>
        <w:left w:val="none" w:sz="0" w:space="0" w:color="auto"/>
        <w:bottom w:val="none" w:sz="0" w:space="0" w:color="auto"/>
        <w:right w:val="none" w:sz="0" w:space="0" w:color="auto"/>
      </w:divBdr>
    </w:div>
    <w:div w:id="321275286">
      <w:bodyDiv w:val="1"/>
      <w:marLeft w:val="0"/>
      <w:marRight w:val="0"/>
      <w:marTop w:val="0"/>
      <w:marBottom w:val="0"/>
      <w:divBdr>
        <w:top w:val="none" w:sz="0" w:space="0" w:color="auto"/>
        <w:left w:val="none" w:sz="0" w:space="0" w:color="auto"/>
        <w:bottom w:val="none" w:sz="0" w:space="0" w:color="auto"/>
        <w:right w:val="none" w:sz="0" w:space="0" w:color="auto"/>
      </w:divBdr>
    </w:div>
    <w:div w:id="327557133">
      <w:bodyDiv w:val="1"/>
      <w:marLeft w:val="0"/>
      <w:marRight w:val="0"/>
      <w:marTop w:val="0"/>
      <w:marBottom w:val="0"/>
      <w:divBdr>
        <w:top w:val="none" w:sz="0" w:space="0" w:color="auto"/>
        <w:left w:val="none" w:sz="0" w:space="0" w:color="auto"/>
        <w:bottom w:val="none" w:sz="0" w:space="0" w:color="auto"/>
        <w:right w:val="none" w:sz="0" w:space="0" w:color="auto"/>
      </w:divBdr>
    </w:div>
    <w:div w:id="343287935">
      <w:bodyDiv w:val="1"/>
      <w:marLeft w:val="0"/>
      <w:marRight w:val="0"/>
      <w:marTop w:val="0"/>
      <w:marBottom w:val="0"/>
      <w:divBdr>
        <w:top w:val="none" w:sz="0" w:space="0" w:color="auto"/>
        <w:left w:val="none" w:sz="0" w:space="0" w:color="auto"/>
        <w:bottom w:val="none" w:sz="0" w:space="0" w:color="auto"/>
        <w:right w:val="none" w:sz="0" w:space="0" w:color="auto"/>
      </w:divBdr>
    </w:div>
    <w:div w:id="390887159">
      <w:bodyDiv w:val="1"/>
      <w:marLeft w:val="0"/>
      <w:marRight w:val="0"/>
      <w:marTop w:val="0"/>
      <w:marBottom w:val="0"/>
      <w:divBdr>
        <w:top w:val="none" w:sz="0" w:space="0" w:color="auto"/>
        <w:left w:val="none" w:sz="0" w:space="0" w:color="auto"/>
        <w:bottom w:val="none" w:sz="0" w:space="0" w:color="auto"/>
        <w:right w:val="none" w:sz="0" w:space="0" w:color="auto"/>
      </w:divBdr>
    </w:div>
    <w:div w:id="684677818">
      <w:bodyDiv w:val="1"/>
      <w:marLeft w:val="0"/>
      <w:marRight w:val="0"/>
      <w:marTop w:val="0"/>
      <w:marBottom w:val="0"/>
      <w:divBdr>
        <w:top w:val="none" w:sz="0" w:space="0" w:color="auto"/>
        <w:left w:val="none" w:sz="0" w:space="0" w:color="auto"/>
        <w:bottom w:val="none" w:sz="0" w:space="0" w:color="auto"/>
        <w:right w:val="none" w:sz="0" w:space="0" w:color="auto"/>
      </w:divBdr>
    </w:div>
    <w:div w:id="693307769">
      <w:bodyDiv w:val="1"/>
      <w:marLeft w:val="0"/>
      <w:marRight w:val="0"/>
      <w:marTop w:val="0"/>
      <w:marBottom w:val="0"/>
      <w:divBdr>
        <w:top w:val="none" w:sz="0" w:space="0" w:color="auto"/>
        <w:left w:val="none" w:sz="0" w:space="0" w:color="auto"/>
        <w:bottom w:val="none" w:sz="0" w:space="0" w:color="auto"/>
        <w:right w:val="none" w:sz="0" w:space="0" w:color="auto"/>
      </w:divBdr>
    </w:div>
    <w:div w:id="833496382">
      <w:bodyDiv w:val="1"/>
      <w:marLeft w:val="0"/>
      <w:marRight w:val="0"/>
      <w:marTop w:val="0"/>
      <w:marBottom w:val="0"/>
      <w:divBdr>
        <w:top w:val="none" w:sz="0" w:space="0" w:color="auto"/>
        <w:left w:val="none" w:sz="0" w:space="0" w:color="auto"/>
        <w:bottom w:val="none" w:sz="0" w:space="0" w:color="auto"/>
        <w:right w:val="none" w:sz="0" w:space="0" w:color="auto"/>
      </w:divBdr>
    </w:div>
    <w:div w:id="919219803">
      <w:bodyDiv w:val="1"/>
      <w:marLeft w:val="0"/>
      <w:marRight w:val="0"/>
      <w:marTop w:val="0"/>
      <w:marBottom w:val="0"/>
      <w:divBdr>
        <w:top w:val="none" w:sz="0" w:space="0" w:color="auto"/>
        <w:left w:val="none" w:sz="0" w:space="0" w:color="auto"/>
        <w:bottom w:val="none" w:sz="0" w:space="0" w:color="auto"/>
        <w:right w:val="none" w:sz="0" w:space="0" w:color="auto"/>
      </w:divBdr>
    </w:div>
    <w:div w:id="965889081">
      <w:bodyDiv w:val="1"/>
      <w:marLeft w:val="0"/>
      <w:marRight w:val="0"/>
      <w:marTop w:val="0"/>
      <w:marBottom w:val="0"/>
      <w:divBdr>
        <w:top w:val="none" w:sz="0" w:space="0" w:color="auto"/>
        <w:left w:val="none" w:sz="0" w:space="0" w:color="auto"/>
        <w:bottom w:val="none" w:sz="0" w:space="0" w:color="auto"/>
        <w:right w:val="none" w:sz="0" w:space="0" w:color="auto"/>
      </w:divBdr>
    </w:div>
    <w:div w:id="1140343260">
      <w:bodyDiv w:val="1"/>
      <w:marLeft w:val="0"/>
      <w:marRight w:val="0"/>
      <w:marTop w:val="0"/>
      <w:marBottom w:val="0"/>
      <w:divBdr>
        <w:top w:val="none" w:sz="0" w:space="0" w:color="auto"/>
        <w:left w:val="none" w:sz="0" w:space="0" w:color="auto"/>
        <w:bottom w:val="none" w:sz="0" w:space="0" w:color="auto"/>
        <w:right w:val="none" w:sz="0" w:space="0" w:color="auto"/>
      </w:divBdr>
    </w:div>
    <w:div w:id="1197304947">
      <w:bodyDiv w:val="1"/>
      <w:marLeft w:val="0"/>
      <w:marRight w:val="0"/>
      <w:marTop w:val="0"/>
      <w:marBottom w:val="0"/>
      <w:divBdr>
        <w:top w:val="none" w:sz="0" w:space="0" w:color="auto"/>
        <w:left w:val="none" w:sz="0" w:space="0" w:color="auto"/>
        <w:bottom w:val="none" w:sz="0" w:space="0" w:color="auto"/>
        <w:right w:val="none" w:sz="0" w:space="0" w:color="auto"/>
      </w:divBdr>
    </w:div>
    <w:div w:id="1197962551">
      <w:bodyDiv w:val="1"/>
      <w:marLeft w:val="0"/>
      <w:marRight w:val="0"/>
      <w:marTop w:val="0"/>
      <w:marBottom w:val="0"/>
      <w:divBdr>
        <w:top w:val="none" w:sz="0" w:space="0" w:color="auto"/>
        <w:left w:val="none" w:sz="0" w:space="0" w:color="auto"/>
        <w:bottom w:val="none" w:sz="0" w:space="0" w:color="auto"/>
        <w:right w:val="none" w:sz="0" w:space="0" w:color="auto"/>
      </w:divBdr>
    </w:div>
    <w:div w:id="1243445232">
      <w:bodyDiv w:val="1"/>
      <w:marLeft w:val="0"/>
      <w:marRight w:val="0"/>
      <w:marTop w:val="0"/>
      <w:marBottom w:val="0"/>
      <w:divBdr>
        <w:top w:val="none" w:sz="0" w:space="0" w:color="auto"/>
        <w:left w:val="none" w:sz="0" w:space="0" w:color="auto"/>
        <w:bottom w:val="none" w:sz="0" w:space="0" w:color="auto"/>
        <w:right w:val="none" w:sz="0" w:space="0" w:color="auto"/>
      </w:divBdr>
    </w:div>
    <w:div w:id="1271664739">
      <w:bodyDiv w:val="1"/>
      <w:marLeft w:val="0"/>
      <w:marRight w:val="0"/>
      <w:marTop w:val="0"/>
      <w:marBottom w:val="0"/>
      <w:divBdr>
        <w:top w:val="none" w:sz="0" w:space="0" w:color="auto"/>
        <w:left w:val="none" w:sz="0" w:space="0" w:color="auto"/>
        <w:bottom w:val="none" w:sz="0" w:space="0" w:color="auto"/>
        <w:right w:val="none" w:sz="0" w:space="0" w:color="auto"/>
      </w:divBdr>
    </w:div>
    <w:div w:id="1473405368">
      <w:bodyDiv w:val="1"/>
      <w:marLeft w:val="0"/>
      <w:marRight w:val="0"/>
      <w:marTop w:val="0"/>
      <w:marBottom w:val="0"/>
      <w:divBdr>
        <w:top w:val="none" w:sz="0" w:space="0" w:color="auto"/>
        <w:left w:val="none" w:sz="0" w:space="0" w:color="auto"/>
        <w:bottom w:val="none" w:sz="0" w:space="0" w:color="auto"/>
        <w:right w:val="none" w:sz="0" w:space="0" w:color="auto"/>
      </w:divBdr>
    </w:div>
    <w:div w:id="1610506591">
      <w:bodyDiv w:val="1"/>
      <w:marLeft w:val="0"/>
      <w:marRight w:val="0"/>
      <w:marTop w:val="0"/>
      <w:marBottom w:val="0"/>
      <w:divBdr>
        <w:top w:val="none" w:sz="0" w:space="0" w:color="auto"/>
        <w:left w:val="none" w:sz="0" w:space="0" w:color="auto"/>
        <w:bottom w:val="none" w:sz="0" w:space="0" w:color="auto"/>
        <w:right w:val="none" w:sz="0" w:space="0" w:color="auto"/>
      </w:divBdr>
      <w:divsChild>
        <w:div w:id="854923392">
          <w:marLeft w:val="0"/>
          <w:marRight w:val="0"/>
          <w:marTop w:val="0"/>
          <w:marBottom w:val="0"/>
          <w:divBdr>
            <w:top w:val="none" w:sz="0" w:space="0" w:color="auto"/>
            <w:left w:val="none" w:sz="0" w:space="0" w:color="auto"/>
            <w:bottom w:val="none" w:sz="0" w:space="0" w:color="auto"/>
            <w:right w:val="none" w:sz="0" w:space="0" w:color="auto"/>
          </w:divBdr>
          <w:divsChild>
            <w:div w:id="1288044782">
              <w:marLeft w:val="0"/>
              <w:marRight w:val="0"/>
              <w:marTop w:val="0"/>
              <w:marBottom w:val="0"/>
              <w:divBdr>
                <w:top w:val="none" w:sz="0" w:space="0" w:color="auto"/>
                <w:left w:val="none" w:sz="0" w:space="0" w:color="auto"/>
                <w:bottom w:val="none" w:sz="0" w:space="0" w:color="auto"/>
                <w:right w:val="none" w:sz="0" w:space="0" w:color="auto"/>
              </w:divBdr>
              <w:divsChild>
                <w:div w:id="70546375">
                  <w:marLeft w:val="0"/>
                  <w:marRight w:val="0"/>
                  <w:marTop w:val="0"/>
                  <w:marBottom w:val="0"/>
                  <w:divBdr>
                    <w:top w:val="none" w:sz="0" w:space="0" w:color="auto"/>
                    <w:left w:val="none" w:sz="0" w:space="0" w:color="auto"/>
                    <w:bottom w:val="none" w:sz="0" w:space="0" w:color="auto"/>
                    <w:right w:val="none" w:sz="0" w:space="0" w:color="auto"/>
                  </w:divBdr>
                  <w:divsChild>
                    <w:div w:id="15933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5378">
          <w:marLeft w:val="0"/>
          <w:marRight w:val="0"/>
          <w:marTop w:val="0"/>
          <w:marBottom w:val="0"/>
          <w:divBdr>
            <w:top w:val="none" w:sz="0" w:space="0" w:color="auto"/>
            <w:left w:val="none" w:sz="0" w:space="0" w:color="auto"/>
            <w:bottom w:val="none" w:sz="0" w:space="0" w:color="auto"/>
            <w:right w:val="none" w:sz="0" w:space="0" w:color="auto"/>
          </w:divBdr>
          <w:divsChild>
            <w:div w:id="721908810">
              <w:marLeft w:val="0"/>
              <w:marRight w:val="0"/>
              <w:marTop w:val="0"/>
              <w:marBottom w:val="0"/>
              <w:divBdr>
                <w:top w:val="none" w:sz="0" w:space="0" w:color="auto"/>
                <w:left w:val="none" w:sz="0" w:space="0" w:color="auto"/>
                <w:bottom w:val="none" w:sz="0" w:space="0" w:color="auto"/>
                <w:right w:val="none" w:sz="0" w:space="0" w:color="auto"/>
              </w:divBdr>
              <w:divsChild>
                <w:div w:id="2019649791">
                  <w:marLeft w:val="0"/>
                  <w:marRight w:val="0"/>
                  <w:marTop w:val="0"/>
                  <w:marBottom w:val="0"/>
                  <w:divBdr>
                    <w:top w:val="none" w:sz="0" w:space="0" w:color="auto"/>
                    <w:left w:val="none" w:sz="0" w:space="0" w:color="auto"/>
                    <w:bottom w:val="none" w:sz="0" w:space="0" w:color="auto"/>
                    <w:right w:val="none" w:sz="0" w:space="0" w:color="auto"/>
                  </w:divBdr>
                  <w:divsChild>
                    <w:div w:id="21321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7998">
      <w:bodyDiv w:val="1"/>
      <w:marLeft w:val="0"/>
      <w:marRight w:val="0"/>
      <w:marTop w:val="0"/>
      <w:marBottom w:val="0"/>
      <w:divBdr>
        <w:top w:val="none" w:sz="0" w:space="0" w:color="auto"/>
        <w:left w:val="none" w:sz="0" w:space="0" w:color="auto"/>
        <w:bottom w:val="none" w:sz="0" w:space="0" w:color="auto"/>
        <w:right w:val="none" w:sz="0" w:space="0" w:color="auto"/>
      </w:divBdr>
    </w:div>
    <w:div w:id="1694921992">
      <w:bodyDiv w:val="1"/>
      <w:marLeft w:val="0"/>
      <w:marRight w:val="0"/>
      <w:marTop w:val="0"/>
      <w:marBottom w:val="0"/>
      <w:divBdr>
        <w:top w:val="none" w:sz="0" w:space="0" w:color="auto"/>
        <w:left w:val="none" w:sz="0" w:space="0" w:color="auto"/>
        <w:bottom w:val="none" w:sz="0" w:space="0" w:color="auto"/>
        <w:right w:val="none" w:sz="0" w:space="0" w:color="auto"/>
      </w:divBdr>
    </w:div>
    <w:div w:id="1720281502">
      <w:bodyDiv w:val="1"/>
      <w:marLeft w:val="0"/>
      <w:marRight w:val="0"/>
      <w:marTop w:val="0"/>
      <w:marBottom w:val="0"/>
      <w:divBdr>
        <w:top w:val="none" w:sz="0" w:space="0" w:color="auto"/>
        <w:left w:val="none" w:sz="0" w:space="0" w:color="auto"/>
        <w:bottom w:val="none" w:sz="0" w:space="0" w:color="auto"/>
        <w:right w:val="none" w:sz="0" w:space="0" w:color="auto"/>
      </w:divBdr>
      <w:divsChild>
        <w:div w:id="109126945">
          <w:marLeft w:val="0"/>
          <w:marRight w:val="0"/>
          <w:marTop w:val="0"/>
          <w:marBottom w:val="0"/>
          <w:divBdr>
            <w:top w:val="none" w:sz="0" w:space="0" w:color="auto"/>
            <w:left w:val="none" w:sz="0" w:space="0" w:color="auto"/>
            <w:bottom w:val="none" w:sz="0" w:space="0" w:color="auto"/>
            <w:right w:val="none" w:sz="0" w:space="0" w:color="auto"/>
          </w:divBdr>
          <w:divsChild>
            <w:div w:id="1387029498">
              <w:marLeft w:val="0"/>
              <w:marRight w:val="0"/>
              <w:marTop w:val="0"/>
              <w:marBottom w:val="0"/>
              <w:divBdr>
                <w:top w:val="none" w:sz="0" w:space="0" w:color="auto"/>
                <w:left w:val="none" w:sz="0" w:space="0" w:color="auto"/>
                <w:bottom w:val="none" w:sz="0" w:space="0" w:color="auto"/>
                <w:right w:val="none" w:sz="0" w:space="0" w:color="auto"/>
              </w:divBdr>
              <w:divsChild>
                <w:div w:id="1960183931">
                  <w:marLeft w:val="0"/>
                  <w:marRight w:val="0"/>
                  <w:marTop w:val="0"/>
                  <w:marBottom w:val="0"/>
                  <w:divBdr>
                    <w:top w:val="none" w:sz="0" w:space="0" w:color="auto"/>
                    <w:left w:val="none" w:sz="0" w:space="0" w:color="auto"/>
                    <w:bottom w:val="none" w:sz="0" w:space="0" w:color="auto"/>
                    <w:right w:val="none" w:sz="0" w:space="0" w:color="auto"/>
                  </w:divBdr>
                  <w:divsChild>
                    <w:div w:id="10911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323819938">
              <w:marLeft w:val="0"/>
              <w:marRight w:val="0"/>
              <w:marTop w:val="0"/>
              <w:marBottom w:val="0"/>
              <w:divBdr>
                <w:top w:val="none" w:sz="0" w:space="0" w:color="auto"/>
                <w:left w:val="none" w:sz="0" w:space="0" w:color="auto"/>
                <w:bottom w:val="none" w:sz="0" w:space="0" w:color="auto"/>
                <w:right w:val="none" w:sz="0" w:space="0" w:color="auto"/>
              </w:divBdr>
              <w:divsChild>
                <w:div w:id="1484396619">
                  <w:marLeft w:val="0"/>
                  <w:marRight w:val="0"/>
                  <w:marTop w:val="0"/>
                  <w:marBottom w:val="0"/>
                  <w:divBdr>
                    <w:top w:val="none" w:sz="0" w:space="0" w:color="auto"/>
                    <w:left w:val="none" w:sz="0" w:space="0" w:color="auto"/>
                    <w:bottom w:val="none" w:sz="0" w:space="0" w:color="auto"/>
                    <w:right w:val="none" w:sz="0" w:space="0" w:color="auto"/>
                  </w:divBdr>
                  <w:divsChild>
                    <w:div w:id="1948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75092">
      <w:bodyDiv w:val="1"/>
      <w:marLeft w:val="0"/>
      <w:marRight w:val="0"/>
      <w:marTop w:val="0"/>
      <w:marBottom w:val="0"/>
      <w:divBdr>
        <w:top w:val="none" w:sz="0" w:space="0" w:color="auto"/>
        <w:left w:val="none" w:sz="0" w:space="0" w:color="auto"/>
        <w:bottom w:val="none" w:sz="0" w:space="0" w:color="auto"/>
        <w:right w:val="none" w:sz="0" w:space="0" w:color="auto"/>
      </w:divBdr>
    </w:div>
    <w:div w:id="1954895366">
      <w:bodyDiv w:val="1"/>
      <w:marLeft w:val="0"/>
      <w:marRight w:val="0"/>
      <w:marTop w:val="0"/>
      <w:marBottom w:val="0"/>
      <w:divBdr>
        <w:top w:val="none" w:sz="0" w:space="0" w:color="auto"/>
        <w:left w:val="none" w:sz="0" w:space="0" w:color="auto"/>
        <w:bottom w:val="none" w:sz="0" w:space="0" w:color="auto"/>
        <w:right w:val="none" w:sz="0" w:space="0" w:color="auto"/>
      </w:divBdr>
    </w:div>
    <w:div w:id="20898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08945/Material_Rekomendacje_vdostepna.pdf" TargetMode="External"/><Relationship Id="rId13" Type="http://schemas.openxmlformats.org/officeDocument/2006/relationships/hyperlink" Target="http://inwestycjedlawszystkich.pl/materialy/Standard_minimum_dla_dost&#281;pno&#347;ci_inwestycji_budowlanych_i_transportowych.pdf" TargetMode="External"/><Relationship Id="rId18" Type="http://schemas.openxmlformats.org/officeDocument/2006/relationships/hyperlink" Target="https://www.funduszeeuropejskie.gov.pl/media/124079/standardy_dostepnosci_dokumenty_elektroniczne_wersja_dostepna.pdf" TargetMode="External"/><Relationship Id="rId3" Type="http://schemas.openxmlformats.org/officeDocument/2006/relationships/styles" Target="styles.xml"/><Relationship Id="rId21" Type="http://schemas.openxmlformats.org/officeDocument/2006/relationships/hyperlink" Target="https://www.funduszeeuropejskie.gov.pl/media/124079/standardy_dostepnosci_dokumenty_elektroniczne_wersja_dostepna.pdf" TargetMode="External"/><Relationship Id="rId7" Type="http://schemas.openxmlformats.org/officeDocument/2006/relationships/endnotes" Target="endnotes.xml"/><Relationship Id="rId12" Type="http://schemas.openxmlformats.org/officeDocument/2006/relationships/hyperlink" Target="https://www.funduszeeuropejskie.gov.pl/media/107276/Umowynarealizacjezadanpublicznych.pdf" TargetMode="External"/><Relationship Id="rId17" Type="http://schemas.openxmlformats.org/officeDocument/2006/relationships/hyperlink" Target="https://www.funduszeeuropejskie.gov.pl/media/108348/Dostepnosc-Bezpieczna-Ewakuacja.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funduszeeuropejskie.gov.pl/media/124079/standardy_dostepnosci_dokumenty_elektroniczne_wersja_dostep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media/114369/WELCOME.pdf" TargetMode="External"/><Relationship Id="rId5" Type="http://schemas.openxmlformats.org/officeDocument/2006/relationships/webSettings" Target="webSettings.xml"/><Relationship Id="rId15" Type="http://schemas.openxmlformats.org/officeDocument/2006/relationships/hyperlink" Target="https://www.gov.pl/web/dostepnosc-cyfrowa/jak-zbadac-czy-strona-www-jest-dostepna-cyfrowo" TargetMode="External"/><Relationship Id="rId23" Type="http://schemas.openxmlformats.org/officeDocument/2006/relationships/theme" Target="theme/theme1.xml"/><Relationship Id="rId10" Type="http://schemas.openxmlformats.org/officeDocument/2006/relationships/hyperlink" Target="https://www.power.gov.pl/media/13589/DOSTePNE-WYDARZENIA-W-PRAKTYCE.pdf" TargetMode="External"/><Relationship Id="rId19" Type="http://schemas.openxmlformats.org/officeDocument/2006/relationships/hyperlink" Target="https://www.funduszeeuropejskie.gov.pl/media/124079/standardy_dostepnosci_dokumenty_elektroniczne_wersja_dostepna.pdf" TargetMode="External"/><Relationship Id="rId4" Type="http://schemas.openxmlformats.org/officeDocument/2006/relationships/settings" Target="settings.xml"/><Relationship Id="rId9" Type="http://schemas.openxmlformats.org/officeDocument/2006/relationships/hyperlink" Target="https://www.funduszeeuropejskie.gov.pl/media/124079/standardy_dostepnosci_dokumenty_elektroniczne_wersja_dostepna.pdf" TargetMode="External"/><Relationship Id="rId14" Type="http://schemas.openxmlformats.org/officeDocument/2006/relationships/hyperlink" Target="https://www.funduszeeuropejskie.gov.pl/media/105735/ostateczna.pdf"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3873-7756-4CFD-810C-D7FDFBE6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50</Pages>
  <Words>13015</Words>
  <Characters>78093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Sznajder</dc:creator>
  <cp:keywords/>
  <dc:description/>
  <cp:lastModifiedBy>Agnieszka Sznajder</cp:lastModifiedBy>
  <cp:revision>11</cp:revision>
  <cp:lastPrinted>2024-11-06T08:55:00Z</cp:lastPrinted>
  <dcterms:created xsi:type="dcterms:W3CDTF">2024-11-14T11:36:00Z</dcterms:created>
  <dcterms:modified xsi:type="dcterms:W3CDTF">2024-11-14T18:09:00Z</dcterms:modified>
</cp:coreProperties>
</file>