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7D" w:rsidRPr="00586923" w:rsidRDefault="0071077D" w:rsidP="0071077D">
      <w:pPr>
        <w:rPr>
          <w:rFonts w:ascii="Arial" w:hAnsi="Arial" w:cs="Arial"/>
        </w:rPr>
      </w:pPr>
      <w:r w:rsidRPr="00586923">
        <w:rPr>
          <w:rFonts w:ascii="Arial" w:hAnsi="Arial" w:cs="Arial"/>
          <w:noProof/>
          <w:lang w:eastAsia="pl-PL"/>
        </w:rPr>
        <w:drawing>
          <wp:inline distT="0" distB="0" distL="0" distR="0" wp14:anchorId="61EEF6F6" wp14:editId="27852DDC">
            <wp:extent cx="5683910" cy="943559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L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187" cy="9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77D" w:rsidRDefault="0071077D" w:rsidP="0071077D">
      <w:pPr>
        <w:spacing w:after="0" w:line="300" w:lineRule="auto"/>
        <w:jc w:val="center"/>
        <w:rPr>
          <w:rFonts w:ascii="Arial" w:hAnsi="Arial" w:cs="Arial"/>
          <w:b/>
        </w:rPr>
      </w:pPr>
      <w:r w:rsidRPr="00586923">
        <w:rPr>
          <w:rFonts w:ascii="Arial" w:hAnsi="Arial" w:cs="Arial"/>
          <w:b/>
        </w:rPr>
        <w:t xml:space="preserve">Konsultacje </w:t>
      </w:r>
      <w:r>
        <w:rPr>
          <w:rFonts w:ascii="Arial" w:hAnsi="Arial" w:cs="Arial"/>
          <w:b/>
        </w:rPr>
        <w:t>projektów</w:t>
      </w:r>
      <w:r w:rsidRPr="00586923">
        <w:rPr>
          <w:rFonts w:ascii="Arial" w:hAnsi="Arial" w:cs="Arial"/>
          <w:b/>
        </w:rPr>
        <w:t xml:space="preserve"> krajowych aktów prawnych </w:t>
      </w:r>
      <w:r>
        <w:rPr>
          <w:rFonts w:ascii="Arial" w:hAnsi="Arial" w:cs="Arial"/>
          <w:b/>
        </w:rPr>
        <w:t xml:space="preserve">i ogłoszone akty prawne </w:t>
      </w:r>
      <w:r>
        <w:rPr>
          <w:rFonts w:ascii="Arial" w:hAnsi="Arial" w:cs="Arial"/>
          <w:b/>
        </w:rPr>
        <w:br/>
        <w:t>w Dzienniku Ustaw</w:t>
      </w:r>
    </w:p>
    <w:p w:rsidR="0071077D" w:rsidRPr="00586923" w:rsidRDefault="0071077D" w:rsidP="0071077D">
      <w:pPr>
        <w:spacing w:after="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86923">
        <w:rPr>
          <w:rFonts w:ascii="Arial" w:hAnsi="Arial" w:cs="Arial"/>
          <w:b/>
        </w:rPr>
        <w:t xml:space="preserve">monitoring legislacji </w:t>
      </w:r>
      <w:r>
        <w:rPr>
          <w:rFonts w:ascii="Arial" w:hAnsi="Arial" w:cs="Arial"/>
          <w:b/>
        </w:rPr>
        <w:t xml:space="preserve">krajowej </w:t>
      </w:r>
      <w:r w:rsidRPr="00586923">
        <w:rPr>
          <w:rFonts w:ascii="Arial" w:hAnsi="Arial" w:cs="Arial"/>
          <w:b/>
        </w:rPr>
        <w:t>ZPPM</w:t>
      </w:r>
      <w:r>
        <w:rPr>
          <w:rFonts w:ascii="Arial" w:hAnsi="Arial" w:cs="Arial"/>
          <w:b/>
        </w:rPr>
        <w:t>)</w:t>
      </w:r>
    </w:p>
    <w:p w:rsidR="0071077D" w:rsidRPr="00586923" w:rsidRDefault="0071077D" w:rsidP="0071077D">
      <w:pPr>
        <w:spacing w:after="0" w:line="300" w:lineRule="auto"/>
        <w:jc w:val="center"/>
        <w:rPr>
          <w:rFonts w:ascii="Arial" w:hAnsi="Arial" w:cs="Arial"/>
        </w:rPr>
      </w:pPr>
      <w:r w:rsidRPr="00586923">
        <w:rPr>
          <w:rFonts w:ascii="Arial" w:hAnsi="Arial" w:cs="Arial"/>
          <w:b/>
        </w:rPr>
        <w:t>w okresie od</w:t>
      </w:r>
      <w:r>
        <w:rPr>
          <w:rFonts w:ascii="Arial" w:hAnsi="Arial" w:cs="Arial"/>
          <w:b/>
        </w:rPr>
        <w:t xml:space="preserve"> 25 listopada</w:t>
      </w:r>
      <w:r>
        <w:rPr>
          <w:rFonts w:ascii="Arial" w:hAnsi="Arial" w:cs="Arial"/>
          <w:b/>
        </w:rPr>
        <w:t xml:space="preserve"> </w:t>
      </w:r>
      <w:r w:rsidRPr="00586923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grudnia</w:t>
      </w:r>
      <w:r w:rsidRPr="00586923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Pr="00586923">
        <w:rPr>
          <w:rFonts w:ascii="Arial" w:hAnsi="Arial" w:cs="Arial"/>
          <w:b/>
        </w:rPr>
        <w:t xml:space="preserve"> roku</w:t>
      </w:r>
    </w:p>
    <w:p w:rsidR="0071077D" w:rsidRPr="00AC3187" w:rsidRDefault="0071077D" w:rsidP="0071077D">
      <w:pPr>
        <w:spacing w:after="0" w:line="300" w:lineRule="auto"/>
        <w:jc w:val="center"/>
        <w:rPr>
          <w:rFonts w:ascii="Arial" w:hAnsi="Arial" w:cs="Arial"/>
        </w:rPr>
      </w:pPr>
      <w:r w:rsidRPr="00AC3187">
        <w:rPr>
          <w:rFonts w:ascii="Arial" w:hAnsi="Arial" w:cs="Arial"/>
        </w:rPr>
        <w:t xml:space="preserve">Raport na dzień </w:t>
      </w:r>
      <w:r>
        <w:rPr>
          <w:rFonts w:ascii="Arial" w:hAnsi="Arial" w:cs="Arial"/>
        </w:rPr>
        <w:t>2</w:t>
      </w:r>
      <w:r w:rsidRPr="00AC31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AC318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AC3187">
        <w:rPr>
          <w:rFonts w:ascii="Arial" w:hAnsi="Arial" w:cs="Arial"/>
        </w:rPr>
        <w:t xml:space="preserve"> roku</w:t>
      </w:r>
    </w:p>
    <w:p w:rsidR="0071077D" w:rsidRPr="00586923" w:rsidRDefault="0071077D" w:rsidP="0071077D">
      <w:pPr>
        <w:spacing w:after="0" w:line="240" w:lineRule="auto"/>
        <w:jc w:val="both"/>
        <w:rPr>
          <w:rFonts w:ascii="Arial" w:hAnsi="Arial" w:cs="Arial"/>
        </w:rPr>
      </w:pPr>
    </w:p>
    <w:p w:rsidR="0071077D" w:rsidRPr="00287656" w:rsidRDefault="0071077D" w:rsidP="007107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287656">
        <w:rPr>
          <w:rFonts w:ascii="Arial" w:hAnsi="Arial" w:cs="Arial"/>
          <w:b/>
          <w:u w:val="single"/>
        </w:rPr>
        <w:t>Projekty aktów prawnych</w:t>
      </w:r>
    </w:p>
    <w:p w:rsidR="0071077D" w:rsidRDefault="0071077D" w:rsidP="0071077D">
      <w:pPr>
        <w:spacing w:after="0"/>
        <w:jc w:val="both"/>
        <w:rPr>
          <w:rFonts w:ascii="Arial" w:hAnsi="Arial" w:cs="Arial"/>
        </w:rPr>
      </w:pPr>
    </w:p>
    <w:p w:rsidR="0071077D" w:rsidRPr="00C70674" w:rsidRDefault="0071077D" w:rsidP="0071077D">
      <w:pPr>
        <w:spacing w:after="0"/>
        <w:jc w:val="both"/>
        <w:rPr>
          <w:rFonts w:ascii="Arial" w:hAnsi="Arial" w:cs="Arial"/>
        </w:rPr>
      </w:pPr>
      <w:r w:rsidRPr="00C70674">
        <w:rPr>
          <w:rFonts w:ascii="Arial" w:hAnsi="Arial" w:cs="Arial"/>
        </w:rPr>
        <w:t xml:space="preserve">W omawianym okresie </w:t>
      </w:r>
      <w:r w:rsidRPr="00C70674">
        <w:rPr>
          <w:rFonts w:ascii="Arial" w:eastAsia="Calibri" w:hAnsi="Arial" w:cs="Arial"/>
          <w:bCs/>
        </w:rPr>
        <w:t xml:space="preserve">Rządowe Centrum Legislacji opublikowało </w:t>
      </w:r>
      <w:r>
        <w:rPr>
          <w:rFonts w:ascii="Arial" w:eastAsia="Calibri" w:hAnsi="Arial" w:cs="Arial"/>
          <w:bCs/>
        </w:rPr>
        <w:t>4</w:t>
      </w:r>
      <w:r w:rsidRPr="00C70674">
        <w:rPr>
          <w:rFonts w:ascii="Arial" w:eastAsia="Calibri" w:hAnsi="Arial" w:cs="Arial"/>
          <w:bCs/>
        </w:rPr>
        <w:t xml:space="preserve"> projekt</w:t>
      </w:r>
      <w:r>
        <w:rPr>
          <w:rFonts w:ascii="Arial" w:eastAsia="Calibri" w:hAnsi="Arial" w:cs="Arial"/>
          <w:bCs/>
        </w:rPr>
        <w:t>y ustaw</w:t>
      </w:r>
      <w:r w:rsidRPr="00C70674">
        <w:rPr>
          <w:rFonts w:ascii="Arial" w:eastAsia="Calibri" w:hAnsi="Arial" w:cs="Arial"/>
          <w:bCs/>
        </w:rPr>
        <w:t xml:space="preserve"> oraz</w:t>
      </w:r>
      <w:r w:rsidRPr="00C706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28 </w:t>
      </w:r>
      <w:r w:rsidRPr="00C70674">
        <w:rPr>
          <w:rFonts w:ascii="Arial" w:hAnsi="Arial" w:cs="Arial"/>
        </w:rPr>
        <w:t>projekt</w:t>
      </w:r>
      <w:r>
        <w:rPr>
          <w:rFonts w:ascii="Arial" w:hAnsi="Arial" w:cs="Arial"/>
        </w:rPr>
        <w:t>ów</w:t>
      </w:r>
      <w:r w:rsidRPr="00C70674">
        <w:rPr>
          <w:rFonts w:ascii="Arial" w:hAnsi="Arial" w:cs="Arial"/>
        </w:rPr>
        <w:t xml:space="preserve"> rozporządzeń Rady Ministrów, Prezesa Rady Ministrów oraz poszczególnych Ministrów.</w:t>
      </w:r>
    </w:p>
    <w:p w:rsidR="0071077D" w:rsidRPr="00C70674" w:rsidRDefault="0071077D" w:rsidP="0071077D">
      <w:pPr>
        <w:spacing w:after="0"/>
        <w:jc w:val="both"/>
        <w:rPr>
          <w:rFonts w:ascii="Arial" w:hAnsi="Arial" w:cs="Arial"/>
        </w:rPr>
      </w:pPr>
    </w:p>
    <w:p w:rsidR="0071077D" w:rsidRDefault="0071077D" w:rsidP="0071077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Przeprowadzono konsultacje </w:t>
      </w:r>
      <w:r>
        <w:rPr>
          <w:rFonts w:ascii="Arial" w:hAnsi="Arial" w:cs="Arial"/>
        </w:rPr>
        <w:t>jednego projektu</w:t>
      </w:r>
      <w:r>
        <w:rPr>
          <w:rFonts w:ascii="Arial" w:hAnsi="Arial" w:cs="Arial"/>
        </w:rPr>
        <w:t xml:space="preserve"> rozporządze</w:t>
      </w:r>
      <w:r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dotycząc</w:t>
      </w:r>
      <w:r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podmiotów członkowskich (pracodawcy, przedsiębiorcy, JST) zrzeszonych w Związku. </w:t>
      </w:r>
    </w:p>
    <w:p w:rsidR="0071077D" w:rsidRDefault="0071077D" w:rsidP="0071077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 konsultacji przekazane zostały następujące projekty:</w:t>
      </w:r>
    </w:p>
    <w:p w:rsidR="0071077D" w:rsidRDefault="0071077D" w:rsidP="0071077D">
      <w:pPr>
        <w:spacing w:after="0"/>
        <w:jc w:val="both"/>
        <w:rPr>
          <w:rFonts w:ascii="Arial" w:hAnsi="Arial" w:cs="Arial"/>
        </w:rPr>
      </w:pPr>
    </w:p>
    <w:p w:rsidR="0071077D" w:rsidRDefault="0071077D" w:rsidP="0071077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Projekty rozporządzeń:</w:t>
      </w:r>
    </w:p>
    <w:p w:rsidR="0071077D" w:rsidRPr="0071077D" w:rsidRDefault="0071077D" w:rsidP="0071077D">
      <w:pPr>
        <w:pStyle w:val="Akapitzlist"/>
        <w:spacing w:after="0"/>
        <w:jc w:val="both"/>
        <w:rPr>
          <w:rFonts w:ascii="Arial" w:hAnsi="Arial" w:cs="Arial"/>
          <w:b/>
          <w:u w:val="single"/>
        </w:rPr>
      </w:pPr>
      <w:r w:rsidRPr="0071077D">
        <w:rPr>
          <w:rFonts w:ascii="Arial" w:hAnsi="Arial" w:cs="Arial"/>
          <w:b/>
          <w:u w:val="single"/>
        </w:rPr>
        <w:t>projekt rozporządzenia Ministra Finansów w sprawie wysokości procentu składki wnoszonej przez krajowe zakłady ubezpieczeń na rzecz funduszu do spraw niewypłacalności (numer z wykazu 917)</w:t>
      </w:r>
      <w:r w:rsidRPr="0071077D">
        <w:rPr>
          <w:rFonts w:ascii="Arial" w:hAnsi="Arial" w:cs="Arial"/>
          <w:b/>
          <w:u w:val="single"/>
        </w:rPr>
        <w:t xml:space="preserve"> </w:t>
      </w:r>
    </w:p>
    <w:p w:rsidR="0071077D" w:rsidRDefault="0071077D" w:rsidP="0071077D">
      <w:pPr>
        <w:spacing w:after="0"/>
        <w:jc w:val="both"/>
        <w:rPr>
          <w:rFonts w:ascii="Arial" w:hAnsi="Arial" w:cs="Arial"/>
        </w:rPr>
      </w:pPr>
    </w:p>
    <w:p w:rsidR="00B2086F" w:rsidRPr="00B2086F" w:rsidRDefault="00B2086F" w:rsidP="00B2086F">
      <w:pPr>
        <w:spacing w:after="0"/>
        <w:jc w:val="both"/>
        <w:rPr>
          <w:rFonts w:ascii="Arial" w:hAnsi="Arial" w:cs="Arial"/>
        </w:rPr>
      </w:pPr>
      <w:r w:rsidRPr="00B2086F">
        <w:rPr>
          <w:rFonts w:ascii="Arial" w:hAnsi="Arial" w:cs="Arial"/>
        </w:rPr>
        <w:t xml:space="preserve">Zasadność podjęcia prac zmierzających do wydania rozporządzenia Ministra Finansów w sprawie wysokości procentu składki na rzecz funduszu do spraw niewypłacalności wnoszonej przez krajowe zakłady ubezpieczeń wynika z uchwalenia ustawy z dnia 13 września 2024 r. o zmianie ustawy o ubezpieczeniach obowiązkowych, Ubezpieczeniowym Funduszu Gwarancyjnym i Polskim Biurze Ubezpieczycieli Komunikacyjnych oraz ustawy o działalności ubezpieczeniowej i reasekuracyjnej (Dz. U. poz. 1565). Przepisami tej ustawy została dokonana transpozycja dyrektywy Parlamentu Europejskiego i Rady (UE) 2021/2118 z dnia 24 listopada 2021 r. zmieniającej dyrektywę 2009/103/WE w sprawie ubezpieczenia od odpowiedzialności cywilnej za szkody powstałe w związku z ruchem pojazdów mechanicznych i egzekwowania obowiązku ubezpieczania od takiej odpowiedzialności (Dz. Urz. UE L 430 z 02.12 2021, str. 1), zwanej dalej „dyrektywą”. W wyniku nowelizacji ustawy z dnia 22 maja 2003 r. o ubezpieczeniach obowiązkowych, Ubezpieczeniowym Funduszu Gwarancyjnym i Polskim Biurze Ubezpieczycieli Komunikacyjnych (Dz. U. z 2023 r. poz. 2500) zostały wprowadzone m.in. regulacje mające na celu zapewnienie wypłaty odszkodowania poszkodowanym w wyniku wypadku w przypadku niewypłacalności zakładu ubezpieczeń. </w:t>
      </w:r>
    </w:p>
    <w:p w:rsidR="00B2086F" w:rsidRPr="00B2086F" w:rsidRDefault="00B2086F" w:rsidP="00B2086F">
      <w:pPr>
        <w:spacing w:after="0"/>
        <w:jc w:val="both"/>
        <w:rPr>
          <w:rFonts w:ascii="Arial" w:hAnsi="Arial" w:cs="Arial"/>
        </w:rPr>
      </w:pPr>
      <w:r w:rsidRPr="00B2086F">
        <w:rPr>
          <w:rFonts w:ascii="Arial" w:hAnsi="Arial" w:cs="Arial"/>
        </w:rPr>
        <w:t xml:space="preserve">W przypadku niewypłacalności zakładu ubezpieczeń, ochrona osób poszkodowanych lub uprawnionych do odszkodowania w wyniku zdarzeń drogowych przewidziana w dyrektywie jest uregulowana oddzielnie w odniesieniu do wypadków zaistniałych w państwie członkowskim ich miejsca zamieszkania lub siedziby (art. 10a dyrektywy) oraz w państwie </w:t>
      </w:r>
      <w:r w:rsidRPr="00B2086F">
        <w:rPr>
          <w:rFonts w:ascii="Arial" w:hAnsi="Arial" w:cs="Arial"/>
        </w:rPr>
        <w:lastRenderedPageBreak/>
        <w:t xml:space="preserve">innym niż państwo członkowskie ich miejsca zamieszkania (art. 25a dyrektywy). Ustawa z dnia 13 września 2024 r. o zmianie ustawy o ubezpieczeniach obowiązkowych, Ubezpieczeniowym Funduszu Gwarancyjnym i Polskim Biurze Ubezpieczycieli Komunikacyjnych oraz ustawy o działalności ubezpieczeniowej i reasekuracyjnej uwzględnia to rozróżnienie i zadania organu, o którym mowa w art. 10a ust. 1 dyrektywy przypisuje Ubezpieczeniowemu Funduszowi Gwarancyjnemu, zwanemu dalej „UFG”, przez dodanie w art. 98 ust. 2a ustawy z dnia 22 maja 2003 r. o ubezpieczeniach obowiązkowych, Ubezpieczeniowym Funduszu Gwarancyjnym i Polskim Biurze Ubezpieczycieli Komunikacyjnych. Jednocześnie w celu realizacji zadania wynikającego z tego przepisu, w ramach UFG wyodrębniony zostanie fundusz do spraw niewypłacalności, będący rachunkiem obejmującym dochody i koszty oraz aktywa i zobowiązania związane z realizacją zadania, o którym mowa w art. 98 ust. 2a ustawy z dnia 22 maja 2003 r. o ubezpieczeniach obowiązkowych, Ubezpieczeniowym Funduszu Gwarancyjnym i Polskim Biurze Ubezpieczycieli Komunikacyjnych. Środki funduszu do spraw niewypłacalności będą gromadzone na wyodrębnionym rachunku bankowym UFG. </w:t>
      </w:r>
    </w:p>
    <w:p w:rsidR="00B2086F" w:rsidRPr="00B2086F" w:rsidRDefault="00B2086F" w:rsidP="00B2086F">
      <w:pPr>
        <w:spacing w:after="0"/>
        <w:jc w:val="both"/>
        <w:rPr>
          <w:rFonts w:ascii="Arial" w:hAnsi="Arial" w:cs="Arial"/>
        </w:rPr>
      </w:pPr>
      <w:r w:rsidRPr="00B2086F">
        <w:rPr>
          <w:rFonts w:ascii="Arial" w:hAnsi="Arial" w:cs="Arial"/>
        </w:rPr>
        <w:t xml:space="preserve">Fundusz do spraw niewypłacalności zostanie oparty o trzy źródła finansowania, tj. możliwość przekazywania nadwyżki bilansowej UFG w części nieprzekraczającej 75% jej wysokości, cykliczne wpłaty dokonywane przez określone zakłady ubezpieczeń oraz o składkę dodatkową w przypadku wszczęcia postępowania upadłościowego albo likwidacyjnego względem określonego zakładu ubezpieczeń, jeśli środki zgromadzone w funduszu do spraw niewypłacalności okazałaby się niewystarczające. </w:t>
      </w:r>
    </w:p>
    <w:p w:rsidR="00B2086F" w:rsidRPr="00B2086F" w:rsidRDefault="00B2086F" w:rsidP="00B2086F">
      <w:pPr>
        <w:spacing w:after="0"/>
        <w:jc w:val="both"/>
        <w:rPr>
          <w:rFonts w:ascii="Arial" w:hAnsi="Arial" w:cs="Arial"/>
        </w:rPr>
      </w:pPr>
      <w:r w:rsidRPr="00B2086F">
        <w:rPr>
          <w:rFonts w:ascii="Arial" w:hAnsi="Arial" w:cs="Arial"/>
        </w:rPr>
        <w:t>Na podstawie dodanego art. 117 ust. 3a ustawy z dnia 22 maja 2003 r. o ubezpieczeniach obowiązkowych, Ubezpieczeniowym Funduszu Gwarancyjnym i Polskim Biurze Ubezpieczycieli Komunikacyjnych, krajowe zakłady ubezpieczeń posiadające zezwolenie na wykonywanie działalności ubezpieczeniowej w grupie obejmującej ubezpieczenie OC posiadaczy pojazdów mechanicznych, są obowiązane wnieść składkę na rzecz funduszu do spraw niewypłacalności, w celu zapewnienia środków na finansowanie zadania, o którym mowa w art. 98 ust. 2a ustawy z dnia 22 maja 2003 r. o ubezpieczeniach obowiązkowych, Ubezpieczeniowym Funduszu Gwarancyjnym i Polskim Biurze Ubezpieczycieli Komunikacyjnych, z zastrzeżeniem, że składka nie przekroczy wysokości 0,1% składki przypisanej brutto w ubezpieczeniu obowiązkowym, o którym mowa w art. 4 pkt 1 ustawy z dnia 22 maja 2003 r. o ubezpieczeniach obowiązkowych, Ubezpieczeniowym Funduszu Gwarancyjnym i Polskim Biurze Ubezpieczycieli Komunikacyjnych. Jednocześnie w art. 117 ust. 5a ustawy z dnia 22 maja 2003 r. o ubezpieczeniach obowiązkowych, Ubezpieczeniowym Funduszu Gwarancyjnym i Polskim Biurze Ubezpieczycieli Komunikacyjnych zostało zawarte upoważnienie ustawowe, zgodnie z którym minister właściwy do spraw instytucji finansowych, po zasięgnięciu opinii Funduszu i organu nadzoru określi, w drodze rozporządzenia, wysokość procentu składki, o której mowa w ust. 3a, oraz termin uiszczania tej składki, uwzględniając w szczególności zagwarantowanie płynności finansowej funduszu do spraw niewypłacalności.</w:t>
      </w:r>
    </w:p>
    <w:p w:rsidR="00B2086F" w:rsidRPr="00B2086F" w:rsidRDefault="00B2086F" w:rsidP="00B2086F">
      <w:pPr>
        <w:spacing w:after="0"/>
        <w:jc w:val="both"/>
        <w:rPr>
          <w:rFonts w:ascii="Arial" w:hAnsi="Arial" w:cs="Arial"/>
        </w:rPr>
      </w:pPr>
      <w:r w:rsidRPr="00B2086F">
        <w:rPr>
          <w:rFonts w:ascii="Arial" w:hAnsi="Arial" w:cs="Arial"/>
        </w:rPr>
        <w:t>W związku z tym powstaje konieczność wydania rozporządzenia Ministra Finansów.</w:t>
      </w:r>
    </w:p>
    <w:p w:rsidR="00B2086F" w:rsidRDefault="00B2086F" w:rsidP="00B2086F">
      <w:pPr>
        <w:spacing w:after="0"/>
        <w:jc w:val="both"/>
        <w:rPr>
          <w:rFonts w:ascii="Arial" w:hAnsi="Arial" w:cs="Arial"/>
        </w:rPr>
      </w:pPr>
      <w:r w:rsidRPr="00B2086F">
        <w:rPr>
          <w:rFonts w:ascii="Arial" w:hAnsi="Arial" w:cs="Arial"/>
        </w:rPr>
        <w:t>W związku z nowymi regulacjami jakie zostały wprowadzone do ustawy z dnia 22 maja 2003 r. o ubezpieczeniach obowiązkowych, Ubezpieczeniowym Funduszu Gwarancyjnym i Polskim Biurze Ubezpieczycieli Komunikacyjnych niezbędne jest wydanie rozporządzenia Ministra Finansów. Przedmiotowe rozporządzenie będzie określało wysokość procentu składki wnoszonej na rzecz funduszu do spraw niewypłacalności oraz termin uiszczania tej składki</w:t>
      </w:r>
      <w:r>
        <w:rPr>
          <w:rFonts w:ascii="Arial" w:hAnsi="Arial" w:cs="Arial"/>
        </w:rPr>
        <w:t>.</w:t>
      </w:r>
    </w:p>
    <w:p w:rsidR="0071077D" w:rsidRDefault="0071077D" w:rsidP="00B2086F">
      <w:pPr>
        <w:spacing w:after="0"/>
        <w:jc w:val="both"/>
        <w:rPr>
          <w:rFonts w:ascii="Arial" w:hAnsi="Arial" w:cs="Arial"/>
        </w:rPr>
      </w:pPr>
    </w:p>
    <w:p w:rsidR="00B2086F" w:rsidRPr="00B2086F" w:rsidRDefault="00B2086F" w:rsidP="00B2086F">
      <w:pPr>
        <w:spacing w:after="0"/>
        <w:jc w:val="both"/>
        <w:rPr>
          <w:rFonts w:ascii="Arial" w:hAnsi="Arial" w:cs="Arial"/>
        </w:rPr>
      </w:pPr>
      <w:r w:rsidRPr="00B2086F">
        <w:rPr>
          <w:rFonts w:ascii="Arial" w:hAnsi="Arial" w:cs="Arial"/>
        </w:rPr>
        <w:lastRenderedPageBreak/>
        <w:t>Przedmiotowy projekt aktu prawnego wraz Uzasadnieniem oraz Oceną Skutków Regulacji dostępny jest na stronach Rządowego Centrum Legislacji pod adresem:</w:t>
      </w:r>
    </w:p>
    <w:p w:rsidR="00B2086F" w:rsidRDefault="00B2086F" w:rsidP="00B2086F">
      <w:pPr>
        <w:spacing w:after="0"/>
        <w:jc w:val="both"/>
        <w:rPr>
          <w:rFonts w:ascii="Arial" w:hAnsi="Arial" w:cs="Arial"/>
        </w:rPr>
      </w:pPr>
      <w:hyperlink r:id="rId7" w:history="1">
        <w:r w:rsidRPr="007F319C">
          <w:rPr>
            <w:rStyle w:val="Hipercze"/>
            <w:rFonts w:ascii="Arial" w:hAnsi="Arial" w:cs="Arial"/>
          </w:rPr>
          <w:t>https://legislacja.rcl.gov.pl/projek</w:t>
        </w:r>
        <w:r w:rsidRPr="007F319C">
          <w:rPr>
            <w:rStyle w:val="Hipercze"/>
            <w:rFonts w:ascii="Arial" w:hAnsi="Arial" w:cs="Arial"/>
          </w:rPr>
          <w:t>t</w:t>
        </w:r>
        <w:r w:rsidRPr="007F319C">
          <w:rPr>
            <w:rStyle w:val="Hipercze"/>
            <w:rFonts w:ascii="Arial" w:hAnsi="Arial" w:cs="Arial"/>
          </w:rPr>
          <w:t>/12392000/katalog/13096958#13096958</w:t>
        </w:r>
      </w:hyperlink>
      <w:r>
        <w:rPr>
          <w:rFonts w:ascii="Arial" w:hAnsi="Arial" w:cs="Arial"/>
        </w:rPr>
        <w:t xml:space="preserve"> </w:t>
      </w:r>
    </w:p>
    <w:p w:rsidR="00B2086F" w:rsidRDefault="00B2086F" w:rsidP="00B2086F">
      <w:pPr>
        <w:spacing w:after="0"/>
        <w:jc w:val="both"/>
        <w:rPr>
          <w:rFonts w:ascii="Arial" w:hAnsi="Arial" w:cs="Arial"/>
        </w:rPr>
      </w:pPr>
    </w:p>
    <w:p w:rsidR="00B2086F" w:rsidRPr="0071077D" w:rsidRDefault="00B2086F" w:rsidP="00B2086F">
      <w:pPr>
        <w:spacing w:after="0"/>
        <w:jc w:val="both"/>
        <w:rPr>
          <w:rFonts w:ascii="Arial" w:hAnsi="Arial" w:cs="Arial"/>
        </w:rPr>
      </w:pPr>
      <w:r w:rsidRPr="00B2086F">
        <w:rPr>
          <w:rFonts w:ascii="Arial" w:hAnsi="Arial" w:cs="Arial"/>
        </w:rPr>
        <w:t>Projekt jest obecnie jednocześnie na etapie uzgodnień, konsultacji publicznych i opiniowania</w:t>
      </w:r>
      <w:r>
        <w:rPr>
          <w:rFonts w:ascii="Arial" w:hAnsi="Arial" w:cs="Arial"/>
        </w:rPr>
        <w:t>.</w:t>
      </w:r>
    </w:p>
    <w:p w:rsidR="0071077D" w:rsidRPr="00042C7F" w:rsidRDefault="0071077D" w:rsidP="0071077D">
      <w:pPr>
        <w:spacing w:after="0"/>
        <w:jc w:val="both"/>
        <w:rPr>
          <w:rFonts w:ascii="Arial" w:hAnsi="Arial" w:cs="Arial"/>
        </w:rPr>
      </w:pPr>
    </w:p>
    <w:p w:rsidR="0071077D" w:rsidRPr="00CB4A6E" w:rsidRDefault="0071077D" w:rsidP="0071077D">
      <w:pPr>
        <w:spacing w:after="0"/>
        <w:rPr>
          <w:rFonts w:ascii="Arial" w:hAnsi="Arial" w:cs="Arial"/>
        </w:rPr>
      </w:pPr>
    </w:p>
    <w:p w:rsidR="0071077D" w:rsidRDefault="0071077D" w:rsidP="0071077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Ogłoszone akty prawne (Dziennik Ustaw RP)</w:t>
      </w:r>
    </w:p>
    <w:p w:rsidR="0071077D" w:rsidRDefault="0071077D" w:rsidP="0071077D">
      <w:pPr>
        <w:spacing w:after="0"/>
        <w:jc w:val="both"/>
        <w:rPr>
          <w:rFonts w:ascii="Arial" w:hAnsi="Arial" w:cs="Arial"/>
        </w:rPr>
      </w:pPr>
    </w:p>
    <w:p w:rsidR="0071077D" w:rsidRDefault="0071077D" w:rsidP="0071077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analizowanym okresie opublikowano</w:t>
      </w:r>
      <w:r w:rsidR="00447ED9">
        <w:rPr>
          <w:rFonts w:ascii="Arial" w:hAnsi="Arial" w:cs="Arial"/>
        </w:rPr>
        <w:t xml:space="preserve"> 44</w:t>
      </w:r>
      <w:r>
        <w:rPr>
          <w:rFonts w:ascii="Arial" w:hAnsi="Arial" w:cs="Arial"/>
        </w:rPr>
        <w:t xml:space="preserve"> akt</w:t>
      </w:r>
      <w:r w:rsidR="00447ED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prawn</w:t>
      </w:r>
      <w:r w:rsidR="00447ED9">
        <w:rPr>
          <w:rFonts w:ascii="Arial" w:hAnsi="Arial" w:cs="Arial"/>
        </w:rPr>
        <w:t>e</w:t>
      </w:r>
      <w:r>
        <w:rPr>
          <w:rFonts w:ascii="Arial" w:hAnsi="Arial" w:cs="Arial"/>
        </w:rPr>
        <w:t>, tzn. ustawy, rozporządzenia Rady Ministrów, Prezesa Rady Ministrów i poszczególnych ministrów, obwieszczenia w sprawie ogłoszenia tekstu jednolitego. Z powyższych publikacji w zainteresowaniu pracodawców i przedsiębiorców znaleźć się mogą następujące akty prawne:</w:t>
      </w:r>
    </w:p>
    <w:p w:rsidR="0071077D" w:rsidRDefault="0071077D" w:rsidP="0071077D">
      <w:pPr>
        <w:spacing w:after="0"/>
        <w:jc w:val="both"/>
        <w:rPr>
          <w:rFonts w:ascii="Arial" w:hAnsi="Arial" w:cs="Arial"/>
        </w:rPr>
      </w:pPr>
    </w:p>
    <w:p w:rsidR="0071077D" w:rsidRDefault="0071077D" w:rsidP="00F66A6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Ustawa </w:t>
      </w:r>
      <w:r w:rsidR="00F66A65" w:rsidRPr="00F66A65">
        <w:rPr>
          <w:rFonts w:ascii="Arial" w:hAnsi="Arial" w:cs="Arial"/>
          <w:u w:val="single"/>
        </w:rPr>
        <w:t>z dnia 8 listopada 2024 r. o zmianie ustawy o podatku od towarów i usług oraz niektórych innych ustaw</w:t>
      </w:r>
    </w:p>
    <w:p w:rsidR="00F66A65" w:rsidRDefault="00F66A65" w:rsidP="00F66A6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71077D" w:rsidRDefault="0071077D" w:rsidP="00F66A6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66A65">
        <w:rPr>
          <w:rFonts w:ascii="Arial" w:eastAsia="Times New Roman" w:hAnsi="Arial" w:cs="Arial"/>
          <w:lang w:eastAsia="pl-PL"/>
        </w:rPr>
        <w:t xml:space="preserve">Powyższy akt prawny opublikowany został </w:t>
      </w:r>
      <w:r w:rsidR="00F66A65">
        <w:rPr>
          <w:rFonts w:ascii="Arial" w:eastAsia="Times New Roman" w:hAnsi="Arial" w:cs="Arial"/>
          <w:lang w:eastAsia="pl-PL"/>
        </w:rPr>
        <w:t>25 listopada</w:t>
      </w:r>
      <w:r w:rsidRPr="00F66A65">
        <w:rPr>
          <w:rFonts w:ascii="Arial" w:eastAsia="Times New Roman" w:hAnsi="Arial" w:cs="Arial"/>
          <w:lang w:eastAsia="pl-PL"/>
        </w:rPr>
        <w:t xml:space="preserve"> 20</w:t>
      </w:r>
      <w:r w:rsidR="00F66A65">
        <w:rPr>
          <w:rFonts w:ascii="Arial" w:eastAsia="Times New Roman" w:hAnsi="Arial" w:cs="Arial"/>
          <w:lang w:eastAsia="pl-PL"/>
        </w:rPr>
        <w:t>24</w:t>
      </w:r>
      <w:r w:rsidRPr="00F66A65">
        <w:rPr>
          <w:rFonts w:ascii="Arial" w:eastAsia="Times New Roman" w:hAnsi="Arial" w:cs="Arial"/>
          <w:lang w:eastAsia="pl-PL"/>
        </w:rPr>
        <w:t xml:space="preserve"> roku w Dzienniku Ustaw (Dz.U. z 202</w:t>
      </w:r>
      <w:r w:rsidR="00F66A65">
        <w:rPr>
          <w:rFonts w:ascii="Arial" w:eastAsia="Times New Roman" w:hAnsi="Arial" w:cs="Arial"/>
          <w:lang w:eastAsia="pl-PL"/>
        </w:rPr>
        <w:t>4</w:t>
      </w:r>
      <w:r w:rsidRPr="00F66A65">
        <w:rPr>
          <w:rFonts w:ascii="Arial" w:eastAsia="Times New Roman" w:hAnsi="Arial" w:cs="Arial"/>
          <w:lang w:eastAsia="pl-PL"/>
        </w:rPr>
        <w:t xml:space="preserve">, poz. </w:t>
      </w:r>
      <w:r w:rsidR="00F66A65">
        <w:rPr>
          <w:rFonts w:ascii="Arial" w:eastAsia="Times New Roman" w:hAnsi="Arial" w:cs="Arial"/>
          <w:lang w:eastAsia="pl-PL"/>
        </w:rPr>
        <w:t>1721</w:t>
      </w:r>
      <w:r w:rsidRPr="00F66A65">
        <w:rPr>
          <w:rFonts w:ascii="Arial" w:eastAsia="Times New Roman" w:hAnsi="Arial" w:cs="Arial"/>
          <w:lang w:eastAsia="pl-PL"/>
        </w:rPr>
        <w:t>).</w:t>
      </w:r>
    </w:p>
    <w:p w:rsidR="00F66A65" w:rsidRDefault="00F66A65" w:rsidP="00F66A6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F66A65" w:rsidRPr="00F66A65" w:rsidRDefault="00F66A65" w:rsidP="00F66A6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66A65">
        <w:rPr>
          <w:rFonts w:ascii="Arial" w:eastAsia="Times New Roman" w:hAnsi="Arial" w:cs="Arial"/>
          <w:lang w:eastAsia="pl-PL"/>
        </w:rPr>
        <w:t>Zasadniczym celem ustawy jest implementacja dyre</w:t>
      </w:r>
      <w:r>
        <w:rPr>
          <w:rFonts w:ascii="Arial" w:eastAsia="Times New Roman" w:hAnsi="Arial" w:cs="Arial"/>
          <w:lang w:eastAsia="pl-PL"/>
        </w:rPr>
        <w:t xml:space="preserve">ktywy Rady (UE) 2020/285 z dnia </w:t>
      </w:r>
      <w:r w:rsidRPr="00F66A65">
        <w:rPr>
          <w:rFonts w:ascii="Arial" w:eastAsia="Times New Roman" w:hAnsi="Arial" w:cs="Arial"/>
          <w:lang w:eastAsia="pl-PL"/>
        </w:rPr>
        <w:t>18 lutego 2020 r. zmieniającej dyrektywę 2006/112</w:t>
      </w:r>
      <w:r>
        <w:rPr>
          <w:rFonts w:ascii="Arial" w:eastAsia="Times New Roman" w:hAnsi="Arial" w:cs="Arial"/>
          <w:lang w:eastAsia="pl-PL"/>
        </w:rPr>
        <w:t xml:space="preserve">/WE w sprawie wspólnego systemu </w:t>
      </w:r>
      <w:r w:rsidRPr="00F66A65">
        <w:rPr>
          <w:rFonts w:ascii="Arial" w:eastAsia="Times New Roman" w:hAnsi="Arial" w:cs="Arial"/>
          <w:lang w:eastAsia="pl-PL"/>
        </w:rPr>
        <w:t>podatku od wartości dodanej w odniesieniu do p</w:t>
      </w:r>
      <w:r>
        <w:rPr>
          <w:rFonts w:ascii="Arial" w:eastAsia="Times New Roman" w:hAnsi="Arial" w:cs="Arial"/>
          <w:lang w:eastAsia="pl-PL"/>
        </w:rPr>
        <w:t xml:space="preserve">rocedury szczególnej dla małych </w:t>
      </w:r>
      <w:r w:rsidRPr="00F66A65">
        <w:rPr>
          <w:rFonts w:ascii="Arial" w:eastAsia="Times New Roman" w:hAnsi="Arial" w:cs="Arial"/>
          <w:lang w:eastAsia="pl-PL"/>
        </w:rPr>
        <w:t>przedsiębiorstw oraz rozporządzenie (UE) nr 904/2</w:t>
      </w:r>
      <w:r>
        <w:rPr>
          <w:rFonts w:ascii="Arial" w:eastAsia="Times New Roman" w:hAnsi="Arial" w:cs="Arial"/>
          <w:lang w:eastAsia="pl-PL"/>
        </w:rPr>
        <w:t xml:space="preserve">010 w odniesieniu do współpracy </w:t>
      </w:r>
      <w:r w:rsidRPr="00F66A65">
        <w:rPr>
          <w:rFonts w:ascii="Arial" w:eastAsia="Times New Roman" w:hAnsi="Arial" w:cs="Arial"/>
          <w:lang w:eastAsia="pl-PL"/>
        </w:rPr>
        <w:t>administracyjnej i wymiany informacji do celów monitoro</w:t>
      </w:r>
      <w:r>
        <w:rPr>
          <w:rFonts w:ascii="Arial" w:eastAsia="Times New Roman" w:hAnsi="Arial" w:cs="Arial"/>
          <w:lang w:eastAsia="pl-PL"/>
        </w:rPr>
        <w:t xml:space="preserve">wania i prawidłowego stosowania </w:t>
      </w:r>
      <w:r w:rsidRPr="00F66A65">
        <w:rPr>
          <w:rFonts w:ascii="Arial" w:eastAsia="Times New Roman" w:hAnsi="Arial" w:cs="Arial"/>
          <w:lang w:eastAsia="pl-PL"/>
        </w:rPr>
        <w:t xml:space="preserve">procedury szczególnej dla małych przedsiębiorstw, (Dz. Urz. </w:t>
      </w:r>
      <w:r>
        <w:rPr>
          <w:rFonts w:ascii="Arial" w:eastAsia="Times New Roman" w:hAnsi="Arial" w:cs="Arial"/>
          <w:lang w:eastAsia="pl-PL"/>
        </w:rPr>
        <w:t xml:space="preserve">UE L 62 z 02.03.2020, str. 13). </w:t>
      </w:r>
      <w:r w:rsidRPr="00F66A65">
        <w:rPr>
          <w:rFonts w:ascii="Arial" w:eastAsia="Times New Roman" w:hAnsi="Arial" w:cs="Arial"/>
          <w:lang w:eastAsia="pl-PL"/>
        </w:rPr>
        <w:t xml:space="preserve">Ustawa służy również implementacji dyrektywy Rady (UE) </w:t>
      </w:r>
      <w:r>
        <w:rPr>
          <w:rFonts w:ascii="Arial" w:eastAsia="Times New Roman" w:hAnsi="Arial" w:cs="Arial"/>
          <w:lang w:eastAsia="pl-PL"/>
        </w:rPr>
        <w:t xml:space="preserve">2022/542 z dnia 5 kwietnia 2022 </w:t>
      </w:r>
      <w:r w:rsidRPr="00F66A65">
        <w:rPr>
          <w:rFonts w:ascii="Arial" w:eastAsia="Times New Roman" w:hAnsi="Arial" w:cs="Arial"/>
          <w:lang w:eastAsia="pl-PL"/>
        </w:rPr>
        <w:t>r. w sprawie zmiany dyrektyw 2006/112/WE i (UE) 2020/2</w:t>
      </w:r>
      <w:r>
        <w:rPr>
          <w:rFonts w:ascii="Arial" w:eastAsia="Times New Roman" w:hAnsi="Arial" w:cs="Arial"/>
          <w:lang w:eastAsia="pl-PL"/>
        </w:rPr>
        <w:t xml:space="preserve">85 w zakresie stawek podatku od </w:t>
      </w:r>
      <w:r w:rsidRPr="00F66A65">
        <w:rPr>
          <w:rFonts w:ascii="Arial" w:eastAsia="Times New Roman" w:hAnsi="Arial" w:cs="Arial"/>
          <w:lang w:eastAsia="pl-PL"/>
        </w:rPr>
        <w:t>wartości dodanej (Dz. Urz. UE L 107 z 06.04.2022, str. 1, dalej jako: dyrektywa 2022/542).</w:t>
      </w:r>
    </w:p>
    <w:p w:rsidR="00F66A65" w:rsidRPr="00F66A65" w:rsidRDefault="00F66A65" w:rsidP="00F66A6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66A65">
        <w:rPr>
          <w:rFonts w:ascii="Arial" w:eastAsia="Times New Roman" w:hAnsi="Arial" w:cs="Arial"/>
          <w:lang w:eastAsia="pl-PL"/>
        </w:rPr>
        <w:t>Ustawa wprowadza zmiany w: ustawie z dnia 11 mar</w:t>
      </w:r>
      <w:r>
        <w:rPr>
          <w:rFonts w:ascii="Arial" w:eastAsia="Times New Roman" w:hAnsi="Arial" w:cs="Arial"/>
          <w:lang w:eastAsia="pl-PL"/>
        </w:rPr>
        <w:t xml:space="preserve">ca 2004 r. o podatku od towarów </w:t>
      </w:r>
      <w:r w:rsidRPr="00F66A65">
        <w:rPr>
          <w:rFonts w:ascii="Arial" w:eastAsia="Times New Roman" w:hAnsi="Arial" w:cs="Arial"/>
          <w:lang w:eastAsia="pl-PL"/>
        </w:rPr>
        <w:t>i usług (Dz. U. z 2024 r. poz. 361, 852 i 1473), ustawie</w:t>
      </w:r>
      <w:r>
        <w:rPr>
          <w:rFonts w:ascii="Arial" w:eastAsia="Times New Roman" w:hAnsi="Arial" w:cs="Arial"/>
          <w:lang w:eastAsia="pl-PL"/>
        </w:rPr>
        <w:t xml:space="preserve"> z dnia 13 października 1995 r. </w:t>
      </w:r>
      <w:r w:rsidRPr="00F66A65">
        <w:rPr>
          <w:rFonts w:ascii="Arial" w:eastAsia="Times New Roman" w:hAnsi="Arial" w:cs="Arial"/>
          <w:lang w:eastAsia="pl-PL"/>
        </w:rPr>
        <w:t>o zasadach ewidencji i identyfikacji podatników i płatnik</w:t>
      </w:r>
      <w:r>
        <w:rPr>
          <w:rFonts w:ascii="Arial" w:eastAsia="Times New Roman" w:hAnsi="Arial" w:cs="Arial"/>
          <w:lang w:eastAsia="pl-PL"/>
        </w:rPr>
        <w:t xml:space="preserve">ów (Dz. U. z 2024 r. poz. 375), </w:t>
      </w:r>
      <w:r w:rsidRPr="00F66A65">
        <w:rPr>
          <w:rFonts w:ascii="Arial" w:eastAsia="Times New Roman" w:hAnsi="Arial" w:cs="Arial"/>
          <w:lang w:eastAsia="pl-PL"/>
        </w:rPr>
        <w:t>ustawie z dnia 10 września 1999 r. – Kodeks karny skarbowy (D</w:t>
      </w:r>
      <w:r>
        <w:rPr>
          <w:rFonts w:ascii="Arial" w:eastAsia="Times New Roman" w:hAnsi="Arial" w:cs="Arial"/>
          <w:lang w:eastAsia="pl-PL"/>
        </w:rPr>
        <w:t xml:space="preserve">z. U. z 2024 r. poz. 628, 850 i </w:t>
      </w:r>
      <w:r w:rsidRPr="00F66A65">
        <w:rPr>
          <w:rFonts w:ascii="Arial" w:eastAsia="Times New Roman" w:hAnsi="Arial" w:cs="Arial"/>
          <w:lang w:eastAsia="pl-PL"/>
        </w:rPr>
        <w:t>879), ustawie z dnia 16 listopada 2016 r. o Krajowej Adminis</w:t>
      </w:r>
      <w:r>
        <w:rPr>
          <w:rFonts w:ascii="Arial" w:eastAsia="Times New Roman" w:hAnsi="Arial" w:cs="Arial"/>
          <w:lang w:eastAsia="pl-PL"/>
        </w:rPr>
        <w:t xml:space="preserve">tracji Skarbowej (Dz. U. z 2023 </w:t>
      </w:r>
      <w:r w:rsidRPr="00F66A65">
        <w:rPr>
          <w:rFonts w:ascii="Arial" w:eastAsia="Times New Roman" w:hAnsi="Arial" w:cs="Arial"/>
          <w:lang w:eastAsia="pl-PL"/>
        </w:rPr>
        <w:t xml:space="preserve">r. poz. 615, z </w:t>
      </w:r>
      <w:proofErr w:type="spellStart"/>
      <w:r w:rsidRPr="00F66A65">
        <w:rPr>
          <w:rFonts w:ascii="Arial" w:eastAsia="Times New Roman" w:hAnsi="Arial" w:cs="Arial"/>
          <w:lang w:eastAsia="pl-PL"/>
        </w:rPr>
        <w:t>późn</w:t>
      </w:r>
      <w:proofErr w:type="spellEnd"/>
      <w:r w:rsidRPr="00F66A65">
        <w:rPr>
          <w:rFonts w:ascii="Arial" w:eastAsia="Times New Roman" w:hAnsi="Arial" w:cs="Arial"/>
          <w:lang w:eastAsia="pl-PL"/>
        </w:rPr>
        <w:t>. zm.) oraz w ustawie z dnia 16 cze</w:t>
      </w:r>
      <w:r>
        <w:rPr>
          <w:rFonts w:ascii="Arial" w:eastAsia="Times New Roman" w:hAnsi="Arial" w:cs="Arial"/>
          <w:lang w:eastAsia="pl-PL"/>
        </w:rPr>
        <w:t xml:space="preserve">rwca 2023 r. o zmianie ustawy o </w:t>
      </w:r>
      <w:r w:rsidRPr="00F66A65">
        <w:rPr>
          <w:rFonts w:ascii="Arial" w:eastAsia="Times New Roman" w:hAnsi="Arial" w:cs="Arial"/>
          <w:lang w:eastAsia="pl-PL"/>
        </w:rPr>
        <w:t>podatku od towarów i usług oraz niektórych innych ustaw (</w:t>
      </w:r>
      <w:r>
        <w:rPr>
          <w:rFonts w:ascii="Arial" w:eastAsia="Times New Roman" w:hAnsi="Arial" w:cs="Arial"/>
          <w:lang w:eastAsia="pl-PL"/>
        </w:rPr>
        <w:t xml:space="preserve">Dz. U. poz. 1598 oraz z 2024 r. </w:t>
      </w:r>
      <w:r w:rsidRPr="00F66A65">
        <w:rPr>
          <w:rFonts w:ascii="Arial" w:eastAsia="Times New Roman" w:hAnsi="Arial" w:cs="Arial"/>
          <w:lang w:eastAsia="pl-PL"/>
        </w:rPr>
        <w:t>poz. 852).</w:t>
      </w:r>
    </w:p>
    <w:p w:rsidR="00F66A65" w:rsidRPr="00F66A65" w:rsidRDefault="00F66A65" w:rsidP="00F66A6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66A65">
        <w:rPr>
          <w:rFonts w:ascii="Arial" w:eastAsia="Times New Roman" w:hAnsi="Arial" w:cs="Arial"/>
          <w:lang w:eastAsia="pl-PL"/>
        </w:rPr>
        <w:t>Celem ustawy jest umożliwienie stosowania zwolnienia podmiotowego z VA</w:t>
      </w:r>
      <w:r>
        <w:rPr>
          <w:rFonts w:ascii="Arial" w:eastAsia="Times New Roman" w:hAnsi="Arial" w:cs="Arial"/>
          <w:lang w:eastAsia="pl-PL"/>
        </w:rPr>
        <w:t xml:space="preserve">T </w:t>
      </w:r>
      <w:r w:rsidRPr="00F66A65">
        <w:rPr>
          <w:rFonts w:ascii="Arial" w:eastAsia="Times New Roman" w:hAnsi="Arial" w:cs="Arial"/>
          <w:lang w:eastAsia="pl-PL"/>
        </w:rPr>
        <w:t xml:space="preserve">w państwach członkowskich, które wprowadziły u siebie </w:t>
      </w:r>
      <w:r>
        <w:rPr>
          <w:rFonts w:ascii="Arial" w:eastAsia="Times New Roman" w:hAnsi="Arial" w:cs="Arial"/>
          <w:lang w:eastAsia="pl-PL"/>
        </w:rPr>
        <w:t xml:space="preserve">procedurę szczególną dla małych </w:t>
      </w:r>
      <w:r w:rsidRPr="00F66A65">
        <w:rPr>
          <w:rFonts w:ascii="Arial" w:eastAsia="Times New Roman" w:hAnsi="Arial" w:cs="Arial"/>
          <w:lang w:eastAsia="pl-PL"/>
        </w:rPr>
        <w:t>przedsiębiorstw, przez podatników posiadających siedz</w:t>
      </w:r>
      <w:r>
        <w:rPr>
          <w:rFonts w:ascii="Arial" w:eastAsia="Times New Roman" w:hAnsi="Arial" w:cs="Arial"/>
          <w:lang w:eastAsia="pl-PL"/>
        </w:rPr>
        <w:t xml:space="preserve">ibę działalności gospodarczej w </w:t>
      </w:r>
      <w:r w:rsidRPr="00F66A65">
        <w:rPr>
          <w:rFonts w:ascii="Arial" w:eastAsia="Times New Roman" w:hAnsi="Arial" w:cs="Arial"/>
          <w:lang w:eastAsia="pl-PL"/>
        </w:rPr>
        <w:t>innych państwach członkowskich. W myśl dodawanych p</w:t>
      </w:r>
      <w:r>
        <w:rPr>
          <w:rFonts w:ascii="Arial" w:eastAsia="Times New Roman" w:hAnsi="Arial" w:cs="Arial"/>
          <w:lang w:eastAsia="pl-PL"/>
        </w:rPr>
        <w:t xml:space="preserve">rzepisów zwalnia się od podatku </w:t>
      </w:r>
      <w:r w:rsidRPr="00F66A65">
        <w:rPr>
          <w:rFonts w:ascii="Arial" w:eastAsia="Times New Roman" w:hAnsi="Arial" w:cs="Arial"/>
          <w:lang w:eastAsia="pl-PL"/>
        </w:rPr>
        <w:t>sprzedaż dokonywaną przez podatnika posiadającego siedzi</w:t>
      </w:r>
      <w:r>
        <w:rPr>
          <w:rFonts w:ascii="Arial" w:eastAsia="Times New Roman" w:hAnsi="Arial" w:cs="Arial"/>
          <w:lang w:eastAsia="pl-PL"/>
        </w:rPr>
        <w:t xml:space="preserve">bę działalności gospodarczej na </w:t>
      </w:r>
      <w:r w:rsidRPr="00F66A65">
        <w:rPr>
          <w:rFonts w:ascii="Arial" w:eastAsia="Times New Roman" w:hAnsi="Arial" w:cs="Arial"/>
          <w:lang w:eastAsia="pl-PL"/>
        </w:rPr>
        <w:t>terytorium państwa członkowskiego innym niż terytorium kra</w:t>
      </w:r>
      <w:r>
        <w:rPr>
          <w:rFonts w:ascii="Arial" w:eastAsia="Times New Roman" w:hAnsi="Arial" w:cs="Arial"/>
          <w:lang w:eastAsia="pl-PL"/>
        </w:rPr>
        <w:t xml:space="preserve">ju, jeżeli łącznie spełnione są </w:t>
      </w:r>
      <w:r w:rsidRPr="00F66A65">
        <w:rPr>
          <w:rFonts w:ascii="Arial" w:eastAsia="Times New Roman" w:hAnsi="Arial" w:cs="Arial"/>
          <w:lang w:eastAsia="pl-PL"/>
        </w:rPr>
        <w:t>następujące warunki:</w:t>
      </w:r>
    </w:p>
    <w:p w:rsidR="00F66A65" w:rsidRPr="00F66A65" w:rsidRDefault="00F66A65" w:rsidP="00F66A65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F66A65">
        <w:rPr>
          <w:rFonts w:ascii="Arial" w:eastAsia="Times New Roman" w:hAnsi="Arial" w:cs="Arial"/>
          <w:lang w:eastAsia="pl-PL"/>
        </w:rPr>
        <w:t xml:space="preserve">całkowita roczna wartość dostaw towarów i świadczenia </w:t>
      </w:r>
      <w:r w:rsidRPr="00F66A65">
        <w:rPr>
          <w:rFonts w:ascii="Arial" w:eastAsia="Times New Roman" w:hAnsi="Arial" w:cs="Arial"/>
          <w:lang w:eastAsia="pl-PL"/>
        </w:rPr>
        <w:t xml:space="preserve">usług dokonanych przez </w:t>
      </w:r>
      <w:r w:rsidRPr="00F66A65">
        <w:rPr>
          <w:rFonts w:ascii="Arial" w:eastAsia="Times New Roman" w:hAnsi="Arial" w:cs="Arial"/>
          <w:lang w:eastAsia="pl-PL"/>
        </w:rPr>
        <w:t>podatnika w roku podatkowym, dla których miejsce</w:t>
      </w:r>
      <w:r w:rsidRPr="00F66A65">
        <w:rPr>
          <w:rFonts w:ascii="Arial" w:eastAsia="Times New Roman" w:hAnsi="Arial" w:cs="Arial"/>
          <w:lang w:eastAsia="pl-PL"/>
        </w:rPr>
        <w:t xml:space="preserve">m opodatkowania jest terytorium </w:t>
      </w:r>
      <w:r w:rsidRPr="00F66A65">
        <w:rPr>
          <w:rFonts w:ascii="Arial" w:eastAsia="Times New Roman" w:hAnsi="Arial" w:cs="Arial"/>
          <w:lang w:eastAsia="pl-PL"/>
        </w:rPr>
        <w:t>UE, z wyłączeniem podatku od wartości d</w:t>
      </w:r>
      <w:r w:rsidRPr="00F66A65">
        <w:rPr>
          <w:rFonts w:ascii="Arial" w:eastAsia="Times New Roman" w:hAnsi="Arial" w:cs="Arial"/>
          <w:lang w:eastAsia="pl-PL"/>
        </w:rPr>
        <w:t xml:space="preserve">odanej, w tym wartość sprzedaży </w:t>
      </w:r>
      <w:r w:rsidRPr="00F66A65">
        <w:rPr>
          <w:rFonts w:ascii="Arial" w:eastAsia="Times New Roman" w:hAnsi="Arial" w:cs="Arial"/>
          <w:lang w:eastAsia="pl-PL"/>
        </w:rPr>
        <w:t>na terytorium kraju, z wyłączeniem podatku (</w:t>
      </w:r>
      <w:r w:rsidRPr="00F66A65">
        <w:rPr>
          <w:rFonts w:ascii="Arial" w:eastAsia="Times New Roman" w:hAnsi="Arial" w:cs="Arial"/>
          <w:lang w:eastAsia="pl-PL"/>
        </w:rPr>
        <w:t xml:space="preserve">roczny obrót na terytorium UE), </w:t>
      </w:r>
      <w:r w:rsidRPr="00F66A65">
        <w:rPr>
          <w:rFonts w:ascii="Arial" w:eastAsia="Times New Roman" w:hAnsi="Arial" w:cs="Arial"/>
          <w:lang w:eastAsia="pl-PL"/>
        </w:rPr>
        <w:t>nie przekroczyła w poprzednim ani bieżącym roku podatkowym kwoty 100 000 euro;</w:t>
      </w:r>
    </w:p>
    <w:p w:rsidR="00F66A65" w:rsidRPr="00F66A65" w:rsidRDefault="00F66A65" w:rsidP="00F66A65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F66A65">
        <w:rPr>
          <w:rFonts w:ascii="Arial" w:eastAsia="Times New Roman" w:hAnsi="Arial" w:cs="Arial"/>
          <w:lang w:eastAsia="pl-PL"/>
        </w:rPr>
        <w:lastRenderedPageBreak/>
        <w:t>wartość sprzedaży u tego podatnika, z wyłącz</w:t>
      </w:r>
      <w:r w:rsidRPr="00F66A65">
        <w:rPr>
          <w:rFonts w:ascii="Arial" w:eastAsia="Times New Roman" w:hAnsi="Arial" w:cs="Arial"/>
          <w:lang w:eastAsia="pl-PL"/>
        </w:rPr>
        <w:t xml:space="preserve">eniem podatku, nie przekroczyła </w:t>
      </w:r>
      <w:r w:rsidRPr="00F66A65">
        <w:rPr>
          <w:rFonts w:ascii="Arial" w:eastAsia="Times New Roman" w:hAnsi="Arial" w:cs="Arial"/>
          <w:lang w:eastAsia="pl-PL"/>
        </w:rPr>
        <w:t>w poprzednim ani bieżącym roku podatkowym kwoty 200 000 zł;</w:t>
      </w:r>
    </w:p>
    <w:p w:rsidR="00F66A65" w:rsidRPr="00F66A65" w:rsidRDefault="00F66A65" w:rsidP="00F66A65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F66A65">
        <w:rPr>
          <w:rFonts w:ascii="Arial" w:eastAsia="Times New Roman" w:hAnsi="Arial" w:cs="Arial"/>
          <w:lang w:eastAsia="pl-PL"/>
        </w:rPr>
        <w:t>podatnik nie dokonuje na terytorium kraju okreś</w:t>
      </w:r>
      <w:r w:rsidRPr="00F66A65">
        <w:rPr>
          <w:rFonts w:ascii="Arial" w:eastAsia="Times New Roman" w:hAnsi="Arial" w:cs="Arial"/>
          <w:lang w:eastAsia="pl-PL"/>
        </w:rPr>
        <w:t xml:space="preserve">lonych w ustawie dostaw towarów </w:t>
      </w:r>
      <w:r w:rsidRPr="00F66A65">
        <w:rPr>
          <w:rFonts w:ascii="Arial" w:eastAsia="Times New Roman" w:hAnsi="Arial" w:cs="Arial"/>
          <w:lang w:eastAsia="pl-PL"/>
        </w:rPr>
        <w:t>ani świadczenia usług.</w:t>
      </w:r>
    </w:p>
    <w:p w:rsidR="00F66A65" w:rsidRPr="00F66A65" w:rsidRDefault="00F66A65" w:rsidP="00F66A6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66A65">
        <w:rPr>
          <w:rFonts w:ascii="Arial" w:eastAsia="Times New Roman" w:hAnsi="Arial" w:cs="Arial"/>
          <w:lang w:eastAsia="pl-PL"/>
        </w:rPr>
        <w:t>Podatnik przed rozpoczęciem korzystania ze zwolnien</w:t>
      </w:r>
      <w:r>
        <w:rPr>
          <w:rFonts w:ascii="Arial" w:eastAsia="Times New Roman" w:hAnsi="Arial" w:cs="Arial"/>
          <w:lang w:eastAsia="pl-PL"/>
        </w:rPr>
        <w:t xml:space="preserve">ia będzie obowiązany powiadomić </w:t>
      </w:r>
      <w:r w:rsidRPr="00F66A65">
        <w:rPr>
          <w:rFonts w:ascii="Arial" w:eastAsia="Times New Roman" w:hAnsi="Arial" w:cs="Arial"/>
          <w:lang w:eastAsia="pl-PL"/>
        </w:rPr>
        <w:t>państwo członkowskie, na terytorium którego posiada sied</w:t>
      </w:r>
      <w:r>
        <w:rPr>
          <w:rFonts w:ascii="Arial" w:eastAsia="Times New Roman" w:hAnsi="Arial" w:cs="Arial"/>
          <w:lang w:eastAsia="pl-PL"/>
        </w:rPr>
        <w:t xml:space="preserve">zibę działalności gospodarczej, </w:t>
      </w:r>
      <w:r w:rsidRPr="00F66A65">
        <w:rPr>
          <w:rFonts w:ascii="Arial" w:eastAsia="Times New Roman" w:hAnsi="Arial" w:cs="Arial"/>
          <w:lang w:eastAsia="pl-PL"/>
        </w:rPr>
        <w:t>o zamiarze skorzystania ze zwolnienia na terytoriu</w:t>
      </w:r>
      <w:r>
        <w:rPr>
          <w:rFonts w:ascii="Arial" w:eastAsia="Times New Roman" w:hAnsi="Arial" w:cs="Arial"/>
          <w:lang w:eastAsia="pl-PL"/>
        </w:rPr>
        <w:t xml:space="preserve">m kraju oraz uzyskać w państwie </w:t>
      </w:r>
      <w:r w:rsidRPr="00F66A65">
        <w:rPr>
          <w:rFonts w:ascii="Arial" w:eastAsia="Times New Roman" w:hAnsi="Arial" w:cs="Arial"/>
          <w:lang w:eastAsia="pl-PL"/>
        </w:rPr>
        <w:t>członkowskim, na terytorium którego posiada sied</w:t>
      </w:r>
      <w:r>
        <w:rPr>
          <w:rFonts w:ascii="Arial" w:eastAsia="Times New Roman" w:hAnsi="Arial" w:cs="Arial"/>
          <w:lang w:eastAsia="pl-PL"/>
        </w:rPr>
        <w:t xml:space="preserve">zibę działalności gospodarczej, </w:t>
      </w:r>
      <w:r w:rsidRPr="00F66A65">
        <w:rPr>
          <w:rFonts w:ascii="Arial" w:eastAsia="Times New Roman" w:hAnsi="Arial" w:cs="Arial"/>
          <w:lang w:eastAsia="pl-PL"/>
        </w:rPr>
        <w:t xml:space="preserve">indywidualny numer identyfikacyjny zawierający </w:t>
      </w:r>
      <w:r>
        <w:rPr>
          <w:rFonts w:ascii="Arial" w:eastAsia="Times New Roman" w:hAnsi="Arial" w:cs="Arial"/>
          <w:lang w:eastAsia="pl-PL"/>
        </w:rPr>
        <w:t xml:space="preserve">kod EX, na potrzeby korzystania </w:t>
      </w:r>
      <w:r w:rsidRPr="00F66A65">
        <w:rPr>
          <w:rFonts w:ascii="Arial" w:eastAsia="Times New Roman" w:hAnsi="Arial" w:cs="Arial"/>
          <w:lang w:eastAsia="pl-PL"/>
        </w:rPr>
        <w:t>ze zwolnienia na terytorium kraju. Jeżeli wartość spr</w:t>
      </w:r>
      <w:r>
        <w:rPr>
          <w:rFonts w:ascii="Arial" w:eastAsia="Times New Roman" w:hAnsi="Arial" w:cs="Arial"/>
          <w:lang w:eastAsia="pl-PL"/>
        </w:rPr>
        <w:t xml:space="preserve">zedaży zwolnionej od podatku na </w:t>
      </w:r>
      <w:r w:rsidRPr="00F66A65">
        <w:rPr>
          <w:rFonts w:ascii="Arial" w:eastAsia="Times New Roman" w:hAnsi="Arial" w:cs="Arial"/>
          <w:lang w:eastAsia="pl-PL"/>
        </w:rPr>
        <w:t>terytorium kraju przekroczy kwotę 200 000 zł, lub roczny ob</w:t>
      </w:r>
      <w:r>
        <w:rPr>
          <w:rFonts w:ascii="Arial" w:eastAsia="Times New Roman" w:hAnsi="Arial" w:cs="Arial"/>
          <w:lang w:eastAsia="pl-PL"/>
        </w:rPr>
        <w:t xml:space="preserve">rót na terytorium UE przekroczy </w:t>
      </w:r>
      <w:r w:rsidRPr="00F66A65">
        <w:rPr>
          <w:rFonts w:ascii="Arial" w:eastAsia="Times New Roman" w:hAnsi="Arial" w:cs="Arial"/>
          <w:lang w:eastAsia="pl-PL"/>
        </w:rPr>
        <w:t>kwotę 100 000 euro, zwolnienie straci moc począwszy o</w:t>
      </w:r>
      <w:r>
        <w:rPr>
          <w:rFonts w:ascii="Arial" w:eastAsia="Times New Roman" w:hAnsi="Arial" w:cs="Arial"/>
          <w:lang w:eastAsia="pl-PL"/>
        </w:rPr>
        <w:t xml:space="preserve">d czynności, którą przekroczono </w:t>
      </w:r>
      <w:r w:rsidRPr="00F66A65">
        <w:rPr>
          <w:rFonts w:ascii="Arial" w:eastAsia="Times New Roman" w:hAnsi="Arial" w:cs="Arial"/>
          <w:lang w:eastAsia="pl-PL"/>
        </w:rPr>
        <w:t>jedną z tych kwot, w zależności od tego, które ze zdarzeń nastąpiło wcześniej.</w:t>
      </w:r>
    </w:p>
    <w:p w:rsidR="00F66A65" w:rsidRPr="00F66A65" w:rsidRDefault="00F66A65" w:rsidP="00F66A6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66A65">
        <w:rPr>
          <w:rFonts w:ascii="Arial" w:eastAsia="Times New Roman" w:hAnsi="Arial" w:cs="Arial"/>
          <w:lang w:eastAsia="pl-PL"/>
        </w:rPr>
        <w:t>Podatnik, który posiada siedzibę działalności gos</w:t>
      </w:r>
      <w:r>
        <w:rPr>
          <w:rFonts w:ascii="Arial" w:eastAsia="Times New Roman" w:hAnsi="Arial" w:cs="Arial"/>
          <w:lang w:eastAsia="pl-PL"/>
        </w:rPr>
        <w:t xml:space="preserve">podarczej na terytorium kraju i </w:t>
      </w:r>
      <w:r w:rsidRPr="00F66A65">
        <w:rPr>
          <w:rFonts w:ascii="Arial" w:eastAsia="Times New Roman" w:hAnsi="Arial" w:cs="Arial"/>
          <w:lang w:eastAsia="pl-PL"/>
        </w:rPr>
        <w:t>którego roczny obrót na terytorium UE nie przekroczył</w:t>
      </w:r>
      <w:r>
        <w:rPr>
          <w:rFonts w:ascii="Arial" w:eastAsia="Times New Roman" w:hAnsi="Arial" w:cs="Arial"/>
          <w:lang w:eastAsia="pl-PL"/>
        </w:rPr>
        <w:t xml:space="preserve"> w poprzednim ani bieżącym roku </w:t>
      </w:r>
      <w:r w:rsidRPr="00F66A65">
        <w:rPr>
          <w:rFonts w:ascii="Arial" w:eastAsia="Times New Roman" w:hAnsi="Arial" w:cs="Arial"/>
          <w:lang w:eastAsia="pl-PL"/>
        </w:rPr>
        <w:t>podatkowym kwoty 100 000 euro, będzie mógł skorzystać z</w:t>
      </w:r>
      <w:r>
        <w:rPr>
          <w:rFonts w:ascii="Arial" w:eastAsia="Times New Roman" w:hAnsi="Arial" w:cs="Arial"/>
          <w:lang w:eastAsia="pl-PL"/>
        </w:rPr>
        <w:t xml:space="preserve">e zwolnienia dla dostaw towarów </w:t>
      </w:r>
      <w:r w:rsidRPr="00F66A65">
        <w:rPr>
          <w:rFonts w:ascii="Arial" w:eastAsia="Times New Roman" w:hAnsi="Arial" w:cs="Arial"/>
          <w:lang w:eastAsia="pl-PL"/>
        </w:rPr>
        <w:t>i świadczenia usług w państwie członkowskim innym niż P</w:t>
      </w:r>
      <w:r>
        <w:rPr>
          <w:rFonts w:ascii="Arial" w:eastAsia="Times New Roman" w:hAnsi="Arial" w:cs="Arial"/>
          <w:lang w:eastAsia="pl-PL"/>
        </w:rPr>
        <w:t xml:space="preserve">olska, na warunkach określonych </w:t>
      </w:r>
      <w:r w:rsidRPr="00F66A65">
        <w:rPr>
          <w:rFonts w:ascii="Arial" w:eastAsia="Times New Roman" w:hAnsi="Arial" w:cs="Arial"/>
          <w:lang w:eastAsia="pl-PL"/>
        </w:rPr>
        <w:t>przez to państwo członkowskie, jeżeli to państwo członkowskie wprowadziło zwolnien</w:t>
      </w:r>
      <w:r>
        <w:rPr>
          <w:rFonts w:ascii="Arial" w:eastAsia="Times New Roman" w:hAnsi="Arial" w:cs="Arial"/>
          <w:lang w:eastAsia="pl-PL"/>
        </w:rPr>
        <w:t xml:space="preserve">ie na </w:t>
      </w:r>
      <w:r w:rsidRPr="00F66A65">
        <w:rPr>
          <w:rFonts w:ascii="Arial" w:eastAsia="Times New Roman" w:hAnsi="Arial" w:cs="Arial"/>
          <w:lang w:eastAsia="pl-PL"/>
        </w:rPr>
        <w:t>zasadach odpowiadających regulacjom wprowadzanym w d</w:t>
      </w:r>
      <w:r>
        <w:rPr>
          <w:rFonts w:ascii="Arial" w:eastAsia="Times New Roman" w:hAnsi="Arial" w:cs="Arial"/>
          <w:lang w:eastAsia="pl-PL"/>
        </w:rPr>
        <w:t xml:space="preserve">rodze niniejszej ustawy. W celu </w:t>
      </w:r>
      <w:r w:rsidRPr="00F66A65">
        <w:rPr>
          <w:rFonts w:ascii="Arial" w:eastAsia="Times New Roman" w:hAnsi="Arial" w:cs="Arial"/>
          <w:lang w:eastAsia="pl-PL"/>
        </w:rPr>
        <w:t>skorzystania z tej preferencji podatnik będzie musiał złożyć</w:t>
      </w:r>
      <w:r>
        <w:rPr>
          <w:rFonts w:ascii="Arial" w:eastAsia="Times New Roman" w:hAnsi="Arial" w:cs="Arial"/>
          <w:lang w:eastAsia="pl-PL"/>
        </w:rPr>
        <w:t xml:space="preserve"> właściwemu naczelnikowi urzędu </w:t>
      </w:r>
      <w:r w:rsidRPr="00F66A65">
        <w:rPr>
          <w:rFonts w:ascii="Arial" w:eastAsia="Times New Roman" w:hAnsi="Arial" w:cs="Arial"/>
          <w:lang w:eastAsia="pl-PL"/>
        </w:rPr>
        <w:t>skarbowego powiadomienie o zamiarze skorzystania ze zwolnienia (tzw. uprze</w:t>
      </w:r>
      <w:r>
        <w:rPr>
          <w:rFonts w:ascii="Arial" w:eastAsia="Times New Roman" w:hAnsi="Arial" w:cs="Arial"/>
          <w:lang w:eastAsia="pl-PL"/>
        </w:rPr>
        <w:t xml:space="preserve">dnie </w:t>
      </w:r>
      <w:r w:rsidRPr="00F66A65">
        <w:rPr>
          <w:rFonts w:ascii="Arial" w:eastAsia="Times New Roman" w:hAnsi="Arial" w:cs="Arial"/>
          <w:lang w:eastAsia="pl-PL"/>
        </w:rPr>
        <w:t>powiadomienie). W przypadku, gdy roczny o</w:t>
      </w:r>
      <w:r>
        <w:rPr>
          <w:rFonts w:ascii="Arial" w:eastAsia="Times New Roman" w:hAnsi="Arial" w:cs="Arial"/>
          <w:lang w:eastAsia="pl-PL"/>
        </w:rPr>
        <w:t xml:space="preserve">brót na terytorium UE podatnika </w:t>
      </w:r>
      <w:r w:rsidRPr="00F66A65">
        <w:rPr>
          <w:rFonts w:ascii="Arial" w:eastAsia="Times New Roman" w:hAnsi="Arial" w:cs="Arial"/>
          <w:lang w:eastAsia="pl-PL"/>
        </w:rPr>
        <w:t>przekroczy w poprzednim lub bieżącym roku podatkow</w:t>
      </w:r>
      <w:r>
        <w:rPr>
          <w:rFonts w:ascii="Arial" w:eastAsia="Times New Roman" w:hAnsi="Arial" w:cs="Arial"/>
          <w:lang w:eastAsia="pl-PL"/>
        </w:rPr>
        <w:t xml:space="preserve">ym kwotę 100 000 euro, właściwy </w:t>
      </w:r>
      <w:r w:rsidRPr="00F66A65">
        <w:rPr>
          <w:rFonts w:ascii="Arial" w:eastAsia="Times New Roman" w:hAnsi="Arial" w:cs="Arial"/>
          <w:lang w:eastAsia="pl-PL"/>
        </w:rPr>
        <w:t xml:space="preserve">naczelnik urzędu skarbowego obowiązany będzie wydać </w:t>
      </w:r>
      <w:r>
        <w:rPr>
          <w:rFonts w:ascii="Arial" w:eastAsia="Times New Roman" w:hAnsi="Arial" w:cs="Arial"/>
          <w:lang w:eastAsia="pl-PL"/>
        </w:rPr>
        <w:t xml:space="preserve">postanowienie o odmowie nadania </w:t>
      </w:r>
      <w:r w:rsidRPr="00F66A65">
        <w:rPr>
          <w:rFonts w:ascii="Arial" w:eastAsia="Times New Roman" w:hAnsi="Arial" w:cs="Arial"/>
          <w:lang w:eastAsia="pl-PL"/>
        </w:rPr>
        <w:t>polskiego numeru identyfikacyjnego EX, na które służy zaż</w:t>
      </w:r>
      <w:r>
        <w:rPr>
          <w:rFonts w:ascii="Arial" w:eastAsia="Times New Roman" w:hAnsi="Arial" w:cs="Arial"/>
          <w:lang w:eastAsia="pl-PL"/>
        </w:rPr>
        <w:t xml:space="preserve">alenie. W sytuacji gdy podatnik </w:t>
      </w:r>
      <w:r w:rsidRPr="00F66A65">
        <w:rPr>
          <w:rFonts w:ascii="Arial" w:eastAsia="Times New Roman" w:hAnsi="Arial" w:cs="Arial"/>
          <w:lang w:eastAsia="pl-PL"/>
        </w:rPr>
        <w:t>nie spełnia warunków korzystania ze zwolnienia określon</w:t>
      </w:r>
      <w:r>
        <w:rPr>
          <w:rFonts w:ascii="Arial" w:eastAsia="Times New Roman" w:hAnsi="Arial" w:cs="Arial"/>
          <w:lang w:eastAsia="pl-PL"/>
        </w:rPr>
        <w:t xml:space="preserve">ych przez państwo członkowskie, </w:t>
      </w:r>
      <w:r w:rsidRPr="00F66A65">
        <w:rPr>
          <w:rFonts w:ascii="Arial" w:eastAsia="Times New Roman" w:hAnsi="Arial" w:cs="Arial"/>
          <w:lang w:eastAsia="pl-PL"/>
        </w:rPr>
        <w:t xml:space="preserve">które wskazał w uprzednim powiadomieniu, właściwy </w:t>
      </w:r>
      <w:r>
        <w:rPr>
          <w:rFonts w:ascii="Arial" w:eastAsia="Times New Roman" w:hAnsi="Arial" w:cs="Arial"/>
          <w:lang w:eastAsia="pl-PL"/>
        </w:rPr>
        <w:t xml:space="preserve">naczelnik urzędu skarbowego, na </w:t>
      </w:r>
      <w:r w:rsidRPr="00F66A65">
        <w:rPr>
          <w:rFonts w:ascii="Arial" w:eastAsia="Times New Roman" w:hAnsi="Arial" w:cs="Arial"/>
          <w:lang w:eastAsia="pl-PL"/>
        </w:rPr>
        <w:t>podstawie informacji przekazanych przez organ podatko</w:t>
      </w:r>
      <w:r>
        <w:rPr>
          <w:rFonts w:ascii="Arial" w:eastAsia="Times New Roman" w:hAnsi="Arial" w:cs="Arial"/>
          <w:lang w:eastAsia="pl-PL"/>
        </w:rPr>
        <w:t xml:space="preserve">wy tego państwa członkowskiego, </w:t>
      </w:r>
      <w:r w:rsidRPr="00F66A65">
        <w:rPr>
          <w:rFonts w:ascii="Arial" w:eastAsia="Times New Roman" w:hAnsi="Arial" w:cs="Arial"/>
          <w:lang w:eastAsia="pl-PL"/>
        </w:rPr>
        <w:t>będzie informować podatnika o odmowie skorzystan</w:t>
      </w:r>
      <w:r w:rsidR="00C265CF">
        <w:rPr>
          <w:rFonts w:ascii="Arial" w:eastAsia="Times New Roman" w:hAnsi="Arial" w:cs="Arial"/>
          <w:lang w:eastAsia="pl-PL"/>
        </w:rPr>
        <w:t xml:space="preserve">ia ze zwolnienia w tym państwie członkowskim. </w:t>
      </w:r>
      <w:r w:rsidRPr="00F66A65">
        <w:rPr>
          <w:rFonts w:ascii="Arial" w:eastAsia="Times New Roman" w:hAnsi="Arial" w:cs="Arial"/>
          <w:lang w:eastAsia="pl-PL"/>
        </w:rPr>
        <w:t>Jeżeli podatnik nie będzie spełniać warunk</w:t>
      </w:r>
      <w:r w:rsidR="00C265CF">
        <w:rPr>
          <w:rFonts w:ascii="Arial" w:eastAsia="Times New Roman" w:hAnsi="Arial" w:cs="Arial"/>
          <w:lang w:eastAsia="pl-PL"/>
        </w:rPr>
        <w:t xml:space="preserve">ów korzystania ze zwolnienia we </w:t>
      </w:r>
      <w:r w:rsidRPr="00F66A65">
        <w:rPr>
          <w:rFonts w:ascii="Arial" w:eastAsia="Times New Roman" w:hAnsi="Arial" w:cs="Arial"/>
          <w:lang w:eastAsia="pl-PL"/>
        </w:rPr>
        <w:t>wszystkich państwach członkowskich, które wskazał w up</w:t>
      </w:r>
      <w:r w:rsidR="00C265CF">
        <w:rPr>
          <w:rFonts w:ascii="Arial" w:eastAsia="Times New Roman" w:hAnsi="Arial" w:cs="Arial"/>
          <w:lang w:eastAsia="pl-PL"/>
        </w:rPr>
        <w:t xml:space="preserve">rzednim powiadomieniu, właściwy </w:t>
      </w:r>
      <w:r w:rsidRPr="00F66A65">
        <w:rPr>
          <w:rFonts w:ascii="Arial" w:eastAsia="Times New Roman" w:hAnsi="Arial" w:cs="Arial"/>
          <w:lang w:eastAsia="pl-PL"/>
        </w:rPr>
        <w:t xml:space="preserve">naczelnik urzędu skarbowego obowiązany będzie wydać </w:t>
      </w:r>
      <w:r w:rsidR="00C265CF">
        <w:rPr>
          <w:rFonts w:ascii="Arial" w:eastAsia="Times New Roman" w:hAnsi="Arial" w:cs="Arial"/>
          <w:lang w:eastAsia="pl-PL"/>
        </w:rPr>
        <w:t xml:space="preserve">postanowienie o odmowie nadania </w:t>
      </w:r>
      <w:r w:rsidRPr="00F66A65">
        <w:rPr>
          <w:rFonts w:ascii="Arial" w:eastAsia="Times New Roman" w:hAnsi="Arial" w:cs="Arial"/>
          <w:lang w:eastAsia="pl-PL"/>
        </w:rPr>
        <w:t>polskiego numeru identyfikacyjnego EX, na które służy zażalenie.</w:t>
      </w:r>
    </w:p>
    <w:p w:rsidR="00F66A65" w:rsidRPr="00F66A65" w:rsidRDefault="00F66A65" w:rsidP="00F66A6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66A65">
        <w:rPr>
          <w:rFonts w:ascii="Arial" w:eastAsia="Times New Roman" w:hAnsi="Arial" w:cs="Arial"/>
          <w:lang w:eastAsia="pl-PL"/>
        </w:rPr>
        <w:t xml:space="preserve">Zmiany służące implementacji dyrektywy 2022/542 </w:t>
      </w:r>
      <w:r w:rsidR="00C265CF">
        <w:rPr>
          <w:rFonts w:ascii="Arial" w:eastAsia="Times New Roman" w:hAnsi="Arial" w:cs="Arial"/>
          <w:lang w:eastAsia="pl-PL"/>
        </w:rPr>
        <w:t xml:space="preserve">dotyczą reguł ustalania miejsca </w:t>
      </w:r>
      <w:r w:rsidRPr="00F66A65">
        <w:rPr>
          <w:rFonts w:ascii="Arial" w:eastAsia="Times New Roman" w:hAnsi="Arial" w:cs="Arial"/>
          <w:lang w:eastAsia="pl-PL"/>
        </w:rPr>
        <w:t>świadczenia niektórych usług. Zasadniczym celem tych</w:t>
      </w:r>
      <w:r w:rsidR="00C265CF">
        <w:rPr>
          <w:rFonts w:ascii="Arial" w:eastAsia="Times New Roman" w:hAnsi="Arial" w:cs="Arial"/>
          <w:lang w:eastAsia="pl-PL"/>
        </w:rPr>
        <w:t xml:space="preserve"> zmian jest bardziej precyzyjne </w:t>
      </w:r>
      <w:r w:rsidRPr="00F66A65">
        <w:rPr>
          <w:rFonts w:ascii="Arial" w:eastAsia="Times New Roman" w:hAnsi="Arial" w:cs="Arial"/>
          <w:lang w:eastAsia="pl-PL"/>
        </w:rPr>
        <w:t>odzwierciedlenie zasady opodatkowania usług podatkiem</w:t>
      </w:r>
      <w:r w:rsidR="00C265CF">
        <w:rPr>
          <w:rFonts w:ascii="Arial" w:eastAsia="Times New Roman" w:hAnsi="Arial" w:cs="Arial"/>
          <w:lang w:eastAsia="pl-PL"/>
        </w:rPr>
        <w:t xml:space="preserve"> VAT w miejscu rzeczywistej ich </w:t>
      </w:r>
      <w:r w:rsidRPr="00F66A65">
        <w:rPr>
          <w:rFonts w:ascii="Arial" w:eastAsia="Times New Roman" w:hAnsi="Arial" w:cs="Arial"/>
          <w:lang w:eastAsia="pl-PL"/>
        </w:rPr>
        <w:t>konsumpcji, w warunkach cyfrowej transformacji gospo</w:t>
      </w:r>
      <w:r w:rsidR="00C265CF">
        <w:rPr>
          <w:rFonts w:ascii="Arial" w:eastAsia="Times New Roman" w:hAnsi="Arial" w:cs="Arial"/>
          <w:lang w:eastAsia="pl-PL"/>
        </w:rPr>
        <w:t xml:space="preserve">darki. W odniesieniu do usług w </w:t>
      </w:r>
      <w:r w:rsidRPr="00F66A65">
        <w:rPr>
          <w:rFonts w:ascii="Arial" w:eastAsia="Times New Roman" w:hAnsi="Arial" w:cs="Arial"/>
          <w:lang w:eastAsia="pl-PL"/>
        </w:rPr>
        <w:t>dziedzinie kultury, sztuki, sportu, nauki, edukacji, rozrywk</w:t>
      </w:r>
      <w:r w:rsidR="00C265CF">
        <w:rPr>
          <w:rFonts w:ascii="Arial" w:eastAsia="Times New Roman" w:hAnsi="Arial" w:cs="Arial"/>
          <w:lang w:eastAsia="pl-PL"/>
        </w:rPr>
        <w:t xml:space="preserve">i oraz usług takich jak targi i </w:t>
      </w:r>
      <w:r w:rsidRPr="00F66A65">
        <w:rPr>
          <w:rFonts w:ascii="Arial" w:eastAsia="Times New Roman" w:hAnsi="Arial" w:cs="Arial"/>
          <w:lang w:eastAsia="pl-PL"/>
        </w:rPr>
        <w:t xml:space="preserve">wystawy, oraz usług pomocniczych do tych usług, </w:t>
      </w:r>
      <w:r w:rsidR="00C265CF">
        <w:rPr>
          <w:rFonts w:ascii="Arial" w:eastAsia="Times New Roman" w:hAnsi="Arial" w:cs="Arial"/>
          <w:lang w:eastAsia="pl-PL"/>
        </w:rPr>
        <w:t xml:space="preserve">świadczonych na rzecz podmiotów </w:t>
      </w:r>
      <w:r w:rsidRPr="00F66A65">
        <w:rPr>
          <w:rFonts w:ascii="Arial" w:eastAsia="Times New Roman" w:hAnsi="Arial" w:cs="Arial"/>
          <w:lang w:eastAsia="pl-PL"/>
        </w:rPr>
        <w:t>niebędących podatnikami, miejscem świadczenia jest miejsc</w:t>
      </w:r>
      <w:r w:rsidR="00C265CF">
        <w:rPr>
          <w:rFonts w:ascii="Arial" w:eastAsia="Times New Roman" w:hAnsi="Arial" w:cs="Arial"/>
          <w:lang w:eastAsia="pl-PL"/>
        </w:rPr>
        <w:t xml:space="preserve">e, w którym działalność ta jest </w:t>
      </w:r>
      <w:r w:rsidRPr="00F66A65">
        <w:rPr>
          <w:rFonts w:ascii="Arial" w:eastAsia="Times New Roman" w:hAnsi="Arial" w:cs="Arial"/>
          <w:lang w:eastAsia="pl-PL"/>
        </w:rPr>
        <w:t>faktycznie wykonywana. Jednak w sytuacji, gdy usługi te d</w:t>
      </w:r>
      <w:r w:rsidR="00C265CF">
        <w:rPr>
          <w:rFonts w:ascii="Arial" w:eastAsia="Times New Roman" w:hAnsi="Arial" w:cs="Arial"/>
          <w:lang w:eastAsia="pl-PL"/>
        </w:rPr>
        <w:t xml:space="preserve">otyczą działalności, która jest </w:t>
      </w:r>
      <w:r w:rsidRPr="00F66A65">
        <w:rPr>
          <w:rFonts w:ascii="Arial" w:eastAsia="Times New Roman" w:hAnsi="Arial" w:cs="Arial"/>
          <w:lang w:eastAsia="pl-PL"/>
        </w:rPr>
        <w:t>transmitowana lub w inny sposób udostępniana wirtualn</w:t>
      </w:r>
      <w:r w:rsidR="00C265CF">
        <w:rPr>
          <w:rFonts w:ascii="Arial" w:eastAsia="Times New Roman" w:hAnsi="Arial" w:cs="Arial"/>
          <w:lang w:eastAsia="pl-PL"/>
        </w:rPr>
        <w:t xml:space="preserve">ie, miejscem świadczenia będzie </w:t>
      </w:r>
      <w:r w:rsidRPr="00F66A65">
        <w:rPr>
          <w:rFonts w:ascii="Arial" w:eastAsia="Times New Roman" w:hAnsi="Arial" w:cs="Arial"/>
          <w:lang w:eastAsia="pl-PL"/>
        </w:rPr>
        <w:t>miejsce, w którym podmiot niebędący podatnikiem, na</w:t>
      </w:r>
      <w:r w:rsidR="00C265CF">
        <w:rPr>
          <w:rFonts w:ascii="Arial" w:eastAsia="Times New Roman" w:hAnsi="Arial" w:cs="Arial"/>
          <w:lang w:eastAsia="pl-PL"/>
        </w:rPr>
        <w:t xml:space="preserve"> rzecz którego są świadczone te usługi, </w:t>
      </w:r>
      <w:r w:rsidRPr="00F66A65">
        <w:rPr>
          <w:rFonts w:ascii="Arial" w:eastAsia="Times New Roman" w:hAnsi="Arial" w:cs="Arial"/>
          <w:lang w:eastAsia="pl-PL"/>
        </w:rPr>
        <w:t>posiada siedzibę, stałe miejsce zamieszkania lub zwykłe miejsce pobytu.</w:t>
      </w:r>
    </w:p>
    <w:p w:rsidR="00C265CF" w:rsidRDefault="00C265CF" w:rsidP="00F66A6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F66A65" w:rsidRPr="00F66A65" w:rsidRDefault="00F66A65" w:rsidP="00F66A6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66A65">
        <w:rPr>
          <w:rFonts w:ascii="Arial" w:eastAsia="Times New Roman" w:hAnsi="Arial" w:cs="Arial"/>
          <w:lang w:eastAsia="pl-PL"/>
        </w:rPr>
        <w:t xml:space="preserve">Ustawa wchodzi w życie z dniem 1 stycznia 2025 r., z </w:t>
      </w:r>
      <w:r w:rsidR="00C265CF">
        <w:rPr>
          <w:rFonts w:ascii="Arial" w:eastAsia="Times New Roman" w:hAnsi="Arial" w:cs="Arial"/>
          <w:lang w:eastAsia="pl-PL"/>
        </w:rPr>
        <w:t xml:space="preserve">wyjątkiem art. 8, który wchodzi </w:t>
      </w:r>
      <w:r w:rsidRPr="00F66A65">
        <w:rPr>
          <w:rFonts w:ascii="Arial" w:eastAsia="Times New Roman" w:hAnsi="Arial" w:cs="Arial"/>
          <w:lang w:eastAsia="pl-PL"/>
        </w:rPr>
        <w:t>w życie z dniem następującym po dniu ogłoszenia.</w:t>
      </w:r>
    </w:p>
    <w:p w:rsidR="0071077D" w:rsidRPr="00F66A65" w:rsidRDefault="0071077D" w:rsidP="00F66A6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71077D" w:rsidRPr="00FA53A3" w:rsidRDefault="0071077D" w:rsidP="004E1860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hAnsi="Arial" w:cs="Arial"/>
          <w:u w:val="single"/>
        </w:rPr>
        <w:lastRenderedPageBreak/>
        <w:t xml:space="preserve">Ustawa </w:t>
      </w:r>
      <w:r w:rsidR="004E1860" w:rsidRPr="004E1860">
        <w:rPr>
          <w:rFonts w:ascii="Arial" w:hAnsi="Arial" w:cs="Arial"/>
          <w:u w:val="single"/>
        </w:rPr>
        <w:t>z dnia 19 listopada 2024 r. o zmianie ustawy o podatku rolnym, ustawy o podatkach i opłatach lokalnych oraz ustawy o opłacie skarbowej</w:t>
      </w:r>
    </w:p>
    <w:p w:rsidR="00FA53A3" w:rsidRDefault="00FA53A3" w:rsidP="00FA53A3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</w:p>
    <w:p w:rsidR="00FA53A3" w:rsidRPr="00287656" w:rsidRDefault="00FA53A3" w:rsidP="00FA53A3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87656">
        <w:rPr>
          <w:rFonts w:ascii="Arial" w:eastAsia="Times New Roman" w:hAnsi="Arial" w:cs="Arial"/>
          <w:lang w:eastAsia="pl-PL"/>
        </w:rPr>
        <w:t xml:space="preserve">Powyższy akt prawny opublikowany został </w:t>
      </w:r>
      <w:r>
        <w:rPr>
          <w:rFonts w:ascii="Arial" w:eastAsia="Times New Roman" w:hAnsi="Arial" w:cs="Arial"/>
          <w:lang w:eastAsia="pl-PL"/>
        </w:rPr>
        <w:t>29 listopada</w:t>
      </w:r>
      <w:r w:rsidRPr="00287656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24</w:t>
      </w:r>
      <w:r w:rsidRPr="00287656">
        <w:rPr>
          <w:rFonts w:ascii="Arial" w:eastAsia="Times New Roman" w:hAnsi="Arial" w:cs="Arial"/>
          <w:lang w:eastAsia="pl-PL"/>
        </w:rPr>
        <w:t xml:space="preserve"> roku w Dziennik</w:t>
      </w:r>
      <w:r>
        <w:rPr>
          <w:rFonts w:ascii="Arial" w:eastAsia="Times New Roman" w:hAnsi="Arial" w:cs="Arial"/>
          <w:lang w:eastAsia="pl-PL"/>
        </w:rPr>
        <w:t>u Ustaw (Dz.U. z 2024, poz. 1757</w:t>
      </w:r>
      <w:r w:rsidRPr="00287656">
        <w:rPr>
          <w:rFonts w:ascii="Arial" w:eastAsia="Times New Roman" w:hAnsi="Arial" w:cs="Arial"/>
          <w:lang w:eastAsia="pl-PL"/>
        </w:rPr>
        <w:t>).</w:t>
      </w:r>
    </w:p>
    <w:p w:rsidR="00FA53A3" w:rsidRDefault="00FA53A3" w:rsidP="00FA53A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FA53A3" w:rsidRPr="004E1860" w:rsidRDefault="00FA53A3" w:rsidP="00FA53A3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4E1860">
        <w:rPr>
          <w:rFonts w:ascii="Arial" w:eastAsia="Times New Roman" w:hAnsi="Arial" w:cs="Arial"/>
          <w:lang w:eastAsia="pl-PL"/>
        </w:rPr>
        <w:t>Deklarowanym celem ustawy jest wyeliminowani</w:t>
      </w:r>
      <w:r>
        <w:rPr>
          <w:rFonts w:ascii="Arial" w:eastAsia="Times New Roman" w:hAnsi="Arial" w:cs="Arial"/>
          <w:lang w:eastAsia="pl-PL"/>
        </w:rPr>
        <w:t xml:space="preserve">e wątpliwości interpretacyjnych </w:t>
      </w:r>
      <w:r w:rsidRPr="004E1860">
        <w:rPr>
          <w:rFonts w:ascii="Arial" w:eastAsia="Times New Roman" w:hAnsi="Arial" w:cs="Arial"/>
          <w:lang w:eastAsia="pl-PL"/>
        </w:rPr>
        <w:t>przez doprecyzowanie obowiązujących przepisów i tym</w:t>
      </w:r>
      <w:r>
        <w:rPr>
          <w:rFonts w:ascii="Arial" w:eastAsia="Times New Roman" w:hAnsi="Arial" w:cs="Arial"/>
          <w:lang w:eastAsia="pl-PL"/>
        </w:rPr>
        <w:t xml:space="preserve"> samym zapewnienie prawidłowego </w:t>
      </w:r>
      <w:r w:rsidRPr="004E1860">
        <w:rPr>
          <w:rFonts w:ascii="Arial" w:eastAsia="Times New Roman" w:hAnsi="Arial" w:cs="Arial"/>
          <w:lang w:eastAsia="pl-PL"/>
        </w:rPr>
        <w:t>ich stosowania.</w:t>
      </w:r>
    </w:p>
    <w:p w:rsidR="00FA53A3" w:rsidRPr="004E1860" w:rsidRDefault="00FA53A3" w:rsidP="00FA53A3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4E1860">
        <w:rPr>
          <w:rFonts w:ascii="Arial" w:eastAsia="Times New Roman" w:hAnsi="Arial" w:cs="Arial"/>
          <w:lang w:eastAsia="pl-PL"/>
        </w:rPr>
        <w:t>Ustawa wprowadza zmiany w: ustawie z dnia 15 lis</w:t>
      </w:r>
      <w:r>
        <w:rPr>
          <w:rFonts w:ascii="Arial" w:eastAsia="Times New Roman" w:hAnsi="Arial" w:cs="Arial"/>
          <w:lang w:eastAsia="pl-PL"/>
        </w:rPr>
        <w:t xml:space="preserve">topada 1984 r. o podatku rolnym </w:t>
      </w:r>
      <w:r w:rsidRPr="004E1860">
        <w:rPr>
          <w:rFonts w:ascii="Arial" w:eastAsia="Times New Roman" w:hAnsi="Arial" w:cs="Arial"/>
          <w:lang w:eastAsia="pl-PL"/>
        </w:rPr>
        <w:t>(Dz. U. z 2024 r. poz. 1176 i 1635), ustawie z dnia 12 stycznia</w:t>
      </w:r>
      <w:r>
        <w:rPr>
          <w:rFonts w:ascii="Arial" w:eastAsia="Times New Roman" w:hAnsi="Arial" w:cs="Arial"/>
          <w:lang w:eastAsia="pl-PL"/>
        </w:rPr>
        <w:t xml:space="preserve"> 1991 r. o podatkach i opłatach </w:t>
      </w:r>
      <w:r w:rsidRPr="004E1860">
        <w:rPr>
          <w:rFonts w:ascii="Arial" w:eastAsia="Times New Roman" w:hAnsi="Arial" w:cs="Arial"/>
          <w:lang w:eastAsia="pl-PL"/>
        </w:rPr>
        <w:t>lokalnych (Dz. U. z 2023 r. poz. 70, 1313 i 2291 oraz z 2</w:t>
      </w:r>
      <w:r>
        <w:rPr>
          <w:rFonts w:ascii="Arial" w:eastAsia="Times New Roman" w:hAnsi="Arial" w:cs="Arial"/>
          <w:lang w:eastAsia="pl-PL"/>
        </w:rPr>
        <w:t xml:space="preserve">024 r. poz. 1572 i 1635) oraz w </w:t>
      </w:r>
      <w:r w:rsidRPr="004E1860">
        <w:rPr>
          <w:rFonts w:ascii="Arial" w:eastAsia="Times New Roman" w:hAnsi="Arial" w:cs="Arial"/>
          <w:lang w:eastAsia="pl-PL"/>
        </w:rPr>
        <w:t>ustawie z dnia 16 listopada 2006 r. o opłacie skarbowej (Dz. U. z 2023 r. poz. 2111 oraz z</w:t>
      </w:r>
      <w:r>
        <w:rPr>
          <w:rFonts w:ascii="Arial" w:eastAsia="Times New Roman" w:hAnsi="Arial" w:cs="Arial"/>
          <w:lang w:eastAsia="pl-PL"/>
        </w:rPr>
        <w:t xml:space="preserve"> </w:t>
      </w:r>
      <w:r w:rsidRPr="004E1860">
        <w:rPr>
          <w:rFonts w:ascii="Arial" w:eastAsia="Times New Roman" w:hAnsi="Arial" w:cs="Arial"/>
          <w:lang w:eastAsia="pl-PL"/>
        </w:rPr>
        <w:t>2024 r. poz. 1222).</w:t>
      </w:r>
    </w:p>
    <w:p w:rsidR="00FA53A3" w:rsidRPr="004E1860" w:rsidRDefault="00FA53A3" w:rsidP="00FA53A3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4E1860">
        <w:rPr>
          <w:rFonts w:ascii="Arial" w:eastAsia="Times New Roman" w:hAnsi="Arial" w:cs="Arial"/>
          <w:lang w:eastAsia="pl-PL"/>
        </w:rPr>
        <w:t>Zmiany w ustawie o podatku rolnym dotyczą z</w:t>
      </w:r>
      <w:r>
        <w:rPr>
          <w:rFonts w:ascii="Arial" w:eastAsia="Times New Roman" w:hAnsi="Arial" w:cs="Arial"/>
          <w:lang w:eastAsia="pl-PL"/>
        </w:rPr>
        <w:t xml:space="preserve">wolnień podmiotowych. Do ustawy </w:t>
      </w:r>
      <w:r w:rsidRPr="004E1860">
        <w:rPr>
          <w:rFonts w:ascii="Arial" w:eastAsia="Times New Roman" w:hAnsi="Arial" w:cs="Arial"/>
          <w:lang w:eastAsia="pl-PL"/>
        </w:rPr>
        <w:t>wprowadzono przepis stanowiący, że zwolnienia i ulgi podat</w:t>
      </w:r>
      <w:r>
        <w:rPr>
          <w:rFonts w:ascii="Arial" w:eastAsia="Times New Roman" w:hAnsi="Arial" w:cs="Arial"/>
          <w:lang w:eastAsia="pl-PL"/>
        </w:rPr>
        <w:t xml:space="preserve">kowe określone w art. 12 ust. 1 </w:t>
      </w:r>
      <w:r w:rsidRPr="004E1860">
        <w:rPr>
          <w:rFonts w:ascii="Arial" w:eastAsia="Times New Roman" w:hAnsi="Arial" w:cs="Arial"/>
          <w:lang w:eastAsia="pl-PL"/>
        </w:rPr>
        <w:t xml:space="preserve">pkt 3–7 i ust. 6, art. 13 i art. 13c stosuje się na wniosek podatnika </w:t>
      </w:r>
      <w:r>
        <w:rPr>
          <w:rFonts w:ascii="Arial" w:eastAsia="Times New Roman" w:hAnsi="Arial" w:cs="Arial"/>
          <w:lang w:eastAsia="pl-PL"/>
        </w:rPr>
        <w:t xml:space="preserve">w drodze decyzji. </w:t>
      </w:r>
      <w:r w:rsidRPr="004E1860">
        <w:rPr>
          <w:rFonts w:ascii="Arial" w:eastAsia="Times New Roman" w:hAnsi="Arial" w:cs="Arial"/>
          <w:lang w:eastAsia="pl-PL"/>
        </w:rPr>
        <w:t>W konsekwencji pozostałe zwolnienia i ulgi będą stosowane</w:t>
      </w:r>
      <w:r>
        <w:rPr>
          <w:rFonts w:ascii="Arial" w:eastAsia="Times New Roman" w:hAnsi="Arial" w:cs="Arial"/>
          <w:lang w:eastAsia="pl-PL"/>
        </w:rPr>
        <w:t xml:space="preserve"> z urzędu. Ustawa zawiera także </w:t>
      </w:r>
      <w:r w:rsidRPr="004E1860">
        <w:rPr>
          <w:rFonts w:ascii="Arial" w:eastAsia="Times New Roman" w:hAnsi="Arial" w:cs="Arial"/>
          <w:lang w:eastAsia="pl-PL"/>
        </w:rPr>
        <w:t>przepis przejściowy, zgodnie z którym jeżeli przed dni</w:t>
      </w:r>
      <w:r>
        <w:rPr>
          <w:rFonts w:ascii="Arial" w:eastAsia="Times New Roman" w:hAnsi="Arial" w:cs="Arial"/>
          <w:lang w:eastAsia="pl-PL"/>
        </w:rPr>
        <w:t xml:space="preserve">em wejścia w życie przedłożonej </w:t>
      </w:r>
      <w:r w:rsidRPr="004E1860">
        <w:rPr>
          <w:rFonts w:ascii="Arial" w:eastAsia="Times New Roman" w:hAnsi="Arial" w:cs="Arial"/>
          <w:lang w:eastAsia="pl-PL"/>
        </w:rPr>
        <w:t>nowelizacji wszczęto na wniosek i nie zakończono postępowania o</w:t>
      </w:r>
      <w:r>
        <w:rPr>
          <w:rFonts w:ascii="Arial" w:eastAsia="Times New Roman" w:hAnsi="Arial" w:cs="Arial"/>
          <w:lang w:eastAsia="pl-PL"/>
        </w:rPr>
        <w:t xml:space="preserve"> zastosowanie w 2025 r. </w:t>
      </w:r>
      <w:r w:rsidRPr="004E1860">
        <w:rPr>
          <w:rFonts w:ascii="Arial" w:eastAsia="Times New Roman" w:hAnsi="Arial" w:cs="Arial"/>
          <w:lang w:eastAsia="pl-PL"/>
        </w:rPr>
        <w:t>zwolnienia podmiotowego, to postępowanie umarza się, a z</w:t>
      </w:r>
      <w:r>
        <w:rPr>
          <w:rFonts w:ascii="Arial" w:eastAsia="Times New Roman" w:hAnsi="Arial" w:cs="Arial"/>
          <w:lang w:eastAsia="pl-PL"/>
        </w:rPr>
        <w:t xml:space="preserve">wolnienie stosuje się z urzędu. </w:t>
      </w:r>
      <w:r w:rsidRPr="004E1860">
        <w:rPr>
          <w:rFonts w:ascii="Arial" w:eastAsia="Times New Roman" w:hAnsi="Arial" w:cs="Arial"/>
          <w:lang w:eastAsia="pl-PL"/>
        </w:rPr>
        <w:t>Kolejna zmiana dotyczy ulgi inwestycyjnej i polega na zas</w:t>
      </w:r>
      <w:r>
        <w:rPr>
          <w:rFonts w:ascii="Arial" w:eastAsia="Times New Roman" w:hAnsi="Arial" w:cs="Arial"/>
          <w:lang w:eastAsia="pl-PL"/>
        </w:rPr>
        <w:t xml:space="preserve">tąpieniu w przepisie dotyczącym </w:t>
      </w:r>
      <w:r w:rsidRPr="004E1860">
        <w:rPr>
          <w:rFonts w:ascii="Arial" w:eastAsia="Times New Roman" w:hAnsi="Arial" w:cs="Arial"/>
          <w:lang w:eastAsia="pl-PL"/>
        </w:rPr>
        <w:t>tej ulgi powołania nieobowiązującego rozporzą</w:t>
      </w:r>
      <w:r>
        <w:rPr>
          <w:rFonts w:ascii="Arial" w:eastAsia="Times New Roman" w:hAnsi="Arial" w:cs="Arial"/>
          <w:lang w:eastAsia="pl-PL"/>
        </w:rPr>
        <w:t xml:space="preserve">dzenia Komisji (UE) nr 702/2014 </w:t>
      </w:r>
      <w:r w:rsidRPr="004E1860">
        <w:rPr>
          <w:rFonts w:ascii="Arial" w:eastAsia="Times New Roman" w:hAnsi="Arial" w:cs="Arial"/>
          <w:lang w:eastAsia="pl-PL"/>
        </w:rPr>
        <w:t>rozporządzeniem Komisji (UE) nr 2022/2472.</w:t>
      </w:r>
    </w:p>
    <w:p w:rsidR="00FA53A3" w:rsidRPr="004E1860" w:rsidRDefault="00FA53A3" w:rsidP="00FA53A3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4E1860">
        <w:rPr>
          <w:rFonts w:ascii="Arial" w:eastAsia="Times New Roman" w:hAnsi="Arial" w:cs="Arial"/>
          <w:lang w:eastAsia="pl-PL"/>
        </w:rPr>
        <w:t>Zmiany w ustawie o podatkach i opłatach lokalnyc</w:t>
      </w:r>
      <w:r>
        <w:rPr>
          <w:rFonts w:ascii="Arial" w:eastAsia="Times New Roman" w:hAnsi="Arial" w:cs="Arial"/>
          <w:lang w:eastAsia="pl-PL"/>
        </w:rPr>
        <w:t xml:space="preserve">h polegają na: (1) wprowadzeniu </w:t>
      </w:r>
      <w:r w:rsidRPr="004E1860">
        <w:rPr>
          <w:rFonts w:ascii="Arial" w:eastAsia="Times New Roman" w:hAnsi="Arial" w:cs="Arial"/>
          <w:lang w:eastAsia="pl-PL"/>
        </w:rPr>
        <w:t>nowych definicji legalnych pojęć: budynek, budowla, obie</w:t>
      </w:r>
      <w:r>
        <w:rPr>
          <w:rFonts w:ascii="Arial" w:eastAsia="Times New Roman" w:hAnsi="Arial" w:cs="Arial"/>
          <w:lang w:eastAsia="pl-PL"/>
        </w:rPr>
        <w:t xml:space="preserve">kt budowlany, roboty budowlane, </w:t>
      </w:r>
      <w:r w:rsidRPr="004E1860">
        <w:rPr>
          <w:rFonts w:ascii="Arial" w:eastAsia="Times New Roman" w:hAnsi="Arial" w:cs="Arial"/>
          <w:lang w:eastAsia="pl-PL"/>
        </w:rPr>
        <w:t>trwałe związanie z gruntem, oraz część mieszkalna budynk</w:t>
      </w:r>
      <w:r>
        <w:rPr>
          <w:rFonts w:ascii="Arial" w:eastAsia="Times New Roman" w:hAnsi="Arial" w:cs="Arial"/>
          <w:lang w:eastAsia="pl-PL"/>
        </w:rPr>
        <w:t xml:space="preserve">u mieszkalnego; (2) modyfikacji </w:t>
      </w:r>
      <w:r w:rsidRPr="004E1860">
        <w:rPr>
          <w:rFonts w:ascii="Arial" w:eastAsia="Times New Roman" w:hAnsi="Arial" w:cs="Arial"/>
          <w:lang w:eastAsia="pl-PL"/>
        </w:rPr>
        <w:t>zakresu zwolnienia dotyczącego budowli infrastr</w:t>
      </w:r>
      <w:r>
        <w:rPr>
          <w:rFonts w:ascii="Arial" w:eastAsia="Times New Roman" w:hAnsi="Arial" w:cs="Arial"/>
          <w:lang w:eastAsia="pl-PL"/>
        </w:rPr>
        <w:t xml:space="preserve">uktury portowej oraz zwolnienia </w:t>
      </w:r>
      <w:r w:rsidRPr="004E1860">
        <w:rPr>
          <w:rFonts w:ascii="Arial" w:eastAsia="Times New Roman" w:hAnsi="Arial" w:cs="Arial"/>
          <w:lang w:eastAsia="pl-PL"/>
        </w:rPr>
        <w:t>infrastruktury kolejowej i obszaru kolejowego; (3) przyzn</w:t>
      </w:r>
      <w:r>
        <w:rPr>
          <w:rFonts w:ascii="Arial" w:eastAsia="Times New Roman" w:hAnsi="Arial" w:cs="Arial"/>
          <w:lang w:eastAsia="pl-PL"/>
        </w:rPr>
        <w:t xml:space="preserve">aniu radzie gminy prawa </w:t>
      </w:r>
      <w:r w:rsidRPr="004E1860">
        <w:rPr>
          <w:rFonts w:ascii="Arial" w:eastAsia="Times New Roman" w:hAnsi="Arial" w:cs="Arial"/>
          <w:lang w:eastAsia="pl-PL"/>
        </w:rPr>
        <w:t>do wprowadzenia, w drodze uchwały, obowiązku prowadz</w:t>
      </w:r>
      <w:r>
        <w:rPr>
          <w:rFonts w:ascii="Arial" w:eastAsia="Times New Roman" w:hAnsi="Arial" w:cs="Arial"/>
          <w:lang w:eastAsia="pl-PL"/>
        </w:rPr>
        <w:t xml:space="preserve">enia przez inkasentów ewidencji </w:t>
      </w:r>
      <w:r w:rsidRPr="004E1860">
        <w:rPr>
          <w:rFonts w:ascii="Arial" w:eastAsia="Times New Roman" w:hAnsi="Arial" w:cs="Arial"/>
          <w:lang w:eastAsia="pl-PL"/>
        </w:rPr>
        <w:t>osób zobowiązanych do uiszczania opłaty uzdrowisko</w:t>
      </w:r>
      <w:r>
        <w:rPr>
          <w:rFonts w:ascii="Arial" w:eastAsia="Times New Roman" w:hAnsi="Arial" w:cs="Arial"/>
          <w:lang w:eastAsia="pl-PL"/>
        </w:rPr>
        <w:t xml:space="preserve">wej; (4) wprowadzeniu do ustawy </w:t>
      </w:r>
      <w:r w:rsidRPr="004E1860">
        <w:rPr>
          <w:rFonts w:ascii="Arial" w:eastAsia="Times New Roman" w:hAnsi="Arial" w:cs="Arial"/>
          <w:lang w:eastAsia="pl-PL"/>
        </w:rPr>
        <w:t>załącznika nr 4. Ustawa zawiera także przepis przejściowy, zgodnie</w:t>
      </w:r>
      <w:r>
        <w:rPr>
          <w:rFonts w:ascii="Arial" w:eastAsia="Times New Roman" w:hAnsi="Arial" w:cs="Arial"/>
          <w:lang w:eastAsia="pl-PL"/>
        </w:rPr>
        <w:t xml:space="preserve"> z którym podatnicy, w </w:t>
      </w:r>
      <w:r w:rsidRPr="004E1860">
        <w:rPr>
          <w:rFonts w:ascii="Arial" w:eastAsia="Times New Roman" w:hAnsi="Arial" w:cs="Arial"/>
          <w:lang w:eastAsia="pl-PL"/>
        </w:rPr>
        <w:t>odniesieniu do których zobowiązanie podatkowe w podat</w:t>
      </w:r>
      <w:r>
        <w:rPr>
          <w:rFonts w:ascii="Arial" w:eastAsia="Times New Roman" w:hAnsi="Arial" w:cs="Arial"/>
          <w:lang w:eastAsia="pl-PL"/>
        </w:rPr>
        <w:t xml:space="preserve">ku od nieruchomości powstaje ex </w:t>
      </w:r>
      <w:r w:rsidRPr="004E1860">
        <w:rPr>
          <w:rFonts w:ascii="Arial" w:eastAsia="Times New Roman" w:hAnsi="Arial" w:cs="Arial"/>
          <w:lang w:eastAsia="pl-PL"/>
        </w:rPr>
        <w:t>lege w 2025 r. mogą składać deklaracje na podatek od nieru</w:t>
      </w:r>
      <w:r>
        <w:rPr>
          <w:rFonts w:ascii="Arial" w:eastAsia="Times New Roman" w:hAnsi="Arial" w:cs="Arial"/>
          <w:lang w:eastAsia="pl-PL"/>
        </w:rPr>
        <w:t xml:space="preserve">chomości na rok 2025 w terminie </w:t>
      </w:r>
      <w:r w:rsidRPr="004E1860">
        <w:rPr>
          <w:rFonts w:ascii="Arial" w:eastAsia="Times New Roman" w:hAnsi="Arial" w:cs="Arial"/>
          <w:lang w:eastAsia="pl-PL"/>
        </w:rPr>
        <w:t>do dnia 31 marca 2025 r., jeżeli spełnią określone w ustawie warunki.</w:t>
      </w:r>
    </w:p>
    <w:p w:rsidR="00FA53A3" w:rsidRPr="004E1860" w:rsidRDefault="00FA53A3" w:rsidP="00FA53A3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4E1860">
        <w:rPr>
          <w:rFonts w:ascii="Arial" w:eastAsia="Times New Roman" w:hAnsi="Arial" w:cs="Arial"/>
          <w:lang w:eastAsia="pl-PL"/>
        </w:rPr>
        <w:t>Zmiany w ustawie o opłacie skarbowej pol</w:t>
      </w:r>
      <w:r>
        <w:rPr>
          <w:rFonts w:ascii="Arial" w:eastAsia="Times New Roman" w:hAnsi="Arial" w:cs="Arial"/>
          <w:lang w:eastAsia="pl-PL"/>
        </w:rPr>
        <w:t xml:space="preserve">egają na wprowadzeniu przepisów </w:t>
      </w:r>
      <w:r w:rsidRPr="004E1860">
        <w:rPr>
          <w:rFonts w:ascii="Arial" w:eastAsia="Times New Roman" w:hAnsi="Arial" w:cs="Arial"/>
          <w:lang w:eastAsia="pl-PL"/>
        </w:rPr>
        <w:t xml:space="preserve">dotyczących obowiązku przekazywania właściwemu </w:t>
      </w:r>
      <w:r>
        <w:rPr>
          <w:rFonts w:ascii="Arial" w:eastAsia="Times New Roman" w:hAnsi="Arial" w:cs="Arial"/>
          <w:lang w:eastAsia="pl-PL"/>
        </w:rPr>
        <w:t xml:space="preserve">organowi podatkowemu informacji </w:t>
      </w:r>
      <w:r w:rsidRPr="004E1860">
        <w:rPr>
          <w:rFonts w:ascii="Arial" w:eastAsia="Times New Roman" w:hAnsi="Arial" w:cs="Arial"/>
          <w:lang w:eastAsia="pl-PL"/>
        </w:rPr>
        <w:t>przez organ administracji publicznej, który doko</w:t>
      </w:r>
      <w:r>
        <w:rPr>
          <w:rFonts w:ascii="Arial" w:eastAsia="Times New Roman" w:hAnsi="Arial" w:cs="Arial"/>
          <w:lang w:eastAsia="pl-PL"/>
        </w:rPr>
        <w:t xml:space="preserve">nał czynności urzędowej wskutek </w:t>
      </w:r>
      <w:r w:rsidRPr="004E1860">
        <w:rPr>
          <w:rFonts w:ascii="Arial" w:eastAsia="Times New Roman" w:hAnsi="Arial" w:cs="Arial"/>
          <w:lang w:eastAsia="pl-PL"/>
        </w:rPr>
        <w:t>przekazania mu sprawy w związku ze zmianą organu właś</w:t>
      </w:r>
      <w:r>
        <w:rPr>
          <w:rFonts w:ascii="Arial" w:eastAsia="Times New Roman" w:hAnsi="Arial" w:cs="Arial"/>
          <w:lang w:eastAsia="pl-PL"/>
        </w:rPr>
        <w:t xml:space="preserve">ciwego w sprawie, o zmianie tej </w:t>
      </w:r>
      <w:r w:rsidRPr="004E1860">
        <w:rPr>
          <w:rFonts w:ascii="Arial" w:eastAsia="Times New Roman" w:hAnsi="Arial" w:cs="Arial"/>
          <w:lang w:eastAsia="pl-PL"/>
        </w:rPr>
        <w:t>właściwości (w efekcie której nastąpiła zmiana beneficjen</w:t>
      </w:r>
      <w:r>
        <w:rPr>
          <w:rFonts w:ascii="Arial" w:eastAsia="Times New Roman" w:hAnsi="Arial" w:cs="Arial"/>
          <w:lang w:eastAsia="pl-PL"/>
        </w:rPr>
        <w:t xml:space="preserve">ta wpływów z opłaty skarbowej). </w:t>
      </w:r>
      <w:r w:rsidRPr="004E1860">
        <w:rPr>
          <w:rFonts w:ascii="Arial" w:eastAsia="Times New Roman" w:hAnsi="Arial" w:cs="Arial"/>
          <w:lang w:eastAsia="pl-PL"/>
        </w:rPr>
        <w:t>Druga zmiana dotyczy określenia organów właściwyc</w:t>
      </w:r>
      <w:r>
        <w:rPr>
          <w:rFonts w:ascii="Arial" w:eastAsia="Times New Roman" w:hAnsi="Arial" w:cs="Arial"/>
          <w:lang w:eastAsia="pl-PL"/>
        </w:rPr>
        <w:t xml:space="preserve">h w sprawach opłaty skarbowej w </w:t>
      </w:r>
      <w:r w:rsidRPr="004E1860">
        <w:rPr>
          <w:rFonts w:ascii="Arial" w:eastAsia="Times New Roman" w:hAnsi="Arial" w:cs="Arial"/>
          <w:lang w:eastAsia="pl-PL"/>
        </w:rPr>
        <w:t xml:space="preserve">przypadku złożenia dokumentu stwierdzającego udzielenie </w:t>
      </w:r>
      <w:r>
        <w:rPr>
          <w:rFonts w:ascii="Arial" w:eastAsia="Times New Roman" w:hAnsi="Arial" w:cs="Arial"/>
          <w:lang w:eastAsia="pl-PL"/>
        </w:rPr>
        <w:t xml:space="preserve">pełnomocnictwa lub prokury oraz </w:t>
      </w:r>
      <w:r w:rsidRPr="004E1860">
        <w:rPr>
          <w:rFonts w:ascii="Arial" w:eastAsia="Times New Roman" w:hAnsi="Arial" w:cs="Arial"/>
          <w:lang w:eastAsia="pl-PL"/>
        </w:rPr>
        <w:t>jego odpisu, wypisu lub kopii w formie elektron</w:t>
      </w:r>
      <w:r>
        <w:rPr>
          <w:rFonts w:ascii="Arial" w:eastAsia="Times New Roman" w:hAnsi="Arial" w:cs="Arial"/>
          <w:lang w:eastAsia="pl-PL"/>
        </w:rPr>
        <w:t xml:space="preserve">icznej za pośrednictwem systemu </w:t>
      </w:r>
      <w:r w:rsidRPr="004E1860">
        <w:rPr>
          <w:rFonts w:ascii="Arial" w:eastAsia="Times New Roman" w:hAnsi="Arial" w:cs="Arial"/>
          <w:lang w:eastAsia="pl-PL"/>
        </w:rPr>
        <w:t>teleinformatycznego. Ustawa wprowadza także zmia</w:t>
      </w:r>
      <w:r>
        <w:rPr>
          <w:rFonts w:ascii="Arial" w:eastAsia="Times New Roman" w:hAnsi="Arial" w:cs="Arial"/>
          <w:lang w:eastAsia="pl-PL"/>
        </w:rPr>
        <w:t xml:space="preserve">nę w załączniku do ustawy Wykaz </w:t>
      </w:r>
      <w:r w:rsidRPr="004E1860">
        <w:rPr>
          <w:rFonts w:ascii="Arial" w:eastAsia="Times New Roman" w:hAnsi="Arial" w:cs="Arial"/>
          <w:lang w:eastAsia="pl-PL"/>
        </w:rPr>
        <w:t>przedmiotów opłaty skarbowej, stawki tej opłaty oraz zwolnienia.</w:t>
      </w:r>
    </w:p>
    <w:p w:rsidR="00FA53A3" w:rsidRDefault="00FA53A3" w:rsidP="00FA53A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FA53A3" w:rsidRDefault="00FA53A3" w:rsidP="00FA53A3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4E1860">
        <w:rPr>
          <w:rFonts w:ascii="Arial" w:eastAsia="Times New Roman" w:hAnsi="Arial" w:cs="Arial"/>
          <w:lang w:eastAsia="pl-PL"/>
        </w:rPr>
        <w:t>Ustawa wchodzi w życie z dniem 1 stycznia 2025 r</w:t>
      </w:r>
      <w:r>
        <w:rPr>
          <w:rFonts w:ascii="Arial" w:eastAsia="Times New Roman" w:hAnsi="Arial" w:cs="Arial"/>
          <w:lang w:eastAsia="pl-PL"/>
        </w:rPr>
        <w:t>.</w:t>
      </w:r>
    </w:p>
    <w:p w:rsidR="00FA53A3" w:rsidRDefault="00FA53A3" w:rsidP="00FA53A3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</w:p>
    <w:p w:rsidR="00FA53A3" w:rsidRDefault="00FA53A3" w:rsidP="00FA53A3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</w:p>
    <w:p w:rsidR="00FA53A3" w:rsidRPr="00FA53A3" w:rsidRDefault="00FA53A3" w:rsidP="00FA53A3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</w:p>
    <w:p w:rsidR="00FA53A3" w:rsidRDefault="00FA53A3" w:rsidP="00FA53A3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FA53A3">
        <w:rPr>
          <w:rFonts w:ascii="Arial" w:eastAsia="Times New Roman" w:hAnsi="Arial" w:cs="Arial"/>
          <w:u w:val="single"/>
          <w:lang w:eastAsia="pl-PL"/>
        </w:rPr>
        <w:t>Rozporządzenie Ministra Klimatu i Środowiska z dnia 29 listopada 2024 r. w sprawie wysokości stawki opłaty kogeneracyjnej na rok 2025</w:t>
      </w:r>
    </w:p>
    <w:p w:rsidR="00FA53A3" w:rsidRDefault="00FA53A3" w:rsidP="00FA53A3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</w:p>
    <w:p w:rsidR="00FA53A3" w:rsidRPr="00FA53A3" w:rsidRDefault="00FA53A3" w:rsidP="00FA53A3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FA53A3">
        <w:rPr>
          <w:rFonts w:ascii="Arial" w:eastAsia="Times New Roman" w:hAnsi="Arial" w:cs="Arial"/>
          <w:u w:val="single"/>
          <w:lang w:eastAsia="pl-PL"/>
        </w:rPr>
        <w:t>Powyższy akt prawny opublikowany został 29 listopada 2024 roku w Dziennik</w:t>
      </w:r>
      <w:r>
        <w:rPr>
          <w:rFonts w:ascii="Arial" w:eastAsia="Times New Roman" w:hAnsi="Arial" w:cs="Arial"/>
          <w:u w:val="single"/>
          <w:lang w:eastAsia="pl-PL"/>
        </w:rPr>
        <w:t>u Ustaw (Dz.U. z 2024, poz. 1759</w:t>
      </w:r>
      <w:r w:rsidRPr="00FA53A3">
        <w:rPr>
          <w:rFonts w:ascii="Arial" w:eastAsia="Times New Roman" w:hAnsi="Arial" w:cs="Arial"/>
          <w:u w:val="single"/>
          <w:lang w:eastAsia="pl-PL"/>
        </w:rPr>
        <w:t>).</w:t>
      </w:r>
    </w:p>
    <w:p w:rsidR="004E1860" w:rsidRPr="004E1860" w:rsidRDefault="004E1860" w:rsidP="004E1860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</w:p>
    <w:p w:rsidR="0071077D" w:rsidRDefault="00FA53A3" w:rsidP="004E1860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Rozporządzenie określa w</w:t>
      </w:r>
      <w:r w:rsidRPr="00FA53A3">
        <w:rPr>
          <w:rFonts w:ascii="Arial" w:eastAsia="Times New Roman" w:hAnsi="Arial" w:cs="Arial"/>
          <w:lang w:eastAsia="pl-PL"/>
        </w:rPr>
        <w:t>ysokość stawki opłaty kogeneracyjnej na rok 2025</w:t>
      </w:r>
      <w:r>
        <w:rPr>
          <w:rFonts w:ascii="Arial" w:eastAsia="Times New Roman" w:hAnsi="Arial" w:cs="Arial"/>
          <w:lang w:eastAsia="pl-PL"/>
        </w:rPr>
        <w:t>.</w:t>
      </w:r>
      <w:r w:rsidRPr="00FA53A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</w:t>
      </w:r>
      <w:r w:rsidRPr="00FA53A3">
        <w:rPr>
          <w:rFonts w:ascii="Arial" w:eastAsia="Times New Roman" w:hAnsi="Arial" w:cs="Arial"/>
          <w:lang w:eastAsia="pl-PL"/>
        </w:rPr>
        <w:t xml:space="preserve">ynosi </w:t>
      </w:r>
      <w:r>
        <w:rPr>
          <w:rFonts w:ascii="Arial" w:eastAsia="Times New Roman" w:hAnsi="Arial" w:cs="Arial"/>
          <w:lang w:eastAsia="pl-PL"/>
        </w:rPr>
        <w:t xml:space="preserve">ona </w:t>
      </w:r>
      <w:r w:rsidRPr="00FA53A3">
        <w:rPr>
          <w:rFonts w:ascii="Arial" w:eastAsia="Times New Roman" w:hAnsi="Arial" w:cs="Arial"/>
          <w:lang w:eastAsia="pl-PL"/>
        </w:rPr>
        <w:t>3,00 zł/MWh</w:t>
      </w:r>
      <w:r w:rsidR="004E1860" w:rsidRPr="004E1860">
        <w:rPr>
          <w:rFonts w:ascii="Arial" w:eastAsia="Times New Roman" w:hAnsi="Arial" w:cs="Arial"/>
          <w:lang w:eastAsia="pl-PL"/>
        </w:rPr>
        <w:t>.</w:t>
      </w:r>
      <w:r w:rsidR="004E1860" w:rsidRPr="004E1860">
        <w:rPr>
          <w:rStyle w:val="markedcontent"/>
          <w:rFonts w:ascii="Arial" w:eastAsia="Times New Roman" w:hAnsi="Arial" w:cs="Arial"/>
          <w:lang w:eastAsia="pl-PL"/>
        </w:rPr>
        <w:t xml:space="preserve"> </w:t>
      </w:r>
    </w:p>
    <w:p w:rsidR="00FA53A3" w:rsidRDefault="00FA53A3" w:rsidP="004E1860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</w:p>
    <w:p w:rsidR="00FA53A3" w:rsidRPr="004E1860" w:rsidRDefault="00FA53A3" w:rsidP="004E1860">
      <w:pPr>
        <w:spacing w:after="0"/>
        <w:jc w:val="both"/>
        <w:rPr>
          <w:rStyle w:val="markedcontent"/>
          <w:rFonts w:ascii="Arial" w:eastAsia="Times New Roman" w:hAnsi="Arial" w:cs="Arial"/>
          <w:lang w:eastAsia="pl-PL"/>
        </w:rPr>
      </w:pPr>
      <w:r>
        <w:rPr>
          <w:rStyle w:val="markedcontent"/>
          <w:rFonts w:ascii="Arial" w:eastAsia="Times New Roman" w:hAnsi="Arial" w:cs="Arial"/>
          <w:lang w:eastAsia="pl-PL"/>
        </w:rPr>
        <w:t>Rozporządzenie</w:t>
      </w:r>
      <w:r w:rsidRPr="00FA53A3">
        <w:rPr>
          <w:rStyle w:val="markedcontent"/>
          <w:rFonts w:ascii="Arial" w:eastAsia="Times New Roman" w:hAnsi="Arial" w:cs="Arial"/>
          <w:lang w:eastAsia="pl-PL"/>
        </w:rPr>
        <w:t xml:space="preserve"> wchodzi w życie z dniem 1 stycznia 2025 r.</w:t>
      </w:r>
    </w:p>
    <w:p w:rsidR="0071077D" w:rsidRPr="00FA53A3" w:rsidRDefault="0071077D" w:rsidP="00FA53A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71077D" w:rsidRDefault="0071077D" w:rsidP="0071077D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274575" w:rsidRDefault="00274575" w:rsidP="0071077D">
      <w:pPr>
        <w:spacing w:after="0"/>
      </w:pPr>
    </w:p>
    <w:sectPr w:rsidR="00274575" w:rsidSect="008D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2F66"/>
    <w:multiLevelType w:val="hybridMultilevel"/>
    <w:tmpl w:val="2DE40A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C005F1"/>
    <w:multiLevelType w:val="hybridMultilevel"/>
    <w:tmpl w:val="6F92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64FCE"/>
    <w:multiLevelType w:val="hybridMultilevel"/>
    <w:tmpl w:val="ABB0EF4E"/>
    <w:lvl w:ilvl="0" w:tplc="7CDEB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4088E"/>
    <w:multiLevelType w:val="hybridMultilevel"/>
    <w:tmpl w:val="CAF21E52"/>
    <w:lvl w:ilvl="0" w:tplc="43D837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80FD5"/>
    <w:multiLevelType w:val="hybridMultilevel"/>
    <w:tmpl w:val="52A4B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D00C6"/>
    <w:multiLevelType w:val="hybridMultilevel"/>
    <w:tmpl w:val="82C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E2CDD"/>
    <w:multiLevelType w:val="hybridMultilevel"/>
    <w:tmpl w:val="6FC66D7A"/>
    <w:lvl w:ilvl="0" w:tplc="0FA6B0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7D"/>
    <w:rsid w:val="00274575"/>
    <w:rsid w:val="00447ED9"/>
    <w:rsid w:val="004E1860"/>
    <w:rsid w:val="0071077D"/>
    <w:rsid w:val="00B2086F"/>
    <w:rsid w:val="00C265CF"/>
    <w:rsid w:val="00F66A65"/>
    <w:rsid w:val="00FA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77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1077D"/>
  </w:style>
  <w:style w:type="paragraph" w:styleId="Tekstdymka">
    <w:name w:val="Balloon Text"/>
    <w:basedOn w:val="Normalny"/>
    <w:link w:val="TekstdymkaZnak"/>
    <w:uiPriority w:val="99"/>
    <w:semiHidden/>
    <w:unhideWhenUsed/>
    <w:rsid w:val="0071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7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2086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208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77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1077D"/>
  </w:style>
  <w:style w:type="paragraph" w:styleId="Tekstdymka">
    <w:name w:val="Balloon Text"/>
    <w:basedOn w:val="Normalny"/>
    <w:link w:val="TekstdymkaZnak"/>
    <w:uiPriority w:val="99"/>
    <w:semiHidden/>
    <w:unhideWhenUsed/>
    <w:rsid w:val="0071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7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2086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208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islacja.rcl.gov.pl/projekt/12392000/katalog/13096958#130969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2421</Words>
  <Characters>14526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Związek Pracodawców Polska Miedź</Company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ZPPM</dc:creator>
  <cp:lastModifiedBy>ZPPM</cp:lastModifiedBy>
  <cp:revision>1</cp:revision>
  <dcterms:created xsi:type="dcterms:W3CDTF">2024-12-03T09:09:00Z</dcterms:created>
  <dcterms:modified xsi:type="dcterms:W3CDTF">2024-12-03T10:47:00Z</dcterms:modified>
</cp:coreProperties>
</file>