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74" w:rsidRPr="00586923" w:rsidRDefault="009C1774" w:rsidP="009C1774">
      <w:pPr>
        <w:rPr>
          <w:rFonts w:ascii="Arial" w:hAnsi="Arial" w:cs="Arial"/>
        </w:rPr>
      </w:pPr>
      <w:r w:rsidRPr="00586923">
        <w:rPr>
          <w:rFonts w:ascii="Arial" w:hAnsi="Arial" w:cs="Arial"/>
          <w:noProof/>
          <w:lang w:eastAsia="pl-PL"/>
        </w:rPr>
        <w:drawing>
          <wp:inline distT="0" distB="0" distL="0" distR="0" wp14:anchorId="7865D228" wp14:editId="753C370C">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9C1774" w:rsidRDefault="009C1774" w:rsidP="009C1774">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9C1774" w:rsidRPr="00586923" w:rsidRDefault="009C1774" w:rsidP="009C1774">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9C1774" w:rsidRPr="00586923" w:rsidRDefault="009C1774" w:rsidP="009C1774">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w:t>
      </w:r>
      <w:r>
        <w:rPr>
          <w:rFonts w:ascii="Arial" w:hAnsi="Arial" w:cs="Arial"/>
          <w:b/>
        </w:rPr>
        <w:t xml:space="preserve"> </w:t>
      </w:r>
      <w:r w:rsidRPr="00586923">
        <w:rPr>
          <w:rFonts w:ascii="Arial" w:hAnsi="Arial" w:cs="Arial"/>
          <w:b/>
        </w:rPr>
        <w:t xml:space="preserve">do </w:t>
      </w:r>
      <w:r>
        <w:rPr>
          <w:rFonts w:ascii="Arial" w:hAnsi="Arial" w:cs="Arial"/>
          <w:b/>
        </w:rPr>
        <w:t>8</w:t>
      </w:r>
      <w:r>
        <w:rPr>
          <w:rFonts w:ascii="Arial" w:hAnsi="Arial" w:cs="Arial"/>
          <w:b/>
        </w:rPr>
        <w:t xml:space="preserve"> </w:t>
      </w:r>
      <w:r>
        <w:rPr>
          <w:rFonts w:ascii="Arial" w:hAnsi="Arial" w:cs="Arial"/>
          <w:b/>
        </w:rPr>
        <w:t>grudnia</w:t>
      </w:r>
      <w:r w:rsidRPr="00586923">
        <w:rPr>
          <w:rFonts w:ascii="Arial" w:hAnsi="Arial" w:cs="Arial"/>
          <w:b/>
        </w:rPr>
        <w:t xml:space="preserve"> 202</w:t>
      </w:r>
      <w:r>
        <w:rPr>
          <w:rFonts w:ascii="Arial" w:hAnsi="Arial" w:cs="Arial"/>
          <w:b/>
        </w:rPr>
        <w:t>4</w:t>
      </w:r>
      <w:r w:rsidRPr="00586923">
        <w:rPr>
          <w:rFonts w:ascii="Arial" w:hAnsi="Arial" w:cs="Arial"/>
          <w:b/>
        </w:rPr>
        <w:t xml:space="preserve"> roku</w:t>
      </w:r>
    </w:p>
    <w:p w:rsidR="009C1774" w:rsidRPr="00AC3187" w:rsidRDefault="009C1774" w:rsidP="009C1774">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9</w:t>
      </w:r>
      <w:r w:rsidRPr="00AC3187">
        <w:rPr>
          <w:rFonts w:ascii="Arial" w:hAnsi="Arial" w:cs="Arial"/>
        </w:rPr>
        <w:t xml:space="preserve"> </w:t>
      </w:r>
      <w:r>
        <w:rPr>
          <w:rFonts w:ascii="Arial" w:hAnsi="Arial" w:cs="Arial"/>
        </w:rPr>
        <w:t>grudnia</w:t>
      </w:r>
      <w:r w:rsidRPr="00AC3187">
        <w:rPr>
          <w:rFonts w:ascii="Arial" w:hAnsi="Arial" w:cs="Arial"/>
        </w:rPr>
        <w:t xml:space="preserve"> 202</w:t>
      </w:r>
      <w:r>
        <w:rPr>
          <w:rFonts w:ascii="Arial" w:hAnsi="Arial" w:cs="Arial"/>
        </w:rPr>
        <w:t>4</w:t>
      </w:r>
      <w:r w:rsidRPr="00AC3187">
        <w:rPr>
          <w:rFonts w:ascii="Arial" w:hAnsi="Arial" w:cs="Arial"/>
        </w:rPr>
        <w:t xml:space="preserve"> roku</w:t>
      </w:r>
    </w:p>
    <w:p w:rsidR="009C1774" w:rsidRPr="00586923" w:rsidRDefault="009C1774" w:rsidP="009C1774">
      <w:pPr>
        <w:spacing w:after="0" w:line="240" w:lineRule="auto"/>
        <w:jc w:val="both"/>
        <w:rPr>
          <w:rFonts w:ascii="Arial" w:hAnsi="Arial" w:cs="Arial"/>
        </w:rPr>
      </w:pPr>
    </w:p>
    <w:p w:rsidR="009C1774" w:rsidRPr="00287656" w:rsidRDefault="009C1774" w:rsidP="000A6439">
      <w:pPr>
        <w:pStyle w:val="Akapitzlist"/>
        <w:numPr>
          <w:ilvl w:val="0"/>
          <w:numId w:val="1"/>
        </w:numPr>
        <w:spacing w:after="0"/>
        <w:ind w:left="284" w:hanging="284"/>
        <w:jc w:val="both"/>
        <w:rPr>
          <w:rFonts w:ascii="Arial" w:hAnsi="Arial" w:cs="Arial"/>
          <w:b/>
          <w:u w:val="single"/>
        </w:rPr>
      </w:pPr>
      <w:r w:rsidRPr="00287656">
        <w:rPr>
          <w:rFonts w:ascii="Arial" w:hAnsi="Arial" w:cs="Arial"/>
          <w:b/>
          <w:u w:val="single"/>
        </w:rPr>
        <w:t>Projekty aktów prawnych</w:t>
      </w:r>
    </w:p>
    <w:p w:rsidR="009C1774" w:rsidRDefault="009C1774" w:rsidP="000A6439">
      <w:pPr>
        <w:spacing w:after="0"/>
        <w:jc w:val="both"/>
        <w:rPr>
          <w:rFonts w:ascii="Arial" w:hAnsi="Arial" w:cs="Arial"/>
        </w:rPr>
      </w:pPr>
    </w:p>
    <w:p w:rsidR="009C1774" w:rsidRPr="00C70674" w:rsidRDefault="009C1774" w:rsidP="000A6439">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6</w:t>
      </w:r>
      <w:r w:rsidRPr="00C70674">
        <w:rPr>
          <w:rFonts w:ascii="Arial" w:eastAsia="Calibri" w:hAnsi="Arial" w:cs="Arial"/>
          <w:bCs/>
        </w:rPr>
        <w:t xml:space="preserve"> projekt</w:t>
      </w:r>
      <w:r>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29</w:t>
      </w:r>
      <w:r w:rsidRPr="00C70674">
        <w:rPr>
          <w:rFonts w:ascii="Arial" w:hAnsi="Arial" w:cs="Arial"/>
        </w:rPr>
        <w:t xml:space="preserve"> projekt</w:t>
      </w:r>
      <w:r>
        <w:rPr>
          <w:rFonts w:ascii="Arial" w:hAnsi="Arial" w:cs="Arial"/>
        </w:rPr>
        <w:t>ów</w:t>
      </w:r>
      <w:r w:rsidRPr="00C70674">
        <w:rPr>
          <w:rFonts w:ascii="Arial" w:hAnsi="Arial" w:cs="Arial"/>
        </w:rPr>
        <w:t xml:space="preserve"> rozporządzeń Rady Ministrów, Prezesa Rady Ministrów oraz poszczególnych Ministrów.</w:t>
      </w:r>
    </w:p>
    <w:p w:rsidR="009C1774" w:rsidRPr="00C70674" w:rsidRDefault="009C1774" w:rsidP="000A6439">
      <w:pPr>
        <w:spacing w:after="0"/>
        <w:jc w:val="both"/>
        <w:rPr>
          <w:rFonts w:ascii="Arial" w:hAnsi="Arial" w:cs="Arial"/>
        </w:rPr>
      </w:pPr>
    </w:p>
    <w:p w:rsidR="009C1774" w:rsidRDefault="009C1774" w:rsidP="000A6439">
      <w:pPr>
        <w:spacing w:after="0"/>
        <w:jc w:val="both"/>
        <w:rPr>
          <w:rFonts w:ascii="Arial" w:hAnsi="Arial" w:cs="Arial"/>
        </w:rPr>
      </w:pPr>
      <w:r>
        <w:rPr>
          <w:rFonts w:ascii="Arial" w:hAnsi="Arial" w:cs="Arial"/>
        </w:rPr>
        <w:t>Przeprowadzono konsultacje 2 projekty ustaw</w:t>
      </w:r>
      <w:r>
        <w:rPr>
          <w:rFonts w:ascii="Arial" w:hAnsi="Arial" w:cs="Arial"/>
        </w:rPr>
        <w:t xml:space="preserve"> i </w:t>
      </w:r>
      <w:r>
        <w:rPr>
          <w:rFonts w:ascii="Arial" w:hAnsi="Arial" w:cs="Arial"/>
        </w:rPr>
        <w:t>2 projekty</w:t>
      </w:r>
      <w:r>
        <w:rPr>
          <w:rFonts w:ascii="Arial" w:hAnsi="Arial" w:cs="Arial"/>
        </w:rPr>
        <w:t xml:space="preserve"> rozporządzeń dotyczących podmiotów członkowskich (pracodawcy, przedsiębiorcy, JST) zrzeszonych w Związku. </w:t>
      </w:r>
    </w:p>
    <w:p w:rsidR="009C1774" w:rsidRDefault="009C1774" w:rsidP="000A6439">
      <w:pPr>
        <w:spacing w:after="0"/>
        <w:jc w:val="both"/>
        <w:rPr>
          <w:rFonts w:ascii="Arial" w:hAnsi="Arial" w:cs="Arial"/>
        </w:rPr>
      </w:pPr>
      <w:r>
        <w:rPr>
          <w:rFonts w:ascii="Arial" w:hAnsi="Arial" w:cs="Arial"/>
        </w:rPr>
        <w:t>Do konsultacji przekazane zostały następujące projekty:</w:t>
      </w:r>
    </w:p>
    <w:p w:rsidR="009C1774" w:rsidRDefault="009C1774" w:rsidP="000A6439">
      <w:pPr>
        <w:spacing w:after="0"/>
        <w:jc w:val="both"/>
        <w:rPr>
          <w:rFonts w:ascii="Arial" w:hAnsi="Arial" w:cs="Arial"/>
        </w:rPr>
      </w:pPr>
    </w:p>
    <w:p w:rsidR="009C1774" w:rsidRDefault="009C1774" w:rsidP="000A6439">
      <w:pPr>
        <w:spacing w:after="0"/>
        <w:jc w:val="both"/>
        <w:rPr>
          <w:rFonts w:ascii="Arial" w:hAnsi="Arial" w:cs="Arial"/>
        </w:rPr>
      </w:pPr>
      <w:r>
        <w:rPr>
          <w:rFonts w:ascii="Arial" w:hAnsi="Arial" w:cs="Arial"/>
        </w:rPr>
        <w:t>Projekty ustaw:</w:t>
      </w:r>
    </w:p>
    <w:p w:rsidR="000A6439" w:rsidRDefault="000A6439" w:rsidP="000A6439">
      <w:pPr>
        <w:spacing w:after="0"/>
        <w:jc w:val="both"/>
        <w:rPr>
          <w:rFonts w:ascii="Arial" w:hAnsi="Arial" w:cs="Arial"/>
        </w:rPr>
      </w:pPr>
    </w:p>
    <w:p w:rsidR="000A6439" w:rsidRPr="000A6439" w:rsidRDefault="000A6439" w:rsidP="000A6439">
      <w:pPr>
        <w:pStyle w:val="Akapitzlist"/>
        <w:numPr>
          <w:ilvl w:val="0"/>
          <w:numId w:val="3"/>
        </w:numPr>
        <w:spacing w:after="0"/>
        <w:jc w:val="both"/>
        <w:rPr>
          <w:rFonts w:ascii="Arial" w:hAnsi="Arial" w:cs="Arial"/>
          <w:b/>
          <w:u w:val="single"/>
        </w:rPr>
      </w:pPr>
      <w:r w:rsidRPr="000A6439">
        <w:rPr>
          <w:rFonts w:ascii="Arial" w:hAnsi="Arial" w:cs="Arial"/>
          <w:b/>
          <w:u w:val="single"/>
        </w:rPr>
        <w:t>projekt ustawy o zmianie ustawy o cudzoziemcach oraz niektórych innych ustaw (numer z wykazu UD163)</w:t>
      </w:r>
    </w:p>
    <w:p w:rsidR="000A6439" w:rsidRDefault="000A6439" w:rsidP="000A6439">
      <w:pPr>
        <w:spacing w:after="0"/>
        <w:jc w:val="both"/>
        <w:rPr>
          <w:rFonts w:ascii="Arial" w:hAnsi="Arial" w:cs="Arial"/>
        </w:rPr>
      </w:pPr>
    </w:p>
    <w:p w:rsidR="000A6439" w:rsidRPr="000A6439" w:rsidRDefault="000A6439" w:rsidP="000A6439">
      <w:pPr>
        <w:spacing w:after="0"/>
        <w:jc w:val="both"/>
        <w:rPr>
          <w:rFonts w:ascii="Arial" w:hAnsi="Arial" w:cs="Arial"/>
        </w:rPr>
      </w:pPr>
      <w:r w:rsidRPr="000A6439">
        <w:rPr>
          <w:rFonts w:ascii="Arial" w:hAnsi="Arial" w:cs="Arial"/>
        </w:rPr>
        <w:t>Projekt ustawy o zmianie ustawy o cudzoziemcach oraz niektórych innych ustaw, z</w:t>
      </w:r>
      <w:r>
        <w:rPr>
          <w:rFonts w:ascii="Arial" w:hAnsi="Arial" w:cs="Arial"/>
        </w:rPr>
        <w:t xml:space="preserve">wany dalej „projektem ustawy”, </w:t>
      </w:r>
      <w:r w:rsidRPr="000A6439">
        <w:rPr>
          <w:rFonts w:ascii="Arial" w:hAnsi="Arial" w:cs="Arial"/>
        </w:rPr>
        <w:t>ma na celu:</w:t>
      </w:r>
    </w:p>
    <w:p w:rsidR="000A6439" w:rsidRPr="000A6439" w:rsidRDefault="000A6439" w:rsidP="000A6439">
      <w:pPr>
        <w:spacing w:after="0"/>
        <w:jc w:val="both"/>
        <w:rPr>
          <w:rFonts w:ascii="Arial" w:hAnsi="Arial" w:cs="Arial"/>
        </w:rPr>
      </w:pPr>
      <w:r w:rsidRPr="000A6439">
        <w:rPr>
          <w:rFonts w:ascii="Arial" w:hAnsi="Arial" w:cs="Arial"/>
        </w:rPr>
        <w:t>1)</w:t>
      </w:r>
      <w:r w:rsidRPr="000A6439">
        <w:rPr>
          <w:rFonts w:ascii="Arial" w:hAnsi="Arial" w:cs="Arial"/>
        </w:rPr>
        <w:tab/>
        <w:t>zmianę sposobu składania wniosku o udzielenie zezwolenia na pobyt czasowy, zezwolenia na pobyt stały oraz zezwolenia na pobyt rezydenta długoterminowego UE, a w przypadku  wniosku o udzielenie zezwolenia na pobyt czasowy również z obowiązkowymi załącznikami formalnymi poprzez zastąpienie obowiązku złożenia ww. wniosków w formie papierowej podczas osobistego stawiennictwa w urzędzie wojewódzkim obowiązkiem złożenia ww. wniosków w postaci elektronicznej z wykorzystaniem usługi online za pośrednictwem Modułu Obsługi Spraw, zwanego dalej „MOS”;</w:t>
      </w:r>
    </w:p>
    <w:p w:rsidR="000A6439" w:rsidRPr="000A6439" w:rsidRDefault="000A6439" w:rsidP="000A6439">
      <w:pPr>
        <w:spacing w:after="0"/>
        <w:jc w:val="both"/>
        <w:rPr>
          <w:rFonts w:ascii="Arial" w:hAnsi="Arial" w:cs="Arial"/>
        </w:rPr>
      </w:pPr>
      <w:r w:rsidRPr="000A6439">
        <w:rPr>
          <w:rFonts w:ascii="Arial" w:hAnsi="Arial" w:cs="Arial"/>
        </w:rPr>
        <w:t>2)</w:t>
      </w:r>
      <w:r w:rsidRPr="000A6439">
        <w:rPr>
          <w:rFonts w:ascii="Arial" w:hAnsi="Arial" w:cs="Arial"/>
        </w:rPr>
        <w:tab/>
        <w:t xml:space="preserve">doprecyzowanie zakresu danych i informacji przetwarzanych w rejestrach i postępowaniach prowadzonych na podstawie ustawy z dnia 12 grudnia 2013 r. o cudzoziemcach (Dz. U. z 2024 r. poz. 769, z </w:t>
      </w:r>
      <w:proofErr w:type="spellStart"/>
      <w:r w:rsidRPr="000A6439">
        <w:rPr>
          <w:rFonts w:ascii="Arial" w:hAnsi="Arial" w:cs="Arial"/>
        </w:rPr>
        <w:t>późn</w:t>
      </w:r>
      <w:proofErr w:type="spellEnd"/>
      <w:r w:rsidRPr="000A6439">
        <w:rPr>
          <w:rFonts w:ascii="Arial" w:hAnsi="Arial" w:cs="Arial"/>
        </w:rPr>
        <w:t xml:space="preserve">. zm.), ustawy z dnia 13 czerwca 2003 r. o udzielaniu cudzoziemcom ochrony na terytorium Rzeczypospolitej Polskiej (Dz. U. z 2023 r. poz. 1504, z </w:t>
      </w:r>
      <w:proofErr w:type="spellStart"/>
      <w:r w:rsidRPr="000A6439">
        <w:rPr>
          <w:rFonts w:ascii="Arial" w:hAnsi="Arial" w:cs="Arial"/>
        </w:rPr>
        <w:t>późn</w:t>
      </w:r>
      <w:proofErr w:type="spellEnd"/>
      <w:r w:rsidRPr="000A6439">
        <w:rPr>
          <w:rFonts w:ascii="Arial" w:hAnsi="Arial" w:cs="Arial"/>
        </w:rPr>
        <w:t xml:space="preserve">. zm.) oraz ustawy z dnia 14 lipca 2006 r. o wjeździe na terytorium Rzeczypospolitej Polskiej, pobycie oraz wyjeździe z tego terytorium obywateli państw członkowskich Unii Europejskiej i członków ich rodzin (Dz. U. z 2024 r. poz. 633), w tym w celu realizacji przepisów rozporządzenia (WE) nr 862/2007 Parlamentu Europejskiego i Rady z dnia 11 lipca 2007 r. w sprawie statystyk Wspólnoty z zakresu migracji i ochrony międzynarodowej oraz uchylającego rozporządzenie Rady nr 311/76 w sprawie zestawienia </w:t>
      </w:r>
      <w:r w:rsidRPr="000A6439">
        <w:rPr>
          <w:rFonts w:ascii="Arial" w:hAnsi="Arial" w:cs="Arial"/>
        </w:rPr>
        <w:lastRenderedPageBreak/>
        <w:t>statystyk dotyczących pracowników cudzoziemców (Dz. Urz. UE L 199 z 31.07.2007, str. 23), zwanego dalej „rozporządzeniem 862/2007”;</w:t>
      </w:r>
    </w:p>
    <w:p w:rsidR="000A6439" w:rsidRPr="000A6439" w:rsidRDefault="000A6439" w:rsidP="000A6439">
      <w:pPr>
        <w:spacing w:after="0"/>
        <w:jc w:val="both"/>
        <w:rPr>
          <w:rFonts w:ascii="Arial" w:hAnsi="Arial" w:cs="Arial"/>
        </w:rPr>
      </w:pPr>
      <w:r w:rsidRPr="000A6439">
        <w:rPr>
          <w:rFonts w:ascii="Arial" w:hAnsi="Arial" w:cs="Arial"/>
        </w:rPr>
        <w:t>3)</w:t>
      </w:r>
      <w:r w:rsidRPr="000A6439">
        <w:rPr>
          <w:rFonts w:ascii="Arial" w:hAnsi="Arial" w:cs="Arial"/>
        </w:rPr>
        <w:tab/>
        <w:t>dostosowanie polskiego porządku prawnego do rozporządzenia Parlamentu Europejskiego i Rady (UE) 2016/1953 z dnia 26 października 2016 r. w sprawie ustanowienia europejskiego dokumentu podróży do celów powrotu nielegalnie przebywających obywateli państw trzecich oraz uchylającego zalecenie Rady z dnia 30 listopada 1994 r. (Dz. Urz. UE L 311 z 17.11.2016, str. 13), zwanego dalej „rozporządzeniem 2016/1953”.</w:t>
      </w:r>
    </w:p>
    <w:p w:rsidR="000A6439" w:rsidRPr="000A6439" w:rsidRDefault="000A6439" w:rsidP="000A6439">
      <w:pPr>
        <w:spacing w:after="0"/>
        <w:jc w:val="both"/>
        <w:rPr>
          <w:rFonts w:ascii="Arial" w:hAnsi="Arial" w:cs="Arial"/>
        </w:rPr>
      </w:pPr>
      <w:r w:rsidRPr="000A6439">
        <w:rPr>
          <w:rFonts w:ascii="Arial" w:hAnsi="Arial" w:cs="Arial"/>
        </w:rPr>
        <w:t>Projekt przewiduje również m.in.:</w:t>
      </w:r>
    </w:p>
    <w:p w:rsidR="000A6439" w:rsidRPr="000A6439" w:rsidRDefault="000A6439" w:rsidP="000A6439">
      <w:pPr>
        <w:spacing w:after="0"/>
        <w:jc w:val="both"/>
        <w:rPr>
          <w:rFonts w:ascii="Arial" w:hAnsi="Arial" w:cs="Arial"/>
        </w:rPr>
      </w:pPr>
      <w:r w:rsidRPr="000A6439">
        <w:rPr>
          <w:rFonts w:ascii="Arial" w:hAnsi="Arial" w:cs="Arial"/>
        </w:rPr>
        <w:t>•</w:t>
      </w:r>
      <w:r w:rsidRPr="000A6439">
        <w:rPr>
          <w:rFonts w:ascii="Arial" w:hAnsi="Arial" w:cs="Arial"/>
        </w:rPr>
        <w:tab/>
        <w:t xml:space="preserve">wprowadzenie zmiany właściwości miejscowej sądu w zakresie wniosku o umieszczenie małoletniego cudzoziemca bez opieki w placówce opiekuńczo–wychowawczej lub w strzeżonym ośrodku – co jest niezbędne do ograniczenia kosztów </w:t>
      </w:r>
      <w:proofErr w:type="spellStart"/>
      <w:r w:rsidRPr="000A6439">
        <w:rPr>
          <w:rFonts w:ascii="Arial" w:hAnsi="Arial" w:cs="Arial"/>
        </w:rPr>
        <w:t>doprowadzeń</w:t>
      </w:r>
      <w:proofErr w:type="spellEnd"/>
      <w:r w:rsidRPr="000A6439">
        <w:rPr>
          <w:rFonts w:ascii="Arial" w:hAnsi="Arial" w:cs="Arial"/>
        </w:rPr>
        <w:t xml:space="preserve"> tych osób na posiedzenia sądowe, które wynikają z różnicy pomiędzy aktualnym miejscem pobytu małoletniego cudzoziemca bez opieki, a pierwotnym miejscem jego zatrzymania. Konieczność zwrócenia się o umieszczenie w placówce opiekuńczo-wychowawczej lub w strzeżonym ośrodku wiąże się z koniecznością kierowania wniosku i przewiezienia na posiedzenie w sądzie oddalonym nawet o setki kilometrów, co powoduje zarówno dyskomfort małoletniego cudzoziemca, jak również dezorganizuje prace organów Straży Granicznej oraz generuje nadmierne koszty. Powyższe przemawia za tym, by o umieszczeniu w placówce opiekuńczo-wychowawczej lub strzeżonym ośrodku dla cudzoziemców rozstrzygał sąd właściwy według aktualnego miejsca pobytu cudzoziemca;</w:t>
      </w:r>
    </w:p>
    <w:p w:rsidR="000A6439" w:rsidRPr="000A6439" w:rsidRDefault="000A6439" w:rsidP="000A6439">
      <w:pPr>
        <w:spacing w:after="0"/>
        <w:jc w:val="both"/>
        <w:rPr>
          <w:rFonts w:ascii="Arial" w:hAnsi="Arial" w:cs="Arial"/>
        </w:rPr>
      </w:pPr>
      <w:r w:rsidRPr="000A6439">
        <w:rPr>
          <w:rFonts w:ascii="Arial" w:hAnsi="Arial" w:cs="Arial"/>
        </w:rPr>
        <w:t>•</w:t>
      </w:r>
      <w:r w:rsidRPr="000A6439">
        <w:rPr>
          <w:rFonts w:ascii="Arial" w:hAnsi="Arial" w:cs="Arial"/>
        </w:rPr>
        <w:tab/>
        <w:t>zmiany w przepisach ustawy z dnia 13 czerwca 2003 r. o udzielaniu cudzoziemcom ochrony na terytorium Rzeczypospolitej Polskiej mające porządkowy i organizacyjny charakter, ukierunkowane na usprawnienie funkcjonowania dotychczasowego systemu pomocy zapewnianej cudzoziemcom ubiegającym się o udzielenie ochrony międzynarodowej, doręczania pism w postępowaniu o udzielenie ochrony międzynarodowej oraz wydania tymczasowego zaświadczenia tożsamości cudzoziemca, a także ukierunkowane na eliminację pojawiających się wątpliwości interpretacyjnych tej natury, że jedynie zmiana tych przepisów pozwoli na właściwe stosowanie zawartych w nich norm prawnych.</w:t>
      </w:r>
    </w:p>
    <w:p w:rsidR="000A6439" w:rsidRPr="000A6439" w:rsidRDefault="000A6439" w:rsidP="000A6439">
      <w:pPr>
        <w:spacing w:after="0"/>
        <w:jc w:val="both"/>
        <w:rPr>
          <w:rFonts w:ascii="Arial" w:hAnsi="Arial" w:cs="Arial"/>
        </w:rPr>
      </w:pPr>
      <w:r w:rsidRPr="000A6439">
        <w:rPr>
          <w:rFonts w:ascii="Arial" w:hAnsi="Arial" w:cs="Arial"/>
        </w:rPr>
        <w:t>Wprowadzenie rozwiązań prawnych, które będą umożliwiały złożenie wniosku o udzielenie zezwolenia na pobyt czasowy, zezwolenia na pobyt stały oraz zezwolenia na pobyt rezydenta długoterminowego UE, a w przypadku  wniosku o udzielenie zezwolenia na pobyt czasowy również z obowiązkowymi załącznikami formalnymi, w postaci elektronicznej z wykorzystaniem usługi online za pośrednictwem MOS.</w:t>
      </w:r>
    </w:p>
    <w:p w:rsidR="000A6439" w:rsidRPr="000A6439" w:rsidRDefault="000A6439" w:rsidP="000A6439">
      <w:pPr>
        <w:spacing w:after="0"/>
        <w:jc w:val="both"/>
        <w:rPr>
          <w:rFonts w:ascii="Arial" w:hAnsi="Arial" w:cs="Arial"/>
        </w:rPr>
      </w:pPr>
      <w:r w:rsidRPr="000A6439">
        <w:rPr>
          <w:rFonts w:ascii="Arial" w:hAnsi="Arial" w:cs="Arial"/>
        </w:rPr>
        <w:t xml:space="preserve">W obecnym stanie prawnym wniosek o udzielenie zezwolenia na pobyt czasowy, zezwolenia na pobyt stały oraz zezwolenia na pobyt rezydenta długoterminowego UE cudzoziemiec jest obowiązany złożyć wyłącznie na urzędowym formularzu (według wzorów określonych w aktach wykonawczych do ustawy o cudzoziemcach) w formie papierowej, osobiście w siedzibie urzędu wojewódzkiego. W przypadku, kiedy ww. wniosek nie zostanie złożony przez cudzoziemca osobiście, wojewoda jest obowiązany wezwać cudzoziemca do osobistego stawiennictwa w urzędzie wojewódzkim w terminie nie krótszym niż 7 dni pod rygorem pozostawienia wniosku bez rozpoznania. W trakcie składania ww. wniosku od cudzoziemca pobierane są odciski linii papilarnych w celu wydania karty pobytu, a w dokumencie podróży zamieszczany jest odcisk stempla potwierdzający złożenie ww. wniosku. </w:t>
      </w:r>
    </w:p>
    <w:p w:rsidR="000A6439" w:rsidRPr="000A6439" w:rsidRDefault="000A6439" w:rsidP="000A6439">
      <w:pPr>
        <w:spacing w:after="0"/>
        <w:jc w:val="both"/>
        <w:rPr>
          <w:rFonts w:ascii="Arial" w:hAnsi="Arial" w:cs="Arial"/>
        </w:rPr>
      </w:pPr>
      <w:r w:rsidRPr="000A6439">
        <w:rPr>
          <w:rFonts w:ascii="Arial" w:hAnsi="Arial" w:cs="Arial"/>
        </w:rPr>
        <w:t xml:space="preserve">Obowiązujące przepisy prawa nie odpowiadają oczekiwaniom związanym z cyfryzacją procedur administracyjnych. Kryzys wywołany pandemią COVID-19 w szczególności </w:t>
      </w:r>
      <w:r w:rsidRPr="000A6439">
        <w:rPr>
          <w:rFonts w:ascii="Arial" w:hAnsi="Arial" w:cs="Arial"/>
        </w:rPr>
        <w:lastRenderedPageBreak/>
        <w:t>uwidocznił obszary spraw administracyjnych wymagające zintensyfikowanej i przyspieszonej cyfryzacji, a także wykreował nowe potrzeby dotyczące e-usług – zarówno ich jakości, jak i dostępności. Proponowane zastąpienie obowiązku składania ww. wniosków w formie papierowej, osobiście w siedzibie urzędu wojewódzkiego, obowiązkiem składania ich w postaci elektronicznej jest odpowiedzią na naturalnie zachodzące zmiany oczekiwań osób ubiegających się o legalizację pobytu w Polsce. Usprawnienie procedur legalizacji pobytu cudzoziemców wynika również z konieczności obsłużenia wzrastającej z roku na rok liczby wniosków o legalizację pobytu w Polsce.</w:t>
      </w:r>
    </w:p>
    <w:p w:rsidR="000A6439" w:rsidRPr="000A6439" w:rsidRDefault="000A6439" w:rsidP="000A6439">
      <w:pPr>
        <w:spacing w:after="0"/>
        <w:jc w:val="both"/>
        <w:rPr>
          <w:rFonts w:ascii="Arial" w:hAnsi="Arial" w:cs="Arial"/>
        </w:rPr>
      </w:pPr>
      <w:r w:rsidRPr="000A6439">
        <w:rPr>
          <w:rFonts w:ascii="Arial" w:hAnsi="Arial" w:cs="Arial"/>
        </w:rPr>
        <w:t xml:space="preserve">Projektowane przepisy stanowią, iż MOS będzie prowadzony przez Szefa Urzędu do Spraw Cudzoziemców, zwanego dalej „Szefem Urzędu”, w systemie teleinformatycznym. Dostęp do MOS będzie zapewniany cudzoziemcom, którzy za jego pośrednictwem będą składać wnioski o udzielenie zezwolenia na pobyt czasowy, zezwolenia na pobyt stały oraz zezwolenia na pobyt rezydenta długoterminowego UE. Prawo dostępu do MOS będzie przysługiwało także osobom, które mogą złożyć wniosek w imieniu małoletniego cudzoziemca, osoby ubezwłasnowolnionej lub osoby małoletniej bez opieki. </w:t>
      </w:r>
    </w:p>
    <w:p w:rsidR="000A6439" w:rsidRPr="000A6439" w:rsidRDefault="000A6439" w:rsidP="000A6439">
      <w:pPr>
        <w:spacing w:after="0"/>
        <w:jc w:val="both"/>
        <w:rPr>
          <w:rFonts w:ascii="Arial" w:hAnsi="Arial" w:cs="Arial"/>
        </w:rPr>
      </w:pPr>
      <w:r w:rsidRPr="000A6439">
        <w:rPr>
          <w:rFonts w:ascii="Arial" w:hAnsi="Arial" w:cs="Arial"/>
        </w:rPr>
        <w:t>Zakłada się, że w MOS będą przechowywane dane i informacje związane z postępowaniami, o których mowa wyżej, a następnie będą one przekazywane odpowiednio do prowadzonych w systemie informatycznym rejestrów spraw dotyczących zezwoleń na pobyt czasowy, zezwoleń na pobyt stały oraz zezwoleń na pobyt rezydenta długoterminowego UE.</w:t>
      </w:r>
    </w:p>
    <w:p w:rsidR="000A6439" w:rsidRPr="000A6439" w:rsidRDefault="000A6439" w:rsidP="000A6439">
      <w:pPr>
        <w:spacing w:after="0"/>
        <w:jc w:val="both"/>
        <w:rPr>
          <w:rFonts w:ascii="Arial" w:hAnsi="Arial" w:cs="Arial"/>
        </w:rPr>
      </w:pPr>
      <w:r w:rsidRPr="000A6439">
        <w:rPr>
          <w:rFonts w:ascii="Arial" w:hAnsi="Arial" w:cs="Arial"/>
        </w:rPr>
        <w:t>W celu zapewnienia możliwości bezpiecznego składania wniosków w trybie online, a także przechowywania danych i informacji oraz w efekcie ich przekazywania do ww. rejestrów, zakłada się, że MOS jako usługa teleinformatyczna, będzie ściśle powiązany i kompatybilny z krajowym zbiorem rejestrów, ewidencji i wykazu w sprawach cudzoziemców, który prowadzi w systemie teleinformatycznym Szef Urzędu na mocy art. 449 ust. 1 ustawy  z dnia 12 grudnia 2013 r. o cudzoziemcach.</w:t>
      </w:r>
    </w:p>
    <w:p w:rsidR="000A6439" w:rsidRPr="000A6439" w:rsidRDefault="000A6439" w:rsidP="000A6439">
      <w:pPr>
        <w:spacing w:after="0"/>
        <w:jc w:val="both"/>
        <w:rPr>
          <w:rFonts w:ascii="Arial" w:hAnsi="Arial" w:cs="Arial"/>
        </w:rPr>
      </w:pPr>
      <w:r w:rsidRPr="000A6439">
        <w:rPr>
          <w:rFonts w:ascii="Arial" w:hAnsi="Arial" w:cs="Arial"/>
        </w:rPr>
        <w:t>Wprowadzenie narzędzia, którym jest MOS, ma na celu przede wszystkim us</w:t>
      </w:r>
      <w:r>
        <w:rPr>
          <w:rFonts w:ascii="Arial" w:hAnsi="Arial" w:cs="Arial"/>
        </w:rPr>
        <w:t xml:space="preserve">prawnienie procedur związanych </w:t>
      </w:r>
      <w:r w:rsidRPr="000A6439">
        <w:rPr>
          <w:rFonts w:ascii="Arial" w:hAnsi="Arial" w:cs="Arial"/>
        </w:rPr>
        <w:t xml:space="preserve">z legalizacją pobytu cudzoziemców w Polsce oraz wyeliminowanie zbędnych elementów tych procedur, które stanowiły obciążenie zarówno dla cudzoziemców, jak również dla urzędów wojewódzkich. </w:t>
      </w:r>
    </w:p>
    <w:p w:rsidR="000A6439" w:rsidRPr="000A6439" w:rsidRDefault="000A6439" w:rsidP="000A6439">
      <w:pPr>
        <w:spacing w:after="0"/>
        <w:jc w:val="both"/>
        <w:rPr>
          <w:rFonts w:ascii="Arial" w:hAnsi="Arial" w:cs="Arial"/>
        </w:rPr>
      </w:pPr>
      <w:r w:rsidRPr="000A6439">
        <w:rPr>
          <w:rFonts w:ascii="Arial" w:hAnsi="Arial" w:cs="Arial"/>
        </w:rPr>
        <w:t>W celu zminimalizowania ryzyka wykluczenia cyfrowego aplikujących, którzy nie posiadają odpowiednich urządzeń bądź umiejętności, pozwalających na elektroniczne złożenie wniosku projektodawca przewidział, iż wojewoda będzie zobowiązany do zapewnienia pomocy przy składaniu wniosku o udzielenie zezwolenia pobytowego w lokalu urzędu wojewódzkiego (art. 106d ust. 6, art. 203d ust. 6, art. 219d ust. 6).</w:t>
      </w:r>
    </w:p>
    <w:p w:rsidR="000A6439" w:rsidRPr="000A6439" w:rsidRDefault="000A6439" w:rsidP="000A6439">
      <w:pPr>
        <w:spacing w:after="0"/>
        <w:jc w:val="both"/>
        <w:rPr>
          <w:rFonts w:ascii="Arial" w:hAnsi="Arial" w:cs="Arial"/>
        </w:rPr>
      </w:pPr>
      <w:r w:rsidRPr="000A6439">
        <w:rPr>
          <w:rFonts w:ascii="Arial" w:hAnsi="Arial" w:cs="Arial"/>
        </w:rPr>
        <w:t xml:space="preserve">Założeniem projektowanej ustawy jest także stworzenie cyfrowej formy wniosku zawierającej zaawansowany podpis elektroniczny. Wnioski te zostaną zaprojektowane w sposób gwarantujący intuicyjność i łatwość w ich wypełnieniu, co ma szczególnie istotne znaczenie w przypadku postępowań administracyjnych prowadzonych wobec cudzoziemców. MOS wskaże też, jakie obowiązkowe załączniki należy dołączyć do wniosku. Powyższe ułatwi także urzędom wojewódzkim prowadzenie postępowań administracyjnych w sprawach legalizacji pobytu cudzoziemców w Polsce, ponieważ wnioski te po ich weryfikacji formalnej będą automatycznie przekazywane do krajowego zbioru rejestrów, ewidencji i wykazu w sprawach cudzoziemców bez konieczności ich ręcznego przepisywania. </w:t>
      </w:r>
    </w:p>
    <w:p w:rsidR="000A6439" w:rsidRPr="000A6439" w:rsidRDefault="000A6439" w:rsidP="000A6439">
      <w:pPr>
        <w:spacing w:after="0"/>
        <w:jc w:val="both"/>
        <w:rPr>
          <w:rFonts w:ascii="Arial" w:hAnsi="Arial" w:cs="Arial"/>
        </w:rPr>
      </w:pPr>
      <w:r w:rsidRPr="000A6439">
        <w:rPr>
          <w:rFonts w:ascii="Arial" w:hAnsi="Arial" w:cs="Arial"/>
        </w:rPr>
        <w:t xml:space="preserve">W przypadku wniosku o udzielenie zezwolenia na pobyt czasowy składanego za pośrednictwem MOS proponowane rozwiązania przewidują składanie za pośrednictwem tego modułu również obowiązkowych, określonych obecnie w rozporządzeniu Ministra Spraw Wewnętrznych i Administracji z dnia 17 kwietnia 2019 r. w sprawie wniosku o udzielenie cudzoziemcowi zezwolenia na pobyt czasowy (Dz. U. z 2019 r. poz. 779), załączników do </w:t>
      </w:r>
      <w:r w:rsidRPr="000A6439">
        <w:rPr>
          <w:rFonts w:ascii="Arial" w:hAnsi="Arial" w:cs="Arial"/>
        </w:rPr>
        <w:lastRenderedPageBreak/>
        <w:t>ww. wniosku. Załączniki po wypełnieniu z wykorzystaniem formularza elektronicznego udostępnionego w MOS będą wymagały opatrzenia kwalifikowanym podpisem elektronicznym, podpisem osobistym lub podpisem zaufanym osoby go składającej, tj. odpowiednio cudzoziemca, osoby składającej wniosek w imieniu cudzoziemca, podmiotu powierzającego cudzoziemcowi wykonywanie pracy, organizatora stażu, jednostki organizacyjnej, na rzecz której cudzoziemiec ma wykonywać świadczenia jako wolontariusz lub jednostki prowadzącej studia. Załącznik do wniosku o udzielenie zezwolenia na pobyt czasowy w celu kształcenia się na studiach, który będzie wypełniany przez jednostkę prowadzącą studia, zastąpi papierowe zaświadczenie o przyjęciu na studia lub o kontynuacji studiów, które do tej pory wydawała cudzoziemcowi ww. jednostka. Zaświadczenie jednostki prowadzącej studia o przyjęciu na studia lub o kontynuacji studiów nadal będzie wykorzystywane w postępowaniach w sprawie wydania wiz.</w:t>
      </w:r>
    </w:p>
    <w:p w:rsidR="000A6439" w:rsidRPr="000A6439" w:rsidRDefault="000A6439" w:rsidP="000A6439">
      <w:pPr>
        <w:spacing w:after="0"/>
        <w:jc w:val="both"/>
        <w:rPr>
          <w:rFonts w:ascii="Arial" w:hAnsi="Arial" w:cs="Arial"/>
        </w:rPr>
      </w:pPr>
      <w:r w:rsidRPr="000A6439">
        <w:rPr>
          <w:rFonts w:ascii="Arial" w:hAnsi="Arial" w:cs="Arial"/>
        </w:rPr>
        <w:t xml:space="preserve">Planowane rozwiązania umożliwią także cudzoziemcom podpisywanie wniosków online z wykorzystaniem gotowych, już funkcjonujących mechanizmów w ramach rozwiązania „login.gov.pl”, który umożliwia podpisanie dokumentów przez profil zaufany podpisem zaufanym. Dodatkowo cudzoziemiec będzie miał możliwość podpisania wniosku kwalifikowanym podpisem elektronicznym. </w:t>
      </w:r>
    </w:p>
    <w:p w:rsidR="000A6439" w:rsidRPr="000A6439" w:rsidRDefault="000A6439" w:rsidP="000A6439">
      <w:pPr>
        <w:spacing w:after="0"/>
        <w:jc w:val="both"/>
        <w:rPr>
          <w:rFonts w:ascii="Arial" w:hAnsi="Arial" w:cs="Arial"/>
        </w:rPr>
      </w:pPr>
      <w:r w:rsidRPr="000A6439">
        <w:rPr>
          <w:rFonts w:ascii="Arial" w:hAnsi="Arial" w:cs="Arial"/>
        </w:rPr>
        <w:t xml:space="preserve">W przypadku wniosku o udzielenie zezwolenia pobytowego składanego za pośrednictwem MOS dokumenty niezbędne do potwierdzenia danych zawartych we wniosku i okoliczności uzasadniających ubieganie się o udzielenie zezwolenia pobytowego cudzoziemiec będzie mógł dołączyć już w trakcie składania wniosku przez MOS lub podczas osobistego stawiennictwa w urzędzie wojewódzkim na wezwanie wojewody. W trakcie wizyty w urzędzie wojewódzkim potwierdzana będzie również tożsamość cudzoziemca, będą pobierane od cudzoziemca odciski linii papilarnych oraz wzór podpisu. Zachowanie elementu osobistego stawiennictwa jest podyktowane przede wszystkim względami bezpieczeństwa migracyjnego. Wojewoda jako organ prowadzący postępowanie w sprawie udzielenia jednego z zezwoleń pobytowych jest obowiązany czuwać nad tym, aby tożsamość osoby ubiegającej się o udzielenie tego zezwolenia została możliwie najlepiej zidentyfikowana. </w:t>
      </w:r>
    </w:p>
    <w:p w:rsidR="000A6439" w:rsidRPr="000A6439" w:rsidRDefault="000A6439" w:rsidP="000A6439">
      <w:pPr>
        <w:spacing w:after="0"/>
        <w:jc w:val="both"/>
        <w:rPr>
          <w:rFonts w:ascii="Arial" w:hAnsi="Arial" w:cs="Arial"/>
        </w:rPr>
      </w:pPr>
      <w:r w:rsidRPr="000A6439">
        <w:rPr>
          <w:rFonts w:ascii="Arial" w:hAnsi="Arial" w:cs="Arial"/>
        </w:rPr>
        <w:t xml:space="preserve">Nowe zasady będą także dotyczyły zapoznawania się z pouczeniem o zasadach i trybie postępowania w sprawie legalizacji pobytu oraz o przysługujących mu prawach i ciążących na nim obowiązkach w przypadku składania wniosku za pośrednictwem portalu MOS. Obowiązek zapoznania się z pouczeniem będzie uważany za spełniony także poprzez zamieszczenie pouczenia w MOS, z którym cudzoziemiec będzie miał możliwość zapoznania się składając wniosek o udzielenie zezwolenia na pobyt czasowy, zezwolenia na pobyt stały lub zezwolenia na pobyt rezydenta długoterminowego UE. </w:t>
      </w:r>
    </w:p>
    <w:p w:rsidR="000A6439" w:rsidRPr="000A6439" w:rsidRDefault="000A6439" w:rsidP="000A6439">
      <w:pPr>
        <w:spacing w:after="0"/>
        <w:jc w:val="both"/>
        <w:rPr>
          <w:rFonts w:ascii="Arial" w:hAnsi="Arial" w:cs="Arial"/>
        </w:rPr>
      </w:pPr>
      <w:r w:rsidRPr="000A6439">
        <w:rPr>
          <w:rFonts w:ascii="Arial" w:hAnsi="Arial" w:cs="Arial"/>
        </w:rPr>
        <w:t>Z kolei zamieszczany dotychczas w dokumencie podróży cudzoziemca odcisk stempla potwierdzający złożenie wniosku o udzielenie zezwolenia pobytowego zostanie zastąpiony zaświadczeniem potwierdzającym powyższy fakt.</w:t>
      </w:r>
    </w:p>
    <w:p w:rsidR="000A6439" w:rsidRPr="000A6439" w:rsidRDefault="000A6439" w:rsidP="000A6439">
      <w:pPr>
        <w:spacing w:after="0"/>
        <w:jc w:val="both"/>
        <w:rPr>
          <w:rFonts w:ascii="Arial" w:hAnsi="Arial" w:cs="Arial"/>
        </w:rPr>
      </w:pPr>
      <w:r w:rsidRPr="000A6439">
        <w:rPr>
          <w:rFonts w:ascii="Arial" w:hAnsi="Arial" w:cs="Arial"/>
        </w:rPr>
        <w:t xml:space="preserve">Wprowadzenie rozwiązania polegającego na składaniu wniosków o niektóre zezwolenia pobytowe poprzez MOS wynika z wieloletniego zjawiska corocznego wzrostu liczby składanych przez cudzoziemców wniosków w obszarze legalizacji pobytu. Stale rośnie przez to obciążenie właściwych wydziałów urzędów wojewódzkich, które nie są w stanie załatwiać spraw we wskazanych terminach, pomimo wzmocnień kadrowych. Z uwagi na powyższe należy przyjąć rozwiązanie, które pozwoli na znaczące usprawnienia przy procedowaniu tych spraw. Dodanie możliwości składania wniosków drogą elektroniczną przy zachowaniu dotychczasowych sposobów składania wniosków sprawiłoby, że właściwe organy byłyby zmuszone obsługiwać wnioski składane na 3 sposoby, tj. w siedzibie organu, elektronicznie oraz korespondencyjnie, co nie przyniosłoby zamierzonego efektu, a jedynie dodatkowo </w:t>
      </w:r>
      <w:r w:rsidRPr="000A6439">
        <w:rPr>
          <w:rFonts w:ascii="Arial" w:hAnsi="Arial" w:cs="Arial"/>
        </w:rPr>
        <w:lastRenderedPageBreak/>
        <w:t>utrudniło kwestie organizacyjne. Uwzględnić należy, że MOS będzie narzędziem otwartym i łatwym do wykorzystania. Ponadto, należy zauważyć, iż cudzoziemcy już obecnie składając tradycyjny wniosek w znacznym stopniu korzystają z pomocy przy wypełnianiu wniosku, przy jego składaniu lub powierzają całość sprawy pełnomocnikom.</w:t>
      </w:r>
    </w:p>
    <w:p w:rsidR="000A6439" w:rsidRPr="000A6439" w:rsidRDefault="000A6439" w:rsidP="000A6439">
      <w:pPr>
        <w:spacing w:after="0"/>
        <w:jc w:val="both"/>
        <w:rPr>
          <w:rFonts w:ascii="Arial" w:hAnsi="Arial" w:cs="Arial"/>
        </w:rPr>
      </w:pPr>
      <w:r w:rsidRPr="000A6439">
        <w:rPr>
          <w:rFonts w:ascii="Arial" w:hAnsi="Arial" w:cs="Arial"/>
        </w:rPr>
        <w:t xml:space="preserve">W związku z wprowadzeniem możliwości elektronicznego składania wniosków o udzielenie zezwoleń pobytowych konieczne jest wprowadzenie zmian w ustawie z dnia 12 marca 2022 r. o pomocy obywatelom Ukrainy w związku z konfliktem zbrojnym na terytorium tego państwa w zakresie przepisów przewidujących możliwość wystąpienia przez obywateli Ukrainy z wnioskiem o udzielenie zezwolenia na pobyt czasowy na podstawie art. 42 ust. 13 tej ustawy oraz w ustawie z dnia 20 kwietnia 2004 r. o promocji zatrudnienia i instytucjach rynku pracy. Ponadto projektowane przepisy wprowadzają nowe rozwiązania prawne w zakresie procedury udzielania zezwolenia na pobyt czasowy w celu połączenia się z rodziną oraz zezwolenia na pobyt czasowy, o których mowa w art. 160 pkt 1, 3, 4 i 6 ustawy o cudzoziemcach, w sytuacji gdy cudzoziemiec, którego wniosek dotyczy przebywa poza granicami Polski, a o udzielenie zezwolenia na pobyt czasowy wnioskuje członek jego rodziny zamieszkujący już na terytorium Polski. Zaproponowano między innymi wprowadzenie definicji członka rodziny rozdzielonej, wprowadzenie nowego, odrębnego wzoru formularza wniosku o udzielenie ww. zezwolenia na pobyt czasowy dostosowanego do opisanej wyżej sytuacji oraz dostosowanie przepisów dotyczących składania ww. wniosku do opisanej wyżej sytuacji. </w:t>
      </w:r>
    </w:p>
    <w:p w:rsidR="000A6439" w:rsidRPr="000A6439" w:rsidRDefault="000A6439" w:rsidP="000A6439">
      <w:pPr>
        <w:spacing w:after="0"/>
        <w:jc w:val="both"/>
        <w:rPr>
          <w:rFonts w:ascii="Arial" w:hAnsi="Arial" w:cs="Arial"/>
        </w:rPr>
      </w:pPr>
      <w:r w:rsidRPr="000A6439">
        <w:rPr>
          <w:rFonts w:ascii="Arial" w:hAnsi="Arial" w:cs="Arial"/>
        </w:rPr>
        <w:t>Doprecyzowanie zakresu danych i informacji przetwarzanych w rejestrach</w:t>
      </w:r>
      <w:r>
        <w:rPr>
          <w:rFonts w:ascii="Arial" w:hAnsi="Arial" w:cs="Arial"/>
        </w:rPr>
        <w:t xml:space="preserve"> i postępowaniach prowadzonych </w:t>
      </w:r>
      <w:r w:rsidRPr="000A6439">
        <w:rPr>
          <w:rFonts w:ascii="Arial" w:hAnsi="Arial" w:cs="Arial"/>
        </w:rPr>
        <w:t>na podstawie ustawy z dnia 12 grudnia 2013 r. o cudzoziemcach, ustawy z dnia 13 czerwca 2003 r. o udzielaniu cudzoziemcom ochrony na terytorium Rzeczypospolitej Polskiej oraz ustawy z dn</w:t>
      </w:r>
      <w:r>
        <w:rPr>
          <w:rFonts w:ascii="Arial" w:hAnsi="Arial" w:cs="Arial"/>
        </w:rPr>
        <w:t xml:space="preserve">ia 14 lipca 2006 r. o wjeździe </w:t>
      </w:r>
      <w:r w:rsidRPr="000A6439">
        <w:rPr>
          <w:rFonts w:ascii="Arial" w:hAnsi="Arial" w:cs="Arial"/>
        </w:rPr>
        <w:t>na terytorium Rzeczypospolitej Polskiej, pobycie oraz wyjeździe z tego terytorium obywateli państw członkowskich Unii Europejskiej i członków ich rodzin, w tym w związku z koniecznością dostosowania do przepisów rozporządzenia 862/2007.</w:t>
      </w:r>
    </w:p>
    <w:p w:rsidR="000A6439" w:rsidRPr="000A6439" w:rsidRDefault="000A6439" w:rsidP="000A6439">
      <w:pPr>
        <w:spacing w:after="0"/>
        <w:jc w:val="both"/>
        <w:rPr>
          <w:rFonts w:ascii="Arial" w:hAnsi="Arial" w:cs="Arial"/>
        </w:rPr>
      </w:pPr>
      <w:r w:rsidRPr="000A6439">
        <w:rPr>
          <w:rFonts w:ascii="Arial" w:hAnsi="Arial" w:cs="Arial"/>
        </w:rPr>
        <w:t xml:space="preserve">W ww. celu konieczne jest rozszerzenie przepisów określających zakres danych oraz informacji dotyczących cudzoziemca przetwarzanych w rejestrach i postępowaniach prowadzonych na podstawie ww. ustaw. </w:t>
      </w:r>
    </w:p>
    <w:p w:rsidR="000A6439" w:rsidRPr="000A6439" w:rsidRDefault="000A6439" w:rsidP="000A6439">
      <w:pPr>
        <w:spacing w:after="0"/>
        <w:jc w:val="both"/>
        <w:rPr>
          <w:rFonts w:ascii="Arial" w:hAnsi="Arial" w:cs="Arial"/>
        </w:rPr>
      </w:pPr>
      <w:r w:rsidRPr="000A6439">
        <w:rPr>
          <w:rFonts w:ascii="Arial" w:hAnsi="Arial" w:cs="Arial"/>
        </w:rPr>
        <w:t>Zakres danych przetwarzanych na podstawie ustawy o cudzoziemcach, ustawy o udzielaniu cudzoziemcom ochrony na terytorium Rzeczypospolitej Polskiej oraz ustawy o wjeździe na terytorium Rzeczypospolitej Polskiej, pobycie oraz wyjeździe z tego terytorium obywateli państw członkowskich Unii Europejskiej i członków ich rodzin wskutek wdrożenia rozporządzenia UE 862/2007 zostanie rozszerzony o:</w:t>
      </w:r>
    </w:p>
    <w:p w:rsidR="000A6439" w:rsidRPr="000A6439" w:rsidRDefault="000A6439" w:rsidP="000A6439">
      <w:pPr>
        <w:spacing w:after="0"/>
        <w:jc w:val="both"/>
        <w:rPr>
          <w:rFonts w:ascii="Arial" w:hAnsi="Arial" w:cs="Arial"/>
        </w:rPr>
      </w:pPr>
      <w:r w:rsidRPr="000A6439">
        <w:rPr>
          <w:rFonts w:ascii="Arial" w:hAnsi="Arial" w:cs="Arial"/>
        </w:rPr>
        <w:t>- miejsce zamieszkania w kraju pochodzenia,</w:t>
      </w:r>
    </w:p>
    <w:p w:rsidR="000A6439" w:rsidRPr="000A6439" w:rsidRDefault="000A6439" w:rsidP="000A6439">
      <w:pPr>
        <w:spacing w:after="0"/>
        <w:jc w:val="both"/>
        <w:rPr>
          <w:rFonts w:ascii="Arial" w:hAnsi="Arial" w:cs="Arial"/>
        </w:rPr>
      </w:pPr>
      <w:r w:rsidRPr="000A6439">
        <w:rPr>
          <w:rFonts w:ascii="Arial" w:hAnsi="Arial" w:cs="Arial"/>
        </w:rPr>
        <w:t>- miejsce zamieszkania w kraju poprzedniego zamieszkania.</w:t>
      </w:r>
    </w:p>
    <w:p w:rsidR="000A6439" w:rsidRPr="000A6439" w:rsidRDefault="000A6439" w:rsidP="000A6439">
      <w:pPr>
        <w:spacing w:after="0"/>
        <w:jc w:val="both"/>
        <w:rPr>
          <w:rFonts w:ascii="Arial" w:hAnsi="Arial" w:cs="Arial"/>
        </w:rPr>
      </w:pPr>
      <w:r w:rsidRPr="000A6439">
        <w:rPr>
          <w:rFonts w:ascii="Arial" w:hAnsi="Arial" w:cs="Arial"/>
        </w:rPr>
        <w:t>Dostosowanie polskiego porządku prawnego do rozporządzenia 2016/1953.</w:t>
      </w:r>
    </w:p>
    <w:p w:rsidR="000A6439" w:rsidRPr="000A6439" w:rsidRDefault="000A6439" w:rsidP="000A6439">
      <w:pPr>
        <w:spacing w:after="0"/>
        <w:jc w:val="both"/>
        <w:rPr>
          <w:rFonts w:ascii="Arial" w:hAnsi="Arial" w:cs="Arial"/>
        </w:rPr>
      </w:pPr>
      <w:r w:rsidRPr="000A6439">
        <w:rPr>
          <w:rFonts w:ascii="Arial" w:hAnsi="Arial" w:cs="Arial"/>
        </w:rPr>
        <w:t>Proponowane zmiany związane z regulacjami rozporządzenia 2016/1953 mają na celu rozszerzenie katalogu wydawanych cudzoziemcom na podstawie przepisów ustawy z dnia 12 grudnia 2013 r. o cudzoziemcach dokumentów o europejski dokument podróży dla celów powrotu nielegalnie przebywających obywateli państw trzecich. Stąd konieczne jest uregulowanie w szczególności przesłanek, trybu oraz organów właściwych do wydania tego dokumentu.</w:t>
      </w:r>
    </w:p>
    <w:p w:rsidR="000A6439" w:rsidRPr="000A6439" w:rsidRDefault="000A6439" w:rsidP="000A6439">
      <w:pPr>
        <w:spacing w:after="0"/>
        <w:jc w:val="both"/>
        <w:rPr>
          <w:rFonts w:ascii="Arial" w:hAnsi="Arial" w:cs="Arial"/>
        </w:rPr>
      </w:pPr>
      <w:r w:rsidRPr="000A6439">
        <w:rPr>
          <w:rFonts w:ascii="Arial" w:hAnsi="Arial" w:cs="Arial"/>
        </w:rPr>
        <w:t>Ponadto:</w:t>
      </w:r>
    </w:p>
    <w:p w:rsidR="000A6439" w:rsidRPr="000A6439" w:rsidRDefault="000A6439" w:rsidP="000A6439">
      <w:pPr>
        <w:spacing w:after="0"/>
        <w:jc w:val="both"/>
        <w:rPr>
          <w:rFonts w:ascii="Arial" w:hAnsi="Arial" w:cs="Arial"/>
        </w:rPr>
      </w:pPr>
      <w:r w:rsidRPr="000A6439">
        <w:rPr>
          <w:rFonts w:ascii="Arial" w:hAnsi="Arial" w:cs="Arial"/>
        </w:rPr>
        <w:t>•</w:t>
      </w:r>
      <w:r w:rsidRPr="000A6439">
        <w:rPr>
          <w:rFonts w:ascii="Arial" w:hAnsi="Arial" w:cs="Arial"/>
        </w:rPr>
        <w:tab/>
        <w:t xml:space="preserve">utworzenie instytucji pouczenia cudzoziemca o obowiązku niezwłocznego wyjazdu na terytorium państwa, do którego cudzoziemiec udaje się wykonując decyzję nakazującą powrót wydaną przez organ państwa stosującego dyrektywę 2008/115/WE oraz stworzenie </w:t>
      </w:r>
      <w:r w:rsidRPr="000A6439">
        <w:rPr>
          <w:rFonts w:ascii="Arial" w:hAnsi="Arial" w:cs="Arial"/>
        </w:rPr>
        <w:lastRenderedPageBreak/>
        <w:t xml:space="preserve">rejestru pouczeń, pozwoli na ograniczenie zjawiska dublowania decyzji nakazującej powrót z taką decyzją wydaną przez inne państwo członkowskie, które już wcześniej taką decyzję wydało, w sytuacji kiedy pobyt cudzoziemca w Polsce jest związany wyłącznie z wykonaniem tej decyzji, co ma zapewnić i nadać europejski wymiar decyzjom nakazującym powrót i zapobiegać dublowaniu orzekania o zakazie wjazdu (wskutek decyzji wtórnej wydanej przez Straż Graniczną). Z uwagi na konieczność reagowania państwa na zagrożenia dla obronności lub bezpieczeństwa państwa lub ochrony bezpieczeństwa i porządku publicznego lub interesu Rzeczypospolitej Polskiej, w przypadku ujawnienia przesłanki do zobowiązania cudzoziemca do powrotu, o której mowa w art. 302 ust. 1 pkt 9 ustawy o cudzoziemcach, pouczenie nie będzie miało zastosowania i wydawana będzie decyzja o zobowiązaniu cudzoziemca do powrotu na zasadach ogólnych; </w:t>
      </w:r>
    </w:p>
    <w:p w:rsidR="000A6439" w:rsidRPr="000A6439" w:rsidRDefault="000A6439" w:rsidP="000A6439">
      <w:pPr>
        <w:spacing w:after="0"/>
        <w:jc w:val="both"/>
        <w:rPr>
          <w:rFonts w:ascii="Arial" w:hAnsi="Arial" w:cs="Arial"/>
        </w:rPr>
      </w:pPr>
      <w:r w:rsidRPr="000A6439">
        <w:rPr>
          <w:rFonts w:ascii="Arial" w:hAnsi="Arial" w:cs="Arial"/>
        </w:rPr>
        <w:t>•</w:t>
      </w:r>
      <w:r w:rsidRPr="000A6439">
        <w:rPr>
          <w:rFonts w:ascii="Arial" w:hAnsi="Arial" w:cs="Arial"/>
        </w:rPr>
        <w:tab/>
        <w:t>wprowadzenie możliwości wykorzystania przy doręczeniach korespondencji e-mail w procedurze dobrowolnych powrotów usprawni ww. procedurę poprzez otwarcie szeroko wykorzystywanego na świecie kanału komunikacji z wnioskodawcą jakim jest zadeklarowana przez niego adres poczty elektronicznej. Rozwiązanie to jest podyktowane krótkim czasem na wykonanie decyzji o zobowiązaniu do powrotu, a skorzystanie z takiej formy doręczenia, pozwoli na zapewnienie sprawnej organizacji dobrowolnych powrotów;</w:t>
      </w:r>
    </w:p>
    <w:p w:rsidR="000A6439" w:rsidRDefault="000A6439" w:rsidP="000A6439">
      <w:pPr>
        <w:spacing w:after="0"/>
        <w:jc w:val="both"/>
        <w:rPr>
          <w:rFonts w:ascii="Arial" w:hAnsi="Arial" w:cs="Arial"/>
        </w:rPr>
      </w:pPr>
      <w:r w:rsidRPr="000A6439">
        <w:rPr>
          <w:rFonts w:ascii="Arial" w:hAnsi="Arial" w:cs="Arial"/>
        </w:rPr>
        <w:t>•</w:t>
      </w:r>
      <w:r w:rsidRPr="000A6439">
        <w:rPr>
          <w:rFonts w:ascii="Arial" w:hAnsi="Arial" w:cs="Arial"/>
        </w:rPr>
        <w:tab/>
        <w:t>zmiana właściwości miejscowej sądu w zakresie wniosku o umieszczenie małoletniego cudzoziemca bez opieki w placówce opiekuńczo–wychowawczej lub w strzeżonym ośrodku pozwoli na znaczące usprawnienie czynności związanych z procedowaniem takiego wniosku, uzależniając właściwość sądu od faktycznego i aktualnego miejsca pobytu takiej osoby, a nie jak dotychczas od miejsca zatrzymania, które często są różne i znacznie od siebie oddalone, co stwarza wysokie koszty związane z doprowadzaniem cudzoziemca na posiedzenie sądowe, pociągając za sobą również zmniejszenie dolegliwości procedury dla samego małoletniego cudzoziemca. Proponowana zmiana będzie prowadziła do usprawnienia procedowania ww. wniosków oraz do obniżenia związanych z nimi kosztów i uchyli trudności natury organizacyjnej</w:t>
      </w:r>
      <w:r>
        <w:rPr>
          <w:rFonts w:ascii="Arial" w:hAnsi="Arial" w:cs="Arial"/>
        </w:rPr>
        <w:t>.</w:t>
      </w:r>
    </w:p>
    <w:p w:rsidR="000A6439" w:rsidRDefault="000A6439" w:rsidP="000A6439">
      <w:pPr>
        <w:spacing w:after="0"/>
        <w:jc w:val="both"/>
        <w:rPr>
          <w:rFonts w:ascii="Arial" w:hAnsi="Arial" w:cs="Arial"/>
        </w:rPr>
      </w:pPr>
    </w:p>
    <w:p w:rsidR="000A6439" w:rsidRPr="000A6439" w:rsidRDefault="000A6439" w:rsidP="000A6439">
      <w:pPr>
        <w:spacing w:after="0"/>
        <w:jc w:val="both"/>
        <w:rPr>
          <w:rFonts w:ascii="Arial" w:hAnsi="Arial" w:cs="Arial"/>
        </w:rPr>
      </w:pPr>
      <w:r w:rsidRPr="000A6439">
        <w:rPr>
          <w:rFonts w:ascii="Arial" w:hAnsi="Arial" w:cs="Arial"/>
        </w:rPr>
        <w:t>Przedmiotowy projekt aktu prawnego wraz Uzasadnieniem oraz Oceną Skutków Regulacji dostępny jest na stronach Rządowego Centrum Legislacji pod adresem:</w:t>
      </w:r>
    </w:p>
    <w:p w:rsidR="000A6439" w:rsidRDefault="000A6439" w:rsidP="000A6439">
      <w:pPr>
        <w:spacing w:after="0"/>
        <w:jc w:val="both"/>
        <w:rPr>
          <w:rFonts w:ascii="Arial" w:hAnsi="Arial" w:cs="Arial"/>
        </w:rPr>
      </w:pPr>
      <w:hyperlink r:id="rId7" w:history="1">
        <w:r w:rsidRPr="00660BD5">
          <w:rPr>
            <w:rStyle w:val="Hipercze"/>
            <w:rFonts w:ascii="Arial" w:hAnsi="Arial" w:cs="Arial"/>
          </w:rPr>
          <w:t>https://legislacja.rcl.gov.pl/projekt/123</w:t>
        </w:r>
        <w:r w:rsidRPr="00660BD5">
          <w:rPr>
            <w:rStyle w:val="Hipercze"/>
            <w:rFonts w:ascii="Arial" w:hAnsi="Arial" w:cs="Arial"/>
          </w:rPr>
          <w:t>9</w:t>
        </w:r>
        <w:r w:rsidRPr="00660BD5">
          <w:rPr>
            <w:rStyle w:val="Hipercze"/>
            <w:rFonts w:ascii="Arial" w:hAnsi="Arial" w:cs="Arial"/>
          </w:rPr>
          <w:t>2202/katalog/13098400#13098400</w:t>
        </w:r>
      </w:hyperlink>
      <w:r>
        <w:rPr>
          <w:rFonts w:ascii="Arial" w:hAnsi="Arial" w:cs="Arial"/>
        </w:rPr>
        <w:t xml:space="preserve"> </w:t>
      </w:r>
    </w:p>
    <w:p w:rsidR="000A6439" w:rsidRDefault="000A6439" w:rsidP="000A6439">
      <w:pPr>
        <w:spacing w:after="0"/>
        <w:jc w:val="both"/>
        <w:rPr>
          <w:rFonts w:ascii="Arial" w:hAnsi="Arial" w:cs="Arial"/>
        </w:rPr>
      </w:pPr>
    </w:p>
    <w:p w:rsidR="000A6439" w:rsidRDefault="000A6439" w:rsidP="000A6439">
      <w:pPr>
        <w:spacing w:after="0"/>
        <w:jc w:val="both"/>
        <w:rPr>
          <w:rFonts w:ascii="Arial" w:hAnsi="Arial" w:cs="Arial"/>
        </w:rPr>
      </w:pPr>
      <w:r w:rsidRPr="000A6439">
        <w:rPr>
          <w:rFonts w:ascii="Arial" w:hAnsi="Arial" w:cs="Arial"/>
        </w:rPr>
        <w:t>Projekt jest obecnie jednocześnie na etapie uzgodnień, konsultacji publicznych i opiniowania</w:t>
      </w:r>
      <w:r>
        <w:rPr>
          <w:rFonts w:ascii="Arial" w:hAnsi="Arial" w:cs="Arial"/>
        </w:rPr>
        <w:t>.</w:t>
      </w:r>
    </w:p>
    <w:p w:rsidR="000A6439" w:rsidRPr="000A6439" w:rsidRDefault="000A6439" w:rsidP="000A6439">
      <w:pPr>
        <w:spacing w:after="0"/>
        <w:jc w:val="both"/>
        <w:rPr>
          <w:rFonts w:ascii="Arial" w:hAnsi="Arial" w:cs="Arial"/>
        </w:rPr>
      </w:pPr>
    </w:p>
    <w:p w:rsidR="00676528" w:rsidRPr="00676528" w:rsidRDefault="00676528" w:rsidP="00676528">
      <w:pPr>
        <w:pStyle w:val="Akapitzlist"/>
        <w:numPr>
          <w:ilvl w:val="0"/>
          <w:numId w:val="3"/>
        </w:numPr>
        <w:spacing w:after="0"/>
        <w:jc w:val="both"/>
        <w:rPr>
          <w:rFonts w:ascii="Arial" w:hAnsi="Arial" w:cs="Arial"/>
          <w:b/>
          <w:u w:val="single"/>
        </w:rPr>
      </w:pPr>
      <w:r w:rsidRPr="00676528">
        <w:rPr>
          <w:rFonts w:ascii="Arial" w:hAnsi="Arial" w:cs="Arial"/>
          <w:b/>
          <w:u w:val="single"/>
        </w:rPr>
        <w:t>projekt ustawy o zmianie ustawy o współpracy rozwojowej oraz niektórych innych ustaw (numer z wykazu UD151)</w:t>
      </w:r>
      <w:r w:rsidR="009C1774" w:rsidRPr="00676528">
        <w:rPr>
          <w:rFonts w:ascii="Arial" w:hAnsi="Arial" w:cs="Arial"/>
          <w:b/>
          <w:u w:val="single"/>
        </w:rPr>
        <w:t xml:space="preserve"> </w:t>
      </w:r>
    </w:p>
    <w:p w:rsidR="00676528" w:rsidRDefault="00676528" w:rsidP="00676528">
      <w:pPr>
        <w:spacing w:after="0"/>
        <w:jc w:val="both"/>
        <w:rPr>
          <w:rFonts w:ascii="Arial" w:hAnsi="Arial" w:cs="Arial"/>
        </w:rPr>
      </w:pPr>
    </w:p>
    <w:p w:rsidR="00676528" w:rsidRPr="00676528" w:rsidRDefault="00676528" w:rsidP="00676528">
      <w:pPr>
        <w:spacing w:after="0"/>
        <w:jc w:val="both"/>
        <w:rPr>
          <w:rFonts w:ascii="Arial" w:hAnsi="Arial" w:cs="Arial"/>
        </w:rPr>
      </w:pPr>
      <w:r w:rsidRPr="00676528">
        <w:rPr>
          <w:rFonts w:ascii="Arial" w:hAnsi="Arial" w:cs="Arial"/>
        </w:rPr>
        <w:t>Obecnie w Polsce nie ma instytucji finansowej, która mogłaby, wykorzystując środki krajowe oraz zagraniczne, wspierać działania Rządu w zakresie współpracy rozwojowej, oferując odpowiednie instrumenty finansowe. Polska współpraca rozwojowa skupia się przede wszystkim na działaniach niosących wsparcie w zapewnieniu dobrego rządzenia oraz demokratyzacji i praw człowieka, a także transformacji systemowej, natomiast w mniejszym stopniu jest podejmowana w obszarze pobudzania wzrostu gospodarczego oraz reform społeczno-gospodarczych państw-biorców pomocy. W konsekwencji tego działalność w tym zakresie nie jest zbieżna z głównymi trendami międzynarodowymi, a brak krajowej instytucji finansowej zdolnej do udzielania pomocy rozwojowej wyklucza nasz kraj z wielu cennych inicjatyw międzynarodowych (również w zakresie oferowanej pomocy dla Ukrainy).</w:t>
      </w:r>
    </w:p>
    <w:p w:rsidR="00676528" w:rsidRPr="00676528" w:rsidRDefault="00676528" w:rsidP="00676528">
      <w:pPr>
        <w:spacing w:after="0"/>
        <w:jc w:val="both"/>
        <w:rPr>
          <w:rFonts w:ascii="Arial" w:hAnsi="Arial" w:cs="Arial"/>
        </w:rPr>
      </w:pPr>
      <w:r w:rsidRPr="00676528">
        <w:rPr>
          <w:rFonts w:ascii="Arial" w:hAnsi="Arial" w:cs="Arial"/>
        </w:rPr>
        <w:lastRenderedPageBreak/>
        <w:t>Potrzeba włączenia się Polski w międzynarodową pomoc dla Ukrainy z wykorzystaniem środków oferowanych przez Komisję Europejską oraz inne podmioty zagraniczne, wymusza podjęcie pilnych działań mających na celu stworzenie w Polsce instytucji finansowej działającej w obszarze współpracy rozwojowej.</w:t>
      </w:r>
    </w:p>
    <w:p w:rsidR="00676528" w:rsidRPr="00676528" w:rsidRDefault="00676528" w:rsidP="00676528">
      <w:pPr>
        <w:spacing w:after="0"/>
        <w:jc w:val="both"/>
        <w:rPr>
          <w:rFonts w:ascii="Arial" w:hAnsi="Arial" w:cs="Arial"/>
        </w:rPr>
      </w:pPr>
      <w:r w:rsidRPr="00676528">
        <w:rPr>
          <w:rFonts w:ascii="Arial" w:hAnsi="Arial" w:cs="Arial"/>
        </w:rPr>
        <w:t>Polska, jako państwo członkowskie Organizacji Narodów Zjednoczonych, Unii Europejskiej oraz Organizacji Współpracy Gospodarczej i Rozwoju (OECD) podjęła szereg zobowiązań w zakresie zwiększenia swojej aktywności na arenie międzynarodowej na rzecz redukcji ubóstwa i zwiększania swojej pomocy rozwojowej (</w:t>
      </w:r>
      <w:proofErr w:type="spellStart"/>
      <w:r w:rsidRPr="00676528">
        <w:rPr>
          <w:rFonts w:ascii="Arial" w:hAnsi="Arial" w:cs="Arial"/>
        </w:rPr>
        <w:t>Official</w:t>
      </w:r>
      <w:proofErr w:type="spellEnd"/>
      <w:r w:rsidRPr="00676528">
        <w:rPr>
          <w:rFonts w:ascii="Arial" w:hAnsi="Arial" w:cs="Arial"/>
        </w:rPr>
        <w:t xml:space="preserve"> Development Assistance - „ODA”). Możliwość oferowania przez Polską instrumentów współpracy rozwojowej z wykorzystaniem własnej finansowej instytucji rozwoju znacząco przyczyni się do realizacji tych zobowiązań.</w:t>
      </w:r>
    </w:p>
    <w:p w:rsidR="00676528" w:rsidRPr="00676528" w:rsidRDefault="00676528" w:rsidP="00676528">
      <w:pPr>
        <w:spacing w:after="0"/>
        <w:jc w:val="both"/>
        <w:rPr>
          <w:rFonts w:ascii="Arial" w:hAnsi="Arial" w:cs="Arial"/>
        </w:rPr>
      </w:pPr>
      <w:r w:rsidRPr="00676528">
        <w:rPr>
          <w:rFonts w:ascii="Arial" w:hAnsi="Arial" w:cs="Arial"/>
        </w:rPr>
        <w:t xml:space="preserve">Trwałe wpisanie Banku Gospodarstwa Krajowego (BGK) do grona podmiotów zaangażowanych we współpracę rozwojową poza terytorium UE oraz utworzenie w BGK Finansowego Instrumentu Współpracy Rozwojowej (FIWR), ma na celu stworzenie systemowego rozwiązania umożliwiającego BGK funkcjonowanie jako bank rozwojowy na arenie międzynarodowej. </w:t>
      </w:r>
    </w:p>
    <w:p w:rsidR="00676528" w:rsidRPr="00676528" w:rsidRDefault="00676528" w:rsidP="00676528">
      <w:pPr>
        <w:spacing w:after="0"/>
        <w:jc w:val="both"/>
        <w:rPr>
          <w:rFonts w:ascii="Arial" w:hAnsi="Arial" w:cs="Arial"/>
        </w:rPr>
      </w:pPr>
      <w:r w:rsidRPr="00676528">
        <w:rPr>
          <w:rFonts w:ascii="Arial" w:hAnsi="Arial" w:cs="Arial"/>
        </w:rPr>
        <w:t>Proponowane zmiany wzorowane są na modelu działań innych instytucji rozwoju z państw członkowskich Unii Europejskiej, które skutecznie łączą finansowanie rozwoju gospodarek państw rozwijających się ze wsparciem rodzimego biznesu. Zmiany zwiększą wachlarz oraz atrakcyjność instrumentów wsparcia polskiego biznesu na rynkach trzecich o podwyższonym profilu ryzyka.</w:t>
      </w:r>
    </w:p>
    <w:p w:rsidR="00676528" w:rsidRPr="00676528" w:rsidRDefault="00676528" w:rsidP="00676528">
      <w:pPr>
        <w:spacing w:after="0"/>
        <w:jc w:val="both"/>
        <w:rPr>
          <w:rFonts w:ascii="Arial" w:hAnsi="Arial" w:cs="Arial"/>
        </w:rPr>
      </w:pPr>
      <w:r w:rsidRPr="00676528">
        <w:rPr>
          <w:rFonts w:ascii="Arial" w:hAnsi="Arial" w:cs="Arial"/>
        </w:rPr>
        <w:t xml:space="preserve">BGK, jako jedyna instytucja finansowa w Polsce, posiada akredytację Komisji Europejskiej (tzw. </w:t>
      </w:r>
      <w:proofErr w:type="spellStart"/>
      <w:r w:rsidRPr="00676528">
        <w:rPr>
          <w:rFonts w:ascii="Arial" w:hAnsi="Arial" w:cs="Arial"/>
        </w:rPr>
        <w:t>pillar-assesment</w:t>
      </w:r>
      <w:proofErr w:type="spellEnd"/>
      <w:r w:rsidRPr="00676528">
        <w:rPr>
          <w:rFonts w:ascii="Arial" w:hAnsi="Arial" w:cs="Arial"/>
        </w:rPr>
        <w:t xml:space="preserve">). BGK pozytywnie przeszedł audyt w ramach wszystkich 9 filarów podlegających ocenie i może być traktowany przez Komisję Europejską jako potencjalny partner wdrażający programy, które umożliwiają dostęp do środków unijnych i gwarancji budżetowej na podstawie zarządzania bezpośredniego, umożliwiając łączenie środków krajowych przeznaczonych na politykę rozwojową ze środkami Unii Europejskiej na te cele. Unijny instrument wsparcia Ukrainy – </w:t>
      </w:r>
      <w:proofErr w:type="spellStart"/>
      <w:r w:rsidRPr="00676528">
        <w:rPr>
          <w:rFonts w:ascii="Arial" w:hAnsi="Arial" w:cs="Arial"/>
        </w:rPr>
        <w:t>Ukraine</w:t>
      </w:r>
      <w:proofErr w:type="spellEnd"/>
      <w:r w:rsidRPr="00676528">
        <w:rPr>
          <w:rFonts w:ascii="Arial" w:hAnsi="Arial" w:cs="Arial"/>
        </w:rPr>
        <w:t xml:space="preserve"> </w:t>
      </w:r>
      <w:proofErr w:type="spellStart"/>
      <w:r w:rsidRPr="00676528">
        <w:rPr>
          <w:rFonts w:ascii="Arial" w:hAnsi="Arial" w:cs="Arial"/>
        </w:rPr>
        <w:t>Facility</w:t>
      </w:r>
      <w:proofErr w:type="spellEnd"/>
      <w:r w:rsidRPr="00676528">
        <w:rPr>
          <w:rFonts w:ascii="Arial" w:hAnsi="Arial" w:cs="Arial"/>
        </w:rPr>
        <w:t xml:space="preserve"> (II filar) będzie wdrażany w tej formule przez europejskie banki oraz instytucje finansowe. </w:t>
      </w:r>
    </w:p>
    <w:p w:rsidR="00676528" w:rsidRPr="00676528" w:rsidRDefault="00676528" w:rsidP="00676528">
      <w:pPr>
        <w:spacing w:after="0"/>
        <w:jc w:val="both"/>
        <w:rPr>
          <w:rFonts w:ascii="Arial" w:hAnsi="Arial" w:cs="Arial"/>
        </w:rPr>
      </w:pPr>
      <w:r w:rsidRPr="00676528">
        <w:rPr>
          <w:rFonts w:ascii="Arial" w:hAnsi="Arial" w:cs="Arial"/>
        </w:rPr>
        <w:t xml:space="preserve">Efektywne wykorzystanie środków europejskich możliwe będzie wyłącznie dzięki łączeniu tych środków ze środkami krajowymi. Proponowane zmiany umożliwią BGK ubieganie się o środki europejskie na wsparcie procesów modernizacji oraz odbudowy Ukrainy. Polska zyska instrument gospodarczego odziaływania w Ukrainie oraz preferencyjnego finansowania współpracy rozwojowej, z którego będą mogły korzystać polskie przedsiębiorstwa. W efekcie polscy przedsiębiorcy uzyskają dostęp w rodzimej instytucji na miejscu (z obsługą w języku polskim) do preferencyjnego finansowania swojej działalności na  terenie Ukrainy. </w:t>
      </w:r>
    </w:p>
    <w:p w:rsidR="00676528" w:rsidRPr="00676528" w:rsidRDefault="00676528" w:rsidP="00676528">
      <w:pPr>
        <w:spacing w:after="0"/>
        <w:jc w:val="both"/>
        <w:rPr>
          <w:rFonts w:ascii="Arial" w:hAnsi="Arial" w:cs="Arial"/>
        </w:rPr>
      </w:pPr>
      <w:r w:rsidRPr="00676528">
        <w:rPr>
          <w:rFonts w:ascii="Arial" w:hAnsi="Arial" w:cs="Arial"/>
        </w:rPr>
        <w:t xml:space="preserve">Proponowane zmiany wykraczają poza ustawę o współpracy rozwojowej, bowiem bez odpowiednich zmian w ustawie o Banku Gospodarstwa Krajowego oraz ustawie - Prawo bankowe, niemożliwe będzie efektywne zaangażowanie BGK poza terenem Unii Europejskiej. </w:t>
      </w:r>
    </w:p>
    <w:p w:rsidR="00676528" w:rsidRPr="00676528" w:rsidRDefault="00676528" w:rsidP="00676528">
      <w:pPr>
        <w:spacing w:after="0"/>
        <w:jc w:val="both"/>
        <w:rPr>
          <w:rFonts w:ascii="Arial" w:hAnsi="Arial" w:cs="Arial"/>
        </w:rPr>
      </w:pPr>
      <w:r w:rsidRPr="00676528">
        <w:rPr>
          <w:rFonts w:ascii="Arial" w:hAnsi="Arial" w:cs="Arial"/>
        </w:rPr>
        <w:t xml:space="preserve">Z uwagi na fakt, że środki te będą miały charakter preferencyjny, część zaangażowanych przez BGK środków będzie raportowana jako wydatki kwalifikowane ODA w ramach OECD. </w:t>
      </w:r>
    </w:p>
    <w:p w:rsidR="00676528" w:rsidRPr="00676528" w:rsidRDefault="00676528" w:rsidP="00676528">
      <w:pPr>
        <w:spacing w:after="0"/>
        <w:jc w:val="both"/>
        <w:rPr>
          <w:rFonts w:ascii="Arial" w:hAnsi="Arial" w:cs="Arial"/>
        </w:rPr>
      </w:pPr>
      <w:r w:rsidRPr="00676528">
        <w:rPr>
          <w:rFonts w:ascii="Arial" w:hAnsi="Arial" w:cs="Arial"/>
        </w:rPr>
        <w:t xml:space="preserve">Wprowadzenie przedmiotowych zmian na początku 2025 r. umożliwiłoby dostęp do środków unijnych w ramach II filaru </w:t>
      </w:r>
      <w:proofErr w:type="spellStart"/>
      <w:r w:rsidRPr="00676528">
        <w:rPr>
          <w:rFonts w:ascii="Arial" w:hAnsi="Arial" w:cs="Arial"/>
        </w:rPr>
        <w:t>Ukraine</w:t>
      </w:r>
      <w:proofErr w:type="spellEnd"/>
      <w:r w:rsidRPr="00676528">
        <w:rPr>
          <w:rFonts w:ascii="Arial" w:hAnsi="Arial" w:cs="Arial"/>
        </w:rPr>
        <w:t xml:space="preserve"> </w:t>
      </w:r>
      <w:proofErr w:type="spellStart"/>
      <w:r w:rsidRPr="00676528">
        <w:rPr>
          <w:rFonts w:ascii="Arial" w:hAnsi="Arial" w:cs="Arial"/>
        </w:rPr>
        <w:t>Facility</w:t>
      </w:r>
      <w:proofErr w:type="spellEnd"/>
      <w:r w:rsidRPr="00676528">
        <w:rPr>
          <w:rFonts w:ascii="Arial" w:hAnsi="Arial" w:cs="Arial"/>
        </w:rPr>
        <w:t xml:space="preserve"> (konkurs KE wystartował w październiku br. i będzie trwał do wyczerpania środków lub przez 12 miesięcy) i w następstwie implementację programów rozwojowych w Ukrainie w 2025 r. i latach kolejnych.</w:t>
      </w:r>
    </w:p>
    <w:p w:rsidR="00676528" w:rsidRPr="00676528" w:rsidRDefault="00676528" w:rsidP="00676528">
      <w:pPr>
        <w:spacing w:after="0"/>
        <w:jc w:val="both"/>
        <w:rPr>
          <w:rFonts w:ascii="Arial" w:hAnsi="Arial" w:cs="Arial"/>
        </w:rPr>
      </w:pPr>
      <w:r w:rsidRPr="00676528">
        <w:rPr>
          <w:rFonts w:ascii="Arial" w:hAnsi="Arial" w:cs="Arial"/>
        </w:rPr>
        <w:t xml:space="preserve">Zmiany wprowadzane w ustawie o współpracy rozwojowej mają na celu trwałe wpisanie BGK w system instytucji wspierających współpracę rozwojową oraz koordynowanie działań BGK z </w:t>
      </w:r>
      <w:r w:rsidRPr="00676528">
        <w:rPr>
          <w:rFonts w:ascii="Arial" w:hAnsi="Arial" w:cs="Arial"/>
        </w:rPr>
        <w:lastRenderedPageBreak/>
        <w:t xml:space="preserve">wieloletnim planem współpracy rozwojowej przyjmowanym przez Radę Ministrów. W ten sposób budują fundament dla pozyskiwania przez BGK środków na realizację zadań rozwojowych ze źródeł zewnętrznych, pozwalając na zwiększenie poziomu oddziaływania przeznaczonych na współpracę rozwojową środków krajowych. </w:t>
      </w:r>
    </w:p>
    <w:p w:rsidR="00676528" w:rsidRPr="00676528" w:rsidRDefault="00676528" w:rsidP="00676528">
      <w:pPr>
        <w:spacing w:after="0"/>
        <w:jc w:val="both"/>
        <w:rPr>
          <w:rFonts w:ascii="Arial" w:hAnsi="Arial" w:cs="Arial"/>
        </w:rPr>
      </w:pPr>
      <w:r w:rsidRPr="00676528">
        <w:rPr>
          <w:rFonts w:ascii="Arial" w:hAnsi="Arial" w:cs="Arial"/>
        </w:rPr>
        <w:t>Projekt ustawy przewiduje utworzenie w BGK Finansowego Instrumentu Współpracy Rozwojowej (FIWR). Utworzenie FIWR pozwoli na realizowanie przez BGK działań z zakresu współpracy rozwojowej, między innymi poprzez pozabilansowe środki finansowe, co w konsekwencji umożliwi tworzenie preferencyjnych oraz dedykowanych dla danej potrzeby produktów, wspierając wdrażanie polskiej pomocy rozwojowej. Dotyczy to w szczególności udzielania:</w:t>
      </w:r>
    </w:p>
    <w:p w:rsidR="00676528" w:rsidRPr="00676528" w:rsidRDefault="00676528" w:rsidP="00676528">
      <w:pPr>
        <w:spacing w:after="0"/>
        <w:jc w:val="both"/>
        <w:rPr>
          <w:rFonts w:ascii="Arial" w:hAnsi="Arial" w:cs="Arial"/>
        </w:rPr>
      </w:pPr>
      <w:r w:rsidRPr="00676528">
        <w:rPr>
          <w:rFonts w:ascii="Arial" w:hAnsi="Arial" w:cs="Arial"/>
        </w:rPr>
        <w:t>- pożyczek i kredytów (również z preferencyjnym oprocentowaniem),</w:t>
      </w:r>
    </w:p>
    <w:p w:rsidR="00676528" w:rsidRPr="00676528" w:rsidRDefault="00676528" w:rsidP="00676528">
      <w:pPr>
        <w:spacing w:after="0"/>
        <w:jc w:val="both"/>
        <w:rPr>
          <w:rFonts w:ascii="Arial" w:hAnsi="Arial" w:cs="Arial"/>
        </w:rPr>
      </w:pPr>
      <w:r w:rsidRPr="00676528">
        <w:rPr>
          <w:rFonts w:ascii="Arial" w:hAnsi="Arial" w:cs="Arial"/>
        </w:rPr>
        <w:t>- gwarancji portfelowych</w:t>
      </w:r>
    </w:p>
    <w:p w:rsidR="00676528" w:rsidRPr="00676528" w:rsidRDefault="00676528" w:rsidP="00676528">
      <w:pPr>
        <w:spacing w:after="0"/>
        <w:jc w:val="both"/>
        <w:rPr>
          <w:rFonts w:ascii="Arial" w:hAnsi="Arial" w:cs="Arial"/>
        </w:rPr>
      </w:pPr>
      <w:r w:rsidRPr="00676528">
        <w:rPr>
          <w:rFonts w:ascii="Arial" w:hAnsi="Arial" w:cs="Arial"/>
        </w:rPr>
        <w:t>- pomocy techniczne,</w:t>
      </w:r>
    </w:p>
    <w:p w:rsidR="00676528" w:rsidRPr="00676528" w:rsidRDefault="00676528" w:rsidP="00676528">
      <w:pPr>
        <w:spacing w:after="0"/>
        <w:jc w:val="both"/>
        <w:rPr>
          <w:rFonts w:ascii="Arial" w:hAnsi="Arial" w:cs="Arial"/>
        </w:rPr>
      </w:pPr>
      <w:r w:rsidRPr="00676528">
        <w:rPr>
          <w:rFonts w:ascii="Arial" w:hAnsi="Arial" w:cs="Arial"/>
        </w:rPr>
        <w:t>- grantów.</w:t>
      </w:r>
    </w:p>
    <w:p w:rsidR="00676528" w:rsidRPr="00676528" w:rsidRDefault="00676528" w:rsidP="00676528">
      <w:pPr>
        <w:spacing w:after="0"/>
        <w:jc w:val="both"/>
        <w:rPr>
          <w:rFonts w:ascii="Arial" w:hAnsi="Arial" w:cs="Arial"/>
        </w:rPr>
      </w:pPr>
      <w:r w:rsidRPr="00676528">
        <w:rPr>
          <w:rFonts w:ascii="Arial" w:hAnsi="Arial" w:cs="Arial"/>
        </w:rPr>
        <w:t xml:space="preserve">Dzięki temu rozwiązaniu BGK będzie miał możliwość oferowania długoterminowych instrumentów finansowych w krajach trzecich – zarówno w formule bezpośredniego finansowania projektów, jak również finansowania wybranych segmentów gospodarki poprzez pośredniczące banki lokalne, wykorzystując w tym celu różne źródła finasowania, zarówno z budżetu państwa, jak i środków bezzwrotnych lub zwrotnych pochodzących z budżetu UE, od międzynarodowych instytucji finansowych, agencji rozwojowych państw trzecich i innych podmiotów. </w:t>
      </w:r>
    </w:p>
    <w:p w:rsidR="00676528" w:rsidRPr="00676528" w:rsidRDefault="00676528" w:rsidP="00676528">
      <w:pPr>
        <w:spacing w:after="0"/>
        <w:jc w:val="both"/>
        <w:rPr>
          <w:rFonts w:ascii="Arial" w:hAnsi="Arial" w:cs="Arial"/>
        </w:rPr>
      </w:pPr>
      <w:r w:rsidRPr="00676528">
        <w:rPr>
          <w:rFonts w:ascii="Arial" w:hAnsi="Arial" w:cs="Arial"/>
        </w:rPr>
        <w:t xml:space="preserve">Proponowana zmiana ustawy o Banku Gospodarstwa Krajowego ma na celu instytucjonalne wzmocnienie BGK w obszarze współpracy rozwojowej poprzez wyraźne wskazanie, że BGK jako polski bank rozwoju jest uprawniony do wykonywania zadań z zakresu współpracy rozwojowej, jak również rozszerzenie celów działania BGK w tym zakresie poza terytorium Polski. </w:t>
      </w:r>
    </w:p>
    <w:p w:rsidR="00676528" w:rsidRPr="00676528" w:rsidRDefault="00676528" w:rsidP="00676528">
      <w:pPr>
        <w:spacing w:after="0"/>
        <w:jc w:val="both"/>
        <w:rPr>
          <w:rFonts w:ascii="Arial" w:hAnsi="Arial" w:cs="Arial"/>
        </w:rPr>
      </w:pPr>
      <w:r w:rsidRPr="00676528">
        <w:rPr>
          <w:rFonts w:ascii="Arial" w:hAnsi="Arial" w:cs="Arial"/>
        </w:rPr>
        <w:t>W Prawie bankowym proponuje się zmianę art. 128b, która dotyczą przede wszystkim możliwości:</w:t>
      </w:r>
    </w:p>
    <w:p w:rsidR="00676528" w:rsidRPr="00676528" w:rsidRDefault="00676528" w:rsidP="00676528">
      <w:pPr>
        <w:spacing w:after="0"/>
        <w:jc w:val="both"/>
        <w:rPr>
          <w:rFonts w:ascii="Arial" w:hAnsi="Arial" w:cs="Arial"/>
        </w:rPr>
      </w:pPr>
      <w:r w:rsidRPr="00676528">
        <w:rPr>
          <w:rFonts w:ascii="Arial" w:hAnsi="Arial" w:cs="Arial"/>
        </w:rPr>
        <w:t xml:space="preserve">- wnioskowania do Komisji Nadzoru Finansowego o powierzenie innemu bankowi lub instytucji finansowej dokonywania oceny zdolności do spłaty zobowiązania i analizy ryzyka wypłaty zobowiązania w przypadku udzielania poręczeń lub gwarancji, </w:t>
      </w:r>
    </w:p>
    <w:p w:rsidR="00676528" w:rsidRPr="00676528" w:rsidRDefault="00676528" w:rsidP="00676528">
      <w:pPr>
        <w:spacing w:after="0"/>
        <w:jc w:val="both"/>
        <w:rPr>
          <w:rFonts w:ascii="Arial" w:hAnsi="Arial" w:cs="Arial"/>
        </w:rPr>
      </w:pPr>
      <w:r w:rsidRPr="00676528">
        <w:rPr>
          <w:rFonts w:ascii="Arial" w:hAnsi="Arial" w:cs="Arial"/>
        </w:rPr>
        <w:t>- powierzenia przez bank państwowy (w tym BGK) outsourcingu oceny ryzyka innemu bankowi lub instytucji finansowej, mających siedzibę na terenie państwa członkowskiego UE lub państwa trzeciego, w przypadku wykonywania zadań z zakresu współpracy rozwojowej.</w:t>
      </w:r>
    </w:p>
    <w:p w:rsidR="00676528" w:rsidRDefault="00676528" w:rsidP="00676528">
      <w:pPr>
        <w:spacing w:after="0"/>
        <w:jc w:val="both"/>
        <w:rPr>
          <w:rFonts w:ascii="Arial" w:hAnsi="Arial" w:cs="Arial"/>
        </w:rPr>
      </w:pPr>
      <w:r w:rsidRPr="00676528">
        <w:rPr>
          <w:rFonts w:ascii="Arial" w:hAnsi="Arial" w:cs="Arial"/>
        </w:rPr>
        <w:t xml:space="preserve">Wprowadzone zmiany są niezbędne z perspektywy oferowania przez BGK w obszarze współpracy rozwojowej produktów, w szczególności o charakterze portfelowym, umożliwiających współpracę w tym zakresie z innymi bankami i instytucjami rozwoju, Europejskim Bankiem Inwestycyjnym, Europejskim Funduszem Inwestycyjnym, Europejskim Bankiem Odbudowy i Rozwoju, Grupą Banku Światowego lub innymi podmiotami o podobnym profilu działalności. Gwarancje o charakterze portfelowym są najczęściej używanym instrumentem finansowym przez banki europejskie we współpracy rozwojowej, dającym duży efekt mnożnikowy w odniesieniu do zaangażowanych środków. Wprowadzenie przedmiotowej regulacji jest niezbędne z punktu widzenia zbudowania przez BGK produktów i instrumentów finansowych do wykorzystania w Ukrainie, w taki sposób, aby BGK mógł efektywnie zawnioskować i wykorzystać środki z </w:t>
      </w:r>
      <w:proofErr w:type="spellStart"/>
      <w:r w:rsidRPr="00676528">
        <w:rPr>
          <w:rFonts w:ascii="Arial" w:hAnsi="Arial" w:cs="Arial"/>
        </w:rPr>
        <w:t>Ukraine</w:t>
      </w:r>
      <w:proofErr w:type="spellEnd"/>
      <w:r w:rsidRPr="00676528">
        <w:rPr>
          <w:rFonts w:ascii="Arial" w:hAnsi="Arial" w:cs="Arial"/>
        </w:rPr>
        <w:t xml:space="preserve"> </w:t>
      </w:r>
      <w:proofErr w:type="spellStart"/>
      <w:r w:rsidRPr="00676528">
        <w:rPr>
          <w:rFonts w:ascii="Arial" w:hAnsi="Arial" w:cs="Arial"/>
        </w:rPr>
        <w:t>Facility</w:t>
      </w:r>
      <w:proofErr w:type="spellEnd"/>
      <w:r>
        <w:rPr>
          <w:rFonts w:ascii="Arial" w:hAnsi="Arial" w:cs="Arial"/>
        </w:rPr>
        <w:t>.</w:t>
      </w:r>
    </w:p>
    <w:p w:rsidR="00676528" w:rsidRDefault="00676528" w:rsidP="00676528">
      <w:pPr>
        <w:spacing w:after="0"/>
        <w:jc w:val="both"/>
        <w:rPr>
          <w:rFonts w:ascii="Arial" w:hAnsi="Arial" w:cs="Arial"/>
        </w:rPr>
      </w:pPr>
    </w:p>
    <w:p w:rsidR="00676528" w:rsidRPr="00676528" w:rsidRDefault="00676528" w:rsidP="00676528">
      <w:pPr>
        <w:spacing w:after="0"/>
        <w:jc w:val="both"/>
        <w:rPr>
          <w:rFonts w:ascii="Arial" w:hAnsi="Arial" w:cs="Arial"/>
        </w:rPr>
      </w:pPr>
      <w:r w:rsidRPr="00676528">
        <w:rPr>
          <w:rFonts w:ascii="Arial" w:hAnsi="Arial" w:cs="Arial"/>
        </w:rPr>
        <w:t>Przedmiotowy projekt aktu prawnego wraz Uzasadnieniem oraz Oceną Skutków Regulacji dostępny jest na stronach Rządowego Centrum Legislacji pod adresem:</w:t>
      </w:r>
    </w:p>
    <w:p w:rsidR="00676528" w:rsidRDefault="00676528" w:rsidP="00676528">
      <w:pPr>
        <w:spacing w:after="0"/>
        <w:jc w:val="both"/>
        <w:rPr>
          <w:rFonts w:ascii="Arial" w:hAnsi="Arial" w:cs="Arial"/>
        </w:rPr>
      </w:pPr>
      <w:hyperlink r:id="rId8" w:history="1">
        <w:r w:rsidRPr="00660BD5">
          <w:rPr>
            <w:rStyle w:val="Hipercze"/>
            <w:rFonts w:ascii="Arial" w:hAnsi="Arial" w:cs="Arial"/>
          </w:rPr>
          <w:t>https://legislacja.rcl.gov.pl/projekt/1239225</w:t>
        </w:r>
        <w:r w:rsidRPr="00660BD5">
          <w:rPr>
            <w:rStyle w:val="Hipercze"/>
            <w:rFonts w:ascii="Arial" w:hAnsi="Arial" w:cs="Arial"/>
          </w:rPr>
          <w:t>3</w:t>
        </w:r>
        <w:r w:rsidRPr="00660BD5">
          <w:rPr>
            <w:rStyle w:val="Hipercze"/>
            <w:rFonts w:ascii="Arial" w:hAnsi="Arial" w:cs="Arial"/>
          </w:rPr>
          <w:t>/katalog/13098993#13098993</w:t>
        </w:r>
      </w:hyperlink>
      <w:r>
        <w:rPr>
          <w:rFonts w:ascii="Arial" w:hAnsi="Arial" w:cs="Arial"/>
        </w:rPr>
        <w:t xml:space="preserve"> </w:t>
      </w:r>
    </w:p>
    <w:p w:rsidR="00676528" w:rsidRDefault="00676528" w:rsidP="00676528">
      <w:pPr>
        <w:spacing w:after="0"/>
        <w:jc w:val="both"/>
        <w:rPr>
          <w:rFonts w:ascii="Arial" w:hAnsi="Arial" w:cs="Arial"/>
        </w:rPr>
      </w:pPr>
    </w:p>
    <w:p w:rsidR="009C1774" w:rsidRPr="00676528" w:rsidRDefault="00676528" w:rsidP="00676528">
      <w:pPr>
        <w:spacing w:after="0"/>
        <w:jc w:val="both"/>
        <w:rPr>
          <w:rFonts w:ascii="Arial" w:hAnsi="Arial" w:cs="Arial"/>
        </w:rPr>
      </w:pPr>
      <w:r w:rsidRPr="00676528">
        <w:rPr>
          <w:rFonts w:ascii="Arial" w:hAnsi="Arial" w:cs="Arial"/>
        </w:rPr>
        <w:t>Projekt jest obecnie jednocześnie na etapie uzgodnień, konsultacji publicznych i opiniowania</w:t>
      </w:r>
      <w:r>
        <w:rPr>
          <w:rFonts w:ascii="Arial" w:hAnsi="Arial" w:cs="Arial"/>
        </w:rPr>
        <w:t>.</w:t>
      </w:r>
    </w:p>
    <w:p w:rsidR="009C1774" w:rsidRDefault="009C1774" w:rsidP="000A6439">
      <w:pPr>
        <w:spacing w:after="0"/>
        <w:jc w:val="both"/>
        <w:rPr>
          <w:rFonts w:ascii="Arial" w:hAnsi="Arial" w:cs="Arial"/>
        </w:rPr>
      </w:pPr>
    </w:p>
    <w:p w:rsidR="009C1774" w:rsidRDefault="009C1774" w:rsidP="000A6439">
      <w:pPr>
        <w:spacing w:after="0"/>
        <w:jc w:val="both"/>
        <w:rPr>
          <w:rFonts w:ascii="Arial" w:hAnsi="Arial" w:cs="Arial"/>
        </w:rPr>
      </w:pPr>
      <w:r>
        <w:rPr>
          <w:rFonts w:ascii="Arial" w:hAnsi="Arial" w:cs="Arial"/>
        </w:rPr>
        <w:t>Projekty rozporządzeń:</w:t>
      </w:r>
    </w:p>
    <w:p w:rsidR="00676528" w:rsidRDefault="00676528" w:rsidP="000A6439">
      <w:pPr>
        <w:spacing w:after="0"/>
        <w:jc w:val="both"/>
        <w:rPr>
          <w:rFonts w:ascii="Arial" w:hAnsi="Arial" w:cs="Arial"/>
        </w:rPr>
      </w:pPr>
    </w:p>
    <w:p w:rsidR="00676528" w:rsidRPr="00676528" w:rsidRDefault="00676528" w:rsidP="00676528">
      <w:pPr>
        <w:pStyle w:val="Akapitzlist"/>
        <w:numPr>
          <w:ilvl w:val="0"/>
          <w:numId w:val="4"/>
        </w:numPr>
        <w:spacing w:after="0"/>
        <w:jc w:val="both"/>
        <w:rPr>
          <w:rFonts w:ascii="Arial" w:hAnsi="Arial" w:cs="Arial"/>
          <w:b/>
          <w:u w:val="single"/>
        </w:rPr>
      </w:pPr>
      <w:r w:rsidRPr="00676528">
        <w:rPr>
          <w:rFonts w:ascii="Arial" w:hAnsi="Arial" w:cs="Arial"/>
          <w:b/>
          <w:u w:val="single"/>
        </w:rPr>
        <w:t>projekt rozporządzenia Ministra Przemysłu zmieniającego rozporządzenie w sprawie szczegółowego wykazu paliw ciekłych, których wytwarzanie, magazynowanie lub przeładunek, przesyłanie lub dystrybucja, obrót, w tym obrót z zagranicą, wymaga koncesji oraz których przywóz wymaga wpisu do rejestru podmiotów przywożących (numer z wykazu 5)</w:t>
      </w:r>
    </w:p>
    <w:p w:rsidR="00676528" w:rsidRDefault="00676528" w:rsidP="00676528">
      <w:pPr>
        <w:spacing w:after="0"/>
        <w:jc w:val="both"/>
        <w:rPr>
          <w:rFonts w:ascii="Arial" w:hAnsi="Arial" w:cs="Arial"/>
        </w:rPr>
      </w:pPr>
    </w:p>
    <w:p w:rsidR="00676528" w:rsidRPr="00676528" w:rsidRDefault="00676528" w:rsidP="00676528">
      <w:pPr>
        <w:spacing w:after="0"/>
        <w:jc w:val="both"/>
        <w:rPr>
          <w:rFonts w:ascii="Arial" w:hAnsi="Arial" w:cs="Arial"/>
        </w:rPr>
      </w:pPr>
      <w:r w:rsidRPr="00676528">
        <w:rPr>
          <w:rFonts w:ascii="Arial" w:hAnsi="Arial" w:cs="Arial"/>
        </w:rPr>
        <w:t>Minister właściwy do spraw gospodarki surowcami energetycznymi na podstaw</w:t>
      </w:r>
      <w:r>
        <w:rPr>
          <w:rFonts w:ascii="Arial" w:hAnsi="Arial" w:cs="Arial"/>
        </w:rPr>
        <w:t xml:space="preserve">ie obowiązującego upoważnienia </w:t>
      </w:r>
      <w:r w:rsidRPr="00676528">
        <w:rPr>
          <w:rFonts w:ascii="Arial" w:hAnsi="Arial" w:cs="Arial"/>
        </w:rPr>
        <w:t xml:space="preserve">zawartego w art. 32 ust. 6 ustawy z dnia 10 kwietnia 1997 r. – Prawo energetyczne jest obowiązany do określenia szczegółowego wykazu paliw ciekłych, których wytwarzanie, magazynowanie lub przeładunek, przesyłanie lub dystrybucja, obrót, w tym obrót z zagranicą, wymaga koncesji, oraz których przywóz wymaga wpisu do rejestru podmiotów przywożących. </w:t>
      </w:r>
    </w:p>
    <w:p w:rsidR="00676528" w:rsidRPr="00676528" w:rsidRDefault="00676528" w:rsidP="00676528">
      <w:pPr>
        <w:spacing w:after="0"/>
        <w:jc w:val="both"/>
        <w:rPr>
          <w:rFonts w:ascii="Arial" w:hAnsi="Arial" w:cs="Arial"/>
        </w:rPr>
      </w:pPr>
      <w:r w:rsidRPr="00676528">
        <w:rPr>
          <w:rFonts w:ascii="Arial" w:hAnsi="Arial" w:cs="Arial"/>
        </w:rPr>
        <w:t xml:space="preserve">Rozporządzenie Ministra Aktywów Państwowych z dnia 27 listopada 2019 r. w sprawie szczegółowego wykazu paliw ciekłych, których wytwarzanie, magazynowanie lub przeładunek, przesyłanie lub dystrybucja, obrót, w tym obrót z zagranicą, wymaga koncesji oraz których przywóz wymaga wpisu do rejestru podmiotów przywożących (Dz. U. z 2021 r. poz. 2336 oraz z 2023 r. poz. 2455), wskazuje wśród paliw ciekłych wyszczególnionych w tym rozporządzeniu, kwalifikujących się do obowiązku koncesyjnego oraz obowiązku uzyskania wpisu do rejestru podmiotów przywożących, w § 1 pkt 8 oraz § 2 pkt 9 „oleje napędowe, w tym lekkie oleje opałowe”, w tym o kodzie CN 2710 19 43. </w:t>
      </w:r>
    </w:p>
    <w:p w:rsidR="00676528" w:rsidRPr="00676528" w:rsidRDefault="00676528" w:rsidP="00676528">
      <w:pPr>
        <w:spacing w:after="0"/>
        <w:jc w:val="both"/>
        <w:rPr>
          <w:rFonts w:ascii="Arial" w:hAnsi="Arial" w:cs="Arial"/>
        </w:rPr>
      </w:pPr>
      <w:r w:rsidRPr="00676528">
        <w:rPr>
          <w:rFonts w:ascii="Arial" w:hAnsi="Arial" w:cs="Arial"/>
        </w:rPr>
        <w:t>Konieczność zmiany obecnie obowiązującego rozporządzenia wynika z wejścia w życie z dniem 20 listopada 2024 r. i stosowania od dnia 1 stycznia 2025 r. rozporządzenia wykonawczego Komisji (UE) 2024/2522 z dnia 23 września 2024 r. zmieniającego załącznik I do rozporządzenia Rady (EWG) nr 2658/87 w sprawie nomenklatury taryfowej i statystycznej oraz w sprawie Wspólnej Taryfy Celnej Dz. Urz. UE L 2024/2522 z 31.10.2024. Rozporządzenie to wprowadza zmianę kodu CN dla czystego (o zawartości siarki nieprzekraczającej 0,001 % masy) oleju napędowego o kodzie CN 2710 19 43. W następstwie nowelizacji kod ten został zastąpiony kodami CN 2710 19 42 – o zawartości węgla biogenicznego co najmniej 80 % masy oraz CN 2710 19 44 – jako pozostałe.</w:t>
      </w:r>
    </w:p>
    <w:p w:rsidR="00676528" w:rsidRDefault="00676528" w:rsidP="00676528">
      <w:pPr>
        <w:spacing w:after="0"/>
        <w:jc w:val="both"/>
        <w:rPr>
          <w:rFonts w:ascii="Arial" w:hAnsi="Arial" w:cs="Arial"/>
        </w:rPr>
      </w:pPr>
      <w:r w:rsidRPr="00676528">
        <w:rPr>
          <w:rFonts w:ascii="Arial" w:hAnsi="Arial" w:cs="Arial"/>
        </w:rPr>
        <w:t>Projektowane rozporządzenie dokonuje nowelizacji obecnie obowiązującego rozporządzenia w sprawie szczegółowego wykazu paliw ciekłych, dostosowując je do nowego brzmienia Nomenklatury Scalonej, wprowadzając zmianę przewidującą, że obowiązkowi koncesyjnemu podlegają oleje napędowe o zawartości węgla biogenicznego (co najmniej 80 %) i pozostałe, a także wyszczególniając kody 2710 19 42 i 2710 19 44, co ułatwi identyfikację wyrobów o tych kodach olejów napędowych z określoną zawartością węgla biogenicznego i pozostałych, powodując bardziej precyzyjne określanie przedmiotu działalności w decyzjach koncesyjnych oraz we wpisach w rejestrze podmiotów przywożących, dotyczących olejów napędowych</w:t>
      </w:r>
      <w:r>
        <w:rPr>
          <w:rFonts w:ascii="Arial" w:hAnsi="Arial" w:cs="Arial"/>
        </w:rPr>
        <w:t>.</w:t>
      </w:r>
    </w:p>
    <w:p w:rsidR="00EB305E" w:rsidRDefault="00EB305E" w:rsidP="00676528">
      <w:pPr>
        <w:spacing w:after="0"/>
        <w:jc w:val="both"/>
        <w:rPr>
          <w:rFonts w:ascii="Arial" w:hAnsi="Arial" w:cs="Arial"/>
        </w:rPr>
      </w:pPr>
    </w:p>
    <w:p w:rsidR="00EB305E" w:rsidRPr="00EB305E" w:rsidRDefault="00EB305E" w:rsidP="00EB305E">
      <w:pPr>
        <w:spacing w:after="0"/>
        <w:jc w:val="both"/>
        <w:rPr>
          <w:rFonts w:ascii="Arial" w:hAnsi="Arial" w:cs="Arial"/>
        </w:rPr>
      </w:pPr>
      <w:r w:rsidRPr="00EB305E">
        <w:rPr>
          <w:rFonts w:ascii="Arial" w:hAnsi="Arial" w:cs="Arial"/>
        </w:rPr>
        <w:t>Przedmiotowy projekt aktu prawnego wraz Uzasadnieniem oraz Oceną Skutków Regulacji dostępny jest na stronach Rządowego Centrum Legislacji pod adresem:</w:t>
      </w:r>
    </w:p>
    <w:p w:rsidR="00EB305E" w:rsidRDefault="00EB305E" w:rsidP="00EB305E">
      <w:pPr>
        <w:spacing w:after="0"/>
        <w:jc w:val="both"/>
        <w:rPr>
          <w:rFonts w:ascii="Arial" w:hAnsi="Arial" w:cs="Arial"/>
        </w:rPr>
      </w:pPr>
      <w:hyperlink r:id="rId9" w:history="1">
        <w:r w:rsidRPr="00660BD5">
          <w:rPr>
            <w:rStyle w:val="Hipercze"/>
            <w:rFonts w:ascii="Arial" w:hAnsi="Arial" w:cs="Arial"/>
          </w:rPr>
          <w:t>https://legislacja.rcl.gov.pl/projekt/123</w:t>
        </w:r>
        <w:r w:rsidRPr="00660BD5">
          <w:rPr>
            <w:rStyle w:val="Hipercze"/>
            <w:rFonts w:ascii="Arial" w:hAnsi="Arial" w:cs="Arial"/>
          </w:rPr>
          <w:t>9</w:t>
        </w:r>
        <w:r w:rsidRPr="00660BD5">
          <w:rPr>
            <w:rStyle w:val="Hipercze"/>
            <w:rFonts w:ascii="Arial" w:hAnsi="Arial" w:cs="Arial"/>
          </w:rPr>
          <w:t>2251/katalog/13098901#13098901</w:t>
        </w:r>
      </w:hyperlink>
      <w:r>
        <w:rPr>
          <w:rFonts w:ascii="Arial" w:hAnsi="Arial" w:cs="Arial"/>
        </w:rPr>
        <w:t xml:space="preserve"> </w:t>
      </w:r>
    </w:p>
    <w:p w:rsidR="00EB305E" w:rsidRDefault="00EB305E" w:rsidP="00EB305E">
      <w:pPr>
        <w:spacing w:after="0"/>
        <w:jc w:val="both"/>
        <w:rPr>
          <w:rFonts w:ascii="Arial" w:hAnsi="Arial" w:cs="Arial"/>
        </w:rPr>
      </w:pPr>
    </w:p>
    <w:p w:rsidR="00EB305E" w:rsidRDefault="00EB305E" w:rsidP="00EB305E">
      <w:pPr>
        <w:spacing w:after="0"/>
        <w:jc w:val="both"/>
        <w:rPr>
          <w:rFonts w:ascii="Arial" w:hAnsi="Arial" w:cs="Arial"/>
        </w:rPr>
      </w:pPr>
      <w:r w:rsidRPr="00EB305E">
        <w:rPr>
          <w:rFonts w:ascii="Arial" w:hAnsi="Arial" w:cs="Arial"/>
        </w:rPr>
        <w:t>Projekt jest obecnie jednocześnie na etapie uzgodnień, konsultacji publicznych i opiniowania</w:t>
      </w:r>
    </w:p>
    <w:p w:rsidR="00676528" w:rsidRPr="00676528" w:rsidRDefault="00676528" w:rsidP="00676528">
      <w:pPr>
        <w:spacing w:after="0"/>
        <w:jc w:val="both"/>
        <w:rPr>
          <w:rFonts w:ascii="Arial" w:hAnsi="Arial" w:cs="Arial"/>
        </w:rPr>
      </w:pPr>
    </w:p>
    <w:p w:rsidR="00EB305E" w:rsidRPr="00EB305E" w:rsidRDefault="00EB305E" w:rsidP="00EB305E">
      <w:pPr>
        <w:pStyle w:val="Akapitzlist"/>
        <w:numPr>
          <w:ilvl w:val="0"/>
          <w:numId w:val="4"/>
        </w:numPr>
        <w:spacing w:after="0"/>
        <w:jc w:val="both"/>
        <w:rPr>
          <w:rFonts w:ascii="Arial" w:hAnsi="Arial" w:cs="Arial"/>
          <w:b/>
          <w:u w:val="single"/>
        </w:rPr>
      </w:pPr>
      <w:r w:rsidRPr="00EB305E">
        <w:rPr>
          <w:rFonts w:ascii="Arial" w:hAnsi="Arial" w:cs="Arial"/>
          <w:b/>
          <w:u w:val="single"/>
        </w:rPr>
        <w:t>projekt rozporządzenia Ministra Przemysłu zmieniającego rozporządzenie w sprawie szczegółowego wykazu surowców oraz produktów naftowych objętych systemem zapasów interwencyjnych oraz wykazu paliw stanowiących podstawę do wyliczenia opłaty zapasowej (numer z wykazu 6)</w:t>
      </w:r>
      <w:r w:rsidR="009C1774" w:rsidRPr="00EB305E">
        <w:rPr>
          <w:rFonts w:ascii="Arial" w:hAnsi="Arial" w:cs="Arial"/>
          <w:b/>
          <w:u w:val="single"/>
        </w:rPr>
        <w:t xml:space="preserve"> </w:t>
      </w:r>
    </w:p>
    <w:p w:rsidR="00EB305E" w:rsidRDefault="00EB305E" w:rsidP="00EB305E">
      <w:pPr>
        <w:spacing w:after="0"/>
        <w:jc w:val="both"/>
        <w:rPr>
          <w:rFonts w:ascii="Arial" w:hAnsi="Arial" w:cs="Arial"/>
        </w:rPr>
      </w:pPr>
    </w:p>
    <w:p w:rsidR="00EB305E" w:rsidRPr="00EB305E" w:rsidRDefault="00EB305E" w:rsidP="00EB305E">
      <w:pPr>
        <w:spacing w:after="0"/>
        <w:jc w:val="both"/>
        <w:rPr>
          <w:rFonts w:ascii="Arial" w:hAnsi="Arial" w:cs="Arial"/>
        </w:rPr>
      </w:pPr>
      <w:r w:rsidRPr="00EB305E">
        <w:rPr>
          <w:rFonts w:ascii="Arial" w:hAnsi="Arial" w:cs="Arial"/>
        </w:rPr>
        <w:t xml:space="preserve">Rozporządzenie Ministra Klimatu z dnia 7 sierpnia 2020 r. w sprawie szczegółowego wykazu surowców oraz produktów naftowych objętych systemem zapasów interwencyjnych oraz wykazu paliw stanowiących podstawę do wyliczenia opłaty zapasowej (Dz. U. z 2020 r. poz. 1373) wskazuje wśród paliw ciekłych uwzględnianych podczas ustalania i tworzenia zapasów interwencyjnych oraz wyliczania opłaty zapasowej, w § 2 pkt 10, § 4 pkt 8 oraz § 6 pkt 7 „oleje napędowe, w tym lekkie oleje opałowe”, w tym o kodzie CN 2710 19 43. </w:t>
      </w:r>
    </w:p>
    <w:p w:rsidR="00EB305E" w:rsidRPr="00EB305E" w:rsidRDefault="00EB305E" w:rsidP="00EB305E">
      <w:pPr>
        <w:spacing w:after="0"/>
        <w:jc w:val="both"/>
        <w:rPr>
          <w:rFonts w:ascii="Arial" w:hAnsi="Arial" w:cs="Arial"/>
        </w:rPr>
      </w:pPr>
      <w:r w:rsidRPr="00EB305E">
        <w:rPr>
          <w:rFonts w:ascii="Arial" w:hAnsi="Arial" w:cs="Arial"/>
        </w:rPr>
        <w:t xml:space="preserve">Potrzeba zmiany rozporządzenia wynika z następujących przyczyn: </w:t>
      </w:r>
    </w:p>
    <w:p w:rsidR="00EB305E" w:rsidRPr="00EB305E" w:rsidRDefault="00EB305E" w:rsidP="00EB305E">
      <w:pPr>
        <w:spacing w:after="0"/>
        <w:jc w:val="both"/>
        <w:rPr>
          <w:rFonts w:ascii="Arial" w:hAnsi="Arial" w:cs="Arial"/>
        </w:rPr>
      </w:pPr>
      <w:r w:rsidRPr="00EB305E">
        <w:rPr>
          <w:rFonts w:ascii="Arial" w:hAnsi="Arial" w:cs="Arial"/>
        </w:rPr>
        <w:t>1)</w:t>
      </w:r>
      <w:r w:rsidRPr="00EB305E">
        <w:rPr>
          <w:rFonts w:ascii="Arial" w:hAnsi="Arial" w:cs="Arial"/>
        </w:rPr>
        <w:tab/>
        <w:t xml:space="preserve">konieczności dostosowania wykazu surowców oraz produktów naftowych objętych systemem zapasów interwencyjnych do zmian wprowadzonych w Nomenklaturze Scalonej przez rozporządzenie wykonawcze Komisji (UE) 2024/2522 z dnia 23 września 2024 r. zmieniające załącznik I do rozporządzenia Rady (EWG) nr 2658/87 w sprawie nomenklatury taryfowej i statystycznej oraz w sprawie Wspólnej Taryfy Celnej (Dz. Urz. UE L 2024/2522 z 31.10.2024), które weszło w życie z dniem 20 listopada 2024 r. i jest stosowane od dnia 1 stycznia 2025 r.; </w:t>
      </w:r>
    </w:p>
    <w:p w:rsidR="00EB305E" w:rsidRPr="00EB305E" w:rsidRDefault="00EB305E" w:rsidP="00EB305E">
      <w:pPr>
        <w:spacing w:after="0"/>
        <w:jc w:val="both"/>
        <w:rPr>
          <w:rFonts w:ascii="Arial" w:hAnsi="Arial" w:cs="Arial"/>
        </w:rPr>
      </w:pPr>
      <w:r w:rsidRPr="00EB305E">
        <w:rPr>
          <w:rFonts w:ascii="Arial" w:hAnsi="Arial" w:cs="Arial"/>
        </w:rPr>
        <w:t>2)</w:t>
      </w:r>
      <w:r w:rsidRPr="00EB305E">
        <w:rPr>
          <w:rFonts w:ascii="Arial" w:hAnsi="Arial" w:cs="Arial"/>
        </w:rPr>
        <w:tab/>
        <w:t xml:space="preserve">zmiany parametrów surowcowych oraz technologicznych procesów produkcji paliw oraz zmian paliw przywożonych do Polski skutkujących identyfikacją produktów naftowych w systemie zapasów interwencyjnych pod nowymi kodami CN dotychczas niewymienionymi w obowiązującym rozporządzeniu. </w:t>
      </w:r>
    </w:p>
    <w:p w:rsidR="00EB305E" w:rsidRPr="00EB305E" w:rsidRDefault="00EB305E" w:rsidP="00EB305E">
      <w:pPr>
        <w:spacing w:after="0"/>
        <w:jc w:val="both"/>
        <w:rPr>
          <w:rFonts w:ascii="Arial" w:hAnsi="Arial" w:cs="Arial"/>
        </w:rPr>
      </w:pPr>
      <w:r w:rsidRPr="00EB305E">
        <w:rPr>
          <w:rFonts w:ascii="Arial" w:hAnsi="Arial" w:cs="Arial"/>
        </w:rPr>
        <w:t>Nowelizacja rozporządzenia wprowadza zmianę kodu CN dla czystego (o zawartości siarki nieprzekraczającej 0,001 % masy) oleju napędowego o kodzie CN 2710 19 43. W następstwie nowelizacji ww. kod został zastąpiony kodami CN 2710 19 42 – o zawartości węgla biogenicznego co najmniej 80 % masy oraz CN 2710 19 44 – jako pozostałe.</w:t>
      </w:r>
    </w:p>
    <w:p w:rsidR="00EB305E" w:rsidRPr="00EB305E" w:rsidRDefault="00EB305E" w:rsidP="00EB305E">
      <w:pPr>
        <w:spacing w:after="0"/>
        <w:jc w:val="both"/>
        <w:rPr>
          <w:rFonts w:ascii="Arial" w:hAnsi="Arial" w:cs="Arial"/>
        </w:rPr>
      </w:pPr>
      <w:r w:rsidRPr="00EB305E">
        <w:rPr>
          <w:rFonts w:ascii="Arial" w:hAnsi="Arial" w:cs="Arial"/>
        </w:rPr>
        <w:t xml:space="preserve">Wejście w życie nowelizacji rozporządzenia zapewni utrzymanie porządku prawnego w zakresie tworzenia i utrzymywania zapasów interwencyjnych ropy naftowej i paliw oraz zapewni wpływy z opłaty zapasowej na konto Funduszu Zapasów Interwencyjnych. Ponadto dostosuje wykaz surowców oraz produktów naftowych objętych systemem zapasów interwencyjnych do zmian wprowadzonych w Nomenklaturze Scalonej, dostosowane zostanie nazewnictwo do zmian w definicjach paliw oraz dodane zostaną nowe produkty produkowane w związku ze zmianą parametrów surowcowych oraz technologicznych procesów produkcji paliw oraz zmiany paliw przywożonych do Polski, które zastąpią dotychczasowe. </w:t>
      </w:r>
    </w:p>
    <w:p w:rsidR="009C1774" w:rsidRDefault="00EB305E" w:rsidP="00EB305E">
      <w:pPr>
        <w:spacing w:after="0"/>
        <w:jc w:val="both"/>
        <w:rPr>
          <w:rFonts w:ascii="Arial" w:hAnsi="Arial" w:cs="Arial"/>
        </w:rPr>
      </w:pPr>
      <w:r w:rsidRPr="00EB305E">
        <w:rPr>
          <w:rFonts w:ascii="Arial" w:hAnsi="Arial" w:cs="Arial"/>
        </w:rPr>
        <w:t>Oczekiwanym efektem rozporządzenia wynikającym ze zmiany dotychczasowego stanu prawnego będzie zapewnienie sprawnego funkcjonowania systemu zapasów interwencyjnych ropy naftowej i paliw oraz zapewnienie wpływów z opłaty zapasowej na konto Funduszu Zapasów Interwencyjnych</w:t>
      </w:r>
      <w:r>
        <w:rPr>
          <w:rFonts w:ascii="Arial" w:hAnsi="Arial" w:cs="Arial"/>
        </w:rPr>
        <w:t>.</w:t>
      </w:r>
    </w:p>
    <w:p w:rsidR="00EB305E" w:rsidRDefault="00EB305E" w:rsidP="00EB305E">
      <w:pPr>
        <w:spacing w:after="0"/>
        <w:jc w:val="both"/>
        <w:rPr>
          <w:rFonts w:ascii="Arial" w:hAnsi="Arial" w:cs="Arial"/>
        </w:rPr>
      </w:pPr>
    </w:p>
    <w:p w:rsidR="00EB305E" w:rsidRPr="00EB305E" w:rsidRDefault="00EB305E" w:rsidP="00EB305E">
      <w:pPr>
        <w:spacing w:after="0"/>
        <w:jc w:val="both"/>
        <w:rPr>
          <w:rFonts w:ascii="Arial" w:hAnsi="Arial" w:cs="Arial"/>
        </w:rPr>
      </w:pPr>
      <w:r w:rsidRPr="00EB305E">
        <w:rPr>
          <w:rFonts w:ascii="Arial" w:hAnsi="Arial" w:cs="Arial"/>
        </w:rPr>
        <w:t>Przedmiotowy projekt aktu prawnego wraz Uzasadnieniem oraz Oceną Skutków Regulacji dostępny jest na stronach Rządowego Centrum Legislacji pod adresem:</w:t>
      </w:r>
    </w:p>
    <w:p w:rsidR="00EB305E" w:rsidRPr="00EB305E" w:rsidRDefault="00EB305E" w:rsidP="00EB305E">
      <w:pPr>
        <w:spacing w:after="0"/>
        <w:jc w:val="both"/>
        <w:rPr>
          <w:rFonts w:ascii="Arial" w:hAnsi="Arial" w:cs="Arial"/>
        </w:rPr>
      </w:pPr>
      <w:hyperlink r:id="rId10" w:history="1">
        <w:r w:rsidRPr="00660BD5">
          <w:rPr>
            <w:rStyle w:val="Hipercze"/>
            <w:rFonts w:ascii="Arial" w:hAnsi="Arial" w:cs="Arial"/>
          </w:rPr>
          <w:t>https://legislacja.rcl.gov.pl/projek</w:t>
        </w:r>
        <w:r w:rsidRPr="00660BD5">
          <w:rPr>
            <w:rStyle w:val="Hipercze"/>
            <w:rFonts w:ascii="Arial" w:hAnsi="Arial" w:cs="Arial"/>
          </w:rPr>
          <w:t>t</w:t>
        </w:r>
        <w:r w:rsidRPr="00660BD5">
          <w:rPr>
            <w:rStyle w:val="Hipercze"/>
            <w:rFonts w:ascii="Arial" w:hAnsi="Arial" w:cs="Arial"/>
          </w:rPr>
          <w:t>/12392252/katalog/13098944#13098944</w:t>
        </w:r>
      </w:hyperlink>
      <w:r>
        <w:rPr>
          <w:rFonts w:ascii="Arial" w:hAnsi="Arial" w:cs="Arial"/>
        </w:rPr>
        <w:t xml:space="preserve"> </w:t>
      </w:r>
    </w:p>
    <w:p w:rsidR="009C1774" w:rsidRDefault="009C1774" w:rsidP="000A6439">
      <w:pPr>
        <w:spacing w:after="0"/>
        <w:jc w:val="both"/>
        <w:rPr>
          <w:rFonts w:ascii="Arial" w:hAnsi="Arial" w:cs="Arial"/>
        </w:rPr>
      </w:pPr>
    </w:p>
    <w:p w:rsidR="00EB305E" w:rsidRPr="00042C7F" w:rsidRDefault="00EB305E" w:rsidP="000A6439">
      <w:pPr>
        <w:spacing w:after="0"/>
        <w:jc w:val="both"/>
        <w:rPr>
          <w:rFonts w:ascii="Arial" w:hAnsi="Arial" w:cs="Arial"/>
        </w:rPr>
      </w:pPr>
      <w:r w:rsidRPr="00EB305E">
        <w:rPr>
          <w:rFonts w:ascii="Arial" w:hAnsi="Arial" w:cs="Arial"/>
        </w:rPr>
        <w:lastRenderedPageBreak/>
        <w:t>Projekt jest obecnie jednocześnie na etapie uzgodnień, konsultacji publicznych i opiniowania</w:t>
      </w:r>
      <w:r>
        <w:rPr>
          <w:rFonts w:ascii="Arial" w:hAnsi="Arial" w:cs="Arial"/>
        </w:rPr>
        <w:t>.</w:t>
      </w:r>
    </w:p>
    <w:p w:rsidR="009C1774" w:rsidRDefault="009C1774" w:rsidP="000A6439">
      <w:pPr>
        <w:spacing w:after="0"/>
        <w:rPr>
          <w:rFonts w:ascii="Arial" w:hAnsi="Arial" w:cs="Arial"/>
        </w:rPr>
      </w:pPr>
    </w:p>
    <w:p w:rsidR="006322D0" w:rsidRPr="00CB4A6E" w:rsidRDefault="006322D0" w:rsidP="000A6439">
      <w:pPr>
        <w:spacing w:after="0"/>
        <w:rPr>
          <w:rFonts w:ascii="Arial" w:hAnsi="Arial" w:cs="Arial"/>
        </w:rPr>
      </w:pPr>
      <w:bookmarkStart w:id="0" w:name="_GoBack"/>
      <w:bookmarkEnd w:id="0"/>
    </w:p>
    <w:p w:rsidR="009C1774" w:rsidRDefault="009C1774" w:rsidP="000A6439">
      <w:pPr>
        <w:spacing w:after="0"/>
        <w:jc w:val="both"/>
        <w:rPr>
          <w:rFonts w:ascii="Arial" w:hAnsi="Arial" w:cs="Arial"/>
          <w:b/>
        </w:rPr>
      </w:pPr>
      <w:r>
        <w:rPr>
          <w:rFonts w:ascii="Arial" w:hAnsi="Arial" w:cs="Arial"/>
          <w:b/>
        </w:rPr>
        <w:t>II. Ogłoszone akty prawne (Dziennik Ustaw RP)</w:t>
      </w:r>
    </w:p>
    <w:p w:rsidR="009C1774" w:rsidRDefault="009C1774" w:rsidP="000A6439">
      <w:pPr>
        <w:spacing w:after="0"/>
        <w:jc w:val="both"/>
        <w:rPr>
          <w:rFonts w:ascii="Arial" w:hAnsi="Arial" w:cs="Arial"/>
        </w:rPr>
      </w:pPr>
    </w:p>
    <w:p w:rsidR="009C1774" w:rsidRDefault="009C1774" w:rsidP="006322D0">
      <w:pPr>
        <w:spacing w:after="0"/>
        <w:jc w:val="both"/>
        <w:rPr>
          <w:rFonts w:ascii="Arial" w:hAnsi="Arial" w:cs="Arial"/>
        </w:rPr>
      </w:pPr>
      <w:r>
        <w:rPr>
          <w:rFonts w:ascii="Arial" w:hAnsi="Arial" w:cs="Arial"/>
        </w:rPr>
        <w:t xml:space="preserve">W analizowanym okresie opublikowano </w:t>
      </w:r>
      <w:r w:rsidR="00003421">
        <w:rPr>
          <w:rFonts w:ascii="Arial" w:hAnsi="Arial" w:cs="Arial"/>
        </w:rPr>
        <w:t>46</w:t>
      </w:r>
      <w:r>
        <w:rPr>
          <w:rFonts w:ascii="Arial" w:hAnsi="Arial" w:cs="Arial"/>
        </w:rPr>
        <w:t xml:space="preserve"> aktów prawnych, tzn. ustawy, rozporządzenia Rady Ministrów, Prezesa Rady Ministrów i poszczególnych ministrów, obwieszczenia w sprawie ogłoszenia tekstu jednolitego. </w:t>
      </w:r>
    </w:p>
    <w:p w:rsidR="00E22FB0" w:rsidRDefault="00E22FB0" w:rsidP="000A6439">
      <w:pPr>
        <w:spacing w:after="0"/>
      </w:pPr>
    </w:p>
    <w:sectPr w:rsidR="00E22FB0"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546ADF36"/>
    <w:lvl w:ilvl="0" w:tplc="A73050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980FD5"/>
    <w:multiLevelType w:val="hybridMultilevel"/>
    <w:tmpl w:val="5DF8477A"/>
    <w:lvl w:ilvl="0" w:tplc="8C1486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74"/>
    <w:rsid w:val="00003421"/>
    <w:rsid w:val="000A6439"/>
    <w:rsid w:val="006322D0"/>
    <w:rsid w:val="00676528"/>
    <w:rsid w:val="009C1774"/>
    <w:rsid w:val="00E22FB0"/>
    <w:rsid w:val="00EB3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7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1774"/>
    <w:pPr>
      <w:ind w:left="720"/>
      <w:contextualSpacing/>
    </w:pPr>
  </w:style>
  <w:style w:type="character" w:customStyle="1" w:styleId="markedcontent">
    <w:name w:val="markedcontent"/>
    <w:basedOn w:val="Domylnaczcionkaakapitu"/>
    <w:rsid w:val="009C1774"/>
  </w:style>
  <w:style w:type="paragraph" w:styleId="Tekstdymka">
    <w:name w:val="Balloon Text"/>
    <w:basedOn w:val="Normalny"/>
    <w:link w:val="TekstdymkaZnak"/>
    <w:uiPriority w:val="99"/>
    <w:semiHidden/>
    <w:unhideWhenUsed/>
    <w:rsid w:val="009C1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1774"/>
    <w:rPr>
      <w:rFonts w:ascii="Tahoma" w:hAnsi="Tahoma" w:cs="Tahoma"/>
      <w:sz w:val="16"/>
      <w:szCs w:val="16"/>
    </w:rPr>
  </w:style>
  <w:style w:type="character" w:styleId="Hipercze">
    <w:name w:val="Hyperlink"/>
    <w:basedOn w:val="Domylnaczcionkaakapitu"/>
    <w:uiPriority w:val="99"/>
    <w:unhideWhenUsed/>
    <w:rsid w:val="000A6439"/>
    <w:rPr>
      <w:color w:val="0000FF" w:themeColor="hyperlink"/>
      <w:u w:val="single"/>
    </w:rPr>
  </w:style>
  <w:style w:type="character" w:styleId="UyteHipercze">
    <w:name w:val="FollowedHyperlink"/>
    <w:basedOn w:val="Domylnaczcionkaakapitu"/>
    <w:uiPriority w:val="99"/>
    <w:semiHidden/>
    <w:unhideWhenUsed/>
    <w:rsid w:val="000A64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7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1774"/>
    <w:pPr>
      <w:ind w:left="720"/>
      <w:contextualSpacing/>
    </w:pPr>
  </w:style>
  <w:style w:type="character" w:customStyle="1" w:styleId="markedcontent">
    <w:name w:val="markedcontent"/>
    <w:basedOn w:val="Domylnaczcionkaakapitu"/>
    <w:rsid w:val="009C1774"/>
  </w:style>
  <w:style w:type="paragraph" w:styleId="Tekstdymka">
    <w:name w:val="Balloon Text"/>
    <w:basedOn w:val="Normalny"/>
    <w:link w:val="TekstdymkaZnak"/>
    <w:uiPriority w:val="99"/>
    <w:semiHidden/>
    <w:unhideWhenUsed/>
    <w:rsid w:val="009C1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1774"/>
    <w:rPr>
      <w:rFonts w:ascii="Tahoma" w:hAnsi="Tahoma" w:cs="Tahoma"/>
      <w:sz w:val="16"/>
      <w:szCs w:val="16"/>
    </w:rPr>
  </w:style>
  <w:style w:type="character" w:styleId="Hipercze">
    <w:name w:val="Hyperlink"/>
    <w:basedOn w:val="Domylnaczcionkaakapitu"/>
    <w:uiPriority w:val="99"/>
    <w:unhideWhenUsed/>
    <w:rsid w:val="000A6439"/>
    <w:rPr>
      <w:color w:val="0000FF" w:themeColor="hyperlink"/>
      <w:u w:val="single"/>
    </w:rPr>
  </w:style>
  <w:style w:type="character" w:styleId="UyteHipercze">
    <w:name w:val="FollowedHyperlink"/>
    <w:basedOn w:val="Domylnaczcionkaakapitu"/>
    <w:uiPriority w:val="99"/>
    <w:semiHidden/>
    <w:unhideWhenUsed/>
    <w:rsid w:val="000A6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2253/katalog/13098993#13098993" TargetMode="External"/><Relationship Id="rId3" Type="http://schemas.microsoft.com/office/2007/relationships/stylesWithEffects" Target="stylesWithEffects.xml"/><Relationship Id="rId7" Type="http://schemas.openxmlformats.org/officeDocument/2006/relationships/hyperlink" Target="https://legislacja.rcl.gov.pl/projekt/12392202/katalog/13098400#130984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islacja.rcl.gov.pl/projekt/12392252/katalog/13098944#13098944" TargetMode="External"/><Relationship Id="rId4" Type="http://schemas.openxmlformats.org/officeDocument/2006/relationships/settings" Target="settings.xml"/><Relationship Id="rId9" Type="http://schemas.openxmlformats.org/officeDocument/2006/relationships/hyperlink" Target="https://legislacja.rcl.gov.pl/projekt/12392251/katalog/13098901#130989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4998</Words>
  <Characters>29990</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34919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2024-12-11T10:00:00Z</dcterms:created>
  <dcterms:modified xsi:type="dcterms:W3CDTF">2024-12-11T11:01:00Z</dcterms:modified>
</cp:coreProperties>
</file>