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19" w:rsidRPr="00586923" w:rsidRDefault="001D2F19" w:rsidP="001D2F19">
      <w:pPr>
        <w:rPr>
          <w:rFonts w:ascii="Arial" w:hAnsi="Arial" w:cs="Arial"/>
        </w:rPr>
      </w:pPr>
      <w:r w:rsidRPr="00586923">
        <w:rPr>
          <w:rFonts w:ascii="Arial" w:hAnsi="Arial" w:cs="Arial"/>
          <w:noProof/>
          <w:lang w:eastAsia="pl-PL"/>
        </w:rPr>
        <w:drawing>
          <wp:inline distT="0" distB="0" distL="0" distR="0" wp14:anchorId="0321523D" wp14:editId="305C9AD2">
            <wp:extent cx="5683910" cy="943559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L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187" cy="9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F19" w:rsidRDefault="001D2F19" w:rsidP="001D2F19">
      <w:pPr>
        <w:spacing w:after="0" w:line="300" w:lineRule="auto"/>
        <w:jc w:val="center"/>
        <w:rPr>
          <w:rFonts w:ascii="Arial" w:hAnsi="Arial" w:cs="Arial"/>
          <w:b/>
        </w:rPr>
      </w:pPr>
      <w:r w:rsidRPr="00586923">
        <w:rPr>
          <w:rFonts w:ascii="Arial" w:hAnsi="Arial" w:cs="Arial"/>
          <w:b/>
        </w:rPr>
        <w:t xml:space="preserve">Konsultacje </w:t>
      </w:r>
      <w:r>
        <w:rPr>
          <w:rFonts w:ascii="Arial" w:hAnsi="Arial" w:cs="Arial"/>
          <w:b/>
        </w:rPr>
        <w:t>projektów</w:t>
      </w:r>
      <w:r w:rsidRPr="00586923">
        <w:rPr>
          <w:rFonts w:ascii="Arial" w:hAnsi="Arial" w:cs="Arial"/>
          <w:b/>
        </w:rPr>
        <w:t xml:space="preserve"> krajowych aktów prawnych </w:t>
      </w:r>
      <w:r>
        <w:rPr>
          <w:rFonts w:ascii="Arial" w:hAnsi="Arial" w:cs="Arial"/>
          <w:b/>
        </w:rPr>
        <w:t xml:space="preserve">i ogłoszone akty prawne </w:t>
      </w:r>
      <w:r>
        <w:rPr>
          <w:rFonts w:ascii="Arial" w:hAnsi="Arial" w:cs="Arial"/>
          <w:b/>
        </w:rPr>
        <w:br/>
        <w:t>w Dzienniku Ustaw</w:t>
      </w:r>
    </w:p>
    <w:p w:rsidR="001D2F19" w:rsidRPr="00586923" w:rsidRDefault="001D2F19" w:rsidP="001D2F19">
      <w:pPr>
        <w:spacing w:after="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86923">
        <w:rPr>
          <w:rFonts w:ascii="Arial" w:hAnsi="Arial" w:cs="Arial"/>
          <w:b/>
        </w:rPr>
        <w:t xml:space="preserve">monitoring legislacji </w:t>
      </w:r>
      <w:r>
        <w:rPr>
          <w:rFonts w:ascii="Arial" w:hAnsi="Arial" w:cs="Arial"/>
          <w:b/>
        </w:rPr>
        <w:t xml:space="preserve">krajowej </w:t>
      </w:r>
      <w:r w:rsidRPr="00586923">
        <w:rPr>
          <w:rFonts w:ascii="Arial" w:hAnsi="Arial" w:cs="Arial"/>
          <w:b/>
        </w:rPr>
        <w:t>ZPPM</w:t>
      </w:r>
      <w:r>
        <w:rPr>
          <w:rFonts w:ascii="Arial" w:hAnsi="Arial" w:cs="Arial"/>
          <w:b/>
        </w:rPr>
        <w:t>)</w:t>
      </w:r>
    </w:p>
    <w:p w:rsidR="001D2F19" w:rsidRPr="00586923" w:rsidRDefault="001D2F19" w:rsidP="001D2F19">
      <w:pPr>
        <w:spacing w:after="0" w:line="300" w:lineRule="auto"/>
        <w:jc w:val="center"/>
        <w:rPr>
          <w:rFonts w:ascii="Arial" w:hAnsi="Arial" w:cs="Arial"/>
        </w:rPr>
      </w:pPr>
      <w:r w:rsidRPr="00586923">
        <w:rPr>
          <w:rFonts w:ascii="Arial" w:hAnsi="Arial" w:cs="Arial"/>
          <w:b/>
        </w:rPr>
        <w:t xml:space="preserve">w okresie od 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Pr="00586923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grudnia</w:t>
      </w:r>
      <w:r w:rsidRPr="00586923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Pr="00586923">
        <w:rPr>
          <w:rFonts w:ascii="Arial" w:hAnsi="Arial" w:cs="Arial"/>
          <w:b/>
        </w:rPr>
        <w:t xml:space="preserve"> roku</w:t>
      </w:r>
    </w:p>
    <w:p w:rsidR="001D2F19" w:rsidRPr="00AC3187" w:rsidRDefault="001D2F19" w:rsidP="001D2F19">
      <w:pPr>
        <w:spacing w:after="0" w:line="300" w:lineRule="auto"/>
        <w:jc w:val="center"/>
        <w:rPr>
          <w:rFonts w:ascii="Arial" w:hAnsi="Arial" w:cs="Arial"/>
        </w:rPr>
      </w:pPr>
      <w:r w:rsidRPr="00AC3187">
        <w:rPr>
          <w:rFonts w:ascii="Arial" w:hAnsi="Arial" w:cs="Arial"/>
        </w:rPr>
        <w:t xml:space="preserve">Raport na dzień </w:t>
      </w:r>
      <w:r>
        <w:rPr>
          <w:rFonts w:ascii="Arial" w:hAnsi="Arial" w:cs="Arial"/>
        </w:rPr>
        <w:t>16 grudnia</w:t>
      </w:r>
      <w:r w:rsidRPr="00AC318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AC3187">
        <w:rPr>
          <w:rFonts w:ascii="Arial" w:hAnsi="Arial" w:cs="Arial"/>
        </w:rPr>
        <w:t xml:space="preserve"> roku</w:t>
      </w:r>
    </w:p>
    <w:p w:rsidR="001D2F19" w:rsidRPr="00586923" w:rsidRDefault="001D2F19" w:rsidP="001D2F19">
      <w:pPr>
        <w:spacing w:after="0" w:line="240" w:lineRule="auto"/>
        <w:jc w:val="both"/>
        <w:rPr>
          <w:rFonts w:ascii="Arial" w:hAnsi="Arial" w:cs="Arial"/>
        </w:rPr>
      </w:pPr>
    </w:p>
    <w:p w:rsidR="001D2F19" w:rsidRPr="00287656" w:rsidRDefault="001D2F19" w:rsidP="001D2F1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287656">
        <w:rPr>
          <w:rFonts w:ascii="Arial" w:hAnsi="Arial" w:cs="Arial"/>
          <w:b/>
          <w:u w:val="single"/>
        </w:rPr>
        <w:t>Projekty aktów prawnych</w:t>
      </w:r>
    </w:p>
    <w:p w:rsidR="001D2F19" w:rsidRDefault="001D2F19" w:rsidP="001D2F19">
      <w:pPr>
        <w:spacing w:after="0"/>
        <w:jc w:val="both"/>
        <w:rPr>
          <w:rFonts w:ascii="Arial" w:hAnsi="Arial" w:cs="Arial"/>
        </w:rPr>
      </w:pPr>
    </w:p>
    <w:p w:rsidR="001D2F19" w:rsidRPr="00C70674" w:rsidRDefault="001D2F19" w:rsidP="001D2F19">
      <w:pPr>
        <w:spacing w:after="0"/>
        <w:jc w:val="both"/>
        <w:rPr>
          <w:rFonts w:ascii="Arial" w:hAnsi="Arial" w:cs="Arial"/>
        </w:rPr>
      </w:pPr>
      <w:r w:rsidRPr="00C70674">
        <w:rPr>
          <w:rFonts w:ascii="Arial" w:hAnsi="Arial" w:cs="Arial"/>
        </w:rPr>
        <w:t xml:space="preserve">W omawianym okresie </w:t>
      </w:r>
      <w:r w:rsidRPr="00C70674">
        <w:rPr>
          <w:rFonts w:ascii="Arial" w:eastAsia="Calibri" w:hAnsi="Arial" w:cs="Arial"/>
          <w:bCs/>
        </w:rPr>
        <w:t>Rządowe Centrum Legislacji opublikowało</w:t>
      </w:r>
      <w:r>
        <w:rPr>
          <w:rFonts w:ascii="Arial" w:eastAsia="Calibri" w:hAnsi="Arial" w:cs="Arial"/>
          <w:bCs/>
        </w:rPr>
        <w:t xml:space="preserve"> 5</w:t>
      </w:r>
      <w:r w:rsidRPr="00C70674">
        <w:rPr>
          <w:rFonts w:ascii="Arial" w:eastAsia="Calibri" w:hAnsi="Arial" w:cs="Arial"/>
          <w:bCs/>
        </w:rPr>
        <w:t xml:space="preserve"> projekt</w:t>
      </w:r>
      <w:r>
        <w:rPr>
          <w:rFonts w:ascii="Arial" w:eastAsia="Calibri" w:hAnsi="Arial" w:cs="Arial"/>
          <w:bCs/>
        </w:rPr>
        <w:t>ów</w:t>
      </w:r>
      <w:r>
        <w:rPr>
          <w:rFonts w:ascii="Arial" w:eastAsia="Calibri" w:hAnsi="Arial" w:cs="Arial"/>
          <w:bCs/>
        </w:rPr>
        <w:t xml:space="preserve"> ustaw</w:t>
      </w:r>
      <w:r w:rsidRPr="00C70674">
        <w:rPr>
          <w:rFonts w:ascii="Arial" w:eastAsia="Calibri" w:hAnsi="Arial" w:cs="Arial"/>
          <w:bCs/>
        </w:rPr>
        <w:t xml:space="preserve"> oraz</w:t>
      </w:r>
      <w:r w:rsidRPr="00C706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25 </w:t>
      </w:r>
      <w:r w:rsidRPr="00C70674">
        <w:rPr>
          <w:rFonts w:ascii="Arial" w:hAnsi="Arial" w:cs="Arial"/>
        </w:rPr>
        <w:t>projekt</w:t>
      </w:r>
      <w:r>
        <w:rPr>
          <w:rFonts w:ascii="Arial" w:hAnsi="Arial" w:cs="Arial"/>
        </w:rPr>
        <w:t>ów</w:t>
      </w:r>
      <w:r w:rsidRPr="00C70674">
        <w:rPr>
          <w:rFonts w:ascii="Arial" w:hAnsi="Arial" w:cs="Arial"/>
        </w:rPr>
        <w:t xml:space="preserve"> rozporządzeń Rady Ministrów, Prezesa Rady Ministrów oraz poszczególnych Ministrów.</w:t>
      </w:r>
    </w:p>
    <w:p w:rsidR="001D2F19" w:rsidRPr="00C70674" w:rsidRDefault="001D2F19" w:rsidP="001D2F19">
      <w:pPr>
        <w:spacing w:after="0"/>
        <w:jc w:val="both"/>
        <w:rPr>
          <w:rFonts w:ascii="Arial" w:hAnsi="Arial" w:cs="Arial"/>
        </w:rPr>
      </w:pPr>
    </w:p>
    <w:p w:rsidR="001D2F19" w:rsidRDefault="001D2F19" w:rsidP="001D2F1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Przeprowadzono konsultacje </w:t>
      </w:r>
      <w:r>
        <w:rPr>
          <w:rFonts w:ascii="Arial" w:hAnsi="Arial" w:cs="Arial"/>
        </w:rPr>
        <w:t xml:space="preserve">jednego </w:t>
      </w:r>
      <w:r>
        <w:rPr>
          <w:rFonts w:ascii="Arial" w:hAnsi="Arial" w:cs="Arial"/>
        </w:rPr>
        <w:t>projekt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rozporządze</w:t>
      </w:r>
      <w:r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dotycząc</w:t>
      </w:r>
      <w:r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podmiotów członkowskich (pracodawcy, przedsiębiorcy, JST) zrzeszonych w Związku. </w:t>
      </w:r>
    </w:p>
    <w:p w:rsidR="001D2F19" w:rsidRDefault="001D2F19" w:rsidP="001D2F1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 konsultacji przekazany</w:t>
      </w:r>
      <w:r>
        <w:rPr>
          <w:rFonts w:ascii="Arial" w:hAnsi="Arial" w:cs="Arial"/>
        </w:rPr>
        <w:t xml:space="preserve"> został</w:t>
      </w:r>
      <w:r>
        <w:rPr>
          <w:rFonts w:ascii="Arial" w:hAnsi="Arial" w:cs="Arial"/>
        </w:rPr>
        <w:t xml:space="preserve"> następujący</w:t>
      </w:r>
      <w:r>
        <w:rPr>
          <w:rFonts w:ascii="Arial" w:hAnsi="Arial" w:cs="Arial"/>
        </w:rPr>
        <w:t xml:space="preserve"> projekt:</w:t>
      </w:r>
    </w:p>
    <w:p w:rsidR="001D2F19" w:rsidRDefault="001D2F19" w:rsidP="001D2F19">
      <w:pPr>
        <w:spacing w:after="0"/>
        <w:jc w:val="both"/>
        <w:rPr>
          <w:rFonts w:ascii="Arial" w:hAnsi="Arial" w:cs="Arial"/>
        </w:rPr>
      </w:pPr>
    </w:p>
    <w:p w:rsidR="001D2F19" w:rsidRDefault="001D2F19" w:rsidP="001D2F19">
      <w:pPr>
        <w:pStyle w:val="Akapitzlist"/>
        <w:spacing w:after="0"/>
        <w:jc w:val="both"/>
        <w:rPr>
          <w:rFonts w:ascii="Arial" w:hAnsi="Arial" w:cs="Arial"/>
          <w:b/>
          <w:u w:val="single"/>
        </w:rPr>
      </w:pPr>
      <w:r w:rsidRPr="001D2F19">
        <w:rPr>
          <w:rFonts w:ascii="Arial" w:hAnsi="Arial" w:cs="Arial"/>
          <w:b/>
          <w:u w:val="single"/>
        </w:rPr>
        <w:t>Projekt rozporządzenia Prezesa Rady Ministrów w sprawie sposobów przetwarzania przez Agencję Bezpieczeństwa Wewnętrznego informacji i danych stanowiących tajemnicę bankową oraz informacji dotyczących umów o rachunek papierów wartościowych, umów o rachunek pieniężny, umów ubezpieczenia lub innych umów dotyczących obrotu instrumentami finansowymi, świadczenia usług płatniczych, świadczenia usług finansowania społecznościowego dla przedsięwzięć gospodarczych lub zawieranych z uczestnikami funduszy inwestycyjnych w zbiorach danych (numer z wykazu 35)</w:t>
      </w:r>
    </w:p>
    <w:p w:rsidR="001D2F19" w:rsidRPr="00B40ED8" w:rsidRDefault="001D2F19" w:rsidP="001D2F19">
      <w:pPr>
        <w:pStyle w:val="Akapitzlist"/>
        <w:spacing w:after="0"/>
        <w:jc w:val="both"/>
        <w:rPr>
          <w:rFonts w:ascii="Arial" w:hAnsi="Arial" w:cs="Arial"/>
        </w:rPr>
      </w:pPr>
    </w:p>
    <w:p w:rsidR="00B40ED8" w:rsidRPr="00B40ED8" w:rsidRDefault="00B40ED8" w:rsidP="00B40ED8">
      <w:pPr>
        <w:spacing w:after="0"/>
        <w:jc w:val="both"/>
        <w:rPr>
          <w:rFonts w:ascii="Arial" w:hAnsi="Arial" w:cs="Arial"/>
        </w:rPr>
      </w:pPr>
      <w:r w:rsidRPr="00B40ED8">
        <w:rPr>
          <w:rFonts w:ascii="Arial" w:hAnsi="Arial" w:cs="Arial"/>
        </w:rPr>
        <w:t xml:space="preserve">Projekt rozporządzenia Prezesa Rady Ministrów w sprawie sposobów przetwarzania przez Agencję Bezpieczeństwa Wewnętrznego informacji i danych stanowiących tajemnicę bankową oraz informacji dotyczących umów o rachunek papierów wartościowych, umów o rachunek pieniężny, umów ubezpieczenia lub innych umów dotyczących obrotu instrumentami finansowymi, świadczenia usług płatniczych, świadczenia usług finansowania społecznościowego dla przedsięwzięć gospodarczych lub zawieranych z uczestnikami funduszy inwestycyjnych w zbiorach danych, stanowi realizację upoważnienia zawartego w art. 34a ust. 15 ustawy z dnia 24 maja 2002 r. o Agencji Bezpieczeństwa Wewnętrznego oraz Agencji Wywiadu (Dz. U. z 2024 r. poz. 812 i 1222).  </w:t>
      </w:r>
    </w:p>
    <w:p w:rsidR="00B40ED8" w:rsidRPr="00B40ED8" w:rsidRDefault="00B40ED8" w:rsidP="00B40ED8">
      <w:pPr>
        <w:spacing w:after="0"/>
        <w:jc w:val="both"/>
        <w:rPr>
          <w:rFonts w:ascii="Arial" w:hAnsi="Arial" w:cs="Arial"/>
        </w:rPr>
      </w:pPr>
      <w:r w:rsidRPr="00B40ED8">
        <w:rPr>
          <w:rFonts w:ascii="Arial" w:hAnsi="Arial" w:cs="Arial"/>
        </w:rPr>
        <w:t xml:space="preserve">Konieczność zastąpienia obowiązującego rozporządzenia Prezesa Rady Ministrów z dnia 18 lipca 2016 r. w  sprawie sposobów przetwarzania przez Agencję Bezpieczeństwa Wewnętrznego informacji i danych stanowiących tajemnicę bankową oraz informacji dotyczących umów o rachunek papierów wartościowych, umów o rachunek pieniężny, umów ubezpieczenia lub innych umów dotyczących obrotu instrumentami finansowymi, świadczenia usług płatniczych lub zawieranych z uczestnikami funduszy inwestycyjnych w </w:t>
      </w:r>
      <w:r w:rsidRPr="00B40ED8">
        <w:rPr>
          <w:rFonts w:ascii="Arial" w:hAnsi="Arial" w:cs="Arial"/>
        </w:rPr>
        <w:lastRenderedPageBreak/>
        <w:t xml:space="preserve">zbiorach danych (Dz. U. poz. 1057) wynika przede wszystkim z nowelizacji ustawy z dnia 24 maja 2002 r. o Agencji Bezpieczeństwa Wewnętrznego oraz Agencji Wywiadu dokonanej: </w:t>
      </w:r>
    </w:p>
    <w:p w:rsidR="00B40ED8" w:rsidRPr="00B40ED8" w:rsidRDefault="00B40ED8" w:rsidP="00B40ED8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40ED8">
        <w:rPr>
          <w:rFonts w:ascii="Arial" w:hAnsi="Arial" w:cs="Arial"/>
        </w:rPr>
        <w:t xml:space="preserve">ustawą z dnia 7 lipca 2022 r. o finansowaniu społecznościowym dla przedsięwzięć gospodarczych i pomocy kredytobiorcom (Dz. U. z 2024 r. poz. 984); </w:t>
      </w:r>
    </w:p>
    <w:p w:rsidR="00B40ED8" w:rsidRPr="00B40ED8" w:rsidRDefault="00B40ED8" w:rsidP="00B40ED8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40ED8">
        <w:rPr>
          <w:rFonts w:ascii="Arial" w:hAnsi="Arial" w:cs="Arial"/>
        </w:rPr>
        <w:t xml:space="preserve">ustawą z dnia 13 września 2023 r. o zmianie ustawy – Kodeks postępowania cywilnego, ustawy – Prawo o ustroju sądów powszechnych, ustawy – Kodeks postępowania karnego oraz niektórych innych ustaw (Dz. U. poz. 1860).  </w:t>
      </w:r>
    </w:p>
    <w:p w:rsidR="00B40ED8" w:rsidRPr="00B40ED8" w:rsidRDefault="00B40ED8" w:rsidP="00B40ED8">
      <w:pPr>
        <w:spacing w:after="0"/>
        <w:jc w:val="both"/>
        <w:rPr>
          <w:rFonts w:ascii="Arial" w:hAnsi="Arial" w:cs="Arial"/>
        </w:rPr>
      </w:pPr>
      <w:r w:rsidRPr="00B40ED8">
        <w:rPr>
          <w:rFonts w:ascii="Arial" w:hAnsi="Arial" w:cs="Arial"/>
        </w:rPr>
        <w:t>Ze względu na wprowadzone wymienionymi powyżej ustawami zmiany w nomenklaturze stosowanej w przepisach ustawy o Agencji Bezpieczeństwa Wewnętrznego oraz Agencji Wywiadu, niezbędne jest wydanie nowego rozporządzenia w celu zapewnienia jego zgodności z ustawą upoważniającą.</w:t>
      </w:r>
    </w:p>
    <w:p w:rsidR="00B40ED8" w:rsidRPr="00B40ED8" w:rsidRDefault="00B40ED8" w:rsidP="00B40ED8">
      <w:pPr>
        <w:spacing w:after="0"/>
        <w:jc w:val="both"/>
        <w:rPr>
          <w:rFonts w:ascii="Arial" w:hAnsi="Arial" w:cs="Arial"/>
        </w:rPr>
      </w:pPr>
      <w:r w:rsidRPr="00B40ED8">
        <w:rPr>
          <w:rFonts w:ascii="Arial" w:hAnsi="Arial" w:cs="Arial"/>
        </w:rPr>
        <w:t xml:space="preserve">Ustawa o finansowaniu społecznościowym dla przedsięwzięć gospodarczych i pomocy kredytobiorcom wprowadziła w art. 34a ustawy o Agencji Bezpieczeństwa Wewnętrznego oraz Agencji Wywiadu m.in. zmianę w ust. 1, dotyczącą rozszerzenia zakresu informacji, z których Agencja Bezpieczeństwa Wewnętrznego może korzystać w celu skutecznego zapobieżenia przestępstwom określonym w art. 5 ust. 1 pkt 2 ustawy o Agencji Bezpieczeństwa Wewnętrznego oraz Agencji Wywiadu lub ich wykrycia albo ustalenia sprawców i uzyskania dowodów, a także wykrycia i identyfikacji przedmiotów i innych korzyści majątkowych pochodzących z tych przestępstw albo ich równowartości. Zgodnie z nowym brzmieniem art. 34a ust. 1, Agencja Bezpieczeństwa Wewnętrznego może dodatkowo korzystać również z informacji dotyczących świadczenia usług finansowania społecznościowego dla przedsięwzięć gospodarczych. Z tego względu niezbędna jest zmiana tytułu rozporządzenia oraz § 1 pkt 1 wskazującego przedmiot regulacji, co za tym idzie zmieniono w omawianym zakresie treść załączników.  </w:t>
      </w:r>
    </w:p>
    <w:p w:rsidR="001D2F19" w:rsidRDefault="00B40ED8" w:rsidP="00B40ED8">
      <w:pPr>
        <w:spacing w:after="0"/>
        <w:jc w:val="both"/>
        <w:rPr>
          <w:rFonts w:ascii="Arial" w:hAnsi="Arial" w:cs="Arial"/>
        </w:rPr>
      </w:pPr>
      <w:r w:rsidRPr="00B40ED8">
        <w:rPr>
          <w:rFonts w:ascii="Arial" w:hAnsi="Arial" w:cs="Arial"/>
        </w:rPr>
        <w:t>Kolejna zmiana przedmiotowego rozporządzenia wynika z ustawy o zmianie ustawy – Kodeks postępowania cywilnego, ustawy – Prawo o ustroju sądów powszechnych, ustawy – Kodeks postępowania karnego oraz niektórych innych ustaw. Polega ona na zastąpieniu użytych w ustawie o Agencji Bezpieczeństwa Wewnętrznego oraz Agencji Wywiadu w różnym przypadku wyrazów „Prokurator Generalny” – użytymi w odpowiednim przypadku wyrazami „Pierwszy Zastępca Prokuratora Generalnego Prokurator Krajowy”, co jest związane z przekazaniem dotychczasowych uprawnień Prokuratora Generalnego, Pierwszemu Zastępcy Prokuratora Generalnego Prokuratorowi Krajowemu. W pozostałym zakresie projekt powiela rozwiązania zawarte w dotychczas obowiązującym akcie wykonawczym</w:t>
      </w:r>
      <w:r>
        <w:rPr>
          <w:rFonts w:ascii="Arial" w:hAnsi="Arial" w:cs="Arial"/>
        </w:rPr>
        <w:t>.</w:t>
      </w:r>
    </w:p>
    <w:p w:rsidR="00B40ED8" w:rsidRDefault="00B40ED8" w:rsidP="00B40ED8">
      <w:pPr>
        <w:spacing w:after="0"/>
        <w:jc w:val="both"/>
        <w:rPr>
          <w:rFonts w:ascii="Arial" w:hAnsi="Arial" w:cs="Arial"/>
        </w:rPr>
      </w:pPr>
    </w:p>
    <w:p w:rsidR="00B40ED8" w:rsidRPr="00B40ED8" w:rsidRDefault="00B40ED8" w:rsidP="00B40ED8">
      <w:pPr>
        <w:spacing w:after="0"/>
        <w:jc w:val="both"/>
        <w:rPr>
          <w:rFonts w:ascii="Arial" w:hAnsi="Arial" w:cs="Arial"/>
        </w:rPr>
      </w:pPr>
      <w:r w:rsidRPr="00B40ED8">
        <w:rPr>
          <w:rFonts w:ascii="Arial" w:hAnsi="Arial" w:cs="Arial"/>
        </w:rPr>
        <w:t>Przedmiotowy projekt aktu prawnego wraz załącznikiem, Uzasadnieniem oraz Oceną Skutków Regulacji dostępny jest na stronach Rządowego Centrum Legislacji pod adresem:</w:t>
      </w:r>
    </w:p>
    <w:p w:rsidR="00B40ED8" w:rsidRPr="00B40ED8" w:rsidRDefault="00B40ED8" w:rsidP="00B40ED8">
      <w:pPr>
        <w:spacing w:after="0"/>
        <w:jc w:val="both"/>
        <w:rPr>
          <w:rFonts w:ascii="Arial" w:hAnsi="Arial" w:cs="Arial"/>
        </w:rPr>
      </w:pPr>
      <w:hyperlink r:id="rId7" w:history="1">
        <w:r w:rsidRPr="00685933">
          <w:rPr>
            <w:rStyle w:val="Hipercze"/>
            <w:rFonts w:ascii="Arial" w:hAnsi="Arial" w:cs="Arial"/>
          </w:rPr>
          <w:t>https://legislacja.rcl.gov.pl/projekt/123925</w:t>
        </w:r>
        <w:r w:rsidRPr="00685933">
          <w:rPr>
            <w:rStyle w:val="Hipercze"/>
            <w:rFonts w:ascii="Arial" w:hAnsi="Arial" w:cs="Arial"/>
          </w:rPr>
          <w:t>0</w:t>
        </w:r>
        <w:r w:rsidRPr="00685933">
          <w:rPr>
            <w:rStyle w:val="Hipercze"/>
            <w:rFonts w:ascii="Arial" w:hAnsi="Arial" w:cs="Arial"/>
          </w:rPr>
          <w:t>9/katalog/13100519#13100519</w:t>
        </w:r>
      </w:hyperlink>
      <w:r>
        <w:rPr>
          <w:rFonts w:ascii="Arial" w:hAnsi="Arial" w:cs="Arial"/>
        </w:rPr>
        <w:t xml:space="preserve"> </w:t>
      </w:r>
    </w:p>
    <w:p w:rsidR="001D2F19" w:rsidRDefault="001D2F19" w:rsidP="001D2F19">
      <w:pPr>
        <w:spacing w:after="0"/>
        <w:jc w:val="both"/>
        <w:rPr>
          <w:rFonts w:ascii="Arial" w:hAnsi="Arial" w:cs="Arial"/>
        </w:rPr>
      </w:pPr>
    </w:p>
    <w:p w:rsidR="00B40ED8" w:rsidRPr="00B40ED8" w:rsidRDefault="00B40ED8" w:rsidP="001D2F19">
      <w:pPr>
        <w:spacing w:after="0"/>
        <w:jc w:val="both"/>
        <w:rPr>
          <w:rFonts w:ascii="Arial" w:hAnsi="Arial" w:cs="Arial"/>
        </w:rPr>
      </w:pPr>
      <w:r w:rsidRPr="00B40ED8">
        <w:rPr>
          <w:rFonts w:ascii="Arial" w:hAnsi="Arial" w:cs="Arial"/>
        </w:rPr>
        <w:t>P</w:t>
      </w:r>
      <w:r>
        <w:rPr>
          <w:rFonts w:ascii="Arial" w:hAnsi="Arial" w:cs="Arial"/>
        </w:rPr>
        <w:t>rojekt jest obecnie</w:t>
      </w:r>
      <w:r w:rsidRPr="00B40ED8">
        <w:rPr>
          <w:rFonts w:ascii="Arial" w:hAnsi="Arial" w:cs="Arial"/>
        </w:rPr>
        <w:t xml:space="preserve"> na etapie uzgodnień</w:t>
      </w:r>
      <w:r>
        <w:rPr>
          <w:rFonts w:ascii="Arial" w:hAnsi="Arial" w:cs="Arial"/>
        </w:rPr>
        <w:t>.</w:t>
      </w:r>
    </w:p>
    <w:p w:rsidR="001D2F19" w:rsidRPr="00B40ED8" w:rsidRDefault="001D2F19" w:rsidP="001D2F19">
      <w:pPr>
        <w:spacing w:after="0"/>
        <w:jc w:val="both"/>
        <w:rPr>
          <w:rFonts w:ascii="Arial" w:hAnsi="Arial" w:cs="Arial"/>
        </w:rPr>
      </w:pPr>
    </w:p>
    <w:p w:rsidR="001D2F19" w:rsidRPr="00CB4A6E" w:rsidRDefault="001D2F19" w:rsidP="001D2F19">
      <w:pPr>
        <w:spacing w:after="0"/>
        <w:rPr>
          <w:rFonts w:ascii="Arial" w:hAnsi="Arial" w:cs="Arial"/>
        </w:rPr>
      </w:pPr>
    </w:p>
    <w:p w:rsidR="001D2F19" w:rsidRDefault="001D2F19" w:rsidP="001D2F1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Ogłoszone akty prawne (Dziennik Ustaw RP)</w:t>
      </w:r>
    </w:p>
    <w:p w:rsidR="001D2F19" w:rsidRDefault="001D2F19" w:rsidP="001D2F19">
      <w:pPr>
        <w:spacing w:after="0"/>
        <w:jc w:val="both"/>
        <w:rPr>
          <w:rFonts w:ascii="Arial" w:hAnsi="Arial" w:cs="Arial"/>
        </w:rPr>
      </w:pPr>
    </w:p>
    <w:p w:rsidR="001D2F19" w:rsidRDefault="001D2F19" w:rsidP="001D2F1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analizowanym okresie opublikowano </w:t>
      </w:r>
      <w:r w:rsidR="00B40ED8">
        <w:rPr>
          <w:rFonts w:ascii="Arial" w:hAnsi="Arial" w:cs="Arial"/>
        </w:rPr>
        <w:t>44</w:t>
      </w:r>
      <w:r>
        <w:rPr>
          <w:rFonts w:ascii="Arial" w:hAnsi="Arial" w:cs="Arial"/>
        </w:rPr>
        <w:t xml:space="preserve"> akt</w:t>
      </w:r>
      <w:r w:rsidR="00B40ED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prawn</w:t>
      </w:r>
      <w:r w:rsidR="00B40ED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tzn. ustawy, rozporządzenia Rady Ministrów, Prezesa Rady Ministrów i poszczególnych ministrów, obwieszczenia w sprawie ogłoszenia tekstu jednolitego. Z powyższych publikacji w zainteresowaniu pracodawców i </w:t>
      </w:r>
      <w:r>
        <w:rPr>
          <w:rFonts w:ascii="Arial" w:hAnsi="Arial" w:cs="Arial"/>
        </w:rPr>
        <w:lastRenderedPageBreak/>
        <w:t xml:space="preserve">przedsiębiorców </w:t>
      </w:r>
      <w:r w:rsidR="00611C59">
        <w:rPr>
          <w:rFonts w:ascii="Arial" w:hAnsi="Arial" w:cs="Arial"/>
        </w:rPr>
        <w:t xml:space="preserve">lub pozostałych członków ZPPM </w:t>
      </w:r>
      <w:r>
        <w:rPr>
          <w:rFonts w:ascii="Arial" w:hAnsi="Arial" w:cs="Arial"/>
        </w:rPr>
        <w:t>znaleźć się mogą następujące akty prawne:</w:t>
      </w:r>
    </w:p>
    <w:p w:rsidR="001D2F19" w:rsidRDefault="001D2F19" w:rsidP="001D2F19">
      <w:pPr>
        <w:spacing w:after="0"/>
        <w:jc w:val="both"/>
        <w:rPr>
          <w:rFonts w:ascii="Arial" w:hAnsi="Arial" w:cs="Arial"/>
        </w:rPr>
      </w:pPr>
    </w:p>
    <w:p w:rsidR="001D2F19" w:rsidRDefault="001D2F19" w:rsidP="00611C59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Ustawa </w:t>
      </w:r>
      <w:r w:rsidR="005C44F2">
        <w:rPr>
          <w:rFonts w:ascii="Arial" w:hAnsi="Arial" w:cs="Arial"/>
          <w:u w:val="single"/>
        </w:rPr>
        <w:t>z dnia 27 listopada 2024 roku</w:t>
      </w:r>
      <w:r w:rsidR="00611C59" w:rsidRPr="00611C59">
        <w:rPr>
          <w:rFonts w:ascii="Arial" w:hAnsi="Arial" w:cs="Arial"/>
          <w:u w:val="single"/>
        </w:rPr>
        <w:t xml:space="preserve"> o zmianie ustawy – Prawo geodezyjne i kartograficzne oraz ustawy o zmianie ustawy o planowaniu i zagospodarowaniu przestrzennym oraz niektórych innych ustaw</w:t>
      </w:r>
    </w:p>
    <w:p w:rsidR="005C44F2" w:rsidRDefault="005C44F2" w:rsidP="005C44F2">
      <w:pPr>
        <w:spacing w:after="0"/>
        <w:jc w:val="both"/>
        <w:rPr>
          <w:rFonts w:ascii="Arial" w:hAnsi="Arial" w:cs="Arial"/>
          <w:u w:val="single"/>
        </w:rPr>
      </w:pPr>
    </w:p>
    <w:p w:rsidR="005C44F2" w:rsidRPr="00611C59" w:rsidRDefault="005C44F2" w:rsidP="005C44F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11C59">
        <w:rPr>
          <w:rFonts w:ascii="Arial" w:eastAsia="Times New Roman" w:hAnsi="Arial" w:cs="Arial"/>
          <w:lang w:eastAsia="pl-PL"/>
        </w:rPr>
        <w:t xml:space="preserve">Powyższy akt prawny opublikowany został </w:t>
      </w:r>
      <w:r>
        <w:rPr>
          <w:rFonts w:ascii="Arial" w:eastAsia="Times New Roman" w:hAnsi="Arial" w:cs="Arial"/>
          <w:lang w:eastAsia="pl-PL"/>
        </w:rPr>
        <w:t>11 grudnia</w:t>
      </w:r>
      <w:r w:rsidRPr="00611C59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24</w:t>
      </w:r>
      <w:r w:rsidRPr="00611C59">
        <w:rPr>
          <w:rFonts w:ascii="Arial" w:eastAsia="Times New Roman" w:hAnsi="Arial" w:cs="Arial"/>
          <w:lang w:eastAsia="pl-PL"/>
        </w:rPr>
        <w:t xml:space="preserve"> roku w Dzienniku Ustaw (Dz.U. z 202</w:t>
      </w:r>
      <w:r>
        <w:rPr>
          <w:rFonts w:ascii="Arial" w:eastAsia="Times New Roman" w:hAnsi="Arial" w:cs="Arial"/>
          <w:lang w:eastAsia="pl-PL"/>
        </w:rPr>
        <w:t>4</w:t>
      </w:r>
      <w:r w:rsidRPr="00611C59">
        <w:rPr>
          <w:rFonts w:ascii="Arial" w:eastAsia="Times New Roman" w:hAnsi="Arial" w:cs="Arial"/>
          <w:lang w:eastAsia="pl-PL"/>
        </w:rPr>
        <w:t xml:space="preserve">, poz. </w:t>
      </w:r>
      <w:r>
        <w:rPr>
          <w:rFonts w:ascii="Arial" w:eastAsia="Times New Roman" w:hAnsi="Arial" w:cs="Arial"/>
          <w:lang w:eastAsia="pl-PL"/>
        </w:rPr>
        <w:t>1824</w:t>
      </w:r>
      <w:r w:rsidRPr="00611C59">
        <w:rPr>
          <w:rFonts w:ascii="Arial" w:eastAsia="Times New Roman" w:hAnsi="Arial" w:cs="Arial"/>
          <w:lang w:eastAsia="pl-PL"/>
        </w:rPr>
        <w:t>).</w:t>
      </w:r>
    </w:p>
    <w:p w:rsidR="005C44F2" w:rsidRDefault="005C44F2" w:rsidP="005C44F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5C44F2" w:rsidRPr="005C44F2" w:rsidRDefault="005C44F2" w:rsidP="005C44F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C44F2">
        <w:rPr>
          <w:rFonts w:ascii="Arial" w:eastAsia="Times New Roman" w:hAnsi="Arial" w:cs="Arial"/>
          <w:lang w:eastAsia="pl-PL"/>
        </w:rPr>
        <w:t>Podstawowym celem uchwalonej ustawy jest wydłuż</w:t>
      </w:r>
      <w:r>
        <w:rPr>
          <w:rFonts w:ascii="Arial" w:eastAsia="Times New Roman" w:hAnsi="Arial" w:cs="Arial"/>
          <w:lang w:eastAsia="pl-PL"/>
        </w:rPr>
        <w:t xml:space="preserve">enie do dnia 31 grudnia 2027 r. </w:t>
      </w:r>
      <w:r w:rsidRPr="005C44F2">
        <w:rPr>
          <w:rFonts w:ascii="Arial" w:eastAsia="Times New Roman" w:hAnsi="Arial" w:cs="Arial"/>
          <w:lang w:eastAsia="pl-PL"/>
        </w:rPr>
        <w:t>okresu przejściowego, w którym została dopuszcz</w:t>
      </w:r>
      <w:r>
        <w:rPr>
          <w:rFonts w:ascii="Arial" w:eastAsia="Times New Roman" w:hAnsi="Arial" w:cs="Arial"/>
          <w:lang w:eastAsia="pl-PL"/>
        </w:rPr>
        <w:t xml:space="preserve">ona możliwość prowadzenia przez </w:t>
      </w:r>
      <w:r w:rsidRPr="005C44F2">
        <w:rPr>
          <w:rFonts w:ascii="Arial" w:eastAsia="Times New Roman" w:hAnsi="Arial" w:cs="Arial"/>
          <w:lang w:eastAsia="pl-PL"/>
        </w:rPr>
        <w:t>starostów mapy zasadniczej w postaci wektorowej lub w</w:t>
      </w:r>
      <w:r>
        <w:rPr>
          <w:rFonts w:ascii="Arial" w:eastAsia="Times New Roman" w:hAnsi="Arial" w:cs="Arial"/>
          <w:lang w:eastAsia="pl-PL"/>
        </w:rPr>
        <w:t xml:space="preserve"> postaci rastrowej uzupełnianej </w:t>
      </w:r>
      <w:r w:rsidRPr="005C44F2">
        <w:rPr>
          <w:rFonts w:ascii="Arial" w:eastAsia="Times New Roman" w:hAnsi="Arial" w:cs="Arial"/>
          <w:lang w:eastAsia="pl-PL"/>
        </w:rPr>
        <w:t>systematycznie danymi wektorowymi, na zasadach stosowan</w:t>
      </w:r>
      <w:r>
        <w:rPr>
          <w:rFonts w:ascii="Arial" w:eastAsia="Times New Roman" w:hAnsi="Arial" w:cs="Arial"/>
          <w:lang w:eastAsia="pl-PL"/>
        </w:rPr>
        <w:t xml:space="preserve">ych przed dniem 1 stycznia 2014 </w:t>
      </w:r>
      <w:r w:rsidRPr="005C44F2">
        <w:rPr>
          <w:rFonts w:ascii="Arial" w:eastAsia="Times New Roman" w:hAnsi="Arial" w:cs="Arial"/>
          <w:lang w:eastAsia="pl-PL"/>
        </w:rPr>
        <w:t>r.</w:t>
      </w:r>
    </w:p>
    <w:p w:rsidR="005C44F2" w:rsidRDefault="005C44F2" w:rsidP="005C44F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C44F2">
        <w:rPr>
          <w:rFonts w:ascii="Arial" w:eastAsia="Times New Roman" w:hAnsi="Arial" w:cs="Arial"/>
          <w:lang w:eastAsia="pl-PL"/>
        </w:rPr>
        <w:t>Ponadto ustawa nowelizuje ustawę z dnia 7</w:t>
      </w:r>
      <w:r>
        <w:rPr>
          <w:rFonts w:ascii="Arial" w:eastAsia="Times New Roman" w:hAnsi="Arial" w:cs="Arial"/>
          <w:lang w:eastAsia="pl-PL"/>
        </w:rPr>
        <w:t xml:space="preserve"> lipca 2023 r. o zmianie ustawy </w:t>
      </w:r>
      <w:r w:rsidRPr="005C44F2">
        <w:rPr>
          <w:rFonts w:ascii="Arial" w:eastAsia="Times New Roman" w:hAnsi="Arial" w:cs="Arial"/>
          <w:lang w:eastAsia="pl-PL"/>
        </w:rPr>
        <w:t xml:space="preserve">o planowaniu i zagospodarowaniu przestrzennym oraz </w:t>
      </w:r>
      <w:r>
        <w:rPr>
          <w:rFonts w:ascii="Arial" w:eastAsia="Times New Roman" w:hAnsi="Arial" w:cs="Arial"/>
          <w:lang w:eastAsia="pl-PL"/>
        </w:rPr>
        <w:t xml:space="preserve">niektórych innych ustaw. Zmiana </w:t>
      </w:r>
      <w:r w:rsidRPr="005C44F2">
        <w:rPr>
          <w:rFonts w:ascii="Arial" w:eastAsia="Times New Roman" w:hAnsi="Arial" w:cs="Arial"/>
          <w:lang w:eastAsia="pl-PL"/>
        </w:rPr>
        <w:t>podyktowana jest koniecznością skorygowania zdublowa</w:t>
      </w:r>
      <w:r>
        <w:rPr>
          <w:rFonts w:ascii="Arial" w:eastAsia="Times New Roman" w:hAnsi="Arial" w:cs="Arial"/>
          <w:lang w:eastAsia="pl-PL"/>
        </w:rPr>
        <w:t xml:space="preserve">nego przepisu o wejściu w życie </w:t>
      </w:r>
      <w:r w:rsidRPr="005C44F2">
        <w:rPr>
          <w:rFonts w:ascii="Arial" w:eastAsia="Times New Roman" w:hAnsi="Arial" w:cs="Arial"/>
          <w:lang w:eastAsia="pl-PL"/>
        </w:rPr>
        <w:t xml:space="preserve">obowiązku sporządzania szerszego zakresu danych </w:t>
      </w:r>
      <w:r>
        <w:rPr>
          <w:rFonts w:ascii="Arial" w:eastAsia="Times New Roman" w:hAnsi="Arial" w:cs="Arial"/>
          <w:lang w:eastAsia="pl-PL"/>
        </w:rPr>
        <w:t xml:space="preserve">przestrzennych w odniesieniu do </w:t>
      </w:r>
      <w:r w:rsidRPr="005C44F2">
        <w:rPr>
          <w:rFonts w:ascii="Arial" w:eastAsia="Times New Roman" w:hAnsi="Arial" w:cs="Arial"/>
          <w:lang w:eastAsia="pl-PL"/>
        </w:rPr>
        <w:t>miejscowych planów zagospodarowania przestrzennego</w:t>
      </w:r>
      <w:r>
        <w:rPr>
          <w:rFonts w:ascii="Arial" w:eastAsia="Times New Roman" w:hAnsi="Arial" w:cs="Arial"/>
          <w:lang w:eastAsia="pl-PL"/>
        </w:rPr>
        <w:t xml:space="preserve">. Obowiązek ten wejdzie w życie </w:t>
      </w:r>
      <w:r w:rsidRPr="005C44F2">
        <w:rPr>
          <w:rFonts w:ascii="Arial" w:eastAsia="Times New Roman" w:hAnsi="Arial" w:cs="Arial"/>
          <w:lang w:eastAsia="pl-PL"/>
        </w:rPr>
        <w:t>z dniem 1 stycznia 2026 r. Zmiana uwzględnia jednocześni</w:t>
      </w:r>
      <w:r>
        <w:rPr>
          <w:rFonts w:ascii="Arial" w:eastAsia="Times New Roman" w:hAnsi="Arial" w:cs="Arial"/>
          <w:lang w:eastAsia="pl-PL"/>
        </w:rPr>
        <w:t xml:space="preserve">e sugestie samorządów lokalnych </w:t>
      </w:r>
      <w:r w:rsidRPr="005C44F2">
        <w:rPr>
          <w:rFonts w:ascii="Arial" w:eastAsia="Times New Roman" w:hAnsi="Arial" w:cs="Arial"/>
          <w:lang w:eastAsia="pl-PL"/>
        </w:rPr>
        <w:t xml:space="preserve">związane z przesunięciem terminu wprowadzenia zmian </w:t>
      </w:r>
      <w:r>
        <w:rPr>
          <w:rFonts w:ascii="Arial" w:eastAsia="Times New Roman" w:hAnsi="Arial" w:cs="Arial"/>
          <w:lang w:eastAsia="pl-PL"/>
        </w:rPr>
        <w:t>w zakresie rozszerzania zakresu danych dla planów miejscowych.</w:t>
      </w:r>
    </w:p>
    <w:p w:rsidR="005C44F2" w:rsidRDefault="005C44F2" w:rsidP="005C44F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5C44F2" w:rsidRPr="00611C59" w:rsidRDefault="005C44F2" w:rsidP="005C44F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C44F2">
        <w:rPr>
          <w:rFonts w:ascii="Arial" w:eastAsia="Times New Roman" w:hAnsi="Arial" w:cs="Arial"/>
          <w:lang w:eastAsia="pl-PL"/>
        </w:rPr>
        <w:t xml:space="preserve">Ustawa wejdzie w życie z dniem </w:t>
      </w:r>
      <w:r>
        <w:rPr>
          <w:rFonts w:ascii="Arial" w:eastAsia="Times New Roman" w:hAnsi="Arial" w:cs="Arial"/>
          <w:lang w:eastAsia="pl-PL"/>
        </w:rPr>
        <w:t>następującym po dniu ogłoszenia, tj. w dniu 12 grudnia 2024 roku.</w:t>
      </w:r>
    </w:p>
    <w:p w:rsidR="005C44F2" w:rsidRPr="005C44F2" w:rsidRDefault="005C44F2" w:rsidP="005C44F2">
      <w:pPr>
        <w:spacing w:after="0"/>
        <w:jc w:val="both"/>
        <w:rPr>
          <w:rFonts w:ascii="Arial" w:hAnsi="Arial" w:cs="Arial"/>
          <w:u w:val="single"/>
        </w:rPr>
      </w:pPr>
    </w:p>
    <w:p w:rsidR="005C44F2" w:rsidRPr="005C44F2" w:rsidRDefault="005C44F2" w:rsidP="005C44F2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Rozporządzenie Ministra Klimatu i Środowiska z dnia 5 grudnia 2024 roku</w:t>
      </w:r>
      <w:r w:rsidRPr="005C44F2">
        <w:rPr>
          <w:rFonts w:ascii="Arial" w:hAnsi="Arial" w:cs="Arial"/>
          <w:u w:val="single"/>
        </w:rPr>
        <w:t xml:space="preserve"> w sprawie udzielania pomocy publicznej na projekty inwestycyjne w zakresie wsparcia krajowego systemu energetycznego w ramach Krajowego Planu Odbudowy i Zwiększania Odporności</w:t>
      </w:r>
    </w:p>
    <w:p w:rsidR="005C44F2" w:rsidRDefault="005C44F2" w:rsidP="005C44F2">
      <w:pPr>
        <w:spacing w:after="0"/>
        <w:jc w:val="both"/>
        <w:rPr>
          <w:rFonts w:ascii="Arial" w:hAnsi="Arial" w:cs="Arial"/>
          <w:u w:val="single"/>
        </w:rPr>
      </w:pPr>
    </w:p>
    <w:p w:rsidR="005C44F2" w:rsidRPr="005C44F2" w:rsidRDefault="005C44F2" w:rsidP="005C44F2">
      <w:pPr>
        <w:spacing w:after="0"/>
        <w:jc w:val="both"/>
        <w:rPr>
          <w:rFonts w:ascii="Arial" w:hAnsi="Arial" w:cs="Arial"/>
        </w:rPr>
      </w:pPr>
      <w:r w:rsidRPr="005C44F2">
        <w:rPr>
          <w:rFonts w:ascii="Arial" w:hAnsi="Arial" w:cs="Arial"/>
        </w:rPr>
        <w:t>Powyższy akt prawny opublikowany został 11 grudnia 2024 roku w Dziennik</w:t>
      </w:r>
      <w:r>
        <w:rPr>
          <w:rFonts w:ascii="Arial" w:hAnsi="Arial" w:cs="Arial"/>
        </w:rPr>
        <w:t>u Ustaw (Dz.U. z 2024, poz. 1825</w:t>
      </w:r>
      <w:r w:rsidRPr="005C44F2">
        <w:rPr>
          <w:rFonts w:ascii="Arial" w:hAnsi="Arial" w:cs="Arial"/>
        </w:rPr>
        <w:t>).</w:t>
      </w:r>
    </w:p>
    <w:p w:rsidR="005C44F2" w:rsidRPr="005C44F2" w:rsidRDefault="005C44F2" w:rsidP="005C44F2">
      <w:pPr>
        <w:spacing w:after="0"/>
        <w:jc w:val="both"/>
        <w:rPr>
          <w:rFonts w:ascii="Arial" w:hAnsi="Arial" w:cs="Arial"/>
        </w:rPr>
      </w:pPr>
    </w:p>
    <w:p w:rsidR="005C44F2" w:rsidRPr="005C44F2" w:rsidRDefault="005C44F2" w:rsidP="005C44F2">
      <w:pPr>
        <w:spacing w:after="0"/>
        <w:jc w:val="both"/>
        <w:rPr>
          <w:rFonts w:ascii="Arial" w:hAnsi="Arial" w:cs="Arial"/>
        </w:rPr>
      </w:pPr>
      <w:r w:rsidRPr="005C44F2">
        <w:rPr>
          <w:rFonts w:ascii="Arial" w:hAnsi="Arial" w:cs="Arial"/>
        </w:rPr>
        <w:t>Rozporządzenie określa szczegółowe przeznaczenie, warunki i tryb udzielania przedsiębiorcom pomocy publicznej na projekty inwestycyjne w zakresie inwestycji G3.1.4 „Wsparcie krajowego systemu energetycznego (Fundusz Wsparcia Energetyki)” w ramach Krajowego Planu Odbudowy i Zwiększania Odporności służące:</w:t>
      </w:r>
    </w:p>
    <w:p w:rsidR="005C44F2" w:rsidRPr="005C44F2" w:rsidRDefault="005C44F2" w:rsidP="005C44F2">
      <w:pPr>
        <w:spacing w:after="0"/>
        <w:jc w:val="both"/>
        <w:rPr>
          <w:rFonts w:ascii="Arial" w:hAnsi="Arial" w:cs="Arial"/>
        </w:rPr>
      </w:pPr>
      <w:r w:rsidRPr="005C44F2">
        <w:rPr>
          <w:rFonts w:ascii="Arial" w:hAnsi="Arial" w:cs="Arial"/>
        </w:rPr>
        <w:t>1) wspieraniu efektywności energetycznej innej niż w budynkach – zgodnie z art. 38 ro</w:t>
      </w:r>
      <w:r w:rsidR="002D168D">
        <w:rPr>
          <w:rFonts w:ascii="Arial" w:hAnsi="Arial" w:cs="Arial"/>
        </w:rPr>
        <w:t xml:space="preserve">zporządzenia nr 651/2014 z dnia </w:t>
      </w:r>
      <w:r w:rsidRPr="005C44F2">
        <w:rPr>
          <w:rFonts w:ascii="Arial" w:hAnsi="Arial" w:cs="Arial"/>
        </w:rPr>
        <w:t>17 czerwca 2014 r. uznającego niektó</w:t>
      </w:r>
      <w:r w:rsidR="002D168D">
        <w:rPr>
          <w:rFonts w:ascii="Arial" w:hAnsi="Arial" w:cs="Arial"/>
        </w:rPr>
        <w:t xml:space="preserve">re rodzaje pomocy </w:t>
      </w:r>
      <w:r w:rsidRPr="005C44F2">
        <w:rPr>
          <w:rFonts w:ascii="Arial" w:hAnsi="Arial" w:cs="Arial"/>
        </w:rPr>
        <w:t>za zgodne z rynkiem wewn</w:t>
      </w:r>
      <w:r w:rsidR="002D168D">
        <w:rPr>
          <w:rFonts w:ascii="Arial" w:hAnsi="Arial" w:cs="Arial"/>
        </w:rPr>
        <w:t xml:space="preserve">ętrznym w zastosowaniu art. 107 </w:t>
      </w:r>
      <w:r w:rsidRPr="005C44F2">
        <w:rPr>
          <w:rFonts w:ascii="Arial" w:hAnsi="Arial" w:cs="Arial"/>
        </w:rPr>
        <w:t>i 108 Traktatu (Dz. Urz. UE L 187 z 26</w:t>
      </w:r>
      <w:r w:rsidR="002D168D">
        <w:rPr>
          <w:rFonts w:ascii="Arial" w:hAnsi="Arial" w:cs="Arial"/>
        </w:rPr>
        <w:t xml:space="preserve">.06.2014, str. 1, z </w:t>
      </w:r>
      <w:proofErr w:type="spellStart"/>
      <w:r w:rsidR="002D168D">
        <w:rPr>
          <w:rFonts w:ascii="Arial" w:hAnsi="Arial" w:cs="Arial"/>
        </w:rPr>
        <w:t>późn</w:t>
      </w:r>
      <w:proofErr w:type="spellEnd"/>
      <w:r w:rsidR="002D168D">
        <w:rPr>
          <w:rFonts w:ascii="Arial" w:hAnsi="Arial" w:cs="Arial"/>
        </w:rPr>
        <w:t>. zm.2)</w:t>
      </w:r>
      <w:r w:rsidRPr="005C44F2">
        <w:rPr>
          <w:rFonts w:ascii="Arial" w:hAnsi="Arial" w:cs="Arial"/>
        </w:rPr>
        <w:t>), zwanego dalej „rozporządzeniem nr 651/2014”,</w:t>
      </w:r>
    </w:p>
    <w:p w:rsidR="005C44F2" w:rsidRPr="005C44F2" w:rsidRDefault="005C44F2" w:rsidP="005C44F2">
      <w:pPr>
        <w:spacing w:after="0"/>
        <w:jc w:val="both"/>
        <w:rPr>
          <w:rFonts w:ascii="Arial" w:hAnsi="Arial" w:cs="Arial"/>
        </w:rPr>
      </w:pPr>
      <w:r w:rsidRPr="005C44F2">
        <w:rPr>
          <w:rFonts w:ascii="Arial" w:hAnsi="Arial" w:cs="Arial"/>
        </w:rPr>
        <w:t>2) wspieraniu efektywno</w:t>
      </w:r>
      <w:r w:rsidR="00206C53">
        <w:rPr>
          <w:rFonts w:ascii="Arial" w:hAnsi="Arial" w:cs="Arial"/>
        </w:rPr>
        <w:t>ści energetycznej w budynkach (</w:t>
      </w:r>
      <w:r w:rsidRPr="005C44F2">
        <w:rPr>
          <w:rFonts w:ascii="Arial" w:hAnsi="Arial" w:cs="Arial"/>
        </w:rPr>
        <w:t>zgodnie z art. 38a rozporządzenia nr 651/2014</w:t>
      </w:r>
      <w:r w:rsidR="00206C53">
        <w:rPr>
          <w:rFonts w:ascii="Arial" w:hAnsi="Arial" w:cs="Arial"/>
        </w:rPr>
        <w:t>)</w:t>
      </w:r>
      <w:r w:rsidRPr="005C44F2">
        <w:rPr>
          <w:rFonts w:ascii="Arial" w:hAnsi="Arial" w:cs="Arial"/>
        </w:rPr>
        <w:t>,</w:t>
      </w:r>
    </w:p>
    <w:p w:rsidR="005C44F2" w:rsidRPr="005C44F2" w:rsidRDefault="005C44F2" w:rsidP="005C44F2">
      <w:pPr>
        <w:spacing w:after="0"/>
        <w:jc w:val="both"/>
        <w:rPr>
          <w:rFonts w:ascii="Arial" w:hAnsi="Arial" w:cs="Arial"/>
        </w:rPr>
      </w:pPr>
      <w:r w:rsidRPr="005C44F2">
        <w:rPr>
          <w:rFonts w:ascii="Arial" w:hAnsi="Arial" w:cs="Arial"/>
        </w:rPr>
        <w:t>3) wspieraniu efektywności energetycznej w budynkach w fo</w:t>
      </w:r>
      <w:r w:rsidR="00206C53">
        <w:rPr>
          <w:rFonts w:ascii="Arial" w:hAnsi="Arial" w:cs="Arial"/>
        </w:rPr>
        <w:t>rmie instrumentów finansowych (</w:t>
      </w:r>
      <w:r w:rsidRPr="005C44F2">
        <w:rPr>
          <w:rFonts w:ascii="Arial" w:hAnsi="Arial" w:cs="Arial"/>
        </w:rPr>
        <w:t>zgodnie z art. 39 rozporządzenia nr 651/2014</w:t>
      </w:r>
      <w:r w:rsidR="00206C53">
        <w:rPr>
          <w:rFonts w:ascii="Arial" w:hAnsi="Arial" w:cs="Arial"/>
        </w:rPr>
        <w:t>)</w:t>
      </w:r>
      <w:r w:rsidRPr="005C44F2">
        <w:rPr>
          <w:rFonts w:ascii="Arial" w:hAnsi="Arial" w:cs="Arial"/>
        </w:rPr>
        <w:t>,</w:t>
      </w:r>
    </w:p>
    <w:p w:rsidR="005C44F2" w:rsidRPr="005C44F2" w:rsidRDefault="005C44F2" w:rsidP="005C44F2">
      <w:pPr>
        <w:spacing w:after="0"/>
        <w:jc w:val="both"/>
        <w:rPr>
          <w:rFonts w:ascii="Arial" w:hAnsi="Arial" w:cs="Arial"/>
        </w:rPr>
      </w:pPr>
      <w:r w:rsidRPr="005C44F2">
        <w:rPr>
          <w:rFonts w:ascii="Arial" w:hAnsi="Arial" w:cs="Arial"/>
        </w:rPr>
        <w:t>4) propagowaniu energii ze źródeł odnawialnych oraz propagowaniu wodoru odnawialnego w zakresie:</w:t>
      </w:r>
    </w:p>
    <w:p w:rsidR="005C44F2" w:rsidRPr="005C44F2" w:rsidRDefault="005C44F2" w:rsidP="005C44F2">
      <w:pPr>
        <w:spacing w:after="0"/>
        <w:jc w:val="both"/>
        <w:rPr>
          <w:rFonts w:ascii="Arial" w:hAnsi="Arial" w:cs="Arial"/>
        </w:rPr>
      </w:pPr>
      <w:r w:rsidRPr="005C44F2">
        <w:rPr>
          <w:rFonts w:ascii="Arial" w:hAnsi="Arial" w:cs="Arial"/>
        </w:rPr>
        <w:lastRenderedPageBreak/>
        <w:t>a) produkcji lub magazynowania energii ze źródeł odnawialnych,</w:t>
      </w:r>
    </w:p>
    <w:p w:rsidR="005C44F2" w:rsidRPr="005C44F2" w:rsidRDefault="005C44F2" w:rsidP="005C44F2">
      <w:pPr>
        <w:spacing w:after="0"/>
        <w:jc w:val="both"/>
        <w:rPr>
          <w:rFonts w:ascii="Arial" w:hAnsi="Arial" w:cs="Arial"/>
        </w:rPr>
      </w:pPr>
      <w:r w:rsidRPr="005C44F2">
        <w:rPr>
          <w:rFonts w:ascii="Arial" w:hAnsi="Arial" w:cs="Arial"/>
        </w:rPr>
        <w:t>b) produkcji wodoru odnawialnego</w:t>
      </w:r>
      <w:r w:rsidR="00206C53">
        <w:rPr>
          <w:rFonts w:ascii="Arial" w:hAnsi="Arial" w:cs="Arial"/>
        </w:rPr>
        <w:t>,</w:t>
      </w:r>
    </w:p>
    <w:p w:rsidR="005C44F2" w:rsidRPr="005C44F2" w:rsidRDefault="005C44F2" w:rsidP="005C44F2">
      <w:pPr>
        <w:spacing w:after="0"/>
        <w:jc w:val="both"/>
        <w:rPr>
          <w:rFonts w:ascii="Arial" w:hAnsi="Arial" w:cs="Arial"/>
        </w:rPr>
      </w:pPr>
      <w:r w:rsidRPr="005C44F2">
        <w:rPr>
          <w:rFonts w:ascii="Arial" w:hAnsi="Arial" w:cs="Arial"/>
        </w:rPr>
        <w:t>– zgodnie z art. 41 rozporządzenia nr 651/2014,</w:t>
      </w:r>
    </w:p>
    <w:p w:rsidR="005C44F2" w:rsidRPr="005C44F2" w:rsidRDefault="005C44F2" w:rsidP="005C44F2">
      <w:pPr>
        <w:spacing w:after="0"/>
        <w:jc w:val="both"/>
        <w:rPr>
          <w:rFonts w:ascii="Arial" w:hAnsi="Arial" w:cs="Arial"/>
        </w:rPr>
      </w:pPr>
      <w:r w:rsidRPr="005C44F2">
        <w:rPr>
          <w:rFonts w:ascii="Arial" w:hAnsi="Arial" w:cs="Arial"/>
        </w:rPr>
        <w:t>5) przedsięwzięciom w ramach efektywnego energetycznie systemu ciepłowniczego lub chłodniczego w zakresie:</w:t>
      </w:r>
    </w:p>
    <w:p w:rsidR="005C44F2" w:rsidRPr="005C44F2" w:rsidRDefault="005C44F2" w:rsidP="005C44F2">
      <w:pPr>
        <w:spacing w:after="0"/>
        <w:jc w:val="both"/>
        <w:rPr>
          <w:rFonts w:ascii="Arial" w:hAnsi="Arial" w:cs="Arial"/>
        </w:rPr>
      </w:pPr>
      <w:r w:rsidRPr="005C44F2">
        <w:rPr>
          <w:rFonts w:ascii="Arial" w:hAnsi="Arial" w:cs="Arial"/>
        </w:rPr>
        <w:t>a) budowy lub modernizacji sieci ciepłowniczych,</w:t>
      </w:r>
    </w:p>
    <w:p w:rsidR="005C44F2" w:rsidRPr="005C44F2" w:rsidRDefault="005C44F2" w:rsidP="005C44F2">
      <w:pPr>
        <w:spacing w:after="0"/>
        <w:jc w:val="both"/>
        <w:rPr>
          <w:rFonts w:ascii="Arial" w:hAnsi="Arial" w:cs="Arial"/>
        </w:rPr>
      </w:pPr>
      <w:r w:rsidRPr="005C44F2">
        <w:rPr>
          <w:rFonts w:ascii="Arial" w:hAnsi="Arial" w:cs="Arial"/>
        </w:rPr>
        <w:t>b) wytwarzania lub magazynowania energii</w:t>
      </w:r>
    </w:p>
    <w:p w:rsidR="005C44F2" w:rsidRPr="005C44F2" w:rsidRDefault="005C44F2" w:rsidP="005C44F2">
      <w:pPr>
        <w:spacing w:after="0"/>
        <w:jc w:val="both"/>
        <w:rPr>
          <w:rFonts w:ascii="Arial" w:hAnsi="Arial" w:cs="Arial"/>
        </w:rPr>
      </w:pPr>
      <w:r w:rsidRPr="005C44F2">
        <w:rPr>
          <w:rFonts w:ascii="Arial" w:hAnsi="Arial" w:cs="Arial"/>
        </w:rPr>
        <w:t>– zgodnie z art. 46 rozporządzenia nr 651/2014,</w:t>
      </w:r>
    </w:p>
    <w:p w:rsidR="005C44F2" w:rsidRPr="005C44F2" w:rsidRDefault="005C44F2" w:rsidP="005C44F2">
      <w:pPr>
        <w:spacing w:after="0"/>
        <w:jc w:val="both"/>
        <w:rPr>
          <w:rFonts w:ascii="Arial" w:hAnsi="Arial" w:cs="Arial"/>
        </w:rPr>
      </w:pPr>
      <w:r w:rsidRPr="005C44F2">
        <w:rPr>
          <w:rFonts w:ascii="Arial" w:hAnsi="Arial" w:cs="Arial"/>
        </w:rPr>
        <w:t>6) budowie lub modernizacji infrastruktury energetyc</w:t>
      </w:r>
      <w:r w:rsidR="002D168D">
        <w:rPr>
          <w:rFonts w:ascii="Arial" w:hAnsi="Arial" w:cs="Arial"/>
        </w:rPr>
        <w:t>znej, w tym w zakresie wodoru (</w:t>
      </w:r>
      <w:r w:rsidRPr="005C44F2">
        <w:rPr>
          <w:rFonts w:ascii="Arial" w:hAnsi="Arial" w:cs="Arial"/>
        </w:rPr>
        <w:t>zgodnie z art. 48 rozporz</w:t>
      </w:r>
      <w:r w:rsidR="002D168D">
        <w:rPr>
          <w:rFonts w:ascii="Arial" w:hAnsi="Arial" w:cs="Arial"/>
        </w:rPr>
        <w:t xml:space="preserve">ądzenia </w:t>
      </w:r>
      <w:r w:rsidRPr="005C44F2">
        <w:rPr>
          <w:rFonts w:ascii="Arial" w:hAnsi="Arial" w:cs="Arial"/>
        </w:rPr>
        <w:t>nr 651/2014</w:t>
      </w:r>
      <w:r w:rsidR="002D168D">
        <w:rPr>
          <w:rFonts w:ascii="Arial" w:hAnsi="Arial" w:cs="Arial"/>
        </w:rPr>
        <w:t>)</w:t>
      </w:r>
      <w:r w:rsidRPr="005C44F2">
        <w:rPr>
          <w:rFonts w:ascii="Arial" w:hAnsi="Arial" w:cs="Arial"/>
        </w:rPr>
        <w:t>,</w:t>
      </w:r>
    </w:p>
    <w:p w:rsidR="005C44F2" w:rsidRDefault="005C44F2" w:rsidP="005C44F2">
      <w:pPr>
        <w:spacing w:after="0"/>
        <w:jc w:val="both"/>
        <w:rPr>
          <w:rFonts w:ascii="Arial" w:hAnsi="Arial" w:cs="Arial"/>
        </w:rPr>
      </w:pPr>
      <w:r w:rsidRPr="005C44F2">
        <w:rPr>
          <w:rFonts w:ascii="Arial" w:hAnsi="Arial" w:cs="Arial"/>
        </w:rPr>
        <w:t>7) badaniom i usługom doradczym dotyczącym ochrony środow</w:t>
      </w:r>
      <w:r w:rsidR="002D168D">
        <w:rPr>
          <w:rFonts w:ascii="Arial" w:hAnsi="Arial" w:cs="Arial"/>
        </w:rPr>
        <w:t>iska i kwestii energetycznych (</w:t>
      </w:r>
      <w:r w:rsidRPr="005C44F2">
        <w:rPr>
          <w:rFonts w:ascii="Arial" w:hAnsi="Arial" w:cs="Arial"/>
        </w:rPr>
        <w:t>zgodnie z art</w:t>
      </w:r>
      <w:r w:rsidR="002D168D">
        <w:rPr>
          <w:rFonts w:ascii="Arial" w:hAnsi="Arial" w:cs="Arial"/>
        </w:rPr>
        <w:t>. 49 rozporządzenia nr 651/2014).</w:t>
      </w:r>
    </w:p>
    <w:p w:rsidR="002D168D" w:rsidRDefault="002D168D" w:rsidP="005C44F2">
      <w:pPr>
        <w:spacing w:after="0"/>
        <w:jc w:val="both"/>
        <w:rPr>
          <w:rFonts w:ascii="Arial" w:hAnsi="Arial" w:cs="Arial"/>
        </w:rPr>
      </w:pPr>
    </w:p>
    <w:p w:rsidR="002D168D" w:rsidRDefault="002D168D" w:rsidP="005C44F2">
      <w:pPr>
        <w:spacing w:after="0"/>
        <w:jc w:val="both"/>
        <w:rPr>
          <w:rFonts w:ascii="Arial" w:hAnsi="Arial" w:cs="Arial"/>
        </w:rPr>
      </w:pPr>
      <w:r w:rsidRPr="002D168D">
        <w:rPr>
          <w:rFonts w:ascii="Arial" w:hAnsi="Arial" w:cs="Arial"/>
        </w:rPr>
        <w:t>Rozporządzenie wchodzi w życie z dniem nastę</w:t>
      </w:r>
      <w:r>
        <w:rPr>
          <w:rFonts w:ascii="Arial" w:hAnsi="Arial" w:cs="Arial"/>
        </w:rPr>
        <w:t>pującym po dniu ogłoszenia, tj.</w:t>
      </w:r>
      <w:r w:rsidRPr="002D168D">
        <w:t xml:space="preserve"> </w:t>
      </w:r>
      <w:r w:rsidRPr="002D168D">
        <w:rPr>
          <w:rFonts w:ascii="Arial" w:hAnsi="Arial" w:cs="Arial"/>
        </w:rPr>
        <w:t>w dniu 12 grudnia 2024 roku.</w:t>
      </w:r>
    </w:p>
    <w:p w:rsidR="005C44F2" w:rsidRPr="005C44F2" w:rsidRDefault="005C44F2" w:rsidP="005C44F2">
      <w:pPr>
        <w:spacing w:after="0"/>
        <w:jc w:val="both"/>
        <w:rPr>
          <w:rFonts w:ascii="Arial" w:hAnsi="Arial" w:cs="Arial"/>
          <w:u w:val="single"/>
        </w:rPr>
      </w:pPr>
    </w:p>
    <w:p w:rsidR="005C44F2" w:rsidRDefault="00206C53" w:rsidP="00206C5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u w:val="single"/>
        </w:rPr>
      </w:pPr>
      <w:r w:rsidRPr="00206C53">
        <w:rPr>
          <w:rFonts w:ascii="Arial" w:hAnsi="Arial" w:cs="Arial"/>
          <w:u w:val="single"/>
        </w:rPr>
        <w:t>Ustawa z dnia 21 listopada 2024 r. o zmianie ustawy o odpadach oraz ustawy o zmianie ustawy o odpadach oraz niektórych innych ustaw</w:t>
      </w:r>
    </w:p>
    <w:p w:rsidR="00206C53" w:rsidRPr="00206C53" w:rsidRDefault="00206C53" w:rsidP="00206C53">
      <w:pPr>
        <w:spacing w:after="0"/>
        <w:jc w:val="both"/>
        <w:rPr>
          <w:rFonts w:ascii="Arial" w:hAnsi="Arial" w:cs="Arial"/>
        </w:rPr>
      </w:pPr>
    </w:p>
    <w:p w:rsidR="00206C53" w:rsidRPr="00206C53" w:rsidRDefault="00206C53" w:rsidP="00206C53">
      <w:pPr>
        <w:spacing w:after="0"/>
        <w:jc w:val="both"/>
        <w:rPr>
          <w:rFonts w:ascii="Arial" w:hAnsi="Arial" w:cs="Arial"/>
        </w:rPr>
      </w:pPr>
      <w:r w:rsidRPr="00206C53">
        <w:rPr>
          <w:rFonts w:ascii="Arial" w:hAnsi="Arial" w:cs="Arial"/>
        </w:rPr>
        <w:t>Powyższy a</w:t>
      </w:r>
      <w:r>
        <w:rPr>
          <w:rFonts w:ascii="Arial" w:hAnsi="Arial" w:cs="Arial"/>
        </w:rPr>
        <w:t>kt prawny opublikowany został 12</w:t>
      </w:r>
      <w:r w:rsidRPr="00206C53">
        <w:rPr>
          <w:rFonts w:ascii="Arial" w:hAnsi="Arial" w:cs="Arial"/>
        </w:rPr>
        <w:t xml:space="preserve"> grudnia 2024 roku w Dziennik</w:t>
      </w:r>
      <w:r>
        <w:rPr>
          <w:rFonts w:ascii="Arial" w:hAnsi="Arial" w:cs="Arial"/>
        </w:rPr>
        <w:t>u Ustaw (Dz.U. z 2024, poz. 1834</w:t>
      </w:r>
      <w:r w:rsidRPr="00206C53">
        <w:rPr>
          <w:rFonts w:ascii="Arial" w:hAnsi="Arial" w:cs="Arial"/>
        </w:rPr>
        <w:t>).</w:t>
      </w:r>
    </w:p>
    <w:p w:rsidR="00206C53" w:rsidRDefault="00206C53" w:rsidP="00206C53">
      <w:pPr>
        <w:spacing w:after="0"/>
        <w:jc w:val="both"/>
        <w:rPr>
          <w:rFonts w:ascii="Arial" w:hAnsi="Arial" w:cs="Arial"/>
        </w:rPr>
      </w:pPr>
    </w:p>
    <w:p w:rsidR="00206C53" w:rsidRPr="00206C53" w:rsidRDefault="00206C53" w:rsidP="00206C53">
      <w:pPr>
        <w:spacing w:after="0"/>
        <w:jc w:val="both"/>
        <w:rPr>
          <w:rFonts w:ascii="Arial" w:hAnsi="Arial" w:cs="Arial"/>
        </w:rPr>
      </w:pPr>
      <w:r w:rsidRPr="00206C53">
        <w:rPr>
          <w:rFonts w:ascii="Arial" w:hAnsi="Arial" w:cs="Arial"/>
        </w:rPr>
        <w:t>Ustawa dokonuje nowelizacji przepisów następujących ustaw:</w:t>
      </w:r>
    </w:p>
    <w:p w:rsidR="00206C53" w:rsidRPr="00206C53" w:rsidRDefault="00206C53" w:rsidP="00206C53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206C53">
        <w:rPr>
          <w:rFonts w:ascii="Arial" w:hAnsi="Arial" w:cs="Arial"/>
        </w:rPr>
        <w:t>ustawy z dnia 14 grudnia 2012 r. o odpadach (Dz. U. z 2023 r. poz. 1587, 1597, 16</w:t>
      </w:r>
      <w:r w:rsidRPr="00206C53">
        <w:rPr>
          <w:rFonts w:ascii="Arial" w:hAnsi="Arial" w:cs="Arial"/>
        </w:rPr>
        <w:t xml:space="preserve">88, </w:t>
      </w:r>
      <w:r w:rsidRPr="00206C53">
        <w:rPr>
          <w:rFonts w:ascii="Arial" w:hAnsi="Arial" w:cs="Arial"/>
        </w:rPr>
        <w:t>1852 i 2029);</w:t>
      </w:r>
    </w:p>
    <w:p w:rsidR="00206C53" w:rsidRPr="00206C53" w:rsidRDefault="00206C53" w:rsidP="00206C53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206C53">
        <w:rPr>
          <w:rFonts w:ascii="Arial" w:hAnsi="Arial" w:cs="Arial"/>
        </w:rPr>
        <w:t>ustawy z dnia 17 listopada 2021 r. o zmianie us</w:t>
      </w:r>
      <w:r w:rsidRPr="00206C53">
        <w:rPr>
          <w:rFonts w:ascii="Arial" w:hAnsi="Arial" w:cs="Arial"/>
        </w:rPr>
        <w:t xml:space="preserve">tawy o odpadach oraz </w:t>
      </w:r>
      <w:proofErr w:type="spellStart"/>
      <w:r w:rsidRPr="00206C53">
        <w:rPr>
          <w:rFonts w:ascii="Arial" w:hAnsi="Arial" w:cs="Arial"/>
        </w:rPr>
        <w:t>niektórych</w:t>
      </w:r>
      <w:r w:rsidRPr="00206C53">
        <w:rPr>
          <w:rFonts w:ascii="Arial" w:hAnsi="Arial" w:cs="Arial"/>
        </w:rPr>
        <w:t>innych</w:t>
      </w:r>
      <w:proofErr w:type="spellEnd"/>
      <w:r w:rsidRPr="00206C53">
        <w:rPr>
          <w:rFonts w:ascii="Arial" w:hAnsi="Arial" w:cs="Arial"/>
        </w:rPr>
        <w:t xml:space="preserve"> ustaw (Dz. U. poz. 2151 oraz z 2022 r. poz. 2687).</w:t>
      </w:r>
    </w:p>
    <w:p w:rsidR="00206C53" w:rsidRPr="00206C53" w:rsidRDefault="00206C53" w:rsidP="00206C53">
      <w:pPr>
        <w:spacing w:after="0"/>
        <w:jc w:val="both"/>
        <w:rPr>
          <w:rFonts w:ascii="Arial" w:hAnsi="Arial" w:cs="Arial"/>
        </w:rPr>
      </w:pPr>
      <w:r w:rsidRPr="00206C53">
        <w:rPr>
          <w:rFonts w:ascii="Arial" w:hAnsi="Arial" w:cs="Arial"/>
        </w:rPr>
        <w:t xml:space="preserve">W art. 1 ustawy dodany do ustawy z dnia 14 grudnia </w:t>
      </w:r>
      <w:r>
        <w:rPr>
          <w:rFonts w:ascii="Arial" w:hAnsi="Arial" w:cs="Arial"/>
        </w:rPr>
        <w:t xml:space="preserve">2012 r. o odpadach przepis art. </w:t>
      </w:r>
      <w:r w:rsidRPr="00206C53">
        <w:rPr>
          <w:rFonts w:ascii="Arial" w:hAnsi="Arial" w:cs="Arial"/>
        </w:rPr>
        <w:t xml:space="preserve">226b ma na celu umożliwienie przekazania środków z </w:t>
      </w:r>
      <w:r>
        <w:rPr>
          <w:rFonts w:ascii="Arial" w:hAnsi="Arial" w:cs="Arial"/>
        </w:rPr>
        <w:t xml:space="preserve">rezerwy celowej budżetu państwa </w:t>
      </w:r>
      <w:r w:rsidRPr="00206C53">
        <w:rPr>
          <w:rFonts w:ascii="Arial" w:hAnsi="Arial" w:cs="Arial"/>
        </w:rPr>
        <w:t>właściwym organom, w szczególności gminom, w przypad</w:t>
      </w:r>
      <w:r>
        <w:rPr>
          <w:rFonts w:ascii="Arial" w:hAnsi="Arial" w:cs="Arial"/>
        </w:rPr>
        <w:t xml:space="preserve">ku gdy ze względu na zagrożenia </w:t>
      </w:r>
      <w:r w:rsidRPr="00206C53">
        <w:rPr>
          <w:rFonts w:ascii="Arial" w:hAnsi="Arial" w:cs="Arial"/>
        </w:rPr>
        <w:t>dla życia i zdrowia ludzi oraz środowiska konieczne jest ni</w:t>
      </w:r>
      <w:r>
        <w:rPr>
          <w:rFonts w:ascii="Arial" w:hAnsi="Arial" w:cs="Arial"/>
        </w:rPr>
        <w:t xml:space="preserve">ezwłoczne usuniecie nielegalnie </w:t>
      </w:r>
      <w:r w:rsidRPr="00206C53">
        <w:rPr>
          <w:rFonts w:ascii="Arial" w:hAnsi="Arial" w:cs="Arial"/>
        </w:rPr>
        <w:t>składowanych odpadów. Przepis art. 226b ustawy z dni</w:t>
      </w:r>
      <w:r>
        <w:rPr>
          <w:rFonts w:ascii="Arial" w:hAnsi="Arial" w:cs="Arial"/>
        </w:rPr>
        <w:t xml:space="preserve">a 14 grudnia 2012 r. o odpadach </w:t>
      </w:r>
      <w:r w:rsidRPr="00206C53">
        <w:rPr>
          <w:rFonts w:ascii="Arial" w:hAnsi="Arial" w:cs="Arial"/>
        </w:rPr>
        <w:t xml:space="preserve">przewiduje, że do dnia 31 grudnia 2027 r. właściwy organ, </w:t>
      </w:r>
      <w:r>
        <w:rPr>
          <w:rFonts w:ascii="Arial" w:hAnsi="Arial" w:cs="Arial"/>
        </w:rPr>
        <w:t xml:space="preserve">o którym mowa w art. 26a ust. 2 </w:t>
      </w:r>
      <w:r w:rsidRPr="00206C53">
        <w:rPr>
          <w:rFonts w:ascii="Arial" w:hAnsi="Arial" w:cs="Arial"/>
        </w:rPr>
        <w:t>ww. ustawy, może otrzymać środki z budżetu państw</w:t>
      </w:r>
      <w:r>
        <w:rPr>
          <w:rFonts w:ascii="Arial" w:hAnsi="Arial" w:cs="Arial"/>
        </w:rPr>
        <w:t xml:space="preserve">a z przeznaczeniem na wykonanie </w:t>
      </w:r>
      <w:r w:rsidRPr="00206C53">
        <w:rPr>
          <w:rFonts w:ascii="Arial" w:hAnsi="Arial" w:cs="Arial"/>
        </w:rPr>
        <w:t xml:space="preserve">działań, o których mowa w art. 26a ust. 1 tej ustawy. W </w:t>
      </w:r>
      <w:r>
        <w:rPr>
          <w:rFonts w:ascii="Arial" w:hAnsi="Arial" w:cs="Arial"/>
        </w:rPr>
        <w:t xml:space="preserve">przypadku gdy właściwym organem </w:t>
      </w:r>
      <w:r w:rsidRPr="00206C53">
        <w:rPr>
          <w:rFonts w:ascii="Arial" w:hAnsi="Arial" w:cs="Arial"/>
        </w:rPr>
        <w:t>jest organ jednostki samorządu terytorialnego, kwota dofi</w:t>
      </w:r>
      <w:r>
        <w:rPr>
          <w:rFonts w:ascii="Arial" w:hAnsi="Arial" w:cs="Arial"/>
        </w:rPr>
        <w:t xml:space="preserve">nansowania może stanowić więcej </w:t>
      </w:r>
      <w:r w:rsidRPr="00206C53">
        <w:rPr>
          <w:rFonts w:ascii="Arial" w:hAnsi="Arial" w:cs="Arial"/>
        </w:rPr>
        <w:t>niż 80 % kosztów wykonania tych działań. Kwota dofinan</w:t>
      </w:r>
      <w:r>
        <w:rPr>
          <w:rFonts w:ascii="Arial" w:hAnsi="Arial" w:cs="Arial"/>
        </w:rPr>
        <w:t xml:space="preserve">sowania nie może być wyższa niż </w:t>
      </w:r>
      <w:r w:rsidRPr="00206C53">
        <w:rPr>
          <w:rFonts w:ascii="Arial" w:hAnsi="Arial" w:cs="Arial"/>
        </w:rPr>
        <w:t xml:space="preserve">99 % kosztów wykonania tych działań. Przepis </w:t>
      </w:r>
      <w:r>
        <w:rPr>
          <w:rFonts w:ascii="Arial" w:hAnsi="Arial" w:cs="Arial"/>
        </w:rPr>
        <w:t xml:space="preserve">ten stanowi podstawę prawną dla </w:t>
      </w:r>
      <w:r w:rsidRPr="00206C53">
        <w:rPr>
          <w:rFonts w:ascii="Arial" w:hAnsi="Arial" w:cs="Arial"/>
        </w:rPr>
        <w:t xml:space="preserve">uzupełniającego źródła finansowania działania, o którym </w:t>
      </w:r>
      <w:r>
        <w:rPr>
          <w:rFonts w:ascii="Arial" w:hAnsi="Arial" w:cs="Arial"/>
        </w:rPr>
        <w:t xml:space="preserve">mowa w art. 26a ust. 1 ustawy z </w:t>
      </w:r>
      <w:r w:rsidRPr="00206C53">
        <w:rPr>
          <w:rFonts w:ascii="Arial" w:hAnsi="Arial" w:cs="Arial"/>
        </w:rPr>
        <w:t>dnia 14 grudnia 2012 r. o odpadach, który będzie miał zasto</w:t>
      </w:r>
      <w:r>
        <w:rPr>
          <w:rFonts w:ascii="Arial" w:hAnsi="Arial" w:cs="Arial"/>
        </w:rPr>
        <w:t xml:space="preserve">sowanie jedynie epizodyczne tj. </w:t>
      </w:r>
      <w:r w:rsidRPr="00206C53">
        <w:rPr>
          <w:rFonts w:ascii="Arial" w:hAnsi="Arial" w:cs="Arial"/>
        </w:rPr>
        <w:t>w okresie od dnia 1 stycznia 2025 r. do dnia 31 grudnia 2027 r.</w:t>
      </w:r>
    </w:p>
    <w:p w:rsidR="00206C53" w:rsidRPr="00206C53" w:rsidRDefault="00206C53" w:rsidP="00206C53">
      <w:pPr>
        <w:spacing w:after="0"/>
        <w:jc w:val="both"/>
        <w:rPr>
          <w:rFonts w:ascii="Arial" w:hAnsi="Arial" w:cs="Arial"/>
        </w:rPr>
      </w:pPr>
      <w:r w:rsidRPr="00206C53">
        <w:rPr>
          <w:rFonts w:ascii="Arial" w:hAnsi="Arial" w:cs="Arial"/>
        </w:rPr>
        <w:t>W art. 2 ustawy zawarto nowelizację przepisów ust</w:t>
      </w:r>
      <w:r>
        <w:rPr>
          <w:rFonts w:ascii="Arial" w:hAnsi="Arial" w:cs="Arial"/>
        </w:rPr>
        <w:t xml:space="preserve">awy z dnia 17 listopada 2021 r. </w:t>
      </w:r>
      <w:r w:rsidRPr="00206C53">
        <w:rPr>
          <w:rFonts w:ascii="Arial" w:hAnsi="Arial" w:cs="Arial"/>
        </w:rPr>
        <w:t xml:space="preserve">o zmianie ustawy o odpadach oraz niektórych innych ustaw. </w:t>
      </w:r>
      <w:r>
        <w:rPr>
          <w:rFonts w:ascii="Arial" w:hAnsi="Arial" w:cs="Arial"/>
        </w:rPr>
        <w:t xml:space="preserve">Nowelizacja przepisów art. 101a </w:t>
      </w:r>
      <w:r w:rsidRPr="00206C53">
        <w:rPr>
          <w:rFonts w:ascii="Arial" w:hAnsi="Arial" w:cs="Arial"/>
        </w:rPr>
        <w:t>ustawy z dnia 14 grudnia 2012 r. o odpadach ma na cel</w:t>
      </w:r>
      <w:r>
        <w:rPr>
          <w:rFonts w:ascii="Arial" w:hAnsi="Arial" w:cs="Arial"/>
        </w:rPr>
        <w:t xml:space="preserve">u wprowadzenie zmian w zakresie </w:t>
      </w:r>
      <w:r w:rsidRPr="00206C53">
        <w:rPr>
          <w:rFonts w:ascii="Arial" w:hAnsi="Arial" w:cs="Arial"/>
        </w:rPr>
        <w:t>organizacji systemu sortowania odpadów budowlanych i r</w:t>
      </w:r>
      <w:r>
        <w:rPr>
          <w:rFonts w:ascii="Arial" w:hAnsi="Arial" w:cs="Arial"/>
        </w:rPr>
        <w:t xml:space="preserve">ozbiórkowych, co w założeniu ma </w:t>
      </w:r>
      <w:r w:rsidRPr="00206C53">
        <w:rPr>
          <w:rFonts w:ascii="Arial" w:hAnsi="Arial" w:cs="Arial"/>
        </w:rPr>
        <w:t>wpłynąć na zwiększenie ilości odpadów zbieranych selekt</w:t>
      </w:r>
      <w:r>
        <w:rPr>
          <w:rFonts w:ascii="Arial" w:hAnsi="Arial" w:cs="Arial"/>
        </w:rPr>
        <w:t xml:space="preserve">ywnie, które następnie mogą być </w:t>
      </w:r>
      <w:r w:rsidRPr="00206C53">
        <w:rPr>
          <w:rFonts w:ascii="Arial" w:hAnsi="Arial" w:cs="Arial"/>
        </w:rPr>
        <w:t>poddawane procesom pozwalającym na ponowne uży</w:t>
      </w:r>
      <w:r>
        <w:rPr>
          <w:rFonts w:ascii="Arial" w:hAnsi="Arial" w:cs="Arial"/>
        </w:rPr>
        <w:t xml:space="preserve">cie, recykling lub inny odzysk. </w:t>
      </w:r>
      <w:r w:rsidRPr="00206C53">
        <w:rPr>
          <w:rFonts w:ascii="Arial" w:hAnsi="Arial" w:cs="Arial"/>
        </w:rPr>
        <w:t>Znowelizowane przepisy art. 101a ww. ustawy dopuszczają sortowanie odpadów</w:t>
      </w:r>
      <w:r>
        <w:rPr>
          <w:rFonts w:ascii="Arial" w:hAnsi="Arial" w:cs="Arial"/>
        </w:rPr>
        <w:t xml:space="preserve"> </w:t>
      </w:r>
      <w:r w:rsidRPr="00206C53">
        <w:rPr>
          <w:rFonts w:ascii="Arial" w:hAnsi="Arial" w:cs="Arial"/>
        </w:rPr>
        <w:t xml:space="preserve">budowanych i </w:t>
      </w:r>
      <w:r w:rsidRPr="00206C53">
        <w:rPr>
          <w:rFonts w:ascii="Arial" w:hAnsi="Arial" w:cs="Arial"/>
        </w:rPr>
        <w:lastRenderedPageBreak/>
        <w:t>rozbiórkowych poza miejscem ich w</w:t>
      </w:r>
      <w:r>
        <w:rPr>
          <w:rFonts w:ascii="Arial" w:hAnsi="Arial" w:cs="Arial"/>
        </w:rPr>
        <w:t xml:space="preserve">ytworzenia. Ponadto umożliwiają </w:t>
      </w:r>
      <w:r w:rsidRPr="00206C53">
        <w:rPr>
          <w:rFonts w:ascii="Arial" w:hAnsi="Arial" w:cs="Arial"/>
        </w:rPr>
        <w:t xml:space="preserve">przekazanie odpadów budowlanych i rozbiórkowych </w:t>
      </w:r>
      <w:r>
        <w:rPr>
          <w:rFonts w:ascii="Arial" w:hAnsi="Arial" w:cs="Arial"/>
        </w:rPr>
        <w:t xml:space="preserve">innemu uprawnionemu podmiotowi, </w:t>
      </w:r>
      <w:r w:rsidRPr="00206C53">
        <w:rPr>
          <w:rFonts w:ascii="Arial" w:hAnsi="Arial" w:cs="Arial"/>
        </w:rPr>
        <w:t>który zajmie się ich segregacją. Dodatkowo przyjęta regul</w:t>
      </w:r>
      <w:r>
        <w:rPr>
          <w:rFonts w:ascii="Arial" w:hAnsi="Arial" w:cs="Arial"/>
        </w:rPr>
        <w:t xml:space="preserve">acja wprowadza odpowiedzialność </w:t>
      </w:r>
      <w:r w:rsidRPr="00206C53">
        <w:rPr>
          <w:rFonts w:ascii="Arial" w:hAnsi="Arial" w:cs="Arial"/>
        </w:rPr>
        <w:t>solidarną za niezrealizowanie obowiązku wys</w:t>
      </w:r>
      <w:r>
        <w:rPr>
          <w:rFonts w:ascii="Arial" w:hAnsi="Arial" w:cs="Arial"/>
        </w:rPr>
        <w:t xml:space="preserve">egregowania odpadów budowlanych </w:t>
      </w:r>
      <w:r w:rsidRPr="00206C53">
        <w:rPr>
          <w:rFonts w:ascii="Arial" w:hAnsi="Arial" w:cs="Arial"/>
        </w:rPr>
        <w:t>i rozbiórkowych.</w:t>
      </w:r>
    </w:p>
    <w:p w:rsidR="00206C53" w:rsidRPr="00206C53" w:rsidRDefault="00206C53" w:rsidP="00206C53">
      <w:pPr>
        <w:spacing w:after="0"/>
        <w:jc w:val="both"/>
        <w:rPr>
          <w:rFonts w:ascii="Arial" w:hAnsi="Arial" w:cs="Arial"/>
        </w:rPr>
      </w:pPr>
      <w:r w:rsidRPr="00206C53">
        <w:rPr>
          <w:rFonts w:ascii="Arial" w:hAnsi="Arial" w:cs="Arial"/>
        </w:rPr>
        <w:t>Ustawa w zakresie swojej regulacji wdraża dyr</w:t>
      </w:r>
      <w:r>
        <w:rPr>
          <w:rFonts w:ascii="Arial" w:hAnsi="Arial" w:cs="Arial"/>
        </w:rPr>
        <w:t xml:space="preserve">ektywę Parlamentu Europejskiego </w:t>
      </w:r>
      <w:r w:rsidRPr="00206C53">
        <w:rPr>
          <w:rFonts w:ascii="Arial" w:hAnsi="Arial" w:cs="Arial"/>
        </w:rPr>
        <w:t>i Rady 2008/98/WE z dnia 19 listopada 2008 r. w sprawie o</w:t>
      </w:r>
      <w:r>
        <w:rPr>
          <w:rFonts w:ascii="Arial" w:hAnsi="Arial" w:cs="Arial"/>
        </w:rPr>
        <w:t xml:space="preserve">dpadów oraz uchylającą niektóre </w:t>
      </w:r>
      <w:r w:rsidRPr="00206C53">
        <w:rPr>
          <w:rFonts w:ascii="Arial" w:hAnsi="Arial" w:cs="Arial"/>
        </w:rPr>
        <w:t xml:space="preserve">dyrektywy (Dz. Urz. UE L 312 z 22.11.2008, str. 3 z </w:t>
      </w:r>
      <w:proofErr w:type="spellStart"/>
      <w:r w:rsidRPr="00206C53">
        <w:rPr>
          <w:rFonts w:ascii="Arial" w:hAnsi="Arial" w:cs="Arial"/>
        </w:rPr>
        <w:t>późn</w:t>
      </w:r>
      <w:proofErr w:type="spellEnd"/>
      <w:r w:rsidRPr="00206C53">
        <w:rPr>
          <w:rFonts w:ascii="Arial" w:hAnsi="Arial" w:cs="Arial"/>
        </w:rPr>
        <w:t>. zm.).</w:t>
      </w:r>
    </w:p>
    <w:p w:rsidR="00206C53" w:rsidRDefault="00206C53" w:rsidP="00206C53">
      <w:pPr>
        <w:spacing w:after="0"/>
        <w:jc w:val="both"/>
        <w:rPr>
          <w:rFonts w:ascii="Arial" w:hAnsi="Arial" w:cs="Arial"/>
        </w:rPr>
      </w:pPr>
    </w:p>
    <w:p w:rsidR="00206C53" w:rsidRDefault="00206C53" w:rsidP="00206C53">
      <w:pPr>
        <w:spacing w:after="0"/>
        <w:jc w:val="both"/>
        <w:rPr>
          <w:rFonts w:ascii="Arial" w:hAnsi="Arial" w:cs="Arial"/>
        </w:rPr>
      </w:pPr>
      <w:r w:rsidRPr="00206C53">
        <w:rPr>
          <w:rFonts w:ascii="Arial" w:hAnsi="Arial" w:cs="Arial"/>
        </w:rPr>
        <w:t>Ustawa wchodzi w życie z dniem 1 stycznia 2025 r</w:t>
      </w:r>
      <w:r>
        <w:rPr>
          <w:rFonts w:ascii="Arial" w:hAnsi="Arial" w:cs="Arial"/>
        </w:rPr>
        <w:t>oku</w:t>
      </w:r>
      <w:r w:rsidRPr="00206C53">
        <w:rPr>
          <w:rFonts w:ascii="Arial" w:hAnsi="Arial" w:cs="Arial"/>
        </w:rPr>
        <w:t>.</w:t>
      </w:r>
    </w:p>
    <w:p w:rsidR="00206C53" w:rsidRPr="00206C53" w:rsidRDefault="00206C53" w:rsidP="00206C53">
      <w:pPr>
        <w:spacing w:after="0"/>
        <w:jc w:val="both"/>
        <w:rPr>
          <w:rFonts w:ascii="Arial" w:hAnsi="Arial" w:cs="Arial"/>
        </w:rPr>
      </w:pPr>
    </w:p>
    <w:p w:rsidR="00206C53" w:rsidRDefault="00206C53" w:rsidP="00206C5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u w:val="single"/>
        </w:rPr>
      </w:pPr>
      <w:r w:rsidRPr="00206C53">
        <w:rPr>
          <w:rFonts w:ascii="Arial" w:hAnsi="Arial" w:cs="Arial"/>
          <w:u w:val="single"/>
        </w:rPr>
        <w:t>Ustawa z dnia 21 listopada 2024 r. o zmianie ustawy o doręczeniach elektronicznych</w:t>
      </w:r>
    </w:p>
    <w:p w:rsidR="00206C53" w:rsidRPr="00206C53" w:rsidRDefault="00206C53" w:rsidP="00206C53">
      <w:pPr>
        <w:spacing w:after="0"/>
        <w:jc w:val="both"/>
        <w:rPr>
          <w:rFonts w:ascii="Arial" w:hAnsi="Arial" w:cs="Arial"/>
        </w:rPr>
      </w:pPr>
    </w:p>
    <w:p w:rsidR="00206C53" w:rsidRPr="00206C53" w:rsidRDefault="00206C53" w:rsidP="00206C53">
      <w:pPr>
        <w:spacing w:after="0"/>
        <w:jc w:val="both"/>
        <w:rPr>
          <w:rFonts w:ascii="Arial" w:hAnsi="Arial" w:cs="Arial"/>
        </w:rPr>
      </w:pPr>
      <w:r w:rsidRPr="00206C53">
        <w:rPr>
          <w:rFonts w:ascii="Arial" w:hAnsi="Arial" w:cs="Arial"/>
        </w:rPr>
        <w:t>Powyższy akt prawny opublikowany został 12 grudnia 2024 roku w Dzienni</w:t>
      </w:r>
      <w:r>
        <w:rPr>
          <w:rFonts w:ascii="Arial" w:hAnsi="Arial" w:cs="Arial"/>
        </w:rPr>
        <w:t>ku Ustaw (Dz.U. z 2024, poz. 18</w:t>
      </w:r>
      <w:r w:rsidRPr="00206C53">
        <w:rPr>
          <w:rFonts w:ascii="Arial" w:hAnsi="Arial" w:cs="Arial"/>
        </w:rPr>
        <w:t>4</w:t>
      </w:r>
      <w:r>
        <w:rPr>
          <w:rFonts w:ascii="Arial" w:hAnsi="Arial" w:cs="Arial"/>
        </w:rPr>
        <w:t>1</w:t>
      </w:r>
      <w:r w:rsidRPr="00206C53">
        <w:rPr>
          <w:rFonts w:ascii="Arial" w:hAnsi="Arial" w:cs="Arial"/>
        </w:rPr>
        <w:t>).</w:t>
      </w:r>
    </w:p>
    <w:p w:rsidR="00206C53" w:rsidRPr="00206C53" w:rsidRDefault="00206C53" w:rsidP="00206C53">
      <w:pPr>
        <w:spacing w:after="0"/>
        <w:jc w:val="both"/>
        <w:rPr>
          <w:rFonts w:ascii="Arial" w:hAnsi="Arial" w:cs="Arial"/>
        </w:rPr>
      </w:pPr>
    </w:p>
    <w:p w:rsidR="007811C1" w:rsidRPr="007811C1" w:rsidRDefault="007811C1" w:rsidP="007811C1">
      <w:pPr>
        <w:spacing w:after="0"/>
        <w:jc w:val="both"/>
        <w:rPr>
          <w:rFonts w:ascii="Arial" w:hAnsi="Arial" w:cs="Arial"/>
        </w:rPr>
      </w:pPr>
      <w:r w:rsidRPr="007811C1">
        <w:rPr>
          <w:rFonts w:ascii="Arial" w:hAnsi="Arial" w:cs="Arial"/>
        </w:rPr>
        <w:t>Celem ustawy jest wprowadzenie dodatkowego ok</w:t>
      </w:r>
      <w:r>
        <w:rPr>
          <w:rFonts w:ascii="Arial" w:hAnsi="Arial" w:cs="Arial"/>
        </w:rPr>
        <w:t xml:space="preserve">resu przejściowego – do dnia 31 </w:t>
      </w:r>
      <w:r w:rsidRPr="007811C1">
        <w:rPr>
          <w:rFonts w:ascii="Arial" w:hAnsi="Arial" w:cs="Arial"/>
        </w:rPr>
        <w:t>grudnia 2025 r., w którym podmioty obowiązane do stoso</w:t>
      </w:r>
      <w:r>
        <w:rPr>
          <w:rFonts w:ascii="Arial" w:hAnsi="Arial" w:cs="Arial"/>
        </w:rPr>
        <w:t xml:space="preserve">wania e-Doręczeń będą stopniowo </w:t>
      </w:r>
      <w:r w:rsidRPr="007811C1">
        <w:rPr>
          <w:rFonts w:ascii="Arial" w:hAnsi="Arial" w:cs="Arial"/>
        </w:rPr>
        <w:t>dostosowywały się do nowego sposobu prowadzen</w:t>
      </w:r>
      <w:r>
        <w:rPr>
          <w:rFonts w:ascii="Arial" w:hAnsi="Arial" w:cs="Arial"/>
        </w:rPr>
        <w:t xml:space="preserve">ia korespondencji m.in. poprzez </w:t>
      </w:r>
      <w:r w:rsidRPr="007811C1">
        <w:rPr>
          <w:rFonts w:ascii="Arial" w:hAnsi="Arial" w:cs="Arial"/>
        </w:rPr>
        <w:t>wprowadzenie systemu elektronicznego obiegu dokumentów – EZD.</w:t>
      </w:r>
    </w:p>
    <w:p w:rsidR="007811C1" w:rsidRPr="007811C1" w:rsidRDefault="007811C1" w:rsidP="007811C1">
      <w:pPr>
        <w:spacing w:after="0"/>
        <w:jc w:val="both"/>
        <w:rPr>
          <w:rFonts w:ascii="Arial" w:hAnsi="Arial" w:cs="Arial"/>
        </w:rPr>
      </w:pPr>
      <w:r w:rsidRPr="007811C1">
        <w:rPr>
          <w:rFonts w:ascii="Arial" w:hAnsi="Arial" w:cs="Arial"/>
        </w:rPr>
        <w:t xml:space="preserve">W okresie przejściowym ustawodawca </w:t>
      </w:r>
      <w:r>
        <w:rPr>
          <w:rFonts w:ascii="Arial" w:hAnsi="Arial" w:cs="Arial"/>
        </w:rPr>
        <w:t xml:space="preserve">zapewni równoważność doręczania </w:t>
      </w:r>
      <w:r w:rsidRPr="007811C1">
        <w:rPr>
          <w:rFonts w:ascii="Arial" w:hAnsi="Arial" w:cs="Arial"/>
        </w:rPr>
        <w:t xml:space="preserve">korespondencji za pośrednictwem operatora pocztowego, </w:t>
      </w:r>
      <w:proofErr w:type="spellStart"/>
      <w:r w:rsidRPr="007811C1">
        <w:rPr>
          <w:rFonts w:ascii="Arial" w:hAnsi="Arial" w:cs="Arial"/>
        </w:rPr>
        <w:t>ePUAP</w:t>
      </w:r>
      <w:proofErr w:type="spellEnd"/>
      <w:r w:rsidRPr="007811C1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raz innych systemów </w:t>
      </w:r>
      <w:r w:rsidRPr="007811C1">
        <w:rPr>
          <w:rFonts w:ascii="Arial" w:hAnsi="Arial" w:cs="Arial"/>
        </w:rPr>
        <w:t>dziedzinowych z e-Doręczeniami. Bez zmian pozostaje obo</w:t>
      </w:r>
      <w:r>
        <w:rPr>
          <w:rFonts w:ascii="Arial" w:hAnsi="Arial" w:cs="Arial"/>
        </w:rPr>
        <w:t xml:space="preserve">wiązek uzyskania przez podmioty </w:t>
      </w:r>
      <w:r w:rsidRPr="007811C1">
        <w:rPr>
          <w:rFonts w:ascii="Arial" w:hAnsi="Arial" w:cs="Arial"/>
        </w:rPr>
        <w:t>wskazane w ustawie o doręczeniach elektronicznych adr</w:t>
      </w:r>
      <w:r>
        <w:rPr>
          <w:rFonts w:ascii="Arial" w:hAnsi="Arial" w:cs="Arial"/>
        </w:rPr>
        <w:t xml:space="preserve">esu do doręczeń elektronicznych </w:t>
      </w:r>
      <w:r w:rsidRPr="007811C1">
        <w:rPr>
          <w:rFonts w:ascii="Arial" w:hAnsi="Arial" w:cs="Arial"/>
        </w:rPr>
        <w:t xml:space="preserve">do dnia określonego w komunikacie wydanym na podstawie art. 155 </w:t>
      </w:r>
      <w:r>
        <w:rPr>
          <w:rFonts w:ascii="Arial" w:hAnsi="Arial" w:cs="Arial"/>
        </w:rPr>
        <w:t xml:space="preserve">ust. 10 ustawy </w:t>
      </w:r>
      <w:r w:rsidRPr="007811C1">
        <w:rPr>
          <w:rFonts w:ascii="Arial" w:hAnsi="Arial" w:cs="Arial"/>
        </w:rPr>
        <w:t xml:space="preserve">o doręczeniach elektronicznych, tj. do dnia 1 stycznia 2025 r. </w:t>
      </w:r>
      <w:r>
        <w:rPr>
          <w:rFonts w:ascii="Arial" w:hAnsi="Arial" w:cs="Arial"/>
        </w:rPr>
        <w:t xml:space="preserve">W okresie przejściowym </w:t>
      </w:r>
      <w:r w:rsidRPr="007811C1">
        <w:rPr>
          <w:rFonts w:ascii="Arial" w:hAnsi="Arial" w:cs="Arial"/>
        </w:rPr>
        <w:t>podmiot publiczny będzie kierował korespondencję do</w:t>
      </w:r>
      <w:r>
        <w:rPr>
          <w:rFonts w:ascii="Arial" w:hAnsi="Arial" w:cs="Arial"/>
        </w:rPr>
        <w:t xml:space="preserve"> podmiotu niebędącego podmiotem </w:t>
      </w:r>
      <w:r w:rsidRPr="007811C1">
        <w:rPr>
          <w:rFonts w:ascii="Arial" w:hAnsi="Arial" w:cs="Arial"/>
        </w:rPr>
        <w:t>publicznym na adres do doręczeń elektronicznych – jeżeli odbiorca taki a</w:t>
      </w:r>
      <w:r>
        <w:rPr>
          <w:rFonts w:ascii="Arial" w:hAnsi="Arial" w:cs="Arial"/>
        </w:rPr>
        <w:t xml:space="preserve">dres posiada. Jeżeli </w:t>
      </w:r>
      <w:r w:rsidRPr="007811C1">
        <w:rPr>
          <w:rFonts w:ascii="Arial" w:hAnsi="Arial" w:cs="Arial"/>
        </w:rPr>
        <w:t>odbiorca nie posiada adresu do doręczeń elektronicznych,</w:t>
      </w:r>
      <w:r>
        <w:rPr>
          <w:rFonts w:ascii="Arial" w:hAnsi="Arial" w:cs="Arial"/>
        </w:rPr>
        <w:t xml:space="preserve"> to korespondencja będzie mogła </w:t>
      </w:r>
      <w:r w:rsidRPr="007811C1">
        <w:rPr>
          <w:rFonts w:ascii="Arial" w:hAnsi="Arial" w:cs="Arial"/>
        </w:rPr>
        <w:t>być kierowana w dotychczasowy sposób, czyli przez operato</w:t>
      </w:r>
      <w:r>
        <w:rPr>
          <w:rFonts w:ascii="Arial" w:hAnsi="Arial" w:cs="Arial"/>
        </w:rPr>
        <w:t xml:space="preserve">ra pocztowego, chyba że jest to </w:t>
      </w:r>
      <w:r w:rsidRPr="007811C1">
        <w:rPr>
          <w:rFonts w:ascii="Arial" w:hAnsi="Arial" w:cs="Arial"/>
        </w:rPr>
        <w:t xml:space="preserve">odpowiedź na wniosek złożony przez </w:t>
      </w:r>
      <w:proofErr w:type="spellStart"/>
      <w:r w:rsidRPr="007811C1">
        <w:rPr>
          <w:rFonts w:ascii="Arial" w:hAnsi="Arial" w:cs="Arial"/>
        </w:rPr>
        <w:t>ePUAP</w:t>
      </w:r>
      <w:proofErr w:type="spellEnd"/>
      <w:r w:rsidRPr="007811C1">
        <w:rPr>
          <w:rFonts w:ascii="Arial" w:hAnsi="Arial" w:cs="Arial"/>
        </w:rPr>
        <w:t xml:space="preserve"> – w takim przypad</w:t>
      </w:r>
      <w:r>
        <w:rPr>
          <w:rFonts w:ascii="Arial" w:hAnsi="Arial" w:cs="Arial"/>
        </w:rPr>
        <w:t xml:space="preserve">ku korespondencja będzie </w:t>
      </w:r>
      <w:r w:rsidRPr="007811C1">
        <w:rPr>
          <w:rFonts w:ascii="Arial" w:hAnsi="Arial" w:cs="Arial"/>
        </w:rPr>
        <w:t xml:space="preserve">kierowana przez </w:t>
      </w:r>
      <w:proofErr w:type="spellStart"/>
      <w:r w:rsidRPr="007811C1">
        <w:rPr>
          <w:rFonts w:ascii="Arial" w:hAnsi="Arial" w:cs="Arial"/>
        </w:rPr>
        <w:t>ePUAP</w:t>
      </w:r>
      <w:proofErr w:type="spellEnd"/>
      <w:r w:rsidRPr="007811C1">
        <w:rPr>
          <w:rFonts w:ascii="Arial" w:hAnsi="Arial" w:cs="Arial"/>
        </w:rPr>
        <w:t>.</w:t>
      </w:r>
    </w:p>
    <w:p w:rsidR="007811C1" w:rsidRPr="007811C1" w:rsidRDefault="007811C1" w:rsidP="007811C1">
      <w:pPr>
        <w:spacing w:after="0"/>
        <w:jc w:val="both"/>
        <w:rPr>
          <w:rFonts w:ascii="Arial" w:hAnsi="Arial" w:cs="Arial"/>
        </w:rPr>
      </w:pPr>
      <w:r w:rsidRPr="007811C1">
        <w:rPr>
          <w:rFonts w:ascii="Arial" w:hAnsi="Arial" w:cs="Arial"/>
        </w:rPr>
        <w:t>Ustawa precyzuje i porządkuje zasady nadawania adr</w:t>
      </w:r>
      <w:r>
        <w:rPr>
          <w:rFonts w:ascii="Arial" w:hAnsi="Arial" w:cs="Arial"/>
        </w:rPr>
        <w:t xml:space="preserve">esu do doręczeń elektronicznych </w:t>
      </w:r>
      <w:r w:rsidRPr="007811C1">
        <w:rPr>
          <w:rFonts w:ascii="Arial" w:hAnsi="Arial" w:cs="Arial"/>
        </w:rPr>
        <w:t>powiązanego z publiczną usługą rejestrowanego doręcz</w:t>
      </w:r>
      <w:r>
        <w:rPr>
          <w:rFonts w:ascii="Arial" w:hAnsi="Arial" w:cs="Arial"/>
        </w:rPr>
        <w:t xml:space="preserve">enia elektronicznego jednostkom </w:t>
      </w:r>
      <w:r w:rsidRPr="007811C1">
        <w:rPr>
          <w:rFonts w:ascii="Arial" w:hAnsi="Arial" w:cs="Arial"/>
        </w:rPr>
        <w:t>samorządu terytorialnego. Przyjęto, że minister właściwy</w:t>
      </w:r>
      <w:r>
        <w:rPr>
          <w:rFonts w:ascii="Arial" w:hAnsi="Arial" w:cs="Arial"/>
        </w:rPr>
        <w:t xml:space="preserve"> do spraw informatyzacji będzie </w:t>
      </w:r>
      <w:r w:rsidRPr="007811C1">
        <w:rPr>
          <w:rFonts w:ascii="Arial" w:hAnsi="Arial" w:cs="Arial"/>
        </w:rPr>
        <w:t xml:space="preserve">tworzył adres do doręczeń elektronicznych powiązany z </w:t>
      </w:r>
      <w:r>
        <w:rPr>
          <w:rFonts w:ascii="Arial" w:hAnsi="Arial" w:cs="Arial"/>
        </w:rPr>
        <w:t xml:space="preserve">publiczną usługą rejestrowanego </w:t>
      </w:r>
      <w:r w:rsidRPr="007811C1">
        <w:rPr>
          <w:rFonts w:ascii="Arial" w:hAnsi="Arial" w:cs="Arial"/>
        </w:rPr>
        <w:t>doręczenia elektronicznego dla: urzędu gminy</w:t>
      </w:r>
      <w:r>
        <w:rPr>
          <w:rFonts w:ascii="Arial" w:hAnsi="Arial" w:cs="Arial"/>
        </w:rPr>
        <w:t xml:space="preserve">, starostwa powiatowego, urzędu </w:t>
      </w:r>
      <w:r w:rsidRPr="007811C1">
        <w:rPr>
          <w:rFonts w:ascii="Arial" w:hAnsi="Arial" w:cs="Arial"/>
        </w:rPr>
        <w:t xml:space="preserve">marszałkowskiego oraz podmiotu obsługującego związki </w:t>
      </w:r>
      <w:r>
        <w:rPr>
          <w:rFonts w:ascii="Arial" w:hAnsi="Arial" w:cs="Arial"/>
        </w:rPr>
        <w:t xml:space="preserve">międzygminne, związki powiatów, </w:t>
      </w:r>
      <w:r w:rsidRPr="007811C1">
        <w:rPr>
          <w:rFonts w:ascii="Arial" w:hAnsi="Arial" w:cs="Arial"/>
        </w:rPr>
        <w:t>związki powiatowo-gminne albo związki metropo</w:t>
      </w:r>
      <w:r>
        <w:rPr>
          <w:rFonts w:ascii="Arial" w:hAnsi="Arial" w:cs="Arial"/>
        </w:rPr>
        <w:t xml:space="preserve">litalne. Taki adres do doręczeń </w:t>
      </w:r>
      <w:r w:rsidRPr="007811C1">
        <w:rPr>
          <w:rFonts w:ascii="Arial" w:hAnsi="Arial" w:cs="Arial"/>
        </w:rPr>
        <w:t xml:space="preserve">elektronicznych będzie adresem wspólnym podmiotu i </w:t>
      </w:r>
      <w:r>
        <w:rPr>
          <w:rFonts w:ascii="Arial" w:hAnsi="Arial" w:cs="Arial"/>
        </w:rPr>
        <w:t xml:space="preserve">obsługiwanego przez ten podmiot </w:t>
      </w:r>
      <w:r w:rsidRPr="007811C1">
        <w:rPr>
          <w:rFonts w:ascii="Arial" w:hAnsi="Arial" w:cs="Arial"/>
        </w:rPr>
        <w:t>organu albo związku. Dodatkowo odrębny adres do dor</w:t>
      </w:r>
      <w:r>
        <w:rPr>
          <w:rFonts w:ascii="Arial" w:hAnsi="Arial" w:cs="Arial"/>
        </w:rPr>
        <w:t xml:space="preserve">ęczeń elektronicznych powiązany </w:t>
      </w:r>
      <w:r w:rsidRPr="007811C1">
        <w:rPr>
          <w:rFonts w:ascii="Arial" w:hAnsi="Arial" w:cs="Arial"/>
        </w:rPr>
        <w:t>z publiczną usługą rejestrowanego doręczenia elektronicz</w:t>
      </w:r>
      <w:r>
        <w:rPr>
          <w:rFonts w:ascii="Arial" w:hAnsi="Arial" w:cs="Arial"/>
        </w:rPr>
        <w:t xml:space="preserve">nego będzie tworzony dla każdej </w:t>
      </w:r>
      <w:r w:rsidRPr="007811C1">
        <w:rPr>
          <w:rFonts w:ascii="Arial" w:hAnsi="Arial" w:cs="Arial"/>
        </w:rPr>
        <w:t>jednostki organizacyjnej jednostki samorządu ter</w:t>
      </w:r>
      <w:r>
        <w:rPr>
          <w:rFonts w:ascii="Arial" w:hAnsi="Arial" w:cs="Arial"/>
        </w:rPr>
        <w:t xml:space="preserve">ytorialnego, posiadającej numer </w:t>
      </w:r>
      <w:r w:rsidRPr="007811C1">
        <w:rPr>
          <w:rFonts w:ascii="Arial" w:hAnsi="Arial" w:cs="Arial"/>
        </w:rPr>
        <w:t>identyfikacyjny REGON.</w:t>
      </w:r>
    </w:p>
    <w:p w:rsidR="007811C1" w:rsidRPr="007811C1" w:rsidRDefault="007811C1" w:rsidP="007811C1">
      <w:pPr>
        <w:spacing w:after="0"/>
        <w:jc w:val="both"/>
        <w:rPr>
          <w:rFonts w:ascii="Arial" w:hAnsi="Arial" w:cs="Arial"/>
        </w:rPr>
      </w:pPr>
      <w:r w:rsidRPr="007811C1">
        <w:rPr>
          <w:rFonts w:ascii="Arial" w:hAnsi="Arial" w:cs="Arial"/>
        </w:rPr>
        <w:t>W przypadku podmiotów niepublicznych utworze</w:t>
      </w:r>
      <w:r>
        <w:rPr>
          <w:rFonts w:ascii="Arial" w:hAnsi="Arial" w:cs="Arial"/>
        </w:rPr>
        <w:t xml:space="preserve">nie dla nich adresu do doręczeń </w:t>
      </w:r>
      <w:r w:rsidRPr="007811C1">
        <w:rPr>
          <w:rFonts w:ascii="Arial" w:hAnsi="Arial" w:cs="Arial"/>
        </w:rPr>
        <w:t>elektronicznych powiązanego z publiczną usługą rejestrowa</w:t>
      </w:r>
      <w:r>
        <w:rPr>
          <w:rFonts w:ascii="Arial" w:hAnsi="Arial" w:cs="Arial"/>
        </w:rPr>
        <w:t xml:space="preserve">nego doręczenia elektronicznego </w:t>
      </w:r>
      <w:r w:rsidRPr="007811C1">
        <w:rPr>
          <w:rFonts w:ascii="Arial" w:hAnsi="Arial" w:cs="Arial"/>
        </w:rPr>
        <w:t>oraz przyporządkowanie do niego skrzynki doręczeń będz</w:t>
      </w:r>
      <w:r>
        <w:rPr>
          <w:rFonts w:ascii="Arial" w:hAnsi="Arial" w:cs="Arial"/>
        </w:rPr>
        <w:t xml:space="preserve">ie mogło nastąpić automatycznie </w:t>
      </w:r>
      <w:r w:rsidRPr="007811C1">
        <w:rPr>
          <w:rFonts w:ascii="Arial" w:hAnsi="Arial" w:cs="Arial"/>
        </w:rPr>
        <w:t>po otrzymaniu przez ministra właściwego do spraw in</w:t>
      </w:r>
      <w:r>
        <w:rPr>
          <w:rFonts w:ascii="Arial" w:hAnsi="Arial" w:cs="Arial"/>
        </w:rPr>
        <w:t xml:space="preserve">formatyzacji – za pośrednictwem </w:t>
      </w:r>
      <w:r w:rsidRPr="007811C1">
        <w:rPr>
          <w:rFonts w:ascii="Arial" w:hAnsi="Arial" w:cs="Arial"/>
        </w:rPr>
        <w:lastRenderedPageBreak/>
        <w:t>systemu teleinformatycznego operatora wyznaczonego – danych, które musi zawierać</w:t>
      </w:r>
      <w:r>
        <w:rPr>
          <w:rFonts w:ascii="Arial" w:hAnsi="Arial" w:cs="Arial"/>
        </w:rPr>
        <w:t xml:space="preserve"> </w:t>
      </w:r>
      <w:r w:rsidRPr="007811C1">
        <w:rPr>
          <w:rFonts w:ascii="Arial" w:hAnsi="Arial" w:cs="Arial"/>
        </w:rPr>
        <w:t>wniosek o utworzenie adresu do doręczeń elektronicznych dla podmiotu niepublicznego.</w:t>
      </w:r>
    </w:p>
    <w:p w:rsidR="007811C1" w:rsidRPr="007811C1" w:rsidRDefault="007811C1" w:rsidP="007811C1">
      <w:pPr>
        <w:spacing w:after="0"/>
        <w:jc w:val="both"/>
        <w:rPr>
          <w:rFonts w:ascii="Arial" w:hAnsi="Arial" w:cs="Arial"/>
        </w:rPr>
      </w:pPr>
      <w:r w:rsidRPr="007811C1">
        <w:rPr>
          <w:rFonts w:ascii="Arial" w:hAnsi="Arial" w:cs="Arial"/>
        </w:rPr>
        <w:t>Minister właściwy do spraw informatyzacji będz</w:t>
      </w:r>
      <w:r>
        <w:rPr>
          <w:rFonts w:ascii="Arial" w:hAnsi="Arial" w:cs="Arial"/>
        </w:rPr>
        <w:t xml:space="preserve">ie obowiązany udostępnić usługę </w:t>
      </w:r>
      <w:r w:rsidRPr="007811C1">
        <w:rPr>
          <w:rFonts w:ascii="Arial" w:hAnsi="Arial" w:cs="Arial"/>
        </w:rPr>
        <w:t xml:space="preserve">sieciową umożliwiającą przekazanie przez operatora </w:t>
      </w:r>
      <w:r>
        <w:rPr>
          <w:rFonts w:ascii="Arial" w:hAnsi="Arial" w:cs="Arial"/>
        </w:rPr>
        <w:t xml:space="preserve">wyznaczonego niezbędnych danych </w:t>
      </w:r>
      <w:r w:rsidRPr="007811C1">
        <w:rPr>
          <w:rFonts w:ascii="Arial" w:hAnsi="Arial" w:cs="Arial"/>
        </w:rPr>
        <w:t>za pomocą bezpośredniej wymiany danych między system</w:t>
      </w:r>
      <w:r>
        <w:rPr>
          <w:rFonts w:ascii="Arial" w:hAnsi="Arial" w:cs="Arial"/>
        </w:rPr>
        <w:t xml:space="preserve">em teleinformatycznym operatora </w:t>
      </w:r>
      <w:r w:rsidRPr="007811C1">
        <w:rPr>
          <w:rFonts w:ascii="Arial" w:hAnsi="Arial" w:cs="Arial"/>
        </w:rPr>
        <w:t>wyznaczonego a bazą adresów elektronicznych.</w:t>
      </w:r>
    </w:p>
    <w:p w:rsidR="007811C1" w:rsidRPr="007811C1" w:rsidRDefault="007811C1" w:rsidP="007811C1">
      <w:pPr>
        <w:spacing w:after="0"/>
        <w:jc w:val="both"/>
        <w:rPr>
          <w:rFonts w:ascii="Arial" w:hAnsi="Arial" w:cs="Arial"/>
        </w:rPr>
      </w:pPr>
      <w:r w:rsidRPr="007811C1">
        <w:rPr>
          <w:rFonts w:ascii="Arial" w:hAnsi="Arial" w:cs="Arial"/>
        </w:rPr>
        <w:t xml:space="preserve">Rozszerzono katalog podmiotów publicznych w </w:t>
      </w:r>
      <w:r>
        <w:rPr>
          <w:rFonts w:ascii="Arial" w:hAnsi="Arial" w:cs="Arial"/>
        </w:rPr>
        <w:t xml:space="preserve">rozumieniu nowelizowanej ustawy </w:t>
      </w:r>
      <w:r w:rsidRPr="007811C1">
        <w:rPr>
          <w:rFonts w:ascii="Arial" w:hAnsi="Arial" w:cs="Arial"/>
        </w:rPr>
        <w:t>o uczelnie niepubliczne oraz federacje podmiotów system</w:t>
      </w:r>
      <w:r>
        <w:rPr>
          <w:rFonts w:ascii="Arial" w:hAnsi="Arial" w:cs="Arial"/>
        </w:rPr>
        <w:t xml:space="preserve">u szkolnictwa wyższego i nauki. </w:t>
      </w:r>
      <w:r w:rsidRPr="007811C1">
        <w:rPr>
          <w:rFonts w:ascii="Arial" w:hAnsi="Arial" w:cs="Arial"/>
        </w:rPr>
        <w:t>Tym samym podmioty te wykonując zadania publiczne będą obowiązane stos</w:t>
      </w:r>
      <w:r>
        <w:rPr>
          <w:rFonts w:ascii="Arial" w:hAnsi="Arial" w:cs="Arial"/>
        </w:rPr>
        <w:t xml:space="preserve">ować przepisy </w:t>
      </w:r>
      <w:r w:rsidRPr="007811C1">
        <w:rPr>
          <w:rFonts w:ascii="Arial" w:hAnsi="Arial" w:cs="Arial"/>
        </w:rPr>
        <w:t>dotyczące doręczania korespondencji z wykorzystaniem p</w:t>
      </w:r>
      <w:r>
        <w:rPr>
          <w:rFonts w:ascii="Arial" w:hAnsi="Arial" w:cs="Arial"/>
        </w:rPr>
        <w:t xml:space="preserve">ublicznej usługi rejestrowanego </w:t>
      </w:r>
      <w:r w:rsidRPr="007811C1">
        <w:rPr>
          <w:rFonts w:ascii="Arial" w:hAnsi="Arial" w:cs="Arial"/>
        </w:rPr>
        <w:t>doręczenia elektronicznego lub publicznej usługi hybrydowej.</w:t>
      </w:r>
    </w:p>
    <w:p w:rsidR="007811C1" w:rsidRPr="007811C1" w:rsidRDefault="007811C1" w:rsidP="007811C1">
      <w:pPr>
        <w:spacing w:after="0"/>
        <w:jc w:val="both"/>
        <w:rPr>
          <w:rFonts w:ascii="Arial" w:hAnsi="Arial" w:cs="Arial"/>
        </w:rPr>
      </w:pPr>
      <w:r w:rsidRPr="007811C1">
        <w:rPr>
          <w:rFonts w:ascii="Arial" w:hAnsi="Arial" w:cs="Arial"/>
        </w:rPr>
        <w:t>Dodano także przepis przewidujący bezte</w:t>
      </w:r>
      <w:r>
        <w:rPr>
          <w:rFonts w:ascii="Arial" w:hAnsi="Arial" w:cs="Arial"/>
        </w:rPr>
        <w:t xml:space="preserve">rminowy wpis adresu do doręczeń </w:t>
      </w:r>
      <w:r w:rsidRPr="007811C1">
        <w:rPr>
          <w:rFonts w:ascii="Arial" w:hAnsi="Arial" w:cs="Arial"/>
        </w:rPr>
        <w:t>elektronicznych do bazy adresów elektronicznych. (osob</w:t>
      </w:r>
      <w:r>
        <w:rPr>
          <w:rFonts w:ascii="Arial" w:hAnsi="Arial" w:cs="Arial"/>
        </w:rPr>
        <w:t xml:space="preserve">y fizyczne w każdym czasie mogą </w:t>
      </w:r>
      <w:r w:rsidRPr="007811C1">
        <w:rPr>
          <w:rFonts w:ascii="Arial" w:hAnsi="Arial" w:cs="Arial"/>
        </w:rPr>
        <w:t>zrezygnować z adresu do doręczeń elektronicznych).</w:t>
      </w:r>
    </w:p>
    <w:p w:rsidR="007811C1" w:rsidRPr="007811C1" w:rsidRDefault="007811C1" w:rsidP="007811C1">
      <w:pPr>
        <w:spacing w:after="0"/>
        <w:jc w:val="both"/>
        <w:rPr>
          <w:rFonts w:ascii="Arial" w:hAnsi="Arial" w:cs="Arial"/>
        </w:rPr>
      </w:pPr>
      <w:r w:rsidRPr="007811C1">
        <w:rPr>
          <w:rFonts w:ascii="Arial" w:hAnsi="Arial" w:cs="Arial"/>
        </w:rPr>
        <w:t>W przypadku świadczenia przez operatora wyzn</w:t>
      </w:r>
      <w:r>
        <w:rPr>
          <w:rFonts w:ascii="Arial" w:hAnsi="Arial" w:cs="Arial"/>
        </w:rPr>
        <w:t xml:space="preserve">aczonego odpłatnych dodatkowych </w:t>
      </w:r>
      <w:r w:rsidRPr="007811C1">
        <w:rPr>
          <w:rFonts w:ascii="Arial" w:hAnsi="Arial" w:cs="Arial"/>
        </w:rPr>
        <w:t>usług powiązanych ze świadczeniem publicznej u</w:t>
      </w:r>
      <w:r>
        <w:rPr>
          <w:rFonts w:ascii="Arial" w:hAnsi="Arial" w:cs="Arial"/>
        </w:rPr>
        <w:t xml:space="preserve">sługi rejestrowanego doręczenia </w:t>
      </w:r>
      <w:r w:rsidRPr="007811C1">
        <w:rPr>
          <w:rFonts w:ascii="Arial" w:hAnsi="Arial" w:cs="Arial"/>
        </w:rPr>
        <w:t xml:space="preserve">elektronicznego lub publicznej usługi hybrydowej w </w:t>
      </w:r>
      <w:r>
        <w:rPr>
          <w:rFonts w:ascii="Arial" w:hAnsi="Arial" w:cs="Arial"/>
        </w:rPr>
        <w:t xml:space="preserve">zakresie wymiany korespondencji </w:t>
      </w:r>
      <w:r w:rsidRPr="007811C1">
        <w:rPr>
          <w:rFonts w:ascii="Arial" w:hAnsi="Arial" w:cs="Arial"/>
        </w:rPr>
        <w:t>między osobami fizycznymi lub podmiotami niebędącymi p</w:t>
      </w:r>
      <w:r>
        <w:rPr>
          <w:rFonts w:ascii="Arial" w:hAnsi="Arial" w:cs="Arial"/>
        </w:rPr>
        <w:t xml:space="preserve">odmiotami publicznymi, operator </w:t>
      </w:r>
      <w:r w:rsidRPr="007811C1">
        <w:rPr>
          <w:rFonts w:ascii="Arial" w:hAnsi="Arial" w:cs="Arial"/>
        </w:rPr>
        <w:t>ten będzie obowiązany przekazać informacje o korzyst</w:t>
      </w:r>
      <w:r>
        <w:rPr>
          <w:rFonts w:ascii="Arial" w:hAnsi="Arial" w:cs="Arial"/>
        </w:rPr>
        <w:t xml:space="preserve">aniu z tych usług ministrowi </w:t>
      </w:r>
      <w:r w:rsidRPr="007811C1">
        <w:rPr>
          <w:rFonts w:ascii="Arial" w:hAnsi="Arial" w:cs="Arial"/>
        </w:rPr>
        <w:t>właściwemu do spraw informatyzacji za pośrednictw</w:t>
      </w:r>
      <w:r>
        <w:rPr>
          <w:rFonts w:ascii="Arial" w:hAnsi="Arial" w:cs="Arial"/>
        </w:rPr>
        <w:t xml:space="preserve">em systemu teleinformatycznego. </w:t>
      </w:r>
      <w:r w:rsidRPr="007811C1">
        <w:rPr>
          <w:rFonts w:ascii="Arial" w:hAnsi="Arial" w:cs="Arial"/>
        </w:rPr>
        <w:t>Informacje te będą przetwarzane w bazie adresów elektron</w:t>
      </w:r>
      <w:r>
        <w:rPr>
          <w:rFonts w:ascii="Arial" w:hAnsi="Arial" w:cs="Arial"/>
        </w:rPr>
        <w:t xml:space="preserve">icznych i będzie można je w tej </w:t>
      </w:r>
      <w:r w:rsidRPr="007811C1">
        <w:rPr>
          <w:rFonts w:ascii="Arial" w:hAnsi="Arial" w:cs="Arial"/>
        </w:rPr>
        <w:t>bazie wyszukać.</w:t>
      </w:r>
    </w:p>
    <w:p w:rsidR="007811C1" w:rsidRPr="007811C1" w:rsidRDefault="007811C1" w:rsidP="007811C1">
      <w:pPr>
        <w:spacing w:after="0"/>
        <w:jc w:val="both"/>
        <w:rPr>
          <w:rFonts w:ascii="Arial" w:hAnsi="Arial" w:cs="Arial"/>
        </w:rPr>
      </w:pPr>
      <w:r w:rsidRPr="007811C1">
        <w:rPr>
          <w:rFonts w:ascii="Arial" w:hAnsi="Arial" w:cs="Arial"/>
        </w:rPr>
        <w:t>Agencja Bezpieczeństwa Wewnętrznego, Agenc</w:t>
      </w:r>
      <w:r>
        <w:rPr>
          <w:rFonts w:ascii="Arial" w:hAnsi="Arial" w:cs="Arial"/>
        </w:rPr>
        <w:t xml:space="preserve">ja Wywiadu, Służba Kontrwywiadu </w:t>
      </w:r>
      <w:r w:rsidRPr="007811C1">
        <w:rPr>
          <w:rFonts w:ascii="Arial" w:hAnsi="Arial" w:cs="Arial"/>
        </w:rPr>
        <w:t>Wojskowego, Służba Wywiadu Wojskowego,</w:t>
      </w:r>
      <w:r>
        <w:rPr>
          <w:rFonts w:ascii="Arial" w:hAnsi="Arial" w:cs="Arial"/>
        </w:rPr>
        <w:t xml:space="preserve"> Centralne Biuro Antykorupcyjne </w:t>
      </w:r>
      <w:r w:rsidRPr="007811C1">
        <w:rPr>
          <w:rFonts w:ascii="Arial" w:hAnsi="Arial" w:cs="Arial"/>
        </w:rPr>
        <w:t>i Ministerstwo Obrony Narodowej - podmioty te będą obow</w:t>
      </w:r>
      <w:r>
        <w:rPr>
          <w:rFonts w:ascii="Arial" w:hAnsi="Arial" w:cs="Arial"/>
        </w:rPr>
        <w:t xml:space="preserve">iązane stosować przepisy ustawy </w:t>
      </w:r>
      <w:r w:rsidRPr="007811C1">
        <w:rPr>
          <w:rFonts w:ascii="Arial" w:hAnsi="Arial" w:cs="Arial"/>
        </w:rPr>
        <w:t>w zakresie doręczania korespondencji z wykorzystaniem publicznej us</w:t>
      </w:r>
      <w:r>
        <w:rPr>
          <w:rFonts w:ascii="Arial" w:hAnsi="Arial" w:cs="Arial"/>
        </w:rPr>
        <w:t xml:space="preserve">ługi rejestrowanego </w:t>
      </w:r>
      <w:r w:rsidRPr="007811C1">
        <w:rPr>
          <w:rFonts w:ascii="Arial" w:hAnsi="Arial" w:cs="Arial"/>
        </w:rPr>
        <w:t>doręczenia elektronicznego lub publicznej usługi hybrydowej od dnia 31 grudnia 2026 r.</w:t>
      </w:r>
    </w:p>
    <w:p w:rsidR="007811C1" w:rsidRDefault="007811C1" w:rsidP="007811C1">
      <w:pPr>
        <w:spacing w:after="0"/>
        <w:jc w:val="both"/>
        <w:rPr>
          <w:rFonts w:ascii="Arial" w:hAnsi="Arial" w:cs="Arial"/>
        </w:rPr>
      </w:pPr>
    </w:p>
    <w:p w:rsidR="00206C53" w:rsidRPr="00206C53" w:rsidRDefault="007811C1" w:rsidP="007811C1">
      <w:pPr>
        <w:spacing w:after="0"/>
        <w:jc w:val="both"/>
        <w:rPr>
          <w:rFonts w:ascii="Arial" w:hAnsi="Arial" w:cs="Arial"/>
        </w:rPr>
      </w:pPr>
      <w:r w:rsidRPr="007811C1">
        <w:rPr>
          <w:rFonts w:ascii="Arial" w:hAnsi="Arial" w:cs="Arial"/>
        </w:rPr>
        <w:t>Ustawa wejdzie w życie z dniem 1 stycznia 2025 r</w:t>
      </w:r>
      <w:r>
        <w:rPr>
          <w:rFonts w:ascii="Arial" w:hAnsi="Arial" w:cs="Arial"/>
        </w:rPr>
        <w:t xml:space="preserve">oku, z wyjątkiem zmian dotyczących </w:t>
      </w:r>
      <w:r w:rsidRPr="007811C1">
        <w:rPr>
          <w:rFonts w:ascii="Arial" w:hAnsi="Arial" w:cs="Arial"/>
        </w:rPr>
        <w:t>tworzenia adresu do doręczeń elektronicznych w oparciu o dane otrzym</w:t>
      </w:r>
      <w:r>
        <w:rPr>
          <w:rFonts w:ascii="Arial" w:hAnsi="Arial" w:cs="Arial"/>
        </w:rPr>
        <w:t xml:space="preserve">ane od operatora </w:t>
      </w:r>
      <w:r w:rsidRPr="007811C1">
        <w:rPr>
          <w:rFonts w:ascii="Arial" w:hAnsi="Arial" w:cs="Arial"/>
        </w:rPr>
        <w:t>wyznaczonego, które wejdą w życie z dniem 1 czerwca 2025</w:t>
      </w:r>
      <w:r>
        <w:rPr>
          <w:rFonts w:ascii="Arial" w:hAnsi="Arial" w:cs="Arial"/>
        </w:rPr>
        <w:t xml:space="preserve"> roku, oraz zmian wprowadzających </w:t>
      </w:r>
      <w:r w:rsidRPr="007811C1">
        <w:rPr>
          <w:rFonts w:ascii="Arial" w:hAnsi="Arial" w:cs="Arial"/>
        </w:rPr>
        <w:t>bezterminowość adresu do doręczeń elektronicznych, któr</w:t>
      </w:r>
      <w:r>
        <w:rPr>
          <w:rFonts w:ascii="Arial" w:hAnsi="Arial" w:cs="Arial"/>
        </w:rPr>
        <w:t>e wejdą w życie z dniem 1 marca 2025 roku.</w:t>
      </w:r>
    </w:p>
    <w:p w:rsidR="00206C53" w:rsidRPr="00206C53" w:rsidRDefault="00206C53" w:rsidP="00206C53">
      <w:pPr>
        <w:spacing w:after="0"/>
        <w:jc w:val="both"/>
        <w:rPr>
          <w:rFonts w:ascii="Arial" w:hAnsi="Arial" w:cs="Arial"/>
        </w:rPr>
      </w:pPr>
    </w:p>
    <w:p w:rsidR="00206C53" w:rsidRDefault="007811C1" w:rsidP="007811C1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u w:val="single"/>
        </w:rPr>
      </w:pPr>
      <w:r w:rsidRPr="007811C1">
        <w:rPr>
          <w:rFonts w:ascii="Arial" w:hAnsi="Arial" w:cs="Arial"/>
          <w:u w:val="single"/>
        </w:rPr>
        <w:t>Ustawa z dnia 27 listopada 2024 r. o zmianie ustawy o odnawialnych źródłach energii oraz niektórych innych ustaw</w:t>
      </w:r>
    </w:p>
    <w:p w:rsidR="007811C1" w:rsidRPr="007811C1" w:rsidRDefault="007811C1" w:rsidP="007811C1">
      <w:pPr>
        <w:spacing w:after="0"/>
        <w:jc w:val="both"/>
        <w:rPr>
          <w:rFonts w:ascii="Arial" w:hAnsi="Arial" w:cs="Arial"/>
        </w:rPr>
      </w:pPr>
    </w:p>
    <w:p w:rsidR="007811C1" w:rsidRPr="007811C1" w:rsidRDefault="00DB5F1C" w:rsidP="007811C1">
      <w:p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t>Powyższy a</w:t>
      </w:r>
      <w:r>
        <w:rPr>
          <w:rFonts w:ascii="Arial" w:hAnsi="Arial" w:cs="Arial"/>
        </w:rPr>
        <w:t>kt prawny opublikowany został 13</w:t>
      </w:r>
      <w:r w:rsidRPr="00DB5F1C">
        <w:rPr>
          <w:rFonts w:ascii="Arial" w:hAnsi="Arial" w:cs="Arial"/>
        </w:rPr>
        <w:t xml:space="preserve"> grudnia 2024 roku w Dziennik</w:t>
      </w:r>
      <w:r>
        <w:rPr>
          <w:rFonts w:ascii="Arial" w:hAnsi="Arial" w:cs="Arial"/>
        </w:rPr>
        <w:t>u Ustaw (Dz.U. z 2024, poz. 1847</w:t>
      </w:r>
      <w:r w:rsidRPr="00DB5F1C">
        <w:rPr>
          <w:rFonts w:ascii="Arial" w:hAnsi="Arial" w:cs="Arial"/>
        </w:rPr>
        <w:t>).</w:t>
      </w:r>
    </w:p>
    <w:p w:rsidR="007811C1" w:rsidRDefault="007811C1" w:rsidP="007811C1">
      <w:pPr>
        <w:spacing w:after="0"/>
        <w:jc w:val="both"/>
        <w:rPr>
          <w:rFonts w:ascii="Arial" w:hAnsi="Arial" w:cs="Arial"/>
        </w:rPr>
      </w:pPr>
    </w:p>
    <w:p w:rsidR="00DB5F1C" w:rsidRPr="00DB5F1C" w:rsidRDefault="00DB5F1C" w:rsidP="00DB5F1C">
      <w:p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t xml:space="preserve">Celem ustawy jest rozwój energetyki </w:t>
      </w:r>
      <w:proofErr w:type="spellStart"/>
      <w:r w:rsidRPr="00DB5F1C">
        <w:rPr>
          <w:rFonts w:ascii="Arial" w:hAnsi="Arial" w:cs="Arial"/>
        </w:rPr>
        <w:t>prosumenck</w:t>
      </w:r>
      <w:r>
        <w:rPr>
          <w:rFonts w:ascii="Arial" w:hAnsi="Arial" w:cs="Arial"/>
        </w:rPr>
        <w:t>iej</w:t>
      </w:r>
      <w:proofErr w:type="spellEnd"/>
      <w:r>
        <w:rPr>
          <w:rFonts w:ascii="Arial" w:hAnsi="Arial" w:cs="Arial"/>
        </w:rPr>
        <w:t xml:space="preserve"> oraz dostosowanie przepisów </w:t>
      </w:r>
      <w:r w:rsidRPr="00DB5F1C">
        <w:rPr>
          <w:rFonts w:ascii="Arial" w:hAnsi="Arial" w:cs="Arial"/>
        </w:rPr>
        <w:t>krajowych do rozporządzeń i wytycznych Komisji Europejskie</w:t>
      </w:r>
      <w:r>
        <w:rPr>
          <w:rFonts w:ascii="Arial" w:hAnsi="Arial" w:cs="Arial"/>
        </w:rPr>
        <w:t xml:space="preserve">j, które odnoszą się do zakresu </w:t>
      </w:r>
      <w:r w:rsidRPr="00DB5F1C">
        <w:rPr>
          <w:rFonts w:ascii="Arial" w:hAnsi="Arial" w:cs="Arial"/>
        </w:rPr>
        <w:t>udzielanej pomocy publicznej w systemach wsparcia Odn</w:t>
      </w:r>
      <w:r>
        <w:rPr>
          <w:rFonts w:ascii="Arial" w:hAnsi="Arial" w:cs="Arial"/>
        </w:rPr>
        <w:t xml:space="preserve">awialnych źródeł Energii (OZE), </w:t>
      </w:r>
      <w:r w:rsidRPr="00DB5F1C">
        <w:rPr>
          <w:rFonts w:ascii="Arial" w:hAnsi="Arial" w:cs="Arial"/>
        </w:rPr>
        <w:t>kogeneracji oraz ulg dla odbiorców energochłonnych.</w:t>
      </w:r>
    </w:p>
    <w:p w:rsidR="00DB5F1C" w:rsidRPr="00DB5F1C" w:rsidRDefault="00DB5F1C" w:rsidP="00DB5F1C">
      <w:p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t>Podstawowym celem ustawy jest zatem dostosowanie r</w:t>
      </w:r>
      <w:r>
        <w:rPr>
          <w:rFonts w:ascii="Arial" w:hAnsi="Arial" w:cs="Arial"/>
        </w:rPr>
        <w:t xml:space="preserve">egulacji krajowych do regulacji </w:t>
      </w:r>
      <w:r w:rsidRPr="00DB5F1C">
        <w:rPr>
          <w:rFonts w:ascii="Arial" w:hAnsi="Arial" w:cs="Arial"/>
        </w:rPr>
        <w:t>i wytycznych unijnych, przede wszystkim w zakresie</w:t>
      </w:r>
      <w:r>
        <w:rPr>
          <w:rFonts w:ascii="Arial" w:hAnsi="Arial" w:cs="Arial"/>
        </w:rPr>
        <w:t xml:space="preserve"> udzielanej pomocy publicznej w </w:t>
      </w:r>
      <w:r w:rsidRPr="00DB5F1C">
        <w:rPr>
          <w:rFonts w:ascii="Arial" w:hAnsi="Arial" w:cs="Arial"/>
        </w:rPr>
        <w:t>systemach wsparcia OZE, tj.:</w:t>
      </w:r>
    </w:p>
    <w:p w:rsidR="00DB5F1C" w:rsidRPr="00DB5F1C" w:rsidRDefault="00DB5F1C" w:rsidP="00DB5F1C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lastRenderedPageBreak/>
        <w:t>komunikatu Komisji – Wytyczne w sprawie po</w:t>
      </w:r>
      <w:r w:rsidRPr="00DB5F1C">
        <w:rPr>
          <w:rFonts w:ascii="Arial" w:hAnsi="Arial" w:cs="Arial"/>
        </w:rPr>
        <w:t xml:space="preserve">mocy państwa na ochronę klimatu </w:t>
      </w:r>
      <w:r w:rsidRPr="00DB5F1C">
        <w:rPr>
          <w:rFonts w:ascii="Arial" w:hAnsi="Arial" w:cs="Arial"/>
        </w:rPr>
        <w:t>i środowiska oraz cele związane z energią z 2022 r. (Dz. Urz. UE C 80 z 18.02.2022, str. 1–89), zwanym dalej „Wytyczne CEEAG” lub „CEEAG”;</w:t>
      </w:r>
    </w:p>
    <w:p w:rsidR="00DB5F1C" w:rsidRPr="00DB5F1C" w:rsidRDefault="00DB5F1C" w:rsidP="00DB5F1C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t>rozporządzenia Komisji (UE) nr 651/2014 uznają</w:t>
      </w:r>
      <w:r w:rsidRPr="00DB5F1C">
        <w:rPr>
          <w:rFonts w:ascii="Arial" w:hAnsi="Arial" w:cs="Arial"/>
        </w:rPr>
        <w:t xml:space="preserve">cego niektóre rodzaje pomocy za zgodne </w:t>
      </w:r>
      <w:r w:rsidRPr="00DB5F1C">
        <w:rPr>
          <w:rFonts w:ascii="Arial" w:hAnsi="Arial" w:cs="Arial"/>
        </w:rPr>
        <w:t xml:space="preserve">z rynkiem wewnętrznym w zastosowaniu art. 107 i </w:t>
      </w:r>
      <w:r w:rsidRPr="00DB5F1C">
        <w:rPr>
          <w:rFonts w:ascii="Arial" w:hAnsi="Arial" w:cs="Arial"/>
        </w:rPr>
        <w:t xml:space="preserve">108 Traktatu (Dz. Urz. UE L 187 </w:t>
      </w:r>
      <w:r w:rsidRPr="00DB5F1C">
        <w:rPr>
          <w:rFonts w:ascii="Arial" w:hAnsi="Arial" w:cs="Arial"/>
        </w:rPr>
        <w:t xml:space="preserve">z 26.06.2014, str. 1, z </w:t>
      </w:r>
      <w:proofErr w:type="spellStart"/>
      <w:r w:rsidRPr="00DB5F1C">
        <w:rPr>
          <w:rFonts w:ascii="Arial" w:hAnsi="Arial" w:cs="Arial"/>
        </w:rPr>
        <w:t>późn</w:t>
      </w:r>
      <w:proofErr w:type="spellEnd"/>
      <w:r w:rsidRPr="00DB5F1C">
        <w:rPr>
          <w:rFonts w:ascii="Arial" w:hAnsi="Arial" w:cs="Arial"/>
        </w:rPr>
        <w:t>. zm.), zwanego dalej „rozporządzeniem GBER”;</w:t>
      </w:r>
    </w:p>
    <w:p w:rsidR="00DB5F1C" w:rsidRPr="00DB5F1C" w:rsidRDefault="00DB5F1C" w:rsidP="00DB5F1C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t>rozporządzenia Parlamentu Europejskiego i Rady</w:t>
      </w:r>
      <w:r w:rsidRPr="00DB5F1C">
        <w:rPr>
          <w:rFonts w:ascii="Arial" w:hAnsi="Arial" w:cs="Arial"/>
        </w:rPr>
        <w:t xml:space="preserve"> (UE) 2019/943 z dnia 5 czerwca </w:t>
      </w:r>
      <w:r w:rsidRPr="00DB5F1C">
        <w:rPr>
          <w:rFonts w:ascii="Arial" w:hAnsi="Arial" w:cs="Arial"/>
        </w:rPr>
        <w:t>2019 r. w sprawie rynku wewnętrznego energii el</w:t>
      </w:r>
      <w:r w:rsidRPr="00DB5F1C">
        <w:rPr>
          <w:rFonts w:ascii="Arial" w:hAnsi="Arial" w:cs="Arial"/>
        </w:rPr>
        <w:t xml:space="preserve">ektrycznej (Dz. Urz. UE L 158 z </w:t>
      </w:r>
      <w:r w:rsidRPr="00DB5F1C">
        <w:rPr>
          <w:rFonts w:ascii="Arial" w:hAnsi="Arial" w:cs="Arial"/>
        </w:rPr>
        <w:t>14.06.2019, str. 54–124), zwanego dalej „rozporządzeniem rynkowym”.</w:t>
      </w:r>
    </w:p>
    <w:p w:rsidR="00DB5F1C" w:rsidRPr="00DB5F1C" w:rsidRDefault="00DB5F1C" w:rsidP="00DB5F1C">
      <w:p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t>W ramach CEEAG zaktualizowana została list</w:t>
      </w:r>
      <w:r>
        <w:rPr>
          <w:rFonts w:ascii="Arial" w:hAnsi="Arial" w:cs="Arial"/>
        </w:rPr>
        <w:t xml:space="preserve">a sektorów, którym może być </w:t>
      </w:r>
      <w:r w:rsidRPr="00DB5F1C">
        <w:rPr>
          <w:rFonts w:ascii="Arial" w:hAnsi="Arial" w:cs="Arial"/>
        </w:rPr>
        <w:t>przyznawana pomoc w postaci ulg. Została ona podzielona na dwie grupy przedsiębiorstw:</w:t>
      </w:r>
    </w:p>
    <w:p w:rsidR="00DB5F1C" w:rsidRPr="00F546AB" w:rsidRDefault="00DB5F1C" w:rsidP="00F546A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546AB">
        <w:rPr>
          <w:rFonts w:ascii="Arial" w:hAnsi="Arial" w:cs="Arial"/>
        </w:rPr>
        <w:t xml:space="preserve">sektory narażone na szczególne ryzyko, </w:t>
      </w:r>
      <w:r w:rsidRPr="00F546AB">
        <w:rPr>
          <w:rFonts w:ascii="Arial" w:hAnsi="Arial" w:cs="Arial"/>
        </w:rPr>
        <w:t xml:space="preserve">w przypadku których iloczyn ich </w:t>
      </w:r>
      <w:r w:rsidRPr="00F546AB">
        <w:rPr>
          <w:rFonts w:ascii="Arial" w:hAnsi="Arial" w:cs="Arial"/>
        </w:rPr>
        <w:t xml:space="preserve">intensywności handlu i </w:t>
      </w:r>
      <w:proofErr w:type="spellStart"/>
      <w:r w:rsidRPr="00F546AB">
        <w:rPr>
          <w:rFonts w:ascii="Arial" w:hAnsi="Arial" w:cs="Arial"/>
        </w:rPr>
        <w:t>elektrochłonności</w:t>
      </w:r>
      <w:proofErr w:type="spellEnd"/>
      <w:r w:rsidRPr="00F546AB">
        <w:rPr>
          <w:rFonts w:ascii="Arial" w:hAnsi="Arial" w:cs="Arial"/>
        </w:rPr>
        <w:t xml:space="preserve"> na poziomie UE wynosi co n</w:t>
      </w:r>
      <w:r w:rsidRPr="00F546AB">
        <w:rPr>
          <w:rFonts w:ascii="Arial" w:hAnsi="Arial" w:cs="Arial"/>
        </w:rPr>
        <w:t xml:space="preserve">ajmniej 2% i których </w:t>
      </w:r>
      <w:r w:rsidRPr="00F546AB">
        <w:rPr>
          <w:rFonts w:ascii="Arial" w:hAnsi="Arial" w:cs="Arial"/>
        </w:rPr>
        <w:t xml:space="preserve">intensywność handlu i </w:t>
      </w:r>
      <w:proofErr w:type="spellStart"/>
      <w:r w:rsidRPr="00F546AB">
        <w:rPr>
          <w:rFonts w:ascii="Arial" w:hAnsi="Arial" w:cs="Arial"/>
        </w:rPr>
        <w:t>elektrochłonność</w:t>
      </w:r>
      <w:proofErr w:type="spellEnd"/>
      <w:r w:rsidRPr="00F546AB">
        <w:rPr>
          <w:rFonts w:ascii="Arial" w:hAnsi="Arial" w:cs="Arial"/>
        </w:rPr>
        <w:t xml:space="preserve"> na poziomie</w:t>
      </w:r>
      <w:r w:rsidRPr="00F546AB">
        <w:rPr>
          <w:rFonts w:ascii="Arial" w:hAnsi="Arial" w:cs="Arial"/>
        </w:rPr>
        <w:t xml:space="preserve"> Unii wynosi co najmniej 5% dla </w:t>
      </w:r>
      <w:r w:rsidRPr="00F546AB">
        <w:rPr>
          <w:rFonts w:ascii="Arial" w:hAnsi="Arial" w:cs="Arial"/>
        </w:rPr>
        <w:t>każdego wskaźnika;</w:t>
      </w:r>
    </w:p>
    <w:p w:rsidR="00DB5F1C" w:rsidRPr="00F546AB" w:rsidRDefault="00DB5F1C" w:rsidP="00F546A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546AB">
        <w:rPr>
          <w:rFonts w:ascii="Arial" w:hAnsi="Arial" w:cs="Arial"/>
        </w:rPr>
        <w:t>sektory narażone na ryzyko, w przypadku których i</w:t>
      </w:r>
      <w:r w:rsidR="00F546AB" w:rsidRPr="00F546AB">
        <w:rPr>
          <w:rFonts w:ascii="Arial" w:hAnsi="Arial" w:cs="Arial"/>
        </w:rPr>
        <w:t xml:space="preserve">loczyn ich intensywności handlu </w:t>
      </w:r>
      <w:r w:rsidRPr="00F546AB">
        <w:rPr>
          <w:rFonts w:ascii="Arial" w:hAnsi="Arial" w:cs="Arial"/>
        </w:rPr>
        <w:t xml:space="preserve">i </w:t>
      </w:r>
      <w:proofErr w:type="spellStart"/>
      <w:r w:rsidRPr="00F546AB">
        <w:rPr>
          <w:rFonts w:ascii="Arial" w:hAnsi="Arial" w:cs="Arial"/>
        </w:rPr>
        <w:t>elektrochłonności</w:t>
      </w:r>
      <w:proofErr w:type="spellEnd"/>
      <w:r w:rsidRPr="00F546AB">
        <w:rPr>
          <w:rFonts w:ascii="Arial" w:hAnsi="Arial" w:cs="Arial"/>
        </w:rPr>
        <w:t xml:space="preserve"> na poziomie UE wynosi co najmniej 0,6</w:t>
      </w:r>
      <w:r w:rsidR="00F546AB" w:rsidRPr="00F546AB">
        <w:rPr>
          <w:rFonts w:ascii="Arial" w:hAnsi="Arial" w:cs="Arial"/>
        </w:rPr>
        <w:t xml:space="preserve">% i których intensywność handlu </w:t>
      </w:r>
      <w:r w:rsidRPr="00F546AB">
        <w:rPr>
          <w:rFonts w:ascii="Arial" w:hAnsi="Arial" w:cs="Arial"/>
        </w:rPr>
        <w:t xml:space="preserve">i </w:t>
      </w:r>
      <w:proofErr w:type="spellStart"/>
      <w:r w:rsidRPr="00F546AB">
        <w:rPr>
          <w:rFonts w:ascii="Arial" w:hAnsi="Arial" w:cs="Arial"/>
        </w:rPr>
        <w:t>elektrochłonność</w:t>
      </w:r>
      <w:proofErr w:type="spellEnd"/>
      <w:r w:rsidRPr="00F546AB">
        <w:rPr>
          <w:rFonts w:ascii="Arial" w:hAnsi="Arial" w:cs="Arial"/>
        </w:rPr>
        <w:t xml:space="preserve"> na poziomie UE wynosi odpowiednio co najmniej 4% i 5%.</w:t>
      </w:r>
    </w:p>
    <w:p w:rsidR="00DB5F1C" w:rsidRPr="00DB5F1C" w:rsidRDefault="00DB5F1C" w:rsidP="00DB5F1C">
      <w:p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t>W ustawie dostosowaniu uległa lista sektor</w:t>
      </w:r>
      <w:r w:rsidR="00F546AB">
        <w:rPr>
          <w:rFonts w:ascii="Arial" w:hAnsi="Arial" w:cs="Arial"/>
        </w:rPr>
        <w:t xml:space="preserve">ów w oparciu o kody PKD, którym </w:t>
      </w:r>
      <w:r w:rsidRPr="00DB5F1C">
        <w:rPr>
          <w:rFonts w:ascii="Arial" w:hAnsi="Arial" w:cs="Arial"/>
        </w:rPr>
        <w:t>przysługiwać mogą ulgi zgodne z rynkiem wewnętrznym UE, a także maksy</w:t>
      </w:r>
      <w:r w:rsidR="00F546AB">
        <w:rPr>
          <w:rFonts w:ascii="Arial" w:hAnsi="Arial" w:cs="Arial"/>
        </w:rPr>
        <w:t xml:space="preserve">malna wysokość </w:t>
      </w:r>
      <w:r w:rsidRPr="00DB5F1C">
        <w:rPr>
          <w:rFonts w:ascii="Arial" w:hAnsi="Arial" w:cs="Arial"/>
        </w:rPr>
        <w:t>ulg, która może zostać przyznana poszczególnym grupom sektorów.</w:t>
      </w:r>
    </w:p>
    <w:p w:rsidR="00DB5F1C" w:rsidRPr="00DB5F1C" w:rsidRDefault="00DB5F1C" w:rsidP="00DB5F1C">
      <w:p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t>Wprowadzono dwa poziomy ulg: dla przedsiębi</w:t>
      </w:r>
      <w:r w:rsidR="00F546AB">
        <w:rPr>
          <w:rFonts w:ascii="Arial" w:hAnsi="Arial" w:cs="Arial"/>
        </w:rPr>
        <w:t xml:space="preserve">orstw w sektorach narażonych na </w:t>
      </w:r>
      <w:r w:rsidRPr="00DB5F1C">
        <w:rPr>
          <w:rFonts w:ascii="Arial" w:hAnsi="Arial" w:cs="Arial"/>
        </w:rPr>
        <w:t>szczególnie ryzyko ucieczki emisji – w wysokości 85% obowiązku oraz dla przedsiębiorstw</w:t>
      </w:r>
      <w:r>
        <w:rPr>
          <w:rFonts w:ascii="Arial" w:hAnsi="Arial" w:cs="Arial"/>
        </w:rPr>
        <w:t xml:space="preserve"> </w:t>
      </w:r>
      <w:r w:rsidR="00F546AB">
        <w:rPr>
          <w:rFonts w:ascii="Arial" w:hAnsi="Arial" w:cs="Arial"/>
        </w:rPr>
        <w:t xml:space="preserve">w sektorach </w:t>
      </w:r>
      <w:r w:rsidRPr="00DB5F1C">
        <w:rPr>
          <w:rFonts w:ascii="Arial" w:hAnsi="Arial" w:cs="Arial"/>
        </w:rPr>
        <w:t>narażonych na ryzyko ucieczki emisji – na pozio</w:t>
      </w:r>
      <w:r w:rsidR="00F546AB">
        <w:rPr>
          <w:rFonts w:ascii="Arial" w:hAnsi="Arial" w:cs="Arial"/>
        </w:rPr>
        <w:t xml:space="preserve">mie 75% obowiązku </w:t>
      </w:r>
      <w:r w:rsidRPr="00DB5F1C">
        <w:rPr>
          <w:rFonts w:ascii="Arial" w:hAnsi="Arial" w:cs="Arial"/>
        </w:rPr>
        <w:t>w odniesieniu do:</w:t>
      </w:r>
    </w:p>
    <w:p w:rsidR="00DB5F1C" w:rsidRPr="00F546AB" w:rsidRDefault="00DB5F1C" w:rsidP="00F546AB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546AB">
        <w:rPr>
          <w:rFonts w:ascii="Arial" w:hAnsi="Arial" w:cs="Arial"/>
        </w:rPr>
        <w:t>obowiązku uzyskania i przedstawiania do umorzenia świadectw pochodzenia;</w:t>
      </w:r>
    </w:p>
    <w:p w:rsidR="00DB5F1C" w:rsidRPr="00F546AB" w:rsidRDefault="00DB5F1C" w:rsidP="00F546AB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546AB">
        <w:rPr>
          <w:rFonts w:ascii="Arial" w:hAnsi="Arial" w:cs="Arial"/>
        </w:rPr>
        <w:t>ilości energii elektrycznej zakupionej i zużyt</w:t>
      </w:r>
      <w:r w:rsidR="00F546AB" w:rsidRPr="00F546AB">
        <w:rPr>
          <w:rFonts w:ascii="Arial" w:hAnsi="Arial" w:cs="Arial"/>
        </w:rPr>
        <w:t xml:space="preserve">ej przez odbiorcę przemysłowego </w:t>
      </w:r>
      <w:r w:rsidRPr="00F546AB">
        <w:rPr>
          <w:rFonts w:ascii="Arial" w:hAnsi="Arial" w:cs="Arial"/>
        </w:rPr>
        <w:t>objętej opłatami OZE i opłacie kogeneracyjnej.</w:t>
      </w:r>
    </w:p>
    <w:p w:rsidR="00DB5F1C" w:rsidRPr="00DB5F1C" w:rsidRDefault="00DB5F1C" w:rsidP="00DB5F1C">
      <w:p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t>W celu zapewnienia spełnienia wymaganeg</w:t>
      </w:r>
      <w:r w:rsidR="00F546AB">
        <w:rPr>
          <w:rFonts w:ascii="Arial" w:hAnsi="Arial" w:cs="Arial"/>
        </w:rPr>
        <w:t xml:space="preserve">o wytycznymi CEAAG warunku, aby </w:t>
      </w:r>
      <w:r w:rsidRPr="00DB5F1C">
        <w:rPr>
          <w:rFonts w:ascii="Arial" w:hAnsi="Arial" w:cs="Arial"/>
        </w:rPr>
        <w:t>energia elektryczna nabywana przez odbiorcó</w:t>
      </w:r>
      <w:r w:rsidR="00F546AB">
        <w:rPr>
          <w:rFonts w:ascii="Arial" w:hAnsi="Arial" w:cs="Arial"/>
        </w:rPr>
        <w:t xml:space="preserve">w przemysłowych objęta była, po </w:t>
      </w:r>
      <w:r w:rsidRPr="00DB5F1C">
        <w:rPr>
          <w:rFonts w:ascii="Arial" w:hAnsi="Arial" w:cs="Arial"/>
        </w:rPr>
        <w:t>uwzględnieniu ulg, opłatami o łącznej wysoko</w:t>
      </w:r>
      <w:r w:rsidR="00F546AB">
        <w:rPr>
          <w:rFonts w:ascii="Arial" w:hAnsi="Arial" w:cs="Arial"/>
        </w:rPr>
        <w:t xml:space="preserve">ści nie niższej niż 0,5 EUR/MWh </w:t>
      </w:r>
      <w:r w:rsidRPr="00DB5F1C">
        <w:rPr>
          <w:rFonts w:ascii="Arial" w:hAnsi="Arial" w:cs="Arial"/>
        </w:rPr>
        <w:t xml:space="preserve">wprowadzono opłatę wyrównawczą, która </w:t>
      </w:r>
      <w:r w:rsidR="00F546AB">
        <w:rPr>
          <w:rFonts w:ascii="Arial" w:hAnsi="Arial" w:cs="Arial"/>
        </w:rPr>
        <w:t xml:space="preserve">będzie wnoszona przez odbiorców </w:t>
      </w:r>
      <w:r w:rsidRPr="00DB5F1C">
        <w:rPr>
          <w:rFonts w:ascii="Arial" w:hAnsi="Arial" w:cs="Arial"/>
        </w:rPr>
        <w:t>energochłonnych uprawnionych do ulg w przypadku g</w:t>
      </w:r>
      <w:r w:rsidR="00F546AB">
        <w:rPr>
          <w:rFonts w:ascii="Arial" w:hAnsi="Arial" w:cs="Arial"/>
        </w:rPr>
        <w:t xml:space="preserve">dy ulgi te spowodują, że łączna </w:t>
      </w:r>
      <w:r w:rsidRPr="00DB5F1C">
        <w:rPr>
          <w:rFonts w:ascii="Arial" w:hAnsi="Arial" w:cs="Arial"/>
        </w:rPr>
        <w:t>wysokość op</w:t>
      </w:r>
      <w:r w:rsidR="00F546AB">
        <w:rPr>
          <w:rFonts w:ascii="Arial" w:hAnsi="Arial" w:cs="Arial"/>
        </w:rPr>
        <w:t xml:space="preserve">łat spadnie poniżej ww. poziomu </w:t>
      </w:r>
      <w:r w:rsidRPr="00DB5F1C">
        <w:rPr>
          <w:rFonts w:ascii="Arial" w:hAnsi="Arial" w:cs="Arial"/>
        </w:rPr>
        <w:t>wynikającego z CEEAG.</w:t>
      </w:r>
    </w:p>
    <w:p w:rsidR="00DB5F1C" w:rsidRPr="00DB5F1C" w:rsidRDefault="00DB5F1C" w:rsidP="00DB5F1C">
      <w:p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t>Do ustawy o OZE zostaje także dodany tzw. mech</w:t>
      </w:r>
      <w:r w:rsidR="00F546AB">
        <w:rPr>
          <w:rFonts w:ascii="Arial" w:hAnsi="Arial" w:cs="Arial"/>
        </w:rPr>
        <w:t xml:space="preserve">anizm warunkowości. Oznacza on, </w:t>
      </w:r>
      <w:r w:rsidRPr="00DB5F1C">
        <w:rPr>
          <w:rFonts w:ascii="Arial" w:hAnsi="Arial" w:cs="Arial"/>
        </w:rPr>
        <w:t>że skorzystanie z ulg powiązane jest z obowią</w:t>
      </w:r>
      <w:r w:rsidR="00F546AB">
        <w:rPr>
          <w:rFonts w:ascii="Arial" w:hAnsi="Arial" w:cs="Arial"/>
        </w:rPr>
        <w:t xml:space="preserve">zkiem ograniczenia emisji gazów </w:t>
      </w:r>
      <w:r w:rsidRPr="00DB5F1C">
        <w:rPr>
          <w:rFonts w:ascii="Arial" w:hAnsi="Arial" w:cs="Arial"/>
        </w:rPr>
        <w:t>cieplarnianych.</w:t>
      </w:r>
      <w:r w:rsidR="00F546AB">
        <w:rPr>
          <w:rFonts w:ascii="Arial" w:hAnsi="Arial" w:cs="Arial"/>
        </w:rPr>
        <w:t xml:space="preserve"> </w:t>
      </w:r>
      <w:r w:rsidRPr="00DB5F1C">
        <w:rPr>
          <w:rFonts w:ascii="Arial" w:hAnsi="Arial" w:cs="Arial"/>
        </w:rPr>
        <w:t>Zgodnie z wprowadzanym art. 54a ust.</w:t>
      </w:r>
      <w:r w:rsidR="00F546AB">
        <w:rPr>
          <w:rFonts w:ascii="Arial" w:hAnsi="Arial" w:cs="Arial"/>
        </w:rPr>
        <w:t xml:space="preserve"> 2 ustawy o OZE można go będzie </w:t>
      </w:r>
      <w:r w:rsidRPr="00DB5F1C">
        <w:rPr>
          <w:rFonts w:ascii="Arial" w:hAnsi="Arial" w:cs="Arial"/>
        </w:rPr>
        <w:t>wypełnić:</w:t>
      </w:r>
    </w:p>
    <w:p w:rsidR="00DB5F1C" w:rsidRPr="00F546AB" w:rsidRDefault="00DB5F1C" w:rsidP="00F546A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F546AB">
        <w:rPr>
          <w:rFonts w:ascii="Arial" w:hAnsi="Arial" w:cs="Arial"/>
        </w:rPr>
        <w:t>realizując przedsięwzięcia służące poprawie efektyw</w:t>
      </w:r>
      <w:r w:rsidR="00F546AB" w:rsidRPr="00F546AB">
        <w:rPr>
          <w:rFonts w:ascii="Arial" w:hAnsi="Arial" w:cs="Arial"/>
        </w:rPr>
        <w:t xml:space="preserve">ności energetycznej dla których </w:t>
      </w:r>
      <w:r w:rsidRPr="00F546AB">
        <w:rPr>
          <w:rFonts w:ascii="Arial" w:hAnsi="Arial" w:cs="Arial"/>
        </w:rPr>
        <w:t>okres zwrotu nakładów nie przekracza 3 lat, lub</w:t>
      </w:r>
    </w:p>
    <w:p w:rsidR="00DB5F1C" w:rsidRPr="00F546AB" w:rsidRDefault="00DB5F1C" w:rsidP="00F546A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F546AB">
        <w:rPr>
          <w:rFonts w:ascii="Arial" w:hAnsi="Arial" w:cs="Arial"/>
        </w:rPr>
        <w:t xml:space="preserve">zużywając na własne potrzeby min. 30% </w:t>
      </w:r>
      <w:proofErr w:type="spellStart"/>
      <w:r w:rsidRPr="00F546AB">
        <w:rPr>
          <w:rFonts w:ascii="Arial" w:hAnsi="Arial" w:cs="Arial"/>
        </w:rPr>
        <w:t>bezemisyjnej</w:t>
      </w:r>
      <w:proofErr w:type="spellEnd"/>
      <w:r w:rsidRPr="00F546AB">
        <w:rPr>
          <w:rFonts w:ascii="Arial" w:hAnsi="Arial" w:cs="Arial"/>
        </w:rPr>
        <w:t xml:space="preserve"> energii, lub</w:t>
      </w:r>
    </w:p>
    <w:p w:rsidR="00DB5F1C" w:rsidRPr="00F546AB" w:rsidRDefault="00DB5F1C" w:rsidP="00F546A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F546AB">
        <w:rPr>
          <w:rFonts w:ascii="Arial" w:hAnsi="Arial" w:cs="Arial"/>
        </w:rPr>
        <w:t>ponosząc wydatki na ograniczenie emisji w wysokości</w:t>
      </w:r>
      <w:r w:rsidR="00F546AB" w:rsidRPr="00F546AB">
        <w:rPr>
          <w:rFonts w:ascii="Arial" w:hAnsi="Arial" w:cs="Arial"/>
        </w:rPr>
        <w:t xml:space="preserve"> nie mniejszej niż 50% wartości </w:t>
      </w:r>
      <w:r w:rsidRPr="00F546AB">
        <w:rPr>
          <w:rFonts w:ascii="Arial" w:hAnsi="Arial" w:cs="Arial"/>
        </w:rPr>
        <w:t>pomocy uzyskanej w wyniku skorzystania z uprawnień</w:t>
      </w:r>
      <w:r w:rsidR="00F546AB" w:rsidRPr="00F546AB">
        <w:rPr>
          <w:rFonts w:ascii="Arial" w:hAnsi="Arial" w:cs="Arial"/>
        </w:rPr>
        <w:t xml:space="preserve">, o których mowa w art. 53 ust. </w:t>
      </w:r>
      <w:r w:rsidRPr="00F546AB">
        <w:rPr>
          <w:rFonts w:ascii="Arial" w:hAnsi="Arial" w:cs="Arial"/>
        </w:rPr>
        <w:t xml:space="preserve">1, w art. 96 ust. 2 lub w art. 62 ust. 2 ustawy z dnia </w:t>
      </w:r>
      <w:r w:rsidR="00F546AB" w:rsidRPr="00F546AB">
        <w:rPr>
          <w:rFonts w:ascii="Arial" w:hAnsi="Arial" w:cs="Arial"/>
        </w:rPr>
        <w:t xml:space="preserve">14 grudnia 2018 r. o promowaniu </w:t>
      </w:r>
      <w:r w:rsidRPr="00F546AB">
        <w:rPr>
          <w:rFonts w:ascii="Arial" w:hAnsi="Arial" w:cs="Arial"/>
        </w:rPr>
        <w:t>energii elektrycznej z wysokosprawnej kogeneracji.</w:t>
      </w:r>
    </w:p>
    <w:p w:rsidR="00DB5F1C" w:rsidRDefault="00DB5F1C" w:rsidP="00DB5F1C">
      <w:p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t>W zakresie dostosowania przepisów ustawy o OZE do znowel</w:t>
      </w:r>
      <w:r w:rsidR="00F546AB">
        <w:rPr>
          <w:rFonts w:ascii="Arial" w:hAnsi="Arial" w:cs="Arial"/>
        </w:rPr>
        <w:t xml:space="preserve">izowanego </w:t>
      </w:r>
      <w:r w:rsidRPr="00DB5F1C">
        <w:rPr>
          <w:rFonts w:ascii="Arial" w:hAnsi="Arial" w:cs="Arial"/>
        </w:rPr>
        <w:t>rozporządzenia GBER proponuje się m. in. wprow</w:t>
      </w:r>
      <w:r w:rsidR="00F546AB">
        <w:rPr>
          <w:rFonts w:ascii="Arial" w:hAnsi="Arial" w:cs="Arial"/>
        </w:rPr>
        <w:t xml:space="preserve">adzić zmiany w ramach programów </w:t>
      </w:r>
      <w:r w:rsidRPr="00DB5F1C">
        <w:rPr>
          <w:rFonts w:ascii="Arial" w:hAnsi="Arial" w:cs="Arial"/>
        </w:rPr>
        <w:t xml:space="preserve">wsparcia </w:t>
      </w:r>
      <w:proofErr w:type="spellStart"/>
      <w:r w:rsidRPr="00DB5F1C">
        <w:rPr>
          <w:rFonts w:ascii="Arial" w:hAnsi="Arial" w:cs="Arial"/>
        </w:rPr>
        <w:t>FiT</w:t>
      </w:r>
      <w:proofErr w:type="spellEnd"/>
      <w:r w:rsidRPr="00DB5F1C">
        <w:rPr>
          <w:rFonts w:ascii="Arial" w:hAnsi="Arial" w:cs="Arial"/>
        </w:rPr>
        <w:t>/</w:t>
      </w:r>
      <w:proofErr w:type="spellStart"/>
      <w:r w:rsidRPr="00DB5F1C">
        <w:rPr>
          <w:rFonts w:ascii="Arial" w:hAnsi="Arial" w:cs="Arial"/>
        </w:rPr>
        <w:t>FiP</w:t>
      </w:r>
      <w:proofErr w:type="spellEnd"/>
      <w:r w:rsidRPr="00DB5F1C">
        <w:rPr>
          <w:rFonts w:ascii="Arial" w:hAnsi="Arial" w:cs="Arial"/>
        </w:rPr>
        <w:t xml:space="preserve"> dla wytwórców energii elektrycznej</w:t>
      </w:r>
      <w:r w:rsidR="00F546AB">
        <w:rPr>
          <w:rFonts w:ascii="Arial" w:hAnsi="Arial" w:cs="Arial"/>
        </w:rPr>
        <w:t xml:space="preserve"> w instalacjach OZE i wytwórców </w:t>
      </w:r>
      <w:proofErr w:type="spellStart"/>
      <w:r w:rsidRPr="00DB5F1C">
        <w:rPr>
          <w:rFonts w:ascii="Arial" w:hAnsi="Arial" w:cs="Arial"/>
        </w:rPr>
        <w:t>biometanu</w:t>
      </w:r>
      <w:proofErr w:type="spellEnd"/>
      <w:r w:rsidRPr="00DB5F1C">
        <w:rPr>
          <w:rFonts w:ascii="Arial" w:hAnsi="Arial" w:cs="Arial"/>
        </w:rPr>
        <w:t>. Docelowo od dnia 1 stycznia 2026 r., tyl</w:t>
      </w:r>
      <w:r w:rsidR="00F546AB">
        <w:rPr>
          <w:rFonts w:ascii="Arial" w:hAnsi="Arial" w:cs="Arial"/>
        </w:rPr>
        <w:t xml:space="preserve">ko wytwórcy w nowouruchomionych </w:t>
      </w:r>
      <w:r w:rsidRPr="00DB5F1C">
        <w:rPr>
          <w:rFonts w:ascii="Arial" w:hAnsi="Arial" w:cs="Arial"/>
        </w:rPr>
        <w:t>instalacjach OZE o mocy poniżej 200 kW będą mogli uzyskiwać prawo do gwarantowanego</w:t>
      </w:r>
      <w:r w:rsidR="00F546AB">
        <w:rPr>
          <w:rFonts w:ascii="Arial" w:hAnsi="Arial" w:cs="Arial"/>
        </w:rPr>
        <w:t xml:space="preserve"> </w:t>
      </w:r>
      <w:r w:rsidRPr="00DB5F1C">
        <w:rPr>
          <w:rFonts w:ascii="Arial" w:hAnsi="Arial" w:cs="Arial"/>
        </w:rPr>
        <w:t xml:space="preserve">odbioru energii przez </w:t>
      </w:r>
      <w:r w:rsidRPr="00DB5F1C">
        <w:rPr>
          <w:rFonts w:ascii="Arial" w:hAnsi="Arial" w:cs="Arial"/>
        </w:rPr>
        <w:lastRenderedPageBreak/>
        <w:t xml:space="preserve">sprzedawcę zobowiązanego oraz być </w:t>
      </w:r>
      <w:r w:rsidR="00F546AB">
        <w:rPr>
          <w:rFonts w:ascii="Arial" w:hAnsi="Arial" w:cs="Arial"/>
        </w:rPr>
        <w:t xml:space="preserve">zwolnieni z obciążeń w zakresie </w:t>
      </w:r>
      <w:r w:rsidRPr="00DB5F1C">
        <w:rPr>
          <w:rFonts w:ascii="Arial" w:hAnsi="Arial" w:cs="Arial"/>
        </w:rPr>
        <w:t xml:space="preserve">bilansowania handlowego. W okresie przejściowym, </w:t>
      </w:r>
      <w:r w:rsidR="00F546AB">
        <w:rPr>
          <w:rFonts w:ascii="Arial" w:hAnsi="Arial" w:cs="Arial"/>
        </w:rPr>
        <w:t xml:space="preserve">to jest od dnia wejścia w życie </w:t>
      </w:r>
      <w:r w:rsidRPr="00DB5F1C">
        <w:rPr>
          <w:rFonts w:ascii="Arial" w:hAnsi="Arial" w:cs="Arial"/>
        </w:rPr>
        <w:t>przepisów ustawy do dnia 31 grudnia 2025 r., takie prawo</w:t>
      </w:r>
      <w:r w:rsidR="00F546AB">
        <w:rPr>
          <w:rFonts w:ascii="Arial" w:hAnsi="Arial" w:cs="Arial"/>
        </w:rPr>
        <w:t xml:space="preserve"> będzie przysługiwało wytwórcom </w:t>
      </w:r>
      <w:r w:rsidRPr="00DB5F1C">
        <w:rPr>
          <w:rFonts w:ascii="Arial" w:hAnsi="Arial" w:cs="Arial"/>
        </w:rPr>
        <w:t xml:space="preserve">w instalacjach o mocy zainstalowanej elektrycznej nie większej niż 400 </w:t>
      </w:r>
      <w:proofErr w:type="spellStart"/>
      <w:r w:rsidRPr="00DB5F1C">
        <w:rPr>
          <w:rFonts w:ascii="Arial" w:hAnsi="Arial" w:cs="Arial"/>
        </w:rPr>
        <w:t>kW.</w:t>
      </w:r>
      <w:proofErr w:type="spellEnd"/>
    </w:p>
    <w:p w:rsidR="00DB5F1C" w:rsidRPr="00DB5F1C" w:rsidRDefault="00DB5F1C" w:rsidP="00DB5F1C">
      <w:p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t>W ustawie wprowadzono również grupę p</w:t>
      </w:r>
      <w:r w:rsidR="00F546AB">
        <w:rPr>
          <w:rFonts w:ascii="Arial" w:hAnsi="Arial" w:cs="Arial"/>
        </w:rPr>
        <w:t xml:space="preserve">rzepisów upraszczających zasady </w:t>
      </w:r>
      <w:r w:rsidRPr="00DB5F1C">
        <w:rPr>
          <w:rFonts w:ascii="Arial" w:hAnsi="Arial" w:cs="Arial"/>
        </w:rPr>
        <w:t>postępowania w procesie inwestycyjnym OZ</w:t>
      </w:r>
      <w:r w:rsidR="00F546AB">
        <w:rPr>
          <w:rFonts w:ascii="Arial" w:hAnsi="Arial" w:cs="Arial"/>
        </w:rPr>
        <w:t xml:space="preserve">E w zakresie skrócenia terminów </w:t>
      </w:r>
      <w:r w:rsidRPr="00DB5F1C">
        <w:rPr>
          <w:rFonts w:ascii="Arial" w:hAnsi="Arial" w:cs="Arial"/>
        </w:rPr>
        <w:t>poszczególnych inwestycji.</w:t>
      </w:r>
    </w:p>
    <w:p w:rsidR="00DB5F1C" w:rsidRPr="00DB5F1C" w:rsidRDefault="00DB5F1C" w:rsidP="00DB5F1C">
      <w:p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t>Rozwiązania ustawowe dotyczą instalowanych na bu</w:t>
      </w:r>
      <w:r w:rsidR="00F546AB">
        <w:rPr>
          <w:rFonts w:ascii="Arial" w:hAnsi="Arial" w:cs="Arial"/>
        </w:rPr>
        <w:t xml:space="preserve">dynkach instalacji odnawialnego </w:t>
      </w:r>
      <w:r w:rsidRPr="00DB5F1C">
        <w:rPr>
          <w:rFonts w:ascii="Arial" w:hAnsi="Arial" w:cs="Arial"/>
        </w:rPr>
        <w:t>źródła energii wykorzystujących do wytwarzania</w:t>
      </w:r>
      <w:r w:rsidR="00F546AB">
        <w:rPr>
          <w:rFonts w:ascii="Arial" w:hAnsi="Arial" w:cs="Arial"/>
        </w:rPr>
        <w:t xml:space="preserve"> energii energię promieniowania </w:t>
      </w:r>
      <w:r w:rsidRPr="00DB5F1C">
        <w:rPr>
          <w:rFonts w:ascii="Arial" w:hAnsi="Arial" w:cs="Arial"/>
        </w:rPr>
        <w:t>słonecznego oraz wchodzących w ich skład magazynów ene</w:t>
      </w:r>
      <w:r w:rsidR="00F546AB">
        <w:rPr>
          <w:rFonts w:ascii="Arial" w:hAnsi="Arial" w:cs="Arial"/>
        </w:rPr>
        <w:t xml:space="preserve">rgii elektrycznej, w rozumieniu </w:t>
      </w:r>
      <w:r w:rsidRPr="00DB5F1C">
        <w:rPr>
          <w:rFonts w:ascii="Arial" w:hAnsi="Arial" w:cs="Arial"/>
        </w:rPr>
        <w:t>art. 3 pkt 10k ustawy z dnia 10 kwietnia 1997 r. – Prawo ener</w:t>
      </w:r>
      <w:r w:rsidR="00F546AB">
        <w:rPr>
          <w:rFonts w:ascii="Arial" w:hAnsi="Arial" w:cs="Arial"/>
        </w:rPr>
        <w:t xml:space="preserve">getyczne, pomp ciepła, urządzeń </w:t>
      </w:r>
      <w:r w:rsidRPr="00DB5F1C">
        <w:rPr>
          <w:rFonts w:ascii="Arial" w:hAnsi="Arial" w:cs="Arial"/>
        </w:rPr>
        <w:t>i instalacji niezbędnych do przyłączenia do sieci danej</w:t>
      </w:r>
      <w:r w:rsidR="00F546AB">
        <w:rPr>
          <w:rFonts w:ascii="Arial" w:hAnsi="Arial" w:cs="Arial"/>
        </w:rPr>
        <w:t xml:space="preserve"> instalacji OZE oraz nadbudowy, </w:t>
      </w:r>
      <w:r w:rsidRPr="00DB5F1C">
        <w:rPr>
          <w:rFonts w:ascii="Arial" w:hAnsi="Arial" w:cs="Arial"/>
        </w:rPr>
        <w:t>rozbudowy, przebudowy lub remontu instalacji OZE.</w:t>
      </w:r>
    </w:p>
    <w:p w:rsidR="00DB5F1C" w:rsidRPr="00DB5F1C" w:rsidRDefault="00DB5F1C" w:rsidP="00DB5F1C">
      <w:p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t>Jednym z kluczowych elementów nowelizacji jes</w:t>
      </w:r>
      <w:r w:rsidR="00F546AB">
        <w:rPr>
          <w:rFonts w:ascii="Arial" w:hAnsi="Arial" w:cs="Arial"/>
        </w:rPr>
        <w:t xml:space="preserve">t modyfikacja zasad rozliczania </w:t>
      </w:r>
      <w:r w:rsidRPr="00DB5F1C">
        <w:rPr>
          <w:rFonts w:ascii="Arial" w:hAnsi="Arial" w:cs="Arial"/>
        </w:rPr>
        <w:t>prosumentów. Od 1 lipca br. prosumenci rozliczający się w</w:t>
      </w:r>
      <w:r w:rsidR="00F546AB">
        <w:rPr>
          <w:rFonts w:ascii="Arial" w:hAnsi="Arial" w:cs="Arial"/>
        </w:rPr>
        <w:t xml:space="preserve"> ramach net-billingu robią to w </w:t>
      </w:r>
      <w:r w:rsidRPr="00DB5F1C">
        <w:rPr>
          <w:rFonts w:ascii="Arial" w:hAnsi="Arial" w:cs="Arial"/>
        </w:rPr>
        <w:t>systemie RCE, czyli rynkowej ceny energii. Korekta tejże dok</w:t>
      </w:r>
      <w:r w:rsidR="00F546AB">
        <w:rPr>
          <w:rFonts w:ascii="Arial" w:hAnsi="Arial" w:cs="Arial"/>
        </w:rPr>
        <w:t xml:space="preserve">onuje się co godzinę, więc cena </w:t>
      </w:r>
      <w:r w:rsidRPr="00DB5F1C">
        <w:rPr>
          <w:rFonts w:ascii="Arial" w:hAnsi="Arial" w:cs="Arial"/>
        </w:rPr>
        <w:t xml:space="preserve">ta zyskała sobie miano godzinowej. Wcześniej prosument rozliczał się według </w:t>
      </w:r>
      <w:proofErr w:type="spellStart"/>
      <w:r w:rsidRPr="00DB5F1C">
        <w:rPr>
          <w:rFonts w:ascii="Arial" w:hAnsi="Arial" w:cs="Arial"/>
        </w:rPr>
        <w:t>RCEm</w:t>
      </w:r>
      <w:proofErr w:type="spellEnd"/>
      <w:r w:rsidRPr="00DB5F1C">
        <w:rPr>
          <w:rFonts w:ascii="Arial" w:hAnsi="Arial" w:cs="Arial"/>
        </w:rPr>
        <w:t>, a</w:t>
      </w:r>
      <w:r w:rsidR="00F546AB">
        <w:rPr>
          <w:rFonts w:ascii="Arial" w:hAnsi="Arial" w:cs="Arial"/>
        </w:rPr>
        <w:t xml:space="preserve"> więc </w:t>
      </w:r>
      <w:r w:rsidRPr="00DB5F1C">
        <w:rPr>
          <w:rFonts w:ascii="Arial" w:hAnsi="Arial" w:cs="Arial"/>
        </w:rPr>
        <w:t>średniej ceny energii ustalanej na podstawie cen rynkowych z danego miesiąca.</w:t>
      </w:r>
    </w:p>
    <w:p w:rsidR="00DB5F1C" w:rsidRPr="00DB5F1C" w:rsidRDefault="00DB5F1C" w:rsidP="00DB5F1C">
      <w:p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t>Wprowadzona regulacja pozwoli prosumentowi wy</w:t>
      </w:r>
      <w:r w:rsidR="00F546AB">
        <w:rPr>
          <w:rFonts w:ascii="Arial" w:hAnsi="Arial" w:cs="Arial"/>
        </w:rPr>
        <w:t xml:space="preserve">brać między RCE a </w:t>
      </w:r>
      <w:proofErr w:type="spellStart"/>
      <w:r w:rsidR="00F546AB">
        <w:rPr>
          <w:rFonts w:ascii="Arial" w:hAnsi="Arial" w:cs="Arial"/>
        </w:rPr>
        <w:t>RCEm</w:t>
      </w:r>
      <w:proofErr w:type="spellEnd"/>
      <w:r w:rsidR="00F546AB">
        <w:rPr>
          <w:rFonts w:ascii="Arial" w:hAnsi="Arial" w:cs="Arial"/>
        </w:rPr>
        <w:t xml:space="preserve">. Istotne </w:t>
      </w:r>
      <w:r w:rsidRPr="00DB5F1C">
        <w:rPr>
          <w:rFonts w:ascii="Arial" w:hAnsi="Arial" w:cs="Arial"/>
        </w:rPr>
        <w:t>jest to, że po wyborze rozliczania godzinowego ponowne prz</w:t>
      </w:r>
      <w:r w:rsidR="00F546AB">
        <w:rPr>
          <w:rFonts w:ascii="Arial" w:hAnsi="Arial" w:cs="Arial"/>
        </w:rPr>
        <w:t xml:space="preserve">ejście na system miesięczny nie </w:t>
      </w:r>
      <w:r w:rsidRPr="00DB5F1C">
        <w:rPr>
          <w:rFonts w:ascii="Arial" w:hAnsi="Arial" w:cs="Arial"/>
        </w:rPr>
        <w:t>będzie możliwe. Ponadto ustawodawca zachęca do przyję</w:t>
      </w:r>
      <w:r w:rsidR="00F546AB">
        <w:rPr>
          <w:rFonts w:ascii="Arial" w:hAnsi="Arial" w:cs="Arial"/>
        </w:rPr>
        <w:t xml:space="preserve">cie systemu RCE, bowiem wartość </w:t>
      </w:r>
      <w:r w:rsidRPr="00DB5F1C">
        <w:rPr>
          <w:rFonts w:ascii="Arial" w:hAnsi="Arial" w:cs="Arial"/>
        </w:rPr>
        <w:t>zwrotu nadpłaty dla osób rozliczających się w ten sposób b</w:t>
      </w:r>
      <w:r w:rsidR="00F546AB">
        <w:rPr>
          <w:rFonts w:ascii="Arial" w:hAnsi="Arial" w:cs="Arial"/>
        </w:rPr>
        <w:t xml:space="preserve">ędzie wynosić 30%, a nie jak do </w:t>
      </w:r>
      <w:r w:rsidRPr="00DB5F1C">
        <w:rPr>
          <w:rFonts w:ascii="Arial" w:hAnsi="Arial" w:cs="Arial"/>
        </w:rPr>
        <w:t>tej pory 20%.</w:t>
      </w:r>
    </w:p>
    <w:p w:rsidR="00DB5F1C" w:rsidRDefault="00DB5F1C" w:rsidP="00DB5F1C">
      <w:p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t>Wartość całej energii oddawanej do sieci na zasadzie n</w:t>
      </w:r>
      <w:r w:rsidR="00F546AB">
        <w:rPr>
          <w:rFonts w:ascii="Arial" w:hAnsi="Arial" w:cs="Arial"/>
        </w:rPr>
        <w:t xml:space="preserve">et-billingu ma być zwiększona o </w:t>
      </w:r>
      <w:r w:rsidRPr="00DB5F1C">
        <w:rPr>
          <w:rFonts w:ascii="Arial" w:hAnsi="Arial" w:cs="Arial"/>
        </w:rPr>
        <w:t>współczynnik 1,23.</w:t>
      </w:r>
    </w:p>
    <w:p w:rsidR="00DB5F1C" w:rsidRDefault="00DB5F1C" w:rsidP="00DB5F1C">
      <w:pPr>
        <w:spacing w:after="0"/>
        <w:jc w:val="both"/>
        <w:rPr>
          <w:rFonts w:ascii="Arial" w:hAnsi="Arial" w:cs="Arial"/>
        </w:rPr>
      </w:pPr>
    </w:p>
    <w:p w:rsidR="00DB5F1C" w:rsidRPr="00DB5F1C" w:rsidRDefault="00DB5F1C" w:rsidP="00DB5F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wchodzi</w:t>
      </w:r>
      <w:r w:rsidRPr="00DB5F1C">
        <w:rPr>
          <w:rFonts w:ascii="Arial" w:hAnsi="Arial" w:cs="Arial"/>
        </w:rPr>
        <w:t xml:space="preserve"> w życie po upływie 14 dni od dnia ogł</w:t>
      </w:r>
      <w:r w:rsidR="00F546AB">
        <w:rPr>
          <w:rFonts w:ascii="Arial" w:hAnsi="Arial" w:cs="Arial"/>
        </w:rPr>
        <w:t xml:space="preserve">oszenia, z wyjątkiem art. 1 pkt </w:t>
      </w:r>
      <w:r w:rsidRPr="00DB5F1C">
        <w:rPr>
          <w:rFonts w:ascii="Arial" w:hAnsi="Arial" w:cs="Arial"/>
        </w:rPr>
        <w:t>28 oraz pkt 39, tj. przepisów związanych z nowymi obo</w:t>
      </w:r>
      <w:r w:rsidR="00F546AB">
        <w:rPr>
          <w:rFonts w:ascii="Arial" w:hAnsi="Arial" w:cs="Arial"/>
        </w:rPr>
        <w:t xml:space="preserve">wiązkami nakładanymi na Prezesa </w:t>
      </w:r>
      <w:r w:rsidRPr="00DB5F1C">
        <w:rPr>
          <w:rFonts w:ascii="Arial" w:hAnsi="Arial" w:cs="Arial"/>
        </w:rPr>
        <w:t>URE, pkt 44 oraz art. 5 ust. 9, które wchodzą w życie z dniem 1</w:t>
      </w:r>
      <w:r w:rsidR="00F546AB">
        <w:rPr>
          <w:rFonts w:ascii="Arial" w:hAnsi="Arial" w:cs="Arial"/>
        </w:rPr>
        <w:t xml:space="preserve"> stycznia 2025 roku, a także art. </w:t>
      </w:r>
      <w:r w:rsidRPr="00DB5F1C">
        <w:rPr>
          <w:rFonts w:ascii="Arial" w:hAnsi="Arial" w:cs="Arial"/>
        </w:rPr>
        <w:t>1 pkt 2 lit. a i lit. b w zakresie dodawanego ust. 11a pkt 2 oraz art</w:t>
      </w:r>
      <w:r w:rsidR="00F546AB">
        <w:rPr>
          <w:rFonts w:ascii="Arial" w:hAnsi="Arial" w:cs="Arial"/>
        </w:rPr>
        <w:t xml:space="preserve">. 1 pkt 3 lit. b, w zakresie, w </w:t>
      </w:r>
      <w:r w:rsidRPr="00DB5F1C">
        <w:rPr>
          <w:rFonts w:ascii="Arial" w:hAnsi="Arial" w:cs="Arial"/>
        </w:rPr>
        <w:t>jakim dotyczą prosumenta wirtualnego energii odnawialnej, które wchodzą w ż</w:t>
      </w:r>
      <w:r w:rsidR="00F546AB">
        <w:rPr>
          <w:rFonts w:ascii="Arial" w:hAnsi="Arial" w:cs="Arial"/>
        </w:rPr>
        <w:t>ycie z dniem 2 lipca 2025 roku</w:t>
      </w:r>
      <w:r w:rsidRPr="00DB5F1C">
        <w:rPr>
          <w:rFonts w:ascii="Arial" w:hAnsi="Arial" w:cs="Arial"/>
        </w:rPr>
        <w:t xml:space="preserve"> oraz art. 8 w zakresie zmiany doprecyzowującej</w:t>
      </w:r>
      <w:r w:rsidR="00F546AB">
        <w:rPr>
          <w:rFonts w:ascii="Arial" w:hAnsi="Arial" w:cs="Arial"/>
        </w:rPr>
        <w:t xml:space="preserve">, który wchodzi w życie z dniem </w:t>
      </w:r>
      <w:r w:rsidRPr="00DB5F1C">
        <w:rPr>
          <w:rFonts w:ascii="Arial" w:hAnsi="Arial" w:cs="Arial"/>
        </w:rPr>
        <w:t>2 lipca 2025 r</w:t>
      </w:r>
      <w:r w:rsidR="00F546AB">
        <w:rPr>
          <w:rFonts w:ascii="Arial" w:hAnsi="Arial" w:cs="Arial"/>
        </w:rPr>
        <w:t>oku</w:t>
      </w:r>
      <w:bookmarkStart w:id="0" w:name="_GoBack"/>
      <w:bookmarkEnd w:id="0"/>
      <w:r w:rsidRPr="00DB5F1C">
        <w:rPr>
          <w:rFonts w:ascii="Arial" w:hAnsi="Arial" w:cs="Arial"/>
        </w:rPr>
        <w:t>.</w:t>
      </w:r>
    </w:p>
    <w:p w:rsidR="00DB5F1C" w:rsidRPr="007811C1" w:rsidRDefault="00DB5F1C" w:rsidP="00DB5F1C">
      <w:pPr>
        <w:spacing w:after="0"/>
        <w:jc w:val="both"/>
        <w:rPr>
          <w:rFonts w:ascii="Arial" w:hAnsi="Arial" w:cs="Arial"/>
        </w:rPr>
      </w:pPr>
      <w:r w:rsidRPr="00DB5F1C">
        <w:rPr>
          <w:rFonts w:ascii="Arial" w:hAnsi="Arial" w:cs="Arial"/>
        </w:rPr>
        <w:t xml:space="preserve">Ponadto przepisy art. 1 pkt 15, pkt 16 lit. a i b </w:t>
      </w:r>
      <w:r w:rsidR="00F546AB">
        <w:rPr>
          <w:rFonts w:ascii="Arial" w:hAnsi="Arial" w:cs="Arial"/>
        </w:rPr>
        <w:t xml:space="preserve">oraz art. 14, dotyczące ulg dla </w:t>
      </w:r>
      <w:r w:rsidRPr="00DB5F1C">
        <w:rPr>
          <w:rFonts w:ascii="Arial" w:hAnsi="Arial" w:cs="Arial"/>
        </w:rPr>
        <w:t>odbiorców energochłonnych wejdą w życie z dniem następującym po dniu ogłoszenia ustawy</w:t>
      </w:r>
      <w:r w:rsidR="00F546AB">
        <w:rPr>
          <w:rFonts w:ascii="Arial" w:hAnsi="Arial" w:cs="Arial"/>
        </w:rPr>
        <w:t>.</w:t>
      </w:r>
    </w:p>
    <w:p w:rsidR="007811C1" w:rsidRPr="007811C1" w:rsidRDefault="007811C1" w:rsidP="007811C1">
      <w:pPr>
        <w:spacing w:after="0"/>
        <w:jc w:val="both"/>
        <w:rPr>
          <w:rFonts w:ascii="Arial" w:hAnsi="Arial" w:cs="Arial"/>
          <w:u w:val="single"/>
        </w:rPr>
      </w:pPr>
    </w:p>
    <w:sectPr w:rsidR="007811C1" w:rsidRPr="007811C1" w:rsidSect="008D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01B1"/>
    <w:multiLevelType w:val="hybridMultilevel"/>
    <w:tmpl w:val="EE0E1D10"/>
    <w:lvl w:ilvl="0" w:tplc="D71E1834">
      <w:start w:val="2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97005"/>
    <w:multiLevelType w:val="hybridMultilevel"/>
    <w:tmpl w:val="FA4E1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005F1"/>
    <w:multiLevelType w:val="hybridMultilevel"/>
    <w:tmpl w:val="6F92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4A3"/>
    <w:multiLevelType w:val="hybridMultilevel"/>
    <w:tmpl w:val="1F72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64FCE"/>
    <w:multiLevelType w:val="hybridMultilevel"/>
    <w:tmpl w:val="ABB0EF4E"/>
    <w:lvl w:ilvl="0" w:tplc="7CDEB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46382"/>
    <w:multiLevelType w:val="hybridMultilevel"/>
    <w:tmpl w:val="10722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03570"/>
    <w:multiLevelType w:val="hybridMultilevel"/>
    <w:tmpl w:val="5F5CE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A63F7"/>
    <w:multiLevelType w:val="hybridMultilevel"/>
    <w:tmpl w:val="880CC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4088E"/>
    <w:multiLevelType w:val="hybridMultilevel"/>
    <w:tmpl w:val="CAF21E52"/>
    <w:lvl w:ilvl="0" w:tplc="43D837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1620E"/>
    <w:multiLevelType w:val="hybridMultilevel"/>
    <w:tmpl w:val="08A61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80FD5"/>
    <w:multiLevelType w:val="hybridMultilevel"/>
    <w:tmpl w:val="52A4B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D00C6"/>
    <w:multiLevelType w:val="hybridMultilevel"/>
    <w:tmpl w:val="82C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56F9F"/>
    <w:multiLevelType w:val="hybridMultilevel"/>
    <w:tmpl w:val="E1B0A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D54FB"/>
    <w:multiLevelType w:val="hybridMultilevel"/>
    <w:tmpl w:val="297CC0D2"/>
    <w:lvl w:ilvl="0" w:tplc="6C7C5FE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27C5D"/>
    <w:multiLevelType w:val="hybridMultilevel"/>
    <w:tmpl w:val="B4104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90FF0"/>
    <w:multiLevelType w:val="hybridMultilevel"/>
    <w:tmpl w:val="41D64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1134E"/>
    <w:multiLevelType w:val="hybridMultilevel"/>
    <w:tmpl w:val="73283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13"/>
  </w:num>
  <w:num w:numId="8">
    <w:abstractNumId w:val="14"/>
  </w:num>
  <w:num w:numId="9">
    <w:abstractNumId w:val="6"/>
  </w:num>
  <w:num w:numId="10">
    <w:abstractNumId w:val="15"/>
  </w:num>
  <w:num w:numId="11">
    <w:abstractNumId w:val="9"/>
  </w:num>
  <w:num w:numId="12">
    <w:abstractNumId w:val="16"/>
  </w:num>
  <w:num w:numId="13">
    <w:abstractNumId w:val="1"/>
  </w:num>
  <w:num w:numId="14">
    <w:abstractNumId w:val="12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19"/>
    <w:rsid w:val="001D2F19"/>
    <w:rsid w:val="00206C53"/>
    <w:rsid w:val="002D168D"/>
    <w:rsid w:val="0036256F"/>
    <w:rsid w:val="005C44F2"/>
    <w:rsid w:val="00611C59"/>
    <w:rsid w:val="007811C1"/>
    <w:rsid w:val="00B40ED8"/>
    <w:rsid w:val="00DB5F1C"/>
    <w:rsid w:val="00F5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F1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D2F19"/>
  </w:style>
  <w:style w:type="paragraph" w:styleId="Tekstdymka">
    <w:name w:val="Balloon Text"/>
    <w:basedOn w:val="Normalny"/>
    <w:link w:val="TekstdymkaZnak"/>
    <w:uiPriority w:val="99"/>
    <w:semiHidden/>
    <w:unhideWhenUsed/>
    <w:rsid w:val="001D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F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ED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0E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F1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D2F19"/>
  </w:style>
  <w:style w:type="paragraph" w:styleId="Tekstdymka">
    <w:name w:val="Balloon Text"/>
    <w:basedOn w:val="Normalny"/>
    <w:link w:val="TekstdymkaZnak"/>
    <w:uiPriority w:val="99"/>
    <w:semiHidden/>
    <w:unhideWhenUsed/>
    <w:rsid w:val="001D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F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ED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0E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islacja.rcl.gov.pl/projekt/12392509/katalog/13100519#131005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3449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Związek Pracodawców Polska Miedź</Company>
  <LinksUpToDate>false</LinksUpToDate>
  <CharactersWithSpaces>24095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ZPPM</dc:creator>
  <cp:lastModifiedBy>ZPPM</cp:lastModifiedBy>
  <cp:revision>1</cp:revision>
  <dcterms:created xsi:type="dcterms:W3CDTF">2024-12-17T13:29:00Z</dcterms:created>
  <dcterms:modified xsi:type="dcterms:W3CDTF">2024-12-17T15:19:00Z</dcterms:modified>
</cp:coreProperties>
</file>