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0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673"/>
        <w:gridCol w:w="511"/>
        <w:gridCol w:w="68"/>
        <w:gridCol w:w="594"/>
        <w:gridCol w:w="45"/>
        <w:gridCol w:w="328"/>
        <w:gridCol w:w="196"/>
        <w:gridCol w:w="537"/>
        <w:gridCol w:w="68"/>
        <w:gridCol w:w="236"/>
        <w:gridCol w:w="141"/>
        <w:gridCol w:w="181"/>
        <w:gridCol w:w="168"/>
        <w:gridCol w:w="385"/>
        <w:gridCol w:w="345"/>
        <w:gridCol w:w="209"/>
        <w:gridCol w:w="417"/>
        <w:gridCol w:w="109"/>
        <w:gridCol w:w="68"/>
        <w:gridCol w:w="113"/>
        <w:gridCol w:w="437"/>
        <w:gridCol w:w="146"/>
        <w:gridCol w:w="69"/>
        <w:gridCol w:w="336"/>
        <w:gridCol w:w="328"/>
        <w:gridCol w:w="219"/>
        <w:gridCol w:w="1152"/>
      </w:tblGrid>
      <w:tr w:rsidR="0067764D" w:rsidTr="0067764D">
        <w:trPr>
          <w:trHeight w:val="1605"/>
        </w:trPr>
        <w:tc>
          <w:tcPr>
            <w:tcW w:w="669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22"/>
                <w:szCs w:val="22"/>
              </w:rPr>
            </w:pPr>
            <w:bookmarkStart w:id="0" w:name="_GoBack"/>
            <w:bookmarkEnd w:id="0"/>
            <w:r>
              <w:br w:type="column"/>
            </w:r>
            <w:r>
              <w:br w:type="column"/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Nazwa projektu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  <w:p w:rsidR="0067764D" w:rsidRDefault="0067764D" w:rsidP="0067764D">
            <w:pPr>
              <w:widowControl/>
              <w:autoSpaceDE/>
              <w:adjustRightInd/>
              <w:spacing w:line="240" w:lineRule="auto"/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22"/>
                <w:szCs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Projekt rozporządzenia Ministra Spraw Wewnętrznych i Administracji w sprawie kryteriów uznawania obiektów budowlanych albo ich części za budowle ochronne 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ind w:left="60"/>
              <w:textAlignment w:val="baseline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67764D" w:rsidRDefault="0067764D">
            <w:pPr>
              <w:widowControl/>
              <w:autoSpaceDE/>
              <w:adjustRightInd/>
              <w:spacing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Ministerstwo wiodące i ministerstwa współpracujące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Ministerstwo Spraw Wewnętrznych i Administracji 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Osoba odpowiedzialna za projekt w randze Ministra, Sekretarza Stanu lub Podsekretarza Stanu 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  <w:p w:rsidR="0067764D" w:rsidRDefault="0067764D" w:rsidP="0067764D">
            <w:pPr>
              <w:widowControl/>
              <w:autoSpaceDE/>
              <w:adjustRightInd/>
              <w:spacing w:line="240" w:lineRule="auto"/>
              <w:ind w:left="30"/>
              <w:jc w:val="both"/>
              <w:textAlignment w:val="baseline"/>
              <w:rPr>
                <w:rFonts w:ascii="Segoe UI" w:eastAsia="Times New Roman" w:hAnsi="Segoe UI" w:cs="Segoe UI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Wiesław Leśniakiewicz </w:t>
            </w:r>
            <w:r>
              <w:rPr>
                <w:rFonts w:eastAsia="Times New Roman" w:cs="Times New Roman"/>
                <w:sz w:val="22"/>
                <w:szCs w:val="22"/>
              </w:rPr>
              <w:softHyphen/>
              <w:t>– Podsekretarz Stanu w Ministerstwie Spraw Wewnętrznych i Administracji 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ind w:left="60"/>
              <w:textAlignment w:val="baseline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67764D" w:rsidRDefault="0067764D">
            <w:pPr>
              <w:widowControl/>
              <w:autoSpaceDE/>
              <w:adjustRightInd/>
              <w:spacing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Kontakt do opiekuna merytorycznego projektu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Dariusz Marczyński – Dyrektor Departamentu Ochrony Ludności i Zarządzania Kryzysowego MSWiA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val="fr-F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fr-FR"/>
              </w:rPr>
              <w:t>e-mail: dariusz.marczynski@mswia.gov.pl  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tel.: 47 72 85 207 fax.: 22 845 67 57 </w:t>
            </w: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Data sporządzenia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  <w:r>
              <w:br/>
            </w:r>
            <w:r>
              <w:rPr>
                <w:rFonts w:eastAsia="Times New Roman" w:cs="Times New Roman"/>
                <w:sz w:val="22"/>
                <w:szCs w:val="22"/>
              </w:rPr>
              <w:t>17.12.2024 r.  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Źródło: 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  <w:p w:rsidR="0067764D" w:rsidRDefault="0067764D" w:rsidP="00E55BDE">
            <w:pPr>
              <w:widowControl/>
              <w:autoSpaceDE/>
              <w:adjustRightInd/>
              <w:spacing w:line="240" w:lineRule="auto"/>
              <w:ind w:hanging="30"/>
              <w:jc w:val="both"/>
              <w:textAlignment w:val="baseline"/>
              <w:rPr>
                <w:rFonts w:ascii="Segoe UI" w:eastAsia="Times New Roman" w:hAnsi="Segoe UI" w:cs="Segoe UI"/>
                <w:sz w:val="22"/>
                <w:szCs w:val="22"/>
              </w:rPr>
            </w:pPr>
            <w:r>
              <w:rPr>
                <w:sz w:val="22"/>
                <w:szCs w:val="22"/>
              </w:rPr>
              <w:t>Art. 207 ust. 5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 ustawy z dnia </w:t>
            </w:r>
            <w:r>
              <w:rPr>
                <w:rFonts w:eastAsia="Times New Roman" w:cs="Times New Roman"/>
                <w:sz w:val="22"/>
                <w:szCs w:val="22"/>
              </w:rPr>
              <w:t>5 grudnia 2024 r. o ochronie ludności i obron</w:t>
            </w:r>
            <w:r w:rsidR="00E55BDE">
              <w:rPr>
                <w:rFonts w:eastAsia="Times New Roman" w:cs="Times New Roman"/>
                <w:sz w:val="22"/>
                <w:szCs w:val="22"/>
              </w:rPr>
              <w:t>ie cywilnej (Dz. U.  r. poz. …).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Nr w wykazie prac: 1181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OCENA SKUTKÓW REGULACJI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330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67764D" w:rsidRDefault="0067764D" w:rsidP="00CF7261">
            <w:pPr>
              <w:widowControl/>
              <w:numPr>
                <w:ilvl w:val="0"/>
                <w:numId w:val="1"/>
              </w:numPr>
              <w:autoSpaceDE/>
              <w:adjustRightInd/>
              <w:spacing w:line="240" w:lineRule="auto"/>
              <w:ind w:left="765" w:firstLine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Jaki problem jest rozwiązywany?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Pr="00E55BDE" w:rsidRDefault="0067764D">
            <w:pPr>
              <w:widowControl/>
              <w:autoSpaceDE/>
              <w:adjustRightInd/>
              <w:spacing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Projekt rozporządzenia stanowi wykonanie upoważnienia zawartego w art. 207 ust. 5 ustawy z dnia  </w:t>
            </w:r>
            <w:r>
              <w:rPr>
                <w:sz w:val="22"/>
              </w:rPr>
              <w:t>5 grudnia 2024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r. o ochronie ludności i obronie cywilnej (Dz. U. poz. …). Zgodnie z przywołanym przepisem minister właściwy do spraw wewnętrznych określi, w drodze rozporządzenia kryteria uznawania obiektów budowlanych albo ich części za budowle ochronną, mając na względzie konieczność zapewnienia odpowiednich warunków zabezpieczenia osób przebywających w tych obiektach przed określonymi zagrożeniami oraz potrzebę dalszego wykorzystania tych obiektów do realizacji zadań ochrony ludności i obrony cywilnej. </w:t>
            </w:r>
          </w:p>
        </w:tc>
      </w:tr>
      <w:tr w:rsidR="0067764D" w:rsidTr="0067764D">
        <w:trPr>
          <w:trHeight w:val="135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67764D" w:rsidRDefault="0067764D" w:rsidP="00CF7261">
            <w:pPr>
              <w:widowControl/>
              <w:numPr>
                <w:ilvl w:val="0"/>
                <w:numId w:val="2"/>
              </w:numPr>
              <w:autoSpaceDE/>
              <w:adjustRightInd/>
              <w:spacing w:line="240" w:lineRule="auto"/>
              <w:ind w:left="765" w:firstLine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Rekomendowane rozwiązanie, w tym planowane narzędzia interwencji, i oczekiwany efekt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pStyle w:val="ARTartustawynprozporzdzenia"/>
              <w:spacing w:before="0" w:line="240" w:lineRule="auto"/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 projekcie wskazano definicję dotychczasowej budowli ochronnej, podstawowe i szczegółowe kryteria uznawania za budowlę ochronną obiektu budowlanego albo jego części, który w okresie przed dniem 1 stycznia 2025 r. pełnił funkcję budowli ochronnej. Kryteria te odnoszą się do funkcji ochronnych w zakresie ochrony osób przed skutkami zagrożeń powstałych w wyniku klęsk żywiołowych, zdarzeń o charakterze terrorystycznym lub działań wojennych. Spełnienie tych kryteriów odnosi się do faktycznego stanu technicznego budowli ochronnej lub do stanu technicznego po jej przebudowie lub dostosowaniu.</w:t>
            </w:r>
          </w:p>
          <w:p w:rsidR="0067764D" w:rsidRDefault="0067764D">
            <w:pPr>
              <w:pStyle w:val="ARTartustawynprozporzdzenia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Projekt określa również  kryteria techniczne zapewniające w dotychczasowej budowli ochronnej funkcję ochronną, w tym dodatkowe kryteria niezbędne dla zapewnienia ochrony osób w niej przebywających. W</w:t>
            </w:r>
            <w:r>
              <w:rPr>
                <w:sz w:val="22"/>
                <w:szCs w:val="22"/>
              </w:rPr>
              <w:t>skazano również uwarunkowania, których występowanie może powodować ograniczenie spełnienia określonej funkcji ochronnej z uwagi na zagrożenia wynikające ze zlokalizowania lub wyposażenia znajdującego się w dotychczasowej budowli ochronnej.</w:t>
            </w:r>
            <w:r>
              <w:t xml:space="preserve"> </w:t>
            </w:r>
            <w:r>
              <w:rPr>
                <w:sz w:val="22"/>
                <w:szCs w:val="22"/>
              </w:rPr>
              <w:t>O</w:t>
            </w:r>
            <w:r w:rsidRPr="0067764D">
              <w:rPr>
                <w:sz w:val="22"/>
                <w:szCs w:val="22"/>
              </w:rPr>
              <w:t xml:space="preserve">kreślono </w:t>
            </w:r>
            <w:r>
              <w:rPr>
                <w:sz w:val="22"/>
                <w:szCs w:val="22"/>
              </w:rPr>
              <w:t xml:space="preserve">także </w:t>
            </w:r>
            <w:r w:rsidRPr="0067764D">
              <w:rPr>
                <w:sz w:val="22"/>
                <w:szCs w:val="22"/>
              </w:rPr>
              <w:t>kategorie odporności budowli ochronnej, w zależności od zapewnionych przez nie funkcji ochronnych oraz wytrzymałości mechanicznej konstrukcji. W przypadku schronów głównym kryterium jest wytrzymałość budowli ochronnej na obciążenia od powietrznej fali uderzeniowej oraz od fali uderzeniowej rozchodzącej się w gruncie. Natomiast w</w:t>
            </w:r>
            <w:r>
              <w:rPr>
                <w:sz w:val="22"/>
                <w:szCs w:val="22"/>
              </w:rPr>
              <w:t> </w:t>
            </w:r>
            <w:r w:rsidRPr="0067764D">
              <w:rPr>
                <w:sz w:val="22"/>
                <w:szCs w:val="22"/>
              </w:rPr>
              <w:t>przypadku ukryć kryteria uzależnione są od wytrzymałości na obciążenia od powietrznej fali uderzeniowej oraz od fali uderzeniowej rozchodzącej się w gruncie oraz ochrony przed promieniowaniem przenikliwym gamma.</w:t>
            </w:r>
          </w:p>
        </w:tc>
      </w:tr>
      <w:tr w:rsidR="0067764D" w:rsidTr="0067764D">
        <w:trPr>
          <w:trHeight w:val="300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67764D" w:rsidRDefault="0067764D" w:rsidP="00CF726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765" w:firstLine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Jak problem został rozwiązany w innych krajach, w szczególności krajach członkowskich OECD/UE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?</w:t>
            </w:r>
            <w:r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BDE" w:rsidRPr="00E55BDE" w:rsidRDefault="0067764D">
            <w:pPr>
              <w:widowControl/>
              <w:autoSpaceDE/>
              <w:adjustRightInd/>
              <w:spacing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 Nie są znane analogiczne rozwiązania w innych krajach członkowskich OECD/UE.</w:t>
            </w:r>
          </w:p>
        </w:tc>
      </w:tr>
      <w:tr w:rsidR="0067764D" w:rsidTr="0067764D">
        <w:trPr>
          <w:trHeight w:val="345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67764D" w:rsidRDefault="0067764D" w:rsidP="00CF7261">
            <w:pPr>
              <w:widowControl/>
              <w:numPr>
                <w:ilvl w:val="0"/>
                <w:numId w:val="4"/>
              </w:numPr>
              <w:autoSpaceDE/>
              <w:adjustRightInd/>
              <w:spacing w:line="240" w:lineRule="auto"/>
              <w:ind w:left="765" w:firstLine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Podmioty, na które oddziałuje projekt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Grupa </w:t>
            </w:r>
          </w:p>
        </w:tc>
        <w:tc>
          <w:tcPr>
            <w:tcW w:w="2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Wielkość </w:t>
            </w:r>
          </w:p>
        </w:tc>
        <w:tc>
          <w:tcPr>
            <w:tcW w:w="27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Źródło danych  </w:t>
            </w:r>
          </w:p>
        </w:tc>
        <w:tc>
          <w:tcPr>
            <w:tcW w:w="2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Oddziaływanie </w:t>
            </w:r>
          </w:p>
        </w:tc>
      </w:tr>
      <w:tr w:rsidR="0067764D" w:rsidTr="0067764D">
        <w:trPr>
          <w:trHeight w:val="135"/>
        </w:trPr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ludność zamieszkała lub przebywająca na terytorium RP</w:t>
            </w:r>
          </w:p>
        </w:tc>
        <w:tc>
          <w:tcPr>
            <w:tcW w:w="2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37 698  tys. osób</w:t>
            </w:r>
          </w:p>
          <w:p w:rsidR="0067764D" w:rsidRDefault="0067764D">
            <w:pPr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7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Stan na dzień </w:t>
            </w:r>
            <w:r>
              <w:rPr>
                <w:spacing w:val="-2"/>
                <w:sz w:val="22"/>
                <w:szCs w:val="22"/>
              </w:rPr>
              <w:br/>
              <w:t>30 czerwca 2023 r.</w:t>
            </w:r>
          </w:p>
          <w:p w:rsidR="0067764D" w:rsidRDefault="0067764D">
            <w:pPr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GUS</w:t>
            </w:r>
          </w:p>
        </w:tc>
        <w:tc>
          <w:tcPr>
            <w:tcW w:w="2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 w:rsidP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zwiększenie bezpieczeństwa osób</w:t>
            </w:r>
          </w:p>
        </w:tc>
      </w:tr>
      <w:tr w:rsidR="0067764D" w:rsidTr="0067764D">
        <w:trPr>
          <w:trHeight w:val="135"/>
        </w:trPr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wójtowie, burmistrzowie, prezydenci miast</w:t>
            </w:r>
          </w:p>
        </w:tc>
        <w:tc>
          <w:tcPr>
            <w:tcW w:w="2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2477</w:t>
            </w:r>
          </w:p>
        </w:tc>
        <w:tc>
          <w:tcPr>
            <w:tcW w:w="27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Ustawa z dnia 24 lipca 1998 r. o wprowadzeniu zasadniczego trójstopniowego podziału terytorialnego państwa</w:t>
            </w:r>
          </w:p>
        </w:tc>
        <w:tc>
          <w:tcPr>
            <w:tcW w:w="2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 w:rsidP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  <w:sz w:val="22"/>
                <w:szCs w:val="22"/>
              </w:rPr>
              <w:t>obowiązek wyznaczenia obiektów stosownie do potrzeb i możliwości przystosowania, obowiązek wprowadzania danych tych obiektów do ewidencji obiektów zbiorowej ochrony i w planowaniu zadań na potrzeby ochrony ludności</w:t>
            </w:r>
          </w:p>
        </w:tc>
      </w:tr>
      <w:tr w:rsidR="0067764D" w:rsidTr="0067764D">
        <w:trPr>
          <w:trHeight w:val="135"/>
        </w:trPr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starostowie</w:t>
            </w:r>
          </w:p>
        </w:tc>
        <w:tc>
          <w:tcPr>
            <w:tcW w:w="2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344 starostów i 66 prezydentów miast na prawach powiatu</w:t>
            </w:r>
          </w:p>
        </w:tc>
        <w:tc>
          <w:tcPr>
            <w:tcW w:w="27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Ustawa z dnia 24 lipca 1998 r. o wprowadzeniu zasadniczego trójstopniowego podziału terytorialnego państwa</w:t>
            </w:r>
          </w:p>
        </w:tc>
        <w:tc>
          <w:tcPr>
            <w:tcW w:w="2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 w:rsidP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obowiązek wyznaczenia obiektów stosownie do potrzeb i możliwości przystosowania, obowiązek wprowadzania danych tych obiektów do ewidencji obiektów zbiorowej ochrony i w planowaniu zadań na potrzeby ochrony ludności</w:t>
            </w:r>
          </w:p>
        </w:tc>
      </w:tr>
      <w:tr w:rsidR="0067764D" w:rsidTr="0067764D">
        <w:trPr>
          <w:trHeight w:val="135"/>
        </w:trPr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wojewodowie</w:t>
            </w:r>
          </w:p>
        </w:tc>
        <w:tc>
          <w:tcPr>
            <w:tcW w:w="2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27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4D" w:rsidRDefault="0067764D">
            <w:pPr>
              <w:spacing w:line="240" w:lineRule="auto"/>
              <w:jc w:val="center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Ustawa z dnia 24 lipca 1998 r. </w:t>
            </w:r>
            <w:r>
              <w:rPr>
                <w:rFonts w:cs="Times New Roman"/>
                <w:spacing w:val="-2"/>
                <w:sz w:val="22"/>
                <w:szCs w:val="22"/>
              </w:rPr>
              <w:br/>
              <w:t>o wprowadzeniu zasadniczego trójstopniowego podziału terytorialnego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 w:rsidP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obowiązek wyznaczenia obiektów stosownie do potrzeb i możliwości przystosowania, obowiązek wprowadzania danych tych obiektów do ewidencji obiektów zbiorowej ochrony i w planowaniu zadań na potrzeby ochrony ludności</w:t>
            </w:r>
          </w:p>
        </w:tc>
      </w:tr>
      <w:tr w:rsidR="0067764D" w:rsidTr="0067764D">
        <w:trPr>
          <w:trHeight w:val="135"/>
        </w:trPr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właściciele, użytkownicy wieczyści lub zarządcy obiektu budowlanego pełniącego funkcję budowli ochronnej </w:t>
            </w:r>
          </w:p>
        </w:tc>
        <w:tc>
          <w:tcPr>
            <w:tcW w:w="2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trudne do oszacowania </w:t>
            </w:r>
          </w:p>
        </w:tc>
        <w:tc>
          <w:tcPr>
            <w:tcW w:w="27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4D" w:rsidRDefault="0067764D">
            <w:pPr>
              <w:spacing w:line="240" w:lineRule="auto"/>
              <w:jc w:val="center"/>
              <w:rPr>
                <w:rFonts w:cs="Times New Roman"/>
                <w:spacing w:val="-2"/>
                <w:sz w:val="22"/>
                <w:szCs w:val="22"/>
              </w:rPr>
            </w:pPr>
          </w:p>
        </w:tc>
        <w:tc>
          <w:tcPr>
            <w:tcW w:w="2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 w:rsidP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  <w:sz w:val="22"/>
                <w:szCs w:val="22"/>
              </w:rPr>
              <w:t>obowiązek zawiadomienia właściwego organu ochrony ludności</w:t>
            </w:r>
          </w:p>
        </w:tc>
      </w:tr>
      <w:tr w:rsidR="0067764D" w:rsidTr="0067764D">
        <w:trPr>
          <w:trHeight w:val="300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67764D" w:rsidRDefault="0067764D" w:rsidP="00CF7261">
            <w:pPr>
              <w:widowControl/>
              <w:numPr>
                <w:ilvl w:val="0"/>
                <w:numId w:val="5"/>
              </w:numPr>
              <w:autoSpaceDE/>
              <w:adjustRightInd/>
              <w:spacing w:line="240" w:lineRule="auto"/>
              <w:ind w:left="765" w:firstLine="0"/>
              <w:jc w:val="both"/>
              <w:textAlignment w:val="baselin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Informacje na temat zakresu, czasu trwania i podsumowanie wyników konsultacji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330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7764D" w:rsidRDefault="0067764D">
            <w:pPr>
              <w:spacing w:line="240" w:lineRule="auto"/>
              <w:jc w:val="both"/>
              <w:rPr>
                <w:spacing w:val="-2"/>
                <w:sz w:val="22"/>
                <w:szCs w:val="22"/>
              </w:rPr>
            </w:pPr>
            <w:r w:rsidRPr="0067764D">
              <w:rPr>
                <w:spacing w:val="-2"/>
                <w:sz w:val="22"/>
                <w:szCs w:val="22"/>
              </w:rPr>
              <w:t>Projekt rozporządzenia, zgodnie z art. 5 ustawy z dnia 7 lipca 2005 r. o działalności lobbingowej w procesie stanowienia prawa oraz stosownie do § 52 ust. 1 uchwały nr 190 Rady Ministrów z dnia 29 października 2013 r. –  Regulami</w:t>
            </w:r>
            <w:r>
              <w:rPr>
                <w:spacing w:val="-2"/>
                <w:sz w:val="22"/>
                <w:szCs w:val="22"/>
              </w:rPr>
              <w:t>n pracy Rady Ministrów, został</w:t>
            </w:r>
            <w:r w:rsidRPr="0067764D">
              <w:rPr>
                <w:spacing w:val="-2"/>
                <w:sz w:val="22"/>
                <w:szCs w:val="22"/>
              </w:rPr>
              <w:t xml:space="preserve"> udostępniony w Biuletynie Informacji Publicznej Rządowego Centrum Legislacji.</w:t>
            </w:r>
          </w:p>
          <w:p w:rsidR="0067764D" w:rsidRDefault="0067764D">
            <w:pPr>
              <w:spacing w:line="240" w:lineRule="au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Projekt rozporządzenia został przekazany do zaopiniowania Komisji Wspólnej Rządu i Samorządu Terytorialnego i wojewodom. </w:t>
            </w:r>
          </w:p>
          <w:p w:rsidR="0067764D" w:rsidRDefault="0067764D">
            <w:pPr>
              <w:spacing w:line="240" w:lineRule="au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Projekt rozporządzenia w ramach konsultacji publicznych został również przekazany: </w:t>
            </w:r>
          </w:p>
          <w:p w:rsidR="0067764D" w:rsidRDefault="0067764D">
            <w:pPr>
              <w:spacing w:line="240" w:lineRule="auto"/>
              <w:ind w:left="3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 xml:space="preserve">     1) Związkowi Miast Polskich</w:t>
            </w:r>
            <w:r w:rsidR="00E55BDE">
              <w:rPr>
                <w:spacing w:val="-2"/>
                <w:sz w:val="22"/>
                <w:szCs w:val="22"/>
              </w:rPr>
              <w:t>,</w:t>
            </w:r>
          </w:p>
          <w:p w:rsidR="0067764D" w:rsidRDefault="0067764D">
            <w:pPr>
              <w:spacing w:line="240" w:lineRule="auto"/>
              <w:ind w:left="456" w:hanging="142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2) Związkowi Powiatów Polskich</w:t>
            </w:r>
            <w:r w:rsidR="00E55BDE">
              <w:rPr>
                <w:spacing w:val="-2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67764D" w:rsidRDefault="0067764D">
            <w:pPr>
              <w:spacing w:line="240" w:lineRule="auto"/>
              <w:ind w:left="708" w:hanging="394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3) Związkowi Gmin Wiejskich RP</w:t>
            </w:r>
            <w:r w:rsidR="00E55BDE">
              <w:rPr>
                <w:spacing w:val="-2"/>
                <w:sz w:val="22"/>
                <w:szCs w:val="22"/>
              </w:rPr>
              <w:t>,</w:t>
            </w:r>
          </w:p>
          <w:p w:rsidR="0067764D" w:rsidRDefault="0067764D">
            <w:pPr>
              <w:spacing w:line="240" w:lineRule="auto"/>
              <w:ind w:left="314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4) Stowarzyszeniu Architektów Polskich</w:t>
            </w:r>
            <w:r w:rsidR="00E55BDE">
              <w:rPr>
                <w:spacing w:val="-2"/>
                <w:sz w:val="22"/>
                <w:szCs w:val="22"/>
              </w:rPr>
              <w:t>,</w:t>
            </w:r>
          </w:p>
          <w:p w:rsidR="0067764D" w:rsidRDefault="0067764D">
            <w:pPr>
              <w:spacing w:line="240" w:lineRule="auto"/>
              <w:ind w:firstLine="17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   5) Stowarzyszeniu Instytut Budownictwa Ochronnego</w:t>
            </w:r>
            <w:r w:rsidR="00E55BDE">
              <w:rPr>
                <w:spacing w:val="-2"/>
                <w:sz w:val="22"/>
                <w:szCs w:val="22"/>
              </w:rPr>
              <w:t>,</w:t>
            </w:r>
          </w:p>
          <w:p w:rsidR="0067764D" w:rsidRDefault="0067764D">
            <w:pPr>
              <w:spacing w:line="240" w:lineRule="auto"/>
              <w:ind w:firstLine="17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 6) Politechnice Warszawskiej</w:t>
            </w:r>
            <w:r w:rsidR="00E55BDE">
              <w:rPr>
                <w:spacing w:val="-2"/>
                <w:sz w:val="22"/>
                <w:szCs w:val="22"/>
              </w:rPr>
              <w:t>,</w:t>
            </w:r>
          </w:p>
          <w:p w:rsidR="0067764D" w:rsidRDefault="0067764D">
            <w:pPr>
              <w:spacing w:line="240" w:lineRule="au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    7) Wojskowej Akademii Technicznej</w:t>
            </w:r>
            <w:r w:rsidR="00E55BDE">
              <w:rPr>
                <w:spacing w:val="-2"/>
                <w:sz w:val="22"/>
                <w:szCs w:val="22"/>
              </w:rPr>
              <w:t>,</w:t>
            </w:r>
          </w:p>
          <w:p w:rsidR="0067764D" w:rsidRDefault="0067764D">
            <w:pPr>
              <w:spacing w:line="240" w:lineRule="au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    8) Wojskowemu Instytutowi Chemii i Radiometrii</w:t>
            </w:r>
            <w:r w:rsidR="00E55BDE">
              <w:rPr>
                <w:spacing w:val="-2"/>
                <w:sz w:val="22"/>
                <w:szCs w:val="22"/>
              </w:rPr>
              <w:t>,</w:t>
            </w:r>
          </w:p>
          <w:p w:rsidR="0067764D" w:rsidRDefault="0067764D">
            <w:pPr>
              <w:pStyle w:val="Akapitzlist"/>
              <w:spacing w:line="240" w:lineRule="auto"/>
              <w:ind w:left="456" w:hanging="284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 9) Polskiemu Związkowi Inżynierów i Techników Budownictwa</w:t>
            </w:r>
            <w:r w:rsidR="00E55BDE">
              <w:rPr>
                <w:spacing w:val="-2"/>
                <w:sz w:val="22"/>
                <w:szCs w:val="22"/>
              </w:rPr>
              <w:t>,</w:t>
            </w:r>
          </w:p>
          <w:p w:rsidR="0067764D" w:rsidRPr="00E55BDE" w:rsidRDefault="0067764D">
            <w:pPr>
              <w:spacing w:line="240" w:lineRule="au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  10) Wojskowemu Instytutowi Techniki Inżynieryjnej.</w:t>
            </w:r>
          </w:p>
        </w:tc>
      </w:tr>
      <w:tr w:rsidR="0067764D" w:rsidTr="0067764D">
        <w:trPr>
          <w:trHeight w:val="360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67764D" w:rsidRDefault="0067764D" w:rsidP="00CF7261">
            <w:pPr>
              <w:widowControl/>
              <w:numPr>
                <w:ilvl w:val="0"/>
                <w:numId w:val="6"/>
              </w:numPr>
              <w:autoSpaceDE/>
              <w:adjustRightInd/>
              <w:spacing w:line="240" w:lineRule="auto"/>
              <w:ind w:left="765" w:firstLine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> Wpływ na sektor finansów publicznych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22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(ceny stałe z …… r.) </w:t>
            </w:r>
          </w:p>
        </w:tc>
        <w:tc>
          <w:tcPr>
            <w:tcW w:w="740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Skutki w okresie 10 lat od wejścia w życie zmian [mln zł] </w:t>
            </w:r>
          </w:p>
        </w:tc>
      </w:tr>
      <w:tr w:rsidR="0067764D" w:rsidTr="0067764D">
        <w:trPr>
          <w:trHeight w:val="13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764D" w:rsidRDefault="0067764D">
            <w:pPr>
              <w:widowControl/>
              <w:autoSpaceDE/>
              <w:autoSpaceDN/>
              <w:adjustRightInd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1 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2 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3 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4 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5 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6 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7 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8 </w:t>
            </w:r>
          </w:p>
        </w:tc>
        <w:tc>
          <w:tcPr>
            <w:tcW w:w="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9 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Łącznie 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(0-10)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315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Dochody ogółem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315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budżet państwa 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330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JST 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330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pozostałe jednostki (oddzielnie) 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315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Wydatki ogółem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315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budżet państwa 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345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JST 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345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pozostałe jednostki (oddzielnie) 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360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Saldo ogółem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360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budżet państwa 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345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JST 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345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pozostałe jednostki (oddzielnie) 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345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Źródła finansowania  </w:t>
            </w:r>
          </w:p>
        </w:tc>
        <w:tc>
          <w:tcPr>
            <w:tcW w:w="740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Skutki finansowe związane z wejściem w życie projektowanego rozporządzenia zostaną sfinansowane w ramach Funduszu Modernizacji Bezpieczeństwa Publicznego i Ochrony Ludności. </w:t>
            </w:r>
          </w:p>
        </w:tc>
      </w:tr>
      <w:tr w:rsidR="0067764D" w:rsidTr="00531DFE">
        <w:trPr>
          <w:trHeight w:val="978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Dodatkowe informacje, w tym wskazanie źródeł danych i przyjętych do obliczeń założeń </w:t>
            </w:r>
          </w:p>
        </w:tc>
        <w:tc>
          <w:tcPr>
            <w:tcW w:w="740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 w:rsidP="006776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Kwestie finansowania zadań z zakresu ochrony ludności i obrony cywilnej zostały określone w ustawie z dnia 5 grudnia 2024 r. o ochronie ludności i obronie cywilnej.</w:t>
            </w:r>
          </w:p>
          <w:p w:rsidR="0067764D" w:rsidRDefault="0067764D" w:rsidP="006776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Zgodnie z Oceną Skutków Regulacji do ustawy </w:t>
            </w:r>
            <w:r w:rsidRPr="00E55B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 </w:t>
            </w:r>
            <w:r w:rsidRPr="00E55BDE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ochronie ludności i obronie cywilnej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koszty na realizację zadań określonych w ustawie są pokrywane, w ramach środków będących w dyspozycji właściwych dysponentów części budżetu państwa. 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cs="Times New Roman"/>
                <w:sz w:val="22"/>
                <w:szCs w:val="22"/>
              </w:rPr>
              <w:t>Na finansowanie zadań z zakresu ochrony ludności i obrony cywilnej przeznacza się corocznie środki w wysokości nie niższej niż 0,3% produktu krajowego brutto, przy czym wysokość środków przeznaczanych na finansowanie zadań z zakresu ochrony ludności i obrony cywilnej zgodnie z Programem Ochrony Ludności i Obrony Cywilnej, ujętych w ramach limitu wydatków na finansowanie potrzeb obronnych, o którym mowa w art. 40 ustawy z dnia 11 marca 2022 r. o obronie Ojczyzny (Dz.</w:t>
            </w:r>
            <w:r w:rsidR="00531DFE">
              <w:rPr>
                <w:rFonts w:cs="Times New Roman"/>
                <w:sz w:val="22"/>
                <w:szCs w:val="22"/>
              </w:rPr>
              <w:t> </w:t>
            </w:r>
            <w:r>
              <w:rPr>
                <w:rFonts w:cs="Times New Roman"/>
                <w:sz w:val="22"/>
                <w:szCs w:val="22"/>
              </w:rPr>
              <w:t xml:space="preserve">U. z 2024 r. poz. 248, z </w:t>
            </w:r>
            <w:proofErr w:type="spellStart"/>
            <w:r>
              <w:rPr>
                <w:rFonts w:cs="Times New Roman"/>
                <w:sz w:val="22"/>
                <w:szCs w:val="22"/>
              </w:rPr>
              <w:t>późn</w:t>
            </w:r>
            <w:proofErr w:type="spellEnd"/>
            <w:r>
              <w:rPr>
                <w:rFonts w:cs="Times New Roman"/>
                <w:sz w:val="22"/>
                <w:szCs w:val="22"/>
              </w:rPr>
              <w:t>. zm.) wynosi 0,15 % produktu krajowego brutto. Istnieje także możliwość uzupełnienia finansowania zadań ochrony ludności i obrony cywilnej ze środków Funduszu Modernizacji Bezpieczeństwa Publicznego i Ochrony Ludności.</w:t>
            </w:r>
          </w:p>
        </w:tc>
      </w:tr>
      <w:tr w:rsidR="0067764D" w:rsidTr="0067764D">
        <w:trPr>
          <w:trHeight w:val="345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hideMark/>
          </w:tcPr>
          <w:p w:rsidR="0067764D" w:rsidRDefault="0067764D" w:rsidP="00CF7261">
            <w:pPr>
              <w:widowControl/>
              <w:numPr>
                <w:ilvl w:val="0"/>
                <w:numId w:val="7"/>
              </w:numPr>
              <w:autoSpaceDE/>
              <w:adjustRightInd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Wpływ na konkurencyjność gospodarki i przedsiębiorczość, w tym funkcjonowanie przedsiębiorców oraz na rodzinę, obywateli i gospodarstwa domowe 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Skutki </w:t>
            </w:r>
          </w:p>
        </w:tc>
      </w:tr>
      <w:tr w:rsidR="0067764D" w:rsidTr="0067764D">
        <w:trPr>
          <w:trHeight w:val="135"/>
        </w:trPr>
        <w:tc>
          <w:tcPr>
            <w:tcW w:w="38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Czas w latach od wejścia w życie zmian 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0 </w:t>
            </w:r>
          </w:p>
        </w:tc>
        <w:tc>
          <w:tcPr>
            <w:tcW w:w="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1 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2 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3 </w:t>
            </w:r>
          </w:p>
        </w:tc>
        <w:tc>
          <w:tcPr>
            <w:tcW w:w="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5 </w:t>
            </w:r>
          </w:p>
        </w:tc>
        <w:tc>
          <w:tcPr>
            <w:tcW w:w="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10 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Łącznie (0-10)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15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W ujęciu pieniężnym 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(w mln zł,  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ceny stałe z …… r.) </w:t>
            </w:r>
          </w:p>
        </w:tc>
        <w:tc>
          <w:tcPr>
            <w:tcW w:w="2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duże przedsiębiorstwa 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764D" w:rsidRDefault="0067764D">
            <w:pPr>
              <w:widowControl/>
              <w:autoSpaceDE/>
              <w:autoSpaceDN/>
              <w:adjustRightInd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sektor mikro-, małych i średnich przedsiębiorstw 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764D" w:rsidRDefault="0067764D">
            <w:pPr>
              <w:widowControl/>
              <w:autoSpaceDE/>
              <w:autoSpaceDN/>
              <w:adjustRightInd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rodzina, obywatele oraz gospodarstwa domowe 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764D" w:rsidRDefault="0067764D">
            <w:pPr>
              <w:widowControl/>
              <w:autoSpaceDE/>
              <w:autoSpaceDN/>
              <w:adjustRightInd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(dodaj/usuń)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15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W ujęciu niepieniężnym </w:t>
            </w:r>
          </w:p>
        </w:tc>
        <w:tc>
          <w:tcPr>
            <w:tcW w:w="2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duże przedsiębiorstwa </w:t>
            </w:r>
          </w:p>
        </w:tc>
        <w:tc>
          <w:tcPr>
            <w:tcW w:w="586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764D" w:rsidRDefault="0067764D">
            <w:pPr>
              <w:widowControl/>
              <w:autoSpaceDE/>
              <w:autoSpaceDN/>
              <w:adjustRightInd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sektor mikro-, małych i średnich przedsiębiorstw </w:t>
            </w:r>
          </w:p>
        </w:tc>
        <w:tc>
          <w:tcPr>
            <w:tcW w:w="586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5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764D" w:rsidRDefault="0067764D">
            <w:pPr>
              <w:widowControl/>
              <w:autoSpaceDE/>
              <w:autoSpaceDN/>
              <w:adjustRightInd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rodzina, obywatele oraz gospodarstwa domowe  </w:t>
            </w:r>
          </w:p>
        </w:tc>
        <w:tc>
          <w:tcPr>
            <w:tcW w:w="586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764D" w:rsidRDefault="0067764D">
            <w:pPr>
              <w:widowControl/>
              <w:autoSpaceDE/>
              <w:autoSpaceDN/>
              <w:adjustRightInd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(dodaj/usuń)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86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15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Niemierzalne </w:t>
            </w:r>
          </w:p>
        </w:tc>
        <w:tc>
          <w:tcPr>
            <w:tcW w:w="2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(dodaj/usuń)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86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764D" w:rsidRDefault="0067764D">
            <w:pPr>
              <w:widowControl/>
              <w:autoSpaceDE/>
              <w:autoSpaceDN/>
              <w:adjustRightInd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(dodaj/usuń)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586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836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Dodatkowe informacje, w tym wskazanie źródeł danych i przyjętych do obliczeń założeń  </w:t>
            </w:r>
          </w:p>
        </w:tc>
        <w:tc>
          <w:tcPr>
            <w:tcW w:w="740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Regulacja nie wpłynie na konkurencyjność gospodarki i przedsiębiorczość, w tym funkcjonowanie przedsiębiorców, a zwłaszcza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mikroprzedsiębiorców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, małych i</w:t>
            </w:r>
            <w:r w:rsidR="00531DFE">
              <w:rPr>
                <w:rFonts w:eastAsia="Times New Roman" w:cs="Times New Roman"/>
                <w:sz w:val="22"/>
                <w:szCs w:val="22"/>
              </w:rPr>
              <w:t> </w:t>
            </w:r>
            <w:r>
              <w:rPr>
                <w:rFonts w:eastAsia="Times New Roman" w:cs="Times New Roman"/>
                <w:sz w:val="22"/>
                <w:szCs w:val="22"/>
              </w:rPr>
              <w:t>średnich przedsiębiorców, oraz na sytuację ekonomiczną i społeczną rodziny, a</w:t>
            </w:r>
            <w:r w:rsidR="00531DFE">
              <w:rPr>
                <w:rFonts w:eastAsia="Times New Roman" w:cs="Times New Roman"/>
                <w:sz w:val="22"/>
                <w:szCs w:val="22"/>
              </w:rPr>
              <w:t> </w:t>
            </w:r>
            <w:r>
              <w:rPr>
                <w:rFonts w:eastAsia="Times New Roman" w:cs="Times New Roman"/>
                <w:sz w:val="22"/>
                <w:szCs w:val="22"/>
              </w:rPr>
              <w:t>także osób niepełnosprawnych oraz osób starszych. 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Przedmiotowy projekt z uwagi na swój charakter nie zawiera przepisów dotyczących zasad podejmowania, wykonywania lub zakończenia działalności gospodarczej, regulacji dotyczących majątkowych praw i obowiązków przedsiębiorców lub praw i</w:t>
            </w:r>
            <w:r w:rsidR="00531DFE">
              <w:rPr>
                <w:rFonts w:eastAsia="Times New Roman" w:cs="Times New Roman"/>
                <w:sz w:val="22"/>
                <w:szCs w:val="22"/>
              </w:rPr>
              <w:t> 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obowiązków przedsiębiorców wobec organów administracji publicznej, a zatem nie podlega obowiązkowi dokonania oceny przewidywanego wpływu proponowanych rozwiązań na działalność mikro, małych i średnich przedsiębiorców, stosownie do przepisów ustawy z dnia 6 marca 2018 r. – Prawo przedsiębiorców ani analizy zgodności projektu z tą ustawą w powyższym zakresie. </w:t>
            </w:r>
          </w:p>
        </w:tc>
      </w:tr>
      <w:tr w:rsidR="0067764D" w:rsidTr="0067764D">
        <w:trPr>
          <w:trHeight w:val="330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67764D" w:rsidRDefault="0067764D" w:rsidP="00CF7261">
            <w:pPr>
              <w:widowControl/>
              <w:numPr>
                <w:ilvl w:val="0"/>
                <w:numId w:val="8"/>
              </w:numPr>
              <w:autoSpaceDE/>
              <w:adjustRightInd/>
              <w:spacing w:line="240" w:lineRule="auto"/>
              <w:ind w:left="765" w:firstLine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 Zmiana obciążeń regulacyjnych (w tym obowiązków informacyjnych) wynikających z projektu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50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="0067764D">
              <w:rPr>
                <w:rFonts w:eastAsia="Times New Roman" w:cs="Times New Roman"/>
                <w:sz w:val="22"/>
                <w:szCs w:val="22"/>
              </w:rPr>
              <w:t>nie dotyczy </w:t>
            </w:r>
          </w:p>
        </w:tc>
      </w:tr>
      <w:tr w:rsidR="0067764D" w:rsidTr="0067764D">
        <w:trPr>
          <w:trHeight w:val="945"/>
        </w:trPr>
        <w:tc>
          <w:tcPr>
            <w:tcW w:w="49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Wprowadzane są obciążenia poza bezwzględnie wymaganymi przez UE (szczegóły w odwróconej tabeli zgodności). </w:t>
            </w:r>
          </w:p>
        </w:tc>
        <w:tc>
          <w:tcPr>
            <w:tcW w:w="46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tak </w:t>
            </w:r>
          </w:p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nie </w:t>
            </w:r>
          </w:p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nie dotyczy </w:t>
            </w:r>
          </w:p>
        </w:tc>
      </w:tr>
      <w:tr w:rsidR="0067764D" w:rsidTr="0067764D">
        <w:trPr>
          <w:trHeight w:val="1245"/>
        </w:trPr>
        <w:tc>
          <w:tcPr>
            <w:tcW w:w="49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zmniejszenie liczby dokumentów  </w:t>
            </w:r>
          </w:p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zmniejszenie liczby procedur </w:t>
            </w:r>
          </w:p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skrócenie czasu na załatwienie sprawy </w:t>
            </w:r>
          </w:p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 xml:space="preserve">inne: </w:t>
            </w:r>
            <w:r w:rsidR="0067764D"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 </w:t>
            </w:r>
            <w:r w:rsidR="0067764D"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 </w:t>
            </w:r>
            <w:r w:rsidR="0067764D"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 </w:t>
            </w:r>
            <w:r w:rsidR="0067764D"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 </w:t>
            </w:r>
            <w:r w:rsidR="0067764D"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 </w:t>
            </w:r>
            <w:r w:rsidR="0067764D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46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zwiększenie liczby dokumentów </w:t>
            </w:r>
          </w:p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zwiększenie liczby procedur </w:t>
            </w:r>
          </w:p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wydłużenie czasu na załatwienie sprawy </w:t>
            </w:r>
          </w:p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 xml:space="preserve">inne: </w:t>
            </w:r>
            <w:r w:rsidR="0067764D"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 </w:t>
            </w:r>
            <w:r w:rsidR="0067764D"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 </w:t>
            </w:r>
            <w:r w:rsidR="0067764D"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 </w:t>
            </w:r>
            <w:r w:rsidR="0067764D"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 </w:t>
            </w:r>
            <w:r w:rsidR="0067764D"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 </w:t>
            </w:r>
            <w:r w:rsidR="0067764D">
              <w:rPr>
                <w:rFonts w:eastAsia="Times New Roman" w:cs="Times New Roman"/>
                <w:sz w:val="22"/>
                <w:szCs w:val="22"/>
              </w:rPr>
              <w:t> </w:t>
            </w:r>
          </w:p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855"/>
        </w:trPr>
        <w:tc>
          <w:tcPr>
            <w:tcW w:w="49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Wprowadzane obciążenia są przystosowane do ich elektronizacji.  </w:t>
            </w:r>
          </w:p>
        </w:tc>
        <w:tc>
          <w:tcPr>
            <w:tcW w:w="46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tak </w:t>
            </w:r>
          </w:p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nie </w:t>
            </w:r>
          </w:p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nie dotyczy </w:t>
            </w:r>
          </w:p>
        </w:tc>
      </w:tr>
      <w:tr w:rsidR="0067764D" w:rsidTr="00E55BDE">
        <w:trPr>
          <w:trHeight w:val="387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531DFE">
            <w:pPr>
              <w:widowControl/>
              <w:autoSpaceDE/>
              <w:adjustRightInd/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Komentarz: nie dotyczy</w:t>
            </w:r>
          </w:p>
        </w:tc>
      </w:tr>
      <w:tr w:rsidR="0067764D" w:rsidTr="0067764D">
        <w:trPr>
          <w:trHeight w:val="135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hideMark/>
          </w:tcPr>
          <w:p w:rsidR="0067764D" w:rsidRDefault="0067764D" w:rsidP="00CF7261">
            <w:pPr>
              <w:widowControl/>
              <w:numPr>
                <w:ilvl w:val="0"/>
                <w:numId w:val="9"/>
              </w:numPr>
              <w:autoSpaceDE/>
              <w:adjustRightInd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Wpływ na rynek pracy 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Projekt pozostaje bez wpływu na rynek pracy. </w:t>
            </w:r>
          </w:p>
        </w:tc>
      </w:tr>
      <w:tr w:rsidR="0067764D" w:rsidTr="0067764D">
        <w:trPr>
          <w:trHeight w:val="135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hideMark/>
          </w:tcPr>
          <w:p w:rsidR="0067764D" w:rsidRDefault="0067764D" w:rsidP="00CF7261">
            <w:pPr>
              <w:widowControl/>
              <w:numPr>
                <w:ilvl w:val="0"/>
                <w:numId w:val="10"/>
              </w:numPr>
              <w:autoSpaceDE/>
              <w:adjustRightInd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Wpływ na pozostałe obszary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020"/>
        </w:trPr>
        <w:tc>
          <w:tcPr>
            <w:tcW w:w="34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środowisko naturalne </w:t>
            </w:r>
          </w:p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sytuacja i rozwój regionalny </w:t>
            </w:r>
          </w:p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sądy powszechne, administracyjne lub wojskowe </w:t>
            </w:r>
          </w:p>
        </w:tc>
        <w:tc>
          <w:tcPr>
            <w:tcW w:w="35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demografia </w:t>
            </w:r>
          </w:p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mienie państwowe </w:t>
            </w:r>
          </w:p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 xml:space="preserve">inne: </w:t>
            </w:r>
            <w:r w:rsidR="0067764D"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 </w:t>
            </w:r>
            <w:r w:rsidR="0067764D"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 </w:t>
            </w:r>
            <w:r w:rsidR="0067764D"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 </w:t>
            </w:r>
            <w:r w:rsidR="0067764D"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 </w:t>
            </w:r>
            <w:r w:rsidR="0067764D">
              <w:rPr>
                <w:rFonts w:eastAsia="Times New Roman" w:cs="Times New Roman"/>
                <w:sz w:val="22"/>
                <w:szCs w:val="22"/>
                <w:shd w:val="clear" w:color="auto" w:fill="E1E3E6"/>
              </w:rPr>
              <w:t> </w:t>
            </w:r>
          </w:p>
        </w:tc>
        <w:tc>
          <w:tcPr>
            <w:tcW w:w="2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informatyzacja </w:t>
            </w:r>
          </w:p>
          <w:p w:rsidR="0067764D" w:rsidRDefault="00531DFE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06DFA">
              <w:rPr>
                <w:color w:val="000000"/>
                <w:sz w:val="22"/>
                <w:szCs w:val="22"/>
              </w:rPr>
            </w:r>
            <w:r w:rsidR="00306DF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64D">
              <w:rPr>
                <w:rFonts w:eastAsia="Times New Roman" w:cs="Times New Roman"/>
                <w:sz w:val="22"/>
                <w:szCs w:val="22"/>
              </w:rPr>
              <w:t>zdrowie </w:t>
            </w:r>
          </w:p>
        </w:tc>
      </w:tr>
      <w:tr w:rsidR="0067764D" w:rsidTr="0067764D">
        <w:trPr>
          <w:trHeight w:val="705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Omówienie wpływu </w:t>
            </w:r>
          </w:p>
        </w:tc>
        <w:tc>
          <w:tcPr>
            <w:tcW w:w="740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7764D" w:rsidRDefault="0067764D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67764D" w:rsidTr="0067764D">
        <w:trPr>
          <w:trHeight w:val="135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hideMark/>
          </w:tcPr>
          <w:p w:rsidR="0067764D" w:rsidRDefault="0067764D" w:rsidP="00CF7261">
            <w:pPr>
              <w:widowControl/>
              <w:numPr>
                <w:ilvl w:val="0"/>
                <w:numId w:val="11"/>
              </w:numPr>
              <w:autoSpaceDE/>
              <w:adjustRightInd/>
              <w:spacing w:line="240" w:lineRule="auto"/>
              <w:ind w:left="765" w:firstLine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Planowane wykonanie przepisów aktu prawnego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Wykonanie przepisów rozporządzenia nastąpi wraz z jego wejściem w życie. </w:t>
            </w:r>
          </w:p>
        </w:tc>
      </w:tr>
      <w:tr w:rsidR="0067764D" w:rsidTr="0067764D">
        <w:trPr>
          <w:trHeight w:val="135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hideMark/>
          </w:tcPr>
          <w:p w:rsidR="0067764D" w:rsidRDefault="0067764D" w:rsidP="00CF7261">
            <w:pPr>
              <w:widowControl/>
              <w:numPr>
                <w:ilvl w:val="0"/>
                <w:numId w:val="12"/>
              </w:numPr>
              <w:autoSpaceDE/>
              <w:adjustRightInd/>
              <w:spacing w:line="240" w:lineRule="auto"/>
              <w:ind w:left="765" w:firstLine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 W jaki sposób i kiedy nastąpi ewaluacja efektów projektu oraz jakie mierniki zostaną zastosowane?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E55BDE">
            <w:pPr>
              <w:widowControl/>
              <w:autoSpaceDE/>
              <w:adjustRightInd/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Nie dotyczy.</w:t>
            </w:r>
          </w:p>
        </w:tc>
      </w:tr>
      <w:tr w:rsidR="0067764D" w:rsidTr="0067764D">
        <w:trPr>
          <w:trHeight w:val="135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hideMark/>
          </w:tcPr>
          <w:p w:rsidR="0067764D" w:rsidRDefault="0067764D" w:rsidP="00CF7261">
            <w:pPr>
              <w:widowControl/>
              <w:numPr>
                <w:ilvl w:val="0"/>
                <w:numId w:val="13"/>
              </w:numPr>
              <w:autoSpaceDE/>
              <w:adjustRightInd/>
              <w:spacing w:line="240" w:lineRule="auto"/>
              <w:ind w:left="765" w:firstLine="0"/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Załączniki (istotne dokumenty źródłowe, badania, analizy itp.) </w:t>
            </w:r>
            <w:r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67764D" w:rsidTr="0067764D">
        <w:trPr>
          <w:trHeight w:val="135"/>
        </w:trPr>
        <w:tc>
          <w:tcPr>
            <w:tcW w:w="96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7764D" w:rsidRDefault="0067764D">
            <w:pPr>
              <w:widowControl/>
              <w:autoSpaceDE/>
              <w:adjustRightInd/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Brak. </w:t>
            </w:r>
          </w:p>
        </w:tc>
      </w:tr>
    </w:tbl>
    <w:p w:rsidR="004A145E" w:rsidRDefault="004A145E"/>
    <w:sectPr w:rsidR="004A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49AF"/>
    <w:multiLevelType w:val="multilevel"/>
    <w:tmpl w:val="0D0CE6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255B4"/>
    <w:multiLevelType w:val="multilevel"/>
    <w:tmpl w:val="44FAA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332DE"/>
    <w:multiLevelType w:val="multilevel"/>
    <w:tmpl w:val="68B20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C60D5"/>
    <w:multiLevelType w:val="multilevel"/>
    <w:tmpl w:val="2A708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06AB2"/>
    <w:multiLevelType w:val="multilevel"/>
    <w:tmpl w:val="10B8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84D39"/>
    <w:multiLevelType w:val="multilevel"/>
    <w:tmpl w:val="73A043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316D3"/>
    <w:multiLevelType w:val="multilevel"/>
    <w:tmpl w:val="8842EB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67878"/>
    <w:multiLevelType w:val="multilevel"/>
    <w:tmpl w:val="BEAEBD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578C1"/>
    <w:multiLevelType w:val="multilevel"/>
    <w:tmpl w:val="A02C4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1683A"/>
    <w:multiLevelType w:val="multilevel"/>
    <w:tmpl w:val="88B62A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86693"/>
    <w:multiLevelType w:val="multilevel"/>
    <w:tmpl w:val="A36AC9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990EF3"/>
    <w:multiLevelType w:val="multilevel"/>
    <w:tmpl w:val="6422FF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A1519B"/>
    <w:multiLevelType w:val="multilevel"/>
    <w:tmpl w:val="C038A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95"/>
    <w:rsid w:val="00306DFA"/>
    <w:rsid w:val="004A145E"/>
    <w:rsid w:val="00531DFE"/>
    <w:rsid w:val="0067764D"/>
    <w:rsid w:val="008D3495"/>
    <w:rsid w:val="00E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73293-CDE4-4F11-9E43-D3F401D4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64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64D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67764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efault">
    <w:name w:val="Default"/>
    <w:rsid w:val="0067764D"/>
    <w:pPr>
      <w:autoSpaceDE w:val="0"/>
      <w:autoSpaceDN w:val="0"/>
      <w:adjustRightInd w:val="0"/>
      <w:spacing w:after="0" w:line="240" w:lineRule="auto"/>
    </w:pPr>
    <w:rPr>
      <w:rFonts w:ascii="Lato" w:eastAsia="Times New Roman" w:hAnsi="Lato" w:cs="Lato"/>
      <w:color w:val="00000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77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DP-WL</dc:creator>
  <cp:keywords/>
  <dc:description/>
  <cp:lastModifiedBy>Ćmiel Joanna</cp:lastModifiedBy>
  <cp:revision>2</cp:revision>
  <dcterms:created xsi:type="dcterms:W3CDTF">2024-12-19T13:19:00Z</dcterms:created>
  <dcterms:modified xsi:type="dcterms:W3CDTF">2024-12-19T13:19:00Z</dcterms:modified>
</cp:coreProperties>
</file>