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4668"/>
        <w:gridCol w:w="1873"/>
        <w:gridCol w:w="2070"/>
        <w:gridCol w:w="3552"/>
      </w:tblGrid>
      <w:tr w:rsidR="00F97EE2" w:rsidRPr="00F97EE2" w14:paraId="0906E9EA" w14:textId="77777777" w:rsidTr="00F97EE2">
        <w:trPr>
          <w:trHeight w:val="312"/>
        </w:trPr>
        <w:tc>
          <w:tcPr>
            <w:tcW w:w="1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71C9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TABELA ZGODNOŚCI</w:t>
            </w:r>
          </w:p>
        </w:tc>
      </w:tr>
      <w:tr w:rsidR="00F97EE2" w:rsidRPr="00F97EE2" w14:paraId="56075D44" w14:textId="77777777" w:rsidTr="00F97EE2">
        <w:trPr>
          <w:trHeight w:val="31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486AD4" w14:textId="4BB74EDD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TYTUŁ </w:t>
            </w:r>
            <w:r w:rsidR="0094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PROJEKTU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74965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Rozporządzenie Ministra Infrastruktury zmieniające rozporządzenie w sprawie udostępniania infrastruktury kolejowej</w:t>
            </w:r>
          </w:p>
        </w:tc>
      </w:tr>
      <w:tr w:rsidR="00F97EE2" w:rsidRPr="00F97EE2" w14:paraId="48556131" w14:textId="77777777" w:rsidTr="00F97EE2">
        <w:trPr>
          <w:trHeight w:val="67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1CEAB" w14:textId="5AABA372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TYTUŁ </w:t>
            </w:r>
            <w:r w:rsidR="0094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DOSTOSOWYWANEGO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AKTU PRAWNEGO</w:t>
            </w:r>
            <w:r w:rsidR="0094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 WDRAŻANYCH AKTÓW PRAWNYCH</w:t>
            </w:r>
            <w:r w:rsidR="0094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27593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Dyrektywa Parlamentu Europejskiego i Rady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2012/34/UE z dnia 21 listo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pada 2012 r. w sprawie utworzenia jednolitego europejskiego obszaru kolejowego</w:t>
            </w:r>
          </w:p>
        </w:tc>
      </w:tr>
      <w:tr w:rsidR="00F97EE2" w:rsidRPr="00F97EE2" w14:paraId="24CEAB16" w14:textId="77777777" w:rsidTr="00F97EE2">
        <w:trPr>
          <w:trHeight w:val="312"/>
        </w:trPr>
        <w:tc>
          <w:tcPr>
            <w:tcW w:w="1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7E7802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PRZEPISY UNII EUROPEJSKIEJ</w:t>
            </w:r>
          </w:p>
        </w:tc>
      </w:tr>
      <w:tr w:rsidR="00F97EE2" w:rsidRPr="00F97EE2" w14:paraId="4B1B4C3F" w14:textId="77777777" w:rsidTr="00F97EE2">
        <w:trPr>
          <w:trHeight w:val="93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633F9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 red.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4AE26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Treść przepisu UE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A0799" w14:textId="77777777" w:rsidR="009470E0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Konieczność wdrożenia </w:t>
            </w:r>
          </w:p>
          <w:p w14:paraId="1719C7B7" w14:textId="08DF6032" w:rsidR="00F97EE2" w:rsidRPr="00D954E3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95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T/N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7E23" w14:textId="05AA394A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Jedn. red. </w:t>
            </w:r>
            <w:proofErr w:type="spellStart"/>
            <w:r w:rsidR="0094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rozp</w:t>
            </w:r>
            <w:proofErr w:type="spellEnd"/>
            <w:r w:rsidR="0094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6E992" w14:textId="2EC55050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Treść przepisu</w:t>
            </w:r>
            <w:r w:rsidR="009470E0" w:rsidRPr="0094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/ów projektu (*)</w:t>
            </w:r>
          </w:p>
        </w:tc>
      </w:tr>
      <w:tr w:rsidR="00F97EE2" w:rsidRPr="00F97EE2" w14:paraId="675ADCF3" w14:textId="77777777" w:rsidTr="00F97EE2">
        <w:trPr>
          <w:trHeight w:val="156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EE4A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922F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CDF1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9196" w14:textId="18CF0A83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1</w:t>
            </w:r>
            <w:r w:rsidR="00E04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lit. a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E4B6" w14:textId="4258AA00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 2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„2) modyfikacja przydzielonej zdolności przepustowej – zmianę przydzielonej zdolności przepustowej, w wyniku której aplikant zakłada przynajmniej częściowe jej wykorzystanie;”,</w:t>
            </w:r>
          </w:p>
        </w:tc>
        <w:bookmarkStart w:id="0" w:name="_GoBack"/>
        <w:bookmarkEnd w:id="0"/>
      </w:tr>
      <w:tr w:rsidR="00F97EE2" w:rsidRPr="00F97EE2" w14:paraId="0A527BC2" w14:textId="77777777" w:rsidTr="00F97EE2">
        <w:trPr>
          <w:trHeight w:val="145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5761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FCCE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3924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C670" w14:textId="59D307C6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1</w:t>
            </w:r>
            <w:r w:rsidR="00E04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lit. b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7E8C" w14:textId="5E7E98C4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pkt 3 dodaje się pkt 3a w brzmieniu: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„3a) 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bruttotonokilometr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miernik pracy eksploatacyjnej odpowiadający przejazdowi jednej tony brutto towaru na odległość jednego kilometra;”;</w:t>
            </w:r>
          </w:p>
        </w:tc>
      </w:tr>
      <w:tr w:rsidR="00F97EE2" w:rsidRPr="00F97EE2" w14:paraId="2C60FDD4" w14:textId="77777777" w:rsidTr="00F97EE2">
        <w:trPr>
          <w:trHeight w:val="202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6C1D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Rozdział IV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Sekcja 2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Art. 31 ust. 3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5592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Pobieranie opłat za użytkowanie infrastruktury kolejowej i alokacja zdolności przepustowej infrastruktury kolejowej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Opłaty za infrastrukturę i usługi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Bez uszczerbku dla ust. 4 lub 5 niniejszego artykułu lub dla art. 32 opłaty za minimalny pakiet dostępu i za dostęp do infrastruktury </w:t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łączącej obiekty infrastruktury usługowej ustala się po koszcie, który jest bezpośrednio ponoszony jako rezultat przejazdu pociągu.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B55B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2C84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§ 1 pkt 2 lit.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a, b i g</w:t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5B59" w14:textId="39B77E15" w:rsidR="00CD1FB3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a)</w:t>
            </w:r>
            <w:r w:rsidR="001C031B" w:rsidRPr="001C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ust. 2 otrzymuje brzmienie:</w:t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„2. Część stawki zależną od kosztów bezpośrednich ustala się jako sumę części stawki zależnej od masy pociągu i kategorii linii kolejowych, części stawki zależnej od trakcji pociągu oraz części </w:t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stawki zależnej od postojów handlowych przy peronach.</w:t>
            </w:r>
            <w:r w:rsidR="001C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”,</w:t>
            </w:r>
          </w:p>
          <w:p w14:paraId="3D25CB7C" w14:textId="1762667D" w:rsid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="001C031B" w:rsidRPr="001C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ust. 4 otrzymuje brzmienie:</w:t>
            </w:r>
            <w:r w:rsidRPr="00F9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„4. Średnią stawkę zależną od masy pociągu i kategorii linii kolejowych ustala się jako iloraz planowanych kosztów bezpośrednich – z wyłączeniem kosztów udostępniania urządzeń dostarczających energię trakcyjną oraz kosztów udostępniania peronów wraz z infrastrukturą umożliwiającą pasażerom dostęp do peronu, pieszo lub pojazdem, z drogi publicznej lub dworca kolejowego – oraz planowanej pracy eksploatacyjnej.”,</w:t>
            </w:r>
          </w:p>
          <w:p w14:paraId="6123903A" w14:textId="35028C19" w:rsidR="00E965D2" w:rsidRPr="00F97EE2" w:rsidRDefault="00E965D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g)</w:t>
            </w:r>
            <w:r w:rsidR="001C031B" w:rsidRPr="001C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ust. 12 dodaje się ust. 12a w brzmieniu: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„12a. Część stawki zależną od postojów handlowych przy peronach ustala się jako iloraz planowanych kosztów bezpośrednich w zakresie udostępniania peronów wraz z infrastrukturą umożliwiającą pasażerom dostęp do peronów pieszo lub pojazdem, z drogi publicznej lub dworca kolejowego oraz planowanej pracy eksploatacyjnej dla pociągów realizujących postoje handlowe przy peronach.”</w:t>
            </w:r>
          </w:p>
        </w:tc>
      </w:tr>
      <w:tr w:rsidR="00F97EE2" w:rsidRPr="00F97EE2" w14:paraId="2A1DD7AE" w14:textId="77777777" w:rsidTr="00F97EE2">
        <w:trPr>
          <w:trHeight w:val="126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CFAF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56C0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C5FD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4443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2 lit. c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B7E0" w14:textId="3DC567E2" w:rsidR="00F97EE2" w:rsidRPr="00F97EE2" w:rsidRDefault="00E965D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965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  <w:r w:rsidRPr="00E965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uchyla się ust. 7 i 8,</w:t>
            </w:r>
          </w:p>
        </w:tc>
      </w:tr>
      <w:tr w:rsidR="00F97EE2" w:rsidRPr="00F97EE2" w14:paraId="3CA495A7" w14:textId="77777777" w:rsidTr="00F97EE2">
        <w:trPr>
          <w:trHeight w:val="62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F6BE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AA45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EB56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2D05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2 lit. d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C612" w14:textId="592F29E8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ust. 10 uchyla się pkt 1,</w:t>
            </w:r>
          </w:p>
        </w:tc>
      </w:tr>
      <w:tr w:rsidR="00F97EE2" w:rsidRPr="00F97EE2" w14:paraId="1D3803F1" w14:textId="77777777" w:rsidTr="00F97EE2">
        <w:trPr>
          <w:trHeight w:val="62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FDD7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D03C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714E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7934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2 lit. e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9EC1" w14:textId="01679D33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ust. 11 uchyla się pkt 1,</w:t>
            </w:r>
          </w:p>
        </w:tc>
      </w:tr>
      <w:tr w:rsidR="00F97EE2" w:rsidRPr="00F97EE2" w14:paraId="3280C098" w14:textId="77777777" w:rsidTr="00F97EE2">
        <w:trPr>
          <w:trHeight w:val="124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0660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51D6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6B17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1DDC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2 lit. f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45DA" w14:textId="7F0660ED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ust. 12 pkt 2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„2) wynosi 0 zł/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pociągokilometr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0 zł/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bruttotonokilometr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pociągów prowadzonych trakcją inną niż elektryczna.”,</w:t>
            </w:r>
          </w:p>
        </w:tc>
      </w:tr>
      <w:tr w:rsidR="00F97EE2" w:rsidRPr="00F97EE2" w14:paraId="1372B03D" w14:textId="77777777" w:rsidTr="00D954E3">
        <w:trPr>
          <w:trHeight w:val="126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8F92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8BF0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3CFF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8735" w14:textId="3FBBF883" w:rsidR="00D954E3" w:rsidRDefault="00F97EE2" w:rsidP="00D9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2 lit. h rozporządzenia</w:t>
            </w:r>
          </w:p>
          <w:p w14:paraId="29BFD786" w14:textId="77777777" w:rsidR="00F97EE2" w:rsidRPr="00D954E3" w:rsidRDefault="00F97EE2" w:rsidP="00D9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FDB2" w14:textId="5C322D32" w:rsidR="00D954E3" w:rsidRDefault="00F97EE2" w:rsidP="00D9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ust. 13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„13. Planowaną wysokość kosztów bezpośrednich ustala się na podstawie wysokości odpowiednich kosztów bezpośrednich poniesionych w roku obrotowym przyjętym jako rok bazowy, z którego pochodzą wszystkie mierzone lub prognozowane dane do określenia stawek jednostkowych opłat, z uwzględnieniem: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„1) współczynnika zmienności pracy eksploatacyjnej, ustalonego jako iloraz liczby dni w rocznym rozkładzie jazdy pociągów, na który ustala się stawki, i liczby dni w roku przyjętym jako rok bazowy;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2) planowanych lub znanych wskaźników inflacji na kolejne lata po roku przyjętym jako rok bazowy, a w przypadku kosztów wynagrodzeń, planowanych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wskaźników inflacji oraz planowanych wskaźników dynamiki realnej wynagrodzenia brutto w gospodarce narodowej.”,</w:t>
            </w:r>
          </w:p>
          <w:p w14:paraId="7D585E85" w14:textId="77777777" w:rsidR="00F97EE2" w:rsidRPr="00D954E3" w:rsidRDefault="00F97EE2" w:rsidP="00D95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7EE2" w:rsidRPr="00F97EE2" w14:paraId="07D11962" w14:textId="77777777" w:rsidTr="00F97EE2">
        <w:trPr>
          <w:trHeight w:val="93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C5B0" w14:textId="5591F8C0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CD3F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E1B3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5495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2 lit. i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E00D" w14:textId="0BFCCB75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uchyla się ust. 16,</w:t>
            </w:r>
          </w:p>
        </w:tc>
      </w:tr>
      <w:tr w:rsidR="00F97EE2" w:rsidRPr="00F97EE2" w14:paraId="38D18AF8" w14:textId="77777777" w:rsidTr="00F97EE2">
        <w:trPr>
          <w:trHeight w:val="777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8317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Rozdział IV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Sekcja 2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32 ust. 1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F5EE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Pobieranie opłat za użytkowanie infrastruktury kolejowej i alokacja zdolności przepustowej infrastruktury kolejowej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Opłaty za infrastrukturę i usługi </w:t>
            </w:r>
            <w:r w:rsidRPr="00F97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 celu odzyskania całości kosztów poniesionych przez zarządcę infrastruktury państwo członkowskie może, jeżeli kondycja rynku to umożliwia, dokonywać podwyżek na podstawie efektywnych, przejrzystych i niedyskryminacyjnych zasad, gwarantując przy tym optymalną konkurencyjność segmentów rynku kolejowego. System pobierania opłat uwzględnia wzrosty produktywności osiągnięte przez przedsiębiorstwa kolejowe.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Poziom opłat nie może jednak wykluczać użytkowania infrastruktury przez segmenty rynku, które mogą zapłacić przynajmniej koszty ponoszone bezpośrednio w wyniku prowadzenia przewozów kolejowych, powiększone o pewną stopę zwrotu, którą umożliwia kondycja rynku.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 zatwierdzeniem wprowadzenia podwyżek państwa członkowskie zapewniają, aby zarządcy infrastruktury ocenili ich znaczenie dla określonych segmentów rynku, biorąc pod uwagę co najmniej pary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wymienione w załączniku VI pkt 1 i zachowując te właściwe. Wykaz sektorów rynku określony przez zarządców infrastruktury zawiera co najmniej trzy następujące segmenty: przewozy towarowe, przewozy pasażerskie w ramach umowy o świadczeniu usługi publicznej oraz inne przewozy pasażerskie.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Zarządcy infrastruktury mogą dalej rozróżniać segmenty rynku według przewożonych towarów lub pasażerów.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Określone zostaną również segmenty rynku, w których przedsiębiorstwa kolejowe obecnie nie działają, ale mogą świadczyć usługi w okresie obowiązywania systemu pobierania opłat. Zarządca infrastruktury nie uwzględnia podwyżki w systemie pobierania opłat w tych segmentach rynku.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Wykaz segmentów rynku jest publikowany w regulaminie sieci i podlega przeglądowi przynajmniej raz na pięć lat. Organ regulacyjny, o którym mowa w art. 55, sprawdza ten wykaz zgodnie z art. 56.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6695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6700" w14:textId="5DB477D4" w:rsid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§ 1 pkt 2 lit. j </w:t>
            </w:r>
            <w:r w:rsidR="00B42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rozporządzenia</w:t>
            </w:r>
          </w:p>
          <w:p w14:paraId="6C54BEC1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9BA83F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0FC2B0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0C9B65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2C4C9B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17A752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B4CF67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028164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DAD94B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D8FBEC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5B16AB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20E0DB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4AADF6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2A70B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6632EC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D30EC6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4F24BF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0B32D7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0D4FA7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8723CE" w14:textId="77777777" w:rsidR="00235B31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3321AB" w14:textId="78731058" w:rsidR="00235B31" w:rsidRPr="00F97EE2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07FE" w14:textId="7146F095" w:rsid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ust. 17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„17. Zarządca może określić w regulaminie sieci część stawki związanej z rodzajem wykonywanych przewozów, o której mowa w ust. 1, jako wartość wyższą niż 0 zł/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pociągokilometr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0 zł/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bruttotonokilometr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jeżeli na podstawie analizy rynku wykazał, że taka wartość nie spowoduje przejęcia przewozów przez transport samochodowy ani nie spowoduje zwiększenia udziału w rynku przez transport samochodowy. System pobierania opłat uwzględnia wzrosty produktywności osiągnięte przez przewoźników kolejowych w roku obrotowym przyjętym jako rok bazowy.”,</w:t>
            </w:r>
          </w:p>
          <w:p w14:paraId="706C8FA2" w14:textId="77777777" w:rsidR="00235B31" w:rsidRPr="00235B31" w:rsidRDefault="00235B31" w:rsidP="00235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k)</w:t>
            </w:r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  <w:t>ust. 17a otrzymuje brzmienie:</w:t>
            </w:r>
          </w:p>
          <w:p w14:paraId="312EF79F" w14:textId="77777777" w:rsidR="00235B31" w:rsidRPr="00235B31" w:rsidRDefault="00235B31" w:rsidP="00235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„17a. W przypadku, o którym mowa w ust. 17, zarządca określa segmenty rynku, w których przewoźnicy kolejowi obecnie nie </w:t>
            </w:r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działają, ale mogą świadczyć usługi, albo mogą zwiększyć udział w rynku w okresie obowiązywania rocznego rozkładu jazdy pociągów. W tych segmentach rynku zarządca ustala wartość stawki związanej z rodzajem wykonywanych przewozów w wysokości 0 zł/</w:t>
            </w:r>
            <w:proofErr w:type="spellStart"/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pociągokilometr</w:t>
            </w:r>
            <w:proofErr w:type="spellEnd"/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lub 0 zł/</w:t>
            </w:r>
            <w:proofErr w:type="spellStart"/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bruttotonokilometr</w:t>
            </w:r>
            <w:proofErr w:type="spellEnd"/>
            <w:r w:rsidRPr="00235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.”,</w:t>
            </w:r>
          </w:p>
          <w:p w14:paraId="189F7829" w14:textId="1EF9968B" w:rsidR="00235B31" w:rsidRPr="00F97EE2" w:rsidRDefault="00235B31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7EE2" w:rsidRPr="00F97EE2" w14:paraId="26B5A85B" w14:textId="77777777" w:rsidTr="00F97EE2">
        <w:trPr>
          <w:trHeight w:val="983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3046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C1A7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DD70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ED41" w14:textId="498884A1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§ 1 pkt 2 lit. </w:t>
            </w:r>
            <w:r w:rsidR="0023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88BE" w14:textId="1555021C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l)</w:t>
            </w:r>
            <w:r w:rsidR="00235B31" w:rsidRPr="0023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ust. 20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„20. Zarządca może odstąpić od przeprowadzania analizy, o której mowa w ust. 17, jeżeli przyjmie, że wartość części stawki związanej z rodzajem wykonywanych przewozów, o którym mowa w ust.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1, wynosi 0 zł/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pociągokilometr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0 zł/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bruttotonokilometr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wszystkich rodzajów przewozów.”,</w:t>
            </w:r>
          </w:p>
        </w:tc>
      </w:tr>
      <w:tr w:rsidR="00F97EE2" w:rsidRPr="00F97EE2" w14:paraId="0B3171C1" w14:textId="77777777" w:rsidTr="00F97EE2">
        <w:trPr>
          <w:trHeight w:val="93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81E7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4266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27D5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FBFB" w14:textId="793EBC0B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§ 1 pkt 2 lit. </w:t>
            </w:r>
            <w:r w:rsidR="00235B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B1B6" w14:textId="76C0E3F6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ust. 22 w pkt 1 i 2 oraz w ust. 24 wyrazy „ust. 1–-17” zastępuje się wyrazami „ust. 1 –6,- 9– 15 i 17”;</w:t>
            </w:r>
          </w:p>
        </w:tc>
      </w:tr>
      <w:tr w:rsidR="00F97EE2" w:rsidRPr="00F97EE2" w14:paraId="0F7E0566" w14:textId="77777777" w:rsidTr="00F97EE2">
        <w:trPr>
          <w:trHeight w:val="622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BC7A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531C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3B42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1489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3 lit. a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C97F" w14:textId="60F638D8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23: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ust. 1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„1. W przypadku niewykorzystania przez przewoźnika, z przyczyn leżących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 jego stronie, całej albo części przydzielonej trasy pociągu, opłata rezerwacyjna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 niewykorzystany odcinek przydzielonej trasy pociągu wynosi: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100% opłaty podstawowej za planowany przejazd pociągu przy braku złożenia rezygnacji z przydzielonej trasy pociągu;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25% opłaty podstawowej za planowany przejazd pociągu w przypadku złożenia rezygnacji z przydzielonej trasy pociągu w terminie krótszym niż 12 godzin przed planowym uruchomieniem pociągu;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3) 20% opłaty podstawowej za planowany przejazd pociągu w przypadku złożenia rezygnacji z przydzielonej trasy pociągu w terminie nie krótszym niż 12 godzin i krótszym niż 36 godzin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 planowym uruchomieniem pociągu;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4) 15% opłaty podstawowej za planowany przejazd pociągu w przypadku złożenia rezygnacji z przydzielonej trasy pociągu w terminie nie krótszym niż 36 godzin i krótszym niż 72 godziny przed planowym uruchomieniem pociągu;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5) 10% opłaty podstawowej za planowany przejazd pociągu w przypadku złożenia rezygnacji z przydzielonej trasy pociągu w terminie nie krótszym niż 72 godziny i nie dłuższym niż 30 dni przed planowym uruchomieniem pociągu;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6) 0% opłaty podstawowej za planowany przejazd pociągu w przypadku złożenia rezygnacji z przydzielonej trasy pociągu w terminie dłuższym niż 30 dni przed planowanym uruchomieniem pociągu.”;</w:t>
            </w:r>
          </w:p>
        </w:tc>
      </w:tr>
      <w:tr w:rsidR="00F97EE2" w:rsidRPr="00F97EE2" w14:paraId="2DFAB847" w14:textId="77777777" w:rsidTr="00F97EE2">
        <w:trPr>
          <w:trHeight w:val="70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E20F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48A5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AAB2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56D1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3 lit. b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55D5" w14:textId="60EFA6A2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23: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ust. 2 skreśla się wyrazy „pkt 2”,</w:t>
            </w:r>
          </w:p>
        </w:tc>
      </w:tr>
      <w:tr w:rsidR="00F97EE2" w:rsidRPr="00F97EE2" w14:paraId="29FBA8F1" w14:textId="77777777" w:rsidTr="00F97EE2">
        <w:trPr>
          <w:trHeight w:val="69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44DA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167E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BB8F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4A58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3 lit. c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F34D" w14:textId="64D891D4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23: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uchyla się ust. 3,</w:t>
            </w:r>
          </w:p>
        </w:tc>
      </w:tr>
      <w:tr w:rsidR="00F97EE2" w:rsidRPr="00F97EE2" w14:paraId="393EB270" w14:textId="77777777" w:rsidTr="00F97EE2">
        <w:trPr>
          <w:trHeight w:val="232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E278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E2EB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3C97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6A49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3 lit. d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4F0E" w14:textId="5F8B2191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23: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ust. 4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„4. Opłata rezerwacyjna, o której mowa w ust. 1, wynosi 0% opłaty podstawowej za planowany przejazd pociągu w przypadku, gdy niewykorzystanie trasy pociągu jest następstwem wniosku o przydzielenie trasy pociągu dotyczącego modyfikacji przydzielonej trasy pociągu złożonego w ramach zmiany rozkładu jazdy pociągów.”;</w:t>
            </w:r>
          </w:p>
        </w:tc>
      </w:tr>
      <w:tr w:rsidR="00F97EE2" w:rsidRPr="00F97EE2" w14:paraId="0471E5EE" w14:textId="77777777" w:rsidTr="00F97EE2">
        <w:trPr>
          <w:trHeight w:val="103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512C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E0B2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F317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9ECF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4 lit. a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42F2" w14:textId="77939C2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27 w ust. 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pkt 19 dodaje się pkt 19a w brzmieniu: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„19a) plan wykonania, o którym mowa w art. 30f ust. 4 ustawy,”,</w:t>
            </w:r>
          </w:p>
        </w:tc>
      </w:tr>
      <w:tr w:rsidR="00F97EE2" w:rsidRPr="00F97EE2" w14:paraId="38A20361" w14:textId="77777777" w:rsidTr="00F97EE2">
        <w:trPr>
          <w:trHeight w:val="142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8ECA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9F1F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2388" w14:textId="77777777" w:rsidR="00F97EE2" w:rsidRPr="00F97EE2" w:rsidRDefault="00F97EE2" w:rsidP="00F9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E5E1" w14:textId="77777777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1 pkt 4 lit. b rozporządzenia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E1E5" w14:textId="74DA7442" w:rsidR="00F97EE2" w:rsidRPr="00F97EE2" w:rsidRDefault="00F97EE2" w:rsidP="00F9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§ 27 w ust. 1: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</w:t>
            </w:r>
            <w:r w:rsidR="001C031B" w:rsidRPr="001C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 21 otrzymuje brzmienie: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„21) procedury rozstrzygania sporów i </w:t>
            </w:r>
            <w:proofErr w:type="spellStart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odwołań</w:t>
            </w:r>
            <w:proofErr w:type="spellEnd"/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zakresie spraw związanych </w:t>
            </w:r>
            <w:r w:rsidRPr="00F97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udostępnianiem infrastruktury kolejowej,”.</w:t>
            </w:r>
          </w:p>
        </w:tc>
      </w:tr>
    </w:tbl>
    <w:p w14:paraId="0BBD2DF6" w14:textId="04166F4A" w:rsidR="0037161E" w:rsidRPr="00F97EE2" w:rsidRDefault="00E85EEF" w:rsidP="00F97EE2"/>
    <w:sectPr w:rsidR="0037161E" w:rsidRPr="00F97EE2" w:rsidSect="00F97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1E"/>
    <w:rsid w:val="001C031B"/>
    <w:rsid w:val="00235B31"/>
    <w:rsid w:val="00257E91"/>
    <w:rsid w:val="007247C9"/>
    <w:rsid w:val="00762146"/>
    <w:rsid w:val="007D5D60"/>
    <w:rsid w:val="009470E0"/>
    <w:rsid w:val="00984E1E"/>
    <w:rsid w:val="00B42A0B"/>
    <w:rsid w:val="00CD1FB3"/>
    <w:rsid w:val="00D954E3"/>
    <w:rsid w:val="00E04366"/>
    <w:rsid w:val="00E85EEF"/>
    <w:rsid w:val="00E965D2"/>
    <w:rsid w:val="00F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8E5"/>
  <w15:chartTrackingRefBased/>
  <w15:docId w15:val="{E5E874C3-C577-4788-BE72-145E260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F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F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Świtalski Wojciech</dc:creator>
  <cp:keywords/>
  <dc:description/>
  <cp:lastModifiedBy>Kłys Katarzyna</cp:lastModifiedBy>
  <cp:revision>4</cp:revision>
  <dcterms:created xsi:type="dcterms:W3CDTF">2024-12-11T16:16:00Z</dcterms:created>
  <dcterms:modified xsi:type="dcterms:W3CDTF">2024-12-12T10:17:00Z</dcterms:modified>
</cp:coreProperties>
</file>