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107DE" w14:textId="19E7A413" w:rsidR="00111BA8" w:rsidRPr="00F16A0E" w:rsidRDefault="00111BA8" w:rsidP="00FB3347">
      <w:pPr>
        <w:spacing w:after="120" w:line="240" w:lineRule="auto"/>
        <w:jc w:val="right"/>
        <w:rPr>
          <w:rStyle w:val="Ppogrubienie"/>
        </w:rPr>
      </w:pPr>
      <w:r w:rsidRPr="00F16A0E">
        <w:rPr>
          <w:rFonts w:cs="Times New Roman"/>
          <w:szCs w:val="24"/>
          <w:u w:val="single"/>
        </w:rPr>
        <w:t xml:space="preserve">Projekt z dnia </w:t>
      </w:r>
      <w:r w:rsidR="00FB3347" w:rsidRPr="00F16A0E">
        <w:rPr>
          <w:rFonts w:cs="Times New Roman"/>
          <w:szCs w:val="24"/>
          <w:u w:val="single"/>
        </w:rPr>
        <w:t>2</w:t>
      </w:r>
      <w:r w:rsidR="00F16A0E" w:rsidRPr="00F16A0E">
        <w:rPr>
          <w:rFonts w:cs="Times New Roman"/>
          <w:szCs w:val="24"/>
          <w:u w:val="single"/>
        </w:rPr>
        <w:t>3</w:t>
      </w:r>
      <w:r w:rsidR="00FB3347" w:rsidRPr="00F16A0E">
        <w:rPr>
          <w:rFonts w:cs="Times New Roman"/>
          <w:szCs w:val="24"/>
          <w:u w:val="single"/>
        </w:rPr>
        <w:t xml:space="preserve"> grudnia</w:t>
      </w:r>
      <w:r w:rsidR="002555E6" w:rsidRPr="00F16A0E">
        <w:rPr>
          <w:rFonts w:cs="Times New Roman"/>
          <w:szCs w:val="24"/>
          <w:u w:val="single"/>
        </w:rPr>
        <w:t xml:space="preserve"> </w:t>
      </w:r>
      <w:r w:rsidRPr="00F16A0E">
        <w:rPr>
          <w:rFonts w:cs="Times New Roman"/>
          <w:szCs w:val="24"/>
          <w:u w:val="single"/>
        </w:rPr>
        <w:t>2024 r.</w:t>
      </w:r>
    </w:p>
    <w:p w14:paraId="37D880D5" w14:textId="47623574" w:rsidR="002A67A8" w:rsidRPr="00F16A0E" w:rsidRDefault="00111BA8" w:rsidP="00FB3347">
      <w:pPr>
        <w:widowControl/>
        <w:autoSpaceDE/>
        <w:autoSpaceDN/>
        <w:adjustRightInd/>
        <w:spacing w:after="120" w:line="240" w:lineRule="auto"/>
        <w:jc w:val="center"/>
        <w:rPr>
          <w:rFonts w:cs="Times New Roman"/>
        </w:rPr>
      </w:pPr>
      <w:r w:rsidRPr="00F16A0E">
        <w:rPr>
          <w:rStyle w:val="Ppogrubienie"/>
        </w:rPr>
        <w:t>UZASADNIENIE</w:t>
      </w:r>
    </w:p>
    <w:p w14:paraId="19725833" w14:textId="48C569A4" w:rsidR="00CF3215" w:rsidRPr="00F16A0E" w:rsidRDefault="00DF1D43" w:rsidP="00F16A0E">
      <w:pPr>
        <w:spacing w:after="120" w:line="240" w:lineRule="auto"/>
        <w:jc w:val="both"/>
        <w:rPr>
          <w:rFonts w:cs="Times New Roman"/>
          <w:szCs w:val="24"/>
        </w:rPr>
      </w:pPr>
      <w:r w:rsidRPr="00F16A0E">
        <w:rPr>
          <w:rFonts w:cs="Times New Roman"/>
          <w:szCs w:val="24"/>
        </w:rPr>
        <w:t>Projekt rozporządzenia Ministra Klimatu i Śr</w:t>
      </w:r>
      <w:r w:rsidR="00A94B3A" w:rsidRPr="00F16A0E">
        <w:rPr>
          <w:rFonts w:cs="Times New Roman"/>
          <w:szCs w:val="24"/>
        </w:rPr>
        <w:t>o</w:t>
      </w:r>
      <w:r w:rsidRPr="00F16A0E">
        <w:rPr>
          <w:rFonts w:cs="Times New Roman"/>
          <w:szCs w:val="24"/>
        </w:rPr>
        <w:t>dowiska w sprawie minimalnego udziału biokomponentów zawartych w paliwach ciekłych stosowanych we wszystkich rodzajach transportu</w:t>
      </w:r>
      <w:r w:rsidR="00643EFB" w:rsidRPr="00F16A0E">
        <w:rPr>
          <w:rFonts w:cs="Times New Roman"/>
          <w:szCs w:val="24"/>
        </w:rPr>
        <w:t xml:space="preserve"> </w:t>
      </w:r>
      <w:r w:rsidR="00E55DF4" w:rsidRPr="00F16A0E">
        <w:rPr>
          <w:rFonts w:cs="Times New Roman"/>
          <w:szCs w:val="24"/>
        </w:rPr>
        <w:t>wykonuj</w:t>
      </w:r>
      <w:r w:rsidR="0025295B" w:rsidRPr="00F16A0E">
        <w:rPr>
          <w:rFonts w:cs="Times New Roman"/>
          <w:szCs w:val="24"/>
        </w:rPr>
        <w:t>e</w:t>
      </w:r>
      <w:r w:rsidR="0004162C" w:rsidRPr="00F16A0E">
        <w:rPr>
          <w:rFonts w:cs="Times New Roman"/>
          <w:szCs w:val="24"/>
        </w:rPr>
        <w:t xml:space="preserve"> </w:t>
      </w:r>
      <w:r w:rsidR="000C0D00" w:rsidRPr="00F16A0E">
        <w:rPr>
          <w:rFonts w:cs="Times New Roman"/>
          <w:szCs w:val="24"/>
        </w:rPr>
        <w:t xml:space="preserve">fakultatywne </w:t>
      </w:r>
      <w:r w:rsidR="0004162C" w:rsidRPr="00F16A0E">
        <w:rPr>
          <w:rFonts w:cs="Times New Roman"/>
          <w:szCs w:val="24"/>
        </w:rPr>
        <w:t>upoważnienie ustawowe</w:t>
      </w:r>
      <w:r w:rsidR="00643EFB" w:rsidRPr="00F16A0E">
        <w:rPr>
          <w:rFonts w:cs="Times New Roman"/>
          <w:szCs w:val="24"/>
        </w:rPr>
        <w:t xml:space="preserve"> zawarte w art. 23b ust. 4 ustawy z</w:t>
      </w:r>
      <w:r w:rsidR="00C93B14" w:rsidRPr="00F16A0E">
        <w:rPr>
          <w:rFonts w:cs="Times New Roman"/>
          <w:szCs w:val="24"/>
        </w:rPr>
        <w:t> </w:t>
      </w:r>
      <w:r w:rsidR="00643EFB" w:rsidRPr="00F16A0E">
        <w:rPr>
          <w:rFonts w:cs="Times New Roman"/>
          <w:szCs w:val="24"/>
        </w:rPr>
        <w:t>dnia 25 sierpnia 2006 r. o biokomponentach i biopaliwach ciekłych (Dz. U. z 2024 r. poz. 20</w:t>
      </w:r>
      <w:r w:rsidR="00D340CF" w:rsidRPr="00F16A0E">
        <w:rPr>
          <w:rFonts w:cs="Times New Roman"/>
          <w:szCs w:val="24"/>
        </w:rPr>
        <w:t xml:space="preserve"> i 834</w:t>
      </w:r>
      <w:r w:rsidR="00643EFB" w:rsidRPr="00F16A0E">
        <w:rPr>
          <w:rFonts w:cs="Times New Roman"/>
          <w:szCs w:val="24"/>
        </w:rPr>
        <w:t>)</w:t>
      </w:r>
      <w:r w:rsidR="00F004AF" w:rsidRPr="00F16A0E">
        <w:rPr>
          <w:rFonts w:cs="Times New Roman"/>
          <w:szCs w:val="24"/>
        </w:rPr>
        <w:t>, zwanej dalej „ustawą”</w:t>
      </w:r>
      <w:r w:rsidR="00CF3215" w:rsidRPr="00F16A0E">
        <w:rPr>
          <w:rFonts w:cs="Times New Roman"/>
          <w:szCs w:val="24"/>
        </w:rPr>
        <w:t>.</w:t>
      </w:r>
      <w:r w:rsidR="001517D5" w:rsidRPr="00F16A0E">
        <w:rPr>
          <w:rFonts w:cs="Times New Roman"/>
          <w:szCs w:val="24"/>
        </w:rPr>
        <w:t xml:space="preserve"> </w:t>
      </w:r>
    </w:p>
    <w:p w14:paraId="59B5984C" w14:textId="1C751147" w:rsidR="00276754" w:rsidRPr="00F16A0E" w:rsidRDefault="000F1732" w:rsidP="00F16A0E">
      <w:pPr>
        <w:spacing w:after="120" w:line="240" w:lineRule="auto"/>
        <w:jc w:val="both"/>
        <w:rPr>
          <w:rFonts w:cs="Times New Roman"/>
          <w:szCs w:val="24"/>
        </w:rPr>
      </w:pPr>
      <w:r w:rsidRPr="00F16A0E">
        <w:rPr>
          <w:rFonts w:cs="Times New Roman"/>
          <w:szCs w:val="24"/>
        </w:rPr>
        <w:t>Obowiązek dodawania określonych biokomponentów do paliw ciekłych, tzw. obligatoryjn</w:t>
      </w:r>
      <w:r w:rsidR="008826B4" w:rsidRPr="00F16A0E">
        <w:rPr>
          <w:rFonts w:cs="Times New Roman"/>
          <w:szCs w:val="24"/>
        </w:rPr>
        <w:t>y</w:t>
      </w:r>
      <w:r w:rsidRPr="00F16A0E">
        <w:rPr>
          <w:rFonts w:cs="Times New Roman"/>
          <w:szCs w:val="24"/>
        </w:rPr>
        <w:t xml:space="preserve"> </w:t>
      </w:r>
      <w:proofErr w:type="spellStart"/>
      <w:r w:rsidRPr="00F16A0E">
        <w:rPr>
          <w:rFonts w:cs="Times New Roman"/>
          <w:szCs w:val="24"/>
        </w:rPr>
        <w:t>blending</w:t>
      </w:r>
      <w:proofErr w:type="spellEnd"/>
      <w:r w:rsidRPr="00F16A0E">
        <w:rPr>
          <w:rFonts w:cs="Times New Roman"/>
          <w:szCs w:val="24"/>
        </w:rPr>
        <w:t xml:space="preserve">, jest jednym z powszechniejszych instrumentów służących realizacji </w:t>
      </w:r>
      <w:r w:rsidR="00AB5418" w:rsidRPr="00F16A0E">
        <w:rPr>
          <w:rFonts w:cs="Times New Roman"/>
          <w:szCs w:val="24"/>
        </w:rPr>
        <w:t xml:space="preserve">obowiązku </w:t>
      </w:r>
      <w:r w:rsidRPr="00F16A0E">
        <w:rPr>
          <w:rFonts w:cs="Times New Roman"/>
          <w:szCs w:val="24"/>
        </w:rPr>
        <w:t>stosowania odnawialnych źródeł energii w transporcie</w:t>
      </w:r>
      <w:r w:rsidR="002555E6" w:rsidRPr="00F16A0E">
        <w:rPr>
          <w:rFonts w:cs="Times New Roman"/>
          <w:szCs w:val="24"/>
        </w:rPr>
        <w:t xml:space="preserve"> w Unii Europejskiej</w:t>
      </w:r>
      <w:r w:rsidR="00AB5418" w:rsidRPr="00F16A0E">
        <w:rPr>
          <w:rFonts w:cs="Times New Roman"/>
          <w:szCs w:val="24"/>
        </w:rPr>
        <w:t xml:space="preserve"> i występuje </w:t>
      </w:r>
      <w:r w:rsidR="00373257" w:rsidRPr="00F16A0E">
        <w:rPr>
          <w:rFonts w:cs="Times New Roman"/>
          <w:szCs w:val="24"/>
        </w:rPr>
        <w:t>w wielu krajach (szczegółowe zestawienie zawarte zostało w pkt 3 Oceny Skutków Regulacji niniejszego projektu rozporządzenia)</w:t>
      </w:r>
      <w:r w:rsidRPr="00F16A0E">
        <w:rPr>
          <w:rFonts w:cs="Times New Roman"/>
          <w:szCs w:val="24"/>
        </w:rPr>
        <w:t>.</w:t>
      </w:r>
      <w:r w:rsidR="005F66E9" w:rsidRPr="00F16A0E">
        <w:rPr>
          <w:rFonts w:cs="Times New Roman"/>
          <w:szCs w:val="24"/>
        </w:rPr>
        <w:t xml:space="preserve"> </w:t>
      </w:r>
      <w:r w:rsidR="002555E6" w:rsidRPr="00F16A0E">
        <w:rPr>
          <w:rFonts w:cs="Times New Roman"/>
          <w:szCs w:val="24"/>
        </w:rPr>
        <w:t>Zgodnie z przyjętymi w</w:t>
      </w:r>
      <w:r w:rsidR="00AB5418" w:rsidRPr="00F16A0E">
        <w:rPr>
          <w:rFonts w:cs="Times New Roman"/>
          <w:szCs w:val="24"/>
        </w:rPr>
        <w:t> </w:t>
      </w:r>
      <w:r w:rsidR="002555E6" w:rsidRPr="00F16A0E">
        <w:rPr>
          <w:rFonts w:cs="Times New Roman"/>
          <w:szCs w:val="24"/>
        </w:rPr>
        <w:t>poszczególnych krajach regulacjami o</w:t>
      </w:r>
      <w:r w:rsidR="00DE2B9D" w:rsidRPr="00F16A0E">
        <w:rPr>
          <w:rFonts w:cs="Times New Roman"/>
          <w:szCs w:val="24"/>
        </w:rPr>
        <w:t xml:space="preserve">bligatoryjny </w:t>
      </w:r>
      <w:proofErr w:type="spellStart"/>
      <w:r w:rsidR="00DE2B9D" w:rsidRPr="00F16A0E">
        <w:rPr>
          <w:rFonts w:cs="Times New Roman"/>
          <w:szCs w:val="24"/>
        </w:rPr>
        <w:t>blending</w:t>
      </w:r>
      <w:proofErr w:type="spellEnd"/>
      <w:r w:rsidR="00DE2B9D" w:rsidRPr="00F16A0E">
        <w:rPr>
          <w:rFonts w:cs="Times New Roman"/>
          <w:szCs w:val="24"/>
        </w:rPr>
        <w:t xml:space="preserve"> może być rozliczany zarówno objętościowo jak </w:t>
      </w:r>
      <w:r w:rsidR="00AB5418" w:rsidRPr="00F16A0E">
        <w:rPr>
          <w:rFonts w:cs="Times New Roman"/>
          <w:szCs w:val="24"/>
        </w:rPr>
        <w:t>również</w:t>
      </w:r>
      <w:r w:rsidR="00251631" w:rsidRPr="00F16A0E">
        <w:rPr>
          <w:rFonts w:cs="Times New Roman"/>
          <w:szCs w:val="24"/>
        </w:rPr>
        <w:t> </w:t>
      </w:r>
      <w:r w:rsidR="00DE2B9D" w:rsidRPr="00F16A0E">
        <w:rPr>
          <w:rFonts w:cs="Times New Roman"/>
          <w:szCs w:val="24"/>
        </w:rPr>
        <w:t xml:space="preserve">energetycznie. </w:t>
      </w:r>
    </w:p>
    <w:p w14:paraId="7EC2AF00" w14:textId="4B9A8D21" w:rsidR="0004162C" w:rsidRPr="00F16A0E" w:rsidRDefault="0004162C" w:rsidP="00F16A0E">
      <w:pPr>
        <w:spacing w:after="120" w:line="240" w:lineRule="auto"/>
        <w:jc w:val="both"/>
        <w:rPr>
          <w:rFonts w:cs="Times New Roman"/>
          <w:szCs w:val="24"/>
        </w:rPr>
      </w:pPr>
      <w:r w:rsidRPr="00F16A0E">
        <w:rPr>
          <w:rFonts w:cs="Times New Roman"/>
          <w:szCs w:val="24"/>
        </w:rPr>
        <w:t xml:space="preserve">Instytucja obligatoryjnego </w:t>
      </w:r>
      <w:proofErr w:type="spellStart"/>
      <w:r w:rsidRPr="00F16A0E">
        <w:rPr>
          <w:rFonts w:cs="Times New Roman"/>
          <w:szCs w:val="24"/>
        </w:rPr>
        <w:t>blendingu</w:t>
      </w:r>
      <w:proofErr w:type="spellEnd"/>
      <w:r w:rsidRPr="00F16A0E">
        <w:rPr>
          <w:rFonts w:cs="Times New Roman"/>
          <w:szCs w:val="24"/>
        </w:rPr>
        <w:t xml:space="preserve"> jest uregulowana w ustawie</w:t>
      </w:r>
      <w:r w:rsidR="0025295B" w:rsidRPr="00F16A0E">
        <w:rPr>
          <w:rFonts w:cs="Times New Roman"/>
          <w:szCs w:val="24"/>
        </w:rPr>
        <w:t xml:space="preserve">. </w:t>
      </w:r>
      <w:r w:rsidRPr="00F16A0E">
        <w:rPr>
          <w:rFonts w:cs="Times New Roman"/>
          <w:szCs w:val="24"/>
        </w:rPr>
        <w:t xml:space="preserve">Zgodnie z </w:t>
      </w:r>
      <w:r w:rsidRPr="00F16A0E">
        <w:rPr>
          <w:rFonts w:cs="Times New Roman"/>
          <w:b/>
          <w:bCs/>
          <w:szCs w:val="24"/>
        </w:rPr>
        <w:t>art. 23 ust. 1 ustawy</w:t>
      </w:r>
      <w:r w:rsidRPr="00F16A0E">
        <w:rPr>
          <w:rFonts w:cs="Times New Roman"/>
          <w:szCs w:val="24"/>
        </w:rPr>
        <w:t xml:space="preserve"> podmiot realizujący Narodowy Cel Wskaźnikowy, zwany dalej ,,NC</w:t>
      </w:r>
      <w:r w:rsidR="00573091" w:rsidRPr="00F16A0E">
        <w:rPr>
          <w:rFonts w:cs="Times New Roman"/>
          <w:szCs w:val="24"/>
        </w:rPr>
        <w:t>W</w:t>
      </w:r>
      <w:r w:rsidRPr="00F16A0E">
        <w:rPr>
          <w:rFonts w:cs="Times New Roman"/>
          <w:szCs w:val="24"/>
        </w:rPr>
        <w:t xml:space="preserve">”, jest obowiązany zapewnić w danym roku kalendarzowym co najmniej minimalny udział innych paliw odnawialnych lub biokomponentów zawartych w paliwach, stosowanych we wszystkich rodzajach transportu, rozporządzanych przez dokonanie jakiejkolwiek czynności prawnej lub faktycznej skutkującej trwałym wyzbyciem się tych paliw na terytorium Rzeczypospolitej Polskiej lub zużywanych przez niego na potrzeby własne na tym terytorium w ogólnej ilości paliw ciekłych i biopaliw ciekłych stosowanych w transporcie drogowym i kolejowym, rozporządzanych przez dokonanie jakiejkolwiek czynności prawnej lub faktycznej skutkującej trwałym wyzbyciem się paliw ciekłych lub biopaliw ciekłych na terytorium Rzeczypospolitej Polskiej lub zużywanych przez niego w ciągu roku kalendarzowego na potrzeby własne na tym terytorium. Stosownie do </w:t>
      </w:r>
      <w:r w:rsidRPr="00F16A0E">
        <w:rPr>
          <w:rFonts w:cs="Times New Roman"/>
          <w:b/>
          <w:bCs/>
          <w:szCs w:val="24"/>
        </w:rPr>
        <w:t>art. 23b ustawy:</w:t>
      </w:r>
    </w:p>
    <w:p w14:paraId="0DC081F9" w14:textId="77777777" w:rsidR="0004162C" w:rsidRPr="00F16A0E" w:rsidRDefault="0004162C" w:rsidP="00F16A0E">
      <w:pPr>
        <w:spacing w:after="120" w:line="240" w:lineRule="auto"/>
        <w:jc w:val="both"/>
        <w:rPr>
          <w:rFonts w:cs="Times New Roman"/>
          <w:szCs w:val="24"/>
        </w:rPr>
      </w:pPr>
      <w:r w:rsidRPr="00F16A0E">
        <w:rPr>
          <w:rFonts w:cs="Times New Roman"/>
          <w:szCs w:val="24"/>
        </w:rPr>
        <w:t>1. Podmiot realizujący Narodowy Cel Wskaźnikowy jest obowiązany realizować obowiązek, o którym mowa w art. 23 ust. 1, zapewniając w danym roku kalendarzowym minimalny udział biokomponentów, liczony według wartości opałowej, zawartych w paliwach ciekłych stosowanych we wszystkich rodzajach transportu, wykorzystanych przez niego do realizacji obowiązku, o którym mowa w art. 23 ust. 1, które zostały przez ten podmiot rozporządzone przez dokonanie jakiejkolwiek czynności prawnej lub faktycznej skutkującej trwałym wyzbyciem się tych paliw ciekłych na terytorium Rzeczypospolitej Polskiej lub zużyte przez niego na potrzeby własne na tym terytorium.</w:t>
      </w:r>
    </w:p>
    <w:p w14:paraId="2D46E162" w14:textId="77777777" w:rsidR="0004162C" w:rsidRPr="00F16A0E" w:rsidRDefault="0004162C" w:rsidP="00F16A0E">
      <w:pPr>
        <w:spacing w:after="120" w:line="240" w:lineRule="auto"/>
        <w:jc w:val="both"/>
        <w:rPr>
          <w:rFonts w:cs="Times New Roman"/>
          <w:szCs w:val="24"/>
        </w:rPr>
      </w:pPr>
      <w:bookmarkStart w:id="0" w:name="mip71293888"/>
      <w:bookmarkEnd w:id="0"/>
      <w:r w:rsidRPr="00F16A0E">
        <w:rPr>
          <w:rFonts w:cs="Times New Roman"/>
          <w:szCs w:val="24"/>
        </w:rPr>
        <w:t>2. Podmiot realizujący Narodowy Cel Wskaźnikowy, który wytwarza paliwa ciekłe wyłącznie w procesie mieszania komponentów lub dodatków z paliwami ciekłymi w ilości stanowiącej nie więcej niż 0,2 % objętości wytworzonego w ten sposób paliwa ciekłego, jest zwolniony z obowiązku, o którym mowa w ust. 1, w zakresie dotyczącym dodawania tych komponentów lub dodatków.</w:t>
      </w:r>
    </w:p>
    <w:p w14:paraId="134141B9" w14:textId="77777777" w:rsidR="0004162C" w:rsidRPr="00F16A0E" w:rsidRDefault="0004162C" w:rsidP="00F16A0E">
      <w:pPr>
        <w:spacing w:after="120" w:line="240" w:lineRule="auto"/>
        <w:jc w:val="both"/>
        <w:rPr>
          <w:rFonts w:cs="Times New Roman"/>
          <w:szCs w:val="24"/>
        </w:rPr>
      </w:pPr>
      <w:bookmarkStart w:id="1" w:name="mip71294386"/>
      <w:bookmarkEnd w:id="1"/>
      <w:r w:rsidRPr="00F16A0E">
        <w:rPr>
          <w:rFonts w:cs="Times New Roman"/>
          <w:szCs w:val="24"/>
        </w:rPr>
        <w:t>2a. Przy ustalaniu minimalnego udziału biokomponentów, o którym mowa w ust. 1, nie uwzględnia się biokomponentów powstałych w wyniku współuwodornienia, a także biokomponentów, które zostały wytworzone z surowców, o których mowa w załączniku nr 1 do ustawy.</w:t>
      </w:r>
    </w:p>
    <w:p w14:paraId="498316DF" w14:textId="77777777" w:rsidR="0004162C" w:rsidRPr="00F16A0E" w:rsidRDefault="0004162C" w:rsidP="00F16A0E">
      <w:pPr>
        <w:spacing w:after="120" w:line="240" w:lineRule="auto"/>
        <w:jc w:val="both"/>
        <w:rPr>
          <w:rFonts w:cs="Times New Roman"/>
          <w:szCs w:val="24"/>
        </w:rPr>
      </w:pPr>
      <w:bookmarkStart w:id="2" w:name="mip71293889"/>
      <w:bookmarkEnd w:id="2"/>
      <w:r w:rsidRPr="00F16A0E">
        <w:rPr>
          <w:rFonts w:cs="Times New Roman"/>
          <w:szCs w:val="24"/>
        </w:rPr>
        <w:t>3. Minimalny udział biokomponentów, o którym mowa w ust. 1, wynosi:</w:t>
      </w:r>
    </w:p>
    <w:p w14:paraId="4511397C" w14:textId="77777777" w:rsidR="0004162C" w:rsidRPr="00F16A0E" w:rsidRDefault="0004162C" w:rsidP="00F16A0E">
      <w:pPr>
        <w:spacing w:after="120" w:line="240" w:lineRule="auto"/>
        <w:jc w:val="both"/>
        <w:rPr>
          <w:rFonts w:cs="Times New Roman"/>
          <w:szCs w:val="24"/>
        </w:rPr>
      </w:pPr>
      <w:bookmarkStart w:id="3" w:name="mip71293891"/>
      <w:bookmarkEnd w:id="3"/>
      <w:r w:rsidRPr="00F16A0E">
        <w:rPr>
          <w:rFonts w:cs="Times New Roman"/>
          <w:szCs w:val="24"/>
        </w:rPr>
        <w:t>1) 5,3 % – w benzynach silnikowych o kodzie CN 2710 12 45, z czego 4,59 % wynosi udział bioetanolu;</w:t>
      </w:r>
    </w:p>
    <w:p w14:paraId="40D72708" w14:textId="77777777" w:rsidR="0004162C" w:rsidRPr="00F16A0E" w:rsidRDefault="0004162C" w:rsidP="00F16A0E">
      <w:pPr>
        <w:spacing w:after="120" w:line="240" w:lineRule="auto"/>
        <w:jc w:val="both"/>
        <w:rPr>
          <w:rFonts w:cs="Times New Roman"/>
          <w:szCs w:val="24"/>
        </w:rPr>
      </w:pPr>
      <w:bookmarkStart w:id="4" w:name="mip71294412"/>
      <w:bookmarkEnd w:id="4"/>
      <w:r w:rsidRPr="00F16A0E">
        <w:rPr>
          <w:rFonts w:cs="Times New Roman"/>
          <w:szCs w:val="24"/>
        </w:rPr>
        <w:lastRenderedPageBreak/>
        <w:t>1a) 3,2 % – w benzynach silnikowych o kodzie CN 2710 12 49;</w:t>
      </w:r>
    </w:p>
    <w:p w14:paraId="190147B5" w14:textId="77777777" w:rsidR="0004162C" w:rsidRPr="00F16A0E" w:rsidRDefault="0004162C" w:rsidP="00F16A0E">
      <w:pPr>
        <w:spacing w:after="120" w:line="240" w:lineRule="auto"/>
        <w:jc w:val="both"/>
        <w:rPr>
          <w:rFonts w:cs="Times New Roman"/>
          <w:b/>
          <w:bCs/>
          <w:szCs w:val="24"/>
        </w:rPr>
      </w:pPr>
      <w:bookmarkStart w:id="5" w:name="mip71293892"/>
      <w:bookmarkEnd w:id="5"/>
      <w:r w:rsidRPr="00F16A0E">
        <w:rPr>
          <w:rFonts w:cs="Times New Roman"/>
          <w:b/>
          <w:bCs/>
          <w:szCs w:val="24"/>
        </w:rPr>
        <w:t>2) 6,2 % – w oleju napędowym.</w:t>
      </w:r>
    </w:p>
    <w:p w14:paraId="6128B083" w14:textId="4FD41F65" w:rsidR="0004162C" w:rsidRPr="00F16A0E" w:rsidRDefault="0004162C" w:rsidP="00F16A0E">
      <w:pPr>
        <w:spacing w:after="120" w:line="240" w:lineRule="auto"/>
        <w:jc w:val="both"/>
        <w:rPr>
          <w:rFonts w:cs="Times New Roman"/>
          <w:b/>
          <w:bCs/>
          <w:szCs w:val="24"/>
        </w:rPr>
      </w:pPr>
      <w:r w:rsidRPr="00F16A0E">
        <w:rPr>
          <w:rFonts w:cs="Times New Roman"/>
          <w:b/>
          <w:bCs/>
          <w:szCs w:val="24"/>
        </w:rPr>
        <w:t>4. Minister właściwy do spraw klimatu może określić, w drodze rozporządzenia, niższy niż określony w ust. 3 ustawy, minimalny udział biokomponentów, biorąc pod uwagę techniczne możliwości branży paliwowej w zakresie dodawania biokomponentów do paliw ciekłych.</w:t>
      </w:r>
    </w:p>
    <w:p w14:paraId="676DDF29" w14:textId="21C591C6" w:rsidR="00C26F77" w:rsidRPr="00F16A0E" w:rsidRDefault="00C26F77" w:rsidP="00F16A0E">
      <w:pPr>
        <w:spacing w:after="120" w:line="240" w:lineRule="auto"/>
        <w:jc w:val="both"/>
        <w:rPr>
          <w:rFonts w:cs="Times New Roman"/>
          <w:b/>
          <w:bCs/>
          <w:szCs w:val="24"/>
        </w:rPr>
      </w:pPr>
      <w:r w:rsidRPr="00F16A0E">
        <w:rPr>
          <w:rFonts w:cs="Times New Roman"/>
          <w:szCs w:val="24"/>
        </w:rPr>
        <w:t>Przedmiotem projektowanego rozporządzenia jest minimalny udział biokomponentów w oleju napędowym.</w:t>
      </w:r>
      <w:r w:rsidRPr="00F16A0E">
        <w:rPr>
          <w:rFonts w:cs="Times New Roman"/>
          <w:b/>
          <w:bCs/>
          <w:szCs w:val="24"/>
        </w:rPr>
        <w:t xml:space="preserve"> </w:t>
      </w:r>
      <w:r w:rsidRPr="00F16A0E">
        <w:rPr>
          <w:rFonts w:cs="Times New Roman"/>
          <w:szCs w:val="24"/>
        </w:rPr>
        <w:t>Należy wyjaśnić, że wartość bazowa 6,2</w:t>
      </w:r>
      <w:r w:rsidR="00D62E83" w:rsidRPr="00F16A0E">
        <w:rPr>
          <w:rFonts w:cs="Times New Roman"/>
          <w:szCs w:val="24"/>
        </w:rPr>
        <w:t xml:space="preserve"> </w:t>
      </w:r>
      <w:r w:rsidRPr="00F16A0E">
        <w:rPr>
          <w:rFonts w:cs="Times New Roman"/>
          <w:szCs w:val="24"/>
        </w:rPr>
        <w:t>% to liczony energetycznie maksymalny udział estrów metylowych kwasów tłuszczowych, jaki może być w oleju napędowym. Udział ten odpowiada siedmioprocentowej zawartości objętościowej biokomponentów (np. estru metylowego kwasu tłuszczowego) w oleju napędowym, która wynika z definicji paliw ciekłych zawartej w art. 2 ust. 1 pkt 4 lit. b ustawy z dnia 25 sierpnia 2006 r. o systemie monitorowania i kontrolowania jakości paliw (Dz. U. z 2024 r. poz. 1209). Zgodnie z tą definicją poprzez paliwa ciekłe rozumie się:</w:t>
      </w:r>
    </w:p>
    <w:p w14:paraId="7D1706E6" w14:textId="77777777" w:rsidR="00C26F77" w:rsidRPr="00F16A0E" w:rsidRDefault="00C26F77" w:rsidP="00F16A0E">
      <w:pPr>
        <w:spacing w:after="120" w:line="240" w:lineRule="auto"/>
        <w:jc w:val="both"/>
        <w:rPr>
          <w:rFonts w:cs="Times New Roman"/>
          <w:szCs w:val="24"/>
        </w:rPr>
      </w:pPr>
      <w:r w:rsidRPr="00F16A0E">
        <w:rPr>
          <w:rFonts w:cs="Times New Roman"/>
          <w:szCs w:val="24"/>
        </w:rPr>
        <w:t xml:space="preserve">a) benzyny silnikowe, które mogą zawierać biowęglowodory ciekłe lub do 10,0% objętościowo innych biokomponentów lub do 22,0% objętościowo eteru </w:t>
      </w:r>
      <w:proofErr w:type="spellStart"/>
      <w:r w:rsidRPr="00F16A0E">
        <w:rPr>
          <w:rFonts w:cs="Times New Roman"/>
          <w:szCs w:val="24"/>
        </w:rPr>
        <w:t>etylo</w:t>
      </w:r>
      <w:proofErr w:type="spellEnd"/>
      <w:r w:rsidRPr="00F16A0E">
        <w:rPr>
          <w:rFonts w:cs="Times New Roman"/>
          <w:szCs w:val="24"/>
        </w:rPr>
        <w:t>-</w:t>
      </w:r>
      <w:proofErr w:type="spellStart"/>
      <w:r w:rsidRPr="00F16A0E">
        <w:rPr>
          <w:rFonts w:cs="Times New Roman"/>
          <w:szCs w:val="24"/>
        </w:rPr>
        <w:t>tert</w:t>
      </w:r>
      <w:proofErr w:type="spellEnd"/>
      <w:r w:rsidRPr="00F16A0E">
        <w:rPr>
          <w:rFonts w:cs="Times New Roman"/>
          <w:szCs w:val="24"/>
        </w:rPr>
        <w:t xml:space="preserve">-butylowego lub eteru </w:t>
      </w:r>
      <w:proofErr w:type="spellStart"/>
      <w:r w:rsidRPr="00F16A0E">
        <w:rPr>
          <w:rFonts w:cs="Times New Roman"/>
          <w:szCs w:val="24"/>
        </w:rPr>
        <w:t>etylo</w:t>
      </w:r>
      <w:proofErr w:type="spellEnd"/>
      <w:r w:rsidRPr="00F16A0E">
        <w:rPr>
          <w:rFonts w:cs="Times New Roman"/>
          <w:szCs w:val="24"/>
        </w:rPr>
        <w:t>-</w:t>
      </w:r>
      <w:proofErr w:type="spellStart"/>
      <w:r w:rsidRPr="00F16A0E">
        <w:rPr>
          <w:rFonts w:cs="Times New Roman"/>
          <w:szCs w:val="24"/>
        </w:rPr>
        <w:t>tert</w:t>
      </w:r>
      <w:proofErr w:type="spellEnd"/>
      <w:r w:rsidRPr="00F16A0E">
        <w:rPr>
          <w:rFonts w:cs="Times New Roman"/>
          <w:szCs w:val="24"/>
        </w:rPr>
        <w:t xml:space="preserve">-amylowego, o których mowa w ustawie z dnia 25 sierpnia 2006 r. o biokomponentach i biopaliwach ciekłych (Dz.U. z 2024 r. </w:t>
      </w:r>
      <w:hyperlink r:id="rId5" w:history="1">
        <w:r w:rsidRPr="00F16A0E">
          <w:rPr>
            <w:szCs w:val="24"/>
          </w:rPr>
          <w:t>poz. 20</w:t>
        </w:r>
      </w:hyperlink>
      <w:r w:rsidRPr="00F16A0E">
        <w:rPr>
          <w:rFonts w:cs="Times New Roman"/>
          <w:szCs w:val="24"/>
        </w:rPr>
        <w:t xml:space="preserve"> i </w:t>
      </w:r>
      <w:hyperlink r:id="rId6" w:history="1">
        <w:r w:rsidRPr="00F16A0E">
          <w:rPr>
            <w:szCs w:val="24"/>
          </w:rPr>
          <w:t>834</w:t>
        </w:r>
      </w:hyperlink>
      <w:r w:rsidRPr="00F16A0E">
        <w:rPr>
          <w:rFonts w:cs="Times New Roman"/>
          <w:szCs w:val="24"/>
        </w:rPr>
        <w:t xml:space="preserve">), stosowane w szczególności w pojazdach oraz rekreacyjnych jednostkach pływających, wyposażonych w silniki z zapłonem iskrowym, </w:t>
      </w:r>
    </w:p>
    <w:p w14:paraId="7770B20B" w14:textId="77777777" w:rsidR="00C26F77" w:rsidRPr="00F16A0E" w:rsidRDefault="00C26F77" w:rsidP="00F16A0E">
      <w:pPr>
        <w:spacing w:after="120" w:line="240" w:lineRule="auto"/>
        <w:jc w:val="both"/>
        <w:rPr>
          <w:rFonts w:cs="Times New Roman"/>
          <w:szCs w:val="24"/>
        </w:rPr>
      </w:pPr>
      <w:r w:rsidRPr="00F16A0E">
        <w:rPr>
          <w:rFonts w:cs="Times New Roman"/>
          <w:szCs w:val="24"/>
        </w:rPr>
        <w:t>b) olej napędowy, który może zawierać biowęglowodory ciekłe lub do 7,0% objętościowo innych biokomponentów, o których mowa w ustawie z dnia 25 sierpnia 2006 r. o biokomponentach i biopaliwach ciekłych,</w:t>
      </w:r>
      <w:r w:rsidRPr="00F16A0E">
        <w:rPr>
          <w:rFonts w:cs="Times New Roman"/>
          <w:b/>
          <w:bCs/>
          <w:szCs w:val="24"/>
        </w:rPr>
        <w:t xml:space="preserve"> </w:t>
      </w:r>
      <w:r w:rsidRPr="00F16A0E">
        <w:rPr>
          <w:rFonts w:cs="Times New Roman"/>
          <w:szCs w:val="24"/>
        </w:rPr>
        <w:t>stosowany w szczególności w pojazdach, w tym ciągnikach rolniczych, maszynach nieporuszających się po drogach, a także rekreacyjnych jednostkach pływających, wyposażonych w silniki z zapłonem samoczynnym.</w:t>
      </w:r>
    </w:p>
    <w:p w14:paraId="71894C9C" w14:textId="5D49D5EF" w:rsidR="006B4442" w:rsidRPr="00F16A0E" w:rsidRDefault="00C26F77" w:rsidP="00F16A0E">
      <w:pPr>
        <w:spacing w:after="120" w:line="240" w:lineRule="auto"/>
        <w:jc w:val="both"/>
        <w:rPr>
          <w:rFonts w:cs="Times New Roman"/>
          <w:szCs w:val="24"/>
        </w:rPr>
      </w:pPr>
      <w:r w:rsidRPr="00F16A0E">
        <w:rPr>
          <w:rFonts w:cs="Times New Roman"/>
          <w:szCs w:val="24"/>
        </w:rPr>
        <w:t>Wartość do 7</w:t>
      </w:r>
      <w:r w:rsidR="00D62E83" w:rsidRPr="00F16A0E">
        <w:rPr>
          <w:rFonts w:cs="Times New Roman"/>
          <w:szCs w:val="24"/>
        </w:rPr>
        <w:t xml:space="preserve"> </w:t>
      </w:r>
      <w:r w:rsidRPr="00F16A0E">
        <w:rPr>
          <w:rFonts w:cs="Times New Roman"/>
          <w:szCs w:val="24"/>
        </w:rPr>
        <w:t>%</w:t>
      </w:r>
      <w:r w:rsidR="001C5A78" w:rsidRPr="00F16A0E">
        <w:rPr>
          <w:rFonts w:cs="Times New Roman"/>
          <w:szCs w:val="24"/>
        </w:rPr>
        <w:t xml:space="preserve"> maksymalnej zawartości objętościowej estrów metylowych kwasów tłuszczowych</w:t>
      </w:r>
      <w:r w:rsidRPr="00F16A0E">
        <w:rPr>
          <w:rFonts w:cs="Times New Roman"/>
          <w:szCs w:val="24"/>
        </w:rPr>
        <w:t xml:space="preserve"> pochodzi z normy</w:t>
      </w:r>
      <w:r w:rsidR="001C5A78" w:rsidRPr="00F16A0E">
        <w:rPr>
          <w:rFonts w:cs="Times New Roman"/>
          <w:szCs w:val="24"/>
        </w:rPr>
        <w:t xml:space="preserve"> PN-EN 590</w:t>
      </w:r>
      <w:r w:rsidRPr="00F16A0E">
        <w:rPr>
          <w:rFonts w:cs="Times New Roman"/>
          <w:szCs w:val="24"/>
        </w:rPr>
        <w:t xml:space="preserve"> </w:t>
      </w:r>
      <w:r w:rsidR="0007720A" w:rsidRPr="00F16A0E">
        <w:rPr>
          <w:rFonts w:cs="Times New Roman"/>
          <w:szCs w:val="24"/>
        </w:rPr>
        <w:t>określającej</w:t>
      </w:r>
      <w:r w:rsidRPr="00F16A0E">
        <w:rPr>
          <w:rFonts w:cs="Times New Roman"/>
          <w:szCs w:val="24"/>
        </w:rPr>
        <w:t xml:space="preserve"> </w:t>
      </w:r>
      <w:r w:rsidR="001C5A78" w:rsidRPr="00F16A0E">
        <w:rPr>
          <w:rFonts w:cs="Times New Roman"/>
          <w:szCs w:val="24"/>
        </w:rPr>
        <w:t>wymaga</w:t>
      </w:r>
      <w:r w:rsidR="0007720A" w:rsidRPr="00F16A0E">
        <w:rPr>
          <w:rFonts w:cs="Times New Roman"/>
          <w:szCs w:val="24"/>
        </w:rPr>
        <w:t>nia</w:t>
      </w:r>
      <w:r w:rsidR="001C5A78" w:rsidRPr="00F16A0E">
        <w:rPr>
          <w:rFonts w:cs="Times New Roman"/>
          <w:szCs w:val="24"/>
        </w:rPr>
        <w:t xml:space="preserve"> </w:t>
      </w:r>
      <w:r w:rsidRPr="00F16A0E">
        <w:rPr>
          <w:rFonts w:cs="Times New Roman"/>
          <w:szCs w:val="24"/>
        </w:rPr>
        <w:t>jakośc</w:t>
      </w:r>
      <w:r w:rsidR="001C5A78" w:rsidRPr="00F16A0E">
        <w:rPr>
          <w:rFonts w:cs="Times New Roman"/>
          <w:szCs w:val="24"/>
        </w:rPr>
        <w:t>iow</w:t>
      </w:r>
      <w:r w:rsidR="0007720A" w:rsidRPr="00F16A0E">
        <w:rPr>
          <w:rFonts w:cs="Times New Roman"/>
          <w:szCs w:val="24"/>
        </w:rPr>
        <w:t>e</w:t>
      </w:r>
      <w:r w:rsidR="001C5A78" w:rsidRPr="00F16A0E">
        <w:rPr>
          <w:rFonts w:cs="Times New Roman"/>
          <w:szCs w:val="24"/>
        </w:rPr>
        <w:t xml:space="preserve"> i</w:t>
      </w:r>
      <w:r w:rsidR="00F8198F" w:rsidRPr="00F16A0E">
        <w:rPr>
          <w:rFonts w:cs="Times New Roman"/>
          <w:szCs w:val="24"/>
        </w:rPr>
        <w:t> </w:t>
      </w:r>
      <w:r w:rsidR="001C5A78" w:rsidRPr="00F16A0E">
        <w:rPr>
          <w:rFonts w:cs="Times New Roman"/>
          <w:szCs w:val="24"/>
        </w:rPr>
        <w:t>metod</w:t>
      </w:r>
      <w:r w:rsidR="0007720A" w:rsidRPr="00F16A0E">
        <w:rPr>
          <w:rFonts w:cs="Times New Roman"/>
          <w:szCs w:val="24"/>
        </w:rPr>
        <w:t>y</w:t>
      </w:r>
      <w:r w:rsidR="001C5A78" w:rsidRPr="00F16A0E">
        <w:rPr>
          <w:rFonts w:cs="Times New Roman"/>
          <w:szCs w:val="24"/>
        </w:rPr>
        <w:t xml:space="preserve"> badań oleju napędowego</w:t>
      </w:r>
      <w:r w:rsidRPr="00F16A0E">
        <w:rPr>
          <w:rFonts w:cs="Times New Roman"/>
          <w:szCs w:val="24"/>
        </w:rPr>
        <w:t>.</w:t>
      </w:r>
      <w:r w:rsidRPr="00F16A0E">
        <w:rPr>
          <w:rFonts w:ascii="Segoe UI" w:hAnsi="Segoe UI" w:cs="Segoe UI"/>
          <w:szCs w:val="24"/>
        </w:rPr>
        <w:t xml:space="preserve"> </w:t>
      </w:r>
      <w:r w:rsidRPr="00F16A0E">
        <w:rPr>
          <w:rFonts w:cs="Times New Roman"/>
          <w:szCs w:val="24"/>
        </w:rPr>
        <w:t>Wartość 6,2</w:t>
      </w:r>
      <w:r w:rsidR="00D62E83" w:rsidRPr="00F16A0E">
        <w:rPr>
          <w:rFonts w:cs="Times New Roman"/>
          <w:szCs w:val="24"/>
        </w:rPr>
        <w:t xml:space="preserve"> </w:t>
      </w:r>
      <w:r w:rsidRPr="00F16A0E">
        <w:rPr>
          <w:rFonts w:cs="Times New Roman"/>
          <w:szCs w:val="24"/>
        </w:rPr>
        <w:t>% jest równoważna z 7</w:t>
      </w:r>
      <w:r w:rsidR="00D62E83" w:rsidRPr="00F16A0E">
        <w:rPr>
          <w:rFonts w:cs="Times New Roman"/>
          <w:szCs w:val="24"/>
        </w:rPr>
        <w:t xml:space="preserve"> </w:t>
      </w:r>
      <w:r w:rsidRPr="00F16A0E">
        <w:rPr>
          <w:rFonts w:cs="Times New Roman"/>
          <w:szCs w:val="24"/>
        </w:rPr>
        <w:t>%, z tym, że 6,2</w:t>
      </w:r>
      <w:r w:rsidR="00D62E83" w:rsidRPr="00F16A0E">
        <w:rPr>
          <w:rFonts w:cs="Times New Roman"/>
          <w:szCs w:val="24"/>
        </w:rPr>
        <w:t xml:space="preserve"> </w:t>
      </w:r>
      <w:r w:rsidRPr="00F16A0E">
        <w:rPr>
          <w:rFonts w:cs="Times New Roman"/>
          <w:szCs w:val="24"/>
        </w:rPr>
        <w:t>% jest wyrażane energetycznie, a 7</w:t>
      </w:r>
      <w:r w:rsidR="00D62E83" w:rsidRPr="00F16A0E">
        <w:rPr>
          <w:rFonts w:cs="Times New Roman"/>
          <w:szCs w:val="24"/>
        </w:rPr>
        <w:t xml:space="preserve"> </w:t>
      </w:r>
      <w:r w:rsidRPr="00F16A0E">
        <w:rPr>
          <w:rFonts w:cs="Times New Roman"/>
          <w:szCs w:val="24"/>
        </w:rPr>
        <w:t>% wyrażane objętościowo.</w:t>
      </w:r>
    </w:p>
    <w:p w14:paraId="5021CCC4" w14:textId="429E1C8A" w:rsidR="00C26F77" w:rsidRPr="00F16A0E" w:rsidRDefault="00C26F77" w:rsidP="00F16A0E">
      <w:pPr>
        <w:spacing w:after="120" w:line="240" w:lineRule="auto"/>
        <w:jc w:val="both"/>
        <w:rPr>
          <w:rFonts w:cs="Times New Roman"/>
          <w:szCs w:val="24"/>
        </w:rPr>
      </w:pPr>
      <w:r w:rsidRPr="00F16A0E">
        <w:rPr>
          <w:rFonts w:cs="Times New Roman"/>
          <w:szCs w:val="24"/>
        </w:rPr>
        <w:t xml:space="preserve">Z uwagi na ograniczenia techniczne </w:t>
      </w:r>
      <w:r w:rsidR="00F17180" w:rsidRPr="00F16A0E">
        <w:rPr>
          <w:rFonts w:cs="Times New Roman"/>
          <w:szCs w:val="24"/>
        </w:rPr>
        <w:t xml:space="preserve">takie jak </w:t>
      </w:r>
      <w:r w:rsidRPr="00F16A0E">
        <w:rPr>
          <w:rFonts w:cs="Times New Roman"/>
          <w:szCs w:val="24"/>
        </w:rPr>
        <w:t>obłożenie baz paliw lub ich pojemność</w:t>
      </w:r>
      <w:r w:rsidR="00F17180" w:rsidRPr="00F16A0E">
        <w:rPr>
          <w:rFonts w:cs="Times New Roman"/>
          <w:szCs w:val="24"/>
        </w:rPr>
        <w:t xml:space="preserve"> czy też</w:t>
      </w:r>
      <w:r w:rsidRPr="00F16A0E">
        <w:rPr>
          <w:rFonts w:cs="Times New Roman"/>
          <w:szCs w:val="24"/>
        </w:rPr>
        <w:t xml:space="preserve"> względy logistyczne</w:t>
      </w:r>
      <w:r w:rsidR="00F17180" w:rsidRPr="00F16A0E">
        <w:rPr>
          <w:rFonts w:cs="Times New Roman"/>
          <w:szCs w:val="24"/>
        </w:rPr>
        <w:t>,</w:t>
      </w:r>
      <w:r w:rsidRPr="00F16A0E">
        <w:rPr>
          <w:rFonts w:cs="Times New Roman"/>
          <w:szCs w:val="24"/>
        </w:rPr>
        <w:t xml:space="preserve"> norma</w:t>
      </w:r>
      <w:r w:rsidR="0007720A" w:rsidRPr="00F16A0E">
        <w:rPr>
          <w:rFonts w:cs="Times New Roman"/>
          <w:szCs w:val="24"/>
        </w:rPr>
        <w:t xml:space="preserve"> PN-EN 590</w:t>
      </w:r>
      <w:r w:rsidRPr="00F16A0E">
        <w:rPr>
          <w:rFonts w:cs="Times New Roman"/>
          <w:szCs w:val="24"/>
        </w:rPr>
        <w:t xml:space="preserve"> określa ile maksymalnie można dodać biokomponentu (w tym przypadku estru metylowego kwasu tłuszczowego – FAME) do paliwa ciekłego. Nie jest możliwe konkretne określenie wartości biokomponentu w danym litrze paliwa. Poziom obligatoryjnego </w:t>
      </w:r>
      <w:proofErr w:type="spellStart"/>
      <w:r w:rsidRPr="00F16A0E">
        <w:rPr>
          <w:rFonts w:cs="Times New Roman"/>
          <w:szCs w:val="24"/>
        </w:rPr>
        <w:t>blendingu</w:t>
      </w:r>
      <w:proofErr w:type="spellEnd"/>
      <w:r w:rsidRPr="00F16A0E">
        <w:rPr>
          <w:rFonts w:cs="Times New Roman"/>
          <w:szCs w:val="24"/>
        </w:rPr>
        <w:t xml:space="preserve"> dostosow</w:t>
      </w:r>
      <w:r w:rsidR="00F17180" w:rsidRPr="00F16A0E">
        <w:rPr>
          <w:rFonts w:cs="Times New Roman"/>
          <w:szCs w:val="24"/>
        </w:rPr>
        <w:t>uje się</w:t>
      </w:r>
      <w:r w:rsidRPr="00F16A0E">
        <w:rPr>
          <w:rFonts w:cs="Times New Roman"/>
          <w:szCs w:val="24"/>
        </w:rPr>
        <w:t xml:space="preserve"> tak, aby nie </w:t>
      </w:r>
      <w:r w:rsidR="006B4442" w:rsidRPr="00F16A0E">
        <w:rPr>
          <w:rFonts w:cs="Times New Roman"/>
          <w:szCs w:val="24"/>
        </w:rPr>
        <w:t>narażać</w:t>
      </w:r>
      <w:r w:rsidRPr="00F16A0E">
        <w:rPr>
          <w:rFonts w:cs="Times New Roman"/>
          <w:szCs w:val="24"/>
        </w:rPr>
        <w:t xml:space="preserve"> podmiotów paliwowych</w:t>
      </w:r>
      <w:r w:rsidR="005576B9" w:rsidRPr="00F16A0E">
        <w:rPr>
          <w:rFonts w:cs="Times New Roman"/>
          <w:szCs w:val="24"/>
        </w:rPr>
        <w:t xml:space="preserve"> </w:t>
      </w:r>
      <w:r w:rsidRPr="00F16A0E">
        <w:rPr>
          <w:rFonts w:cs="Times New Roman"/>
          <w:szCs w:val="24"/>
        </w:rPr>
        <w:t>w sytuacji, gdy np. z przyczyn losowych nie dostarczono do bazy paliw danego biokomponentu.</w:t>
      </w:r>
    </w:p>
    <w:p w14:paraId="71086F8C" w14:textId="521962CA" w:rsidR="0004162C" w:rsidRPr="00F16A0E" w:rsidRDefault="0004162C" w:rsidP="00F16A0E">
      <w:pPr>
        <w:spacing w:after="120" w:line="240" w:lineRule="auto"/>
        <w:jc w:val="both"/>
        <w:rPr>
          <w:rFonts w:cs="Times New Roman"/>
          <w:szCs w:val="24"/>
        </w:rPr>
      </w:pPr>
      <w:r w:rsidRPr="00F16A0E">
        <w:rPr>
          <w:rFonts w:cs="Times New Roman"/>
          <w:szCs w:val="24"/>
        </w:rPr>
        <w:t>Projektowane rozporządzenie</w:t>
      </w:r>
      <w:r w:rsidR="00C93B14" w:rsidRPr="00F16A0E">
        <w:rPr>
          <w:rFonts w:cs="Times New Roman"/>
          <w:szCs w:val="24"/>
        </w:rPr>
        <w:t xml:space="preserve"> </w:t>
      </w:r>
      <w:r w:rsidRPr="00F16A0E">
        <w:rPr>
          <w:rFonts w:cs="Times New Roman"/>
          <w:szCs w:val="24"/>
        </w:rPr>
        <w:t xml:space="preserve">jest pierwszym aktem </w:t>
      </w:r>
      <w:r w:rsidR="000C0D00" w:rsidRPr="00F16A0E">
        <w:rPr>
          <w:rFonts w:cs="Times New Roman"/>
          <w:szCs w:val="24"/>
        </w:rPr>
        <w:t>wyda</w:t>
      </w:r>
      <w:r w:rsidR="00C93B14" w:rsidRPr="00F16A0E">
        <w:rPr>
          <w:rFonts w:cs="Times New Roman"/>
          <w:szCs w:val="24"/>
        </w:rPr>
        <w:t>wa</w:t>
      </w:r>
      <w:r w:rsidR="000C0D00" w:rsidRPr="00F16A0E">
        <w:rPr>
          <w:rFonts w:cs="Times New Roman"/>
          <w:szCs w:val="24"/>
        </w:rPr>
        <w:t>nym na podstawie</w:t>
      </w:r>
      <w:r w:rsidRPr="00F16A0E">
        <w:rPr>
          <w:rFonts w:cs="Times New Roman"/>
          <w:szCs w:val="24"/>
        </w:rPr>
        <w:t xml:space="preserve"> upoważnieni</w:t>
      </w:r>
      <w:r w:rsidR="000C0D00" w:rsidRPr="00F16A0E">
        <w:rPr>
          <w:rFonts w:cs="Times New Roman"/>
          <w:szCs w:val="24"/>
        </w:rPr>
        <w:t>a</w:t>
      </w:r>
      <w:r w:rsidRPr="00F16A0E">
        <w:rPr>
          <w:rFonts w:cs="Times New Roman"/>
          <w:szCs w:val="24"/>
        </w:rPr>
        <w:t xml:space="preserve"> ustawow</w:t>
      </w:r>
      <w:r w:rsidR="000C0D00" w:rsidRPr="00F16A0E">
        <w:rPr>
          <w:rFonts w:cs="Times New Roman"/>
          <w:szCs w:val="24"/>
        </w:rPr>
        <w:t>ego</w:t>
      </w:r>
      <w:r w:rsidRPr="00F16A0E">
        <w:rPr>
          <w:rFonts w:cs="Times New Roman"/>
          <w:szCs w:val="24"/>
        </w:rPr>
        <w:t xml:space="preserve"> z art. 23b ust. 4 ustawy.</w:t>
      </w:r>
      <w:r w:rsidRPr="00F16A0E">
        <w:rPr>
          <w:rFonts w:cs="Times New Roman"/>
          <w:b/>
          <w:bCs/>
          <w:szCs w:val="24"/>
        </w:rPr>
        <w:t xml:space="preserve"> </w:t>
      </w:r>
      <w:r w:rsidRPr="00F16A0E">
        <w:rPr>
          <w:rFonts w:cs="Times New Roman"/>
          <w:szCs w:val="24"/>
        </w:rPr>
        <w:t xml:space="preserve">Dotychczas wartość </w:t>
      </w:r>
      <w:r w:rsidR="006B4442" w:rsidRPr="00F16A0E">
        <w:rPr>
          <w:rFonts w:cs="Times New Roman"/>
          <w:szCs w:val="24"/>
        </w:rPr>
        <w:t>minimalnego</w:t>
      </w:r>
      <w:r w:rsidRPr="00F16A0E">
        <w:rPr>
          <w:rFonts w:cs="Times New Roman"/>
          <w:szCs w:val="24"/>
        </w:rPr>
        <w:t xml:space="preserve"> udziału </w:t>
      </w:r>
      <w:r w:rsidR="006B4442" w:rsidRPr="00F16A0E">
        <w:rPr>
          <w:rFonts w:cs="Times New Roman"/>
          <w:szCs w:val="24"/>
        </w:rPr>
        <w:t xml:space="preserve">biokomponentów w oleju napędowym </w:t>
      </w:r>
      <w:r w:rsidRPr="00F16A0E">
        <w:rPr>
          <w:rFonts w:cs="Times New Roman"/>
          <w:szCs w:val="24"/>
        </w:rPr>
        <w:t>w poszczególnych kwartałach, a następnie latach, b</w:t>
      </w:r>
      <w:r w:rsidR="000C0D00" w:rsidRPr="00F16A0E">
        <w:rPr>
          <w:rFonts w:cs="Times New Roman"/>
          <w:szCs w:val="24"/>
        </w:rPr>
        <w:t>yła regulowana</w:t>
      </w:r>
      <w:r w:rsidR="00434970" w:rsidRPr="00F16A0E">
        <w:rPr>
          <w:rFonts w:cs="Times New Roman"/>
          <w:szCs w:val="24"/>
        </w:rPr>
        <w:t xml:space="preserve"> </w:t>
      </w:r>
      <w:r w:rsidR="00127514" w:rsidRPr="00F16A0E">
        <w:rPr>
          <w:rFonts w:cs="Times New Roman"/>
          <w:szCs w:val="24"/>
        </w:rPr>
        <w:t>na poziomie</w:t>
      </w:r>
      <w:r w:rsidR="00434970" w:rsidRPr="00F16A0E">
        <w:rPr>
          <w:rFonts w:cs="Times New Roman"/>
          <w:szCs w:val="24"/>
        </w:rPr>
        <w:t xml:space="preserve"> przepisów ustawowych</w:t>
      </w:r>
      <w:r w:rsidRPr="00F16A0E">
        <w:rPr>
          <w:rFonts w:cs="Times New Roman"/>
          <w:szCs w:val="24"/>
        </w:rPr>
        <w:t>. W ujęciu historycznym minimalny udział biokomponentów w oleju napędowym kształtował się następująco:</w:t>
      </w:r>
    </w:p>
    <w:p w14:paraId="6BAC4584" w14:textId="77777777" w:rsidR="0004162C" w:rsidRPr="00F16A0E" w:rsidRDefault="0004162C" w:rsidP="00F16A0E">
      <w:pPr>
        <w:numPr>
          <w:ilvl w:val="0"/>
          <w:numId w:val="1"/>
        </w:numPr>
        <w:tabs>
          <w:tab w:val="left" w:pos="284"/>
        </w:tabs>
        <w:spacing w:after="120" w:line="240" w:lineRule="auto"/>
        <w:ind w:left="0" w:firstLine="0"/>
        <w:jc w:val="both"/>
        <w:rPr>
          <w:rFonts w:cs="Times New Roman"/>
          <w:szCs w:val="24"/>
        </w:rPr>
      </w:pPr>
      <w:r w:rsidRPr="00F16A0E">
        <w:rPr>
          <w:rFonts w:cs="Times New Roman"/>
          <w:b/>
          <w:bCs/>
          <w:szCs w:val="24"/>
        </w:rPr>
        <w:t xml:space="preserve">Lata 2018–2019 </w:t>
      </w:r>
    </w:p>
    <w:p w14:paraId="4AF3DC4D" w14:textId="087F25F2" w:rsidR="0004162C" w:rsidRPr="00F16A0E" w:rsidRDefault="0004162C" w:rsidP="00F16A0E">
      <w:pPr>
        <w:spacing w:after="120" w:line="240" w:lineRule="auto"/>
        <w:jc w:val="both"/>
        <w:rPr>
          <w:rFonts w:cs="Times New Roman"/>
          <w:szCs w:val="24"/>
        </w:rPr>
      </w:pPr>
      <w:r w:rsidRPr="00F16A0E">
        <w:rPr>
          <w:rFonts w:cs="Times New Roman"/>
          <w:szCs w:val="24"/>
        </w:rPr>
        <w:t xml:space="preserve">Regulacje w zakresie obligatoryjnego </w:t>
      </w:r>
      <w:proofErr w:type="spellStart"/>
      <w:r w:rsidRPr="00F16A0E">
        <w:rPr>
          <w:rFonts w:cs="Times New Roman"/>
          <w:szCs w:val="24"/>
        </w:rPr>
        <w:t>blendingu</w:t>
      </w:r>
      <w:proofErr w:type="spellEnd"/>
      <w:r w:rsidRPr="00F16A0E">
        <w:rPr>
          <w:rFonts w:cs="Times New Roman"/>
          <w:szCs w:val="24"/>
        </w:rPr>
        <w:t xml:space="preserve"> zostały wprowadzone ustawą z dnia 24 listopada 2017 r. o zmianie ustawy o biokomponentach i biopaliwach ciekłych oraz niektórych innych ustaw (Dz. U. poz. 2290), a obowiązek zaczął funkcjonować od dnia 1 stycznia 2018</w:t>
      </w:r>
      <w:r w:rsidR="00CF6661" w:rsidRPr="00F16A0E">
        <w:rPr>
          <w:rFonts w:cs="Times New Roman"/>
          <w:szCs w:val="24"/>
        </w:rPr>
        <w:t> </w:t>
      </w:r>
      <w:r w:rsidRPr="00F16A0E">
        <w:rPr>
          <w:rFonts w:cs="Times New Roman"/>
          <w:szCs w:val="24"/>
        </w:rPr>
        <w:t>r. – wprowadzono wówczas kwartalne okresy jego rozliczania. W przypadku oleju napędowego, ze względu na ograniczenia związane z niską temperaturą, wartości w</w:t>
      </w:r>
      <w:r w:rsidR="00CF6661" w:rsidRPr="00F16A0E">
        <w:rPr>
          <w:rFonts w:cs="Times New Roman"/>
          <w:szCs w:val="24"/>
        </w:rPr>
        <w:t> </w:t>
      </w:r>
      <w:r w:rsidRPr="00F16A0E">
        <w:rPr>
          <w:rFonts w:cs="Times New Roman"/>
          <w:szCs w:val="24"/>
        </w:rPr>
        <w:t>poszczególnych kwartałach zostały ustalone na różnych poziomach, tj. 3,2 % w I kwartale, 5,53</w:t>
      </w:r>
      <w:r w:rsidR="00CF6661" w:rsidRPr="00F16A0E">
        <w:rPr>
          <w:rFonts w:cs="Times New Roman"/>
          <w:szCs w:val="24"/>
        </w:rPr>
        <w:t> </w:t>
      </w:r>
      <w:r w:rsidRPr="00F16A0E">
        <w:rPr>
          <w:rFonts w:cs="Times New Roman"/>
          <w:szCs w:val="24"/>
        </w:rPr>
        <w:t xml:space="preserve">% w II i III </w:t>
      </w:r>
      <w:r w:rsidRPr="00F16A0E">
        <w:rPr>
          <w:rFonts w:cs="Times New Roman"/>
          <w:szCs w:val="24"/>
        </w:rPr>
        <w:lastRenderedPageBreak/>
        <w:t xml:space="preserve">kwartale oraz 3,68 % w IV kwartale danego roku. Od </w:t>
      </w:r>
      <w:r w:rsidR="00D62E83" w:rsidRPr="00F16A0E">
        <w:rPr>
          <w:rFonts w:cs="Times New Roman"/>
          <w:szCs w:val="24"/>
        </w:rPr>
        <w:t xml:space="preserve">dnia </w:t>
      </w:r>
      <w:r w:rsidRPr="00F16A0E">
        <w:rPr>
          <w:rFonts w:cs="Times New Roman"/>
          <w:szCs w:val="24"/>
        </w:rPr>
        <w:t xml:space="preserve">1 stycznia 2019 r., zgodnie </w:t>
      </w:r>
      <w:r w:rsidR="00127514" w:rsidRPr="00F16A0E">
        <w:rPr>
          <w:rFonts w:cs="Times New Roman"/>
          <w:szCs w:val="24"/>
        </w:rPr>
        <w:t xml:space="preserve">z </w:t>
      </w:r>
      <w:r w:rsidRPr="00F16A0E">
        <w:rPr>
          <w:rFonts w:cs="Times New Roman"/>
          <w:szCs w:val="24"/>
        </w:rPr>
        <w:t>art. 23b</w:t>
      </w:r>
      <w:r w:rsidR="000D23EC" w:rsidRPr="00F16A0E">
        <w:rPr>
          <w:rFonts w:cs="Times New Roman"/>
          <w:szCs w:val="24"/>
        </w:rPr>
        <w:t xml:space="preserve"> ust. 3 pkt 2 dodanym do</w:t>
      </w:r>
      <w:r w:rsidRPr="00F16A0E">
        <w:rPr>
          <w:rFonts w:cs="Times New Roman"/>
          <w:szCs w:val="24"/>
        </w:rPr>
        <w:t xml:space="preserve"> ustawy</w:t>
      </w:r>
      <w:r w:rsidR="000D23EC" w:rsidRPr="00F16A0E">
        <w:rPr>
          <w:rFonts w:cs="Times New Roman"/>
          <w:szCs w:val="24"/>
        </w:rPr>
        <w:t xml:space="preserve">, </w:t>
      </w:r>
      <w:r w:rsidRPr="00F16A0E">
        <w:rPr>
          <w:rFonts w:cs="Times New Roman"/>
          <w:szCs w:val="24"/>
        </w:rPr>
        <w:t xml:space="preserve">minimalny udział biokomponentów </w:t>
      </w:r>
      <w:bookmarkStart w:id="6" w:name="mip43635656"/>
      <w:bookmarkStart w:id="7" w:name="mip43635657"/>
      <w:bookmarkEnd w:id="6"/>
      <w:bookmarkEnd w:id="7"/>
      <w:r w:rsidRPr="00F16A0E">
        <w:rPr>
          <w:rFonts w:cs="Times New Roman"/>
          <w:szCs w:val="24"/>
        </w:rPr>
        <w:t>w oleju napędow</w:t>
      </w:r>
      <w:r w:rsidR="00127514" w:rsidRPr="00F16A0E">
        <w:rPr>
          <w:rFonts w:cs="Times New Roman"/>
          <w:szCs w:val="24"/>
        </w:rPr>
        <w:t>ym</w:t>
      </w:r>
      <w:r w:rsidRPr="00F16A0E">
        <w:rPr>
          <w:rFonts w:cs="Times New Roman"/>
          <w:szCs w:val="24"/>
        </w:rPr>
        <w:t xml:space="preserve"> wynosił 3,22 % w I kwartale, 5,53 % w II i II</w:t>
      </w:r>
      <w:r w:rsidR="00F30C84" w:rsidRPr="00F16A0E">
        <w:rPr>
          <w:rFonts w:cs="Times New Roman"/>
          <w:szCs w:val="24"/>
        </w:rPr>
        <w:t>I</w:t>
      </w:r>
      <w:r w:rsidRPr="00F16A0E">
        <w:rPr>
          <w:rFonts w:cs="Times New Roman"/>
          <w:szCs w:val="24"/>
        </w:rPr>
        <w:t xml:space="preserve"> kwartale oraz 3,68 % w IV kwartale. </w:t>
      </w:r>
    </w:p>
    <w:p w14:paraId="08575FDA" w14:textId="77777777" w:rsidR="0004162C" w:rsidRPr="00F16A0E" w:rsidRDefault="0004162C" w:rsidP="00F16A0E">
      <w:pPr>
        <w:numPr>
          <w:ilvl w:val="0"/>
          <w:numId w:val="1"/>
        </w:numPr>
        <w:tabs>
          <w:tab w:val="left" w:pos="426"/>
        </w:tabs>
        <w:spacing w:after="120" w:line="240" w:lineRule="auto"/>
        <w:ind w:left="0" w:firstLine="0"/>
        <w:jc w:val="both"/>
        <w:rPr>
          <w:rFonts w:cs="Times New Roman"/>
          <w:b/>
          <w:bCs/>
          <w:szCs w:val="24"/>
        </w:rPr>
      </w:pPr>
      <w:r w:rsidRPr="00F16A0E">
        <w:rPr>
          <w:rFonts w:cs="Times New Roman"/>
          <w:b/>
          <w:bCs/>
          <w:szCs w:val="24"/>
        </w:rPr>
        <w:t xml:space="preserve">Lata 2020–2023r. </w:t>
      </w:r>
    </w:p>
    <w:p w14:paraId="1B04D490" w14:textId="4E7233F5" w:rsidR="0004162C" w:rsidRPr="00F16A0E" w:rsidRDefault="0004162C" w:rsidP="00F16A0E">
      <w:pPr>
        <w:spacing w:after="120" w:line="240" w:lineRule="auto"/>
        <w:jc w:val="both"/>
        <w:rPr>
          <w:rFonts w:cs="Times New Roman"/>
          <w:szCs w:val="24"/>
        </w:rPr>
      </w:pPr>
      <w:r w:rsidRPr="00F16A0E">
        <w:rPr>
          <w:rFonts w:cs="Times New Roman"/>
          <w:szCs w:val="24"/>
        </w:rPr>
        <w:t>Ustawą z dnia 19 lipca 2019 r. o zmianie ustawy o biokomponentach i biopaliwach ciekłych oraz niektórych innych ustaw (Dz. U. poz. 1527) zmieniono okres rozliczania obowiązku z systemu kwartalnego na system roczny</w:t>
      </w:r>
      <w:r w:rsidR="000D23EC" w:rsidRPr="00F16A0E">
        <w:rPr>
          <w:rFonts w:cs="Times New Roman"/>
          <w:szCs w:val="24"/>
        </w:rPr>
        <w:t>. Zgodnie ze znowelizowanym brzmieniem art. 23b ust. 3 pkt 2</w:t>
      </w:r>
      <w:r w:rsidR="00C93B14" w:rsidRPr="00F16A0E">
        <w:rPr>
          <w:rFonts w:cs="Times New Roman"/>
          <w:szCs w:val="24"/>
        </w:rPr>
        <w:t xml:space="preserve"> </w:t>
      </w:r>
      <w:r w:rsidR="000D23EC" w:rsidRPr="00F16A0E">
        <w:rPr>
          <w:rFonts w:cs="Times New Roman"/>
          <w:szCs w:val="24"/>
        </w:rPr>
        <w:t>ustawy</w:t>
      </w:r>
      <w:r w:rsidR="00BA3CC9" w:rsidRPr="00F16A0E">
        <w:rPr>
          <w:rFonts w:cs="Times New Roman"/>
          <w:szCs w:val="24"/>
        </w:rPr>
        <w:t>, obowiązującym od dnia 1 stycznia 2020 r.,</w:t>
      </w:r>
      <w:r w:rsidR="000D23EC" w:rsidRPr="00F16A0E">
        <w:rPr>
          <w:rFonts w:cs="Times New Roman"/>
          <w:szCs w:val="24"/>
        </w:rPr>
        <w:t xml:space="preserve"> </w:t>
      </w:r>
      <w:r w:rsidR="00C93B14" w:rsidRPr="00F16A0E">
        <w:rPr>
          <w:rFonts w:cs="Times New Roman"/>
          <w:szCs w:val="24"/>
        </w:rPr>
        <w:t xml:space="preserve">minimalny udział biokomponentów w oleju napędowym </w:t>
      </w:r>
      <w:r w:rsidR="000D23EC" w:rsidRPr="00F16A0E">
        <w:rPr>
          <w:rFonts w:cs="Times New Roman"/>
          <w:szCs w:val="24"/>
        </w:rPr>
        <w:t>wynosi</w:t>
      </w:r>
      <w:r w:rsidRPr="00F16A0E">
        <w:rPr>
          <w:rFonts w:cs="Times New Roman"/>
          <w:szCs w:val="24"/>
        </w:rPr>
        <w:t xml:space="preserve"> </w:t>
      </w:r>
      <w:r w:rsidR="00C93B14" w:rsidRPr="00F16A0E">
        <w:rPr>
          <w:rFonts w:cs="Times New Roman"/>
          <w:szCs w:val="24"/>
        </w:rPr>
        <w:t>6,2 %.</w:t>
      </w:r>
      <w:r w:rsidR="000D23EC" w:rsidRPr="00F16A0E">
        <w:rPr>
          <w:rFonts w:cs="Times New Roman"/>
          <w:szCs w:val="24"/>
        </w:rPr>
        <w:t xml:space="preserve"> Jednocześnie w</w:t>
      </w:r>
      <w:r w:rsidRPr="00F16A0E">
        <w:rPr>
          <w:rFonts w:cs="Times New Roman"/>
          <w:szCs w:val="24"/>
        </w:rPr>
        <w:t xml:space="preserve"> art. 12 pkt 2 ww. ustawy </w:t>
      </w:r>
      <w:r w:rsidR="000D23EC" w:rsidRPr="00F16A0E">
        <w:rPr>
          <w:rFonts w:cs="Times New Roman"/>
          <w:szCs w:val="24"/>
        </w:rPr>
        <w:t xml:space="preserve">nowelizującej </w:t>
      </w:r>
      <w:r w:rsidRPr="00F16A0E">
        <w:rPr>
          <w:rFonts w:cs="Times New Roman"/>
          <w:szCs w:val="24"/>
        </w:rPr>
        <w:t xml:space="preserve">określono wysokość obligatoryjnego </w:t>
      </w:r>
      <w:proofErr w:type="spellStart"/>
      <w:r w:rsidRPr="00F16A0E">
        <w:rPr>
          <w:rFonts w:cs="Times New Roman"/>
          <w:szCs w:val="24"/>
        </w:rPr>
        <w:t>blendingu</w:t>
      </w:r>
      <w:proofErr w:type="spellEnd"/>
      <w:r w:rsidRPr="00F16A0E">
        <w:rPr>
          <w:rFonts w:cs="Times New Roman"/>
          <w:szCs w:val="24"/>
        </w:rPr>
        <w:t xml:space="preserve"> </w:t>
      </w:r>
      <w:r w:rsidR="000D23EC" w:rsidRPr="00F16A0E">
        <w:rPr>
          <w:rFonts w:cs="Times New Roman"/>
          <w:szCs w:val="24"/>
        </w:rPr>
        <w:t xml:space="preserve">dla oleju napędowego </w:t>
      </w:r>
      <w:r w:rsidRPr="00F16A0E">
        <w:rPr>
          <w:rFonts w:cs="Times New Roman"/>
          <w:szCs w:val="24"/>
        </w:rPr>
        <w:t>na lata 2020–2022 na poziomie niższym niż w ustaw</w:t>
      </w:r>
      <w:r w:rsidR="000D23EC" w:rsidRPr="00F16A0E">
        <w:rPr>
          <w:rFonts w:cs="Times New Roman"/>
          <w:szCs w:val="24"/>
        </w:rPr>
        <w:t>ie</w:t>
      </w:r>
      <w:r w:rsidRPr="00F16A0E">
        <w:rPr>
          <w:rFonts w:cs="Times New Roman"/>
          <w:szCs w:val="24"/>
        </w:rPr>
        <w:t>,</w:t>
      </w:r>
      <w:r w:rsidR="000D23EC" w:rsidRPr="00F16A0E">
        <w:rPr>
          <w:rFonts w:cs="Times New Roman"/>
          <w:szCs w:val="24"/>
        </w:rPr>
        <w:t xml:space="preserve"> czyli </w:t>
      </w:r>
      <w:r w:rsidRPr="00F16A0E">
        <w:rPr>
          <w:rFonts w:cs="Times New Roman"/>
          <w:szCs w:val="24"/>
        </w:rPr>
        <w:t>4,90 % w 2020 r., 4,95 % w 2021 r. i</w:t>
      </w:r>
      <w:r w:rsidR="00CB0503" w:rsidRPr="00F16A0E">
        <w:rPr>
          <w:rFonts w:cs="Times New Roman"/>
          <w:szCs w:val="24"/>
        </w:rPr>
        <w:t> </w:t>
      </w:r>
      <w:r w:rsidRPr="00F16A0E">
        <w:rPr>
          <w:rFonts w:cs="Times New Roman"/>
          <w:szCs w:val="24"/>
        </w:rPr>
        <w:t>5,00</w:t>
      </w:r>
      <w:r w:rsidR="00D62E83" w:rsidRPr="00F16A0E">
        <w:rPr>
          <w:rFonts w:cs="Times New Roman"/>
          <w:szCs w:val="24"/>
        </w:rPr>
        <w:t> </w:t>
      </w:r>
      <w:r w:rsidRPr="00F16A0E">
        <w:rPr>
          <w:rFonts w:cs="Times New Roman"/>
          <w:szCs w:val="24"/>
        </w:rPr>
        <w:t xml:space="preserve">% w 2022 r. </w:t>
      </w:r>
      <w:r w:rsidR="00C93B14" w:rsidRPr="00F16A0E">
        <w:rPr>
          <w:rFonts w:cs="Times New Roman"/>
          <w:szCs w:val="24"/>
        </w:rPr>
        <w:t>Następnie</w:t>
      </w:r>
      <w:r w:rsidRPr="00F16A0E">
        <w:rPr>
          <w:rFonts w:cs="Times New Roman"/>
          <w:szCs w:val="24"/>
        </w:rPr>
        <w:t xml:space="preserve"> </w:t>
      </w:r>
      <w:r w:rsidR="00C93B14" w:rsidRPr="00F16A0E">
        <w:rPr>
          <w:rFonts w:cs="Times New Roman"/>
          <w:szCs w:val="24"/>
        </w:rPr>
        <w:t>u</w:t>
      </w:r>
      <w:r w:rsidRPr="00F16A0E">
        <w:rPr>
          <w:rFonts w:cs="Times New Roman"/>
          <w:szCs w:val="24"/>
        </w:rPr>
        <w:t>staw</w:t>
      </w:r>
      <w:r w:rsidR="00C93B14" w:rsidRPr="00F16A0E">
        <w:rPr>
          <w:rFonts w:cs="Times New Roman"/>
          <w:szCs w:val="24"/>
        </w:rPr>
        <w:t>ą</w:t>
      </w:r>
      <w:r w:rsidRPr="00F16A0E">
        <w:rPr>
          <w:rFonts w:cs="Times New Roman"/>
          <w:szCs w:val="24"/>
        </w:rPr>
        <w:t xml:space="preserve"> z dnia 27 października 2022 r. o zmianie ustawy o</w:t>
      </w:r>
      <w:r w:rsidR="0078620F" w:rsidRPr="00F16A0E">
        <w:rPr>
          <w:rFonts w:cs="Times New Roman"/>
          <w:szCs w:val="24"/>
        </w:rPr>
        <w:t> </w:t>
      </w:r>
      <w:r w:rsidRPr="00F16A0E">
        <w:rPr>
          <w:rFonts w:cs="Times New Roman"/>
          <w:szCs w:val="24"/>
        </w:rPr>
        <w:t>biokomponentach i</w:t>
      </w:r>
      <w:r w:rsidR="000D23EC" w:rsidRPr="00F16A0E">
        <w:rPr>
          <w:rFonts w:cs="Times New Roman"/>
          <w:szCs w:val="24"/>
        </w:rPr>
        <w:t> </w:t>
      </w:r>
      <w:r w:rsidRPr="00F16A0E">
        <w:rPr>
          <w:rFonts w:cs="Times New Roman"/>
          <w:szCs w:val="24"/>
        </w:rPr>
        <w:t>biopaliwach ciekłych oraz ustawy o systemie monitorowania i</w:t>
      </w:r>
      <w:r w:rsidR="00CB0503" w:rsidRPr="00F16A0E">
        <w:rPr>
          <w:rFonts w:cs="Times New Roman"/>
          <w:szCs w:val="24"/>
        </w:rPr>
        <w:t> </w:t>
      </w:r>
      <w:r w:rsidRPr="00F16A0E">
        <w:rPr>
          <w:rFonts w:cs="Times New Roman"/>
          <w:szCs w:val="24"/>
        </w:rPr>
        <w:t>kontrolowania jakości paliw (Dz. U. poz. 2411) dodano</w:t>
      </w:r>
      <w:r w:rsidR="00CF6661" w:rsidRPr="00F16A0E">
        <w:rPr>
          <w:rFonts w:cs="Times New Roman"/>
          <w:szCs w:val="24"/>
        </w:rPr>
        <w:t xml:space="preserve"> w ustawie</w:t>
      </w:r>
      <w:r w:rsidRPr="00F16A0E">
        <w:rPr>
          <w:rFonts w:cs="Times New Roman"/>
          <w:szCs w:val="24"/>
        </w:rPr>
        <w:t xml:space="preserve"> art. 35b</w:t>
      </w:r>
      <w:r w:rsidR="000D23EC" w:rsidRPr="00F16A0E">
        <w:rPr>
          <w:rFonts w:cs="Times New Roman"/>
          <w:szCs w:val="24"/>
        </w:rPr>
        <w:t>, w którego pkt 3</w:t>
      </w:r>
      <w:r w:rsidR="00127514" w:rsidRPr="00F16A0E">
        <w:rPr>
          <w:rFonts w:cs="Times New Roman"/>
          <w:szCs w:val="24"/>
        </w:rPr>
        <w:t>,</w:t>
      </w:r>
      <w:r w:rsidR="00CF6661" w:rsidRPr="00F16A0E">
        <w:rPr>
          <w:rFonts w:cs="Times New Roman"/>
          <w:szCs w:val="24"/>
        </w:rPr>
        <w:t xml:space="preserve"> </w:t>
      </w:r>
      <w:r w:rsidR="00C93B14" w:rsidRPr="00F16A0E">
        <w:rPr>
          <w:rFonts w:cs="Times New Roman"/>
          <w:szCs w:val="24"/>
        </w:rPr>
        <w:t>określ</w:t>
      </w:r>
      <w:r w:rsidR="000D23EC" w:rsidRPr="00F16A0E">
        <w:rPr>
          <w:rFonts w:cs="Times New Roman"/>
          <w:szCs w:val="24"/>
        </w:rPr>
        <w:t>ono</w:t>
      </w:r>
      <w:r w:rsidRPr="00F16A0E">
        <w:rPr>
          <w:rFonts w:cs="Times New Roman"/>
          <w:szCs w:val="24"/>
        </w:rPr>
        <w:t xml:space="preserve"> wartość minimalnego udziału biokomponentów w oleju napędowym w 2023 r. na poziomie 5,2</w:t>
      </w:r>
      <w:r w:rsidR="00CF6661" w:rsidRPr="00F16A0E">
        <w:rPr>
          <w:rFonts w:cs="Times New Roman"/>
          <w:szCs w:val="24"/>
        </w:rPr>
        <w:t> </w:t>
      </w:r>
      <w:r w:rsidRPr="00F16A0E">
        <w:rPr>
          <w:rFonts w:cs="Times New Roman"/>
          <w:szCs w:val="24"/>
        </w:rPr>
        <w:t>%.</w:t>
      </w:r>
    </w:p>
    <w:p w14:paraId="235B4BCA" w14:textId="77777777" w:rsidR="0004162C" w:rsidRPr="00F16A0E" w:rsidRDefault="0004162C" w:rsidP="00F16A0E">
      <w:pPr>
        <w:numPr>
          <w:ilvl w:val="0"/>
          <w:numId w:val="1"/>
        </w:numPr>
        <w:tabs>
          <w:tab w:val="left" w:pos="426"/>
        </w:tabs>
        <w:spacing w:after="120" w:line="240" w:lineRule="auto"/>
        <w:ind w:left="0" w:firstLine="0"/>
        <w:jc w:val="both"/>
        <w:rPr>
          <w:rFonts w:cs="Times New Roman"/>
          <w:szCs w:val="24"/>
        </w:rPr>
      </w:pPr>
      <w:r w:rsidRPr="00F16A0E">
        <w:rPr>
          <w:rFonts w:cs="Times New Roman"/>
          <w:b/>
          <w:bCs/>
          <w:szCs w:val="24"/>
        </w:rPr>
        <w:t>Lata 2024–2025r. i lata następne</w:t>
      </w:r>
    </w:p>
    <w:p w14:paraId="66C84CD5" w14:textId="69F8142D" w:rsidR="00F17B3F" w:rsidRPr="00F16A0E" w:rsidRDefault="0004162C" w:rsidP="00F16A0E">
      <w:pPr>
        <w:spacing w:after="120" w:line="240" w:lineRule="auto"/>
        <w:jc w:val="both"/>
        <w:rPr>
          <w:rFonts w:cs="Times New Roman"/>
          <w:szCs w:val="24"/>
        </w:rPr>
      </w:pPr>
      <w:r w:rsidRPr="00F16A0E">
        <w:rPr>
          <w:rFonts w:cs="Times New Roman"/>
          <w:szCs w:val="24"/>
        </w:rPr>
        <w:t xml:space="preserve">Ustawą z dnia 13 lipca 2023 r. o ułatwieniach w przygotowaniu i realizacji inwestycji w zakresie biogazowni rolniczych, a także ich funkcjonowaniu (Dz. U. poz. 1597) </w:t>
      </w:r>
      <w:r w:rsidRPr="00F16A0E">
        <w:rPr>
          <w:rFonts w:cs="Times New Roman"/>
          <w:b/>
          <w:bCs/>
          <w:szCs w:val="24"/>
        </w:rPr>
        <w:t>został wprowadzon</w:t>
      </w:r>
      <w:r w:rsidR="00573091" w:rsidRPr="00F16A0E">
        <w:rPr>
          <w:rFonts w:cs="Times New Roman"/>
          <w:b/>
          <w:bCs/>
          <w:szCs w:val="24"/>
        </w:rPr>
        <w:t>y przepis epizodyczny</w:t>
      </w:r>
      <w:r w:rsidR="00CF6661" w:rsidRPr="00F16A0E">
        <w:rPr>
          <w:rFonts w:cs="Times New Roman"/>
          <w:b/>
          <w:bCs/>
          <w:szCs w:val="24"/>
        </w:rPr>
        <w:t xml:space="preserve"> </w:t>
      </w:r>
      <w:r w:rsidRPr="00F16A0E">
        <w:rPr>
          <w:rFonts w:cs="Times New Roman"/>
          <w:b/>
          <w:bCs/>
          <w:szCs w:val="24"/>
        </w:rPr>
        <w:t>służąc</w:t>
      </w:r>
      <w:r w:rsidR="00573091" w:rsidRPr="00F16A0E">
        <w:rPr>
          <w:rFonts w:cs="Times New Roman"/>
          <w:b/>
          <w:bCs/>
          <w:szCs w:val="24"/>
        </w:rPr>
        <w:t>y</w:t>
      </w:r>
      <w:r w:rsidRPr="00F16A0E">
        <w:rPr>
          <w:rFonts w:cs="Times New Roman"/>
          <w:b/>
          <w:bCs/>
          <w:szCs w:val="24"/>
        </w:rPr>
        <w:t xml:space="preserve"> utrzymaniu w latach 2024–2025 wysokości obligatoryjnego </w:t>
      </w:r>
      <w:proofErr w:type="spellStart"/>
      <w:r w:rsidRPr="00F16A0E">
        <w:rPr>
          <w:rFonts w:cs="Times New Roman"/>
          <w:b/>
          <w:bCs/>
          <w:szCs w:val="24"/>
        </w:rPr>
        <w:t>blendingu</w:t>
      </w:r>
      <w:proofErr w:type="spellEnd"/>
      <w:r w:rsidRPr="00F16A0E">
        <w:rPr>
          <w:rFonts w:cs="Times New Roman"/>
          <w:b/>
          <w:bCs/>
          <w:szCs w:val="24"/>
        </w:rPr>
        <w:t xml:space="preserve"> w oleju napędowym na poziomie 5,2 %</w:t>
      </w:r>
      <w:r w:rsidR="00573091" w:rsidRPr="00F16A0E">
        <w:rPr>
          <w:rFonts w:cs="Times New Roman"/>
          <w:b/>
          <w:bCs/>
          <w:szCs w:val="24"/>
        </w:rPr>
        <w:t xml:space="preserve"> </w:t>
      </w:r>
      <w:r w:rsidR="00573091" w:rsidRPr="00F16A0E">
        <w:rPr>
          <w:rFonts w:cs="Times New Roman"/>
          <w:szCs w:val="24"/>
        </w:rPr>
        <w:t>(art. 35d pkt 2 ustawy).</w:t>
      </w:r>
      <w:r w:rsidRPr="00F16A0E">
        <w:rPr>
          <w:rFonts w:cs="Times New Roman"/>
          <w:szCs w:val="24"/>
        </w:rPr>
        <w:t xml:space="preserve"> </w:t>
      </w:r>
    </w:p>
    <w:p w14:paraId="63B1B15D" w14:textId="31246546" w:rsidR="008E04BD" w:rsidRPr="00F16A0E" w:rsidRDefault="0004162C" w:rsidP="00F16A0E">
      <w:pPr>
        <w:spacing w:after="120" w:line="240" w:lineRule="auto"/>
        <w:jc w:val="both"/>
        <w:rPr>
          <w:rFonts w:cs="Times New Roman"/>
          <w:b/>
          <w:bCs/>
          <w:szCs w:val="24"/>
        </w:rPr>
      </w:pPr>
      <w:r w:rsidRPr="00F16A0E">
        <w:rPr>
          <w:rFonts w:cs="Times New Roman"/>
          <w:szCs w:val="24"/>
        </w:rPr>
        <w:t>Aktualnie</w:t>
      </w:r>
      <w:r w:rsidR="00DF333C" w:rsidRPr="00F16A0E">
        <w:rPr>
          <w:rFonts w:cs="Times New Roman"/>
          <w:szCs w:val="24"/>
        </w:rPr>
        <w:t>, w związku z wygasającym w 2025 r. art. 35d</w:t>
      </w:r>
      <w:r w:rsidR="00C00EB0" w:rsidRPr="00F16A0E">
        <w:rPr>
          <w:rFonts w:cs="Times New Roman"/>
          <w:szCs w:val="24"/>
        </w:rPr>
        <w:t xml:space="preserve"> pkt 2</w:t>
      </w:r>
      <w:r w:rsidR="00DF333C" w:rsidRPr="00F16A0E">
        <w:rPr>
          <w:rFonts w:cs="Times New Roman"/>
          <w:szCs w:val="24"/>
        </w:rPr>
        <w:t xml:space="preserve"> ustawy,</w:t>
      </w:r>
      <w:r w:rsidRPr="00F16A0E">
        <w:rPr>
          <w:rFonts w:cs="Times New Roman"/>
          <w:szCs w:val="24"/>
        </w:rPr>
        <w:t xml:space="preserve"> istnieje konieczność określenia poziomu obligatoryjnego </w:t>
      </w:r>
      <w:proofErr w:type="spellStart"/>
      <w:r w:rsidRPr="00F16A0E">
        <w:rPr>
          <w:rFonts w:cs="Times New Roman"/>
          <w:szCs w:val="24"/>
        </w:rPr>
        <w:t>blendingu</w:t>
      </w:r>
      <w:proofErr w:type="spellEnd"/>
      <w:r w:rsidRPr="00F16A0E">
        <w:rPr>
          <w:rFonts w:cs="Times New Roman"/>
          <w:szCs w:val="24"/>
        </w:rPr>
        <w:t xml:space="preserve"> na kolejne lata. </w:t>
      </w:r>
      <w:r w:rsidR="008E04BD" w:rsidRPr="00F16A0E">
        <w:rPr>
          <w:rFonts w:cs="Times New Roman"/>
          <w:szCs w:val="24"/>
        </w:rPr>
        <w:t xml:space="preserve">W tym celu wydaje się akt wykonawczy na podstawie upoważnienia ustawowego z art. 23b ust. 4 ustawy. </w:t>
      </w:r>
      <w:r w:rsidRPr="00F16A0E">
        <w:rPr>
          <w:rFonts w:cs="Times New Roman"/>
          <w:szCs w:val="24"/>
        </w:rPr>
        <w:t>Z uwagi na działania inwestycyjne w zakresie infrastruktury służącej do dodawania biokomponentów do paliw ciekłych, które były prowadzone na przestrzeni ostatnich lat przez podmioty zobowiązane do realizacji NCW oraz firmy zajmujące się magazynowaniem paliw, wskazane jest określ</w:t>
      </w:r>
      <w:r w:rsidR="008E04BD" w:rsidRPr="00F16A0E">
        <w:rPr>
          <w:rFonts w:cs="Times New Roman"/>
          <w:szCs w:val="24"/>
        </w:rPr>
        <w:t>enie</w:t>
      </w:r>
      <w:r w:rsidRPr="00F16A0E">
        <w:rPr>
          <w:rFonts w:cs="Times New Roman"/>
          <w:szCs w:val="24"/>
        </w:rPr>
        <w:t xml:space="preserve"> minimaln</w:t>
      </w:r>
      <w:r w:rsidR="008E04BD" w:rsidRPr="00F16A0E">
        <w:rPr>
          <w:rFonts w:cs="Times New Roman"/>
          <w:szCs w:val="24"/>
        </w:rPr>
        <w:t>ego</w:t>
      </w:r>
      <w:r w:rsidRPr="00F16A0E">
        <w:rPr>
          <w:rFonts w:cs="Times New Roman"/>
          <w:szCs w:val="24"/>
        </w:rPr>
        <w:t xml:space="preserve"> udział</w:t>
      </w:r>
      <w:r w:rsidR="008E04BD" w:rsidRPr="00F16A0E">
        <w:rPr>
          <w:rFonts w:cs="Times New Roman"/>
          <w:szCs w:val="24"/>
        </w:rPr>
        <w:t>u</w:t>
      </w:r>
      <w:r w:rsidRPr="00F16A0E">
        <w:rPr>
          <w:rFonts w:cs="Times New Roman"/>
          <w:szCs w:val="24"/>
        </w:rPr>
        <w:t xml:space="preserve"> biokomponentów w oleju napędowym na kolejne lata na poziomie wyższym niż ten, który został </w:t>
      </w:r>
      <w:r w:rsidR="00573091" w:rsidRPr="00F16A0E">
        <w:rPr>
          <w:rFonts w:cs="Times New Roman"/>
          <w:szCs w:val="24"/>
        </w:rPr>
        <w:t>ustalony</w:t>
      </w:r>
      <w:r w:rsidRPr="00F16A0E">
        <w:rPr>
          <w:rFonts w:cs="Times New Roman"/>
          <w:szCs w:val="24"/>
        </w:rPr>
        <w:t xml:space="preserve"> na lata 2024–2025</w:t>
      </w:r>
      <w:r w:rsidR="00F17B3F" w:rsidRPr="00F16A0E">
        <w:rPr>
          <w:rFonts w:cs="Times New Roman"/>
          <w:szCs w:val="24"/>
        </w:rPr>
        <w:t xml:space="preserve">, ale jednocześnie </w:t>
      </w:r>
      <w:r w:rsidR="00AA1802" w:rsidRPr="00F16A0E">
        <w:rPr>
          <w:rFonts w:cs="Times New Roman"/>
          <w:szCs w:val="24"/>
        </w:rPr>
        <w:t>możliwy</w:t>
      </w:r>
      <w:r w:rsidR="00F17B3F" w:rsidRPr="00F16A0E">
        <w:rPr>
          <w:rFonts w:cs="Times New Roman"/>
          <w:szCs w:val="24"/>
        </w:rPr>
        <w:t>m</w:t>
      </w:r>
      <w:r w:rsidR="00AA1802" w:rsidRPr="00F16A0E">
        <w:rPr>
          <w:rFonts w:cs="Times New Roman"/>
          <w:szCs w:val="24"/>
        </w:rPr>
        <w:t xml:space="preserve"> do wykonania przez ww. przedsiębiorców</w:t>
      </w:r>
      <w:r w:rsidR="00F17B3F" w:rsidRPr="00F16A0E">
        <w:rPr>
          <w:rFonts w:cs="Times New Roman"/>
          <w:szCs w:val="24"/>
        </w:rPr>
        <w:t>.</w:t>
      </w:r>
      <w:r w:rsidR="008E04BD" w:rsidRPr="00F16A0E">
        <w:rPr>
          <w:rFonts w:cs="Times New Roman"/>
          <w:b/>
          <w:bCs/>
          <w:szCs w:val="24"/>
        </w:rPr>
        <w:t xml:space="preserve"> </w:t>
      </w:r>
      <w:r w:rsidR="008E04BD" w:rsidRPr="00F16A0E">
        <w:rPr>
          <w:rFonts w:cs="Times New Roman"/>
          <w:szCs w:val="24"/>
        </w:rPr>
        <w:t>Zgodnie z §</w:t>
      </w:r>
      <w:r w:rsidR="00573091" w:rsidRPr="00F16A0E">
        <w:rPr>
          <w:rFonts w:cs="Times New Roman"/>
          <w:szCs w:val="24"/>
        </w:rPr>
        <w:t> </w:t>
      </w:r>
      <w:r w:rsidR="008E04BD" w:rsidRPr="00F16A0E">
        <w:rPr>
          <w:rFonts w:cs="Times New Roman"/>
          <w:szCs w:val="24"/>
        </w:rPr>
        <w:t xml:space="preserve">1 projektowanego </w:t>
      </w:r>
      <w:r w:rsidR="00573091" w:rsidRPr="00F16A0E">
        <w:rPr>
          <w:rFonts w:cs="Times New Roman"/>
          <w:szCs w:val="24"/>
        </w:rPr>
        <w:t xml:space="preserve">rozporządzenia </w:t>
      </w:r>
      <w:r w:rsidR="008E04BD" w:rsidRPr="00F16A0E">
        <w:rPr>
          <w:szCs w:val="24"/>
        </w:rPr>
        <w:t>minimalny udział biokomponentów w</w:t>
      </w:r>
      <w:r w:rsidR="008E04BD" w:rsidRPr="00F16A0E">
        <w:rPr>
          <w:rFonts w:cs="Times New Roman"/>
          <w:szCs w:val="24"/>
        </w:rPr>
        <w:t xml:space="preserve"> </w:t>
      </w:r>
      <w:r w:rsidR="008E04BD" w:rsidRPr="00F16A0E">
        <w:rPr>
          <w:szCs w:val="24"/>
        </w:rPr>
        <w:t>oleju napędowym będzie wynosił 5,5 %.</w:t>
      </w:r>
    </w:p>
    <w:p w14:paraId="31C5B8A6" w14:textId="5E81F8E3" w:rsidR="0004162C" w:rsidRPr="00F16A0E" w:rsidRDefault="00127514" w:rsidP="00F16A0E">
      <w:pPr>
        <w:spacing w:after="120" w:line="240" w:lineRule="auto"/>
        <w:jc w:val="both"/>
        <w:rPr>
          <w:rFonts w:cs="Times New Roman"/>
          <w:szCs w:val="24"/>
        </w:rPr>
      </w:pPr>
      <w:r w:rsidRPr="00F16A0E">
        <w:rPr>
          <w:rFonts w:cs="Times New Roman"/>
          <w:szCs w:val="24"/>
        </w:rPr>
        <w:t>W</w:t>
      </w:r>
      <w:r w:rsidR="0004162C" w:rsidRPr="00F16A0E">
        <w:rPr>
          <w:rFonts w:cs="Times New Roman"/>
          <w:szCs w:val="24"/>
        </w:rPr>
        <w:t xml:space="preserve"> § 2 </w:t>
      </w:r>
      <w:r w:rsidR="008E04BD" w:rsidRPr="00F16A0E">
        <w:rPr>
          <w:rFonts w:cs="Times New Roman"/>
          <w:szCs w:val="24"/>
        </w:rPr>
        <w:t>projektowanego</w:t>
      </w:r>
      <w:r w:rsidR="0004162C" w:rsidRPr="00F16A0E">
        <w:rPr>
          <w:rFonts w:cs="Times New Roman"/>
          <w:szCs w:val="24"/>
        </w:rPr>
        <w:t xml:space="preserve"> rozporządzenia określono termin jego wejścia w życie na dzień 1</w:t>
      </w:r>
      <w:r w:rsidR="00D62E83" w:rsidRPr="00F16A0E">
        <w:rPr>
          <w:rFonts w:cs="Times New Roman"/>
          <w:szCs w:val="24"/>
        </w:rPr>
        <w:t> </w:t>
      </w:r>
      <w:r w:rsidR="0004162C" w:rsidRPr="00F16A0E">
        <w:rPr>
          <w:rFonts w:cs="Times New Roman"/>
          <w:szCs w:val="24"/>
        </w:rPr>
        <w:t>stycznia 2026 r., gdyż przepis epizodyczny z art. 35d</w:t>
      </w:r>
      <w:r w:rsidR="00573091" w:rsidRPr="00F16A0E">
        <w:rPr>
          <w:rFonts w:cs="Times New Roman"/>
          <w:szCs w:val="24"/>
        </w:rPr>
        <w:t xml:space="preserve"> pkt 2</w:t>
      </w:r>
      <w:r w:rsidR="0004162C" w:rsidRPr="00F16A0E">
        <w:rPr>
          <w:rFonts w:cs="Times New Roman"/>
          <w:szCs w:val="24"/>
        </w:rPr>
        <w:t xml:space="preserve"> </w:t>
      </w:r>
      <w:r w:rsidRPr="00F16A0E">
        <w:rPr>
          <w:rFonts w:cs="Times New Roman"/>
          <w:szCs w:val="24"/>
        </w:rPr>
        <w:t>wygasa</w:t>
      </w:r>
      <w:r w:rsidR="00573091" w:rsidRPr="00F16A0E">
        <w:rPr>
          <w:rFonts w:cs="Times New Roman"/>
          <w:szCs w:val="24"/>
        </w:rPr>
        <w:t xml:space="preserve"> z końcem</w:t>
      </w:r>
      <w:r w:rsidR="0004162C" w:rsidRPr="00F16A0E">
        <w:rPr>
          <w:rFonts w:cs="Times New Roman"/>
          <w:szCs w:val="24"/>
        </w:rPr>
        <w:t xml:space="preserve"> 2025 r. Jednocześnie wyznaczenie terminu wejścia w życie na dzień 1 stycznia jest zgodne z uchwałą nr 20 Rady Ministrów z dnia 18 lutego 2014 r. w sprawie zaleceń ujednolicenia terminów wejścia w życie niektórych aktów normatywnych (M.P. </w:t>
      </w:r>
      <w:r w:rsidR="00573091" w:rsidRPr="00F16A0E">
        <w:rPr>
          <w:rFonts w:cs="Times New Roman"/>
          <w:szCs w:val="24"/>
        </w:rPr>
        <w:t xml:space="preserve">z </w:t>
      </w:r>
      <w:r w:rsidR="0004162C" w:rsidRPr="00F16A0E">
        <w:rPr>
          <w:rFonts w:cs="Times New Roman"/>
          <w:szCs w:val="24"/>
        </w:rPr>
        <w:t xml:space="preserve">2014 </w:t>
      </w:r>
      <w:r w:rsidR="00573091" w:rsidRPr="00F16A0E">
        <w:rPr>
          <w:rFonts w:cs="Times New Roman"/>
          <w:szCs w:val="24"/>
        </w:rPr>
        <w:t xml:space="preserve">r. </w:t>
      </w:r>
      <w:r w:rsidR="0004162C" w:rsidRPr="00F16A0E">
        <w:rPr>
          <w:rFonts w:cs="Times New Roman"/>
          <w:szCs w:val="24"/>
        </w:rPr>
        <w:t xml:space="preserve">poz. 205). </w:t>
      </w:r>
    </w:p>
    <w:p w14:paraId="2B219B52" w14:textId="6C521949" w:rsidR="006B4442" w:rsidRPr="00F16A0E" w:rsidRDefault="005330D2" w:rsidP="00F16A0E">
      <w:pPr>
        <w:spacing w:after="120" w:line="240" w:lineRule="auto"/>
        <w:jc w:val="both"/>
        <w:rPr>
          <w:rFonts w:cs="Times New Roman"/>
          <w:b/>
          <w:bCs/>
          <w:szCs w:val="24"/>
        </w:rPr>
      </w:pPr>
      <w:r w:rsidRPr="00F16A0E">
        <w:rPr>
          <w:rFonts w:cs="Times New Roman"/>
          <w:szCs w:val="24"/>
        </w:rPr>
        <w:t xml:space="preserve">Wejście w życie </w:t>
      </w:r>
      <w:r w:rsidR="00C943B0" w:rsidRPr="00F16A0E">
        <w:rPr>
          <w:rFonts w:cs="Times New Roman"/>
          <w:szCs w:val="24"/>
        </w:rPr>
        <w:t>projektowanego</w:t>
      </w:r>
      <w:r w:rsidRPr="00F16A0E">
        <w:rPr>
          <w:rFonts w:cs="Times New Roman"/>
          <w:szCs w:val="24"/>
        </w:rPr>
        <w:t xml:space="preserve"> rozporządzenia może przyczyni</w:t>
      </w:r>
      <w:r w:rsidR="00AB7CA5" w:rsidRPr="00F16A0E">
        <w:rPr>
          <w:rFonts w:cs="Times New Roman"/>
          <w:szCs w:val="24"/>
        </w:rPr>
        <w:t>ć</w:t>
      </w:r>
      <w:r w:rsidRPr="00F16A0E">
        <w:rPr>
          <w:rFonts w:cs="Times New Roman"/>
          <w:szCs w:val="24"/>
        </w:rPr>
        <w:t xml:space="preserve"> się do zwiększenia udziału energii ze źródeł odnawialnych</w:t>
      </w:r>
      <w:r w:rsidR="00AB7CA5" w:rsidRPr="00F16A0E">
        <w:rPr>
          <w:rFonts w:cs="Times New Roman"/>
          <w:szCs w:val="24"/>
        </w:rPr>
        <w:t xml:space="preserve"> w paliwach ciekłych</w:t>
      </w:r>
      <w:r w:rsidRPr="00F16A0E">
        <w:rPr>
          <w:rFonts w:cs="Times New Roman"/>
          <w:szCs w:val="24"/>
        </w:rPr>
        <w:t>.</w:t>
      </w:r>
      <w:r w:rsidR="00BE094A" w:rsidRPr="00F16A0E">
        <w:rPr>
          <w:rFonts w:cs="Times New Roman"/>
          <w:szCs w:val="24"/>
        </w:rPr>
        <w:t xml:space="preserve"> </w:t>
      </w:r>
      <w:r w:rsidR="00913E7A" w:rsidRPr="00F16A0E">
        <w:rPr>
          <w:rFonts w:cs="Times New Roman"/>
          <w:szCs w:val="24"/>
        </w:rPr>
        <w:t xml:space="preserve">Poziom </w:t>
      </w:r>
      <w:r w:rsidR="006B4442" w:rsidRPr="00F16A0E">
        <w:rPr>
          <w:szCs w:val="24"/>
        </w:rPr>
        <w:t xml:space="preserve">obligatoryjnego </w:t>
      </w:r>
      <w:proofErr w:type="spellStart"/>
      <w:r w:rsidR="006B4442" w:rsidRPr="00F16A0E">
        <w:rPr>
          <w:szCs w:val="24"/>
        </w:rPr>
        <w:t>blendingu</w:t>
      </w:r>
      <w:proofErr w:type="spellEnd"/>
      <w:r w:rsidR="006B4442" w:rsidRPr="00F16A0E">
        <w:rPr>
          <w:szCs w:val="24"/>
        </w:rPr>
        <w:t xml:space="preserve"> </w:t>
      </w:r>
      <w:r w:rsidR="00913E7A" w:rsidRPr="00F16A0E">
        <w:rPr>
          <w:szCs w:val="24"/>
        </w:rPr>
        <w:t>dla</w:t>
      </w:r>
      <w:r w:rsidR="006B4442" w:rsidRPr="00F16A0E">
        <w:rPr>
          <w:szCs w:val="24"/>
        </w:rPr>
        <w:t> oleju napędow</w:t>
      </w:r>
      <w:r w:rsidR="00913E7A" w:rsidRPr="00F16A0E">
        <w:rPr>
          <w:szCs w:val="24"/>
        </w:rPr>
        <w:t>ego b</w:t>
      </w:r>
      <w:r w:rsidR="006B4442" w:rsidRPr="00F16A0E">
        <w:rPr>
          <w:szCs w:val="24"/>
        </w:rPr>
        <w:t xml:space="preserve">ędzie co prawda w dalszym ciągu </w:t>
      </w:r>
      <w:r w:rsidR="00C943B0" w:rsidRPr="00F16A0E">
        <w:rPr>
          <w:szCs w:val="24"/>
        </w:rPr>
        <w:t>niższy niż ustawowy</w:t>
      </w:r>
      <w:r w:rsidR="00913E7A" w:rsidRPr="00F16A0E">
        <w:rPr>
          <w:szCs w:val="24"/>
        </w:rPr>
        <w:t xml:space="preserve"> </w:t>
      </w:r>
      <w:r w:rsidR="006B4442" w:rsidRPr="00F16A0E">
        <w:rPr>
          <w:szCs w:val="24"/>
        </w:rPr>
        <w:t>z</w:t>
      </w:r>
      <w:r w:rsidR="00913E7A" w:rsidRPr="00F16A0E">
        <w:rPr>
          <w:szCs w:val="24"/>
        </w:rPr>
        <w:t> </w:t>
      </w:r>
      <w:r w:rsidR="006B4442" w:rsidRPr="00F16A0E">
        <w:rPr>
          <w:szCs w:val="24"/>
        </w:rPr>
        <w:t xml:space="preserve">uwagi na </w:t>
      </w:r>
      <w:r w:rsidR="006B4442" w:rsidRPr="00F16A0E">
        <w:rPr>
          <w:rFonts w:cs="Times New Roman"/>
          <w:szCs w:val="24"/>
        </w:rPr>
        <w:t>techniczne możliwości branży paliwowej</w:t>
      </w:r>
      <w:r w:rsidR="002913B5" w:rsidRPr="00F16A0E">
        <w:rPr>
          <w:rFonts w:cs="Times New Roman"/>
          <w:szCs w:val="24"/>
        </w:rPr>
        <w:t>.</w:t>
      </w:r>
      <w:r w:rsidR="006B4442" w:rsidRPr="00F16A0E">
        <w:rPr>
          <w:rFonts w:cs="Times New Roman"/>
          <w:szCs w:val="24"/>
        </w:rPr>
        <w:t xml:space="preserve"> </w:t>
      </w:r>
      <w:r w:rsidR="002913B5" w:rsidRPr="00F16A0E">
        <w:rPr>
          <w:rFonts w:cs="Times New Roman"/>
          <w:szCs w:val="24"/>
        </w:rPr>
        <w:t>N</w:t>
      </w:r>
      <w:r w:rsidR="006B4442" w:rsidRPr="00F16A0E">
        <w:rPr>
          <w:rFonts w:cs="Times New Roman"/>
          <w:szCs w:val="24"/>
        </w:rPr>
        <w:t xml:space="preserve">iemniej jednak proponowany minimalny udział biokomponentów w oleju napędowym </w:t>
      </w:r>
      <w:r w:rsidR="002913B5" w:rsidRPr="00F16A0E">
        <w:rPr>
          <w:rFonts w:cs="Times New Roman"/>
          <w:szCs w:val="24"/>
        </w:rPr>
        <w:t>dąży</w:t>
      </w:r>
      <w:r w:rsidR="006B4442" w:rsidRPr="00F16A0E">
        <w:rPr>
          <w:rFonts w:cs="Times New Roman"/>
          <w:szCs w:val="24"/>
        </w:rPr>
        <w:t xml:space="preserve"> do </w:t>
      </w:r>
      <w:r w:rsidR="00913E7A" w:rsidRPr="00F16A0E">
        <w:rPr>
          <w:rFonts w:cs="Times New Roman"/>
          <w:szCs w:val="24"/>
        </w:rPr>
        <w:t xml:space="preserve">osiągnięcia </w:t>
      </w:r>
      <w:r w:rsidR="006B4442" w:rsidRPr="00F16A0E">
        <w:rPr>
          <w:rFonts w:cs="Times New Roman"/>
          <w:szCs w:val="24"/>
        </w:rPr>
        <w:t>poziomu ustawowego</w:t>
      </w:r>
      <w:r w:rsidR="002913B5" w:rsidRPr="00F16A0E">
        <w:rPr>
          <w:rFonts w:cs="Times New Roman"/>
          <w:szCs w:val="24"/>
        </w:rPr>
        <w:t>, pozwoli na zwiększenie wykorzystania biokomponentów w oleju napędowym w</w:t>
      </w:r>
      <w:r w:rsidR="00CD40FE" w:rsidRPr="00F16A0E">
        <w:rPr>
          <w:rFonts w:cs="Times New Roman"/>
          <w:szCs w:val="24"/>
        </w:rPr>
        <w:t> </w:t>
      </w:r>
      <w:r w:rsidR="002913B5" w:rsidRPr="00F16A0E">
        <w:rPr>
          <w:rFonts w:cs="Times New Roman"/>
          <w:szCs w:val="24"/>
        </w:rPr>
        <w:t xml:space="preserve">porównaniu do lat </w:t>
      </w:r>
      <w:r w:rsidR="00AA1584" w:rsidRPr="00F16A0E">
        <w:rPr>
          <w:rFonts w:cs="Times New Roman"/>
          <w:szCs w:val="24"/>
        </w:rPr>
        <w:t>2020–2025</w:t>
      </w:r>
      <w:r w:rsidR="00D82B47" w:rsidRPr="00F16A0E">
        <w:rPr>
          <w:rFonts w:cs="Times New Roman"/>
          <w:szCs w:val="24"/>
        </w:rPr>
        <w:t>.</w:t>
      </w:r>
    </w:p>
    <w:p w14:paraId="485FF078" w14:textId="22357AE2" w:rsidR="001F33F3" w:rsidRPr="00F16A0E" w:rsidRDefault="00BE094A" w:rsidP="00F16A0E">
      <w:pPr>
        <w:spacing w:after="120" w:line="240" w:lineRule="auto"/>
        <w:jc w:val="both"/>
        <w:rPr>
          <w:rFonts w:cs="Times New Roman"/>
          <w:szCs w:val="24"/>
        </w:rPr>
      </w:pPr>
      <w:r w:rsidRPr="00F16A0E">
        <w:rPr>
          <w:rFonts w:cs="Times New Roman"/>
          <w:szCs w:val="24"/>
        </w:rPr>
        <w:t xml:space="preserve">Ponadto projektowana regulacja będzie miała wpływ na środowisko naturalne, w związku ze stopniowym umożliwieniem </w:t>
      </w:r>
      <w:r w:rsidR="00AB7CA5" w:rsidRPr="00F16A0E">
        <w:rPr>
          <w:rFonts w:cs="Times New Roman"/>
          <w:szCs w:val="24"/>
        </w:rPr>
        <w:t xml:space="preserve">zwiększenia </w:t>
      </w:r>
      <w:r w:rsidRPr="00F16A0E">
        <w:rPr>
          <w:rFonts w:cs="Times New Roman"/>
          <w:szCs w:val="24"/>
        </w:rPr>
        <w:t>stosowania biokomponentów w paliw</w:t>
      </w:r>
      <w:r w:rsidR="00AB7CA5" w:rsidRPr="00F16A0E">
        <w:rPr>
          <w:rFonts w:cs="Times New Roman"/>
          <w:szCs w:val="24"/>
        </w:rPr>
        <w:t>ach ciekłych</w:t>
      </w:r>
      <w:r w:rsidRPr="00F16A0E">
        <w:rPr>
          <w:rFonts w:cs="Times New Roman"/>
          <w:szCs w:val="24"/>
        </w:rPr>
        <w:t xml:space="preserve"> wytwarzanych</w:t>
      </w:r>
      <w:r w:rsidR="008D6CC0" w:rsidRPr="00F16A0E">
        <w:rPr>
          <w:rFonts w:cs="Times New Roman"/>
          <w:szCs w:val="24"/>
        </w:rPr>
        <w:t xml:space="preserve"> ze źródeł konwencjonalnych, co przyczyniać się będzie do dekarbonizacji transportu drogowego.</w:t>
      </w:r>
    </w:p>
    <w:p w14:paraId="31280DF1" w14:textId="77777777" w:rsidR="001F33F3" w:rsidRPr="00F16A0E" w:rsidRDefault="001F33F3" w:rsidP="00F16A0E">
      <w:pPr>
        <w:pStyle w:val="NIEARTTEKSTtekstnieartykuowanynppodstprawnarozplubpreambua"/>
        <w:spacing w:before="0" w:after="120" w:line="240" w:lineRule="auto"/>
        <w:ind w:firstLine="0"/>
        <w:rPr>
          <w:rFonts w:ascii="Times New Roman" w:hAnsi="Times New Roman" w:cs="Times New Roman"/>
          <w:szCs w:val="24"/>
        </w:rPr>
      </w:pPr>
      <w:r w:rsidRPr="00F16A0E">
        <w:rPr>
          <w:rFonts w:ascii="Times New Roman" w:hAnsi="Times New Roman" w:cs="Times New Roman"/>
          <w:szCs w:val="24"/>
        </w:rPr>
        <w:lastRenderedPageBreak/>
        <w:t xml:space="preserve">Projekt rozporządzenia jest zgodny z prawem Unii Europejskiej. </w:t>
      </w:r>
    </w:p>
    <w:p w14:paraId="7E13F6DB" w14:textId="7033A940" w:rsidR="0004162C" w:rsidRPr="00F16A0E" w:rsidRDefault="0004162C" w:rsidP="00F16A0E">
      <w:pPr>
        <w:pStyle w:val="NIEARTTEKSTtekstnieartykuowanynppodstprawnarozplubpreambua"/>
        <w:spacing w:before="0" w:after="120" w:line="240" w:lineRule="auto"/>
        <w:ind w:firstLine="0"/>
        <w:rPr>
          <w:rFonts w:ascii="Times New Roman" w:hAnsi="Times New Roman" w:cs="Times New Roman"/>
          <w:szCs w:val="24"/>
        </w:rPr>
      </w:pPr>
      <w:r w:rsidRPr="00F16A0E">
        <w:rPr>
          <w:rFonts w:ascii="Times New Roman" w:hAnsi="Times New Roman" w:cs="Times New Roman"/>
          <w:szCs w:val="24"/>
        </w:rPr>
        <w:t>Projekt rozporządzenia zawiera przepisy techniczne powodujące konieczność rozpoczęcia procedury notyfikacyjnej w rozumieniu przepisów rozporządzenia Rady Ministrów z dnia 23 grudnia 2002 r. w sprawie sposobu funkcjonowania krajowego systemu notyfikacji norm i</w:t>
      </w:r>
      <w:r w:rsidR="00F30C84" w:rsidRPr="00F16A0E">
        <w:rPr>
          <w:rFonts w:ascii="Times New Roman" w:hAnsi="Times New Roman" w:cs="Times New Roman"/>
          <w:szCs w:val="24"/>
        </w:rPr>
        <w:t> </w:t>
      </w:r>
      <w:r w:rsidRPr="00F16A0E">
        <w:rPr>
          <w:rFonts w:ascii="Times New Roman" w:hAnsi="Times New Roman" w:cs="Times New Roman"/>
          <w:szCs w:val="24"/>
        </w:rPr>
        <w:t xml:space="preserve">aktów prawnych (Dz. U. poz. 2039, z późn. zm.). </w:t>
      </w:r>
    </w:p>
    <w:p w14:paraId="5EF21E14" w14:textId="342DA4FA" w:rsidR="0004162C" w:rsidRPr="00F16A0E" w:rsidRDefault="0004162C" w:rsidP="00F16A0E">
      <w:pPr>
        <w:pStyle w:val="NIEARTTEKSTtekstnieartykuowanynppodstprawnarozplubpreambua"/>
        <w:spacing w:before="0" w:after="120" w:line="240" w:lineRule="auto"/>
        <w:ind w:firstLine="0"/>
        <w:rPr>
          <w:rFonts w:ascii="Times New Roman" w:hAnsi="Times New Roman" w:cs="Times New Roman"/>
          <w:szCs w:val="24"/>
        </w:rPr>
      </w:pPr>
      <w:r w:rsidRPr="00F16A0E">
        <w:rPr>
          <w:rFonts w:ascii="Times New Roman" w:hAnsi="Times New Roman" w:cs="Times New Roman"/>
          <w:szCs w:val="24"/>
        </w:rPr>
        <w:t>Projekt aktu nie zawiera wymogów nakładanych na usługodawców, podlegających notyfikacji, o której mowa w art. 15 ust. 7 i art. 39 ust. 5 dyrektywy 2006/123/WE Parlamentu Europejskiego i Rady z dnia 12 grudnia 2006 r. dotyczącej usług na rynku wewnętrznym (Dz. Urz. UE L 376 z 27.12.2006, str. 36)</w:t>
      </w:r>
      <w:r w:rsidR="00BA74CB" w:rsidRPr="00F16A0E" w:rsidDel="00BA74CB">
        <w:rPr>
          <w:rFonts w:ascii="Times New Roman" w:hAnsi="Times New Roman" w:cs="Times New Roman"/>
          <w:szCs w:val="24"/>
        </w:rPr>
        <w:t xml:space="preserve"> </w:t>
      </w:r>
    </w:p>
    <w:p w14:paraId="2F91E5E1" w14:textId="69633E85" w:rsidR="00C943B0" w:rsidRPr="00F16A0E" w:rsidRDefault="001F33F3" w:rsidP="00F16A0E">
      <w:pPr>
        <w:pStyle w:val="NIEARTTEKSTtekstnieartykuowanynppodstprawnarozplubpreambua"/>
        <w:spacing w:before="0" w:after="120" w:line="240" w:lineRule="auto"/>
        <w:ind w:firstLine="0"/>
        <w:rPr>
          <w:rFonts w:ascii="Times New Roman" w:hAnsi="Times New Roman" w:cs="Times New Roman"/>
          <w:szCs w:val="24"/>
        </w:rPr>
      </w:pPr>
      <w:r w:rsidRPr="00F16A0E">
        <w:rPr>
          <w:rFonts w:ascii="Times New Roman" w:hAnsi="Times New Roman" w:cs="Times New Roman"/>
          <w:szCs w:val="24"/>
        </w:rPr>
        <w:t>Projekt rozporządzenia nie wymaga przedstawienia właściwym instytucjom i organom Unii Europejskiej, w tym Europejskiemu Bankowi Centralnemu, celem uzyskania opinii, dokonania powiadomienia, konsultacji albo uzgodnienia projektu.</w:t>
      </w:r>
    </w:p>
    <w:p w14:paraId="591F7344" w14:textId="7E584C5E" w:rsidR="001F33F3" w:rsidRPr="00F16A0E" w:rsidRDefault="001F33F3" w:rsidP="00F16A0E">
      <w:pPr>
        <w:pStyle w:val="ARTartustawynprozporzdzenia"/>
        <w:spacing w:before="0" w:after="120" w:line="240" w:lineRule="auto"/>
        <w:ind w:firstLine="0"/>
        <w:rPr>
          <w:rFonts w:ascii="Times New Roman" w:hAnsi="Times New Roman" w:cs="Times New Roman"/>
          <w:szCs w:val="24"/>
        </w:rPr>
      </w:pPr>
      <w:r w:rsidRPr="00F16A0E">
        <w:rPr>
          <w:rFonts w:ascii="Times New Roman" w:hAnsi="Times New Roman" w:cs="Times New Roman"/>
          <w:szCs w:val="24"/>
        </w:rPr>
        <w:t xml:space="preserve">Projekt rozporządzenia nie dotyczy majątkowych praw i obowiązków przedsiębiorców lub praw </w:t>
      </w:r>
      <w:r w:rsidR="00D423B0" w:rsidRPr="00F16A0E">
        <w:rPr>
          <w:rFonts w:ascii="Times New Roman" w:hAnsi="Times New Roman" w:cs="Times New Roman"/>
          <w:szCs w:val="24"/>
        </w:rPr>
        <w:t xml:space="preserve">i </w:t>
      </w:r>
      <w:r w:rsidRPr="00F16A0E">
        <w:rPr>
          <w:rFonts w:ascii="Times New Roman" w:hAnsi="Times New Roman" w:cs="Times New Roman"/>
          <w:szCs w:val="24"/>
        </w:rPr>
        <w:t>obowiązków przedsiębiorców wobec organów administracji publicznej i nie wpływa na działalność mikro przedsiębiorców oraz małych i średnich przedsiębiorców.</w:t>
      </w:r>
    </w:p>
    <w:p w14:paraId="2695CFE5" w14:textId="43CBC7DD" w:rsidR="001F33F3" w:rsidRPr="00F16A0E" w:rsidRDefault="001F33F3" w:rsidP="00F16A0E">
      <w:pPr>
        <w:pStyle w:val="ARTartustawynprozporzdzenia"/>
        <w:spacing w:before="0" w:after="120" w:line="240" w:lineRule="auto"/>
        <w:ind w:firstLine="0"/>
        <w:rPr>
          <w:rFonts w:ascii="Times New Roman" w:hAnsi="Times New Roman" w:cs="Times New Roman"/>
          <w:szCs w:val="24"/>
        </w:rPr>
      </w:pPr>
      <w:r w:rsidRPr="00F16A0E">
        <w:rPr>
          <w:rFonts w:ascii="Times New Roman" w:hAnsi="Times New Roman" w:cs="Times New Roman"/>
          <w:szCs w:val="24"/>
        </w:rPr>
        <w:t>Projekt rozporządzenia nie wymaga notyfikacji programu pomocowego, zgodnie z</w:t>
      </w:r>
      <w:r w:rsidR="000222D5" w:rsidRPr="00F16A0E">
        <w:rPr>
          <w:rFonts w:ascii="Times New Roman" w:hAnsi="Times New Roman" w:cs="Times New Roman"/>
          <w:szCs w:val="24"/>
        </w:rPr>
        <w:t> </w:t>
      </w:r>
      <w:r w:rsidRPr="00F16A0E">
        <w:rPr>
          <w:rFonts w:ascii="Times New Roman" w:hAnsi="Times New Roman" w:cs="Times New Roman"/>
          <w:szCs w:val="24"/>
        </w:rPr>
        <w:t>przepisami ustawy z dnia 30 kwietnia 2004 r. o postępowaniu w sprawach dotyczących pomocy publicznej (Dz. U. z 2023 r. poz. 702).</w:t>
      </w:r>
    </w:p>
    <w:p w14:paraId="3F83AFBB" w14:textId="77777777" w:rsidR="001F33F3" w:rsidRPr="00F16A0E" w:rsidRDefault="001F33F3" w:rsidP="00F16A0E">
      <w:pPr>
        <w:spacing w:after="120" w:line="240" w:lineRule="auto"/>
        <w:jc w:val="both"/>
        <w:rPr>
          <w:rFonts w:cs="Times New Roman"/>
          <w:color w:val="FF0000"/>
          <w:szCs w:val="24"/>
        </w:rPr>
      </w:pPr>
    </w:p>
    <w:sectPr w:rsidR="001F33F3" w:rsidRPr="00F16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1CCC"/>
    <w:multiLevelType w:val="hybridMultilevel"/>
    <w:tmpl w:val="C3BA5256"/>
    <w:lvl w:ilvl="0" w:tplc="0E040DE6">
      <w:start w:val="1"/>
      <w:numFmt w:val="decimal"/>
      <w:lvlText w:val="%1)"/>
      <w:lvlJc w:val="left"/>
      <w:pPr>
        <w:ind w:left="644"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78636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878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C2"/>
    <w:rsid w:val="000035E0"/>
    <w:rsid w:val="00007694"/>
    <w:rsid w:val="00012B4A"/>
    <w:rsid w:val="0001469E"/>
    <w:rsid w:val="00020129"/>
    <w:rsid w:val="000222D5"/>
    <w:rsid w:val="000275D8"/>
    <w:rsid w:val="0004162C"/>
    <w:rsid w:val="00045B34"/>
    <w:rsid w:val="00046EA1"/>
    <w:rsid w:val="0005441C"/>
    <w:rsid w:val="0007720A"/>
    <w:rsid w:val="000A19E1"/>
    <w:rsid w:val="000A705F"/>
    <w:rsid w:val="000C0D00"/>
    <w:rsid w:val="000C420D"/>
    <w:rsid w:val="000C7FCF"/>
    <w:rsid w:val="000D1E92"/>
    <w:rsid w:val="000D23EC"/>
    <w:rsid w:val="000E08DB"/>
    <w:rsid w:val="000F1732"/>
    <w:rsid w:val="000F5574"/>
    <w:rsid w:val="00105C34"/>
    <w:rsid w:val="00111BA8"/>
    <w:rsid w:val="00122E84"/>
    <w:rsid w:val="00127514"/>
    <w:rsid w:val="00127EED"/>
    <w:rsid w:val="001517D5"/>
    <w:rsid w:val="00190E4F"/>
    <w:rsid w:val="00194F4E"/>
    <w:rsid w:val="001A6E31"/>
    <w:rsid w:val="001C5A78"/>
    <w:rsid w:val="001C63F9"/>
    <w:rsid w:val="001C6CC1"/>
    <w:rsid w:val="001D681D"/>
    <w:rsid w:val="001E057B"/>
    <w:rsid w:val="001E62A1"/>
    <w:rsid w:val="001F33F3"/>
    <w:rsid w:val="0020054F"/>
    <w:rsid w:val="00202197"/>
    <w:rsid w:val="002169F1"/>
    <w:rsid w:val="00236F14"/>
    <w:rsid w:val="00251631"/>
    <w:rsid w:val="0025295B"/>
    <w:rsid w:val="002546B8"/>
    <w:rsid w:val="00255474"/>
    <w:rsid w:val="002555E6"/>
    <w:rsid w:val="00264A0B"/>
    <w:rsid w:val="00266E0B"/>
    <w:rsid w:val="00271EDD"/>
    <w:rsid w:val="00276754"/>
    <w:rsid w:val="002913B5"/>
    <w:rsid w:val="002A2421"/>
    <w:rsid w:val="002A67A8"/>
    <w:rsid w:val="002B6D4E"/>
    <w:rsid w:val="002C7DCB"/>
    <w:rsid w:val="002D27C9"/>
    <w:rsid w:val="002D6879"/>
    <w:rsid w:val="00304715"/>
    <w:rsid w:val="00307E36"/>
    <w:rsid w:val="00313823"/>
    <w:rsid w:val="00335743"/>
    <w:rsid w:val="00335C0D"/>
    <w:rsid w:val="00336BE3"/>
    <w:rsid w:val="00337328"/>
    <w:rsid w:val="003402FA"/>
    <w:rsid w:val="003508BB"/>
    <w:rsid w:val="00365DBE"/>
    <w:rsid w:val="00373257"/>
    <w:rsid w:val="003745C7"/>
    <w:rsid w:val="003A1B80"/>
    <w:rsid w:val="003C04F9"/>
    <w:rsid w:val="003C1220"/>
    <w:rsid w:val="003C3F24"/>
    <w:rsid w:val="003E2423"/>
    <w:rsid w:val="003E5EE6"/>
    <w:rsid w:val="003F48D6"/>
    <w:rsid w:val="003F7648"/>
    <w:rsid w:val="00415F75"/>
    <w:rsid w:val="00417CB8"/>
    <w:rsid w:val="00434970"/>
    <w:rsid w:val="0044152D"/>
    <w:rsid w:val="004717D2"/>
    <w:rsid w:val="00471C36"/>
    <w:rsid w:val="0047648A"/>
    <w:rsid w:val="004767E7"/>
    <w:rsid w:val="00481FF6"/>
    <w:rsid w:val="004934E8"/>
    <w:rsid w:val="004A0100"/>
    <w:rsid w:val="004A06EF"/>
    <w:rsid w:val="004A0E01"/>
    <w:rsid w:val="004A30F8"/>
    <w:rsid w:val="004A6F31"/>
    <w:rsid w:val="004B0327"/>
    <w:rsid w:val="004D2563"/>
    <w:rsid w:val="004D74D9"/>
    <w:rsid w:val="00511EFA"/>
    <w:rsid w:val="00516979"/>
    <w:rsid w:val="0052505C"/>
    <w:rsid w:val="00527638"/>
    <w:rsid w:val="005330D2"/>
    <w:rsid w:val="00554CD8"/>
    <w:rsid w:val="005576B9"/>
    <w:rsid w:val="0056459C"/>
    <w:rsid w:val="00573091"/>
    <w:rsid w:val="00574CCB"/>
    <w:rsid w:val="0058457F"/>
    <w:rsid w:val="00591295"/>
    <w:rsid w:val="005A13FD"/>
    <w:rsid w:val="005A5D92"/>
    <w:rsid w:val="005A6C13"/>
    <w:rsid w:val="005B6B22"/>
    <w:rsid w:val="005C36C8"/>
    <w:rsid w:val="005E53F7"/>
    <w:rsid w:val="005E598F"/>
    <w:rsid w:val="005E7FBA"/>
    <w:rsid w:val="005F66E9"/>
    <w:rsid w:val="00620DCD"/>
    <w:rsid w:val="006356DC"/>
    <w:rsid w:val="00643EFB"/>
    <w:rsid w:val="0064734A"/>
    <w:rsid w:val="00647B4F"/>
    <w:rsid w:val="006509E0"/>
    <w:rsid w:val="00665CE9"/>
    <w:rsid w:val="0066729A"/>
    <w:rsid w:val="006756A1"/>
    <w:rsid w:val="006876A4"/>
    <w:rsid w:val="00690FD3"/>
    <w:rsid w:val="006A6F3A"/>
    <w:rsid w:val="006B1DEA"/>
    <w:rsid w:val="006B3062"/>
    <w:rsid w:val="006B4442"/>
    <w:rsid w:val="006E1753"/>
    <w:rsid w:val="006E730A"/>
    <w:rsid w:val="00752F1E"/>
    <w:rsid w:val="007579E9"/>
    <w:rsid w:val="007779EE"/>
    <w:rsid w:val="00783EAF"/>
    <w:rsid w:val="0078620F"/>
    <w:rsid w:val="00795205"/>
    <w:rsid w:val="007B47A2"/>
    <w:rsid w:val="007B48AF"/>
    <w:rsid w:val="007C1994"/>
    <w:rsid w:val="007C6700"/>
    <w:rsid w:val="007E28B3"/>
    <w:rsid w:val="007E3645"/>
    <w:rsid w:val="007E6FFC"/>
    <w:rsid w:val="007E7678"/>
    <w:rsid w:val="007F536E"/>
    <w:rsid w:val="007F5B54"/>
    <w:rsid w:val="0080405B"/>
    <w:rsid w:val="008145CC"/>
    <w:rsid w:val="00817D08"/>
    <w:rsid w:val="00832332"/>
    <w:rsid w:val="0083466A"/>
    <w:rsid w:val="00835624"/>
    <w:rsid w:val="008731B8"/>
    <w:rsid w:val="008826B4"/>
    <w:rsid w:val="008876C3"/>
    <w:rsid w:val="008A7A59"/>
    <w:rsid w:val="008B66BF"/>
    <w:rsid w:val="008B6C4B"/>
    <w:rsid w:val="008C0969"/>
    <w:rsid w:val="008D1F65"/>
    <w:rsid w:val="008D3F10"/>
    <w:rsid w:val="008D6CC0"/>
    <w:rsid w:val="008E04BD"/>
    <w:rsid w:val="008F3AF0"/>
    <w:rsid w:val="008F4113"/>
    <w:rsid w:val="008F55DB"/>
    <w:rsid w:val="00913E7A"/>
    <w:rsid w:val="00917607"/>
    <w:rsid w:val="00926ACA"/>
    <w:rsid w:val="00932866"/>
    <w:rsid w:val="00962329"/>
    <w:rsid w:val="0096737B"/>
    <w:rsid w:val="009A3EB8"/>
    <w:rsid w:val="009B00FD"/>
    <w:rsid w:val="009B1F7F"/>
    <w:rsid w:val="009B7673"/>
    <w:rsid w:val="009D22E7"/>
    <w:rsid w:val="009D67F7"/>
    <w:rsid w:val="00A04A34"/>
    <w:rsid w:val="00A23A00"/>
    <w:rsid w:val="00A30E3F"/>
    <w:rsid w:val="00A369D3"/>
    <w:rsid w:val="00A61373"/>
    <w:rsid w:val="00A67152"/>
    <w:rsid w:val="00A702C8"/>
    <w:rsid w:val="00A86058"/>
    <w:rsid w:val="00A94B3A"/>
    <w:rsid w:val="00A96964"/>
    <w:rsid w:val="00A96CF8"/>
    <w:rsid w:val="00AA1584"/>
    <w:rsid w:val="00AA1802"/>
    <w:rsid w:val="00AA2225"/>
    <w:rsid w:val="00AB5418"/>
    <w:rsid w:val="00AB7CA5"/>
    <w:rsid w:val="00AC675D"/>
    <w:rsid w:val="00AE197A"/>
    <w:rsid w:val="00B00304"/>
    <w:rsid w:val="00B054F5"/>
    <w:rsid w:val="00B102F8"/>
    <w:rsid w:val="00B519C1"/>
    <w:rsid w:val="00B56D79"/>
    <w:rsid w:val="00B61F7F"/>
    <w:rsid w:val="00B66FAE"/>
    <w:rsid w:val="00B7181D"/>
    <w:rsid w:val="00B86816"/>
    <w:rsid w:val="00B907A4"/>
    <w:rsid w:val="00BA226F"/>
    <w:rsid w:val="00BA3CC9"/>
    <w:rsid w:val="00BA74CB"/>
    <w:rsid w:val="00BC0865"/>
    <w:rsid w:val="00BD4352"/>
    <w:rsid w:val="00BE067E"/>
    <w:rsid w:val="00BE094A"/>
    <w:rsid w:val="00BE3560"/>
    <w:rsid w:val="00BE3AE6"/>
    <w:rsid w:val="00BF2FA5"/>
    <w:rsid w:val="00BF33C5"/>
    <w:rsid w:val="00BF46CC"/>
    <w:rsid w:val="00C00EB0"/>
    <w:rsid w:val="00C02D35"/>
    <w:rsid w:val="00C152CD"/>
    <w:rsid w:val="00C251D1"/>
    <w:rsid w:val="00C26F77"/>
    <w:rsid w:val="00C50C1B"/>
    <w:rsid w:val="00C664B1"/>
    <w:rsid w:val="00C7379D"/>
    <w:rsid w:val="00C74764"/>
    <w:rsid w:val="00C90A5E"/>
    <w:rsid w:val="00C93B14"/>
    <w:rsid w:val="00C943B0"/>
    <w:rsid w:val="00CB0503"/>
    <w:rsid w:val="00CB15FE"/>
    <w:rsid w:val="00CD029E"/>
    <w:rsid w:val="00CD40FE"/>
    <w:rsid w:val="00CE6161"/>
    <w:rsid w:val="00CF3215"/>
    <w:rsid w:val="00CF6661"/>
    <w:rsid w:val="00D055EB"/>
    <w:rsid w:val="00D10AF7"/>
    <w:rsid w:val="00D151E5"/>
    <w:rsid w:val="00D17AC5"/>
    <w:rsid w:val="00D340CF"/>
    <w:rsid w:val="00D34EC2"/>
    <w:rsid w:val="00D423B0"/>
    <w:rsid w:val="00D46494"/>
    <w:rsid w:val="00D553E3"/>
    <w:rsid w:val="00D62E83"/>
    <w:rsid w:val="00D65AF9"/>
    <w:rsid w:val="00D82B47"/>
    <w:rsid w:val="00D87465"/>
    <w:rsid w:val="00DA22BC"/>
    <w:rsid w:val="00DA64BA"/>
    <w:rsid w:val="00DB6C58"/>
    <w:rsid w:val="00DD537F"/>
    <w:rsid w:val="00DD69E8"/>
    <w:rsid w:val="00DE2B9D"/>
    <w:rsid w:val="00DE65AA"/>
    <w:rsid w:val="00DF1D43"/>
    <w:rsid w:val="00DF333C"/>
    <w:rsid w:val="00E02638"/>
    <w:rsid w:val="00E02EFD"/>
    <w:rsid w:val="00E0669F"/>
    <w:rsid w:val="00E15BC2"/>
    <w:rsid w:val="00E20884"/>
    <w:rsid w:val="00E3538E"/>
    <w:rsid w:val="00E36B2D"/>
    <w:rsid w:val="00E402C2"/>
    <w:rsid w:val="00E44C4D"/>
    <w:rsid w:val="00E55DF4"/>
    <w:rsid w:val="00E7428D"/>
    <w:rsid w:val="00E86D3E"/>
    <w:rsid w:val="00E91AAC"/>
    <w:rsid w:val="00E93053"/>
    <w:rsid w:val="00EC0D64"/>
    <w:rsid w:val="00EC6095"/>
    <w:rsid w:val="00ED3252"/>
    <w:rsid w:val="00ED4D0E"/>
    <w:rsid w:val="00EE40B7"/>
    <w:rsid w:val="00F004AF"/>
    <w:rsid w:val="00F16A0E"/>
    <w:rsid w:val="00F17180"/>
    <w:rsid w:val="00F17B3F"/>
    <w:rsid w:val="00F30C84"/>
    <w:rsid w:val="00F32068"/>
    <w:rsid w:val="00F336A7"/>
    <w:rsid w:val="00F42E1A"/>
    <w:rsid w:val="00F45A4F"/>
    <w:rsid w:val="00F53BA3"/>
    <w:rsid w:val="00F55420"/>
    <w:rsid w:val="00F602F3"/>
    <w:rsid w:val="00F72CC7"/>
    <w:rsid w:val="00F76BEC"/>
    <w:rsid w:val="00F8198F"/>
    <w:rsid w:val="00F91ACB"/>
    <w:rsid w:val="00FA2954"/>
    <w:rsid w:val="00FB3347"/>
    <w:rsid w:val="00FC44D3"/>
    <w:rsid w:val="00FC4A97"/>
    <w:rsid w:val="00FD7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B128"/>
  <w15:chartTrackingRefBased/>
  <w15:docId w15:val="{FCB14244-C69E-4F5D-90D1-14B44795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1BA8"/>
    <w:pPr>
      <w:widowControl w:val="0"/>
      <w:autoSpaceDE w:val="0"/>
      <w:autoSpaceDN w:val="0"/>
      <w:adjustRightInd w:val="0"/>
      <w:spacing w:after="0" w:line="360" w:lineRule="auto"/>
    </w:pPr>
    <w:rPr>
      <w:rFonts w:ascii="Times New Roman" w:eastAsia="Times New Roman" w:hAnsi="Times New Roman" w:cs="Arial"/>
      <w:kern w:val="0"/>
      <w:sz w:val="24"/>
      <w:szCs w:val="20"/>
      <w:lang w:eastAsia="pl-PL"/>
      <w14:ligatures w14:val="none"/>
    </w:rPr>
  </w:style>
  <w:style w:type="paragraph" w:styleId="Nagwek1">
    <w:name w:val="heading 1"/>
    <w:basedOn w:val="Normalny"/>
    <w:next w:val="Normalny"/>
    <w:link w:val="Nagwek1Znak"/>
    <w:uiPriority w:val="9"/>
    <w:qFormat/>
    <w:rsid w:val="00D34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34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34EC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34EC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34EC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34EC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34EC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34EC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34EC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4EC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34EC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34EC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34EC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34EC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34EC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34EC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34EC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34EC2"/>
    <w:rPr>
      <w:rFonts w:eastAsiaTheme="majorEastAsia" w:cstheme="majorBidi"/>
      <w:color w:val="272727" w:themeColor="text1" w:themeTint="D8"/>
    </w:rPr>
  </w:style>
  <w:style w:type="paragraph" w:styleId="Tytu">
    <w:name w:val="Title"/>
    <w:basedOn w:val="Normalny"/>
    <w:next w:val="Normalny"/>
    <w:link w:val="TytuZnak"/>
    <w:uiPriority w:val="10"/>
    <w:qFormat/>
    <w:rsid w:val="00D34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34EC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34EC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34EC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34EC2"/>
    <w:pPr>
      <w:spacing w:before="160"/>
      <w:jc w:val="center"/>
    </w:pPr>
    <w:rPr>
      <w:i/>
      <w:iCs/>
      <w:color w:val="404040" w:themeColor="text1" w:themeTint="BF"/>
    </w:rPr>
  </w:style>
  <w:style w:type="character" w:customStyle="1" w:styleId="CytatZnak">
    <w:name w:val="Cytat Znak"/>
    <w:basedOn w:val="Domylnaczcionkaakapitu"/>
    <w:link w:val="Cytat"/>
    <w:uiPriority w:val="29"/>
    <w:rsid w:val="00D34EC2"/>
    <w:rPr>
      <w:i/>
      <w:iCs/>
      <w:color w:val="404040" w:themeColor="text1" w:themeTint="BF"/>
    </w:rPr>
  </w:style>
  <w:style w:type="paragraph" w:styleId="Akapitzlist">
    <w:name w:val="List Paragraph"/>
    <w:basedOn w:val="Normalny"/>
    <w:uiPriority w:val="34"/>
    <w:qFormat/>
    <w:rsid w:val="00D34EC2"/>
    <w:pPr>
      <w:ind w:left="720"/>
      <w:contextualSpacing/>
    </w:pPr>
  </w:style>
  <w:style w:type="character" w:styleId="Wyrnienieintensywne">
    <w:name w:val="Intense Emphasis"/>
    <w:basedOn w:val="Domylnaczcionkaakapitu"/>
    <w:uiPriority w:val="21"/>
    <w:qFormat/>
    <w:rsid w:val="00D34EC2"/>
    <w:rPr>
      <w:i/>
      <w:iCs/>
      <w:color w:val="0F4761" w:themeColor="accent1" w:themeShade="BF"/>
    </w:rPr>
  </w:style>
  <w:style w:type="paragraph" w:styleId="Cytatintensywny">
    <w:name w:val="Intense Quote"/>
    <w:basedOn w:val="Normalny"/>
    <w:next w:val="Normalny"/>
    <w:link w:val="CytatintensywnyZnak"/>
    <w:uiPriority w:val="30"/>
    <w:qFormat/>
    <w:rsid w:val="00D34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34EC2"/>
    <w:rPr>
      <w:i/>
      <w:iCs/>
      <w:color w:val="0F4761" w:themeColor="accent1" w:themeShade="BF"/>
    </w:rPr>
  </w:style>
  <w:style w:type="character" w:styleId="Odwoanieintensywne">
    <w:name w:val="Intense Reference"/>
    <w:basedOn w:val="Domylnaczcionkaakapitu"/>
    <w:uiPriority w:val="32"/>
    <w:qFormat/>
    <w:rsid w:val="00D34EC2"/>
    <w:rPr>
      <w:b/>
      <w:bCs/>
      <w:smallCaps/>
      <w:color w:val="0F4761" w:themeColor="accent1" w:themeShade="BF"/>
      <w:spacing w:val="5"/>
    </w:rPr>
  </w:style>
  <w:style w:type="character" w:customStyle="1" w:styleId="Ppogrubienie">
    <w:name w:val="_P_ – pogrubienie"/>
    <w:uiPriority w:val="1"/>
    <w:qFormat/>
    <w:rsid w:val="00111BA8"/>
    <w:rPr>
      <w:rFonts w:cs="Times New Roman"/>
      <w:b/>
    </w:rPr>
  </w:style>
  <w:style w:type="paragraph" w:customStyle="1" w:styleId="ARTartustawynprozporzdzenia">
    <w:name w:val="ART(§) – art. ustawy (§ np. rozporządzenia)"/>
    <w:uiPriority w:val="11"/>
    <w:qFormat/>
    <w:rsid w:val="001F33F3"/>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USTustnpkodeksu">
    <w:name w:val="UST(§) – ust. (§ np. kodeksu)"/>
    <w:basedOn w:val="ARTartustawynprozporzdzenia"/>
    <w:uiPriority w:val="12"/>
    <w:qFormat/>
    <w:rsid w:val="001F33F3"/>
    <w:pPr>
      <w:spacing w:before="0"/>
    </w:pPr>
    <w:rPr>
      <w:bCs/>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1F33F3"/>
    <w:rPr>
      <w:bCs/>
    </w:rPr>
  </w:style>
  <w:style w:type="character" w:styleId="Odwoaniedokomentarza">
    <w:name w:val="annotation reference"/>
    <w:basedOn w:val="Domylnaczcionkaakapitu"/>
    <w:uiPriority w:val="99"/>
    <w:semiHidden/>
    <w:unhideWhenUsed/>
    <w:rsid w:val="004B0327"/>
    <w:rPr>
      <w:sz w:val="16"/>
      <w:szCs w:val="16"/>
    </w:rPr>
  </w:style>
  <w:style w:type="paragraph" w:styleId="Tekstkomentarza">
    <w:name w:val="annotation text"/>
    <w:basedOn w:val="Normalny"/>
    <w:link w:val="TekstkomentarzaZnak"/>
    <w:uiPriority w:val="99"/>
    <w:unhideWhenUsed/>
    <w:rsid w:val="004B0327"/>
    <w:pPr>
      <w:spacing w:line="240" w:lineRule="auto"/>
    </w:pPr>
    <w:rPr>
      <w:sz w:val="20"/>
    </w:rPr>
  </w:style>
  <w:style w:type="character" w:customStyle="1" w:styleId="TekstkomentarzaZnak">
    <w:name w:val="Tekst komentarza Znak"/>
    <w:basedOn w:val="Domylnaczcionkaakapitu"/>
    <w:link w:val="Tekstkomentarza"/>
    <w:uiPriority w:val="99"/>
    <w:rsid w:val="004B0327"/>
    <w:rPr>
      <w:rFonts w:ascii="Times New Roman" w:eastAsia="Times New Roman" w:hAnsi="Times New Roman" w:cs="Arial"/>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4B0327"/>
    <w:rPr>
      <w:b/>
      <w:bCs/>
    </w:rPr>
  </w:style>
  <w:style w:type="character" w:customStyle="1" w:styleId="TematkomentarzaZnak">
    <w:name w:val="Temat komentarza Znak"/>
    <w:basedOn w:val="TekstkomentarzaZnak"/>
    <w:link w:val="Tematkomentarza"/>
    <w:uiPriority w:val="99"/>
    <w:semiHidden/>
    <w:rsid w:val="004B0327"/>
    <w:rPr>
      <w:rFonts w:ascii="Times New Roman" w:eastAsia="Times New Roman" w:hAnsi="Times New Roman" w:cs="Arial"/>
      <w:b/>
      <w:bCs/>
      <w:kern w:val="0"/>
      <w:sz w:val="20"/>
      <w:szCs w:val="20"/>
      <w:lang w:eastAsia="pl-PL"/>
      <w14:ligatures w14:val="none"/>
    </w:rPr>
  </w:style>
  <w:style w:type="paragraph" w:styleId="Poprawka">
    <w:name w:val="Revision"/>
    <w:hidden/>
    <w:uiPriority w:val="99"/>
    <w:semiHidden/>
    <w:rsid w:val="00E36B2D"/>
    <w:pPr>
      <w:spacing w:after="0" w:line="240" w:lineRule="auto"/>
    </w:pPr>
    <w:rPr>
      <w:rFonts w:ascii="Times New Roman" w:eastAsia="Times New Roman" w:hAnsi="Times New Roman" w:cs="Arial"/>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579118">
      <w:bodyDiv w:val="1"/>
      <w:marLeft w:val="0"/>
      <w:marRight w:val="0"/>
      <w:marTop w:val="0"/>
      <w:marBottom w:val="0"/>
      <w:divBdr>
        <w:top w:val="none" w:sz="0" w:space="0" w:color="auto"/>
        <w:left w:val="none" w:sz="0" w:space="0" w:color="auto"/>
        <w:bottom w:val="none" w:sz="0" w:space="0" w:color="auto"/>
        <w:right w:val="none" w:sz="0" w:space="0" w:color="auto"/>
      </w:divBdr>
    </w:div>
    <w:div w:id="1081220987">
      <w:bodyDiv w:val="1"/>
      <w:marLeft w:val="0"/>
      <w:marRight w:val="0"/>
      <w:marTop w:val="0"/>
      <w:marBottom w:val="0"/>
      <w:divBdr>
        <w:top w:val="none" w:sz="0" w:space="0" w:color="auto"/>
        <w:left w:val="none" w:sz="0" w:space="0" w:color="auto"/>
        <w:bottom w:val="none" w:sz="0" w:space="0" w:color="auto"/>
        <w:right w:val="none" w:sz="0" w:space="0" w:color="auto"/>
      </w:divBdr>
    </w:div>
    <w:div w:id="1145509121">
      <w:bodyDiv w:val="1"/>
      <w:marLeft w:val="0"/>
      <w:marRight w:val="0"/>
      <w:marTop w:val="0"/>
      <w:marBottom w:val="0"/>
      <w:divBdr>
        <w:top w:val="none" w:sz="0" w:space="0" w:color="auto"/>
        <w:left w:val="none" w:sz="0" w:space="0" w:color="auto"/>
        <w:bottom w:val="none" w:sz="0" w:space="0" w:color="auto"/>
        <w:right w:val="none" w:sz="0" w:space="0" w:color="auto"/>
      </w:divBdr>
    </w:div>
    <w:div w:id="1330256328">
      <w:bodyDiv w:val="1"/>
      <w:marLeft w:val="0"/>
      <w:marRight w:val="0"/>
      <w:marTop w:val="0"/>
      <w:marBottom w:val="0"/>
      <w:divBdr>
        <w:top w:val="none" w:sz="0" w:space="0" w:color="auto"/>
        <w:left w:val="none" w:sz="0" w:space="0" w:color="auto"/>
        <w:bottom w:val="none" w:sz="0" w:space="0" w:color="auto"/>
        <w:right w:val="none" w:sz="0" w:space="0" w:color="auto"/>
      </w:divBdr>
    </w:div>
    <w:div w:id="1552963741">
      <w:bodyDiv w:val="1"/>
      <w:marLeft w:val="0"/>
      <w:marRight w:val="0"/>
      <w:marTop w:val="0"/>
      <w:marBottom w:val="0"/>
      <w:divBdr>
        <w:top w:val="none" w:sz="0" w:space="0" w:color="auto"/>
        <w:left w:val="none" w:sz="0" w:space="0" w:color="auto"/>
        <w:bottom w:val="none" w:sz="0" w:space="0" w:color="auto"/>
        <w:right w:val="none" w:sz="0" w:space="0" w:color="auto"/>
      </w:divBdr>
    </w:div>
    <w:div w:id="174719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4zdanjxhazde&amp;refSource=hyp" TargetMode="External"/><Relationship Id="rId5" Type="http://schemas.openxmlformats.org/officeDocument/2006/relationships/hyperlink" Target="https://sip.legalis.pl/document-view.seam?documentId=mfrxilrxgazdgnzygqyq&amp;refSource=hy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1751</Words>
  <Characters>10511</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Solonek Natalia</dc:creator>
  <cp:keywords/>
  <dc:description/>
  <cp:lastModifiedBy>Machaj Maciej</cp:lastModifiedBy>
  <cp:revision>3</cp:revision>
  <dcterms:created xsi:type="dcterms:W3CDTF">2024-12-17T13:20:00Z</dcterms:created>
  <dcterms:modified xsi:type="dcterms:W3CDTF">2024-12-23T07:54:00Z</dcterms:modified>
</cp:coreProperties>
</file>