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EC" w:rsidRPr="00D30505" w:rsidRDefault="007212EC" w:rsidP="00155EBE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</w:rPr>
      </w:pPr>
      <w:r w:rsidRPr="00D30505">
        <w:rPr>
          <w:rFonts w:ascii="Times New Roman" w:eastAsiaTheme="minorHAnsi" w:hAnsi="Times New Roman"/>
          <w:b/>
          <w:sz w:val="24"/>
        </w:rPr>
        <w:t>UZASADNIENIE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 xml:space="preserve">Projekt rozporządzenia Ministra Spraw Wewnętrznych i Administracji w </w:t>
      </w:r>
      <w:r w:rsidRPr="001025E2">
        <w:rPr>
          <w:rFonts w:ascii="Times New Roman" w:eastAsiaTheme="minorHAnsi" w:hAnsi="Times New Roman"/>
          <w:sz w:val="24"/>
        </w:rPr>
        <w:t>sprawie program</w:t>
      </w:r>
      <w:r w:rsidR="00EE3C4D">
        <w:rPr>
          <w:rFonts w:ascii="Times New Roman" w:eastAsiaTheme="minorHAnsi" w:hAnsi="Times New Roman"/>
          <w:sz w:val="24"/>
        </w:rPr>
        <w:t>ów</w:t>
      </w:r>
      <w:r w:rsidRPr="001025E2">
        <w:rPr>
          <w:rFonts w:ascii="Times New Roman" w:eastAsiaTheme="minorHAnsi" w:hAnsi="Times New Roman"/>
          <w:sz w:val="24"/>
        </w:rPr>
        <w:t xml:space="preserve"> szkoleń </w:t>
      </w:r>
      <w:r w:rsidR="00EE3C4D">
        <w:rPr>
          <w:rFonts w:ascii="Times New Roman" w:eastAsiaTheme="minorHAnsi" w:hAnsi="Times New Roman"/>
          <w:sz w:val="24"/>
        </w:rPr>
        <w:t xml:space="preserve">z zakresu </w:t>
      </w:r>
      <w:r w:rsidRPr="001025E2">
        <w:rPr>
          <w:rFonts w:ascii="Times New Roman" w:eastAsiaTheme="minorHAnsi" w:hAnsi="Times New Roman"/>
          <w:sz w:val="24"/>
        </w:rPr>
        <w:t>ochrony ludności i obrony cywilnej oraz wymagań dla podmiotów prowadzących szkolenia</w:t>
      </w:r>
      <w:r w:rsidRPr="00D30505">
        <w:rPr>
          <w:rFonts w:ascii="Times New Roman" w:eastAsiaTheme="minorHAnsi" w:hAnsi="Times New Roman"/>
          <w:sz w:val="24"/>
        </w:rPr>
        <w:t xml:space="preserve"> </w:t>
      </w:r>
      <w:r w:rsidR="00B344DB" w:rsidRPr="00D30505">
        <w:rPr>
          <w:rFonts w:ascii="Times New Roman" w:eastAsiaTheme="minorHAnsi" w:hAnsi="Times New Roman"/>
          <w:sz w:val="24"/>
        </w:rPr>
        <w:t xml:space="preserve">jest </w:t>
      </w:r>
      <w:r w:rsidRPr="00D30505">
        <w:rPr>
          <w:rFonts w:ascii="Times New Roman" w:eastAsiaTheme="minorHAnsi" w:hAnsi="Times New Roman"/>
          <w:sz w:val="24"/>
        </w:rPr>
        <w:t xml:space="preserve">wydawany na podstawie art. </w:t>
      </w:r>
      <w:r w:rsidR="0010214F">
        <w:rPr>
          <w:rFonts w:ascii="Times New Roman" w:eastAsiaTheme="minorHAnsi" w:hAnsi="Times New Roman"/>
          <w:sz w:val="24"/>
        </w:rPr>
        <w:t xml:space="preserve">51 </w:t>
      </w:r>
      <w:r w:rsidRPr="00D30505">
        <w:rPr>
          <w:rFonts w:ascii="Times New Roman" w:eastAsiaTheme="minorHAnsi" w:hAnsi="Times New Roman"/>
          <w:sz w:val="24"/>
        </w:rPr>
        <w:t xml:space="preserve">ustawy z dnia </w:t>
      </w:r>
      <w:r w:rsidR="00913BB3">
        <w:rPr>
          <w:rFonts w:ascii="Times New Roman" w:eastAsiaTheme="minorHAnsi" w:hAnsi="Times New Roman"/>
          <w:sz w:val="24"/>
        </w:rPr>
        <w:t>5 grudnia 2024 r.</w:t>
      </w:r>
      <w:r w:rsidR="00913BB3" w:rsidRPr="00D30505">
        <w:rPr>
          <w:rFonts w:ascii="Times New Roman" w:eastAsiaTheme="minorHAnsi" w:hAnsi="Times New Roman"/>
          <w:sz w:val="24"/>
        </w:rPr>
        <w:t xml:space="preserve"> </w:t>
      </w:r>
      <w:r w:rsidR="0010214F">
        <w:rPr>
          <w:rFonts w:ascii="Times New Roman" w:eastAsiaTheme="minorHAnsi" w:hAnsi="Times New Roman"/>
          <w:sz w:val="24"/>
        </w:rPr>
        <w:t>o </w:t>
      </w:r>
      <w:r w:rsidRPr="00D30505">
        <w:rPr>
          <w:rFonts w:ascii="Times New Roman" w:eastAsiaTheme="minorHAnsi" w:hAnsi="Times New Roman"/>
          <w:sz w:val="24"/>
        </w:rPr>
        <w:t>ochronie ludności i obronie cywilnej.</w:t>
      </w:r>
      <w:r w:rsidR="00B344DB">
        <w:rPr>
          <w:rFonts w:ascii="Times New Roman" w:eastAsiaTheme="minorHAnsi" w:hAnsi="Times New Roman"/>
          <w:sz w:val="24"/>
        </w:rPr>
        <w:t xml:space="preserve"> </w:t>
      </w:r>
      <w:r w:rsidRPr="00D30505">
        <w:rPr>
          <w:rFonts w:ascii="Times New Roman" w:eastAsiaTheme="minorHAnsi" w:hAnsi="Times New Roman"/>
          <w:sz w:val="24"/>
        </w:rPr>
        <w:t xml:space="preserve">Rozporządzenie </w:t>
      </w:r>
      <w:r w:rsidR="00913BB3">
        <w:rPr>
          <w:rFonts w:ascii="Times New Roman" w:eastAsiaTheme="minorHAnsi" w:hAnsi="Times New Roman"/>
          <w:sz w:val="24"/>
        </w:rPr>
        <w:t>określi</w:t>
      </w:r>
      <w:r w:rsidRPr="00D30505">
        <w:rPr>
          <w:rFonts w:ascii="Times New Roman" w:eastAsiaTheme="minorHAnsi" w:hAnsi="Times New Roman"/>
          <w:sz w:val="24"/>
        </w:rPr>
        <w:t xml:space="preserve"> wymagania dotyczące zakresu wiadomości przekazywanych w toku szkoleń ochrony ludności i obrony cywilnej oraz wymagania dla podmiotów prowadzących szkolenia, mając na względzie zapewnienie jednolitości i odpowiedniego poziomu szkoleń na obszarze całego kraju.</w:t>
      </w:r>
    </w:p>
    <w:p w:rsidR="00B344DB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 xml:space="preserve">Obowiązek organizacji i odbywania szkoleń z zakresu ochrony ludności i obrony cywilnej został wprowadzony </w:t>
      </w:r>
      <w:r w:rsidR="00606932">
        <w:rPr>
          <w:rFonts w:ascii="Times New Roman" w:eastAsiaTheme="minorHAnsi" w:hAnsi="Times New Roman"/>
          <w:sz w:val="24"/>
        </w:rPr>
        <w:t xml:space="preserve">ustawą </w:t>
      </w:r>
      <w:r w:rsidRPr="00D30505">
        <w:rPr>
          <w:rFonts w:ascii="Times New Roman" w:eastAsiaTheme="minorHAnsi" w:hAnsi="Times New Roman"/>
          <w:sz w:val="24"/>
        </w:rPr>
        <w:t xml:space="preserve">z dnia </w:t>
      </w:r>
      <w:r w:rsidR="00913BB3">
        <w:rPr>
          <w:rFonts w:ascii="Times New Roman" w:eastAsiaTheme="minorHAnsi" w:hAnsi="Times New Roman"/>
          <w:sz w:val="24"/>
        </w:rPr>
        <w:t>5 grudnia 2024 r.</w:t>
      </w:r>
      <w:r w:rsidR="00913BB3" w:rsidRPr="00D30505">
        <w:rPr>
          <w:rFonts w:ascii="Times New Roman" w:eastAsiaTheme="minorHAnsi" w:hAnsi="Times New Roman"/>
          <w:sz w:val="24"/>
        </w:rPr>
        <w:t xml:space="preserve"> </w:t>
      </w:r>
      <w:r w:rsidRPr="00D30505">
        <w:rPr>
          <w:rFonts w:ascii="Times New Roman" w:eastAsiaTheme="minorHAnsi" w:hAnsi="Times New Roman"/>
          <w:sz w:val="24"/>
        </w:rPr>
        <w:t xml:space="preserve">o ochronie ludności </w:t>
      </w:r>
      <w:r w:rsidR="00D324C8">
        <w:rPr>
          <w:rFonts w:ascii="Times New Roman" w:eastAsiaTheme="minorHAnsi" w:hAnsi="Times New Roman"/>
          <w:sz w:val="24"/>
        </w:rPr>
        <w:br/>
      </w:r>
      <w:r w:rsidRPr="00D30505">
        <w:rPr>
          <w:rFonts w:ascii="Times New Roman" w:eastAsiaTheme="minorHAnsi" w:hAnsi="Times New Roman"/>
          <w:sz w:val="24"/>
        </w:rPr>
        <w:t xml:space="preserve">i obronie cywilnej. Szkolenia te mają na celu podnoszenie kwalifikacji z zakresu ochrony ludności i obrony cywilnej. </w:t>
      </w:r>
    </w:p>
    <w:p w:rsidR="007212EC" w:rsidRPr="00D30505" w:rsidRDefault="00EE3C4D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Uczestnikami szkoleń są </w:t>
      </w:r>
      <w:r w:rsidRPr="00EE3C4D">
        <w:rPr>
          <w:rFonts w:ascii="Times New Roman" w:eastAsiaTheme="minorHAnsi" w:hAnsi="Times New Roman"/>
          <w:sz w:val="24"/>
        </w:rPr>
        <w:t>wójt</w:t>
      </w:r>
      <w:r>
        <w:rPr>
          <w:rFonts w:ascii="Times New Roman" w:eastAsiaTheme="minorHAnsi" w:hAnsi="Times New Roman"/>
          <w:sz w:val="24"/>
        </w:rPr>
        <w:t>owie</w:t>
      </w:r>
      <w:r w:rsidRPr="00EE3C4D">
        <w:rPr>
          <w:rFonts w:ascii="Times New Roman" w:eastAsiaTheme="minorHAnsi" w:hAnsi="Times New Roman"/>
          <w:sz w:val="24"/>
        </w:rPr>
        <w:t>, burmistrz</w:t>
      </w:r>
      <w:r>
        <w:rPr>
          <w:rFonts w:ascii="Times New Roman" w:eastAsiaTheme="minorHAnsi" w:hAnsi="Times New Roman"/>
          <w:sz w:val="24"/>
        </w:rPr>
        <w:t>owie</w:t>
      </w:r>
      <w:r w:rsidRPr="00EE3C4D">
        <w:rPr>
          <w:rFonts w:ascii="Times New Roman" w:eastAsiaTheme="minorHAnsi" w:hAnsi="Times New Roman"/>
          <w:sz w:val="24"/>
        </w:rPr>
        <w:t xml:space="preserve"> i prezyden</w:t>
      </w:r>
      <w:r>
        <w:rPr>
          <w:rFonts w:ascii="Times New Roman" w:eastAsiaTheme="minorHAnsi" w:hAnsi="Times New Roman"/>
          <w:sz w:val="24"/>
        </w:rPr>
        <w:t>ci</w:t>
      </w:r>
      <w:r w:rsidRPr="00EE3C4D">
        <w:rPr>
          <w:rFonts w:ascii="Times New Roman" w:eastAsiaTheme="minorHAnsi" w:hAnsi="Times New Roman"/>
          <w:sz w:val="24"/>
        </w:rPr>
        <w:t xml:space="preserve"> miast, pracowni</w:t>
      </w:r>
      <w:r>
        <w:rPr>
          <w:rFonts w:ascii="Times New Roman" w:eastAsiaTheme="minorHAnsi" w:hAnsi="Times New Roman"/>
          <w:sz w:val="24"/>
        </w:rPr>
        <w:t>cy</w:t>
      </w:r>
      <w:r w:rsidRPr="00EE3C4D">
        <w:rPr>
          <w:rFonts w:ascii="Times New Roman" w:eastAsiaTheme="minorHAnsi" w:hAnsi="Times New Roman"/>
          <w:sz w:val="24"/>
        </w:rPr>
        <w:t xml:space="preserve"> urzędów administracji publicznej oraz członk</w:t>
      </w:r>
      <w:r>
        <w:rPr>
          <w:rFonts w:ascii="Times New Roman" w:eastAsiaTheme="minorHAnsi" w:hAnsi="Times New Roman"/>
          <w:sz w:val="24"/>
        </w:rPr>
        <w:t>owie</w:t>
      </w:r>
      <w:r w:rsidRPr="00EE3C4D">
        <w:rPr>
          <w:rFonts w:ascii="Times New Roman" w:eastAsiaTheme="minorHAnsi" w:hAnsi="Times New Roman"/>
          <w:sz w:val="24"/>
        </w:rPr>
        <w:t xml:space="preserve"> i pracowni</w:t>
      </w:r>
      <w:r>
        <w:rPr>
          <w:rFonts w:ascii="Times New Roman" w:eastAsiaTheme="minorHAnsi" w:hAnsi="Times New Roman"/>
          <w:sz w:val="24"/>
        </w:rPr>
        <w:t>cy</w:t>
      </w:r>
      <w:r w:rsidRPr="00EE3C4D">
        <w:rPr>
          <w:rFonts w:ascii="Times New Roman" w:eastAsiaTheme="minorHAnsi" w:hAnsi="Times New Roman"/>
          <w:sz w:val="24"/>
        </w:rPr>
        <w:t xml:space="preserve"> podmiotów ochrony ludności oraz organów jednostek pomocniczych gminy</w:t>
      </w:r>
      <w:r>
        <w:rPr>
          <w:rFonts w:ascii="Times New Roman" w:eastAsiaTheme="minorHAnsi" w:hAnsi="Times New Roman"/>
          <w:sz w:val="24"/>
        </w:rPr>
        <w:t xml:space="preserve">. </w:t>
      </w:r>
      <w:r w:rsidR="007212EC" w:rsidRPr="00D30505">
        <w:rPr>
          <w:rFonts w:ascii="Times New Roman" w:eastAsiaTheme="minorHAnsi" w:hAnsi="Times New Roman"/>
          <w:sz w:val="24"/>
        </w:rPr>
        <w:t xml:space="preserve">W ustawie wskazano, </w:t>
      </w:r>
      <w:r w:rsidR="00B344DB" w:rsidRPr="00D30505">
        <w:rPr>
          <w:rFonts w:ascii="Times New Roman" w:eastAsiaTheme="minorHAnsi" w:hAnsi="Times New Roman"/>
          <w:sz w:val="24"/>
        </w:rPr>
        <w:t>że</w:t>
      </w:r>
      <w:r w:rsidR="00B344DB">
        <w:rPr>
          <w:rFonts w:ascii="Times New Roman" w:eastAsiaTheme="minorHAnsi" w:hAnsi="Times New Roman"/>
          <w:sz w:val="24"/>
        </w:rPr>
        <w:t> </w:t>
      </w:r>
      <w:r w:rsidR="007212EC" w:rsidRPr="00D30505">
        <w:rPr>
          <w:rFonts w:ascii="Times New Roman" w:eastAsiaTheme="minorHAnsi" w:hAnsi="Times New Roman"/>
          <w:sz w:val="24"/>
        </w:rPr>
        <w:t xml:space="preserve">szkolenia z zakresu ochrony ludności i obrony cywilnej dla </w:t>
      </w:r>
      <w:r w:rsidRPr="00EE3C4D">
        <w:rPr>
          <w:rFonts w:ascii="Times New Roman" w:eastAsiaTheme="minorHAnsi" w:hAnsi="Times New Roman"/>
          <w:sz w:val="24"/>
        </w:rPr>
        <w:t xml:space="preserve">wójtów, burmistrzów </w:t>
      </w:r>
      <w:r w:rsidR="00B344DB" w:rsidRPr="00EE3C4D">
        <w:rPr>
          <w:rFonts w:ascii="Times New Roman" w:eastAsiaTheme="minorHAnsi" w:hAnsi="Times New Roman"/>
          <w:sz w:val="24"/>
        </w:rPr>
        <w:t>i</w:t>
      </w:r>
      <w:r w:rsidR="00B344DB">
        <w:rPr>
          <w:rFonts w:ascii="Times New Roman" w:eastAsiaTheme="minorHAnsi" w:hAnsi="Times New Roman"/>
          <w:sz w:val="24"/>
        </w:rPr>
        <w:t> </w:t>
      </w:r>
      <w:r w:rsidRPr="00EE3C4D">
        <w:rPr>
          <w:rFonts w:ascii="Times New Roman" w:eastAsiaTheme="minorHAnsi" w:hAnsi="Times New Roman"/>
          <w:sz w:val="24"/>
        </w:rPr>
        <w:t xml:space="preserve">prezydentów miast, pracowników urzędów administracji publicznej oraz członków </w:t>
      </w:r>
      <w:r w:rsidR="00B344DB" w:rsidRPr="00EE3C4D">
        <w:rPr>
          <w:rFonts w:ascii="Times New Roman" w:eastAsiaTheme="minorHAnsi" w:hAnsi="Times New Roman"/>
          <w:sz w:val="24"/>
        </w:rPr>
        <w:t>i</w:t>
      </w:r>
      <w:r w:rsidR="00B344DB">
        <w:rPr>
          <w:rFonts w:ascii="Times New Roman" w:eastAsiaTheme="minorHAnsi" w:hAnsi="Times New Roman"/>
          <w:sz w:val="24"/>
        </w:rPr>
        <w:t> </w:t>
      </w:r>
      <w:r w:rsidRPr="00EE3C4D">
        <w:rPr>
          <w:rFonts w:ascii="Times New Roman" w:eastAsiaTheme="minorHAnsi" w:hAnsi="Times New Roman"/>
          <w:sz w:val="24"/>
        </w:rPr>
        <w:t xml:space="preserve">pracowników podmiotów ochrony ludności oraz organów jednostek pomocniczych gminy </w:t>
      </w:r>
      <w:r w:rsidR="007212EC" w:rsidRPr="00D30505">
        <w:rPr>
          <w:rFonts w:ascii="Times New Roman" w:eastAsiaTheme="minorHAnsi" w:hAnsi="Times New Roman"/>
          <w:sz w:val="24"/>
        </w:rPr>
        <w:t>mogą być prowadzone przez uczelnie służb państwowych podległych ministrowi właściwemu do spraw wewnętrznych, szkoł</w:t>
      </w:r>
      <w:r>
        <w:rPr>
          <w:rFonts w:ascii="Times New Roman" w:eastAsiaTheme="minorHAnsi" w:hAnsi="Times New Roman"/>
          <w:sz w:val="24"/>
        </w:rPr>
        <w:t>y</w:t>
      </w:r>
      <w:r w:rsidR="007212EC" w:rsidRPr="00D30505">
        <w:rPr>
          <w:rFonts w:ascii="Times New Roman" w:eastAsiaTheme="minorHAnsi" w:hAnsi="Times New Roman"/>
          <w:sz w:val="24"/>
        </w:rPr>
        <w:t>, dla których organem założycielskim jest minister właściwy do spraw wewnętrznych, ośrodki szkolenia służb podległych ministrowi właściwemu do spraw wewnętrznych oraz inne uczelnie, a także przez osoby fizyczne, osoby prawne lub jednostki organizacyjne nieposiadające osobowości prawnej, z którymi kierownik urzędu albo podmiot ochrony ludności zawarł umowę na realizację tego szkolenia, we wskazanych czasookresach ich odbywania. Ponadto, organy ochrony ludności mogą prowadzić szkolenia z udziałem podmiotów ochrony ludności oraz szkolenia dla ludności, w tym zrzeszeń i przedsiębiorców.</w:t>
      </w:r>
      <w:r w:rsidR="007212EC" w:rsidRPr="00D30505">
        <w:rPr>
          <w:rFonts w:asciiTheme="minorHAnsi" w:eastAsiaTheme="minorHAnsi" w:hAnsiTheme="minorHAnsi" w:cstheme="minorBidi"/>
        </w:rPr>
        <w:t xml:space="preserve"> </w:t>
      </w:r>
      <w:r w:rsidR="007212EC" w:rsidRPr="00D30505">
        <w:rPr>
          <w:rFonts w:ascii="Times New Roman" w:eastAsiaTheme="minorHAnsi" w:hAnsi="Times New Roman"/>
          <w:sz w:val="24"/>
        </w:rPr>
        <w:t>Podmiotom ochrony ludności, w tym Państwowej Straży Pożarnej, ochotniczym strażom pożarnym i Rządowemu Centrum Bezpieczeństwa</w:t>
      </w:r>
      <w:r>
        <w:rPr>
          <w:rFonts w:ascii="Times New Roman" w:eastAsiaTheme="minorHAnsi" w:hAnsi="Times New Roman"/>
          <w:sz w:val="24"/>
        </w:rPr>
        <w:t>,</w:t>
      </w:r>
      <w:r w:rsidR="007212EC" w:rsidRPr="00D30505">
        <w:rPr>
          <w:rFonts w:ascii="Times New Roman" w:eastAsiaTheme="minorHAnsi" w:hAnsi="Times New Roman"/>
          <w:sz w:val="24"/>
        </w:rPr>
        <w:t xml:space="preserve"> przypisano zadanie wspierania organów ochrony ludności w organizacji szkoleń z zakresu ochrony ludności i obrony cywilnej.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W ten sposób ustawodawca nakreślił szerokie ramy organizacyjne dotyczące szkoleń z zakresu ochrony ludności i obrony cywilnej</w:t>
      </w:r>
      <w:r w:rsidR="00EE3C4D">
        <w:rPr>
          <w:rFonts w:ascii="Times New Roman" w:eastAsiaTheme="minorHAnsi" w:hAnsi="Times New Roman"/>
          <w:sz w:val="24"/>
        </w:rPr>
        <w:t xml:space="preserve"> dla </w:t>
      </w:r>
      <w:r w:rsidR="00EE3C4D" w:rsidRPr="00EE3C4D">
        <w:rPr>
          <w:rFonts w:ascii="Times New Roman" w:eastAsiaTheme="minorHAnsi" w:hAnsi="Times New Roman"/>
          <w:sz w:val="24"/>
        </w:rPr>
        <w:t>wójtów, burmistrzów i prezydentów miast, pracowników urzędów administracji publicznej oraz członków i pracowników podmiotów ochrony ludności oraz organów jednostek pomocniczych gminy</w:t>
      </w:r>
      <w:r w:rsidRPr="00D30505">
        <w:rPr>
          <w:rFonts w:ascii="Times New Roman" w:eastAsiaTheme="minorHAnsi" w:hAnsi="Times New Roman"/>
          <w:sz w:val="24"/>
        </w:rPr>
        <w:t xml:space="preserve">. </w:t>
      </w:r>
      <w:r w:rsidR="00913BB3">
        <w:rPr>
          <w:rFonts w:ascii="Times New Roman" w:eastAsiaTheme="minorHAnsi" w:hAnsi="Times New Roman"/>
          <w:sz w:val="24"/>
        </w:rPr>
        <w:t>Konieczność prowadzenia szkoleń z zakresu ochrony ludności i obrony</w:t>
      </w:r>
      <w:r w:rsidR="00436A03">
        <w:rPr>
          <w:rFonts w:ascii="Times New Roman" w:eastAsiaTheme="minorHAnsi" w:hAnsi="Times New Roman"/>
          <w:sz w:val="24"/>
        </w:rPr>
        <w:t xml:space="preserve"> cywilnej była równie podnoszona</w:t>
      </w:r>
      <w:r w:rsidR="00913BB3">
        <w:rPr>
          <w:rFonts w:ascii="Times New Roman" w:eastAsiaTheme="minorHAnsi" w:hAnsi="Times New Roman"/>
          <w:sz w:val="24"/>
        </w:rPr>
        <w:t xml:space="preserve"> w toku kontroli </w:t>
      </w:r>
      <w:r w:rsidRPr="00D30505">
        <w:rPr>
          <w:rFonts w:ascii="Times New Roman" w:eastAsiaTheme="minorHAnsi" w:hAnsi="Times New Roman"/>
          <w:sz w:val="24"/>
        </w:rPr>
        <w:t>przeprowadzonych przez Najwyższą Izbę Kontroli</w:t>
      </w:r>
      <w:r w:rsidR="0010214F">
        <w:rPr>
          <w:rFonts w:ascii="Times New Roman" w:eastAsiaTheme="minorHAnsi" w:hAnsi="Times New Roman"/>
          <w:sz w:val="24"/>
        </w:rPr>
        <w:t xml:space="preserve"> </w:t>
      </w:r>
      <w:r w:rsidR="00913BB3">
        <w:rPr>
          <w:rFonts w:ascii="Times New Roman" w:eastAsiaTheme="minorHAnsi" w:hAnsi="Times New Roman"/>
          <w:sz w:val="24"/>
        </w:rPr>
        <w:t xml:space="preserve">m.in. kontroli </w:t>
      </w:r>
      <w:r w:rsidR="00913BB3" w:rsidRPr="00D30505">
        <w:rPr>
          <w:rFonts w:ascii="Times New Roman" w:eastAsiaTheme="minorHAnsi" w:hAnsi="Times New Roman"/>
          <w:sz w:val="24"/>
        </w:rPr>
        <w:t>Nr P/11/083 z 2011/2012 r. pn. „Przygotowanie struktur obrony cywilnej do realizacji zadań w okresie wojny i pokoju”</w:t>
      </w:r>
      <w:r w:rsidR="00913BB3">
        <w:rPr>
          <w:rFonts w:ascii="Times New Roman" w:eastAsiaTheme="minorHAnsi" w:hAnsi="Times New Roman"/>
          <w:sz w:val="24"/>
        </w:rPr>
        <w:t xml:space="preserve">, </w:t>
      </w:r>
      <w:r w:rsidR="00CC2117">
        <w:rPr>
          <w:rFonts w:ascii="Times New Roman" w:eastAsiaTheme="minorHAnsi" w:hAnsi="Times New Roman"/>
          <w:sz w:val="24"/>
        </w:rPr>
        <w:br/>
      </w:r>
      <w:r w:rsidR="00913BB3" w:rsidRPr="00D30505">
        <w:rPr>
          <w:rFonts w:ascii="Times New Roman" w:eastAsiaTheme="minorHAnsi" w:hAnsi="Times New Roman"/>
          <w:sz w:val="24"/>
        </w:rPr>
        <w:t>Nr 1/12/006 z 2013 r. pn. „Przygotowanie systemu ochrony ludności przed klęskami żywiołowymi oraz sytuacjami kryzysowymi”</w:t>
      </w:r>
      <w:r w:rsidR="00913BB3">
        <w:rPr>
          <w:rFonts w:ascii="Times New Roman" w:eastAsiaTheme="minorHAnsi" w:hAnsi="Times New Roman"/>
          <w:sz w:val="24"/>
        </w:rPr>
        <w:t xml:space="preserve"> oraz </w:t>
      </w:r>
      <w:r w:rsidR="00913BB3" w:rsidRPr="00D30505">
        <w:rPr>
          <w:rFonts w:ascii="Times New Roman" w:eastAsiaTheme="minorHAnsi" w:hAnsi="Times New Roman"/>
          <w:sz w:val="24"/>
        </w:rPr>
        <w:t>Nr P/17/039 z 2018 r. pn. „Ochrona ludności w ramach zarządzania kryzysowego i obrony cywilnej”</w:t>
      </w:r>
      <w:r w:rsidR="00B344DB">
        <w:rPr>
          <w:rFonts w:ascii="Times New Roman" w:eastAsiaTheme="minorHAnsi" w:hAnsi="Times New Roman"/>
          <w:sz w:val="24"/>
        </w:rPr>
        <w:t>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W nawiązaniu do wspomnianych wyników kontroli, wdrożenie rozporządzenia spowoduje wzrost stopnia przygotowania struktur ochrony ludności i obrony cywilnej do realizacji zadań w czasie pokoju i w czasie wojny, a także podniesienie poziomu odporności społecznej.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lastRenderedPageBreak/>
        <w:t>Biorąc pod uwagę specyfikę współczesnych zagrożeń dot</w:t>
      </w:r>
      <w:r w:rsidR="0010214F">
        <w:rPr>
          <w:rFonts w:ascii="Times New Roman" w:eastAsiaTheme="minorHAnsi" w:hAnsi="Times New Roman"/>
          <w:sz w:val="24"/>
        </w:rPr>
        <w:t>yczących osób przebywających na </w:t>
      </w:r>
      <w:r w:rsidRPr="00D30505">
        <w:rPr>
          <w:rFonts w:ascii="Times New Roman" w:eastAsiaTheme="minorHAnsi" w:hAnsi="Times New Roman"/>
          <w:sz w:val="24"/>
        </w:rPr>
        <w:t>terytorium Polski, międzynarodowe standardy dotyczące ochrony ludności i obrony cywilnej, polskie doświadczenia w tym zakresie, a także ukierunkowanie na wysoką efektywność szkoleniową, zakres wiadomości przekazywanych w toku szkoleń ochrony ludności i obrony cywilnej będzie dotyczył zadań ochrony ludności polegających na:</w:t>
      </w:r>
    </w:p>
    <w:p w:rsidR="007212EC" w:rsidRPr="00D30505" w:rsidRDefault="007212EC" w:rsidP="00155E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color w:val="FF0000"/>
          <w:sz w:val="24"/>
        </w:rPr>
      </w:pPr>
      <w:r w:rsidRPr="00D30505">
        <w:rPr>
          <w:rFonts w:ascii="Times New Roman" w:eastAsiaTheme="minorHAnsi" w:hAnsi="Times New Roman"/>
          <w:sz w:val="24"/>
        </w:rPr>
        <w:t xml:space="preserve">przygotowaniu organów administracji publicznej do realizacji zadań z zakresu ochrony ludności i obrony cywilnej, w tym na organizowaniu szkoleń i ćwiczeń organów ochrony ludności i podmiotów ochrony ludności, przygotowujących do działania </w:t>
      </w:r>
      <w:r w:rsidR="00D324C8">
        <w:rPr>
          <w:rFonts w:ascii="Times New Roman" w:eastAsiaTheme="minorHAnsi" w:hAnsi="Times New Roman"/>
          <w:sz w:val="24"/>
        </w:rPr>
        <w:br/>
      </w:r>
      <w:r w:rsidRPr="00D30505">
        <w:rPr>
          <w:rFonts w:ascii="Times New Roman" w:eastAsiaTheme="minorHAnsi" w:hAnsi="Times New Roman"/>
          <w:sz w:val="24"/>
        </w:rPr>
        <w:t>w przypadku wystąpienia zagrożenia;</w:t>
      </w:r>
    </w:p>
    <w:p w:rsidR="007212EC" w:rsidRPr="00D30505" w:rsidRDefault="007212EC" w:rsidP="00155E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color w:val="FF0000"/>
          <w:sz w:val="24"/>
        </w:rPr>
      </w:pPr>
      <w:r w:rsidRPr="00D30505">
        <w:rPr>
          <w:rFonts w:ascii="Times New Roman" w:eastAsiaTheme="minorHAnsi" w:hAnsi="Times New Roman"/>
          <w:sz w:val="24"/>
        </w:rPr>
        <w:t>przygotowaniu ludności do właściwego zachowania się w sytuacji zagrożenia, przez zwiększanie świadomości ryzyka i gotowości społeczeństwa;</w:t>
      </w:r>
    </w:p>
    <w:p w:rsidR="007212EC" w:rsidRPr="00D30505" w:rsidRDefault="007212EC" w:rsidP="00155E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color w:val="FF0000"/>
          <w:sz w:val="24"/>
        </w:rPr>
      </w:pPr>
      <w:r w:rsidRPr="00D30505">
        <w:rPr>
          <w:rFonts w:ascii="Times New Roman" w:eastAsiaTheme="minorHAnsi" w:hAnsi="Times New Roman"/>
          <w:sz w:val="24"/>
        </w:rPr>
        <w:t>podjęciu adekwatnych działań w związku z możliwością wystąpienia sytuacji zagrożenia;</w:t>
      </w:r>
    </w:p>
    <w:p w:rsidR="007212EC" w:rsidRPr="00D30505" w:rsidRDefault="007212EC" w:rsidP="00155EB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color w:val="FF0000"/>
          <w:sz w:val="24"/>
        </w:rPr>
      </w:pPr>
      <w:r w:rsidRPr="00D30505">
        <w:rPr>
          <w:rFonts w:ascii="Times New Roman" w:eastAsiaTheme="minorHAnsi" w:hAnsi="Times New Roman"/>
          <w:sz w:val="24"/>
        </w:rPr>
        <w:t>podjęciu adekwatnych działań w związku z wystąpieniem sytuacji zagrożenia.</w:t>
      </w:r>
    </w:p>
    <w:p w:rsidR="00606932" w:rsidRDefault="00606932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Zakres ten obejmie następujące zagadnienia: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z</w:t>
      </w:r>
      <w:r w:rsidRPr="00EE3C4D">
        <w:rPr>
          <w:rFonts w:ascii="Times New Roman" w:eastAsiaTheme="minorHAnsi" w:hAnsi="Times New Roman"/>
          <w:sz w:val="24"/>
        </w:rPr>
        <w:t xml:space="preserve">agrożenia </w:t>
      </w:r>
      <w:r w:rsidR="00EE3C4D" w:rsidRPr="00EE3C4D">
        <w:rPr>
          <w:rFonts w:ascii="Times New Roman" w:eastAsiaTheme="minorHAnsi" w:hAnsi="Times New Roman"/>
          <w:sz w:val="24"/>
        </w:rPr>
        <w:t>bezpieczeństwa narodowego i społeczności lokalnej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m</w:t>
      </w:r>
      <w:r w:rsidRPr="00EE3C4D">
        <w:rPr>
          <w:rFonts w:ascii="Times New Roman" w:eastAsiaTheme="minorHAnsi" w:hAnsi="Times New Roman"/>
          <w:sz w:val="24"/>
        </w:rPr>
        <w:t xml:space="preserve">iędzynarodowe </w:t>
      </w:r>
      <w:r w:rsidR="00EE3C4D" w:rsidRPr="00EE3C4D">
        <w:rPr>
          <w:rFonts w:ascii="Times New Roman" w:eastAsiaTheme="minorHAnsi" w:hAnsi="Times New Roman"/>
          <w:sz w:val="24"/>
        </w:rPr>
        <w:t>i krajowe regulacje prawne dotyczące ochrony ludności i obrony cywilnej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o</w:t>
      </w:r>
      <w:r w:rsidRPr="00EE3C4D">
        <w:rPr>
          <w:rFonts w:ascii="Times New Roman" w:eastAsiaTheme="minorHAnsi" w:hAnsi="Times New Roman"/>
          <w:sz w:val="24"/>
        </w:rPr>
        <w:t xml:space="preserve">rganizacja </w:t>
      </w:r>
      <w:r w:rsidR="00EE3C4D" w:rsidRPr="00EE3C4D">
        <w:rPr>
          <w:rFonts w:ascii="Times New Roman" w:eastAsiaTheme="minorHAnsi" w:hAnsi="Times New Roman"/>
          <w:sz w:val="24"/>
        </w:rPr>
        <w:t>i funkcjonowanie ochrony ludności i obrony cywilnej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p</w:t>
      </w:r>
      <w:r w:rsidRPr="00EE3C4D">
        <w:rPr>
          <w:rFonts w:ascii="Times New Roman" w:eastAsiaTheme="minorHAnsi" w:hAnsi="Times New Roman"/>
          <w:sz w:val="24"/>
        </w:rPr>
        <w:t xml:space="preserve">rzygotowanie </w:t>
      </w:r>
      <w:r w:rsidR="00EE3C4D" w:rsidRPr="00EE3C4D">
        <w:rPr>
          <w:rFonts w:ascii="Times New Roman" w:eastAsiaTheme="minorHAnsi" w:hAnsi="Times New Roman"/>
          <w:sz w:val="24"/>
        </w:rPr>
        <w:t>i planowanie w ochronie ludności i obronie cywilnej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w</w:t>
      </w:r>
      <w:r w:rsidRPr="00EE3C4D">
        <w:rPr>
          <w:rFonts w:ascii="Times New Roman" w:eastAsiaTheme="minorHAnsi" w:hAnsi="Times New Roman"/>
          <w:sz w:val="24"/>
        </w:rPr>
        <w:t>spółpraca</w:t>
      </w:r>
      <w:r w:rsidR="00EE3C4D" w:rsidRPr="00EE3C4D">
        <w:rPr>
          <w:rFonts w:ascii="Times New Roman" w:eastAsiaTheme="minorHAnsi" w:hAnsi="Times New Roman"/>
          <w:sz w:val="24"/>
        </w:rPr>
        <w:t>, wsparcie i współdziałanie w ochronie ludności i obronie cywilnej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k</w:t>
      </w:r>
      <w:r w:rsidRPr="00EE3C4D">
        <w:rPr>
          <w:rFonts w:ascii="Times New Roman" w:eastAsiaTheme="minorHAnsi" w:hAnsi="Times New Roman"/>
          <w:sz w:val="24"/>
        </w:rPr>
        <w:t xml:space="preserve">ierowanie </w:t>
      </w:r>
      <w:r w:rsidR="00EE3C4D" w:rsidRPr="00EE3C4D">
        <w:rPr>
          <w:rFonts w:ascii="Times New Roman" w:eastAsiaTheme="minorHAnsi" w:hAnsi="Times New Roman"/>
          <w:sz w:val="24"/>
        </w:rPr>
        <w:t xml:space="preserve">bezpieczeństwem w różnych stanach funkcjonowania </w:t>
      </w:r>
      <w:r w:rsidR="00436A03">
        <w:rPr>
          <w:rFonts w:ascii="Times New Roman" w:eastAsiaTheme="minorHAnsi" w:hAnsi="Times New Roman"/>
          <w:sz w:val="24"/>
        </w:rPr>
        <w:t>państwa;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s</w:t>
      </w:r>
      <w:r w:rsidRPr="00EE3C4D">
        <w:rPr>
          <w:rFonts w:ascii="Times New Roman" w:eastAsiaTheme="minorHAnsi" w:hAnsi="Times New Roman"/>
          <w:sz w:val="24"/>
        </w:rPr>
        <w:t xml:space="preserve">ystem </w:t>
      </w:r>
      <w:r w:rsidR="00EE3C4D" w:rsidRPr="00EE3C4D">
        <w:rPr>
          <w:rFonts w:ascii="Times New Roman" w:eastAsiaTheme="minorHAnsi" w:hAnsi="Times New Roman"/>
          <w:sz w:val="24"/>
        </w:rPr>
        <w:t>zarządzania kryzysowego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z</w:t>
      </w:r>
      <w:r w:rsidRPr="00EE3C4D">
        <w:rPr>
          <w:rFonts w:ascii="Times New Roman" w:eastAsiaTheme="minorHAnsi" w:hAnsi="Times New Roman"/>
          <w:sz w:val="24"/>
        </w:rPr>
        <w:t xml:space="preserve">arządzanie </w:t>
      </w:r>
      <w:r w:rsidR="00EE3C4D" w:rsidRPr="00EE3C4D">
        <w:rPr>
          <w:rFonts w:ascii="Times New Roman" w:eastAsiaTheme="minorHAnsi" w:hAnsi="Times New Roman"/>
          <w:sz w:val="24"/>
        </w:rPr>
        <w:t>ryzykiem w ochronie ludności i obronie cywilnej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f</w:t>
      </w:r>
      <w:r w:rsidRPr="00EE3C4D">
        <w:rPr>
          <w:rFonts w:ascii="Times New Roman" w:eastAsiaTheme="minorHAnsi" w:hAnsi="Times New Roman"/>
          <w:sz w:val="24"/>
        </w:rPr>
        <w:t xml:space="preserve">unkcjonowanie </w:t>
      </w:r>
      <w:r w:rsidR="00EE3C4D" w:rsidRPr="00EE3C4D">
        <w:rPr>
          <w:rFonts w:ascii="Times New Roman" w:eastAsiaTheme="minorHAnsi" w:hAnsi="Times New Roman"/>
          <w:sz w:val="24"/>
        </w:rPr>
        <w:t>państwa w sytuacji zagrożenia, w tym w czasie wojny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p</w:t>
      </w:r>
      <w:r w:rsidRPr="00EE3C4D">
        <w:rPr>
          <w:rFonts w:ascii="Times New Roman" w:eastAsiaTheme="minorHAnsi" w:hAnsi="Times New Roman"/>
          <w:sz w:val="24"/>
        </w:rPr>
        <w:t xml:space="preserve">omoc </w:t>
      </w:r>
      <w:r w:rsidR="00EE3C4D" w:rsidRPr="00EE3C4D">
        <w:rPr>
          <w:rFonts w:ascii="Times New Roman" w:eastAsiaTheme="minorHAnsi" w:hAnsi="Times New Roman"/>
          <w:sz w:val="24"/>
        </w:rPr>
        <w:t>humanitarna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w</w:t>
      </w:r>
      <w:r w:rsidRPr="00EE3C4D">
        <w:rPr>
          <w:rFonts w:ascii="Times New Roman" w:eastAsiaTheme="minorHAnsi" w:hAnsi="Times New Roman"/>
          <w:sz w:val="24"/>
        </w:rPr>
        <w:t xml:space="preserve">ykrywanie </w:t>
      </w:r>
      <w:r w:rsidR="00EE3C4D" w:rsidRPr="00EE3C4D">
        <w:rPr>
          <w:rFonts w:ascii="Times New Roman" w:eastAsiaTheme="minorHAnsi" w:hAnsi="Times New Roman"/>
          <w:sz w:val="24"/>
        </w:rPr>
        <w:t>zagrożeń, powiadamianie, ostrzeganie i alarmowanie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e</w:t>
      </w:r>
      <w:r w:rsidRPr="00EE3C4D">
        <w:rPr>
          <w:rFonts w:ascii="Times New Roman" w:eastAsiaTheme="minorHAnsi" w:hAnsi="Times New Roman"/>
          <w:sz w:val="24"/>
        </w:rPr>
        <w:t xml:space="preserve">wakuacja </w:t>
      </w:r>
      <w:r w:rsidR="00EE3C4D" w:rsidRPr="00EE3C4D">
        <w:rPr>
          <w:rFonts w:ascii="Times New Roman" w:eastAsiaTheme="minorHAnsi" w:hAnsi="Times New Roman"/>
          <w:sz w:val="24"/>
        </w:rPr>
        <w:t>ludzi, zwierząt, mienia oraz dóbr kultury na wypadek zagrożenia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913BB3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ś</w:t>
      </w:r>
      <w:r w:rsidRPr="00EE3C4D">
        <w:rPr>
          <w:rFonts w:ascii="Times New Roman" w:eastAsiaTheme="minorHAnsi" w:hAnsi="Times New Roman"/>
          <w:sz w:val="24"/>
        </w:rPr>
        <w:t xml:space="preserve">rodki </w:t>
      </w:r>
      <w:r w:rsidR="00EE3C4D" w:rsidRPr="00EE3C4D">
        <w:rPr>
          <w:rFonts w:ascii="Times New Roman" w:eastAsiaTheme="minorHAnsi" w:hAnsi="Times New Roman"/>
          <w:sz w:val="24"/>
        </w:rPr>
        <w:t>ochrony indywidualnej i zbiorowej</w:t>
      </w:r>
      <w:r w:rsidR="00017E90">
        <w:rPr>
          <w:rFonts w:ascii="Times New Roman" w:eastAsiaTheme="minorHAnsi" w:hAnsi="Times New Roman"/>
          <w:sz w:val="24"/>
        </w:rPr>
        <w:t>;</w:t>
      </w:r>
    </w:p>
    <w:p w:rsidR="00EE3C4D" w:rsidRPr="00EE3C4D" w:rsidRDefault="00017E90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s</w:t>
      </w:r>
      <w:r w:rsidRPr="00EE3C4D">
        <w:rPr>
          <w:rFonts w:ascii="Times New Roman" w:eastAsiaTheme="minorHAnsi" w:hAnsi="Times New Roman"/>
          <w:sz w:val="24"/>
        </w:rPr>
        <w:t xml:space="preserve">ystem </w:t>
      </w:r>
      <w:r w:rsidR="00EE3C4D" w:rsidRPr="00EE3C4D">
        <w:rPr>
          <w:rFonts w:ascii="Times New Roman" w:eastAsiaTheme="minorHAnsi" w:hAnsi="Times New Roman"/>
          <w:sz w:val="24"/>
        </w:rPr>
        <w:t>łączności państwowej</w:t>
      </w:r>
      <w:r>
        <w:rPr>
          <w:rFonts w:ascii="Times New Roman" w:eastAsiaTheme="minorHAnsi" w:hAnsi="Times New Roman"/>
          <w:sz w:val="24"/>
        </w:rPr>
        <w:t>;</w:t>
      </w:r>
    </w:p>
    <w:p w:rsidR="00EE3C4D" w:rsidRPr="00EE3C4D" w:rsidRDefault="00017E90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p</w:t>
      </w:r>
      <w:r w:rsidRPr="00EE3C4D">
        <w:rPr>
          <w:rFonts w:ascii="Times New Roman" w:eastAsiaTheme="minorHAnsi" w:hAnsi="Times New Roman"/>
          <w:sz w:val="24"/>
        </w:rPr>
        <w:t xml:space="preserve">ierwsza </w:t>
      </w:r>
      <w:r w:rsidR="00EE3C4D" w:rsidRPr="00EE3C4D">
        <w:rPr>
          <w:rFonts w:ascii="Times New Roman" w:eastAsiaTheme="minorHAnsi" w:hAnsi="Times New Roman"/>
          <w:sz w:val="24"/>
        </w:rPr>
        <w:t>pomoc</w:t>
      </w:r>
      <w:r>
        <w:rPr>
          <w:rFonts w:ascii="Times New Roman" w:eastAsiaTheme="minorHAnsi" w:hAnsi="Times New Roman"/>
          <w:sz w:val="24"/>
        </w:rPr>
        <w:t>;</w:t>
      </w:r>
    </w:p>
    <w:p w:rsidR="00EE3C4D" w:rsidRPr="00EE3C4D" w:rsidRDefault="00017E90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p</w:t>
      </w:r>
      <w:r w:rsidRPr="00EE3C4D">
        <w:rPr>
          <w:rFonts w:ascii="Times New Roman" w:eastAsiaTheme="minorHAnsi" w:hAnsi="Times New Roman"/>
          <w:sz w:val="24"/>
        </w:rPr>
        <w:t xml:space="preserve">sychologiczne </w:t>
      </w:r>
      <w:r w:rsidR="00EE3C4D" w:rsidRPr="00EE3C4D">
        <w:rPr>
          <w:rFonts w:ascii="Times New Roman" w:eastAsiaTheme="minorHAnsi" w:hAnsi="Times New Roman"/>
          <w:sz w:val="24"/>
        </w:rPr>
        <w:t>aspekty w zarządzaniu bezpieczeństwem</w:t>
      </w:r>
      <w:r>
        <w:rPr>
          <w:rFonts w:ascii="Times New Roman" w:eastAsiaTheme="minorHAnsi" w:hAnsi="Times New Roman"/>
          <w:sz w:val="24"/>
        </w:rPr>
        <w:t>;</w:t>
      </w:r>
    </w:p>
    <w:p w:rsidR="00EE3C4D" w:rsidRPr="00EE3C4D" w:rsidRDefault="00017E90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p</w:t>
      </w:r>
      <w:r w:rsidRPr="00EE3C4D">
        <w:rPr>
          <w:rFonts w:ascii="Times New Roman" w:eastAsiaTheme="minorHAnsi" w:hAnsi="Times New Roman"/>
          <w:sz w:val="24"/>
        </w:rPr>
        <w:t xml:space="preserve">rzywództwo </w:t>
      </w:r>
      <w:r w:rsidR="00EE3C4D" w:rsidRPr="00EE3C4D">
        <w:rPr>
          <w:rFonts w:ascii="Times New Roman" w:eastAsiaTheme="minorHAnsi" w:hAnsi="Times New Roman"/>
          <w:sz w:val="24"/>
        </w:rPr>
        <w:t>sytuacyjne w ochronie ludności</w:t>
      </w:r>
      <w:r>
        <w:rPr>
          <w:rFonts w:ascii="Times New Roman" w:eastAsiaTheme="minorHAnsi" w:hAnsi="Times New Roman"/>
          <w:sz w:val="24"/>
        </w:rPr>
        <w:t>;</w:t>
      </w:r>
    </w:p>
    <w:p w:rsidR="00EE3C4D" w:rsidRPr="00EE3C4D" w:rsidRDefault="00017E90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z</w:t>
      </w:r>
      <w:r w:rsidRPr="00EE3C4D">
        <w:rPr>
          <w:rFonts w:ascii="Times New Roman" w:eastAsiaTheme="minorHAnsi" w:hAnsi="Times New Roman"/>
          <w:sz w:val="24"/>
        </w:rPr>
        <w:t xml:space="preserve">abezpieczenie </w:t>
      </w:r>
      <w:r w:rsidR="00EE3C4D" w:rsidRPr="00EE3C4D">
        <w:rPr>
          <w:rFonts w:ascii="Times New Roman" w:eastAsiaTheme="minorHAnsi" w:hAnsi="Times New Roman"/>
          <w:sz w:val="24"/>
        </w:rPr>
        <w:t>logistyczne i finansowanie systemu ochrony ludności i obrony cywilnej.</w:t>
      </w:r>
    </w:p>
    <w:p w:rsidR="007212EC" w:rsidRPr="00EE3C4D" w:rsidRDefault="00017E90" w:rsidP="0029715A">
      <w:pPr>
        <w:numPr>
          <w:ilvl w:val="0"/>
          <w:numId w:val="3"/>
        </w:numPr>
        <w:spacing w:after="160" w:line="259" w:lineRule="auto"/>
        <w:ind w:left="851" w:hanging="491"/>
        <w:contextualSpacing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ć</w:t>
      </w:r>
      <w:r w:rsidRPr="00EE3C4D">
        <w:rPr>
          <w:rFonts w:ascii="Times New Roman" w:eastAsiaTheme="minorHAnsi" w:hAnsi="Times New Roman"/>
          <w:sz w:val="24"/>
        </w:rPr>
        <w:t>wiczenia</w:t>
      </w:r>
      <w:r w:rsidR="00EE3C4D" w:rsidRPr="00EE3C4D">
        <w:rPr>
          <w:rFonts w:ascii="Times New Roman" w:eastAsiaTheme="minorHAnsi" w:hAnsi="Times New Roman"/>
          <w:sz w:val="24"/>
        </w:rPr>
        <w:t>, dedykowana gra decyzyjna, treningi, warsztaty w zakresie ochrony ludności i obrony cywilnej</w:t>
      </w:r>
      <w:r w:rsidR="007212EC" w:rsidRPr="00EE3C4D">
        <w:rPr>
          <w:rFonts w:ascii="Times New Roman" w:eastAsiaTheme="minorHAnsi" w:hAnsi="Times New Roman"/>
          <w:sz w:val="24"/>
        </w:rPr>
        <w:t>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 xml:space="preserve">Zakres wiadomości przekazywanych w toku szkoleń ochrony ludności i obrony cywilnej będzie dopasowywany i konkretyzowany z uwzględnieniem specyfiki konkretnej grupy uczestników szkolenia. </w:t>
      </w:r>
      <w:r w:rsidR="0019771B">
        <w:rPr>
          <w:rFonts w:ascii="Times New Roman" w:eastAsiaTheme="minorHAnsi" w:hAnsi="Times New Roman"/>
          <w:sz w:val="24"/>
        </w:rPr>
        <w:t>Wymogiem dla podmiotu będzie również prowadzenie ewaluacji szkoleń</w:t>
      </w:r>
      <w:r w:rsidRPr="00D30505">
        <w:rPr>
          <w:rFonts w:ascii="Times New Roman" w:eastAsiaTheme="minorHAnsi" w:hAnsi="Times New Roman"/>
          <w:sz w:val="24"/>
        </w:rPr>
        <w:t>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D30505">
        <w:rPr>
          <w:rFonts w:ascii="Times New Roman" w:eastAsiaTheme="minorHAnsi" w:hAnsi="Times New Roman"/>
          <w:color w:val="000000" w:themeColor="text1"/>
          <w:sz w:val="24"/>
        </w:rPr>
        <w:t>Podmiot prowadzący szkolenie zostanie zobowiązany do jego realizacji z uwzględnieniem specyfiki grupy uczestników szkolenia, współczesnych uwarunkowań bezpieczeństwa narodowego RP</w:t>
      </w:r>
      <w:r w:rsidR="00FF0ECA">
        <w:rPr>
          <w:rFonts w:ascii="Times New Roman" w:eastAsiaTheme="minorHAnsi" w:hAnsi="Times New Roman"/>
          <w:color w:val="000000" w:themeColor="text1"/>
          <w:sz w:val="24"/>
        </w:rPr>
        <w:t xml:space="preserve"> i</w:t>
      </w:r>
      <w:r w:rsidR="00FF0ECA" w:rsidRPr="00D30505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  <w:r w:rsidRPr="00D30505">
        <w:rPr>
          <w:rFonts w:ascii="Times New Roman" w:eastAsiaTheme="minorHAnsi" w:hAnsi="Times New Roman"/>
          <w:color w:val="000000" w:themeColor="text1"/>
          <w:sz w:val="24"/>
        </w:rPr>
        <w:t>wykorzystania efektywnych form i metod szkolenia.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D30505">
        <w:rPr>
          <w:rFonts w:ascii="Times New Roman" w:eastAsiaTheme="minorHAnsi" w:hAnsi="Times New Roman"/>
          <w:color w:val="000000" w:themeColor="text1"/>
          <w:sz w:val="24"/>
        </w:rPr>
        <w:lastRenderedPageBreak/>
        <w:t>Powszechność szkoleń ochrony ludności i obrony cywilnej determinuje konieczność wsparcia finansowego w przedmiotowym zakresie. Mechanizmy fin</w:t>
      </w:r>
      <w:r w:rsidR="0010214F">
        <w:rPr>
          <w:rFonts w:ascii="Times New Roman" w:eastAsiaTheme="minorHAnsi" w:hAnsi="Times New Roman"/>
          <w:color w:val="000000" w:themeColor="text1"/>
          <w:sz w:val="24"/>
        </w:rPr>
        <w:t>ansowania określone w ustawie z </w:t>
      </w:r>
      <w:r w:rsidRPr="00D30505">
        <w:rPr>
          <w:rFonts w:ascii="Times New Roman" w:eastAsiaTheme="minorHAnsi" w:hAnsi="Times New Roman"/>
          <w:color w:val="000000" w:themeColor="text1"/>
          <w:sz w:val="24"/>
        </w:rPr>
        <w:t xml:space="preserve">dnia </w:t>
      </w:r>
      <w:r w:rsidR="00FF0ECA">
        <w:rPr>
          <w:rFonts w:ascii="Times New Roman" w:eastAsiaTheme="minorHAnsi" w:hAnsi="Times New Roman"/>
          <w:color w:val="000000" w:themeColor="text1"/>
          <w:sz w:val="24"/>
        </w:rPr>
        <w:t>5 grudnia</w:t>
      </w:r>
      <w:r w:rsidRPr="00D30505">
        <w:rPr>
          <w:rFonts w:ascii="Times New Roman" w:eastAsiaTheme="minorHAnsi" w:hAnsi="Times New Roman"/>
          <w:color w:val="000000" w:themeColor="text1"/>
          <w:sz w:val="24"/>
        </w:rPr>
        <w:t xml:space="preserve"> 2024 r. o ochronie ludności i obronie cywilnej można wykorzystać w celu wdrożenia projektowanego rozporządzenia. Uwzględniono to w kalkulacjach finansowego wdrożenia ustawy.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 xml:space="preserve">Projektowana regulacja powinna mieć pozytywny wpływ na praktyczne przygotowanie </w:t>
      </w:r>
      <w:r w:rsidR="00EE3C4D" w:rsidRPr="00EE3C4D">
        <w:rPr>
          <w:rFonts w:ascii="Times New Roman" w:eastAsiaTheme="minorHAnsi" w:hAnsi="Times New Roman"/>
          <w:sz w:val="24"/>
        </w:rPr>
        <w:t>wójtów, burmistrzów i prezydentów miast, pracowników urzędów administracji publicznej oraz członków i pracowników podmiotów ochrony ludności oraz organów jednostek pomocniczych gminy</w:t>
      </w:r>
      <w:r w:rsidR="00EE3C4D">
        <w:rPr>
          <w:rFonts w:ascii="Times New Roman" w:eastAsiaTheme="minorHAnsi" w:hAnsi="Times New Roman"/>
          <w:sz w:val="24"/>
        </w:rPr>
        <w:t xml:space="preserve"> </w:t>
      </w:r>
      <w:r w:rsidRPr="00D30505">
        <w:rPr>
          <w:rFonts w:ascii="Times New Roman" w:eastAsiaTheme="minorHAnsi" w:hAnsi="Times New Roman"/>
          <w:sz w:val="24"/>
        </w:rPr>
        <w:t>do sprawnego realizowania przez nich zadań ochrony ludności we wszystkich stanach funkcjonowania państwa. Będzie stanowiła ramy dla efektywnych organizacji i prowadzenia szkoleń</w:t>
      </w:r>
      <w:r w:rsidRPr="00D30505">
        <w:rPr>
          <w:rFonts w:asciiTheme="minorHAnsi" w:eastAsiaTheme="minorHAnsi" w:hAnsiTheme="minorHAnsi" w:cstheme="minorBidi"/>
        </w:rPr>
        <w:t xml:space="preserve"> </w:t>
      </w:r>
      <w:r w:rsidRPr="00D30505">
        <w:rPr>
          <w:rFonts w:ascii="Times New Roman" w:eastAsiaTheme="minorHAnsi" w:hAnsi="Times New Roman"/>
          <w:sz w:val="24"/>
        </w:rPr>
        <w:t>ochrony ludności i obrony cywilnej według jednolitych reguł i przy uwzględnieniu współczesnych uwarunkowań bezpieczeństwa narodowego RP.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A215D">
        <w:rPr>
          <w:rFonts w:ascii="Times New Roman" w:eastAsiaTheme="minorHAnsi" w:hAnsi="Times New Roman"/>
          <w:sz w:val="24"/>
        </w:rPr>
        <w:t xml:space="preserve">Zgodnie z § </w:t>
      </w:r>
      <w:r w:rsidR="00DA215D" w:rsidRPr="00DA215D">
        <w:rPr>
          <w:rFonts w:ascii="Times New Roman" w:eastAsiaTheme="minorHAnsi" w:hAnsi="Times New Roman"/>
          <w:sz w:val="24"/>
        </w:rPr>
        <w:t>1</w:t>
      </w:r>
      <w:r w:rsidR="00C77292">
        <w:rPr>
          <w:rFonts w:ascii="Times New Roman" w:eastAsiaTheme="minorHAnsi" w:hAnsi="Times New Roman"/>
          <w:sz w:val="24"/>
        </w:rPr>
        <w:t>0</w:t>
      </w:r>
      <w:bookmarkStart w:id="0" w:name="_GoBack"/>
      <w:bookmarkEnd w:id="0"/>
      <w:r w:rsidR="000858A3">
        <w:rPr>
          <w:rFonts w:ascii="Times New Roman" w:eastAsiaTheme="minorHAnsi" w:hAnsi="Times New Roman"/>
          <w:sz w:val="24"/>
        </w:rPr>
        <w:t xml:space="preserve"> </w:t>
      </w:r>
      <w:r w:rsidRPr="00DA215D">
        <w:rPr>
          <w:rFonts w:ascii="Times New Roman" w:eastAsiaTheme="minorHAnsi" w:hAnsi="Times New Roman"/>
          <w:sz w:val="24"/>
        </w:rPr>
        <w:t>projektu</w:t>
      </w:r>
      <w:r w:rsidRPr="00D30505">
        <w:rPr>
          <w:rFonts w:ascii="Times New Roman" w:eastAsiaTheme="minorHAnsi" w:hAnsi="Times New Roman"/>
          <w:sz w:val="24"/>
        </w:rPr>
        <w:t xml:space="preserve">, </w:t>
      </w:r>
      <w:r w:rsidR="0010214F">
        <w:rPr>
          <w:rFonts w:ascii="Times New Roman" w:eastAsiaTheme="minorHAnsi" w:hAnsi="Times New Roman"/>
          <w:sz w:val="24"/>
        </w:rPr>
        <w:t>p</w:t>
      </w:r>
      <w:r w:rsidR="00FF0ECA">
        <w:rPr>
          <w:rFonts w:ascii="Times New Roman" w:eastAsiaTheme="minorHAnsi" w:hAnsi="Times New Roman"/>
          <w:sz w:val="24"/>
        </w:rPr>
        <w:t xml:space="preserve">rzewiduje się, że </w:t>
      </w:r>
      <w:r w:rsidR="00FF0ECA" w:rsidRPr="00D30505">
        <w:rPr>
          <w:rFonts w:ascii="Times New Roman" w:eastAsiaTheme="minorHAnsi" w:hAnsi="Times New Roman"/>
          <w:sz w:val="24"/>
        </w:rPr>
        <w:t>r</w:t>
      </w:r>
      <w:r w:rsidR="00FF0ECA">
        <w:rPr>
          <w:rFonts w:ascii="Times New Roman" w:eastAsiaTheme="minorHAnsi" w:hAnsi="Times New Roman"/>
          <w:sz w:val="24"/>
        </w:rPr>
        <w:t>o</w:t>
      </w:r>
      <w:r w:rsidR="00FF0ECA" w:rsidRPr="00D30505">
        <w:rPr>
          <w:rFonts w:ascii="Times New Roman" w:eastAsiaTheme="minorHAnsi" w:hAnsi="Times New Roman"/>
          <w:sz w:val="24"/>
        </w:rPr>
        <w:t>zporządzenie</w:t>
      </w:r>
      <w:r w:rsidRPr="00D30505">
        <w:rPr>
          <w:rFonts w:ascii="Times New Roman" w:eastAsiaTheme="minorHAnsi" w:hAnsi="Times New Roman"/>
          <w:sz w:val="24"/>
        </w:rPr>
        <w:t xml:space="preserve"> wejdzie w życie z dniem </w:t>
      </w:r>
      <w:r w:rsidR="00DA215D">
        <w:rPr>
          <w:rFonts w:ascii="Times New Roman" w:eastAsiaTheme="minorHAnsi" w:hAnsi="Times New Roman"/>
          <w:sz w:val="24"/>
        </w:rPr>
        <w:t>1 stycznia 2025 r</w:t>
      </w:r>
      <w:r w:rsidRPr="00D30505">
        <w:rPr>
          <w:rFonts w:ascii="Times New Roman" w:eastAsiaTheme="minorHAnsi" w:hAnsi="Times New Roman"/>
          <w:sz w:val="24"/>
        </w:rPr>
        <w:t>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 xml:space="preserve">Przedkładany projekt rozporządzenia </w:t>
      </w:r>
      <w:r w:rsidR="009059AB" w:rsidRPr="009059AB">
        <w:rPr>
          <w:rFonts w:ascii="Times New Roman" w:eastAsiaTheme="minorHAnsi" w:hAnsi="Times New Roman"/>
          <w:sz w:val="24"/>
        </w:rPr>
        <w:t>nie jest objęty prawem U</w:t>
      </w:r>
      <w:r w:rsidR="009059AB">
        <w:rPr>
          <w:rFonts w:ascii="Times New Roman" w:eastAsiaTheme="minorHAnsi" w:hAnsi="Times New Roman"/>
          <w:sz w:val="24"/>
        </w:rPr>
        <w:t xml:space="preserve">nii </w:t>
      </w:r>
      <w:r w:rsidR="009059AB" w:rsidRPr="009059AB">
        <w:rPr>
          <w:rFonts w:ascii="Times New Roman" w:eastAsiaTheme="minorHAnsi" w:hAnsi="Times New Roman"/>
          <w:sz w:val="24"/>
        </w:rPr>
        <w:t>E</w:t>
      </w:r>
      <w:r w:rsidR="009059AB">
        <w:rPr>
          <w:rFonts w:ascii="Times New Roman" w:eastAsiaTheme="minorHAnsi" w:hAnsi="Times New Roman"/>
          <w:sz w:val="24"/>
        </w:rPr>
        <w:t>uropejskiej</w:t>
      </w:r>
      <w:r w:rsidRPr="00D30505">
        <w:rPr>
          <w:rFonts w:ascii="Times New Roman" w:eastAsiaTheme="minorHAnsi" w:hAnsi="Times New Roman"/>
          <w:sz w:val="24"/>
        </w:rPr>
        <w:t>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Projekt rozporządzenia nie wymaga przedstawienia właściwym organom i instytucjom Unii Europejskiej, w tym Europejskiemu Bankowi Centralnemu, w celu uzyskania opinii, dokonania powiadomienia, konsultacji albo uzgodnienia, o którym mowa w § 27 ust. 4 uchwały nr 190 Rady Ministrów z dnia 29 października 2013 r. - Regulami</w:t>
      </w:r>
      <w:r w:rsidR="0010214F">
        <w:rPr>
          <w:rFonts w:ascii="Times New Roman" w:eastAsiaTheme="minorHAnsi" w:hAnsi="Times New Roman"/>
          <w:sz w:val="24"/>
        </w:rPr>
        <w:t>n pracy Rady Ministrów (M. P. z </w:t>
      </w:r>
      <w:r w:rsidRPr="00D30505">
        <w:rPr>
          <w:rFonts w:ascii="Times New Roman" w:eastAsiaTheme="minorHAnsi" w:hAnsi="Times New Roman"/>
          <w:sz w:val="24"/>
        </w:rPr>
        <w:t>20</w:t>
      </w:r>
      <w:r w:rsidR="00D324C8">
        <w:rPr>
          <w:rFonts w:ascii="Times New Roman" w:eastAsiaTheme="minorHAnsi" w:hAnsi="Times New Roman"/>
          <w:sz w:val="24"/>
        </w:rPr>
        <w:t>24</w:t>
      </w:r>
      <w:r w:rsidRPr="00D30505">
        <w:rPr>
          <w:rFonts w:ascii="Times New Roman" w:eastAsiaTheme="minorHAnsi" w:hAnsi="Times New Roman"/>
          <w:sz w:val="24"/>
        </w:rPr>
        <w:t xml:space="preserve"> r. poz. </w:t>
      </w:r>
      <w:r w:rsidR="00D324C8">
        <w:rPr>
          <w:rFonts w:ascii="Times New Roman" w:eastAsiaTheme="minorHAnsi" w:hAnsi="Times New Roman"/>
          <w:sz w:val="24"/>
        </w:rPr>
        <w:t>806</w:t>
      </w:r>
      <w:r w:rsidRPr="00D30505">
        <w:rPr>
          <w:rFonts w:ascii="Times New Roman" w:eastAsiaTheme="minorHAnsi" w:hAnsi="Times New Roman"/>
          <w:sz w:val="24"/>
        </w:rPr>
        <w:t>).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Projekt rozporządzenia nie zawiera przepisów technicznych w rozumieniu rozporządzenia Rady Ministrów z dnia 23 grudnia 2002 r. w sprawie sposobu funkcjonowania krajowego systemu notyfikacji norm i aktów prawnych (Dz. U. poz. 20</w:t>
      </w:r>
      <w:r w:rsidR="0010214F">
        <w:rPr>
          <w:rFonts w:ascii="Times New Roman" w:eastAsiaTheme="minorHAnsi" w:hAnsi="Times New Roman"/>
          <w:sz w:val="24"/>
        </w:rPr>
        <w:t>39 oraz z 2004 r. poz. 597) i w </w:t>
      </w:r>
      <w:r w:rsidRPr="00D30505">
        <w:rPr>
          <w:rFonts w:ascii="Times New Roman" w:eastAsiaTheme="minorHAnsi" w:hAnsi="Times New Roman"/>
          <w:sz w:val="24"/>
        </w:rPr>
        <w:t>związku z tym nie podlega notyfikacji w rozumieniu tego rozporządzenia.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Zgodnie z przepisami ustawy z dnia 7 lipca 2005 r. o działalności lobbingowej w procesie stanowienia prawa (Dz. U. z 2017 r. poz. 248</w:t>
      </w:r>
      <w:r w:rsidR="0010214F">
        <w:rPr>
          <w:rFonts w:ascii="Times New Roman" w:eastAsiaTheme="minorHAnsi" w:hAnsi="Times New Roman"/>
          <w:sz w:val="24"/>
        </w:rPr>
        <w:t xml:space="preserve">, z </w:t>
      </w:r>
      <w:proofErr w:type="spellStart"/>
      <w:r w:rsidR="0010214F">
        <w:rPr>
          <w:rFonts w:ascii="Times New Roman" w:eastAsiaTheme="minorHAnsi" w:hAnsi="Times New Roman"/>
          <w:sz w:val="24"/>
        </w:rPr>
        <w:t>późn</w:t>
      </w:r>
      <w:proofErr w:type="spellEnd"/>
      <w:r w:rsidR="0010214F">
        <w:rPr>
          <w:rFonts w:ascii="Times New Roman" w:eastAsiaTheme="minorHAnsi" w:hAnsi="Times New Roman"/>
          <w:sz w:val="24"/>
        </w:rPr>
        <w:t>. zm.</w:t>
      </w:r>
      <w:r w:rsidRPr="00D30505">
        <w:rPr>
          <w:rFonts w:ascii="Times New Roman" w:eastAsiaTheme="minorHAnsi" w:hAnsi="Times New Roman"/>
          <w:sz w:val="24"/>
        </w:rPr>
        <w:t xml:space="preserve">), projekt </w:t>
      </w:r>
      <w:r w:rsidR="00FF0ECA" w:rsidRPr="00D30505">
        <w:rPr>
          <w:rFonts w:ascii="Times New Roman" w:eastAsiaTheme="minorHAnsi" w:hAnsi="Times New Roman"/>
          <w:sz w:val="24"/>
        </w:rPr>
        <w:t>zosta</w:t>
      </w:r>
      <w:r w:rsidR="00FF0ECA">
        <w:rPr>
          <w:rFonts w:ascii="Times New Roman" w:eastAsiaTheme="minorHAnsi" w:hAnsi="Times New Roman"/>
          <w:sz w:val="24"/>
        </w:rPr>
        <w:t>ł</w:t>
      </w:r>
      <w:r w:rsidR="00FF0ECA" w:rsidRPr="00D30505">
        <w:rPr>
          <w:rFonts w:ascii="Times New Roman" w:eastAsiaTheme="minorHAnsi" w:hAnsi="Times New Roman"/>
          <w:sz w:val="24"/>
        </w:rPr>
        <w:t xml:space="preserve"> </w:t>
      </w:r>
      <w:r w:rsidR="0010214F">
        <w:rPr>
          <w:rFonts w:ascii="Times New Roman" w:eastAsiaTheme="minorHAnsi" w:hAnsi="Times New Roman"/>
          <w:sz w:val="24"/>
        </w:rPr>
        <w:t>zamieszczony w </w:t>
      </w:r>
      <w:r w:rsidRPr="00D30505">
        <w:rPr>
          <w:rFonts w:ascii="Times New Roman" w:eastAsiaTheme="minorHAnsi" w:hAnsi="Times New Roman"/>
          <w:sz w:val="24"/>
        </w:rPr>
        <w:t>Biuletynie Informacji Publicznej Ministra Spraw Wewn</w:t>
      </w:r>
      <w:r w:rsidR="0010214F">
        <w:rPr>
          <w:rFonts w:ascii="Times New Roman" w:eastAsiaTheme="minorHAnsi" w:hAnsi="Times New Roman"/>
          <w:sz w:val="24"/>
        </w:rPr>
        <w:t>ętrznych i Administracji oraz w </w:t>
      </w:r>
      <w:r w:rsidRPr="00D30505">
        <w:rPr>
          <w:rFonts w:ascii="Times New Roman" w:eastAsiaTheme="minorHAnsi" w:hAnsi="Times New Roman"/>
          <w:sz w:val="24"/>
        </w:rPr>
        <w:t>zakładce „Rządowy proces legislacyjny” Rządowego Centrum Legislacji.</w:t>
      </w:r>
    </w:p>
    <w:p w:rsidR="007212EC" w:rsidRPr="00D30505" w:rsidRDefault="007212EC" w:rsidP="00155EBE">
      <w:pPr>
        <w:spacing w:after="160" w:line="259" w:lineRule="auto"/>
        <w:jc w:val="both"/>
        <w:rPr>
          <w:rFonts w:ascii="Times New Roman" w:eastAsiaTheme="minorHAnsi" w:hAnsi="Times New Roman"/>
          <w:sz w:val="24"/>
        </w:rPr>
      </w:pPr>
      <w:r w:rsidRPr="00D30505">
        <w:rPr>
          <w:rFonts w:ascii="Times New Roman" w:eastAsiaTheme="minorHAnsi" w:hAnsi="Times New Roman"/>
          <w:sz w:val="24"/>
        </w:rPr>
        <w:t>Projekt nie podlegał dokonaniu oceny OSR przez koordynatora OSR w trybie § 32 uchwały nr</w:t>
      </w:r>
      <w:r w:rsidR="0019771B">
        <w:rPr>
          <w:rFonts w:ascii="Times New Roman" w:eastAsiaTheme="minorHAnsi" w:hAnsi="Times New Roman"/>
          <w:sz w:val="24"/>
        </w:rPr>
        <w:t> </w:t>
      </w:r>
      <w:r w:rsidRPr="00D30505">
        <w:rPr>
          <w:rFonts w:ascii="Times New Roman" w:eastAsiaTheme="minorHAnsi" w:hAnsi="Times New Roman"/>
          <w:sz w:val="24"/>
        </w:rPr>
        <w:t>190 Rady Ministrów z dnia 29 października 2013 r. - Regulamin pracy Rady Ministrów.</w:t>
      </w:r>
    </w:p>
    <w:p w:rsidR="007A5F90" w:rsidRDefault="007A5F90"/>
    <w:sectPr w:rsidR="007A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0886"/>
    <w:multiLevelType w:val="hybridMultilevel"/>
    <w:tmpl w:val="8DAC9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1A70"/>
    <w:multiLevelType w:val="hybridMultilevel"/>
    <w:tmpl w:val="D3062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91831"/>
    <w:multiLevelType w:val="hybridMultilevel"/>
    <w:tmpl w:val="73B43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EC"/>
    <w:rsid w:val="0000490C"/>
    <w:rsid w:val="00017E90"/>
    <w:rsid w:val="000858A3"/>
    <w:rsid w:val="0010214F"/>
    <w:rsid w:val="00155EBE"/>
    <w:rsid w:val="0019771B"/>
    <w:rsid w:val="00236137"/>
    <w:rsid w:val="0029715A"/>
    <w:rsid w:val="0038642E"/>
    <w:rsid w:val="00436A03"/>
    <w:rsid w:val="00606932"/>
    <w:rsid w:val="007212EC"/>
    <w:rsid w:val="007A5F90"/>
    <w:rsid w:val="008034BE"/>
    <w:rsid w:val="009059AB"/>
    <w:rsid w:val="00913BB3"/>
    <w:rsid w:val="00967E66"/>
    <w:rsid w:val="00AB1DCB"/>
    <w:rsid w:val="00B344DB"/>
    <w:rsid w:val="00C44B72"/>
    <w:rsid w:val="00C77292"/>
    <w:rsid w:val="00CC2117"/>
    <w:rsid w:val="00D324C8"/>
    <w:rsid w:val="00DA215D"/>
    <w:rsid w:val="00EE3C4D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B7BC-B882-46EA-9429-F442D751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Tamara</dc:creator>
  <cp:keywords/>
  <dc:description/>
  <cp:lastModifiedBy>DP</cp:lastModifiedBy>
  <cp:revision>3</cp:revision>
  <dcterms:created xsi:type="dcterms:W3CDTF">2024-12-13T08:26:00Z</dcterms:created>
  <dcterms:modified xsi:type="dcterms:W3CDTF">2024-12-13T12:43:00Z</dcterms:modified>
</cp:coreProperties>
</file>