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83DF" w14:textId="3C391F33" w:rsidR="00982F5B" w:rsidRDefault="00982F5B" w:rsidP="00B17665">
      <w:pPr>
        <w:spacing w:line="360" w:lineRule="auto"/>
        <w:ind w:left="2831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74A7D9B6" w14:textId="77777777" w:rsidR="00982F5B" w:rsidRPr="00853C5E" w:rsidRDefault="00982F5B" w:rsidP="007600AF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1E3542" w14:textId="36A40739" w:rsidR="007A65E5" w:rsidRDefault="00827F88" w:rsidP="00827F88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>Projektow</w:t>
      </w:r>
      <w:r w:rsidR="0032632F">
        <w:rPr>
          <w:rFonts w:ascii="Times New Roman" w:eastAsia="Calibri" w:hAnsi="Times New Roman"/>
          <w:bCs/>
          <w:sz w:val="24"/>
          <w:szCs w:val="24"/>
          <w:lang w:eastAsia="en-US"/>
        </w:rPr>
        <w:t>ane rozporządzenie</w:t>
      </w:r>
      <w:r w:rsidR="00DD19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realizuje</w:t>
      </w:r>
      <w:r w:rsidR="0032632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upoważnienie ustawowe zawarte</w:t>
      </w:r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 art. </w:t>
      </w:r>
      <w:bookmarkStart w:id="0" w:name="_Hlk184890406"/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47 ust. 5 ustawy z dnia </w:t>
      </w:r>
      <w:r w:rsidR="00447EFA" w:rsidRPr="00447EFA">
        <w:rPr>
          <w:rFonts w:ascii="Times New Roman" w:eastAsia="Calibri" w:hAnsi="Times New Roman"/>
          <w:bCs/>
          <w:sz w:val="24"/>
          <w:szCs w:val="24"/>
          <w:lang w:eastAsia="en-US"/>
        </w:rPr>
        <w:t>14 czerwca 2024 r.</w:t>
      </w:r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 ochronie sygnalistów (Dz. U. poz. </w:t>
      </w:r>
      <w:r w:rsidR="00F248D3">
        <w:rPr>
          <w:rFonts w:ascii="Times New Roman" w:eastAsia="Calibri" w:hAnsi="Times New Roman"/>
          <w:bCs/>
          <w:sz w:val="24"/>
          <w:szCs w:val="24"/>
          <w:lang w:eastAsia="en-US"/>
        </w:rPr>
        <w:t>928</w:t>
      </w:r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bookmarkEnd w:id="0"/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>, zwanej</w:t>
      </w:r>
      <w:r w:rsidR="007D12A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dalej „ustawą”, zgodnie z którym</w:t>
      </w:r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Rada Ministrów została upoważniona, po zasięgnięciu opinii Rzecznika Praw Obywatelskich, do określenia </w:t>
      </w:r>
      <w:bookmarkStart w:id="1" w:name="_Hlk178940074"/>
      <w:r w:rsidRPr="00827F8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wzoru formularza sprawozdania zawierającego dane statystyczne dotyczące zgłoszeń zewnętrznych,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które będą </w:t>
      </w:r>
      <w:r w:rsidR="00293D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sporządzane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przez organy publiczne </w:t>
      </w:r>
      <w:r w:rsidR="00293D05">
        <w:rPr>
          <w:rFonts w:ascii="Times New Roman" w:eastAsia="Calibri" w:hAnsi="Times New Roman"/>
          <w:bCs/>
          <w:sz w:val="24"/>
          <w:szCs w:val="24"/>
          <w:lang w:eastAsia="en-US"/>
        </w:rPr>
        <w:t>za każdy rok kalendarzowy</w:t>
      </w:r>
      <w:bookmarkEnd w:id="1"/>
      <w:r w:rsidR="00293D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</w:p>
    <w:p w14:paraId="1D4256CE" w14:textId="4A27CA6E" w:rsidR="004E2EE3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Stosownie do art. 47 ust. 1 i 3 ustawy, sprawozdania będą sporządzane i przekazywane przez organy publiczne do Rzecznika Praw Obywatelskich w terminie do dnia 31 marca roku następującego po roku, za jaki sprawozdanie zostało sporządzone. Natomiast Rzecznik Praw Obywatelskich na podstawie przekazanych sprawozdań będzie sporządzał sprawozdanie za dany rok kalendarzowy i przekazywał je Sejmowi, Senatowi i Komisji Europejskiej</w:t>
      </w:r>
      <w:r w:rsidR="007D12A9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nie później niż do dnia 31 grudnia roku następującego po roku, za jaki sprawozdanie zostało sporządzane (art. 47 ust. 4 ustawy). </w:t>
      </w:r>
      <w:bookmarkStart w:id="2" w:name="mip74029090"/>
      <w:bookmarkStart w:id="3" w:name="mip74029091"/>
      <w:bookmarkEnd w:id="2"/>
      <w:bookmarkEnd w:id="3"/>
    </w:p>
    <w:p w14:paraId="0DC30408" w14:textId="2085E97D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Zgodnie z art. 47 ust. 1 ustawy, sprawozdanie </w:t>
      </w:r>
      <w:r w:rsidR="00C12952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będzie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zawierać dane obejmujące:</w:t>
      </w:r>
    </w:p>
    <w:p w14:paraId="0D7E5990" w14:textId="4C5B1C21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1) liczbę przyjętych zgłoszeń zewnętrznych</w:t>
      </w:r>
      <w:r w:rsidR="00B8445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433E94B2" w14:textId="5E52EEE9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2) liczbę postępowań wyjaśniających i postępowań wszczętych w wyniku przyjętych zgłoszeń zewnętrznych oraz informacje na temat wyniku tych postępowań</w:t>
      </w:r>
      <w:r w:rsidR="00B8445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467183C" w14:textId="7FA86AB8" w:rsid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3) szacunkową szkodę majątkową, jeżeli została stwierdzona</w:t>
      </w:r>
      <w:r w:rsidR="004E2EE3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oraz kwoty odzyskane </w:t>
      </w:r>
      <w:r w:rsidR="00601AAB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w wyniku postępowań dotyczących naruszeń będących przedmiotem zgłoszenia zewnętrznego – o ile organ publiczny posiada te dane.</w:t>
      </w:r>
    </w:p>
    <w:p w14:paraId="23AB7B13" w14:textId="6E616D56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4" w:name="_Hlk184890622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Upoważnienie ustawowe do wydania rozporządzenia </w:t>
      </w:r>
      <w:bookmarkStart w:id="5" w:name="_Hlk184883636"/>
      <w:bookmarkEnd w:id="4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został</w:t>
      </w:r>
      <w:r w:rsidR="00DD198A">
        <w:rPr>
          <w:rFonts w:ascii="Times New Roman" w:eastAsia="Calibri" w:hAnsi="Times New Roman"/>
          <w:bCs/>
          <w:sz w:val="24"/>
          <w:szCs w:val="24"/>
          <w:lang w:eastAsia="en-US"/>
        </w:rPr>
        <w:t>o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zawarte w </w:t>
      </w:r>
      <w:bookmarkStart w:id="6" w:name="_Hlk184642877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art. 47 ust. 5 ustawy</w:t>
      </w:r>
      <w:bookmarkEnd w:id="5"/>
      <w:bookmarkEnd w:id="6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który stanowi, że określając wzór formularza sprawozdania Rada Ministrów bierze pod uwagę: </w:t>
      </w:r>
    </w:p>
    <w:p w14:paraId="049D5B14" w14:textId="2E3BDC2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1) zakres wymaganych danych</w:t>
      </w:r>
      <w:r w:rsidR="004E2EE3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23BBB335" w14:textId="4979862E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2) konieczność zapewnienia zupełności i przejrzystości przedstawianych informacji</w:t>
      </w:r>
      <w:r w:rsidR="004E2EE3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72D6C0C8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3) konieczność uproszczenia agregacji danych.</w:t>
      </w:r>
    </w:p>
    <w:p w14:paraId="2D2A3D25" w14:textId="79A39761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Przewidziany we wzorze formularza sprawozdania zakres wymaganych danych odpowiada treści przytoczonego powyżej art. 47 ust. 1 ustawy, który określa jakie informacje powinny być uwzględnione w jego treści. Należy zauważyć, że wskazany przepis ustawy stanowi implementację art. 27 ust. 2 dyrektywy Parlamentu Europejskiego i Rady (UE) 2019/1937 z dnia 23 października 2019 r. w sprawie ochrony osób zgłaszających naruszenia prawa Unii (Dz. Urz. UE L 305 z 26.11.2019, str. 17, z </w:t>
      </w:r>
      <w:proofErr w:type="spellStart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późn</w:t>
      </w:r>
      <w:proofErr w:type="spellEnd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zm.), zgodnie z którym </w:t>
      </w:r>
      <w:r w:rsidR="000D5E91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bez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uszczerbku dla obowiązków sprawozdawczych określonych w innych aktach prawnych Unii państwa członkowskie przedkładają Komisji corocznie następujące dane statystyczne na temat zgłoszeń, o których mowa w rozdziale III, najlepiej w formie zagregowanej, jeżeli dane te są dostępne na poziomie centralnym w danym państwie członkowskim: </w:t>
      </w:r>
    </w:p>
    <w:p w14:paraId="48787D0C" w14:textId="13F36C16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a) liczbę zgłoszeń przyjętych przez właściwe organy,</w:t>
      </w:r>
    </w:p>
    <w:p w14:paraId="51620F93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b) liczbę postępowań wyjaśniających i postępowań wszczętych w wyniku takich zgłoszeń oraz informacje na temat ich wyniku, </w:t>
      </w:r>
    </w:p>
    <w:p w14:paraId="39FC488E" w14:textId="7C3FA230" w:rsidR="007A65E5" w:rsidRPr="007A65E5" w:rsidRDefault="00400E7A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c) szacunkową szkodę majątkową</w:t>
      </w:r>
      <w:r w:rsidR="007A65E5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, jeżeli została stwierdzona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7A65E5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oraz kwoty odzyskane </w:t>
      </w:r>
      <w:r w:rsidR="00785799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7A65E5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w wyniku postępowań wyjaśniających i postępowań dotyczących naruszeń będących przedmiotem zgłoszenia.</w:t>
      </w:r>
    </w:p>
    <w:p w14:paraId="047DF09D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Wzór formularza sprawozdania czyni zadość określonym w ustawie wymaganiom konieczności zapewnienia zupełności i przejrzystości przedstawianych informacji. Organ publiczny w formularzu przedstawiać będzie:</w:t>
      </w:r>
    </w:p>
    <w:p w14:paraId="6E84712D" w14:textId="561D6D86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1)</w:t>
      </w:r>
      <w:r w:rsidR="007615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liczbę wszystkich przyjętych zgłoszeń zewnętrznych w roku kalendarzowym, którego dotyczy sprawozdanie</w:t>
      </w:r>
      <w:r w:rsidR="004E2EE3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69F6C9C0" w14:textId="4AA2CF35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2) liczbę wszystkich postępowań wyjaśniających podjętych przez organ publiczny </w:t>
      </w:r>
      <w:r w:rsidR="00EF7561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w roku kalendarzowym, którego dotyczy sprawozdanie oraz – w przypadku zakończenia określonych postępowań – informację na temat ich wyniku</w:t>
      </w:r>
      <w:r w:rsidR="005209CE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BA6B513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3) liczbę wszystkich postępowań wszczętych w roku kalendarzowym, którego dotyczy sprawozdanie w wyniku przyjętych zgłoszeń zewnętrznych oraz – w przypadku zakończenia określonych postępowań – informację na temat ich wyniku. W tej części sprawozdania wykazywane są postępowania wszczęte w sytuacji, gdy z przeprowadzonego przez organ publiczny postępowania wyjaśniającego wynika zasadność ich wszczęcia, w szczególności postępowania sądowe czy administracyjne.</w:t>
      </w:r>
    </w:p>
    <w:p w14:paraId="375B4261" w14:textId="303E075F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 uwagi na wymaganie uproszczenia agregacji danych wszystkie informacje zawarte </w:t>
      </w:r>
      <w:r w:rsidR="00785799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 formularzu przedstawione są w formie liczbowej i podawane będą w liczbach całkowitych. Treść wskazanej wytycznej wyklucza możliwość opisowego wypełniania formularza sprawozdania. Dotyczy to również danych dotyczących wyniku postępowań wyjaśniających prowadzonych przez organ publiczny oraz wyniku postępowań wszczętych w wyniku przyjętych zgłoszeń zewnętrznych. </w:t>
      </w:r>
    </w:p>
    <w:p w14:paraId="18328428" w14:textId="462E60AD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Przewidziane we wzorze formularza spra</w:t>
      </w:r>
      <w:r w:rsidR="00E37308">
        <w:rPr>
          <w:rFonts w:ascii="Times New Roman" w:eastAsia="Calibri" w:hAnsi="Times New Roman"/>
          <w:bCs/>
          <w:sz w:val="24"/>
          <w:szCs w:val="24"/>
          <w:lang w:eastAsia="en-US"/>
        </w:rPr>
        <w:t>wozdania możliwe rezultaty postę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powań wyjaśniających oparte są na zawartej w art. 2 pkt 1 ustawy definicji działań następczych, </w:t>
      </w:r>
      <w:r w:rsidR="00785799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 której wynika, że organ publiczny ocenia prawdziwość informacji zawartych w zgłoszeniu zewnętrznym oraz może podjąć działania w celu przeciwdziałaniu naruszeniu prawa będącemu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przedmiotem zgłoszenia. W formularzu sprawozdania organ publiczny określa zatem wynik prowadzonych postępowań wskazując liczbę postępowań, w których w roku kalendarzowym, za który sporządzane jest sprawozdanie: </w:t>
      </w:r>
    </w:p>
    <w:p w14:paraId="6504B836" w14:textId="03D9412A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1) uznał prawdziwość przekazanych informacji o naruszeniu prawa</w:t>
      </w:r>
      <w:r w:rsidR="00DE6183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011BECFA" w14:textId="40A594FE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2) zakończono postępowanie na etapie postępowania wyjaśniającego (organ nie uznał prawdziwości przekazanych w zgłoszeniu informacji)</w:t>
      </w:r>
      <w:r w:rsidR="00DE6183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275EE1E1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3) podjął działania mające na celu przeciwdziałanie naruszeniu prawa. </w:t>
      </w:r>
    </w:p>
    <w:p w14:paraId="33D71E80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Należy zauważyć, że w ramach jednego postępowania możliwe jest albo uznanie prawdziwości informacji wskazanych w zgłoszeniu albo zakończenie postępowania na etapie postępowania wyjaśniającego. Z kolei działania mające na celu przeciwdziałanie naruszeniu prawa mogą być podjęte w ramach postępowań, w których organ uznał prawdziwość informacji zawartych w zgłoszeniu. </w:t>
      </w:r>
    </w:p>
    <w:p w14:paraId="1B1F3221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Natomiast informacja na temat wyniku postępowań wszczętych w wyniku przyjętych zgłoszeń zewnętrznych, w tym w szczególności postępowań sądowych i administracyjnych, prezentowana będzie w formularzu sprawozdania jako liczba postępowań, w których w roku kalendarzowym, za który sporządzane jest sprawozdanie:</w:t>
      </w:r>
    </w:p>
    <w:p w14:paraId="16D2D9F5" w14:textId="2B51989C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1) stwierdzono chociaż jedno naruszenie prawa</w:t>
      </w:r>
      <w:r w:rsidR="00DE6183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320047CC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2) nie stwierdzono żadnego naruszenia prawa.</w:t>
      </w:r>
    </w:p>
    <w:p w14:paraId="5B311D4F" w14:textId="04CB8879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Należy dodać, że przyjęcie jednolitego wzoru formularza sprawozdawczego zapewni kompletność i przejrzystość przekazywanych danych przez organy publiczne danych, a także umożliwi Rzecznikowi Praw Obywatelskich właściwą agregację przekazanych danych, celem właściwego i terminowego wypełnienia nałożonego na niego obowiązku przekazania sprawozdania do</w:t>
      </w:r>
      <w:r w:rsidR="00DD19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Sejmu, Senatu</w:t>
      </w:r>
      <w:r w:rsidR="00EA1D5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i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Komisji Europejskiej.</w:t>
      </w:r>
    </w:p>
    <w:p w14:paraId="3091BFAC" w14:textId="4675E751" w:rsidR="001117AA" w:rsidRDefault="00A06392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06392">
        <w:rPr>
          <w:rFonts w:ascii="Times New Roman" w:eastAsia="Calibri" w:hAnsi="Times New Roman"/>
          <w:bCs/>
          <w:sz w:val="24"/>
          <w:szCs w:val="24"/>
          <w:lang w:eastAsia="en-US"/>
        </w:rPr>
        <w:t>Pr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oponuje się</w:t>
      </w:r>
      <w:r w:rsidR="00185C49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aby pr</w:t>
      </w:r>
      <w:r w:rsidRPr="00A06392">
        <w:rPr>
          <w:rFonts w:ascii="Times New Roman" w:eastAsia="Calibri" w:hAnsi="Times New Roman"/>
          <w:bCs/>
          <w:sz w:val="24"/>
          <w:szCs w:val="24"/>
          <w:lang w:eastAsia="en-US"/>
        </w:rPr>
        <w:t>ojektowane rozporządzenie w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eszło </w:t>
      </w:r>
      <w:r w:rsidRPr="00A063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 życie po upływie 14 dni od dnia ogłoszenia. </w:t>
      </w:r>
      <w:r w:rsidRPr="00A06392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>Vacatio legis</w:t>
      </w:r>
      <w:r w:rsidRPr="00A063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wynika z konieczności umożliwienia organom publicznym przygotowania sprawozdania zawierającego dane statystyczne dotyczące zgłoszeń zewnętrznych za okres od dnia rozpoczęcia przyjmowania zgłoszeń zewnętrznych</w:t>
      </w:r>
      <w:r w:rsidR="00185C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tj. od dnia </w:t>
      </w:r>
      <w:r w:rsidR="00185C49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25 grudnia 2024 r.</w:t>
      </w:r>
      <w:r w:rsidR="00185C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(w </w:t>
      </w:r>
      <w:r w:rsidR="007A65E5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związku z wejściem </w:t>
      </w:r>
      <w:r w:rsidR="00185C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 tym dniu </w:t>
      </w:r>
      <w:r w:rsidR="007A65E5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w życie rozdziału 4 ustawy</w:t>
      </w:r>
      <w:r w:rsidR="00185C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). </w:t>
      </w:r>
      <w:r w:rsidR="007615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Należy </w:t>
      </w:r>
      <w:r w:rsidR="0051508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bowiem </w:t>
      </w:r>
      <w:r w:rsidR="007615E0">
        <w:rPr>
          <w:rFonts w:ascii="Times New Roman" w:eastAsia="Calibri" w:hAnsi="Times New Roman"/>
          <w:bCs/>
          <w:sz w:val="24"/>
          <w:szCs w:val="24"/>
          <w:lang w:eastAsia="en-US"/>
        </w:rPr>
        <w:t>zwrócić uwagę</w:t>
      </w:r>
      <w:r w:rsidR="001117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7615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iż zgodnie z art. </w:t>
      </w:r>
      <w:r w:rsidR="001117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62 ustawy </w:t>
      </w:r>
      <w:r w:rsidR="0056151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– </w:t>
      </w:r>
      <w:r w:rsidR="001117AA">
        <w:rPr>
          <w:rFonts w:ascii="Times New Roman" w:eastAsia="Calibri" w:hAnsi="Times New Roman"/>
          <w:bCs/>
          <w:sz w:val="24"/>
          <w:szCs w:val="24"/>
          <w:lang w:eastAsia="en-US"/>
        </w:rPr>
        <w:t>s</w:t>
      </w:r>
      <w:r w:rsidR="001117AA" w:rsidRPr="001117AA">
        <w:rPr>
          <w:rFonts w:ascii="Times New Roman" w:eastAsia="Calibri" w:hAnsi="Times New Roman"/>
          <w:bCs/>
          <w:sz w:val="24"/>
          <w:szCs w:val="24"/>
          <w:lang w:eastAsia="en-US"/>
        </w:rPr>
        <w:t>prawozdania, o których mowa w art. 47 ust. 1 i 4, za rok 2025 organ publiczny oraz Rzecznik Praw Obywatelskich sporządzają za okres od dnia rozpoczęcia przyjmowania zgłoszeń zewnętrznych.</w:t>
      </w:r>
      <w:r w:rsidR="001117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</w:t>
      </w:r>
      <w:r w:rsidR="00660EB3">
        <w:rPr>
          <w:rFonts w:ascii="Times New Roman" w:eastAsia="Calibri" w:hAnsi="Times New Roman"/>
          <w:bCs/>
          <w:sz w:val="24"/>
          <w:szCs w:val="24"/>
          <w:lang w:eastAsia="en-US"/>
        </w:rPr>
        <w:t>atem z</w:t>
      </w:r>
      <w:r w:rsidR="001117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uwagi na krótki okres obowiązywania ustawy w 2024 r. przepis umożliwia sporządzenie sprawozdania za ten rok zbiorczo ze sprawozdaniem za rok 2025. </w:t>
      </w:r>
    </w:p>
    <w:p w14:paraId="1B26107E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7" w:name="_Hlk184884097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Projekt rozporządzenia nie jest objęty prawem Unii Europejskiej z uwagi na krajowy charakter projektowanej regulacji</w:t>
      </w:r>
      <w:bookmarkEnd w:id="7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</w:p>
    <w:p w14:paraId="1E537C68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Projekt rozporządzenia nie podlega procedurze notyfikacji aktów prawnych, określonej w przepisach rozporządzenia Rady Ministrów z dnia 23 grudnia 2002 r. w sprawie sposobu funkcjonowania krajowego systemu notyfikacji norm i aktów prawnych (Dz. U. poz. 2039, z </w:t>
      </w:r>
      <w:proofErr w:type="spellStart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późn</w:t>
      </w:r>
      <w:proofErr w:type="spellEnd"/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. zm.).</w:t>
      </w:r>
    </w:p>
    <w:p w14:paraId="03D851F7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Projekt rozporządzenia nie wymaga przedstawienia właściwym instytucjom i organom Unii Europejskiej, w tym Europejskiemu Bankowi Centralnemu, celem uzyskania opinii, dokonania powiadomienia, konsultacji albo uzgodnienia projektu.</w:t>
      </w:r>
    </w:p>
    <w:p w14:paraId="03C50482" w14:textId="24D6ECB4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Projekt przedmiotowej regulacji, zgodnie z wymogami określonymi w art. 5 ustawy z dnia 7 lipca 2005 o działalności lobbingowej w procesie stosowania prawa (Dz. U. z 2017 r. poz. 248</w:t>
      </w:r>
      <w:r w:rsidR="009B728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oraz z 2024 r. poz. 15</w:t>
      </w:r>
      <w:r w:rsidR="00604E52">
        <w:rPr>
          <w:rFonts w:ascii="Times New Roman" w:eastAsia="Calibri" w:hAnsi="Times New Roman"/>
          <w:bCs/>
          <w:sz w:val="24"/>
          <w:szCs w:val="24"/>
          <w:lang w:eastAsia="en-US"/>
        </w:rPr>
        <w:t>35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oraz § 52 uchwały nr 190 Rady Ministrów z dnia 29 października 2013 r. – Regulamin pracy Rady Ministrów (M.P. z </w:t>
      </w:r>
      <w:r w:rsidR="00561510">
        <w:rPr>
          <w:rFonts w:ascii="Times New Roman" w:eastAsia="Calibri" w:hAnsi="Times New Roman"/>
          <w:bCs/>
          <w:sz w:val="24"/>
          <w:szCs w:val="24"/>
          <w:lang w:eastAsia="en-US"/>
        </w:rPr>
        <w:t>2024</w:t>
      </w:r>
      <w:r w:rsidR="00561510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r. poz. </w:t>
      </w:r>
      <w:r w:rsidR="00561510" w:rsidRPr="00561510">
        <w:rPr>
          <w:rFonts w:ascii="Times New Roman" w:eastAsia="Calibri" w:hAnsi="Times New Roman"/>
          <w:bCs/>
          <w:sz w:val="24"/>
          <w:szCs w:val="24"/>
          <w:lang w:eastAsia="en-US"/>
        </w:rPr>
        <w:t>806</w:t>
      </w:r>
      <w:r w:rsidR="001D3F6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zostanie </w:t>
      </w:r>
      <w:r w:rsidR="00F83AAC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zamieszczony</w:t>
      </w:r>
      <w:r w:rsidR="00F83AAC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F83AAC"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 dniu skierowania do uzgodnień, opiniowania i konsultacji publicznych</w:t>
      </w:r>
      <w:r w:rsidR="00F83AA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w Biuletynie Informacji Publicznej Ministerstwa Rodziny, Pracy i Polityki Społecznej oraz</w:t>
      </w:r>
      <w:r w:rsidR="001E6B9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 Biuletynie Informacji Publicznej</w:t>
      </w:r>
      <w:r w:rsidR="00604E52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 xml:space="preserve"> 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na stronie podmiotowej Rządowego Centrum Legislacji, w serwisie Rządowy Proces Legislacyjny</w:t>
      </w:r>
      <w:r w:rsidR="00F83AAC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070B2312" w14:textId="77777777" w:rsidR="002C6DFE" w:rsidRPr="007A65E5" w:rsidRDefault="002C6DFE" w:rsidP="002C6DFE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>Projekt rozporządzenia nie stwarza zagrożeń korupcyjnych.</w:t>
      </w:r>
    </w:p>
    <w:p w14:paraId="384AACF8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A65E5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 </w:t>
      </w:r>
    </w:p>
    <w:p w14:paraId="23DA7359" w14:textId="77777777" w:rsidR="007A65E5" w:rsidRPr="007A65E5" w:rsidRDefault="007A65E5" w:rsidP="007A65E5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75DCC45" w14:textId="77777777" w:rsidR="007A65E5" w:rsidRDefault="007A65E5" w:rsidP="00827F88">
      <w:pPr>
        <w:widowControl/>
        <w:suppressAutoHyphens w:val="0"/>
        <w:autoSpaceDE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sectPr w:rsidR="007A65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5435" w14:textId="77777777" w:rsidR="00BE37B3" w:rsidRDefault="00BE37B3" w:rsidP="00684C2A">
      <w:r>
        <w:separator/>
      </w:r>
    </w:p>
  </w:endnote>
  <w:endnote w:type="continuationSeparator" w:id="0">
    <w:p w14:paraId="6B05130B" w14:textId="77777777" w:rsidR="00BE37B3" w:rsidRDefault="00BE37B3" w:rsidP="0068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223510"/>
      <w:docPartObj>
        <w:docPartGallery w:val="Page Numbers (Bottom of Page)"/>
        <w:docPartUnique/>
      </w:docPartObj>
    </w:sdtPr>
    <w:sdtEndPr/>
    <w:sdtContent>
      <w:p w14:paraId="37848EFE" w14:textId="13DD2C80" w:rsidR="00684C2A" w:rsidRDefault="0068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A9">
          <w:rPr>
            <w:noProof/>
          </w:rPr>
          <w:t>4</w:t>
        </w:r>
        <w:r>
          <w:fldChar w:fldCharType="end"/>
        </w:r>
      </w:p>
    </w:sdtContent>
  </w:sdt>
  <w:p w14:paraId="736E7A0A" w14:textId="77777777" w:rsidR="00684C2A" w:rsidRDefault="0068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6769" w14:textId="77777777" w:rsidR="00BE37B3" w:rsidRDefault="00BE37B3" w:rsidP="00684C2A">
      <w:r>
        <w:separator/>
      </w:r>
    </w:p>
  </w:footnote>
  <w:footnote w:type="continuationSeparator" w:id="0">
    <w:p w14:paraId="65416EB6" w14:textId="77777777" w:rsidR="00BE37B3" w:rsidRDefault="00BE37B3" w:rsidP="0068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5B"/>
    <w:rsid w:val="000242ED"/>
    <w:rsid w:val="0003270A"/>
    <w:rsid w:val="000B3445"/>
    <w:rsid w:val="000B7533"/>
    <w:rsid w:val="000C1AF1"/>
    <w:rsid w:val="000D5E91"/>
    <w:rsid w:val="000E3B3E"/>
    <w:rsid w:val="000F074C"/>
    <w:rsid w:val="001117AA"/>
    <w:rsid w:val="00126044"/>
    <w:rsid w:val="00126D83"/>
    <w:rsid w:val="00133A29"/>
    <w:rsid w:val="00141CA3"/>
    <w:rsid w:val="001519F2"/>
    <w:rsid w:val="00151D9C"/>
    <w:rsid w:val="00153F26"/>
    <w:rsid w:val="001637B6"/>
    <w:rsid w:val="00172572"/>
    <w:rsid w:val="00182457"/>
    <w:rsid w:val="00185C49"/>
    <w:rsid w:val="001A0F30"/>
    <w:rsid w:val="001A26CB"/>
    <w:rsid w:val="001A7752"/>
    <w:rsid w:val="001C2DD8"/>
    <w:rsid w:val="001C30C3"/>
    <w:rsid w:val="001D3F6E"/>
    <w:rsid w:val="001E141E"/>
    <w:rsid w:val="001E1F56"/>
    <w:rsid w:val="001E2770"/>
    <w:rsid w:val="001E6B9C"/>
    <w:rsid w:val="001E7F66"/>
    <w:rsid w:val="002038F5"/>
    <w:rsid w:val="00212310"/>
    <w:rsid w:val="00221F76"/>
    <w:rsid w:val="00233868"/>
    <w:rsid w:val="002409D4"/>
    <w:rsid w:val="0026332C"/>
    <w:rsid w:val="002849B4"/>
    <w:rsid w:val="00293D05"/>
    <w:rsid w:val="002A0C00"/>
    <w:rsid w:val="002C6DFE"/>
    <w:rsid w:val="00313AB8"/>
    <w:rsid w:val="0032632F"/>
    <w:rsid w:val="0032636E"/>
    <w:rsid w:val="00331637"/>
    <w:rsid w:val="0033419F"/>
    <w:rsid w:val="003457B6"/>
    <w:rsid w:val="00346FA6"/>
    <w:rsid w:val="003609D1"/>
    <w:rsid w:val="00370468"/>
    <w:rsid w:val="00380DF4"/>
    <w:rsid w:val="003865C8"/>
    <w:rsid w:val="00391E2F"/>
    <w:rsid w:val="003B1EF0"/>
    <w:rsid w:val="003C0B69"/>
    <w:rsid w:val="003C68B3"/>
    <w:rsid w:val="003F5C0B"/>
    <w:rsid w:val="00400E7A"/>
    <w:rsid w:val="00427772"/>
    <w:rsid w:val="00431DF7"/>
    <w:rsid w:val="0044207F"/>
    <w:rsid w:val="00447EFA"/>
    <w:rsid w:val="00464224"/>
    <w:rsid w:val="00476A21"/>
    <w:rsid w:val="00485E01"/>
    <w:rsid w:val="00486A44"/>
    <w:rsid w:val="00493813"/>
    <w:rsid w:val="004B2461"/>
    <w:rsid w:val="004C2860"/>
    <w:rsid w:val="004C2DA6"/>
    <w:rsid w:val="004C31A1"/>
    <w:rsid w:val="004D3595"/>
    <w:rsid w:val="004D52C1"/>
    <w:rsid w:val="004E2EE3"/>
    <w:rsid w:val="00515086"/>
    <w:rsid w:val="005205CE"/>
    <w:rsid w:val="005209CE"/>
    <w:rsid w:val="00522EE0"/>
    <w:rsid w:val="0054765E"/>
    <w:rsid w:val="005513AB"/>
    <w:rsid w:val="0055279A"/>
    <w:rsid w:val="00554EC4"/>
    <w:rsid w:val="00560CFB"/>
    <w:rsid w:val="00561510"/>
    <w:rsid w:val="00571AEB"/>
    <w:rsid w:val="0059258F"/>
    <w:rsid w:val="00597599"/>
    <w:rsid w:val="005A3B23"/>
    <w:rsid w:val="005C061B"/>
    <w:rsid w:val="005D708F"/>
    <w:rsid w:val="005F722D"/>
    <w:rsid w:val="00601AAB"/>
    <w:rsid w:val="006038BD"/>
    <w:rsid w:val="00604E52"/>
    <w:rsid w:val="006064F3"/>
    <w:rsid w:val="00606C57"/>
    <w:rsid w:val="00613C68"/>
    <w:rsid w:val="00642DCB"/>
    <w:rsid w:val="00654660"/>
    <w:rsid w:val="00655A20"/>
    <w:rsid w:val="0065664A"/>
    <w:rsid w:val="0065680E"/>
    <w:rsid w:val="00660EB3"/>
    <w:rsid w:val="00666584"/>
    <w:rsid w:val="00684C2A"/>
    <w:rsid w:val="006C0BC7"/>
    <w:rsid w:val="006C4068"/>
    <w:rsid w:val="006D03CF"/>
    <w:rsid w:val="007028EA"/>
    <w:rsid w:val="0071227F"/>
    <w:rsid w:val="00712ADF"/>
    <w:rsid w:val="00715398"/>
    <w:rsid w:val="00737B33"/>
    <w:rsid w:val="00746167"/>
    <w:rsid w:val="007600AF"/>
    <w:rsid w:val="007615E0"/>
    <w:rsid w:val="0078536F"/>
    <w:rsid w:val="00785799"/>
    <w:rsid w:val="0079725B"/>
    <w:rsid w:val="007A65E5"/>
    <w:rsid w:val="007A7476"/>
    <w:rsid w:val="007B23BD"/>
    <w:rsid w:val="007B4220"/>
    <w:rsid w:val="007B7AE0"/>
    <w:rsid w:val="007C0822"/>
    <w:rsid w:val="007D12A9"/>
    <w:rsid w:val="007D6826"/>
    <w:rsid w:val="007F24EF"/>
    <w:rsid w:val="008130FA"/>
    <w:rsid w:val="008140D4"/>
    <w:rsid w:val="00821C96"/>
    <w:rsid w:val="00827F88"/>
    <w:rsid w:val="0083337D"/>
    <w:rsid w:val="008407FD"/>
    <w:rsid w:val="008431E1"/>
    <w:rsid w:val="00860C6D"/>
    <w:rsid w:val="008721CF"/>
    <w:rsid w:val="00875C75"/>
    <w:rsid w:val="008C0B45"/>
    <w:rsid w:val="008E16A0"/>
    <w:rsid w:val="008F5DA0"/>
    <w:rsid w:val="00921FD2"/>
    <w:rsid w:val="00927613"/>
    <w:rsid w:val="00937DAE"/>
    <w:rsid w:val="00961F2E"/>
    <w:rsid w:val="00982F5B"/>
    <w:rsid w:val="0098334A"/>
    <w:rsid w:val="00995DD4"/>
    <w:rsid w:val="009B617E"/>
    <w:rsid w:val="009B7286"/>
    <w:rsid w:val="009C42C4"/>
    <w:rsid w:val="009C4B94"/>
    <w:rsid w:val="009D04E2"/>
    <w:rsid w:val="009D071D"/>
    <w:rsid w:val="009D7B2B"/>
    <w:rsid w:val="009E7A81"/>
    <w:rsid w:val="009F2D13"/>
    <w:rsid w:val="00A00161"/>
    <w:rsid w:val="00A06392"/>
    <w:rsid w:val="00A1133C"/>
    <w:rsid w:val="00A13A2F"/>
    <w:rsid w:val="00A4751D"/>
    <w:rsid w:val="00A5450B"/>
    <w:rsid w:val="00A64375"/>
    <w:rsid w:val="00A67414"/>
    <w:rsid w:val="00A7203D"/>
    <w:rsid w:val="00A82A59"/>
    <w:rsid w:val="00A84042"/>
    <w:rsid w:val="00A9472E"/>
    <w:rsid w:val="00AA29F4"/>
    <w:rsid w:val="00AA37D1"/>
    <w:rsid w:val="00AA6360"/>
    <w:rsid w:val="00AA6C7D"/>
    <w:rsid w:val="00AB0974"/>
    <w:rsid w:val="00AE0482"/>
    <w:rsid w:val="00B00E97"/>
    <w:rsid w:val="00B07DB1"/>
    <w:rsid w:val="00B17665"/>
    <w:rsid w:val="00B30B7E"/>
    <w:rsid w:val="00B3193E"/>
    <w:rsid w:val="00B36700"/>
    <w:rsid w:val="00B76EC6"/>
    <w:rsid w:val="00B805D8"/>
    <w:rsid w:val="00B84456"/>
    <w:rsid w:val="00BA13E1"/>
    <w:rsid w:val="00BD08EA"/>
    <w:rsid w:val="00BD1A78"/>
    <w:rsid w:val="00BD5EDC"/>
    <w:rsid w:val="00BD6720"/>
    <w:rsid w:val="00BE1375"/>
    <w:rsid w:val="00BE37B3"/>
    <w:rsid w:val="00BF6BE8"/>
    <w:rsid w:val="00C06105"/>
    <w:rsid w:val="00C12952"/>
    <w:rsid w:val="00C21990"/>
    <w:rsid w:val="00C21BDE"/>
    <w:rsid w:val="00C51BDB"/>
    <w:rsid w:val="00C66672"/>
    <w:rsid w:val="00C837A7"/>
    <w:rsid w:val="00C9286E"/>
    <w:rsid w:val="00C92B55"/>
    <w:rsid w:val="00C96552"/>
    <w:rsid w:val="00CC0AE8"/>
    <w:rsid w:val="00CD2F44"/>
    <w:rsid w:val="00CE46FA"/>
    <w:rsid w:val="00CE75EF"/>
    <w:rsid w:val="00CF6F12"/>
    <w:rsid w:val="00D07805"/>
    <w:rsid w:val="00D443EB"/>
    <w:rsid w:val="00D73620"/>
    <w:rsid w:val="00D75251"/>
    <w:rsid w:val="00D95761"/>
    <w:rsid w:val="00DA4885"/>
    <w:rsid w:val="00DB25B0"/>
    <w:rsid w:val="00DB59F8"/>
    <w:rsid w:val="00DB7A32"/>
    <w:rsid w:val="00DC747D"/>
    <w:rsid w:val="00DD198A"/>
    <w:rsid w:val="00DD317B"/>
    <w:rsid w:val="00DD422B"/>
    <w:rsid w:val="00DE6183"/>
    <w:rsid w:val="00DE70D3"/>
    <w:rsid w:val="00E0482F"/>
    <w:rsid w:val="00E16677"/>
    <w:rsid w:val="00E34133"/>
    <w:rsid w:val="00E37308"/>
    <w:rsid w:val="00E43D97"/>
    <w:rsid w:val="00E836E1"/>
    <w:rsid w:val="00E85A5C"/>
    <w:rsid w:val="00EA1D57"/>
    <w:rsid w:val="00EC2391"/>
    <w:rsid w:val="00EC7A33"/>
    <w:rsid w:val="00EE6ED2"/>
    <w:rsid w:val="00EF56B4"/>
    <w:rsid w:val="00EF7561"/>
    <w:rsid w:val="00F248D3"/>
    <w:rsid w:val="00F31A69"/>
    <w:rsid w:val="00F4193A"/>
    <w:rsid w:val="00F44360"/>
    <w:rsid w:val="00F635F0"/>
    <w:rsid w:val="00F83AAC"/>
    <w:rsid w:val="00F83FBC"/>
    <w:rsid w:val="00F955C7"/>
    <w:rsid w:val="00FA69D7"/>
    <w:rsid w:val="00FC2AC5"/>
    <w:rsid w:val="00FC36AF"/>
    <w:rsid w:val="00FD3F79"/>
    <w:rsid w:val="00FE47F1"/>
    <w:rsid w:val="00FF056D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B63E"/>
  <w15:docId w15:val="{401D1BE4-DC4D-4639-A026-C5663EF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82F5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513AB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982F5B"/>
    <w:pPr>
      <w:suppressAutoHyphens/>
      <w:autoSpaceDN w:val="0"/>
      <w:spacing w:after="0" w:line="360" w:lineRule="auto"/>
      <w:ind w:left="510" w:hanging="510"/>
      <w:jc w:val="both"/>
      <w:textAlignment w:val="baseline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82F5B"/>
    <w:rPr>
      <w:b w:val="0"/>
      <w:i w:val="0"/>
      <w:vanish w:val="0"/>
      <w:spacing w:val="0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4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C2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C2A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A2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13A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513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F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FA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FA6"/>
    <w:rPr>
      <w:rFonts w:ascii="Verdana" w:eastAsia="Times New Roman" w:hAnsi="Verdan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2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513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4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8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3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0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Judyta Kalicka</dc:creator>
  <cp:lastModifiedBy>Jędrzejewska Katarzyna</cp:lastModifiedBy>
  <cp:revision>2</cp:revision>
  <dcterms:created xsi:type="dcterms:W3CDTF">2024-12-19T10:15:00Z</dcterms:created>
  <dcterms:modified xsi:type="dcterms:W3CDTF">2024-12-19T10:15:00Z</dcterms:modified>
</cp:coreProperties>
</file>