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280"/>
        <w:gridCol w:w="712"/>
        <w:gridCol w:w="709"/>
        <w:gridCol w:w="58"/>
        <w:gridCol w:w="83"/>
        <w:gridCol w:w="190"/>
        <w:gridCol w:w="94"/>
        <w:gridCol w:w="137"/>
        <w:gridCol w:w="283"/>
        <w:gridCol w:w="360"/>
        <w:gridCol w:w="207"/>
        <w:gridCol w:w="709"/>
        <w:gridCol w:w="323"/>
        <w:gridCol w:w="386"/>
        <w:gridCol w:w="425"/>
        <w:gridCol w:w="425"/>
        <w:gridCol w:w="91"/>
        <w:gridCol w:w="618"/>
        <w:gridCol w:w="48"/>
        <w:gridCol w:w="802"/>
        <w:gridCol w:w="530"/>
        <w:gridCol w:w="179"/>
        <w:gridCol w:w="851"/>
        <w:gridCol w:w="855"/>
      </w:tblGrid>
      <w:tr w:rsidR="006A701A" w:rsidRPr="008B4FE6" w14:paraId="6EF6D00D" w14:textId="77777777" w:rsidTr="00283E2D">
        <w:trPr>
          <w:trHeight w:val="1611"/>
        </w:trPr>
        <w:tc>
          <w:tcPr>
            <w:tcW w:w="7203" w:type="dxa"/>
            <w:gridSpan w:val="18"/>
          </w:tcPr>
          <w:p w14:paraId="3DAA3B3A" w14:textId="77777777" w:rsidR="006A701A" w:rsidRDefault="006A701A" w:rsidP="009004D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4BA9617B" w14:textId="22235C91" w:rsidR="00D708E9" w:rsidRDefault="00623359" w:rsidP="0016726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Projekt </w:t>
            </w:r>
            <w:r w:rsidR="00FF01A6">
              <w:rPr>
                <w:rFonts w:ascii="Times New Roman" w:hAnsi="Times New Roman"/>
                <w:color w:val="000000"/>
              </w:rPr>
              <w:t xml:space="preserve">ustawy </w:t>
            </w:r>
            <w:r w:rsidR="00FF01A6" w:rsidRPr="00FF01A6">
              <w:rPr>
                <w:rFonts w:ascii="Times New Roman" w:hAnsi="Times New Roman"/>
                <w:color w:val="000000"/>
              </w:rPr>
              <w:t xml:space="preserve">o zmianie ustawy – Kodeks postępowania karnego </w:t>
            </w:r>
            <w:r w:rsidR="00DB3CF8">
              <w:rPr>
                <w:rFonts w:ascii="Times New Roman" w:hAnsi="Times New Roman"/>
                <w:color w:val="000000"/>
              </w:rPr>
              <w:t>oraz niektórych innych ustaw</w:t>
            </w:r>
            <w:r w:rsidR="0040273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C46529" w14:textId="4683DC5B" w:rsidR="006A701A" w:rsidRPr="008B4FE6" w:rsidRDefault="006A701A" w:rsidP="009004D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0369AB8B" w14:textId="27557161" w:rsidR="006A701A" w:rsidRPr="00945CD4" w:rsidRDefault="009E49C6" w:rsidP="009004D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Sprawiedliwości</w:t>
            </w:r>
            <w:r w:rsidR="00945CD4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7E69837" w14:textId="77777777" w:rsidR="00CB4111" w:rsidRDefault="00CB4111" w:rsidP="009004D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46A299B" w14:textId="77777777" w:rsidR="001B3460" w:rsidRPr="00642825" w:rsidRDefault="001B3460" w:rsidP="009004D2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67CAFEEA" w14:textId="540105BE" w:rsidR="00A70BA6" w:rsidRPr="0063060B" w:rsidRDefault="00151F85" w:rsidP="009004D2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Arkadiusz Myrcha, </w:t>
            </w:r>
            <w:r w:rsidR="006905E8" w:rsidRPr="006905E8">
              <w:rPr>
                <w:rFonts w:ascii="Times New Roman" w:hAnsi="Times New Roman"/>
                <w:sz w:val="21"/>
                <w:szCs w:val="21"/>
              </w:rPr>
              <w:t>Sekretarz Stanu w Ministerstwie Sprawiedliwości</w:t>
            </w:r>
            <w:r w:rsidR="0089192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71A24E84" w14:textId="77777777" w:rsidR="006A701A" w:rsidRPr="008B4FE6" w:rsidRDefault="006A701A" w:rsidP="009004D2">
            <w:pPr>
              <w:tabs>
                <w:tab w:val="left" w:pos="5115"/>
              </w:tabs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19A0D686" w14:textId="752ED37D" w:rsidR="00CA4209" w:rsidRPr="00A470EC" w:rsidRDefault="00CA4209" w:rsidP="00CA4209">
            <w:pPr>
              <w:spacing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o</w:t>
            </w:r>
            <w:r w:rsidRPr="00A470EC">
              <w:rPr>
                <w:rFonts w:ascii="Times New Roman" w:hAnsi="Times New Roman"/>
                <w:color w:val="000000"/>
                <w:u w:val="single"/>
              </w:rPr>
              <w:t>piekun legislacyjny:</w:t>
            </w:r>
          </w:p>
          <w:p w14:paraId="4A528B07" w14:textId="778C01A2" w:rsidR="00CA4209" w:rsidRDefault="00CA4209" w:rsidP="00CA4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Monika Walewska, Zastępca Dyrektora Departamentu Legislacyjnego</w:t>
            </w:r>
            <w:r w:rsidR="004F75F9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3452E0F" w14:textId="0D9FFE74" w:rsidR="00CA4209" w:rsidRPr="004F75F9" w:rsidRDefault="00CA4209" w:rsidP="00CA420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email: </w:t>
            </w:r>
            <w:hyperlink r:id="rId8" w:history="1">
              <w:r w:rsidR="004F75F9" w:rsidRPr="00121E04">
                <w:rPr>
                  <w:rStyle w:val="Hipercze"/>
                  <w:rFonts w:ascii="Times New Roman" w:hAnsi="Times New Roman"/>
                </w:rPr>
                <w:t>sekretariat.dl@ms.gov.pl</w:t>
              </w:r>
            </w:hyperlink>
            <w:r w:rsidRPr="00CA420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tel. 22 52 12 764</w:t>
            </w:r>
          </w:p>
          <w:p w14:paraId="2C2B00A4" w14:textId="77777777" w:rsidR="00CA4209" w:rsidRPr="00CA4209" w:rsidRDefault="00CA4209" w:rsidP="00CA4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4209">
              <w:rPr>
                <w:rFonts w:ascii="Times New Roman" w:hAnsi="Times New Roman"/>
                <w:color w:val="000000"/>
              </w:rPr>
              <w:t>Beata Woźniak Tuszyńska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CA4209">
              <w:rPr>
                <w:rFonts w:ascii="Times New Roman" w:hAnsi="Times New Roman"/>
                <w:color w:val="000000"/>
              </w:rPr>
              <w:t>Główny Specjalista - Prokurator</w:t>
            </w:r>
          </w:p>
          <w:p w14:paraId="3C35D615" w14:textId="4DF15386" w:rsidR="00CA4209" w:rsidRPr="00CA4209" w:rsidRDefault="00CA4209" w:rsidP="00CA4209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  <w:r w:rsidRPr="00CA4209">
              <w:rPr>
                <w:rFonts w:ascii="Times New Roman" w:hAnsi="Times New Roman"/>
                <w:color w:val="000000"/>
              </w:rPr>
              <w:t>mail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hyperlink r:id="rId9" w:history="1">
              <w:r w:rsidR="004F75F9" w:rsidRPr="00121E04">
                <w:rPr>
                  <w:rStyle w:val="Hipercze"/>
                  <w:rFonts w:ascii="Times New Roman" w:hAnsi="Times New Roman"/>
                </w:rPr>
                <w:t>Beata.Wozniak-Tuszynska@ms.gov.pl</w:t>
              </w:r>
            </w:hyperlink>
            <w:r w:rsidR="004F75F9">
              <w:rPr>
                <w:rFonts w:ascii="Times New Roman" w:hAnsi="Times New Roman"/>
                <w:color w:val="000000"/>
              </w:rPr>
              <w:t>;</w:t>
            </w:r>
            <w:r w:rsidRPr="00CA420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CA4209">
              <w:rPr>
                <w:rFonts w:ascii="Times New Roman" w:hAnsi="Times New Roman"/>
                <w:color w:val="000000"/>
              </w:rPr>
              <w:t>el. 22 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420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4209">
              <w:rPr>
                <w:rFonts w:ascii="Times New Roman" w:hAnsi="Times New Roman"/>
                <w:color w:val="000000"/>
              </w:rPr>
              <w:t>343</w:t>
            </w:r>
          </w:p>
          <w:p w14:paraId="493088FE" w14:textId="45115B63" w:rsidR="004D7197" w:rsidRPr="00A470EC" w:rsidRDefault="00CA4209" w:rsidP="00CA4209">
            <w:pPr>
              <w:spacing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o</w:t>
            </w:r>
            <w:r w:rsidR="004D7197" w:rsidRPr="00A470EC">
              <w:rPr>
                <w:rFonts w:ascii="Times New Roman" w:hAnsi="Times New Roman"/>
                <w:color w:val="000000"/>
                <w:u w:val="single"/>
              </w:rPr>
              <w:t>piekun merytoryczny:</w:t>
            </w:r>
          </w:p>
          <w:p w14:paraId="7FA5D816" w14:textId="5D1277DF" w:rsidR="00A470EC" w:rsidRPr="004D7197" w:rsidRDefault="004D7197" w:rsidP="00A470E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Michał Hara, </w:t>
            </w:r>
            <w:r w:rsidRPr="004D7197">
              <w:rPr>
                <w:rFonts w:ascii="Times New Roman" w:hAnsi="Times New Roman"/>
                <w:color w:val="000000"/>
              </w:rPr>
              <w:t>Dyrektor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D7197">
              <w:rPr>
                <w:rFonts w:ascii="Times New Roman" w:hAnsi="Times New Roman"/>
                <w:color w:val="000000"/>
              </w:rPr>
              <w:t>Departament</w:t>
            </w:r>
            <w:r>
              <w:rPr>
                <w:rFonts w:ascii="Times New Roman" w:hAnsi="Times New Roman"/>
                <w:color w:val="000000"/>
              </w:rPr>
              <w:t>u</w:t>
            </w:r>
            <w:r w:rsidRPr="004D7197">
              <w:rPr>
                <w:rFonts w:ascii="Times New Roman" w:hAnsi="Times New Roman"/>
                <w:color w:val="000000"/>
              </w:rPr>
              <w:t xml:space="preserve"> Prawa Karnego</w:t>
            </w:r>
          </w:p>
          <w:p w14:paraId="18549892" w14:textId="3E1E1C0A" w:rsidR="006A701A" w:rsidRPr="004F75F9" w:rsidRDefault="00A470EC" w:rsidP="00CA42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email: </w:t>
            </w:r>
            <w:hyperlink r:id="rId10" w:history="1">
              <w:r w:rsidR="004F75F9" w:rsidRPr="00121E04">
                <w:rPr>
                  <w:rStyle w:val="Hipercze"/>
                  <w:rFonts w:ascii="Times New Roman" w:hAnsi="Times New Roman"/>
                </w:rPr>
                <w:t>sekretariat.dpk@ms.gov.pl</w:t>
              </w:r>
            </w:hyperlink>
            <w:r w:rsidR="00CA4209" w:rsidRPr="00033DDB">
              <w:rPr>
                <w:rFonts w:ascii="Times New Roman" w:hAnsi="Times New Roman"/>
              </w:rPr>
              <w:t xml:space="preserve"> </w:t>
            </w:r>
            <w:r w:rsidR="00CA4209">
              <w:rPr>
                <w:rFonts w:ascii="Times New Roman" w:hAnsi="Times New Roman"/>
                <w:color w:val="000000"/>
              </w:rPr>
              <w:t>t</w:t>
            </w:r>
            <w:r w:rsidR="00CA4209" w:rsidRPr="004D7197">
              <w:rPr>
                <w:rFonts w:ascii="Times New Roman" w:hAnsi="Times New Roman"/>
                <w:color w:val="000000"/>
              </w:rPr>
              <w:t>el. 22 52</w:t>
            </w:r>
            <w:r w:rsidR="00CA4209">
              <w:rPr>
                <w:rFonts w:ascii="Times New Roman" w:hAnsi="Times New Roman"/>
                <w:color w:val="000000"/>
              </w:rPr>
              <w:t xml:space="preserve"> </w:t>
            </w:r>
            <w:r w:rsidR="00CA4209" w:rsidRPr="004D7197">
              <w:rPr>
                <w:rFonts w:ascii="Times New Roman" w:hAnsi="Times New Roman"/>
                <w:color w:val="000000"/>
              </w:rPr>
              <w:t>12</w:t>
            </w:r>
            <w:r w:rsidR="004F75F9">
              <w:rPr>
                <w:rFonts w:ascii="Times New Roman" w:hAnsi="Times New Roman"/>
                <w:color w:val="000000"/>
              </w:rPr>
              <w:t> </w:t>
            </w:r>
            <w:r w:rsidR="00CA4209" w:rsidRPr="004D7197">
              <w:rPr>
                <w:rFonts w:ascii="Times New Roman" w:hAnsi="Times New Roman"/>
                <w:color w:val="000000"/>
              </w:rPr>
              <w:t>645</w:t>
            </w:r>
          </w:p>
          <w:p w14:paraId="10D3FA23" w14:textId="77777777" w:rsidR="004F75F9" w:rsidRDefault="004F75F9" w:rsidP="00CA4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010996B" w14:textId="77777777" w:rsidR="004F75F9" w:rsidRDefault="004F75F9" w:rsidP="004F75F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Agnieszka Tomasiewicz-Celińska</w:t>
            </w:r>
          </w:p>
          <w:p w14:paraId="17DA50FA" w14:textId="77777777" w:rsidR="004F75F9" w:rsidRPr="00EC1E6D" w:rsidRDefault="004F75F9" w:rsidP="004F75F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Naczelnik Wydziału Prawa Karnego - sędzia, Departament Prawa Karnego, t</w:t>
            </w:r>
            <w:r w:rsidRPr="00184CC4">
              <w:rPr>
                <w:rFonts w:ascii="Times New Roman" w:hAnsi="Times New Roman"/>
                <w:color w:val="000000"/>
              </w:rPr>
              <w:t>el. 22 52-12-</w:t>
            </w:r>
            <w:r>
              <w:rPr>
                <w:rFonts w:ascii="Times New Roman" w:hAnsi="Times New Roman"/>
                <w:color w:val="000000"/>
              </w:rPr>
              <w:t xml:space="preserve">756, adres email: </w:t>
            </w:r>
            <w:hyperlink r:id="rId11" w:history="1">
              <w:r w:rsidRPr="00481BDC">
                <w:rPr>
                  <w:rStyle w:val="Hipercze"/>
                  <w:rFonts w:ascii="Times New Roman" w:hAnsi="Times New Roman"/>
                </w:rPr>
                <w:t>Agnieszka.Tomasiewicz-Celinska@ms.gov.pl</w:t>
              </w:r>
            </w:hyperlink>
          </w:p>
          <w:p w14:paraId="77336E33" w14:textId="77777777" w:rsidR="004F75F9" w:rsidRDefault="004F75F9" w:rsidP="00CA4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7C34010" w14:textId="77777777" w:rsidR="004F75F9" w:rsidRPr="00A470EC" w:rsidRDefault="004F75F9" w:rsidP="004F75F9">
            <w:pPr>
              <w:spacing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A470EC">
              <w:rPr>
                <w:rFonts w:ascii="Times New Roman" w:hAnsi="Times New Roman"/>
                <w:color w:val="000000"/>
                <w:u w:val="single"/>
              </w:rPr>
              <w:t xml:space="preserve">Opiekun merytoryczny: </w:t>
            </w:r>
          </w:p>
          <w:p w14:paraId="687D66C6" w14:textId="77777777" w:rsidR="004F75F9" w:rsidRDefault="004F75F9" w:rsidP="004F75F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Przemysław Domagała Zastępca Dyrektora Departamentu Współpracy Międzynarodowej i Praw Człowieka </w:t>
            </w:r>
            <w:hyperlink r:id="rId12" w:history="1">
              <w:r w:rsidRPr="00FF0F9A">
                <w:rPr>
                  <w:rStyle w:val="Hipercze"/>
                  <w:rFonts w:ascii="Times New Roman" w:hAnsi="Times New Roman"/>
                </w:rPr>
                <w:t>Przemyslaw.Domagala@ms.gov.pl</w:t>
              </w:r>
            </w:hyperlink>
          </w:p>
          <w:p w14:paraId="7AAB134A" w14:textId="2DDCA647" w:rsidR="004F75F9" w:rsidRPr="008B4FE6" w:rsidRDefault="004F75F9" w:rsidP="004F75F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tel. 22 23-90-870</w:t>
            </w:r>
          </w:p>
        </w:tc>
        <w:tc>
          <w:tcPr>
            <w:tcW w:w="3883" w:type="dxa"/>
            <w:gridSpan w:val="7"/>
            <w:shd w:val="clear" w:color="auto" w:fill="FFFFFF"/>
          </w:tcPr>
          <w:p w14:paraId="100FE91C" w14:textId="77BD707C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8E6D0C">
              <w:rPr>
                <w:rFonts w:ascii="Times New Roman" w:hAnsi="Times New Roman"/>
                <w:sz w:val="21"/>
                <w:szCs w:val="21"/>
              </w:rPr>
              <w:t>30</w:t>
            </w:r>
            <w:r w:rsidR="00DB2959">
              <w:rPr>
                <w:rFonts w:ascii="Times New Roman" w:hAnsi="Times New Roman"/>
                <w:sz w:val="21"/>
                <w:szCs w:val="21"/>
              </w:rPr>
              <w:t>.</w:t>
            </w:r>
            <w:r w:rsidR="001C3A4A">
              <w:rPr>
                <w:rFonts w:ascii="Times New Roman" w:hAnsi="Times New Roman"/>
                <w:sz w:val="21"/>
                <w:szCs w:val="21"/>
              </w:rPr>
              <w:t>1</w:t>
            </w:r>
            <w:r w:rsidR="00581471">
              <w:rPr>
                <w:rFonts w:ascii="Times New Roman" w:hAnsi="Times New Roman"/>
                <w:sz w:val="21"/>
                <w:szCs w:val="21"/>
              </w:rPr>
              <w:t>2</w:t>
            </w:r>
            <w:r w:rsidR="00DB2959">
              <w:rPr>
                <w:rFonts w:ascii="Times New Roman" w:hAnsi="Times New Roman"/>
                <w:sz w:val="21"/>
                <w:szCs w:val="21"/>
              </w:rPr>
              <w:t>.</w:t>
            </w:r>
            <w:r w:rsidR="00813206">
              <w:rPr>
                <w:rFonts w:ascii="Times New Roman" w:hAnsi="Times New Roman"/>
                <w:sz w:val="21"/>
                <w:szCs w:val="21"/>
              </w:rPr>
              <w:t>2024</w:t>
            </w:r>
            <w:r w:rsidR="008D45F9">
              <w:rPr>
                <w:rFonts w:ascii="Times New Roman" w:hAnsi="Times New Roman"/>
                <w:sz w:val="21"/>
                <w:szCs w:val="21"/>
              </w:rPr>
              <w:t xml:space="preserve"> r.</w:t>
            </w:r>
          </w:p>
          <w:p w14:paraId="4D6E87F3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46258A2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/>
          <w:p w14:paraId="28D42778" w14:textId="4367E041" w:rsidR="00BD7C1D" w:rsidRDefault="00FF01A6" w:rsidP="00282329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Inicjatywa własna</w:t>
            </w:r>
          </w:p>
          <w:p w14:paraId="00F6C637" w14:textId="3065B33B" w:rsidR="00580ABC" w:rsidRDefault="006A701A" w:rsidP="00580ABC">
            <w:pPr>
              <w:spacing w:before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39456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8C54302" w14:textId="39A552A3" w:rsidR="00580ABC" w:rsidRPr="008B4FE6" w:rsidRDefault="00070D17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UD143</w:t>
            </w:r>
          </w:p>
          <w:p w14:paraId="1A7E00F1" w14:textId="57192A86" w:rsidR="006A701A" w:rsidRPr="008B4FE6" w:rsidRDefault="006A701A" w:rsidP="00580ABC">
            <w:pPr>
              <w:spacing w:before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2B9675DE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0D986CE6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6A6A4081" w14:textId="77777777" w:rsidTr="00283E2D">
        <w:trPr>
          <w:trHeight w:val="333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463495F9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6A701A" w:rsidRPr="008B4FE6" w14:paraId="7EF93749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FFFFFF"/>
          </w:tcPr>
          <w:p w14:paraId="317E93E1" w14:textId="501344A5" w:rsidR="005D6C84" w:rsidRDefault="005D6C84" w:rsidP="003C2D37">
            <w:pPr>
              <w:tabs>
                <w:tab w:val="left" w:pos="3135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5D6C84">
              <w:rPr>
                <w:rFonts w:ascii="Times New Roman" w:hAnsi="Times New Roman"/>
                <w:b/>
                <w:bCs/>
              </w:rPr>
              <w:t xml:space="preserve">Wnoszenie pism do sądu za pośrednictwem kont w </w:t>
            </w:r>
            <w:r w:rsidR="00106E8E">
              <w:rPr>
                <w:rFonts w:ascii="Times New Roman" w:hAnsi="Times New Roman"/>
                <w:b/>
                <w:bCs/>
              </w:rPr>
              <w:t>p</w:t>
            </w:r>
            <w:r w:rsidRPr="005D6C84">
              <w:rPr>
                <w:rFonts w:ascii="Times New Roman" w:hAnsi="Times New Roman"/>
                <w:b/>
                <w:bCs/>
              </w:rPr>
              <w:t xml:space="preserve">ortalu </w:t>
            </w:r>
            <w:r w:rsidR="00106E8E">
              <w:rPr>
                <w:rFonts w:ascii="Times New Roman" w:hAnsi="Times New Roman"/>
                <w:b/>
                <w:bCs/>
              </w:rPr>
              <w:t>i</w:t>
            </w:r>
            <w:r w:rsidRPr="005D6C84">
              <w:rPr>
                <w:rFonts w:ascii="Times New Roman" w:hAnsi="Times New Roman"/>
                <w:b/>
                <w:bCs/>
              </w:rPr>
              <w:t>nformacyjnym</w:t>
            </w:r>
          </w:p>
          <w:p w14:paraId="0A0BCA49" w14:textId="5010F102" w:rsidR="00054E5C" w:rsidRPr="00710616" w:rsidRDefault="00110109" w:rsidP="003C2D37">
            <w:pPr>
              <w:tabs>
                <w:tab w:val="left" w:pos="31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marca 2024 </w:t>
            </w:r>
            <w:r w:rsidRPr="00110109">
              <w:rPr>
                <w:rFonts w:ascii="Times New Roman" w:hAnsi="Times New Roman"/>
              </w:rPr>
              <w:t>wszedł w życie art. 133a ustawy z dnia 6 czerwca 1997 r. –  Kodeks postępowania karnego (Dz. U. z 2024 r. poz. 37</w:t>
            </w:r>
            <w:r w:rsidR="00070D17">
              <w:rPr>
                <w:rFonts w:ascii="Times New Roman" w:hAnsi="Times New Roman"/>
              </w:rPr>
              <w:t>, 1222 i 1248</w:t>
            </w:r>
            <w:r w:rsidRPr="00110109">
              <w:rPr>
                <w:rFonts w:ascii="Times New Roman" w:hAnsi="Times New Roman"/>
              </w:rPr>
              <w:t>), dalej jako „k.p.k.”</w:t>
            </w:r>
            <w:r>
              <w:rPr>
                <w:rFonts w:ascii="Times New Roman" w:hAnsi="Times New Roman"/>
              </w:rPr>
              <w:t xml:space="preserve">. </w:t>
            </w:r>
            <w:r w:rsidRPr="00710616">
              <w:rPr>
                <w:rFonts w:ascii="Times New Roman" w:hAnsi="Times New Roman"/>
              </w:rPr>
              <w:t xml:space="preserve">Umożliwiło to doręczanie pism procesowych w postępowaniach karnych i wykroczeniowych za pośrednictwem </w:t>
            </w:r>
            <w:r w:rsidR="00106E8E" w:rsidRPr="00710616">
              <w:rPr>
                <w:rFonts w:ascii="Times New Roman" w:hAnsi="Times New Roman"/>
              </w:rPr>
              <w:t>p</w:t>
            </w:r>
            <w:r w:rsidR="00D37398" w:rsidRPr="00710616">
              <w:rPr>
                <w:rFonts w:ascii="Times New Roman" w:hAnsi="Times New Roman"/>
              </w:rPr>
              <w:t xml:space="preserve">ortalu </w:t>
            </w:r>
            <w:r w:rsidR="00106E8E" w:rsidRPr="00710616">
              <w:rPr>
                <w:rFonts w:ascii="Times New Roman" w:hAnsi="Times New Roman"/>
              </w:rPr>
              <w:t>i</w:t>
            </w:r>
            <w:r w:rsidR="00D37398" w:rsidRPr="00710616">
              <w:rPr>
                <w:rFonts w:ascii="Times New Roman" w:hAnsi="Times New Roman"/>
              </w:rPr>
              <w:t>nformacyjnego</w:t>
            </w:r>
            <w:r w:rsidRPr="00710616">
              <w:rPr>
                <w:rFonts w:ascii="Times New Roman" w:hAnsi="Times New Roman"/>
              </w:rPr>
              <w:t xml:space="preserve"> w sądach. </w:t>
            </w:r>
            <w:r w:rsidR="005D6C84" w:rsidRPr="00710616">
              <w:rPr>
                <w:rFonts w:ascii="Times New Roman" w:hAnsi="Times New Roman"/>
              </w:rPr>
              <w:t>Aktualnie r</w:t>
            </w:r>
            <w:r w:rsidR="00AA43F4" w:rsidRPr="00710616">
              <w:rPr>
                <w:rFonts w:ascii="Times New Roman" w:hAnsi="Times New Roman"/>
              </w:rPr>
              <w:t>ozwiązanie to o</w:t>
            </w:r>
            <w:r w:rsidRPr="00710616">
              <w:rPr>
                <w:rFonts w:ascii="Times New Roman" w:hAnsi="Times New Roman"/>
              </w:rPr>
              <w:t xml:space="preserve">granicza się jedynie do doręczeń pism prokuratorowi, Prokuratorii Generalnej, obrońcy i pełnomocnikowi będącemu adwokatem lub radcą prawnym. Istnieją jednak techniczne możliwości komunikacji dwustronnej, to znaczy również </w:t>
            </w:r>
            <w:r w:rsidR="007F421E" w:rsidRPr="00710616">
              <w:rPr>
                <w:rFonts w:ascii="Times New Roman" w:hAnsi="Times New Roman"/>
              </w:rPr>
              <w:t xml:space="preserve">składania pism do sądu za pośrednictwem </w:t>
            </w:r>
            <w:r w:rsidR="00106E8E" w:rsidRPr="00710616">
              <w:rPr>
                <w:rFonts w:ascii="Times New Roman" w:hAnsi="Times New Roman"/>
              </w:rPr>
              <w:t>p</w:t>
            </w:r>
            <w:r w:rsidR="00D37398" w:rsidRPr="00710616">
              <w:rPr>
                <w:rFonts w:ascii="Times New Roman" w:hAnsi="Times New Roman"/>
              </w:rPr>
              <w:t xml:space="preserve">ortalu </w:t>
            </w:r>
            <w:r w:rsidR="00106E8E" w:rsidRPr="00710616">
              <w:rPr>
                <w:rFonts w:ascii="Times New Roman" w:hAnsi="Times New Roman"/>
              </w:rPr>
              <w:t>i</w:t>
            </w:r>
            <w:r w:rsidR="00D37398" w:rsidRPr="00710616">
              <w:rPr>
                <w:rFonts w:ascii="Times New Roman" w:hAnsi="Times New Roman"/>
              </w:rPr>
              <w:t>nformacyjnego</w:t>
            </w:r>
            <w:r w:rsidR="003C2D37" w:rsidRPr="00710616">
              <w:rPr>
                <w:rFonts w:ascii="Times New Roman" w:hAnsi="Times New Roman"/>
              </w:rPr>
              <w:t>, co w konsekwencji:</w:t>
            </w:r>
          </w:p>
          <w:p w14:paraId="722B3572" w14:textId="77777777" w:rsidR="003C2D37" w:rsidRDefault="003C2D37" w:rsidP="0001645A">
            <w:pPr>
              <w:pStyle w:val="Akapitzlist"/>
              <w:numPr>
                <w:ilvl w:val="0"/>
                <w:numId w:val="28"/>
              </w:num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7F421E" w:rsidRPr="003C2D37">
              <w:rPr>
                <w:rFonts w:ascii="Times New Roman" w:hAnsi="Times New Roman"/>
              </w:rPr>
              <w:t xml:space="preserve">łatwiałoby wykonywanie czynności procesowych i obniżało ich koszty. </w:t>
            </w:r>
            <w:r w:rsidR="00CA6D44" w:rsidRPr="003C2D37">
              <w:rPr>
                <w:rFonts w:ascii="Times New Roman" w:hAnsi="Times New Roman"/>
              </w:rPr>
              <w:t>Obecnie koszty doręczeń wezwań i innych pism stanowią najwyższą pozycję ogólnej kwoty wydatków sądów powszechnych związanych z prowadzonymi postępowaniami sądowymi i w roku 2023 stanowiły 35,38% wydatków (tj. 466 974 tys. zł), natomiast w pierwszym półroczu 2024 roku stanowiły 31,28% tych wydatków (tj. kwotę 226 210 tys. zł)</w:t>
            </w:r>
            <w:r>
              <w:rPr>
                <w:rFonts w:ascii="Times New Roman" w:hAnsi="Times New Roman"/>
              </w:rPr>
              <w:t>;</w:t>
            </w:r>
          </w:p>
          <w:p w14:paraId="409F6233" w14:textId="32437D4C" w:rsidR="003C2D37" w:rsidRDefault="003C2D37" w:rsidP="0001645A">
            <w:pPr>
              <w:pStyle w:val="Akapitzlist"/>
              <w:numPr>
                <w:ilvl w:val="0"/>
                <w:numId w:val="28"/>
              </w:num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F421E" w:rsidRPr="003C2D37">
              <w:rPr>
                <w:rFonts w:ascii="Times New Roman" w:hAnsi="Times New Roman"/>
              </w:rPr>
              <w:t>rzyspieszyłoby postępowania, gdyż pismo już w chwili wniesienia byłoby w sądzie automatycznie dołączone do sprawy, której dotyczy, bez konieczności przekazywania przez biuro podawcze do właściwego wydziału</w:t>
            </w:r>
            <w:r>
              <w:rPr>
                <w:rFonts w:ascii="Times New Roman" w:hAnsi="Times New Roman"/>
              </w:rPr>
              <w:t>;</w:t>
            </w:r>
          </w:p>
          <w:p w14:paraId="6391F9F1" w14:textId="2E3E535F" w:rsidR="007F421E" w:rsidRPr="003C2D37" w:rsidRDefault="003C2D37" w:rsidP="0001645A">
            <w:pPr>
              <w:pStyle w:val="Akapitzlist"/>
              <w:numPr>
                <w:ilvl w:val="0"/>
                <w:numId w:val="28"/>
              </w:num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F421E" w:rsidRPr="003C2D37">
              <w:rPr>
                <w:rFonts w:ascii="Times New Roman" w:hAnsi="Times New Roman"/>
              </w:rPr>
              <w:t>dciąży</w:t>
            </w:r>
            <w:r>
              <w:rPr>
                <w:rFonts w:ascii="Times New Roman" w:hAnsi="Times New Roman"/>
              </w:rPr>
              <w:t>łoby</w:t>
            </w:r>
            <w:r w:rsidR="007F421E" w:rsidRPr="003C2D37">
              <w:rPr>
                <w:rFonts w:ascii="Times New Roman" w:hAnsi="Times New Roman"/>
              </w:rPr>
              <w:t xml:space="preserve"> pracowników sekretariatów sądowych</w:t>
            </w:r>
            <w:r w:rsidR="002B523C" w:rsidRPr="003C2D37">
              <w:rPr>
                <w:rFonts w:ascii="Times New Roman" w:hAnsi="Times New Roman"/>
              </w:rPr>
              <w:t>, jak również strony, które nie będą musiały udawać się do urzędów pocztowych, ani do biur podawczych sądów.</w:t>
            </w:r>
            <w:r w:rsidR="00307E39" w:rsidRPr="003C2D37">
              <w:rPr>
                <w:rFonts w:ascii="Times New Roman" w:hAnsi="Times New Roman"/>
              </w:rPr>
              <w:t xml:space="preserve"> Jest to o tyle istotne, że średni czas trwania postępowań sądowych w I instancji rośnie i od 2014 r. wzrósł średnio o 1,3 miesiąca.</w:t>
            </w:r>
          </w:p>
          <w:tbl>
            <w:tblPr>
              <w:tblStyle w:val="Tabela-Siatka"/>
              <w:tblW w:w="0" w:type="auto"/>
              <w:tblInd w:w="769" w:type="dxa"/>
              <w:tblLook w:val="04A0" w:firstRow="1" w:lastRow="0" w:firstColumn="1" w:lastColumn="0" w:noHBand="0" w:noVBand="1"/>
            </w:tblPr>
            <w:tblGrid>
              <w:gridCol w:w="3350"/>
              <w:gridCol w:w="3351"/>
            </w:tblGrid>
            <w:tr w:rsidR="00307E39" w14:paraId="3A0B7561" w14:textId="77777777" w:rsidTr="00254139">
              <w:trPr>
                <w:trHeight w:val="333"/>
              </w:trPr>
              <w:tc>
                <w:tcPr>
                  <w:tcW w:w="6701" w:type="dxa"/>
                  <w:gridSpan w:val="2"/>
                </w:tcPr>
                <w:p w14:paraId="01B93AA5" w14:textId="1978A9F2" w:rsidR="00307E39" w:rsidRDefault="00307E39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</w:t>
                  </w:r>
                  <w:r w:rsidRPr="00307E39">
                    <w:rPr>
                      <w:rFonts w:ascii="Times New Roman" w:hAnsi="Times New Roman"/>
                    </w:rPr>
                    <w:t>zas trwania postępowania sądowego od dnia pierwszej rejestracji do dnia uprawomocnienia się sprawy w I instancji</w:t>
                  </w:r>
                </w:p>
              </w:tc>
            </w:tr>
            <w:tr w:rsidR="00307E39" w14:paraId="46A3CDD1" w14:textId="77777777" w:rsidTr="00254139">
              <w:trPr>
                <w:trHeight w:val="563"/>
              </w:trPr>
              <w:tc>
                <w:tcPr>
                  <w:tcW w:w="3350" w:type="dxa"/>
                </w:tcPr>
                <w:p w14:paraId="64A2CEDF" w14:textId="65AC8285" w:rsidR="00307E39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Rok</w:t>
                  </w:r>
                </w:p>
              </w:tc>
              <w:tc>
                <w:tcPr>
                  <w:tcW w:w="3351" w:type="dxa"/>
                </w:tcPr>
                <w:p w14:paraId="54E7408A" w14:textId="63DD26C7" w:rsidR="00307E39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Średni czas trwania postępowania sądowego (w miesiącach)</w:t>
                  </w:r>
                </w:p>
              </w:tc>
            </w:tr>
            <w:tr w:rsidR="0092558D" w14:paraId="2B161B48" w14:textId="77777777" w:rsidTr="00254139">
              <w:trPr>
                <w:trHeight w:val="326"/>
              </w:trPr>
              <w:tc>
                <w:tcPr>
                  <w:tcW w:w="3350" w:type="dxa"/>
                </w:tcPr>
                <w:p w14:paraId="151BA30B" w14:textId="03982804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3351" w:type="dxa"/>
                </w:tcPr>
                <w:p w14:paraId="604AA7D9" w14:textId="7F43CA49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4,6</w:t>
                  </w:r>
                </w:p>
              </w:tc>
            </w:tr>
            <w:tr w:rsidR="0092558D" w14:paraId="74FB6B9B" w14:textId="77777777" w:rsidTr="00254139">
              <w:trPr>
                <w:trHeight w:val="333"/>
              </w:trPr>
              <w:tc>
                <w:tcPr>
                  <w:tcW w:w="3350" w:type="dxa"/>
                </w:tcPr>
                <w:p w14:paraId="0A215EC5" w14:textId="66B4527F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3351" w:type="dxa"/>
                </w:tcPr>
                <w:p w14:paraId="3D3D553A" w14:textId="2ECDB545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4,2</w:t>
                  </w:r>
                </w:p>
              </w:tc>
            </w:tr>
            <w:tr w:rsidR="0092558D" w14:paraId="5B43DE28" w14:textId="77777777" w:rsidTr="00254139">
              <w:trPr>
                <w:trHeight w:val="333"/>
              </w:trPr>
              <w:tc>
                <w:tcPr>
                  <w:tcW w:w="3350" w:type="dxa"/>
                </w:tcPr>
                <w:p w14:paraId="6C5C1BD5" w14:textId="24AFD775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3351" w:type="dxa"/>
                </w:tcPr>
                <w:p w14:paraId="24A4A468" w14:textId="08E9709C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4,7</w:t>
                  </w:r>
                </w:p>
              </w:tc>
            </w:tr>
            <w:tr w:rsidR="0092558D" w14:paraId="4055E053" w14:textId="77777777" w:rsidTr="00254139">
              <w:trPr>
                <w:trHeight w:val="326"/>
              </w:trPr>
              <w:tc>
                <w:tcPr>
                  <w:tcW w:w="3350" w:type="dxa"/>
                </w:tcPr>
                <w:p w14:paraId="55AE7D18" w14:textId="7E91C09F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3351" w:type="dxa"/>
                </w:tcPr>
                <w:p w14:paraId="2201F662" w14:textId="38979D8E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5,5</w:t>
                  </w:r>
                </w:p>
              </w:tc>
            </w:tr>
            <w:tr w:rsidR="0092558D" w14:paraId="097C458C" w14:textId="77777777" w:rsidTr="00254139">
              <w:trPr>
                <w:trHeight w:val="333"/>
              </w:trPr>
              <w:tc>
                <w:tcPr>
                  <w:tcW w:w="3350" w:type="dxa"/>
                </w:tcPr>
                <w:p w14:paraId="398B9802" w14:textId="2B842BED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lastRenderedPageBreak/>
                    <w:t>2018</w:t>
                  </w:r>
                </w:p>
              </w:tc>
              <w:tc>
                <w:tcPr>
                  <w:tcW w:w="3351" w:type="dxa"/>
                </w:tcPr>
                <w:p w14:paraId="3B5365FC" w14:textId="0895E6B0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5,4</w:t>
                  </w:r>
                </w:p>
              </w:tc>
            </w:tr>
            <w:tr w:rsidR="0092558D" w14:paraId="5D4423AE" w14:textId="77777777" w:rsidTr="00254139">
              <w:trPr>
                <w:trHeight w:val="326"/>
              </w:trPr>
              <w:tc>
                <w:tcPr>
                  <w:tcW w:w="3350" w:type="dxa"/>
                </w:tcPr>
                <w:p w14:paraId="7F84CCE5" w14:textId="79BF9B44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3351" w:type="dxa"/>
                </w:tcPr>
                <w:p w14:paraId="24B56082" w14:textId="46B47BC9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5,8</w:t>
                  </w:r>
                </w:p>
              </w:tc>
            </w:tr>
            <w:tr w:rsidR="0092558D" w14:paraId="7DD1DDE3" w14:textId="77777777" w:rsidTr="00254139">
              <w:trPr>
                <w:trHeight w:val="333"/>
              </w:trPr>
              <w:tc>
                <w:tcPr>
                  <w:tcW w:w="3350" w:type="dxa"/>
                </w:tcPr>
                <w:p w14:paraId="1A19BCDB" w14:textId="14FDA012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3351" w:type="dxa"/>
                </w:tcPr>
                <w:p w14:paraId="686ECD96" w14:textId="60F2820B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92558D" w14:paraId="45A3C304" w14:textId="77777777" w:rsidTr="00254139">
              <w:trPr>
                <w:trHeight w:val="333"/>
              </w:trPr>
              <w:tc>
                <w:tcPr>
                  <w:tcW w:w="3350" w:type="dxa"/>
                </w:tcPr>
                <w:p w14:paraId="773A4AF7" w14:textId="5273BFFA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3351" w:type="dxa"/>
                </w:tcPr>
                <w:p w14:paraId="125AEF87" w14:textId="3D98CDCF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7,1</w:t>
                  </w:r>
                </w:p>
              </w:tc>
            </w:tr>
            <w:tr w:rsidR="0092558D" w14:paraId="20252F41" w14:textId="77777777" w:rsidTr="00254139">
              <w:trPr>
                <w:trHeight w:val="326"/>
              </w:trPr>
              <w:tc>
                <w:tcPr>
                  <w:tcW w:w="3350" w:type="dxa"/>
                </w:tcPr>
                <w:p w14:paraId="367D5A67" w14:textId="2A1C5EEF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3351" w:type="dxa"/>
                </w:tcPr>
                <w:p w14:paraId="0201F51E" w14:textId="1D72BD69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5,9</w:t>
                  </w:r>
                </w:p>
              </w:tc>
            </w:tr>
            <w:tr w:rsidR="0092558D" w14:paraId="2D37799F" w14:textId="77777777" w:rsidTr="00254139">
              <w:trPr>
                <w:trHeight w:val="333"/>
              </w:trPr>
              <w:tc>
                <w:tcPr>
                  <w:tcW w:w="3350" w:type="dxa"/>
                </w:tcPr>
                <w:p w14:paraId="4D92A2A9" w14:textId="55D91CAA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3351" w:type="dxa"/>
                </w:tcPr>
                <w:p w14:paraId="0D771A45" w14:textId="052D9674" w:rsidR="0092558D" w:rsidRDefault="0092558D" w:rsidP="00254139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92558D">
                    <w:rPr>
                      <w:rFonts w:ascii="Times New Roman" w:hAnsi="Times New Roman"/>
                    </w:rPr>
                    <w:t>5,9</w:t>
                  </w:r>
                </w:p>
              </w:tc>
            </w:tr>
          </w:tbl>
          <w:p w14:paraId="06EE69B1" w14:textId="5C08498F" w:rsidR="000C68EF" w:rsidRDefault="000C68EF" w:rsidP="0001645A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celu zagwarantowania bezpieczeństwa i należytego dostosowania systemów informatycznych do składania pism za pośrednictwem </w:t>
            </w:r>
            <w:r w:rsidR="00106E8E">
              <w:rPr>
                <w:rFonts w:ascii="Times New Roman" w:hAnsi="Times New Roman"/>
              </w:rPr>
              <w:t>p</w:t>
            </w:r>
            <w:r w:rsidR="00D37398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="00D37398">
              <w:rPr>
                <w:rFonts w:ascii="Times New Roman" w:hAnsi="Times New Roman"/>
              </w:rPr>
              <w:t>nformacyjnego</w:t>
            </w:r>
            <w:r>
              <w:rPr>
                <w:rFonts w:ascii="Times New Roman" w:hAnsi="Times New Roman"/>
              </w:rPr>
              <w:t>, należy wprowadzać to rozwiązanie w sposób stopniowy z ograniczeniami podmiotowymi i przedmiotowymi.</w:t>
            </w:r>
          </w:p>
          <w:p w14:paraId="5A90898B" w14:textId="5FDE70C1" w:rsidR="007C025A" w:rsidRDefault="007C025A" w:rsidP="0001645A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Elektronizacja obrotu prawnego powinna nastąpić również w sprawach karnych ze stosunków międzynarodowych. Korespondencja w obrocie międzynarodowym już jest prowadzona pocztą elektroniczną i istnieją instrumenty prawne na to pozwalając</w:t>
            </w:r>
            <w:r w:rsidR="001F2781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, na przykład </w:t>
            </w:r>
            <w:r w:rsidRPr="007C025A">
              <w:rPr>
                <w:rFonts w:ascii="Times New Roman" w:hAnsi="Times New Roman"/>
              </w:rPr>
              <w:t>art. 10 ust. 4 Decyzji Ramowej o ENA (implementowany w art. 607d § 4 k.p.k.) lub art. 7 Umowy między Rzecząpospolitą Polską a Zjednoczonymi Emiratami Arabskimi o współpracy prawnej w sprawach karnych, podpisanej w Abu Dhabi dnia 22 września 2022 r.</w:t>
            </w:r>
            <w:r w:rsidR="001F2781">
              <w:rPr>
                <w:rFonts w:ascii="Times New Roman" w:hAnsi="Times New Roman"/>
              </w:rPr>
              <w:t xml:space="preserve"> Rozwiązania te mogłyby został rozszerzone także na inne kraje, określone w rozporządzeniu Ministra Sprawiedliwości.</w:t>
            </w:r>
          </w:p>
          <w:p w14:paraId="0F5FD6E3" w14:textId="15FD9D77" w:rsidR="008A3E84" w:rsidRDefault="008A3E84" w:rsidP="0001645A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8A3E84">
              <w:rPr>
                <w:rFonts w:ascii="Times New Roman" w:hAnsi="Times New Roman"/>
              </w:rPr>
              <w:t xml:space="preserve">Zgodnie z obowiązującym art. 133a § 3 k.p.k. w przypadku braku dokumentu potwierdzającego doręczenie pisma, doręczenie to uznaje się za skuteczne po upływie 14 dni od dnia umieszczenia treści tego pisma w </w:t>
            </w:r>
            <w:r w:rsidR="00106E8E">
              <w:rPr>
                <w:rFonts w:ascii="Times New Roman" w:hAnsi="Times New Roman"/>
              </w:rPr>
              <w:t>p</w:t>
            </w:r>
            <w:r w:rsidRPr="008A3E84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Pr="008A3E84">
              <w:rPr>
                <w:rFonts w:ascii="Times New Roman" w:hAnsi="Times New Roman"/>
              </w:rPr>
              <w:t xml:space="preserve">nformacyjnym, a więc z kolejnym (piętnastym) dniem, następującym po upływie czternastu dni od dnia złożenia pisma. Jest to niespójne </w:t>
            </w:r>
            <w:r w:rsidR="000D1FC8">
              <w:rPr>
                <w:rFonts w:ascii="Times New Roman" w:hAnsi="Times New Roman"/>
              </w:rPr>
              <w:br/>
            </w:r>
            <w:r w:rsidRPr="008A3E84">
              <w:rPr>
                <w:rFonts w:ascii="Times New Roman" w:hAnsi="Times New Roman"/>
              </w:rPr>
              <w:t>z przyjętym w judykaturze stanowiskiem na gruncie art. 139 k.p.c. iż w razie nieodebrania pisma w terminie przeznaczonym do jego odbioru, doręczenie następuje w ostatnim dniu tego terminu.</w:t>
            </w:r>
            <w:r w:rsidR="000D1FC8">
              <w:rPr>
                <w:rStyle w:val="Odwoanieprzypisudolnego"/>
                <w:rFonts w:ascii="Times New Roman" w:hAnsi="Times New Roman"/>
              </w:rPr>
              <w:t xml:space="preserve"> </w:t>
            </w:r>
            <w:r w:rsidR="000D1FC8">
              <w:rPr>
                <w:rStyle w:val="Odwoanieprzypisudolnego"/>
                <w:rFonts w:ascii="Times New Roman" w:hAnsi="Times New Roman"/>
              </w:rPr>
              <w:footnoteReference w:id="1"/>
            </w:r>
            <w:r w:rsidR="000D1FC8">
              <w:rPr>
                <w:rFonts w:ascii="Times New Roman" w:hAnsi="Times New Roman"/>
              </w:rPr>
              <w:t xml:space="preserve"> Mając na uwadze powyższe,</w:t>
            </w:r>
            <w:r w:rsidRPr="008A3E84">
              <w:rPr>
                <w:rFonts w:ascii="Times New Roman" w:hAnsi="Times New Roman"/>
              </w:rPr>
              <w:t xml:space="preserve"> konieczna jest zmiana art. 133a § 3 k.p.k.</w:t>
            </w:r>
          </w:p>
          <w:p w14:paraId="304B4AE4" w14:textId="0297F114" w:rsidR="006F5D66" w:rsidRPr="006F5D66" w:rsidRDefault="006F5D66" w:rsidP="0001645A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  <w:r w:rsidRPr="006F5D66">
              <w:rPr>
                <w:rFonts w:ascii="Times New Roman" w:hAnsi="Times New Roman"/>
                <w:b/>
                <w:bCs/>
              </w:rPr>
              <w:t>Koszty deportacji</w:t>
            </w:r>
          </w:p>
          <w:p w14:paraId="5F502E58" w14:textId="5FCC7DA8" w:rsidR="000A101D" w:rsidRDefault="000A101D" w:rsidP="0001645A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Aktualnie istnieje problem związany z niemożliwością sprowadzenia ściganych z niektórych innych krajów</w:t>
            </w:r>
            <w:r w:rsidR="00F44E0A">
              <w:rPr>
                <w:rFonts w:ascii="Times New Roman" w:hAnsi="Times New Roman"/>
              </w:rPr>
              <w:t xml:space="preserve"> </w:t>
            </w:r>
            <w:r w:rsidR="001F2781">
              <w:rPr>
                <w:rFonts w:ascii="Times New Roman" w:hAnsi="Times New Roman"/>
              </w:rPr>
              <w:t>z powodu braku dwustronnej umowy o ekstradycji</w:t>
            </w:r>
            <w:r>
              <w:rPr>
                <w:rFonts w:ascii="Times New Roman" w:hAnsi="Times New Roman"/>
              </w:rPr>
              <w:t xml:space="preserve"> </w:t>
            </w:r>
            <w:r w:rsidRPr="000A101D">
              <w:rPr>
                <w:rFonts w:ascii="Times New Roman" w:hAnsi="Times New Roman"/>
              </w:rPr>
              <w:t>lub innych wielostronnych umów sektorowych w sprawach karnych wiążących Polskę i dane państwo w odniesieniu do określonego typu przestępstwa</w:t>
            </w:r>
            <w:r w:rsidR="001F2781">
              <w:rPr>
                <w:rFonts w:ascii="Times New Roman" w:hAnsi="Times New Roman"/>
              </w:rPr>
              <w:t xml:space="preserve">. </w:t>
            </w:r>
          </w:p>
          <w:p w14:paraId="32F7BB04" w14:textId="627A5164" w:rsidR="007C025A" w:rsidRDefault="001F2781" w:rsidP="0001645A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praktyce niektóre z takich państw są </w:t>
            </w:r>
            <w:r w:rsidR="004849BE">
              <w:rPr>
                <w:rFonts w:ascii="Times New Roman" w:hAnsi="Times New Roman"/>
              </w:rPr>
              <w:t xml:space="preserve">gotowe do współpracy w postępowaniu </w:t>
            </w:r>
            <w:r w:rsidR="00472B47">
              <w:rPr>
                <w:rFonts w:ascii="Times New Roman" w:hAnsi="Times New Roman"/>
              </w:rPr>
              <w:t>deportacyjnym</w:t>
            </w:r>
            <w:r w:rsidR="004849BE">
              <w:rPr>
                <w:rFonts w:ascii="Times New Roman" w:hAnsi="Times New Roman"/>
              </w:rPr>
              <w:t xml:space="preserve">, jeśli nie będą ponosić kosztów deportacji. Obecnie nie ma jednak podstawy prawnej, by w takiej sytuacji </w:t>
            </w:r>
            <w:r w:rsidR="004849BE" w:rsidRPr="004849BE">
              <w:rPr>
                <w:rFonts w:ascii="Times New Roman" w:hAnsi="Times New Roman"/>
              </w:rPr>
              <w:t xml:space="preserve">Ministerstwo Sprawiedliwości, Prokuratura Krajowa </w:t>
            </w:r>
            <w:r w:rsidR="004849BE">
              <w:rPr>
                <w:rFonts w:ascii="Times New Roman" w:hAnsi="Times New Roman"/>
              </w:rPr>
              <w:t>lub</w:t>
            </w:r>
            <w:r w:rsidR="004849BE" w:rsidRPr="004849BE">
              <w:rPr>
                <w:rFonts w:ascii="Times New Roman" w:hAnsi="Times New Roman"/>
              </w:rPr>
              <w:t xml:space="preserve"> polskie sądy </w:t>
            </w:r>
            <w:r w:rsidR="004849BE">
              <w:rPr>
                <w:rFonts w:ascii="Times New Roman" w:hAnsi="Times New Roman"/>
              </w:rPr>
              <w:t xml:space="preserve">ponosiły </w:t>
            </w:r>
            <w:r w:rsidR="004849BE" w:rsidRPr="004849BE">
              <w:rPr>
                <w:rFonts w:ascii="Times New Roman" w:hAnsi="Times New Roman"/>
              </w:rPr>
              <w:t>koszt</w:t>
            </w:r>
            <w:r w:rsidR="004849BE">
              <w:rPr>
                <w:rFonts w:ascii="Times New Roman" w:hAnsi="Times New Roman"/>
              </w:rPr>
              <w:t>y</w:t>
            </w:r>
            <w:r w:rsidR="004849BE" w:rsidRPr="004849BE">
              <w:rPr>
                <w:rFonts w:ascii="Times New Roman" w:hAnsi="Times New Roman"/>
              </w:rPr>
              <w:t xml:space="preserve"> deportacji przeprowadzanej przez państwo obce</w:t>
            </w:r>
            <w:r w:rsidR="004849BE">
              <w:rPr>
                <w:rFonts w:ascii="Times New Roman" w:hAnsi="Times New Roman"/>
              </w:rPr>
              <w:t>. W efekcie osoba ścigana pozostaje bezkarna.</w:t>
            </w:r>
          </w:p>
          <w:p w14:paraId="3D9AFD7B" w14:textId="7F08F493" w:rsidR="00472B47" w:rsidRDefault="00472B47" w:rsidP="00472B47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472B47">
              <w:rPr>
                <w:rFonts w:ascii="Times New Roman" w:hAnsi="Times New Roman"/>
              </w:rPr>
              <w:t>Jak wynika z uzyskanych od powszechnych jednostek organizacyjnych prokuratury informacji w latach 2021 – I połowa 2024 r. zarejestrowano łącznie 164 postępowań deportacyjnych (sprowadzenia i przewozu osoby wydanej na skutek wniosku, o którym mowa w art. 593</w:t>
            </w:r>
            <w:r>
              <w:rPr>
                <w:rFonts w:ascii="Times New Roman" w:hAnsi="Times New Roman"/>
              </w:rPr>
              <w:t xml:space="preserve"> K.p.k.</w:t>
            </w:r>
            <w:r w:rsidRPr="00472B47">
              <w:rPr>
                <w:rFonts w:ascii="Times New Roman" w:hAnsi="Times New Roman"/>
              </w:rPr>
              <w:t xml:space="preserve"> lub zobowiązanej do powrotu do Rzeczypospolitej Polskiej, jeżeli organ procesowy tak postanowi ze względu na wagę sprawy).</w:t>
            </w:r>
          </w:p>
          <w:p w14:paraId="060736B6" w14:textId="5F40376B" w:rsidR="004C6590" w:rsidRPr="004C6590" w:rsidRDefault="004C6590" w:rsidP="00472B47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  <w:r w:rsidRPr="004C6590">
              <w:rPr>
                <w:rFonts w:ascii="Times New Roman" w:hAnsi="Times New Roman"/>
                <w:b/>
                <w:bCs/>
              </w:rPr>
              <w:t>Zmiany związane z ratyfikowaną w dniu 26 kwietnia 2024 r. umową międzynarodową – Protokół między Rzecząpospolitą Polską a Ukrainą o zmianie Umowy między Rzecząpospolitą Polską a Ukrainą o pomocy prawnej i stosunkach prawnych w sprawach cywilnych i karnych z dnia 24 maja 1993 r.</w:t>
            </w:r>
            <w:r w:rsidR="008A3E8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A95846E" w14:textId="7F36C9E4" w:rsidR="00C15035" w:rsidRPr="00C15035" w:rsidRDefault="00C15035" w:rsidP="00C15035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C15035">
              <w:rPr>
                <w:rFonts w:ascii="Times New Roman" w:hAnsi="Times New Roman"/>
              </w:rPr>
              <w:t xml:space="preserve">Od wielu lat skala kontaktów polsko-ukraińskich wzrasta. Jakkolwiek zjawisko to występuje po obu stronach granicy, to liczba obywateli Ukrainy przebywających stale lub czasowo w Rzeczypospolitej Polskiej wyraźnie przewyższa liczbę Polaków przebywających w Ukrainie. Tendencja ta gwałtownie wzmocniła się po rozpoczęciu rosyjskiej inwazji na Ukrainę i pełnoskalowej wojny </w:t>
            </w:r>
            <w:r w:rsidR="00F44E0A">
              <w:rPr>
                <w:rFonts w:ascii="Times New Roman" w:hAnsi="Times New Roman"/>
              </w:rPr>
              <w:t xml:space="preserve">od </w:t>
            </w:r>
            <w:r w:rsidRPr="00C15035">
              <w:rPr>
                <w:rFonts w:ascii="Times New Roman" w:hAnsi="Times New Roman"/>
              </w:rPr>
              <w:t>dnia 24 lutego 2022 r.</w:t>
            </w:r>
          </w:p>
          <w:p w14:paraId="250635A5" w14:textId="137ABCC1" w:rsidR="00C15035" w:rsidRPr="00C15035" w:rsidRDefault="00C15035" w:rsidP="00C15035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C15035">
              <w:rPr>
                <w:rFonts w:ascii="Times New Roman" w:hAnsi="Times New Roman"/>
              </w:rPr>
              <w:t xml:space="preserve">Wzrostowi skali wzajemnych kontaktów w naturalny sposób towarzyszy zwiększenie liczby przestępstw popełnianych przez obywateli jednego państwa przebywających czasowo na terytorium drugiego. W 2020 r. w Rzeczypospolitej Polskiej skazano 7111 obywateli Ukrainy, przy czym przebywało ich wtedy w Rzeczypospolitej Polskiej ok. 300 </w:t>
            </w:r>
            <w:r w:rsidR="00F44E0A">
              <w:rPr>
                <w:rFonts w:ascii="Times New Roman" w:hAnsi="Times New Roman"/>
              </w:rPr>
              <w:t>tys.</w:t>
            </w:r>
            <w:r w:rsidR="00F44E0A" w:rsidRPr="00C15035">
              <w:rPr>
                <w:rFonts w:ascii="Times New Roman" w:hAnsi="Times New Roman"/>
              </w:rPr>
              <w:t xml:space="preserve"> </w:t>
            </w:r>
            <w:r w:rsidRPr="00C15035">
              <w:rPr>
                <w:rFonts w:ascii="Times New Roman" w:hAnsi="Times New Roman"/>
              </w:rPr>
              <w:t xml:space="preserve">a obecnie przebywa ich ok. 1,5 mln. Liczba wszystkich informacji dotyczących skazań obywateli Ukrainy w Rzeczypospolitej Polskiej, przekazywanych przez Stronę polską Stronie ukraińskiej, wyniosła za rok 2021: 37 966, a za rok 2022: 36 981. Wiele z tych przestępstw to czyny stosunkowo niewielkiej wagi, za które kara bezwzględnego pozbawienia wolności – jako nieadekwatnie surowa – nie jest wymierzana. W wypadku wymierzenia kary grzywny lub ograniczenia wolności, kary </w:t>
            </w:r>
            <w:r w:rsidRPr="00C15035">
              <w:rPr>
                <w:rFonts w:ascii="Times New Roman" w:hAnsi="Times New Roman"/>
              </w:rPr>
              <w:lastRenderedPageBreak/>
              <w:t>pozbawienia wolności z warunkowym zawieszeniem jej wykonania, środków karnych lub przepadku, ich wykonanie zwykle jest najefektywniejsze w kraju, w którym skazany ma stałe miejsce zamieszkania.</w:t>
            </w:r>
          </w:p>
          <w:p w14:paraId="093986E8" w14:textId="2A427B50" w:rsidR="00BE6318" w:rsidRPr="00852E49" w:rsidRDefault="00C15035" w:rsidP="0001645A">
            <w:pPr>
              <w:tabs>
                <w:tab w:val="left" w:pos="3135"/>
              </w:tabs>
              <w:spacing w:after="120"/>
              <w:jc w:val="both"/>
              <w:rPr>
                <w:rFonts w:ascii="Times New Roman" w:hAnsi="Times New Roman"/>
              </w:rPr>
            </w:pPr>
            <w:r w:rsidRPr="00C15035">
              <w:rPr>
                <w:rFonts w:ascii="Times New Roman" w:hAnsi="Times New Roman"/>
              </w:rPr>
              <w:t>Z punktu widzenia interesów Rzeczypospolitej Polskiej i jej obywateli istotne jest, że w razie powrotu skazanych, będących obywatelami Ukrainy do kraju ojczystego, nie ma realnych możliwości wykonania przez sądy polskie takich kar lub środków, a sprawcy popełnionych w Rzeczypospolitej Polskiej przestępstw pozostają faktycznie bezkarni. Wynika to z faktu, że obowiązująca obecnie w stosunkach z Ukrainą Umowa między Rzecząpospolitą Polską a Ukrainą o pomocy prawnej i stosunkach prawnych w sprawach cywilnych i karnych, sporządzona w Kijowie dnia 24 maja 1993 r. nie przewiduje możliwości przekazania do wykonania na terytorium drugiej Strony kar nieizolacyjnych</w:t>
            </w:r>
            <w:r>
              <w:rPr>
                <w:rFonts w:ascii="Times New Roman" w:hAnsi="Times New Roman"/>
              </w:rPr>
              <w:t>.</w:t>
            </w:r>
            <w:r w:rsidR="00F44E0A">
              <w:rPr>
                <w:rFonts w:ascii="Times New Roman" w:hAnsi="Times New Roman"/>
              </w:rPr>
              <w:t xml:space="preserve"> </w:t>
            </w:r>
            <w:r w:rsidR="008A3E84">
              <w:rPr>
                <w:rFonts w:ascii="Times New Roman" w:hAnsi="Times New Roman"/>
              </w:rPr>
              <w:t>R</w:t>
            </w:r>
            <w:r w:rsidR="008A3E84" w:rsidRPr="009E42CD">
              <w:rPr>
                <w:rFonts w:ascii="Times New Roman" w:hAnsi="Times New Roman"/>
              </w:rPr>
              <w:t>atyfikowan</w:t>
            </w:r>
            <w:r w:rsidR="008A3E84">
              <w:rPr>
                <w:rFonts w:ascii="Times New Roman" w:hAnsi="Times New Roman"/>
              </w:rPr>
              <w:t>a</w:t>
            </w:r>
            <w:r w:rsidR="008A3E84" w:rsidRPr="009E42CD">
              <w:rPr>
                <w:rFonts w:ascii="Times New Roman" w:hAnsi="Times New Roman"/>
              </w:rPr>
              <w:t xml:space="preserve"> </w:t>
            </w:r>
            <w:r w:rsidR="009E42CD" w:rsidRPr="009E42CD">
              <w:rPr>
                <w:rFonts w:ascii="Times New Roman" w:hAnsi="Times New Roman"/>
              </w:rPr>
              <w:t>umow</w:t>
            </w:r>
            <w:r w:rsidR="009E42CD">
              <w:rPr>
                <w:rFonts w:ascii="Times New Roman" w:hAnsi="Times New Roman"/>
              </w:rPr>
              <w:t>a</w:t>
            </w:r>
            <w:r w:rsidR="009E42CD" w:rsidRPr="009E42CD">
              <w:rPr>
                <w:rFonts w:ascii="Times New Roman" w:hAnsi="Times New Roman"/>
              </w:rPr>
              <w:t xml:space="preserve"> międzynarodow</w:t>
            </w:r>
            <w:r w:rsidR="009E42CD">
              <w:rPr>
                <w:rFonts w:ascii="Times New Roman" w:hAnsi="Times New Roman"/>
              </w:rPr>
              <w:t>a</w:t>
            </w:r>
            <w:r w:rsidR="009E42CD" w:rsidRPr="009E42CD">
              <w:rPr>
                <w:rFonts w:ascii="Times New Roman" w:hAnsi="Times New Roman"/>
              </w:rPr>
              <w:t xml:space="preserve"> </w:t>
            </w:r>
            <w:r w:rsidR="009E42CD">
              <w:rPr>
                <w:rFonts w:ascii="Times New Roman" w:hAnsi="Times New Roman"/>
              </w:rPr>
              <w:t>w</w:t>
            </w:r>
            <w:r w:rsidR="009E42CD" w:rsidRPr="009E42CD">
              <w:rPr>
                <w:rFonts w:ascii="Times New Roman" w:hAnsi="Times New Roman"/>
              </w:rPr>
              <w:t>prowadza możliwość przekazania do wykonania kary (środka) o charakterze nieizolacyjnym i bezpośredni tryb przekazywania wniosków w tego rodzaju sprawach między polskimi sądami a właściwymi organami ukraińskimi. Związanie się przez Polskę Protokołem wymaga dostosowania polskiego prawa krajowego do jego postanowień.</w:t>
            </w:r>
          </w:p>
        </w:tc>
      </w:tr>
      <w:tr w:rsidR="006A701A" w:rsidRPr="008B4FE6" w14:paraId="3A6E369C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39CAF6E3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365B3467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auto"/>
          </w:tcPr>
          <w:p w14:paraId="1AF5F785" w14:textId="1B7234EA" w:rsidR="00385A26" w:rsidRDefault="00B609AC" w:rsidP="00CF64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Zgodnie z projektowanym art. 116a k.p.k. prokurator, obrońca, Prokuratoria Generalna Rzeczypospolitej Polskiej i pełnomocnik będący adwokatem lub radcą prawnym będą mogli wnosić do sądu pisma za pośrednictwem kont w </w:t>
            </w:r>
            <w:r w:rsidR="00106E8E">
              <w:rPr>
                <w:rFonts w:ascii="Times New Roman" w:hAnsi="Times New Roman"/>
              </w:rPr>
              <w:t>p</w:t>
            </w:r>
            <w:r w:rsidR="00D37398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="00D37398">
              <w:rPr>
                <w:rFonts w:ascii="Times New Roman" w:hAnsi="Times New Roman"/>
              </w:rPr>
              <w:t>nformacyjnym</w:t>
            </w:r>
            <w:r w:rsidR="007E18C9">
              <w:rPr>
                <w:rFonts w:ascii="Times New Roman" w:hAnsi="Times New Roman"/>
              </w:rPr>
              <w:t>. Będzie to możliwe w przypadku:</w:t>
            </w:r>
          </w:p>
          <w:p w14:paraId="2CDD9618" w14:textId="16F872C0" w:rsidR="007E18C9" w:rsidRDefault="007E18C9" w:rsidP="007E18C9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wniosku o sporządzenie uzasadnienia wyroku,</w:t>
            </w:r>
          </w:p>
          <w:p w14:paraId="47303F0F" w14:textId="703A97C8" w:rsidR="007E18C9" w:rsidRDefault="007E18C9" w:rsidP="007E18C9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środków odwoławczych,</w:t>
            </w:r>
          </w:p>
          <w:p w14:paraId="1DF24A5D" w14:textId="251604D1" w:rsidR="007E18C9" w:rsidRDefault="007E18C9" w:rsidP="007E18C9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odpowiedzi na środek odwoławczy,</w:t>
            </w:r>
          </w:p>
          <w:p w14:paraId="08FCFF6A" w14:textId="77777777" w:rsidR="007E18C9" w:rsidRDefault="007E18C9" w:rsidP="007E18C9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pism w toku postępowania odwoławczego.</w:t>
            </w:r>
          </w:p>
          <w:p w14:paraId="28CA2112" w14:textId="183F6A9E" w:rsidR="004D6EE2" w:rsidRPr="004D6EE2" w:rsidRDefault="004D6EE2" w:rsidP="004D6EE2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Wnoszenie w ten sposób pism do sądu będzie miało charakter fakultatywny. Nadal będzie istniała możliwość </w:t>
            </w:r>
            <w:r w:rsidRPr="004D6EE2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a</w:t>
            </w:r>
            <w:r w:rsidRPr="004D6EE2">
              <w:rPr>
                <w:rFonts w:ascii="Times New Roman" w:hAnsi="Times New Roman"/>
              </w:rPr>
              <w:t xml:space="preserve"> pisma na biurze podawczym lub za pośrednictwem operatora pocztowego</w:t>
            </w:r>
            <w:r>
              <w:rPr>
                <w:rFonts w:ascii="Times New Roman" w:hAnsi="Times New Roman"/>
              </w:rPr>
              <w:t>.</w:t>
            </w:r>
          </w:p>
          <w:p w14:paraId="4FCA7B7F" w14:textId="563E1EB9" w:rsidR="00A064F9" w:rsidRDefault="007E18C9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Zgodnie z art. 11</w:t>
            </w:r>
            <w:r w:rsidR="00A401A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§ 3 k.p.k. pismo wniesione za pośrednictwem </w:t>
            </w:r>
            <w:r w:rsidR="00106E8E">
              <w:rPr>
                <w:rFonts w:ascii="Times New Roman" w:hAnsi="Times New Roman"/>
              </w:rPr>
              <w:t>p</w:t>
            </w:r>
            <w:r w:rsidR="00D37398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="00D37398">
              <w:rPr>
                <w:rFonts w:ascii="Times New Roman" w:hAnsi="Times New Roman"/>
              </w:rPr>
              <w:t>nformacyjnego</w:t>
            </w:r>
            <w:r>
              <w:rPr>
                <w:rFonts w:ascii="Times New Roman" w:hAnsi="Times New Roman"/>
              </w:rPr>
              <w:t xml:space="preserve"> będzie musiało być opatrzone </w:t>
            </w:r>
            <w:r w:rsidRPr="007E18C9">
              <w:rPr>
                <w:rFonts w:ascii="Times New Roman" w:hAnsi="Times New Roman"/>
              </w:rPr>
              <w:t>kwalifikowanym podpisem elektronicznym, podpisem zaufanym albo podpisem osobistym, a w przypadku prokuratora także zaawansowanym podpisem elektronicznym wydawanym przez właściwe jednostki organizacyjne prokuratury</w:t>
            </w:r>
            <w:r>
              <w:rPr>
                <w:rFonts w:ascii="Times New Roman" w:hAnsi="Times New Roman"/>
              </w:rPr>
              <w:t>.</w:t>
            </w:r>
          </w:p>
          <w:p w14:paraId="08E7B544" w14:textId="22A41860" w:rsidR="0060118F" w:rsidRDefault="0060118F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Projektowany art. 119 1 pkt 2a k.p.k. przewiduje, że konieczne będzie wskazanie numeru wpisu na listę obrońcy lub pełnomocnika będącego adwokatem lub radcą prawnym, ponieważ konieczna jest jego jednoznaczna identyfikacja, a numer PESEL pełnomocnika nie zawsze jest znany sądowi.</w:t>
            </w:r>
          </w:p>
          <w:p w14:paraId="6928006C" w14:textId="10FBF26D" w:rsidR="00A064F9" w:rsidRDefault="00A064F9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podstawie art. 119a k.p.k.</w:t>
            </w:r>
            <w:r w:rsidRPr="00A064F9">
              <w:rPr>
                <w:rFonts w:ascii="Times New Roman" w:hAnsi="Times New Roman"/>
              </w:rPr>
              <w:t xml:space="preserve"> </w:t>
            </w:r>
            <w:r w:rsidR="00A7507D">
              <w:rPr>
                <w:rFonts w:ascii="Times New Roman" w:hAnsi="Times New Roman"/>
              </w:rPr>
              <w:t>dokumenty dołączane do pisma procesowego</w:t>
            </w:r>
            <w:r w:rsidR="00A7507D" w:rsidRPr="00A064F9">
              <w:rPr>
                <w:rFonts w:ascii="Times New Roman" w:hAnsi="Times New Roman"/>
              </w:rPr>
              <w:t xml:space="preserve"> </w:t>
            </w:r>
            <w:r w:rsidRPr="00A064F9">
              <w:rPr>
                <w:rFonts w:ascii="Times New Roman" w:hAnsi="Times New Roman"/>
              </w:rPr>
              <w:t xml:space="preserve">wnoszone za pośrednictwem </w:t>
            </w:r>
            <w:r w:rsidR="00106E8E">
              <w:rPr>
                <w:rFonts w:ascii="Times New Roman" w:hAnsi="Times New Roman"/>
              </w:rPr>
              <w:t>p</w:t>
            </w:r>
            <w:r w:rsidR="00D37398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="00D37398">
              <w:rPr>
                <w:rFonts w:ascii="Times New Roman" w:hAnsi="Times New Roman"/>
              </w:rPr>
              <w:t>nformacyjnego</w:t>
            </w:r>
            <w:r w:rsidRPr="00A064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będą </w:t>
            </w:r>
            <w:r w:rsidR="0060118F">
              <w:rPr>
                <w:rFonts w:ascii="Times New Roman" w:hAnsi="Times New Roman"/>
              </w:rPr>
              <w:t>musiały być opatrzone</w:t>
            </w:r>
            <w:r w:rsidR="00283E2D">
              <w:t xml:space="preserve"> </w:t>
            </w:r>
            <w:r w:rsidR="00283E2D" w:rsidRPr="00283E2D">
              <w:rPr>
                <w:rFonts w:ascii="Times New Roman" w:hAnsi="Times New Roman"/>
              </w:rPr>
              <w:t>kwalifikowanym podpisem elektronicznym, podpisem zaufanym albo podpisem osobistym</w:t>
            </w:r>
            <w:r w:rsidR="00283E2D">
              <w:rPr>
                <w:rFonts w:ascii="Times New Roman" w:hAnsi="Times New Roman"/>
              </w:rPr>
              <w:t>, jeśli pełnomocnik lub obrońca jest adwokatem lub radcą prawnym</w:t>
            </w:r>
            <w:r>
              <w:rPr>
                <w:rFonts w:ascii="Times New Roman" w:hAnsi="Times New Roman"/>
              </w:rPr>
              <w:t>.</w:t>
            </w:r>
            <w:r w:rsidR="00864C77">
              <w:rPr>
                <w:rFonts w:ascii="Times New Roman" w:hAnsi="Times New Roman"/>
              </w:rPr>
              <w:t xml:space="preserve"> Strona powołująca się na dokument będzie zobowiązana złożyć oryginał w sądzie jeszcze przed rozprawą na żądanie sądu lub strony przeciwnej.</w:t>
            </w:r>
          </w:p>
          <w:p w14:paraId="511B49E9" w14:textId="295DD409" w:rsidR="00A401AE" w:rsidRDefault="00D518E4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 w:rsidRPr="00E72701">
              <w:rPr>
                <w:rFonts w:ascii="Times New Roman" w:hAnsi="Times New Roman"/>
              </w:rPr>
              <w:t>Art. 128 § 3 k.p.k. sankcjonuje możliwość doręczania poprzez portal informacyjny treści orzeczeń i zarządzeń.</w:t>
            </w:r>
          </w:p>
          <w:p w14:paraId="0BE83D7C" w14:textId="44B10938" w:rsidR="0089064A" w:rsidRDefault="0089064A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 w:rsidRPr="0089064A">
              <w:rPr>
                <w:rFonts w:ascii="Times New Roman" w:hAnsi="Times New Roman"/>
              </w:rPr>
              <w:t>W tabeli nr 1 przedstawiono ilościowe zestawienie środków odwoławczych wniesionych</w:t>
            </w:r>
            <w:r w:rsidR="002D5ADE">
              <w:rPr>
                <w:rFonts w:ascii="Times New Roman" w:hAnsi="Times New Roman"/>
              </w:rPr>
              <w:t xml:space="preserve"> przez jednostki organizacyjne prokuratury</w:t>
            </w:r>
            <w:r w:rsidRPr="0089064A">
              <w:rPr>
                <w:rFonts w:ascii="Times New Roman" w:hAnsi="Times New Roman"/>
              </w:rPr>
              <w:t xml:space="preserve"> do sądów w latach 2021-2024. Ze względu na brak ujęcia w funkcjonalnościach </w:t>
            </w:r>
            <w:r w:rsidR="00106E8E">
              <w:rPr>
                <w:rFonts w:ascii="Times New Roman" w:hAnsi="Times New Roman"/>
              </w:rPr>
              <w:t>p</w:t>
            </w:r>
            <w:r w:rsidR="00C93E97" w:rsidRPr="0089064A">
              <w:rPr>
                <w:rFonts w:ascii="Times New Roman" w:hAnsi="Times New Roman"/>
              </w:rPr>
              <w:t>ortal</w:t>
            </w:r>
            <w:r w:rsidRPr="0089064A">
              <w:rPr>
                <w:rFonts w:ascii="Times New Roman" w:hAnsi="Times New Roman"/>
              </w:rPr>
              <w:t xml:space="preserve">u </w:t>
            </w:r>
            <w:r w:rsidR="00106E8E">
              <w:rPr>
                <w:rFonts w:ascii="Times New Roman" w:hAnsi="Times New Roman"/>
              </w:rPr>
              <w:t>i</w:t>
            </w:r>
            <w:r w:rsidR="00C93E97" w:rsidRPr="0089064A">
              <w:rPr>
                <w:rFonts w:ascii="Times New Roman" w:hAnsi="Times New Roman"/>
              </w:rPr>
              <w:t>nf</w:t>
            </w:r>
            <w:r w:rsidRPr="0089064A">
              <w:rPr>
                <w:rFonts w:ascii="Times New Roman" w:hAnsi="Times New Roman"/>
              </w:rPr>
              <w:t>ormacyjnego doręczeń pism sądowych kierowanych z Sądu Najwyższego w tabeli nr 2 przedstawiono dane ilościowe w analogicznym okresie</w:t>
            </w:r>
            <w:r w:rsidR="002D5ADE">
              <w:rPr>
                <w:rFonts w:ascii="Times New Roman" w:hAnsi="Times New Roman"/>
              </w:rPr>
              <w:t xml:space="preserve"> </w:t>
            </w:r>
            <w:r w:rsidRPr="0089064A">
              <w:rPr>
                <w:rFonts w:ascii="Times New Roman" w:hAnsi="Times New Roman"/>
              </w:rPr>
              <w:t>w zakresie kasacji i odpowiedzi na kasacje.</w:t>
            </w:r>
          </w:p>
          <w:p w14:paraId="3E9FAD88" w14:textId="0255FF68" w:rsidR="00921BDA" w:rsidRDefault="00921BDA" w:rsidP="00921BDA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Tabela nr 1 – wniesione środki odwoławcze ogółem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1957"/>
              <w:gridCol w:w="1957"/>
              <w:gridCol w:w="1756"/>
              <w:gridCol w:w="201"/>
              <w:gridCol w:w="1957"/>
            </w:tblGrid>
            <w:tr w:rsidR="0089064A" w14:paraId="3CC644F3" w14:textId="77777777" w:rsidTr="00140DFC">
              <w:tc>
                <w:tcPr>
                  <w:tcW w:w="3032" w:type="dxa"/>
                  <w:shd w:val="clear" w:color="auto" w:fill="F2F2F2" w:themeFill="background1" w:themeFillShade="F2"/>
                </w:tcPr>
                <w:p w14:paraId="00346CAE" w14:textId="2C11198C" w:rsidR="0089064A" w:rsidRDefault="0089064A" w:rsidP="00140DFC">
                  <w:pPr>
                    <w:rPr>
                      <w:rFonts w:ascii="Times New Roman" w:hAnsi="Times New Roman"/>
                    </w:rPr>
                  </w:pPr>
                  <w:r w:rsidRPr="00921BDA">
                    <w:rPr>
                      <w:rFonts w:ascii="Times New Roman" w:hAnsi="Times New Roman"/>
                    </w:rPr>
                    <w:t>Wnoszone środki odwoławcze</w:t>
                  </w:r>
                  <w:r w:rsidR="00140DFC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1957" w:type="dxa"/>
                </w:tcPr>
                <w:p w14:paraId="7639F293" w14:textId="2C997660" w:rsidR="0089064A" w:rsidRDefault="0089064A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9064A">
                    <w:rPr>
                      <w:rFonts w:ascii="Times New Roman" w:hAnsi="Times New Roman"/>
                    </w:rPr>
                    <w:t>2021 r.</w:t>
                  </w:r>
                </w:p>
              </w:tc>
              <w:tc>
                <w:tcPr>
                  <w:tcW w:w="1957" w:type="dxa"/>
                </w:tcPr>
                <w:p w14:paraId="281BE76B" w14:textId="7F23205F" w:rsidR="0089064A" w:rsidRDefault="0089064A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9064A">
                    <w:rPr>
                      <w:rFonts w:ascii="Times New Roman" w:hAnsi="Times New Roman"/>
                    </w:rPr>
                    <w:t>2022 r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756" w:type="dxa"/>
                </w:tcPr>
                <w:p w14:paraId="5189B907" w14:textId="44CEAB9A" w:rsidR="0089064A" w:rsidRDefault="0089064A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89064A">
                    <w:rPr>
                      <w:rFonts w:ascii="Times New Roman" w:hAnsi="Times New Roman"/>
                    </w:rPr>
                    <w:t>2023 r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158" w:type="dxa"/>
                  <w:gridSpan w:val="2"/>
                </w:tcPr>
                <w:p w14:paraId="2B8C347C" w14:textId="002D42D1" w:rsidR="0089064A" w:rsidRDefault="00976D61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6D61">
                    <w:rPr>
                      <w:rFonts w:ascii="Times New Roman" w:hAnsi="Times New Roman"/>
                    </w:rPr>
                    <w:t>2024 r.</w:t>
                  </w:r>
                </w:p>
              </w:tc>
            </w:tr>
            <w:tr w:rsidR="0089064A" w14:paraId="4564F3AF" w14:textId="77777777" w:rsidTr="00140DFC">
              <w:tc>
                <w:tcPr>
                  <w:tcW w:w="3032" w:type="dxa"/>
                  <w:shd w:val="clear" w:color="auto" w:fill="F2F2F2" w:themeFill="background1" w:themeFillShade="F2"/>
                </w:tcPr>
                <w:p w14:paraId="1D4FF832" w14:textId="4F240BC7" w:rsidR="0089064A" w:rsidRDefault="00976D61" w:rsidP="00140DF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Apelacje</w:t>
                  </w:r>
                </w:p>
              </w:tc>
              <w:tc>
                <w:tcPr>
                  <w:tcW w:w="1957" w:type="dxa"/>
                </w:tcPr>
                <w:p w14:paraId="1FF14871" w14:textId="7C323031" w:rsidR="0089064A" w:rsidRDefault="00FD163E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16261</w:t>
                  </w:r>
                </w:p>
              </w:tc>
              <w:tc>
                <w:tcPr>
                  <w:tcW w:w="1957" w:type="dxa"/>
                </w:tcPr>
                <w:p w14:paraId="0674EC53" w14:textId="37429FCE" w:rsidR="0089064A" w:rsidRDefault="00FD163E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16617</w:t>
                  </w:r>
                </w:p>
              </w:tc>
              <w:tc>
                <w:tcPr>
                  <w:tcW w:w="1957" w:type="dxa"/>
                  <w:gridSpan w:val="2"/>
                </w:tcPr>
                <w:p w14:paraId="4E9AD463" w14:textId="625AC982" w:rsidR="0089064A" w:rsidRDefault="00FD163E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16666</w:t>
                  </w:r>
                </w:p>
              </w:tc>
              <w:tc>
                <w:tcPr>
                  <w:tcW w:w="1957" w:type="dxa"/>
                </w:tcPr>
                <w:p w14:paraId="24D2C890" w14:textId="0D620EEF" w:rsidR="0089064A" w:rsidRDefault="00FD163E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7897</w:t>
                  </w:r>
                </w:p>
              </w:tc>
            </w:tr>
            <w:tr w:rsidR="0089064A" w14:paraId="01AB9B02" w14:textId="77777777" w:rsidTr="00140DFC">
              <w:tc>
                <w:tcPr>
                  <w:tcW w:w="3032" w:type="dxa"/>
                  <w:shd w:val="clear" w:color="auto" w:fill="F2F2F2" w:themeFill="background1" w:themeFillShade="F2"/>
                </w:tcPr>
                <w:p w14:paraId="4CE56354" w14:textId="246D498A" w:rsidR="0089064A" w:rsidRDefault="00976D61" w:rsidP="00140DF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Sprzeciwy</w:t>
                  </w:r>
                </w:p>
              </w:tc>
              <w:tc>
                <w:tcPr>
                  <w:tcW w:w="1957" w:type="dxa"/>
                </w:tcPr>
                <w:p w14:paraId="172076CB" w14:textId="30198321" w:rsidR="0089064A" w:rsidRDefault="00FD163E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11071</w:t>
                  </w:r>
                </w:p>
              </w:tc>
              <w:tc>
                <w:tcPr>
                  <w:tcW w:w="1957" w:type="dxa"/>
                </w:tcPr>
                <w:p w14:paraId="537A0517" w14:textId="1630899B" w:rsidR="0089064A" w:rsidRDefault="00FD163E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10796</w:t>
                  </w:r>
                </w:p>
              </w:tc>
              <w:tc>
                <w:tcPr>
                  <w:tcW w:w="1957" w:type="dxa"/>
                  <w:gridSpan w:val="2"/>
                </w:tcPr>
                <w:p w14:paraId="0B2217CE" w14:textId="70BDA5AA" w:rsidR="0089064A" w:rsidRDefault="00FD163E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11619</w:t>
                  </w:r>
                </w:p>
              </w:tc>
              <w:tc>
                <w:tcPr>
                  <w:tcW w:w="1957" w:type="dxa"/>
                </w:tcPr>
                <w:p w14:paraId="35F7E226" w14:textId="23966904" w:rsidR="0089064A" w:rsidRDefault="00FD163E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4906</w:t>
                  </w:r>
                </w:p>
              </w:tc>
            </w:tr>
            <w:tr w:rsidR="0089064A" w14:paraId="095955FA" w14:textId="77777777" w:rsidTr="00140DFC">
              <w:tc>
                <w:tcPr>
                  <w:tcW w:w="3032" w:type="dxa"/>
                  <w:shd w:val="clear" w:color="auto" w:fill="F2F2F2" w:themeFill="background1" w:themeFillShade="F2"/>
                </w:tcPr>
                <w:p w14:paraId="2F664EFB" w14:textId="2680BD6D" w:rsidR="0089064A" w:rsidRDefault="00FD163E" w:rsidP="00140DFC">
                  <w:pPr>
                    <w:rPr>
                      <w:rFonts w:ascii="Times New Roman" w:hAnsi="Times New Roman"/>
                    </w:rPr>
                  </w:pPr>
                  <w:r w:rsidRPr="00FD163E">
                    <w:rPr>
                      <w:rFonts w:ascii="Times New Roman" w:hAnsi="Times New Roman"/>
                    </w:rPr>
                    <w:t>Z</w:t>
                  </w:r>
                  <w:r w:rsidR="00976D61" w:rsidRPr="00FD163E">
                    <w:rPr>
                      <w:rFonts w:ascii="Times New Roman" w:hAnsi="Times New Roman"/>
                    </w:rPr>
                    <w:t>ażalenia na umorzenie i odmowę rozpoznane przez sąd</w:t>
                  </w:r>
                </w:p>
              </w:tc>
              <w:tc>
                <w:tcPr>
                  <w:tcW w:w="1957" w:type="dxa"/>
                </w:tcPr>
                <w:p w14:paraId="02F0AFF5" w14:textId="33ABE66E" w:rsidR="0089064A" w:rsidRDefault="000751B3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61628</w:t>
                  </w:r>
                </w:p>
              </w:tc>
              <w:tc>
                <w:tcPr>
                  <w:tcW w:w="1957" w:type="dxa"/>
                </w:tcPr>
                <w:p w14:paraId="669AFA08" w14:textId="088AC693" w:rsidR="0089064A" w:rsidRDefault="000751B3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62163</w:t>
                  </w:r>
                </w:p>
              </w:tc>
              <w:tc>
                <w:tcPr>
                  <w:tcW w:w="1957" w:type="dxa"/>
                  <w:gridSpan w:val="2"/>
                </w:tcPr>
                <w:p w14:paraId="6276EF4E" w14:textId="55E93A93" w:rsidR="0089064A" w:rsidRDefault="000751B3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62224</w:t>
                  </w:r>
                </w:p>
              </w:tc>
              <w:tc>
                <w:tcPr>
                  <w:tcW w:w="1957" w:type="dxa"/>
                </w:tcPr>
                <w:p w14:paraId="07C7717C" w14:textId="5E7154A5" w:rsidR="0089064A" w:rsidRDefault="000751B3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32259</w:t>
                  </w:r>
                </w:p>
              </w:tc>
            </w:tr>
            <w:tr w:rsidR="0089064A" w14:paraId="4423C342" w14:textId="77777777" w:rsidTr="00140DFC">
              <w:tc>
                <w:tcPr>
                  <w:tcW w:w="3032" w:type="dxa"/>
                  <w:shd w:val="clear" w:color="auto" w:fill="F2F2F2" w:themeFill="background1" w:themeFillShade="F2"/>
                </w:tcPr>
                <w:p w14:paraId="43440693" w14:textId="6B1868E7" w:rsidR="0089064A" w:rsidRDefault="00FD163E" w:rsidP="00140DF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Łącznie</w:t>
                  </w:r>
                </w:p>
              </w:tc>
              <w:tc>
                <w:tcPr>
                  <w:tcW w:w="1957" w:type="dxa"/>
                </w:tcPr>
                <w:p w14:paraId="23BD1C6E" w14:textId="3F71599C" w:rsidR="0089064A" w:rsidRDefault="000751B3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88960</w:t>
                  </w:r>
                </w:p>
              </w:tc>
              <w:tc>
                <w:tcPr>
                  <w:tcW w:w="1957" w:type="dxa"/>
                </w:tcPr>
                <w:p w14:paraId="28F87870" w14:textId="7544F2C0" w:rsidR="0089064A" w:rsidRDefault="00921BDA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89576</w:t>
                  </w:r>
                </w:p>
              </w:tc>
              <w:tc>
                <w:tcPr>
                  <w:tcW w:w="1957" w:type="dxa"/>
                  <w:gridSpan w:val="2"/>
                </w:tcPr>
                <w:p w14:paraId="5F31174F" w14:textId="0DD99DEE" w:rsidR="0089064A" w:rsidRDefault="00921BDA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90509</w:t>
                  </w:r>
                </w:p>
              </w:tc>
              <w:tc>
                <w:tcPr>
                  <w:tcW w:w="1957" w:type="dxa"/>
                </w:tcPr>
                <w:p w14:paraId="79581B7F" w14:textId="49D9A635" w:rsidR="0089064A" w:rsidRDefault="00921BDA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445062</w:t>
                  </w:r>
                </w:p>
              </w:tc>
            </w:tr>
          </w:tbl>
          <w:p w14:paraId="46DD7406" w14:textId="77777777" w:rsidR="0089064A" w:rsidRDefault="0089064A" w:rsidP="00A064F9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13579086" w14:textId="489223D7" w:rsidR="00105DED" w:rsidRDefault="00A96F35" w:rsidP="00A96F35">
            <w:pPr>
              <w:spacing w:after="120"/>
              <w:jc w:val="center"/>
              <w:rPr>
                <w:rFonts w:ascii="Times New Roman" w:hAnsi="Times New Roman"/>
              </w:rPr>
            </w:pPr>
            <w:r w:rsidRPr="00A96F35">
              <w:rPr>
                <w:rFonts w:ascii="Times New Roman" w:hAnsi="Times New Roman"/>
              </w:rPr>
              <w:t>Tabela nr 2 – kasacje i odpowiedzi na kasacje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1957"/>
              <w:gridCol w:w="1957"/>
              <w:gridCol w:w="1957"/>
              <w:gridCol w:w="1957"/>
            </w:tblGrid>
            <w:tr w:rsidR="00105DED" w14:paraId="16FCC733" w14:textId="77777777" w:rsidTr="00140DFC">
              <w:tc>
                <w:tcPr>
                  <w:tcW w:w="3032" w:type="dxa"/>
                  <w:shd w:val="clear" w:color="auto" w:fill="F2F2F2" w:themeFill="background1" w:themeFillShade="F2"/>
                </w:tcPr>
                <w:p w14:paraId="4F097386" w14:textId="270DD086" w:rsidR="00105DED" w:rsidRDefault="00105DED" w:rsidP="00140DF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Rodzaj pisma</w:t>
                  </w:r>
                  <w:r w:rsidR="00140DFC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1957" w:type="dxa"/>
                </w:tcPr>
                <w:p w14:paraId="38A1C627" w14:textId="56D91F55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5DED">
                    <w:rPr>
                      <w:rFonts w:ascii="Times New Roman" w:hAnsi="Times New Roman"/>
                    </w:rPr>
                    <w:t>2021 r.</w:t>
                  </w:r>
                </w:p>
              </w:tc>
              <w:tc>
                <w:tcPr>
                  <w:tcW w:w="1957" w:type="dxa"/>
                </w:tcPr>
                <w:p w14:paraId="313BA447" w14:textId="6293E7BA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5DED">
                    <w:rPr>
                      <w:rFonts w:ascii="Times New Roman" w:hAnsi="Times New Roman"/>
                    </w:rPr>
                    <w:t>2022 r.</w:t>
                  </w:r>
                </w:p>
              </w:tc>
              <w:tc>
                <w:tcPr>
                  <w:tcW w:w="1957" w:type="dxa"/>
                </w:tcPr>
                <w:p w14:paraId="581A1707" w14:textId="5F2DC154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5DED">
                    <w:rPr>
                      <w:rFonts w:ascii="Times New Roman" w:hAnsi="Times New Roman"/>
                    </w:rPr>
                    <w:t>2023 r.</w:t>
                  </w:r>
                </w:p>
              </w:tc>
              <w:tc>
                <w:tcPr>
                  <w:tcW w:w="1957" w:type="dxa"/>
                </w:tcPr>
                <w:p w14:paraId="7BF23C35" w14:textId="795EAFE5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5DED">
                    <w:rPr>
                      <w:rFonts w:ascii="Times New Roman" w:hAnsi="Times New Roman"/>
                    </w:rPr>
                    <w:t>2024 r.</w:t>
                  </w:r>
                </w:p>
              </w:tc>
            </w:tr>
            <w:tr w:rsidR="00105DED" w14:paraId="372F2F66" w14:textId="77777777" w:rsidTr="00140DFC">
              <w:tc>
                <w:tcPr>
                  <w:tcW w:w="3032" w:type="dxa"/>
                  <w:shd w:val="clear" w:color="auto" w:fill="F2F2F2" w:themeFill="background1" w:themeFillShade="F2"/>
                </w:tcPr>
                <w:p w14:paraId="7A72B26F" w14:textId="307191B7" w:rsidR="00105DED" w:rsidRDefault="00105DED" w:rsidP="00140DF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Kasacje</w:t>
                  </w:r>
                </w:p>
              </w:tc>
              <w:tc>
                <w:tcPr>
                  <w:tcW w:w="1957" w:type="dxa"/>
                </w:tcPr>
                <w:p w14:paraId="1D345465" w14:textId="0BE8CA74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418</w:t>
                  </w:r>
                </w:p>
              </w:tc>
              <w:tc>
                <w:tcPr>
                  <w:tcW w:w="1957" w:type="dxa"/>
                </w:tcPr>
                <w:p w14:paraId="7B967B22" w14:textId="068B46A9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344</w:t>
                  </w:r>
                </w:p>
              </w:tc>
              <w:tc>
                <w:tcPr>
                  <w:tcW w:w="1957" w:type="dxa"/>
                </w:tcPr>
                <w:p w14:paraId="56FEBC63" w14:textId="6477C0F2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640</w:t>
                  </w:r>
                </w:p>
              </w:tc>
              <w:tc>
                <w:tcPr>
                  <w:tcW w:w="1957" w:type="dxa"/>
                </w:tcPr>
                <w:p w14:paraId="058E17AE" w14:textId="3C7ED749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199</w:t>
                  </w:r>
                </w:p>
              </w:tc>
            </w:tr>
            <w:tr w:rsidR="00105DED" w14:paraId="1711AEC7" w14:textId="77777777" w:rsidTr="00140DFC">
              <w:tc>
                <w:tcPr>
                  <w:tcW w:w="3032" w:type="dxa"/>
                  <w:shd w:val="clear" w:color="auto" w:fill="F2F2F2" w:themeFill="background1" w:themeFillShade="F2"/>
                </w:tcPr>
                <w:p w14:paraId="283A36F2" w14:textId="653DDBC4" w:rsidR="00105DED" w:rsidRDefault="00105DED" w:rsidP="00140DF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Odpowiedzi na kasacje</w:t>
                  </w:r>
                </w:p>
              </w:tc>
              <w:tc>
                <w:tcPr>
                  <w:tcW w:w="1957" w:type="dxa"/>
                </w:tcPr>
                <w:p w14:paraId="5C5AA20D" w14:textId="567D7EDB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957" w:type="dxa"/>
                </w:tcPr>
                <w:p w14:paraId="1C07B925" w14:textId="7ADEFA26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1957" w:type="dxa"/>
                </w:tcPr>
                <w:p w14:paraId="6F5693E9" w14:textId="0FDD7399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2136</w:t>
                  </w:r>
                </w:p>
              </w:tc>
              <w:tc>
                <w:tcPr>
                  <w:tcW w:w="1957" w:type="dxa"/>
                </w:tcPr>
                <w:p w14:paraId="677538D2" w14:textId="7A5DB22D" w:rsidR="00105DED" w:rsidRDefault="00105DED" w:rsidP="00C516E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1077</w:t>
                  </w:r>
                </w:p>
              </w:tc>
            </w:tr>
          </w:tbl>
          <w:p w14:paraId="1782364D" w14:textId="77777777" w:rsidR="00105DED" w:rsidRDefault="00105DED" w:rsidP="00A064F9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6DEA0FC5" w14:textId="45954D76" w:rsidR="00B9489A" w:rsidRDefault="00B9489A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Rozszerzona zostanie możliwość doręczania pism stronom postępowania przez umieszczenie ich treści w </w:t>
            </w:r>
            <w:r w:rsidR="00106E8E">
              <w:rPr>
                <w:rFonts w:ascii="Times New Roman" w:hAnsi="Times New Roman"/>
              </w:rPr>
              <w:t>p</w:t>
            </w:r>
            <w:r w:rsidR="00D37398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="00D37398">
              <w:rPr>
                <w:rFonts w:ascii="Times New Roman" w:hAnsi="Times New Roman"/>
              </w:rPr>
              <w:t>nformacyjnym</w:t>
            </w:r>
            <w:r>
              <w:rPr>
                <w:rFonts w:ascii="Times New Roman" w:hAnsi="Times New Roman"/>
              </w:rPr>
              <w:t xml:space="preserve">. Będzie to możliwe, gdy strona ma konto w </w:t>
            </w:r>
            <w:r w:rsidR="00106E8E">
              <w:rPr>
                <w:rFonts w:ascii="Times New Roman" w:hAnsi="Times New Roman"/>
              </w:rPr>
              <w:t>p</w:t>
            </w:r>
            <w:r w:rsidR="00D37398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="00D37398">
              <w:rPr>
                <w:rFonts w:ascii="Times New Roman" w:hAnsi="Times New Roman"/>
              </w:rPr>
              <w:t>nformacyjnym</w:t>
            </w:r>
            <w:r>
              <w:rPr>
                <w:rFonts w:ascii="Times New Roman" w:hAnsi="Times New Roman"/>
              </w:rPr>
              <w:t xml:space="preserve"> i za pośrednictwem tego portalu złoży oświadczenie o wyborze lub rezygnacji z doręczeń za pośrednictwem </w:t>
            </w:r>
            <w:r w:rsidR="00106E8E">
              <w:rPr>
                <w:rFonts w:ascii="Times New Roman" w:hAnsi="Times New Roman"/>
              </w:rPr>
              <w:t>p</w:t>
            </w:r>
            <w:r w:rsidR="00D37398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="00D37398">
              <w:rPr>
                <w:rFonts w:ascii="Times New Roman" w:hAnsi="Times New Roman"/>
              </w:rPr>
              <w:t>nformacyjnego</w:t>
            </w:r>
            <w:r>
              <w:rPr>
                <w:rFonts w:ascii="Times New Roman" w:hAnsi="Times New Roman"/>
              </w:rPr>
              <w:t>.</w:t>
            </w:r>
            <w:r w:rsidR="00E51A68">
              <w:rPr>
                <w:rFonts w:ascii="Times New Roman" w:hAnsi="Times New Roman"/>
              </w:rPr>
              <w:t xml:space="preserve"> </w:t>
            </w:r>
            <w:r w:rsidR="00E51A68" w:rsidRPr="00E51A68">
              <w:rPr>
                <w:rFonts w:ascii="Times New Roman" w:hAnsi="Times New Roman"/>
              </w:rPr>
              <w:t>W projektowanym art. 133a § 1a zaproponowano możliwość złożenia oświadczenia o rezygnacji z doręczeń na piśmie.</w:t>
            </w:r>
          </w:p>
          <w:p w14:paraId="2F51E1F6" w14:textId="55EAF35B" w:rsidR="00AD7093" w:rsidRDefault="00AD7093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 w:rsidRPr="00AD7093">
              <w:rPr>
                <w:rFonts w:ascii="Times New Roman" w:hAnsi="Times New Roman"/>
              </w:rPr>
              <w:t xml:space="preserve">Zmiana art. 133a § 3 k.p.k. </w:t>
            </w:r>
            <w:r>
              <w:rPr>
                <w:rFonts w:ascii="Times New Roman" w:hAnsi="Times New Roman"/>
              </w:rPr>
              <w:t>przewiduje</w:t>
            </w:r>
            <w:r w:rsidRPr="00AD7093">
              <w:rPr>
                <w:rFonts w:ascii="Times New Roman" w:hAnsi="Times New Roman"/>
              </w:rPr>
              <w:t xml:space="preserve"> zastąpienie wyrażenia „po upływie 14 dni” wyrażeniem „z upływem 14 dni”</w:t>
            </w:r>
            <w:r>
              <w:rPr>
                <w:rFonts w:ascii="Times New Roman" w:hAnsi="Times New Roman"/>
              </w:rPr>
              <w:t xml:space="preserve">, w celu dostosowania brzmienia przepisu do obowiązującego w judykaturze stanowiska, iż </w:t>
            </w:r>
            <w:r w:rsidRPr="00AD7093">
              <w:rPr>
                <w:rFonts w:ascii="Times New Roman" w:hAnsi="Times New Roman"/>
              </w:rPr>
              <w:t>w razie nieodebrania pisma w terminie przeznaczonym do jego odbioru, doręczenie następuje w ostatnim dniu tego terminu</w:t>
            </w:r>
            <w:r>
              <w:rPr>
                <w:rFonts w:ascii="Times New Roman" w:hAnsi="Times New Roman"/>
              </w:rPr>
              <w:t>.</w:t>
            </w:r>
          </w:p>
          <w:p w14:paraId="22AB6E4A" w14:textId="12E9B63E" w:rsidR="009E42CD" w:rsidRDefault="009E42CD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przewiduje uchylenie art. 611 § 2 k.p.k. i dodanie § 3a, zgodnie z którym sądem w</w:t>
            </w:r>
            <w:r w:rsidRPr="009E42CD">
              <w:rPr>
                <w:rFonts w:ascii="Times New Roman" w:hAnsi="Times New Roman"/>
              </w:rPr>
              <w:t>łaściwy</w:t>
            </w:r>
            <w:r>
              <w:rPr>
                <w:rFonts w:ascii="Times New Roman" w:hAnsi="Times New Roman"/>
              </w:rPr>
              <w:t>m</w:t>
            </w:r>
            <w:r w:rsidRPr="009E42CD">
              <w:rPr>
                <w:rFonts w:ascii="Times New Roman" w:hAnsi="Times New Roman"/>
              </w:rPr>
              <w:t xml:space="preserve"> do rozpoznania spraw innych niż określone w § 1 i 3 </w:t>
            </w:r>
            <w:r>
              <w:rPr>
                <w:rFonts w:ascii="Times New Roman" w:hAnsi="Times New Roman"/>
              </w:rPr>
              <w:t>będzie</w:t>
            </w:r>
            <w:r w:rsidRPr="009E42CD">
              <w:rPr>
                <w:rFonts w:ascii="Times New Roman" w:hAnsi="Times New Roman"/>
              </w:rPr>
              <w:t xml:space="preserve"> sąd rejonowy w okręgu</w:t>
            </w:r>
            <w:r w:rsidR="00937887">
              <w:rPr>
                <w:rFonts w:ascii="Times New Roman" w:hAnsi="Times New Roman"/>
              </w:rPr>
              <w:t>,</w:t>
            </w:r>
            <w:r w:rsidRPr="009E42CD">
              <w:rPr>
                <w:rFonts w:ascii="Times New Roman" w:hAnsi="Times New Roman"/>
              </w:rPr>
              <w:t xml:space="preserve"> którego skazany stale mieszkał lub czasowo przebywał, </w:t>
            </w:r>
            <w:r w:rsidR="000412C4">
              <w:rPr>
                <w:rFonts w:ascii="Times New Roman" w:hAnsi="Times New Roman"/>
              </w:rPr>
              <w:br/>
            </w:r>
            <w:r w:rsidRPr="009E42CD">
              <w:rPr>
                <w:rFonts w:ascii="Times New Roman" w:hAnsi="Times New Roman"/>
              </w:rPr>
              <w:t>a jeżeli tego nie ustalono, gdzie znajduje się mienie nadające się do egzekucji lub też skazany prowadzi działalność objętą zakazem</w:t>
            </w:r>
            <w:r>
              <w:rPr>
                <w:rFonts w:ascii="Times New Roman" w:hAnsi="Times New Roman"/>
              </w:rPr>
              <w:t>.</w:t>
            </w:r>
            <w:r w:rsidR="00C3276C">
              <w:rPr>
                <w:rFonts w:ascii="Times New Roman" w:hAnsi="Times New Roman"/>
              </w:rPr>
              <w:t xml:space="preserve"> Ma to na celu precyzyjne uregulowanie </w:t>
            </w:r>
            <w:r w:rsidR="00C3276C" w:rsidRPr="00C3276C">
              <w:rPr>
                <w:rFonts w:ascii="Times New Roman" w:hAnsi="Times New Roman"/>
              </w:rPr>
              <w:t>właściwości sądu orzekającego</w:t>
            </w:r>
            <w:r w:rsidR="00C3276C">
              <w:rPr>
                <w:rFonts w:ascii="Times New Roman" w:hAnsi="Times New Roman"/>
              </w:rPr>
              <w:t xml:space="preserve">, zgodnie z </w:t>
            </w:r>
            <w:r w:rsidR="00C3276C" w:rsidRPr="00C3276C">
              <w:rPr>
                <w:rFonts w:ascii="Times New Roman" w:hAnsi="Times New Roman"/>
              </w:rPr>
              <w:t>Protok</w:t>
            </w:r>
            <w:r w:rsidR="00C3276C">
              <w:rPr>
                <w:rFonts w:ascii="Times New Roman" w:hAnsi="Times New Roman"/>
              </w:rPr>
              <w:t>ołem</w:t>
            </w:r>
            <w:r w:rsidR="00C3276C" w:rsidRPr="00C3276C">
              <w:rPr>
                <w:rFonts w:ascii="Times New Roman" w:hAnsi="Times New Roman"/>
              </w:rPr>
              <w:t xml:space="preserve"> między Rzecząpospolitą Polską a Ukrainą o zmianie Umowy między Rzecząpospolitą Polską a Ukrainą o pomocy prawnej i stosunkach prawnych w sprawach cywilnych i karnych z dnia 24 maja 1993 r.</w:t>
            </w:r>
          </w:p>
          <w:p w14:paraId="1144FEF5" w14:textId="09F1D35E" w:rsidR="00CD470F" w:rsidRDefault="00C3276C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przewiduje także </w:t>
            </w:r>
            <w:r w:rsidRPr="00C3276C">
              <w:rPr>
                <w:rFonts w:ascii="Times New Roman" w:hAnsi="Times New Roman"/>
              </w:rPr>
              <w:t>wprowadzeni</w:t>
            </w:r>
            <w:r>
              <w:rPr>
                <w:rFonts w:ascii="Times New Roman" w:hAnsi="Times New Roman"/>
              </w:rPr>
              <w:t>e</w:t>
            </w:r>
            <w:r w:rsidRPr="00C3276C">
              <w:rPr>
                <w:rFonts w:ascii="Times New Roman" w:hAnsi="Times New Roman"/>
              </w:rPr>
              <w:t xml:space="preserve"> zmodyfikowanego wariantu postępowania w przedmiocie przejęcia i przekazania orzeczeń do wykonania, uregulowanego w Rozdziale 66 k.p.k.</w:t>
            </w:r>
            <w:r>
              <w:rPr>
                <w:rFonts w:ascii="Times New Roman" w:hAnsi="Times New Roman"/>
              </w:rPr>
              <w:t xml:space="preserve">, które </w:t>
            </w:r>
            <w:r w:rsidRPr="00C3276C">
              <w:rPr>
                <w:rFonts w:ascii="Times New Roman" w:hAnsi="Times New Roman"/>
              </w:rPr>
              <w:t>będzie dotyczyło tylko kar i środków o charakterze ni</w:t>
            </w:r>
            <w:r w:rsidR="005D6C84">
              <w:rPr>
                <w:rFonts w:ascii="Times New Roman" w:hAnsi="Times New Roman"/>
              </w:rPr>
              <w:t>e</w:t>
            </w:r>
            <w:r w:rsidRPr="00C3276C">
              <w:rPr>
                <w:rFonts w:ascii="Times New Roman" w:hAnsi="Times New Roman"/>
              </w:rPr>
              <w:t>izolacyjnym przekazywanych na podstawie umowy międzynarodowej</w:t>
            </w:r>
            <w:r w:rsidR="00A7507D">
              <w:rPr>
                <w:rFonts w:ascii="Times New Roman" w:hAnsi="Times New Roman"/>
              </w:rPr>
              <w:t>.</w:t>
            </w:r>
          </w:p>
          <w:p w14:paraId="27DF0334" w14:textId="1EF5B9A0" w:rsidR="003230CE" w:rsidRDefault="00C3276C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Minister Sprawiedliwości nie będzie brał udziału w postępowaniu, będzie jednak istniała</w:t>
            </w:r>
            <w:r w:rsidRPr="00C327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możliwość</w:t>
            </w:r>
            <w:r w:rsidRPr="00C3276C">
              <w:rPr>
                <w:rFonts w:ascii="Times New Roman" w:hAnsi="Times New Roman"/>
              </w:rPr>
              <w:t xml:space="preserve"> powrotu do rozpoznania sprawy na zasadach ogólnych, z udziałem Ministra Sprawiedliwości, jeśli tak postanowi</w:t>
            </w:r>
            <w:r>
              <w:rPr>
                <w:rFonts w:ascii="Times New Roman" w:hAnsi="Times New Roman"/>
              </w:rPr>
              <w:t>.</w:t>
            </w:r>
            <w:r w:rsidR="00AB4631">
              <w:rPr>
                <w:rFonts w:ascii="Times New Roman" w:hAnsi="Times New Roman"/>
              </w:rPr>
              <w:t xml:space="preserve"> </w:t>
            </w:r>
            <w:r w:rsidR="00AB4631" w:rsidRPr="00AB4631">
              <w:rPr>
                <w:rFonts w:ascii="Times New Roman" w:hAnsi="Times New Roman"/>
              </w:rPr>
              <w:t xml:space="preserve">Obecnie Minister ostatecznie rozstrzyga w każdej sprawie o przejęcie orzeczenia do wykonania w Rzeczypospolitej Polskiej lub występuje do właściwego organu państwa obcego o wykonanie kary lub środka. </w:t>
            </w:r>
            <w:r w:rsidR="00AB4631">
              <w:rPr>
                <w:rFonts w:ascii="Times New Roman" w:hAnsi="Times New Roman"/>
              </w:rPr>
              <w:t>Jednak zgodnie z</w:t>
            </w:r>
            <w:r w:rsidR="00AB4631" w:rsidRPr="00AB4631">
              <w:rPr>
                <w:rFonts w:ascii="Times New Roman" w:hAnsi="Times New Roman"/>
              </w:rPr>
              <w:t xml:space="preserve"> art. 82 ust. 2 Umowy zmienionej Protokołem</w:t>
            </w:r>
            <w:r w:rsidR="00AB4631">
              <w:rPr>
                <w:rFonts w:ascii="Times New Roman" w:hAnsi="Times New Roman"/>
              </w:rPr>
              <w:t xml:space="preserve">, w </w:t>
            </w:r>
            <w:r w:rsidR="00AB4631" w:rsidRPr="00AB4631">
              <w:rPr>
                <w:rFonts w:ascii="Times New Roman" w:hAnsi="Times New Roman"/>
              </w:rPr>
              <w:t>sprawach w nim wskazanych Minister Sprawiedliwości będzie rozstrzygał fakultatywnie, tylko jeśli uprzednio zadecyduje o przejęciu sprawy. Informacje pozyskane z sądu będą służyć wyłącznie rozważeniu przejęcia. Minister nie będzie żądał akt w związku z realizacją zadań związanych z nadzorem administracyjnym nad działalnością sądów powszechnych. Jak wynika z projektowanego 611f¹ § 1 k.p.k., w razie ewentualnego przejęcia sprawa toczyć się będzie od początku, na zasadach ogólnych. Minister może pozyskiwać wiedzę o sprawach godnych jego uwagi w kontekście zasadności rozważenia ich przejęcia w każdy sposób jaki uzna za możliwy i właściwy. Protokół pozostawia przejęcie sprawy do wyłącznej decyzji Ministra i nie określa jego kryteriów. Zatem to do Ministra należeć będzie ocena jakie okoliczności weźmie pod uwagę ewentualnie przejmując sprawę. W tym celu musi posiadać niezbędne informacje. W związku z tym konieczne jest upoważnienie Ministra do ich pozyskania</w:t>
            </w:r>
            <w:r w:rsidR="00AB4631">
              <w:rPr>
                <w:rFonts w:ascii="Times New Roman" w:hAnsi="Times New Roman"/>
              </w:rPr>
              <w:t>.</w:t>
            </w:r>
          </w:p>
          <w:p w14:paraId="037EFEC2" w14:textId="77777777" w:rsidR="00C3276C" w:rsidRDefault="00937887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Projektowany art. 613 § 3 k.p.k. nadaje Ministrowi Sprawiedliwości uprawnienie do </w:t>
            </w:r>
            <w:r w:rsidRPr="009E42CD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enia</w:t>
            </w:r>
            <w:r w:rsidRPr="009E42CD">
              <w:rPr>
                <w:rFonts w:ascii="Times New Roman" w:hAnsi="Times New Roman"/>
              </w:rPr>
              <w:t xml:space="preserve"> państw obc</w:t>
            </w:r>
            <w:r>
              <w:rPr>
                <w:rFonts w:ascii="Times New Roman" w:hAnsi="Times New Roman"/>
              </w:rPr>
              <w:t>ych</w:t>
            </w:r>
            <w:r w:rsidRPr="009E42CD">
              <w:rPr>
                <w:rFonts w:ascii="Times New Roman" w:hAnsi="Times New Roman"/>
              </w:rPr>
              <w:t xml:space="preserve"> i rodzaj</w:t>
            </w:r>
            <w:r>
              <w:rPr>
                <w:rFonts w:ascii="Times New Roman" w:hAnsi="Times New Roman"/>
              </w:rPr>
              <w:t>ów</w:t>
            </w:r>
            <w:r w:rsidRPr="009E42CD">
              <w:rPr>
                <w:rFonts w:ascii="Times New Roman" w:hAnsi="Times New Roman"/>
              </w:rPr>
              <w:t xml:space="preserve"> wniosków, które w stosunkach z tymi państwami mogą być przekazywane za pomocą środków komunikacji elektronicznej oraz szczegółowy sposób ich przekazywania</w:t>
            </w:r>
            <w:r>
              <w:rPr>
                <w:rFonts w:ascii="Times New Roman" w:hAnsi="Times New Roman"/>
              </w:rPr>
              <w:t xml:space="preserve">. Rozwiązanie to będzie funkcjonować obok, a nie zamiast dotychczasowych przepisów dotyczących przekazywania wniosków o ekstradycję drogą elektroniczną. </w:t>
            </w:r>
            <w:r w:rsidRPr="009E42CD">
              <w:rPr>
                <w:rFonts w:ascii="Times New Roman" w:hAnsi="Times New Roman"/>
              </w:rPr>
              <w:t>Minister weźmie pod uwagę w jakim zakresie elektronizacja obrotu jest prawnie dopuszczalna z uwagi na regulacje krajowe partnera zagranicznego oraz normy prawa międzynarodowego i faktycznie zasadna, uwzględniając wszystkie istotne okoliczności, w tym dobro postępowania karnego, konieczność zapewnienia jego sprawnego toku, stopień wiarygodności danego państwa i jego doświadczenie w komunikacji elektronicznej.</w:t>
            </w:r>
          </w:p>
          <w:p w14:paraId="2580CFDF" w14:textId="53817963" w:rsidR="00C3276C" w:rsidRDefault="00C3276C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Projektowana regulacja pozwoli również na </w:t>
            </w:r>
            <w:r w:rsidRPr="00C3276C">
              <w:rPr>
                <w:rFonts w:ascii="Times New Roman" w:hAnsi="Times New Roman"/>
              </w:rPr>
              <w:t>uznani</w:t>
            </w:r>
            <w:r>
              <w:rPr>
                <w:rFonts w:ascii="Times New Roman" w:hAnsi="Times New Roman"/>
              </w:rPr>
              <w:t>e</w:t>
            </w:r>
            <w:r w:rsidRPr="00C3276C">
              <w:rPr>
                <w:rFonts w:ascii="Times New Roman" w:hAnsi="Times New Roman"/>
              </w:rPr>
              <w:t xml:space="preserve"> kosztów deportacji do wydatków Skarbu Państwa w rozumieniu </w:t>
            </w:r>
            <w:r w:rsidR="0057276E">
              <w:rPr>
                <w:rFonts w:ascii="Times New Roman" w:hAnsi="Times New Roman"/>
              </w:rPr>
              <w:t>K.p.k.</w:t>
            </w:r>
            <w:r w:rsidRPr="00C3276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Będzie to miało charakter fakultatywny, uzależniony od wagi sprawy. Decyzję w tym przedmiocie</w:t>
            </w:r>
            <w:r w:rsidRPr="00C327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będzie podejmował</w:t>
            </w:r>
            <w:r w:rsidRPr="00C3276C">
              <w:rPr>
                <w:rFonts w:ascii="Times New Roman" w:hAnsi="Times New Roman"/>
              </w:rPr>
              <w:t xml:space="preserve"> organ procesowy.</w:t>
            </w:r>
            <w:r>
              <w:rPr>
                <w:rFonts w:ascii="Times New Roman" w:hAnsi="Times New Roman"/>
              </w:rPr>
              <w:t xml:space="preserve"> </w:t>
            </w:r>
            <w:r w:rsidRPr="00C3276C">
              <w:rPr>
                <w:rFonts w:ascii="Times New Roman" w:hAnsi="Times New Roman"/>
              </w:rPr>
              <w:t>Uży</w:t>
            </w:r>
            <w:r>
              <w:rPr>
                <w:rFonts w:ascii="Times New Roman" w:hAnsi="Times New Roman"/>
              </w:rPr>
              <w:t>cie</w:t>
            </w:r>
            <w:r w:rsidRPr="00C3276C">
              <w:rPr>
                <w:rFonts w:ascii="Times New Roman" w:hAnsi="Times New Roman"/>
              </w:rPr>
              <w:t xml:space="preserve"> w projektowanym </w:t>
            </w:r>
            <w:r>
              <w:rPr>
                <w:rFonts w:ascii="Times New Roman" w:hAnsi="Times New Roman"/>
              </w:rPr>
              <w:t>art. 618 § 1 k.p.k.</w:t>
            </w:r>
            <w:r w:rsidRPr="00C3276C">
              <w:rPr>
                <w:rFonts w:ascii="Times New Roman" w:hAnsi="Times New Roman"/>
              </w:rPr>
              <w:t xml:space="preserve"> pojęci</w:t>
            </w:r>
            <w:r>
              <w:rPr>
                <w:rFonts w:ascii="Times New Roman" w:hAnsi="Times New Roman"/>
              </w:rPr>
              <w:t xml:space="preserve">a </w:t>
            </w:r>
            <w:r w:rsidRPr="00C3276C">
              <w:rPr>
                <w:rFonts w:ascii="Times New Roman" w:hAnsi="Times New Roman"/>
              </w:rPr>
              <w:t>„zobowiązanej do powrotu do Rzeczypospolitej Polskiej” nie ma charakteru techniczno</w:t>
            </w:r>
            <w:r>
              <w:rPr>
                <w:rFonts w:ascii="Times New Roman" w:hAnsi="Times New Roman"/>
              </w:rPr>
              <w:t>-</w:t>
            </w:r>
            <w:r w:rsidRPr="00C3276C">
              <w:rPr>
                <w:rFonts w:ascii="Times New Roman" w:hAnsi="Times New Roman"/>
              </w:rPr>
              <w:t>prawnego. Nie odnosi się do żadnej konkretnej instytucji prawa obcego. Swoim zakresem obejmuje każde postępowanie związane z przymusowym wydaleniem obywatela polskiego z państwa obcego bez względu na jego szczególną nazwę w obcym systemie prawnym (np. deportacja, usunięcie, zobowiązanie do opuszczenia kraju).</w:t>
            </w:r>
          </w:p>
          <w:p w14:paraId="3796FC56" w14:textId="697BB603" w:rsidR="00AB4631" w:rsidRPr="00A064F9" w:rsidRDefault="00AB4631" w:rsidP="00A064F9">
            <w:pPr>
              <w:spacing w:after="120"/>
              <w:jc w:val="both"/>
              <w:rPr>
                <w:rFonts w:ascii="Times New Roman" w:hAnsi="Times New Roman"/>
              </w:rPr>
            </w:pPr>
            <w:r w:rsidRPr="00B66A27">
              <w:rPr>
                <w:rFonts w:ascii="Times New Roman" w:hAnsi="Times New Roman"/>
              </w:rPr>
              <w:t xml:space="preserve">W projekcie uregulowano także wprowadzenie obligatoryjności posiadania konta w </w:t>
            </w:r>
            <w:r w:rsidR="00106E8E" w:rsidRPr="00B66A27">
              <w:rPr>
                <w:rFonts w:ascii="Times New Roman" w:hAnsi="Times New Roman"/>
              </w:rPr>
              <w:t>p</w:t>
            </w:r>
            <w:r w:rsidR="00C93E97" w:rsidRPr="00B66A27">
              <w:rPr>
                <w:rFonts w:ascii="Times New Roman" w:hAnsi="Times New Roman"/>
              </w:rPr>
              <w:t>ortal</w:t>
            </w:r>
            <w:r w:rsidRPr="00B66A27">
              <w:rPr>
                <w:rFonts w:ascii="Times New Roman" w:hAnsi="Times New Roman"/>
              </w:rPr>
              <w:t>u</w:t>
            </w:r>
            <w:r w:rsidR="00C93E97" w:rsidRPr="00B66A27">
              <w:rPr>
                <w:rFonts w:ascii="Times New Roman" w:hAnsi="Times New Roman"/>
              </w:rPr>
              <w:t xml:space="preserve"> </w:t>
            </w:r>
            <w:r w:rsidR="00106E8E" w:rsidRPr="00B66A27">
              <w:rPr>
                <w:rFonts w:ascii="Times New Roman" w:hAnsi="Times New Roman"/>
              </w:rPr>
              <w:t>i</w:t>
            </w:r>
            <w:r w:rsidR="00C93E97" w:rsidRPr="00B66A27">
              <w:rPr>
                <w:rFonts w:ascii="Times New Roman" w:hAnsi="Times New Roman"/>
              </w:rPr>
              <w:t xml:space="preserve">nformacyjnym </w:t>
            </w:r>
            <w:r w:rsidRPr="00B66A27">
              <w:rPr>
                <w:rFonts w:ascii="Times New Roman" w:hAnsi="Times New Roman"/>
              </w:rPr>
              <w:t xml:space="preserve">przez powszechne jednostki organizacyjne prokuratury, co jest konsekwencją regulacji wprowadzonych w art. 53e ustawy </w:t>
            </w:r>
            <w:r w:rsidR="00F76856" w:rsidRPr="00B66A27">
              <w:rPr>
                <w:rFonts w:ascii="Times New Roman" w:hAnsi="Times New Roman"/>
              </w:rPr>
              <w:t xml:space="preserve">Prawo </w:t>
            </w:r>
            <w:r w:rsidRPr="00B66A27">
              <w:rPr>
                <w:rFonts w:ascii="Times New Roman" w:hAnsi="Times New Roman"/>
              </w:rPr>
              <w:t>o ustroju sądów powszechnych.</w:t>
            </w:r>
          </w:p>
        </w:tc>
      </w:tr>
      <w:tr w:rsidR="006A701A" w:rsidRPr="008B4FE6" w14:paraId="74364589" w14:textId="77777777" w:rsidTr="00283E2D">
        <w:trPr>
          <w:trHeight w:val="307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63F61FFE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3AFA3A00" w14:textId="77777777" w:rsidTr="00283E2D">
        <w:trPr>
          <w:trHeight w:val="286"/>
        </w:trPr>
        <w:tc>
          <w:tcPr>
            <w:tcW w:w="11086" w:type="dxa"/>
            <w:gridSpan w:val="25"/>
            <w:shd w:val="clear" w:color="auto" w:fill="auto"/>
          </w:tcPr>
          <w:p w14:paraId="6116990C" w14:textId="77777777" w:rsidR="006A701A" w:rsidRPr="00B37C80" w:rsidRDefault="00CC183C" w:rsidP="0001645A">
            <w:pPr>
              <w:spacing w:after="12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C183C">
              <w:rPr>
                <w:rFonts w:ascii="Times New Roman" w:hAnsi="Times New Roman"/>
                <w:color w:val="000000"/>
                <w:spacing w:val="-2"/>
              </w:rPr>
              <w:lastRenderedPageBreak/>
              <w:t>Projektowana regulacja ze względu na stopień jej szczegółowości nie była poddawana analizie prawnoporównawczej.</w:t>
            </w:r>
          </w:p>
        </w:tc>
      </w:tr>
      <w:tr w:rsidR="006A701A" w:rsidRPr="008B4FE6" w14:paraId="27A810AB" w14:textId="77777777" w:rsidTr="00283E2D">
        <w:trPr>
          <w:trHeight w:val="359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2C8FE745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764BF5" w:rsidRPr="008B4FE6" w14:paraId="6A8760B5" w14:textId="77777777" w:rsidTr="00140DFC">
        <w:trPr>
          <w:trHeight w:val="390"/>
        </w:trPr>
        <w:tc>
          <w:tcPr>
            <w:tcW w:w="1731" w:type="dxa"/>
            <w:shd w:val="clear" w:color="auto" w:fill="auto"/>
          </w:tcPr>
          <w:p w14:paraId="75943859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42B26E" w14:textId="77777777"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3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3C408CA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5210" w:type="dxa"/>
            <w:gridSpan w:val="11"/>
            <w:shd w:val="clear" w:color="auto" w:fill="auto"/>
          </w:tcPr>
          <w:p w14:paraId="72921D9F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E97776" w:rsidRPr="008B4FE6" w14:paraId="4B5FC4D5" w14:textId="77777777" w:rsidTr="00140DFC">
        <w:trPr>
          <w:trHeight w:val="142"/>
        </w:trPr>
        <w:tc>
          <w:tcPr>
            <w:tcW w:w="1731" w:type="dxa"/>
            <w:shd w:val="clear" w:color="auto" w:fill="auto"/>
          </w:tcPr>
          <w:p w14:paraId="6695FB02" w14:textId="68E2E16F" w:rsidR="00E97776" w:rsidRPr="008B4FE6" w:rsidRDefault="00E97776" w:rsidP="007B6E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Sądy powszechne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C0A8A" w14:textId="77777777" w:rsidR="00E97776" w:rsidRDefault="00E97776" w:rsidP="007B6E13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11 SA</w:t>
            </w:r>
          </w:p>
          <w:p w14:paraId="5A3BADA6" w14:textId="77777777" w:rsidR="00E97776" w:rsidRDefault="00E97776" w:rsidP="007B6E13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47 SO</w:t>
            </w:r>
          </w:p>
          <w:p w14:paraId="22CB7437" w14:textId="6B23DF55" w:rsidR="00E97776" w:rsidRPr="007B6E13" w:rsidRDefault="00E97776" w:rsidP="007B6E13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319 SR</w:t>
            </w:r>
          </w:p>
        </w:tc>
        <w:tc>
          <w:tcPr>
            <w:tcW w:w="2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283" w14:textId="211B78BF" w:rsidR="00E97776" w:rsidRPr="00B37C80" w:rsidRDefault="00E97776" w:rsidP="007B6E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Ministerstwo Sprawiedliwości</w:t>
            </w:r>
          </w:p>
        </w:tc>
        <w:tc>
          <w:tcPr>
            <w:tcW w:w="5210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7EC08F91" w14:textId="6D48C174" w:rsidR="00E97776" w:rsidRDefault="00C62521" w:rsidP="006C4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Możliwość </w:t>
            </w:r>
            <w:r w:rsidR="0045713F">
              <w:rPr>
                <w:rFonts w:ascii="Times New Roman" w:hAnsi="Times New Roman"/>
                <w:color w:val="000000"/>
                <w:spacing w:val="-2"/>
              </w:rPr>
              <w:t xml:space="preserve">otrzymywania pism w postępowaniu karnym od </w:t>
            </w:r>
            <w:r w:rsidR="0045713F" w:rsidRPr="0045713F">
              <w:rPr>
                <w:rFonts w:ascii="Times New Roman" w:hAnsi="Times New Roman"/>
                <w:color w:val="000000"/>
                <w:spacing w:val="-2"/>
              </w:rPr>
              <w:t>prokurator</w:t>
            </w:r>
            <w:r w:rsidR="0045713F">
              <w:rPr>
                <w:rFonts w:ascii="Times New Roman" w:hAnsi="Times New Roman"/>
                <w:color w:val="000000"/>
                <w:spacing w:val="-2"/>
              </w:rPr>
              <w:t>ów</w:t>
            </w:r>
            <w:r w:rsidR="0045713F" w:rsidRPr="0045713F">
              <w:rPr>
                <w:rFonts w:ascii="Times New Roman" w:hAnsi="Times New Roman"/>
                <w:color w:val="000000"/>
                <w:spacing w:val="-2"/>
              </w:rPr>
              <w:t>, obrońc</w:t>
            </w:r>
            <w:r w:rsidR="0045713F">
              <w:rPr>
                <w:rFonts w:ascii="Times New Roman" w:hAnsi="Times New Roman"/>
                <w:color w:val="000000"/>
                <w:spacing w:val="-2"/>
              </w:rPr>
              <w:t>ów</w:t>
            </w:r>
            <w:r w:rsidR="0045713F" w:rsidRPr="0045713F">
              <w:rPr>
                <w:rFonts w:ascii="Times New Roman" w:hAnsi="Times New Roman"/>
                <w:color w:val="000000"/>
                <w:spacing w:val="-2"/>
              </w:rPr>
              <w:t>, Prokuratori</w:t>
            </w:r>
            <w:r w:rsidR="0045713F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45713F" w:rsidRPr="0045713F">
              <w:rPr>
                <w:rFonts w:ascii="Times New Roman" w:hAnsi="Times New Roman"/>
                <w:color w:val="000000"/>
                <w:spacing w:val="-2"/>
              </w:rPr>
              <w:t xml:space="preserve"> Generaln</w:t>
            </w:r>
            <w:r w:rsidR="0045713F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45713F" w:rsidRPr="0045713F">
              <w:rPr>
                <w:rFonts w:ascii="Times New Roman" w:hAnsi="Times New Roman"/>
                <w:color w:val="000000"/>
                <w:spacing w:val="-2"/>
              </w:rPr>
              <w:t xml:space="preserve"> Rzeczypospolitej Polskiej i pełnomocnik</w:t>
            </w:r>
            <w:r w:rsidR="0045713F">
              <w:rPr>
                <w:rFonts w:ascii="Times New Roman" w:hAnsi="Times New Roman"/>
                <w:color w:val="000000"/>
                <w:spacing w:val="-2"/>
              </w:rPr>
              <w:t>ów</w:t>
            </w:r>
            <w:r w:rsidR="0045713F" w:rsidRPr="0045713F">
              <w:rPr>
                <w:rFonts w:ascii="Times New Roman" w:hAnsi="Times New Roman"/>
                <w:color w:val="000000"/>
                <w:spacing w:val="-2"/>
              </w:rPr>
              <w:t xml:space="preserve"> będący adwokatem lub radcą za pośrednictwem kont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D37398"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D37398">
              <w:rPr>
                <w:rFonts w:ascii="Times New Roman" w:hAnsi="Times New Roman"/>
                <w:color w:val="000000"/>
                <w:spacing w:val="-2"/>
              </w:rPr>
              <w:t>nformacyjnym</w:t>
            </w:r>
            <w:r w:rsidR="00052E74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7BDB3D1F" w14:textId="77777777" w:rsidR="0045713F" w:rsidRDefault="0045713F" w:rsidP="006C4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25E09C8" w14:textId="2F4CC868" w:rsidR="0045713F" w:rsidRDefault="0045713F" w:rsidP="006C4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Możliwość doręczania pism stronom w postępowaniu karnym za pośrednictwem kont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D37398"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D37398">
              <w:rPr>
                <w:rFonts w:ascii="Times New Roman" w:hAnsi="Times New Roman"/>
                <w:color w:val="000000"/>
                <w:spacing w:val="-2"/>
              </w:rPr>
              <w:t>nformacyjnym</w:t>
            </w:r>
            <w:r w:rsidR="00052E74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5F0771D9" w14:textId="77777777" w:rsidR="0045713F" w:rsidRDefault="0045713F" w:rsidP="006C4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DC29E42" w14:textId="77777777" w:rsidR="0045713F" w:rsidRDefault="0045713F" w:rsidP="006C4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Zmniejszenie obciążenia pracą pracowników sekretariatów, w szczególności biur podawczych.</w:t>
            </w:r>
          </w:p>
          <w:p w14:paraId="26D5F6B4" w14:textId="77777777" w:rsidR="0045713F" w:rsidRDefault="0045713F" w:rsidP="006C4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58180888" w14:textId="77777777" w:rsidR="0045713F" w:rsidRDefault="0045713F" w:rsidP="006C4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45713F">
              <w:rPr>
                <w:rFonts w:ascii="Times New Roman" w:hAnsi="Times New Roman"/>
                <w:color w:val="000000"/>
                <w:spacing w:val="-2"/>
              </w:rPr>
              <w:t>regulowanie właściwości sądu orzekającego, zgodnie z Protokołem między Rzecząpospolitą Polską a Ukrainą o zmianie Umowy między Rzecząpospolitą Polską a Ukrainą o pomocy prawnej i stosunkach prawnych w sprawach cywilnych i karnych z dnia 24 maja 1993 r.</w:t>
            </w:r>
          </w:p>
          <w:p w14:paraId="49B60B42" w14:textId="77777777" w:rsidR="00016D84" w:rsidRDefault="00016D84" w:rsidP="006C4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24E92B9" w14:textId="7E588BCF" w:rsidR="00016D84" w:rsidRPr="00B37C80" w:rsidRDefault="00016D84" w:rsidP="006C46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16D84">
              <w:rPr>
                <w:rFonts w:ascii="Times New Roman" w:hAnsi="Times New Roman"/>
                <w:color w:val="000000"/>
                <w:spacing w:val="-2"/>
              </w:rPr>
              <w:t xml:space="preserve">Możliwość uznania kosztów deportacji do wydatków Skarbu Państwa w rozumieniu </w:t>
            </w:r>
            <w:r w:rsidR="0057276E">
              <w:rPr>
                <w:rFonts w:ascii="Times New Roman" w:hAnsi="Times New Roman"/>
                <w:color w:val="000000"/>
                <w:spacing w:val="-2"/>
              </w:rPr>
              <w:t>K.p.k.</w:t>
            </w:r>
            <w:r w:rsidRPr="00016D84">
              <w:rPr>
                <w:rFonts w:ascii="Times New Roman" w:hAnsi="Times New Roman"/>
                <w:color w:val="000000"/>
                <w:spacing w:val="-2"/>
              </w:rPr>
              <w:t>, jeśli państwo obce odmawia poniesienia kosztów deportacji. Zwiększenie skuteczności ekstradycji.</w:t>
            </w:r>
          </w:p>
        </w:tc>
      </w:tr>
      <w:tr w:rsidR="00E97776" w:rsidRPr="008B4FE6" w14:paraId="3175DFD2" w14:textId="77777777" w:rsidTr="00140DFC">
        <w:trPr>
          <w:trHeight w:val="142"/>
        </w:trPr>
        <w:tc>
          <w:tcPr>
            <w:tcW w:w="1731" w:type="dxa"/>
            <w:shd w:val="clear" w:color="auto" w:fill="auto"/>
          </w:tcPr>
          <w:p w14:paraId="2BE02492" w14:textId="2EA47B1D" w:rsidR="00E97776" w:rsidRDefault="00E97776" w:rsidP="0072698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Powszechne jednostki organizacyjne prokuratury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2421FBC2" w14:textId="77777777" w:rsidR="00645EF3" w:rsidRPr="00645EF3" w:rsidRDefault="00645EF3" w:rsidP="007464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45EF3">
              <w:rPr>
                <w:rFonts w:ascii="Times New Roman" w:hAnsi="Times New Roman"/>
                <w:color w:val="000000"/>
                <w:spacing w:val="-2"/>
              </w:rPr>
              <w:t>11 prokuratur regionalnych</w:t>
            </w:r>
          </w:p>
          <w:p w14:paraId="46C40822" w14:textId="77777777" w:rsidR="00645EF3" w:rsidRPr="00645EF3" w:rsidRDefault="00645EF3" w:rsidP="007464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45EF3">
              <w:rPr>
                <w:rFonts w:ascii="Times New Roman" w:hAnsi="Times New Roman"/>
                <w:color w:val="000000"/>
                <w:spacing w:val="-2"/>
              </w:rPr>
              <w:t>46 prokuratur okręgowych</w:t>
            </w:r>
          </w:p>
          <w:p w14:paraId="50E7CF8D" w14:textId="6978E534" w:rsidR="00E97776" w:rsidRDefault="00645EF3" w:rsidP="007464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645EF3">
              <w:rPr>
                <w:rFonts w:ascii="Times New Roman" w:hAnsi="Times New Roman"/>
                <w:color w:val="000000"/>
                <w:spacing w:val="-2"/>
              </w:rPr>
              <w:t>358 prokuratur rejonowych</w:t>
            </w:r>
          </w:p>
        </w:tc>
        <w:tc>
          <w:tcPr>
            <w:tcW w:w="23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8123E3E" w14:textId="5734D45D" w:rsidR="00E97776" w:rsidRDefault="00645EF3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Ministerstwo Sprawiedliwości</w:t>
            </w:r>
          </w:p>
        </w:tc>
        <w:tc>
          <w:tcPr>
            <w:tcW w:w="5210" w:type="dxa"/>
            <w:gridSpan w:val="11"/>
            <w:shd w:val="clear" w:color="auto" w:fill="auto"/>
          </w:tcPr>
          <w:p w14:paraId="10CB7AEB" w14:textId="6EE0C05B" w:rsidR="00E97776" w:rsidRDefault="0045713F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Możliwość doręczania sądom pism </w:t>
            </w:r>
            <w:r w:rsidRPr="0045713F">
              <w:rPr>
                <w:rFonts w:ascii="Times New Roman" w:hAnsi="Times New Roman"/>
                <w:color w:val="000000"/>
                <w:spacing w:val="-2"/>
              </w:rPr>
              <w:t xml:space="preserve">w postępowaniu karnym za pośrednictwem kont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D37398"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D37398">
              <w:rPr>
                <w:rFonts w:ascii="Times New Roman" w:hAnsi="Times New Roman"/>
                <w:color w:val="000000"/>
                <w:spacing w:val="-2"/>
              </w:rPr>
              <w:t>nformacyjnym</w:t>
            </w:r>
            <w:r w:rsidRPr="0045713F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095F48E7" w14:textId="77777777" w:rsidR="0045713F" w:rsidRDefault="0045713F" w:rsidP="00E75DE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17A07ADF" w14:textId="150307AE" w:rsidR="0045713F" w:rsidRDefault="00016D84" w:rsidP="006061B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u</w:t>
            </w:r>
            <w:r w:rsidR="0045713F" w:rsidRPr="00C3276C">
              <w:rPr>
                <w:rFonts w:ascii="Times New Roman" w:hAnsi="Times New Roman"/>
              </w:rPr>
              <w:t>znani</w:t>
            </w:r>
            <w:r>
              <w:rPr>
                <w:rFonts w:ascii="Times New Roman" w:hAnsi="Times New Roman"/>
              </w:rPr>
              <w:t>a</w:t>
            </w:r>
            <w:r w:rsidR="0045713F" w:rsidRPr="00C3276C">
              <w:rPr>
                <w:rFonts w:ascii="Times New Roman" w:hAnsi="Times New Roman"/>
              </w:rPr>
              <w:t xml:space="preserve"> kosztów deportacji do wydatków Skarbu Państwa w rozumieniu </w:t>
            </w:r>
            <w:r w:rsidR="005D6C84">
              <w:rPr>
                <w:rFonts w:ascii="Times New Roman" w:hAnsi="Times New Roman"/>
              </w:rPr>
              <w:t>K.p.k.</w:t>
            </w:r>
            <w:r>
              <w:rPr>
                <w:rFonts w:ascii="Times New Roman" w:hAnsi="Times New Roman"/>
              </w:rPr>
              <w:t>, jeśli państwo obce odmawia poniesienia kosztów deportacji. Zwiększenie skuteczności ekstradycji.</w:t>
            </w:r>
          </w:p>
          <w:p w14:paraId="1EEAD18D" w14:textId="662692D7" w:rsidR="00AB4631" w:rsidRPr="00CD0995" w:rsidRDefault="00AB4631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 xml:space="preserve">Obligatoryjne posiadanie konta w </w:t>
            </w:r>
            <w:r w:rsidR="00106E8E">
              <w:rPr>
                <w:rFonts w:ascii="Times New Roman" w:hAnsi="Times New Roman"/>
              </w:rPr>
              <w:t>p</w:t>
            </w:r>
            <w:r w:rsidR="00C93E97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="00C93E97">
              <w:rPr>
                <w:rFonts w:ascii="Times New Roman" w:hAnsi="Times New Roman"/>
              </w:rPr>
              <w:t>nformacyjnym.</w:t>
            </w:r>
          </w:p>
        </w:tc>
      </w:tr>
      <w:tr w:rsidR="0074642B" w:rsidRPr="008B4FE6" w14:paraId="5E186D40" w14:textId="77777777" w:rsidTr="00283E2D">
        <w:trPr>
          <w:trHeight w:val="142"/>
        </w:trPr>
        <w:tc>
          <w:tcPr>
            <w:tcW w:w="1731" w:type="dxa"/>
            <w:shd w:val="clear" w:color="auto" w:fill="auto"/>
          </w:tcPr>
          <w:p w14:paraId="32EFFF92" w14:textId="21907D85" w:rsidR="0074642B" w:rsidRDefault="0074642B" w:rsidP="0072698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Minister Sprawiedliwości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3C2C5F74" w14:textId="310C2E83" w:rsidR="0074642B" w:rsidRPr="00645EF3" w:rsidRDefault="0074642B" w:rsidP="007464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</w:tcPr>
          <w:p w14:paraId="0D56AFB3" w14:textId="2EBBD24A" w:rsidR="0074642B" w:rsidRDefault="0074642B" w:rsidP="007F0021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Informacja ogólnodostępna</w:t>
            </w:r>
          </w:p>
        </w:tc>
        <w:tc>
          <w:tcPr>
            <w:tcW w:w="5210" w:type="dxa"/>
            <w:gridSpan w:val="11"/>
            <w:shd w:val="clear" w:color="auto" w:fill="auto"/>
          </w:tcPr>
          <w:p w14:paraId="37B749A5" w14:textId="18067EA1" w:rsidR="00016D84" w:rsidRDefault="00016D84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 xml:space="preserve">Uprawnienie do </w:t>
            </w:r>
            <w:r w:rsidRPr="009E42CD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enia</w:t>
            </w:r>
            <w:r w:rsidRPr="009E42CD">
              <w:rPr>
                <w:rFonts w:ascii="Times New Roman" w:hAnsi="Times New Roman"/>
              </w:rPr>
              <w:t xml:space="preserve"> państw obc</w:t>
            </w:r>
            <w:r>
              <w:rPr>
                <w:rFonts w:ascii="Times New Roman" w:hAnsi="Times New Roman"/>
              </w:rPr>
              <w:t>ych</w:t>
            </w:r>
            <w:r w:rsidRPr="009E42CD">
              <w:rPr>
                <w:rFonts w:ascii="Times New Roman" w:hAnsi="Times New Roman"/>
              </w:rPr>
              <w:t xml:space="preserve"> i rodzaj</w:t>
            </w:r>
            <w:r>
              <w:rPr>
                <w:rFonts w:ascii="Times New Roman" w:hAnsi="Times New Roman"/>
              </w:rPr>
              <w:t>ów</w:t>
            </w:r>
            <w:r w:rsidRPr="009E42CD">
              <w:rPr>
                <w:rFonts w:ascii="Times New Roman" w:hAnsi="Times New Roman"/>
              </w:rPr>
              <w:t xml:space="preserve"> wniosków, które w stosunkach z tymi państwami mogą być przekazywane za pomocą środków komunikacji elektronicznej oraz szczegółowy sposób ich przekazywania</w:t>
            </w:r>
            <w:r>
              <w:rPr>
                <w:rFonts w:ascii="Times New Roman" w:hAnsi="Times New Roman"/>
              </w:rPr>
              <w:t>.</w:t>
            </w:r>
          </w:p>
          <w:p w14:paraId="0EA7CDEA" w14:textId="77777777" w:rsidR="00016D84" w:rsidRDefault="00016D84" w:rsidP="00E75DE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26719857" w14:textId="4AA11CA0" w:rsidR="0074642B" w:rsidRDefault="00016D84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16D84">
              <w:rPr>
                <w:rFonts w:ascii="Times New Roman" w:hAnsi="Times New Roman"/>
                <w:color w:val="000000"/>
                <w:spacing w:val="-2"/>
              </w:rPr>
              <w:t xml:space="preserve">Możliwość uznania kosztów deportacji do wydatków Skarbu Państwa w rozumieniu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k</w:t>
            </w:r>
            <w:r w:rsidR="005D6C84">
              <w:rPr>
                <w:rFonts w:ascii="Times New Roman" w:hAnsi="Times New Roman"/>
                <w:color w:val="000000"/>
                <w:spacing w:val="-2"/>
              </w:rPr>
              <w:t>.p.k.</w:t>
            </w:r>
            <w:r w:rsidRPr="00016D84">
              <w:rPr>
                <w:rFonts w:ascii="Times New Roman" w:hAnsi="Times New Roman"/>
                <w:color w:val="000000"/>
                <w:spacing w:val="-2"/>
              </w:rPr>
              <w:t>, jeśli państwo obce odmawia poniesienia kosztów deportacji. Zwiększenie skuteczności ekstradycji.</w:t>
            </w:r>
          </w:p>
          <w:p w14:paraId="3BD421CC" w14:textId="77777777" w:rsidR="00016D84" w:rsidRDefault="00016D84" w:rsidP="00E75DE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519F0F3D" w14:textId="291AB630" w:rsidR="00016D84" w:rsidRPr="00CD0995" w:rsidRDefault="00016D84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Brak udziału Ministra w postępowaniach w </w:t>
            </w:r>
            <w:r w:rsidRPr="00016D84">
              <w:rPr>
                <w:rFonts w:ascii="Times New Roman" w:hAnsi="Times New Roman"/>
                <w:color w:val="000000"/>
                <w:spacing w:val="-2"/>
              </w:rPr>
              <w:t>przedmiocie przejęcia i przekazania orzeczeń do wykonania, uregulowanego w Rozdziale 66 k.p.k., które będzie dotyczyło tylko kar i środków o charakterze nieizolacyjnym przekazywanych na podstawie umowy międzynarodowej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z możliwością </w:t>
            </w:r>
            <w:r w:rsidRPr="00016D84">
              <w:rPr>
                <w:rFonts w:ascii="Times New Roman" w:hAnsi="Times New Roman"/>
                <w:color w:val="000000"/>
                <w:spacing w:val="-2"/>
              </w:rPr>
              <w:t>powrotu do rozpoznania sprawy na zasadach ogólnych, z udziałem Ministra Sprawiedliwości, jeśli tak postanowi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2F4571" w:rsidRPr="008B4FE6" w14:paraId="2CCF69C7" w14:textId="77777777" w:rsidTr="00283E2D">
        <w:trPr>
          <w:trHeight w:val="142"/>
        </w:trPr>
        <w:tc>
          <w:tcPr>
            <w:tcW w:w="1731" w:type="dxa"/>
            <w:shd w:val="clear" w:color="auto" w:fill="auto"/>
          </w:tcPr>
          <w:p w14:paraId="2B649A0D" w14:textId="5C63E007" w:rsidR="002F4571" w:rsidRDefault="002F4571" w:rsidP="0072698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Adwokaci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6FBCEB9B" w14:textId="6DFC89D2" w:rsidR="002F4571" w:rsidRPr="00DB7FF6" w:rsidRDefault="002F4571" w:rsidP="00DB7F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22280</w:t>
            </w:r>
            <w:r w:rsidRPr="00DB7FF6">
              <w:rPr>
                <w:rFonts w:ascii="Times New Roman" w:hAnsi="Times New Roman"/>
                <w:color w:val="000000"/>
                <w:spacing w:val="-2"/>
              </w:rPr>
              <w:t xml:space="preserve"> wykonujących zawód</w:t>
            </w:r>
          </w:p>
          <w:p w14:paraId="4D769D11" w14:textId="1959FD11" w:rsidR="002F4571" w:rsidRDefault="002F4571" w:rsidP="00DB7F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B7FF6">
              <w:rPr>
                <w:rFonts w:ascii="Times New Roman" w:hAnsi="Times New Roman"/>
                <w:color w:val="000000"/>
                <w:spacing w:val="-2"/>
              </w:rPr>
              <w:t xml:space="preserve">(stan na </w:t>
            </w:r>
            <w:r>
              <w:rPr>
                <w:rFonts w:ascii="Times New Roman" w:hAnsi="Times New Roman"/>
                <w:color w:val="000000"/>
                <w:spacing w:val="-2"/>
              </w:rPr>
              <w:t>16.08.</w:t>
            </w:r>
            <w:r w:rsidRPr="00DB7FF6">
              <w:rPr>
                <w:rFonts w:ascii="Times New Roman" w:hAnsi="Times New Roman"/>
                <w:color w:val="000000"/>
                <w:spacing w:val="-2"/>
              </w:rPr>
              <w:t>202</w:t>
            </w:r>
            <w:r>
              <w:rPr>
                <w:rFonts w:ascii="Times New Roman" w:hAnsi="Times New Roman"/>
                <w:color w:val="000000"/>
                <w:spacing w:val="-2"/>
              </w:rPr>
              <w:t>4 r.</w:t>
            </w:r>
            <w:r w:rsidRPr="00DB7FF6"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303" w:type="dxa"/>
            <w:gridSpan w:val="8"/>
            <w:shd w:val="clear" w:color="auto" w:fill="auto"/>
          </w:tcPr>
          <w:p w14:paraId="5A7485CB" w14:textId="0AC524DA" w:rsidR="002F4571" w:rsidRDefault="002F4571" w:rsidP="007F0021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Krajowy Rejestr Adwokatów i Aplikantów Adwokackich</w:t>
            </w:r>
          </w:p>
        </w:tc>
        <w:tc>
          <w:tcPr>
            <w:tcW w:w="5210" w:type="dxa"/>
            <w:gridSpan w:val="11"/>
            <w:vMerge w:val="restart"/>
            <w:shd w:val="clear" w:color="auto" w:fill="auto"/>
          </w:tcPr>
          <w:p w14:paraId="17C58F60" w14:textId="54DE9E56" w:rsidR="002F4571" w:rsidRDefault="002F4571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713F">
              <w:rPr>
                <w:rFonts w:ascii="Times New Roman" w:hAnsi="Times New Roman"/>
                <w:color w:val="000000"/>
                <w:spacing w:val="-2"/>
              </w:rPr>
              <w:t xml:space="preserve">Możliwość doręczania sądom pism w postępowaniu karnym za pośrednictwem kont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>nformacyjnym</w:t>
            </w:r>
            <w:r w:rsidRPr="0045713F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2EB4B591" w14:textId="77777777" w:rsidR="002F4571" w:rsidRDefault="002F4571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94AC415" w14:textId="77777777" w:rsidR="002F4571" w:rsidRDefault="002F4571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Obowiązek podania w piśmie procesowym </w:t>
            </w:r>
            <w:r w:rsidRPr="002F4571">
              <w:rPr>
                <w:rFonts w:ascii="Times New Roman" w:hAnsi="Times New Roman"/>
                <w:color w:val="000000"/>
                <w:spacing w:val="-2"/>
              </w:rPr>
              <w:t>numer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2F4571">
              <w:rPr>
                <w:rFonts w:ascii="Times New Roman" w:hAnsi="Times New Roman"/>
                <w:color w:val="000000"/>
                <w:spacing w:val="-2"/>
              </w:rPr>
              <w:t xml:space="preserve"> wpisu na właściwą listę obrońcy lub pełnomocnika będącego adwokatem lub radcą prawnym</w:t>
            </w:r>
            <w:r w:rsidR="004D0E36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7EF8DD3F" w14:textId="77777777" w:rsidR="004D0E36" w:rsidRDefault="004D0E36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33D96CF" w14:textId="1878E569" w:rsidR="004D0E36" w:rsidRPr="00CD0995" w:rsidRDefault="004D0E36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Obowiązek opatrzenia </w:t>
            </w:r>
            <w:r w:rsidRPr="004D0E36">
              <w:rPr>
                <w:rFonts w:ascii="Times New Roman" w:hAnsi="Times New Roman"/>
                <w:color w:val="000000"/>
                <w:spacing w:val="-2"/>
              </w:rPr>
              <w:t xml:space="preserve">kwalifikowanym podpisem elektronicznym, podpisem zaufanym albo podpisem osobistym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pism wnoszonych za pośrednictwem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>nformacyjnego.</w:t>
            </w:r>
          </w:p>
        </w:tc>
      </w:tr>
      <w:tr w:rsidR="002F4571" w:rsidRPr="008B4FE6" w14:paraId="778CD1CC" w14:textId="77777777" w:rsidTr="00283E2D">
        <w:trPr>
          <w:trHeight w:val="142"/>
        </w:trPr>
        <w:tc>
          <w:tcPr>
            <w:tcW w:w="1731" w:type="dxa"/>
            <w:shd w:val="clear" w:color="auto" w:fill="auto"/>
          </w:tcPr>
          <w:p w14:paraId="01F98640" w14:textId="0220E984" w:rsidR="002F4571" w:rsidRDefault="002F4571" w:rsidP="0072698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Radcowie prawni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4F374896" w14:textId="03A9CFE7" w:rsidR="002F4571" w:rsidRPr="00DB7FF6" w:rsidRDefault="002F4571" w:rsidP="00DB7F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41980</w:t>
            </w:r>
          </w:p>
          <w:p w14:paraId="16E89416" w14:textId="77777777" w:rsidR="002F4571" w:rsidRPr="00DB7FF6" w:rsidRDefault="002F4571" w:rsidP="00DB7F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B7FF6">
              <w:rPr>
                <w:rFonts w:ascii="Times New Roman" w:hAnsi="Times New Roman"/>
                <w:color w:val="000000"/>
                <w:spacing w:val="-2"/>
              </w:rPr>
              <w:lastRenderedPageBreak/>
              <w:t>wykonujących zawód</w:t>
            </w:r>
          </w:p>
          <w:p w14:paraId="5C9FEDB6" w14:textId="29EE0094" w:rsidR="002F4571" w:rsidRDefault="002F4571" w:rsidP="00DB7F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B7FF6">
              <w:rPr>
                <w:rFonts w:ascii="Times New Roman" w:hAnsi="Times New Roman"/>
                <w:color w:val="000000"/>
                <w:spacing w:val="-2"/>
              </w:rPr>
              <w:t xml:space="preserve">(stan na </w:t>
            </w:r>
            <w:r>
              <w:rPr>
                <w:rFonts w:ascii="Times New Roman" w:hAnsi="Times New Roman"/>
                <w:color w:val="000000"/>
                <w:spacing w:val="-2"/>
              </w:rPr>
              <w:t>16.08</w:t>
            </w:r>
            <w:r w:rsidRPr="00DB7FF6">
              <w:rPr>
                <w:rFonts w:ascii="Times New Roman" w:hAnsi="Times New Roman"/>
                <w:color w:val="000000"/>
                <w:spacing w:val="-2"/>
              </w:rPr>
              <w:t>.202</w:t>
            </w:r>
            <w:r>
              <w:rPr>
                <w:rFonts w:ascii="Times New Roman" w:hAnsi="Times New Roman"/>
                <w:color w:val="000000"/>
                <w:spacing w:val="-2"/>
              </w:rPr>
              <w:t>4 r.</w:t>
            </w:r>
            <w:r w:rsidRPr="00DB7FF6"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303" w:type="dxa"/>
            <w:gridSpan w:val="8"/>
            <w:shd w:val="clear" w:color="auto" w:fill="auto"/>
          </w:tcPr>
          <w:p w14:paraId="7E6F3C40" w14:textId="575CBDD5" w:rsidR="002F4571" w:rsidRDefault="002F4571" w:rsidP="007F0021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Krajowa Izba Radców Prawnych</w:t>
            </w:r>
          </w:p>
        </w:tc>
        <w:tc>
          <w:tcPr>
            <w:tcW w:w="5210" w:type="dxa"/>
            <w:gridSpan w:val="11"/>
            <w:vMerge/>
            <w:shd w:val="clear" w:color="auto" w:fill="auto"/>
          </w:tcPr>
          <w:p w14:paraId="0C6771FE" w14:textId="77777777" w:rsidR="002F4571" w:rsidRPr="00CD0995" w:rsidRDefault="002F4571" w:rsidP="00E75DE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F4571" w:rsidRPr="008B4FE6" w14:paraId="3B0FF98B" w14:textId="77777777" w:rsidTr="00283E2D">
        <w:trPr>
          <w:trHeight w:val="142"/>
        </w:trPr>
        <w:tc>
          <w:tcPr>
            <w:tcW w:w="1731" w:type="dxa"/>
            <w:shd w:val="clear" w:color="auto" w:fill="auto"/>
          </w:tcPr>
          <w:p w14:paraId="557D1E60" w14:textId="29DBF2E1" w:rsidR="002F4571" w:rsidRDefault="002F4571" w:rsidP="0072698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Prokuratoria Generalna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3C03378B" w14:textId="6FC50BF3" w:rsidR="002F4571" w:rsidRDefault="002F4571" w:rsidP="007464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303" w:type="dxa"/>
            <w:gridSpan w:val="8"/>
            <w:shd w:val="clear" w:color="auto" w:fill="auto"/>
          </w:tcPr>
          <w:p w14:paraId="6276B433" w14:textId="2A88BA68" w:rsidR="002F4571" w:rsidRDefault="002F4571" w:rsidP="007F0021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Informacja ogólnodostępna</w:t>
            </w:r>
          </w:p>
        </w:tc>
        <w:tc>
          <w:tcPr>
            <w:tcW w:w="5210" w:type="dxa"/>
            <w:gridSpan w:val="11"/>
            <w:shd w:val="clear" w:color="auto" w:fill="auto"/>
          </w:tcPr>
          <w:p w14:paraId="20193FB0" w14:textId="19A633F2" w:rsidR="002F4571" w:rsidRDefault="002F4571" w:rsidP="002F457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713F">
              <w:rPr>
                <w:rFonts w:ascii="Times New Roman" w:hAnsi="Times New Roman"/>
                <w:color w:val="000000"/>
                <w:spacing w:val="-2"/>
              </w:rPr>
              <w:t xml:space="preserve">Możliwość doręczania sądom pism w postępowaniu karnym za pośrednictwem kont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>nformacyjnym</w:t>
            </w:r>
            <w:r w:rsidRPr="0045713F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7EEBE729" w14:textId="77777777" w:rsidR="002F4571" w:rsidRPr="00CD0995" w:rsidRDefault="002F4571" w:rsidP="00E75DE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65675" w:rsidRPr="008B4FE6" w14:paraId="4A6ADC75" w14:textId="77777777" w:rsidTr="00283E2D">
        <w:trPr>
          <w:trHeight w:val="142"/>
        </w:trPr>
        <w:tc>
          <w:tcPr>
            <w:tcW w:w="1731" w:type="dxa"/>
            <w:shd w:val="clear" w:color="auto" w:fill="auto"/>
          </w:tcPr>
          <w:p w14:paraId="2369FAF8" w14:textId="63B97C14" w:rsidR="00165675" w:rsidRDefault="00C62521" w:rsidP="0072698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Obywatele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33CDB68A" w14:textId="0CC8922C" w:rsidR="00165675" w:rsidRDefault="00C62521" w:rsidP="007464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37 571 tys. (dane z maja 2024 r.</w:t>
            </w:r>
            <w:r w:rsidR="00371385"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303" w:type="dxa"/>
            <w:gridSpan w:val="8"/>
            <w:shd w:val="clear" w:color="auto" w:fill="auto"/>
          </w:tcPr>
          <w:p w14:paraId="75E099AE" w14:textId="59572EE5" w:rsidR="00165675" w:rsidRDefault="00C62521" w:rsidP="007F0021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Główny Urząd Statystyczny</w:t>
            </w:r>
          </w:p>
        </w:tc>
        <w:tc>
          <w:tcPr>
            <w:tcW w:w="5210" w:type="dxa"/>
            <w:gridSpan w:val="11"/>
            <w:shd w:val="clear" w:color="auto" w:fill="auto"/>
          </w:tcPr>
          <w:p w14:paraId="4474A857" w14:textId="0E3CCDE6" w:rsidR="00165675" w:rsidRPr="00CD0995" w:rsidRDefault="0045713F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713F">
              <w:rPr>
                <w:rFonts w:ascii="Times New Roman" w:hAnsi="Times New Roman"/>
                <w:color w:val="000000"/>
                <w:spacing w:val="-2"/>
              </w:rPr>
              <w:t xml:space="preserve">Możliwość </w:t>
            </w:r>
            <w:r>
              <w:rPr>
                <w:rFonts w:ascii="Times New Roman" w:hAnsi="Times New Roman"/>
                <w:color w:val="000000"/>
                <w:spacing w:val="-2"/>
              </w:rPr>
              <w:t>otrzymywania</w:t>
            </w:r>
            <w:r w:rsidRPr="0045713F">
              <w:rPr>
                <w:rFonts w:ascii="Times New Roman" w:hAnsi="Times New Roman"/>
                <w:color w:val="000000"/>
                <w:spacing w:val="-2"/>
              </w:rPr>
              <w:t xml:space="preserve"> pism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od sądów</w:t>
            </w:r>
            <w:r w:rsidRPr="0045713F">
              <w:rPr>
                <w:rFonts w:ascii="Times New Roman" w:hAnsi="Times New Roman"/>
                <w:color w:val="000000"/>
                <w:spacing w:val="-2"/>
              </w:rPr>
              <w:t xml:space="preserve"> w postępowaniu karnym za pośrednictwem kont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D37398"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D37398">
              <w:rPr>
                <w:rFonts w:ascii="Times New Roman" w:hAnsi="Times New Roman"/>
                <w:color w:val="000000"/>
                <w:spacing w:val="-2"/>
              </w:rPr>
              <w:t>nformacyjnym</w:t>
            </w:r>
            <w:r w:rsidRPr="0045713F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016D84">
              <w:rPr>
                <w:rFonts w:ascii="Times New Roman" w:hAnsi="Times New Roman"/>
                <w:color w:val="000000"/>
                <w:spacing w:val="-2"/>
              </w:rPr>
              <w:t xml:space="preserve"> Ułatwienie prowadzenia korespondencji sądowej bez konieczności udania się do placówki pocztowej lub biura podawczego sądu.</w:t>
            </w:r>
          </w:p>
        </w:tc>
      </w:tr>
      <w:tr w:rsidR="00354C69" w:rsidRPr="008B4FE6" w14:paraId="0E48953F" w14:textId="77777777" w:rsidTr="00283E2D">
        <w:trPr>
          <w:trHeight w:val="142"/>
        </w:trPr>
        <w:tc>
          <w:tcPr>
            <w:tcW w:w="1731" w:type="dxa"/>
            <w:shd w:val="clear" w:color="auto" w:fill="auto"/>
          </w:tcPr>
          <w:p w14:paraId="078C1A8B" w14:textId="61D351E6" w:rsidR="00354C69" w:rsidRDefault="00201BCF" w:rsidP="0072698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Operatorzy pocztowi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24E2F3FB" w14:textId="469E6269" w:rsidR="00354C69" w:rsidRDefault="00201BCF" w:rsidP="007464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270 podmiotów</w:t>
            </w:r>
          </w:p>
        </w:tc>
        <w:tc>
          <w:tcPr>
            <w:tcW w:w="2303" w:type="dxa"/>
            <w:gridSpan w:val="8"/>
            <w:shd w:val="clear" w:color="auto" w:fill="auto"/>
          </w:tcPr>
          <w:p w14:paraId="31B6A17A" w14:textId="31A89A30" w:rsidR="00354C69" w:rsidRDefault="00201BCF" w:rsidP="007F0021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Rejestr operatorów pocztowych (Urząd Komunikacji Elektronicznej)</w:t>
            </w:r>
          </w:p>
        </w:tc>
        <w:tc>
          <w:tcPr>
            <w:tcW w:w="5210" w:type="dxa"/>
            <w:gridSpan w:val="11"/>
            <w:shd w:val="clear" w:color="auto" w:fill="auto"/>
          </w:tcPr>
          <w:p w14:paraId="465D8F20" w14:textId="529732A5" w:rsidR="00354C69" w:rsidRPr="0045713F" w:rsidRDefault="00201BCF" w:rsidP="006061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Spadek przychodów związanych z doręczaniem pism </w:t>
            </w:r>
            <w:r w:rsidR="006061B9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>z sądów do stron oraz od pełnomocników, jednostek organizacyjnych prokuratury i Prokuratorii Generalnej RP do sądów.</w:t>
            </w:r>
          </w:p>
        </w:tc>
      </w:tr>
      <w:tr w:rsidR="006A701A" w:rsidRPr="008B4FE6" w14:paraId="22247D22" w14:textId="77777777" w:rsidTr="00283E2D">
        <w:trPr>
          <w:trHeight w:val="302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54FA51E4" w14:textId="77777777"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14:paraId="2AF5B4EB" w14:textId="77777777" w:rsidTr="00283E2D">
        <w:trPr>
          <w:trHeight w:val="342"/>
        </w:trPr>
        <w:tc>
          <w:tcPr>
            <w:tcW w:w="11086" w:type="dxa"/>
            <w:gridSpan w:val="25"/>
            <w:shd w:val="clear" w:color="auto" w:fill="FFFFFF"/>
          </w:tcPr>
          <w:p w14:paraId="11AD34A0" w14:textId="29595F51" w:rsidR="00794175" w:rsidRPr="00F30756" w:rsidRDefault="00794175" w:rsidP="00140DFC">
            <w:pPr>
              <w:pStyle w:val="Style7"/>
              <w:widowControl/>
              <w:spacing w:after="120" w:line="276" w:lineRule="auto"/>
              <w:ind w:right="11" w:firstLine="0"/>
              <w:rPr>
                <w:color w:val="000000"/>
                <w:spacing w:val="-2"/>
                <w:sz w:val="22"/>
                <w:szCs w:val="22"/>
              </w:rPr>
            </w:pPr>
            <w:r w:rsidRPr="00F30756">
              <w:rPr>
                <w:color w:val="000000"/>
                <w:spacing w:val="-2"/>
                <w:sz w:val="22"/>
                <w:szCs w:val="22"/>
              </w:rPr>
              <w:t>Projekt zosta</w:t>
            </w:r>
            <w:r w:rsidR="004F75F9">
              <w:rPr>
                <w:color w:val="000000"/>
                <w:spacing w:val="-2"/>
                <w:sz w:val="22"/>
                <w:szCs w:val="22"/>
              </w:rPr>
              <w:t>ł</w:t>
            </w:r>
            <w:r w:rsidR="00EE102C">
              <w:rPr>
                <w:color w:val="000000"/>
                <w:spacing w:val="-2"/>
                <w:sz w:val="22"/>
                <w:szCs w:val="22"/>
              </w:rPr>
              <w:t xml:space="preserve"> udost</w:t>
            </w:r>
            <w:r w:rsidRPr="00F30756">
              <w:rPr>
                <w:color w:val="000000"/>
                <w:spacing w:val="-2"/>
                <w:sz w:val="22"/>
                <w:szCs w:val="22"/>
              </w:rPr>
              <w:t>ępniony w Biuletynie Informacji Publicznej na stronie podmiotowej Rządowego Centrum Legislacji w serwisie Rządowy Proces Legislacyjny zgodnie z art. 5 ustawy z dnia 7 lipca 2005 r. o działalności lobbingowej w procesie stanowienia prawa (Dz. U. z 2017 r. poz. 248</w:t>
            </w:r>
            <w:r w:rsidR="00D54C83">
              <w:rPr>
                <w:color w:val="000000"/>
                <w:spacing w:val="-2"/>
                <w:sz w:val="22"/>
                <w:szCs w:val="22"/>
              </w:rPr>
              <w:t xml:space="preserve"> oraz z 2024 r. 1535</w:t>
            </w:r>
            <w:r w:rsidRPr="00F30756">
              <w:rPr>
                <w:color w:val="000000"/>
                <w:spacing w:val="-2"/>
                <w:sz w:val="22"/>
                <w:szCs w:val="22"/>
              </w:rPr>
              <w:t>) oraz § 4 i § 52 ust. 1 uchwały nr 190 Rady Ministrów z dnia 29 października 2013 r. – Regulamin pracy Rady Ministrów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F30756">
              <w:rPr>
                <w:color w:val="000000"/>
                <w:spacing w:val="-2"/>
                <w:sz w:val="22"/>
                <w:szCs w:val="22"/>
              </w:rPr>
              <w:t>(M.P. z 202</w:t>
            </w:r>
            <w:r>
              <w:rPr>
                <w:color w:val="000000"/>
                <w:spacing w:val="-2"/>
                <w:sz w:val="22"/>
                <w:szCs w:val="22"/>
              </w:rPr>
              <w:t>4</w:t>
            </w:r>
            <w:r w:rsidRPr="00F30756">
              <w:rPr>
                <w:color w:val="000000"/>
                <w:spacing w:val="-2"/>
                <w:sz w:val="22"/>
                <w:szCs w:val="22"/>
              </w:rPr>
              <w:t xml:space="preserve"> r. poz. </w:t>
            </w:r>
            <w:r>
              <w:rPr>
                <w:color w:val="000000"/>
                <w:spacing w:val="-2"/>
                <w:sz w:val="22"/>
                <w:szCs w:val="22"/>
              </w:rPr>
              <w:t>806</w:t>
            </w:r>
            <w:r w:rsidRPr="00F30756">
              <w:rPr>
                <w:color w:val="000000"/>
                <w:spacing w:val="-2"/>
                <w:sz w:val="22"/>
                <w:szCs w:val="22"/>
              </w:rPr>
              <w:t xml:space="preserve">). </w:t>
            </w:r>
          </w:p>
          <w:p w14:paraId="3CC89712" w14:textId="785FC64A" w:rsidR="00794175" w:rsidRPr="00F30756" w:rsidRDefault="00794175" w:rsidP="00773C5E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30756">
              <w:rPr>
                <w:rFonts w:ascii="Times New Roman" w:hAnsi="Times New Roman"/>
                <w:color w:val="000000"/>
                <w:spacing w:val="-2"/>
              </w:rPr>
              <w:t>W ramach opiniowania projekt zosta</w:t>
            </w:r>
            <w:r w:rsidR="004F75F9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F30756">
              <w:rPr>
                <w:rFonts w:ascii="Times New Roman" w:hAnsi="Times New Roman"/>
                <w:color w:val="000000"/>
                <w:spacing w:val="-2"/>
              </w:rPr>
              <w:t xml:space="preserve"> przekazany następującym podmiotom:</w:t>
            </w:r>
          </w:p>
          <w:p w14:paraId="7658692C" w14:textId="77777777" w:rsidR="00794175" w:rsidRPr="00F30756" w:rsidRDefault="00794175" w:rsidP="00773C5E">
            <w:pPr>
              <w:pStyle w:val="Style5"/>
              <w:widowControl/>
              <w:spacing w:line="276" w:lineRule="auto"/>
              <w:ind w:right="72" w:firstLine="0"/>
              <w:rPr>
                <w:sz w:val="22"/>
                <w:szCs w:val="22"/>
              </w:rPr>
            </w:pPr>
            <w:r w:rsidRPr="00F30756">
              <w:rPr>
                <w:sz w:val="22"/>
                <w:szCs w:val="22"/>
              </w:rPr>
              <w:t xml:space="preserve">1. Prokurator Krajowy; </w:t>
            </w:r>
          </w:p>
          <w:p w14:paraId="38C7C2CF" w14:textId="77777777" w:rsidR="00794175" w:rsidRPr="00F30756" w:rsidRDefault="00794175" w:rsidP="00773C5E">
            <w:pPr>
              <w:pStyle w:val="Style5"/>
              <w:widowControl/>
              <w:spacing w:line="276" w:lineRule="auto"/>
              <w:ind w:right="72" w:firstLine="0"/>
              <w:rPr>
                <w:sz w:val="22"/>
                <w:szCs w:val="22"/>
              </w:rPr>
            </w:pPr>
            <w:r w:rsidRPr="00F30756">
              <w:rPr>
                <w:sz w:val="22"/>
                <w:szCs w:val="22"/>
              </w:rPr>
              <w:t>2. Krajowa Rada Sądownictwa;</w:t>
            </w:r>
          </w:p>
          <w:p w14:paraId="6289428F" w14:textId="77777777" w:rsidR="00794175" w:rsidRPr="00F30756" w:rsidRDefault="00794175" w:rsidP="00773C5E">
            <w:pPr>
              <w:pStyle w:val="Style5"/>
              <w:widowControl/>
              <w:spacing w:line="276" w:lineRule="auto"/>
              <w:ind w:right="72" w:firstLine="0"/>
              <w:rPr>
                <w:sz w:val="22"/>
                <w:szCs w:val="22"/>
              </w:rPr>
            </w:pPr>
            <w:r w:rsidRPr="00F30756">
              <w:rPr>
                <w:sz w:val="22"/>
                <w:szCs w:val="22"/>
              </w:rPr>
              <w:t>3. Krajowa Rada Prokuratorów;</w:t>
            </w:r>
          </w:p>
          <w:p w14:paraId="46CB4D1A" w14:textId="77777777" w:rsidR="00794175" w:rsidRPr="00F30756" w:rsidRDefault="00794175" w:rsidP="00773C5E">
            <w:pPr>
              <w:pStyle w:val="Style5"/>
              <w:widowControl/>
              <w:spacing w:line="276" w:lineRule="auto"/>
              <w:ind w:right="72" w:firstLine="0"/>
              <w:rPr>
                <w:sz w:val="22"/>
                <w:szCs w:val="22"/>
              </w:rPr>
            </w:pPr>
            <w:r w:rsidRPr="00F30756">
              <w:rPr>
                <w:sz w:val="22"/>
                <w:szCs w:val="22"/>
              </w:rPr>
              <w:t>4. Pierwszy Prezes Sądu Najwyższego;</w:t>
            </w:r>
          </w:p>
          <w:p w14:paraId="0059C088" w14:textId="77777777" w:rsidR="00794175" w:rsidRPr="00F30756" w:rsidRDefault="00794175" w:rsidP="00773C5E">
            <w:pPr>
              <w:pStyle w:val="Style5"/>
              <w:widowControl/>
              <w:spacing w:line="276" w:lineRule="auto"/>
              <w:ind w:right="72" w:firstLine="0"/>
              <w:rPr>
                <w:sz w:val="22"/>
                <w:szCs w:val="22"/>
              </w:rPr>
            </w:pPr>
            <w:r w:rsidRPr="00F30756">
              <w:rPr>
                <w:sz w:val="22"/>
                <w:szCs w:val="22"/>
              </w:rPr>
              <w:t>5. Naczelna Rada Adwokacka;</w:t>
            </w:r>
          </w:p>
          <w:p w14:paraId="0E3BCBF8" w14:textId="77777777" w:rsidR="00794175" w:rsidRPr="00F30756" w:rsidRDefault="00794175" w:rsidP="00773C5E">
            <w:pPr>
              <w:pStyle w:val="Style5"/>
              <w:widowControl/>
              <w:spacing w:line="276" w:lineRule="auto"/>
              <w:ind w:right="72" w:firstLine="0"/>
              <w:rPr>
                <w:sz w:val="22"/>
                <w:szCs w:val="22"/>
              </w:rPr>
            </w:pPr>
            <w:r w:rsidRPr="00F30756">
              <w:rPr>
                <w:sz w:val="22"/>
                <w:szCs w:val="22"/>
              </w:rPr>
              <w:t>6. Krajowa Rada Radców Prawnych;</w:t>
            </w:r>
          </w:p>
          <w:p w14:paraId="270CA32B" w14:textId="77777777" w:rsidR="00794175" w:rsidRPr="00F30756" w:rsidRDefault="00794175" w:rsidP="00773C5E">
            <w:pPr>
              <w:pStyle w:val="Style5"/>
              <w:widowControl/>
              <w:spacing w:line="276" w:lineRule="auto"/>
              <w:ind w:right="72" w:firstLine="0"/>
              <w:rPr>
                <w:sz w:val="22"/>
                <w:szCs w:val="22"/>
              </w:rPr>
            </w:pPr>
            <w:r w:rsidRPr="00F30756">
              <w:rPr>
                <w:sz w:val="22"/>
                <w:szCs w:val="22"/>
              </w:rPr>
              <w:t>7. Prokuratoria Generalna;</w:t>
            </w:r>
          </w:p>
          <w:p w14:paraId="2ADC61B3" w14:textId="77777777" w:rsidR="00794175" w:rsidRPr="00F30756" w:rsidRDefault="00794175" w:rsidP="00140DFC">
            <w:pPr>
              <w:pStyle w:val="Style5"/>
              <w:widowControl/>
              <w:spacing w:after="120" w:line="276" w:lineRule="auto"/>
              <w:ind w:right="74" w:firstLine="0"/>
              <w:rPr>
                <w:sz w:val="22"/>
                <w:szCs w:val="22"/>
              </w:rPr>
            </w:pPr>
            <w:r w:rsidRPr="00F30756">
              <w:rPr>
                <w:sz w:val="22"/>
                <w:szCs w:val="22"/>
              </w:rPr>
              <w:t>8. Prezes Urzędu Ochrony Danych Osobowych.</w:t>
            </w:r>
          </w:p>
          <w:p w14:paraId="639CDB1B" w14:textId="6DE98F1B" w:rsidR="00794175" w:rsidRPr="00F30756" w:rsidRDefault="00794175" w:rsidP="00773C5E">
            <w:pPr>
              <w:pStyle w:val="Style5"/>
              <w:widowControl/>
              <w:spacing w:line="276" w:lineRule="auto"/>
              <w:ind w:left="38" w:right="72" w:firstLine="0"/>
              <w:rPr>
                <w:sz w:val="22"/>
                <w:szCs w:val="22"/>
              </w:rPr>
            </w:pPr>
            <w:r w:rsidRPr="00F30756">
              <w:rPr>
                <w:sz w:val="22"/>
                <w:szCs w:val="22"/>
              </w:rPr>
              <w:t xml:space="preserve">W ramach konsultacji publicznych projekt </w:t>
            </w:r>
            <w:r w:rsidR="004F75F9">
              <w:rPr>
                <w:sz w:val="22"/>
                <w:szCs w:val="22"/>
              </w:rPr>
              <w:t xml:space="preserve">został </w:t>
            </w:r>
            <w:r w:rsidRPr="00F30756">
              <w:rPr>
                <w:sz w:val="22"/>
                <w:szCs w:val="22"/>
              </w:rPr>
              <w:t xml:space="preserve">przekazany następującym podmiotom: </w:t>
            </w:r>
          </w:p>
          <w:p w14:paraId="740C573F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Prezesi S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ą</w:t>
            </w: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dów Apelacyjnych (oraz sądy okręgowe i sądy rejonowe)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187BF610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Prezesi Wojskowych Sądów Okręgowych (oraz wojskowe sądy garnizonowe)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669B861F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Powszechne jednostki organizacyjne prokuratury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777549F2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Rzecznik Praw Obywatelskich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69A2BE53" w14:textId="77777777" w:rsidR="00773C5E" w:rsidRPr="00254096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254096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Stowarzyszenie Sędziów Polskich „Iustitia”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236C6845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Stowarzyszenie Sędziów „Themis”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528DE5E1" w14:textId="77777777" w:rsidR="00773C5E" w:rsidRPr="00254096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254096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Stowarzyszenie Absolwentów i Aplikantów KSSiP Votum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28B8BD42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Stowarzyszenie Prokuratorów „Lex Super Omnia”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5241629E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Niezależne Stowarzyszenie Prokuratorów „Ad Vocem”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317138D7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Stowarzyszenie Prokuratorów Rzeczypospolitej Polskiej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5F9E6A18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Porozumienie Samorządów Zawodowych i Stowarzyszeń Prawniczych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5B58FA53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Helsińska Fundacja Praw Człowieka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7F8839A9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Amnesty International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2818FDBC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Fundacja Batorego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61CADA27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Fundacja Forum Obywatelskiego Rozwoju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3E200799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Sieć Obywatelska Watchdog Polska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6DD054F7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Fundacja Court Watch Polska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6C588682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Fundacja Krakowski Instytut Prawa Karnego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1B2D0FF5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Instytut Wymiaru Sprawiedliwości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2AC9DEAE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Centralny Instytut Analiz Polityczno-Prawnych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1D70874A" w14:textId="77777777" w:rsidR="00773C5E" w:rsidRPr="00254096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254096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Ogólnopolskie Stowarzyszenie Referendarzy Sądowych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0102DFB4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Stowarzyszenie Referendarzy Sądowych LEX IUSTA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664CAA3F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Krajowa Szkoła Sądownictwa i Prokuratury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262C1306" w14:textId="77777777" w:rsidR="00773C5E" w:rsidRPr="006B111B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6B111B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lastRenderedPageBreak/>
              <w:t>Związek Zawodowy Pracowników Wymiaru Sprawiedliwości Rzeczypospolitej Polskiej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03E28DD9" w14:textId="77777777" w:rsidR="00773C5E" w:rsidRPr="006B111B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6B111B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Związek Zawodowy Prokuratorów i Pracowników Prokuratury Rzeczypospolitej Polskiej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256867F2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Krajowy Niezależny Samorządny Związek Zawodowy „Ad Rem”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3168658A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Ogólnokrajowy Związek Zawodowy „AR Prim”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0D0C2292" w14:textId="77777777" w:rsidR="00773C5E" w:rsidRPr="003066E5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Niezależny Samorządny Związek Zawodowy Pracowników Wymiaru Sprawiedliwości Rzeczypospolitej Polskiej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259700CD" w14:textId="77777777" w:rsidR="00773C5E" w:rsidRDefault="00773C5E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3066E5"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Niezależny Samorządny Związek Zawodowy „Solidarność”</w:t>
            </w: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,</w:t>
            </w:r>
          </w:p>
          <w:p w14:paraId="678BAF77" w14:textId="0F7C5EC8" w:rsidR="00A5271C" w:rsidRDefault="00A5271C" w:rsidP="00773C5E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Forum Związków Zawodowych,</w:t>
            </w:r>
          </w:p>
          <w:p w14:paraId="058FA423" w14:textId="77777777" w:rsidR="00A5271C" w:rsidRPr="00A5271C" w:rsidRDefault="00A5271C" w:rsidP="00A5271C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>
              <w:rPr>
                <w:rFonts w:ascii="Times New Roman" w:hAnsi="Times New Roman"/>
              </w:rPr>
              <w:t>Międzyzakładowa Organizacja Związkowa Niezależnego Samorządnego Związku Zawodowego „Solidarność”,</w:t>
            </w:r>
          </w:p>
          <w:p w14:paraId="623E0201" w14:textId="021DC389" w:rsidR="00A5271C" w:rsidRPr="00A5271C" w:rsidRDefault="00A5271C" w:rsidP="00A5271C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>Ogólnopolskie Porozumienie Związków Zawodowych,</w:t>
            </w:r>
          </w:p>
          <w:p w14:paraId="39AB8B25" w14:textId="37BA29AA" w:rsidR="00993307" w:rsidRPr="00993307" w:rsidRDefault="00993307" w:rsidP="00A5271C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  <w:t xml:space="preserve">Krajowa Sekcja Służby Więziennej </w:t>
            </w:r>
            <w:r>
              <w:rPr>
                <w:rFonts w:ascii="Times New Roman" w:hAnsi="Times New Roman"/>
              </w:rPr>
              <w:t>Niezależnego Samorządnego Związku Zawodowego „Solidarność”,</w:t>
            </w:r>
          </w:p>
          <w:p w14:paraId="467BE7B2" w14:textId="1FD1853B" w:rsidR="00A5271C" w:rsidRPr="00A5271C" w:rsidRDefault="00A5271C" w:rsidP="00A5271C">
            <w:pPr>
              <w:pStyle w:val="Akapitzlist"/>
              <w:numPr>
                <w:ilvl w:val="0"/>
                <w:numId w:val="35"/>
              </w:numPr>
              <w:ind w:left="346" w:hanging="346"/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  <w:r w:rsidRPr="00A5271C">
              <w:rPr>
                <w:rFonts w:ascii="Times New Roman" w:hAnsi="Times New Roman"/>
              </w:rPr>
              <w:t>Ogólnopolska Federacja Organizacji Pozarządowych</w:t>
            </w:r>
            <w:r w:rsidR="00140DFC">
              <w:rPr>
                <w:rFonts w:ascii="Times New Roman" w:hAnsi="Times New Roman"/>
              </w:rPr>
              <w:t>.</w:t>
            </w:r>
          </w:p>
          <w:p w14:paraId="5944ED47" w14:textId="77777777" w:rsidR="00A5271C" w:rsidRPr="00993307" w:rsidRDefault="00A5271C" w:rsidP="00993307">
            <w:pPr>
              <w:jc w:val="both"/>
              <w:rPr>
                <w:rFonts w:ascii="Times New Roman" w:eastAsiaTheme="minorEastAsia" w:hAnsi="Times New Roman"/>
                <w:bCs/>
                <w:spacing w:val="-2"/>
                <w:lang w:eastAsia="pl-PL"/>
              </w:rPr>
            </w:pPr>
          </w:p>
          <w:p w14:paraId="327E1B9A" w14:textId="3423FDF7" w:rsidR="00794175" w:rsidRPr="00891927" w:rsidRDefault="00794175" w:rsidP="00140DFC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30756">
              <w:rPr>
                <w:rFonts w:ascii="Times New Roman" w:hAnsi="Times New Roman"/>
              </w:rPr>
              <w:t xml:space="preserve">Czas trwania opiniowania i konsultacji publicznych – </w:t>
            </w:r>
            <w:r w:rsidR="00223B41">
              <w:rPr>
                <w:rFonts w:ascii="Times New Roman" w:hAnsi="Times New Roman"/>
              </w:rPr>
              <w:t>21</w:t>
            </w:r>
            <w:r w:rsidRPr="00F30756">
              <w:rPr>
                <w:rFonts w:ascii="Times New Roman" w:hAnsi="Times New Roman"/>
              </w:rPr>
              <w:t xml:space="preserve"> </w:t>
            </w:r>
            <w:r w:rsidR="004F75F9">
              <w:rPr>
                <w:rFonts w:ascii="Times New Roman" w:hAnsi="Times New Roman"/>
              </w:rPr>
              <w:t xml:space="preserve">i 30 </w:t>
            </w:r>
            <w:r w:rsidRPr="00F30756">
              <w:rPr>
                <w:rFonts w:ascii="Times New Roman" w:hAnsi="Times New Roman"/>
              </w:rPr>
              <w:t>dni.</w:t>
            </w:r>
            <w:r w:rsidR="00F76856">
              <w:rPr>
                <w:rFonts w:ascii="Times New Roman" w:hAnsi="Times New Roman"/>
              </w:rPr>
              <w:t xml:space="preserve"> Wyniki konsultacji publicznych i opiniowania zostaną omówione po ich zakończeniu. </w:t>
            </w:r>
          </w:p>
        </w:tc>
      </w:tr>
      <w:tr w:rsidR="006A701A" w:rsidRPr="008B4FE6" w14:paraId="093BBD2D" w14:textId="77777777" w:rsidTr="00283E2D">
        <w:trPr>
          <w:trHeight w:val="363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2F2A6A46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8B4FE6" w14:paraId="412BE5E9" w14:textId="77777777" w:rsidTr="00140DFC">
        <w:trPr>
          <w:trHeight w:val="142"/>
        </w:trPr>
        <w:tc>
          <w:tcPr>
            <w:tcW w:w="2011" w:type="dxa"/>
            <w:gridSpan w:val="2"/>
            <w:vMerge w:val="restart"/>
            <w:shd w:val="clear" w:color="auto" w:fill="FFFFFF"/>
          </w:tcPr>
          <w:p w14:paraId="53D50E3C" w14:textId="569AAA51" w:rsidR="00260F33" w:rsidRPr="00C53F26" w:rsidRDefault="00821717" w:rsidP="000F1A49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</w:t>
            </w:r>
            <w:r w:rsidR="000F1A49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  <w:r w:rsidR="007E31C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4154C3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r.)</w:t>
            </w:r>
          </w:p>
        </w:tc>
        <w:tc>
          <w:tcPr>
            <w:tcW w:w="9075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14:paraId="2F8FF80D" w14:textId="77777777" w:rsidR="00260F33" w:rsidRPr="00C53F26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E004BC" w:rsidRPr="008B4FE6" w14:paraId="1CB8FDE7" w14:textId="77777777" w:rsidTr="00283E2D">
        <w:trPr>
          <w:trHeight w:val="142"/>
        </w:trPr>
        <w:tc>
          <w:tcPr>
            <w:tcW w:w="2011" w:type="dxa"/>
            <w:gridSpan w:val="2"/>
            <w:vMerge/>
            <w:shd w:val="clear" w:color="auto" w:fill="FFFFFF"/>
          </w:tcPr>
          <w:p w14:paraId="4C1FF7A8" w14:textId="77777777" w:rsidR="0057668E" w:rsidRPr="00C53F26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FFFFFF"/>
          </w:tcPr>
          <w:p w14:paraId="016CC3F9" w14:textId="6DEEB9DD" w:rsidR="0057668E" w:rsidRPr="00E004BC" w:rsidRDefault="00DF2F6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 (2025)</w:t>
            </w:r>
          </w:p>
        </w:tc>
        <w:tc>
          <w:tcPr>
            <w:tcW w:w="709" w:type="dxa"/>
            <w:shd w:val="clear" w:color="auto" w:fill="FFFFFF"/>
          </w:tcPr>
          <w:p w14:paraId="44A6D610" w14:textId="54C24830" w:rsidR="004154C3" w:rsidRPr="00E004BC" w:rsidRDefault="0057668E" w:rsidP="00814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853C6E"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gridSpan w:val="5"/>
            <w:shd w:val="clear" w:color="auto" w:fill="FFFFFF"/>
          </w:tcPr>
          <w:p w14:paraId="4F6EFCE7" w14:textId="77777777" w:rsidR="0057668E" w:rsidRPr="00E004BC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shd w:val="clear" w:color="auto" w:fill="FFFFFF"/>
          </w:tcPr>
          <w:p w14:paraId="6FE90E18" w14:textId="77777777" w:rsidR="0057668E" w:rsidRPr="00E004BC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ACEA94D" w14:textId="77777777" w:rsidR="0057668E" w:rsidRPr="00E004BC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4541CF1B" w14:textId="77777777" w:rsidR="0057668E" w:rsidRPr="00E004BC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08B31A60" w14:textId="77777777" w:rsidR="0057668E" w:rsidRPr="00E004BC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A078700" w14:textId="77777777" w:rsidR="0057668E" w:rsidRPr="00E004BC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DD2F8B1" w14:textId="77777777" w:rsidR="0057668E" w:rsidRPr="00E004BC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19B9B81" w14:textId="77777777" w:rsidR="0057668E" w:rsidRPr="00E004BC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14:paraId="59A991C8" w14:textId="77777777" w:rsidR="0057668E" w:rsidRPr="00E004BC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shd w:val="clear" w:color="auto" w:fill="FFFFFF"/>
          </w:tcPr>
          <w:p w14:paraId="594A9167" w14:textId="77777777" w:rsidR="0057668E" w:rsidRPr="00E004BC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E004BC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>Łącznie</w:t>
            </w:r>
            <w:r w:rsidR="00CF5F4F" w:rsidRPr="00E004BC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 xml:space="preserve"> (0-10)</w:t>
            </w:r>
          </w:p>
        </w:tc>
      </w:tr>
      <w:tr w:rsidR="00DF2F6E" w:rsidRPr="008B4FE6" w14:paraId="743E4119" w14:textId="77777777" w:rsidTr="00140DFC">
        <w:trPr>
          <w:trHeight w:val="321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7FF14674" w14:textId="77777777" w:rsidR="00DF2F6E" w:rsidRPr="00347C7D" w:rsidRDefault="00DF2F6E" w:rsidP="00DF2F6E">
            <w:pPr>
              <w:spacing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347C7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8D18A" w14:textId="32E46512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B8FA5" w14:textId="613C8D80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29817" w14:textId="36AA7631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17A74" w14:textId="184A513F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394A6" w14:textId="5BEFF8B9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A7C58" w14:textId="2DD75297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12638" w14:textId="570BEC40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3FBB3" w14:textId="1CC93715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BD534" w14:textId="41828BA2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ED0D4" w14:textId="301D4671" w:rsidR="00DF2F6E" w:rsidRPr="002413B9" w:rsidRDefault="00DF2F6E" w:rsidP="002413B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E43E9" w14:textId="46B5CF1A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014E4" w14:textId="70A1C12B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F6E" w:rsidRPr="008B4FE6" w14:paraId="6A10C1F5" w14:textId="77777777" w:rsidTr="00140DFC">
        <w:trPr>
          <w:trHeight w:val="321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135446DC" w14:textId="77777777" w:rsidR="00DF2F6E" w:rsidRPr="00C53F26" w:rsidRDefault="00DF2F6E" w:rsidP="00DF2F6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F1341" w14:textId="7F062F96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27A54" w14:textId="6B0D48E8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BE0ED" w14:textId="448510EA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0B9F6" w14:textId="761B91E2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B18B7" w14:textId="2025C2A7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FF22D" w14:textId="388836D5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AB669" w14:textId="7F7340DE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C2F8" w14:textId="6E52D6E0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8826E" w14:textId="48339C2C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083BD" w14:textId="6E242E32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AB1F8" w14:textId="47D6FB6D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A356F" w14:textId="087C9439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F6E" w:rsidRPr="008B4FE6" w14:paraId="1A281A78" w14:textId="77777777" w:rsidTr="00140DFC">
        <w:trPr>
          <w:trHeight w:val="344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1FEDBDA8" w14:textId="77777777" w:rsidR="00DF2F6E" w:rsidRPr="00C53F26" w:rsidRDefault="00DF2F6E" w:rsidP="00DF2F6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18DD9" w14:textId="2B5C9BB5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BCA66" w14:textId="77B2CB36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07B9A" w14:textId="3FE6B60D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2A6E7" w14:textId="1AB88D8E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9AB3C" w14:textId="63A9344B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AE2EE" w14:textId="5CAC6A42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09EE7" w14:textId="038C7AE4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CC09C" w14:textId="7B0A3CB1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5FF74" w14:textId="7EFB180D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5FCBB" w14:textId="7D0D2980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D4183" w14:textId="1D785C6B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7258A" w14:textId="2E4EFD17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F6E" w:rsidRPr="008B4FE6" w14:paraId="645DA9A4" w14:textId="77777777" w:rsidTr="00140DFC">
        <w:trPr>
          <w:trHeight w:val="344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0F8C2079" w14:textId="77AB61A0" w:rsidR="00DF2F6E" w:rsidRPr="00C53F26" w:rsidRDefault="00DF2F6E" w:rsidP="00DF2F6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ZUS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68240" w14:textId="1ACE3F4E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F7EE2" w14:textId="212ADC37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36F55" w14:textId="10E2F0C9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2D171" w14:textId="351B3D34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9B36A" w14:textId="6D4800DA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4E1C5" w14:textId="5D7560DC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60A92" w14:textId="3F532238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0723B" w14:textId="52C7531A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B308E" w14:textId="01D6A349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27960" w14:textId="7CFDFEB8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71DC9" w14:textId="2D7E23DA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E6D8F" w14:textId="27501F8B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F6E" w:rsidRPr="008B4FE6" w14:paraId="57A1137D" w14:textId="77777777" w:rsidTr="00140DFC">
        <w:trPr>
          <w:trHeight w:val="344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45CEA5DE" w14:textId="48E5AFFF" w:rsidR="00DF2F6E" w:rsidRDefault="00DF2F6E" w:rsidP="00DF2F6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NFZ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E02E7" w14:textId="755F50ED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215CF" w14:textId="044EFEBA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B8163" w14:textId="6D3BFD3F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F8EF9" w14:textId="7107CBB4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CE8C2" w14:textId="7E55A2B4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A2F85" w14:textId="7B11AD90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DE15F" w14:textId="73548A51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BF478" w14:textId="43CBEF93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E7C48" w14:textId="2242E50A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2A416" w14:textId="3721D659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D8FDE" w14:textId="5B3237C3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53A7A" w14:textId="47D6D636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2F6E" w:rsidRPr="008B4FE6" w14:paraId="5F9B1CA8" w14:textId="77777777" w:rsidTr="00140DFC">
        <w:trPr>
          <w:trHeight w:val="344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2DBB747E" w14:textId="79C4ED7A" w:rsidR="00DF2F6E" w:rsidRDefault="00DF2F6E" w:rsidP="00DF2F6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FP+FS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0C9A9" w14:textId="64B079C6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5219B" w14:textId="658EE9C1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6D62E" w14:textId="316F5CDD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37642" w14:textId="531EB419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C9539" w14:textId="364FC8CE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57DFA" w14:textId="703C5EC0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ECA98" w14:textId="0D4B4CAD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EFCD7" w14:textId="01B2C029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692DB" w14:textId="7B5968FA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CB1BA" w14:textId="2828F7C3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B0210" w14:textId="30921E50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B0352" w14:textId="17E4B0BC" w:rsidR="00DF2F6E" w:rsidRPr="002413B9" w:rsidRDefault="00DF2F6E" w:rsidP="002413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4BE6" w:rsidRPr="00006E04" w14:paraId="50D3F7E7" w14:textId="77777777" w:rsidTr="00140DFC">
        <w:trPr>
          <w:trHeight w:val="330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7841D63D" w14:textId="29F5FEA4" w:rsidR="007A4BE6" w:rsidRPr="00347C7D" w:rsidRDefault="007A4BE6" w:rsidP="007A4BE6">
            <w:pPr>
              <w:spacing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347C7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4D4F4" w14:textId="61DA739C" w:rsidR="007A4BE6" w:rsidRPr="002413B9" w:rsidRDefault="007A4BE6" w:rsidP="007A4BE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A529B" w14:textId="2C0D7DD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FE676" w14:textId="3FCC1D9E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93B20" w14:textId="4DB2159C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DF0A7" w14:textId="7DC2FC0D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5E8B8" w14:textId="5CB6E6F7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DC192" w14:textId="52CF56AE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7D901" w14:textId="03C2BFB4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CC279" w14:textId="1A04729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D5DE5" w14:textId="51491E9F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7EE0A" w14:textId="1B70AD1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B2EE" w14:textId="34D10308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2,09</w:t>
            </w:r>
          </w:p>
        </w:tc>
      </w:tr>
      <w:tr w:rsidR="007A4BE6" w:rsidRPr="00006E04" w14:paraId="755E8C4E" w14:textId="77777777" w:rsidTr="00140DFC">
        <w:trPr>
          <w:trHeight w:val="330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6EDA2F88" w14:textId="77777777" w:rsidR="007A4BE6" w:rsidRPr="00C53F2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E73B6" w14:textId="42E312A5" w:rsidR="007A4BE6" w:rsidRPr="002413B9" w:rsidRDefault="007A4BE6" w:rsidP="007A4B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9D7F9" w14:textId="1CA06137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F308A" w14:textId="14990719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60A1B" w14:textId="43F3DF1C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E7DD5" w14:textId="3C4C787B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2DEC" w14:textId="6FC77B3A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46C88" w14:textId="773D3FBA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48748" w14:textId="61411D0D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6A1E3" w14:textId="37ABB4F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D34F1" w14:textId="7D28A5E1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4D339" w14:textId="4CAC1042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0B18" w14:textId="516E2BB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2,09</w:t>
            </w:r>
          </w:p>
        </w:tc>
      </w:tr>
      <w:tr w:rsidR="007A4BE6" w:rsidRPr="00006E04" w14:paraId="4248B663" w14:textId="77777777" w:rsidTr="00140DFC">
        <w:trPr>
          <w:trHeight w:val="351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47397E74" w14:textId="77777777" w:rsidR="007A4BE6" w:rsidRPr="00C53F2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4F432" w14:textId="1C4F2CB2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8E3A7" w14:textId="4FBE4DDA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24E12" w14:textId="6F8D4DC7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9B831" w14:textId="1AEDC6A1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C1DB8" w14:textId="2EE9C15E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D153A" w14:textId="58ABF37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435CD" w14:textId="57A6E3AE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0CA3F" w14:textId="38797BCE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BA561" w14:textId="278F4F66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479EA" w14:textId="3FE5D36C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5F3A1" w14:textId="6EECA821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0375D" w14:textId="0A8EDA5B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4BE6" w:rsidRPr="00006E04" w14:paraId="314C3385" w14:textId="77777777" w:rsidTr="00140DFC">
        <w:trPr>
          <w:trHeight w:val="360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62A044B7" w14:textId="77777777" w:rsidR="007A4BE6" w:rsidRPr="00C53F2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91A8A" w14:textId="450306FC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BF5D9" w14:textId="52BD79FD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7E3E" w14:textId="088C4EF2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E678" w14:textId="40C16ACF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C4A2E" w14:textId="33BE2AC2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6B694" w14:textId="0B7F0431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2CF3" w14:textId="32B2A3D9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4304E" w14:textId="00F89E26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E0BDC" w14:textId="5BF4EDF8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9C381" w14:textId="4325E236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D167" w14:textId="5AD94788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73655" w14:textId="255B794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-2,09</w:t>
            </w:r>
          </w:p>
        </w:tc>
      </w:tr>
      <w:tr w:rsidR="007A4BE6" w:rsidRPr="00006E04" w14:paraId="17B4F1CB" w14:textId="77777777" w:rsidTr="00140DFC">
        <w:trPr>
          <w:trHeight w:val="360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53614A95" w14:textId="2DA5F6AE" w:rsidR="007A4BE6" w:rsidRPr="00C53F2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72B17" w14:textId="202FC10C" w:rsidR="007A4BE6" w:rsidRPr="002413B9" w:rsidRDefault="007A4BE6" w:rsidP="007A4B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CFFF3" w14:textId="49FDB7ED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3EB03" w14:textId="09BD5DBA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B4D8" w14:textId="572B508E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5ABBE" w14:textId="217B1FC8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A79CF" w14:textId="22D078AF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FAF3F" w14:textId="0A44803F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2F4CD" w14:textId="5CD7C031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5269" w14:textId="5E5A240D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5C63" w14:textId="1F640324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91E6D" w14:textId="5C9A02DF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1AFA" w14:textId="41475BD3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-2,09</w:t>
            </w:r>
          </w:p>
        </w:tc>
      </w:tr>
      <w:tr w:rsidR="007A4BE6" w:rsidRPr="008B4FE6" w14:paraId="76F58D04" w14:textId="77777777" w:rsidTr="00140DFC">
        <w:trPr>
          <w:trHeight w:val="357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13ACADB9" w14:textId="234231F4" w:rsidR="007A4BE6" w:rsidRPr="00C53F2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155CA" w14:textId="6DC5FDA1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52070" w14:textId="0596FA13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A64C6" w14:textId="79B0D697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8AB9D" w14:textId="7A0D543F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C7BE8" w14:textId="6B1E439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A3A89" w14:textId="70361677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49001" w14:textId="77774C68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56855" w14:textId="64878F5E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042EC" w14:textId="0DE17228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41A7F" w14:textId="4B54E23D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94DE9" w14:textId="7C124E58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E99F8" w14:textId="7770F27A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4BE6" w:rsidRPr="008B4FE6" w14:paraId="7FA134DB" w14:textId="77777777" w:rsidTr="00140DFC">
        <w:trPr>
          <w:trHeight w:val="357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6E637FE9" w14:textId="6C0011DB" w:rsidR="007A4BE6" w:rsidRPr="00C53F2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ZUS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EEDB3" w14:textId="5FA00A83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1E722" w14:textId="0C0450BF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CEDF9" w14:textId="102545BC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25594" w14:textId="6C65F3E3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ECBA" w14:textId="0312EBAB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B6CDE" w14:textId="6608CCB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C5D8F" w14:textId="36BB2E5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E19C8" w14:textId="3F93E8C2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FD78A" w14:textId="1CE531AA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C805A" w14:textId="12781BF9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4F7E0" w14:textId="65547D41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63DE4" w14:textId="43132F74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4BE6" w:rsidRPr="008B4FE6" w14:paraId="602BB7C2" w14:textId="77777777" w:rsidTr="00140DFC">
        <w:trPr>
          <w:trHeight w:val="357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2FB3F419" w14:textId="59B9F279" w:rsidR="007A4BE6" w:rsidRPr="00C53F2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NFZ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8325C" w14:textId="19C03BB4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0ADA4" w14:textId="1C9A5873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24B96" w14:textId="00F0FFEA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A9F9E" w14:textId="1E4A472D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A606B" w14:textId="07E7B872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1B1A1" w14:textId="7AA166B5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82F46" w14:textId="45EC88B5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A7CB4" w14:textId="28552BA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ECAEC" w14:textId="1FAF0507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BAF27" w14:textId="24D5E2D2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B48E8" w14:textId="7556070B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8A8AC" w14:textId="5210440A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4BE6" w:rsidRPr="008B4FE6" w14:paraId="4DCFB84E" w14:textId="77777777" w:rsidTr="00140DFC">
        <w:trPr>
          <w:trHeight w:val="357"/>
        </w:trPr>
        <w:tc>
          <w:tcPr>
            <w:tcW w:w="2011" w:type="dxa"/>
            <w:gridSpan w:val="2"/>
            <w:shd w:val="clear" w:color="auto" w:fill="FFFFFF"/>
            <w:vAlign w:val="center"/>
          </w:tcPr>
          <w:p w14:paraId="672AB911" w14:textId="4D97E5CC" w:rsidR="007A4BE6" w:rsidRPr="00C53F2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FP+FS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AB277" w14:textId="7EBF2262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D71A5" w14:textId="683FFBEE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DAEDE" w14:textId="3896537A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A5204" w14:textId="229938A1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9355A" w14:textId="5F9B9F2B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085A1" w14:textId="1CEE27BD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3335A" w14:textId="1E4552D6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5D093" w14:textId="66776819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F6FD2" w14:textId="18608ED9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18BA7" w14:textId="3C6B5114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760A1" w14:textId="00592870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2EDF5" w14:textId="550F17BC" w:rsidR="007A4BE6" w:rsidRPr="002413B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13B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4BE6" w:rsidRPr="008B4FE6" w14:paraId="020CE865" w14:textId="77777777" w:rsidTr="00283E2D">
        <w:trPr>
          <w:trHeight w:val="348"/>
        </w:trPr>
        <w:tc>
          <w:tcPr>
            <w:tcW w:w="1731" w:type="dxa"/>
            <w:shd w:val="clear" w:color="auto" w:fill="FFFFFF"/>
            <w:vAlign w:val="center"/>
          </w:tcPr>
          <w:p w14:paraId="7BB486B1" w14:textId="77777777" w:rsidR="007A4BE6" w:rsidRPr="00C53F2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9355" w:type="dxa"/>
            <w:gridSpan w:val="24"/>
            <w:shd w:val="clear" w:color="auto" w:fill="FFFFFF"/>
            <w:vAlign w:val="center"/>
          </w:tcPr>
          <w:p w14:paraId="0CEEF2E0" w14:textId="035634F8" w:rsidR="007A4BE6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Skutki finansowe:</w:t>
            </w:r>
          </w:p>
          <w:p w14:paraId="03544D7B" w14:textId="36F30B26" w:rsidR="007A4BE6" w:rsidRDefault="007A4BE6" w:rsidP="007A4BE6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Zmiany w systemach teleinformatycznych:</w:t>
            </w:r>
          </w:p>
          <w:p w14:paraId="542C7724" w14:textId="77777777" w:rsidR="00F94F62" w:rsidRDefault="007A4BE6" w:rsidP="007A4BE6">
            <w:pPr>
              <w:pStyle w:val="Akapitzlist"/>
              <w:numPr>
                <w:ilvl w:val="0"/>
                <w:numId w:val="30"/>
              </w:numPr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Część 15 budżetu państwa: </w:t>
            </w:r>
            <w:r w:rsidRPr="001E04C0">
              <w:rPr>
                <w:rFonts w:ascii="Times New Roman" w:hAnsi="Times New Roman"/>
                <w:color w:val="000000"/>
              </w:rPr>
              <w:t xml:space="preserve">Skutki finansowe wynikające ze zmian w systemach teleinformatycznych zostaną zrealizowane z części: 15/01, dział: 755, rozdział: 75502. </w:t>
            </w:r>
            <w:r w:rsidR="003C708B" w:rsidRPr="003C708B">
              <w:rPr>
                <w:rFonts w:ascii="Times New Roman" w:hAnsi="Times New Roman"/>
                <w:color w:val="000000"/>
              </w:rPr>
              <w:t xml:space="preserve">Wejście w życie projektowanej ustawy nie będzie generować skutków finansowych dla jednostek sektora finansów publicznych, w tym budżetu państwa i budżetów jednostek samorządu terytorialnego zarówno w roku wejścia w życie ustawy, jak i w latach następnych. </w:t>
            </w:r>
          </w:p>
          <w:p w14:paraId="05B63FF2" w14:textId="2D05ABC6" w:rsidR="007A4BE6" w:rsidRPr="00AE5387" w:rsidRDefault="003C708B" w:rsidP="00F94F62">
            <w:pPr>
              <w:pStyle w:val="Akapitzlist"/>
              <w:spacing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E5387">
              <w:rPr>
                <w:rFonts w:ascii="Times New Roman" w:hAnsi="Times New Roman"/>
                <w:color w:val="000000"/>
                <w:u w:val="single"/>
              </w:rPr>
              <w:t>Wydatki związane z wdrożeniem projektowanych rozwiązań w jednostkach sądownictwa powszechnego ponoszone są z budżetu państwa z części 15 Sądy powszechne i nie będą podstawą do ubiegania się o dodatkowe środki z budżetu państwa.</w:t>
            </w:r>
          </w:p>
          <w:p w14:paraId="6489F2D6" w14:textId="6BDC11E1" w:rsidR="007A4BE6" w:rsidRDefault="007A4BE6" w:rsidP="007A4BE6">
            <w:pPr>
              <w:pStyle w:val="Akapitzlist"/>
              <w:numPr>
                <w:ilvl w:val="0"/>
                <w:numId w:val="30"/>
              </w:numPr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Część 88 budżetu państwa: </w:t>
            </w:r>
            <w:r w:rsidRPr="008C4803">
              <w:rPr>
                <w:rFonts w:ascii="Times New Roman" w:hAnsi="Times New Roman"/>
                <w:color w:val="000000"/>
              </w:rPr>
              <w:t xml:space="preserve">Zmiany w systemie PROK-SYS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3C33B7">
              <w:rPr>
                <w:rFonts w:ascii="Times New Roman" w:hAnsi="Times New Roman"/>
                <w:color w:val="000000"/>
              </w:rPr>
              <w:t>aktualnie</w:t>
            </w:r>
            <w:r w:rsidRPr="008C4803">
              <w:rPr>
                <w:rFonts w:ascii="Times New Roman" w:hAnsi="Times New Roman"/>
                <w:color w:val="000000"/>
              </w:rPr>
              <w:t xml:space="preserve"> tocz</w:t>
            </w:r>
            <w:r w:rsidR="003C33B7">
              <w:rPr>
                <w:rFonts w:ascii="Times New Roman" w:hAnsi="Times New Roman"/>
                <w:color w:val="000000"/>
              </w:rPr>
              <w:t xml:space="preserve">y </w:t>
            </w:r>
            <w:r w:rsidRPr="008C4803">
              <w:rPr>
                <w:rFonts w:ascii="Times New Roman" w:hAnsi="Times New Roman"/>
                <w:color w:val="000000"/>
              </w:rPr>
              <w:t>się postępowanie przetargowe związane z wyborem Wykonawcy świadczącego usługi utrzymania i rozwoju systemu PROK-SYS w latach 2025-202</w:t>
            </w:r>
            <w:r w:rsidR="003C33B7">
              <w:rPr>
                <w:rFonts w:ascii="Times New Roman" w:hAnsi="Times New Roman"/>
                <w:color w:val="000000"/>
              </w:rPr>
              <w:t>7 (</w:t>
            </w:r>
            <w:r w:rsidRPr="008C4803">
              <w:rPr>
                <w:rFonts w:ascii="Times New Roman" w:hAnsi="Times New Roman"/>
                <w:color w:val="000000"/>
              </w:rPr>
              <w:t xml:space="preserve">przewidywany czas gotowości do wdrożenia rozwiązania to III-IV kwartał 2025 r., przy szacunkowym koszcie wynoszącym </w:t>
            </w:r>
            <w:r w:rsidRPr="002764BF">
              <w:rPr>
                <w:rFonts w:ascii="Times New Roman" w:hAnsi="Times New Roman"/>
                <w:b/>
                <w:bCs/>
                <w:color w:val="000000"/>
              </w:rPr>
              <w:t>ok. 600 000,00 zł</w:t>
            </w:r>
            <w:r w:rsidR="003C33B7" w:rsidRPr="001C02E6">
              <w:rPr>
                <w:rFonts w:ascii="Times New Roman" w:hAnsi="Times New Roman"/>
                <w:color w:val="000000"/>
              </w:rPr>
              <w:t>).</w:t>
            </w:r>
            <w:r w:rsidR="004A094E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74B277E" w14:textId="55B1BD24" w:rsidR="00A63BA8" w:rsidRDefault="00AE5387" w:rsidP="00A63BA8">
            <w:pPr>
              <w:pStyle w:val="Akapitzlist"/>
              <w:spacing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E5387">
              <w:rPr>
                <w:rFonts w:ascii="Times New Roman" w:hAnsi="Times New Roman"/>
                <w:color w:val="000000"/>
                <w:u w:val="single"/>
              </w:rPr>
              <w:t xml:space="preserve">Wydatki związane ze zmianami w systemach teleinformatycznych PROK-SYS wykazane w OSR w wysokości 600 000 zł zostaną zrealizowane ze środków ujętych w ustawach budżetowych w kolejnych latach, w ramach ustalonego dla dysponenta części 88 – Powszechne </w:t>
            </w:r>
            <w:r w:rsidRPr="00AE5387">
              <w:rPr>
                <w:rFonts w:ascii="Times New Roman" w:hAnsi="Times New Roman"/>
                <w:color w:val="000000"/>
                <w:u w:val="single"/>
              </w:rPr>
              <w:lastRenderedPageBreak/>
              <w:t>jednostki organizacyjne prokuratury nieprzekraczalnego limitu wydatków na dany rok budżetowy, bez konieczności ubiegania się o dodatkowe środki budżetowe na ten cel.</w:t>
            </w:r>
          </w:p>
          <w:p w14:paraId="09B84371" w14:textId="77777777" w:rsidR="00AE5387" w:rsidRDefault="00AE5387" w:rsidP="00A63BA8">
            <w:pPr>
              <w:pStyle w:val="Akapitzlist"/>
              <w:spacing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14:paraId="0592A502" w14:textId="032CBC4D" w:rsidR="00AE5387" w:rsidRPr="00AE5387" w:rsidRDefault="00AE5387" w:rsidP="00AE5387">
            <w:pPr>
              <w:pStyle w:val="Akapitzlist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E5387">
              <w:rPr>
                <w:rFonts w:ascii="Times New Roman" w:hAnsi="Times New Roman"/>
                <w:color w:val="000000"/>
              </w:rPr>
              <w:t>Zatem realizacja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387">
              <w:rPr>
                <w:rFonts w:ascii="Times New Roman" w:hAnsi="Times New Roman"/>
                <w:color w:val="000000"/>
              </w:rPr>
              <w:t>proponowanych rozwiązań będzie możliwa w ramach posiadanych środków w części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387">
              <w:rPr>
                <w:rFonts w:ascii="Times New Roman" w:hAnsi="Times New Roman"/>
                <w:color w:val="000000"/>
              </w:rPr>
              <w:t>15 – Sądy powszechne oraz w części 88 – Powszechne jednostki organizacyjne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387">
              <w:rPr>
                <w:rFonts w:ascii="Times New Roman" w:hAnsi="Times New Roman"/>
                <w:color w:val="000000"/>
              </w:rPr>
              <w:t>prokuratury, bez potrzeby ich zwiększania (ubiegania się o dodatkowe środki z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E5387">
              <w:rPr>
                <w:rFonts w:ascii="Times New Roman" w:hAnsi="Times New Roman"/>
                <w:color w:val="000000"/>
              </w:rPr>
              <w:t>budżetu państwa), zarówno w roku wejścia w życie ustawy, jak i w latach następnych.</w:t>
            </w:r>
          </w:p>
          <w:p w14:paraId="47A0E0DA" w14:textId="77777777" w:rsidR="00AE5387" w:rsidRDefault="00AE5387" w:rsidP="00A63BA8">
            <w:pPr>
              <w:pStyle w:val="Akapitzlist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07FA46C" w14:textId="77777777" w:rsidR="00A63BA8" w:rsidRPr="00A63BA8" w:rsidRDefault="00A63BA8" w:rsidP="00A63BA8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63BA8">
              <w:rPr>
                <w:rFonts w:ascii="Times New Roman" w:hAnsi="Times New Roman"/>
                <w:color w:val="000000"/>
              </w:rPr>
              <w:t xml:space="preserve">Wprowadzenie projektowanej regulacji może obniżyć koszty dla części 15 budżetu państwa „Sądy powszechne” oraz części 88 Powszechne jednostki organizacyjne prokuratury związane z doręczeniami. </w:t>
            </w:r>
          </w:p>
          <w:p w14:paraId="5BD391C2" w14:textId="77777777" w:rsidR="00A63BA8" w:rsidRPr="00A63BA8" w:rsidRDefault="00A63BA8" w:rsidP="00A63BA8">
            <w:pPr>
              <w:pStyle w:val="Akapitzlist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A63BA8">
              <w:rPr>
                <w:rFonts w:ascii="Times New Roman" w:hAnsi="Times New Roman"/>
                <w:color w:val="000000"/>
              </w:rPr>
              <w:t xml:space="preserve">Ministerstwo Sprawiedliwości nie dysponuje danymi dotyczącymi kosztów doręczeń w podziale na podmioty, do których pisma są doręczane, co pozwoliłoby na wyodrębnienie ponoszonych aktualnie wydatków sądów na korespondencję. </w:t>
            </w:r>
          </w:p>
          <w:p w14:paraId="5E8BA71A" w14:textId="77777777" w:rsidR="00A63BA8" w:rsidRPr="00A63BA8" w:rsidRDefault="00A63BA8" w:rsidP="00A63BA8">
            <w:pPr>
              <w:pStyle w:val="Akapitzlist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A63BA8">
              <w:rPr>
                <w:rFonts w:ascii="Times New Roman" w:hAnsi="Times New Roman"/>
                <w:color w:val="000000"/>
              </w:rPr>
              <w:t>W ramach funkcjonalności systemu PROK-SYS brak jest funkcjonalności pozwalających wyliczyć rodzaje pism, jakie były wysyłane do sądu i generowane z tym koszty.</w:t>
            </w:r>
          </w:p>
          <w:p w14:paraId="3F9E9AD6" w14:textId="77777777" w:rsidR="00140DFC" w:rsidRDefault="00A63BA8" w:rsidP="00A63BA8">
            <w:pPr>
              <w:pStyle w:val="Akapitzlist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A63BA8">
              <w:rPr>
                <w:rFonts w:ascii="Times New Roman" w:hAnsi="Times New Roman"/>
                <w:color w:val="000000"/>
              </w:rPr>
              <w:t xml:space="preserve">Ponadto doręczanie pism za pośrednictwem </w:t>
            </w:r>
            <w:r w:rsidR="00106E8E">
              <w:rPr>
                <w:rFonts w:ascii="Times New Roman" w:hAnsi="Times New Roman"/>
                <w:color w:val="000000"/>
              </w:rPr>
              <w:t>p</w:t>
            </w:r>
            <w:r w:rsidRPr="00A63BA8">
              <w:rPr>
                <w:rFonts w:ascii="Times New Roman" w:hAnsi="Times New Roman"/>
                <w:color w:val="000000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</w:rPr>
              <w:t>i</w:t>
            </w:r>
            <w:r w:rsidRPr="00A63BA8">
              <w:rPr>
                <w:rFonts w:ascii="Times New Roman" w:hAnsi="Times New Roman"/>
                <w:color w:val="000000"/>
              </w:rPr>
              <w:t xml:space="preserve">nformacyjnego będzie miało charakter fakultatywny. </w:t>
            </w:r>
          </w:p>
          <w:p w14:paraId="2E96724E" w14:textId="28B0BF8A" w:rsidR="00A63BA8" w:rsidRPr="00A63BA8" w:rsidRDefault="008E6D0C" w:rsidP="00A63BA8">
            <w:pPr>
              <w:pStyle w:val="Akapitzlist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8E6D0C">
              <w:rPr>
                <w:rFonts w:ascii="Times New Roman" w:hAnsi="Times New Roman"/>
                <w:color w:val="000000"/>
              </w:rPr>
              <w:t>Środki finansowe uzyskane przez powszechne jednostki prokuratury i sądy powszechne w wyniku zmniejszenia wydatków na doręczenia pism, w przypadku ich wystąpienia, będą mogły zostać przeznaczone na bieżącą działalność powszechnych jednostek prokuratury i sądów powszechnych, w tym przede wszystkim na postępowania</w:t>
            </w:r>
            <w:r w:rsidR="00A40D94">
              <w:rPr>
                <w:rFonts w:ascii="Times New Roman" w:hAnsi="Times New Roman"/>
                <w:color w:val="000000"/>
              </w:rPr>
              <w:t xml:space="preserve"> sądowe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24B67F2A" w14:textId="2DE14BE6" w:rsidR="00A63BA8" w:rsidRPr="00A63BA8" w:rsidRDefault="00A63BA8" w:rsidP="00A63BA8">
            <w:pPr>
              <w:pStyle w:val="Akapitzlist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</w:p>
          <w:p w14:paraId="4D7B16D0" w14:textId="0EC495B3" w:rsidR="00F94F62" w:rsidRDefault="00F94F62" w:rsidP="00C14885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4F62">
              <w:rPr>
                <w:rFonts w:ascii="Times New Roman" w:hAnsi="Times New Roman"/>
                <w:color w:val="000000"/>
              </w:rPr>
              <w:t xml:space="preserve">Koszty ewentualnych deportacji mogą spowodować skutki finansowe dla części 15 budżetu państwa </w:t>
            </w:r>
            <w:r w:rsidR="00A63BA8">
              <w:rPr>
                <w:rFonts w:ascii="Times New Roman" w:hAnsi="Times New Roman"/>
                <w:color w:val="000000"/>
              </w:rPr>
              <w:t xml:space="preserve">- </w:t>
            </w:r>
            <w:r w:rsidRPr="00F94F62">
              <w:rPr>
                <w:rFonts w:ascii="Times New Roman" w:hAnsi="Times New Roman"/>
                <w:color w:val="000000"/>
              </w:rPr>
              <w:t>Sądy powszechne i części 88 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4F62">
              <w:rPr>
                <w:rFonts w:ascii="Times New Roman" w:hAnsi="Times New Roman"/>
                <w:color w:val="000000"/>
              </w:rPr>
              <w:t>Powszechne jednostki organizacyjne prokuratury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69C33D20" w14:textId="206529E7" w:rsidR="00E67758" w:rsidRPr="00E67758" w:rsidRDefault="00F94F62" w:rsidP="00E67758">
            <w:pPr>
              <w:pStyle w:val="Akapitzlist"/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F94F62">
              <w:rPr>
                <w:rFonts w:ascii="Times New Roman" w:hAnsi="Times New Roman"/>
                <w:color w:val="000000"/>
              </w:rPr>
              <w:t xml:space="preserve">Jak wynika z informacji CBŚP są to przypadki dotyczące różnych jednostek prokuratury/sądu, </w:t>
            </w:r>
            <w:r w:rsidR="00A63BA8">
              <w:rPr>
                <w:rFonts w:ascii="Times New Roman" w:hAnsi="Times New Roman"/>
                <w:color w:val="000000"/>
              </w:rPr>
              <w:br/>
            </w:r>
            <w:r w:rsidRPr="00F94F62">
              <w:rPr>
                <w:rFonts w:ascii="Times New Roman" w:hAnsi="Times New Roman"/>
                <w:color w:val="000000"/>
              </w:rPr>
              <w:t>a zatem zakłada się, że w skali pojedynczych jednostek sądu/prokuratury mogą one zostać pokryte z dotychczasowych środków, zaś projektowana zmiana ma stworzyć ku temu podstawę prawną. Ponadto decyzja o uznaniu kosztów deportacji jako wydatków Skarbu Państwa będzie miała charakter fakultatywny, to znaczy każdorazowo organ procesowy będzie decydował czy zastosować to rozwiązanie w danej sprawie.</w:t>
            </w:r>
            <w:r w:rsidR="00AE5387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A4BE6" w:rsidRPr="008B4FE6" w14:paraId="1F104CD2" w14:textId="77777777" w:rsidTr="00283E2D">
        <w:trPr>
          <w:trHeight w:val="558"/>
        </w:trPr>
        <w:tc>
          <w:tcPr>
            <w:tcW w:w="1731" w:type="dxa"/>
            <w:shd w:val="clear" w:color="auto" w:fill="FFFFFF"/>
          </w:tcPr>
          <w:p w14:paraId="443C1028" w14:textId="77777777" w:rsidR="007A4BE6" w:rsidRPr="00B864C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864C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9355" w:type="dxa"/>
            <w:gridSpan w:val="24"/>
            <w:shd w:val="clear" w:color="auto" w:fill="FFFFFF"/>
          </w:tcPr>
          <w:p w14:paraId="2DC2C14E" w14:textId="7D52EAA2" w:rsidR="007A4BE6" w:rsidRPr="00A63BA8" w:rsidRDefault="007A4BE6" w:rsidP="00A63BA8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63BA8">
              <w:rPr>
                <w:rFonts w:ascii="Times New Roman" w:hAnsi="Times New Roman"/>
                <w:color w:val="000000"/>
              </w:rPr>
              <w:t xml:space="preserve">W kontekście projektowanych rozwiązań, zostało przeprowadzone szacowanie zmian wraz z wykonawcą usługi utrzymania i rozwoju systemu. Oszacowano potencjalne koszty po stronie dostawców systemów repertoryjno-biurowych w sądach (SRB), jak również koszty techniczne (np. licencje, infrastruktura, etc.). Jednocześnie w kwestii dotyczącej kosztów modyfikacji </w:t>
            </w:r>
            <w:r w:rsidR="00106E8E">
              <w:rPr>
                <w:rFonts w:ascii="Times New Roman" w:hAnsi="Times New Roman"/>
                <w:color w:val="000000"/>
              </w:rPr>
              <w:t>p</w:t>
            </w:r>
            <w:r w:rsidRPr="00A63BA8">
              <w:rPr>
                <w:rFonts w:ascii="Times New Roman" w:hAnsi="Times New Roman"/>
                <w:color w:val="000000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</w:rPr>
              <w:t>i</w:t>
            </w:r>
            <w:r w:rsidRPr="00A63BA8">
              <w:rPr>
                <w:rFonts w:ascii="Times New Roman" w:hAnsi="Times New Roman"/>
                <w:color w:val="000000"/>
              </w:rPr>
              <w:t>nformacyjnego oraz SRB nie została jeszcze przeprowadzona kompleksowa analiza (przez analityków systemowych) implementacji przepisów, które wciąż istnieją jedynie jako projekt. Tym samym poniższe dane mają charakter szacunkowy:</w:t>
            </w:r>
          </w:p>
          <w:p w14:paraId="3BFF621F" w14:textId="2E237C8E" w:rsidR="007A4BE6" w:rsidRPr="00354C69" w:rsidRDefault="007A4BE6" w:rsidP="007A4BE6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4C69">
              <w:rPr>
                <w:rFonts w:ascii="Times New Roman" w:hAnsi="Times New Roman"/>
                <w:color w:val="000000"/>
              </w:rPr>
              <w:t xml:space="preserve">Doręczenia elektroniczne względem użytkowników </w:t>
            </w:r>
            <w:r w:rsidR="00106E8E">
              <w:rPr>
                <w:rFonts w:ascii="Times New Roman" w:hAnsi="Times New Roman"/>
                <w:color w:val="000000"/>
              </w:rPr>
              <w:t>p</w:t>
            </w:r>
            <w:r w:rsidRPr="00354C69">
              <w:rPr>
                <w:rFonts w:ascii="Times New Roman" w:hAnsi="Times New Roman"/>
                <w:color w:val="000000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nformacyjnego </w:t>
            </w:r>
            <w:r w:rsidRPr="00354C69">
              <w:rPr>
                <w:rFonts w:ascii="Times New Roman" w:hAnsi="Times New Roman"/>
                <w:color w:val="000000"/>
              </w:rPr>
              <w:t xml:space="preserve">w kpc i kpk: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354C69">
              <w:rPr>
                <w:rFonts w:ascii="Times New Roman" w:hAnsi="Times New Roman"/>
                <w:color w:val="000000"/>
              </w:rPr>
              <w:t>104 350,00 zł</w:t>
            </w:r>
          </w:p>
          <w:p w14:paraId="0FC5DA2D" w14:textId="77777777" w:rsidR="007A4BE6" w:rsidRPr="00354C69" w:rsidRDefault="007A4BE6" w:rsidP="007A4BE6">
            <w:pPr>
              <w:pStyle w:val="Akapitzlist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4C69">
              <w:rPr>
                <w:rFonts w:ascii="Times New Roman" w:hAnsi="Times New Roman"/>
                <w:color w:val="000000"/>
              </w:rPr>
              <w:t>Uruchomienie możliwości wnoszenia pism procesowych w postępowaniu cywilnym oraz w postępowaniu karnym: 417 400 zł</w:t>
            </w:r>
          </w:p>
          <w:p w14:paraId="5D7789D8" w14:textId="4DF0004E" w:rsidR="007A4BE6" w:rsidRPr="00354C69" w:rsidRDefault="007A4BE6" w:rsidP="003C33B7">
            <w:pPr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354C69">
              <w:rPr>
                <w:rFonts w:ascii="Times New Roman" w:hAnsi="Times New Roman"/>
                <w:color w:val="000000"/>
              </w:rPr>
              <w:t xml:space="preserve">Suma: </w:t>
            </w:r>
            <w:r w:rsidRPr="002764BF">
              <w:rPr>
                <w:rFonts w:ascii="Times New Roman" w:hAnsi="Times New Roman"/>
                <w:b/>
                <w:bCs/>
                <w:color w:val="000000"/>
              </w:rPr>
              <w:t>521 750,00 zł</w:t>
            </w:r>
          </w:p>
          <w:p w14:paraId="2E88206D" w14:textId="16683BCE" w:rsidR="007A4BE6" w:rsidRPr="00984FED" w:rsidRDefault="007A4BE6" w:rsidP="00A63BA8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984FED">
              <w:rPr>
                <w:rFonts w:ascii="Times New Roman" w:hAnsi="Times New Roman"/>
              </w:rPr>
              <w:t xml:space="preserve">W ślad za zmianami zakłada się wzrost wolumenu danych przechowywanych w bazie danych </w:t>
            </w:r>
            <w:r w:rsidR="00106E8E">
              <w:rPr>
                <w:rFonts w:ascii="Times New Roman" w:hAnsi="Times New Roman"/>
              </w:rPr>
              <w:t>p</w:t>
            </w:r>
            <w:r w:rsidRPr="00984FED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Pr="00984FED">
              <w:rPr>
                <w:rFonts w:ascii="Times New Roman" w:hAnsi="Times New Roman"/>
              </w:rPr>
              <w:t xml:space="preserve">nformacyjnego tj. SAP HANA, co implikuje konieczność zapewnienia dodatkowych licencji na pamięć bazy. Wymagany zakup licencji w ilości dwóch paczek 64 GB po jednej na ośrodek przetwarzania wraz ze wsparciem na okres 2 lat wynosi </w:t>
            </w:r>
            <w:r w:rsidRPr="00DD0B17">
              <w:rPr>
                <w:rFonts w:ascii="Times New Roman" w:hAnsi="Times New Roman"/>
                <w:b/>
                <w:bCs/>
              </w:rPr>
              <w:t>566 784,00 zł.</w:t>
            </w:r>
            <w:r w:rsidRPr="00984FED">
              <w:rPr>
                <w:rFonts w:ascii="Times New Roman" w:hAnsi="Times New Roman"/>
              </w:rPr>
              <w:t xml:space="preserve"> Ponadto nie zidentyfikowano potrzeb natury sprzętowej (macierze, serwery), będących konsekwencją zwiększenia wolumenu przechowywanych danych (w szczególności przechowywania plików składanych do </w:t>
            </w:r>
            <w:r w:rsidR="00106E8E">
              <w:rPr>
                <w:rFonts w:ascii="Times New Roman" w:hAnsi="Times New Roman"/>
              </w:rPr>
              <w:t>p</w:t>
            </w:r>
            <w:r w:rsidRPr="00984FED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Pr="00984FED">
              <w:rPr>
                <w:rFonts w:ascii="Times New Roman" w:hAnsi="Times New Roman"/>
              </w:rPr>
              <w:t>nformacyjnego).</w:t>
            </w:r>
          </w:p>
          <w:p w14:paraId="13B13455" w14:textId="1E7CAEB3" w:rsidR="007A4BE6" w:rsidRPr="00984FED" w:rsidRDefault="007A4BE6" w:rsidP="00A63BA8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984FED">
              <w:rPr>
                <w:rFonts w:ascii="Times New Roman" w:hAnsi="Times New Roman"/>
              </w:rPr>
              <w:t xml:space="preserve">Rozwój zasobów infrastrukturalnych powinien następować ewolucyjnie w zależności od popularności nowych funkcjonalności </w:t>
            </w:r>
            <w:r w:rsidR="00106E8E">
              <w:rPr>
                <w:rFonts w:ascii="Times New Roman" w:hAnsi="Times New Roman"/>
              </w:rPr>
              <w:t>p</w:t>
            </w:r>
            <w:r w:rsidRPr="00984FED">
              <w:rPr>
                <w:rFonts w:ascii="Times New Roman" w:hAnsi="Times New Roman"/>
              </w:rPr>
              <w:t xml:space="preserve">ortalu </w:t>
            </w:r>
            <w:r w:rsidR="00106E8E">
              <w:rPr>
                <w:rFonts w:ascii="Times New Roman" w:hAnsi="Times New Roman"/>
              </w:rPr>
              <w:t>i</w:t>
            </w:r>
            <w:r w:rsidRPr="00984FED">
              <w:rPr>
                <w:rFonts w:ascii="Times New Roman" w:hAnsi="Times New Roman"/>
              </w:rPr>
              <w:t>nformacyjnego. Niemniej jednak, Sąd Apelacyjny we Wrocławiu zabezpieczył środki w budżecie na rok 2024 i 2025 na potencjalny zakup dodatkowych urządzeń pamięci masowej w związku z potencjalną zmianą sposobu przechowywania danych w ramach PI.</w:t>
            </w:r>
          </w:p>
          <w:p w14:paraId="31FAB3F9" w14:textId="07719BFE" w:rsidR="007A4BE6" w:rsidRPr="00EB4641" w:rsidRDefault="007A4BE6" w:rsidP="00A63BA8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984FED">
              <w:rPr>
                <w:rFonts w:ascii="Times New Roman" w:hAnsi="Times New Roman"/>
              </w:rPr>
              <w:t xml:space="preserve">Dodatkowo, w związku z realizacją postulatów dotyczących doręczeń pomiędzy pełnomocnikami oraz możliwości wnoszenia pism do sądów, zachodzi konieczność modyfikacji systemów repertoryjno-biurowych w celu umożliwienia automatycznego przyjmowania dokumentów i odnotowywania ich w sprawach za pośrednictwem API systemu sądowego. Bazując na przeprowadzanych dotychczas integracjach można przyjąć następujące wartości Zeto – </w:t>
            </w:r>
            <w:r w:rsidRPr="00DD0B17">
              <w:rPr>
                <w:rFonts w:ascii="Times New Roman" w:hAnsi="Times New Roman"/>
                <w:b/>
                <w:bCs/>
              </w:rPr>
              <w:t>150 000 zł</w:t>
            </w:r>
            <w:r w:rsidRPr="00984FED">
              <w:rPr>
                <w:rFonts w:ascii="Times New Roman" w:hAnsi="Times New Roman"/>
              </w:rPr>
              <w:t xml:space="preserve"> </w:t>
            </w:r>
            <w:r w:rsidRPr="00984FED">
              <w:rPr>
                <w:rFonts w:ascii="Times New Roman" w:hAnsi="Times New Roman"/>
              </w:rPr>
              <w:lastRenderedPageBreak/>
              <w:t xml:space="preserve">oraz Currenda </w:t>
            </w:r>
            <w:r w:rsidRPr="00DD0B17">
              <w:rPr>
                <w:rFonts w:ascii="Times New Roman" w:hAnsi="Times New Roman"/>
                <w:b/>
                <w:bCs/>
              </w:rPr>
              <w:t>250 000 zł</w:t>
            </w:r>
            <w:r w:rsidRPr="00984FED">
              <w:rPr>
                <w:rFonts w:ascii="Times New Roman" w:hAnsi="Times New Roman"/>
              </w:rPr>
              <w:t>. Podobnych kosztów można się również spodziewać u innych producentów SRB.</w:t>
            </w:r>
          </w:p>
          <w:p w14:paraId="78A6CA77" w14:textId="6AEBCD40" w:rsidR="007A4BE6" w:rsidRPr="00EB4641" w:rsidRDefault="007A4BE6" w:rsidP="00A63BA8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382653">
              <w:rPr>
                <w:rFonts w:ascii="Times New Roman" w:hAnsi="Times New Roman"/>
                <w:color w:val="000000"/>
              </w:rPr>
              <w:t xml:space="preserve">Obecne funkcjonalności systemu PROK-SYS, wykorzystywanego w powszechnych jednostkach organizacyjnych prokuratury do obsługi doręczeń i ekspedycji korespondencji, nie przewidują możliwości dokonywania ekspedycji pism do </w:t>
            </w:r>
            <w:r w:rsidR="00106E8E">
              <w:rPr>
                <w:rFonts w:ascii="Times New Roman" w:hAnsi="Times New Roman"/>
                <w:color w:val="000000"/>
              </w:rPr>
              <w:t>p</w:t>
            </w:r>
            <w:r w:rsidR="00C93E97" w:rsidRPr="00382653">
              <w:rPr>
                <w:rFonts w:ascii="Times New Roman" w:hAnsi="Times New Roman"/>
                <w:color w:val="000000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</w:rPr>
              <w:t>i</w:t>
            </w:r>
            <w:r w:rsidR="00C93E97" w:rsidRPr="00382653">
              <w:rPr>
                <w:rFonts w:ascii="Times New Roman" w:hAnsi="Times New Roman"/>
                <w:color w:val="000000"/>
              </w:rPr>
              <w:t>nformacyjnego</w:t>
            </w:r>
            <w:r w:rsidRPr="00382653">
              <w:rPr>
                <w:rFonts w:ascii="Times New Roman" w:hAnsi="Times New Roman"/>
                <w:color w:val="000000"/>
              </w:rPr>
              <w:t xml:space="preserve">. W ramach prowadzonych prac rozwojowych w pierwszym kwartale </w:t>
            </w:r>
            <w:r>
              <w:rPr>
                <w:rFonts w:ascii="Times New Roman" w:hAnsi="Times New Roman"/>
                <w:color w:val="000000"/>
              </w:rPr>
              <w:t xml:space="preserve">2024 </w:t>
            </w:r>
            <w:r w:rsidRPr="00382653">
              <w:rPr>
                <w:rFonts w:ascii="Times New Roman" w:hAnsi="Times New Roman"/>
                <w:color w:val="000000"/>
              </w:rPr>
              <w:t xml:space="preserve">r. w systemie PROK-SYS został zaimplementowany komponent umożliwiający doręczenia pism sądowych z </w:t>
            </w:r>
            <w:r w:rsidR="00106E8E">
              <w:rPr>
                <w:rFonts w:ascii="Times New Roman" w:hAnsi="Times New Roman"/>
                <w:color w:val="000000"/>
              </w:rPr>
              <w:t>p</w:t>
            </w:r>
            <w:r w:rsidR="00C93E97" w:rsidRPr="00382653">
              <w:rPr>
                <w:rFonts w:ascii="Times New Roman" w:hAnsi="Times New Roman"/>
                <w:color w:val="000000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</w:rPr>
              <w:t>i</w:t>
            </w:r>
            <w:r w:rsidR="00C93E97" w:rsidRPr="00382653">
              <w:rPr>
                <w:rFonts w:ascii="Times New Roman" w:hAnsi="Times New Roman"/>
                <w:color w:val="000000"/>
              </w:rPr>
              <w:t xml:space="preserve">nformacyjnego </w:t>
            </w:r>
            <w:r w:rsidRPr="00382653">
              <w:rPr>
                <w:rFonts w:ascii="Times New Roman" w:hAnsi="Times New Roman"/>
                <w:color w:val="000000"/>
              </w:rPr>
              <w:t>do systemu PROK-SYS z wykorzystaniem zautomatyzowanej rejestracji w podsystemie Elektronicznego Obiegu Dokumentów (EOD).</w:t>
            </w:r>
          </w:p>
          <w:p w14:paraId="18B97B07" w14:textId="6B3252C7" w:rsidR="007A4BE6" w:rsidRPr="00382653" w:rsidRDefault="007A4BE6" w:rsidP="00A63BA8">
            <w:pPr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382653">
              <w:rPr>
                <w:rFonts w:ascii="Times New Roman" w:hAnsi="Times New Roman"/>
                <w:color w:val="000000"/>
              </w:rPr>
              <w:t xml:space="preserve">Projektowana zmiana legislacyjna jest możliwa do technicznej implementacji jednak wymaga budowy komponentu, który będzie umożliwiał obok funkcjonujących doręczeń, także ekspedycję wraz z rejestracją przesyłki wychodzącej w EOD. Zmiany w systemie PROK-SYS związane z implementacją projektowanej zmiany legislacyjnej wymagają również przeprowadzenia analizy biznesowej procesów, których zmiana dotyczy i szczegółowego opisania wymagań. Z uwagi na toczące się postępowanie przetargowe związane z wyborem Wykonawcy świadczącego usługi utrzymania i rozwoju systemu PROK-SYS w latach 2025-2027, przewidywany czas gotowości do wdrożenia rozwiązania to III-IV kwartał 2025 r., przy szacunkowym koszcie wynoszącym </w:t>
            </w:r>
            <w:r w:rsidRPr="00DD0B17">
              <w:rPr>
                <w:rFonts w:ascii="Times New Roman" w:hAnsi="Times New Roman"/>
                <w:b/>
                <w:bCs/>
                <w:color w:val="000000"/>
              </w:rPr>
              <w:t>ok. 600 000,00 zł.</w:t>
            </w:r>
          </w:p>
          <w:p w14:paraId="375F19E4" w14:textId="77777777" w:rsidR="007A4BE6" w:rsidRPr="00382653" w:rsidRDefault="007A4BE6" w:rsidP="00A63BA8">
            <w:pPr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382653">
              <w:rPr>
                <w:rFonts w:ascii="Times New Roman" w:hAnsi="Times New Roman"/>
                <w:color w:val="000000"/>
              </w:rPr>
              <w:t>W bieżącym roku możliwe jest rozpoczęcie prac koncepcyjnych tj. opracowanie projektu rozwiązania przy jednoczesnym braku możliwości prowadzenia prac związanych z budową rozwiązania przez programistów obecnego Wykonawcy z uwagi na toczące się postępowanie przetargowe, którego zakres nie może już ulegać zmianie. Wskazane okoliczności umożliwiają podjęcie prac programistycznych dopiero na początku roku 2025 przez wykonawcę wyłonionego w trwającym postępowaniu o udzielenie zamówienia publicznego.</w:t>
            </w:r>
          </w:p>
          <w:p w14:paraId="015650BD" w14:textId="77777777" w:rsidR="007A4BE6" w:rsidRDefault="007A4BE6" w:rsidP="007A4BE6">
            <w:pPr>
              <w:spacing w:line="240" w:lineRule="auto"/>
              <w:jc w:val="both"/>
            </w:pPr>
          </w:p>
          <w:p w14:paraId="45FB69C2" w14:textId="6CC3EBF9" w:rsidR="007A4BE6" w:rsidRPr="00A63BA8" w:rsidRDefault="007A4BE6" w:rsidP="00A63BA8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63BA8">
              <w:rPr>
                <w:rFonts w:ascii="Times New Roman" w:hAnsi="Times New Roman"/>
                <w:color w:val="000000"/>
              </w:rPr>
              <w:t>W oparciu o dane zawarte w systemie PROK-SYS za rok 2023 zarejestrowano następujące dane ilościowe w zakresie przesyłek kierowanych do sądów:</w:t>
            </w:r>
          </w:p>
          <w:p w14:paraId="6E79B3E2" w14:textId="77777777" w:rsidR="007A4BE6" w:rsidRPr="00943B1F" w:rsidRDefault="007A4BE6" w:rsidP="00A63BA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068"/>
              <w:jc w:val="both"/>
              <w:rPr>
                <w:rFonts w:ascii="Times New Roman" w:hAnsi="Times New Roman"/>
                <w:color w:val="000000"/>
              </w:rPr>
            </w:pPr>
            <w:r w:rsidRPr="00943B1F">
              <w:rPr>
                <w:rFonts w:ascii="Times New Roman" w:hAnsi="Times New Roman"/>
                <w:color w:val="000000"/>
              </w:rPr>
              <w:t>ilość przesyłek ogółem - 1 316 345,</w:t>
            </w:r>
          </w:p>
          <w:p w14:paraId="5119FDC1" w14:textId="77777777" w:rsidR="007A4BE6" w:rsidRPr="00943B1F" w:rsidRDefault="007A4BE6" w:rsidP="00A63BA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068"/>
              <w:jc w:val="both"/>
              <w:rPr>
                <w:rFonts w:ascii="Times New Roman" w:hAnsi="Times New Roman"/>
                <w:color w:val="000000"/>
              </w:rPr>
            </w:pPr>
            <w:r w:rsidRPr="00943B1F">
              <w:rPr>
                <w:rFonts w:ascii="Times New Roman" w:hAnsi="Times New Roman"/>
                <w:color w:val="000000"/>
              </w:rPr>
              <w:t>ilość przesyłek wymagających opłaty:</w:t>
            </w:r>
          </w:p>
          <w:p w14:paraId="090AAEEE" w14:textId="77777777" w:rsidR="007A4BE6" w:rsidRPr="00943B1F" w:rsidRDefault="007A4BE6" w:rsidP="00A63BA8">
            <w:pPr>
              <w:pStyle w:val="Akapitzlist"/>
              <w:spacing w:line="240" w:lineRule="auto"/>
              <w:ind w:left="1068"/>
              <w:jc w:val="both"/>
              <w:rPr>
                <w:rFonts w:ascii="Times New Roman" w:hAnsi="Times New Roman"/>
                <w:color w:val="000000"/>
              </w:rPr>
            </w:pPr>
            <w:r w:rsidRPr="00943B1F">
              <w:rPr>
                <w:rFonts w:ascii="Times New Roman" w:hAnsi="Times New Roman"/>
                <w:color w:val="000000"/>
              </w:rPr>
              <w:t>- Poczta Polska 170 960 szt.,</w:t>
            </w:r>
          </w:p>
          <w:p w14:paraId="79E5A41E" w14:textId="77777777" w:rsidR="007A4BE6" w:rsidRPr="00943B1F" w:rsidRDefault="007A4BE6" w:rsidP="00A63BA8">
            <w:pPr>
              <w:pStyle w:val="Akapitzlist"/>
              <w:spacing w:line="240" w:lineRule="auto"/>
              <w:ind w:left="1068"/>
              <w:jc w:val="both"/>
              <w:rPr>
                <w:rFonts w:ascii="Times New Roman" w:hAnsi="Times New Roman"/>
                <w:color w:val="000000"/>
              </w:rPr>
            </w:pPr>
            <w:r w:rsidRPr="00943B1F">
              <w:rPr>
                <w:rFonts w:ascii="Times New Roman" w:hAnsi="Times New Roman"/>
                <w:color w:val="000000"/>
              </w:rPr>
              <w:t xml:space="preserve">- firma kurierska 208 szt., </w:t>
            </w:r>
          </w:p>
          <w:p w14:paraId="4B232B74" w14:textId="79D613EC" w:rsidR="007A4BE6" w:rsidRPr="00943B1F" w:rsidRDefault="007A4BE6" w:rsidP="00A63BA8">
            <w:pPr>
              <w:pStyle w:val="Akapitzlist"/>
              <w:spacing w:line="240" w:lineRule="auto"/>
              <w:ind w:left="1068"/>
              <w:jc w:val="both"/>
              <w:rPr>
                <w:rFonts w:ascii="Times New Roman" w:hAnsi="Times New Roman"/>
                <w:color w:val="000000"/>
              </w:rPr>
            </w:pPr>
            <w:r w:rsidRPr="00943B1F">
              <w:rPr>
                <w:rFonts w:ascii="Times New Roman" w:hAnsi="Times New Roman"/>
                <w:color w:val="000000"/>
              </w:rPr>
              <w:t>- Pocztex 20 szt.</w:t>
            </w:r>
          </w:p>
          <w:p w14:paraId="7F0E2997" w14:textId="3C3770D1" w:rsidR="007A4BE6" w:rsidRPr="00943B1F" w:rsidRDefault="007A4BE6" w:rsidP="00A63BA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068"/>
              <w:jc w:val="both"/>
              <w:rPr>
                <w:rFonts w:ascii="Times New Roman" w:hAnsi="Times New Roman"/>
                <w:color w:val="000000"/>
              </w:rPr>
            </w:pPr>
            <w:r w:rsidRPr="00943B1F">
              <w:rPr>
                <w:rFonts w:ascii="Times New Roman" w:hAnsi="Times New Roman"/>
                <w:color w:val="000000"/>
              </w:rPr>
              <w:t>ilość przesyłek niewymagających opłaty (bezkosztowo, głównie goniec - kierowca) przesłano 1 145 157 szt.</w:t>
            </w:r>
            <w:r w:rsidR="003C33B7">
              <w:rPr>
                <w:rFonts w:ascii="Times New Roman" w:hAnsi="Times New Roman"/>
                <w:color w:val="000000"/>
              </w:rPr>
              <w:t>,</w:t>
            </w:r>
            <w:r w:rsidRPr="00943B1F">
              <w:rPr>
                <w:rFonts w:ascii="Times New Roman" w:hAnsi="Times New Roman"/>
                <w:color w:val="000000"/>
              </w:rPr>
              <w:t xml:space="preserve"> co stanowi 87% wszystkich przesyłek.</w:t>
            </w:r>
          </w:p>
          <w:p w14:paraId="0B448210" w14:textId="77404B1C" w:rsidR="007A4BE6" w:rsidRDefault="007A4BE6" w:rsidP="00A63BA8">
            <w:pPr>
              <w:spacing w:line="240" w:lineRule="auto"/>
              <w:ind w:left="708"/>
              <w:jc w:val="both"/>
              <w:rPr>
                <w:rFonts w:ascii="Times New Roman" w:hAnsi="Times New Roman"/>
                <w:color w:val="000000"/>
              </w:rPr>
            </w:pPr>
            <w:r w:rsidRPr="00943B1F">
              <w:rPr>
                <w:rFonts w:ascii="Times New Roman" w:hAnsi="Times New Roman"/>
                <w:color w:val="000000"/>
              </w:rPr>
              <w:t>Łączny koszt wszystkich przesyłek wymagających opłaty ekspediowanych do sądów wyniósł 1 554 331,44 zł.</w:t>
            </w:r>
          </w:p>
          <w:p w14:paraId="529BD069" w14:textId="35B86574" w:rsidR="007A4BE6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Dane za 2023 r.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24"/>
              <w:gridCol w:w="1924"/>
              <w:gridCol w:w="1924"/>
              <w:gridCol w:w="1925"/>
            </w:tblGrid>
            <w:tr w:rsidR="007A4BE6" w14:paraId="3B39E050" w14:textId="77777777" w:rsidTr="00A63BA8">
              <w:trPr>
                <w:trHeight w:val="595"/>
                <w:jc w:val="center"/>
              </w:trPr>
              <w:tc>
                <w:tcPr>
                  <w:tcW w:w="1924" w:type="dxa"/>
                </w:tcPr>
                <w:p w14:paraId="0CC4DA64" w14:textId="1BCB2B48" w:rsidR="007A4BE6" w:rsidRDefault="007A4BE6" w:rsidP="007A4BE6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Rodzaj spraw</w:t>
                  </w:r>
                </w:p>
              </w:tc>
              <w:tc>
                <w:tcPr>
                  <w:tcW w:w="1924" w:type="dxa"/>
                </w:tcPr>
                <w:p w14:paraId="76FAF7E8" w14:textId="1E3B0216" w:rsidR="007A4BE6" w:rsidRDefault="007A4BE6" w:rsidP="00526618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Ilość spraw</w:t>
                  </w:r>
                </w:p>
              </w:tc>
              <w:tc>
                <w:tcPr>
                  <w:tcW w:w="1924" w:type="dxa"/>
                </w:tcPr>
                <w:p w14:paraId="1505675C" w14:textId="68DB9A48" w:rsidR="007A4BE6" w:rsidRDefault="007A4BE6" w:rsidP="00526618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% wpływu</w:t>
                  </w:r>
                </w:p>
              </w:tc>
              <w:tc>
                <w:tcPr>
                  <w:tcW w:w="1925" w:type="dxa"/>
                </w:tcPr>
                <w:p w14:paraId="1B077094" w14:textId="77777777" w:rsidR="007A4BE6" w:rsidRPr="00BB6A89" w:rsidRDefault="007A4BE6" w:rsidP="00526618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BB6A89">
                    <w:rPr>
                      <w:rFonts w:ascii="Times New Roman" w:hAnsi="Times New Roman"/>
                      <w:color w:val="000000"/>
                    </w:rPr>
                    <w:t xml:space="preserve">koszty przesyłek do </w:t>
                  </w:r>
                </w:p>
                <w:p w14:paraId="07768C3A" w14:textId="77777777" w:rsidR="007A4BE6" w:rsidRPr="00BB6A89" w:rsidRDefault="007A4BE6" w:rsidP="00526618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BB6A89">
                    <w:rPr>
                      <w:rFonts w:ascii="Times New Roman" w:hAnsi="Times New Roman"/>
                      <w:color w:val="000000"/>
                    </w:rPr>
                    <w:t xml:space="preserve">sądu (w całym toku </w:t>
                  </w:r>
                </w:p>
                <w:p w14:paraId="0B5AF371" w14:textId="69EE48DC" w:rsidR="007A4BE6" w:rsidRDefault="007A4BE6" w:rsidP="00526618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BB6A89">
                    <w:rPr>
                      <w:rFonts w:ascii="Times New Roman" w:hAnsi="Times New Roman"/>
                      <w:color w:val="000000"/>
                    </w:rPr>
                    <w:t>postępowania)</w:t>
                  </w:r>
                </w:p>
              </w:tc>
            </w:tr>
            <w:tr w:rsidR="007A4BE6" w14:paraId="711B0570" w14:textId="77777777" w:rsidTr="00A63BA8">
              <w:trPr>
                <w:trHeight w:val="198"/>
                <w:jc w:val="center"/>
              </w:trPr>
              <w:tc>
                <w:tcPr>
                  <w:tcW w:w="1924" w:type="dxa"/>
                </w:tcPr>
                <w:p w14:paraId="365F219F" w14:textId="0E9F5BC3" w:rsidR="007A4BE6" w:rsidRDefault="007A4BE6" w:rsidP="007A4BE6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Wpływ spraw</w:t>
                  </w:r>
                </w:p>
              </w:tc>
              <w:tc>
                <w:tcPr>
                  <w:tcW w:w="1924" w:type="dxa"/>
                </w:tcPr>
                <w:p w14:paraId="7A99B251" w14:textId="1D7E254B" w:rsidR="007A4BE6" w:rsidRDefault="007A4BE6" w:rsidP="007A4BE6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1 113 206</w:t>
                  </w:r>
                </w:p>
              </w:tc>
              <w:tc>
                <w:tcPr>
                  <w:tcW w:w="1924" w:type="dxa"/>
                </w:tcPr>
                <w:p w14:paraId="755ABA4B" w14:textId="195E687E" w:rsidR="007A4BE6" w:rsidRDefault="007A4BE6" w:rsidP="007A4BE6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100%</w:t>
                  </w:r>
                </w:p>
              </w:tc>
              <w:tc>
                <w:tcPr>
                  <w:tcW w:w="1925" w:type="dxa"/>
                </w:tcPr>
                <w:p w14:paraId="34A9CC9A" w14:textId="696BC082" w:rsidR="007A4BE6" w:rsidRDefault="007A4BE6" w:rsidP="007A4BE6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1 554 331,44 zł</w:t>
                  </w:r>
                </w:p>
              </w:tc>
            </w:tr>
            <w:tr w:rsidR="007A4BE6" w14:paraId="37067784" w14:textId="77777777" w:rsidTr="00A63BA8">
              <w:trPr>
                <w:trHeight w:val="397"/>
                <w:jc w:val="center"/>
              </w:trPr>
              <w:tc>
                <w:tcPr>
                  <w:tcW w:w="1924" w:type="dxa"/>
                </w:tcPr>
                <w:p w14:paraId="34AC7D31" w14:textId="0C03E63E" w:rsidR="007A4BE6" w:rsidRDefault="007A4BE6" w:rsidP="00526618">
                  <w:pPr>
                    <w:spacing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Sprawy przesłane do sądu</w:t>
                  </w:r>
                </w:p>
              </w:tc>
              <w:tc>
                <w:tcPr>
                  <w:tcW w:w="1924" w:type="dxa"/>
                </w:tcPr>
                <w:p w14:paraId="584BA308" w14:textId="0B696F23" w:rsidR="007A4BE6" w:rsidRDefault="007A4BE6" w:rsidP="007A4BE6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264 341</w:t>
                  </w:r>
                </w:p>
              </w:tc>
              <w:tc>
                <w:tcPr>
                  <w:tcW w:w="1924" w:type="dxa"/>
                </w:tcPr>
                <w:p w14:paraId="68BA48C3" w14:textId="2F0F16C0" w:rsidR="007A4BE6" w:rsidRDefault="007A4BE6" w:rsidP="007A4BE6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24%</w:t>
                  </w:r>
                </w:p>
              </w:tc>
              <w:tc>
                <w:tcPr>
                  <w:tcW w:w="1925" w:type="dxa"/>
                </w:tcPr>
                <w:p w14:paraId="4D865F65" w14:textId="656157A6" w:rsidR="007A4BE6" w:rsidRDefault="007A4BE6" w:rsidP="007A4BE6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369 090,29 zł</w:t>
                  </w:r>
                </w:p>
              </w:tc>
            </w:tr>
            <w:tr w:rsidR="007A4BE6" w14:paraId="07B9EEED" w14:textId="77777777" w:rsidTr="00A63BA8">
              <w:trPr>
                <w:trHeight w:val="198"/>
                <w:jc w:val="center"/>
              </w:trPr>
              <w:tc>
                <w:tcPr>
                  <w:tcW w:w="1924" w:type="dxa"/>
                </w:tcPr>
                <w:p w14:paraId="0E23C3EB" w14:textId="605A9353" w:rsidR="007A4BE6" w:rsidRDefault="007A4BE6" w:rsidP="007A4BE6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apelacje</w:t>
                  </w:r>
                </w:p>
              </w:tc>
              <w:tc>
                <w:tcPr>
                  <w:tcW w:w="1924" w:type="dxa"/>
                </w:tcPr>
                <w:p w14:paraId="0D1FD45C" w14:textId="66D950BA" w:rsidR="007A4BE6" w:rsidRDefault="007A4BE6" w:rsidP="007A4BE6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13 136</w:t>
                  </w:r>
                </w:p>
              </w:tc>
              <w:tc>
                <w:tcPr>
                  <w:tcW w:w="1924" w:type="dxa"/>
                </w:tcPr>
                <w:p w14:paraId="19227390" w14:textId="5B83C764" w:rsidR="007A4BE6" w:rsidRDefault="007A4BE6" w:rsidP="007A4BE6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1,18%</w:t>
                  </w:r>
                </w:p>
              </w:tc>
              <w:tc>
                <w:tcPr>
                  <w:tcW w:w="1925" w:type="dxa"/>
                </w:tcPr>
                <w:p w14:paraId="59B8203F" w14:textId="626C5FEE" w:rsidR="007A4BE6" w:rsidRDefault="007A4BE6" w:rsidP="007A4BE6">
                  <w:pPr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18 341,35 zł</w:t>
                  </w:r>
                </w:p>
              </w:tc>
            </w:tr>
          </w:tbl>
          <w:p w14:paraId="49FA6ACD" w14:textId="77777777" w:rsidR="007A4BE6" w:rsidRPr="00943B1F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126A69A" w14:textId="77777777" w:rsidR="007A4BE6" w:rsidRDefault="007A4BE6" w:rsidP="00E67758">
            <w:pPr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943B1F">
              <w:rPr>
                <w:rFonts w:ascii="Times New Roman" w:hAnsi="Times New Roman"/>
                <w:color w:val="000000"/>
              </w:rPr>
              <w:t>W ramach funkcjonalności systemu PROK-SYS brak jest funkcjonalności pozwalających wyliczyć rodzaje pism, jakie były wysyłane do sądu i generowane z tym koszty. W oparciu o szacunki, na podstawie stosunku ogólnej liczby spraw do spraw przesłanych do sądów, apelacji, nie są to duże kwoty.</w:t>
            </w:r>
          </w:p>
          <w:p w14:paraId="4269CC70" w14:textId="77777777" w:rsidR="00595A22" w:rsidRDefault="00595A22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6F3B916" w14:textId="58C1494F" w:rsidR="00E67758" w:rsidRPr="00E67758" w:rsidRDefault="00595A22" w:rsidP="00E67758">
            <w:pPr>
              <w:pStyle w:val="Akapitzlist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</w:t>
            </w:r>
            <w:r w:rsidRPr="00595A22">
              <w:rPr>
                <w:rFonts w:ascii="Times New Roman" w:hAnsi="Times New Roman"/>
                <w:color w:val="000000"/>
              </w:rPr>
              <w:t>kreślenie kosztów deportacji jest bardzo utrudnione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595A22">
              <w:rPr>
                <w:rFonts w:ascii="Times New Roman" w:hAnsi="Times New Roman"/>
                <w:color w:val="000000"/>
              </w:rPr>
              <w:t xml:space="preserve">albowiem na koszty składają się różne czynniki, a mianowicie: z jakiego kraju będzie deportacja - najczęściej są to odległe </w:t>
            </w:r>
            <w:r>
              <w:rPr>
                <w:rFonts w:ascii="Times New Roman" w:hAnsi="Times New Roman"/>
                <w:color w:val="000000"/>
              </w:rPr>
              <w:t>państwa</w:t>
            </w:r>
            <w:r w:rsidRPr="00595A22">
              <w:rPr>
                <w:rFonts w:ascii="Times New Roman" w:hAnsi="Times New Roman"/>
                <w:color w:val="000000"/>
              </w:rPr>
              <w:t xml:space="preserve"> (np. Dominikana, Demokratyczna Republika Konga, Gwinea), konieczność przesiadki, ceny biletów lotniczych (w tym w jakiej porze roku – np. w okresie wakacyjnym koszty biletów są zazwyczaj wyższe), liczbę osób deportowanych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620474">
              <w:rPr>
                <w:rFonts w:ascii="Times New Roman" w:hAnsi="Times New Roman"/>
                <w:color w:val="000000"/>
                <w:u w:val="single"/>
              </w:rPr>
              <w:t>Korzystanie z deportacji winno następować w wyjątkowych sytuacjach, gdy brak jest innych możliwości sprowadzenia osób ściganych do Polski (przykładowo brak dwustronnych umów o ekstradycji, czy wzajemnego stosowania zasady wzajemności).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20474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Na podstawie informacji Centralnego Biura Śledczego </w:t>
            </w:r>
            <w:r w:rsidRPr="00595A22">
              <w:rPr>
                <w:rFonts w:ascii="Times New Roman" w:hAnsi="Times New Roman"/>
                <w:color w:val="000000"/>
              </w:rPr>
              <w:t xml:space="preserve">można wskazać na jedną sprawę prokuratury, </w:t>
            </w:r>
            <w:r w:rsidRPr="00595A22">
              <w:rPr>
                <w:rFonts w:ascii="Times New Roman" w:hAnsi="Times New Roman"/>
                <w:color w:val="000000"/>
              </w:rPr>
              <w:lastRenderedPageBreak/>
              <w:t>gdzie osoba ścigana została deportowana z Republiki Dominikany, a koszty deportacji oscylowały w granicach około 20.000,00 zł</w:t>
            </w:r>
            <w:r w:rsidR="00620474">
              <w:rPr>
                <w:rFonts w:ascii="Times New Roman" w:hAnsi="Times New Roman"/>
                <w:color w:val="000000"/>
              </w:rPr>
              <w:t xml:space="preserve">. Ministerstwo Sprawiedliwości i Prokuratura </w:t>
            </w:r>
            <w:r w:rsidR="00CA4024">
              <w:rPr>
                <w:rFonts w:ascii="Times New Roman" w:hAnsi="Times New Roman"/>
                <w:color w:val="000000"/>
              </w:rPr>
              <w:t>K</w:t>
            </w:r>
            <w:r w:rsidR="00620474">
              <w:rPr>
                <w:rFonts w:ascii="Times New Roman" w:hAnsi="Times New Roman"/>
                <w:color w:val="000000"/>
              </w:rPr>
              <w:t>rajowa nie posiada</w:t>
            </w:r>
            <w:r w:rsidR="00CA4024">
              <w:rPr>
                <w:rFonts w:ascii="Times New Roman" w:hAnsi="Times New Roman"/>
                <w:color w:val="000000"/>
              </w:rPr>
              <w:t>ją</w:t>
            </w:r>
            <w:r w:rsidR="00620474">
              <w:rPr>
                <w:rFonts w:ascii="Times New Roman" w:hAnsi="Times New Roman"/>
                <w:color w:val="000000"/>
              </w:rPr>
              <w:t xml:space="preserve"> danych statystycznych dot. liczby deportacji, a ich określenie wymagałoby</w:t>
            </w:r>
            <w:r w:rsidR="00AE5387">
              <w:rPr>
                <w:rFonts w:ascii="Times New Roman" w:hAnsi="Times New Roman"/>
                <w:color w:val="000000"/>
              </w:rPr>
              <w:t xml:space="preserve"> przeprowadzenia</w:t>
            </w:r>
            <w:r w:rsidR="00620474">
              <w:rPr>
                <w:rFonts w:ascii="Times New Roman" w:hAnsi="Times New Roman"/>
                <w:color w:val="000000"/>
              </w:rPr>
              <w:t xml:space="preserve"> badań aktowych.</w:t>
            </w:r>
            <w:r w:rsidR="00E67758">
              <w:t xml:space="preserve"> </w:t>
            </w:r>
            <w:r w:rsidR="005D6C84" w:rsidRPr="00E67758">
              <w:rPr>
                <w:rFonts w:ascii="Times New Roman" w:hAnsi="Times New Roman"/>
                <w:color w:val="000000"/>
              </w:rPr>
              <w:t>Na podstawie przesłanych kosztów niektórych postepowań deportacyjnych, szacuje, że pokrycie kosztów z tym związanych będzie możliwe w ramach posiadanego budżetu Prokuratury.</w:t>
            </w:r>
          </w:p>
        </w:tc>
      </w:tr>
      <w:tr w:rsidR="007A4BE6" w:rsidRPr="008B4FE6" w14:paraId="2D36C58F" w14:textId="77777777" w:rsidTr="00283E2D">
        <w:trPr>
          <w:trHeight w:val="345"/>
        </w:trPr>
        <w:tc>
          <w:tcPr>
            <w:tcW w:w="11086" w:type="dxa"/>
            <w:gridSpan w:val="25"/>
            <w:shd w:val="clear" w:color="auto" w:fill="99CCFF"/>
          </w:tcPr>
          <w:p w14:paraId="4F5FE73C" w14:textId="77777777" w:rsidR="007A4BE6" w:rsidRPr="008B4FE6" w:rsidRDefault="007A4BE6" w:rsidP="007A4BE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7A4BE6" w:rsidRPr="008B4FE6" w14:paraId="76DCD796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FFFFFF"/>
          </w:tcPr>
          <w:p w14:paraId="2945D3D8" w14:textId="77777777" w:rsidR="007A4BE6" w:rsidRPr="00301959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7A4BE6" w:rsidRPr="008B4FE6" w14:paraId="57B5F47D" w14:textId="77777777" w:rsidTr="00283E2D">
        <w:trPr>
          <w:trHeight w:val="142"/>
        </w:trPr>
        <w:tc>
          <w:tcPr>
            <w:tcW w:w="3763" w:type="dxa"/>
            <w:gridSpan w:val="7"/>
            <w:shd w:val="clear" w:color="auto" w:fill="FFFFFF"/>
          </w:tcPr>
          <w:p w14:paraId="114798B2" w14:textId="77777777" w:rsidR="007A4BE6" w:rsidRPr="006C4628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628">
              <w:rPr>
                <w:rFonts w:ascii="Times New Roman" w:hAnsi="Times New Roman"/>
                <w:color w:val="000000"/>
                <w:sz w:val="20"/>
                <w:szCs w:val="20"/>
              </w:rPr>
              <w:t>Czas w latach od wejścia w życie zmian</w:t>
            </w:r>
          </w:p>
        </w:tc>
        <w:tc>
          <w:tcPr>
            <w:tcW w:w="514" w:type="dxa"/>
            <w:gridSpan w:val="3"/>
            <w:shd w:val="clear" w:color="auto" w:fill="FFFFFF"/>
          </w:tcPr>
          <w:p w14:paraId="02B99A3E" w14:textId="77777777" w:rsidR="007A4BE6" w:rsidRPr="006C4628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FFFFFF"/>
          </w:tcPr>
          <w:p w14:paraId="3797DEB5" w14:textId="77777777" w:rsidR="007A4BE6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255EEB21" w14:textId="3C94BE88" w:rsidR="007A4BE6" w:rsidRPr="006C4628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456F2A15" w14:textId="77777777" w:rsidR="007A4BE6" w:rsidRPr="006C4628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4"/>
            <w:shd w:val="clear" w:color="auto" w:fill="FFFFFF"/>
          </w:tcPr>
          <w:p w14:paraId="54AE30FC" w14:textId="77777777" w:rsidR="007A4BE6" w:rsidRPr="006C4628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6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2" w:type="dxa"/>
            <w:gridSpan w:val="2"/>
            <w:shd w:val="clear" w:color="auto" w:fill="FFFFFF"/>
          </w:tcPr>
          <w:p w14:paraId="399A06B8" w14:textId="77777777" w:rsidR="007A4BE6" w:rsidRPr="006C4628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6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gridSpan w:val="2"/>
            <w:shd w:val="clear" w:color="auto" w:fill="FFFFFF"/>
          </w:tcPr>
          <w:p w14:paraId="65008C25" w14:textId="77777777" w:rsidR="007A4BE6" w:rsidRPr="006C4628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6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shd w:val="clear" w:color="auto" w:fill="FFFFFF"/>
          </w:tcPr>
          <w:p w14:paraId="610D5655" w14:textId="77777777" w:rsidR="007A4BE6" w:rsidRPr="006C4628" w:rsidRDefault="007A4BE6" w:rsidP="007A4BE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</w:pPr>
            <w:r w:rsidRPr="006C4628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Łącznie</w:t>
            </w:r>
            <w:r w:rsidRPr="006C4628" w:rsidDel="0073273A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6C4628">
              <w:rPr>
                <w:rFonts w:ascii="Times New Roman" w:hAnsi="Times New Roman"/>
                <w:i/>
                <w:color w:val="000000"/>
                <w:spacing w:val="-2"/>
                <w:sz w:val="20"/>
                <w:szCs w:val="20"/>
              </w:rPr>
              <w:t>(0-10)</w:t>
            </w:r>
          </w:p>
        </w:tc>
      </w:tr>
      <w:tr w:rsidR="007A4BE6" w:rsidRPr="008B4FE6" w14:paraId="5B190845" w14:textId="77777777" w:rsidTr="00283E2D">
        <w:trPr>
          <w:trHeight w:val="142"/>
        </w:trPr>
        <w:tc>
          <w:tcPr>
            <w:tcW w:w="1731" w:type="dxa"/>
            <w:vMerge w:val="restart"/>
            <w:shd w:val="clear" w:color="auto" w:fill="FFFFFF"/>
          </w:tcPr>
          <w:p w14:paraId="7A7131AE" w14:textId="77777777" w:rsidR="007A4BE6" w:rsidRDefault="007A4BE6" w:rsidP="007A4BE6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638BCAFB" w14:textId="77777777" w:rsidR="007A4BE6" w:rsidRDefault="007A4BE6" w:rsidP="007A4BE6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04F6F93F" w14:textId="2FF4CAFE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2024 r.)</w:t>
            </w:r>
          </w:p>
        </w:tc>
        <w:tc>
          <w:tcPr>
            <w:tcW w:w="2032" w:type="dxa"/>
            <w:gridSpan w:val="6"/>
            <w:shd w:val="clear" w:color="auto" w:fill="FFFFFF"/>
          </w:tcPr>
          <w:p w14:paraId="11C4953F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514" w:type="dxa"/>
            <w:gridSpan w:val="3"/>
            <w:shd w:val="clear" w:color="auto" w:fill="FFFFFF"/>
          </w:tcPr>
          <w:p w14:paraId="3D9E3D92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14:paraId="7AACDFE7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14:paraId="5516A743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gridSpan w:val="4"/>
            <w:shd w:val="clear" w:color="auto" w:fill="FFFFFF"/>
          </w:tcPr>
          <w:p w14:paraId="611BA967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shd w:val="clear" w:color="auto" w:fill="FFFFFF"/>
          </w:tcPr>
          <w:p w14:paraId="7D3EBC1E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14:paraId="6AC3B3B9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</w:tcPr>
          <w:p w14:paraId="70D29E8A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7A4BE6" w:rsidRPr="008B4FE6" w14:paraId="35B6E313" w14:textId="77777777" w:rsidTr="00283E2D">
        <w:trPr>
          <w:trHeight w:val="142"/>
        </w:trPr>
        <w:tc>
          <w:tcPr>
            <w:tcW w:w="1731" w:type="dxa"/>
            <w:vMerge/>
            <w:shd w:val="clear" w:color="auto" w:fill="FFFFFF"/>
          </w:tcPr>
          <w:p w14:paraId="6A5F2DE2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32" w:type="dxa"/>
            <w:gridSpan w:val="6"/>
            <w:shd w:val="clear" w:color="auto" w:fill="FFFFFF"/>
          </w:tcPr>
          <w:p w14:paraId="607029BD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514" w:type="dxa"/>
            <w:gridSpan w:val="3"/>
            <w:shd w:val="clear" w:color="auto" w:fill="FFFFFF"/>
          </w:tcPr>
          <w:p w14:paraId="49FE346A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14:paraId="382DB0E8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14:paraId="4BE88B6C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gridSpan w:val="4"/>
            <w:shd w:val="clear" w:color="auto" w:fill="FFFFFF"/>
          </w:tcPr>
          <w:p w14:paraId="33399197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shd w:val="clear" w:color="auto" w:fill="FFFFFF"/>
          </w:tcPr>
          <w:p w14:paraId="42932226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14:paraId="2191F2E8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</w:tcPr>
          <w:p w14:paraId="772085B8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7A4BE6" w:rsidRPr="008B4FE6" w14:paraId="445A4BA1" w14:textId="77777777" w:rsidTr="00283E2D">
        <w:trPr>
          <w:trHeight w:val="142"/>
        </w:trPr>
        <w:tc>
          <w:tcPr>
            <w:tcW w:w="1731" w:type="dxa"/>
            <w:vMerge/>
            <w:shd w:val="clear" w:color="auto" w:fill="FFFFFF"/>
          </w:tcPr>
          <w:p w14:paraId="443213DD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32" w:type="dxa"/>
            <w:gridSpan w:val="6"/>
            <w:shd w:val="clear" w:color="auto" w:fill="FFFFFF"/>
          </w:tcPr>
          <w:p w14:paraId="5030D575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514" w:type="dxa"/>
            <w:gridSpan w:val="3"/>
            <w:shd w:val="clear" w:color="auto" w:fill="FFFFFF"/>
          </w:tcPr>
          <w:p w14:paraId="7C79D0FA" w14:textId="3828FDC3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14:paraId="6853011A" w14:textId="535CCDB2" w:rsidR="007A4BE6" w:rsidRPr="00B37C80" w:rsidRDefault="007A4BE6" w:rsidP="007A4BE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14:paraId="535E2D11" w14:textId="278C7B24" w:rsidR="007A4BE6" w:rsidRPr="00B37C80" w:rsidRDefault="007A4BE6" w:rsidP="007A4BE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gridSpan w:val="4"/>
            <w:shd w:val="clear" w:color="auto" w:fill="FFFFFF"/>
          </w:tcPr>
          <w:p w14:paraId="5EF3D139" w14:textId="487ABC09" w:rsidR="007A4BE6" w:rsidRPr="00B37C80" w:rsidRDefault="007A4BE6" w:rsidP="007A4BE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shd w:val="clear" w:color="auto" w:fill="FFFFFF"/>
          </w:tcPr>
          <w:p w14:paraId="4AAE4EB3" w14:textId="0B8D5822" w:rsidR="007A4BE6" w:rsidRPr="00B37C80" w:rsidRDefault="007A4BE6" w:rsidP="007A4BE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14:paraId="1C0DFE73" w14:textId="7E86919E" w:rsidR="007A4BE6" w:rsidRPr="00B37C80" w:rsidRDefault="007A4BE6" w:rsidP="007A4BE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</w:tcPr>
          <w:p w14:paraId="5FE737F3" w14:textId="1660115B" w:rsidR="007A4BE6" w:rsidRPr="00ED0F4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A4BE6" w:rsidRPr="008B4FE6" w14:paraId="531366D0" w14:textId="77777777" w:rsidTr="00283E2D">
        <w:trPr>
          <w:trHeight w:val="142"/>
        </w:trPr>
        <w:tc>
          <w:tcPr>
            <w:tcW w:w="1731" w:type="dxa"/>
            <w:vMerge w:val="restart"/>
            <w:shd w:val="clear" w:color="auto" w:fill="FFFFFF"/>
          </w:tcPr>
          <w:p w14:paraId="57143DF9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126" w:type="dxa"/>
            <w:gridSpan w:val="7"/>
            <w:shd w:val="clear" w:color="auto" w:fill="FFFFFF"/>
          </w:tcPr>
          <w:p w14:paraId="3E9A552B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229" w:type="dxa"/>
            <w:gridSpan w:val="17"/>
            <w:shd w:val="clear" w:color="auto" w:fill="FFFFFF"/>
          </w:tcPr>
          <w:p w14:paraId="41C2390C" w14:textId="77777777" w:rsidR="007A4BE6" w:rsidRPr="00B37C80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wpływu.</w:t>
            </w:r>
          </w:p>
        </w:tc>
      </w:tr>
      <w:tr w:rsidR="007A4BE6" w:rsidRPr="008B4FE6" w14:paraId="0815AE88" w14:textId="77777777" w:rsidTr="00283E2D">
        <w:trPr>
          <w:trHeight w:val="142"/>
        </w:trPr>
        <w:tc>
          <w:tcPr>
            <w:tcW w:w="1731" w:type="dxa"/>
            <w:vMerge/>
            <w:shd w:val="clear" w:color="auto" w:fill="FFFFFF"/>
          </w:tcPr>
          <w:p w14:paraId="2A5C1128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7"/>
            <w:shd w:val="clear" w:color="auto" w:fill="FFFFFF"/>
          </w:tcPr>
          <w:p w14:paraId="290AEBF9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229" w:type="dxa"/>
            <w:gridSpan w:val="17"/>
            <w:shd w:val="clear" w:color="auto" w:fill="FFFFFF"/>
          </w:tcPr>
          <w:p w14:paraId="230B6B07" w14:textId="2F9F15CC" w:rsidR="007A4BE6" w:rsidRPr="00B37C80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EF2D8C">
              <w:rPr>
                <w:rFonts w:ascii="Times New Roman" w:hAnsi="Times New Roman"/>
                <w:color w:val="000000"/>
              </w:rPr>
              <w:t xml:space="preserve">Przedmiotowy projekt </w:t>
            </w:r>
            <w:r>
              <w:rPr>
                <w:rFonts w:ascii="Times New Roman" w:hAnsi="Times New Roman"/>
                <w:color w:val="000000"/>
              </w:rPr>
              <w:t xml:space="preserve">wpłynie na operatorów pocztowych poprzez spadek ich przychodów związanych z doręczaniem </w:t>
            </w:r>
            <w:r w:rsidRPr="00794510">
              <w:rPr>
                <w:rFonts w:ascii="Times New Roman" w:hAnsi="Times New Roman"/>
                <w:color w:val="000000"/>
              </w:rPr>
              <w:t>pism z sądów do stron oraz od pełnomocników, jednostek organizacyjnych prokuratury i Prokuratorii Generalnej RP do sądów.</w:t>
            </w:r>
          </w:p>
        </w:tc>
      </w:tr>
      <w:tr w:rsidR="007A4BE6" w:rsidRPr="008B4FE6" w14:paraId="24244A2A" w14:textId="77777777" w:rsidTr="00283E2D">
        <w:trPr>
          <w:trHeight w:val="596"/>
        </w:trPr>
        <w:tc>
          <w:tcPr>
            <w:tcW w:w="1731" w:type="dxa"/>
            <w:vMerge/>
            <w:shd w:val="clear" w:color="auto" w:fill="FFFFFF"/>
          </w:tcPr>
          <w:p w14:paraId="42D559B8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7"/>
            <w:shd w:val="clear" w:color="auto" w:fill="FFFFFF"/>
          </w:tcPr>
          <w:p w14:paraId="0DDFB82C" w14:textId="3D2DD48E" w:rsidR="007A4BE6" w:rsidRPr="00301959" w:rsidRDefault="007A4BE6" w:rsidP="007A4BE6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33CE7">
              <w:rPr>
                <w:rFonts w:ascii="Times New Roman" w:hAnsi="Times New Roman"/>
                <w:sz w:val="21"/>
                <w:szCs w:val="21"/>
              </w:rPr>
              <w:t>rodzina, obywatele oraz gospodarstwa domowe, w tym osoby z niepełnosprawnością i starsze</w:t>
            </w:r>
          </w:p>
        </w:tc>
        <w:tc>
          <w:tcPr>
            <w:tcW w:w="7229" w:type="dxa"/>
            <w:gridSpan w:val="17"/>
            <w:shd w:val="clear" w:color="auto" w:fill="FFFFFF"/>
          </w:tcPr>
          <w:p w14:paraId="5AA918AB" w14:textId="04449C32" w:rsidR="007A4BE6" w:rsidRPr="00EE436A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wpłynie na obywateli poprzez m</w:t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 xml:space="preserve">ożliwość otrzymywania pism od sądów w postępowaniu karnym za pośrednictwem kont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>nformacyjnym i u</w:t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>łatwienie prowadzenia korespondencji sądowej bez konieczności udania się do placówki pocztowej lub biura podawczego sądu.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7A4BE6" w:rsidRPr="008B4FE6" w14:paraId="58AACEB8" w14:textId="77777777" w:rsidTr="00283E2D">
        <w:trPr>
          <w:trHeight w:val="142"/>
        </w:trPr>
        <w:tc>
          <w:tcPr>
            <w:tcW w:w="1731" w:type="dxa"/>
            <w:shd w:val="clear" w:color="auto" w:fill="FFFFFF"/>
          </w:tcPr>
          <w:p w14:paraId="1F3DF245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126" w:type="dxa"/>
            <w:gridSpan w:val="7"/>
            <w:shd w:val="clear" w:color="auto" w:fill="FFFFFF"/>
          </w:tcPr>
          <w:p w14:paraId="2683FFB5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229" w:type="dxa"/>
            <w:gridSpan w:val="17"/>
            <w:shd w:val="clear" w:color="auto" w:fill="FFFFFF"/>
          </w:tcPr>
          <w:p w14:paraId="30F596E6" w14:textId="77777777" w:rsidR="007A4BE6" w:rsidRPr="00B37C80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7A4BE6" w:rsidRPr="008B4FE6" w14:paraId="121A5EC0" w14:textId="77777777" w:rsidTr="00283E2D">
        <w:trPr>
          <w:trHeight w:val="416"/>
        </w:trPr>
        <w:tc>
          <w:tcPr>
            <w:tcW w:w="2723" w:type="dxa"/>
            <w:gridSpan w:val="3"/>
            <w:shd w:val="clear" w:color="auto" w:fill="FFFFFF"/>
          </w:tcPr>
          <w:p w14:paraId="2BC94887" w14:textId="77777777" w:rsidR="007A4BE6" w:rsidRPr="00301959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tym wskazanie źródeł danych i przyjętych do obliczeń założeń </w:t>
            </w:r>
          </w:p>
        </w:tc>
        <w:tc>
          <w:tcPr>
            <w:tcW w:w="8363" w:type="dxa"/>
            <w:gridSpan w:val="22"/>
            <w:shd w:val="clear" w:color="auto" w:fill="FFFFFF"/>
            <w:vAlign w:val="center"/>
          </w:tcPr>
          <w:p w14:paraId="63F03B28" w14:textId="041A4A8E" w:rsidR="007A4BE6" w:rsidRPr="00B67268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94510">
              <w:rPr>
                <w:rFonts w:ascii="Times New Roman" w:hAnsi="Times New Roman"/>
                <w:color w:val="000000"/>
              </w:rPr>
              <w:t xml:space="preserve">Obecnie koszty doręczeń wezwań i innych pism stanowią najwyższą pozycję ogólnej kwoty wydatków sądów powszechnych związanych z prowadzonymi postępowaniami sądowymi </w:t>
            </w:r>
            <w:r w:rsidR="00526618">
              <w:rPr>
                <w:rFonts w:ascii="Times New Roman" w:hAnsi="Times New Roman"/>
                <w:color w:val="000000"/>
              </w:rPr>
              <w:br/>
            </w:r>
            <w:r w:rsidRPr="00794510">
              <w:rPr>
                <w:rFonts w:ascii="Times New Roman" w:hAnsi="Times New Roman"/>
                <w:color w:val="000000"/>
              </w:rPr>
              <w:t>i w roku 2023 stanowiły 35,38% wydatków (tj. 466 974 tys. zł), natomiast w pierwszym półroczu 2024 roku stanowiły 31,28% tych wydatków (tj. kwotę 226 210 tys. zł).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4510">
              <w:rPr>
                <w:rFonts w:ascii="Times New Roman" w:hAnsi="Times New Roman"/>
                <w:color w:val="000000"/>
              </w:rPr>
              <w:t xml:space="preserve">Ministerstwo Sprawiedliwości nie dysponuje danymi dotyczącymi kosztów doręczeń </w:t>
            </w:r>
            <w:r w:rsidR="00526618">
              <w:rPr>
                <w:rFonts w:ascii="Times New Roman" w:hAnsi="Times New Roman"/>
                <w:color w:val="000000"/>
              </w:rPr>
              <w:br/>
            </w:r>
            <w:r w:rsidRPr="00794510">
              <w:rPr>
                <w:rFonts w:ascii="Times New Roman" w:hAnsi="Times New Roman"/>
                <w:color w:val="000000"/>
              </w:rPr>
              <w:t xml:space="preserve">w podziale na podmioty, do których pisma są doręczane, co pozwoliłoby na wyodrębnienie ponoszonych aktualnie wydatków sądów na korespondencję m.in. z prokuratorami, obrońcami i pełnomocnikami będącymi adwokatami lub radcami prawnymi oraz Prokuratorii Generalnej Rzeczypospolitej Polskiej jako potencjalnych oszczędności. Ponadto doręczanie pism za pośrednictwem </w:t>
            </w:r>
            <w:r w:rsidR="00106E8E">
              <w:rPr>
                <w:rFonts w:ascii="Times New Roman" w:hAnsi="Times New Roman"/>
                <w:color w:val="000000"/>
              </w:rPr>
              <w:t>p</w:t>
            </w:r>
            <w:r w:rsidRPr="00794510">
              <w:rPr>
                <w:rFonts w:ascii="Times New Roman" w:hAnsi="Times New Roman"/>
                <w:color w:val="000000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</w:rPr>
              <w:t>i</w:t>
            </w:r>
            <w:r w:rsidRPr="00794510">
              <w:rPr>
                <w:rFonts w:ascii="Times New Roman" w:hAnsi="Times New Roman"/>
                <w:color w:val="000000"/>
              </w:rPr>
              <w:t>nformacyjnego będzie miało charakter fakultatywny.</w:t>
            </w:r>
            <w:r>
              <w:rPr>
                <w:rFonts w:ascii="Times New Roman" w:hAnsi="Times New Roman"/>
                <w:color w:val="000000"/>
              </w:rPr>
              <w:t xml:space="preserve"> Dlatego niemożliwe jest oszacowanie skutków finansowych dla operatorów pocztowych </w:t>
            </w:r>
            <w:r w:rsidR="00526618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po wprowadzeniu projektowanej regulacji. Ministerstwo nie dysponuje również danymi </w:t>
            </w:r>
            <w:r w:rsidR="00526618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o liczbie przesyłek wpływających do sądów, co uniemożliwia oszacowanie wysokości oszczędności dla obywateli.</w:t>
            </w:r>
          </w:p>
        </w:tc>
      </w:tr>
      <w:tr w:rsidR="007A4BE6" w:rsidRPr="008B4FE6" w14:paraId="73D9C759" w14:textId="77777777" w:rsidTr="00283E2D">
        <w:trPr>
          <w:trHeight w:val="342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18B1B0D6" w14:textId="77777777" w:rsidR="007A4BE6" w:rsidRPr="008B4FE6" w:rsidRDefault="007A4BE6" w:rsidP="007A4BE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7A4BE6" w:rsidRPr="008B4FE6" w14:paraId="11E64763" w14:textId="77777777" w:rsidTr="00283E2D">
        <w:trPr>
          <w:trHeight w:val="151"/>
        </w:trPr>
        <w:tc>
          <w:tcPr>
            <w:tcW w:w="11086" w:type="dxa"/>
            <w:gridSpan w:val="25"/>
            <w:shd w:val="clear" w:color="auto" w:fill="FFFFFF"/>
          </w:tcPr>
          <w:p w14:paraId="04C197B9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7A4BE6" w:rsidRPr="008B4FE6" w14:paraId="1289CA65" w14:textId="77777777" w:rsidTr="00283E2D">
        <w:trPr>
          <w:trHeight w:val="946"/>
        </w:trPr>
        <w:tc>
          <w:tcPr>
            <w:tcW w:w="4637" w:type="dxa"/>
            <w:gridSpan w:val="11"/>
            <w:shd w:val="clear" w:color="auto" w:fill="FFFFFF"/>
          </w:tcPr>
          <w:p w14:paraId="4A4D56C3" w14:textId="77777777" w:rsidR="007A4BE6" w:rsidRDefault="007A4BE6" w:rsidP="007A4BE6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6449" w:type="dxa"/>
            <w:gridSpan w:val="14"/>
            <w:shd w:val="clear" w:color="auto" w:fill="FFFFFF"/>
          </w:tcPr>
          <w:p w14:paraId="140660B7" w14:textId="77777777" w:rsidR="007A4B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53B91935" w14:textId="77777777" w:rsidR="007A4B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F08E017" w14:textId="77777777" w:rsidR="007A4BE6" w:rsidRDefault="007A4BE6" w:rsidP="007A4B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7A4BE6" w:rsidRPr="008B4FE6" w14:paraId="01F8C2ED" w14:textId="77777777" w:rsidTr="00283E2D">
        <w:trPr>
          <w:trHeight w:val="1013"/>
        </w:trPr>
        <w:tc>
          <w:tcPr>
            <w:tcW w:w="4637" w:type="dxa"/>
            <w:gridSpan w:val="11"/>
            <w:shd w:val="clear" w:color="auto" w:fill="FFFFFF"/>
          </w:tcPr>
          <w:p w14:paraId="4B2637DE" w14:textId="772E73A4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143A1BD0" w14:textId="33037AD6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1449BE13" w14:textId="3F819677" w:rsidR="007A4B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6C0DABA0" w14:textId="77777777" w:rsidR="007A4BE6" w:rsidRPr="008B4FE6" w:rsidRDefault="007A4BE6" w:rsidP="007A4BE6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6449" w:type="dxa"/>
            <w:gridSpan w:val="14"/>
            <w:shd w:val="clear" w:color="auto" w:fill="FFFFFF"/>
          </w:tcPr>
          <w:p w14:paraId="637E1953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779E7D42" w14:textId="14EF202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163853B3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4E49D838" w14:textId="1A5CA0F5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7A4BE6" w:rsidRPr="008B4FE6" w14:paraId="6BB28D0B" w14:textId="77777777" w:rsidTr="00283E2D">
        <w:trPr>
          <w:trHeight w:val="870"/>
        </w:trPr>
        <w:tc>
          <w:tcPr>
            <w:tcW w:w="4637" w:type="dxa"/>
            <w:gridSpan w:val="11"/>
            <w:shd w:val="clear" w:color="auto" w:fill="FFFFFF"/>
          </w:tcPr>
          <w:p w14:paraId="3F5AA4C3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6449" w:type="dxa"/>
            <w:gridSpan w:val="14"/>
            <w:shd w:val="clear" w:color="auto" w:fill="FFFFFF"/>
          </w:tcPr>
          <w:p w14:paraId="136F9C32" w14:textId="77777777" w:rsidR="007A4B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BC7DBFE" w14:textId="77777777" w:rsidR="007A4B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D4F7117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7A4BE6" w:rsidRPr="008B4FE6" w14:paraId="7B201FA6" w14:textId="77777777" w:rsidTr="00283E2D">
        <w:trPr>
          <w:trHeight w:val="297"/>
        </w:trPr>
        <w:tc>
          <w:tcPr>
            <w:tcW w:w="11086" w:type="dxa"/>
            <w:gridSpan w:val="25"/>
            <w:shd w:val="clear" w:color="auto" w:fill="FFFFFF"/>
          </w:tcPr>
          <w:p w14:paraId="2D5D9B6B" w14:textId="01C13676" w:rsidR="007A4BE6" w:rsidRPr="008B4FE6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>Projekt skróci czas na załatwienie sprawy poprzez m</w:t>
            </w:r>
            <w:r w:rsidRPr="00FF408D">
              <w:rPr>
                <w:rFonts w:ascii="Times New Roman" w:hAnsi="Times New Roman"/>
                <w:color w:val="000000"/>
              </w:rPr>
              <w:t>ożliwość otrzymywania pism</w:t>
            </w:r>
            <w:r>
              <w:rPr>
                <w:rFonts w:ascii="Times New Roman" w:hAnsi="Times New Roman"/>
                <w:color w:val="000000"/>
              </w:rPr>
              <w:t xml:space="preserve"> przez sądy</w:t>
            </w:r>
            <w:r w:rsidRPr="00FF408D">
              <w:rPr>
                <w:rFonts w:ascii="Times New Roman" w:hAnsi="Times New Roman"/>
                <w:color w:val="000000"/>
              </w:rPr>
              <w:t xml:space="preserve"> w postępowaniu karnym od prokuratorów, obrońców, Prokuratorii Generalnej Rzeczypospolitej Polskiej i pełnomocników będący adwokatem lub radcą za pośrednictwem kont w </w:t>
            </w:r>
            <w:r w:rsidR="00106E8E"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nformacyjnym oraz </w:t>
            </w:r>
            <w:r w:rsidRPr="00FF408D">
              <w:rPr>
                <w:rFonts w:ascii="Times New Roman" w:hAnsi="Times New Roman"/>
                <w:color w:val="000000"/>
              </w:rPr>
              <w:t xml:space="preserve">doręczania pism stronom w postępowaniu </w:t>
            </w:r>
            <w:r w:rsidRPr="00FF408D">
              <w:rPr>
                <w:rFonts w:ascii="Times New Roman" w:hAnsi="Times New Roman"/>
                <w:color w:val="000000"/>
              </w:rPr>
              <w:lastRenderedPageBreak/>
              <w:t xml:space="preserve">karnym za pośrednictwem kont w </w:t>
            </w:r>
            <w:r w:rsidR="00106E8E"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nformacyjnym</w:t>
            </w:r>
            <w:r w:rsidRPr="00FF4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Dzięki temu nie będzie konieczna korespondencja pocztowa, </w:t>
            </w:r>
            <w:r w:rsidR="00526618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co skróci czas na doręczanie pism.</w:t>
            </w:r>
            <w:r w:rsidR="000A5F3A">
              <w:rPr>
                <w:rFonts w:ascii="Times New Roman" w:hAnsi="Times New Roman"/>
                <w:color w:val="000000"/>
              </w:rPr>
              <w:t xml:space="preserve"> </w:t>
            </w:r>
            <w:r w:rsidR="000A5F3A" w:rsidRPr="000A5F3A">
              <w:rPr>
                <w:rFonts w:ascii="Times New Roman" w:hAnsi="Times New Roman"/>
                <w:color w:val="000000"/>
              </w:rPr>
              <w:t xml:space="preserve">Pełnomocnicy i obrońcy będący adwokatami lub radcami prawnymi będą zobowiązani opatrzeć kwalifikowanym podpisem elektronicznym, podpisem zaufanym albo podpisem osobistym pisma wnoszone za pośrednictwem </w:t>
            </w:r>
            <w:r w:rsidR="00106E8E">
              <w:rPr>
                <w:rFonts w:ascii="Times New Roman" w:hAnsi="Times New Roman"/>
                <w:color w:val="000000"/>
              </w:rPr>
              <w:t>p</w:t>
            </w:r>
            <w:r w:rsidR="000A5F3A" w:rsidRPr="000A5F3A">
              <w:rPr>
                <w:rFonts w:ascii="Times New Roman" w:hAnsi="Times New Roman"/>
                <w:color w:val="000000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</w:rPr>
              <w:t>i</w:t>
            </w:r>
            <w:r w:rsidR="000A5F3A" w:rsidRPr="000A5F3A">
              <w:rPr>
                <w:rFonts w:ascii="Times New Roman" w:hAnsi="Times New Roman"/>
                <w:color w:val="000000"/>
              </w:rPr>
              <w:t>nformacyjnego.</w:t>
            </w:r>
          </w:p>
        </w:tc>
      </w:tr>
      <w:tr w:rsidR="007A4BE6" w:rsidRPr="008B4FE6" w14:paraId="1B4F4333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1A6B23F6" w14:textId="77777777" w:rsidR="007A4BE6" w:rsidRPr="008B4FE6" w:rsidRDefault="007A4BE6" w:rsidP="007A4BE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Wpływ na rynek pracy </w:t>
            </w:r>
          </w:p>
        </w:tc>
      </w:tr>
      <w:tr w:rsidR="007A4BE6" w:rsidRPr="008B4FE6" w14:paraId="6C38C83E" w14:textId="77777777" w:rsidTr="00283E2D">
        <w:trPr>
          <w:trHeight w:val="300"/>
        </w:trPr>
        <w:tc>
          <w:tcPr>
            <w:tcW w:w="11086" w:type="dxa"/>
            <w:gridSpan w:val="25"/>
            <w:shd w:val="clear" w:color="auto" w:fill="auto"/>
          </w:tcPr>
          <w:p w14:paraId="4AD1C329" w14:textId="6ACF17D5" w:rsidR="007A4BE6" w:rsidRPr="008B4FE6" w:rsidRDefault="007A4BE6" w:rsidP="0052661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Projektowana regulacja nie ma bezpośredniego wpływu na rynek pracy.</w:t>
            </w:r>
          </w:p>
        </w:tc>
      </w:tr>
      <w:tr w:rsidR="007A4BE6" w:rsidRPr="008B4FE6" w14:paraId="5E01B550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5966F63F" w14:textId="77777777" w:rsidR="007A4BE6" w:rsidRPr="008B4FE6" w:rsidRDefault="007A4BE6" w:rsidP="007A4BE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7A4BE6" w:rsidRPr="008B4FE6" w14:paraId="502D66B1" w14:textId="77777777" w:rsidTr="00283E2D">
        <w:trPr>
          <w:trHeight w:val="1031"/>
        </w:trPr>
        <w:tc>
          <w:tcPr>
            <w:tcW w:w="3490" w:type="dxa"/>
            <w:gridSpan w:val="5"/>
            <w:shd w:val="clear" w:color="auto" w:fill="FFFFFF"/>
          </w:tcPr>
          <w:p w14:paraId="41AED68B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B69794C" w14:textId="77777777" w:rsidR="007A4B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485F518B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4379" w:type="dxa"/>
            <w:gridSpan w:val="15"/>
            <w:shd w:val="clear" w:color="auto" w:fill="FFFFFF"/>
          </w:tcPr>
          <w:p w14:paraId="17CA7889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4D7EE7C6" w14:textId="77777777" w:rsidR="007A4B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188E8620" w14:textId="583BC470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>
              <w:rPr>
                <w:rFonts w:ascii="Times New Roman" w:hAnsi="Times New Roman"/>
                <w:color w:val="000000"/>
              </w:rPr>
              <w:t>prawa człowieka</w:t>
            </w:r>
          </w:p>
        </w:tc>
        <w:tc>
          <w:tcPr>
            <w:tcW w:w="3217" w:type="dxa"/>
            <w:gridSpan w:val="5"/>
            <w:shd w:val="clear" w:color="auto" w:fill="FFFFFF"/>
          </w:tcPr>
          <w:p w14:paraId="074B6B64" w14:textId="754FB30F" w:rsidR="007A4B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7363A13C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33300">
              <w:rPr>
                <w:rFonts w:ascii="Times New Roman" w:hAnsi="Times New Roman"/>
                <w:color w:val="000000"/>
              </w:rPr>
            </w:r>
            <w:r w:rsidR="00D33300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7A4BE6" w:rsidRPr="008B4FE6" w14:paraId="525FBBCD" w14:textId="77777777" w:rsidTr="00283E2D">
        <w:trPr>
          <w:trHeight w:val="712"/>
        </w:trPr>
        <w:tc>
          <w:tcPr>
            <w:tcW w:w="1731" w:type="dxa"/>
            <w:shd w:val="clear" w:color="auto" w:fill="FFFFFF"/>
            <w:vAlign w:val="center"/>
          </w:tcPr>
          <w:p w14:paraId="78C983B7" w14:textId="77777777" w:rsidR="007A4BE6" w:rsidRPr="008B4FE6" w:rsidRDefault="007A4BE6" w:rsidP="007A4B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9355" w:type="dxa"/>
            <w:gridSpan w:val="24"/>
            <w:shd w:val="clear" w:color="auto" w:fill="FFFFFF"/>
            <w:vAlign w:val="center"/>
          </w:tcPr>
          <w:p w14:paraId="585A33E7" w14:textId="70B733F2" w:rsidR="007A4BE6" w:rsidRDefault="007A4BE6" w:rsidP="0052661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wpłynie na sądy powszechne i wojskowe poprzez u</w:t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 xml:space="preserve">regulowanie właściwości sądu orzekającego, zgodnie z Protokołem między Rzecząpospolitą Polską a Ukrainą o zmianie Umowy między Rzecząpospolitą Polską a Ukrainą o pomocy prawnej i stosunkach prawnych w sprawach cywilnych </w:t>
            </w:r>
            <w:r w:rsidR="00526618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>i karnych z dnia 24 maja 1993 r.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oraz przez m</w:t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 xml:space="preserve">ożliwość uznania kosztów deportacji do wydatków Skarbu Państwa w rozumieniu </w:t>
            </w:r>
            <w:r w:rsidR="005D6C84">
              <w:rPr>
                <w:rFonts w:ascii="Times New Roman" w:hAnsi="Times New Roman"/>
                <w:color w:val="000000"/>
                <w:spacing w:val="-2"/>
              </w:rPr>
              <w:t>K.p.k.</w:t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>, jeśli państwo obce odmawia poniesienia kosztów deportacji.</w:t>
            </w:r>
          </w:p>
          <w:p w14:paraId="65CF0781" w14:textId="7A2C5CCC" w:rsidR="007A4BE6" w:rsidRPr="008B4FE6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Projekt wpłynie także na informatyzację poprzez </w:t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>możliwość otrzymywania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przez sądy</w:t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 xml:space="preserve"> pism </w:t>
            </w:r>
            <w:r w:rsidR="00526618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 xml:space="preserve">w postępowaniu karnym od prokuratorów, obrońców, Prokuratorii Generalnej Rzeczypospolitej Polskiej </w:t>
            </w:r>
            <w:r w:rsidR="00526618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 xml:space="preserve">i pełnomocników będący adwokatem lub radcą za pośrednictwem kont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>nformacyjnym</w:t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526618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 xml:space="preserve">i możliwość doręczania pism stronom w postępowaniu karnym za pośrednictwem kont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>nformacyjnym</w:t>
            </w:r>
            <w:r w:rsidRPr="00A05568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757EFB">
              <w:rPr>
                <w:rFonts w:ascii="Times New Roman" w:hAnsi="Times New Roman"/>
                <w:color w:val="000000"/>
                <w:spacing w:val="-2"/>
              </w:rPr>
              <w:t xml:space="preserve"> Projekt zobowiązuje także jednostki organizacyjne prokuratury do posiadania konta w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757EFB"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757EFB">
              <w:rPr>
                <w:rFonts w:ascii="Times New Roman" w:hAnsi="Times New Roman"/>
                <w:color w:val="000000"/>
                <w:spacing w:val="-2"/>
              </w:rPr>
              <w:t>nformacyjnym.</w:t>
            </w:r>
            <w:r w:rsidR="000A5F3A">
              <w:rPr>
                <w:rFonts w:ascii="Times New Roman" w:hAnsi="Times New Roman"/>
                <w:color w:val="000000"/>
                <w:spacing w:val="-2"/>
              </w:rPr>
              <w:t xml:space="preserve"> Pełnomocnicy i obrońcy będący adwokatami lub radcami prawnymi będą zobowiązani opatrzeć</w:t>
            </w:r>
            <w:r w:rsidR="000A5F3A" w:rsidRPr="000A5F3A">
              <w:rPr>
                <w:rFonts w:ascii="Times New Roman" w:hAnsi="Times New Roman"/>
                <w:color w:val="000000"/>
                <w:spacing w:val="-2"/>
              </w:rPr>
              <w:t xml:space="preserve"> kwalifikowanym podpisem elektronicznym, podpisem zaufanym albo podpisem osobistym pism</w:t>
            </w:r>
            <w:r w:rsidR="000A5F3A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0A5F3A" w:rsidRPr="000A5F3A">
              <w:rPr>
                <w:rFonts w:ascii="Times New Roman" w:hAnsi="Times New Roman"/>
                <w:color w:val="000000"/>
                <w:spacing w:val="-2"/>
              </w:rPr>
              <w:t xml:space="preserve"> wnoszon</w:t>
            </w:r>
            <w:r w:rsidR="000A5F3A">
              <w:rPr>
                <w:rFonts w:ascii="Times New Roman" w:hAnsi="Times New Roman"/>
                <w:color w:val="000000"/>
                <w:spacing w:val="-2"/>
              </w:rPr>
              <w:t xml:space="preserve">e </w:t>
            </w:r>
            <w:r w:rsidR="000A5F3A" w:rsidRPr="000A5F3A">
              <w:rPr>
                <w:rFonts w:ascii="Times New Roman" w:hAnsi="Times New Roman"/>
                <w:color w:val="000000"/>
                <w:spacing w:val="-2"/>
              </w:rPr>
              <w:t xml:space="preserve">za pośrednictwem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0A5F3A" w:rsidRPr="000A5F3A">
              <w:rPr>
                <w:rFonts w:ascii="Times New Roman" w:hAnsi="Times New Roman"/>
                <w:color w:val="000000"/>
                <w:spacing w:val="-2"/>
              </w:rPr>
              <w:t xml:space="preserve">ortalu </w:t>
            </w:r>
            <w:r w:rsidR="00106E8E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0A5F3A" w:rsidRPr="000A5F3A">
              <w:rPr>
                <w:rFonts w:ascii="Times New Roman" w:hAnsi="Times New Roman"/>
                <w:color w:val="000000"/>
                <w:spacing w:val="-2"/>
              </w:rPr>
              <w:t>nformacyjnego.</w:t>
            </w:r>
          </w:p>
        </w:tc>
      </w:tr>
      <w:tr w:rsidR="007A4BE6" w:rsidRPr="008B4FE6" w14:paraId="5016D424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3DB47C71" w14:textId="77777777" w:rsidR="007A4BE6" w:rsidRPr="00627221" w:rsidRDefault="007A4BE6" w:rsidP="007A4BE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7A4BE6" w:rsidRPr="008B4FE6" w14:paraId="0E49E4FC" w14:textId="77777777" w:rsidTr="00283E2D">
        <w:trPr>
          <w:trHeight w:val="357"/>
        </w:trPr>
        <w:tc>
          <w:tcPr>
            <w:tcW w:w="11086" w:type="dxa"/>
            <w:gridSpan w:val="25"/>
            <w:shd w:val="clear" w:color="auto" w:fill="FFFFFF"/>
          </w:tcPr>
          <w:p w14:paraId="16D541CC" w14:textId="2950D6B1" w:rsidR="007A4BE6" w:rsidRPr="00B37C80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16733">
              <w:rPr>
                <w:rFonts w:ascii="Times New Roman" w:hAnsi="Times New Roman"/>
                <w:spacing w:val="-2"/>
              </w:rPr>
              <w:t xml:space="preserve">Ustawa wchodzi w życie po upływie 6 miesięcy od dnia ogłoszenia, z wyjątkiem art. 1 pkt </w:t>
            </w:r>
            <w:r w:rsidR="00581471">
              <w:rPr>
                <w:rFonts w:ascii="Times New Roman" w:hAnsi="Times New Roman"/>
                <w:spacing w:val="-2"/>
              </w:rPr>
              <w:t>6 lit. a i b</w:t>
            </w:r>
            <w:r w:rsidRPr="00816733">
              <w:rPr>
                <w:rFonts w:ascii="Times New Roman" w:hAnsi="Times New Roman"/>
                <w:spacing w:val="-2"/>
              </w:rPr>
              <w:t>, któr</w:t>
            </w:r>
            <w:r w:rsidR="00581471">
              <w:rPr>
                <w:rFonts w:ascii="Times New Roman" w:hAnsi="Times New Roman"/>
                <w:spacing w:val="-2"/>
              </w:rPr>
              <w:t>e</w:t>
            </w:r>
            <w:r w:rsidRPr="00816733">
              <w:rPr>
                <w:rFonts w:ascii="Times New Roman" w:hAnsi="Times New Roman"/>
                <w:spacing w:val="-2"/>
              </w:rPr>
              <w:t xml:space="preserve"> wchodz</w:t>
            </w:r>
            <w:r w:rsidR="00581471">
              <w:rPr>
                <w:rFonts w:ascii="Times New Roman" w:hAnsi="Times New Roman"/>
                <w:spacing w:val="-2"/>
              </w:rPr>
              <w:t>ą</w:t>
            </w:r>
            <w:r w:rsidRPr="00816733">
              <w:rPr>
                <w:rFonts w:ascii="Times New Roman" w:hAnsi="Times New Roman"/>
                <w:spacing w:val="-2"/>
              </w:rPr>
              <w:t xml:space="preserve"> w życie po upływie 12 miesięcy od dnia ogłoszenia oraz </w:t>
            </w:r>
            <w:r w:rsidR="00757EFB" w:rsidRPr="00757EFB">
              <w:rPr>
                <w:rFonts w:ascii="Times New Roman" w:hAnsi="Times New Roman"/>
                <w:spacing w:val="-2"/>
              </w:rPr>
              <w:t xml:space="preserve">art. 1 pkt </w:t>
            </w:r>
            <w:r w:rsidR="00D64FF0">
              <w:rPr>
                <w:rFonts w:ascii="Times New Roman" w:hAnsi="Times New Roman"/>
                <w:spacing w:val="-2"/>
              </w:rPr>
              <w:t xml:space="preserve">5 i </w:t>
            </w:r>
            <w:r w:rsidR="005904D3">
              <w:rPr>
                <w:rFonts w:ascii="Times New Roman" w:hAnsi="Times New Roman"/>
                <w:spacing w:val="-2"/>
              </w:rPr>
              <w:t xml:space="preserve">6 lit. c i d, </w:t>
            </w:r>
            <w:r w:rsidR="004C70E4">
              <w:rPr>
                <w:rFonts w:ascii="Times New Roman" w:hAnsi="Times New Roman"/>
                <w:spacing w:val="-2"/>
              </w:rPr>
              <w:t>10</w:t>
            </w:r>
            <w:r w:rsidR="00757EFB" w:rsidRPr="00757EFB">
              <w:rPr>
                <w:rFonts w:ascii="Times New Roman" w:hAnsi="Times New Roman"/>
                <w:spacing w:val="-2"/>
              </w:rPr>
              <w:t>-1</w:t>
            </w:r>
            <w:r w:rsidR="004C70E4">
              <w:rPr>
                <w:rFonts w:ascii="Times New Roman" w:hAnsi="Times New Roman"/>
                <w:spacing w:val="-2"/>
              </w:rPr>
              <w:t>3</w:t>
            </w:r>
            <w:r w:rsidR="00581471">
              <w:rPr>
                <w:rFonts w:ascii="Times New Roman" w:hAnsi="Times New Roman"/>
                <w:spacing w:val="-2"/>
              </w:rPr>
              <w:t xml:space="preserve">, </w:t>
            </w:r>
            <w:r w:rsidR="00757EFB" w:rsidRPr="00757EFB">
              <w:rPr>
                <w:rFonts w:ascii="Times New Roman" w:hAnsi="Times New Roman"/>
                <w:spacing w:val="-2"/>
              </w:rPr>
              <w:t xml:space="preserve">art. </w:t>
            </w:r>
            <w:r w:rsidR="00F76856">
              <w:rPr>
                <w:rFonts w:ascii="Times New Roman" w:hAnsi="Times New Roman"/>
                <w:spacing w:val="-2"/>
              </w:rPr>
              <w:t>2</w:t>
            </w:r>
            <w:r w:rsidR="00581471">
              <w:rPr>
                <w:rFonts w:ascii="Times New Roman" w:hAnsi="Times New Roman"/>
                <w:spacing w:val="-2"/>
              </w:rPr>
              <w:t xml:space="preserve"> i art. 4</w:t>
            </w:r>
            <w:r w:rsidR="00757EFB" w:rsidRPr="00757EFB">
              <w:rPr>
                <w:rFonts w:ascii="Times New Roman" w:hAnsi="Times New Roman"/>
                <w:spacing w:val="-2"/>
              </w:rPr>
              <w:t>, które wchodzą w życie po upływie 14 dni od dnia ogłoszenia</w:t>
            </w:r>
            <w:r w:rsidRPr="00816733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7A4BE6" w:rsidRPr="008B4FE6" w14:paraId="5ED76F26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43E26207" w14:textId="77777777" w:rsidR="007A4BE6" w:rsidRPr="008B4FE6" w:rsidRDefault="007A4BE6" w:rsidP="007A4BE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7A4BE6" w:rsidRPr="008B4FE6" w14:paraId="06AB90F8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FFFFFF"/>
          </w:tcPr>
          <w:p w14:paraId="0C8095DC" w14:textId="590914A5" w:rsidR="007A4BE6" w:rsidRDefault="007A4BE6" w:rsidP="007A4BE6">
            <w:pPr>
              <w:spacing w:line="240" w:lineRule="auto"/>
              <w:ind w:left="176" w:hanging="142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Ewaluacja </w:t>
            </w:r>
            <w:r w:rsidR="0022339A">
              <w:rPr>
                <w:rFonts w:ascii="Times New Roman" w:hAnsi="Times New Roman"/>
                <w:color w:val="000000"/>
                <w:spacing w:val="-2"/>
              </w:rPr>
              <w:t xml:space="preserve">efektów projektu </w:t>
            </w:r>
            <w:r>
              <w:rPr>
                <w:rFonts w:ascii="Times New Roman" w:hAnsi="Times New Roman"/>
                <w:color w:val="000000"/>
                <w:spacing w:val="-2"/>
              </w:rPr>
              <w:t>będzie możliwa po upływie 3 lat od wejścia w życie projektowanej ustawy na podstawie następujących mierników:</w:t>
            </w:r>
          </w:p>
          <w:p w14:paraId="66992145" w14:textId="14B83847" w:rsidR="007A4BE6" w:rsidRDefault="007A4BE6" w:rsidP="007A4BE6">
            <w:pPr>
              <w:spacing w:line="240" w:lineRule="auto"/>
              <w:ind w:left="176" w:hanging="142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 średni czas trwania postępowania sądowego w sprawach karnych</w:t>
            </w:r>
            <w:r w:rsidR="00526618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46D370C7" w14:textId="76248AFF" w:rsidR="007A4BE6" w:rsidRDefault="007A4BE6" w:rsidP="007A4BE6">
            <w:pPr>
              <w:spacing w:line="240" w:lineRule="auto"/>
              <w:ind w:left="176" w:hanging="142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 wysokość wydatków na korespondencję sądową w sprawach karnych</w:t>
            </w:r>
            <w:r w:rsidR="00526618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09CFDF06" w14:textId="6A7E294D" w:rsidR="007A4BE6" w:rsidRPr="00B37C80" w:rsidRDefault="007A4BE6" w:rsidP="007A4BE6">
            <w:pPr>
              <w:spacing w:line="240" w:lineRule="auto"/>
              <w:ind w:left="176" w:hanging="142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 liczba osób, w przypadku których Skarb Państwa poniósł koszty deportacji i wysokość wydatków z tym związanych.</w:t>
            </w:r>
          </w:p>
        </w:tc>
      </w:tr>
      <w:tr w:rsidR="007A4BE6" w:rsidRPr="008B4FE6" w14:paraId="3BAA0DD6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7EE53EE0" w14:textId="77777777" w:rsidR="007A4BE6" w:rsidRPr="008B4FE6" w:rsidRDefault="007A4BE6" w:rsidP="007A4BE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7A4BE6" w:rsidRPr="008B4FE6" w14:paraId="3D766E29" w14:textId="77777777" w:rsidTr="00283E2D">
        <w:trPr>
          <w:trHeight w:val="142"/>
        </w:trPr>
        <w:tc>
          <w:tcPr>
            <w:tcW w:w="11086" w:type="dxa"/>
            <w:gridSpan w:val="25"/>
            <w:shd w:val="clear" w:color="auto" w:fill="FFFFFF"/>
          </w:tcPr>
          <w:p w14:paraId="05E1AB54" w14:textId="1DFECC23" w:rsidR="007A4BE6" w:rsidRPr="00B37C80" w:rsidRDefault="007A4BE6" w:rsidP="007A4B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036D0107" w14:textId="77777777" w:rsidR="00F15327" w:rsidRDefault="00F15327" w:rsidP="00E75DE5">
      <w:pPr>
        <w:pStyle w:val="Nagwek1"/>
        <w:rPr>
          <w:rFonts w:ascii="Times New Roman" w:hAnsi="Times New Roman"/>
          <w:color w:val="000000"/>
          <w:sz w:val="20"/>
          <w:szCs w:val="20"/>
        </w:rPr>
      </w:pPr>
    </w:p>
    <w:sectPr w:rsidR="00F15327" w:rsidSect="007A6356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3892A" w14:textId="77777777" w:rsidR="00214E87" w:rsidRDefault="00214E87" w:rsidP="00044739">
      <w:pPr>
        <w:spacing w:line="240" w:lineRule="auto"/>
      </w:pPr>
      <w:r>
        <w:separator/>
      </w:r>
    </w:p>
  </w:endnote>
  <w:endnote w:type="continuationSeparator" w:id="0">
    <w:p w14:paraId="17804E5C" w14:textId="77777777" w:rsidR="00214E87" w:rsidRDefault="00214E87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D4158" w14:textId="77777777" w:rsidR="00214E87" w:rsidRDefault="00214E87" w:rsidP="00044739">
      <w:pPr>
        <w:spacing w:line="240" w:lineRule="auto"/>
      </w:pPr>
      <w:r>
        <w:separator/>
      </w:r>
    </w:p>
  </w:footnote>
  <w:footnote w:type="continuationSeparator" w:id="0">
    <w:p w14:paraId="191959CF" w14:textId="77777777" w:rsidR="00214E87" w:rsidRDefault="00214E87" w:rsidP="00044739">
      <w:pPr>
        <w:spacing w:line="240" w:lineRule="auto"/>
      </w:pPr>
      <w:r>
        <w:continuationSeparator/>
      </w:r>
    </w:p>
  </w:footnote>
  <w:footnote w:id="1">
    <w:p w14:paraId="0E2E9D32" w14:textId="60EB4BB7" w:rsidR="000D1FC8" w:rsidRDefault="000D1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1FC8">
        <w:t>Uchwała Sądu Najwyższego z dnia 20 października 2023 r. w sprawie III CZP 24/23.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A29"/>
    <w:multiLevelType w:val="hybridMultilevel"/>
    <w:tmpl w:val="76F2B610"/>
    <w:lvl w:ilvl="0" w:tplc="FE86E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7405"/>
    <w:multiLevelType w:val="hybridMultilevel"/>
    <w:tmpl w:val="51E0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CBE"/>
    <w:multiLevelType w:val="hybridMultilevel"/>
    <w:tmpl w:val="BAE2F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0" w15:restartNumberingAfterBreak="0">
    <w:nsid w:val="241A23E7"/>
    <w:multiLevelType w:val="hybridMultilevel"/>
    <w:tmpl w:val="B2A4DBD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5432AA6"/>
    <w:multiLevelType w:val="hybridMultilevel"/>
    <w:tmpl w:val="A132A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6A66"/>
    <w:multiLevelType w:val="hybridMultilevel"/>
    <w:tmpl w:val="343E9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9" w15:restartNumberingAfterBreak="0">
    <w:nsid w:val="4D7C6691"/>
    <w:multiLevelType w:val="singleLevel"/>
    <w:tmpl w:val="10749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0" w15:restartNumberingAfterBreak="0">
    <w:nsid w:val="4EC81AB2"/>
    <w:multiLevelType w:val="hybridMultilevel"/>
    <w:tmpl w:val="B5BA4CC0"/>
    <w:lvl w:ilvl="0" w:tplc="72F6E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40C1680"/>
    <w:multiLevelType w:val="hybridMultilevel"/>
    <w:tmpl w:val="DF9AD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81436"/>
    <w:multiLevelType w:val="hybridMultilevel"/>
    <w:tmpl w:val="60FE83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C95339"/>
    <w:multiLevelType w:val="hybridMultilevel"/>
    <w:tmpl w:val="E2988D2A"/>
    <w:lvl w:ilvl="0" w:tplc="42727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D490770"/>
    <w:multiLevelType w:val="hybridMultilevel"/>
    <w:tmpl w:val="BAE2F7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65715C43"/>
    <w:multiLevelType w:val="hybridMultilevel"/>
    <w:tmpl w:val="5C4C29C0"/>
    <w:lvl w:ilvl="0" w:tplc="9DE4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557F24"/>
    <w:multiLevelType w:val="hybridMultilevel"/>
    <w:tmpl w:val="01B26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98813757">
    <w:abstractNumId w:val="6"/>
  </w:num>
  <w:num w:numId="2" w16cid:durableId="1906257027">
    <w:abstractNumId w:val="1"/>
  </w:num>
  <w:num w:numId="3" w16cid:durableId="1059791634">
    <w:abstractNumId w:val="14"/>
  </w:num>
  <w:num w:numId="4" w16cid:durableId="1641420409">
    <w:abstractNumId w:val="29"/>
  </w:num>
  <w:num w:numId="5" w16cid:durableId="1171524195">
    <w:abstractNumId w:val="3"/>
  </w:num>
  <w:num w:numId="6" w16cid:durableId="2146775302">
    <w:abstractNumId w:val="12"/>
  </w:num>
  <w:num w:numId="7" w16cid:durableId="1211654528">
    <w:abstractNumId w:val="17"/>
  </w:num>
  <w:num w:numId="8" w16cid:durableId="1104618860">
    <w:abstractNumId w:val="7"/>
  </w:num>
  <w:num w:numId="9" w16cid:durableId="1328558663">
    <w:abstractNumId w:val="21"/>
  </w:num>
  <w:num w:numId="10" w16cid:durableId="1814253666">
    <w:abstractNumId w:val="16"/>
  </w:num>
  <w:num w:numId="11" w16cid:durableId="1484732944">
    <w:abstractNumId w:val="18"/>
  </w:num>
  <w:num w:numId="12" w16cid:durableId="2010087252">
    <w:abstractNumId w:val="5"/>
  </w:num>
  <w:num w:numId="13" w16cid:durableId="277184109">
    <w:abstractNumId w:val="15"/>
  </w:num>
  <w:num w:numId="14" w16cid:durableId="369379807">
    <w:abstractNumId w:val="30"/>
  </w:num>
  <w:num w:numId="15" w16cid:durableId="812333384">
    <w:abstractNumId w:val="25"/>
  </w:num>
  <w:num w:numId="16" w16cid:durableId="1376540295">
    <w:abstractNumId w:val="28"/>
  </w:num>
  <w:num w:numId="17" w16cid:durableId="1926765926">
    <w:abstractNumId w:val="8"/>
  </w:num>
  <w:num w:numId="18" w16cid:durableId="891889454">
    <w:abstractNumId w:val="32"/>
  </w:num>
  <w:num w:numId="19" w16cid:durableId="198665940">
    <w:abstractNumId w:val="34"/>
  </w:num>
  <w:num w:numId="20" w16cid:durableId="2124884465">
    <w:abstractNumId w:val="27"/>
  </w:num>
  <w:num w:numId="21" w16cid:durableId="1600140210">
    <w:abstractNumId w:val="9"/>
  </w:num>
  <w:num w:numId="22" w16cid:durableId="1249118788">
    <w:abstractNumId w:val="13"/>
  </w:num>
  <w:num w:numId="23" w16cid:durableId="859856927">
    <w:abstractNumId w:val="10"/>
  </w:num>
  <w:num w:numId="24" w16cid:durableId="228418441">
    <w:abstractNumId w:val="20"/>
  </w:num>
  <w:num w:numId="25" w16cid:durableId="1560359681">
    <w:abstractNumId w:val="31"/>
  </w:num>
  <w:num w:numId="26" w16cid:durableId="2042969073">
    <w:abstractNumId w:val="22"/>
  </w:num>
  <w:num w:numId="27" w16cid:durableId="967199796">
    <w:abstractNumId w:val="11"/>
  </w:num>
  <w:num w:numId="28" w16cid:durableId="958029168">
    <w:abstractNumId w:val="24"/>
  </w:num>
  <w:num w:numId="29" w16cid:durableId="1328367213">
    <w:abstractNumId w:val="4"/>
  </w:num>
  <w:num w:numId="30" w16cid:durableId="452405191">
    <w:abstractNumId w:val="23"/>
  </w:num>
  <w:num w:numId="31" w16cid:durableId="2039549055">
    <w:abstractNumId w:val="26"/>
  </w:num>
  <w:num w:numId="32" w16cid:durableId="403798698">
    <w:abstractNumId w:val="2"/>
  </w:num>
  <w:num w:numId="33" w16cid:durableId="134570373">
    <w:abstractNumId w:val="0"/>
  </w:num>
  <w:num w:numId="34" w16cid:durableId="332955059">
    <w:abstractNumId w:val="19"/>
    <w:lvlOverride w:ilvl="0">
      <w:startOverride w:val="1"/>
    </w:lvlOverride>
  </w:num>
  <w:num w:numId="35" w16cid:durableId="13289437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302D"/>
    <w:rsid w:val="000031C4"/>
    <w:rsid w:val="00004C6A"/>
    <w:rsid w:val="00006E04"/>
    <w:rsid w:val="00012D11"/>
    <w:rsid w:val="00013EB5"/>
    <w:rsid w:val="0001627A"/>
    <w:rsid w:val="0001645A"/>
    <w:rsid w:val="00016D84"/>
    <w:rsid w:val="0002288E"/>
    <w:rsid w:val="000228F2"/>
    <w:rsid w:val="00022987"/>
    <w:rsid w:val="00023836"/>
    <w:rsid w:val="00024BDD"/>
    <w:rsid w:val="00032466"/>
    <w:rsid w:val="00033CC6"/>
    <w:rsid w:val="00033DDB"/>
    <w:rsid w:val="000349CE"/>
    <w:rsid w:val="00034ECC"/>
    <w:rsid w:val="000356A9"/>
    <w:rsid w:val="0003716B"/>
    <w:rsid w:val="000412C4"/>
    <w:rsid w:val="00041890"/>
    <w:rsid w:val="00042A06"/>
    <w:rsid w:val="00042D7D"/>
    <w:rsid w:val="00043E08"/>
    <w:rsid w:val="00044138"/>
    <w:rsid w:val="00044739"/>
    <w:rsid w:val="00051637"/>
    <w:rsid w:val="00052E74"/>
    <w:rsid w:val="00053FA9"/>
    <w:rsid w:val="0005400E"/>
    <w:rsid w:val="00054E5C"/>
    <w:rsid w:val="0005509B"/>
    <w:rsid w:val="00056681"/>
    <w:rsid w:val="000648A7"/>
    <w:rsid w:val="00064FED"/>
    <w:rsid w:val="0006618B"/>
    <w:rsid w:val="000670C0"/>
    <w:rsid w:val="00070D17"/>
    <w:rsid w:val="00071B99"/>
    <w:rsid w:val="00072956"/>
    <w:rsid w:val="000751B3"/>
    <w:rsid w:val="000756E5"/>
    <w:rsid w:val="0007704E"/>
    <w:rsid w:val="00080EC8"/>
    <w:rsid w:val="00082843"/>
    <w:rsid w:val="00083EA8"/>
    <w:rsid w:val="000864AD"/>
    <w:rsid w:val="00093F3F"/>
    <w:rsid w:val="000944AC"/>
    <w:rsid w:val="00094CB9"/>
    <w:rsid w:val="000956B2"/>
    <w:rsid w:val="000969E7"/>
    <w:rsid w:val="000A0576"/>
    <w:rsid w:val="000A0715"/>
    <w:rsid w:val="000A101D"/>
    <w:rsid w:val="000A23DE"/>
    <w:rsid w:val="000A4020"/>
    <w:rsid w:val="000A58FA"/>
    <w:rsid w:val="000A5F3A"/>
    <w:rsid w:val="000A691B"/>
    <w:rsid w:val="000B0775"/>
    <w:rsid w:val="000B2CA9"/>
    <w:rsid w:val="000B46A3"/>
    <w:rsid w:val="000B54FB"/>
    <w:rsid w:val="000C29B0"/>
    <w:rsid w:val="000C3C96"/>
    <w:rsid w:val="000C68EF"/>
    <w:rsid w:val="000C76FC"/>
    <w:rsid w:val="000D032B"/>
    <w:rsid w:val="000D1FC8"/>
    <w:rsid w:val="000D38FC"/>
    <w:rsid w:val="000D3A08"/>
    <w:rsid w:val="000D4D90"/>
    <w:rsid w:val="000E2D10"/>
    <w:rsid w:val="000F1A49"/>
    <w:rsid w:val="000F1B13"/>
    <w:rsid w:val="000F3204"/>
    <w:rsid w:val="000F34AF"/>
    <w:rsid w:val="000F6F8E"/>
    <w:rsid w:val="00102953"/>
    <w:rsid w:val="0010548B"/>
    <w:rsid w:val="00105DED"/>
    <w:rsid w:val="00106E8E"/>
    <w:rsid w:val="001072D1"/>
    <w:rsid w:val="00110109"/>
    <w:rsid w:val="00112677"/>
    <w:rsid w:val="00112BE8"/>
    <w:rsid w:val="00113B96"/>
    <w:rsid w:val="00117017"/>
    <w:rsid w:val="001218E5"/>
    <w:rsid w:val="00123489"/>
    <w:rsid w:val="00130B76"/>
    <w:rsid w:val="00130E8E"/>
    <w:rsid w:val="001319C0"/>
    <w:rsid w:val="001319FE"/>
    <w:rsid w:val="0013216E"/>
    <w:rsid w:val="00133CE7"/>
    <w:rsid w:val="001401B5"/>
    <w:rsid w:val="00140DFC"/>
    <w:rsid w:val="001422B9"/>
    <w:rsid w:val="00142EEA"/>
    <w:rsid w:val="0014665F"/>
    <w:rsid w:val="00146C3B"/>
    <w:rsid w:val="00150668"/>
    <w:rsid w:val="00151F1F"/>
    <w:rsid w:val="00151F85"/>
    <w:rsid w:val="00152BDE"/>
    <w:rsid w:val="00153464"/>
    <w:rsid w:val="001541B3"/>
    <w:rsid w:val="00155B15"/>
    <w:rsid w:val="00156329"/>
    <w:rsid w:val="00156F07"/>
    <w:rsid w:val="0016134C"/>
    <w:rsid w:val="001625BE"/>
    <w:rsid w:val="001631EB"/>
    <w:rsid w:val="001643A4"/>
    <w:rsid w:val="00165675"/>
    <w:rsid w:val="00167261"/>
    <w:rsid w:val="001727BB"/>
    <w:rsid w:val="00175EAF"/>
    <w:rsid w:val="00176351"/>
    <w:rsid w:val="00180369"/>
    <w:rsid w:val="00180D25"/>
    <w:rsid w:val="001826B2"/>
    <w:rsid w:val="0018318D"/>
    <w:rsid w:val="0018572C"/>
    <w:rsid w:val="00185AAD"/>
    <w:rsid w:val="00187E79"/>
    <w:rsid w:val="00187F0D"/>
    <w:rsid w:val="0019092C"/>
    <w:rsid w:val="00192CC5"/>
    <w:rsid w:val="0019365B"/>
    <w:rsid w:val="00193C6F"/>
    <w:rsid w:val="001956A7"/>
    <w:rsid w:val="001A118A"/>
    <w:rsid w:val="001A27C5"/>
    <w:rsid w:val="001A27F4"/>
    <w:rsid w:val="001A2D95"/>
    <w:rsid w:val="001A45AA"/>
    <w:rsid w:val="001B3460"/>
    <w:rsid w:val="001B46F7"/>
    <w:rsid w:val="001B4CA1"/>
    <w:rsid w:val="001B6EC1"/>
    <w:rsid w:val="001B75D8"/>
    <w:rsid w:val="001B7E20"/>
    <w:rsid w:val="001C02E6"/>
    <w:rsid w:val="001C1060"/>
    <w:rsid w:val="001C221B"/>
    <w:rsid w:val="001C2F84"/>
    <w:rsid w:val="001C3A4A"/>
    <w:rsid w:val="001C3C63"/>
    <w:rsid w:val="001C3F5C"/>
    <w:rsid w:val="001C42CD"/>
    <w:rsid w:val="001C499A"/>
    <w:rsid w:val="001C4B63"/>
    <w:rsid w:val="001D4732"/>
    <w:rsid w:val="001D694E"/>
    <w:rsid w:val="001D6A3C"/>
    <w:rsid w:val="001D6D51"/>
    <w:rsid w:val="001E04C0"/>
    <w:rsid w:val="001E3A43"/>
    <w:rsid w:val="001E7C0D"/>
    <w:rsid w:val="001F191F"/>
    <w:rsid w:val="001F2781"/>
    <w:rsid w:val="001F38D4"/>
    <w:rsid w:val="001F5A7F"/>
    <w:rsid w:val="001F653A"/>
    <w:rsid w:val="001F6979"/>
    <w:rsid w:val="001F785B"/>
    <w:rsid w:val="00201BCF"/>
    <w:rsid w:val="00202BC6"/>
    <w:rsid w:val="002049A1"/>
    <w:rsid w:val="00205141"/>
    <w:rsid w:val="0020516B"/>
    <w:rsid w:val="00206705"/>
    <w:rsid w:val="002076B0"/>
    <w:rsid w:val="002115FE"/>
    <w:rsid w:val="00213559"/>
    <w:rsid w:val="00213EFD"/>
    <w:rsid w:val="00213F55"/>
    <w:rsid w:val="00214E87"/>
    <w:rsid w:val="002172F1"/>
    <w:rsid w:val="00222C24"/>
    <w:rsid w:val="0022339A"/>
    <w:rsid w:val="00223B41"/>
    <w:rsid w:val="00223C7B"/>
    <w:rsid w:val="00224AB1"/>
    <w:rsid w:val="00224EA2"/>
    <w:rsid w:val="0022687A"/>
    <w:rsid w:val="00230728"/>
    <w:rsid w:val="00233064"/>
    <w:rsid w:val="00234040"/>
    <w:rsid w:val="002343E0"/>
    <w:rsid w:val="00235CD2"/>
    <w:rsid w:val="00237990"/>
    <w:rsid w:val="002413B9"/>
    <w:rsid w:val="00242EA6"/>
    <w:rsid w:val="00245A38"/>
    <w:rsid w:val="002530CF"/>
    <w:rsid w:val="00254139"/>
    <w:rsid w:val="00254DED"/>
    <w:rsid w:val="00255619"/>
    <w:rsid w:val="00255DAD"/>
    <w:rsid w:val="00256108"/>
    <w:rsid w:val="00260F24"/>
    <w:rsid w:val="00260F33"/>
    <w:rsid w:val="002613BD"/>
    <w:rsid w:val="002624F1"/>
    <w:rsid w:val="002657CB"/>
    <w:rsid w:val="00270C81"/>
    <w:rsid w:val="00271558"/>
    <w:rsid w:val="00274862"/>
    <w:rsid w:val="002764BF"/>
    <w:rsid w:val="00280AD6"/>
    <w:rsid w:val="002811FC"/>
    <w:rsid w:val="00281280"/>
    <w:rsid w:val="00282329"/>
    <w:rsid w:val="00282D72"/>
    <w:rsid w:val="00283402"/>
    <w:rsid w:val="00283E2D"/>
    <w:rsid w:val="002902FD"/>
    <w:rsid w:val="00290FD6"/>
    <w:rsid w:val="00292A36"/>
    <w:rsid w:val="00294259"/>
    <w:rsid w:val="00297D24"/>
    <w:rsid w:val="002A0E9A"/>
    <w:rsid w:val="002A1BDB"/>
    <w:rsid w:val="002A2C81"/>
    <w:rsid w:val="002A5B50"/>
    <w:rsid w:val="002A6026"/>
    <w:rsid w:val="002B102E"/>
    <w:rsid w:val="002B106B"/>
    <w:rsid w:val="002B25D4"/>
    <w:rsid w:val="002B3D1A"/>
    <w:rsid w:val="002B523C"/>
    <w:rsid w:val="002C058C"/>
    <w:rsid w:val="002C16BC"/>
    <w:rsid w:val="002C27D0"/>
    <w:rsid w:val="002C2C9B"/>
    <w:rsid w:val="002D17D6"/>
    <w:rsid w:val="002D18D7"/>
    <w:rsid w:val="002D21CE"/>
    <w:rsid w:val="002D28A9"/>
    <w:rsid w:val="002D308A"/>
    <w:rsid w:val="002D5ADE"/>
    <w:rsid w:val="002E1DED"/>
    <w:rsid w:val="002E3DA3"/>
    <w:rsid w:val="002E450F"/>
    <w:rsid w:val="002E49F7"/>
    <w:rsid w:val="002E5E00"/>
    <w:rsid w:val="002E6B38"/>
    <w:rsid w:val="002E6D63"/>
    <w:rsid w:val="002E6E2B"/>
    <w:rsid w:val="002F1566"/>
    <w:rsid w:val="002F2BF0"/>
    <w:rsid w:val="002F4571"/>
    <w:rsid w:val="002F500B"/>
    <w:rsid w:val="002F5997"/>
    <w:rsid w:val="002F656C"/>
    <w:rsid w:val="002F6CFB"/>
    <w:rsid w:val="00300991"/>
    <w:rsid w:val="00301959"/>
    <w:rsid w:val="00302A88"/>
    <w:rsid w:val="00305B8A"/>
    <w:rsid w:val="00307E39"/>
    <w:rsid w:val="00310E41"/>
    <w:rsid w:val="00312511"/>
    <w:rsid w:val="0031513C"/>
    <w:rsid w:val="00315B85"/>
    <w:rsid w:val="00316C3D"/>
    <w:rsid w:val="003230CE"/>
    <w:rsid w:val="00324A03"/>
    <w:rsid w:val="00331BF9"/>
    <w:rsid w:val="003321B8"/>
    <w:rsid w:val="0033469F"/>
    <w:rsid w:val="0033495E"/>
    <w:rsid w:val="00334A79"/>
    <w:rsid w:val="00334D8D"/>
    <w:rsid w:val="00337345"/>
    <w:rsid w:val="00337DD2"/>
    <w:rsid w:val="003404D1"/>
    <w:rsid w:val="003436E5"/>
    <w:rsid w:val="003443FF"/>
    <w:rsid w:val="00346003"/>
    <w:rsid w:val="00347C7D"/>
    <w:rsid w:val="00350E1B"/>
    <w:rsid w:val="003547BE"/>
    <w:rsid w:val="00354C69"/>
    <w:rsid w:val="00355808"/>
    <w:rsid w:val="00362C7E"/>
    <w:rsid w:val="00363309"/>
    <w:rsid w:val="00363601"/>
    <w:rsid w:val="00365F04"/>
    <w:rsid w:val="00371385"/>
    <w:rsid w:val="00375474"/>
    <w:rsid w:val="0037564D"/>
    <w:rsid w:val="00376AC9"/>
    <w:rsid w:val="00380DF0"/>
    <w:rsid w:val="00381445"/>
    <w:rsid w:val="00382653"/>
    <w:rsid w:val="00385A26"/>
    <w:rsid w:val="00391729"/>
    <w:rsid w:val="00393032"/>
    <w:rsid w:val="0039456D"/>
    <w:rsid w:val="00394A03"/>
    <w:rsid w:val="00394B69"/>
    <w:rsid w:val="00397078"/>
    <w:rsid w:val="003A3EEC"/>
    <w:rsid w:val="003A4416"/>
    <w:rsid w:val="003A6953"/>
    <w:rsid w:val="003B6083"/>
    <w:rsid w:val="003B699B"/>
    <w:rsid w:val="003B740D"/>
    <w:rsid w:val="003C2D37"/>
    <w:rsid w:val="003C33B7"/>
    <w:rsid w:val="003C3838"/>
    <w:rsid w:val="003C4E20"/>
    <w:rsid w:val="003C5847"/>
    <w:rsid w:val="003C708B"/>
    <w:rsid w:val="003C7B95"/>
    <w:rsid w:val="003D0005"/>
    <w:rsid w:val="003D0681"/>
    <w:rsid w:val="003D12F6"/>
    <w:rsid w:val="003D1426"/>
    <w:rsid w:val="003D1633"/>
    <w:rsid w:val="003D690B"/>
    <w:rsid w:val="003E1D6D"/>
    <w:rsid w:val="003E2F4E"/>
    <w:rsid w:val="003E35D0"/>
    <w:rsid w:val="003E3A66"/>
    <w:rsid w:val="003E6BA2"/>
    <w:rsid w:val="003E720A"/>
    <w:rsid w:val="003E7A2D"/>
    <w:rsid w:val="003F66A5"/>
    <w:rsid w:val="003F74E9"/>
    <w:rsid w:val="0040273D"/>
    <w:rsid w:val="00403E6E"/>
    <w:rsid w:val="00405A56"/>
    <w:rsid w:val="004129B4"/>
    <w:rsid w:val="004134B4"/>
    <w:rsid w:val="00415214"/>
    <w:rsid w:val="004154C3"/>
    <w:rsid w:val="00415B5A"/>
    <w:rsid w:val="0041605F"/>
    <w:rsid w:val="00417EF0"/>
    <w:rsid w:val="00420578"/>
    <w:rsid w:val="00422181"/>
    <w:rsid w:val="00423448"/>
    <w:rsid w:val="004244A8"/>
    <w:rsid w:val="00425E55"/>
    <w:rsid w:val="00425F72"/>
    <w:rsid w:val="00427736"/>
    <w:rsid w:val="00431EC3"/>
    <w:rsid w:val="004339C1"/>
    <w:rsid w:val="00436DEA"/>
    <w:rsid w:val="00437138"/>
    <w:rsid w:val="00441787"/>
    <w:rsid w:val="00441C6F"/>
    <w:rsid w:val="00442E10"/>
    <w:rsid w:val="00444787"/>
    <w:rsid w:val="00444F2D"/>
    <w:rsid w:val="00445193"/>
    <w:rsid w:val="004461EE"/>
    <w:rsid w:val="004472B5"/>
    <w:rsid w:val="00452034"/>
    <w:rsid w:val="00453D1D"/>
    <w:rsid w:val="00455FA6"/>
    <w:rsid w:val="00456DB3"/>
    <w:rsid w:val="0045713F"/>
    <w:rsid w:val="00463001"/>
    <w:rsid w:val="004634BB"/>
    <w:rsid w:val="00466C70"/>
    <w:rsid w:val="004702C9"/>
    <w:rsid w:val="004708AB"/>
    <w:rsid w:val="004725AA"/>
    <w:rsid w:val="00472B47"/>
    <w:rsid w:val="00472E45"/>
    <w:rsid w:val="00473FEA"/>
    <w:rsid w:val="00474433"/>
    <w:rsid w:val="0047579D"/>
    <w:rsid w:val="00476CD5"/>
    <w:rsid w:val="004831A6"/>
    <w:rsid w:val="00483262"/>
    <w:rsid w:val="00484107"/>
    <w:rsid w:val="004849BE"/>
    <w:rsid w:val="00485CC5"/>
    <w:rsid w:val="0049230B"/>
    <w:rsid w:val="0049343F"/>
    <w:rsid w:val="00495702"/>
    <w:rsid w:val="00496088"/>
    <w:rsid w:val="004964FC"/>
    <w:rsid w:val="00496F21"/>
    <w:rsid w:val="00497CE1"/>
    <w:rsid w:val="004A094E"/>
    <w:rsid w:val="004A145E"/>
    <w:rsid w:val="004A1F15"/>
    <w:rsid w:val="004A2A81"/>
    <w:rsid w:val="004A5687"/>
    <w:rsid w:val="004A7BB4"/>
    <w:rsid w:val="004A7BD7"/>
    <w:rsid w:val="004A7F55"/>
    <w:rsid w:val="004B1EE5"/>
    <w:rsid w:val="004B6D21"/>
    <w:rsid w:val="004C15C2"/>
    <w:rsid w:val="004C2556"/>
    <w:rsid w:val="004C36D8"/>
    <w:rsid w:val="004C3CF6"/>
    <w:rsid w:val="004C5804"/>
    <w:rsid w:val="004C6590"/>
    <w:rsid w:val="004C70E4"/>
    <w:rsid w:val="004D0E36"/>
    <w:rsid w:val="004D1248"/>
    <w:rsid w:val="004D1E3C"/>
    <w:rsid w:val="004D4169"/>
    <w:rsid w:val="004D4FE9"/>
    <w:rsid w:val="004D6310"/>
    <w:rsid w:val="004D6E14"/>
    <w:rsid w:val="004D6EE2"/>
    <w:rsid w:val="004D7197"/>
    <w:rsid w:val="004D74D2"/>
    <w:rsid w:val="004D7F06"/>
    <w:rsid w:val="004E3051"/>
    <w:rsid w:val="004E3DBD"/>
    <w:rsid w:val="004F07E6"/>
    <w:rsid w:val="004F260E"/>
    <w:rsid w:val="004F2A43"/>
    <w:rsid w:val="004F4E17"/>
    <w:rsid w:val="004F75F9"/>
    <w:rsid w:val="0050082F"/>
    <w:rsid w:val="00500C56"/>
    <w:rsid w:val="00501713"/>
    <w:rsid w:val="00502273"/>
    <w:rsid w:val="00506568"/>
    <w:rsid w:val="00513F12"/>
    <w:rsid w:val="00514A06"/>
    <w:rsid w:val="0051551B"/>
    <w:rsid w:val="00517D81"/>
    <w:rsid w:val="00520C57"/>
    <w:rsid w:val="00522D94"/>
    <w:rsid w:val="00526618"/>
    <w:rsid w:val="00526DA7"/>
    <w:rsid w:val="00533D89"/>
    <w:rsid w:val="0053551D"/>
    <w:rsid w:val="00536564"/>
    <w:rsid w:val="00544597"/>
    <w:rsid w:val="00544FFE"/>
    <w:rsid w:val="005473F5"/>
    <w:rsid w:val="005477E7"/>
    <w:rsid w:val="00552794"/>
    <w:rsid w:val="0055658C"/>
    <w:rsid w:val="00562F7F"/>
    <w:rsid w:val="00563199"/>
    <w:rsid w:val="00564778"/>
    <w:rsid w:val="00564874"/>
    <w:rsid w:val="00567963"/>
    <w:rsid w:val="0057009A"/>
    <w:rsid w:val="00570153"/>
    <w:rsid w:val="00571260"/>
    <w:rsid w:val="00571382"/>
    <w:rsid w:val="00571878"/>
    <w:rsid w:val="0057189C"/>
    <w:rsid w:val="00571D5C"/>
    <w:rsid w:val="0057276E"/>
    <w:rsid w:val="00573845"/>
    <w:rsid w:val="00573FC1"/>
    <w:rsid w:val="005741EE"/>
    <w:rsid w:val="0057668E"/>
    <w:rsid w:val="00576691"/>
    <w:rsid w:val="00580ABC"/>
    <w:rsid w:val="00581471"/>
    <w:rsid w:val="005904D3"/>
    <w:rsid w:val="005912A1"/>
    <w:rsid w:val="00591BA8"/>
    <w:rsid w:val="005954E5"/>
    <w:rsid w:val="00595A22"/>
    <w:rsid w:val="00595E83"/>
    <w:rsid w:val="00596530"/>
    <w:rsid w:val="005967F3"/>
    <w:rsid w:val="005A06DF"/>
    <w:rsid w:val="005A5527"/>
    <w:rsid w:val="005A5AE6"/>
    <w:rsid w:val="005A777E"/>
    <w:rsid w:val="005A7F00"/>
    <w:rsid w:val="005B0785"/>
    <w:rsid w:val="005B1206"/>
    <w:rsid w:val="005B34E2"/>
    <w:rsid w:val="005B37E8"/>
    <w:rsid w:val="005B63BD"/>
    <w:rsid w:val="005B77BC"/>
    <w:rsid w:val="005C0056"/>
    <w:rsid w:val="005C6578"/>
    <w:rsid w:val="005D17EC"/>
    <w:rsid w:val="005D61D6"/>
    <w:rsid w:val="005D6C84"/>
    <w:rsid w:val="005E0D13"/>
    <w:rsid w:val="005E142C"/>
    <w:rsid w:val="005E18AD"/>
    <w:rsid w:val="005E47FF"/>
    <w:rsid w:val="005E4F91"/>
    <w:rsid w:val="005E5047"/>
    <w:rsid w:val="005E69C9"/>
    <w:rsid w:val="005E7205"/>
    <w:rsid w:val="005E7371"/>
    <w:rsid w:val="005E73D8"/>
    <w:rsid w:val="005F116C"/>
    <w:rsid w:val="005F1D40"/>
    <w:rsid w:val="005F2131"/>
    <w:rsid w:val="005F54F2"/>
    <w:rsid w:val="0060118F"/>
    <w:rsid w:val="00601E15"/>
    <w:rsid w:val="00605EF6"/>
    <w:rsid w:val="006061B9"/>
    <w:rsid w:val="00606455"/>
    <w:rsid w:val="00606C58"/>
    <w:rsid w:val="0060768A"/>
    <w:rsid w:val="006134D1"/>
    <w:rsid w:val="00614929"/>
    <w:rsid w:val="00616161"/>
    <w:rsid w:val="00616511"/>
    <w:rsid w:val="006176ED"/>
    <w:rsid w:val="006202F3"/>
    <w:rsid w:val="00620474"/>
    <w:rsid w:val="006206F4"/>
    <w:rsid w:val="0062097A"/>
    <w:rsid w:val="00621DA6"/>
    <w:rsid w:val="00623359"/>
    <w:rsid w:val="00623A6E"/>
    <w:rsid w:val="00623CFE"/>
    <w:rsid w:val="00624517"/>
    <w:rsid w:val="00627221"/>
    <w:rsid w:val="00627EE8"/>
    <w:rsid w:val="00630A99"/>
    <w:rsid w:val="006316FA"/>
    <w:rsid w:val="00633923"/>
    <w:rsid w:val="006370B6"/>
    <w:rsid w:val="006370D2"/>
    <w:rsid w:val="0064074F"/>
    <w:rsid w:val="00641554"/>
    <w:rsid w:val="00641F55"/>
    <w:rsid w:val="00645E4A"/>
    <w:rsid w:val="00645EF3"/>
    <w:rsid w:val="00646429"/>
    <w:rsid w:val="00653688"/>
    <w:rsid w:val="00656698"/>
    <w:rsid w:val="006572A4"/>
    <w:rsid w:val="00657678"/>
    <w:rsid w:val="00657D60"/>
    <w:rsid w:val="00660445"/>
    <w:rsid w:val="0066091B"/>
    <w:rsid w:val="00660F1A"/>
    <w:rsid w:val="006660E9"/>
    <w:rsid w:val="00667249"/>
    <w:rsid w:val="00667558"/>
    <w:rsid w:val="00670785"/>
    <w:rsid w:val="00670989"/>
    <w:rsid w:val="00671523"/>
    <w:rsid w:val="006754EF"/>
    <w:rsid w:val="00676C8D"/>
    <w:rsid w:val="00676F1F"/>
    <w:rsid w:val="00677381"/>
    <w:rsid w:val="00677414"/>
    <w:rsid w:val="00680CB6"/>
    <w:rsid w:val="006821A2"/>
    <w:rsid w:val="006832CF"/>
    <w:rsid w:val="00684EF4"/>
    <w:rsid w:val="00685090"/>
    <w:rsid w:val="006851F9"/>
    <w:rsid w:val="0068601E"/>
    <w:rsid w:val="006905E8"/>
    <w:rsid w:val="00693D82"/>
    <w:rsid w:val="0069486B"/>
    <w:rsid w:val="00694A5F"/>
    <w:rsid w:val="006966F7"/>
    <w:rsid w:val="00697113"/>
    <w:rsid w:val="0069723E"/>
    <w:rsid w:val="006A2CAB"/>
    <w:rsid w:val="006A3AE1"/>
    <w:rsid w:val="006A4904"/>
    <w:rsid w:val="006A548F"/>
    <w:rsid w:val="006A701A"/>
    <w:rsid w:val="006B5DE5"/>
    <w:rsid w:val="006B64DC"/>
    <w:rsid w:val="006B72B9"/>
    <w:rsid w:val="006B781D"/>
    <w:rsid w:val="006B7A91"/>
    <w:rsid w:val="006C2CEC"/>
    <w:rsid w:val="006C4628"/>
    <w:rsid w:val="006D2DF0"/>
    <w:rsid w:val="006D4704"/>
    <w:rsid w:val="006D6A2D"/>
    <w:rsid w:val="006D6DB5"/>
    <w:rsid w:val="006E0066"/>
    <w:rsid w:val="006E03C5"/>
    <w:rsid w:val="006E06BF"/>
    <w:rsid w:val="006E1E18"/>
    <w:rsid w:val="006E1EB9"/>
    <w:rsid w:val="006E31CE"/>
    <w:rsid w:val="006E34D3"/>
    <w:rsid w:val="006F1435"/>
    <w:rsid w:val="006F165A"/>
    <w:rsid w:val="006F1A36"/>
    <w:rsid w:val="006F5D66"/>
    <w:rsid w:val="006F62B4"/>
    <w:rsid w:val="006F78C4"/>
    <w:rsid w:val="00702D67"/>
    <w:rsid w:val="007031A0"/>
    <w:rsid w:val="00705A29"/>
    <w:rsid w:val="00705A37"/>
    <w:rsid w:val="00707498"/>
    <w:rsid w:val="0071020A"/>
    <w:rsid w:val="00710616"/>
    <w:rsid w:val="00711A65"/>
    <w:rsid w:val="00714133"/>
    <w:rsid w:val="00714DA4"/>
    <w:rsid w:val="007158B2"/>
    <w:rsid w:val="00716081"/>
    <w:rsid w:val="00716B12"/>
    <w:rsid w:val="007217E0"/>
    <w:rsid w:val="00722B48"/>
    <w:rsid w:val="00724164"/>
    <w:rsid w:val="00724C7F"/>
    <w:rsid w:val="00725DE7"/>
    <w:rsid w:val="0072636A"/>
    <w:rsid w:val="0072698B"/>
    <w:rsid w:val="00726B44"/>
    <w:rsid w:val="0072777C"/>
    <w:rsid w:val="007304CC"/>
    <w:rsid w:val="007318DD"/>
    <w:rsid w:val="00731D78"/>
    <w:rsid w:val="00733167"/>
    <w:rsid w:val="0073367B"/>
    <w:rsid w:val="00733B19"/>
    <w:rsid w:val="00740D2C"/>
    <w:rsid w:val="007443BC"/>
    <w:rsid w:val="00744BF9"/>
    <w:rsid w:val="007457B3"/>
    <w:rsid w:val="0074640D"/>
    <w:rsid w:val="0074642B"/>
    <w:rsid w:val="00746537"/>
    <w:rsid w:val="0074701C"/>
    <w:rsid w:val="0074717A"/>
    <w:rsid w:val="00752623"/>
    <w:rsid w:val="00754822"/>
    <w:rsid w:val="007552FC"/>
    <w:rsid w:val="00755780"/>
    <w:rsid w:val="00757EFB"/>
    <w:rsid w:val="00760F1F"/>
    <w:rsid w:val="00762969"/>
    <w:rsid w:val="00763CC9"/>
    <w:rsid w:val="0076423E"/>
    <w:rsid w:val="007646CB"/>
    <w:rsid w:val="00764BF5"/>
    <w:rsid w:val="0076658F"/>
    <w:rsid w:val="0077040A"/>
    <w:rsid w:val="00770ED3"/>
    <w:rsid w:val="00772D64"/>
    <w:rsid w:val="00772EEF"/>
    <w:rsid w:val="00773C5E"/>
    <w:rsid w:val="00781F27"/>
    <w:rsid w:val="00782437"/>
    <w:rsid w:val="00792609"/>
    <w:rsid w:val="00792887"/>
    <w:rsid w:val="00792E43"/>
    <w:rsid w:val="00794175"/>
    <w:rsid w:val="007943E2"/>
    <w:rsid w:val="00794510"/>
    <w:rsid w:val="00794F2C"/>
    <w:rsid w:val="007A3BC7"/>
    <w:rsid w:val="007A47AE"/>
    <w:rsid w:val="007A4BE6"/>
    <w:rsid w:val="007A5AC4"/>
    <w:rsid w:val="007A6356"/>
    <w:rsid w:val="007B0FDD"/>
    <w:rsid w:val="007B21FC"/>
    <w:rsid w:val="007B28F6"/>
    <w:rsid w:val="007B4802"/>
    <w:rsid w:val="007B6668"/>
    <w:rsid w:val="007B6B33"/>
    <w:rsid w:val="007B6E13"/>
    <w:rsid w:val="007C025A"/>
    <w:rsid w:val="007C25F6"/>
    <w:rsid w:val="007C2701"/>
    <w:rsid w:val="007C3604"/>
    <w:rsid w:val="007C40E3"/>
    <w:rsid w:val="007C41AD"/>
    <w:rsid w:val="007D2192"/>
    <w:rsid w:val="007D3E61"/>
    <w:rsid w:val="007E18C9"/>
    <w:rsid w:val="007E1FE1"/>
    <w:rsid w:val="007E31CA"/>
    <w:rsid w:val="007E6591"/>
    <w:rsid w:val="007E708F"/>
    <w:rsid w:val="007E74E6"/>
    <w:rsid w:val="007E78EE"/>
    <w:rsid w:val="007F0021"/>
    <w:rsid w:val="007F2F52"/>
    <w:rsid w:val="007F421E"/>
    <w:rsid w:val="007F5A55"/>
    <w:rsid w:val="00801F71"/>
    <w:rsid w:val="00803B7A"/>
    <w:rsid w:val="00805F28"/>
    <w:rsid w:val="0080749F"/>
    <w:rsid w:val="00811D46"/>
    <w:rsid w:val="008125B0"/>
    <w:rsid w:val="00813206"/>
    <w:rsid w:val="008141FB"/>
    <w:rsid w:val="008144CB"/>
    <w:rsid w:val="00816733"/>
    <w:rsid w:val="00821717"/>
    <w:rsid w:val="00822B5E"/>
    <w:rsid w:val="0082339D"/>
    <w:rsid w:val="008237FA"/>
    <w:rsid w:val="00824210"/>
    <w:rsid w:val="00824BC7"/>
    <w:rsid w:val="008263C0"/>
    <w:rsid w:val="008317EA"/>
    <w:rsid w:val="00841422"/>
    <w:rsid w:val="00841D3B"/>
    <w:rsid w:val="00842C7B"/>
    <w:rsid w:val="0084314C"/>
    <w:rsid w:val="00843171"/>
    <w:rsid w:val="008506A7"/>
    <w:rsid w:val="00850F7E"/>
    <w:rsid w:val="00852402"/>
    <w:rsid w:val="00852E49"/>
    <w:rsid w:val="00853C6E"/>
    <w:rsid w:val="008575C3"/>
    <w:rsid w:val="00860F14"/>
    <w:rsid w:val="00863D28"/>
    <w:rsid w:val="008648C3"/>
    <w:rsid w:val="00864C77"/>
    <w:rsid w:val="0087092C"/>
    <w:rsid w:val="0087183D"/>
    <w:rsid w:val="00873832"/>
    <w:rsid w:val="0087468F"/>
    <w:rsid w:val="00880F26"/>
    <w:rsid w:val="00881048"/>
    <w:rsid w:val="0088798E"/>
    <w:rsid w:val="008903DA"/>
    <w:rsid w:val="0089064A"/>
    <w:rsid w:val="00891927"/>
    <w:rsid w:val="00891F92"/>
    <w:rsid w:val="008938D9"/>
    <w:rsid w:val="00896C2E"/>
    <w:rsid w:val="008A2F87"/>
    <w:rsid w:val="008A3E84"/>
    <w:rsid w:val="008A4DBA"/>
    <w:rsid w:val="008A5095"/>
    <w:rsid w:val="008A608F"/>
    <w:rsid w:val="008B092D"/>
    <w:rsid w:val="008B1A9A"/>
    <w:rsid w:val="008B402C"/>
    <w:rsid w:val="008B471B"/>
    <w:rsid w:val="008B4FE6"/>
    <w:rsid w:val="008B6C37"/>
    <w:rsid w:val="008B7EC6"/>
    <w:rsid w:val="008C1667"/>
    <w:rsid w:val="008C3219"/>
    <w:rsid w:val="008C4803"/>
    <w:rsid w:val="008C5D3D"/>
    <w:rsid w:val="008C70E2"/>
    <w:rsid w:val="008C7819"/>
    <w:rsid w:val="008D42CC"/>
    <w:rsid w:val="008D45F9"/>
    <w:rsid w:val="008E0B89"/>
    <w:rsid w:val="008E18F7"/>
    <w:rsid w:val="008E1E10"/>
    <w:rsid w:val="008E291B"/>
    <w:rsid w:val="008E4F2F"/>
    <w:rsid w:val="008E6D0C"/>
    <w:rsid w:val="008E74B0"/>
    <w:rsid w:val="008F439B"/>
    <w:rsid w:val="009004D2"/>
    <w:rsid w:val="009008A8"/>
    <w:rsid w:val="00903C01"/>
    <w:rsid w:val="00903C0D"/>
    <w:rsid w:val="009063B0"/>
    <w:rsid w:val="00907106"/>
    <w:rsid w:val="009107FD"/>
    <w:rsid w:val="0091137C"/>
    <w:rsid w:val="00911567"/>
    <w:rsid w:val="00911AF4"/>
    <w:rsid w:val="00915043"/>
    <w:rsid w:val="009167AF"/>
    <w:rsid w:val="00917AAE"/>
    <w:rsid w:val="00921BDA"/>
    <w:rsid w:val="009251A9"/>
    <w:rsid w:val="0092558D"/>
    <w:rsid w:val="009266A6"/>
    <w:rsid w:val="00930699"/>
    <w:rsid w:val="00930AB7"/>
    <w:rsid w:val="00931F69"/>
    <w:rsid w:val="00934123"/>
    <w:rsid w:val="00936CAE"/>
    <w:rsid w:val="00937887"/>
    <w:rsid w:val="00943977"/>
    <w:rsid w:val="00943B1F"/>
    <w:rsid w:val="00944746"/>
    <w:rsid w:val="00945CD4"/>
    <w:rsid w:val="00947626"/>
    <w:rsid w:val="0095526D"/>
    <w:rsid w:val="00955774"/>
    <w:rsid w:val="00955DF9"/>
    <w:rsid w:val="009560B5"/>
    <w:rsid w:val="0095728F"/>
    <w:rsid w:val="00960735"/>
    <w:rsid w:val="0096125A"/>
    <w:rsid w:val="009664C4"/>
    <w:rsid w:val="009703D6"/>
    <w:rsid w:val="009714B0"/>
    <w:rsid w:val="0097181B"/>
    <w:rsid w:val="00972F1F"/>
    <w:rsid w:val="00976D61"/>
    <w:rsid w:val="00976DC5"/>
    <w:rsid w:val="009818C7"/>
    <w:rsid w:val="00982DD4"/>
    <w:rsid w:val="009841E5"/>
    <w:rsid w:val="00984585"/>
    <w:rsid w:val="0098479F"/>
    <w:rsid w:val="00984A8A"/>
    <w:rsid w:val="00984FED"/>
    <w:rsid w:val="009854C2"/>
    <w:rsid w:val="009857B6"/>
    <w:rsid w:val="00985A8D"/>
    <w:rsid w:val="00986610"/>
    <w:rsid w:val="00986E5B"/>
    <w:rsid w:val="009877DC"/>
    <w:rsid w:val="00991F96"/>
    <w:rsid w:val="00992E25"/>
    <w:rsid w:val="00993307"/>
    <w:rsid w:val="00996EDB"/>
    <w:rsid w:val="00996F0A"/>
    <w:rsid w:val="009A04D1"/>
    <w:rsid w:val="009A0D5B"/>
    <w:rsid w:val="009A1D86"/>
    <w:rsid w:val="009A37E9"/>
    <w:rsid w:val="009A3A53"/>
    <w:rsid w:val="009A5C97"/>
    <w:rsid w:val="009B049C"/>
    <w:rsid w:val="009B11C8"/>
    <w:rsid w:val="009B15A0"/>
    <w:rsid w:val="009B2BCF"/>
    <w:rsid w:val="009B2FF8"/>
    <w:rsid w:val="009B4D2F"/>
    <w:rsid w:val="009B598E"/>
    <w:rsid w:val="009B5BA3"/>
    <w:rsid w:val="009D0027"/>
    <w:rsid w:val="009D0655"/>
    <w:rsid w:val="009D094D"/>
    <w:rsid w:val="009D432D"/>
    <w:rsid w:val="009E1E98"/>
    <w:rsid w:val="009E3ABE"/>
    <w:rsid w:val="009E3C4B"/>
    <w:rsid w:val="009E42CD"/>
    <w:rsid w:val="009E49C6"/>
    <w:rsid w:val="009E4CE9"/>
    <w:rsid w:val="009E7031"/>
    <w:rsid w:val="009F0637"/>
    <w:rsid w:val="009F09D5"/>
    <w:rsid w:val="009F44C3"/>
    <w:rsid w:val="009F62A6"/>
    <w:rsid w:val="009F674F"/>
    <w:rsid w:val="009F6D3E"/>
    <w:rsid w:val="009F799E"/>
    <w:rsid w:val="00A00255"/>
    <w:rsid w:val="00A02020"/>
    <w:rsid w:val="00A04191"/>
    <w:rsid w:val="00A05568"/>
    <w:rsid w:val="00A056CB"/>
    <w:rsid w:val="00A064F9"/>
    <w:rsid w:val="00A07A29"/>
    <w:rsid w:val="00A10FF1"/>
    <w:rsid w:val="00A14EC1"/>
    <w:rsid w:val="00A1506B"/>
    <w:rsid w:val="00A15622"/>
    <w:rsid w:val="00A17CB2"/>
    <w:rsid w:val="00A21F5D"/>
    <w:rsid w:val="00A23191"/>
    <w:rsid w:val="00A2503A"/>
    <w:rsid w:val="00A26917"/>
    <w:rsid w:val="00A27695"/>
    <w:rsid w:val="00A30F61"/>
    <w:rsid w:val="00A30FD6"/>
    <w:rsid w:val="00A319C0"/>
    <w:rsid w:val="00A33560"/>
    <w:rsid w:val="00A364E4"/>
    <w:rsid w:val="00A371A5"/>
    <w:rsid w:val="00A4010B"/>
    <w:rsid w:val="00A401AE"/>
    <w:rsid w:val="00A4065D"/>
    <w:rsid w:val="00A40D94"/>
    <w:rsid w:val="00A4354F"/>
    <w:rsid w:val="00A44600"/>
    <w:rsid w:val="00A47094"/>
    <w:rsid w:val="00A470EC"/>
    <w:rsid w:val="00A47AB7"/>
    <w:rsid w:val="00A47BDF"/>
    <w:rsid w:val="00A5166A"/>
    <w:rsid w:val="00A51CD7"/>
    <w:rsid w:val="00A5271C"/>
    <w:rsid w:val="00A52ADB"/>
    <w:rsid w:val="00A533E8"/>
    <w:rsid w:val="00A53E82"/>
    <w:rsid w:val="00A542D9"/>
    <w:rsid w:val="00A56E64"/>
    <w:rsid w:val="00A61581"/>
    <w:rsid w:val="00A6183C"/>
    <w:rsid w:val="00A624C3"/>
    <w:rsid w:val="00A63BA8"/>
    <w:rsid w:val="00A6641C"/>
    <w:rsid w:val="00A70AD0"/>
    <w:rsid w:val="00A70BA6"/>
    <w:rsid w:val="00A71D81"/>
    <w:rsid w:val="00A74D3B"/>
    <w:rsid w:val="00A7507D"/>
    <w:rsid w:val="00A75A6F"/>
    <w:rsid w:val="00A762FD"/>
    <w:rsid w:val="00A767D2"/>
    <w:rsid w:val="00A770DF"/>
    <w:rsid w:val="00A77616"/>
    <w:rsid w:val="00A805DA"/>
    <w:rsid w:val="00A811B4"/>
    <w:rsid w:val="00A81DBC"/>
    <w:rsid w:val="00A836FC"/>
    <w:rsid w:val="00A87CDE"/>
    <w:rsid w:val="00A92BAF"/>
    <w:rsid w:val="00A931DE"/>
    <w:rsid w:val="00A94737"/>
    <w:rsid w:val="00A94BA3"/>
    <w:rsid w:val="00A95D0D"/>
    <w:rsid w:val="00A96CBA"/>
    <w:rsid w:val="00A96F35"/>
    <w:rsid w:val="00AA43F4"/>
    <w:rsid w:val="00AA4FDD"/>
    <w:rsid w:val="00AA5ACC"/>
    <w:rsid w:val="00AB1ACD"/>
    <w:rsid w:val="00AB277F"/>
    <w:rsid w:val="00AB4099"/>
    <w:rsid w:val="00AB449A"/>
    <w:rsid w:val="00AB4631"/>
    <w:rsid w:val="00AC2F8F"/>
    <w:rsid w:val="00AC4134"/>
    <w:rsid w:val="00AC59FE"/>
    <w:rsid w:val="00AC7693"/>
    <w:rsid w:val="00AD14F9"/>
    <w:rsid w:val="00AD35D6"/>
    <w:rsid w:val="00AD4852"/>
    <w:rsid w:val="00AD58C5"/>
    <w:rsid w:val="00AD62E1"/>
    <w:rsid w:val="00AD7093"/>
    <w:rsid w:val="00AD726D"/>
    <w:rsid w:val="00AE36C4"/>
    <w:rsid w:val="00AE472C"/>
    <w:rsid w:val="00AE5375"/>
    <w:rsid w:val="00AE5387"/>
    <w:rsid w:val="00AE5507"/>
    <w:rsid w:val="00AE567C"/>
    <w:rsid w:val="00AE6CF8"/>
    <w:rsid w:val="00AF24F8"/>
    <w:rsid w:val="00AF4CAC"/>
    <w:rsid w:val="00AF689C"/>
    <w:rsid w:val="00B00145"/>
    <w:rsid w:val="00B01DB6"/>
    <w:rsid w:val="00B03E0D"/>
    <w:rsid w:val="00B03FBE"/>
    <w:rsid w:val="00B054F8"/>
    <w:rsid w:val="00B05AC1"/>
    <w:rsid w:val="00B14813"/>
    <w:rsid w:val="00B169AE"/>
    <w:rsid w:val="00B2062E"/>
    <w:rsid w:val="00B2219A"/>
    <w:rsid w:val="00B24D5C"/>
    <w:rsid w:val="00B26A43"/>
    <w:rsid w:val="00B27B1C"/>
    <w:rsid w:val="00B3579F"/>
    <w:rsid w:val="00B3581B"/>
    <w:rsid w:val="00B36B81"/>
    <w:rsid w:val="00B36FEE"/>
    <w:rsid w:val="00B37C80"/>
    <w:rsid w:val="00B40889"/>
    <w:rsid w:val="00B42070"/>
    <w:rsid w:val="00B458A4"/>
    <w:rsid w:val="00B5092B"/>
    <w:rsid w:val="00B5194E"/>
    <w:rsid w:val="00B51AF5"/>
    <w:rsid w:val="00B531FC"/>
    <w:rsid w:val="00B53384"/>
    <w:rsid w:val="00B55347"/>
    <w:rsid w:val="00B55544"/>
    <w:rsid w:val="00B569E2"/>
    <w:rsid w:val="00B571C0"/>
    <w:rsid w:val="00B57E5E"/>
    <w:rsid w:val="00B603A3"/>
    <w:rsid w:val="00B609AC"/>
    <w:rsid w:val="00B61F37"/>
    <w:rsid w:val="00B62234"/>
    <w:rsid w:val="00B62DE1"/>
    <w:rsid w:val="00B65D7D"/>
    <w:rsid w:val="00B66A27"/>
    <w:rsid w:val="00B66B3F"/>
    <w:rsid w:val="00B67268"/>
    <w:rsid w:val="00B7093E"/>
    <w:rsid w:val="00B7134E"/>
    <w:rsid w:val="00B76FC0"/>
    <w:rsid w:val="00B7770F"/>
    <w:rsid w:val="00B77A89"/>
    <w:rsid w:val="00B77B27"/>
    <w:rsid w:val="00B8134E"/>
    <w:rsid w:val="00B81B55"/>
    <w:rsid w:val="00B83D2B"/>
    <w:rsid w:val="00B84613"/>
    <w:rsid w:val="00B864C9"/>
    <w:rsid w:val="00B87AF0"/>
    <w:rsid w:val="00B9037B"/>
    <w:rsid w:val="00B90721"/>
    <w:rsid w:val="00B910BD"/>
    <w:rsid w:val="00B92154"/>
    <w:rsid w:val="00B93834"/>
    <w:rsid w:val="00B9489A"/>
    <w:rsid w:val="00B95FC9"/>
    <w:rsid w:val="00B96469"/>
    <w:rsid w:val="00BA0DA2"/>
    <w:rsid w:val="00BA2981"/>
    <w:rsid w:val="00BA42EE"/>
    <w:rsid w:val="00BA48F9"/>
    <w:rsid w:val="00BA6168"/>
    <w:rsid w:val="00BB0DCA"/>
    <w:rsid w:val="00BB2666"/>
    <w:rsid w:val="00BB679E"/>
    <w:rsid w:val="00BB6A89"/>
    <w:rsid w:val="00BB6B80"/>
    <w:rsid w:val="00BC240D"/>
    <w:rsid w:val="00BC3692"/>
    <w:rsid w:val="00BC3773"/>
    <w:rsid w:val="00BC381A"/>
    <w:rsid w:val="00BC73D7"/>
    <w:rsid w:val="00BD04F2"/>
    <w:rsid w:val="00BD0962"/>
    <w:rsid w:val="00BD1A6C"/>
    <w:rsid w:val="00BD1EED"/>
    <w:rsid w:val="00BD2990"/>
    <w:rsid w:val="00BD62A4"/>
    <w:rsid w:val="00BD62AB"/>
    <w:rsid w:val="00BD6D2A"/>
    <w:rsid w:val="00BD7C1D"/>
    <w:rsid w:val="00BE15BA"/>
    <w:rsid w:val="00BE6318"/>
    <w:rsid w:val="00BF09D8"/>
    <w:rsid w:val="00BF0DA2"/>
    <w:rsid w:val="00BF109C"/>
    <w:rsid w:val="00BF34FA"/>
    <w:rsid w:val="00BF5E68"/>
    <w:rsid w:val="00BF7B37"/>
    <w:rsid w:val="00C004B6"/>
    <w:rsid w:val="00C006E6"/>
    <w:rsid w:val="00C01B33"/>
    <w:rsid w:val="00C0293A"/>
    <w:rsid w:val="00C047A7"/>
    <w:rsid w:val="00C053AB"/>
    <w:rsid w:val="00C0545C"/>
    <w:rsid w:val="00C05DE5"/>
    <w:rsid w:val="00C11608"/>
    <w:rsid w:val="00C15035"/>
    <w:rsid w:val="00C22410"/>
    <w:rsid w:val="00C303E6"/>
    <w:rsid w:val="00C3276C"/>
    <w:rsid w:val="00C32F45"/>
    <w:rsid w:val="00C33027"/>
    <w:rsid w:val="00C34259"/>
    <w:rsid w:val="00C37667"/>
    <w:rsid w:val="00C405AC"/>
    <w:rsid w:val="00C426B4"/>
    <w:rsid w:val="00C435DB"/>
    <w:rsid w:val="00C43D7D"/>
    <w:rsid w:val="00C44847"/>
    <w:rsid w:val="00C44D73"/>
    <w:rsid w:val="00C45511"/>
    <w:rsid w:val="00C46EBB"/>
    <w:rsid w:val="00C47E3D"/>
    <w:rsid w:val="00C50B42"/>
    <w:rsid w:val="00C50D15"/>
    <w:rsid w:val="00C50E75"/>
    <w:rsid w:val="00C516E3"/>
    <w:rsid w:val="00C516FF"/>
    <w:rsid w:val="00C52BFA"/>
    <w:rsid w:val="00C53D1D"/>
    <w:rsid w:val="00C53F26"/>
    <w:rsid w:val="00C540BC"/>
    <w:rsid w:val="00C62521"/>
    <w:rsid w:val="00C64F7D"/>
    <w:rsid w:val="00C67309"/>
    <w:rsid w:val="00C70590"/>
    <w:rsid w:val="00C74EFA"/>
    <w:rsid w:val="00C7614E"/>
    <w:rsid w:val="00C77BF1"/>
    <w:rsid w:val="00C80D60"/>
    <w:rsid w:val="00C82FBD"/>
    <w:rsid w:val="00C84B0F"/>
    <w:rsid w:val="00C85267"/>
    <w:rsid w:val="00C8721B"/>
    <w:rsid w:val="00C9372C"/>
    <w:rsid w:val="00C93E97"/>
    <w:rsid w:val="00C9470E"/>
    <w:rsid w:val="00C95CEB"/>
    <w:rsid w:val="00C967B0"/>
    <w:rsid w:val="00CA104D"/>
    <w:rsid w:val="00CA1054"/>
    <w:rsid w:val="00CA4024"/>
    <w:rsid w:val="00CA4209"/>
    <w:rsid w:val="00CA5BE1"/>
    <w:rsid w:val="00CA63EB"/>
    <w:rsid w:val="00CA69F1"/>
    <w:rsid w:val="00CA6D44"/>
    <w:rsid w:val="00CB296F"/>
    <w:rsid w:val="00CB388A"/>
    <w:rsid w:val="00CB4111"/>
    <w:rsid w:val="00CB52CA"/>
    <w:rsid w:val="00CB57AD"/>
    <w:rsid w:val="00CB6991"/>
    <w:rsid w:val="00CB74A2"/>
    <w:rsid w:val="00CC183C"/>
    <w:rsid w:val="00CC6194"/>
    <w:rsid w:val="00CC6305"/>
    <w:rsid w:val="00CC78A5"/>
    <w:rsid w:val="00CD0516"/>
    <w:rsid w:val="00CD0995"/>
    <w:rsid w:val="00CD41CE"/>
    <w:rsid w:val="00CD470F"/>
    <w:rsid w:val="00CD554C"/>
    <w:rsid w:val="00CD756B"/>
    <w:rsid w:val="00CE047A"/>
    <w:rsid w:val="00CE55E2"/>
    <w:rsid w:val="00CE578B"/>
    <w:rsid w:val="00CE6212"/>
    <w:rsid w:val="00CE734F"/>
    <w:rsid w:val="00CE7EB2"/>
    <w:rsid w:val="00CF112E"/>
    <w:rsid w:val="00CF1EDC"/>
    <w:rsid w:val="00CF2EA2"/>
    <w:rsid w:val="00CF3011"/>
    <w:rsid w:val="00CF4C9C"/>
    <w:rsid w:val="00CF4E30"/>
    <w:rsid w:val="00CF5F4F"/>
    <w:rsid w:val="00CF64C1"/>
    <w:rsid w:val="00CF73BB"/>
    <w:rsid w:val="00D03112"/>
    <w:rsid w:val="00D12892"/>
    <w:rsid w:val="00D13D32"/>
    <w:rsid w:val="00D15424"/>
    <w:rsid w:val="00D164AC"/>
    <w:rsid w:val="00D16DDE"/>
    <w:rsid w:val="00D218DC"/>
    <w:rsid w:val="00D2212E"/>
    <w:rsid w:val="00D24E56"/>
    <w:rsid w:val="00D30CDF"/>
    <w:rsid w:val="00D3117A"/>
    <w:rsid w:val="00D31643"/>
    <w:rsid w:val="00D31AEB"/>
    <w:rsid w:val="00D32ECD"/>
    <w:rsid w:val="00D32FFE"/>
    <w:rsid w:val="00D33300"/>
    <w:rsid w:val="00D361E4"/>
    <w:rsid w:val="00D37398"/>
    <w:rsid w:val="00D42A8F"/>
    <w:rsid w:val="00D439F6"/>
    <w:rsid w:val="00D441A7"/>
    <w:rsid w:val="00D459C6"/>
    <w:rsid w:val="00D46BDC"/>
    <w:rsid w:val="00D50729"/>
    <w:rsid w:val="00D50C19"/>
    <w:rsid w:val="00D518E4"/>
    <w:rsid w:val="00D522E3"/>
    <w:rsid w:val="00D52815"/>
    <w:rsid w:val="00D5379E"/>
    <w:rsid w:val="00D54C83"/>
    <w:rsid w:val="00D614EE"/>
    <w:rsid w:val="00D615CC"/>
    <w:rsid w:val="00D62643"/>
    <w:rsid w:val="00D63043"/>
    <w:rsid w:val="00D64C0F"/>
    <w:rsid w:val="00D64FF0"/>
    <w:rsid w:val="00D67D9A"/>
    <w:rsid w:val="00D708E9"/>
    <w:rsid w:val="00D72EFE"/>
    <w:rsid w:val="00D73B56"/>
    <w:rsid w:val="00D740F8"/>
    <w:rsid w:val="00D76227"/>
    <w:rsid w:val="00D77DF1"/>
    <w:rsid w:val="00D84073"/>
    <w:rsid w:val="00D85AA0"/>
    <w:rsid w:val="00D86A92"/>
    <w:rsid w:val="00D86AFF"/>
    <w:rsid w:val="00D90756"/>
    <w:rsid w:val="00D92FC1"/>
    <w:rsid w:val="00D94005"/>
    <w:rsid w:val="00D95A44"/>
    <w:rsid w:val="00D95D16"/>
    <w:rsid w:val="00D97C76"/>
    <w:rsid w:val="00DB02B4"/>
    <w:rsid w:val="00DB1AD0"/>
    <w:rsid w:val="00DB2959"/>
    <w:rsid w:val="00DB3CF8"/>
    <w:rsid w:val="00DB3E26"/>
    <w:rsid w:val="00DB4277"/>
    <w:rsid w:val="00DB4EFA"/>
    <w:rsid w:val="00DB538D"/>
    <w:rsid w:val="00DB7FF6"/>
    <w:rsid w:val="00DC0344"/>
    <w:rsid w:val="00DC0419"/>
    <w:rsid w:val="00DC0A11"/>
    <w:rsid w:val="00DC1CE5"/>
    <w:rsid w:val="00DC275C"/>
    <w:rsid w:val="00DC38E1"/>
    <w:rsid w:val="00DC4B0D"/>
    <w:rsid w:val="00DC5A77"/>
    <w:rsid w:val="00DC7FE1"/>
    <w:rsid w:val="00DD0B0F"/>
    <w:rsid w:val="00DD0B17"/>
    <w:rsid w:val="00DD3F3F"/>
    <w:rsid w:val="00DD5572"/>
    <w:rsid w:val="00DE5D80"/>
    <w:rsid w:val="00DE69B6"/>
    <w:rsid w:val="00DF185B"/>
    <w:rsid w:val="00DF2F6E"/>
    <w:rsid w:val="00DF5323"/>
    <w:rsid w:val="00DF58CD"/>
    <w:rsid w:val="00DF65DE"/>
    <w:rsid w:val="00DF7686"/>
    <w:rsid w:val="00DF7935"/>
    <w:rsid w:val="00E004BC"/>
    <w:rsid w:val="00E019A5"/>
    <w:rsid w:val="00E02EC8"/>
    <w:rsid w:val="00E037F5"/>
    <w:rsid w:val="00E04ECB"/>
    <w:rsid w:val="00E05A09"/>
    <w:rsid w:val="00E06CA1"/>
    <w:rsid w:val="00E07D9B"/>
    <w:rsid w:val="00E104C1"/>
    <w:rsid w:val="00E1228A"/>
    <w:rsid w:val="00E16522"/>
    <w:rsid w:val="00E16C2D"/>
    <w:rsid w:val="00E172B8"/>
    <w:rsid w:val="00E173A2"/>
    <w:rsid w:val="00E17DA7"/>
    <w:rsid w:val="00E17FB4"/>
    <w:rsid w:val="00E20B75"/>
    <w:rsid w:val="00E214F2"/>
    <w:rsid w:val="00E22189"/>
    <w:rsid w:val="00E22CB6"/>
    <w:rsid w:val="00E2371E"/>
    <w:rsid w:val="00E24BD7"/>
    <w:rsid w:val="00E26523"/>
    <w:rsid w:val="00E26809"/>
    <w:rsid w:val="00E30733"/>
    <w:rsid w:val="00E33D9A"/>
    <w:rsid w:val="00E3412D"/>
    <w:rsid w:val="00E36885"/>
    <w:rsid w:val="00E379EB"/>
    <w:rsid w:val="00E44362"/>
    <w:rsid w:val="00E51929"/>
    <w:rsid w:val="00E51A68"/>
    <w:rsid w:val="00E5330F"/>
    <w:rsid w:val="00E5418E"/>
    <w:rsid w:val="00E552E4"/>
    <w:rsid w:val="00E56D66"/>
    <w:rsid w:val="00E56EC9"/>
    <w:rsid w:val="00E57322"/>
    <w:rsid w:val="00E60196"/>
    <w:rsid w:val="00E60B77"/>
    <w:rsid w:val="00E628CB"/>
    <w:rsid w:val="00E62AD9"/>
    <w:rsid w:val="00E633E7"/>
    <w:rsid w:val="00E638C8"/>
    <w:rsid w:val="00E6443C"/>
    <w:rsid w:val="00E67758"/>
    <w:rsid w:val="00E72701"/>
    <w:rsid w:val="00E74202"/>
    <w:rsid w:val="00E7509B"/>
    <w:rsid w:val="00E75DE5"/>
    <w:rsid w:val="00E76E63"/>
    <w:rsid w:val="00E8347D"/>
    <w:rsid w:val="00E86590"/>
    <w:rsid w:val="00E9057C"/>
    <w:rsid w:val="00E907FF"/>
    <w:rsid w:val="00E92DEC"/>
    <w:rsid w:val="00E9382E"/>
    <w:rsid w:val="00E94ABF"/>
    <w:rsid w:val="00E97776"/>
    <w:rsid w:val="00EA1405"/>
    <w:rsid w:val="00EA42D1"/>
    <w:rsid w:val="00EA42EF"/>
    <w:rsid w:val="00EA7914"/>
    <w:rsid w:val="00EB05E7"/>
    <w:rsid w:val="00EB1099"/>
    <w:rsid w:val="00EB2DD1"/>
    <w:rsid w:val="00EB4641"/>
    <w:rsid w:val="00EB6247"/>
    <w:rsid w:val="00EB644D"/>
    <w:rsid w:val="00EB67B2"/>
    <w:rsid w:val="00EB6B37"/>
    <w:rsid w:val="00EC0574"/>
    <w:rsid w:val="00EC29FE"/>
    <w:rsid w:val="00EC3C70"/>
    <w:rsid w:val="00EC4611"/>
    <w:rsid w:val="00EC5929"/>
    <w:rsid w:val="00EC59C6"/>
    <w:rsid w:val="00ED0F46"/>
    <w:rsid w:val="00ED208C"/>
    <w:rsid w:val="00ED2ED8"/>
    <w:rsid w:val="00ED3A3D"/>
    <w:rsid w:val="00ED538A"/>
    <w:rsid w:val="00ED6FBC"/>
    <w:rsid w:val="00EE102C"/>
    <w:rsid w:val="00EE2F16"/>
    <w:rsid w:val="00EE3861"/>
    <w:rsid w:val="00EE436A"/>
    <w:rsid w:val="00EF0595"/>
    <w:rsid w:val="00EF2D8C"/>
    <w:rsid w:val="00EF2E73"/>
    <w:rsid w:val="00EF7683"/>
    <w:rsid w:val="00EF7A2D"/>
    <w:rsid w:val="00F00EA4"/>
    <w:rsid w:val="00F02A8D"/>
    <w:rsid w:val="00F04F8D"/>
    <w:rsid w:val="00F10AD0"/>
    <w:rsid w:val="00F10F97"/>
    <w:rsid w:val="00F116CC"/>
    <w:rsid w:val="00F12BD1"/>
    <w:rsid w:val="00F15327"/>
    <w:rsid w:val="00F168CF"/>
    <w:rsid w:val="00F16D64"/>
    <w:rsid w:val="00F2277E"/>
    <w:rsid w:val="00F246D0"/>
    <w:rsid w:val="00F2555C"/>
    <w:rsid w:val="00F270F4"/>
    <w:rsid w:val="00F2783C"/>
    <w:rsid w:val="00F31DF3"/>
    <w:rsid w:val="00F32BEB"/>
    <w:rsid w:val="00F33AE5"/>
    <w:rsid w:val="00F33E75"/>
    <w:rsid w:val="00F34450"/>
    <w:rsid w:val="00F35938"/>
    <w:rsid w:val="00F3597D"/>
    <w:rsid w:val="00F36E1F"/>
    <w:rsid w:val="00F4061A"/>
    <w:rsid w:val="00F4376D"/>
    <w:rsid w:val="00F44E0A"/>
    <w:rsid w:val="00F45399"/>
    <w:rsid w:val="00F455C7"/>
    <w:rsid w:val="00F465EA"/>
    <w:rsid w:val="00F4709D"/>
    <w:rsid w:val="00F5116E"/>
    <w:rsid w:val="00F54E7B"/>
    <w:rsid w:val="00F55A88"/>
    <w:rsid w:val="00F61551"/>
    <w:rsid w:val="00F62782"/>
    <w:rsid w:val="00F64F81"/>
    <w:rsid w:val="00F72528"/>
    <w:rsid w:val="00F74005"/>
    <w:rsid w:val="00F747B0"/>
    <w:rsid w:val="00F76856"/>
    <w:rsid w:val="00F76884"/>
    <w:rsid w:val="00F83914"/>
    <w:rsid w:val="00F83D24"/>
    <w:rsid w:val="00F83DD9"/>
    <w:rsid w:val="00F83F40"/>
    <w:rsid w:val="00F94F62"/>
    <w:rsid w:val="00FA117A"/>
    <w:rsid w:val="00FA6C22"/>
    <w:rsid w:val="00FA6E3B"/>
    <w:rsid w:val="00FB0BAA"/>
    <w:rsid w:val="00FB205A"/>
    <w:rsid w:val="00FB386A"/>
    <w:rsid w:val="00FB3BDA"/>
    <w:rsid w:val="00FB4448"/>
    <w:rsid w:val="00FB7B2B"/>
    <w:rsid w:val="00FB7E0C"/>
    <w:rsid w:val="00FC0786"/>
    <w:rsid w:val="00FC12F2"/>
    <w:rsid w:val="00FC1C6E"/>
    <w:rsid w:val="00FC1EB4"/>
    <w:rsid w:val="00FC49EF"/>
    <w:rsid w:val="00FC4CC0"/>
    <w:rsid w:val="00FC5945"/>
    <w:rsid w:val="00FC5D10"/>
    <w:rsid w:val="00FC6456"/>
    <w:rsid w:val="00FC788D"/>
    <w:rsid w:val="00FD163E"/>
    <w:rsid w:val="00FE2661"/>
    <w:rsid w:val="00FE36E2"/>
    <w:rsid w:val="00FE69D3"/>
    <w:rsid w:val="00FF01A6"/>
    <w:rsid w:val="00FF11AD"/>
    <w:rsid w:val="00FF2971"/>
    <w:rsid w:val="00FF34D4"/>
    <w:rsid w:val="00FF408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20AB5"/>
  <w15:chartTrackingRefBased/>
  <w15:docId w15:val="{9675767D-3173-4BD7-A475-26120EE4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571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Wyliczanie,List Paragraph,BulletC,A_wyliczenie,K-P_odwolanie,Akapit z listą5,maz_wyliczenie,opis dzialania,Table of contents numbered,Numerowanie,Tytuły tabel i wykresów,Akapit z listą 1,L1,T_SZ_List Paragraph,Dot pt,F5 List Paragraph,lp1"/>
    <w:basedOn w:val="Normalny"/>
    <w:link w:val="AkapitzlistZnak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Style6">
    <w:name w:val="Style6"/>
    <w:basedOn w:val="Normalny"/>
    <w:uiPriority w:val="99"/>
    <w:rsid w:val="004F2A43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1">
    <w:name w:val="Font Style31"/>
    <w:uiPriority w:val="99"/>
    <w:rsid w:val="004F2A4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ny"/>
    <w:uiPriority w:val="99"/>
    <w:rsid w:val="00E56D66"/>
    <w:pPr>
      <w:widowControl w:val="0"/>
      <w:autoSpaceDE w:val="0"/>
      <w:autoSpaceDN w:val="0"/>
      <w:adjustRightInd w:val="0"/>
      <w:spacing w:line="291" w:lineRule="exact"/>
      <w:ind w:firstLine="706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">
    <w:name w:val="Font Style25"/>
    <w:uiPriority w:val="99"/>
    <w:rsid w:val="00E56D6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E56D66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styleId="Poprawka">
    <w:name w:val="Revision"/>
    <w:hidden/>
    <w:uiPriority w:val="99"/>
    <w:semiHidden/>
    <w:rsid w:val="00A6183C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997"/>
    <w:rPr>
      <w:color w:val="605E5C"/>
      <w:shd w:val="clear" w:color="auto" w:fill="E1DFDD"/>
    </w:rPr>
  </w:style>
  <w:style w:type="paragraph" w:customStyle="1" w:styleId="Style5">
    <w:name w:val="Style5"/>
    <w:basedOn w:val="Normalny"/>
    <w:uiPriority w:val="99"/>
    <w:rsid w:val="00794175"/>
    <w:pPr>
      <w:widowControl w:val="0"/>
      <w:autoSpaceDE w:val="0"/>
      <w:autoSpaceDN w:val="0"/>
      <w:adjustRightInd w:val="0"/>
      <w:spacing w:line="432" w:lineRule="exact"/>
      <w:ind w:firstLine="49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94175"/>
    <w:pPr>
      <w:widowControl w:val="0"/>
      <w:autoSpaceDE w:val="0"/>
      <w:autoSpaceDN w:val="0"/>
      <w:adjustRightInd w:val="0"/>
      <w:spacing w:line="453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794175"/>
    <w:rPr>
      <w:rFonts w:ascii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aliases w:val="Wyliczanie Znak,List Paragraph Znak,BulletC Znak,A_wyliczenie Znak,K-P_odwolanie Znak,Akapit z listą5 Znak,maz_wyliczenie Znak,opis dzialania Znak,Table of contents numbered Znak,Numerowanie Znak,Tytuły tabel i wykresów Znak,L1 Znak"/>
    <w:link w:val="Akapitzlist"/>
    <w:qFormat/>
    <w:rsid w:val="007941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2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06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1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93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0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7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70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l@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myslaw.Domagala@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Tomasiewicz-Celinska@m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dpk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ta.Wozniak-Tuszynska@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C21B-6ED4-4462-85EC-C52FD0E8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5340</Words>
  <Characters>34541</Characters>
  <Application>Microsoft Office Word</Application>
  <DocSecurity>0</DocSecurity>
  <Lines>287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Woźniak-Tuszyńska Beata  (DL)</dc:creator>
  <cp:keywords/>
  <cp:lastModifiedBy>Woźniak-Tuszyńska Beata  (DL)</cp:lastModifiedBy>
  <cp:revision>2</cp:revision>
  <dcterms:created xsi:type="dcterms:W3CDTF">2025-01-02T07:11:00Z</dcterms:created>
  <dcterms:modified xsi:type="dcterms:W3CDTF">2025-01-02T07:11:00Z</dcterms:modified>
</cp:coreProperties>
</file>