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7760" w14:textId="77777777" w:rsidR="0024784A" w:rsidRPr="002F594B" w:rsidRDefault="0024784A" w:rsidP="001C141E">
      <w:pPr>
        <w:pStyle w:val="DATAAKTUdatauchwalenialubwydaniaaktu"/>
        <w:spacing w:before="0" w:after="0" w:line="240" w:lineRule="auto"/>
        <w:jc w:val="both"/>
        <w:rPr>
          <w:rStyle w:val="Ppogrubienie"/>
          <w:rFonts w:ascii="Times New Roman" w:hAnsi="Times New Roman" w:cs="Times New Roman"/>
          <w:lang w:eastAsia="en-US"/>
        </w:rPr>
      </w:pPr>
    </w:p>
    <w:p w14:paraId="060752CA" w14:textId="77777777" w:rsidR="00AE3235" w:rsidRPr="002F594B" w:rsidRDefault="00AE3235" w:rsidP="001C141E">
      <w:pPr>
        <w:pStyle w:val="DATAAKTUdatauchwalenialubwydaniaaktu"/>
        <w:spacing w:before="0" w:after="0" w:line="240" w:lineRule="auto"/>
        <w:jc w:val="both"/>
        <w:rPr>
          <w:rStyle w:val="Ppogrubienie"/>
          <w:rFonts w:ascii="Times New Roman" w:hAnsi="Times New Roman" w:cs="Times New Roman"/>
          <w:lang w:eastAsia="en-US"/>
        </w:rPr>
      </w:pPr>
    </w:p>
    <w:p w14:paraId="77619FB9" w14:textId="1EDF5F4E" w:rsidR="00255863" w:rsidRPr="002F594B" w:rsidRDefault="00255863" w:rsidP="00154665">
      <w:pPr>
        <w:pStyle w:val="DATAAKTUdatauchwalenialubwydaniaaktu"/>
        <w:spacing w:before="0" w:after="0" w:line="240" w:lineRule="auto"/>
        <w:rPr>
          <w:rStyle w:val="Ppogrubienie"/>
          <w:rFonts w:ascii="Times New Roman" w:hAnsi="Times New Roman" w:cs="Times New Roman"/>
          <w:lang w:eastAsia="en-US"/>
        </w:rPr>
      </w:pPr>
      <w:r w:rsidRPr="002F594B">
        <w:rPr>
          <w:rStyle w:val="Ppogrubienie"/>
          <w:rFonts w:ascii="Times New Roman" w:hAnsi="Times New Roman" w:cs="Times New Roman"/>
          <w:lang w:eastAsia="en-US"/>
        </w:rPr>
        <w:t>UZASADNIENIE</w:t>
      </w:r>
      <w:r w:rsidR="00931E93">
        <w:rPr>
          <w:rStyle w:val="Ppogrubienie"/>
          <w:rFonts w:ascii="Times New Roman" w:hAnsi="Times New Roman" w:cs="Times New Roman"/>
          <w:lang w:eastAsia="en-US"/>
        </w:rPr>
        <w:t xml:space="preserve"> </w:t>
      </w:r>
      <w:r w:rsidR="00EF5B74">
        <w:rPr>
          <w:rStyle w:val="Ppogrubienie"/>
          <w:rFonts w:ascii="Times New Roman" w:hAnsi="Times New Roman" w:cs="Times New Roman"/>
          <w:lang w:eastAsia="en-US"/>
        </w:rPr>
        <w:t xml:space="preserve">  </w:t>
      </w:r>
    </w:p>
    <w:p w14:paraId="74DA30E9" w14:textId="77777777" w:rsidR="0024784A" w:rsidRPr="002F594B" w:rsidRDefault="0024784A" w:rsidP="001C141E">
      <w:pPr>
        <w:jc w:val="both"/>
        <w:rPr>
          <w:rFonts w:ascii="Times New Roman" w:hAnsi="Times New Roman"/>
          <w:sz w:val="24"/>
          <w:szCs w:val="24"/>
        </w:rPr>
      </w:pPr>
    </w:p>
    <w:p w14:paraId="70C03869" w14:textId="3DE64315" w:rsidR="00255863" w:rsidRPr="002F594B" w:rsidRDefault="00255863" w:rsidP="00154665">
      <w:pPr>
        <w:pStyle w:val="CZWSPPKTczwsplnapunktw"/>
        <w:spacing w:after="120" w:line="240" w:lineRule="auto"/>
        <w:rPr>
          <w:rFonts w:ascii="Times New Roman" w:hAnsi="Times New Roman" w:cs="Times New Roman"/>
          <w:szCs w:val="24"/>
          <w:lang w:eastAsia="en-US"/>
        </w:rPr>
      </w:pPr>
      <w:r w:rsidRPr="002F594B">
        <w:rPr>
          <w:rFonts w:ascii="Times New Roman" w:hAnsi="Times New Roman" w:cs="Times New Roman"/>
          <w:szCs w:val="24"/>
          <w:lang w:eastAsia="en-US"/>
        </w:rPr>
        <w:t>Rozporządzenie stanowi wykonanie przewidzianego w art. 6 ust. 4 ustawy z dnia</w:t>
      </w:r>
      <w:r w:rsidR="00367EAA" w:rsidRPr="002F594B">
        <w:rPr>
          <w:rFonts w:ascii="Times New Roman" w:hAnsi="Times New Roman" w:cs="Times New Roman"/>
          <w:szCs w:val="24"/>
          <w:lang w:eastAsia="en-US"/>
        </w:rPr>
        <w:t xml:space="preserve"> </w:t>
      </w:r>
      <w:r w:rsidR="00367EAA" w:rsidRPr="002F594B">
        <w:rPr>
          <w:rFonts w:ascii="Times New Roman" w:hAnsi="Times New Roman" w:cs="Times New Roman"/>
          <w:szCs w:val="24"/>
        </w:rPr>
        <w:t xml:space="preserve">… </w:t>
      </w:r>
      <w:r w:rsidRPr="002F594B">
        <w:rPr>
          <w:rFonts w:ascii="Times New Roman" w:hAnsi="Times New Roman" w:cs="Times New Roman"/>
          <w:szCs w:val="24"/>
          <w:lang w:eastAsia="en-US"/>
        </w:rPr>
        <w:t>o</w:t>
      </w:r>
      <w:r w:rsidR="00367EAA" w:rsidRPr="002F594B">
        <w:rPr>
          <w:rFonts w:ascii="Times New Roman" w:hAnsi="Times New Roman" w:cs="Times New Roman"/>
          <w:szCs w:val="24"/>
          <w:lang w:eastAsia="en-US"/>
        </w:rPr>
        <w:t> </w:t>
      </w:r>
      <w:r w:rsidRPr="002F594B">
        <w:rPr>
          <w:rFonts w:ascii="Times New Roman" w:hAnsi="Times New Roman" w:cs="Times New Roman"/>
          <w:szCs w:val="24"/>
          <w:lang w:eastAsia="en-US"/>
        </w:rPr>
        <w:t xml:space="preserve">podmiotach obsługujących kredyty i nabywcach kredytów (Dz. U. </w:t>
      </w:r>
      <w:r w:rsidR="0024784A" w:rsidRPr="002F594B">
        <w:rPr>
          <w:rFonts w:ascii="Times New Roman" w:hAnsi="Times New Roman" w:cs="Times New Roman"/>
          <w:szCs w:val="24"/>
          <w:lang w:eastAsia="en-US"/>
        </w:rPr>
        <w:t xml:space="preserve">poz. </w:t>
      </w:r>
      <w:r w:rsidR="00EA6DB9" w:rsidRPr="002F594B">
        <w:rPr>
          <w:rFonts w:ascii="Times New Roman" w:hAnsi="Times New Roman" w:cs="Times New Roman"/>
          <w:szCs w:val="24"/>
          <w:lang w:eastAsia="en-US"/>
        </w:rPr>
        <w:t>…</w:t>
      </w:r>
      <w:r w:rsidRPr="002F594B">
        <w:rPr>
          <w:rFonts w:ascii="Times New Roman" w:hAnsi="Times New Roman" w:cs="Times New Roman"/>
          <w:szCs w:val="24"/>
          <w:lang w:eastAsia="en-US"/>
        </w:rPr>
        <w:t>), zwanej dalej „ustawą</w:t>
      </w:r>
      <w:r w:rsidR="00AE3235" w:rsidRPr="002F594B">
        <w:rPr>
          <w:rFonts w:ascii="Times New Roman" w:hAnsi="Times New Roman" w:cs="Times New Roman"/>
          <w:szCs w:val="24"/>
          <w:lang w:eastAsia="en-US"/>
        </w:rPr>
        <w:t xml:space="preserve"> upoważniającą</w:t>
      </w:r>
      <w:r w:rsidRPr="002F594B">
        <w:rPr>
          <w:rFonts w:ascii="Times New Roman" w:hAnsi="Times New Roman" w:cs="Times New Roman"/>
          <w:szCs w:val="24"/>
          <w:lang w:eastAsia="en-US"/>
        </w:rPr>
        <w:t xml:space="preserve">”, upoważnienia dla ministra właściwego do spraw instytucji finansowych do określenia, w drodze rozporządzenia, rodzaju i formy dokumentów, o których mowa w </w:t>
      </w:r>
      <w:r w:rsidR="002452BE" w:rsidRPr="002F594B">
        <w:rPr>
          <w:rFonts w:ascii="Times New Roman" w:hAnsi="Times New Roman" w:cs="Times New Roman"/>
          <w:szCs w:val="24"/>
          <w:lang w:eastAsia="en-US"/>
        </w:rPr>
        <w:t xml:space="preserve">art. 6 </w:t>
      </w:r>
      <w:r w:rsidRPr="002F594B">
        <w:rPr>
          <w:rFonts w:ascii="Times New Roman" w:hAnsi="Times New Roman" w:cs="Times New Roman"/>
          <w:szCs w:val="24"/>
          <w:lang w:eastAsia="en-US"/>
        </w:rPr>
        <w:t>ust. 1 pkt 3 lit. b</w:t>
      </w:r>
      <w:r w:rsidR="00AE3235" w:rsidRPr="002F594B">
        <w:rPr>
          <w:rFonts w:ascii="Times New Roman" w:hAnsi="Times New Roman" w:cs="Times New Roman"/>
          <w:szCs w:val="24"/>
          <w:lang w:eastAsia="en-US"/>
        </w:rPr>
        <w:t>–</w:t>
      </w:r>
      <w:r w:rsidRPr="002F594B">
        <w:rPr>
          <w:rFonts w:ascii="Times New Roman" w:hAnsi="Times New Roman" w:cs="Times New Roman"/>
          <w:szCs w:val="24"/>
          <w:lang w:eastAsia="en-US"/>
        </w:rPr>
        <w:t>e ustawy</w:t>
      </w:r>
      <w:r w:rsidR="00085BC7">
        <w:rPr>
          <w:rFonts w:ascii="Times New Roman" w:hAnsi="Times New Roman" w:cs="Times New Roman"/>
          <w:szCs w:val="24"/>
          <w:lang w:eastAsia="en-US"/>
        </w:rPr>
        <w:t xml:space="preserve"> upoważniającej</w:t>
      </w:r>
      <w:r w:rsidRPr="002F594B">
        <w:rPr>
          <w:rFonts w:ascii="Times New Roman" w:hAnsi="Times New Roman" w:cs="Times New Roman"/>
          <w:szCs w:val="24"/>
          <w:lang w:eastAsia="en-US"/>
        </w:rPr>
        <w:t xml:space="preserve">, </w:t>
      </w:r>
      <w:r w:rsidR="00AE3235" w:rsidRPr="002F594B">
        <w:rPr>
          <w:rFonts w:ascii="Times New Roman" w:hAnsi="Times New Roman" w:cs="Times New Roman"/>
          <w:szCs w:val="24"/>
          <w:lang w:eastAsia="en-US"/>
        </w:rPr>
        <w:t xml:space="preserve">tj. dokumentów </w:t>
      </w:r>
      <w:r w:rsidRPr="002F594B">
        <w:rPr>
          <w:rFonts w:ascii="Times New Roman" w:hAnsi="Times New Roman" w:cs="Times New Roman"/>
          <w:szCs w:val="24"/>
          <w:lang w:eastAsia="en-US"/>
        </w:rPr>
        <w:t>dołączanych do wniosku o wydanie zezwolenia na prowadzenie działalności w zakresie obsługi kredytów</w:t>
      </w:r>
      <w:r w:rsidR="00BD7ACA" w:rsidRPr="002F594B">
        <w:rPr>
          <w:rFonts w:ascii="Times New Roman" w:hAnsi="Times New Roman" w:cs="Times New Roman"/>
          <w:szCs w:val="24"/>
          <w:lang w:eastAsia="en-US"/>
        </w:rPr>
        <w:t xml:space="preserve"> w</w:t>
      </w:r>
      <w:r w:rsidR="00154665">
        <w:rPr>
          <w:rFonts w:ascii="Times New Roman" w:hAnsi="Times New Roman" w:cs="Times New Roman"/>
          <w:szCs w:val="24"/>
          <w:lang w:eastAsia="en-US"/>
        </w:rPr>
        <w:t> </w:t>
      </w:r>
      <w:r w:rsidR="00BD7ACA" w:rsidRPr="002F594B">
        <w:rPr>
          <w:rFonts w:ascii="Times New Roman" w:hAnsi="Times New Roman" w:cs="Times New Roman"/>
          <w:szCs w:val="24"/>
          <w:lang w:eastAsia="en-US"/>
        </w:rPr>
        <w:t>rozumieniu art. 3 pkt 3</w:t>
      </w:r>
      <w:r w:rsidR="00085BC7" w:rsidRPr="00085BC7">
        <w:rPr>
          <w:rFonts w:ascii="Times New Roman" w:hAnsi="Times New Roman" w:cs="Times New Roman"/>
          <w:szCs w:val="24"/>
          <w:lang w:eastAsia="en-US"/>
        </w:rPr>
        <w:t xml:space="preserve"> </w:t>
      </w:r>
      <w:r w:rsidR="00085BC7" w:rsidRPr="002F594B">
        <w:rPr>
          <w:rFonts w:ascii="Times New Roman" w:hAnsi="Times New Roman" w:cs="Times New Roman"/>
          <w:szCs w:val="24"/>
          <w:lang w:eastAsia="en-US"/>
        </w:rPr>
        <w:t>ustawy</w:t>
      </w:r>
      <w:r w:rsidR="00085BC7">
        <w:rPr>
          <w:rFonts w:ascii="Times New Roman" w:hAnsi="Times New Roman" w:cs="Times New Roman"/>
          <w:szCs w:val="24"/>
          <w:lang w:eastAsia="en-US"/>
        </w:rPr>
        <w:t xml:space="preserve"> upoważniającej</w:t>
      </w:r>
      <w:r w:rsidR="00BD7ACA" w:rsidRPr="002F594B">
        <w:rPr>
          <w:rFonts w:ascii="Times New Roman" w:hAnsi="Times New Roman" w:cs="Times New Roman"/>
          <w:szCs w:val="24"/>
          <w:lang w:eastAsia="en-US"/>
        </w:rPr>
        <w:t xml:space="preserve">, </w:t>
      </w:r>
      <w:r w:rsidRPr="002F594B">
        <w:rPr>
          <w:rFonts w:ascii="Times New Roman" w:hAnsi="Times New Roman" w:cs="Times New Roman"/>
          <w:szCs w:val="24"/>
          <w:lang w:eastAsia="en-US"/>
        </w:rPr>
        <w:t>jako podmiot obsługujący kredyty</w:t>
      </w:r>
      <w:r w:rsidR="00304554" w:rsidRPr="002F594B">
        <w:rPr>
          <w:rFonts w:ascii="Times New Roman" w:hAnsi="Times New Roman" w:cs="Times New Roman"/>
          <w:szCs w:val="24"/>
          <w:lang w:eastAsia="en-US"/>
        </w:rPr>
        <w:t xml:space="preserve"> (osoba prawna wykonująca taką działalność)</w:t>
      </w:r>
      <w:r w:rsidR="00BD7ACA" w:rsidRPr="002F594B">
        <w:rPr>
          <w:rFonts w:ascii="Times New Roman" w:hAnsi="Times New Roman" w:cs="Times New Roman"/>
          <w:szCs w:val="24"/>
          <w:lang w:eastAsia="en-US"/>
        </w:rPr>
        <w:t>.</w:t>
      </w:r>
    </w:p>
    <w:p w14:paraId="3AFC62BB" w14:textId="5D95BD07" w:rsidR="0096304E" w:rsidRPr="002F594B" w:rsidRDefault="00AE3235" w:rsidP="00154665">
      <w:pPr>
        <w:pStyle w:val="CZWSPPKTczwsplnapunktw"/>
        <w:spacing w:line="240" w:lineRule="auto"/>
        <w:rPr>
          <w:rFonts w:ascii="Times New Roman" w:hAnsi="Times New Roman" w:cs="Times New Roman"/>
          <w:szCs w:val="24"/>
          <w:lang w:eastAsia="en-US"/>
        </w:rPr>
      </w:pPr>
      <w:r w:rsidRPr="002F594B">
        <w:rPr>
          <w:rFonts w:ascii="Times New Roman" w:hAnsi="Times New Roman" w:cs="Times New Roman"/>
          <w:szCs w:val="24"/>
          <w:lang w:eastAsia="en-US"/>
        </w:rPr>
        <w:t>U</w:t>
      </w:r>
      <w:r w:rsidR="00255863" w:rsidRPr="002F594B">
        <w:rPr>
          <w:rFonts w:ascii="Times New Roman" w:hAnsi="Times New Roman" w:cs="Times New Roman"/>
          <w:szCs w:val="24"/>
          <w:lang w:eastAsia="en-US"/>
        </w:rPr>
        <w:t>staw</w:t>
      </w:r>
      <w:r w:rsidRPr="002F594B">
        <w:rPr>
          <w:rFonts w:ascii="Times New Roman" w:hAnsi="Times New Roman" w:cs="Times New Roman"/>
          <w:szCs w:val="24"/>
          <w:lang w:eastAsia="en-US"/>
        </w:rPr>
        <w:t xml:space="preserve">a upoważniająca </w:t>
      </w:r>
      <w:r w:rsidR="00255863" w:rsidRPr="002F594B">
        <w:rPr>
          <w:rFonts w:ascii="Times New Roman" w:hAnsi="Times New Roman" w:cs="Times New Roman"/>
          <w:szCs w:val="24"/>
          <w:lang w:eastAsia="en-US"/>
        </w:rPr>
        <w:t>implementuj</w:t>
      </w:r>
      <w:r w:rsidRPr="002F594B">
        <w:rPr>
          <w:rFonts w:ascii="Times New Roman" w:hAnsi="Times New Roman" w:cs="Times New Roman"/>
          <w:szCs w:val="24"/>
          <w:lang w:eastAsia="en-US"/>
        </w:rPr>
        <w:t>e</w:t>
      </w:r>
      <w:r w:rsidR="00255863" w:rsidRPr="002F594B">
        <w:rPr>
          <w:rFonts w:ascii="Times New Roman" w:hAnsi="Times New Roman" w:cs="Times New Roman"/>
          <w:szCs w:val="24"/>
          <w:lang w:eastAsia="en-US"/>
        </w:rPr>
        <w:t xml:space="preserve"> do prawa krajowego dyrektywę Parlamentu Europejskiego i Rady (UE) 2021/2167 z dnia 24 listopada 2021 r. w sprawie podmiotów obsługujących kredyty i nabywców kredytów oraz w sprawie zmiany dyrektyw 2008/48/WE i 2014/17/UE (Dz. Urz. UE L 438 z 08.12.2021, str. 1). </w:t>
      </w:r>
    </w:p>
    <w:p w14:paraId="19410211" w14:textId="76EBEC5D" w:rsidR="00255863" w:rsidRPr="002F594B" w:rsidRDefault="00BD7ACA" w:rsidP="00154665">
      <w:pPr>
        <w:pStyle w:val="CZWSPPKTczwsplnapunktw"/>
        <w:spacing w:after="120" w:line="240" w:lineRule="auto"/>
        <w:rPr>
          <w:rFonts w:ascii="Times New Roman" w:hAnsi="Times New Roman" w:cs="Times New Roman"/>
          <w:szCs w:val="24"/>
          <w:lang w:eastAsia="en-US"/>
        </w:rPr>
      </w:pPr>
      <w:r w:rsidRPr="002F594B">
        <w:rPr>
          <w:rFonts w:ascii="Times New Roman" w:hAnsi="Times New Roman" w:cs="Times New Roman"/>
          <w:szCs w:val="24"/>
          <w:lang w:eastAsia="en-US"/>
        </w:rPr>
        <w:t>Zezwolenie na prowadzenie działalności w zakresie obsługi kredytów wydaje Komisj</w:t>
      </w:r>
      <w:r w:rsidRPr="002F594B">
        <w:rPr>
          <w:rFonts w:ascii="Times New Roman" w:hAnsi="Times New Roman" w:cs="Times New Roman"/>
          <w:szCs w:val="24"/>
        </w:rPr>
        <w:t>a</w:t>
      </w:r>
      <w:r w:rsidRPr="002F594B">
        <w:rPr>
          <w:rFonts w:ascii="Times New Roman" w:hAnsi="Times New Roman" w:cs="Times New Roman"/>
          <w:szCs w:val="24"/>
          <w:lang w:eastAsia="en-US"/>
        </w:rPr>
        <w:t xml:space="preserve"> Nadzoru Finansowego, zwana dalej „KNF”, który, zgodnie z art. 30 ust. 1</w:t>
      </w:r>
      <w:r w:rsidR="001D324D" w:rsidRPr="001D324D">
        <w:rPr>
          <w:rFonts w:ascii="Times New Roman" w:hAnsi="Times New Roman" w:cs="Times New Roman"/>
          <w:szCs w:val="24"/>
          <w:lang w:eastAsia="en-US"/>
        </w:rPr>
        <w:t xml:space="preserve"> </w:t>
      </w:r>
      <w:r w:rsidR="001D324D" w:rsidRPr="002F594B">
        <w:rPr>
          <w:rFonts w:ascii="Times New Roman" w:hAnsi="Times New Roman" w:cs="Times New Roman"/>
          <w:szCs w:val="24"/>
          <w:lang w:eastAsia="en-US"/>
        </w:rPr>
        <w:t>ustawy</w:t>
      </w:r>
      <w:r w:rsidR="001D324D">
        <w:rPr>
          <w:rFonts w:ascii="Times New Roman" w:hAnsi="Times New Roman" w:cs="Times New Roman"/>
          <w:szCs w:val="24"/>
          <w:lang w:eastAsia="en-US"/>
        </w:rPr>
        <w:t xml:space="preserve"> upoważniającej</w:t>
      </w:r>
      <w:r w:rsidRPr="002F594B">
        <w:rPr>
          <w:rFonts w:ascii="Times New Roman" w:hAnsi="Times New Roman" w:cs="Times New Roman"/>
          <w:szCs w:val="24"/>
          <w:lang w:eastAsia="en-US"/>
        </w:rPr>
        <w:t xml:space="preserve">, sprawuje nadzór nad tą działalnością. </w:t>
      </w:r>
      <w:r w:rsidR="00255863" w:rsidRPr="002F594B">
        <w:rPr>
          <w:rFonts w:ascii="Times New Roman" w:hAnsi="Times New Roman" w:cs="Times New Roman"/>
          <w:szCs w:val="24"/>
          <w:lang w:eastAsia="en-US"/>
        </w:rPr>
        <w:t xml:space="preserve">KNF dokonuje sprawdzenia, czy wnioskodawca spełnia warunki konieczne do uzyskania zezwolenia oraz </w:t>
      </w:r>
      <w:r w:rsidR="001D324D">
        <w:rPr>
          <w:rFonts w:ascii="Times New Roman" w:hAnsi="Times New Roman" w:cs="Times New Roman"/>
          <w:szCs w:val="24"/>
          <w:lang w:eastAsia="en-US"/>
        </w:rPr>
        <w:t xml:space="preserve">bada </w:t>
      </w:r>
      <w:r w:rsidR="00255863" w:rsidRPr="002F594B">
        <w:rPr>
          <w:rFonts w:ascii="Times New Roman" w:hAnsi="Times New Roman" w:cs="Times New Roman"/>
          <w:szCs w:val="24"/>
          <w:lang w:eastAsia="en-US"/>
        </w:rPr>
        <w:t>kompletność i wiarygodność dokumentacji dołączanej do wniosku</w:t>
      </w:r>
      <w:r w:rsidRPr="002F594B">
        <w:rPr>
          <w:rFonts w:ascii="Times New Roman" w:hAnsi="Times New Roman" w:cs="Times New Roman"/>
          <w:szCs w:val="24"/>
          <w:lang w:eastAsia="en-US"/>
        </w:rPr>
        <w:t xml:space="preserve"> o jego udzielenie</w:t>
      </w:r>
      <w:r w:rsidR="001D324D">
        <w:rPr>
          <w:rFonts w:ascii="Times New Roman" w:hAnsi="Times New Roman" w:cs="Times New Roman"/>
          <w:szCs w:val="24"/>
          <w:lang w:eastAsia="en-US"/>
        </w:rPr>
        <w:t xml:space="preserve">. </w:t>
      </w:r>
      <w:r w:rsidR="00AE3235" w:rsidRPr="002F594B">
        <w:rPr>
          <w:rFonts w:ascii="Times New Roman" w:hAnsi="Times New Roman" w:cs="Times New Roman"/>
          <w:color w:val="000000"/>
          <w:spacing w:val="-2"/>
          <w:szCs w:val="24"/>
        </w:rPr>
        <w:t xml:space="preserve">Weryfikacja przez KNF danych z etapu postępowania o wydanie zezwolenia </w:t>
      </w:r>
      <w:r w:rsidRPr="002F594B">
        <w:rPr>
          <w:rFonts w:ascii="Times New Roman" w:hAnsi="Times New Roman" w:cs="Times New Roman"/>
          <w:color w:val="000000"/>
          <w:spacing w:val="-2"/>
          <w:szCs w:val="24"/>
        </w:rPr>
        <w:t xml:space="preserve">jest następnie dokonywana w </w:t>
      </w:r>
      <w:r w:rsidR="00AE3235" w:rsidRPr="002F594B">
        <w:rPr>
          <w:rFonts w:ascii="Times New Roman" w:hAnsi="Times New Roman" w:cs="Times New Roman"/>
          <w:color w:val="000000"/>
          <w:spacing w:val="-2"/>
          <w:szCs w:val="24"/>
        </w:rPr>
        <w:t xml:space="preserve">toku </w:t>
      </w:r>
      <w:r w:rsidRPr="002F594B">
        <w:rPr>
          <w:rFonts w:ascii="Times New Roman" w:hAnsi="Times New Roman" w:cs="Times New Roman"/>
          <w:color w:val="000000"/>
          <w:spacing w:val="-2"/>
          <w:szCs w:val="24"/>
        </w:rPr>
        <w:t xml:space="preserve">sprawowanego </w:t>
      </w:r>
      <w:r w:rsidR="00AE3235" w:rsidRPr="002F594B">
        <w:rPr>
          <w:rFonts w:ascii="Times New Roman" w:hAnsi="Times New Roman" w:cs="Times New Roman"/>
          <w:color w:val="000000"/>
          <w:spacing w:val="-2"/>
          <w:szCs w:val="24"/>
        </w:rPr>
        <w:t xml:space="preserve">nadzoru, </w:t>
      </w:r>
      <w:r w:rsidR="003524EB" w:rsidRPr="002F594B">
        <w:rPr>
          <w:rFonts w:ascii="Times New Roman" w:hAnsi="Times New Roman" w:cs="Times New Roman"/>
          <w:color w:val="000000"/>
          <w:spacing w:val="-2"/>
          <w:szCs w:val="24"/>
        </w:rPr>
        <w:t>łącznie z m</w:t>
      </w:r>
      <w:r w:rsidR="00AE3235" w:rsidRPr="002F594B">
        <w:rPr>
          <w:rFonts w:ascii="Times New Roman" w:hAnsi="Times New Roman" w:cs="Times New Roman"/>
          <w:color w:val="000000"/>
          <w:spacing w:val="-2"/>
          <w:szCs w:val="24"/>
        </w:rPr>
        <w:t>ożliwo</w:t>
      </w:r>
      <w:r w:rsidR="003524EB" w:rsidRPr="002F594B">
        <w:rPr>
          <w:rFonts w:ascii="Times New Roman" w:hAnsi="Times New Roman" w:cs="Times New Roman"/>
          <w:color w:val="000000"/>
          <w:spacing w:val="-2"/>
          <w:szCs w:val="24"/>
        </w:rPr>
        <w:t xml:space="preserve">ścią </w:t>
      </w:r>
      <w:r w:rsidR="00AE3235" w:rsidRPr="002F594B">
        <w:rPr>
          <w:rFonts w:ascii="Times New Roman" w:hAnsi="Times New Roman" w:cs="Times New Roman"/>
          <w:color w:val="000000"/>
          <w:spacing w:val="-2"/>
          <w:szCs w:val="24"/>
        </w:rPr>
        <w:t xml:space="preserve">cofnięcia zezwolenia </w:t>
      </w:r>
      <w:r w:rsidR="003524EB" w:rsidRPr="002F594B">
        <w:rPr>
          <w:rFonts w:ascii="Times New Roman" w:hAnsi="Times New Roman" w:cs="Times New Roman"/>
          <w:color w:val="000000"/>
          <w:spacing w:val="-2"/>
          <w:szCs w:val="24"/>
        </w:rPr>
        <w:t>(art. 30 ust. 3 pkt 1 lit. c oraz art. 31 ust. 3 pkt 1</w:t>
      </w:r>
      <w:r w:rsidR="001D324D" w:rsidRPr="001D324D">
        <w:rPr>
          <w:rFonts w:ascii="Times New Roman" w:hAnsi="Times New Roman" w:cs="Times New Roman"/>
          <w:szCs w:val="24"/>
          <w:lang w:eastAsia="en-US"/>
        </w:rPr>
        <w:t xml:space="preserve"> </w:t>
      </w:r>
      <w:r w:rsidR="001D324D" w:rsidRPr="002F594B">
        <w:rPr>
          <w:rFonts w:ascii="Times New Roman" w:hAnsi="Times New Roman" w:cs="Times New Roman"/>
          <w:szCs w:val="24"/>
          <w:lang w:eastAsia="en-US"/>
        </w:rPr>
        <w:t>ustawy</w:t>
      </w:r>
      <w:r w:rsidR="001D324D">
        <w:rPr>
          <w:rFonts w:ascii="Times New Roman" w:hAnsi="Times New Roman" w:cs="Times New Roman"/>
          <w:szCs w:val="24"/>
          <w:lang w:eastAsia="en-US"/>
        </w:rPr>
        <w:t xml:space="preserve"> upoważniającej</w:t>
      </w:r>
      <w:r w:rsidR="003524EB" w:rsidRPr="002F594B">
        <w:rPr>
          <w:rFonts w:ascii="Times New Roman" w:hAnsi="Times New Roman" w:cs="Times New Roman"/>
          <w:color w:val="000000"/>
          <w:spacing w:val="-2"/>
          <w:szCs w:val="24"/>
        </w:rPr>
        <w:t xml:space="preserve">). </w:t>
      </w:r>
    </w:p>
    <w:p w14:paraId="770B6853" w14:textId="479BE5A3" w:rsidR="00A9032F" w:rsidRPr="002F594B" w:rsidRDefault="00255863" w:rsidP="00154665">
      <w:pPr>
        <w:pStyle w:val="CZWSPPKTczwsplnapunktw"/>
        <w:spacing w:line="240" w:lineRule="auto"/>
        <w:rPr>
          <w:rFonts w:ascii="Times New Roman" w:hAnsi="Times New Roman" w:cs="Times New Roman"/>
          <w:szCs w:val="24"/>
          <w:lang w:eastAsia="en-US"/>
        </w:rPr>
      </w:pPr>
      <w:r w:rsidRPr="002F594B">
        <w:rPr>
          <w:rFonts w:ascii="Times New Roman" w:hAnsi="Times New Roman" w:cs="Times New Roman"/>
          <w:szCs w:val="24"/>
          <w:lang w:eastAsia="en-US"/>
        </w:rPr>
        <w:t>Celem rozporządzenia jest określenie rodzaju i formy dokumentów dołączanych do wniosku o</w:t>
      </w:r>
      <w:r w:rsidR="00E349C2" w:rsidRPr="002F594B">
        <w:rPr>
          <w:rFonts w:ascii="Times New Roman" w:hAnsi="Times New Roman" w:cs="Times New Roman"/>
          <w:szCs w:val="24"/>
          <w:lang w:eastAsia="en-US"/>
        </w:rPr>
        <w:t> </w:t>
      </w:r>
      <w:r w:rsidRPr="002F594B">
        <w:rPr>
          <w:rFonts w:ascii="Times New Roman" w:hAnsi="Times New Roman" w:cs="Times New Roman"/>
          <w:szCs w:val="24"/>
          <w:lang w:eastAsia="en-US"/>
        </w:rPr>
        <w:t>udzielenie zezwolenia przez KNF</w:t>
      </w:r>
      <w:r w:rsidR="00304554" w:rsidRPr="002F594B">
        <w:rPr>
          <w:rFonts w:ascii="Times New Roman" w:hAnsi="Times New Roman" w:cs="Times New Roman"/>
          <w:szCs w:val="24"/>
          <w:lang w:eastAsia="en-US"/>
        </w:rPr>
        <w:t>,</w:t>
      </w:r>
      <w:r w:rsidRPr="002F594B">
        <w:rPr>
          <w:rFonts w:ascii="Times New Roman" w:hAnsi="Times New Roman" w:cs="Times New Roman"/>
          <w:szCs w:val="24"/>
          <w:lang w:eastAsia="en-US"/>
        </w:rPr>
        <w:t xml:space="preserve"> z uwzględnieniem praktyki nadzorczej KNF</w:t>
      </w:r>
      <w:r w:rsidR="00304554" w:rsidRPr="002F594B">
        <w:rPr>
          <w:rFonts w:ascii="Times New Roman" w:hAnsi="Times New Roman" w:cs="Times New Roman"/>
          <w:szCs w:val="24"/>
          <w:lang w:eastAsia="en-US"/>
        </w:rPr>
        <w:t xml:space="preserve"> stosowanej w innych segmentach rynku finansowego</w:t>
      </w:r>
      <w:r w:rsidRPr="002F594B">
        <w:rPr>
          <w:rFonts w:ascii="Times New Roman" w:hAnsi="Times New Roman" w:cs="Times New Roman"/>
          <w:szCs w:val="24"/>
          <w:lang w:eastAsia="en-US"/>
        </w:rPr>
        <w:t xml:space="preserve">. </w:t>
      </w:r>
    </w:p>
    <w:p w14:paraId="5225CF16" w14:textId="10CEBE9D" w:rsidR="00A9032F" w:rsidRPr="002F594B" w:rsidRDefault="00255863" w:rsidP="00154665">
      <w:pPr>
        <w:pStyle w:val="CZWSPPKTczwsplnapunktw"/>
        <w:spacing w:line="240" w:lineRule="auto"/>
        <w:rPr>
          <w:rFonts w:ascii="Times New Roman" w:hAnsi="Times New Roman" w:cs="Times New Roman"/>
          <w:szCs w:val="24"/>
          <w:lang w:eastAsia="en-US"/>
        </w:rPr>
      </w:pPr>
      <w:r w:rsidRPr="002F594B">
        <w:rPr>
          <w:rFonts w:ascii="Times New Roman" w:hAnsi="Times New Roman" w:cs="Times New Roman"/>
          <w:szCs w:val="24"/>
        </w:rPr>
        <w:t xml:space="preserve">W celu zwiększenia przejrzystości procesu uzyskania zezwolenia w </w:t>
      </w:r>
      <w:r w:rsidR="00304554" w:rsidRPr="002F594B">
        <w:rPr>
          <w:rFonts w:ascii="Times New Roman" w:hAnsi="Times New Roman" w:cs="Times New Roman"/>
          <w:szCs w:val="24"/>
        </w:rPr>
        <w:t xml:space="preserve">projekcie </w:t>
      </w:r>
      <w:r w:rsidRPr="002F594B">
        <w:rPr>
          <w:rFonts w:ascii="Times New Roman" w:hAnsi="Times New Roman" w:cs="Times New Roman"/>
          <w:szCs w:val="24"/>
        </w:rPr>
        <w:t>rozporządzeni</w:t>
      </w:r>
      <w:r w:rsidR="00304554" w:rsidRPr="002F594B">
        <w:rPr>
          <w:rFonts w:ascii="Times New Roman" w:hAnsi="Times New Roman" w:cs="Times New Roman"/>
          <w:szCs w:val="24"/>
        </w:rPr>
        <w:t>a</w:t>
      </w:r>
      <w:r w:rsidRPr="002F594B">
        <w:rPr>
          <w:rFonts w:ascii="Times New Roman" w:hAnsi="Times New Roman" w:cs="Times New Roman"/>
          <w:szCs w:val="24"/>
        </w:rPr>
        <w:t xml:space="preserve"> zostały uwzględnione dokumenty</w:t>
      </w:r>
      <w:r w:rsidR="00304554" w:rsidRPr="002F594B">
        <w:rPr>
          <w:rFonts w:ascii="Times New Roman" w:hAnsi="Times New Roman" w:cs="Times New Roman"/>
          <w:szCs w:val="24"/>
        </w:rPr>
        <w:t xml:space="preserve">, które mają zasadnicze znaczenie </w:t>
      </w:r>
      <w:r w:rsidR="00E2296B" w:rsidRPr="002F594B">
        <w:rPr>
          <w:rFonts w:ascii="Times New Roman" w:hAnsi="Times New Roman" w:cs="Times New Roman"/>
          <w:szCs w:val="24"/>
        </w:rPr>
        <w:t xml:space="preserve">dla </w:t>
      </w:r>
      <w:r w:rsidR="00304554" w:rsidRPr="002F594B">
        <w:rPr>
          <w:rFonts w:ascii="Times New Roman" w:hAnsi="Times New Roman" w:cs="Times New Roman"/>
          <w:szCs w:val="24"/>
        </w:rPr>
        <w:t>oceny ustawowych przesłanek udzielenia zezwolenia</w:t>
      </w:r>
      <w:r w:rsidR="00E2296B" w:rsidRPr="002F594B">
        <w:rPr>
          <w:rFonts w:ascii="Times New Roman" w:hAnsi="Times New Roman" w:cs="Times New Roman"/>
          <w:szCs w:val="24"/>
        </w:rPr>
        <w:t xml:space="preserve"> przez KNF.</w:t>
      </w:r>
    </w:p>
    <w:p w14:paraId="46CED07A" w14:textId="30887236" w:rsidR="00A9032F" w:rsidRPr="002F594B" w:rsidRDefault="00255863" w:rsidP="00154665">
      <w:pPr>
        <w:pStyle w:val="CZWSPPKTczwsplnapunktw"/>
        <w:spacing w:line="240" w:lineRule="auto"/>
        <w:rPr>
          <w:rFonts w:ascii="Times New Roman" w:hAnsi="Times New Roman" w:cs="Times New Roman"/>
          <w:szCs w:val="24"/>
          <w:lang w:eastAsia="en-US"/>
        </w:rPr>
      </w:pPr>
      <w:r w:rsidRPr="002F594B">
        <w:rPr>
          <w:rFonts w:ascii="Times New Roman" w:hAnsi="Times New Roman" w:cs="Times New Roman"/>
          <w:szCs w:val="24"/>
          <w:lang w:eastAsia="en-US"/>
        </w:rPr>
        <w:t xml:space="preserve">Szczegółowe </w:t>
      </w:r>
      <w:r w:rsidR="00A9032F" w:rsidRPr="002F594B">
        <w:rPr>
          <w:rFonts w:ascii="Times New Roman" w:hAnsi="Times New Roman" w:cs="Times New Roman"/>
          <w:szCs w:val="24"/>
          <w:lang w:eastAsia="en-US"/>
        </w:rPr>
        <w:t xml:space="preserve">określenie </w:t>
      </w:r>
      <w:r w:rsidRPr="002F594B">
        <w:rPr>
          <w:rFonts w:ascii="Times New Roman" w:hAnsi="Times New Roman" w:cs="Times New Roman"/>
          <w:szCs w:val="24"/>
          <w:lang w:eastAsia="en-US"/>
        </w:rPr>
        <w:t>zakresu informacji oraz wymagań dotyczących dokument</w:t>
      </w:r>
      <w:r w:rsidR="00A9032F" w:rsidRPr="002F594B">
        <w:rPr>
          <w:rFonts w:ascii="Times New Roman" w:hAnsi="Times New Roman" w:cs="Times New Roman"/>
          <w:szCs w:val="24"/>
          <w:lang w:eastAsia="en-US"/>
        </w:rPr>
        <w:t>ów</w:t>
      </w:r>
      <w:r w:rsidRPr="002F594B">
        <w:rPr>
          <w:rFonts w:ascii="Times New Roman" w:hAnsi="Times New Roman" w:cs="Times New Roman"/>
          <w:szCs w:val="24"/>
          <w:lang w:eastAsia="en-US"/>
        </w:rPr>
        <w:t xml:space="preserve"> ułatwi</w:t>
      </w:r>
      <w:r w:rsidR="00A9032F" w:rsidRPr="002F594B">
        <w:rPr>
          <w:rFonts w:ascii="Times New Roman" w:hAnsi="Times New Roman" w:cs="Times New Roman"/>
          <w:szCs w:val="24"/>
          <w:lang w:eastAsia="en-US"/>
        </w:rPr>
        <w:t xml:space="preserve"> wnioskodawcom </w:t>
      </w:r>
      <w:r w:rsidRPr="002F594B">
        <w:rPr>
          <w:rFonts w:ascii="Times New Roman" w:hAnsi="Times New Roman" w:cs="Times New Roman"/>
          <w:szCs w:val="24"/>
          <w:lang w:eastAsia="en-US"/>
        </w:rPr>
        <w:t>spełnieni</w:t>
      </w:r>
      <w:r w:rsidR="00A9032F" w:rsidRPr="002F594B">
        <w:rPr>
          <w:rFonts w:ascii="Times New Roman" w:hAnsi="Times New Roman" w:cs="Times New Roman"/>
          <w:szCs w:val="24"/>
          <w:lang w:eastAsia="en-US"/>
        </w:rPr>
        <w:t>e</w:t>
      </w:r>
      <w:r w:rsidRPr="002F594B">
        <w:rPr>
          <w:rFonts w:ascii="Times New Roman" w:hAnsi="Times New Roman" w:cs="Times New Roman"/>
          <w:szCs w:val="24"/>
          <w:lang w:eastAsia="en-US"/>
        </w:rPr>
        <w:t xml:space="preserve"> ustawowych </w:t>
      </w:r>
      <w:r w:rsidR="00A9032F" w:rsidRPr="002F594B">
        <w:rPr>
          <w:rFonts w:ascii="Times New Roman" w:hAnsi="Times New Roman" w:cs="Times New Roman"/>
          <w:szCs w:val="24"/>
          <w:lang w:eastAsia="en-US"/>
        </w:rPr>
        <w:t xml:space="preserve">wymogów. </w:t>
      </w:r>
    </w:p>
    <w:p w14:paraId="7BB5C78B" w14:textId="605CF2DE" w:rsidR="00E2296B" w:rsidRPr="002F594B" w:rsidRDefault="00E2296B" w:rsidP="00154665">
      <w:pPr>
        <w:pStyle w:val="CZWSPPKTczwsplnapunktw"/>
        <w:spacing w:line="240" w:lineRule="auto"/>
        <w:rPr>
          <w:rFonts w:ascii="Times New Roman" w:hAnsi="Times New Roman" w:cs="Times New Roman"/>
          <w:szCs w:val="24"/>
          <w:lang w:eastAsia="en-US"/>
        </w:rPr>
      </w:pPr>
      <w:r w:rsidRPr="002F594B">
        <w:rPr>
          <w:rFonts w:ascii="Times New Roman" w:hAnsi="Times New Roman" w:cs="Times New Roman"/>
          <w:szCs w:val="24"/>
          <w:lang w:eastAsia="en-US"/>
        </w:rPr>
        <w:t>Określono jednocześnie wymogi w odniesieniu do formy dokumentów i standardów ich dostarczania</w:t>
      </w:r>
      <w:r w:rsidR="00F01416" w:rsidRPr="002F594B">
        <w:rPr>
          <w:rFonts w:ascii="Times New Roman" w:hAnsi="Times New Roman" w:cs="Times New Roman"/>
          <w:szCs w:val="24"/>
          <w:lang w:eastAsia="en-US"/>
        </w:rPr>
        <w:t xml:space="preserve">, </w:t>
      </w:r>
      <w:r w:rsidRPr="002F594B">
        <w:rPr>
          <w:rFonts w:ascii="Times New Roman" w:hAnsi="Times New Roman" w:cs="Times New Roman"/>
          <w:szCs w:val="24"/>
          <w:lang w:eastAsia="en-US"/>
        </w:rPr>
        <w:t>co ma znaczenie także w kontekście udziału podmiotów zagranicznych w postępowaniu przed KNF.</w:t>
      </w:r>
    </w:p>
    <w:p w14:paraId="0E7368A5" w14:textId="42C586BD" w:rsidR="00A9032F" w:rsidRPr="002F594B" w:rsidRDefault="00255863" w:rsidP="00154665">
      <w:pPr>
        <w:pStyle w:val="CZWSPPKTczwsplnapunktw"/>
        <w:spacing w:after="120" w:line="240" w:lineRule="auto"/>
        <w:rPr>
          <w:rFonts w:ascii="Times New Roman" w:hAnsi="Times New Roman" w:cs="Times New Roman"/>
          <w:szCs w:val="24"/>
          <w:lang w:eastAsia="en-US"/>
        </w:rPr>
      </w:pPr>
      <w:r w:rsidRPr="002F594B">
        <w:rPr>
          <w:rFonts w:ascii="Times New Roman" w:hAnsi="Times New Roman" w:cs="Times New Roman"/>
          <w:szCs w:val="24"/>
          <w:lang w:eastAsia="en-US"/>
        </w:rPr>
        <w:t>Ustaw</w:t>
      </w:r>
      <w:r w:rsidR="00A9032F" w:rsidRPr="002F594B">
        <w:rPr>
          <w:rFonts w:ascii="Times New Roman" w:hAnsi="Times New Roman" w:cs="Times New Roman"/>
          <w:szCs w:val="24"/>
          <w:lang w:eastAsia="en-US"/>
        </w:rPr>
        <w:t xml:space="preserve">a upoważniająca ma na celu </w:t>
      </w:r>
      <w:r w:rsidRPr="002F594B">
        <w:rPr>
          <w:rFonts w:ascii="Times New Roman" w:hAnsi="Times New Roman" w:cs="Times New Roman"/>
          <w:szCs w:val="24"/>
          <w:lang w:eastAsia="en-US"/>
        </w:rPr>
        <w:t xml:space="preserve">wspieranie rozwoju rynków wtórnych nieobsługiwanych kredytów oraz usunięcie przeszkód </w:t>
      </w:r>
      <w:r w:rsidR="00A9032F" w:rsidRPr="002F594B">
        <w:rPr>
          <w:rFonts w:ascii="Times New Roman" w:hAnsi="Times New Roman" w:cs="Times New Roman"/>
          <w:szCs w:val="24"/>
          <w:lang w:eastAsia="en-US"/>
        </w:rPr>
        <w:t xml:space="preserve">do dokonywanego przez instytucje kredytowe </w:t>
      </w:r>
      <w:r w:rsidRPr="002F594B">
        <w:rPr>
          <w:rFonts w:ascii="Times New Roman" w:hAnsi="Times New Roman" w:cs="Times New Roman"/>
          <w:szCs w:val="24"/>
          <w:lang w:eastAsia="en-US"/>
        </w:rPr>
        <w:t xml:space="preserve">przeniesienia nieobsługiwanych kredytów </w:t>
      </w:r>
      <w:r w:rsidR="00E349C2" w:rsidRPr="002F594B">
        <w:rPr>
          <w:rFonts w:ascii="Times New Roman" w:hAnsi="Times New Roman" w:cs="Times New Roman"/>
          <w:szCs w:val="24"/>
          <w:lang w:eastAsia="en-US"/>
        </w:rPr>
        <w:t>na</w:t>
      </w:r>
      <w:r w:rsidRPr="002F594B">
        <w:rPr>
          <w:rFonts w:ascii="Times New Roman" w:hAnsi="Times New Roman" w:cs="Times New Roman"/>
          <w:szCs w:val="24"/>
          <w:lang w:eastAsia="en-US"/>
        </w:rPr>
        <w:t xml:space="preserve"> nabywców kredytów, przy jednoczesnej ochronie praw kredytobiorców</w:t>
      </w:r>
      <w:r w:rsidR="00A9032F" w:rsidRPr="002F594B">
        <w:rPr>
          <w:rFonts w:ascii="Times New Roman" w:hAnsi="Times New Roman" w:cs="Times New Roman"/>
          <w:szCs w:val="24"/>
          <w:lang w:eastAsia="en-US"/>
        </w:rPr>
        <w:t>. W</w:t>
      </w:r>
      <w:r w:rsidRPr="002F594B">
        <w:rPr>
          <w:rFonts w:ascii="Times New Roman" w:hAnsi="Times New Roman" w:cs="Times New Roman"/>
          <w:szCs w:val="24"/>
          <w:lang w:eastAsia="en-US"/>
        </w:rPr>
        <w:t xml:space="preserve">ymaga </w:t>
      </w:r>
      <w:r w:rsidR="00A9032F" w:rsidRPr="002F594B">
        <w:rPr>
          <w:rFonts w:ascii="Times New Roman" w:hAnsi="Times New Roman" w:cs="Times New Roman"/>
          <w:szCs w:val="24"/>
          <w:lang w:eastAsia="en-US"/>
        </w:rPr>
        <w:t xml:space="preserve">to </w:t>
      </w:r>
      <w:r w:rsidRPr="002F594B">
        <w:rPr>
          <w:rFonts w:ascii="Times New Roman" w:hAnsi="Times New Roman" w:cs="Times New Roman"/>
          <w:szCs w:val="24"/>
          <w:lang w:eastAsia="en-US"/>
        </w:rPr>
        <w:t xml:space="preserve">dokonania przez KNF </w:t>
      </w:r>
      <w:r w:rsidR="00A9032F" w:rsidRPr="002F594B">
        <w:rPr>
          <w:rFonts w:ascii="Times New Roman" w:hAnsi="Times New Roman" w:cs="Times New Roman"/>
          <w:szCs w:val="24"/>
          <w:lang w:eastAsia="en-US"/>
        </w:rPr>
        <w:t>–</w:t>
      </w:r>
      <w:r w:rsidRPr="002F594B">
        <w:rPr>
          <w:rFonts w:ascii="Times New Roman" w:hAnsi="Times New Roman" w:cs="Times New Roman"/>
          <w:szCs w:val="24"/>
          <w:lang w:eastAsia="en-US"/>
        </w:rPr>
        <w:t xml:space="preserve"> przed wydaniem zezwolenia </w:t>
      </w:r>
      <w:r w:rsidR="00A9032F" w:rsidRPr="002F594B">
        <w:rPr>
          <w:rFonts w:ascii="Times New Roman" w:hAnsi="Times New Roman" w:cs="Times New Roman"/>
          <w:szCs w:val="24"/>
          <w:lang w:eastAsia="en-US"/>
        </w:rPr>
        <w:t>–</w:t>
      </w:r>
      <w:r w:rsidR="00154665">
        <w:rPr>
          <w:rFonts w:ascii="Times New Roman" w:hAnsi="Times New Roman" w:cs="Times New Roman"/>
          <w:szCs w:val="24"/>
          <w:lang w:eastAsia="en-US"/>
        </w:rPr>
        <w:t xml:space="preserve"> </w:t>
      </w:r>
      <w:r w:rsidRPr="002F594B">
        <w:rPr>
          <w:rFonts w:ascii="Times New Roman" w:hAnsi="Times New Roman" w:cs="Times New Roman"/>
          <w:szCs w:val="24"/>
          <w:lang w:eastAsia="en-US"/>
        </w:rPr>
        <w:t xml:space="preserve">oceny wszystkich aspektów związanych z prowadzeniem działalności w zakresie obsługi kredytów. Chodzi przede wszystkim o analizę </w:t>
      </w:r>
      <w:r w:rsidR="00757D53" w:rsidRPr="002F594B">
        <w:rPr>
          <w:rFonts w:ascii="Times New Roman" w:hAnsi="Times New Roman" w:cs="Times New Roman"/>
          <w:szCs w:val="24"/>
        </w:rPr>
        <w:t xml:space="preserve">wewnętrznych procedur i polityk dotyczących prowadzenia </w:t>
      </w:r>
      <w:r w:rsidRPr="002F594B">
        <w:rPr>
          <w:rFonts w:ascii="Times New Roman" w:hAnsi="Times New Roman" w:cs="Times New Roman"/>
          <w:szCs w:val="24"/>
          <w:lang w:eastAsia="en-US"/>
        </w:rPr>
        <w:t xml:space="preserve"> działalności </w:t>
      </w:r>
      <w:r w:rsidR="00757D53" w:rsidRPr="002F594B">
        <w:rPr>
          <w:rFonts w:ascii="Times New Roman" w:hAnsi="Times New Roman" w:cs="Times New Roman"/>
          <w:szCs w:val="24"/>
          <w:lang w:eastAsia="en-US"/>
        </w:rPr>
        <w:t xml:space="preserve">oraz ocenę </w:t>
      </w:r>
      <w:r w:rsidR="00757D53" w:rsidRPr="002F594B">
        <w:rPr>
          <w:rFonts w:ascii="Times New Roman" w:hAnsi="Times New Roman" w:cs="Times New Roman"/>
          <w:szCs w:val="24"/>
        </w:rPr>
        <w:t>osób wchodzących w skład organów zarządzających</w:t>
      </w:r>
      <w:r w:rsidR="00757D53" w:rsidRPr="002F594B">
        <w:rPr>
          <w:rFonts w:ascii="Times New Roman" w:hAnsi="Times New Roman" w:cs="Times New Roman"/>
          <w:szCs w:val="24"/>
          <w:lang w:eastAsia="en-US"/>
        </w:rPr>
        <w:t xml:space="preserve"> wnioskodawcy, ze szczególnym uwzględnieniem</w:t>
      </w:r>
      <w:r w:rsidRPr="002F594B">
        <w:rPr>
          <w:rFonts w:ascii="Times New Roman" w:hAnsi="Times New Roman" w:cs="Times New Roman"/>
          <w:szCs w:val="24"/>
          <w:lang w:eastAsia="en-US"/>
        </w:rPr>
        <w:t xml:space="preserve"> i</w:t>
      </w:r>
      <w:r w:rsidR="00757D53" w:rsidRPr="002F594B">
        <w:rPr>
          <w:rFonts w:ascii="Times New Roman" w:hAnsi="Times New Roman" w:cs="Times New Roman"/>
          <w:szCs w:val="24"/>
          <w:lang w:eastAsia="en-US"/>
        </w:rPr>
        <w:t>ch</w:t>
      </w:r>
      <w:r w:rsidRPr="002F594B">
        <w:rPr>
          <w:rFonts w:ascii="Times New Roman" w:hAnsi="Times New Roman" w:cs="Times New Roman"/>
          <w:szCs w:val="24"/>
          <w:lang w:eastAsia="en-US"/>
        </w:rPr>
        <w:t xml:space="preserve"> kwalifikacji</w:t>
      </w:r>
      <w:r w:rsidR="00757D53" w:rsidRPr="002F594B">
        <w:rPr>
          <w:rFonts w:ascii="Times New Roman" w:hAnsi="Times New Roman" w:cs="Times New Roman"/>
          <w:szCs w:val="24"/>
          <w:lang w:eastAsia="en-US"/>
        </w:rPr>
        <w:t xml:space="preserve"> oraz </w:t>
      </w:r>
      <w:r w:rsidRPr="002F594B">
        <w:rPr>
          <w:rFonts w:ascii="Times New Roman" w:hAnsi="Times New Roman" w:cs="Times New Roman"/>
          <w:szCs w:val="24"/>
          <w:lang w:eastAsia="en-US"/>
        </w:rPr>
        <w:t>rękojmi ostrożnego i stabilnego zarządzania podmiotem obsługującym kredyty</w:t>
      </w:r>
      <w:r w:rsidR="00407AA8" w:rsidRPr="002F594B">
        <w:rPr>
          <w:rFonts w:ascii="Times New Roman" w:hAnsi="Times New Roman" w:cs="Times New Roman"/>
          <w:szCs w:val="24"/>
          <w:lang w:eastAsia="en-US"/>
        </w:rPr>
        <w:t xml:space="preserve"> (</w:t>
      </w:r>
      <w:r w:rsidR="00757D53" w:rsidRPr="002F594B">
        <w:rPr>
          <w:rFonts w:ascii="Times New Roman" w:hAnsi="Times New Roman" w:cs="Times New Roman"/>
          <w:szCs w:val="24"/>
          <w:lang w:eastAsia="en-US"/>
        </w:rPr>
        <w:t xml:space="preserve">a także </w:t>
      </w:r>
      <w:r w:rsidR="00757D53" w:rsidRPr="002F594B">
        <w:rPr>
          <w:rFonts w:ascii="Times New Roman" w:hAnsi="Times New Roman" w:cs="Times New Roman"/>
          <w:szCs w:val="24"/>
        </w:rPr>
        <w:t>osób posiadających znaczny pakiet akcji lub udziałów</w:t>
      </w:r>
      <w:r w:rsidR="00757D53" w:rsidRPr="002F594B">
        <w:rPr>
          <w:rFonts w:ascii="Times New Roman" w:hAnsi="Times New Roman" w:cs="Times New Roman"/>
          <w:szCs w:val="24"/>
          <w:lang w:eastAsia="en-US"/>
        </w:rPr>
        <w:t xml:space="preserve"> tego podmiotu</w:t>
      </w:r>
      <w:r w:rsidR="00CA6366" w:rsidRPr="002F594B">
        <w:rPr>
          <w:rFonts w:ascii="Times New Roman" w:hAnsi="Times New Roman" w:cs="Times New Roman"/>
          <w:szCs w:val="24"/>
          <w:lang w:eastAsia="en-US"/>
        </w:rPr>
        <w:t>, zgodnie z art. 6 ust. 2</w:t>
      </w:r>
      <w:r w:rsidR="001D324D" w:rsidRPr="001D324D">
        <w:rPr>
          <w:rFonts w:ascii="Times New Roman" w:hAnsi="Times New Roman" w:cs="Times New Roman"/>
          <w:szCs w:val="24"/>
          <w:lang w:eastAsia="en-US"/>
        </w:rPr>
        <w:t xml:space="preserve"> </w:t>
      </w:r>
      <w:r w:rsidR="001D324D" w:rsidRPr="002F594B">
        <w:rPr>
          <w:rFonts w:ascii="Times New Roman" w:hAnsi="Times New Roman" w:cs="Times New Roman"/>
          <w:szCs w:val="24"/>
          <w:lang w:eastAsia="en-US"/>
        </w:rPr>
        <w:t>ustawy</w:t>
      </w:r>
      <w:r w:rsidR="001D324D">
        <w:rPr>
          <w:rFonts w:ascii="Times New Roman" w:hAnsi="Times New Roman" w:cs="Times New Roman"/>
          <w:szCs w:val="24"/>
          <w:lang w:eastAsia="en-US"/>
        </w:rPr>
        <w:t xml:space="preserve"> upoważniającej</w:t>
      </w:r>
      <w:r w:rsidR="00407AA8" w:rsidRPr="002F594B">
        <w:rPr>
          <w:rFonts w:ascii="Times New Roman" w:hAnsi="Times New Roman" w:cs="Times New Roman"/>
          <w:szCs w:val="24"/>
          <w:lang w:eastAsia="en-US"/>
        </w:rPr>
        <w:t>)</w:t>
      </w:r>
      <w:r w:rsidR="00154665">
        <w:rPr>
          <w:rFonts w:ascii="Times New Roman" w:hAnsi="Times New Roman" w:cs="Times New Roman"/>
          <w:szCs w:val="24"/>
          <w:lang w:eastAsia="en-US"/>
        </w:rPr>
        <w:t>.</w:t>
      </w:r>
    </w:p>
    <w:p w14:paraId="4414B501" w14:textId="5FD7BD0E" w:rsidR="009A625D" w:rsidRPr="002F594B" w:rsidRDefault="009A625D" w:rsidP="0015466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F594B">
        <w:rPr>
          <w:rFonts w:ascii="Times New Roman" w:hAnsi="Times New Roman"/>
          <w:sz w:val="24"/>
          <w:szCs w:val="24"/>
        </w:rPr>
        <w:t xml:space="preserve">Przepis </w:t>
      </w:r>
      <w:r w:rsidRPr="002F594B">
        <w:rPr>
          <w:rFonts w:ascii="Times New Roman" w:hAnsi="Times New Roman"/>
          <w:b/>
          <w:bCs/>
          <w:sz w:val="24"/>
          <w:szCs w:val="24"/>
        </w:rPr>
        <w:t>§ 1</w:t>
      </w:r>
      <w:r w:rsidRPr="002F594B">
        <w:rPr>
          <w:rFonts w:ascii="Times New Roman" w:hAnsi="Times New Roman"/>
          <w:sz w:val="24"/>
          <w:szCs w:val="24"/>
        </w:rPr>
        <w:t xml:space="preserve"> </w:t>
      </w:r>
      <w:r w:rsidR="00D16E86" w:rsidRPr="002F594B">
        <w:rPr>
          <w:rFonts w:ascii="Times New Roman" w:hAnsi="Times New Roman"/>
          <w:sz w:val="24"/>
          <w:szCs w:val="24"/>
        </w:rPr>
        <w:t xml:space="preserve">określa </w:t>
      </w:r>
      <w:r w:rsidRPr="002F594B">
        <w:rPr>
          <w:rFonts w:ascii="Times New Roman" w:hAnsi="Times New Roman"/>
          <w:sz w:val="24"/>
          <w:szCs w:val="24"/>
        </w:rPr>
        <w:t>zakres przedmiotowy rozporządzenia</w:t>
      </w:r>
      <w:r w:rsidR="00787EBC" w:rsidRPr="002F594B">
        <w:rPr>
          <w:rFonts w:ascii="Times New Roman" w:hAnsi="Times New Roman"/>
          <w:sz w:val="24"/>
          <w:szCs w:val="24"/>
        </w:rPr>
        <w:t xml:space="preserve">. </w:t>
      </w:r>
    </w:p>
    <w:p w14:paraId="2D4D9871" w14:textId="01090B1A" w:rsidR="00037D0B" w:rsidRPr="00112AB2" w:rsidRDefault="00304554" w:rsidP="003F32EF">
      <w:pPr>
        <w:pStyle w:val="CZWSPPKTczwsplnapunktw"/>
        <w:spacing w:line="240" w:lineRule="auto"/>
        <w:rPr>
          <w:rFonts w:ascii="Times New Roman" w:hAnsi="Times New Roman" w:cs="Times New Roman"/>
          <w:szCs w:val="24"/>
          <w:lang w:eastAsia="en-US"/>
        </w:rPr>
      </w:pPr>
      <w:r w:rsidRPr="002F594B">
        <w:rPr>
          <w:rFonts w:ascii="Times New Roman" w:hAnsi="Times New Roman" w:cs="Times New Roman"/>
          <w:szCs w:val="24"/>
          <w:lang w:eastAsia="en-US"/>
        </w:rPr>
        <w:t>Przepis</w:t>
      </w:r>
      <w:r w:rsidRPr="002F594B">
        <w:rPr>
          <w:rFonts w:ascii="Times New Roman" w:hAnsi="Times New Roman" w:cs="Times New Roman"/>
          <w:b/>
          <w:bCs w:val="0"/>
          <w:szCs w:val="24"/>
          <w:lang w:eastAsia="en-US"/>
        </w:rPr>
        <w:t xml:space="preserve"> </w:t>
      </w:r>
      <w:r w:rsidR="00255863" w:rsidRPr="002F594B">
        <w:rPr>
          <w:rFonts w:ascii="Times New Roman" w:hAnsi="Times New Roman" w:cs="Times New Roman"/>
          <w:b/>
          <w:bCs w:val="0"/>
          <w:szCs w:val="24"/>
          <w:lang w:eastAsia="en-US"/>
        </w:rPr>
        <w:t>§ 2</w:t>
      </w:r>
      <w:r w:rsidR="005C05F1" w:rsidRPr="002F594B">
        <w:rPr>
          <w:rFonts w:ascii="Times New Roman" w:hAnsi="Times New Roman" w:cs="Times New Roman"/>
          <w:szCs w:val="24"/>
          <w:lang w:eastAsia="en-US"/>
        </w:rPr>
        <w:t xml:space="preserve"> określa wymagane </w:t>
      </w:r>
      <w:r w:rsidR="009A625D" w:rsidRPr="002F594B">
        <w:rPr>
          <w:rFonts w:ascii="Times New Roman" w:hAnsi="Times New Roman" w:cs="Times New Roman"/>
          <w:szCs w:val="24"/>
          <w:lang w:eastAsia="en-US"/>
        </w:rPr>
        <w:t>dokumenty</w:t>
      </w:r>
      <w:r w:rsidR="005C05F1" w:rsidRPr="002F594B">
        <w:rPr>
          <w:rFonts w:ascii="Times New Roman" w:hAnsi="Times New Roman" w:cs="Times New Roman"/>
          <w:szCs w:val="24"/>
          <w:lang w:eastAsia="en-US"/>
        </w:rPr>
        <w:t>.</w:t>
      </w:r>
      <w:r w:rsidR="00112AB2">
        <w:rPr>
          <w:rFonts w:ascii="Times New Roman" w:hAnsi="Times New Roman" w:cs="Times New Roman"/>
          <w:szCs w:val="24"/>
          <w:lang w:eastAsia="en-US"/>
        </w:rPr>
        <w:t xml:space="preserve"> </w:t>
      </w:r>
      <w:r w:rsidR="00CA3F09" w:rsidRPr="002F594B">
        <w:rPr>
          <w:rFonts w:ascii="Times New Roman" w:hAnsi="Times New Roman" w:cs="Times New Roman"/>
          <w:szCs w:val="24"/>
          <w:lang w:eastAsia="en-US"/>
        </w:rPr>
        <w:t xml:space="preserve">W szczególności wymieniono </w:t>
      </w:r>
      <w:r w:rsidR="009A625D" w:rsidRPr="002F594B">
        <w:rPr>
          <w:rFonts w:ascii="Times New Roman" w:hAnsi="Times New Roman" w:cs="Times New Roman"/>
          <w:szCs w:val="24"/>
          <w:lang w:eastAsia="en-US"/>
        </w:rPr>
        <w:t xml:space="preserve">oświadczenie zawierające </w:t>
      </w:r>
      <w:r w:rsidR="00255863" w:rsidRPr="002F594B">
        <w:rPr>
          <w:rFonts w:ascii="Times New Roman" w:hAnsi="Times New Roman" w:cs="Times New Roman"/>
          <w:szCs w:val="24"/>
          <w:lang w:eastAsia="en-US"/>
        </w:rPr>
        <w:t xml:space="preserve">informacje na temat środków nadzorczych podejmowanych wobec </w:t>
      </w:r>
      <w:r w:rsidR="00037D0B" w:rsidRPr="002F594B">
        <w:rPr>
          <w:rFonts w:ascii="Times New Roman" w:hAnsi="Times New Roman" w:cs="Times New Roman"/>
          <w:szCs w:val="24"/>
          <w:lang w:eastAsia="en-US"/>
        </w:rPr>
        <w:t xml:space="preserve">osób </w:t>
      </w:r>
      <w:r w:rsidR="00037D0B" w:rsidRPr="002F594B">
        <w:rPr>
          <w:rFonts w:ascii="Times New Roman" w:hAnsi="Times New Roman" w:cs="Times New Roman"/>
          <w:szCs w:val="24"/>
          <w:lang w:eastAsia="en-US"/>
        </w:rPr>
        <w:lastRenderedPageBreak/>
        <w:t xml:space="preserve">wchodzących w skład organów zarządzających wnioskodawcy </w:t>
      </w:r>
      <w:r w:rsidR="00255863" w:rsidRPr="002F594B">
        <w:rPr>
          <w:rFonts w:ascii="Times New Roman" w:hAnsi="Times New Roman" w:cs="Times New Roman"/>
          <w:szCs w:val="24"/>
          <w:lang w:eastAsia="en-US"/>
        </w:rPr>
        <w:t xml:space="preserve">w okresie </w:t>
      </w:r>
      <w:r w:rsidR="003F32EF">
        <w:rPr>
          <w:rFonts w:ascii="Times New Roman" w:hAnsi="Times New Roman" w:cs="Times New Roman"/>
          <w:szCs w:val="24"/>
          <w:lang w:eastAsia="en-US"/>
        </w:rPr>
        <w:t xml:space="preserve">10 </w:t>
      </w:r>
      <w:r w:rsidR="00255863" w:rsidRPr="002F594B">
        <w:rPr>
          <w:rFonts w:ascii="Times New Roman" w:hAnsi="Times New Roman" w:cs="Times New Roman"/>
          <w:szCs w:val="24"/>
          <w:lang w:eastAsia="en-US"/>
        </w:rPr>
        <w:t>lat</w:t>
      </w:r>
      <w:r w:rsidR="009D547D">
        <w:rPr>
          <w:rFonts w:ascii="Times New Roman" w:hAnsi="Times New Roman" w:cs="Times New Roman"/>
          <w:szCs w:val="24"/>
          <w:lang w:eastAsia="en-US"/>
        </w:rPr>
        <w:t xml:space="preserve"> </w:t>
      </w:r>
      <w:r w:rsidR="003F32EF">
        <w:rPr>
          <w:rFonts w:ascii="Times New Roman" w:hAnsi="Times New Roman" w:cs="Times New Roman"/>
          <w:szCs w:val="24"/>
          <w:lang w:eastAsia="en-US"/>
        </w:rPr>
        <w:t xml:space="preserve">poprzedzających złożenie wniosku o wydanie zezwolenia </w:t>
      </w:r>
      <w:r w:rsidR="009D547D">
        <w:rPr>
          <w:rFonts w:ascii="Times New Roman" w:hAnsi="Times New Roman" w:cs="Times New Roman"/>
          <w:szCs w:val="24"/>
          <w:lang w:eastAsia="en-US"/>
        </w:rPr>
        <w:t>lub potwierdzające brak podejmowania takich środków w tym okresie</w:t>
      </w:r>
      <w:r w:rsidR="003F32EF">
        <w:rPr>
          <w:rFonts w:ascii="Times New Roman" w:hAnsi="Times New Roman" w:cs="Times New Roman"/>
          <w:szCs w:val="24"/>
          <w:lang w:eastAsia="en-US"/>
        </w:rPr>
        <w:t xml:space="preserve"> lub informację, że </w:t>
      </w:r>
      <w:r w:rsidR="003F32EF" w:rsidRPr="008D6E50">
        <w:t>os</w:t>
      </w:r>
      <w:r w:rsidR="003F32EF">
        <w:t>ob</w:t>
      </w:r>
      <w:r w:rsidR="00112AB2">
        <w:t>y</w:t>
      </w:r>
      <w:r w:rsidR="003F32EF">
        <w:t xml:space="preserve"> t</w:t>
      </w:r>
      <w:r w:rsidR="00112AB2">
        <w:t>e</w:t>
      </w:r>
      <w:r w:rsidR="003F32EF">
        <w:t xml:space="preserve"> nie był</w:t>
      </w:r>
      <w:r w:rsidR="00112AB2">
        <w:t xml:space="preserve">y </w:t>
      </w:r>
      <w:r w:rsidR="003F32EF">
        <w:t>członk</w:t>
      </w:r>
      <w:r w:rsidR="00112AB2">
        <w:t>ami</w:t>
      </w:r>
      <w:r w:rsidR="006B5655">
        <w:t xml:space="preserve"> </w:t>
      </w:r>
      <w:r w:rsidR="003F32EF">
        <w:t>organu zarządzającego podmiotu podlegającego nadzorowi właściwego organu nadzoru</w:t>
      </w:r>
      <w:r w:rsidR="00255863" w:rsidRPr="002F594B">
        <w:rPr>
          <w:rFonts w:ascii="Times New Roman" w:hAnsi="Times New Roman" w:cs="Times New Roman"/>
          <w:szCs w:val="24"/>
          <w:lang w:eastAsia="en-US"/>
        </w:rPr>
        <w:t xml:space="preserve">. </w:t>
      </w:r>
      <w:r w:rsidR="00037D0B" w:rsidRPr="002F594B">
        <w:rPr>
          <w:rFonts w:ascii="Times New Roman" w:hAnsi="Times New Roman" w:cs="Times New Roman"/>
          <w:szCs w:val="24"/>
          <w:lang w:eastAsia="en-US"/>
        </w:rPr>
        <w:t xml:space="preserve">Analiza tego dokumentu </w:t>
      </w:r>
      <w:r w:rsidR="009A625D" w:rsidRPr="002F594B">
        <w:rPr>
          <w:rFonts w:ascii="Times New Roman" w:hAnsi="Times New Roman" w:cs="Times New Roman"/>
          <w:szCs w:val="24"/>
          <w:lang w:eastAsia="en-US"/>
        </w:rPr>
        <w:t>umożliwi</w:t>
      </w:r>
      <w:r w:rsidR="00255863" w:rsidRPr="002F594B">
        <w:rPr>
          <w:rFonts w:ascii="Times New Roman" w:hAnsi="Times New Roman" w:cs="Times New Roman"/>
          <w:szCs w:val="24"/>
          <w:lang w:eastAsia="en-US"/>
        </w:rPr>
        <w:t xml:space="preserve"> weryfikację wiarygodności </w:t>
      </w:r>
      <w:r w:rsidR="00037D0B" w:rsidRPr="002F594B">
        <w:rPr>
          <w:rFonts w:ascii="Times New Roman" w:hAnsi="Times New Roman" w:cs="Times New Roman"/>
          <w:szCs w:val="24"/>
          <w:lang w:eastAsia="en-US"/>
        </w:rPr>
        <w:t xml:space="preserve">tych </w:t>
      </w:r>
      <w:r w:rsidR="00255863" w:rsidRPr="002F594B">
        <w:rPr>
          <w:rFonts w:ascii="Times New Roman" w:hAnsi="Times New Roman" w:cs="Times New Roman"/>
          <w:szCs w:val="24"/>
          <w:lang w:eastAsia="en-US"/>
        </w:rPr>
        <w:t xml:space="preserve">osób </w:t>
      </w:r>
      <w:r w:rsidR="00037D0B" w:rsidRPr="002F594B">
        <w:rPr>
          <w:rFonts w:ascii="Times New Roman" w:hAnsi="Times New Roman" w:cs="Times New Roman"/>
          <w:szCs w:val="24"/>
          <w:lang w:eastAsia="en-US"/>
        </w:rPr>
        <w:t xml:space="preserve">w celu </w:t>
      </w:r>
      <w:r w:rsidR="00255863" w:rsidRPr="002F594B">
        <w:rPr>
          <w:rFonts w:ascii="Times New Roman" w:hAnsi="Times New Roman" w:cs="Times New Roman"/>
          <w:szCs w:val="24"/>
          <w:lang w:eastAsia="en-US"/>
        </w:rPr>
        <w:t xml:space="preserve">zapewnienia, że posiadają </w:t>
      </w:r>
      <w:r w:rsidR="00037D0B" w:rsidRPr="002F594B">
        <w:rPr>
          <w:rFonts w:ascii="Times New Roman" w:hAnsi="Times New Roman" w:cs="Times New Roman"/>
          <w:szCs w:val="24"/>
          <w:lang w:eastAsia="en-US"/>
        </w:rPr>
        <w:t xml:space="preserve">one </w:t>
      </w:r>
      <w:r w:rsidR="00255863" w:rsidRPr="002F594B">
        <w:rPr>
          <w:rFonts w:ascii="Times New Roman" w:hAnsi="Times New Roman" w:cs="Times New Roman"/>
          <w:szCs w:val="24"/>
          <w:lang w:eastAsia="en-US"/>
        </w:rPr>
        <w:t xml:space="preserve">odpowiednie kwalifikacje i wiedzę, a także, że w przeszłości nie były objęte sankcjami nadzorczymi wynikającymi z nieprawidłowości w działalności, którą nadzorował organ </w:t>
      </w:r>
      <w:r w:rsidR="00037D0B" w:rsidRPr="002F594B">
        <w:rPr>
          <w:rFonts w:ascii="Times New Roman" w:hAnsi="Times New Roman" w:cs="Times New Roman"/>
          <w:szCs w:val="24"/>
          <w:lang w:eastAsia="en-US"/>
        </w:rPr>
        <w:t xml:space="preserve">nadzoru </w:t>
      </w:r>
      <w:r w:rsidR="00255863" w:rsidRPr="002F594B">
        <w:rPr>
          <w:rFonts w:ascii="Times New Roman" w:hAnsi="Times New Roman" w:cs="Times New Roman"/>
          <w:szCs w:val="24"/>
          <w:lang w:eastAsia="en-US"/>
        </w:rPr>
        <w:t xml:space="preserve">w Polsce lub </w:t>
      </w:r>
      <w:r w:rsidR="00037D0B" w:rsidRPr="002F594B">
        <w:rPr>
          <w:rFonts w:ascii="Times New Roman" w:hAnsi="Times New Roman" w:cs="Times New Roman"/>
          <w:szCs w:val="24"/>
          <w:lang w:eastAsia="en-US"/>
        </w:rPr>
        <w:t>w innym państwie</w:t>
      </w:r>
      <w:r w:rsidR="00255863" w:rsidRPr="002F594B">
        <w:rPr>
          <w:rFonts w:ascii="Times New Roman" w:hAnsi="Times New Roman" w:cs="Times New Roman"/>
          <w:szCs w:val="24"/>
          <w:lang w:eastAsia="en-US"/>
        </w:rPr>
        <w:t xml:space="preserve">. Jest to szczególnie istotne w kontekście ochrony interesów </w:t>
      </w:r>
      <w:r w:rsidR="009A625D" w:rsidRPr="002F594B">
        <w:rPr>
          <w:rFonts w:ascii="Times New Roman" w:hAnsi="Times New Roman" w:cs="Times New Roman"/>
          <w:szCs w:val="24"/>
          <w:lang w:eastAsia="en-US"/>
        </w:rPr>
        <w:t xml:space="preserve">kredytobiorców </w:t>
      </w:r>
      <w:r w:rsidR="00255863" w:rsidRPr="002F594B">
        <w:rPr>
          <w:rFonts w:ascii="Times New Roman" w:hAnsi="Times New Roman" w:cs="Times New Roman"/>
          <w:szCs w:val="24"/>
          <w:lang w:eastAsia="en-US"/>
        </w:rPr>
        <w:t>i rynku</w:t>
      </w:r>
      <w:r w:rsidR="009A625D" w:rsidRPr="002F594B">
        <w:rPr>
          <w:rFonts w:ascii="Times New Roman" w:hAnsi="Times New Roman" w:cs="Times New Roman"/>
          <w:szCs w:val="24"/>
          <w:lang w:eastAsia="en-US"/>
        </w:rPr>
        <w:t xml:space="preserve"> finansowego</w:t>
      </w:r>
      <w:r w:rsidR="00255863" w:rsidRPr="002F594B">
        <w:rPr>
          <w:rFonts w:ascii="Times New Roman" w:hAnsi="Times New Roman" w:cs="Times New Roman"/>
          <w:szCs w:val="24"/>
          <w:lang w:eastAsia="en-US"/>
        </w:rPr>
        <w:t xml:space="preserve">, </w:t>
      </w:r>
      <w:r w:rsidR="00037D0B" w:rsidRPr="002F594B">
        <w:rPr>
          <w:rFonts w:ascii="Times New Roman" w:hAnsi="Times New Roman" w:cs="Times New Roman"/>
          <w:szCs w:val="24"/>
          <w:lang w:eastAsia="en-US"/>
        </w:rPr>
        <w:t xml:space="preserve">ponieważ </w:t>
      </w:r>
      <w:r w:rsidR="00255863" w:rsidRPr="002F594B">
        <w:rPr>
          <w:rFonts w:ascii="Times New Roman" w:hAnsi="Times New Roman" w:cs="Times New Roman"/>
          <w:szCs w:val="24"/>
          <w:lang w:eastAsia="en-US"/>
        </w:rPr>
        <w:t xml:space="preserve">członkowie organów zarządzających </w:t>
      </w:r>
      <w:r w:rsidR="00255863" w:rsidRPr="003F32EF">
        <w:rPr>
          <w:rFonts w:ascii="Times New Roman" w:hAnsi="Times New Roman" w:cs="Times New Roman"/>
          <w:szCs w:val="24"/>
          <w:lang w:eastAsia="en-US"/>
        </w:rPr>
        <w:t xml:space="preserve">odgrywają kluczową rolę w kształtowaniu polityki i działania </w:t>
      </w:r>
      <w:r w:rsidR="009A625D" w:rsidRPr="00EB2AA1">
        <w:rPr>
          <w:rFonts w:ascii="Times New Roman" w:hAnsi="Times New Roman" w:cs="Times New Roman"/>
          <w:szCs w:val="24"/>
          <w:lang w:eastAsia="en-US"/>
        </w:rPr>
        <w:t xml:space="preserve">danego </w:t>
      </w:r>
      <w:r w:rsidR="009A625D" w:rsidRPr="00112AB2">
        <w:rPr>
          <w:rFonts w:ascii="Times New Roman" w:hAnsi="Times New Roman" w:cs="Times New Roman"/>
          <w:szCs w:val="24"/>
          <w:lang w:eastAsia="en-US"/>
        </w:rPr>
        <w:t>podmiotu.</w:t>
      </w:r>
      <w:r w:rsidR="00255863" w:rsidRPr="00112AB2">
        <w:rPr>
          <w:rFonts w:ascii="Times New Roman" w:hAnsi="Times New Roman" w:cs="Times New Roman"/>
          <w:szCs w:val="24"/>
          <w:lang w:eastAsia="en-US"/>
        </w:rPr>
        <w:t xml:space="preserve"> </w:t>
      </w:r>
    </w:p>
    <w:p w14:paraId="026B8F07" w14:textId="755C6871" w:rsidR="00646CE1" w:rsidRPr="003F32EF" w:rsidRDefault="00351EDD" w:rsidP="003F32EF">
      <w:pPr>
        <w:pStyle w:val="Tekstkomentarza"/>
        <w:jc w:val="both"/>
        <w:rPr>
          <w:rFonts w:ascii="Times New Roman" w:hAnsi="Times New Roman"/>
          <w:sz w:val="24"/>
          <w:szCs w:val="24"/>
        </w:rPr>
      </w:pPr>
      <w:r w:rsidRPr="003F32EF">
        <w:rPr>
          <w:rFonts w:ascii="Times New Roman" w:hAnsi="Times New Roman"/>
          <w:sz w:val="24"/>
          <w:szCs w:val="24"/>
        </w:rPr>
        <w:t xml:space="preserve">Wskazano także jako niezbędne </w:t>
      </w:r>
      <w:r w:rsidR="00037D0B" w:rsidRPr="003F32EF">
        <w:rPr>
          <w:rFonts w:ascii="Times New Roman" w:hAnsi="Times New Roman"/>
          <w:sz w:val="24"/>
          <w:szCs w:val="24"/>
        </w:rPr>
        <w:t xml:space="preserve">oświadczenie o </w:t>
      </w:r>
      <w:r w:rsidR="00F01416" w:rsidRPr="003F32EF">
        <w:rPr>
          <w:rFonts w:ascii="Times New Roman" w:hAnsi="Times New Roman"/>
          <w:sz w:val="24"/>
          <w:szCs w:val="24"/>
        </w:rPr>
        <w:t>funkcjach</w:t>
      </w:r>
      <w:r w:rsidR="003F32EF" w:rsidRPr="003F32EF">
        <w:rPr>
          <w:rFonts w:ascii="Times New Roman" w:hAnsi="Times New Roman"/>
          <w:sz w:val="24"/>
          <w:szCs w:val="24"/>
        </w:rPr>
        <w:t>, które osob</w:t>
      </w:r>
      <w:r w:rsidR="0073013D">
        <w:rPr>
          <w:rFonts w:ascii="Times New Roman" w:hAnsi="Times New Roman"/>
          <w:sz w:val="24"/>
          <w:szCs w:val="24"/>
        </w:rPr>
        <w:t>y</w:t>
      </w:r>
      <w:r w:rsidR="003F32EF" w:rsidRPr="0073013D">
        <w:rPr>
          <w:rFonts w:ascii="Times New Roman" w:hAnsi="Times New Roman"/>
          <w:sz w:val="24"/>
          <w:szCs w:val="24"/>
        </w:rPr>
        <w:t xml:space="preserve"> wchodząc</w:t>
      </w:r>
      <w:r w:rsidR="0073013D">
        <w:rPr>
          <w:rFonts w:ascii="Times New Roman" w:hAnsi="Times New Roman"/>
          <w:sz w:val="24"/>
          <w:szCs w:val="24"/>
        </w:rPr>
        <w:t>e</w:t>
      </w:r>
      <w:r w:rsidR="003F32EF" w:rsidRPr="0073013D">
        <w:rPr>
          <w:rFonts w:ascii="Times New Roman" w:hAnsi="Times New Roman"/>
          <w:sz w:val="24"/>
          <w:szCs w:val="24"/>
        </w:rPr>
        <w:t xml:space="preserve"> w skład organów zarządzających wnioskodawcy pełni</w:t>
      </w:r>
      <w:r w:rsidR="0073013D">
        <w:rPr>
          <w:rFonts w:ascii="Times New Roman" w:hAnsi="Times New Roman"/>
          <w:sz w:val="24"/>
          <w:szCs w:val="24"/>
        </w:rPr>
        <w:t>ą</w:t>
      </w:r>
      <w:r w:rsidR="003F32EF" w:rsidRPr="0073013D">
        <w:rPr>
          <w:rFonts w:ascii="Times New Roman" w:hAnsi="Times New Roman"/>
          <w:sz w:val="24"/>
          <w:szCs w:val="24"/>
        </w:rPr>
        <w:t xml:space="preserve"> lub pełnił</w:t>
      </w:r>
      <w:r w:rsidR="0073013D">
        <w:rPr>
          <w:rFonts w:ascii="Times New Roman" w:hAnsi="Times New Roman"/>
          <w:sz w:val="24"/>
          <w:szCs w:val="24"/>
        </w:rPr>
        <w:t>y</w:t>
      </w:r>
      <w:r w:rsidR="003F32EF" w:rsidRPr="0073013D">
        <w:rPr>
          <w:rFonts w:ascii="Times New Roman" w:hAnsi="Times New Roman"/>
          <w:sz w:val="24"/>
          <w:szCs w:val="24"/>
        </w:rPr>
        <w:t xml:space="preserve"> </w:t>
      </w:r>
      <w:r w:rsidR="00F01416" w:rsidRPr="003F32EF">
        <w:rPr>
          <w:rFonts w:ascii="Times New Roman" w:hAnsi="Times New Roman"/>
          <w:sz w:val="24"/>
          <w:szCs w:val="24"/>
        </w:rPr>
        <w:t>w innych podmiotach</w:t>
      </w:r>
      <w:r w:rsidR="00EE7515" w:rsidRPr="003F32EF">
        <w:rPr>
          <w:rFonts w:ascii="Times New Roman" w:hAnsi="Times New Roman"/>
          <w:sz w:val="24"/>
          <w:szCs w:val="24"/>
        </w:rPr>
        <w:t>,</w:t>
      </w:r>
      <w:r w:rsidR="00F01416" w:rsidRPr="003F32EF">
        <w:rPr>
          <w:rFonts w:ascii="Times New Roman" w:hAnsi="Times New Roman"/>
          <w:sz w:val="24"/>
          <w:szCs w:val="24"/>
        </w:rPr>
        <w:t xml:space="preserve"> których zakres działalności gospodarczej w całości lub w części nie pokrywa się z zakresem działalności w zakresie obsługi kredytów, niezależnie od tego, czy prowadzą one działalność na rynku finansowym czy inną działalność gospodarczą</w:t>
      </w:r>
      <w:r w:rsidRPr="003F32EF">
        <w:rPr>
          <w:rFonts w:ascii="Times New Roman" w:hAnsi="Times New Roman"/>
          <w:sz w:val="24"/>
          <w:szCs w:val="24"/>
        </w:rPr>
        <w:t>. D</w:t>
      </w:r>
      <w:r w:rsidR="00255863" w:rsidRPr="003F32EF">
        <w:rPr>
          <w:rFonts w:ascii="Times New Roman" w:hAnsi="Times New Roman"/>
          <w:sz w:val="24"/>
          <w:szCs w:val="24"/>
        </w:rPr>
        <w:t>oświadczenie KNF jako organu nadzorczego wskazuje, ż</w:t>
      </w:r>
      <w:r w:rsidRPr="003F32EF">
        <w:rPr>
          <w:rFonts w:ascii="Times New Roman" w:hAnsi="Times New Roman"/>
          <w:sz w:val="24"/>
          <w:szCs w:val="24"/>
        </w:rPr>
        <w:t>e</w:t>
      </w:r>
      <w:r w:rsidR="00255863" w:rsidRPr="003F32EF">
        <w:rPr>
          <w:rFonts w:ascii="Times New Roman" w:hAnsi="Times New Roman"/>
          <w:sz w:val="24"/>
          <w:szCs w:val="24"/>
        </w:rPr>
        <w:t xml:space="preserve"> dokonanie oceny ostrożnego i stabilnego zarządzania instytucją finansową przez daną osobę wymaga weryfikacji jej dotychczasowej aktywności w zakresie prowadzenia działalności gospodarczej, zwłaszcza w</w:t>
      </w:r>
      <w:r w:rsidR="00154665" w:rsidRPr="003F32EF">
        <w:rPr>
          <w:rFonts w:ascii="Times New Roman" w:hAnsi="Times New Roman"/>
          <w:sz w:val="24"/>
          <w:szCs w:val="24"/>
        </w:rPr>
        <w:t> </w:t>
      </w:r>
      <w:r w:rsidR="00255863" w:rsidRPr="003F32EF">
        <w:rPr>
          <w:rFonts w:ascii="Times New Roman" w:hAnsi="Times New Roman"/>
          <w:sz w:val="24"/>
          <w:szCs w:val="24"/>
        </w:rPr>
        <w:t xml:space="preserve">obszarze rynku finansowego. </w:t>
      </w:r>
      <w:r w:rsidR="00BC1598">
        <w:rPr>
          <w:rFonts w:ascii="Times New Roman" w:hAnsi="Times New Roman"/>
          <w:sz w:val="24"/>
          <w:szCs w:val="24"/>
        </w:rPr>
        <w:t xml:space="preserve">W związku z tym wprowadzono </w:t>
      </w:r>
      <w:r w:rsidR="00646CE1" w:rsidRPr="003F32EF">
        <w:rPr>
          <w:rFonts w:ascii="Times New Roman" w:hAnsi="Times New Roman"/>
          <w:sz w:val="24"/>
          <w:szCs w:val="24"/>
        </w:rPr>
        <w:t xml:space="preserve">wymogi w zakresie oświadczeń dotyczących </w:t>
      </w:r>
      <w:r w:rsidR="00BC1598">
        <w:rPr>
          <w:rFonts w:ascii="Times New Roman" w:hAnsi="Times New Roman"/>
          <w:sz w:val="24"/>
          <w:szCs w:val="24"/>
        </w:rPr>
        <w:t xml:space="preserve">m. in. </w:t>
      </w:r>
      <w:r w:rsidR="00646CE1" w:rsidRPr="003F32EF">
        <w:rPr>
          <w:rFonts w:ascii="Times New Roman" w:hAnsi="Times New Roman"/>
          <w:sz w:val="24"/>
          <w:szCs w:val="24"/>
        </w:rPr>
        <w:t>postępowań gospodarczych, restrukturyzacyjnych, likwidacyjnych i upadłościowych</w:t>
      </w:r>
      <w:r w:rsidR="00BC1598">
        <w:rPr>
          <w:rFonts w:ascii="Times New Roman" w:hAnsi="Times New Roman"/>
          <w:sz w:val="24"/>
          <w:szCs w:val="24"/>
        </w:rPr>
        <w:t xml:space="preserve">, których analiza </w:t>
      </w:r>
      <w:r w:rsidR="00646CE1" w:rsidRPr="003F32EF">
        <w:rPr>
          <w:rFonts w:ascii="Times New Roman" w:hAnsi="Times New Roman"/>
          <w:sz w:val="24"/>
          <w:szCs w:val="24"/>
        </w:rPr>
        <w:t xml:space="preserve"> umożliwi KNF ocenę i udokumentowanie rękojmi należytego wykonywania obowiązków przez osoby wchodzące w skład organów zarządzających wnioskodawcy. Przedłożenie tych informacji pozwala na weryfikację ich dotychczasowej działalności oraz wpływu </w:t>
      </w:r>
      <w:r w:rsidR="00C9311E" w:rsidRPr="003F32EF">
        <w:rPr>
          <w:rFonts w:ascii="Times New Roman" w:hAnsi="Times New Roman"/>
          <w:sz w:val="24"/>
          <w:szCs w:val="24"/>
        </w:rPr>
        <w:t xml:space="preserve">na </w:t>
      </w:r>
      <w:r w:rsidR="00646CE1" w:rsidRPr="003F32EF">
        <w:rPr>
          <w:rFonts w:ascii="Times New Roman" w:hAnsi="Times New Roman"/>
          <w:sz w:val="24"/>
          <w:szCs w:val="24"/>
        </w:rPr>
        <w:t xml:space="preserve">wiarygodność tych osób. </w:t>
      </w:r>
    </w:p>
    <w:p w14:paraId="01807DB3" w14:textId="76DC5E52" w:rsidR="00351EDD" w:rsidRPr="002F594B" w:rsidRDefault="00BC1598" w:rsidP="00EB2AA1">
      <w:pPr>
        <w:pStyle w:val="CZWSPPKTczwsplnapunktw"/>
        <w:spacing w:line="240" w:lineRule="auto"/>
        <w:rPr>
          <w:rFonts w:ascii="Times New Roman" w:hAnsi="Times New Roman" w:cs="Times New Roman"/>
          <w:szCs w:val="24"/>
          <w:lang w:eastAsia="en-US"/>
        </w:rPr>
      </w:pPr>
      <w:r>
        <w:rPr>
          <w:rFonts w:ascii="Times New Roman" w:hAnsi="Times New Roman" w:cs="Times New Roman"/>
          <w:szCs w:val="24"/>
          <w:lang w:eastAsia="en-US"/>
        </w:rPr>
        <w:t xml:space="preserve">Pełnej ocenie spełniania wymogów ustawowych służy także m. in. wymóg przedstawienia przez osoby, które miały miejsce zamieszkania za granicą, informacji </w:t>
      </w:r>
      <w:r w:rsidR="00646CE1">
        <w:rPr>
          <w:rFonts w:ascii="Times New Roman" w:hAnsi="Times New Roman" w:cs="Times New Roman"/>
          <w:szCs w:val="24"/>
          <w:lang w:eastAsia="en-US"/>
        </w:rPr>
        <w:t xml:space="preserve">o niekaralności </w:t>
      </w:r>
      <w:r>
        <w:rPr>
          <w:rFonts w:ascii="Times New Roman" w:hAnsi="Times New Roman" w:cs="Times New Roman"/>
          <w:szCs w:val="24"/>
          <w:lang w:eastAsia="en-US"/>
        </w:rPr>
        <w:t xml:space="preserve">pochodzących ze </w:t>
      </w:r>
      <w:r w:rsidR="00646CE1">
        <w:rPr>
          <w:rFonts w:ascii="Times New Roman" w:hAnsi="Times New Roman" w:cs="Times New Roman"/>
          <w:szCs w:val="24"/>
          <w:lang w:eastAsia="en-US"/>
        </w:rPr>
        <w:t>wszystkich państw</w:t>
      </w:r>
      <w:r>
        <w:rPr>
          <w:rFonts w:ascii="Times New Roman" w:hAnsi="Times New Roman" w:cs="Times New Roman"/>
          <w:szCs w:val="24"/>
          <w:lang w:eastAsia="en-US"/>
        </w:rPr>
        <w:t xml:space="preserve">, w których </w:t>
      </w:r>
      <w:r w:rsidR="00EB2AA1">
        <w:rPr>
          <w:rFonts w:ascii="Times New Roman" w:hAnsi="Times New Roman" w:cs="Times New Roman"/>
          <w:szCs w:val="24"/>
          <w:lang w:eastAsia="en-US"/>
        </w:rPr>
        <w:t>osob</w:t>
      </w:r>
      <w:r w:rsidR="00B9411E">
        <w:rPr>
          <w:rFonts w:ascii="Times New Roman" w:hAnsi="Times New Roman" w:cs="Times New Roman"/>
          <w:szCs w:val="24"/>
          <w:lang w:eastAsia="en-US"/>
        </w:rPr>
        <w:t>y</w:t>
      </w:r>
      <w:r w:rsidR="00EB2AA1">
        <w:rPr>
          <w:rFonts w:ascii="Times New Roman" w:hAnsi="Times New Roman" w:cs="Times New Roman"/>
          <w:szCs w:val="24"/>
          <w:lang w:eastAsia="en-US"/>
        </w:rPr>
        <w:t xml:space="preserve"> t</w:t>
      </w:r>
      <w:r w:rsidR="00B9411E">
        <w:rPr>
          <w:rFonts w:ascii="Times New Roman" w:hAnsi="Times New Roman" w:cs="Times New Roman"/>
          <w:szCs w:val="24"/>
          <w:lang w:eastAsia="en-US"/>
        </w:rPr>
        <w:t>e</w:t>
      </w:r>
      <w:r w:rsidR="00EB2AA1">
        <w:rPr>
          <w:rFonts w:ascii="Times New Roman" w:hAnsi="Times New Roman" w:cs="Times New Roman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Cs w:val="24"/>
          <w:lang w:eastAsia="en-US"/>
        </w:rPr>
        <w:t>mieszkał</w:t>
      </w:r>
      <w:r w:rsidR="00B9411E">
        <w:rPr>
          <w:rFonts w:ascii="Times New Roman" w:hAnsi="Times New Roman" w:cs="Times New Roman"/>
          <w:szCs w:val="24"/>
          <w:lang w:eastAsia="en-US"/>
        </w:rPr>
        <w:t>y</w:t>
      </w:r>
      <w:r w:rsidR="00EB2AA1">
        <w:rPr>
          <w:rFonts w:ascii="Times New Roman" w:hAnsi="Times New Roman" w:cs="Times New Roman"/>
          <w:szCs w:val="24"/>
          <w:lang w:eastAsia="en-US"/>
        </w:rPr>
        <w:t xml:space="preserve"> </w:t>
      </w:r>
      <w:r w:rsidR="00646CE1">
        <w:rPr>
          <w:rFonts w:ascii="Times New Roman" w:hAnsi="Times New Roman" w:cs="Times New Roman"/>
          <w:szCs w:val="24"/>
          <w:lang w:eastAsia="en-US"/>
        </w:rPr>
        <w:t>w okresie 10 lat</w:t>
      </w:r>
      <w:r w:rsidRPr="00BC1598">
        <w:rPr>
          <w:rFonts w:ascii="Times New Roman" w:hAnsi="Times New Roman" w:cs="Times New Roman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Cs w:val="24"/>
          <w:lang w:eastAsia="en-US"/>
        </w:rPr>
        <w:t>poprzedzających złożenie wniosku o wydanie zezwolenia</w:t>
      </w:r>
      <w:r w:rsidR="00B9411E">
        <w:rPr>
          <w:rFonts w:ascii="Times New Roman" w:hAnsi="Times New Roman" w:cs="Times New Roman"/>
          <w:szCs w:val="24"/>
          <w:lang w:eastAsia="en-US"/>
        </w:rPr>
        <w:t>.</w:t>
      </w:r>
    </w:p>
    <w:p w14:paraId="58C10D60" w14:textId="71DD556B" w:rsidR="00255863" w:rsidRPr="002F594B" w:rsidRDefault="00351EDD" w:rsidP="00BC1598">
      <w:pPr>
        <w:pStyle w:val="CZWSPPKTczwsplnapunktw"/>
        <w:spacing w:after="120" w:line="240" w:lineRule="auto"/>
        <w:rPr>
          <w:rFonts w:ascii="Times New Roman" w:hAnsi="Times New Roman" w:cs="Times New Roman"/>
          <w:szCs w:val="24"/>
          <w:lang w:eastAsia="en-US"/>
        </w:rPr>
      </w:pPr>
      <w:r w:rsidRPr="002F594B">
        <w:rPr>
          <w:rFonts w:ascii="Times New Roman" w:hAnsi="Times New Roman" w:cs="Times New Roman"/>
          <w:szCs w:val="24"/>
          <w:lang w:eastAsia="en-US"/>
        </w:rPr>
        <w:t>P</w:t>
      </w:r>
      <w:r w:rsidR="002452BE" w:rsidRPr="002F594B">
        <w:rPr>
          <w:rFonts w:ascii="Times New Roman" w:hAnsi="Times New Roman" w:cs="Times New Roman"/>
          <w:szCs w:val="24"/>
          <w:lang w:eastAsia="en-US"/>
        </w:rPr>
        <w:t xml:space="preserve">rzepisy </w:t>
      </w:r>
      <w:r w:rsidR="00D17F1A" w:rsidRPr="00EB2AA1">
        <w:rPr>
          <w:rFonts w:ascii="Times New Roman" w:hAnsi="Times New Roman" w:cs="Times New Roman"/>
          <w:szCs w:val="24"/>
          <w:lang w:eastAsia="en-US"/>
        </w:rPr>
        <w:t>§ 2</w:t>
      </w:r>
      <w:r w:rsidR="00D17F1A" w:rsidRPr="002F594B">
        <w:rPr>
          <w:rFonts w:ascii="Times New Roman" w:hAnsi="Times New Roman" w:cs="Times New Roman"/>
          <w:szCs w:val="24"/>
          <w:lang w:eastAsia="en-US"/>
        </w:rPr>
        <w:t xml:space="preserve"> </w:t>
      </w:r>
      <w:r w:rsidR="002452BE" w:rsidRPr="002F594B">
        <w:rPr>
          <w:rFonts w:ascii="Times New Roman" w:hAnsi="Times New Roman" w:cs="Times New Roman"/>
          <w:szCs w:val="24"/>
          <w:lang w:eastAsia="en-US"/>
        </w:rPr>
        <w:t>uwzględniają</w:t>
      </w:r>
      <w:r w:rsidR="00D17F1A" w:rsidRPr="002F594B">
        <w:rPr>
          <w:rFonts w:ascii="Times New Roman" w:hAnsi="Times New Roman" w:cs="Times New Roman"/>
          <w:szCs w:val="24"/>
          <w:lang w:eastAsia="en-US"/>
        </w:rPr>
        <w:t xml:space="preserve"> </w:t>
      </w:r>
      <w:r w:rsidR="00BC1598">
        <w:rPr>
          <w:rFonts w:ascii="Times New Roman" w:hAnsi="Times New Roman" w:cs="Times New Roman"/>
          <w:szCs w:val="24"/>
          <w:lang w:eastAsia="en-US"/>
        </w:rPr>
        <w:t xml:space="preserve">także </w:t>
      </w:r>
      <w:r w:rsidR="00D17F1A" w:rsidRPr="002F594B">
        <w:rPr>
          <w:rFonts w:ascii="Times New Roman" w:hAnsi="Times New Roman" w:cs="Times New Roman"/>
          <w:szCs w:val="24"/>
          <w:lang w:eastAsia="en-US"/>
        </w:rPr>
        <w:t>wytyczn</w:t>
      </w:r>
      <w:r w:rsidR="002452BE" w:rsidRPr="002F594B">
        <w:rPr>
          <w:rFonts w:ascii="Times New Roman" w:hAnsi="Times New Roman" w:cs="Times New Roman"/>
          <w:szCs w:val="24"/>
          <w:lang w:eastAsia="en-US"/>
        </w:rPr>
        <w:t>e</w:t>
      </w:r>
      <w:r w:rsidR="00D17F1A" w:rsidRPr="002F594B">
        <w:rPr>
          <w:rFonts w:ascii="Times New Roman" w:hAnsi="Times New Roman" w:cs="Times New Roman"/>
          <w:szCs w:val="24"/>
          <w:lang w:eastAsia="en-US"/>
        </w:rPr>
        <w:t xml:space="preserve"> Europejskiego Urzędu Nadzoru Bankowego (EBA). Wytyczne EBA mają na celu zwiększenie przejrzystości, bezpieczeństwa o</w:t>
      </w:r>
      <w:r w:rsidR="00CC0B76" w:rsidRPr="002F594B">
        <w:rPr>
          <w:rFonts w:ascii="Times New Roman" w:hAnsi="Times New Roman" w:cs="Times New Roman"/>
          <w:szCs w:val="24"/>
          <w:lang w:eastAsia="en-US"/>
        </w:rPr>
        <w:t>r</w:t>
      </w:r>
      <w:r w:rsidR="00D17F1A" w:rsidRPr="002F594B">
        <w:rPr>
          <w:rFonts w:ascii="Times New Roman" w:hAnsi="Times New Roman" w:cs="Times New Roman"/>
          <w:szCs w:val="24"/>
          <w:lang w:eastAsia="en-US"/>
        </w:rPr>
        <w:t>az spójności na rynku finansowym na terenie Unii Europejskiej</w:t>
      </w:r>
      <w:r w:rsidR="00EE7515">
        <w:rPr>
          <w:rFonts w:ascii="Times New Roman" w:hAnsi="Times New Roman" w:cs="Times New Roman"/>
          <w:szCs w:val="24"/>
          <w:lang w:eastAsia="en-US"/>
        </w:rPr>
        <w:t>, w</w:t>
      </w:r>
      <w:r w:rsidR="00CC0B76" w:rsidRPr="002F594B">
        <w:rPr>
          <w:rFonts w:ascii="Times New Roman" w:hAnsi="Times New Roman" w:cs="Times New Roman"/>
          <w:szCs w:val="24"/>
          <w:lang w:eastAsia="en-US"/>
        </w:rPr>
        <w:t xml:space="preserve"> szczególności </w:t>
      </w:r>
      <w:r w:rsidR="00F01416" w:rsidRPr="002F594B">
        <w:rPr>
          <w:rFonts w:ascii="Times New Roman" w:hAnsi="Times New Roman" w:cs="Times New Roman"/>
          <w:szCs w:val="24"/>
          <w:lang w:eastAsia="en-US"/>
        </w:rPr>
        <w:t>w zakresie informacji o jakichkolwiek zezwoleniach, zgodach, rejestracjach, wpisach</w:t>
      </w:r>
      <w:r w:rsidR="00BC1598">
        <w:rPr>
          <w:rFonts w:ascii="Times New Roman" w:hAnsi="Times New Roman" w:cs="Times New Roman"/>
          <w:szCs w:val="24"/>
          <w:lang w:eastAsia="en-US"/>
        </w:rPr>
        <w:t xml:space="preserve"> lub </w:t>
      </w:r>
      <w:r w:rsidR="00F82CCF">
        <w:rPr>
          <w:rFonts w:ascii="Times New Roman" w:hAnsi="Times New Roman" w:cs="Times New Roman"/>
          <w:szCs w:val="24"/>
          <w:lang w:eastAsia="en-US"/>
        </w:rPr>
        <w:t xml:space="preserve">zgłoszonym sprzeciwie </w:t>
      </w:r>
      <w:r w:rsidR="00F01416" w:rsidRPr="002F594B">
        <w:rPr>
          <w:rFonts w:ascii="Times New Roman" w:hAnsi="Times New Roman" w:cs="Times New Roman"/>
          <w:szCs w:val="24"/>
          <w:lang w:eastAsia="en-US"/>
        </w:rPr>
        <w:t>w związku z wykonywaną lub planowaną działalnością albo pełnieniem funkcji w podmiotach prowadzących działalność na rynku finansowym</w:t>
      </w:r>
      <w:r w:rsidR="00BC1598">
        <w:rPr>
          <w:rFonts w:ascii="Times New Roman" w:hAnsi="Times New Roman" w:cs="Times New Roman"/>
          <w:szCs w:val="24"/>
          <w:lang w:eastAsia="en-US"/>
        </w:rPr>
        <w:t xml:space="preserve">. Projekt określa katalog tych informacji, ze wskazaniem, że wymagane będzie </w:t>
      </w:r>
      <w:r w:rsidR="00F01416" w:rsidRPr="002F594B">
        <w:rPr>
          <w:rFonts w:ascii="Times New Roman" w:hAnsi="Times New Roman" w:cs="Times New Roman"/>
          <w:szCs w:val="24"/>
          <w:lang w:eastAsia="en-US"/>
        </w:rPr>
        <w:t>podanie</w:t>
      </w:r>
      <w:r w:rsidR="00BC1598">
        <w:rPr>
          <w:rFonts w:ascii="Times New Roman" w:hAnsi="Times New Roman" w:cs="Times New Roman"/>
          <w:szCs w:val="24"/>
          <w:lang w:eastAsia="en-US"/>
        </w:rPr>
        <w:t xml:space="preserve"> </w:t>
      </w:r>
      <w:r w:rsidR="00F01416" w:rsidRPr="002F594B">
        <w:rPr>
          <w:rFonts w:ascii="Times New Roman" w:hAnsi="Times New Roman" w:cs="Times New Roman"/>
          <w:szCs w:val="24"/>
          <w:lang w:eastAsia="en-US"/>
        </w:rPr>
        <w:t>daty lub przyczyn.</w:t>
      </w:r>
    </w:p>
    <w:p w14:paraId="4ED68029" w14:textId="5B86CBDA" w:rsidR="00EE7515" w:rsidRDefault="00255863" w:rsidP="00112AB2">
      <w:pPr>
        <w:spacing w:after="120" w:line="240" w:lineRule="auto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2F594B">
        <w:rPr>
          <w:rFonts w:ascii="Times New Roman" w:eastAsiaTheme="minorEastAsia" w:hAnsi="Times New Roman"/>
          <w:sz w:val="24"/>
          <w:szCs w:val="24"/>
          <w:lang w:eastAsia="pl-PL"/>
        </w:rPr>
        <w:t xml:space="preserve">Przepisy określone w </w:t>
      </w:r>
      <w:r w:rsidRPr="00EE7515">
        <w:rPr>
          <w:rFonts w:ascii="Times New Roman" w:eastAsiaTheme="minorEastAsia" w:hAnsi="Times New Roman"/>
          <w:sz w:val="24"/>
          <w:szCs w:val="24"/>
          <w:lang w:eastAsia="pl-PL"/>
        </w:rPr>
        <w:t>§ 3</w:t>
      </w:r>
      <w:r w:rsidR="00ED68EC" w:rsidRPr="00EE7515">
        <w:rPr>
          <w:rFonts w:ascii="Times New Roman" w:eastAsiaTheme="minorEastAsia" w:hAnsi="Times New Roman"/>
          <w:sz w:val="24"/>
          <w:szCs w:val="24"/>
          <w:lang w:eastAsia="pl-PL"/>
        </w:rPr>
        <w:t>–</w:t>
      </w:r>
      <w:r w:rsidR="002452BE" w:rsidRPr="00EE7515">
        <w:rPr>
          <w:rFonts w:ascii="Times New Roman" w:eastAsiaTheme="minorEastAsia" w:hAnsi="Times New Roman"/>
          <w:sz w:val="24"/>
          <w:szCs w:val="24"/>
          <w:lang w:eastAsia="pl-PL"/>
        </w:rPr>
        <w:t>5</w:t>
      </w:r>
      <w:r w:rsidR="00ED68EC" w:rsidRPr="002F594B">
        <w:rPr>
          <w:rFonts w:ascii="Times New Roman" w:eastAsiaTheme="minorEastAsia" w:hAnsi="Times New Roman"/>
          <w:sz w:val="24"/>
          <w:szCs w:val="24"/>
          <w:lang w:eastAsia="pl-PL"/>
        </w:rPr>
        <w:t xml:space="preserve"> wprowadzają rozwiązania, które przyczynią się do usprawnienia postępowania oraz procesów nadzorczych, ułatwią współpracę z wnioskodawcami, w tym podmiotami zagranicznymi, oraz zapewnią, że dostarczane dokumenty są odpowiednio zweryfikowane i zgodne z międzynarodowymi standardami. </w:t>
      </w:r>
    </w:p>
    <w:p w14:paraId="3BD7C035" w14:textId="5EC388D4" w:rsidR="00F01416" w:rsidRPr="002F594B" w:rsidRDefault="00F01416" w:rsidP="00154665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2F594B">
        <w:rPr>
          <w:rFonts w:ascii="Times New Roman" w:hAnsi="Times New Roman"/>
          <w:sz w:val="24"/>
          <w:szCs w:val="24"/>
        </w:rPr>
        <w:t xml:space="preserve">Przepis </w:t>
      </w:r>
      <w:r w:rsidRPr="002F594B">
        <w:rPr>
          <w:rFonts w:ascii="Times New Roman" w:hAnsi="Times New Roman"/>
          <w:b/>
          <w:bCs/>
          <w:sz w:val="24"/>
          <w:szCs w:val="24"/>
        </w:rPr>
        <w:t>§ 3</w:t>
      </w:r>
      <w:r w:rsidRPr="002F594B">
        <w:rPr>
          <w:rFonts w:ascii="Times New Roman" w:hAnsi="Times New Roman"/>
          <w:sz w:val="24"/>
          <w:szCs w:val="24"/>
        </w:rPr>
        <w:t xml:space="preserve"> określa form</w:t>
      </w:r>
      <w:r w:rsidR="00EE7515">
        <w:rPr>
          <w:rFonts w:ascii="Times New Roman" w:hAnsi="Times New Roman"/>
          <w:sz w:val="24"/>
          <w:szCs w:val="24"/>
        </w:rPr>
        <w:t>ę</w:t>
      </w:r>
      <w:r w:rsidRPr="002F594B">
        <w:rPr>
          <w:rFonts w:ascii="Times New Roman" w:hAnsi="Times New Roman"/>
          <w:sz w:val="24"/>
          <w:szCs w:val="24"/>
        </w:rPr>
        <w:t xml:space="preserve"> </w:t>
      </w:r>
      <w:r w:rsidR="00F82CCF">
        <w:rPr>
          <w:rFonts w:ascii="Times New Roman" w:hAnsi="Times New Roman"/>
          <w:sz w:val="24"/>
          <w:szCs w:val="24"/>
        </w:rPr>
        <w:t>dokumentów</w:t>
      </w:r>
      <w:r w:rsidRPr="002F594B">
        <w:rPr>
          <w:rFonts w:ascii="Times New Roman" w:hAnsi="Times New Roman"/>
          <w:sz w:val="24"/>
          <w:szCs w:val="24"/>
        </w:rPr>
        <w:t xml:space="preserve">, o których mowa w § </w:t>
      </w:r>
      <w:r w:rsidR="00F82CCF" w:rsidRPr="00F82CCF">
        <w:rPr>
          <w:rFonts w:ascii="Times New Roman" w:hAnsi="Times New Roman"/>
          <w:sz w:val="24"/>
          <w:szCs w:val="24"/>
        </w:rPr>
        <w:t>2 pkt 1–8, 10–12 i 14</w:t>
      </w:r>
      <w:r w:rsidR="00F82CCF" w:rsidRPr="00F82CCF" w:rsidDel="00F82CCF">
        <w:rPr>
          <w:rFonts w:ascii="Times New Roman" w:hAnsi="Times New Roman"/>
          <w:sz w:val="24"/>
          <w:szCs w:val="24"/>
        </w:rPr>
        <w:t xml:space="preserve"> </w:t>
      </w:r>
      <w:r w:rsidR="00AF4D40" w:rsidRPr="002F594B">
        <w:rPr>
          <w:rFonts w:ascii="Times New Roman" w:hAnsi="Times New Roman"/>
          <w:sz w:val="24"/>
          <w:szCs w:val="24"/>
        </w:rPr>
        <w:t>(</w:t>
      </w:r>
      <w:r w:rsidR="00EE7515">
        <w:rPr>
          <w:rFonts w:ascii="Times New Roman" w:hAnsi="Times New Roman"/>
          <w:sz w:val="24"/>
          <w:szCs w:val="24"/>
        </w:rPr>
        <w:t xml:space="preserve">będą one </w:t>
      </w:r>
      <w:r w:rsidR="00C9311E" w:rsidRPr="00C9311E">
        <w:rPr>
          <w:rFonts w:ascii="Times New Roman" w:hAnsi="Times New Roman"/>
          <w:sz w:val="24"/>
          <w:szCs w:val="24"/>
        </w:rPr>
        <w:t>sporządzane na piśmie utrwalonym w postaci elektronicznej albo papierowej poświadczonej przez notariusza, radę nadzorczą albo radę dyrektorów</w:t>
      </w:r>
      <w:r w:rsidR="00AF4D40" w:rsidRPr="002F594B">
        <w:rPr>
          <w:rFonts w:ascii="Times New Roman" w:hAnsi="Times New Roman"/>
          <w:sz w:val="24"/>
          <w:szCs w:val="24"/>
        </w:rPr>
        <w:t xml:space="preserve">). </w:t>
      </w:r>
    </w:p>
    <w:p w14:paraId="7B94A9C6" w14:textId="12DB9EF1" w:rsidR="00255863" w:rsidRPr="002F594B" w:rsidRDefault="00255863" w:rsidP="00154665">
      <w:pPr>
        <w:pStyle w:val="CZWSPPKTczwsplnapunktw"/>
        <w:spacing w:after="120" w:line="240" w:lineRule="auto"/>
        <w:rPr>
          <w:rFonts w:ascii="Times New Roman" w:hAnsi="Times New Roman" w:cs="Times New Roman"/>
          <w:szCs w:val="24"/>
          <w:lang w:eastAsia="en-US"/>
        </w:rPr>
      </w:pPr>
      <w:r w:rsidRPr="002F594B">
        <w:rPr>
          <w:rFonts w:ascii="Times New Roman" w:hAnsi="Times New Roman" w:cs="Times New Roman"/>
          <w:szCs w:val="24"/>
          <w:lang w:eastAsia="en-US"/>
        </w:rPr>
        <w:t xml:space="preserve">Przepis </w:t>
      </w:r>
      <w:r w:rsidRPr="002F594B">
        <w:rPr>
          <w:rFonts w:ascii="Times New Roman" w:hAnsi="Times New Roman" w:cs="Times New Roman"/>
          <w:b/>
          <w:bCs w:val="0"/>
          <w:szCs w:val="24"/>
          <w:lang w:eastAsia="en-US"/>
        </w:rPr>
        <w:t xml:space="preserve">§ </w:t>
      </w:r>
      <w:r w:rsidR="00AF4D40" w:rsidRPr="002F594B">
        <w:rPr>
          <w:rFonts w:ascii="Times New Roman" w:hAnsi="Times New Roman" w:cs="Times New Roman"/>
          <w:b/>
          <w:bCs w:val="0"/>
          <w:szCs w:val="24"/>
          <w:lang w:eastAsia="en-US"/>
        </w:rPr>
        <w:t xml:space="preserve">4 </w:t>
      </w:r>
      <w:r w:rsidRPr="002F594B">
        <w:rPr>
          <w:rFonts w:ascii="Times New Roman" w:hAnsi="Times New Roman" w:cs="Times New Roman"/>
          <w:szCs w:val="24"/>
          <w:lang w:eastAsia="en-US"/>
        </w:rPr>
        <w:t xml:space="preserve">wprowadza wymóg dołączenia tłumaczeń dokumentów sporządzonych w języku obcym. </w:t>
      </w:r>
    </w:p>
    <w:p w14:paraId="009DA58E" w14:textId="45A1052D" w:rsidR="00AF4D40" w:rsidRPr="00B9411E" w:rsidRDefault="00AF4D40" w:rsidP="00112AB2">
      <w:pPr>
        <w:pStyle w:val="USTustnpkodeksu"/>
        <w:spacing w:after="120" w:line="240" w:lineRule="auto"/>
        <w:ind w:firstLine="0"/>
        <w:rPr>
          <w:rFonts w:ascii="Times New Roman" w:hAnsi="Times New Roman" w:cs="Times New Roman"/>
          <w:szCs w:val="24"/>
          <w:highlight w:val="yellow"/>
        </w:rPr>
      </w:pPr>
      <w:r w:rsidRPr="00112AB2">
        <w:rPr>
          <w:rFonts w:ascii="Times New Roman" w:hAnsi="Times New Roman" w:cs="Times New Roman"/>
          <w:szCs w:val="24"/>
        </w:rPr>
        <w:t xml:space="preserve">Przepis </w:t>
      </w:r>
      <w:r w:rsidRPr="00112AB2">
        <w:rPr>
          <w:rFonts w:ascii="Times New Roman" w:hAnsi="Times New Roman" w:cs="Times New Roman"/>
          <w:b/>
          <w:szCs w:val="24"/>
        </w:rPr>
        <w:t>§ 5</w:t>
      </w:r>
      <w:r w:rsidRPr="00112AB2">
        <w:rPr>
          <w:rFonts w:ascii="Times New Roman" w:hAnsi="Times New Roman" w:cs="Times New Roman"/>
          <w:szCs w:val="24"/>
        </w:rPr>
        <w:t xml:space="preserve"> ma na celu zapewnienie wiarygodności i autentyczności zagranicznych dokumentów urzędowych przed ich tłumaczeniem na potrzeby postępowania w Polsce. Wymóg legalizacji przez konsula Rzeczypospolitej Polskiej </w:t>
      </w:r>
      <w:r w:rsidR="00112AB2" w:rsidRPr="00112AB2">
        <w:rPr>
          <w:rFonts w:ascii="Times New Roman" w:hAnsi="Times New Roman" w:cs="Times New Roman"/>
          <w:szCs w:val="24"/>
        </w:rPr>
        <w:t xml:space="preserve">(lub dołączenie apostille) </w:t>
      </w:r>
      <w:r w:rsidRPr="00112AB2">
        <w:rPr>
          <w:rFonts w:ascii="Times New Roman" w:hAnsi="Times New Roman" w:cs="Times New Roman"/>
          <w:szCs w:val="24"/>
        </w:rPr>
        <w:t>stanowi standardowe zabezpieczenie potwierdzające pochodzenie i prawdziwość dokumentów. Jednocześnie wprowadz</w:t>
      </w:r>
      <w:r w:rsidR="00112AB2" w:rsidRPr="00112AB2">
        <w:rPr>
          <w:rFonts w:ascii="Times New Roman" w:hAnsi="Times New Roman" w:cs="Times New Roman"/>
          <w:szCs w:val="24"/>
        </w:rPr>
        <w:t xml:space="preserve">ono </w:t>
      </w:r>
      <w:r w:rsidR="00112AB2" w:rsidRPr="00B9411E">
        <w:rPr>
          <w:rFonts w:ascii="Times New Roman" w:hAnsi="Times New Roman" w:cs="Times New Roman"/>
          <w:szCs w:val="24"/>
        </w:rPr>
        <w:t xml:space="preserve">wyjątek </w:t>
      </w:r>
      <w:r w:rsidRPr="00B9411E">
        <w:rPr>
          <w:rFonts w:ascii="Times New Roman" w:hAnsi="Times New Roman" w:cs="Times New Roman"/>
          <w:szCs w:val="24"/>
        </w:rPr>
        <w:t>dotycząc</w:t>
      </w:r>
      <w:r w:rsidR="00112AB2" w:rsidRPr="00B9411E">
        <w:rPr>
          <w:rFonts w:ascii="Times New Roman" w:hAnsi="Times New Roman" w:cs="Times New Roman"/>
          <w:szCs w:val="24"/>
        </w:rPr>
        <w:t xml:space="preserve">y dokumentów pochodzących z krajów Unii </w:t>
      </w:r>
      <w:r w:rsidR="00112AB2" w:rsidRPr="00B9411E">
        <w:rPr>
          <w:rFonts w:ascii="Times New Roman" w:hAnsi="Times New Roman" w:cs="Times New Roman"/>
          <w:szCs w:val="24"/>
        </w:rPr>
        <w:lastRenderedPageBreak/>
        <w:t xml:space="preserve">Europejskiej oraz dokumentów, w odniesieniu do których </w:t>
      </w:r>
      <w:r w:rsidR="00112AB2" w:rsidRPr="00112AB2">
        <w:rPr>
          <w:rFonts w:ascii="Times New Roman" w:hAnsi="Times New Roman" w:cs="Times New Roman"/>
        </w:rPr>
        <w:t xml:space="preserve">umowy </w:t>
      </w:r>
      <w:r w:rsidR="0073013D">
        <w:rPr>
          <w:rFonts w:ascii="Times New Roman" w:hAnsi="Times New Roman" w:cs="Times New Roman"/>
        </w:rPr>
        <w:t xml:space="preserve">zawarte przez </w:t>
      </w:r>
      <w:r w:rsidR="00112AB2" w:rsidRPr="00112AB2">
        <w:rPr>
          <w:rFonts w:ascii="Times New Roman" w:hAnsi="Times New Roman" w:cs="Times New Roman"/>
        </w:rPr>
        <w:t>między Polską a państwami</w:t>
      </w:r>
      <w:r w:rsidR="0073013D">
        <w:rPr>
          <w:rFonts w:ascii="Times New Roman" w:hAnsi="Times New Roman" w:cs="Times New Roman"/>
        </w:rPr>
        <w:t xml:space="preserve">, z których pochodzą te dokumenty, </w:t>
      </w:r>
      <w:r w:rsidR="00112AB2" w:rsidRPr="00112AB2">
        <w:rPr>
          <w:rFonts w:ascii="Times New Roman" w:hAnsi="Times New Roman" w:cs="Times New Roman"/>
        </w:rPr>
        <w:t xml:space="preserve">zniosły lub uprościły legalizację lub zwolniły </w:t>
      </w:r>
      <w:r w:rsidR="0073013D">
        <w:rPr>
          <w:rFonts w:ascii="Times New Roman" w:hAnsi="Times New Roman" w:cs="Times New Roman"/>
        </w:rPr>
        <w:t xml:space="preserve">takie </w:t>
      </w:r>
      <w:r w:rsidR="00112AB2" w:rsidRPr="00112AB2">
        <w:rPr>
          <w:rFonts w:ascii="Times New Roman" w:hAnsi="Times New Roman" w:cs="Times New Roman"/>
        </w:rPr>
        <w:t>dokument</w:t>
      </w:r>
      <w:r w:rsidR="0073013D">
        <w:rPr>
          <w:rFonts w:ascii="Times New Roman" w:hAnsi="Times New Roman" w:cs="Times New Roman"/>
        </w:rPr>
        <w:t>y</w:t>
      </w:r>
      <w:r w:rsidR="00112AB2" w:rsidRPr="00112AB2">
        <w:rPr>
          <w:rFonts w:ascii="Times New Roman" w:hAnsi="Times New Roman" w:cs="Times New Roman"/>
        </w:rPr>
        <w:t xml:space="preserve"> z legalizacji.</w:t>
      </w:r>
      <w:r w:rsidR="00112AB2">
        <w:rPr>
          <w:rFonts w:ascii="Times New Roman" w:hAnsi="Times New Roman" w:cs="Times New Roman"/>
        </w:rPr>
        <w:t xml:space="preserve"> </w:t>
      </w:r>
      <w:r w:rsidRPr="00B9411E">
        <w:rPr>
          <w:rFonts w:ascii="Times New Roman" w:hAnsi="Times New Roman" w:cs="Times New Roman"/>
          <w:szCs w:val="24"/>
        </w:rPr>
        <w:t>Dzięki temu przepis jest zgodny z zasadami prawa międzynarodowego i zapewnia sprawną realizację obowiązków administracyjnych.</w:t>
      </w:r>
    </w:p>
    <w:p w14:paraId="1AAB406C" w14:textId="265546B6" w:rsidR="00255863" w:rsidRPr="00112AB2" w:rsidRDefault="00255863" w:rsidP="00112AB2">
      <w:pPr>
        <w:pStyle w:val="CZWSPPKTczwsplnapunktw"/>
        <w:spacing w:after="120" w:line="240" w:lineRule="auto"/>
        <w:rPr>
          <w:rFonts w:ascii="Times New Roman" w:hAnsi="Times New Roman" w:cs="Times New Roman"/>
          <w:szCs w:val="24"/>
          <w:lang w:eastAsia="en-US"/>
        </w:rPr>
      </w:pPr>
      <w:r w:rsidRPr="00112AB2">
        <w:rPr>
          <w:rFonts w:ascii="Times New Roman" w:hAnsi="Times New Roman" w:cs="Times New Roman"/>
          <w:szCs w:val="24"/>
          <w:lang w:eastAsia="en-US"/>
        </w:rPr>
        <w:t xml:space="preserve">Zgodnie z </w:t>
      </w:r>
      <w:r w:rsidRPr="00112AB2">
        <w:rPr>
          <w:rFonts w:ascii="Times New Roman" w:hAnsi="Times New Roman" w:cs="Times New Roman"/>
          <w:b/>
          <w:bCs w:val="0"/>
          <w:szCs w:val="24"/>
          <w:lang w:eastAsia="en-US"/>
        </w:rPr>
        <w:t xml:space="preserve">§ </w:t>
      </w:r>
      <w:r w:rsidR="007774E6" w:rsidRPr="00112AB2">
        <w:rPr>
          <w:rFonts w:ascii="Times New Roman" w:hAnsi="Times New Roman" w:cs="Times New Roman"/>
          <w:b/>
          <w:bCs w:val="0"/>
          <w:szCs w:val="24"/>
          <w:lang w:eastAsia="en-US"/>
        </w:rPr>
        <w:t>6</w:t>
      </w:r>
      <w:r w:rsidRPr="00112AB2">
        <w:rPr>
          <w:rFonts w:ascii="Times New Roman" w:hAnsi="Times New Roman" w:cs="Times New Roman"/>
          <w:szCs w:val="24"/>
          <w:lang w:eastAsia="en-US"/>
        </w:rPr>
        <w:t xml:space="preserve"> </w:t>
      </w:r>
      <w:r w:rsidR="00707F3E" w:rsidRPr="00112AB2">
        <w:rPr>
          <w:rFonts w:ascii="Times New Roman" w:hAnsi="Times New Roman" w:cs="Times New Roman"/>
          <w:szCs w:val="24"/>
          <w:lang w:eastAsia="en-US"/>
        </w:rPr>
        <w:t>datą wejścia w życie projektowanych regulacji będzie data wejścia w życie ustawy</w:t>
      </w:r>
      <w:r w:rsidR="00B9411E">
        <w:rPr>
          <w:rFonts w:ascii="Times New Roman" w:hAnsi="Times New Roman" w:cs="Times New Roman"/>
          <w:szCs w:val="24"/>
          <w:lang w:eastAsia="en-US"/>
        </w:rPr>
        <w:t xml:space="preserve"> upoważniającej</w:t>
      </w:r>
      <w:r w:rsidR="00707F3E" w:rsidRPr="00112AB2">
        <w:rPr>
          <w:rFonts w:ascii="Times New Roman" w:hAnsi="Times New Roman" w:cs="Times New Roman"/>
          <w:szCs w:val="24"/>
          <w:lang w:eastAsia="en-US"/>
        </w:rPr>
        <w:t>.</w:t>
      </w:r>
    </w:p>
    <w:p w14:paraId="36D32CAD" w14:textId="77777777" w:rsidR="00255863" w:rsidRPr="002F594B" w:rsidRDefault="00255863" w:rsidP="00154665">
      <w:pPr>
        <w:pStyle w:val="CZWSPPKTczwsplnapunktw"/>
        <w:spacing w:after="120" w:line="240" w:lineRule="auto"/>
        <w:rPr>
          <w:rFonts w:ascii="Times New Roman" w:hAnsi="Times New Roman" w:cs="Times New Roman"/>
          <w:szCs w:val="24"/>
          <w:lang w:eastAsia="en-US"/>
        </w:rPr>
      </w:pPr>
      <w:r w:rsidRPr="002F594B">
        <w:rPr>
          <w:rFonts w:ascii="Times New Roman" w:hAnsi="Times New Roman" w:cs="Times New Roman"/>
          <w:szCs w:val="24"/>
          <w:lang w:eastAsia="en-US"/>
        </w:rPr>
        <w:t>Projekt rozporządzenia nie dotyczy funkcjonowania samorządu terytorialnego, w związku z tym nie wymaga przedstawienia do opinii Komisji Wspólnej Rządu i Samorządu Terytorialnego.</w:t>
      </w:r>
    </w:p>
    <w:p w14:paraId="009A2F3C" w14:textId="54AAF57B" w:rsidR="00255863" w:rsidRPr="002F594B" w:rsidRDefault="00255863" w:rsidP="00154665">
      <w:pPr>
        <w:pStyle w:val="CZWSPPKTczwsplnapunktw"/>
        <w:spacing w:after="120" w:line="240" w:lineRule="auto"/>
        <w:rPr>
          <w:rFonts w:ascii="Times New Roman" w:hAnsi="Times New Roman" w:cs="Times New Roman"/>
          <w:szCs w:val="24"/>
          <w:lang w:eastAsia="en-US"/>
        </w:rPr>
      </w:pPr>
      <w:r w:rsidRPr="002F594B">
        <w:rPr>
          <w:rFonts w:ascii="Times New Roman" w:hAnsi="Times New Roman" w:cs="Times New Roman"/>
          <w:szCs w:val="24"/>
          <w:lang w:eastAsia="en-US"/>
        </w:rPr>
        <w:t>Projekt rozporządzenia nie podlega obowiązkowi notyfikacji zgodnie z trybem przewidzianym w rozporządzeniu Rady Ministrów z dnia 23 grudnia 2002 r. w sprawie sposobu funkcjonowania krajowego systemu notyfikacji norm i aktów prawnych (Dz.</w:t>
      </w:r>
      <w:r w:rsidR="00261D3E" w:rsidRPr="002F594B">
        <w:rPr>
          <w:rFonts w:ascii="Times New Roman" w:hAnsi="Times New Roman" w:cs="Times New Roman"/>
          <w:szCs w:val="24"/>
          <w:lang w:eastAsia="en-US"/>
        </w:rPr>
        <w:t xml:space="preserve"> </w:t>
      </w:r>
      <w:r w:rsidRPr="002F594B">
        <w:rPr>
          <w:rFonts w:ascii="Times New Roman" w:hAnsi="Times New Roman" w:cs="Times New Roman"/>
          <w:szCs w:val="24"/>
          <w:lang w:eastAsia="en-US"/>
        </w:rPr>
        <w:t>U. poz. 2039</w:t>
      </w:r>
      <w:r w:rsidR="002067CB" w:rsidRPr="002F594B">
        <w:rPr>
          <w:rFonts w:ascii="Times New Roman" w:hAnsi="Times New Roman" w:cs="Times New Roman"/>
          <w:szCs w:val="24"/>
          <w:lang w:eastAsia="en-US"/>
        </w:rPr>
        <w:t>, z późn. zm.</w:t>
      </w:r>
      <w:r w:rsidRPr="002F594B">
        <w:rPr>
          <w:rFonts w:ascii="Times New Roman" w:hAnsi="Times New Roman" w:cs="Times New Roman"/>
          <w:szCs w:val="24"/>
          <w:lang w:eastAsia="en-US"/>
        </w:rPr>
        <w:t>)</w:t>
      </w:r>
      <w:r w:rsidR="009D547D">
        <w:rPr>
          <w:rFonts w:ascii="Times New Roman" w:hAnsi="Times New Roman" w:cs="Times New Roman"/>
          <w:szCs w:val="24"/>
          <w:lang w:eastAsia="en-US"/>
        </w:rPr>
        <w:t>.</w:t>
      </w:r>
    </w:p>
    <w:p w14:paraId="310D04B4" w14:textId="6326C60A" w:rsidR="0024784A" w:rsidRPr="002F594B" w:rsidRDefault="00255863" w:rsidP="00154665">
      <w:pPr>
        <w:pStyle w:val="CZWSPPKTczwsplnapunktw"/>
        <w:spacing w:after="120" w:line="240" w:lineRule="auto"/>
        <w:rPr>
          <w:rFonts w:ascii="Times New Roman" w:hAnsi="Times New Roman" w:cs="Times New Roman"/>
          <w:szCs w:val="24"/>
          <w:lang w:eastAsia="en-US"/>
        </w:rPr>
      </w:pPr>
      <w:r w:rsidRPr="002F594B">
        <w:rPr>
          <w:rFonts w:ascii="Times New Roman" w:hAnsi="Times New Roman" w:cs="Times New Roman"/>
          <w:szCs w:val="24"/>
          <w:lang w:eastAsia="en-US"/>
        </w:rPr>
        <w:t>Projekt nie wymaga przedstawienia właściwym organom i instytucjom Unii Europejskiej, w tym Europejskiemu Bankowi Centralnemu, w celu uzyskania opinii, dokonania powiadomienia, konsultacji albo uzgodnienia</w:t>
      </w:r>
      <w:r w:rsidR="002067CB" w:rsidRPr="002F594B">
        <w:rPr>
          <w:rFonts w:ascii="Times New Roman" w:hAnsi="Times New Roman" w:cs="Times New Roman"/>
          <w:szCs w:val="24"/>
          <w:lang w:eastAsia="en-US"/>
        </w:rPr>
        <w:t xml:space="preserve">, </w:t>
      </w:r>
      <w:r w:rsidRPr="002F594B">
        <w:rPr>
          <w:rFonts w:ascii="Times New Roman" w:hAnsi="Times New Roman" w:cs="Times New Roman"/>
          <w:szCs w:val="24"/>
          <w:lang w:eastAsia="en-US"/>
        </w:rPr>
        <w:t>zgodnie z § 39 uchwały nr 190 Rady Ministrów z dnia 29 października 2013 r. – Regulamin pracy Rady Ministrów (M.P. z 2024 r. poz. 806).</w:t>
      </w:r>
    </w:p>
    <w:p w14:paraId="08FAC35D" w14:textId="5DE1E4FE" w:rsidR="00255863" w:rsidRPr="002F594B" w:rsidRDefault="00255863" w:rsidP="00154665">
      <w:pPr>
        <w:pStyle w:val="CZWSPPKTczwsplnapunktw"/>
        <w:spacing w:after="120" w:line="240" w:lineRule="auto"/>
        <w:rPr>
          <w:rFonts w:ascii="Times New Roman" w:hAnsi="Times New Roman" w:cs="Times New Roman"/>
          <w:szCs w:val="24"/>
          <w:lang w:eastAsia="en-US"/>
        </w:rPr>
      </w:pPr>
      <w:r w:rsidRPr="002F594B">
        <w:rPr>
          <w:rFonts w:ascii="Times New Roman" w:hAnsi="Times New Roman" w:cs="Times New Roman"/>
          <w:szCs w:val="24"/>
          <w:lang w:eastAsia="en-US"/>
        </w:rPr>
        <w:t>Stosownie do art. 4 ustawy z dnia 7 lipca 2005 r. o działalności lobbingowej w procesie stanowienia prawa (Dz. U. z 2017 r. poz. 248</w:t>
      </w:r>
      <w:r w:rsidR="0024784A" w:rsidRPr="002F594B">
        <w:rPr>
          <w:rFonts w:ascii="Times New Roman" w:hAnsi="Times New Roman" w:cs="Times New Roman"/>
          <w:szCs w:val="24"/>
          <w:lang w:eastAsia="en-US"/>
        </w:rPr>
        <w:t>, z późn. zm.</w:t>
      </w:r>
      <w:r w:rsidRPr="002F594B">
        <w:rPr>
          <w:rFonts w:ascii="Times New Roman" w:hAnsi="Times New Roman" w:cs="Times New Roman"/>
          <w:szCs w:val="24"/>
          <w:lang w:eastAsia="en-US"/>
        </w:rPr>
        <w:t>) projekt rozporządzenia zostanie zamieszczony w wykazie prac legislacyjnych Ministra Finansów.</w:t>
      </w:r>
    </w:p>
    <w:p w14:paraId="495F7543" w14:textId="61885B53" w:rsidR="0024784A" w:rsidRPr="002F594B" w:rsidRDefault="0024784A" w:rsidP="00154665">
      <w:pPr>
        <w:pStyle w:val="CZWSPPKTczwsplnapunktw"/>
        <w:spacing w:after="120" w:line="240" w:lineRule="auto"/>
        <w:rPr>
          <w:rFonts w:ascii="Times New Roman" w:hAnsi="Times New Roman" w:cs="Times New Roman"/>
          <w:szCs w:val="24"/>
          <w:lang w:eastAsia="en-US"/>
        </w:rPr>
      </w:pPr>
      <w:r w:rsidRPr="002F594B">
        <w:rPr>
          <w:rFonts w:ascii="Times New Roman" w:hAnsi="Times New Roman" w:cs="Times New Roman"/>
          <w:szCs w:val="24"/>
          <w:lang w:eastAsia="en-US"/>
        </w:rPr>
        <w:t xml:space="preserve">Zgodnie z </w:t>
      </w:r>
      <w:r w:rsidR="00255863" w:rsidRPr="002F594B">
        <w:rPr>
          <w:rFonts w:ascii="Times New Roman" w:hAnsi="Times New Roman" w:cs="Times New Roman"/>
          <w:szCs w:val="24"/>
          <w:lang w:eastAsia="en-US"/>
        </w:rPr>
        <w:t>art. 5 ustawy z dnia 7 lipca 2005 r. o działalności lobbingowej w procesie stanowienia prawa oraz § 52 uchwały nr 190 Rady Ministrów z dnia 29 października 2013 r. – Regulamin pracy Rady Ministrów projekt rozporządzenia zostanie udostępniony w Biuletynie Informacji Publicznej na stronie podmiotowej Rządowego Centrum Legislacji, w serwisie Rządowy Proces Legislacyjny.</w:t>
      </w:r>
    </w:p>
    <w:p w14:paraId="2C04FAE9" w14:textId="095972F5" w:rsidR="0024784A" w:rsidRPr="002F594B" w:rsidRDefault="00255863" w:rsidP="00154665">
      <w:pPr>
        <w:pStyle w:val="CZWSPPKTczwsplnapunktw"/>
        <w:spacing w:after="120" w:line="240" w:lineRule="auto"/>
        <w:rPr>
          <w:rFonts w:ascii="Times New Roman" w:hAnsi="Times New Roman" w:cs="Times New Roman"/>
          <w:szCs w:val="24"/>
          <w:lang w:eastAsia="en-US"/>
        </w:rPr>
      </w:pPr>
      <w:r w:rsidRPr="002F594B">
        <w:rPr>
          <w:rFonts w:ascii="Times New Roman" w:hAnsi="Times New Roman" w:cs="Times New Roman"/>
          <w:szCs w:val="24"/>
          <w:lang w:eastAsia="en-US"/>
        </w:rPr>
        <w:t>Zawarte w projekcie regulacje nie wpły</w:t>
      </w:r>
      <w:r w:rsidR="00261D3E" w:rsidRPr="002F594B">
        <w:rPr>
          <w:rFonts w:ascii="Times New Roman" w:hAnsi="Times New Roman" w:cs="Times New Roman"/>
          <w:szCs w:val="24"/>
          <w:lang w:eastAsia="en-US"/>
        </w:rPr>
        <w:t>ną</w:t>
      </w:r>
      <w:r w:rsidRPr="002F594B">
        <w:rPr>
          <w:rFonts w:ascii="Times New Roman" w:hAnsi="Times New Roman" w:cs="Times New Roman"/>
          <w:szCs w:val="24"/>
          <w:lang w:eastAsia="en-US"/>
        </w:rPr>
        <w:t xml:space="preserve"> na działalność mikroprzedsiębiorców, małych i średnich przedsiębiorców</w:t>
      </w:r>
      <w:r w:rsidR="002067CB" w:rsidRPr="002F594B">
        <w:rPr>
          <w:rFonts w:ascii="Times New Roman" w:hAnsi="Times New Roman" w:cs="Times New Roman"/>
          <w:szCs w:val="24"/>
          <w:lang w:eastAsia="en-US"/>
        </w:rPr>
        <w:t xml:space="preserve">, stosownie do </w:t>
      </w:r>
      <w:r w:rsidRPr="002F594B">
        <w:rPr>
          <w:rFonts w:ascii="Times New Roman" w:hAnsi="Times New Roman" w:cs="Times New Roman"/>
          <w:szCs w:val="24"/>
          <w:lang w:eastAsia="en-US"/>
        </w:rPr>
        <w:t xml:space="preserve">art. 66 ust. 1 pkt 2 ustawy z dnia 6 marca 2018 r. </w:t>
      </w:r>
      <w:r w:rsidR="0024784A" w:rsidRPr="002F594B">
        <w:rPr>
          <w:rFonts w:ascii="Times New Roman" w:hAnsi="Times New Roman" w:cs="Times New Roman"/>
          <w:szCs w:val="24"/>
          <w:lang w:eastAsia="en-US"/>
        </w:rPr>
        <w:t>–</w:t>
      </w:r>
      <w:r w:rsidRPr="002F594B">
        <w:rPr>
          <w:rFonts w:ascii="Times New Roman" w:hAnsi="Times New Roman" w:cs="Times New Roman"/>
          <w:szCs w:val="24"/>
          <w:lang w:eastAsia="en-US"/>
        </w:rPr>
        <w:t xml:space="preserve"> Prawo przedsiębiorców</w:t>
      </w:r>
      <w:r w:rsidR="0075708C" w:rsidRPr="002F594B">
        <w:rPr>
          <w:rFonts w:ascii="Times New Roman" w:hAnsi="Times New Roman" w:cs="Times New Roman"/>
          <w:szCs w:val="24"/>
          <w:lang w:eastAsia="en-US"/>
        </w:rPr>
        <w:t xml:space="preserve"> </w:t>
      </w:r>
      <w:r w:rsidR="0075708C" w:rsidRPr="002F594B">
        <w:rPr>
          <w:rFonts w:ascii="Times New Roman" w:hAnsi="Times New Roman" w:cs="Times New Roman"/>
          <w:szCs w:val="24"/>
        </w:rPr>
        <w:t>(Dz.U. z 2024 r. poz. 236</w:t>
      </w:r>
      <w:r w:rsidR="002067CB" w:rsidRPr="002F594B">
        <w:rPr>
          <w:rFonts w:ascii="Times New Roman" w:hAnsi="Times New Roman" w:cs="Times New Roman"/>
          <w:szCs w:val="24"/>
        </w:rPr>
        <w:t>, z późn. zm.</w:t>
      </w:r>
      <w:r w:rsidR="0075708C" w:rsidRPr="002F594B">
        <w:rPr>
          <w:rFonts w:ascii="Times New Roman" w:hAnsi="Times New Roman" w:cs="Times New Roman"/>
          <w:szCs w:val="24"/>
        </w:rPr>
        <w:t>).</w:t>
      </w:r>
    </w:p>
    <w:p w14:paraId="242C945D" w14:textId="3B8D04FC" w:rsidR="002707F4" w:rsidRPr="002F594B" w:rsidRDefault="00255863" w:rsidP="0015466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F594B">
        <w:rPr>
          <w:rFonts w:ascii="Times New Roman" w:hAnsi="Times New Roman"/>
          <w:sz w:val="24"/>
          <w:szCs w:val="24"/>
        </w:rPr>
        <w:t>Projekt rozporządzenia jest zgodny z prawem Unii Europejskiej.</w:t>
      </w:r>
    </w:p>
    <w:sectPr w:rsidR="002707F4" w:rsidRPr="002F594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B396E" w14:textId="77777777" w:rsidR="00AC0804" w:rsidRDefault="00AC0804" w:rsidP="00255863">
      <w:pPr>
        <w:spacing w:line="240" w:lineRule="auto"/>
      </w:pPr>
      <w:r>
        <w:separator/>
      </w:r>
    </w:p>
  </w:endnote>
  <w:endnote w:type="continuationSeparator" w:id="0">
    <w:p w14:paraId="49F1F66B" w14:textId="77777777" w:rsidR="00AC0804" w:rsidRDefault="00AC0804" w:rsidP="002558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001122"/>
      <w:docPartObj>
        <w:docPartGallery w:val="Page Numbers (Bottom of Page)"/>
        <w:docPartUnique/>
      </w:docPartObj>
    </w:sdtPr>
    <w:sdtEndPr/>
    <w:sdtContent>
      <w:p w14:paraId="358CFC4A" w14:textId="43475B3A" w:rsidR="006F46DE" w:rsidRDefault="006F46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4CBCA9" w14:textId="77777777" w:rsidR="006F46DE" w:rsidRDefault="006F46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5F023" w14:textId="77777777" w:rsidR="00AC0804" w:rsidRDefault="00AC0804" w:rsidP="00255863">
      <w:pPr>
        <w:spacing w:line="240" w:lineRule="auto"/>
      </w:pPr>
      <w:r>
        <w:separator/>
      </w:r>
    </w:p>
  </w:footnote>
  <w:footnote w:type="continuationSeparator" w:id="0">
    <w:p w14:paraId="2352FDD7" w14:textId="77777777" w:rsidR="00AC0804" w:rsidRDefault="00AC0804" w:rsidP="002558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63"/>
    <w:rsid w:val="00037D0B"/>
    <w:rsid w:val="00040DE2"/>
    <w:rsid w:val="0008180B"/>
    <w:rsid w:val="00085BC7"/>
    <w:rsid w:val="00092974"/>
    <w:rsid w:val="000A5897"/>
    <w:rsid w:val="000B6ECC"/>
    <w:rsid w:val="000E2048"/>
    <w:rsid w:val="001103DC"/>
    <w:rsid w:val="00112AB2"/>
    <w:rsid w:val="00125DDB"/>
    <w:rsid w:val="00154665"/>
    <w:rsid w:val="00165261"/>
    <w:rsid w:val="00183EE6"/>
    <w:rsid w:val="001C141E"/>
    <w:rsid w:val="001D324D"/>
    <w:rsid w:val="00205B5A"/>
    <w:rsid w:val="002067CB"/>
    <w:rsid w:val="002452BE"/>
    <w:rsid w:val="0024784A"/>
    <w:rsid w:val="00255615"/>
    <w:rsid w:val="00255863"/>
    <w:rsid w:val="00261D3E"/>
    <w:rsid w:val="002707F4"/>
    <w:rsid w:val="00285170"/>
    <w:rsid w:val="002F594B"/>
    <w:rsid w:val="002F6C5F"/>
    <w:rsid w:val="00304554"/>
    <w:rsid w:val="003142DE"/>
    <w:rsid w:val="003260BD"/>
    <w:rsid w:val="0033284D"/>
    <w:rsid w:val="00342F91"/>
    <w:rsid w:val="00351EDD"/>
    <w:rsid w:val="003524EB"/>
    <w:rsid w:val="00367EAA"/>
    <w:rsid w:val="003B7AB0"/>
    <w:rsid w:val="003F32EF"/>
    <w:rsid w:val="00407AA8"/>
    <w:rsid w:val="004675EA"/>
    <w:rsid w:val="004A4780"/>
    <w:rsid w:val="004C5812"/>
    <w:rsid w:val="00571EDF"/>
    <w:rsid w:val="005C05F1"/>
    <w:rsid w:val="00646CE1"/>
    <w:rsid w:val="006932DF"/>
    <w:rsid w:val="006B5655"/>
    <w:rsid w:val="006F46DE"/>
    <w:rsid w:val="00707F3E"/>
    <w:rsid w:val="00726DB3"/>
    <w:rsid w:val="0073013D"/>
    <w:rsid w:val="0075708C"/>
    <w:rsid w:val="00757D53"/>
    <w:rsid w:val="007774E6"/>
    <w:rsid w:val="00787EBC"/>
    <w:rsid w:val="00795E82"/>
    <w:rsid w:val="007B03FC"/>
    <w:rsid w:val="007C7A88"/>
    <w:rsid w:val="007E4A7B"/>
    <w:rsid w:val="007F3B90"/>
    <w:rsid w:val="00805067"/>
    <w:rsid w:val="00830EF2"/>
    <w:rsid w:val="008634C7"/>
    <w:rsid w:val="00931E93"/>
    <w:rsid w:val="0096304E"/>
    <w:rsid w:val="009A625D"/>
    <w:rsid w:val="009B5C06"/>
    <w:rsid w:val="009D547D"/>
    <w:rsid w:val="009E27A2"/>
    <w:rsid w:val="00A045FE"/>
    <w:rsid w:val="00A9032F"/>
    <w:rsid w:val="00AB7A00"/>
    <w:rsid w:val="00AC0804"/>
    <w:rsid w:val="00AE3235"/>
    <w:rsid w:val="00AF4D40"/>
    <w:rsid w:val="00B47659"/>
    <w:rsid w:val="00B9411E"/>
    <w:rsid w:val="00BC1598"/>
    <w:rsid w:val="00BD362B"/>
    <w:rsid w:val="00BD7ACA"/>
    <w:rsid w:val="00C32817"/>
    <w:rsid w:val="00C3541D"/>
    <w:rsid w:val="00C536A8"/>
    <w:rsid w:val="00C6605E"/>
    <w:rsid w:val="00C9311E"/>
    <w:rsid w:val="00C96A8A"/>
    <w:rsid w:val="00CA3F09"/>
    <w:rsid w:val="00CA6366"/>
    <w:rsid w:val="00CC0B76"/>
    <w:rsid w:val="00CC3766"/>
    <w:rsid w:val="00CD040F"/>
    <w:rsid w:val="00CD0F32"/>
    <w:rsid w:val="00D16E86"/>
    <w:rsid w:val="00D17F1A"/>
    <w:rsid w:val="00D84A8C"/>
    <w:rsid w:val="00DA0FFB"/>
    <w:rsid w:val="00E2296B"/>
    <w:rsid w:val="00E32776"/>
    <w:rsid w:val="00E34314"/>
    <w:rsid w:val="00E349C2"/>
    <w:rsid w:val="00E81CB4"/>
    <w:rsid w:val="00EA6DB9"/>
    <w:rsid w:val="00EB2AA1"/>
    <w:rsid w:val="00ED1E5E"/>
    <w:rsid w:val="00ED68EC"/>
    <w:rsid w:val="00EE7515"/>
    <w:rsid w:val="00EF5B74"/>
    <w:rsid w:val="00F01416"/>
    <w:rsid w:val="00F13E85"/>
    <w:rsid w:val="00F55736"/>
    <w:rsid w:val="00F7033D"/>
    <w:rsid w:val="00F82CCF"/>
    <w:rsid w:val="00F86332"/>
    <w:rsid w:val="00FE1673"/>
    <w:rsid w:val="00F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E95DF"/>
  <w15:chartTrackingRefBased/>
  <w15:docId w15:val="{3CC7A219-1F19-4BC3-A067-00D70C62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863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AKTUdatauchwalenialubwydaniaaktu">
    <w:name w:val="DATA_AKTU – data uchwalenia lub wydania aktu"/>
    <w:next w:val="Normalny"/>
    <w:uiPriority w:val="6"/>
    <w:qFormat/>
    <w:rsid w:val="00255863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rsid w:val="00255863"/>
    <w:pPr>
      <w:spacing w:line="360" w:lineRule="auto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255863"/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62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62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625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62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625D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F46D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6D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F46D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6DE"/>
    <w:rPr>
      <w:rFonts w:ascii="Calibri" w:eastAsia="Calibri" w:hAnsi="Calibri" w:cs="Times New Roman"/>
    </w:rPr>
  </w:style>
  <w:style w:type="paragraph" w:customStyle="1" w:styleId="PKTpunkt">
    <w:name w:val="PKT – punkt"/>
    <w:uiPriority w:val="13"/>
    <w:qFormat/>
    <w:rsid w:val="00304554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112AB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112AB2"/>
    <w:pPr>
      <w:spacing w:before="0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1357</Words>
  <Characters>8144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Mendel Aleksandra</dc:creator>
  <cp:keywords/>
  <dc:description/>
  <cp:lastModifiedBy>Aleksandra Mendel</cp:lastModifiedBy>
  <cp:revision>8</cp:revision>
  <cp:lastPrinted>2025-01-02T11:57:00Z</cp:lastPrinted>
  <dcterms:created xsi:type="dcterms:W3CDTF">2025-01-02T12:28:00Z</dcterms:created>
  <dcterms:modified xsi:type="dcterms:W3CDTF">2025-01-03T10:16:00Z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UxC4dwLulzfINJ8nQH+xvX5LNGipWa4BRSZhPgxsCvmV4DklNrMhSIbCmX9tIyESQtzaQuC2+dtMQ72A4bGXqQ==</vt:lpwstr>
  </property>
  <property fmtid="{D5CDD505-2E9C-101B-9397-08002B2CF9AE}" pid="4" name="MFClassificationDate">
    <vt:lpwstr>2024-11-12T11:18:49.0104033+01:00</vt:lpwstr>
  </property>
  <property fmtid="{D5CDD505-2E9C-101B-9397-08002B2CF9AE}" pid="5" name="MFClassifiedBySID">
    <vt:lpwstr>UxC4dwLulzfINJ8nQH+xvX5LNGipWa4BRSZhPgxsCvm42mrIC/DSDv0ggS+FjUN/2v1BBotkLlY5aAiEhoi6uW0qI3I/XhEBg75mXPYrW5/EbCtFZzm5TkcKaZVGLbI7</vt:lpwstr>
  </property>
  <property fmtid="{D5CDD505-2E9C-101B-9397-08002B2CF9AE}" pid="6" name="MFGRNItemId">
    <vt:lpwstr>GRN-0e7b9840-19ba-4d2d-8e43-ca00e32c9fe8</vt:lpwstr>
  </property>
  <property fmtid="{D5CDD505-2E9C-101B-9397-08002B2CF9AE}" pid="7" name="MFHash">
    <vt:lpwstr>XMm2EJRG8RxI5JU9rJmqh/iRuHs97UDY0b1bjIhwuhs=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