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A59E" w14:textId="2289DBB8" w:rsidR="00FA1C26" w:rsidRPr="00F075AB" w:rsidRDefault="00FA1C26" w:rsidP="00F45E95">
      <w:pPr>
        <w:pStyle w:val="paragraph"/>
        <w:spacing w:before="0" w:beforeAutospacing="0" w:after="120" w:afterAutospacing="0" w:line="276" w:lineRule="auto"/>
        <w:jc w:val="center"/>
        <w:textAlignment w:val="baseline"/>
      </w:pPr>
      <w:bookmarkStart w:id="0" w:name="_GoBack"/>
      <w:bookmarkEnd w:id="0"/>
      <w:r w:rsidRPr="00F075AB">
        <w:rPr>
          <w:rStyle w:val="normaltextrun"/>
          <w:b/>
          <w:bCs/>
          <w:caps/>
        </w:rPr>
        <w:t>UZASADNIENIE</w:t>
      </w:r>
    </w:p>
    <w:p w14:paraId="660AE113" w14:textId="15E8AACA" w:rsidR="00164FE8" w:rsidRPr="00F45E95" w:rsidRDefault="00FA1C26" w:rsidP="00F45E9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F075AB">
        <w:rPr>
          <w:rStyle w:val="normaltextrun"/>
        </w:rPr>
        <w:t xml:space="preserve">Rozporządzenie stanowi wykonanie upoważnienia zawartego w art. </w:t>
      </w:r>
      <w:r w:rsidR="007A614F" w:rsidRPr="00F075AB">
        <w:rPr>
          <w:rStyle w:val="normaltextrun"/>
        </w:rPr>
        <w:t>54</w:t>
      </w:r>
      <w:r w:rsidRPr="00F075AB">
        <w:rPr>
          <w:rStyle w:val="normaltextrun"/>
        </w:rPr>
        <w:t xml:space="preserve"> </w:t>
      </w:r>
      <w:r w:rsidR="00EB351C" w:rsidRPr="00F075AB">
        <w:rPr>
          <w:rStyle w:val="normaltextrun"/>
        </w:rPr>
        <w:t xml:space="preserve">ustawy z dnia </w:t>
      </w:r>
      <w:r w:rsidR="003D2981" w:rsidRPr="00F075AB">
        <w:rPr>
          <w:rStyle w:val="normaltextrun"/>
        </w:rPr>
        <w:t>5 grudnia</w:t>
      </w:r>
      <w:r w:rsidR="00EB351C" w:rsidRPr="00F075AB">
        <w:rPr>
          <w:rStyle w:val="normaltextrun"/>
        </w:rPr>
        <w:t xml:space="preserve"> 2024 r. </w:t>
      </w:r>
      <w:r w:rsidRPr="00F075AB">
        <w:rPr>
          <w:rStyle w:val="normaltextrun"/>
        </w:rPr>
        <w:t>o ochronie ludności i obronie cywilnej (Dz.</w:t>
      </w:r>
      <w:r w:rsidR="00EB351C" w:rsidRPr="00F075AB">
        <w:rPr>
          <w:rStyle w:val="normaltextrun"/>
        </w:rPr>
        <w:t xml:space="preserve"> </w:t>
      </w:r>
      <w:r w:rsidRPr="00F075AB">
        <w:rPr>
          <w:rStyle w:val="normaltextrun"/>
        </w:rPr>
        <w:t xml:space="preserve">U. </w:t>
      </w:r>
      <w:r w:rsidR="00EB351C" w:rsidRPr="00F075AB">
        <w:rPr>
          <w:rStyle w:val="normaltextrun"/>
        </w:rPr>
        <w:t xml:space="preserve">poz. </w:t>
      </w:r>
      <w:r w:rsidR="00C1407B" w:rsidRPr="00F075AB">
        <w:rPr>
          <w:rStyle w:val="normaltextrun"/>
        </w:rPr>
        <w:t>1907</w:t>
      </w:r>
      <w:r w:rsidR="00F45E95">
        <w:rPr>
          <w:rStyle w:val="normaltextrun"/>
        </w:rPr>
        <w:t xml:space="preserve">). </w:t>
      </w:r>
      <w:r w:rsidRPr="00F075AB">
        <w:rPr>
          <w:rStyle w:val="normaltextrun"/>
        </w:rPr>
        <w:t>Rozporządzenie określa szczegółowy zakres i sposób organizowania i prowadz</w:t>
      </w:r>
      <w:r w:rsidR="00F45E95">
        <w:rPr>
          <w:rStyle w:val="normaltextrun"/>
        </w:rPr>
        <w:t>enia ćwiczeń ochrony ludności i </w:t>
      </w:r>
      <w:r w:rsidRPr="00F075AB">
        <w:rPr>
          <w:rStyle w:val="normaltextrun"/>
        </w:rPr>
        <w:t>obrony cywilnej, w tym planowania, raportowania i ewaluacji. Przyjęte w rozporządzeniu rozwiązania mają na celu zapewnienie właściwego przygotowania i</w:t>
      </w:r>
      <w:r w:rsidR="00EA4A3D" w:rsidRPr="00F075AB">
        <w:rPr>
          <w:rStyle w:val="normaltextrun"/>
        </w:rPr>
        <w:t> </w:t>
      </w:r>
      <w:r w:rsidRPr="00F075AB">
        <w:rPr>
          <w:rStyle w:val="normaltextrun"/>
        </w:rPr>
        <w:t xml:space="preserve">sprawdzenia  gotowości organów i podmiotów ochrony ludności i obrony cywilnej do realizacji zadań ochrony ludności i obrony cywilnej. Rozporządzenie wskazuje zakres tematyczny i cele jakie powinny po zakończeniu ćwiczeń zostać osiągnięte, jak przygotowanie osób pełniących </w:t>
      </w:r>
      <w:r w:rsidR="00EA4A3D" w:rsidRPr="00F075AB">
        <w:rPr>
          <w:rStyle w:val="normaltextrun"/>
        </w:rPr>
        <w:t xml:space="preserve">funkcje </w:t>
      </w:r>
      <w:r w:rsidRPr="00F075AB">
        <w:rPr>
          <w:rStyle w:val="normaltextrun"/>
        </w:rPr>
        <w:t>kierownicze do kierowania działaniami prowadzonymi w ramach ochrony ludności i obrony cywilnej, doskonalenie indywidualnych umiejętności kadry kierowniczej przy realizacji tych zadań, sprawdzenie gotowości do działania oraz sprawności podmiotów realizujących zadania ochrony ludności</w:t>
      </w:r>
      <w:r w:rsidR="00127F91" w:rsidRPr="00F075AB">
        <w:rPr>
          <w:rStyle w:val="normaltextrun"/>
        </w:rPr>
        <w:t>,</w:t>
      </w:r>
      <w:r w:rsidRPr="00F075AB">
        <w:rPr>
          <w:rStyle w:val="normaltextrun"/>
        </w:rPr>
        <w:t xml:space="preserve"> doskonalenie umiejętności działania zespołowego podmiotów ochrony ludności przy wykonywaniu zadań, weryfikację właściwego współdziałania podmiotów realizujących zadania w zakresie ochrony ludności i obrony cywilnej</w:t>
      </w:r>
      <w:r w:rsidR="00EA4A3D" w:rsidRPr="00F075AB">
        <w:rPr>
          <w:rStyle w:val="normaltextrun"/>
        </w:rPr>
        <w:t>,</w:t>
      </w:r>
      <w:r w:rsidRPr="00F075AB">
        <w:rPr>
          <w:rStyle w:val="normaltextrun"/>
        </w:rPr>
        <w:t xml:space="preserve"> w tym sprawdzenie łączności, znajomości pr</w:t>
      </w:r>
      <w:r w:rsidR="00EA4A3D" w:rsidRPr="00F075AB">
        <w:rPr>
          <w:rStyle w:val="normaltextrun"/>
        </w:rPr>
        <w:t>ocedur i</w:t>
      </w:r>
      <w:r w:rsidRPr="00F075AB">
        <w:rPr>
          <w:rStyle w:val="normaltextrun"/>
        </w:rPr>
        <w:t xml:space="preserve"> podziału kompetencji.</w:t>
      </w:r>
      <w:r w:rsidR="00F45E95">
        <w:rPr>
          <w:rStyle w:val="normaltextrun"/>
        </w:rPr>
        <w:t xml:space="preserve"> </w:t>
      </w:r>
      <w:r w:rsidR="00164FE8" w:rsidRPr="00F075AB">
        <w:t>Ć</w:t>
      </w:r>
      <w:r w:rsidR="00164FE8" w:rsidRPr="00F075AB">
        <w:rPr>
          <w:rFonts w:eastAsia="Lato"/>
        </w:rPr>
        <w:t>wiczenia z zakresu ochrony ludności i obrony cywilnej będą mogły być prowadzone w formie ćwiczeń organizowanych przez organy ochrony ludności mających na celu weryfikację gotowości i zwiększenie skuteczności wykonywania zadań ochrony ludności i obrony cywilnej oraz utrwalania wiedzy i umiejętności w tym zakresie. Przedmiotowe ćwiczenia będą organizowane z udziałem rzeczywistych zasobów kadrowych i sprzętowych lub w formie sztabowej. Natomiast ćwiczenia w formie sztabowej organizowane będą prowadzone jako:</w:t>
      </w:r>
    </w:p>
    <w:p w14:paraId="7A59D323" w14:textId="1E6ED2B8" w:rsidR="00164FE8" w:rsidRPr="00F075AB" w:rsidRDefault="00F45E95" w:rsidP="00F45E95">
      <w:pPr>
        <w:pStyle w:val="USTustnpkodeksu"/>
        <w:tabs>
          <w:tab w:val="left" w:pos="851"/>
        </w:tabs>
        <w:spacing w:line="276" w:lineRule="auto"/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64FE8" w:rsidRPr="00F075AB">
        <w:rPr>
          <w:rFonts w:ascii="Times New Roman" w:hAnsi="Times New Roman" w:cs="Times New Roman"/>
          <w:szCs w:val="24"/>
        </w:rPr>
        <w:t>gry decyzyjne polegające na doskonaleniu procesu informa</w:t>
      </w:r>
      <w:r>
        <w:rPr>
          <w:rFonts w:ascii="Times New Roman" w:hAnsi="Times New Roman" w:cs="Times New Roman"/>
          <w:szCs w:val="24"/>
        </w:rPr>
        <w:t>cyjno-decyzyjnego, związanego z </w:t>
      </w:r>
      <w:r w:rsidR="00164FE8" w:rsidRPr="00F075AB">
        <w:rPr>
          <w:rFonts w:ascii="Times New Roman" w:hAnsi="Times New Roman" w:cs="Times New Roman"/>
          <w:szCs w:val="24"/>
        </w:rPr>
        <w:t>realizacją zadań ochrony ludności i obrony cywilnej,</w:t>
      </w:r>
    </w:p>
    <w:p w14:paraId="530D56E2" w14:textId="2B9826C6" w:rsidR="00FA1C26" w:rsidRPr="00F075AB" w:rsidRDefault="00F45E95" w:rsidP="00F45E95">
      <w:pPr>
        <w:pStyle w:val="USTustnpkodeksu"/>
        <w:tabs>
          <w:tab w:val="left" w:pos="851"/>
        </w:tabs>
        <w:spacing w:line="276" w:lineRule="auto"/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164FE8" w:rsidRPr="00F075AB">
        <w:rPr>
          <w:rFonts w:ascii="Times New Roman" w:hAnsi="Times New Roman" w:cs="Times New Roman"/>
          <w:szCs w:val="24"/>
        </w:rPr>
        <w:t>treningi</w:t>
      </w:r>
      <w:r w:rsidR="00164FE8" w:rsidRPr="00F075AB">
        <w:rPr>
          <w:rFonts w:ascii="Times New Roman" w:hAnsi="Times New Roman" w:cs="Times New Roman"/>
          <w:b/>
          <w:szCs w:val="24"/>
        </w:rPr>
        <w:t xml:space="preserve"> </w:t>
      </w:r>
      <w:r w:rsidR="00164FE8" w:rsidRPr="00F075AB">
        <w:rPr>
          <w:rFonts w:ascii="Times New Roman" w:hAnsi="Times New Roman" w:cs="Times New Roman"/>
          <w:szCs w:val="24"/>
        </w:rPr>
        <w:t>polegające na doskonaleniu praktycznych umiejętności pracowników w zakresie wykonywania zadań związanych z realizacją zadań ochrony ludności i obrony cywilnej.</w:t>
      </w:r>
    </w:p>
    <w:p w14:paraId="76357712" w14:textId="1B57CAA4" w:rsidR="00164FE8" w:rsidRPr="00F075AB" w:rsidRDefault="00FA1C26" w:rsidP="00F45E9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F075AB">
        <w:rPr>
          <w:rStyle w:val="normaltextrun"/>
        </w:rPr>
        <w:t xml:space="preserve">Rozporządzenie przewiduje, że </w:t>
      </w:r>
      <w:r w:rsidR="00164FE8" w:rsidRPr="00F075AB">
        <w:rPr>
          <w:rStyle w:val="normaltextrun"/>
        </w:rPr>
        <w:t xml:space="preserve">wszystkie rodzaje ćwiczeń </w:t>
      </w:r>
      <w:r w:rsidRPr="00F075AB">
        <w:rPr>
          <w:rStyle w:val="normaltextrun"/>
        </w:rPr>
        <w:t>mogą być prowadzone w</w:t>
      </w:r>
      <w:r w:rsidR="00164FE8" w:rsidRPr="00F075AB">
        <w:rPr>
          <w:rStyle w:val="normaltextrun"/>
        </w:rPr>
        <w:t> </w:t>
      </w:r>
      <w:r w:rsidRPr="00F075AB">
        <w:rPr>
          <w:rStyle w:val="normaltextrun"/>
        </w:rPr>
        <w:t>formie praktycznej i sztabowej, w trybie planowym lub doraźnym. Wybrana forma ćwiczeń powinna umożliwiać osiągnięcie zakładanych celów ćwiczeń.</w:t>
      </w:r>
      <w:r w:rsidR="00F45E95">
        <w:rPr>
          <w:rStyle w:val="normaltextrun"/>
        </w:rPr>
        <w:t xml:space="preserve"> </w:t>
      </w:r>
      <w:r w:rsidR="00164FE8" w:rsidRPr="00F075AB">
        <w:rPr>
          <w:rStyle w:val="eop"/>
        </w:rPr>
        <w:t>Jednocześnie r</w:t>
      </w:r>
      <w:r w:rsidR="00164FE8" w:rsidRPr="00F075AB">
        <w:t xml:space="preserve">ealizacja ćwiczeń będzie </w:t>
      </w:r>
      <w:r w:rsidR="00F45E95">
        <w:t xml:space="preserve">obejmować następujące elementy </w:t>
      </w:r>
      <w:r w:rsidR="00164FE8" w:rsidRPr="00F075AB">
        <w:t>m.in.:</w:t>
      </w:r>
    </w:p>
    <w:p w14:paraId="2EED4A1B" w14:textId="1205BD10" w:rsidR="00164FE8" w:rsidRPr="00F075AB" w:rsidRDefault="00F45E95" w:rsidP="00F45E95">
      <w:pPr>
        <w:pStyle w:val="Teksttreci0"/>
        <w:jc w:val="both"/>
        <w:rPr>
          <w:sz w:val="24"/>
          <w:szCs w:val="24"/>
          <w:lang w:eastAsia="pl-PL" w:bidi="pl-PL"/>
        </w:rPr>
      </w:pPr>
      <w:r>
        <w:rPr>
          <w:sz w:val="24"/>
          <w:szCs w:val="24"/>
          <w:lang w:eastAsia="pl-PL" w:bidi="pl-PL"/>
        </w:rPr>
        <w:t xml:space="preserve">- </w:t>
      </w:r>
      <w:r w:rsidR="00164FE8" w:rsidRPr="00F075AB">
        <w:rPr>
          <w:sz w:val="24"/>
          <w:szCs w:val="24"/>
          <w:lang w:eastAsia="pl-PL" w:bidi="pl-PL"/>
        </w:rPr>
        <w:t>alarmowanie i dysponowanie uczestników ćwiczenia,</w:t>
      </w:r>
    </w:p>
    <w:p w14:paraId="7DC58DC2" w14:textId="0132CD3B" w:rsidR="00164FE8" w:rsidRPr="00F075AB" w:rsidRDefault="00F45E95" w:rsidP="00F45E95">
      <w:pPr>
        <w:pStyle w:val="Teksttreci0"/>
        <w:jc w:val="both"/>
        <w:rPr>
          <w:sz w:val="24"/>
          <w:szCs w:val="24"/>
          <w:lang w:eastAsia="pl-PL" w:bidi="pl-PL"/>
        </w:rPr>
      </w:pPr>
      <w:r>
        <w:rPr>
          <w:sz w:val="24"/>
          <w:szCs w:val="24"/>
          <w:lang w:eastAsia="pl-PL" w:bidi="pl-PL"/>
        </w:rPr>
        <w:t xml:space="preserve">- </w:t>
      </w:r>
      <w:r w:rsidR="00164FE8" w:rsidRPr="00F075AB">
        <w:rPr>
          <w:sz w:val="24"/>
          <w:szCs w:val="24"/>
          <w:lang w:eastAsia="pl-PL" w:bidi="pl-PL"/>
        </w:rPr>
        <w:t>dojazd uczestników do miejsca prowadzenia ćwiczeń,</w:t>
      </w:r>
    </w:p>
    <w:p w14:paraId="0685714E" w14:textId="14F80FAD" w:rsidR="00164FE8" w:rsidRPr="00F075AB" w:rsidRDefault="00F45E95" w:rsidP="00F45E95">
      <w:pPr>
        <w:pStyle w:val="Teksttreci0"/>
        <w:jc w:val="both"/>
        <w:rPr>
          <w:sz w:val="24"/>
          <w:szCs w:val="24"/>
          <w:lang w:eastAsia="pl-PL" w:bidi="pl-PL"/>
        </w:rPr>
      </w:pPr>
      <w:r>
        <w:rPr>
          <w:sz w:val="24"/>
          <w:szCs w:val="24"/>
          <w:lang w:eastAsia="pl-PL" w:bidi="pl-PL"/>
        </w:rPr>
        <w:t xml:space="preserve">- </w:t>
      </w:r>
      <w:r w:rsidR="00164FE8" w:rsidRPr="00F075AB">
        <w:rPr>
          <w:sz w:val="24"/>
          <w:szCs w:val="24"/>
          <w:lang w:eastAsia="pl-PL" w:bidi="pl-PL"/>
        </w:rPr>
        <w:t>realizację zadań wynikających ze scenariusza ćwiczeń,</w:t>
      </w:r>
    </w:p>
    <w:p w14:paraId="05BC9C93" w14:textId="0B7E1F04" w:rsidR="00164FE8" w:rsidRPr="00F075AB" w:rsidRDefault="00F45E95" w:rsidP="00F45E95">
      <w:pPr>
        <w:pStyle w:val="Teksttreci0"/>
        <w:jc w:val="both"/>
        <w:rPr>
          <w:sz w:val="24"/>
          <w:szCs w:val="24"/>
          <w:lang w:eastAsia="pl-PL" w:bidi="pl-PL"/>
        </w:rPr>
      </w:pPr>
      <w:r>
        <w:rPr>
          <w:sz w:val="24"/>
          <w:szCs w:val="24"/>
          <w:lang w:eastAsia="pl-PL" w:bidi="pl-PL"/>
        </w:rPr>
        <w:t xml:space="preserve">- </w:t>
      </w:r>
      <w:r w:rsidR="00164FE8" w:rsidRPr="00F075AB">
        <w:rPr>
          <w:sz w:val="24"/>
          <w:szCs w:val="24"/>
          <w:lang w:eastAsia="pl-PL" w:bidi="pl-PL"/>
        </w:rPr>
        <w:t>podsumowanie wstępne ćwiczeń i rozformowanie uczestników,</w:t>
      </w:r>
    </w:p>
    <w:p w14:paraId="41CB096C" w14:textId="0078A028" w:rsidR="00FA1C26" w:rsidRPr="00F075AB" w:rsidRDefault="00F45E95" w:rsidP="00F45E95">
      <w:pPr>
        <w:pStyle w:val="Teksttreci0"/>
        <w:jc w:val="both"/>
        <w:rPr>
          <w:sz w:val="24"/>
          <w:szCs w:val="24"/>
          <w:lang w:eastAsia="pl-PL" w:bidi="pl-PL"/>
        </w:rPr>
      </w:pPr>
      <w:r>
        <w:rPr>
          <w:sz w:val="24"/>
          <w:szCs w:val="24"/>
          <w:lang w:eastAsia="pl-PL" w:bidi="pl-PL"/>
        </w:rPr>
        <w:t xml:space="preserve">- </w:t>
      </w:r>
      <w:r w:rsidR="00164FE8" w:rsidRPr="00F075AB">
        <w:rPr>
          <w:sz w:val="24"/>
          <w:szCs w:val="24"/>
          <w:lang w:eastAsia="pl-PL" w:bidi="pl-PL"/>
        </w:rPr>
        <w:t>udokumentowanie wszystkich czynności wykonywanych przez uczestników ćwiczeń, w tym kierownictwo ćwiczeń i zespoły ćwiczące.</w:t>
      </w:r>
    </w:p>
    <w:p w14:paraId="0DA48861" w14:textId="77777777" w:rsidR="00F075AB" w:rsidRPr="00F075AB" w:rsidRDefault="00FA1C26" w:rsidP="00F45E95">
      <w:pPr>
        <w:tabs>
          <w:tab w:val="left" w:pos="284"/>
          <w:tab w:val="left" w:pos="709"/>
          <w:tab w:val="left" w:pos="1134"/>
          <w:tab w:val="left" w:pos="1276"/>
          <w:tab w:val="left" w:pos="15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AB">
        <w:rPr>
          <w:rStyle w:val="normaltextrun"/>
          <w:rFonts w:ascii="Times New Roman" w:hAnsi="Times New Roman" w:cs="Times New Roman"/>
          <w:sz w:val="24"/>
          <w:szCs w:val="24"/>
        </w:rPr>
        <w:t>Rozporządzenie wejdzie w życie</w:t>
      </w:r>
      <w:r w:rsidR="00EA4A3D" w:rsidRPr="00F075AB">
        <w:rPr>
          <w:rStyle w:val="normaltextrun"/>
          <w:rFonts w:ascii="Times New Roman" w:hAnsi="Times New Roman" w:cs="Times New Roman"/>
          <w:sz w:val="24"/>
          <w:szCs w:val="24"/>
        </w:rPr>
        <w:t xml:space="preserve"> po upływie 14 dni od dnia ogłoszenia</w:t>
      </w:r>
      <w:r w:rsidRPr="00F075AB">
        <w:rPr>
          <w:rStyle w:val="normaltextrun"/>
          <w:rFonts w:ascii="Times New Roman" w:hAnsi="Times New Roman" w:cs="Times New Roman"/>
          <w:sz w:val="24"/>
          <w:szCs w:val="24"/>
        </w:rPr>
        <w:t>. </w:t>
      </w:r>
      <w:r w:rsidR="00F075AB" w:rsidRPr="00F075AB">
        <w:rPr>
          <w:rFonts w:ascii="Times New Roman" w:hAnsi="Times New Roman" w:cs="Times New Roman"/>
          <w:sz w:val="24"/>
          <w:szCs w:val="24"/>
        </w:rPr>
        <w:t>Nie ma możliwości podjęcia alternatywnych, w stosunku do projektowanego rozporządzenia, działań umożliwiających osiągnięcie zamierzonego celu.</w:t>
      </w:r>
    </w:p>
    <w:p w14:paraId="7C10A037" w14:textId="77777777" w:rsidR="00F075AB" w:rsidRPr="00F075AB" w:rsidRDefault="00F075AB" w:rsidP="00F45E95">
      <w:pPr>
        <w:tabs>
          <w:tab w:val="left" w:pos="284"/>
          <w:tab w:val="left" w:pos="709"/>
          <w:tab w:val="left" w:pos="1134"/>
          <w:tab w:val="left" w:pos="1276"/>
          <w:tab w:val="left" w:pos="15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AB">
        <w:rPr>
          <w:rFonts w:ascii="Times New Roman" w:hAnsi="Times New Roman" w:cs="Times New Roman"/>
          <w:sz w:val="24"/>
          <w:szCs w:val="24"/>
        </w:rPr>
        <w:t>Projektowane rozporządzenie nie będzie miało wpływu na konkurencyjność gospodarki i przedsiębiorczość, w tym na działalność mikroprzedsiębiorców, małych i średnich przedsiębiorców.</w:t>
      </w:r>
    </w:p>
    <w:p w14:paraId="24DF59EA" w14:textId="330D3EB6" w:rsidR="00F075AB" w:rsidRPr="00F075AB" w:rsidRDefault="00F075AB" w:rsidP="00F45E95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AB">
        <w:rPr>
          <w:rFonts w:ascii="Times New Roman" w:hAnsi="Times New Roman" w:cs="Times New Roman"/>
          <w:sz w:val="24"/>
          <w:szCs w:val="24"/>
        </w:rPr>
        <w:lastRenderedPageBreak/>
        <w:t>Zakres przedmiotowej regulacji nie jest objęty prawem Unii Europejskiej i nie podlega obowiązkowi przedstawienia właściwym organom i instytucjom Unii Europejskiej,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5AB">
        <w:rPr>
          <w:rFonts w:ascii="Times New Roman" w:hAnsi="Times New Roman" w:cs="Times New Roman"/>
          <w:sz w:val="24"/>
          <w:szCs w:val="24"/>
        </w:rPr>
        <w:t>w tym Europejskiemu Bankowi Centralnemu, w celu uzyskania opinii, dokonania powiadomienia, konsultacji albo uzgodnienia.</w:t>
      </w:r>
    </w:p>
    <w:p w14:paraId="27892A45" w14:textId="77777777" w:rsidR="00F075AB" w:rsidRPr="00F075AB" w:rsidRDefault="00F075AB" w:rsidP="00F45E95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AB">
        <w:rPr>
          <w:rFonts w:ascii="Times New Roman" w:hAnsi="Times New Roman" w:cs="Times New Roman"/>
          <w:sz w:val="24"/>
          <w:szCs w:val="24"/>
        </w:rPr>
        <w:t>Projekt rozporządzenia nie zawiera przepisów technicznych w rozumieniu przepisów rozporządzenia Rady Ministrów z dnia 23 grudnia 2002 r. w sprawie sposobu funkcjonowania krajowego systemu notyfikacji norm i aktów prawnych (Dz. U. poz. 2039 oraz z 2004 r. poz. 597) i w związku z tym nie podlega notyfikacji.</w:t>
      </w:r>
    </w:p>
    <w:p w14:paraId="54275EC0" w14:textId="28BAA607" w:rsidR="00F075AB" w:rsidRPr="00F075AB" w:rsidRDefault="00F075AB" w:rsidP="00F45E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5AB">
        <w:rPr>
          <w:rFonts w:ascii="Times New Roman" w:hAnsi="Times New Roman" w:cs="Times New Roman"/>
          <w:sz w:val="24"/>
          <w:szCs w:val="24"/>
        </w:rPr>
        <w:t xml:space="preserve">Projekt rozporządzenia, stosownie do wymogów art. 5 ustawy z dnia 7 lipca 2005 r. o działalności lobbingowej w procesie stanowienia prawa (Dz. U. z 2017 r. poz. 248, z późn. zm.) oraz zgodnie z § 52 ust. 1 uchwały nr 190 Rady Ministrów z dnia 29 października 2013 r. – Regulamin pracy Rady Ministrów (M. P. z 2024 r. poz. 806), został zamieszczony </w:t>
      </w:r>
      <w:r w:rsidRPr="00F0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 Biuletynie Informacji Publicznej na stronie podmiotowej Rządowego Centrum Legislacji, w serwisie Rządowy Proces Legislacyjny. </w:t>
      </w:r>
    </w:p>
    <w:p w14:paraId="056AC2BF" w14:textId="10A4C29D" w:rsidR="00F075AB" w:rsidRPr="00F075AB" w:rsidRDefault="00F075AB" w:rsidP="00F45E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rozporządzenia został przekazany do zaopiniowania wojewodom oraz Komisji Wspólnej Rządu i Samorządu Terytorialnego.  </w:t>
      </w:r>
    </w:p>
    <w:p w14:paraId="287E6FCE" w14:textId="5C2DDAA6" w:rsidR="00FA1C26" w:rsidRPr="00F075AB" w:rsidRDefault="00F075AB" w:rsidP="00F45E95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b/>
          <w:bCs/>
          <w:caps/>
          <w:kern w:val="24"/>
        </w:rPr>
      </w:pPr>
      <w:r w:rsidRPr="00F075AB">
        <w:rPr>
          <w:rFonts w:eastAsia="Calibri"/>
        </w:rPr>
        <w:t>Projekt nie podlegał dokonaniu oceny OSR przez koordynato</w:t>
      </w:r>
      <w:r w:rsidR="00F45E95">
        <w:rPr>
          <w:rFonts w:eastAsia="Calibri"/>
        </w:rPr>
        <w:t>ra OSR w trybie § 32 uchwały nr </w:t>
      </w:r>
      <w:r w:rsidRPr="00F075AB">
        <w:rPr>
          <w:rFonts w:eastAsia="Calibri"/>
        </w:rPr>
        <w:t>190 Rady Ministrów z dnia 29 października 2013 r. – Regulamin pracy Rady Ministrów.</w:t>
      </w:r>
    </w:p>
    <w:sectPr w:rsidR="00FA1C26" w:rsidRPr="00F075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A4E2F" w14:textId="77777777" w:rsidR="0019625B" w:rsidRDefault="0019625B" w:rsidP="001B41CD">
      <w:pPr>
        <w:spacing w:after="0" w:line="240" w:lineRule="auto"/>
      </w:pPr>
      <w:r>
        <w:separator/>
      </w:r>
    </w:p>
  </w:endnote>
  <w:endnote w:type="continuationSeparator" w:id="0">
    <w:p w14:paraId="48F018F2" w14:textId="77777777" w:rsidR="0019625B" w:rsidRDefault="0019625B" w:rsidP="001B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276308"/>
      <w:docPartObj>
        <w:docPartGallery w:val="Page Numbers (Bottom of Page)"/>
        <w:docPartUnique/>
      </w:docPartObj>
    </w:sdtPr>
    <w:sdtEndPr/>
    <w:sdtContent>
      <w:p w14:paraId="75E4BCC2" w14:textId="01EAFC2D" w:rsidR="00F41417" w:rsidRDefault="00F41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36">
          <w:rPr>
            <w:noProof/>
          </w:rPr>
          <w:t>1</w:t>
        </w:r>
        <w:r>
          <w:fldChar w:fldCharType="end"/>
        </w:r>
      </w:p>
    </w:sdtContent>
  </w:sdt>
  <w:p w14:paraId="3AFE7847" w14:textId="77777777" w:rsidR="00F41417" w:rsidRDefault="00F41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32DE7" w14:textId="77777777" w:rsidR="0019625B" w:rsidRDefault="0019625B" w:rsidP="001B41CD">
      <w:pPr>
        <w:spacing w:after="0" w:line="240" w:lineRule="auto"/>
      </w:pPr>
      <w:r>
        <w:separator/>
      </w:r>
    </w:p>
  </w:footnote>
  <w:footnote w:type="continuationSeparator" w:id="0">
    <w:p w14:paraId="4C749CB0" w14:textId="77777777" w:rsidR="0019625B" w:rsidRDefault="0019625B" w:rsidP="001B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DEF"/>
    <w:multiLevelType w:val="hybridMultilevel"/>
    <w:tmpl w:val="D5888410"/>
    <w:lvl w:ilvl="0" w:tplc="FFFFFFFF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B6302F"/>
    <w:multiLevelType w:val="hybridMultilevel"/>
    <w:tmpl w:val="BAA6E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0E5"/>
    <w:multiLevelType w:val="hybridMultilevel"/>
    <w:tmpl w:val="D5888410"/>
    <w:lvl w:ilvl="0" w:tplc="FFFFFFFF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581877"/>
    <w:multiLevelType w:val="hybridMultilevel"/>
    <w:tmpl w:val="9FDA0EA0"/>
    <w:lvl w:ilvl="0" w:tplc="025E52B4">
      <w:start w:val="1"/>
      <w:numFmt w:val="decimal"/>
      <w:lvlText w:val="%1)"/>
      <w:lvlJc w:val="left"/>
      <w:pPr>
        <w:ind w:left="8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59B1330C"/>
    <w:multiLevelType w:val="hybridMultilevel"/>
    <w:tmpl w:val="1290A22C"/>
    <w:lvl w:ilvl="0" w:tplc="4AC24E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24CCF"/>
    <w:multiLevelType w:val="hybridMultilevel"/>
    <w:tmpl w:val="8BFE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02FCB"/>
    <w:multiLevelType w:val="hybridMultilevel"/>
    <w:tmpl w:val="78D26E22"/>
    <w:lvl w:ilvl="0" w:tplc="4AC24E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A01BA"/>
    <w:multiLevelType w:val="hybridMultilevel"/>
    <w:tmpl w:val="300A4508"/>
    <w:lvl w:ilvl="0" w:tplc="D0A24C6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46"/>
    <w:rsid w:val="00001CF5"/>
    <w:rsid w:val="00007F1A"/>
    <w:rsid w:val="00007FBE"/>
    <w:rsid w:val="000138C4"/>
    <w:rsid w:val="00034412"/>
    <w:rsid w:val="000647CD"/>
    <w:rsid w:val="000730B6"/>
    <w:rsid w:val="00077E16"/>
    <w:rsid w:val="00084381"/>
    <w:rsid w:val="00095756"/>
    <w:rsid w:val="000A0F1F"/>
    <w:rsid w:val="000B5452"/>
    <w:rsid w:val="000B7170"/>
    <w:rsid w:val="000C7CA7"/>
    <w:rsid w:val="000D7EC1"/>
    <w:rsid w:val="000E0F96"/>
    <w:rsid w:val="000E276F"/>
    <w:rsid w:val="000E409C"/>
    <w:rsid w:val="000F098E"/>
    <w:rsid w:val="000F4BAF"/>
    <w:rsid w:val="001218E9"/>
    <w:rsid w:val="00124501"/>
    <w:rsid w:val="00127F91"/>
    <w:rsid w:val="001306DA"/>
    <w:rsid w:val="00137CDB"/>
    <w:rsid w:val="00141E99"/>
    <w:rsid w:val="0014249E"/>
    <w:rsid w:val="001575E0"/>
    <w:rsid w:val="00164FE8"/>
    <w:rsid w:val="001712C2"/>
    <w:rsid w:val="0019625B"/>
    <w:rsid w:val="00196B73"/>
    <w:rsid w:val="001B41CD"/>
    <w:rsid w:val="001B7D97"/>
    <w:rsid w:val="001C5C48"/>
    <w:rsid w:val="001E5ED2"/>
    <w:rsid w:val="001E693F"/>
    <w:rsid w:val="00231B46"/>
    <w:rsid w:val="00231F83"/>
    <w:rsid w:val="002406BE"/>
    <w:rsid w:val="002469B6"/>
    <w:rsid w:val="0025166E"/>
    <w:rsid w:val="00266026"/>
    <w:rsid w:val="0027704B"/>
    <w:rsid w:val="00290516"/>
    <w:rsid w:val="002A2D0D"/>
    <w:rsid w:val="002C27EB"/>
    <w:rsid w:val="002E03BF"/>
    <w:rsid w:val="002E16F3"/>
    <w:rsid w:val="002F7546"/>
    <w:rsid w:val="00321D6A"/>
    <w:rsid w:val="00334F2D"/>
    <w:rsid w:val="00344BD6"/>
    <w:rsid w:val="00350DEC"/>
    <w:rsid w:val="00351FC0"/>
    <w:rsid w:val="00370B65"/>
    <w:rsid w:val="00373036"/>
    <w:rsid w:val="003740AC"/>
    <w:rsid w:val="003820C5"/>
    <w:rsid w:val="00391836"/>
    <w:rsid w:val="00394060"/>
    <w:rsid w:val="003A05F4"/>
    <w:rsid w:val="003D2981"/>
    <w:rsid w:val="003D5ED6"/>
    <w:rsid w:val="003D79E1"/>
    <w:rsid w:val="003E015B"/>
    <w:rsid w:val="003E2CA9"/>
    <w:rsid w:val="003E7E8F"/>
    <w:rsid w:val="00405349"/>
    <w:rsid w:val="0040554B"/>
    <w:rsid w:val="00405FC9"/>
    <w:rsid w:val="00410714"/>
    <w:rsid w:val="00411BCF"/>
    <w:rsid w:val="004171EE"/>
    <w:rsid w:val="004219FF"/>
    <w:rsid w:val="00424EBF"/>
    <w:rsid w:val="00444E8F"/>
    <w:rsid w:val="004635C3"/>
    <w:rsid w:val="004649DB"/>
    <w:rsid w:val="00472AE3"/>
    <w:rsid w:val="00492A51"/>
    <w:rsid w:val="004A08A1"/>
    <w:rsid w:val="004A72AA"/>
    <w:rsid w:val="004B23AD"/>
    <w:rsid w:val="004C3726"/>
    <w:rsid w:val="004C46A4"/>
    <w:rsid w:val="004C4EEA"/>
    <w:rsid w:val="004C5716"/>
    <w:rsid w:val="004C7760"/>
    <w:rsid w:val="004D1835"/>
    <w:rsid w:val="004D440C"/>
    <w:rsid w:val="004E04BE"/>
    <w:rsid w:val="004E076B"/>
    <w:rsid w:val="004E1A6E"/>
    <w:rsid w:val="004E627C"/>
    <w:rsid w:val="004F1F50"/>
    <w:rsid w:val="0050698A"/>
    <w:rsid w:val="005072D2"/>
    <w:rsid w:val="005102E7"/>
    <w:rsid w:val="00511421"/>
    <w:rsid w:val="00521E5F"/>
    <w:rsid w:val="00523283"/>
    <w:rsid w:val="00527C5C"/>
    <w:rsid w:val="00533E99"/>
    <w:rsid w:val="005376C4"/>
    <w:rsid w:val="00562B30"/>
    <w:rsid w:val="00570370"/>
    <w:rsid w:val="00571213"/>
    <w:rsid w:val="005713A3"/>
    <w:rsid w:val="00584EBD"/>
    <w:rsid w:val="00597E36"/>
    <w:rsid w:val="005A19DD"/>
    <w:rsid w:val="005A7CB2"/>
    <w:rsid w:val="005B040C"/>
    <w:rsid w:val="005B2E7A"/>
    <w:rsid w:val="005B6C2C"/>
    <w:rsid w:val="005C09E3"/>
    <w:rsid w:val="005C28C7"/>
    <w:rsid w:val="005C519D"/>
    <w:rsid w:val="005D0384"/>
    <w:rsid w:val="005D737D"/>
    <w:rsid w:val="005E5CCC"/>
    <w:rsid w:val="005E7B5B"/>
    <w:rsid w:val="005F2DDC"/>
    <w:rsid w:val="00600ADD"/>
    <w:rsid w:val="00610334"/>
    <w:rsid w:val="00622FA7"/>
    <w:rsid w:val="00636E65"/>
    <w:rsid w:val="00643800"/>
    <w:rsid w:val="00643AD3"/>
    <w:rsid w:val="00645E3B"/>
    <w:rsid w:val="00654226"/>
    <w:rsid w:val="006831DB"/>
    <w:rsid w:val="00685625"/>
    <w:rsid w:val="0068587B"/>
    <w:rsid w:val="006909C7"/>
    <w:rsid w:val="006B071C"/>
    <w:rsid w:val="006C35D6"/>
    <w:rsid w:val="006E1517"/>
    <w:rsid w:val="006E60AB"/>
    <w:rsid w:val="006F0661"/>
    <w:rsid w:val="006F7294"/>
    <w:rsid w:val="00704134"/>
    <w:rsid w:val="007105B3"/>
    <w:rsid w:val="007312BD"/>
    <w:rsid w:val="00737D86"/>
    <w:rsid w:val="007428A2"/>
    <w:rsid w:val="00744120"/>
    <w:rsid w:val="0074592D"/>
    <w:rsid w:val="00751533"/>
    <w:rsid w:val="00757743"/>
    <w:rsid w:val="00773DB3"/>
    <w:rsid w:val="007862F0"/>
    <w:rsid w:val="007863AF"/>
    <w:rsid w:val="0079440F"/>
    <w:rsid w:val="007960CA"/>
    <w:rsid w:val="00797033"/>
    <w:rsid w:val="007974A4"/>
    <w:rsid w:val="007A614F"/>
    <w:rsid w:val="007D11BB"/>
    <w:rsid w:val="007E5063"/>
    <w:rsid w:val="007F4510"/>
    <w:rsid w:val="008432AF"/>
    <w:rsid w:val="00851214"/>
    <w:rsid w:val="008623CA"/>
    <w:rsid w:val="008710AD"/>
    <w:rsid w:val="00872252"/>
    <w:rsid w:val="00872674"/>
    <w:rsid w:val="00883639"/>
    <w:rsid w:val="008952F0"/>
    <w:rsid w:val="008955FD"/>
    <w:rsid w:val="008A6D53"/>
    <w:rsid w:val="008E3EE1"/>
    <w:rsid w:val="008E6C93"/>
    <w:rsid w:val="008F2A91"/>
    <w:rsid w:val="008F5E96"/>
    <w:rsid w:val="00937840"/>
    <w:rsid w:val="00947CB6"/>
    <w:rsid w:val="00954757"/>
    <w:rsid w:val="0096501A"/>
    <w:rsid w:val="00987C4C"/>
    <w:rsid w:val="00992641"/>
    <w:rsid w:val="009A2965"/>
    <w:rsid w:val="009A7232"/>
    <w:rsid w:val="009C1A68"/>
    <w:rsid w:val="009C21FC"/>
    <w:rsid w:val="009C2E41"/>
    <w:rsid w:val="009C67E4"/>
    <w:rsid w:val="009C79F7"/>
    <w:rsid w:val="009F1821"/>
    <w:rsid w:val="00A05BCC"/>
    <w:rsid w:val="00A11AF4"/>
    <w:rsid w:val="00A21537"/>
    <w:rsid w:val="00A2183C"/>
    <w:rsid w:val="00A25BF7"/>
    <w:rsid w:val="00A32B61"/>
    <w:rsid w:val="00A32CA9"/>
    <w:rsid w:val="00A33C4F"/>
    <w:rsid w:val="00A41551"/>
    <w:rsid w:val="00A47F94"/>
    <w:rsid w:val="00A52BA7"/>
    <w:rsid w:val="00A5570B"/>
    <w:rsid w:val="00A67A2E"/>
    <w:rsid w:val="00A75DB2"/>
    <w:rsid w:val="00A91D83"/>
    <w:rsid w:val="00AA0854"/>
    <w:rsid w:val="00AB5B68"/>
    <w:rsid w:val="00AD4FFE"/>
    <w:rsid w:val="00AE58F9"/>
    <w:rsid w:val="00AE5DB1"/>
    <w:rsid w:val="00AF1B15"/>
    <w:rsid w:val="00AF1D0C"/>
    <w:rsid w:val="00AF2879"/>
    <w:rsid w:val="00B06415"/>
    <w:rsid w:val="00B15A30"/>
    <w:rsid w:val="00B27C81"/>
    <w:rsid w:val="00B466B4"/>
    <w:rsid w:val="00B57E00"/>
    <w:rsid w:val="00B7026B"/>
    <w:rsid w:val="00B81F96"/>
    <w:rsid w:val="00B86378"/>
    <w:rsid w:val="00B90305"/>
    <w:rsid w:val="00BA1D22"/>
    <w:rsid w:val="00BB2FED"/>
    <w:rsid w:val="00BD4C6A"/>
    <w:rsid w:val="00BE1290"/>
    <w:rsid w:val="00BE3B3C"/>
    <w:rsid w:val="00BF4246"/>
    <w:rsid w:val="00C01807"/>
    <w:rsid w:val="00C042FA"/>
    <w:rsid w:val="00C051A4"/>
    <w:rsid w:val="00C1407B"/>
    <w:rsid w:val="00C16361"/>
    <w:rsid w:val="00C174B3"/>
    <w:rsid w:val="00C70E58"/>
    <w:rsid w:val="00C85425"/>
    <w:rsid w:val="00C959F6"/>
    <w:rsid w:val="00CB1DDF"/>
    <w:rsid w:val="00CB5E3D"/>
    <w:rsid w:val="00CC54F9"/>
    <w:rsid w:val="00CC7A10"/>
    <w:rsid w:val="00CD51B0"/>
    <w:rsid w:val="00CE26FE"/>
    <w:rsid w:val="00CF757A"/>
    <w:rsid w:val="00D06A50"/>
    <w:rsid w:val="00D10490"/>
    <w:rsid w:val="00D10816"/>
    <w:rsid w:val="00D20295"/>
    <w:rsid w:val="00D210B1"/>
    <w:rsid w:val="00D23B84"/>
    <w:rsid w:val="00D360CE"/>
    <w:rsid w:val="00D501EC"/>
    <w:rsid w:val="00D57AEE"/>
    <w:rsid w:val="00D57DD6"/>
    <w:rsid w:val="00D57F3A"/>
    <w:rsid w:val="00D64595"/>
    <w:rsid w:val="00DA2671"/>
    <w:rsid w:val="00DA65FC"/>
    <w:rsid w:val="00E01FA3"/>
    <w:rsid w:val="00E4683A"/>
    <w:rsid w:val="00E62D4E"/>
    <w:rsid w:val="00E640D4"/>
    <w:rsid w:val="00E64C67"/>
    <w:rsid w:val="00E86728"/>
    <w:rsid w:val="00EA4A3D"/>
    <w:rsid w:val="00EB351C"/>
    <w:rsid w:val="00EB57AA"/>
    <w:rsid w:val="00EB5A5C"/>
    <w:rsid w:val="00ED1E0E"/>
    <w:rsid w:val="00ED6D54"/>
    <w:rsid w:val="00EE2EEF"/>
    <w:rsid w:val="00EE6B8D"/>
    <w:rsid w:val="00EF43B2"/>
    <w:rsid w:val="00F04DE3"/>
    <w:rsid w:val="00F06531"/>
    <w:rsid w:val="00F06578"/>
    <w:rsid w:val="00F075AB"/>
    <w:rsid w:val="00F157C7"/>
    <w:rsid w:val="00F24916"/>
    <w:rsid w:val="00F26DB7"/>
    <w:rsid w:val="00F41417"/>
    <w:rsid w:val="00F45E95"/>
    <w:rsid w:val="00F46525"/>
    <w:rsid w:val="00F55652"/>
    <w:rsid w:val="00F71846"/>
    <w:rsid w:val="00F84292"/>
    <w:rsid w:val="00FA1C26"/>
    <w:rsid w:val="00FA3165"/>
    <w:rsid w:val="00FA3FB8"/>
    <w:rsid w:val="00FB39D0"/>
    <w:rsid w:val="00FB50B7"/>
    <w:rsid w:val="00FD3F25"/>
    <w:rsid w:val="00FD4ECE"/>
    <w:rsid w:val="00FE0C58"/>
    <w:rsid w:val="00FE53F3"/>
    <w:rsid w:val="00FF03FD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23888"/>
  <w15:chartTrackingRefBased/>
  <w15:docId w15:val="{ADC62912-B56E-41D7-9E66-FC0D3B66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12"/>
    <w:qFormat/>
    <w:rsid w:val="007863AF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63AF"/>
    <w:pPr>
      <w:spacing w:line="256" w:lineRule="auto"/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863A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863AF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12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12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2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B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79F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D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D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3D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4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4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40C"/>
    <w:rPr>
      <w:vertAlign w:val="superscript"/>
    </w:rPr>
  </w:style>
  <w:style w:type="paragraph" w:customStyle="1" w:styleId="paragraph">
    <w:name w:val="paragraph"/>
    <w:basedOn w:val="Normalny"/>
    <w:rsid w:val="00FA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A1C26"/>
  </w:style>
  <w:style w:type="character" w:customStyle="1" w:styleId="eop">
    <w:name w:val="eop"/>
    <w:basedOn w:val="Domylnaczcionkaakapitu"/>
    <w:rsid w:val="00FA1C26"/>
  </w:style>
  <w:style w:type="paragraph" w:styleId="Nagwek">
    <w:name w:val="header"/>
    <w:basedOn w:val="Normalny"/>
    <w:link w:val="NagwekZnak"/>
    <w:uiPriority w:val="99"/>
    <w:unhideWhenUsed/>
    <w:rsid w:val="0003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412"/>
  </w:style>
  <w:style w:type="paragraph" w:styleId="Stopka">
    <w:name w:val="footer"/>
    <w:basedOn w:val="Normalny"/>
    <w:link w:val="StopkaZnak"/>
    <w:uiPriority w:val="99"/>
    <w:unhideWhenUsed/>
    <w:rsid w:val="0003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412"/>
  </w:style>
  <w:style w:type="character" w:styleId="Hipercze">
    <w:name w:val="Hyperlink"/>
    <w:basedOn w:val="Domylnaczcionkaakapitu"/>
    <w:uiPriority w:val="99"/>
    <w:unhideWhenUsed/>
    <w:rsid w:val="00231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C491-A0B2-4AA5-93C2-F50C6D87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K.Majdak</dc:creator>
  <cp:keywords/>
  <dc:description/>
  <cp:lastModifiedBy>Skobel Marta</cp:lastModifiedBy>
  <cp:revision>2</cp:revision>
  <dcterms:created xsi:type="dcterms:W3CDTF">2024-12-31T14:04:00Z</dcterms:created>
  <dcterms:modified xsi:type="dcterms:W3CDTF">2024-12-31T14:04:00Z</dcterms:modified>
</cp:coreProperties>
</file>