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7F" w:rsidRPr="00586923" w:rsidRDefault="00E34B7F" w:rsidP="00E34B7F">
      <w:pPr>
        <w:rPr>
          <w:rFonts w:ascii="Arial" w:hAnsi="Arial" w:cs="Arial"/>
        </w:rPr>
      </w:pPr>
      <w:r w:rsidRPr="00586923">
        <w:rPr>
          <w:rFonts w:ascii="Arial" w:hAnsi="Arial" w:cs="Arial"/>
          <w:noProof/>
          <w:lang w:eastAsia="pl-PL"/>
        </w:rPr>
        <w:drawing>
          <wp:inline distT="0" distB="0" distL="0" distR="0" wp14:anchorId="0A6D5FFD" wp14:editId="21081DD7">
            <wp:extent cx="5683910" cy="943559"/>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K.png"/>
                    <pic:cNvPicPr/>
                  </pic:nvPicPr>
                  <pic:blipFill>
                    <a:blip r:embed="rId6">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rsidR="00E34B7F" w:rsidRDefault="00E34B7F" w:rsidP="00E34B7F">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rsidR="00E34B7F" w:rsidRPr="00586923" w:rsidRDefault="00E34B7F" w:rsidP="00E34B7F">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rsidR="00E34B7F" w:rsidRPr="00586923" w:rsidRDefault="00E34B7F" w:rsidP="00E34B7F">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27 stycznia</w:t>
      </w:r>
      <w:r>
        <w:rPr>
          <w:rFonts w:ascii="Arial" w:hAnsi="Arial" w:cs="Arial"/>
          <w:b/>
        </w:rPr>
        <w:t xml:space="preserve"> </w:t>
      </w:r>
      <w:r w:rsidRPr="00586923">
        <w:rPr>
          <w:rFonts w:ascii="Arial" w:hAnsi="Arial" w:cs="Arial"/>
          <w:b/>
        </w:rPr>
        <w:t xml:space="preserve">do </w:t>
      </w:r>
      <w:r>
        <w:rPr>
          <w:rFonts w:ascii="Arial" w:hAnsi="Arial" w:cs="Arial"/>
          <w:b/>
        </w:rPr>
        <w:t>2</w:t>
      </w:r>
      <w:r>
        <w:rPr>
          <w:rFonts w:ascii="Arial" w:hAnsi="Arial" w:cs="Arial"/>
          <w:b/>
        </w:rPr>
        <w:t xml:space="preserve"> </w:t>
      </w:r>
      <w:r>
        <w:rPr>
          <w:rFonts w:ascii="Arial" w:hAnsi="Arial" w:cs="Arial"/>
          <w:b/>
        </w:rPr>
        <w:t>lutego</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rsidR="00E34B7F" w:rsidRPr="00AC3187" w:rsidRDefault="00E34B7F" w:rsidP="00E34B7F">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3 lutego</w:t>
      </w:r>
      <w:r w:rsidRPr="00AC3187">
        <w:rPr>
          <w:rFonts w:ascii="Arial" w:hAnsi="Arial" w:cs="Arial"/>
        </w:rPr>
        <w:t xml:space="preserve"> 202</w:t>
      </w:r>
      <w:r>
        <w:rPr>
          <w:rFonts w:ascii="Arial" w:hAnsi="Arial" w:cs="Arial"/>
        </w:rPr>
        <w:t>5</w:t>
      </w:r>
      <w:r w:rsidRPr="00AC3187">
        <w:rPr>
          <w:rFonts w:ascii="Arial" w:hAnsi="Arial" w:cs="Arial"/>
        </w:rPr>
        <w:t xml:space="preserve"> roku</w:t>
      </w:r>
    </w:p>
    <w:p w:rsidR="00E34B7F" w:rsidRPr="00586923" w:rsidRDefault="00E34B7F" w:rsidP="00E34B7F">
      <w:pPr>
        <w:spacing w:after="0" w:line="240" w:lineRule="auto"/>
        <w:jc w:val="both"/>
        <w:rPr>
          <w:rFonts w:ascii="Arial" w:hAnsi="Arial" w:cs="Arial"/>
        </w:rPr>
      </w:pPr>
    </w:p>
    <w:p w:rsidR="00E34B7F" w:rsidRPr="00287656" w:rsidRDefault="00E34B7F" w:rsidP="00E34B7F">
      <w:pPr>
        <w:pStyle w:val="Akapitzlist"/>
        <w:numPr>
          <w:ilvl w:val="0"/>
          <w:numId w:val="1"/>
        </w:numPr>
        <w:spacing w:after="0" w:line="240" w:lineRule="auto"/>
        <w:ind w:left="284" w:hanging="284"/>
        <w:jc w:val="both"/>
        <w:rPr>
          <w:rFonts w:ascii="Arial" w:hAnsi="Arial" w:cs="Arial"/>
          <w:b/>
          <w:u w:val="single"/>
        </w:rPr>
      </w:pPr>
      <w:r w:rsidRPr="00287656">
        <w:rPr>
          <w:rFonts w:ascii="Arial" w:hAnsi="Arial" w:cs="Arial"/>
          <w:b/>
          <w:u w:val="single"/>
        </w:rPr>
        <w:t>Projekty aktów prawnych</w:t>
      </w:r>
    </w:p>
    <w:p w:rsidR="00E34B7F" w:rsidRDefault="00E34B7F" w:rsidP="00E34B7F">
      <w:pPr>
        <w:spacing w:after="0" w:line="240" w:lineRule="auto"/>
        <w:jc w:val="both"/>
        <w:rPr>
          <w:rFonts w:ascii="Arial" w:hAnsi="Arial" w:cs="Arial"/>
        </w:rPr>
      </w:pPr>
    </w:p>
    <w:p w:rsidR="00E34B7F" w:rsidRPr="00C70674" w:rsidRDefault="00E34B7F" w:rsidP="00206384">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2</w:t>
      </w:r>
      <w:r w:rsidRPr="00C70674">
        <w:rPr>
          <w:rFonts w:ascii="Arial" w:eastAsia="Calibri" w:hAnsi="Arial" w:cs="Arial"/>
          <w:bCs/>
        </w:rPr>
        <w:t xml:space="preserve"> projekt</w:t>
      </w:r>
      <w:r>
        <w:rPr>
          <w:rFonts w:ascii="Arial" w:eastAsia="Calibri" w:hAnsi="Arial" w:cs="Arial"/>
          <w:bCs/>
        </w:rPr>
        <w:t>y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23</w:t>
      </w:r>
      <w:r w:rsidRPr="00C70674">
        <w:rPr>
          <w:rFonts w:ascii="Arial" w:hAnsi="Arial" w:cs="Arial"/>
        </w:rPr>
        <w:t xml:space="preserve"> projekt</w:t>
      </w:r>
      <w:r>
        <w:rPr>
          <w:rFonts w:ascii="Arial" w:hAnsi="Arial" w:cs="Arial"/>
        </w:rPr>
        <w:t>y</w:t>
      </w:r>
      <w:r w:rsidRPr="00C70674">
        <w:rPr>
          <w:rFonts w:ascii="Arial" w:hAnsi="Arial" w:cs="Arial"/>
        </w:rPr>
        <w:t xml:space="preserve"> rozporządzeń Rady Ministrów, Prezesa Rady Ministrów oraz poszczególnych Ministrów.</w:t>
      </w:r>
    </w:p>
    <w:p w:rsidR="00E34B7F" w:rsidRPr="00C70674" w:rsidRDefault="00E34B7F" w:rsidP="00206384">
      <w:pPr>
        <w:spacing w:after="0"/>
        <w:jc w:val="both"/>
        <w:rPr>
          <w:rFonts w:ascii="Arial" w:hAnsi="Arial" w:cs="Arial"/>
        </w:rPr>
      </w:pPr>
    </w:p>
    <w:p w:rsidR="00E34B7F" w:rsidRDefault="00E34B7F" w:rsidP="00206384">
      <w:pPr>
        <w:spacing w:after="0"/>
        <w:jc w:val="both"/>
        <w:rPr>
          <w:rFonts w:ascii="Arial" w:hAnsi="Arial" w:cs="Arial"/>
        </w:rPr>
      </w:pPr>
      <w:r>
        <w:rPr>
          <w:rFonts w:ascii="Arial" w:hAnsi="Arial" w:cs="Arial"/>
        </w:rPr>
        <w:t xml:space="preserve">Przeprowadzono konsultacje </w:t>
      </w:r>
      <w:r>
        <w:rPr>
          <w:rFonts w:ascii="Arial" w:hAnsi="Arial" w:cs="Arial"/>
        </w:rPr>
        <w:t>1</w:t>
      </w:r>
      <w:r>
        <w:rPr>
          <w:rFonts w:ascii="Arial" w:hAnsi="Arial" w:cs="Arial"/>
        </w:rPr>
        <w:t xml:space="preserve"> projektu ustawy i </w:t>
      </w:r>
      <w:r>
        <w:rPr>
          <w:rFonts w:ascii="Arial" w:hAnsi="Arial" w:cs="Arial"/>
        </w:rPr>
        <w:t>5</w:t>
      </w:r>
      <w:r>
        <w:rPr>
          <w:rFonts w:ascii="Arial" w:hAnsi="Arial" w:cs="Arial"/>
        </w:rPr>
        <w:t xml:space="preserve"> projektów rozporządzeń dotyczących podmiotów członkowskich (pracodawcy, przedsiębiorcy, JST) zrzeszonych w Związku. </w:t>
      </w:r>
    </w:p>
    <w:p w:rsidR="00E34B7F" w:rsidRDefault="00E34B7F" w:rsidP="00206384">
      <w:pPr>
        <w:spacing w:after="0"/>
        <w:jc w:val="both"/>
        <w:rPr>
          <w:rFonts w:ascii="Arial" w:hAnsi="Arial" w:cs="Arial"/>
        </w:rPr>
      </w:pPr>
      <w:r>
        <w:rPr>
          <w:rFonts w:ascii="Arial" w:hAnsi="Arial" w:cs="Arial"/>
        </w:rPr>
        <w:t>Do konsultacji przekazane zostały następujące projekty:</w:t>
      </w:r>
    </w:p>
    <w:p w:rsidR="00E34B7F" w:rsidRDefault="00E34B7F" w:rsidP="00206384">
      <w:pPr>
        <w:spacing w:after="0"/>
        <w:jc w:val="both"/>
        <w:rPr>
          <w:rFonts w:ascii="Arial" w:hAnsi="Arial" w:cs="Arial"/>
        </w:rPr>
      </w:pPr>
    </w:p>
    <w:p w:rsidR="00E34B7F" w:rsidRDefault="00E34B7F" w:rsidP="00206384">
      <w:pPr>
        <w:spacing w:after="0"/>
        <w:jc w:val="both"/>
        <w:rPr>
          <w:rFonts w:ascii="Arial" w:hAnsi="Arial" w:cs="Arial"/>
        </w:rPr>
      </w:pPr>
      <w:r>
        <w:rPr>
          <w:rFonts w:ascii="Arial" w:hAnsi="Arial" w:cs="Arial"/>
        </w:rPr>
        <w:t>Projekty ustaw:</w:t>
      </w:r>
    </w:p>
    <w:p w:rsidR="00E34B7F" w:rsidRDefault="00E34B7F" w:rsidP="00206384">
      <w:pPr>
        <w:spacing w:after="0"/>
        <w:jc w:val="both"/>
        <w:rPr>
          <w:rFonts w:ascii="Arial" w:hAnsi="Arial" w:cs="Arial"/>
        </w:rPr>
      </w:pPr>
    </w:p>
    <w:p w:rsidR="00206384" w:rsidRPr="00206384" w:rsidRDefault="00206384" w:rsidP="00206384">
      <w:pPr>
        <w:pStyle w:val="Akapitzlist"/>
        <w:spacing w:after="0"/>
        <w:jc w:val="both"/>
        <w:rPr>
          <w:rFonts w:ascii="Arial" w:hAnsi="Arial" w:cs="Arial"/>
          <w:b/>
          <w:u w:val="single"/>
        </w:rPr>
      </w:pPr>
      <w:r>
        <w:rPr>
          <w:rFonts w:ascii="Arial" w:hAnsi="Arial" w:cs="Arial"/>
          <w:b/>
          <w:u w:val="single"/>
        </w:rPr>
        <w:t>P</w:t>
      </w:r>
      <w:r w:rsidR="00E34B7F" w:rsidRPr="00206384">
        <w:rPr>
          <w:rFonts w:ascii="Arial" w:hAnsi="Arial" w:cs="Arial"/>
          <w:b/>
          <w:u w:val="single"/>
        </w:rPr>
        <w:t>rojekt ustawy o zmianie niektórych ustaw w związku z przekazywaniem informacji do europejskiego pojedynczego punktu dostępu (numer z wykazu UC73)</w:t>
      </w:r>
    </w:p>
    <w:p w:rsidR="00206384" w:rsidRDefault="00206384" w:rsidP="00206384">
      <w:pPr>
        <w:spacing w:after="0"/>
        <w:jc w:val="both"/>
        <w:rPr>
          <w:rFonts w:ascii="Arial" w:hAnsi="Arial" w:cs="Arial"/>
        </w:rPr>
      </w:pPr>
    </w:p>
    <w:p w:rsidR="00206384" w:rsidRPr="00206384" w:rsidRDefault="00206384" w:rsidP="00206384">
      <w:pPr>
        <w:spacing w:after="0"/>
        <w:jc w:val="both"/>
        <w:rPr>
          <w:rFonts w:ascii="Arial" w:hAnsi="Arial" w:cs="Arial"/>
        </w:rPr>
      </w:pPr>
      <w:r w:rsidRPr="00206384">
        <w:rPr>
          <w:rFonts w:ascii="Arial" w:hAnsi="Arial" w:cs="Arial"/>
        </w:rPr>
        <w:t>Na podstawie obowiązujących przepisów podmioty oraz krajowe organy (organy nadzoru lub inne podmioty publiczne) są zobowiązane do udostępniania informacji, które mają znaczenie dla odbiorców usług finansowych (inwestorów), rynku finansowego czy zrównoważonego rozwoju. Informacje te znajdują się na stronach właściwych organów, rejestrach publicznych czy stronach internetowych poszczególnych podmiotów. Nie istnieje jedna baza danych zawierająca takie informacje.</w:t>
      </w:r>
    </w:p>
    <w:p w:rsidR="00206384" w:rsidRPr="00206384" w:rsidRDefault="00206384" w:rsidP="00206384">
      <w:pPr>
        <w:spacing w:after="0"/>
        <w:jc w:val="both"/>
        <w:rPr>
          <w:rFonts w:ascii="Arial" w:hAnsi="Arial" w:cs="Arial"/>
        </w:rPr>
      </w:pPr>
      <w:r w:rsidRPr="00206384">
        <w:rPr>
          <w:rFonts w:ascii="Arial" w:hAnsi="Arial" w:cs="Arial"/>
        </w:rPr>
        <w:t>Projektowane przepisy uzupełnią istniejące obowiązki udostępniania określonych informacji przez podmioty oraz krajowe organy o równoległe udostępnianie informacji w europejskim pojedynczym punkcie dostępu (European Single Access Point), dalej „ESAP”.</w:t>
      </w:r>
    </w:p>
    <w:p w:rsidR="00206384" w:rsidRPr="00206384" w:rsidRDefault="00206384" w:rsidP="00206384">
      <w:pPr>
        <w:spacing w:after="0"/>
        <w:jc w:val="both"/>
        <w:rPr>
          <w:rFonts w:ascii="Arial" w:hAnsi="Arial" w:cs="Arial"/>
        </w:rPr>
      </w:pPr>
      <w:r w:rsidRPr="00206384">
        <w:rPr>
          <w:rFonts w:ascii="Arial" w:hAnsi="Arial" w:cs="Arial"/>
        </w:rPr>
        <w:t>ESAP będzie platformą internetową, utworzoną na poziomie UE, zawierającą informacje o podmiotach (np. banki, firmy inwestycyjne). Jego prowadzenie powierzono Europejskiemu Urzędowi Nadzoru Giełd i Papierów Wartościowych, dalej „</w:t>
      </w:r>
      <w:proofErr w:type="spellStart"/>
      <w:r w:rsidRPr="00206384">
        <w:rPr>
          <w:rFonts w:ascii="Arial" w:hAnsi="Arial" w:cs="Arial"/>
        </w:rPr>
        <w:t>EUNGiPW</w:t>
      </w:r>
      <w:proofErr w:type="spellEnd"/>
      <w:r w:rsidRPr="00206384">
        <w:rPr>
          <w:rFonts w:ascii="Arial" w:hAnsi="Arial" w:cs="Arial"/>
        </w:rPr>
        <w:t>”.</w:t>
      </w:r>
    </w:p>
    <w:p w:rsidR="00206384" w:rsidRPr="00206384" w:rsidRDefault="00206384" w:rsidP="00206384">
      <w:pPr>
        <w:spacing w:after="0"/>
        <w:jc w:val="both"/>
        <w:rPr>
          <w:rFonts w:ascii="Arial" w:hAnsi="Arial" w:cs="Arial"/>
        </w:rPr>
      </w:pPr>
      <w:r w:rsidRPr="00206384">
        <w:rPr>
          <w:rFonts w:ascii="Arial" w:hAnsi="Arial" w:cs="Arial"/>
        </w:rPr>
        <w:t>Celem projektu jest dokonanie zmian w krajowym porządku prawnym zapewniających wdrożenie przepisów UE dotyczących utworzenia ESAP. Regulacje stanowią tzw. pakiet ESAP, który składa się z:</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dyrektywy Parlamentu Europejskiego i Rady (UE) 2023/2864 z dnia 13 grudnia 2023 r. zmieniającą niektóre dyrektywy w odniesieniu do ustanowienia i działania europejskiego pojedynczego punktu dostępu (Dz. Urz. UE L 2023/2864 z 20.12.2023), dalej „dyrektywa 2023/2864”;</w:t>
      </w:r>
    </w:p>
    <w:p w:rsidR="00206384" w:rsidRPr="00206384" w:rsidRDefault="00206384" w:rsidP="00206384">
      <w:pPr>
        <w:spacing w:after="0"/>
        <w:jc w:val="both"/>
        <w:rPr>
          <w:rFonts w:ascii="Arial" w:hAnsi="Arial" w:cs="Arial"/>
        </w:rPr>
      </w:pPr>
      <w:r w:rsidRPr="00206384">
        <w:rPr>
          <w:rFonts w:ascii="Arial" w:hAnsi="Arial" w:cs="Arial"/>
        </w:rPr>
        <w:lastRenderedPageBreak/>
        <w:t>•</w:t>
      </w:r>
      <w:r w:rsidRPr="00206384">
        <w:rPr>
          <w:rFonts w:ascii="Arial" w:hAnsi="Arial" w:cs="Arial"/>
        </w:rPr>
        <w:tab/>
        <w:t>rozporządzenia Parlamentu Europejskiego i Rady (UE) 2023/2859 z dnia 13 grudnia 2023 r. w sprawie ustanowienia europejskiego pojedynczego punktu dostępu zapewniającego scentralizowany dostęp do publicznie dostępnych informacji mających znaczenie dla usług finansowych, rynków kapitałowych i zrównoważonego rozwoju (Dz. Urz. UE L 2023/2859 z 20.12.2023), dalej „rozporządzenie 2023/2859”;</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rozporządzenia Parlamentu Europejskiego i Rady (UE) 2023/2869 z dnia 13 grudnia 2023 r. zmieniającego niektóre rozporządzenia w odniesieniu do ustanowienia i działania europejskiego pojedynczego punktu dostępu (Dz. Urz. UE L 2023/2869 z 20.12.2023).</w:t>
      </w:r>
    </w:p>
    <w:p w:rsidR="00206384" w:rsidRPr="00206384" w:rsidRDefault="00206384" w:rsidP="00206384">
      <w:pPr>
        <w:spacing w:after="0"/>
        <w:jc w:val="both"/>
        <w:rPr>
          <w:rFonts w:ascii="Arial" w:hAnsi="Arial" w:cs="Arial"/>
        </w:rPr>
      </w:pPr>
      <w:r w:rsidRPr="00206384">
        <w:rPr>
          <w:rFonts w:ascii="Arial" w:hAnsi="Arial" w:cs="Arial"/>
        </w:rPr>
        <w:t>ESAP będzie źródłem publicznie dostępnych informacji o podmiotach i ich produktach, gdy informacje te mają znaczenie dla usług finansowych, rynków kapitałowych i zrównoważonego rozwoju, w tym podmiotach rynku finansowego i produktach inwestycyjnych z obszaru UE, niezależnie od ich lokalizacji lub pochodzenia. Tym samym przyczyni się do zmniejszenia barier w dostępie do informacji za pomocą środków cyfrowych, e zwiększy przepływ informacji w UE oraz przyczyni się do wsparcia cyfrowego wykorzystania tych informacji.</w:t>
      </w:r>
    </w:p>
    <w:p w:rsidR="00206384" w:rsidRPr="00206384" w:rsidRDefault="00206384" w:rsidP="00206384">
      <w:pPr>
        <w:spacing w:after="0"/>
        <w:jc w:val="both"/>
        <w:rPr>
          <w:rFonts w:ascii="Arial" w:hAnsi="Arial" w:cs="Arial"/>
        </w:rPr>
      </w:pPr>
      <w:r w:rsidRPr="00206384">
        <w:rPr>
          <w:rFonts w:ascii="Arial" w:hAnsi="Arial" w:cs="Arial"/>
        </w:rPr>
        <w:t xml:space="preserve">ESAP jest skierowany przede wszystkim do użytkowników takich jak inwestorzy, analitycy finansowi i pośrednicy rynkowi, jednak zapewni także dostęp do informacji uczelniom czy osobom prywatnym. Co od zasady, informacje w ESAP będą dostępne dla wszystkich zainteresowanych, bez opłat lub licencji. Niemniej, od tej zasady przewidziano wyjątki – obowiązek uiszczania opłat będzie wprowadzony wyłącznie w przypadku użytkowników wyszukujących i pobierających duże ilości informacji. Wysokość opłat nie będzie mogła jednak przekroczyć kosztów udostępnienia informacji, ponoszonych przez </w:t>
      </w:r>
      <w:proofErr w:type="spellStart"/>
      <w:r w:rsidRPr="00206384">
        <w:rPr>
          <w:rFonts w:ascii="Arial" w:hAnsi="Arial" w:cs="Arial"/>
        </w:rPr>
        <w:t>EUNGiPW</w:t>
      </w:r>
      <w:proofErr w:type="spellEnd"/>
      <w:r w:rsidRPr="00206384">
        <w:rPr>
          <w:rFonts w:ascii="Arial" w:hAnsi="Arial" w:cs="Arial"/>
        </w:rPr>
        <w:t xml:space="preserve">. Szczegółowe rozwiązania dotyczące ponoszenia opłat, w tym określenie charakteru i zakresu usług, za które mogą być pobierane opłaty, oraz związanej z nimi struktury opłat, zostaną ustalone w wykonawczych standardach technicznych opracowanych przez </w:t>
      </w:r>
      <w:proofErr w:type="spellStart"/>
      <w:r w:rsidRPr="00206384">
        <w:rPr>
          <w:rFonts w:ascii="Arial" w:hAnsi="Arial" w:cs="Arial"/>
        </w:rPr>
        <w:t>EUNGiPW</w:t>
      </w:r>
      <w:proofErr w:type="spellEnd"/>
      <w:r w:rsidRPr="00206384">
        <w:rPr>
          <w:rFonts w:ascii="Arial" w:hAnsi="Arial" w:cs="Arial"/>
        </w:rPr>
        <w:t>.</w:t>
      </w:r>
    </w:p>
    <w:p w:rsidR="00206384" w:rsidRPr="00206384" w:rsidRDefault="00206384" w:rsidP="00206384">
      <w:pPr>
        <w:spacing w:after="0"/>
        <w:jc w:val="both"/>
        <w:rPr>
          <w:rFonts w:ascii="Arial" w:hAnsi="Arial" w:cs="Arial"/>
        </w:rPr>
      </w:pPr>
      <w:r w:rsidRPr="00206384">
        <w:rPr>
          <w:rFonts w:ascii="Arial" w:hAnsi="Arial" w:cs="Arial"/>
        </w:rPr>
        <w:t xml:space="preserve">Nowe obowiązki obejmują opatrzenie informacji odpowiednimi metadanymi oraz sporządzenie ich w formacie zgodnym z wytycznymi określonymi dla poszczególnych sektorów rynku finansowego przez Europejskie Urzędy Nadzoru, tj. </w:t>
      </w:r>
      <w:proofErr w:type="spellStart"/>
      <w:r w:rsidRPr="00206384">
        <w:rPr>
          <w:rFonts w:ascii="Arial" w:hAnsi="Arial" w:cs="Arial"/>
        </w:rPr>
        <w:t>EUNGiPW</w:t>
      </w:r>
      <w:proofErr w:type="spellEnd"/>
      <w:r w:rsidRPr="00206384">
        <w:rPr>
          <w:rFonts w:ascii="Arial" w:hAnsi="Arial" w:cs="Arial"/>
        </w:rPr>
        <w:t>, Europejski Urząd Nadzoru Ubezpieczeń i Pracowniczych Programów Emerytalnych oraz Europejski Urząd Nadzoru Bankowego, w wykonawczych standardach technicznych.</w:t>
      </w:r>
    </w:p>
    <w:p w:rsidR="00206384" w:rsidRPr="00206384" w:rsidRDefault="00206384" w:rsidP="00206384">
      <w:pPr>
        <w:spacing w:after="0"/>
        <w:jc w:val="both"/>
        <w:rPr>
          <w:rFonts w:ascii="Arial" w:hAnsi="Arial" w:cs="Arial"/>
        </w:rPr>
      </w:pPr>
      <w:r w:rsidRPr="00206384">
        <w:rPr>
          <w:rFonts w:ascii="Arial" w:hAnsi="Arial" w:cs="Arial"/>
        </w:rPr>
        <w:t xml:space="preserve">Celem projektu jest również dokonanie zmian w krajowym porządku prawnym w związku z wejściem w życie przepisów UE dotyczących rynków instrumentów finansowych zawartych w: </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dyrektywie Parlamentu Europejskiego i Rady (UE) 2024/790 z dnia 28 lutego 2024 r. zmieniającej dyrektywę 2014/65/UE w sprawie rynków instrumentów finansowych (Dz. Urz. UE L 2024/790 z 08.03.2024), dalej „dyrektywa 2024/790”;</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rozporządzeniu Parlamentu Europejskiego i Rady (UE) 2024/791 z dnia 28 lutego 2024 r. zmieniającego rozporządzenie (UE) nr 600/2014 w odniesieniu do zwiększenia przejrzystości danych, usuwania przeszkód w powstawaniu systemów publikacji informacji skonsolidowanych, optymalizacji obowiązków obrotu oraz zakazu otrzymywania płatności za przepływ zleceń (Dz. Urz. UE L 2024/791 z 08.03.2024).</w:t>
      </w:r>
    </w:p>
    <w:p w:rsidR="00206384" w:rsidRPr="00206384" w:rsidRDefault="00206384" w:rsidP="00206384">
      <w:pPr>
        <w:spacing w:after="0"/>
        <w:jc w:val="both"/>
        <w:rPr>
          <w:rFonts w:ascii="Arial" w:hAnsi="Arial" w:cs="Arial"/>
        </w:rPr>
      </w:pPr>
      <w:r w:rsidRPr="00206384">
        <w:rPr>
          <w:rFonts w:ascii="Arial" w:hAnsi="Arial" w:cs="Arial"/>
        </w:rPr>
        <w:t>Celem tych zmian jest zwiększenie przejrzystości i skuteczności regulacji rynku instrumentów finansowych w UE, wzmocnienie ochrony inwestorów oraz zmniejszenie obciążeń regulacyjnych dla firm inwestycyjnych i innych uczestników rynku.</w:t>
      </w:r>
    </w:p>
    <w:p w:rsidR="00206384" w:rsidRPr="00206384" w:rsidRDefault="00206384" w:rsidP="00206384">
      <w:pPr>
        <w:spacing w:after="0"/>
        <w:jc w:val="both"/>
        <w:rPr>
          <w:rFonts w:ascii="Arial" w:hAnsi="Arial" w:cs="Arial"/>
        </w:rPr>
      </w:pPr>
      <w:r w:rsidRPr="00206384">
        <w:rPr>
          <w:rFonts w:ascii="Arial" w:hAnsi="Arial" w:cs="Arial"/>
        </w:rPr>
        <w:t xml:space="preserve">Rekomendowanym (koniecznym) rozwiązaniem jest inicjatywa legislacyjna, która prowadzi do implementacji i zapewnienia stosowania przepisów UE dotyczących utworzenia ESAP. </w:t>
      </w:r>
    </w:p>
    <w:p w:rsidR="00206384" w:rsidRPr="00206384" w:rsidRDefault="00206384" w:rsidP="00206384">
      <w:pPr>
        <w:spacing w:after="0"/>
        <w:jc w:val="both"/>
        <w:rPr>
          <w:rFonts w:ascii="Arial" w:hAnsi="Arial" w:cs="Arial"/>
        </w:rPr>
      </w:pPr>
      <w:r w:rsidRPr="00206384">
        <w:rPr>
          <w:rFonts w:ascii="Arial" w:hAnsi="Arial" w:cs="Arial"/>
        </w:rPr>
        <w:lastRenderedPageBreak/>
        <w:t xml:space="preserve">Projektowane przepisy uzupełnią istniejące obowiązki udostępniania określonych informacji przez podmioty o nowy obowiązek, jakim jest równoległe udostępnianie informacji w ESAP. </w:t>
      </w:r>
    </w:p>
    <w:p w:rsidR="00206384" w:rsidRPr="00206384" w:rsidRDefault="00206384" w:rsidP="00206384">
      <w:pPr>
        <w:spacing w:after="0"/>
        <w:jc w:val="both"/>
        <w:rPr>
          <w:rFonts w:ascii="Arial" w:hAnsi="Arial" w:cs="Arial"/>
        </w:rPr>
      </w:pPr>
      <w:r w:rsidRPr="00206384">
        <w:rPr>
          <w:rFonts w:ascii="Arial" w:hAnsi="Arial" w:cs="Arial"/>
        </w:rPr>
        <w:t xml:space="preserve">Podmioty będą zobowiązane do przekazania określonych informacji organowi zbierającemu dane. Organ ten będzie je udostępniał w ESAP, z zastosowaniem specjalnie do tego przeznaczonej infrastruktury IT. Jednocześnie, część informacji, które będą udostępniane w ESAP, będzie pochodziła nie od podmiotów, ale od krajowego organu (np. informacje o nałożonych sankcjach czy zidentyfikowanych instytucjach o znaczeniu systemowym). W takim przypadku to ten organ będzie zamieszczał informacje w ESAP, ponieważ jednocześnie będzie pełnił rolę organu zbierającego dane. </w:t>
      </w:r>
    </w:p>
    <w:p w:rsidR="00206384" w:rsidRPr="00206384" w:rsidRDefault="00206384" w:rsidP="00206384">
      <w:pPr>
        <w:spacing w:after="0"/>
        <w:jc w:val="both"/>
        <w:rPr>
          <w:rFonts w:ascii="Arial" w:hAnsi="Arial" w:cs="Arial"/>
        </w:rPr>
      </w:pPr>
      <w:r w:rsidRPr="00206384">
        <w:rPr>
          <w:rFonts w:ascii="Arial" w:hAnsi="Arial" w:cs="Arial"/>
        </w:rPr>
        <w:t>Organami zbierającymi dane będą Komisja Nadzoru Finansowego (KNF), Bankowy Fundusz Gwarancyjny (BFG), Polska Agencja Nadzoru Audytowego, Centralna Informacja Krajowego Rejestru Sądowego oraz Krajowa Rada Biegłych Rewidentów.</w:t>
      </w:r>
    </w:p>
    <w:p w:rsidR="00206384" w:rsidRPr="00206384" w:rsidRDefault="00206384" w:rsidP="00206384">
      <w:pPr>
        <w:spacing w:after="0"/>
        <w:jc w:val="both"/>
        <w:rPr>
          <w:rFonts w:ascii="Arial" w:hAnsi="Arial" w:cs="Arial"/>
        </w:rPr>
      </w:pPr>
      <w:r w:rsidRPr="00206384">
        <w:rPr>
          <w:rFonts w:ascii="Arial" w:hAnsi="Arial" w:cs="Arial"/>
        </w:rPr>
        <w:t>Projektowane przepisy określą także m. in. wymagania techniczne dotyczące przekazywanych danych – informacje udostępniane w ESAP muszą być sporządzane w odpowiednim formacie i każdorazowo opatrzone właściwymi metadanymi przed takim udostępnieniem.</w:t>
      </w:r>
    </w:p>
    <w:p w:rsidR="00206384" w:rsidRPr="00206384" w:rsidRDefault="00206384" w:rsidP="00206384">
      <w:pPr>
        <w:spacing w:after="0"/>
        <w:jc w:val="both"/>
        <w:rPr>
          <w:rFonts w:ascii="Arial" w:hAnsi="Arial" w:cs="Arial"/>
        </w:rPr>
      </w:pPr>
      <w:r w:rsidRPr="00206384">
        <w:rPr>
          <w:rFonts w:ascii="Arial" w:hAnsi="Arial" w:cs="Arial"/>
        </w:rPr>
        <w:t xml:space="preserve">Podmioty zobowiązane do udostępniania informacji w ESAP będą sporządzać informacje w formacie pozwalającym na ekstrakcję (pobór) danych lub w formacie pozwalającym na ich odczyt maszynowy. Stosowane będą dwa rodzaje (grupy) formatów, w zależności od rodzaju informacji. Wykaz dopuszczalnych formatów oraz ich charakterystyka zostaną określone w wykonawczych standardach technicznych opracowanych przez Europejskie Urzędy Nadzoru. </w:t>
      </w:r>
    </w:p>
    <w:p w:rsidR="00206384" w:rsidRPr="00206384" w:rsidRDefault="00206384" w:rsidP="00206384">
      <w:pPr>
        <w:spacing w:after="0"/>
        <w:jc w:val="both"/>
        <w:rPr>
          <w:rFonts w:ascii="Arial" w:hAnsi="Arial" w:cs="Arial"/>
        </w:rPr>
      </w:pPr>
      <w:r w:rsidRPr="00206384">
        <w:rPr>
          <w:rFonts w:ascii="Arial" w:hAnsi="Arial" w:cs="Arial"/>
        </w:rPr>
        <w:t>Katalog metadanych, którymi będzie opatrywana informacja, będzie odpowiedni do jej rodzaju, niemniej w każdym przypadku, będą wymagane będą:</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imię i nazwisko/nazwa podmiotu;</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w przypadku podmiotu będącego osobą prawną – identyfikator, określony zgodnie z wykonawczymi standardami technicznymi;</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rodzaj przekazywanych informacji, określony zgodnie z wykonawczymi standardami technicznymi;</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wskazanie, czy informacje zawierają dane osobowe (co jest konieczne do identyfikowania w ESAP okresu przechowywania danych).</w:t>
      </w:r>
    </w:p>
    <w:p w:rsidR="00206384" w:rsidRPr="00206384" w:rsidRDefault="00206384" w:rsidP="00206384">
      <w:pPr>
        <w:spacing w:after="0"/>
        <w:jc w:val="both"/>
        <w:rPr>
          <w:rFonts w:ascii="Arial" w:hAnsi="Arial" w:cs="Arial"/>
        </w:rPr>
      </w:pPr>
      <w:r w:rsidRPr="00206384">
        <w:rPr>
          <w:rFonts w:ascii="Arial" w:hAnsi="Arial" w:cs="Arial"/>
        </w:rPr>
        <w:t xml:space="preserve">Do zakresu metadanych zmiennych, którymi będą opatrywane określone rodzaje informacji, będą zaliczane m.in. wielkość podmiotu, którego dane dotyczą, lub sektor przemysłu, w których podmiot prowadzi działalność gospodarczą. </w:t>
      </w:r>
    </w:p>
    <w:p w:rsidR="00206384" w:rsidRPr="00206384" w:rsidRDefault="00206384" w:rsidP="00206384">
      <w:pPr>
        <w:spacing w:after="0"/>
        <w:jc w:val="both"/>
        <w:rPr>
          <w:rFonts w:ascii="Arial" w:hAnsi="Arial" w:cs="Arial"/>
        </w:rPr>
      </w:pPr>
      <w:r w:rsidRPr="00206384">
        <w:rPr>
          <w:rFonts w:ascii="Arial" w:hAnsi="Arial" w:cs="Arial"/>
        </w:rPr>
        <w:t>W celu zapewnienia odpowiedniego poboru informacji podlegających udostępnieniu w ESAP, odpowiedni Europejski Urząd Nadzoru opracuje wykonawcze standardy techniczne, w których zostaną określone dodatkowe metadane oraz struktura danych zawartych w informacjach, a także zostanie wskazane, dla których informacji jest wymagany określony format pozwalający na odczyt maszynowy.</w:t>
      </w:r>
    </w:p>
    <w:p w:rsidR="00206384" w:rsidRPr="00206384" w:rsidRDefault="00206384" w:rsidP="00206384">
      <w:pPr>
        <w:spacing w:after="0"/>
        <w:jc w:val="both"/>
        <w:rPr>
          <w:rFonts w:ascii="Arial" w:hAnsi="Arial" w:cs="Arial"/>
        </w:rPr>
      </w:pPr>
      <w:r w:rsidRPr="00206384">
        <w:rPr>
          <w:rFonts w:ascii="Arial" w:hAnsi="Arial" w:cs="Arial"/>
        </w:rPr>
        <w:t>Przekazywanie informacji w celu ich udostępnienia w ESAP będzie się odbywać w możliwie jak największym stopniu z wykorzystaniem istniejących kanałów komunikacji z organami zbierającymi dane.</w:t>
      </w:r>
    </w:p>
    <w:p w:rsidR="00206384" w:rsidRPr="00206384" w:rsidRDefault="00206384" w:rsidP="00206384">
      <w:pPr>
        <w:spacing w:after="0"/>
        <w:jc w:val="both"/>
        <w:rPr>
          <w:rFonts w:ascii="Arial" w:hAnsi="Arial" w:cs="Arial"/>
        </w:rPr>
      </w:pPr>
      <w:r w:rsidRPr="00206384">
        <w:rPr>
          <w:rFonts w:ascii="Arial" w:hAnsi="Arial" w:cs="Arial"/>
        </w:rPr>
        <w:t xml:space="preserve">Organ zbierający dane będzie zobowiązany do przeprowadzania zautomatyzowanej walidacji technicznej otrzymywanych informacji w celu weryfikacji, czy spełniają one wymagania dotyczące formatu, metadanych oraz ich opatrzenia kwalifikowaną pieczęcią elektroniczną (w określonych przypadkach). Negatywna walidacja będzie skutkować odrzuceniem informacji i koniecznością ich poprawienia oraz ponownego przekazania. Organy zbierające dane będą usuwać informacje, które uznają za niewłaściwe, stanowiące </w:t>
      </w:r>
      <w:r w:rsidRPr="00206384">
        <w:rPr>
          <w:rFonts w:ascii="Arial" w:hAnsi="Arial" w:cs="Arial"/>
        </w:rPr>
        <w:lastRenderedPageBreak/>
        <w:t>nadużycie lub wykraczające poza wymagany zakres, zgodnie z przepisami rozporządzenia 2023/2859.</w:t>
      </w:r>
    </w:p>
    <w:p w:rsidR="00206384" w:rsidRPr="00206384" w:rsidRDefault="00206384" w:rsidP="00206384">
      <w:pPr>
        <w:spacing w:after="0"/>
        <w:jc w:val="both"/>
        <w:rPr>
          <w:rFonts w:ascii="Arial" w:hAnsi="Arial" w:cs="Arial"/>
        </w:rPr>
      </w:pPr>
      <w:r w:rsidRPr="00206384">
        <w:rPr>
          <w:rFonts w:ascii="Arial" w:hAnsi="Arial" w:cs="Arial"/>
        </w:rPr>
        <w:t xml:space="preserve">Koszty ponoszone przez organy zbierające dane w związku z realizowanymi zadaniami będą pokrywane zgodnie z obowiązującymi przepisami dotyczącymi ich finansowania. </w:t>
      </w:r>
    </w:p>
    <w:p w:rsidR="00206384" w:rsidRPr="00206384" w:rsidRDefault="00206384" w:rsidP="00206384">
      <w:pPr>
        <w:spacing w:after="0"/>
        <w:jc w:val="both"/>
        <w:rPr>
          <w:rFonts w:ascii="Arial" w:hAnsi="Arial" w:cs="Arial"/>
        </w:rPr>
      </w:pPr>
      <w:r w:rsidRPr="00206384">
        <w:rPr>
          <w:rFonts w:ascii="Arial" w:hAnsi="Arial" w:cs="Arial"/>
        </w:rPr>
        <w:t xml:space="preserve">Europejskie Urzędy Nadzoru opracują również wykonawcze standardy techniczne określające sposób przeprowadzania walidacji technicznej oraz cechy API (Application </w:t>
      </w:r>
      <w:proofErr w:type="spellStart"/>
      <w:r w:rsidRPr="00206384">
        <w:rPr>
          <w:rFonts w:ascii="Arial" w:hAnsi="Arial" w:cs="Arial"/>
        </w:rPr>
        <w:t>programming</w:t>
      </w:r>
      <w:proofErr w:type="spellEnd"/>
      <w:r w:rsidRPr="00206384">
        <w:rPr>
          <w:rFonts w:ascii="Arial" w:hAnsi="Arial" w:cs="Arial"/>
        </w:rPr>
        <w:t xml:space="preserve"> </w:t>
      </w:r>
      <w:proofErr w:type="spellStart"/>
      <w:r w:rsidRPr="00206384">
        <w:rPr>
          <w:rFonts w:ascii="Arial" w:hAnsi="Arial" w:cs="Arial"/>
        </w:rPr>
        <w:t>interface</w:t>
      </w:r>
      <w:proofErr w:type="spellEnd"/>
      <w:r w:rsidRPr="00206384">
        <w:rPr>
          <w:rFonts w:ascii="Arial" w:hAnsi="Arial" w:cs="Arial"/>
        </w:rPr>
        <w:t>), który będzie wykorzystywany do udostępniania informacji w ESAP.</w:t>
      </w:r>
    </w:p>
    <w:p w:rsidR="00206384" w:rsidRPr="00206384" w:rsidRDefault="00206384" w:rsidP="00206384">
      <w:pPr>
        <w:spacing w:after="0"/>
        <w:jc w:val="both"/>
        <w:rPr>
          <w:rFonts w:ascii="Arial" w:hAnsi="Arial" w:cs="Arial"/>
        </w:rPr>
      </w:pPr>
      <w:r w:rsidRPr="00206384">
        <w:rPr>
          <w:rFonts w:ascii="Arial" w:hAnsi="Arial" w:cs="Arial"/>
        </w:rPr>
        <w:t>Zakres danych objętych wymogiem udostępniania w ESAP obejmie informacje, które podmioty udostępniaj obecnie w różnych formatach i na różnych platformach, np. na stronach internetowych lub właściwych rejestrach. ESAP będzie funkcjonował jako scentralizowany punkt dostępu do tych informacji – ułatwiając tym samym ich wyszukiwanie i wykorzystanie. Katalog danych obejmie m.in. informacje publikowane na podstawie:</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 xml:space="preserve">ustawy z dnia 29 września 1994 r. o rachunkowości (Dz. U. z 2023 r. poz. 120, z </w:t>
      </w:r>
      <w:proofErr w:type="spellStart"/>
      <w:r w:rsidRPr="00206384">
        <w:rPr>
          <w:rFonts w:ascii="Arial" w:hAnsi="Arial" w:cs="Arial"/>
        </w:rPr>
        <w:t>późn</w:t>
      </w:r>
      <w:proofErr w:type="spellEnd"/>
      <w:r w:rsidRPr="00206384">
        <w:rPr>
          <w:rFonts w:ascii="Arial" w:hAnsi="Arial" w:cs="Arial"/>
        </w:rPr>
        <w:t xml:space="preserve"> zm.), m. in. sprawozdania z działalności, roczne sprawozdanie finansowe, sprawozdania w zakresie zrównoważonego rozwoju w odniesieniu do jednostek z państw trzecich i powiązaną z nimi opinię atestacyjną oraz sprawozdanie dotyczące płatności na rzecz administracji rządowych;</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ustawy z dnia 28 sierpnia 1997 r. o organizacji i funkcjonowaniu funduszy emerytalnych (Dz. U. z 2024 r. poz. 1113), tj. politykę dotyczącą zaangażowania, która opisuje, w jaki sposób zaangażowanie akcjonariuszy jest przez pracowniczy fundusz uwzględniane w jego strategii inwestycyjnej oraz sprawozdanie z realizacji polityki oraz informacje o tym, w jaki sposób główne elementy strategii inwestycji kapitałowych pracowniczego funduszu są spójne z profilem i terminami zapadalności jego pasywów, w szczególności o charakterze długoterminowym, oraz w jaki sposób przyczyniają się one do średnio- i długoterminowych wyników uzyskiwanych z jego aktywów;</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 xml:space="preserve">ustawy z dnia 29 sierpnia 1997 r. – Prawo bankowe (Dz. U. z 2024 r. poz. 1646, z </w:t>
      </w:r>
      <w:proofErr w:type="spellStart"/>
      <w:r w:rsidRPr="00206384">
        <w:rPr>
          <w:rFonts w:ascii="Arial" w:hAnsi="Arial" w:cs="Arial"/>
        </w:rPr>
        <w:t>późn</w:t>
      </w:r>
      <w:proofErr w:type="spellEnd"/>
      <w:r w:rsidRPr="00206384">
        <w:rPr>
          <w:rFonts w:ascii="Arial" w:hAnsi="Arial" w:cs="Arial"/>
        </w:rPr>
        <w:t>. zm.), m. in. informacje o nałożeniu przez KNF prawomocnej sankcji administracyjnej, w tym o rodzaju i charakterze naruszenia wraz ze wskazaniem imienia i nazwiska osoby lub nazwy (firmy) podmiotu, na które nałożono sankcję, informację o zawarciu umowy dotyczącej wsparcia finansowego w ramach holdingu, stronach umowy, jej przedmiocie oraz ponoszonych kosztach oraz informacje, czy bank komercyjny jest stroną umowy dotyczącej wsparcia finansowego w ramach grupy, opis ogólnych warunków umowy i listę podmiotów powiązanych będących stronami umowy;</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 xml:space="preserve">ustawy z dnia 29 sierpnia 1997 r. o listach zastawnych i bankach hipotecznych (Dz. U. z 2023 r. poz. 110, z </w:t>
      </w:r>
      <w:proofErr w:type="spellStart"/>
      <w:r w:rsidRPr="00206384">
        <w:rPr>
          <w:rFonts w:ascii="Arial" w:hAnsi="Arial" w:cs="Arial"/>
        </w:rPr>
        <w:t>późn</w:t>
      </w:r>
      <w:proofErr w:type="spellEnd"/>
      <w:r w:rsidRPr="00206384">
        <w:rPr>
          <w:rFonts w:ascii="Arial" w:hAnsi="Arial" w:cs="Arial"/>
        </w:rPr>
        <w:t>. zm.), m. in. informacje o emisjach listów zastawnych przez bank hipoteczny oraz informacje o nałożeniu przez KNF sankcji, złożeniu wniosku o ponowne rozpatrzenie sprawy oraz wyniki postępowania w tej sprawie, wniesieniu skargi do sądu administracyjnego na decyzję administracyjną o nałożeniu sankcji oraz o treści orzeczenia sądu administracyjnego w tej sprawie;</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 xml:space="preserve">ustawy z dnia 15 września 2000 r. – Kodeks spółek handlowych (Dz. U. z 2024 r. poz. 18, z </w:t>
      </w:r>
      <w:proofErr w:type="spellStart"/>
      <w:r w:rsidRPr="00206384">
        <w:rPr>
          <w:rFonts w:ascii="Arial" w:hAnsi="Arial" w:cs="Arial"/>
        </w:rPr>
        <w:t>późn</w:t>
      </w:r>
      <w:proofErr w:type="spellEnd"/>
      <w:r w:rsidRPr="00206384">
        <w:rPr>
          <w:rFonts w:ascii="Arial" w:hAnsi="Arial" w:cs="Arial"/>
        </w:rPr>
        <w:t>. zm.), m. in. informacje związane z przygotowywaniem przez doradcę akcjonariusza badań, porad i rekomendacji dotyczących głosowania, informacje o stosowanych przez doradcę akcjonariusza zasad etyki zawodowej oraz sprawozdania dotyczące stosowania tych zasad, informacje dotyczące ewentualnego niestosowania tych zasad lub częściowego odstąpienia od ich stosowania oraz wyniki głosowań walnego zgromadzenia, o których mowa w art. 421 tej ustawy;</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 xml:space="preserve">ustawy z dnia 27 maja 2004 r. o funduszach inwestycyjnych i zarządzaniu alternatywnymi funduszami inwestycyjnymi (Dz. U. z 2024 r. poz. 1034, z </w:t>
      </w:r>
      <w:proofErr w:type="spellStart"/>
      <w:r w:rsidRPr="00206384">
        <w:rPr>
          <w:rFonts w:ascii="Arial" w:hAnsi="Arial" w:cs="Arial"/>
        </w:rPr>
        <w:t>późn</w:t>
      </w:r>
      <w:proofErr w:type="spellEnd"/>
      <w:r w:rsidRPr="00206384">
        <w:rPr>
          <w:rFonts w:ascii="Arial" w:hAnsi="Arial" w:cs="Arial"/>
        </w:rPr>
        <w:t xml:space="preserve">. zm.), m. in. </w:t>
      </w:r>
      <w:r w:rsidRPr="00206384">
        <w:rPr>
          <w:rFonts w:ascii="Arial" w:hAnsi="Arial" w:cs="Arial"/>
        </w:rPr>
        <w:lastRenderedPageBreak/>
        <w:t>polityki dotyczące zaangażowania, które opisują, w jaki sposób zaangażowanie akcjonariuszy spółek jest uwzględnianie w strategii inwestycyjnej funduszu, alternatywnej spółki inwestycyjnej oraz sprawozdania z realizacji polityk oraz kwartalne informacje o udzielonych oraz cofniętych przez KNF zezwoleniach na zarządzanie alternatywnymi funduszami inwestycyjnymi oraz zezwoleniach na wykonywanie działalności przez zarządzającego ASI;</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ustawy z dnia 15 kwietnia 2005 r. o nadzorze uzupełniającym nad instytucjami kredytowymi, zakładami ubezpieczeń, zakładami reasekuracji i firmami inwestycyjnymi wchodzącymi w skład konglomeratu finansowego (Dz. U. z 2020 r. poz. 1413), m. in. szczegółowe informacje o strukturze prawnej, strukturze zarządzania i strukturze organizacyjnej podmiotów regulowanych wchodzących w skład konglomeratu finansowego, w tym o podmiotach zależnych niebędących podmiotami regulowanymi oraz istotnych oddziałach instytucji kredytowych, istotnych oddziałach domów maklerskich i istotnych oddziałach zakładów reasekuracji;</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 xml:space="preserve">ustawy z dnia 29 lipca 2005 r. o ofercie publicznej i warunkach wprowadzania instrumentów finansowych do zorganizowanego systemu obrotu oraz o spółkach publicznych (Dz. U. z 2024 r. poz. 620, z </w:t>
      </w:r>
      <w:proofErr w:type="spellStart"/>
      <w:r w:rsidRPr="00206384">
        <w:rPr>
          <w:rFonts w:ascii="Arial" w:hAnsi="Arial" w:cs="Arial"/>
        </w:rPr>
        <w:t>późn</w:t>
      </w:r>
      <w:proofErr w:type="spellEnd"/>
      <w:r w:rsidRPr="00206384">
        <w:rPr>
          <w:rFonts w:ascii="Arial" w:hAnsi="Arial" w:cs="Arial"/>
        </w:rPr>
        <w:t>. zm.), m. in. polityki wynagrodzeń spółek oraz uchwały w sprawie polityki wynagrodzeń, coroczne sprawozdania o wynagrodzeniach przedstawiające kompleksowy przegląd wynagrodzeń, w tym wszystkich świadczeń, niezależnie od ich formy, otrzymanych przez poszczególnych członków zarządu i rady nadzorczej lub należnych poszczególnym członkom zarządu i rady nadzorczej w ostatnim roku obrotowym, zgodnie z polityką wynagrodzeń spółki oraz treść decyzji KNF w sprawie wniosku wzywającego o udzielenie zgody na zaproponowanie w wezwaniu ceny niespełniającej wymaganych kryteriów wraz z uzasadnieniem;</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 xml:space="preserve">ustawy z dnia 29 lipca 2005 r. o nadzorze nad rynkiem kapitałowym (Dz. U. z 2024 r. poz. 1161, z </w:t>
      </w:r>
      <w:proofErr w:type="spellStart"/>
      <w:r w:rsidRPr="00206384">
        <w:rPr>
          <w:rFonts w:ascii="Arial" w:hAnsi="Arial" w:cs="Arial"/>
        </w:rPr>
        <w:t>późn</w:t>
      </w:r>
      <w:proofErr w:type="spellEnd"/>
      <w:r w:rsidRPr="00206384">
        <w:rPr>
          <w:rFonts w:ascii="Arial" w:hAnsi="Arial" w:cs="Arial"/>
        </w:rPr>
        <w:t>. zm.), m. in. informacje o przypadkach naruszenia przepisów, informacje o środkach prawnych podjętych przez KNF w celu przeciwdziałania takim naruszeniom oraz informacje o zaistnieniu okoliczności i wskazujących na dokonanie manipulacji lub popełnieniu przestępstwa lub wykroczenia;</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 xml:space="preserve">ustawy z dnia 29 lipca 2005 r. o obrocie instrumentami finansowymi (Dz. z 2024 r. poz. 722, z </w:t>
      </w:r>
      <w:proofErr w:type="spellStart"/>
      <w:r w:rsidRPr="00206384">
        <w:rPr>
          <w:rFonts w:ascii="Arial" w:hAnsi="Arial" w:cs="Arial"/>
        </w:rPr>
        <w:t>późn</w:t>
      </w:r>
      <w:proofErr w:type="spellEnd"/>
      <w:r w:rsidRPr="00206384">
        <w:rPr>
          <w:rFonts w:ascii="Arial" w:hAnsi="Arial" w:cs="Arial"/>
        </w:rPr>
        <w:t>. zm.), m.in. listy akcjonariuszy spółek prowadzących rynek regulowany i zmiany na listach, informacje o podjęciu decyzji przez firmę inwestycyjną prowadzącą ASO lub OTF o zawieszeniu lub wykluczeniu z obrotu instrumentów pochodnych powiązanych z zawieszonym lub wykluczonym z obrotu instrumentem finansowym, zezwolenia wydane przez KNF na prowadzenie ASO lub OTF udzielone spółce prowadzącej rynek regulowany, zezwolenia na prowadzenie działalności maklerskiej, zezwolenia na prowadzenie przez firmę inwestycyjną ASO lub OTF oraz informacje, czy dom maklerski jest stroną umowy o udzielenie wsparcia finansowego;</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 xml:space="preserve">ustawy z dnia 5 sierpnia 2015 r. o nadzorze </w:t>
      </w:r>
      <w:proofErr w:type="spellStart"/>
      <w:r w:rsidRPr="00206384">
        <w:rPr>
          <w:rFonts w:ascii="Arial" w:hAnsi="Arial" w:cs="Arial"/>
        </w:rPr>
        <w:t>makroostrożnościowym</w:t>
      </w:r>
      <w:proofErr w:type="spellEnd"/>
      <w:r w:rsidRPr="00206384">
        <w:rPr>
          <w:rFonts w:ascii="Arial" w:hAnsi="Arial" w:cs="Arial"/>
        </w:rPr>
        <w:t xml:space="preserve"> nad systemem finansowym i zarządzaniu kryzysowym w systemie finansowym (Dz. U. z 2024 r. poz. 559), m.in. informacje o zidentyfikowanych przez KNF globalnych instytucjach o znaczeniu systemowym oraz innych instytucjach o znaczeniu systemowym, kategoriach przyporządkowania poszczególnych globalnych instytucji o znaczeniu systemowym, uzasadnieniu przyporządkowania do tych kategorii oraz o poziomach nałożonych buforów;</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 xml:space="preserve">ustawy z dnia 11 września 2015 r. o działalności ubezpieczeniowej i reasekuracyjnej (Dz. U. z 2024 r. poz. 838, z </w:t>
      </w:r>
      <w:proofErr w:type="spellStart"/>
      <w:r w:rsidRPr="00206384">
        <w:rPr>
          <w:rFonts w:ascii="Arial" w:hAnsi="Arial" w:cs="Arial"/>
        </w:rPr>
        <w:t>późn</w:t>
      </w:r>
      <w:proofErr w:type="spellEnd"/>
      <w:r w:rsidRPr="00206384">
        <w:rPr>
          <w:rFonts w:ascii="Arial" w:hAnsi="Arial" w:cs="Arial"/>
        </w:rPr>
        <w:t xml:space="preserve">. zm.), m.in. informacje o wydaniu przez organ nadzoru zezwolenia na wykonywanie działalności ubezpieczeniowej lub reasekuracyjnej dla krajowego zakładu ubezpieczeń i dla krajowego zakładu reasekuracji, politykę </w:t>
      </w:r>
      <w:r w:rsidRPr="00206384">
        <w:rPr>
          <w:rFonts w:ascii="Arial" w:hAnsi="Arial" w:cs="Arial"/>
        </w:rPr>
        <w:lastRenderedPageBreak/>
        <w:t>zaangażowania zakładu ubezpieczeń i zakładu reasekuracji w spółkę notowaną na rynku regulowanym, sprawozdanie z realizacji tej polityki lub wyjaśnienie powodów ich nieopracowania lub nieopublikowania oraz sprawozdania o wypłacalności i kondycji finansowej zakładów ubezpieczeń i zakładów reasekuracji;</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ustawy z dnia 10 czerwca 2016 r. o Bankowym Funduszu Gwarancyjnym, systemie gwarantowania depozytów oraz przymusowej restrukturyzacji (Dz. U. z 2024 r. poz. 487), m.in. informacje w zakresie funduszy własnych, zobowiązań kwalifikowalnych i innych zobowiązań mogących podlegać umorzeniu lub konwersji wynikających z określenia przez BFG minimalnego poziomu funduszy własnych i zobowiązań kwalifikowanych wobec danego podmiotu, decyzje BFG o wszczęciu przymusowej restrukturyzacji oraz pozostałe decyzje wydane w ramach przymusowej restrukturyzacji oraz informacje o karach nałożonych przez BFG i KNF;</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 xml:space="preserve">ustawy z dnia 11 maja 2017 r. o biegłych rewidentach, firmach audytorskich oraz nadzorze publicznym (Dz. U. z 2024 r. poz. 1035, z </w:t>
      </w:r>
      <w:proofErr w:type="spellStart"/>
      <w:r w:rsidRPr="00206384">
        <w:rPr>
          <w:rFonts w:ascii="Arial" w:hAnsi="Arial" w:cs="Arial"/>
        </w:rPr>
        <w:t>późn</w:t>
      </w:r>
      <w:proofErr w:type="spellEnd"/>
      <w:r w:rsidRPr="00206384">
        <w:rPr>
          <w:rFonts w:ascii="Arial" w:hAnsi="Arial" w:cs="Arial"/>
        </w:rPr>
        <w:t>. zm.), m.in. informacje ujęte w rejestrze biegłych rewidentów, w tym dane biegłych rewidentów i formę wykonywania zawodu, dane ujęte na liście firm audytorskich oraz informacje o popełnionych przez biegłych rewidentów przewinieniach dyscyplinarnych i orzeczonych za nie karach;</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ustawy z dnia 15 grudnia 2017 r. o dystrybucji ubezpieczeń (Dz. U. z 2024 r. poz. 1214), m.in. informacje o karach nałożonych przez KNF.</w:t>
      </w:r>
    </w:p>
    <w:p w:rsidR="00206384" w:rsidRPr="00206384" w:rsidRDefault="00206384" w:rsidP="00206384">
      <w:pPr>
        <w:spacing w:after="0"/>
        <w:jc w:val="both"/>
        <w:rPr>
          <w:rFonts w:ascii="Arial" w:hAnsi="Arial" w:cs="Arial"/>
        </w:rPr>
      </w:pPr>
      <w:r w:rsidRPr="00206384">
        <w:rPr>
          <w:rFonts w:ascii="Arial" w:hAnsi="Arial" w:cs="Arial"/>
        </w:rPr>
        <w:t>Zawarte w projekcie zmiany służące wdrożeniu do krajowego porządku prawnego dyrektywy 2024/790 zakładają, w szczególności:</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 xml:space="preserve">zmianę definicji podmiotu systematycznie </w:t>
      </w:r>
      <w:proofErr w:type="spellStart"/>
      <w:r w:rsidRPr="00206384">
        <w:rPr>
          <w:rFonts w:ascii="Arial" w:hAnsi="Arial" w:cs="Arial"/>
        </w:rPr>
        <w:t>internalizującego</w:t>
      </w:r>
      <w:proofErr w:type="spellEnd"/>
      <w:r w:rsidRPr="00206384">
        <w:rPr>
          <w:rFonts w:ascii="Arial" w:hAnsi="Arial" w:cs="Arial"/>
        </w:rPr>
        <w:t xml:space="preserve"> transakcje, tj. firmy inwestycyjnej, która w sposób zorganizowany, częsty, systematycznie i w znacznych wielkościach zawiera transakcje na własny rachunek, wykonując zlecenia klientów poza rynkiem regulowanym, alternatywnym systemem obrotu (ASO) lub zorganizowaną platformą obrotu (OTF). Dotychczasowa definicja nie uzależnia przyznania statusu takiego podmiotu od kategorii instrumentów finansowych, które są przedmiotem transakcji dokonywanych przez </w:t>
      </w:r>
      <w:proofErr w:type="spellStart"/>
      <w:r w:rsidRPr="00206384">
        <w:rPr>
          <w:rFonts w:ascii="Arial" w:hAnsi="Arial" w:cs="Arial"/>
        </w:rPr>
        <w:t>firme</w:t>
      </w:r>
      <w:proofErr w:type="spellEnd"/>
      <w:r w:rsidRPr="00206384">
        <w:rPr>
          <w:rFonts w:ascii="Arial" w:hAnsi="Arial" w:cs="Arial"/>
        </w:rPr>
        <w:t xml:space="preserve"> inwestycyjną – po zmianie definicja zostanie ograniczona do podmiotów zawierających transakcje na instrumentach udziałowych;</w:t>
      </w:r>
    </w:p>
    <w:p w:rsidR="00206384" w:rsidRP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 xml:space="preserve">zniesienie obowiązku sporządzania i udostępniania przez systemy obrotu (rynek regulowany, ASO i OTF oraz podmioty systematycznie </w:t>
      </w:r>
      <w:proofErr w:type="spellStart"/>
      <w:r w:rsidRPr="00206384">
        <w:rPr>
          <w:rFonts w:ascii="Arial" w:hAnsi="Arial" w:cs="Arial"/>
        </w:rPr>
        <w:t>internalizujące</w:t>
      </w:r>
      <w:proofErr w:type="spellEnd"/>
      <w:r w:rsidRPr="00206384">
        <w:rPr>
          <w:rFonts w:ascii="Arial" w:hAnsi="Arial" w:cs="Arial"/>
        </w:rPr>
        <w:t xml:space="preserve"> transakcje) corocznych danych dotyczących jakości wykonywanych transakcji w tym systemie, a także nałożonego na firmy inwestycyjne wykonujące zlecenia klientów obowiązku udostępniania informacji z wykazem pięciu systemów wykonywania zleceń najlepszych pod względem wolumenu obrotów (</w:t>
      </w:r>
      <w:proofErr w:type="spellStart"/>
      <w:r w:rsidRPr="00206384">
        <w:rPr>
          <w:rFonts w:ascii="Arial" w:hAnsi="Arial" w:cs="Arial"/>
        </w:rPr>
        <w:t>best</w:t>
      </w:r>
      <w:proofErr w:type="spellEnd"/>
      <w:r w:rsidRPr="00206384">
        <w:rPr>
          <w:rFonts w:ascii="Arial" w:hAnsi="Arial" w:cs="Arial"/>
        </w:rPr>
        <w:t xml:space="preserve"> </w:t>
      </w:r>
      <w:proofErr w:type="spellStart"/>
      <w:r w:rsidRPr="00206384">
        <w:rPr>
          <w:rFonts w:ascii="Arial" w:hAnsi="Arial" w:cs="Arial"/>
        </w:rPr>
        <w:t>execution</w:t>
      </w:r>
      <w:proofErr w:type="spellEnd"/>
      <w:r w:rsidRPr="00206384">
        <w:rPr>
          <w:rFonts w:ascii="Arial" w:hAnsi="Arial" w:cs="Arial"/>
        </w:rPr>
        <w:t xml:space="preserve">). Badania przeprowadzone przez Komisję Europejską wykazały, że inwestorzy nie korzystali z tych informacji, z drugiej strony ich sporządzanie i udostępnianie wiąże się z kosztami po stronie firm inwestycyjnych i systemów obrotu; </w:t>
      </w:r>
    </w:p>
    <w:p w:rsidR="00206384" w:rsidRDefault="00206384" w:rsidP="00206384">
      <w:pPr>
        <w:spacing w:after="0"/>
        <w:jc w:val="both"/>
        <w:rPr>
          <w:rFonts w:ascii="Arial" w:hAnsi="Arial" w:cs="Arial"/>
        </w:rPr>
      </w:pPr>
      <w:r w:rsidRPr="00206384">
        <w:rPr>
          <w:rFonts w:ascii="Arial" w:hAnsi="Arial" w:cs="Arial"/>
        </w:rPr>
        <w:t>•</w:t>
      </w:r>
      <w:r w:rsidRPr="00206384">
        <w:rPr>
          <w:rFonts w:ascii="Arial" w:hAnsi="Arial" w:cs="Arial"/>
        </w:rPr>
        <w:tab/>
        <w:t>zmianę wymogów dotyczących reakcji systemów obrotu na znaczące wahania cen instrumentów finansowych, przede wszystkim przez zwiększenie transparentności tego procesu w wyniku wprowadzenia obowiązku upubliczniania przez podmioty prowadzące systemy obrotu informacji na temat okoliczności prowadzących do wstrzymania lub ograniczenia obrotu oraz sposobu wyznaczania parametrów skutkujących wstrzymaniem lub ograniczeniem obrotu.</w:t>
      </w:r>
    </w:p>
    <w:p w:rsidR="00206384" w:rsidRDefault="00206384" w:rsidP="00206384">
      <w:pPr>
        <w:spacing w:after="0"/>
        <w:jc w:val="both"/>
        <w:rPr>
          <w:rFonts w:ascii="Arial" w:hAnsi="Arial" w:cs="Arial"/>
        </w:rPr>
      </w:pPr>
    </w:p>
    <w:p w:rsidR="00206384" w:rsidRPr="00206384" w:rsidRDefault="00206384" w:rsidP="00206384">
      <w:pPr>
        <w:spacing w:after="0"/>
        <w:jc w:val="both"/>
        <w:rPr>
          <w:rFonts w:ascii="Arial" w:hAnsi="Arial" w:cs="Arial"/>
        </w:rPr>
      </w:pPr>
      <w:r w:rsidRPr="00206384">
        <w:rPr>
          <w:rFonts w:ascii="Arial" w:hAnsi="Arial" w:cs="Arial"/>
        </w:rPr>
        <w:t xml:space="preserve">Przedmiotowy projekt aktu prawnego wraz z Uzasadnieniem, Oceną Skutków Regulacji, Tabelą zgodności ESAP oraz Tabelą zgodności </w:t>
      </w:r>
      <w:proofErr w:type="spellStart"/>
      <w:r w:rsidRPr="00206384">
        <w:rPr>
          <w:rFonts w:ascii="Arial" w:hAnsi="Arial" w:cs="Arial"/>
        </w:rPr>
        <w:t>MiFID</w:t>
      </w:r>
      <w:proofErr w:type="spellEnd"/>
      <w:r w:rsidRPr="00206384">
        <w:rPr>
          <w:rFonts w:ascii="Arial" w:hAnsi="Arial" w:cs="Arial"/>
        </w:rPr>
        <w:t xml:space="preserve"> dostępny jest na stronach Rządowego Centrum Legislacji pod adresem:</w:t>
      </w:r>
    </w:p>
    <w:p w:rsidR="00206384" w:rsidRDefault="00206384" w:rsidP="00206384">
      <w:pPr>
        <w:spacing w:after="0"/>
        <w:jc w:val="both"/>
        <w:rPr>
          <w:rFonts w:ascii="Arial" w:hAnsi="Arial" w:cs="Arial"/>
        </w:rPr>
      </w:pPr>
      <w:hyperlink r:id="rId7" w:history="1">
        <w:r w:rsidRPr="00CE2803">
          <w:rPr>
            <w:rStyle w:val="Hipercze"/>
            <w:rFonts w:ascii="Arial" w:hAnsi="Arial" w:cs="Arial"/>
          </w:rPr>
          <w:t>https://legislacja.rcl.gov.pl/projekt/123</w:t>
        </w:r>
        <w:r w:rsidRPr="00CE2803">
          <w:rPr>
            <w:rStyle w:val="Hipercze"/>
            <w:rFonts w:ascii="Arial" w:hAnsi="Arial" w:cs="Arial"/>
          </w:rPr>
          <w:t>9</w:t>
        </w:r>
        <w:r w:rsidRPr="00CE2803">
          <w:rPr>
            <w:rStyle w:val="Hipercze"/>
            <w:rFonts w:ascii="Arial" w:hAnsi="Arial" w:cs="Arial"/>
          </w:rPr>
          <w:t>3951/katalog/13108357#13108357</w:t>
        </w:r>
      </w:hyperlink>
      <w:r>
        <w:rPr>
          <w:rFonts w:ascii="Arial" w:hAnsi="Arial" w:cs="Arial"/>
        </w:rPr>
        <w:t xml:space="preserve"> </w:t>
      </w:r>
    </w:p>
    <w:p w:rsidR="00206384" w:rsidRDefault="00206384" w:rsidP="00206384">
      <w:pPr>
        <w:spacing w:after="0"/>
        <w:jc w:val="both"/>
        <w:rPr>
          <w:rFonts w:ascii="Arial" w:hAnsi="Arial" w:cs="Arial"/>
        </w:rPr>
      </w:pPr>
      <w:r w:rsidRPr="00206384">
        <w:rPr>
          <w:rFonts w:ascii="Arial" w:hAnsi="Arial" w:cs="Arial"/>
        </w:rPr>
        <w:lastRenderedPageBreak/>
        <w:t>Projekt jest obecnie jednocześnie na etapie uzgodnień, konsultacji publicznych i opiniowania.</w:t>
      </w:r>
    </w:p>
    <w:p w:rsidR="00E34B7F" w:rsidRPr="00206384" w:rsidRDefault="00E34B7F" w:rsidP="00206384">
      <w:pPr>
        <w:spacing w:after="0"/>
        <w:jc w:val="both"/>
        <w:rPr>
          <w:rFonts w:ascii="Arial" w:hAnsi="Arial" w:cs="Arial"/>
        </w:rPr>
      </w:pPr>
    </w:p>
    <w:p w:rsidR="00E34B7F" w:rsidRDefault="00E34B7F" w:rsidP="00206384">
      <w:pPr>
        <w:spacing w:after="0"/>
        <w:jc w:val="both"/>
        <w:rPr>
          <w:rFonts w:ascii="Arial" w:hAnsi="Arial" w:cs="Arial"/>
        </w:rPr>
      </w:pPr>
    </w:p>
    <w:p w:rsidR="00E34B7F" w:rsidRDefault="00E34B7F" w:rsidP="00206384">
      <w:pPr>
        <w:spacing w:after="0"/>
        <w:jc w:val="both"/>
        <w:rPr>
          <w:rFonts w:ascii="Arial" w:hAnsi="Arial" w:cs="Arial"/>
        </w:rPr>
      </w:pPr>
      <w:r>
        <w:rPr>
          <w:rFonts w:ascii="Arial" w:hAnsi="Arial" w:cs="Arial"/>
        </w:rPr>
        <w:t>Projekty rozporządzeń:</w:t>
      </w:r>
    </w:p>
    <w:p w:rsidR="00206384" w:rsidRDefault="00206384" w:rsidP="00206384">
      <w:pPr>
        <w:spacing w:after="0"/>
        <w:jc w:val="both"/>
        <w:rPr>
          <w:rFonts w:ascii="Arial" w:hAnsi="Arial" w:cs="Arial"/>
        </w:rPr>
      </w:pPr>
    </w:p>
    <w:p w:rsidR="00E34B7F" w:rsidRPr="00206384" w:rsidRDefault="00206384" w:rsidP="00206384">
      <w:pPr>
        <w:pStyle w:val="Akapitzlist"/>
        <w:numPr>
          <w:ilvl w:val="0"/>
          <w:numId w:val="4"/>
        </w:numPr>
        <w:spacing w:after="0"/>
        <w:jc w:val="both"/>
        <w:rPr>
          <w:rFonts w:ascii="Arial" w:hAnsi="Arial" w:cs="Arial"/>
          <w:b/>
          <w:u w:val="single"/>
        </w:rPr>
      </w:pPr>
      <w:r w:rsidRPr="00206384">
        <w:rPr>
          <w:rFonts w:ascii="Arial" w:hAnsi="Arial" w:cs="Arial"/>
          <w:b/>
          <w:u w:val="single"/>
        </w:rPr>
        <w:t>Projekt rozporządzenia Ministra Cyfryzacji w sprawie reklamacji usługi komunikacji elektronicznej lub usługi fakultatywnego obciążania rachunku (numer z wykazu 11)</w:t>
      </w:r>
    </w:p>
    <w:p w:rsidR="00206384" w:rsidRDefault="00206384" w:rsidP="00206384">
      <w:pPr>
        <w:spacing w:after="0"/>
        <w:jc w:val="both"/>
        <w:rPr>
          <w:rFonts w:ascii="Arial" w:hAnsi="Arial" w:cs="Arial"/>
        </w:rPr>
      </w:pPr>
    </w:p>
    <w:p w:rsidR="00206384" w:rsidRPr="00206384" w:rsidRDefault="00206384" w:rsidP="00206384">
      <w:pPr>
        <w:spacing w:after="0"/>
        <w:jc w:val="both"/>
        <w:rPr>
          <w:rFonts w:ascii="Arial" w:hAnsi="Arial" w:cs="Arial"/>
        </w:rPr>
      </w:pPr>
      <w:r w:rsidRPr="00206384">
        <w:rPr>
          <w:rFonts w:ascii="Arial" w:hAnsi="Arial" w:cs="Arial"/>
        </w:rPr>
        <w:t>Konieczność wydania nowego rozporządzenia wynika z zastąpienia ustawy z dnia 16 lipca 2004 r. – Prawo telekomunikacyjne (Dz. U. z 2024 r. poz. 34, 731 i 834), zwanej dalej „Pt”, nową ustawą regulującą rynek komunikacji elektronicznej w Polsce, tj. ustawą z dnia 12 lipca 2024 r. – Prawo komunikacji elektronicznej, zwanej dalej „PKE”.</w:t>
      </w:r>
    </w:p>
    <w:p w:rsidR="00206384" w:rsidRPr="00206384" w:rsidRDefault="00206384" w:rsidP="00206384">
      <w:pPr>
        <w:spacing w:after="0"/>
        <w:jc w:val="both"/>
        <w:rPr>
          <w:rFonts w:ascii="Arial" w:hAnsi="Arial" w:cs="Arial"/>
        </w:rPr>
      </w:pPr>
      <w:r w:rsidRPr="00206384">
        <w:rPr>
          <w:rFonts w:ascii="Arial" w:hAnsi="Arial" w:cs="Arial"/>
        </w:rPr>
        <w:t xml:space="preserve">Dotychczasowe przepisy wykonawcze wydane na podstawie art. 106 ust. 4 Pt, tj. rozporządzenie Ministra Administracji i Cyfryzacji z dnia 24 lutego 2014 r. w sprawie reklamacji usługi telekomunikacyjnej (Dz. U. poz. 284), zachowują moc do dnia wejścia w życie przepisów wykonawczych wydanych na podstawie art. 378 ust. 7 PKE, jednak nie dłużej niż przez 24 miesiące od dnia wejścia w życie tej ustawy (zgodnie z art. 104 pkt 9 </w:t>
      </w:r>
      <w:r w:rsidR="00BE09EF">
        <w:rPr>
          <w:rFonts w:ascii="Arial" w:hAnsi="Arial" w:cs="Arial"/>
        </w:rPr>
        <w:t>ustawy z dnia 12 lipca 2024 r.</w:t>
      </w:r>
      <w:r w:rsidRPr="00206384">
        <w:rPr>
          <w:rFonts w:ascii="Arial" w:hAnsi="Arial" w:cs="Arial"/>
        </w:rPr>
        <w:t xml:space="preserve"> Przepisy wprowadzające ustawę – Prawo komunikacji elektronicznej (Dz. U. poz. 1222)).</w:t>
      </w:r>
    </w:p>
    <w:p w:rsidR="00206384" w:rsidRPr="00206384" w:rsidRDefault="00206384" w:rsidP="00206384">
      <w:pPr>
        <w:spacing w:after="0"/>
        <w:jc w:val="both"/>
        <w:rPr>
          <w:rFonts w:ascii="Arial" w:hAnsi="Arial" w:cs="Arial"/>
        </w:rPr>
      </w:pPr>
      <w:r w:rsidRPr="00206384">
        <w:rPr>
          <w:rFonts w:ascii="Arial" w:hAnsi="Arial" w:cs="Arial"/>
        </w:rPr>
        <w:t>Przepis art. 378 ust. 7 PKE wprowadza zatem upoważnienie dla ministra właściwego do spraw informatyzacji do wydania aktu wykonawczego określającego szczegółowy tryb postępowania reklamacyjnego oraz elementy, jakie powinna zawierać odpowiedź na reklamację przedmiotowych usług z uwzględnieniem powodów (tytułu) do reklamacji wynikających z art. 378 ust. 1 PKE oraz wytycznych do określenia rozporządzenia (mając na uwadze niezbędną ochronę interesu użytkownika końcowego, maksymalne uproszczenie procedury reklamacyjnej oraz zapewnienie jej przejrzystości).</w:t>
      </w:r>
    </w:p>
    <w:p w:rsidR="00206384" w:rsidRPr="00206384" w:rsidRDefault="00206384" w:rsidP="00206384">
      <w:pPr>
        <w:spacing w:after="0"/>
        <w:jc w:val="both"/>
        <w:rPr>
          <w:rFonts w:ascii="Arial" w:hAnsi="Arial" w:cs="Arial"/>
        </w:rPr>
      </w:pPr>
      <w:r w:rsidRPr="00206384">
        <w:rPr>
          <w:rFonts w:ascii="Arial" w:hAnsi="Arial" w:cs="Arial"/>
        </w:rPr>
        <w:t>Rozporządzenie określa szczegółowy tryb postępowania reklamacyjnego oraz elementy, jakie powinna zawierać  odpowiedź na reklamację usługi komunikacji elektronicznej lub usługi fakultatywnego obciążania rachunku.</w:t>
      </w:r>
    </w:p>
    <w:p w:rsidR="00206384" w:rsidRPr="00206384" w:rsidRDefault="00206384" w:rsidP="00206384">
      <w:pPr>
        <w:spacing w:after="0"/>
        <w:jc w:val="both"/>
        <w:rPr>
          <w:rFonts w:ascii="Arial" w:hAnsi="Arial" w:cs="Arial"/>
        </w:rPr>
      </w:pPr>
      <w:r w:rsidRPr="00206384">
        <w:rPr>
          <w:rFonts w:ascii="Arial" w:hAnsi="Arial" w:cs="Arial"/>
        </w:rPr>
        <w:t xml:space="preserve">Ww. regulacje sformułowane są w sposób, który zapewniają przejrzystość, maksymalne uproszczenie procesu reklamacji oraz ochronę interesu użytkownika końcowego. </w:t>
      </w:r>
    </w:p>
    <w:p w:rsidR="00206384" w:rsidRDefault="00206384" w:rsidP="00206384">
      <w:pPr>
        <w:spacing w:after="0"/>
        <w:jc w:val="both"/>
        <w:rPr>
          <w:rFonts w:ascii="Arial" w:hAnsi="Arial" w:cs="Arial"/>
        </w:rPr>
      </w:pPr>
      <w:r w:rsidRPr="00206384">
        <w:rPr>
          <w:rFonts w:ascii="Arial" w:hAnsi="Arial" w:cs="Arial"/>
        </w:rPr>
        <w:t>Dodatkowo regulacją projektu objęta będzie nowa usługa z PKE, tj. usługa fakultatywnego obciążania rachunku.</w:t>
      </w:r>
    </w:p>
    <w:p w:rsidR="00206384" w:rsidRDefault="00206384" w:rsidP="00206384">
      <w:pPr>
        <w:spacing w:after="0"/>
        <w:jc w:val="both"/>
        <w:rPr>
          <w:rFonts w:ascii="Arial" w:hAnsi="Arial" w:cs="Arial"/>
        </w:rPr>
      </w:pPr>
    </w:p>
    <w:p w:rsidR="00BE09EF" w:rsidRPr="00BE09EF" w:rsidRDefault="00BE09EF" w:rsidP="00BE09EF">
      <w:pPr>
        <w:spacing w:after="0"/>
        <w:jc w:val="both"/>
        <w:rPr>
          <w:rFonts w:ascii="Arial" w:hAnsi="Arial" w:cs="Arial"/>
        </w:rPr>
      </w:pPr>
      <w:r w:rsidRPr="00BE09EF">
        <w:rPr>
          <w:rFonts w:ascii="Arial" w:hAnsi="Arial" w:cs="Arial"/>
        </w:rPr>
        <w:t>Przedmiotowy projekt aktu prawnego wraz z Uzasadnieniem oraz Oceną Skutków Regulacji dostępny jest na stronach Rządowego Centrum Legislacji pod adresem:</w:t>
      </w:r>
    </w:p>
    <w:p w:rsidR="00BE09EF" w:rsidRDefault="00BE09EF" w:rsidP="00BE09EF">
      <w:pPr>
        <w:spacing w:after="0"/>
        <w:jc w:val="both"/>
        <w:rPr>
          <w:rFonts w:ascii="Arial" w:hAnsi="Arial" w:cs="Arial"/>
        </w:rPr>
      </w:pPr>
      <w:hyperlink r:id="rId8" w:history="1">
        <w:r w:rsidRPr="00CE2803">
          <w:rPr>
            <w:rStyle w:val="Hipercze"/>
            <w:rFonts w:ascii="Arial" w:hAnsi="Arial" w:cs="Arial"/>
          </w:rPr>
          <w:t>https://legislacja.rcl.gov.pl/projekt/1239</w:t>
        </w:r>
        <w:r w:rsidRPr="00CE2803">
          <w:rPr>
            <w:rStyle w:val="Hipercze"/>
            <w:rFonts w:ascii="Arial" w:hAnsi="Arial" w:cs="Arial"/>
          </w:rPr>
          <w:t>3</w:t>
        </w:r>
        <w:r w:rsidRPr="00CE2803">
          <w:rPr>
            <w:rStyle w:val="Hipercze"/>
            <w:rFonts w:ascii="Arial" w:hAnsi="Arial" w:cs="Arial"/>
          </w:rPr>
          <w:t>904/katalog/13108136#13108136</w:t>
        </w:r>
      </w:hyperlink>
      <w:r>
        <w:rPr>
          <w:rFonts w:ascii="Arial" w:hAnsi="Arial" w:cs="Arial"/>
        </w:rPr>
        <w:t xml:space="preserve">  </w:t>
      </w:r>
    </w:p>
    <w:p w:rsidR="00BE09EF" w:rsidRDefault="00BE09EF" w:rsidP="00BE09EF">
      <w:pPr>
        <w:spacing w:after="0"/>
        <w:jc w:val="both"/>
        <w:rPr>
          <w:rFonts w:ascii="Arial" w:hAnsi="Arial" w:cs="Arial"/>
        </w:rPr>
      </w:pPr>
    </w:p>
    <w:p w:rsidR="00BE09EF" w:rsidRDefault="00BE09EF" w:rsidP="00BE09EF">
      <w:pPr>
        <w:spacing w:after="0"/>
        <w:jc w:val="both"/>
        <w:rPr>
          <w:rFonts w:ascii="Arial" w:hAnsi="Arial" w:cs="Arial"/>
        </w:rPr>
      </w:pPr>
      <w:r w:rsidRPr="00BE09EF">
        <w:rPr>
          <w:rFonts w:ascii="Arial" w:hAnsi="Arial" w:cs="Arial"/>
        </w:rPr>
        <w:t>Projekt jest obecnie jednocześnie na etapie uzgodnień, konsultacji publicznych i opiniowania.</w:t>
      </w:r>
    </w:p>
    <w:p w:rsidR="00BE09EF" w:rsidRPr="00206384" w:rsidRDefault="00BE09EF" w:rsidP="00206384">
      <w:pPr>
        <w:spacing w:after="0"/>
        <w:jc w:val="both"/>
        <w:rPr>
          <w:rFonts w:ascii="Arial" w:hAnsi="Arial" w:cs="Arial"/>
        </w:rPr>
      </w:pPr>
    </w:p>
    <w:p w:rsidR="00206384" w:rsidRPr="00BE09EF" w:rsidRDefault="00BE09EF" w:rsidP="00BE09EF">
      <w:pPr>
        <w:pStyle w:val="Akapitzlist"/>
        <w:numPr>
          <w:ilvl w:val="0"/>
          <w:numId w:val="4"/>
        </w:numPr>
        <w:spacing w:after="0"/>
        <w:jc w:val="both"/>
        <w:rPr>
          <w:rFonts w:ascii="Arial" w:hAnsi="Arial" w:cs="Arial"/>
          <w:b/>
          <w:u w:val="single"/>
        </w:rPr>
      </w:pPr>
      <w:r w:rsidRPr="00BE09EF">
        <w:rPr>
          <w:rFonts w:ascii="Arial" w:hAnsi="Arial" w:cs="Arial"/>
          <w:b/>
          <w:u w:val="single"/>
        </w:rPr>
        <w:t>Projekt rozporządzenia Ministra Spraw Wewnętrznych i Administracji w sprawie sposobu utrzymywania zasobów ochrony ludności przez obowiązane organy ochrony ludności (numer z wykazu 1193)</w:t>
      </w:r>
    </w:p>
    <w:p w:rsidR="00206384" w:rsidRDefault="00206384" w:rsidP="00206384">
      <w:pPr>
        <w:spacing w:after="0"/>
        <w:jc w:val="both"/>
        <w:rPr>
          <w:rFonts w:ascii="Arial" w:hAnsi="Arial" w:cs="Arial"/>
        </w:rPr>
      </w:pPr>
    </w:p>
    <w:p w:rsidR="00BE09EF" w:rsidRPr="00BE09EF" w:rsidRDefault="00BE09EF" w:rsidP="00BE09EF">
      <w:pPr>
        <w:spacing w:after="0"/>
        <w:jc w:val="both"/>
        <w:rPr>
          <w:rFonts w:ascii="Arial" w:hAnsi="Arial" w:cs="Arial"/>
        </w:rPr>
      </w:pPr>
      <w:r w:rsidRPr="00BE09EF">
        <w:rPr>
          <w:rFonts w:ascii="Arial" w:hAnsi="Arial" w:cs="Arial"/>
        </w:rPr>
        <w:t xml:space="preserve">Projekt rozporządzenia stanowi wykonanie upoważnienia zawartego w art. 33 ust. 8 ustawy z dnia 5 grudnia 2024 r. o ochronie ludności i obronie cywilnej (Dz. U. poz. 1907). Minister właściwy do spraw wewnętrznych określi, w drodze rozporządzenia, wytyczne w sprawie </w:t>
      </w:r>
      <w:r w:rsidRPr="00BE09EF">
        <w:rPr>
          <w:rFonts w:ascii="Arial" w:hAnsi="Arial" w:cs="Arial"/>
        </w:rPr>
        <w:lastRenderedPageBreak/>
        <w:t>sposobu utrzymywania zasobów ochrony ludności, z uwzględnieniem rodzajów zagrożeń w poszczególnych obszarach kraju.</w:t>
      </w:r>
    </w:p>
    <w:p w:rsidR="00BE09EF" w:rsidRPr="00BE09EF" w:rsidRDefault="00BE09EF" w:rsidP="00BE09EF">
      <w:pPr>
        <w:spacing w:after="0"/>
        <w:jc w:val="both"/>
        <w:rPr>
          <w:rFonts w:ascii="Arial" w:hAnsi="Arial" w:cs="Arial"/>
        </w:rPr>
      </w:pPr>
      <w:r w:rsidRPr="00BE09EF">
        <w:rPr>
          <w:rFonts w:ascii="Arial" w:hAnsi="Arial" w:cs="Arial"/>
        </w:rPr>
        <w:t>Rozporządzenie określa zakres asortymentu wchodzącego w skład zasobów ochrony ludności, sposób utrzymywania tych zasobów w gotowości do użycia przez obowiązane organy ochrony ludności, z uwzględnieniem rodzajów zagrożeń w poszczególnych obszarach kraju. Obowiązane organy ochrony ludności będą utrzymywać zasoby ochrony ludności przez:</w:t>
      </w:r>
    </w:p>
    <w:p w:rsidR="00BE09EF" w:rsidRPr="00BE09EF" w:rsidRDefault="00BE09EF" w:rsidP="00BE09EF">
      <w:pPr>
        <w:spacing w:after="0"/>
        <w:jc w:val="both"/>
        <w:rPr>
          <w:rFonts w:ascii="Arial" w:hAnsi="Arial" w:cs="Arial"/>
        </w:rPr>
      </w:pPr>
      <w:r w:rsidRPr="00BE09EF">
        <w:rPr>
          <w:rFonts w:ascii="Arial" w:hAnsi="Arial" w:cs="Arial"/>
        </w:rPr>
        <w:t>•</w:t>
      </w:r>
      <w:r w:rsidRPr="00BE09EF">
        <w:rPr>
          <w:rFonts w:ascii="Arial" w:hAnsi="Arial" w:cs="Arial"/>
        </w:rPr>
        <w:tab/>
        <w:t>tworzenie i utrzymanie infrastruktury zapewniającej dostęp do zasobów ochrony ludności;</w:t>
      </w:r>
    </w:p>
    <w:p w:rsidR="00BE09EF" w:rsidRPr="00BE09EF" w:rsidRDefault="00BE09EF" w:rsidP="00BE09EF">
      <w:pPr>
        <w:spacing w:after="0"/>
        <w:jc w:val="both"/>
        <w:rPr>
          <w:rFonts w:ascii="Arial" w:hAnsi="Arial" w:cs="Arial"/>
        </w:rPr>
      </w:pPr>
      <w:r w:rsidRPr="00BE09EF">
        <w:rPr>
          <w:rFonts w:ascii="Arial" w:hAnsi="Arial" w:cs="Arial"/>
        </w:rPr>
        <w:t>•</w:t>
      </w:r>
      <w:r w:rsidRPr="00BE09EF">
        <w:rPr>
          <w:rFonts w:ascii="Arial" w:hAnsi="Arial" w:cs="Arial"/>
        </w:rPr>
        <w:tab/>
        <w:t>magazynowanie zasobów ochrony ludności;</w:t>
      </w:r>
    </w:p>
    <w:p w:rsidR="00BE09EF" w:rsidRPr="00BE09EF" w:rsidRDefault="00BE09EF" w:rsidP="00BE09EF">
      <w:pPr>
        <w:spacing w:after="0"/>
        <w:jc w:val="both"/>
        <w:rPr>
          <w:rFonts w:ascii="Arial" w:hAnsi="Arial" w:cs="Arial"/>
        </w:rPr>
      </w:pPr>
      <w:r w:rsidRPr="00BE09EF">
        <w:rPr>
          <w:rFonts w:ascii="Arial" w:hAnsi="Arial" w:cs="Arial"/>
        </w:rPr>
        <w:t>•</w:t>
      </w:r>
      <w:r w:rsidRPr="00BE09EF">
        <w:rPr>
          <w:rFonts w:ascii="Arial" w:hAnsi="Arial" w:cs="Arial"/>
        </w:rPr>
        <w:tab/>
        <w:t>zawieranie umów pozwalających na zapewnienie zasobów ochrony ludności. Tworzenie infrastruktury zapewniającej m. in. dostęp do zasobów ochrony ludności będzie obejmować w szczególności urządzenia zapewniające dostęp do wody dla ludności, w tym tworzenie i utrzymywanie ujęć wody oraz urządzeń do jej transportowania. Infrastruktura zapewniająca dostęp do wody będzie utrzymywana w sposób umożliwiający nieprzerwane korzystanie z niej w sytuacji zagrożenia.</w:t>
      </w:r>
    </w:p>
    <w:p w:rsidR="00206384" w:rsidRDefault="00BE09EF" w:rsidP="00BE09EF">
      <w:pPr>
        <w:spacing w:after="0"/>
        <w:jc w:val="both"/>
        <w:rPr>
          <w:rFonts w:ascii="Arial" w:hAnsi="Arial" w:cs="Arial"/>
        </w:rPr>
      </w:pPr>
      <w:r w:rsidRPr="00BE09EF">
        <w:rPr>
          <w:rFonts w:ascii="Arial" w:hAnsi="Arial" w:cs="Arial"/>
        </w:rPr>
        <w:t>Projekt rozporządzenia zakłada również, że magazynowanie zasobów ochrony ludności może być realizowane przez zawieranie umów na magazynowanie zasobów przez inne podmioty, w tym podmioty ochrony ludności. Magazynowanie zasobów ochrony ludności będzie wykonywane w sposób umożliwiający bezpieczne przechowywanie zasobów ochrony ludności, zabezpieczenie przed ich utratą oraz ich niezwłoczne wykorzystanie w sytuacji zagrożenia. Magazynowanie odbywać się będzie w sposób uwzględniający odporność infrastruktury i zasobów, o której mowa w art. 4 ust. 2 ustawy o ochronie ludności i obronie cywilnej.</w:t>
      </w:r>
    </w:p>
    <w:p w:rsidR="00BE09EF" w:rsidRDefault="00BE09EF" w:rsidP="00206384">
      <w:pPr>
        <w:spacing w:after="0"/>
        <w:jc w:val="both"/>
        <w:rPr>
          <w:rFonts w:ascii="Arial" w:hAnsi="Arial" w:cs="Arial"/>
        </w:rPr>
      </w:pPr>
    </w:p>
    <w:p w:rsidR="00BE09EF" w:rsidRPr="00BE09EF" w:rsidRDefault="00BE09EF" w:rsidP="00BE09EF">
      <w:pPr>
        <w:spacing w:after="0"/>
        <w:jc w:val="both"/>
        <w:rPr>
          <w:rFonts w:ascii="Arial" w:hAnsi="Arial" w:cs="Arial"/>
        </w:rPr>
      </w:pPr>
      <w:r w:rsidRPr="00BE09EF">
        <w:rPr>
          <w:rFonts w:ascii="Arial" w:hAnsi="Arial" w:cs="Arial"/>
        </w:rPr>
        <w:t>Przedmiotowy projekt aktu prawnego wraz z załącznikiem, Uzasadnieniem oraz Oceną Skutków Regulacji dostępny jest na stronach Rządowego Centrum Legislacji pod adresem:</w:t>
      </w:r>
    </w:p>
    <w:p w:rsidR="00BE09EF" w:rsidRDefault="00BE09EF" w:rsidP="00BE09EF">
      <w:pPr>
        <w:spacing w:after="0"/>
        <w:jc w:val="both"/>
        <w:rPr>
          <w:rFonts w:ascii="Arial" w:hAnsi="Arial" w:cs="Arial"/>
        </w:rPr>
      </w:pPr>
      <w:hyperlink r:id="rId9" w:history="1">
        <w:r w:rsidRPr="00CE2803">
          <w:rPr>
            <w:rStyle w:val="Hipercze"/>
            <w:rFonts w:ascii="Arial" w:hAnsi="Arial" w:cs="Arial"/>
          </w:rPr>
          <w:t>https://legislacja.rcl.gov.pl/projekt</w:t>
        </w:r>
        <w:r w:rsidRPr="00CE2803">
          <w:rPr>
            <w:rStyle w:val="Hipercze"/>
            <w:rFonts w:ascii="Arial" w:hAnsi="Arial" w:cs="Arial"/>
          </w:rPr>
          <w:t>/</w:t>
        </w:r>
        <w:r w:rsidRPr="00CE2803">
          <w:rPr>
            <w:rStyle w:val="Hipercze"/>
            <w:rFonts w:ascii="Arial" w:hAnsi="Arial" w:cs="Arial"/>
          </w:rPr>
          <w:t>12393950/katalog/13108314#13108314</w:t>
        </w:r>
      </w:hyperlink>
      <w:r>
        <w:rPr>
          <w:rFonts w:ascii="Arial" w:hAnsi="Arial" w:cs="Arial"/>
        </w:rPr>
        <w:t xml:space="preserve"> </w:t>
      </w:r>
    </w:p>
    <w:p w:rsidR="00BE09EF" w:rsidRDefault="00BE09EF" w:rsidP="00BE09EF">
      <w:pPr>
        <w:spacing w:after="0"/>
        <w:jc w:val="both"/>
        <w:rPr>
          <w:rFonts w:ascii="Arial" w:hAnsi="Arial" w:cs="Arial"/>
        </w:rPr>
      </w:pPr>
    </w:p>
    <w:p w:rsidR="00BE09EF" w:rsidRDefault="00BE09EF" w:rsidP="00BE09EF">
      <w:pPr>
        <w:spacing w:after="0"/>
        <w:jc w:val="both"/>
        <w:rPr>
          <w:rFonts w:ascii="Arial" w:hAnsi="Arial" w:cs="Arial"/>
        </w:rPr>
      </w:pPr>
      <w:r w:rsidRPr="00BE09EF">
        <w:rPr>
          <w:rFonts w:ascii="Arial" w:hAnsi="Arial" w:cs="Arial"/>
        </w:rPr>
        <w:t xml:space="preserve"> </w:t>
      </w:r>
      <w:r w:rsidRPr="00BE09EF">
        <w:rPr>
          <w:rFonts w:ascii="Arial" w:hAnsi="Arial" w:cs="Arial"/>
        </w:rPr>
        <w:t>Projekt jest obecnie jednocześnie na etapie uzgodnień i opiniowania.</w:t>
      </w:r>
      <w:r w:rsidRPr="00BE09EF">
        <w:rPr>
          <w:rFonts w:ascii="Arial" w:hAnsi="Arial" w:cs="Arial"/>
        </w:rPr>
        <w:t xml:space="preserve">  </w:t>
      </w:r>
    </w:p>
    <w:p w:rsidR="00206384" w:rsidRPr="00206384" w:rsidRDefault="00206384" w:rsidP="00206384">
      <w:pPr>
        <w:spacing w:after="0"/>
        <w:jc w:val="both"/>
        <w:rPr>
          <w:rFonts w:ascii="Arial" w:hAnsi="Arial" w:cs="Arial"/>
        </w:rPr>
      </w:pPr>
    </w:p>
    <w:p w:rsidR="00206384" w:rsidRPr="00BE09EF" w:rsidRDefault="00BE09EF" w:rsidP="00BE09EF">
      <w:pPr>
        <w:pStyle w:val="Akapitzlist"/>
        <w:numPr>
          <w:ilvl w:val="0"/>
          <w:numId w:val="4"/>
        </w:numPr>
        <w:spacing w:after="0"/>
        <w:jc w:val="both"/>
        <w:rPr>
          <w:rFonts w:ascii="Arial" w:hAnsi="Arial" w:cs="Arial"/>
          <w:b/>
          <w:u w:val="single"/>
        </w:rPr>
      </w:pPr>
      <w:r w:rsidRPr="00BE09EF">
        <w:rPr>
          <w:rFonts w:ascii="Arial" w:hAnsi="Arial" w:cs="Arial"/>
          <w:b/>
          <w:u w:val="single"/>
        </w:rPr>
        <w:t>Projekt rozporządzenia Ministra Finansów w sprawie szczegółowego sposobu postępowania w zakresie nabywania lub obejmowania przez Skarb Państwa akcji ze środków Funduszu Reprywatyzacji w roku 2025 (numer z wykazu 943)</w:t>
      </w:r>
    </w:p>
    <w:p w:rsidR="00206384" w:rsidRDefault="00206384" w:rsidP="00206384">
      <w:pPr>
        <w:spacing w:after="0"/>
        <w:jc w:val="both"/>
        <w:rPr>
          <w:rFonts w:ascii="Arial" w:hAnsi="Arial" w:cs="Arial"/>
        </w:rPr>
      </w:pPr>
    </w:p>
    <w:p w:rsidR="00BE09EF" w:rsidRPr="00BE09EF" w:rsidRDefault="00BE09EF" w:rsidP="00BE09EF">
      <w:pPr>
        <w:spacing w:after="0"/>
        <w:jc w:val="both"/>
        <w:rPr>
          <w:rFonts w:ascii="Arial" w:hAnsi="Arial" w:cs="Arial"/>
        </w:rPr>
      </w:pPr>
      <w:r w:rsidRPr="00BE09EF">
        <w:rPr>
          <w:rFonts w:ascii="Arial" w:hAnsi="Arial" w:cs="Arial"/>
        </w:rPr>
        <w:t xml:space="preserve">Projektowane rozporządzenie stanowi wykonanie upoważnienia ustawowego zawartego w art. 69h ust. 4 ustawy z dnia 30 sierpnia 1996 r. o komercjalizacji i niektórych uprawnieniach pracowników (Dz. U. z 2024 r. poz. 1198, z </w:t>
      </w:r>
      <w:proofErr w:type="spellStart"/>
      <w:r w:rsidRPr="00BE09EF">
        <w:rPr>
          <w:rFonts w:ascii="Arial" w:hAnsi="Arial" w:cs="Arial"/>
        </w:rPr>
        <w:t>późn</w:t>
      </w:r>
      <w:proofErr w:type="spellEnd"/>
      <w:r w:rsidRPr="00BE09EF">
        <w:rPr>
          <w:rFonts w:ascii="Arial" w:hAnsi="Arial" w:cs="Arial"/>
        </w:rPr>
        <w:t xml:space="preserve">. zm.) dla ministra właściwego do spraw finansów publicznych do określenia, w drodze rozporządzenia, szczegółowego sposobu postępowania w zakresie nabywania lub obejmowania przez Skarb Państwa, reprezentowany przez ministra właściwego do spraw aktywów państwowych, akcji ze środków Funduszu Reprywatyzacji, zwanego dalej „Funduszem”. Środki Funduszu mogą być przeznaczane na nabywanie lub obejmowanie akcji w spółkach w roku 2025. </w:t>
      </w:r>
    </w:p>
    <w:p w:rsidR="00BE09EF" w:rsidRPr="00BE09EF" w:rsidRDefault="00BE09EF" w:rsidP="00BE09EF">
      <w:pPr>
        <w:spacing w:after="0"/>
        <w:jc w:val="both"/>
        <w:rPr>
          <w:rFonts w:ascii="Arial" w:hAnsi="Arial" w:cs="Arial"/>
        </w:rPr>
      </w:pPr>
      <w:r w:rsidRPr="00BE09EF">
        <w:rPr>
          <w:rFonts w:ascii="Arial" w:hAnsi="Arial" w:cs="Arial"/>
        </w:rPr>
        <w:t xml:space="preserve">Ustawa z dnia 21 listopada 2024 r. o szczególnych rozwiązaniach służących realizacji ustawy budżetowej na rok 2025 (Dz. U. poz. 1925) wydłużyła możliwość nabywania i obejmowania akcji ze środków Funduszu do końca 2025 r. oraz umożliwiła objęcie akcji także poprzez konwersję wierzytelności Funduszu z tytułu pożyczek, o których mowa w art. </w:t>
      </w:r>
      <w:r w:rsidRPr="00BE09EF">
        <w:rPr>
          <w:rFonts w:ascii="Arial" w:hAnsi="Arial" w:cs="Arial"/>
        </w:rPr>
        <w:lastRenderedPageBreak/>
        <w:t>56 ust. 4d 1 ustawy z dnia 30 sierpnia 1996 r. o komercjalizacji i niektórych uprawnieniach pracowników.</w:t>
      </w:r>
    </w:p>
    <w:p w:rsidR="00BE09EF" w:rsidRPr="00BE09EF" w:rsidRDefault="00BE09EF" w:rsidP="00BE09EF">
      <w:pPr>
        <w:spacing w:after="0"/>
        <w:jc w:val="both"/>
        <w:rPr>
          <w:rFonts w:ascii="Arial" w:hAnsi="Arial" w:cs="Arial"/>
        </w:rPr>
      </w:pPr>
      <w:r w:rsidRPr="00BE09EF">
        <w:rPr>
          <w:rFonts w:ascii="Arial" w:hAnsi="Arial" w:cs="Arial"/>
        </w:rPr>
        <w:t>Ponadto ustawa z dnia 15 maja 2024 r. o zmianie niektórych ustaw związanych z funkcjonowaniem administracji rządowej (Dz. U. poz. 834) w art. 5 zmieniła m.in. art. 69h ustawy z dnia 30 sierpnia 1996 r. o komercjalizacji i niektórych uprawnieniach pracowników w zakresie organu reprezentującego Skarb Państwa przy nabywaniu lub obejmowaniu akcji w spółkach. Organem tym, w miejsce Prezesa Rady Ministrów, stał się minister właściwy do spraw aktywów państwowych.</w:t>
      </w:r>
    </w:p>
    <w:p w:rsidR="00BE09EF" w:rsidRPr="00BE09EF" w:rsidRDefault="00BE09EF" w:rsidP="00BE09EF">
      <w:pPr>
        <w:spacing w:after="0"/>
        <w:jc w:val="both"/>
        <w:rPr>
          <w:rFonts w:ascii="Arial" w:hAnsi="Arial" w:cs="Arial"/>
        </w:rPr>
      </w:pPr>
      <w:r w:rsidRPr="00BE09EF">
        <w:rPr>
          <w:rFonts w:ascii="Arial" w:hAnsi="Arial" w:cs="Arial"/>
        </w:rPr>
        <w:t>W 2024 r. nie obowiązywało żadne rozporządzenie w tym zakresie. Wobec tego należy wydać rozporządzenie na rok 2025.</w:t>
      </w:r>
    </w:p>
    <w:p w:rsidR="00BE09EF" w:rsidRPr="00BE09EF" w:rsidRDefault="00BE09EF" w:rsidP="00BE09EF">
      <w:pPr>
        <w:spacing w:after="0"/>
        <w:jc w:val="both"/>
        <w:rPr>
          <w:rFonts w:ascii="Arial" w:hAnsi="Arial" w:cs="Arial"/>
        </w:rPr>
      </w:pPr>
      <w:r w:rsidRPr="00BE09EF">
        <w:rPr>
          <w:rFonts w:ascii="Arial" w:hAnsi="Arial" w:cs="Arial"/>
        </w:rPr>
        <w:t>Rekomendowane rozwiązania:</w:t>
      </w:r>
    </w:p>
    <w:p w:rsidR="00BE09EF" w:rsidRPr="00BE09EF" w:rsidRDefault="00BE09EF" w:rsidP="00BE09EF">
      <w:pPr>
        <w:spacing w:after="0"/>
        <w:jc w:val="both"/>
        <w:rPr>
          <w:rFonts w:ascii="Arial" w:hAnsi="Arial" w:cs="Arial"/>
        </w:rPr>
      </w:pPr>
      <w:r w:rsidRPr="00BE09EF">
        <w:rPr>
          <w:rFonts w:ascii="Arial" w:hAnsi="Arial" w:cs="Arial"/>
        </w:rPr>
        <w:t>•</w:t>
      </w:r>
      <w:r w:rsidRPr="00BE09EF">
        <w:rPr>
          <w:rFonts w:ascii="Arial" w:hAnsi="Arial" w:cs="Arial"/>
        </w:rPr>
        <w:tab/>
        <w:t>Umowę nabycia akcji lub umowę inwestycyjną dotyczącą objęcia akcji przez Skarb Państwa ze środków Funduszu zawiera minister właściwy do spraw aktywów państwowych.</w:t>
      </w:r>
    </w:p>
    <w:p w:rsidR="00BE09EF" w:rsidRPr="00BE09EF" w:rsidRDefault="00BE09EF" w:rsidP="00BE09EF">
      <w:pPr>
        <w:spacing w:after="0"/>
        <w:jc w:val="both"/>
        <w:rPr>
          <w:rFonts w:ascii="Arial" w:hAnsi="Arial" w:cs="Arial"/>
        </w:rPr>
      </w:pPr>
      <w:r w:rsidRPr="00BE09EF">
        <w:rPr>
          <w:rFonts w:ascii="Arial" w:hAnsi="Arial" w:cs="Arial"/>
        </w:rPr>
        <w:t>•</w:t>
      </w:r>
      <w:r w:rsidRPr="00BE09EF">
        <w:rPr>
          <w:rFonts w:ascii="Arial" w:hAnsi="Arial" w:cs="Arial"/>
        </w:rPr>
        <w:tab/>
        <w:t>Przekazanie środków lub skarbowych papierów wartościowych, o których mowa w art. 10 ust. 1 ustawy z dnia 16 stycznia 2024 r. o szczególnych rozwiązaniach służących realizacji ustawy budżetowej na rok 2024 z Funduszu na sfinansowanie nabycia lub objęcia przez Skarb Państwa akcji spółek publicznych lub akcji spółek kapitałowych będzie następowało na pisemne zlecenie składane dysponentowi Funduszu przez ministra właściwego do spraw aktywów państwowych.</w:t>
      </w:r>
    </w:p>
    <w:p w:rsidR="00BE09EF" w:rsidRPr="00BE09EF" w:rsidRDefault="00BE09EF" w:rsidP="00BE09EF">
      <w:pPr>
        <w:spacing w:after="0"/>
        <w:jc w:val="both"/>
        <w:rPr>
          <w:rFonts w:ascii="Arial" w:hAnsi="Arial" w:cs="Arial"/>
        </w:rPr>
      </w:pPr>
      <w:r w:rsidRPr="00BE09EF">
        <w:rPr>
          <w:rFonts w:ascii="Arial" w:hAnsi="Arial" w:cs="Arial"/>
        </w:rPr>
        <w:t>•</w:t>
      </w:r>
      <w:r w:rsidRPr="00BE09EF">
        <w:rPr>
          <w:rFonts w:ascii="Arial" w:hAnsi="Arial" w:cs="Arial"/>
        </w:rPr>
        <w:tab/>
        <w:t>Objęcie akcji będzie mogło nastąpić także poprzez konwersję wierzytelności Funduszu z tytułu pożyczek, o których mowa w art. 56 ust. 4d 1 ustawy z dnia 30 sierpnia 1996 r. o komercjalizacji i niektórych uprawnieniach pracowników.</w:t>
      </w:r>
    </w:p>
    <w:p w:rsidR="00BE09EF" w:rsidRPr="00BE09EF" w:rsidRDefault="00BE09EF" w:rsidP="00BE09EF">
      <w:pPr>
        <w:spacing w:after="0"/>
        <w:jc w:val="both"/>
        <w:rPr>
          <w:rFonts w:ascii="Arial" w:hAnsi="Arial" w:cs="Arial"/>
        </w:rPr>
      </w:pPr>
      <w:r w:rsidRPr="00BE09EF">
        <w:rPr>
          <w:rFonts w:ascii="Arial" w:hAnsi="Arial" w:cs="Arial"/>
        </w:rPr>
        <w:t>•</w:t>
      </w:r>
      <w:r w:rsidRPr="00BE09EF">
        <w:rPr>
          <w:rFonts w:ascii="Arial" w:hAnsi="Arial" w:cs="Arial"/>
        </w:rPr>
        <w:tab/>
        <w:t>W celu stwierdzenia, czy Skarb Państwa, obejmując akcje będzie działał na warunkach akceptowalnych dla inwestora prywatnego, niezależny podmiot zewnętrzny o uznanej pozycji na rynku świadczonych usług będzie sporządzał test prywatnego inwestora.</w:t>
      </w:r>
    </w:p>
    <w:p w:rsidR="00BE09EF" w:rsidRPr="00BE09EF" w:rsidRDefault="00BE09EF" w:rsidP="00BE09EF">
      <w:pPr>
        <w:spacing w:after="0"/>
        <w:jc w:val="both"/>
        <w:rPr>
          <w:rFonts w:ascii="Arial" w:hAnsi="Arial" w:cs="Arial"/>
        </w:rPr>
      </w:pPr>
      <w:r w:rsidRPr="00BE09EF">
        <w:rPr>
          <w:rFonts w:ascii="Arial" w:hAnsi="Arial" w:cs="Arial"/>
        </w:rPr>
        <w:t>•</w:t>
      </w:r>
      <w:r w:rsidRPr="00BE09EF">
        <w:rPr>
          <w:rFonts w:ascii="Arial" w:hAnsi="Arial" w:cs="Arial"/>
        </w:rPr>
        <w:tab/>
        <w:t>Dysponent Funduszu będzie prowadził obsługę finansowo-księgową realizacji umowy nabycia akcji, umowy inwestycyjnej dotyczącej objęcia akcji oraz umowy objęcia akcji ze środków Funduszu.</w:t>
      </w:r>
    </w:p>
    <w:p w:rsidR="00206384" w:rsidRDefault="00BE09EF" w:rsidP="00BE09EF">
      <w:pPr>
        <w:spacing w:after="0"/>
        <w:jc w:val="both"/>
        <w:rPr>
          <w:rFonts w:ascii="Arial" w:hAnsi="Arial" w:cs="Arial"/>
        </w:rPr>
      </w:pPr>
      <w:r w:rsidRPr="00BE09EF">
        <w:rPr>
          <w:rFonts w:ascii="Arial" w:hAnsi="Arial" w:cs="Arial"/>
        </w:rPr>
        <w:t>Wprowadzone rozwiązania uwzględniają potrzebę zapewnienia prawidłowej gospodarki finansowej Funduszu oraz ochronę interesów Skarbu Państwa.</w:t>
      </w:r>
    </w:p>
    <w:p w:rsidR="00BE09EF" w:rsidRDefault="00BE09EF" w:rsidP="00206384">
      <w:pPr>
        <w:spacing w:after="0"/>
        <w:jc w:val="both"/>
        <w:rPr>
          <w:rFonts w:ascii="Arial" w:hAnsi="Arial" w:cs="Arial"/>
        </w:rPr>
      </w:pPr>
    </w:p>
    <w:p w:rsidR="00BE09EF" w:rsidRPr="00BE09EF" w:rsidRDefault="00BE09EF" w:rsidP="00BE09EF">
      <w:pPr>
        <w:spacing w:after="0"/>
        <w:jc w:val="both"/>
        <w:rPr>
          <w:rFonts w:ascii="Arial" w:hAnsi="Arial" w:cs="Arial"/>
        </w:rPr>
      </w:pPr>
      <w:r w:rsidRPr="00BE09EF">
        <w:rPr>
          <w:rFonts w:ascii="Arial" w:hAnsi="Arial" w:cs="Arial"/>
        </w:rPr>
        <w:t>Przedmiotowy projekt aktu prawnego wraz z Uzasadnieniem oraz Oceną Skutków Regulacji dostępny jest na stronach Rządowego Centrum Legislacji pod adresem:</w:t>
      </w:r>
    </w:p>
    <w:p w:rsidR="00BE09EF" w:rsidRDefault="00BE09EF" w:rsidP="00BE09EF">
      <w:pPr>
        <w:spacing w:after="0"/>
        <w:jc w:val="both"/>
        <w:rPr>
          <w:rFonts w:ascii="Arial" w:hAnsi="Arial" w:cs="Arial"/>
        </w:rPr>
      </w:pPr>
      <w:hyperlink r:id="rId10" w:history="1">
        <w:r w:rsidRPr="00CE2803">
          <w:rPr>
            <w:rStyle w:val="Hipercze"/>
            <w:rFonts w:ascii="Arial" w:hAnsi="Arial" w:cs="Arial"/>
          </w:rPr>
          <w:t>https://legislacja.rcl.gov.pl/projekt/123</w:t>
        </w:r>
        <w:r w:rsidRPr="00CE2803">
          <w:rPr>
            <w:rStyle w:val="Hipercze"/>
            <w:rFonts w:ascii="Arial" w:hAnsi="Arial" w:cs="Arial"/>
          </w:rPr>
          <w:t>9</w:t>
        </w:r>
        <w:r w:rsidRPr="00CE2803">
          <w:rPr>
            <w:rStyle w:val="Hipercze"/>
            <w:rFonts w:ascii="Arial" w:hAnsi="Arial" w:cs="Arial"/>
          </w:rPr>
          <w:t>4001/katalog/13108507#13108507</w:t>
        </w:r>
      </w:hyperlink>
      <w:r>
        <w:rPr>
          <w:rFonts w:ascii="Arial" w:hAnsi="Arial" w:cs="Arial"/>
        </w:rPr>
        <w:t xml:space="preserve"> </w:t>
      </w:r>
      <w:r w:rsidRPr="00BE09EF">
        <w:rPr>
          <w:rFonts w:ascii="Arial" w:hAnsi="Arial" w:cs="Arial"/>
        </w:rPr>
        <w:t xml:space="preserve">  </w:t>
      </w:r>
    </w:p>
    <w:p w:rsidR="00BE09EF" w:rsidRDefault="00BE09EF" w:rsidP="00206384">
      <w:pPr>
        <w:spacing w:after="0"/>
        <w:jc w:val="both"/>
        <w:rPr>
          <w:rFonts w:ascii="Arial" w:hAnsi="Arial" w:cs="Arial"/>
        </w:rPr>
      </w:pPr>
    </w:p>
    <w:p w:rsidR="00BE09EF" w:rsidRDefault="00BE09EF" w:rsidP="00206384">
      <w:pPr>
        <w:spacing w:after="0"/>
        <w:jc w:val="both"/>
        <w:rPr>
          <w:rFonts w:ascii="Arial" w:hAnsi="Arial" w:cs="Arial"/>
        </w:rPr>
      </w:pPr>
      <w:r w:rsidRPr="00BE09EF">
        <w:rPr>
          <w:rFonts w:ascii="Arial" w:hAnsi="Arial" w:cs="Arial"/>
        </w:rPr>
        <w:t>Projekt jest obecnie jednocześnie na etapie uzgodnień i opiniowania.</w:t>
      </w:r>
    </w:p>
    <w:p w:rsidR="00206384" w:rsidRPr="00206384" w:rsidRDefault="00206384" w:rsidP="00206384">
      <w:pPr>
        <w:spacing w:after="0"/>
        <w:jc w:val="both"/>
        <w:rPr>
          <w:rFonts w:ascii="Arial" w:hAnsi="Arial" w:cs="Arial"/>
        </w:rPr>
      </w:pPr>
    </w:p>
    <w:p w:rsidR="00206384" w:rsidRPr="00945D01" w:rsidRDefault="00945D01" w:rsidP="00945D01">
      <w:pPr>
        <w:pStyle w:val="Akapitzlist"/>
        <w:numPr>
          <w:ilvl w:val="0"/>
          <w:numId w:val="4"/>
        </w:numPr>
        <w:spacing w:after="0"/>
        <w:jc w:val="both"/>
        <w:rPr>
          <w:rFonts w:ascii="Arial" w:hAnsi="Arial" w:cs="Arial"/>
          <w:b/>
          <w:u w:val="single"/>
        </w:rPr>
      </w:pPr>
      <w:r w:rsidRPr="00945D01">
        <w:rPr>
          <w:rFonts w:ascii="Arial" w:hAnsi="Arial" w:cs="Arial"/>
          <w:b/>
          <w:u w:val="single"/>
        </w:rPr>
        <w:t>projekt rozporządzenia Ministra Rolnictwa i Rozwoju Wsi zmieniającego rozporządzenie w sprawie szczegółowych warunków i trybu przyznawania oraz wypłaty pomocy finansowej na operacje typu „Budowa lub modernizacja dróg lokalnych” w ramach poddziałania „Wsparcie inwestycji związanych z tworzeniem, ulepszaniem lub rozbudową wszystkich rodzajów małej infrastruktury, w tym inwestycji w energię odnawialną i w oszczędzanie energii” objętego Programem Rozwoju Obszarów Wiejskich na lata 2014–2020 (numer z wykazu 138)</w:t>
      </w:r>
    </w:p>
    <w:p w:rsidR="00206384" w:rsidRDefault="00206384" w:rsidP="00206384">
      <w:pPr>
        <w:spacing w:after="0"/>
        <w:jc w:val="both"/>
        <w:rPr>
          <w:rFonts w:ascii="Arial" w:hAnsi="Arial" w:cs="Arial"/>
        </w:rPr>
      </w:pPr>
    </w:p>
    <w:p w:rsidR="00945D01" w:rsidRPr="00945D01" w:rsidRDefault="00945D01" w:rsidP="00945D01">
      <w:pPr>
        <w:spacing w:after="0"/>
        <w:jc w:val="both"/>
        <w:rPr>
          <w:rFonts w:ascii="Arial" w:hAnsi="Arial" w:cs="Arial"/>
        </w:rPr>
      </w:pPr>
      <w:r w:rsidRPr="00945D01">
        <w:rPr>
          <w:rFonts w:ascii="Arial" w:hAnsi="Arial" w:cs="Arial"/>
        </w:rPr>
        <w:t xml:space="preserve">Ministerstwo Rolnictwa i Rozwoju Wsi, jako Instytucja Zarządzająca, przeprowadziło analizę wykorzystania budżetu Programu Rozwoju Obszarów Wiejskich na lata 2014–2020 (PROW </w:t>
      </w:r>
      <w:r w:rsidRPr="00945D01">
        <w:rPr>
          <w:rFonts w:ascii="Arial" w:hAnsi="Arial" w:cs="Arial"/>
        </w:rPr>
        <w:lastRenderedPageBreak/>
        <w:t xml:space="preserve">20142020), oraz stopnia realizacji strategicznych wskaźników celu dla poszczególnych celów szczegółowych PROW 2014–2020, w ramach której zidentyfikowano oszczędności. Mając na uwadze dążenie do jak najpełniejszego wykorzystania dostępnych środków, zaplanowano ich przesunięcie, na realizację innych instrumentów wsparcia, w ramach których przewidywane zapotrzebowanie na środki przekraczają dostępny w chwili obecnej budżet. Ponadto program powinien zostać zakończony i rozliczony do 31 grudnia 2025 r. </w:t>
      </w:r>
    </w:p>
    <w:p w:rsidR="00945D01" w:rsidRPr="00945D01" w:rsidRDefault="00945D01" w:rsidP="00945D01">
      <w:pPr>
        <w:spacing w:after="0"/>
        <w:jc w:val="both"/>
        <w:rPr>
          <w:rFonts w:ascii="Arial" w:hAnsi="Arial" w:cs="Arial"/>
        </w:rPr>
      </w:pPr>
      <w:r w:rsidRPr="00945D01">
        <w:rPr>
          <w:rFonts w:ascii="Arial" w:hAnsi="Arial" w:cs="Arial"/>
        </w:rPr>
        <w:t xml:space="preserve">W wyniku przeprowadzonej analizy, zaproponowano zmiany w planie finansowym PROW 2014–2020, które zostały pozytywnie zaopiniowane przez Komitet Monitorujący PROW 2014–2020, a następnie 20 grudnia 2024 r. przyjęte przez Radę Ministrów, w trybie obiegowym. W ramach zmian zaplanowano relokację środków na działanie M.07 – „Podstawowe usługi i odnowa wsi na obszarach wiejskich”, która pozwoli na objęcie wsparciem części z już złożonych wniosków o przyznanie pomocy spełniających kryteria dostępu, ale dla których zabrakło dostępnego do zakontraktowania limitu środków. </w:t>
      </w:r>
    </w:p>
    <w:p w:rsidR="00945D01" w:rsidRPr="00945D01" w:rsidRDefault="00945D01" w:rsidP="00945D01">
      <w:pPr>
        <w:spacing w:after="0"/>
        <w:jc w:val="both"/>
        <w:rPr>
          <w:rFonts w:ascii="Arial" w:hAnsi="Arial" w:cs="Arial"/>
        </w:rPr>
      </w:pPr>
      <w:r w:rsidRPr="00945D01">
        <w:rPr>
          <w:rFonts w:ascii="Arial" w:hAnsi="Arial" w:cs="Arial"/>
        </w:rPr>
        <w:t>W ramach zaplanowanych zmian, zwiększono także wsparcie dla operacji typu „Budowa lub modernizacja dróg lokalnych”. Zaproponowana relokacja środków pozwoli objąć wsparciem dodatkowe operacje, w tym finansowane ze środków EFRROW.</w:t>
      </w:r>
    </w:p>
    <w:p w:rsidR="00945D01" w:rsidRPr="00945D01" w:rsidRDefault="00945D01" w:rsidP="00945D01">
      <w:pPr>
        <w:spacing w:after="0"/>
        <w:jc w:val="both"/>
        <w:rPr>
          <w:rFonts w:ascii="Arial" w:hAnsi="Arial" w:cs="Arial"/>
        </w:rPr>
      </w:pPr>
      <w:r w:rsidRPr="00945D01">
        <w:rPr>
          <w:rFonts w:ascii="Arial" w:hAnsi="Arial" w:cs="Arial"/>
        </w:rPr>
        <w:t>W związku ze zwiększeniem puli środków dla operacji typu „Budowa lub modernizacja dróg lokalnych”, a także przekazanymi informacjami o stanie aktualnie procedowanych wniosków oraz wykorzystanych środków, przez samorządy wojewódzkie będące instytucją wdrażającą, zidentyfikowano potencjalne ryzyka dotyczące niezrealizowania wszystkich operacji w ramach tego działania, w terminie określonym w § 4 w pkt 3 rozporządzenia Ministra Rolnictwa i Rozwoju Wsi z dnia 4 września 2015 r. w sprawie szczegółowych warunków i trybu przyznawania oraz wypłaty pomocy finansowej na operacje typu "Budowa lub modernizacja dróg lokalnych" w ramach poddziałania "Wsparcie inwestycji związanych z tworzeniem, ulepszaniem lub rozbudową wszystkich rodzajów małej infrastruktury, w tym inwestycji w energię odnawialną i w oszczędzanie energii" objętego Programem Rozwoju Obszarów Wiejskich na lata 2014–2020 (dalej: rozporządzenie), tj. 30 czerwca 2025 r.</w:t>
      </w:r>
    </w:p>
    <w:p w:rsidR="00945D01" w:rsidRPr="00945D01" w:rsidRDefault="00945D01" w:rsidP="00945D01">
      <w:pPr>
        <w:spacing w:after="0"/>
        <w:jc w:val="both"/>
        <w:rPr>
          <w:rFonts w:ascii="Arial" w:hAnsi="Arial" w:cs="Arial"/>
        </w:rPr>
      </w:pPr>
      <w:r w:rsidRPr="00945D01">
        <w:rPr>
          <w:rFonts w:ascii="Arial" w:hAnsi="Arial" w:cs="Arial"/>
        </w:rPr>
        <w:t xml:space="preserve">W związku z zidentyfikowaniem potencjalnych </w:t>
      </w:r>
      <w:proofErr w:type="spellStart"/>
      <w:r w:rsidRPr="00945D01">
        <w:rPr>
          <w:rFonts w:ascii="Arial" w:hAnsi="Arial" w:cs="Arial"/>
        </w:rPr>
        <w:t>ryzyk</w:t>
      </w:r>
      <w:proofErr w:type="spellEnd"/>
      <w:r w:rsidRPr="00945D01">
        <w:rPr>
          <w:rFonts w:ascii="Arial" w:hAnsi="Arial" w:cs="Arial"/>
        </w:rPr>
        <w:t>, należy umożliwić podmiotom wdrażającym zrealizowanie kolejnych operacji typu „Budowa lub modernizacja dróg lokalnych”, poprzez zmianę terminu realizacji operacji i możliwości złożenia wniosku o płatność końcową dla nowo zawieranych umów o przyznaniu pomocy, do 30 września 2025 r., zgodnie z propozycją zmiany w § 4 w pkt 3 rozporządzenia.</w:t>
      </w:r>
    </w:p>
    <w:p w:rsidR="00945D01" w:rsidRPr="00945D01" w:rsidRDefault="00945D01" w:rsidP="00945D01">
      <w:pPr>
        <w:spacing w:after="0"/>
        <w:jc w:val="both"/>
        <w:rPr>
          <w:rFonts w:ascii="Arial" w:hAnsi="Arial" w:cs="Arial"/>
        </w:rPr>
      </w:pPr>
      <w:r w:rsidRPr="00945D01">
        <w:rPr>
          <w:rFonts w:ascii="Arial" w:hAnsi="Arial" w:cs="Arial"/>
        </w:rPr>
        <w:t xml:space="preserve">Rekomendowane rozwiązanie polega na zmianie maksymalnego terminu realizacji operacji i złożenie wniosku o płatność końcową z 30 czerwca 2025 r. na 30 września 2025 r. dla umów o przyznanie pomocy zawieranych od 1 stycznia 2025 r. Zaproponowane rozwiązanie ma na celu zredukowanie potencjalnych </w:t>
      </w:r>
      <w:proofErr w:type="spellStart"/>
      <w:r w:rsidRPr="00945D01">
        <w:rPr>
          <w:rFonts w:ascii="Arial" w:hAnsi="Arial" w:cs="Arial"/>
        </w:rPr>
        <w:t>ryzyk</w:t>
      </w:r>
      <w:proofErr w:type="spellEnd"/>
      <w:r w:rsidRPr="00945D01">
        <w:rPr>
          <w:rFonts w:ascii="Arial" w:hAnsi="Arial" w:cs="Arial"/>
        </w:rPr>
        <w:t xml:space="preserve"> niezrealizowania wszystkich operacji w ramach tego działania.</w:t>
      </w:r>
    </w:p>
    <w:p w:rsidR="00945D01" w:rsidRPr="00945D01" w:rsidRDefault="00945D01" w:rsidP="00945D01">
      <w:pPr>
        <w:spacing w:after="0"/>
        <w:jc w:val="both"/>
        <w:rPr>
          <w:rFonts w:ascii="Arial" w:hAnsi="Arial" w:cs="Arial"/>
        </w:rPr>
      </w:pPr>
      <w:r w:rsidRPr="00945D01">
        <w:rPr>
          <w:rFonts w:ascii="Arial" w:hAnsi="Arial" w:cs="Arial"/>
        </w:rPr>
        <w:t>W przypadku niniejszej zmiany rozporządzenia, oczekiwanym efektem będzie umożliwienie realizacji bardziej kompleksowych operacji oraz pełniejsze wykorzystanie nowej puli środków PROW 20142020 przez beneficjentów, a tym samym możliwość sfinansowania i zrealizowania kolejnych operacji z zakresu budowy lub modernizacji dróg lokalnych w możliwie najdłuższym terminie. Należy wskazać, że relokowane środki zostaną przeznaczone na realizację operacji w ramach już złożonych wniosków o przyznanie pomocy. Ostateczne rozliczenie środków nastąpi do końca 2025 roku.</w:t>
      </w:r>
    </w:p>
    <w:p w:rsidR="00945D01" w:rsidRPr="00945D01" w:rsidRDefault="00945D01" w:rsidP="00945D01">
      <w:pPr>
        <w:spacing w:after="0"/>
        <w:jc w:val="both"/>
        <w:rPr>
          <w:rFonts w:ascii="Arial" w:hAnsi="Arial" w:cs="Arial"/>
        </w:rPr>
      </w:pPr>
      <w:r w:rsidRPr="00945D01">
        <w:rPr>
          <w:rFonts w:ascii="Arial" w:hAnsi="Arial" w:cs="Arial"/>
        </w:rPr>
        <w:t xml:space="preserve">Ponadto wydłużenie okresu realizacji operacji może wpłynąć na termin złożenia wniosku o płatność końcową przez beneficjenta, jednak nie wpłynie na termin rozpatrywania tych wniosków ani na termin wypłaty pomocy. Zgodnie z przepisami zmienianego rozporządzenia </w:t>
      </w:r>
      <w:r w:rsidRPr="00945D01">
        <w:rPr>
          <w:rFonts w:ascii="Arial" w:hAnsi="Arial" w:cs="Arial"/>
        </w:rPr>
        <w:lastRenderedPageBreak/>
        <w:t>wypłata ta powinna nastąpić niezwłocznie po pozytywnym rozpatrzeniu wniosku o płatność, lecz nie później niż w terminie 3 miesięcy od dnia złożenia wniosku o płatność.</w:t>
      </w:r>
    </w:p>
    <w:p w:rsidR="00206384" w:rsidRDefault="00945D01" w:rsidP="00945D01">
      <w:pPr>
        <w:spacing w:after="0"/>
        <w:jc w:val="both"/>
        <w:rPr>
          <w:rFonts w:ascii="Arial" w:hAnsi="Arial" w:cs="Arial"/>
        </w:rPr>
      </w:pPr>
      <w:r w:rsidRPr="00945D01">
        <w:rPr>
          <w:rFonts w:ascii="Arial" w:hAnsi="Arial" w:cs="Arial"/>
        </w:rPr>
        <w:t>Osiągnięcie oczekiwanych efektów jest możliwe jedynie poprzez zmianę o charakterze legislacyjnym, tj. zmianę przepisów obowiązującego rozporządzenia</w:t>
      </w:r>
      <w:r>
        <w:rPr>
          <w:rFonts w:ascii="Arial" w:hAnsi="Arial" w:cs="Arial"/>
        </w:rPr>
        <w:t>.</w:t>
      </w:r>
    </w:p>
    <w:p w:rsidR="00945D01" w:rsidRDefault="00945D01" w:rsidP="00945D01">
      <w:pPr>
        <w:spacing w:after="0"/>
        <w:jc w:val="both"/>
        <w:rPr>
          <w:rFonts w:ascii="Arial" w:hAnsi="Arial" w:cs="Arial"/>
        </w:rPr>
      </w:pPr>
    </w:p>
    <w:p w:rsidR="00945D01" w:rsidRPr="00945D01" w:rsidRDefault="00945D01" w:rsidP="00945D01">
      <w:pPr>
        <w:spacing w:after="0"/>
        <w:jc w:val="both"/>
        <w:rPr>
          <w:rFonts w:ascii="Arial" w:hAnsi="Arial" w:cs="Arial"/>
        </w:rPr>
      </w:pPr>
      <w:r w:rsidRPr="00945D01">
        <w:rPr>
          <w:rFonts w:ascii="Arial" w:hAnsi="Arial" w:cs="Arial"/>
        </w:rPr>
        <w:t>Przedmiotowy projekt aktu prawnego wraz z Uzasadnieniem oraz Oceną Skutków Regulacji dostępny jest na stronach Rządowego Centrum Legislacji pod adresem:</w:t>
      </w:r>
    </w:p>
    <w:p w:rsidR="00945D01" w:rsidRDefault="00945D01" w:rsidP="00945D01">
      <w:pPr>
        <w:spacing w:after="0"/>
        <w:jc w:val="both"/>
        <w:rPr>
          <w:rFonts w:ascii="Arial" w:hAnsi="Arial" w:cs="Arial"/>
        </w:rPr>
      </w:pPr>
      <w:hyperlink r:id="rId11" w:history="1">
        <w:r w:rsidRPr="00CE2803">
          <w:rPr>
            <w:rStyle w:val="Hipercze"/>
            <w:rFonts w:ascii="Arial" w:hAnsi="Arial" w:cs="Arial"/>
          </w:rPr>
          <w:t>https://legislacja.rcl.gov.pl/projekt/</w:t>
        </w:r>
        <w:r w:rsidRPr="00CE2803">
          <w:rPr>
            <w:rStyle w:val="Hipercze"/>
            <w:rFonts w:ascii="Arial" w:hAnsi="Arial" w:cs="Arial"/>
          </w:rPr>
          <w:t>1</w:t>
        </w:r>
        <w:r w:rsidRPr="00CE2803">
          <w:rPr>
            <w:rStyle w:val="Hipercze"/>
            <w:rFonts w:ascii="Arial" w:hAnsi="Arial" w:cs="Arial"/>
          </w:rPr>
          <w:t>2394050/katalog/13108714#13108714</w:t>
        </w:r>
      </w:hyperlink>
      <w:r>
        <w:rPr>
          <w:rFonts w:ascii="Arial" w:hAnsi="Arial" w:cs="Arial"/>
        </w:rPr>
        <w:t xml:space="preserve"> </w:t>
      </w:r>
    </w:p>
    <w:p w:rsidR="00945D01" w:rsidRDefault="00945D01" w:rsidP="00945D01">
      <w:pPr>
        <w:spacing w:after="0"/>
        <w:jc w:val="both"/>
        <w:rPr>
          <w:rFonts w:ascii="Arial" w:hAnsi="Arial" w:cs="Arial"/>
        </w:rPr>
      </w:pPr>
    </w:p>
    <w:p w:rsidR="00945D01" w:rsidRDefault="00945D01" w:rsidP="00945D01">
      <w:pPr>
        <w:spacing w:after="0"/>
        <w:jc w:val="both"/>
        <w:rPr>
          <w:rFonts w:ascii="Arial" w:hAnsi="Arial" w:cs="Arial"/>
        </w:rPr>
      </w:pPr>
      <w:r w:rsidRPr="00945D01">
        <w:rPr>
          <w:rFonts w:ascii="Arial" w:hAnsi="Arial" w:cs="Arial"/>
        </w:rPr>
        <w:t>Projekt jest obecnie jednocześnie na etapie uzgodnień, konsultacji publicznych i opiniowania.</w:t>
      </w:r>
      <w:r w:rsidRPr="00945D01">
        <w:rPr>
          <w:rFonts w:ascii="Arial" w:hAnsi="Arial" w:cs="Arial"/>
        </w:rPr>
        <w:t xml:space="preserve">   </w:t>
      </w:r>
    </w:p>
    <w:p w:rsidR="00206384" w:rsidRPr="00206384" w:rsidRDefault="00206384" w:rsidP="00206384">
      <w:pPr>
        <w:spacing w:after="0"/>
        <w:jc w:val="both"/>
        <w:rPr>
          <w:rFonts w:ascii="Arial" w:hAnsi="Arial" w:cs="Arial"/>
        </w:rPr>
      </w:pPr>
    </w:p>
    <w:p w:rsidR="00206384" w:rsidRPr="00945D01" w:rsidRDefault="00945D01" w:rsidP="00945D01">
      <w:pPr>
        <w:pStyle w:val="Akapitzlist"/>
        <w:numPr>
          <w:ilvl w:val="0"/>
          <w:numId w:val="4"/>
        </w:numPr>
        <w:spacing w:after="0"/>
        <w:jc w:val="both"/>
        <w:rPr>
          <w:rFonts w:ascii="Arial" w:hAnsi="Arial" w:cs="Arial"/>
          <w:b/>
          <w:u w:val="single"/>
        </w:rPr>
      </w:pPr>
      <w:r w:rsidRPr="00945D01">
        <w:rPr>
          <w:rFonts w:ascii="Arial" w:hAnsi="Arial" w:cs="Arial"/>
          <w:b/>
          <w:u w:val="single"/>
        </w:rPr>
        <w:t>Projekt rozporządzenia Ministra Spraw Wewnętrznych i Administracji w sprawie wykazu zawodów, których wykonywanie skutkuje uznaniem uzyskania przez cudzoziemca kwalifikacji w sposób określony w art. 3 pkt 6a lit. a ustawy z dnia 12 grudnia 2013 r. o cudzoziemcach (numer z wykazu 1201)</w:t>
      </w:r>
    </w:p>
    <w:p w:rsidR="00E34B7F" w:rsidRDefault="00E34B7F" w:rsidP="00206384">
      <w:pPr>
        <w:spacing w:after="0"/>
        <w:jc w:val="both"/>
        <w:rPr>
          <w:rFonts w:ascii="Arial" w:hAnsi="Arial" w:cs="Arial"/>
        </w:rPr>
      </w:pPr>
    </w:p>
    <w:p w:rsidR="00945D01" w:rsidRPr="00945D01" w:rsidRDefault="00945D01" w:rsidP="00945D01">
      <w:pPr>
        <w:spacing w:after="0"/>
        <w:jc w:val="both"/>
        <w:rPr>
          <w:rFonts w:ascii="Arial" w:hAnsi="Arial" w:cs="Arial"/>
        </w:rPr>
      </w:pPr>
      <w:r w:rsidRPr="00945D01">
        <w:rPr>
          <w:rFonts w:ascii="Arial" w:hAnsi="Arial" w:cs="Arial"/>
        </w:rPr>
        <w:t>Projektowane rozporządzenie ma na celu wykonanie delegacji ustawowej zawartej w dodawanym do ustawy z dnia 12 grudnia 2013 r. o cudzoziemcach art. 138a ust. 1. Powyższy przepis zobowiązuje ministra właściwego do spraw wewnętrznych do określenia w drodze rozporządzenia wykazu zawodów, których wykonywanie skutkuje uznaniem uzyskania przez cudzoziemca kwalifikacji w sposób określony w art. 3 pkt 6a lit. a ustawy z dnia 12 grudnia 2013 r. o cudzoziemcach. Rozporządzenie w zakresie swojej regulacji dokonuje wdrożenia do krajowego porządku prawnego dyrektywy Parlamentu Europejskiego i Rady (UE) 2021/1883 z dnia 20 października 2021 r. w sprawie warunków wjazdu i pobytu obywateli państw trzecich w celu zatrudnienia w zawodzie wymagającym wysokich kwalifikacji oraz uchylenia dyrektywy Rady 2009/50/WE (Dz. Urz. UE L 382 z 28.10.2021, str. 1). Wykaz odpowiada wykazowi zawodów stanowiących załącznik I do dyrektywy.</w:t>
      </w:r>
    </w:p>
    <w:p w:rsidR="00945D01" w:rsidRPr="00945D01" w:rsidRDefault="00945D01" w:rsidP="00945D01">
      <w:pPr>
        <w:spacing w:after="0"/>
        <w:jc w:val="both"/>
        <w:rPr>
          <w:rFonts w:ascii="Arial" w:hAnsi="Arial" w:cs="Arial"/>
        </w:rPr>
      </w:pPr>
      <w:r w:rsidRPr="00945D01">
        <w:rPr>
          <w:rFonts w:ascii="Arial" w:hAnsi="Arial" w:cs="Arial"/>
        </w:rPr>
        <w:t>Z uwagi na to, iż projekt ustawy o zmianie ustawy o cudzoziemcach oraz niektórych innych ustaw wprowadza delegację ustawową dla ministra właściwego do spraw wewnętrznych do określenia, w drodze rozporządzenia, wykazu zawodów, których wykonywanie skutkuje uznaniem uzyskania przez cudzoziemca wyższych kwalifikacji zawodowych w wyniku trzyletniego doświadczenia zawodowego, niezbędne jest wydanie rozporządzenia.</w:t>
      </w:r>
    </w:p>
    <w:p w:rsidR="00945D01" w:rsidRDefault="00945D01" w:rsidP="00945D01">
      <w:pPr>
        <w:spacing w:after="0"/>
        <w:jc w:val="both"/>
        <w:rPr>
          <w:rFonts w:ascii="Arial" w:hAnsi="Arial" w:cs="Arial"/>
        </w:rPr>
      </w:pPr>
      <w:r w:rsidRPr="00945D01">
        <w:rPr>
          <w:rFonts w:ascii="Arial" w:hAnsi="Arial" w:cs="Arial"/>
        </w:rPr>
        <w:t>Projektowana ustawa wprowadza nową definicję kwalifikacji uzyskanych w wyniku doświadczenia zawodowego. Zgodnie z art. 2 pkt 9 dyrektywy 2021/1883 cudzoziemiec może wykazać, że posiada wyższe kwalifikacje zawodowe poprzez udowodnienie, iż posiada doświadczenie zawodowe porównywalne z kwalifikacjami zdobytymi w wyniku kształcenia na studiach wyższych poprzez trzyletnie bądź pięcioletnie doświadczenie zawodowe, w zależności od zawodu, który ma wykonywać. W załączniku I do dyrektywy 2021/1883 określono zawody szczególnie pożądane na europejskim rynku pracy, w których trzyletnie doświadczenie zawodowe skutkuje uznaniem, iż cudzoziemiec posiada wyższe kwalifikacje zawodowe. Wytyczne dotyczące treści aktu wykonawczego ściśle wiążą ów wykaz z wykazem stanowiącym załącznik I do dyrektywy 2021/1883. Projektowane rozporządzenie uwzględnia klasyfikację zawodów i specjalności dla potrzeb rynku pracy określoną w przepisach wydanych na podstawie art. 29 ust. 3 pkt 1 projektowanej nowej ustawy o rynku pracy i służbach zatrudnienia (druk sejmowy nr 948).</w:t>
      </w:r>
      <w:r>
        <w:rPr>
          <w:rFonts w:ascii="Arial" w:hAnsi="Arial" w:cs="Arial"/>
        </w:rPr>
        <w:t xml:space="preserve"> </w:t>
      </w:r>
    </w:p>
    <w:p w:rsidR="00945D01" w:rsidRDefault="00945D01" w:rsidP="00945D01">
      <w:pPr>
        <w:spacing w:after="0"/>
        <w:jc w:val="both"/>
        <w:rPr>
          <w:rFonts w:ascii="Arial" w:hAnsi="Arial" w:cs="Arial"/>
        </w:rPr>
      </w:pPr>
    </w:p>
    <w:p w:rsidR="00945D01" w:rsidRPr="00945D01" w:rsidRDefault="00945D01" w:rsidP="00945D01">
      <w:pPr>
        <w:spacing w:after="0"/>
        <w:jc w:val="both"/>
        <w:rPr>
          <w:rFonts w:ascii="Arial" w:hAnsi="Arial" w:cs="Arial"/>
        </w:rPr>
      </w:pPr>
      <w:r w:rsidRPr="00945D01">
        <w:rPr>
          <w:rFonts w:ascii="Arial" w:hAnsi="Arial" w:cs="Arial"/>
        </w:rPr>
        <w:t>Przedmiotowy projekt aktu prawnego wraz z Załącznikiem, Uzasadnieniem oraz Oceną Skutków Regulacji dostępny jest na stronach Rządowego Centrum Legislacji pod adresem:</w:t>
      </w:r>
    </w:p>
    <w:p w:rsidR="00945D01" w:rsidRDefault="00945D01" w:rsidP="00945D01">
      <w:pPr>
        <w:spacing w:after="0"/>
        <w:jc w:val="both"/>
        <w:rPr>
          <w:rFonts w:ascii="Arial" w:hAnsi="Arial" w:cs="Arial"/>
        </w:rPr>
      </w:pPr>
      <w:hyperlink r:id="rId12" w:history="1">
        <w:r w:rsidRPr="00CE2803">
          <w:rPr>
            <w:rStyle w:val="Hipercze"/>
            <w:rFonts w:ascii="Arial" w:hAnsi="Arial" w:cs="Arial"/>
          </w:rPr>
          <w:t>https://legislacja.rcl.gov.pl/projekt/12394100/ka</w:t>
        </w:r>
        <w:r w:rsidRPr="00CE2803">
          <w:rPr>
            <w:rStyle w:val="Hipercze"/>
            <w:rFonts w:ascii="Arial" w:hAnsi="Arial" w:cs="Arial"/>
          </w:rPr>
          <w:t>t</w:t>
        </w:r>
        <w:r w:rsidRPr="00CE2803">
          <w:rPr>
            <w:rStyle w:val="Hipercze"/>
            <w:rFonts w:ascii="Arial" w:hAnsi="Arial" w:cs="Arial"/>
          </w:rPr>
          <w:t>alog/13109008#13109008</w:t>
        </w:r>
      </w:hyperlink>
      <w:r>
        <w:rPr>
          <w:rFonts w:ascii="Arial" w:hAnsi="Arial" w:cs="Arial"/>
        </w:rPr>
        <w:t xml:space="preserve"> </w:t>
      </w:r>
      <w:r w:rsidRPr="00945D01">
        <w:rPr>
          <w:rFonts w:ascii="Arial" w:hAnsi="Arial" w:cs="Arial"/>
        </w:rPr>
        <w:t xml:space="preserve">   </w:t>
      </w:r>
    </w:p>
    <w:p w:rsidR="00945D01" w:rsidRDefault="00945D01" w:rsidP="00945D01">
      <w:pPr>
        <w:spacing w:after="0"/>
        <w:jc w:val="both"/>
        <w:rPr>
          <w:rFonts w:ascii="Arial" w:hAnsi="Arial" w:cs="Arial"/>
        </w:rPr>
      </w:pPr>
    </w:p>
    <w:p w:rsidR="00945D01" w:rsidRPr="00042C7F" w:rsidRDefault="00945D01" w:rsidP="00206384">
      <w:pPr>
        <w:spacing w:after="0"/>
        <w:jc w:val="both"/>
        <w:rPr>
          <w:rFonts w:ascii="Arial" w:hAnsi="Arial" w:cs="Arial"/>
        </w:rPr>
      </w:pPr>
      <w:r w:rsidRPr="00945D01">
        <w:rPr>
          <w:rFonts w:ascii="Arial" w:hAnsi="Arial" w:cs="Arial"/>
        </w:rPr>
        <w:t xml:space="preserve">Projekt jest obecnie jednocześnie na etapie uzgodnień, konsultacji publicznych i opiniowania.   </w:t>
      </w:r>
    </w:p>
    <w:p w:rsidR="00E34B7F" w:rsidRDefault="00E34B7F" w:rsidP="00206384">
      <w:pPr>
        <w:spacing w:after="0"/>
        <w:jc w:val="both"/>
        <w:rPr>
          <w:rFonts w:ascii="Arial" w:hAnsi="Arial" w:cs="Arial"/>
        </w:rPr>
      </w:pPr>
    </w:p>
    <w:p w:rsidR="00E34B7F" w:rsidRPr="00CB4A6E" w:rsidRDefault="00E34B7F" w:rsidP="00206384">
      <w:pPr>
        <w:spacing w:after="0"/>
        <w:rPr>
          <w:rFonts w:ascii="Arial" w:hAnsi="Arial" w:cs="Arial"/>
        </w:rPr>
      </w:pPr>
    </w:p>
    <w:p w:rsidR="00E34B7F" w:rsidRDefault="00E34B7F" w:rsidP="00206384">
      <w:pPr>
        <w:spacing w:after="0"/>
        <w:jc w:val="both"/>
        <w:rPr>
          <w:rFonts w:ascii="Arial" w:hAnsi="Arial" w:cs="Arial"/>
          <w:b/>
        </w:rPr>
      </w:pPr>
      <w:r>
        <w:rPr>
          <w:rFonts w:ascii="Arial" w:hAnsi="Arial" w:cs="Arial"/>
          <w:b/>
        </w:rPr>
        <w:t>II. Ogłoszone akty prawne (Dziennik Ustaw RP)</w:t>
      </w:r>
    </w:p>
    <w:p w:rsidR="00E34B7F" w:rsidRDefault="00E34B7F" w:rsidP="00206384">
      <w:pPr>
        <w:spacing w:after="0"/>
        <w:jc w:val="both"/>
        <w:rPr>
          <w:rFonts w:ascii="Arial" w:hAnsi="Arial" w:cs="Arial"/>
        </w:rPr>
      </w:pPr>
    </w:p>
    <w:p w:rsidR="00E34B7F" w:rsidRDefault="00E34B7F" w:rsidP="00206384">
      <w:pPr>
        <w:spacing w:after="0"/>
        <w:jc w:val="both"/>
        <w:rPr>
          <w:rFonts w:ascii="Arial" w:hAnsi="Arial" w:cs="Arial"/>
        </w:rPr>
      </w:pPr>
      <w:r>
        <w:rPr>
          <w:rFonts w:ascii="Arial" w:hAnsi="Arial" w:cs="Arial"/>
        </w:rPr>
        <w:t xml:space="preserve">W analizowanym okresie opublikowano </w:t>
      </w:r>
      <w:r w:rsidR="00552A19">
        <w:rPr>
          <w:rFonts w:ascii="Arial" w:hAnsi="Arial" w:cs="Arial"/>
        </w:rPr>
        <w:t>32</w:t>
      </w:r>
      <w:r>
        <w:rPr>
          <w:rFonts w:ascii="Arial" w:hAnsi="Arial" w:cs="Arial"/>
        </w:rPr>
        <w:t xml:space="preserve"> akt</w:t>
      </w:r>
      <w:r w:rsidR="00552A19">
        <w:rPr>
          <w:rFonts w:ascii="Arial" w:hAnsi="Arial" w:cs="Arial"/>
        </w:rPr>
        <w:t>y</w:t>
      </w:r>
      <w:r>
        <w:rPr>
          <w:rFonts w:ascii="Arial" w:hAnsi="Arial" w:cs="Arial"/>
        </w:rPr>
        <w:t xml:space="preserve"> prawn</w:t>
      </w:r>
      <w:r w:rsidR="00552A19">
        <w:rPr>
          <w:rFonts w:ascii="Arial" w:hAnsi="Arial" w:cs="Arial"/>
        </w:rPr>
        <w:t>e</w:t>
      </w:r>
      <w:r>
        <w:rPr>
          <w:rFonts w:ascii="Arial" w:hAnsi="Arial" w:cs="Arial"/>
        </w:rPr>
        <w:t>, tzn. ustawy, rozporządzenia Rady Ministrów, Prezesa Rady Ministrów i poszczególnych ministrów, obwieszczenia w sprawie ogłoszenia tekstu jednolitego. Z powyższych publikacji w zainteresowaniu pracodawców i przedsiębiorców znaleźć się mogą następujące akty prawne:</w:t>
      </w:r>
    </w:p>
    <w:p w:rsidR="002B4988" w:rsidRDefault="002B4988" w:rsidP="00206384">
      <w:pPr>
        <w:spacing w:after="0"/>
        <w:jc w:val="both"/>
        <w:rPr>
          <w:rFonts w:ascii="Arial" w:hAnsi="Arial" w:cs="Arial"/>
        </w:rPr>
      </w:pPr>
    </w:p>
    <w:p w:rsidR="002B4988" w:rsidRPr="0029516B" w:rsidRDefault="002B4988" w:rsidP="002B4988">
      <w:pPr>
        <w:pStyle w:val="Akapitzlist"/>
        <w:numPr>
          <w:ilvl w:val="0"/>
          <w:numId w:val="2"/>
        </w:numPr>
        <w:spacing w:after="0"/>
        <w:jc w:val="both"/>
        <w:rPr>
          <w:rFonts w:ascii="Arial" w:hAnsi="Arial" w:cs="Arial"/>
          <w:u w:val="single"/>
        </w:rPr>
      </w:pPr>
      <w:r w:rsidRPr="0029516B">
        <w:rPr>
          <w:rFonts w:ascii="Arial" w:hAnsi="Arial" w:cs="Arial"/>
          <w:u w:val="single"/>
        </w:rPr>
        <w:t>Rozporządzenie Ministra Infrastruktury z dnia 16 stycznia 2025 r. zmieniające rozporządzenie w sprawie systemu oceny ryzyka podmiotów wykonujących przewóz drogowy</w:t>
      </w:r>
    </w:p>
    <w:p w:rsidR="002B4988" w:rsidRDefault="002B4988" w:rsidP="002B4988">
      <w:pPr>
        <w:spacing w:after="0"/>
        <w:jc w:val="both"/>
        <w:rPr>
          <w:rFonts w:ascii="Arial" w:hAnsi="Arial" w:cs="Arial"/>
        </w:rPr>
      </w:pPr>
    </w:p>
    <w:p w:rsidR="002B4988" w:rsidRPr="002B4988" w:rsidRDefault="002B4988" w:rsidP="002B4988">
      <w:pPr>
        <w:spacing w:after="0"/>
        <w:jc w:val="both"/>
        <w:rPr>
          <w:rFonts w:ascii="Arial" w:eastAsia="Times New Roman" w:hAnsi="Arial" w:cs="Arial"/>
          <w:lang w:eastAsia="pl-PL"/>
        </w:rPr>
      </w:pPr>
      <w:r w:rsidRPr="002B4988">
        <w:rPr>
          <w:rFonts w:ascii="Arial" w:eastAsia="Times New Roman" w:hAnsi="Arial" w:cs="Arial"/>
          <w:lang w:eastAsia="pl-PL"/>
        </w:rPr>
        <w:t xml:space="preserve">Powyższy akt prawny opublikowany został </w:t>
      </w:r>
      <w:r>
        <w:rPr>
          <w:rFonts w:ascii="Arial" w:eastAsia="Times New Roman" w:hAnsi="Arial" w:cs="Arial"/>
          <w:lang w:eastAsia="pl-PL"/>
        </w:rPr>
        <w:t>29 stycznia</w:t>
      </w:r>
      <w:r w:rsidRPr="002B4988">
        <w:rPr>
          <w:rFonts w:ascii="Arial" w:eastAsia="Times New Roman" w:hAnsi="Arial" w:cs="Arial"/>
          <w:lang w:eastAsia="pl-PL"/>
        </w:rPr>
        <w:t xml:space="preserve"> 20</w:t>
      </w:r>
      <w:r>
        <w:rPr>
          <w:rFonts w:ascii="Arial" w:eastAsia="Times New Roman" w:hAnsi="Arial" w:cs="Arial"/>
          <w:lang w:eastAsia="pl-PL"/>
        </w:rPr>
        <w:t>25</w:t>
      </w:r>
      <w:r w:rsidRPr="002B4988">
        <w:rPr>
          <w:rFonts w:ascii="Arial" w:eastAsia="Times New Roman" w:hAnsi="Arial" w:cs="Arial"/>
          <w:lang w:eastAsia="pl-PL"/>
        </w:rPr>
        <w:t xml:space="preserve"> roku w Dzienniku Ustaw (Dz.U. z 202</w:t>
      </w:r>
      <w:r>
        <w:rPr>
          <w:rFonts w:ascii="Arial" w:eastAsia="Times New Roman" w:hAnsi="Arial" w:cs="Arial"/>
          <w:lang w:eastAsia="pl-PL"/>
        </w:rPr>
        <w:t>5</w:t>
      </w:r>
      <w:r w:rsidRPr="002B4988">
        <w:rPr>
          <w:rFonts w:ascii="Arial" w:eastAsia="Times New Roman" w:hAnsi="Arial" w:cs="Arial"/>
          <w:lang w:eastAsia="pl-PL"/>
        </w:rPr>
        <w:t xml:space="preserve">, poz. </w:t>
      </w:r>
      <w:r>
        <w:rPr>
          <w:rFonts w:ascii="Arial" w:eastAsia="Times New Roman" w:hAnsi="Arial" w:cs="Arial"/>
          <w:lang w:eastAsia="pl-PL"/>
        </w:rPr>
        <w:t>119</w:t>
      </w:r>
      <w:r w:rsidRPr="002B4988">
        <w:rPr>
          <w:rFonts w:ascii="Arial" w:eastAsia="Times New Roman" w:hAnsi="Arial" w:cs="Arial"/>
          <w:lang w:eastAsia="pl-PL"/>
        </w:rPr>
        <w:t>).</w:t>
      </w:r>
    </w:p>
    <w:p w:rsidR="002B4988" w:rsidRDefault="002B4988" w:rsidP="002B4988">
      <w:pPr>
        <w:spacing w:after="0"/>
        <w:jc w:val="both"/>
        <w:rPr>
          <w:rFonts w:ascii="Arial" w:eastAsia="Times New Roman" w:hAnsi="Arial" w:cs="Arial"/>
          <w:lang w:eastAsia="pl-PL"/>
        </w:rPr>
      </w:pPr>
    </w:p>
    <w:p w:rsidR="002B4988" w:rsidRPr="002B4988" w:rsidRDefault="002B4988" w:rsidP="002B4988">
      <w:pPr>
        <w:spacing w:after="0"/>
        <w:jc w:val="both"/>
        <w:rPr>
          <w:rFonts w:ascii="Arial" w:eastAsia="Times New Roman" w:hAnsi="Arial" w:cs="Arial"/>
          <w:lang w:eastAsia="pl-PL"/>
        </w:rPr>
      </w:pPr>
      <w:r w:rsidRPr="002B4988">
        <w:rPr>
          <w:rFonts w:ascii="Arial" w:eastAsia="Times New Roman" w:hAnsi="Arial" w:cs="Arial"/>
          <w:lang w:eastAsia="pl-PL"/>
        </w:rPr>
        <w:t>W rozporządzeniu Ministra Infrastruktury z dnia 24 marca 2023 r. w sprawie</w:t>
      </w:r>
      <w:r>
        <w:rPr>
          <w:rFonts w:ascii="Arial" w:eastAsia="Times New Roman" w:hAnsi="Arial" w:cs="Arial"/>
          <w:lang w:eastAsia="pl-PL"/>
        </w:rPr>
        <w:t xml:space="preserve"> systemu oceny ryzyka podmiotów </w:t>
      </w:r>
      <w:r w:rsidRPr="002B4988">
        <w:rPr>
          <w:rFonts w:ascii="Arial" w:eastAsia="Times New Roman" w:hAnsi="Arial" w:cs="Arial"/>
          <w:lang w:eastAsia="pl-PL"/>
        </w:rPr>
        <w:t>wykonujących przewóz drogowy (Dz. U. poz. 626) wprowadza się następujące zmiany:</w:t>
      </w:r>
    </w:p>
    <w:p w:rsidR="002B4988" w:rsidRPr="002B4988" w:rsidRDefault="002B4988" w:rsidP="002B4988">
      <w:pPr>
        <w:spacing w:after="0"/>
        <w:jc w:val="both"/>
        <w:rPr>
          <w:rFonts w:ascii="Arial" w:eastAsia="Times New Roman" w:hAnsi="Arial" w:cs="Arial"/>
          <w:lang w:eastAsia="pl-PL"/>
        </w:rPr>
      </w:pPr>
      <w:r w:rsidRPr="002B4988">
        <w:rPr>
          <w:rFonts w:ascii="Arial" w:eastAsia="Times New Roman" w:hAnsi="Arial" w:cs="Arial"/>
          <w:lang w:eastAsia="pl-PL"/>
        </w:rPr>
        <w:t>1) w odnośniku nr 2 pkt 1 otrzymuje brzmienie:</w:t>
      </w:r>
    </w:p>
    <w:p w:rsidR="002B4988" w:rsidRPr="002B4988" w:rsidRDefault="002B4988" w:rsidP="002B4988">
      <w:pPr>
        <w:spacing w:after="0"/>
        <w:ind w:left="567"/>
        <w:jc w:val="both"/>
        <w:rPr>
          <w:rFonts w:ascii="Arial" w:eastAsia="Times New Roman" w:hAnsi="Arial" w:cs="Arial"/>
          <w:lang w:eastAsia="pl-PL"/>
        </w:rPr>
      </w:pPr>
      <w:r w:rsidRPr="002B4988">
        <w:rPr>
          <w:rFonts w:ascii="Arial" w:eastAsia="Times New Roman" w:hAnsi="Arial" w:cs="Arial"/>
          <w:lang w:eastAsia="pl-PL"/>
        </w:rPr>
        <w:t>„1) dyrektywę 2006/22/WE Parlamentu Europejskiego i Rady z dnia 15 marca 2006 r. w sprawie minimalnych warunków wykonania rozporządzeń (WE) nr 561/2006 i (UE) nr 165/2014 oraz dyr</w:t>
      </w:r>
      <w:r>
        <w:rPr>
          <w:rFonts w:ascii="Arial" w:eastAsia="Times New Roman" w:hAnsi="Arial" w:cs="Arial"/>
          <w:lang w:eastAsia="pl-PL"/>
        </w:rPr>
        <w:t xml:space="preserve">ektywy 2002/15/WE w odniesieniu </w:t>
      </w:r>
      <w:r w:rsidRPr="002B4988">
        <w:rPr>
          <w:rFonts w:ascii="Arial" w:eastAsia="Times New Roman" w:hAnsi="Arial" w:cs="Arial"/>
          <w:lang w:eastAsia="pl-PL"/>
        </w:rPr>
        <w:t>do przepisów socjalnych dotyczących działalności w transporcie drogowym</w:t>
      </w:r>
      <w:r>
        <w:rPr>
          <w:rFonts w:ascii="Arial" w:eastAsia="Times New Roman" w:hAnsi="Arial" w:cs="Arial"/>
          <w:lang w:eastAsia="pl-PL"/>
        </w:rPr>
        <w:t xml:space="preserve"> oraz uchylającą dyrektywę Rady </w:t>
      </w:r>
      <w:r w:rsidRPr="002B4988">
        <w:rPr>
          <w:rFonts w:ascii="Arial" w:eastAsia="Times New Roman" w:hAnsi="Arial" w:cs="Arial"/>
          <w:lang w:eastAsia="pl-PL"/>
        </w:rPr>
        <w:t>88/599/EWG (Dz. Urz. UE L 102 z 11.04.2006, str. 35, Dz. Urz. UE L 21 z 24.01.</w:t>
      </w:r>
      <w:r>
        <w:rPr>
          <w:rFonts w:ascii="Arial" w:eastAsia="Times New Roman" w:hAnsi="Arial" w:cs="Arial"/>
          <w:lang w:eastAsia="pl-PL"/>
        </w:rPr>
        <w:t xml:space="preserve">2009, str. 39, Dz. Urz. UE L 29 </w:t>
      </w:r>
      <w:r w:rsidRPr="002B4988">
        <w:rPr>
          <w:rFonts w:ascii="Arial" w:eastAsia="Times New Roman" w:hAnsi="Arial" w:cs="Arial"/>
          <w:lang w:eastAsia="pl-PL"/>
        </w:rPr>
        <w:t>z 31.01.2009, str. 45, Dz. Urz. UE L 74 z 19.03.2016, str. 8, Dz. Urz. UE L</w:t>
      </w:r>
      <w:r>
        <w:rPr>
          <w:rFonts w:ascii="Arial" w:eastAsia="Times New Roman" w:hAnsi="Arial" w:cs="Arial"/>
          <w:lang w:eastAsia="pl-PL"/>
        </w:rPr>
        <w:t xml:space="preserve"> 249 z 31.07.2020, str. 49 oraz </w:t>
      </w:r>
      <w:r w:rsidRPr="002B4988">
        <w:rPr>
          <w:rFonts w:ascii="Arial" w:eastAsia="Times New Roman" w:hAnsi="Arial" w:cs="Arial"/>
          <w:lang w:eastAsia="pl-PL"/>
        </w:rPr>
        <w:t>Dz. Urz. UE L 2024/846 z 31.05.2024);”;</w:t>
      </w:r>
    </w:p>
    <w:p w:rsidR="002B4988" w:rsidRPr="002B4988" w:rsidRDefault="002B4988" w:rsidP="002B4988">
      <w:pPr>
        <w:spacing w:after="0"/>
        <w:jc w:val="both"/>
        <w:rPr>
          <w:rFonts w:ascii="Arial" w:eastAsia="Times New Roman" w:hAnsi="Arial" w:cs="Arial"/>
          <w:lang w:eastAsia="pl-PL"/>
        </w:rPr>
      </w:pPr>
      <w:r w:rsidRPr="002B4988">
        <w:rPr>
          <w:rFonts w:ascii="Arial" w:eastAsia="Times New Roman" w:hAnsi="Arial" w:cs="Arial"/>
          <w:lang w:eastAsia="pl-PL"/>
        </w:rPr>
        <w:t>2) w § 2 w ust. 1 pkt 1 otrzymuje brzmienie:</w:t>
      </w:r>
    </w:p>
    <w:p w:rsidR="002B4988" w:rsidRDefault="002B4988" w:rsidP="002B4988">
      <w:pPr>
        <w:spacing w:after="0"/>
        <w:ind w:left="567"/>
        <w:jc w:val="both"/>
        <w:rPr>
          <w:rFonts w:ascii="Arial" w:eastAsia="Times New Roman" w:hAnsi="Arial" w:cs="Arial"/>
          <w:lang w:eastAsia="pl-PL"/>
        </w:rPr>
      </w:pPr>
      <w:r w:rsidRPr="002B4988">
        <w:rPr>
          <w:rFonts w:ascii="Arial" w:eastAsia="Times New Roman" w:hAnsi="Arial" w:cs="Arial"/>
          <w:lang w:eastAsia="pl-PL"/>
        </w:rPr>
        <w:t>„1) wykaz naruszeń dotyczących czasu prowadzenia pojazdu, obowiązkowych przerw i czasu odpoczynku kierowców, w tym stosowania tachografów, określony w załączniku do rozporządzenia;”;</w:t>
      </w:r>
    </w:p>
    <w:p w:rsidR="002B4988" w:rsidRDefault="002B4988" w:rsidP="002B4988">
      <w:pPr>
        <w:spacing w:after="0"/>
        <w:jc w:val="both"/>
        <w:rPr>
          <w:rFonts w:ascii="Arial" w:eastAsia="Times New Roman" w:hAnsi="Arial" w:cs="Arial"/>
          <w:lang w:eastAsia="pl-PL"/>
        </w:rPr>
      </w:pPr>
      <w:r>
        <w:rPr>
          <w:rFonts w:ascii="Arial" w:eastAsia="Times New Roman" w:hAnsi="Arial" w:cs="Arial"/>
          <w:lang w:eastAsia="pl-PL"/>
        </w:rPr>
        <w:t xml:space="preserve">Zmianie uległ również załącznik do rozporządzenia: </w:t>
      </w:r>
    </w:p>
    <w:p w:rsidR="002B4988" w:rsidRDefault="002B4988" w:rsidP="002B4988">
      <w:pPr>
        <w:spacing w:after="0"/>
        <w:ind w:left="567"/>
        <w:jc w:val="both"/>
        <w:rPr>
          <w:rFonts w:ascii="Arial" w:eastAsia="Times New Roman" w:hAnsi="Arial" w:cs="Arial"/>
          <w:lang w:eastAsia="pl-PL"/>
        </w:rPr>
      </w:pPr>
      <w:r>
        <w:rPr>
          <w:rFonts w:ascii="Arial" w:eastAsia="Times New Roman" w:hAnsi="Arial" w:cs="Arial"/>
          <w:lang w:eastAsia="pl-PL"/>
        </w:rPr>
        <w:t xml:space="preserve">„WYKAZ NARUSZEŃ DOTYCZĄCYCH </w:t>
      </w:r>
      <w:r w:rsidRPr="002B4988">
        <w:rPr>
          <w:rFonts w:ascii="Arial" w:eastAsia="Times New Roman" w:hAnsi="Arial" w:cs="Arial"/>
          <w:lang w:eastAsia="pl-PL"/>
        </w:rPr>
        <w:t>CZASU PROWADZENI</w:t>
      </w:r>
      <w:r>
        <w:rPr>
          <w:rFonts w:ascii="Arial" w:eastAsia="Times New Roman" w:hAnsi="Arial" w:cs="Arial"/>
          <w:lang w:eastAsia="pl-PL"/>
        </w:rPr>
        <w:t xml:space="preserve">A POJAZDU, OBOWIĄZKOWYCH PRZERW </w:t>
      </w:r>
      <w:r w:rsidRPr="002B4988">
        <w:rPr>
          <w:rFonts w:ascii="Arial" w:eastAsia="Times New Roman" w:hAnsi="Arial" w:cs="Arial"/>
          <w:lang w:eastAsia="pl-PL"/>
        </w:rPr>
        <w:t>I CZASU ODPOCZYNKU KIEROWCÓW, W TYM STOSOWANIA TACHOGRAFÓW</w:t>
      </w:r>
      <w:r>
        <w:rPr>
          <w:rFonts w:ascii="Arial" w:eastAsia="Times New Roman" w:hAnsi="Arial" w:cs="Arial"/>
          <w:lang w:eastAsia="pl-PL"/>
        </w:rPr>
        <w:t>”</w:t>
      </w:r>
    </w:p>
    <w:p w:rsidR="002B4988" w:rsidRPr="002B4988" w:rsidRDefault="002B4988" w:rsidP="002B4988">
      <w:pPr>
        <w:spacing w:after="0"/>
        <w:jc w:val="both"/>
        <w:rPr>
          <w:rFonts w:ascii="Arial" w:eastAsia="Times New Roman" w:hAnsi="Arial" w:cs="Arial"/>
          <w:lang w:eastAsia="pl-PL"/>
        </w:rPr>
      </w:pPr>
    </w:p>
    <w:p w:rsidR="002B4988" w:rsidRDefault="0029516B" w:rsidP="002B4988">
      <w:pPr>
        <w:spacing w:after="0"/>
        <w:jc w:val="both"/>
        <w:rPr>
          <w:rFonts w:ascii="Arial" w:hAnsi="Arial" w:cs="Arial"/>
        </w:rPr>
      </w:pPr>
      <w:r w:rsidRPr="0029516B">
        <w:rPr>
          <w:rStyle w:val="markedcontent"/>
          <w:rFonts w:ascii="Arial" w:hAnsi="Arial" w:cs="Arial"/>
        </w:rPr>
        <w:t>Rozporządzenie wchodzi w życie po upływie 14 dni od dnia ogłoszenia</w:t>
      </w:r>
      <w:r>
        <w:rPr>
          <w:rStyle w:val="markedcontent"/>
          <w:rFonts w:ascii="Arial" w:hAnsi="Arial" w:cs="Arial"/>
        </w:rPr>
        <w:t>, tj. 12 lutego</w:t>
      </w:r>
      <w:r w:rsidR="002B4988">
        <w:rPr>
          <w:rStyle w:val="markedcontent"/>
          <w:rFonts w:ascii="Arial" w:hAnsi="Arial" w:cs="Arial"/>
        </w:rPr>
        <w:t xml:space="preserve"> 202</w:t>
      </w:r>
      <w:r>
        <w:rPr>
          <w:rStyle w:val="markedcontent"/>
          <w:rFonts w:ascii="Arial" w:hAnsi="Arial" w:cs="Arial"/>
        </w:rPr>
        <w:t>5</w:t>
      </w:r>
      <w:r w:rsidR="002B4988">
        <w:rPr>
          <w:rStyle w:val="markedcontent"/>
          <w:rFonts w:ascii="Arial" w:hAnsi="Arial" w:cs="Arial"/>
        </w:rPr>
        <w:t xml:space="preserve"> roku</w:t>
      </w:r>
      <w:r w:rsidR="00D95452">
        <w:rPr>
          <w:rStyle w:val="markedcontent"/>
          <w:rFonts w:ascii="Arial" w:hAnsi="Arial" w:cs="Arial"/>
        </w:rPr>
        <w:t>.</w:t>
      </w:r>
    </w:p>
    <w:p w:rsidR="002B4988" w:rsidRPr="002B4988" w:rsidRDefault="002B4988" w:rsidP="002B4988">
      <w:pPr>
        <w:spacing w:after="0"/>
        <w:jc w:val="both"/>
        <w:rPr>
          <w:rFonts w:ascii="Arial" w:hAnsi="Arial" w:cs="Arial"/>
        </w:rPr>
      </w:pPr>
    </w:p>
    <w:p w:rsidR="002B4988" w:rsidRPr="0029516B" w:rsidRDefault="0029516B" w:rsidP="0029516B">
      <w:pPr>
        <w:pStyle w:val="Akapitzlist"/>
        <w:numPr>
          <w:ilvl w:val="0"/>
          <w:numId w:val="2"/>
        </w:numPr>
        <w:spacing w:after="0"/>
        <w:jc w:val="both"/>
        <w:rPr>
          <w:rFonts w:ascii="Arial" w:hAnsi="Arial" w:cs="Arial"/>
          <w:u w:val="single"/>
        </w:rPr>
      </w:pPr>
      <w:r w:rsidRPr="0029516B">
        <w:rPr>
          <w:rFonts w:ascii="Arial" w:hAnsi="Arial" w:cs="Arial"/>
          <w:u w:val="single"/>
        </w:rPr>
        <w:t>Ustawa z dnia 5 grudnia 2024 r. o zmianie ustawy o świadczeniach opieki zdrowotnej finansowanych ze środków publicznych oraz niektórych innych ustaw</w:t>
      </w:r>
    </w:p>
    <w:p w:rsidR="00E34B7F" w:rsidRDefault="00E34B7F" w:rsidP="00206384">
      <w:pPr>
        <w:spacing w:after="0"/>
        <w:jc w:val="both"/>
        <w:rPr>
          <w:rFonts w:ascii="Arial" w:hAnsi="Arial" w:cs="Arial"/>
        </w:rPr>
      </w:pPr>
    </w:p>
    <w:p w:rsidR="0029516B" w:rsidRDefault="0029516B" w:rsidP="00206384">
      <w:pPr>
        <w:spacing w:after="0"/>
        <w:jc w:val="both"/>
        <w:rPr>
          <w:rFonts w:ascii="Arial" w:hAnsi="Arial" w:cs="Arial"/>
        </w:rPr>
      </w:pPr>
      <w:r w:rsidRPr="0029516B">
        <w:rPr>
          <w:rFonts w:ascii="Arial" w:hAnsi="Arial" w:cs="Arial"/>
        </w:rPr>
        <w:t xml:space="preserve">Powyższy akt prawny opublikowany został </w:t>
      </w:r>
      <w:r>
        <w:rPr>
          <w:rFonts w:ascii="Arial" w:hAnsi="Arial" w:cs="Arial"/>
        </w:rPr>
        <w:t>30</w:t>
      </w:r>
      <w:r w:rsidRPr="0029516B">
        <w:rPr>
          <w:rFonts w:ascii="Arial" w:hAnsi="Arial" w:cs="Arial"/>
        </w:rPr>
        <w:t xml:space="preserve"> stycznia 2025 roku w Dzienn</w:t>
      </w:r>
      <w:r>
        <w:rPr>
          <w:rFonts w:ascii="Arial" w:hAnsi="Arial" w:cs="Arial"/>
        </w:rPr>
        <w:t>iku Ustaw (Dz.U. z 2025, poz. 12</w:t>
      </w:r>
      <w:r w:rsidRPr="0029516B">
        <w:rPr>
          <w:rFonts w:ascii="Arial" w:hAnsi="Arial" w:cs="Arial"/>
        </w:rPr>
        <w:t>9).</w:t>
      </w:r>
    </w:p>
    <w:p w:rsidR="0029516B" w:rsidRDefault="0029516B" w:rsidP="00206384">
      <w:pPr>
        <w:spacing w:after="0"/>
        <w:jc w:val="both"/>
        <w:rPr>
          <w:rFonts w:ascii="Arial" w:hAnsi="Arial" w:cs="Arial"/>
        </w:rPr>
      </w:pPr>
    </w:p>
    <w:p w:rsidR="0029516B" w:rsidRPr="0029516B" w:rsidRDefault="0029516B" w:rsidP="0029516B">
      <w:pPr>
        <w:spacing w:after="0"/>
        <w:jc w:val="both"/>
        <w:rPr>
          <w:rFonts w:ascii="Arial" w:hAnsi="Arial" w:cs="Arial"/>
        </w:rPr>
      </w:pPr>
      <w:r w:rsidRPr="0029516B">
        <w:rPr>
          <w:rFonts w:ascii="Arial" w:hAnsi="Arial" w:cs="Arial"/>
        </w:rPr>
        <w:lastRenderedPageBreak/>
        <w:t>Uchwalona w dniu 5 grudnia 2024 r. ustawa o zmiani</w:t>
      </w:r>
      <w:r>
        <w:rPr>
          <w:rFonts w:ascii="Arial" w:hAnsi="Arial" w:cs="Arial"/>
        </w:rPr>
        <w:t xml:space="preserve">e ustawy o świadczeniach opieki </w:t>
      </w:r>
      <w:r w:rsidRPr="0029516B">
        <w:rPr>
          <w:rFonts w:ascii="Arial" w:hAnsi="Arial" w:cs="Arial"/>
        </w:rPr>
        <w:t>zdrowotnej finansowanych ze środków publicznych oraz niektórych innych ustaw ma na ce</w:t>
      </w:r>
      <w:r>
        <w:rPr>
          <w:rFonts w:ascii="Arial" w:hAnsi="Arial" w:cs="Arial"/>
        </w:rPr>
        <w:t xml:space="preserve">lu </w:t>
      </w:r>
      <w:r w:rsidRPr="0029516B">
        <w:rPr>
          <w:rFonts w:ascii="Arial" w:hAnsi="Arial" w:cs="Arial"/>
        </w:rPr>
        <w:t>m.in. eliminację ograniczeń związanych z możliwością wy</w:t>
      </w:r>
      <w:r>
        <w:rPr>
          <w:rFonts w:ascii="Arial" w:hAnsi="Arial" w:cs="Arial"/>
        </w:rPr>
        <w:t xml:space="preserve">stawiania recept na refundowane </w:t>
      </w:r>
      <w:r w:rsidRPr="0029516B">
        <w:rPr>
          <w:rFonts w:ascii="Arial" w:hAnsi="Arial" w:cs="Arial"/>
        </w:rPr>
        <w:t>niektóre leki, środki spożywcze specjalnego przezn</w:t>
      </w:r>
      <w:r>
        <w:rPr>
          <w:rFonts w:ascii="Arial" w:hAnsi="Arial" w:cs="Arial"/>
        </w:rPr>
        <w:t xml:space="preserve">aczenia żywieniowego lub wyroby </w:t>
      </w:r>
      <w:r w:rsidRPr="0029516B">
        <w:rPr>
          <w:rFonts w:ascii="Arial" w:hAnsi="Arial" w:cs="Arial"/>
        </w:rPr>
        <w:t>medyczne przysługujące bezpłatnie osobom do uk</w:t>
      </w:r>
      <w:r>
        <w:rPr>
          <w:rFonts w:ascii="Arial" w:hAnsi="Arial" w:cs="Arial"/>
        </w:rPr>
        <w:t xml:space="preserve">ończenia 18. roku życia albo po </w:t>
      </w:r>
      <w:r w:rsidRPr="0029516B">
        <w:rPr>
          <w:rFonts w:ascii="Arial" w:hAnsi="Arial" w:cs="Arial"/>
        </w:rPr>
        <w:t>ukończ</w:t>
      </w:r>
      <w:r>
        <w:rPr>
          <w:rFonts w:ascii="Arial" w:hAnsi="Arial" w:cs="Arial"/>
        </w:rPr>
        <w:t xml:space="preserve">eniu </w:t>
      </w:r>
      <w:r w:rsidRPr="0029516B">
        <w:rPr>
          <w:rFonts w:ascii="Arial" w:hAnsi="Arial" w:cs="Arial"/>
        </w:rPr>
        <w:t xml:space="preserve">65. roku życia. Uprawnioną do wystawiania recept na </w:t>
      </w:r>
      <w:r>
        <w:rPr>
          <w:rFonts w:ascii="Arial" w:hAnsi="Arial" w:cs="Arial"/>
        </w:rPr>
        <w:t xml:space="preserve">darmowe leki, środki lub wyroby </w:t>
      </w:r>
      <w:r w:rsidRPr="0029516B">
        <w:rPr>
          <w:rFonts w:ascii="Arial" w:hAnsi="Arial" w:cs="Arial"/>
        </w:rPr>
        <w:t xml:space="preserve">będzie każda osoba posiadająca uprawnienie do </w:t>
      </w:r>
      <w:r>
        <w:rPr>
          <w:rFonts w:ascii="Arial" w:hAnsi="Arial" w:cs="Arial"/>
        </w:rPr>
        <w:t xml:space="preserve">preskrypcji wynikające wprost z </w:t>
      </w:r>
      <w:r w:rsidRPr="0029516B">
        <w:rPr>
          <w:rFonts w:ascii="Arial" w:hAnsi="Arial" w:cs="Arial"/>
        </w:rPr>
        <w:t>wykonywania przez nią zawodu medycznego, jeżeli</w:t>
      </w:r>
      <w:r>
        <w:rPr>
          <w:rFonts w:ascii="Arial" w:hAnsi="Arial" w:cs="Arial"/>
        </w:rPr>
        <w:t xml:space="preserve"> prawo to zapisano w przepisach </w:t>
      </w:r>
      <w:r w:rsidRPr="0029516B">
        <w:rPr>
          <w:rFonts w:ascii="Arial" w:hAnsi="Arial" w:cs="Arial"/>
        </w:rPr>
        <w:t>regulujących zasady wykonywania tego zawodu (nie</w:t>
      </w:r>
      <w:r>
        <w:rPr>
          <w:rFonts w:ascii="Arial" w:hAnsi="Arial" w:cs="Arial"/>
        </w:rPr>
        <w:t xml:space="preserve">zależnie od rodzaju udzielanego </w:t>
      </w:r>
      <w:r w:rsidRPr="0029516B">
        <w:rPr>
          <w:rFonts w:ascii="Arial" w:hAnsi="Arial" w:cs="Arial"/>
        </w:rPr>
        <w:t>świadczenia, w konsekwencji którego wystawiana jest rec</w:t>
      </w:r>
      <w:r>
        <w:rPr>
          <w:rFonts w:ascii="Arial" w:hAnsi="Arial" w:cs="Arial"/>
        </w:rPr>
        <w:t xml:space="preserve">epta, oraz niezależnie od faktu </w:t>
      </w:r>
      <w:r w:rsidRPr="0029516B">
        <w:rPr>
          <w:rFonts w:ascii="Arial" w:hAnsi="Arial" w:cs="Arial"/>
        </w:rPr>
        <w:t>posiadania albo nieposiadania przez osobę wystawiając</w:t>
      </w:r>
      <w:r>
        <w:rPr>
          <w:rFonts w:ascii="Arial" w:hAnsi="Arial" w:cs="Arial"/>
        </w:rPr>
        <w:t xml:space="preserve">ą receptę umowy z NFZ - także w </w:t>
      </w:r>
      <w:r w:rsidRPr="0029516B">
        <w:rPr>
          <w:rFonts w:ascii="Arial" w:hAnsi="Arial" w:cs="Arial"/>
        </w:rPr>
        <w:t>przypadku zaprzestania wykonywania danego zawodu, j</w:t>
      </w:r>
      <w:r>
        <w:rPr>
          <w:rFonts w:ascii="Arial" w:hAnsi="Arial" w:cs="Arial"/>
        </w:rPr>
        <w:t xml:space="preserve">eśli recepta wstawiana jest dla siebie </w:t>
      </w:r>
      <w:r w:rsidRPr="0029516B">
        <w:rPr>
          <w:rFonts w:ascii="Arial" w:hAnsi="Arial" w:cs="Arial"/>
        </w:rPr>
        <w:t>albo dla małżonka, albo dla osoby pozostającej we wsp</w:t>
      </w:r>
      <w:r>
        <w:rPr>
          <w:rFonts w:ascii="Arial" w:hAnsi="Arial" w:cs="Arial"/>
        </w:rPr>
        <w:t xml:space="preserve">ólnym pożyciu, dla krewnych lub </w:t>
      </w:r>
      <w:r w:rsidRPr="0029516B">
        <w:rPr>
          <w:rFonts w:ascii="Arial" w:hAnsi="Arial" w:cs="Arial"/>
        </w:rPr>
        <w:t>powinowatych w linii prostej, a w linii bocznej do stopnia pokrewieństwa między dzieć</w:t>
      </w:r>
      <w:r>
        <w:rPr>
          <w:rFonts w:ascii="Arial" w:hAnsi="Arial" w:cs="Arial"/>
        </w:rPr>
        <w:t xml:space="preserve">mi </w:t>
      </w:r>
      <w:r w:rsidRPr="0029516B">
        <w:rPr>
          <w:rFonts w:ascii="Arial" w:hAnsi="Arial" w:cs="Arial"/>
        </w:rPr>
        <w:t>rodzeństwa). Ustawa ponadto doprecyzowuje kwestie</w:t>
      </w:r>
      <w:r>
        <w:rPr>
          <w:rFonts w:ascii="Arial" w:hAnsi="Arial" w:cs="Arial"/>
        </w:rPr>
        <w:t xml:space="preserve"> związane z finansowaniem przez </w:t>
      </w:r>
      <w:r w:rsidRPr="0029516B">
        <w:rPr>
          <w:rFonts w:ascii="Arial" w:hAnsi="Arial" w:cs="Arial"/>
        </w:rPr>
        <w:t xml:space="preserve">Narodowy Fundusz Zdrowia leków w ramach ratunkowego </w:t>
      </w:r>
      <w:r>
        <w:rPr>
          <w:rFonts w:ascii="Arial" w:hAnsi="Arial" w:cs="Arial"/>
        </w:rPr>
        <w:t xml:space="preserve">dostępu do technologii lekowych </w:t>
      </w:r>
      <w:r w:rsidRPr="0029516B">
        <w:rPr>
          <w:rFonts w:ascii="Arial" w:hAnsi="Arial" w:cs="Arial"/>
        </w:rPr>
        <w:t>oraz przyznawania przez dysponenta Funduszu Medyczneg</w:t>
      </w:r>
      <w:r>
        <w:rPr>
          <w:rFonts w:ascii="Arial" w:hAnsi="Arial" w:cs="Arial"/>
        </w:rPr>
        <w:t xml:space="preserve">o dotacji celowej na realizację </w:t>
      </w:r>
      <w:r w:rsidRPr="0029516B">
        <w:rPr>
          <w:rFonts w:ascii="Arial" w:hAnsi="Arial" w:cs="Arial"/>
        </w:rPr>
        <w:t>tego zadania.</w:t>
      </w:r>
    </w:p>
    <w:p w:rsidR="0029516B" w:rsidRPr="0029516B" w:rsidRDefault="0029516B" w:rsidP="0029516B">
      <w:pPr>
        <w:spacing w:after="0"/>
        <w:jc w:val="both"/>
        <w:rPr>
          <w:rFonts w:ascii="Arial" w:hAnsi="Arial" w:cs="Arial"/>
        </w:rPr>
      </w:pPr>
      <w:r w:rsidRPr="0029516B">
        <w:rPr>
          <w:rFonts w:ascii="Arial" w:hAnsi="Arial" w:cs="Arial"/>
        </w:rPr>
        <w:t>Zmiany w ustawie z dnia 6 września 2001 r. –</w:t>
      </w:r>
      <w:r>
        <w:rPr>
          <w:rFonts w:ascii="Arial" w:hAnsi="Arial" w:cs="Arial"/>
        </w:rPr>
        <w:t xml:space="preserve"> Prawo farmaceutyczne umożliwią </w:t>
      </w:r>
      <w:r w:rsidRPr="0029516B">
        <w:rPr>
          <w:rFonts w:ascii="Arial" w:hAnsi="Arial" w:cs="Arial"/>
        </w:rPr>
        <w:t>farmaceutom wystawianie recept farmaceutycznych na s</w:t>
      </w:r>
      <w:r>
        <w:rPr>
          <w:rFonts w:ascii="Arial" w:hAnsi="Arial" w:cs="Arial"/>
        </w:rPr>
        <w:t xml:space="preserve">zersze niż dotychczas, spektrum </w:t>
      </w:r>
      <w:r w:rsidRPr="0029516B">
        <w:rPr>
          <w:rFonts w:ascii="Arial" w:hAnsi="Arial" w:cs="Arial"/>
        </w:rPr>
        <w:t>produktów immunologicznych (szczepionek) stosowany</w:t>
      </w:r>
      <w:r>
        <w:rPr>
          <w:rFonts w:ascii="Arial" w:hAnsi="Arial" w:cs="Arial"/>
        </w:rPr>
        <w:t xml:space="preserve">ch do przeprowadzania szczepień </w:t>
      </w:r>
      <w:r w:rsidRPr="0029516B">
        <w:rPr>
          <w:rFonts w:ascii="Arial" w:hAnsi="Arial" w:cs="Arial"/>
        </w:rPr>
        <w:t>zalecanych. Dodano także przepisy umożliwiające od</w:t>
      </w:r>
      <w:r>
        <w:rPr>
          <w:rFonts w:ascii="Arial" w:hAnsi="Arial" w:cs="Arial"/>
        </w:rPr>
        <w:t xml:space="preserve">stąpienie od dochodzenia zwrotu </w:t>
      </w:r>
      <w:r w:rsidRPr="0029516B">
        <w:rPr>
          <w:rFonts w:ascii="Arial" w:hAnsi="Arial" w:cs="Arial"/>
        </w:rPr>
        <w:t>otrzymanego wynagrodzenia ryczałtowego z tytuł</w:t>
      </w:r>
      <w:r>
        <w:rPr>
          <w:rFonts w:ascii="Arial" w:hAnsi="Arial" w:cs="Arial"/>
        </w:rPr>
        <w:t xml:space="preserve">u pełnienia dyżurów od podmiotu </w:t>
      </w:r>
      <w:r w:rsidRPr="0029516B">
        <w:rPr>
          <w:rFonts w:ascii="Arial" w:hAnsi="Arial" w:cs="Arial"/>
        </w:rPr>
        <w:t>prowadzącego aptekę, w przypadku stwierdzenia, że apt</w:t>
      </w:r>
      <w:r>
        <w:rPr>
          <w:rFonts w:ascii="Arial" w:hAnsi="Arial" w:cs="Arial"/>
        </w:rPr>
        <w:t xml:space="preserve">eka ogólnodostępna – z uwagi na </w:t>
      </w:r>
      <w:r w:rsidRPr="0029516B">
        <w:rPr>
          <w:rFonts w:ascii="Arial" w:hAnsi="Arial" w:cs="Arial"/>
        </w:rPr>
        <w:t>zaistnienie siły wyższej albo z przyczyn losowych innych niż s</w:t>
      </w:r>
      <w:r>
        <w:rPr>
          <w:rFonts w:ascii="Arial" w:hAnsi="Arial" w:cs="Arial"/>
        </w:rPr>
        <w:t xml:space="preserve">iła wyższa – nie pełniła dyżuru </w:t>
      </w:r>
      <w:r w:rsidRPr="0029516B">
        <w:rPr>
          <w:rFonts w:ascii="Arial" w:hAnsi="Arial" w:cs="Arial"/>
        </w:rPr>
        <w:t>albo pełniła go w wymiarze mniejszym niż zostało wyznaczone.</w:t>
      </w:r>
    </w:p>
    <w:p w:rsidR="0029516B" w:rsidRDefault="0029516B" w:rsidP="0029516B">
      <w:pPr>
        <w:spacing w:after="0"/>
        <w:jc w:val="both"/>
        <w:rPr>
          <w:rFonts w:ascii="Arial" w:hAnsi="Arial" w:cs="Arial"/>
        </w:rPr>
      </w:pPr>
      <w:r w:rsidRPr="0029516B">
        <w:rPr>
          <w:rFonts w:ascii="Arial" w:hAnsi="Arial" w:cs="Arial"/>
        </w:rPr>
        <w:t>Zmiany w ustawie z dnia 15 kwietnia 2011 r. o dział</w:t>
      </w:r>
      <w:r>
        <w:rPr>
          <w:rFonts w:ascii="Arial" w:hAnsi="Arial" w:cs="Arial"/>
        </w:rPr>
        <w:t xml:space="preserve">alności leczniczej mają na celu </w:t>
      </w:r>
      <w:r w:rsidRPr="0029516B">
        <w:rPr>
          <w:rFonts w:ascii="Arial" w:hAnsi="Arial" w:cs="Arial"/>
        </w:rPr>
        <w:t>doprecyzowanie przepisów, tak aby podstawa prawna ud</w:t>
      </w:r>
      <w:r>
        <w:rPr>
          <w:rFonts w:ascii="Arial" w:hAnsi="Arial" w:cs="Arial"/>
        </w:rPr>
        <w:t xml:space="preserve">zielania przez Ministra Zdrowia oraz </w:t>
      </w:r>
      <w:r w:rsidRPr="0029516B">
        <w:rPr>
          <w:rFonts w:ascii="Arial" w:hAnsi="Arial" w:cs="Arial"/>
        </w:rPr>
        <w:t>inne podmioty, w tym innych ministrów, dotacji c</w:t>
      </w:r>
      <w:r>
        <w:rPr>
          <w:rFonts w:ascii="Arial" w:hAnsi="Arial" w:cs="Arial"/>
        </w:rPr>
        <w:t xml:space="preserve">elowych nadzorowanym instytutom </w:t>
      </w:r>
      <w:r w:rsidRPr="0029516B">
        <w:rPr>
          <w:rFonts w:ascii="Arial" w:hAnsi="Arial" w:cs="Arial"/>
        </w:rPr>
        <w:t>badawczym nie budziła wątpliwości. Jednocześnie wprowa</w:t>
      </w:r>
      <w:r w:rsidR="00D95452">
        <w:rPr>
          <w:rFonts w:ascii="Arial" w:hAnsi="Arial" w:cs="Arial"/>
        </w:rPr>
        <w:t xml:space="preserve">dzono zmianę brzmienia art. 115 </w:t>
      </w:r>
      <w:r w:rsidRPr="0029516B">
        <w:rPr>
          <w:rFonts w:ascii="Arial" w:hAnsi="Arial" w:cs="Arial"/>
        </w:rPr>
        <w:t>ust. 4a i 4b powyżej wskazanej ustawy, warunkujących uz</w:t>
      </w:r>
      <w:r w:rsidR="00D95452">
        <w:rPr>
          <w:rFonts w:ascii="Arial" w:hAnsi="Arial" w:cs="Arial"/>
        </w:rPr>
        <w:t xml:space="preserve">yskanie przez podmiot leczniczy </w:t>
      </w:r>
      <w:r w:rsidRPr="0029516B">
        <w:rPr>
          <w:rFonts w:ascii="Arial" w:hAnsi="Arial" w:cs="Arial"/>
        </w:rPr>
        <w:t>dotacji, jeżeli dla inwestycji została wydana pozytywna opinia</w:t>
      </w:r>
      <w:r w:rsidR="00D95452">
        <w:rPr>
          <w:rFonts w:ascii="Arial" w:hAnsi="Arial" w:cs="Arial"/>
        </w:rPr>
        <w:t xml:space="preserve">, o której mowa w art. 95d ust. </w:t>
      </w:r>
      <w:r w:rsidRPr="0029516B">
        <w:rPr>
          <w:rFonts w:ascii="Arial" w:hAnsi="Arial" w:cs="Arial"/>
        </w:rPr>
        <w:t>1 ustawy o świadczeniach opieki zdrowotnej finansowanyc</w:t>
      </w:r>
      <w:r w:rsidR="00D95452">
        <w:rPr>
          <w:rFonts w:ascii="Arial" w:hAnsi="Arial" w:cs="Arial"/>
        </w:rPr>
        <w:t xml:space="preserve">h ze środków publicznych, chyba </w:t>
      </w:r>
      <w:r w:rsidRPr="0029516B">
        <w:rPr>
          <w:rFonts w:ascii="Arial" w:hAnsi="Arial" w:cs="Arial"/>
        </w:rPr>
        <w:t>że opinia ta nie jest wymagana na podstawie przepisów te</w:t>
      </w:r>
      <w:r w:rsidR="00D95452">
        <w:rPr>
          <w:rFonts w:ascii="Arial" w:hAnsi="Arial" w:cs="Arial"/>
        </w:rPr>
        <w:t xml:space="preserve">j ustawy. Jednocześnie przepisy </w:t>
      </w:r>
      <w:r w:rsidRPr="0029516B">
        <w:rPr>
          <w:rFonts w:ascii="Arial" w:hAnsi="Arial" w:cs="Arial"/>
        </w:rPr>
        <w:t>przejściowe przewidują, że zmiana w art. 4 ust. 3 pkt 4 i art</w:t>
      </w:r>
      <w:r w:rsidR="00D95452">
        <w:rPr>
          <w:rFonts w:ascii="Arial" w:hAnsi="Arial" w:cs="Arial"/>
        </w:rPr>
        <w:t xml:space="preserve">. 115 ustawy z dnia 15 kwietnia </w:t>
      </w:r>
      <w:r w:rsidRPr="0029516B">
        <w:rPr>
          <w:rFonts w:ascii="Arial" w:hAnsi="Arial" w:cs="Arial"/>
        </w:rPr>
        <w:t xml:space="preserve">2011 r. o działalności leczniczej będzie miała zastosowanie </w:t>
      </w:r>
      <w:r w:rsidR="00D95452">
        <w:rPr>
          <w:rFonts w:ascii="Arial" w:hAnsi="Arial" w:cs="Arial"/>
        </w:rPr>
        <w:t xml:space="preserve">do umów zawartych z instytutami </w:t>
      </w:r>
      <w:r w:rsidRPr="0029516B">
        <w:rPr>
          <w:rFonts w:ascii="Arial" w:hAnsi="Arial" w:cs="Arial"/>
        </w:rPr>
        <w:t>badawczymi przed dniem wejścia w życie przyjętej r</w:t>
      </w:r>
      <w:r w:rsidR="00D95452">
        <w:rPr>
          <w:rFonts w:ascii="Arial" w:hAnsi="Arial" w:cs="Arial"/>
        </w:rPr>
        <w:t xml:space="preserve">egulacji. Pozostałe wprowadzone zmiany </w:t>
      </w:r>
      <w:r w:rsidRPr="0029516B">
        <w:rPr>
          <w:rFonts w:ascii="Arial" w:hAnsi="Arial" w:cs="Arial"/>
        </w:rPr>
        <w:t>(także te w ustawie z dnia 12 maja 2011 r. o refund</w:t>
      </w:r>
      <w:r w:rsidR="00D95452">
        <w:rPr>
          <w:rFonts w:ascii="Arial" w:hAnsi="Arial" w:cs="Arial"/>
        </w:rPr>
        <w:t xml:space="preserve">acji leków, środków spożywczych </w:t>
      </w:r>
      <w:r w:rsidRPr="0029516B">
        <w:rPr>
          <w:rFonts w:ascii="Arial" w:hAnsi="Arial" w:cs="Arial"/>
        </w:rPr>
        <w:t>specjalnego przeznaczenia żywieniowego oraz wyrobów medycznych oraz ustawie z dnia 1</w:t>
      </w:r>
      <w:r w:rsidR="00D95452">
        <w:rPr>
          <w:rFonts w:ascii="Arial" w:hAnsi="Arial" w:cs="Arial"/>
        </w:rPr>
        <w:t xml:space="preserve">5 </w:t>
      </w:r>
      <w:r w:rsidRPr="0029516B">
        <w:rPr>
          <w:rFonts w:ascii="Arial" w:hAnsi="Arial" w:cs="Arial"/>
        </w:rPr>
        <w:t>lipca 2011 r. o zawodach pielęgniarki i położnej) mają charakter wynikowy lub techniczny</w:t>
      </w:r>
      <w:r w:rsidR="00D95452">
        <w:rPr>
          <w:rFonts w:ascii="Arial" w:hAnsi="Arial" w:cs="Arial"/>
        </w:rPr>
        <w:t>.</w:t>
      </w:r>
    </w:p>
    <w:p w:rsidR="0029516B" w:rsidRDefault="0029516B" w:rsidP="00206384">
      <w:pPr>
        <w:spacing w:after="0"/>
        <w:jc w:val="both"/>
        <w:rPr>
          <w:rFonts w:ascii="Arial" w:hAnsi="Arial" w:cs="Arial"/>
        </w:rPr>
      </w:pPr>
    </w:p>
    <w:p w:rsidR="00D95452" w:rsidRDefault="00D95452" w:rsidP="00206384">
      <w:pPr>
        <w:spacing w:after="0"/>
        <w:jc w:val="both"/>
        <w:rPr>
          <w:rFonts w:ascii="Arial" w:hAnsi="Arial" w:cs="Arial"/>
        </w:rPr>
      </w:pPr>
      <w:r w:rsidRPr="00D95452">
        <w:rPr>
          <w:rFonts w:ascii="Arial" w:hAnsi="Arial" w:cs="Arial"/>
        </w:rPr>
        <w:t xml:space="preserve">Rozporządzenie wchodzi w życie po upływie 14 dni od dnia ogłoszenia, tj. </w:t>
      </w:r>
      <w:r>
        <w:rPr>
          <w:rFonts w:ascii="Arial" w:hAnsi="Arial" w:cs="Arial"/>
        </w:rPr>
        <w:t>13</w:t>
      </w:r>
      <w:r w:rsidRPr="00D95452">
        <w:rPr>
          <w:rFonts w:ascii="Arial" w:hAnsi="Arial" w:cs="Arial"/>
        </w:rPr>
        <w:t xml:space="preserve"> lutego 2025 roku.</w:t>
      </w:r>
      <w:bookmarkStart w:id="0" w:name="_GoBack"/>
      <w:bookmarkEnd w:id="0"/>
    </w:p>
    <w:p w:rsidR="00E34B7F" w:rsidRDefault="00E34B7F" w:rsidP="00206384">
      <w:pPr>
        <w:spacing w:after="0"/>
        <w:jc w:val="both"/>
        <w:rPr>
          <w:rFonts w:ascii="Arial" w:hAnsi="Arial" w:cs="Arial"/>
        </w:rPr>
      </w:pPr>
    </w:p>
    <w:p w:rsidR="00887E52" w:rsidRDefault="00887E52" w:rsidP="00206384">
      <w:pPr>
        <w:spacing w:after="0"/>
      </w:pPr>
    </w:p>
    <w:sectPr w:rsidR="00887E52" w:rsidSect="008D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980FD5"/>
    <w:multiLevelType w:val="hybridMultilevel"/>
    <w:tmpl w:val="30126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7F"/>
    <w:rsid w:val="00206384"/>
    <w:rsid w:val="0029516B"/>
    <w:rsid w:val="002B4988"/>
    <w:rsid w:val="00552A19"/>
    <w:rsid w:val="00887E52"/>
    <w:rsid w:val="00945D01"/>
    <w:rsid w:val="00BE09EF"/>
    <w:rsid w:val="00D95452"/>
    <w:rsid w:val="00E34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B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4B7F"/>
    <w:pPr>
      <w:ind w:left="720"/>
      <w:contextualSpacing/>
    </w:pPr>
  </w:style>
  <w:style w:type="character" w:customStyle="1" w:styleId="markedcontent">
    <w:name w:val="markedcontent"/>
    <w:basedOn w:val="Domylnaczcionkaakapitu"/>
    <w:rsid w:val="00E34B7F"/>
  </w:style>
  <w:style w:type="paragraph" w:styleId="Tekstdymka">
    <w:name w:val="Balloon Text"/>
    <w:basedOn w:val="Normalny"/>
    <w:link w:val="TekstdymkaZnak"/>
    <w:uiPriority w:val="99"/>
    <w:semiHidden/>
    <w:unhideWhenUsed/>
    <w:rsid w:val="00E34B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4B7F"/>
    <w:rPr>
      <w:rFonts w:ascii="Tahoma" w:hAnsi="Tahoma" w:cs="Tahoma"/>
      <w:sz w:val="16"/>
      <w:szCs w:val="16"/>
    </w:rPr>
  </w:style>
  <w:style w:type="character" w:styleId="Hipercze">
    <w:name w:val="Hyperlink"/>
    <w:basedOn w:val="Domylnaczcionkaakapitu"/>
    <w:uiPriority w:val="99"/>
    <w:unhideWhenUsed/>
    <w:rsid w:val="00206384"/>
    <w:rPr>
      <w:color w:val="0000FF" w:themeColor="hyperlink"/>
      <w:u w:val="single"/>
    </w:rPr>
  </w:style>
  <w:style w:type="character" w:styleId="UyteHipercze">
    <w:name w:val="FollowedHyperlink"/>
    <w:basedOn w:val="Domylnaczcionkaakapitu"/>
    <w:uiPriority w:val="99"/>
    <w:semiHidden/>
    <w:unhideWhenUsed/>
    <w:rsid w:val="002063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B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4B7F"/>
    <w:pPr>
      <w:ind w:left="720"/>
      <w:contextualSpacing/>
    </w:pPr>
  </w:style>
  <w:style w:type="character" w:customStyle="1" w:styleId="markedcontent">
    <w:name w:val="markedcontent"/>
    <w:basedOn w:val="Domylnaczcionkaakapitu"/>
    <w:rsid w:val="00E34B7F"/>
  </w:style>
  <w:style w:type="paragraph" w:styleId="Tekstdymka">
    <w:name w:val="Balloon Text"/>
    <w:basedOn w:val="Normalny"/>
    <w:link w:val="TekstdymkaZnak"/>
    <w:uiPriority w:val="99"/>
    <w:semiHidden/>
    <w:unhideWhenUsed/>
    <w:rsid w:val="00E34B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4B7F"/>
    <w:rPr>
      <w:rFonts w:ascii="Tahoma" w:hAnsi="Tahoma" w:cs="Tahoma"/>
      <w:sz w:val="16"/>
      <w:szCs w:val="16"/>
    </w:rPr>
  </w:style>
  <w:style w:type="character" w:styleId="Hipercze">
    <w:name w:val="Hyperlink"/>
    <w:basedOn w:val="Domylnaczcionkaakapitu"/>
    <w:uiPriority w:val="99"/>
    <w:unhideWhenUsed/>
    <w:rsid w:val="00206384"/>
    <w:rPr>
      <w:color w:val="0000FF" w:themeColor="hyperlink"/>
      <w:u w:val="single"/>
    </w:rPr>
  </w:style>
  <w:style w:type="character" w:styleId="UyteHipercze">
    <w:name w:val="FollowedHyperlink"/>
    <w:basedOn w:val="Domylnaczcionkaakapitu"/>
    <w:uiPriority w:val="99"/>
    <w:semiHidden/>
    <w:unhideWhenUsed/>
    <w:rsid w:val="002063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3904/katalog/13108136#1310813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islacja.rcl.gov.pl/projekt/12393951/katalog/13108357#13108357" TargetMode="External"/><Relationship Id="rId12" Type="http://schemas.openxmlformats.org/officeDocument/2006/relationships/hyperlink" Target="https://legislacja.rcl.gov.pl/projekt/12394100/katalog/13109008#13109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gislacja.rcl.gov.pl/projekt/12394050/katalog/13108714#13108714" TargetMode="External"/><Relationship Id="rId5" Type="http://schemas.openxmlformats.org/officeDocument/2006/relationships/webSettings" Target="webSettings.xml"/><Relationship Id="rId10" Type="http://schemas.openxmlformats.org/officeDocument/2006/relationships/hyperlink" Target="https://legislacja.rcl.gov.pl/projekt/12394001/katalog/13108507#13108507" TargetMode="External"/><Relationship Id="rId4" Type="http://schemas.openxmlformats.org/officeDocument/2006/relationships/settings" Target="settings.xml"/><Relationship Id="rId9" Type="http://schemas.openxmlformats.org/officeDocument/2006/relationships/hyperlink" Target="https://legislacja.rcl.gov.pl/projekt/12393950/katalog/13108314#13108314"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13</Pages>
  <Words>6182</Words>
  <Characters>37095</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43191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ZPPM</dc:creator>
  <cp:lastModifiedBy>ZPPM</cp:lastModifiedBy>
  <cp:revision>1</cp:revision>
  <dcterms:created xsi:type="dcterms:W3CDTF">2025-02-06T09:33:00Z</dcterms:created>
  <dcterms:modified xsi:type="dcterms:W3CDTF">2025-02-06T11:12:00Z</dcterms:modified>
</cp:coreProperties>
</file>