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D2" w:rsidRPr="00586923" w:rsidRDefault="00033ED2" w:rsidP="00033ED2">
      <w:pPr>
        <w:rPr>
          <w:rFonts w:ascii="Arial" w:hAnsi="Arial" w:cs="Arial"/>
        </w:rPr>
      </w:pPr>
      <w:r w:rsidRPr="00586923">
        <w:rPr>
          <w:rFonts w:ascii="Arial" w:hAnsi="Arial" w:cs="Arial"/>
          <w:noProof/>
          <w:lang w:eastAsia="pl-PL"/>
        </w:rPr>
        <w:drawing>
          <wp:inline distT="0" distB="0" distL="0" distR="0" wp14:anchorId="1A562700" wp14:editId="7622FC98">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033ED2" w:rsidRDefault="00033ED2" w:rsidP="00033ED2">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033ED2" w:rsidRPr="00586923" w:rsidRDefault="00033ED2" w:rsidP="00033ED2">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033ED2" w:rsidRPr="00586923" w:rsidRDefault="00033ED2" w:rsidP="00033ED2">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17</w:t>
      </w:r>
      <w:r>
        <w:rPr>
          <w:rFonts w:ascii="Arial" w:hAnsi="Arial" w:cs="Arial"/>
          <w:b/>
        </w:rPr>
        <w:t xml:space="preserve"> </w:t>
      </w:r>
      <w:r w:rsidRPr="00586923">
        <w:rPr>
          <w:rFonts w:ascii="Arial" w:hAnsi="Arial" w:cs="Arial"/>
          <w:b/>
        </w:rPr>
        <w:t xml:space="preserve">do </w:t>
      </w:r>
      <w:r>
        <w:rPr>
          <w:rFonts w:ascii="Arial" w:hAnsi="Arial" w:cs="Arial"/>
          <w:b/>
        </w:rPr>
        <w:t>23</w:t>
      </w:r>
      <w:r>
        <w:rPr>
          <w:rFonts w:ascii="Arial" w:hAnsi="Arial" w:cs="Arial"/>
          <w:b/>
        </w:rPr>
        <w:t xml:space="preserve"> </w:t>
      </w:r>
      <w:r>
        <w:rPr>
          <w:rFonts w:ascii="Arial" w:hAnsi="Arial" w:cs="Arial"/>
          <w:b/>
        </w:rPr>
        <w:t>lutego</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rsidR="00033ED2" w:rsidRPr="00AC3187" w:rsidRDefault="00033ED2" w:rsidP="00033ED2">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24</w:t>
      </w:r>
      <w:r w:rsidRPr="00AC3187">
        <w:rPr>
          <w:rFonts w:ascii="Arial" w:hAnsi="Arial" w:cs="Arial"/>
        </w:rPr>
        <w:t xml:space="preserve"> </w:t>
      </w:r>
      <w:r>
        <w:rPr>
          <w:rFonts w:ascii="Arial" w:hAnsi="Arial" w:cs="Arial"/>
        </w:rPr>
        <w:t>lutego</w:t>
      </w:r>
      <w:r w:rsidRPr="00AC3187">
        <w:rPr>
          <w:rFonts w:ascii="Arial" w:hAnsi="Arial" w:cs="Arial"/>
        </w:rPr>
        <w:t xml:space="preserve"> 202</w:t>
      </w:r>
      <w:r>
        <w:rPr>
          <w:rFonts w:ascii="Arial" w:hAnsi="Arial" w:cs="Arial"/>
        </w:rPr>
        <w:t>5</w:t>
      </w:r>
      <w:r w:rsidRPr="00AC3187">
        <w:rPr>
          <w:rFonts w:ascii="Arial" w:hAnsi="Arial" w:cs="Arial"/>
        </w:rPr>
        <w:t xml:space="preserve"> roku</w:t>
      </w:r>
    </w:p>
    <w:p w:rsidR="00033ED2" w:rsidRPr="00586923" w:rsidRDefault="00033ED2" w:rsidP="00033ED2">
      <w:pPr>
        <w:spacing w:after="0" w:line="240" w:lineRule="auto"/>
        <w:jc w:val="both"/>
        <w:rPr>
          <w:rFonts w:ascii="Arial" w:hAnsi="Arial" w:cs="Arial"/>
        </w:rPr>
      </w:pPr>
    </w:p>
    <w:p w:rsidR="00033ED2" w:rsidRPr="00287656" w:rsidRDefault="00033ED2" w:rsidP="00033ED2">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033ED2" w:rsidRDefault="00033ED2" w:rsidP="00033ED2">
      <w:pPr>
        <w:spacing w:after="0"/>
        <w:jc w:val="both"/>
        <w:rPr>
          <w:rFonts w:ascii="Arial" w:hAnsi="Arial" w:cs="Arial"/>
        </w:rPr>
      </w:pPr>
    </w:p>
    <w:p w:rsidR="00033ED2" w:rsidRPr="00C70674" w:rsidRDefault="00033ED2" w:rsidP="00033ED2">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24</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rsidR="00033ED2" w:rsidRPr="00C70674" w:rsidRDefault="00033ED2" w:rsidP="00033ED2">
      <w:pPr>
        <w:spacing w:after="0"/>
        <w:jc w:val="both"/>
        <w:rPr>
          <w:rFonts w:ascii="Arial" w:hAnsi="Arial" w:cs="Arial"/>
        </w:rPr>
      </w:pPr>
    </w:p>
    <w:p w:rsidR="00033ED2" w:rsidRDefault="00033ED2" w:rsidP="00033ED2">
      <w:pPr>
        <w:spacing w:after="0"/>
        <w:jc w:val="both"/>
        <w:rPr>
          <w:rFonts w:ascii="Arial" w:hAnsi="Arial" w:cs="Arial"/>
        </w:rPr>
      </w:pPr>
      <w:r>
        <w:rPr>
          <w:rFonts w:ascii="Arial" w:hAnsi="Arial" w:cs="Arial"/>
        </w:rPr>
        <w:t xml:space="preserve">Przeprowadzono konsultacje </w:t>
      </w:r>
      <w:r>
        <w:rPr>
          <w:rFonts w:ascii="Arial" w:hAnsi="Arial" w:cs="Arial"/>
        </w:rPr>
        <w:t>jednego</w:t>
      </w:r>
      <w:r>
        <w:rPr>
          <w:rFonts w:ascii="Arial" w:hAnsi="Arial" w:cs="Arial"/>
        </w:rPr>
        <w:t xml:space="preserve"> projekt</w:t>
      </w:r>
      <w:r>
        <w:rPr>
          <w:rFonts w:ascii="Arial" w:hAnsi="Arial" w:cs="Arial"/>
        </w:rPr>
        <w:t>u rozporządzenia</w:t>
      </w:r>
      <w:r>
        <w:rPr>
          <w:rFonts w:ascii="Arial" w:hAnsi="Arial" w:cs="Arial"/>
        </w:rPr>
        <w:t xml:space="preserve"> dotycząc</w:t>
      </w:r>
      <w:r>
        <w:rPr>
          <w:rFonts w:ascii="Arial" w:hAnsi="Arial" w:cs="Arial"/>
        </w:rPr>
        <w:t>ego</w:t>
      </w:r>
      <w:r>
        <w:rPr>
          <w:rFonts w:ascii="Arial" w:hAnsi="Arial" w:cs="Arial"/>
        </w:rPr>
        <w:t xml:space="preserve"> podmiotów członkowskich (pracodawcy, przedsiębiorcy, JST) zrzeszonych w Związku. </w:t>
      </w:r>
    </w:p>
    <w:p w:rsidR="00033ED2" w:rsidRDefault="00033ED2" w:rsidP="00033ED2">
      <w:pPr>
        <w:spacing w:after="0"/>
        <w:jc w:val="both"/>
        <w:rPr>
          <w:rFonts w:ascii="Arial" w:hAnsi="Arial" w:cs="Arial"/>
        </w:rPr>
      </w:pPr>
      <w:r>
        <w:rPr>
          <w:rFonts w:ascii="Arial" w:hAnsi="Arial" w:cs="Arial"/>
        </w:rPr>
        <w:t>Do konsultacji przekazan</w:t>
      </w:r>
      <w:r>
        <w:rPr>
          <w:rFonts w:ascii="Arial" w:hAnsi="Arial" w:cs="Arial"/>
        </w:rPr>
        <w:t>y został</w:t>
      </w:r>
      <w:r>
        <w:rPr>
          <w:rFonts w:ascii="Arial" w:hAnsi="Arial" w:cs="Arial"/>
        </w:rPr>
        <w:t xml:space="preserve"> następując</w:t>
      </w:r>
      <w:r>
        <w:rPr>
          <w:rFonts w:ascii="Arial" w:hAnsi="Arial" w:cs="Arial"/>
        </w:rPr>
        <w:t>y projekt</w:t>
      </w:r>
      <w:r>
        <w:rPr>
          <w:rFonts w:ascii="Arial" w:hAnsi="Arial" w:cs="Arial"/>
        </w:rPr>
        <w:t>:</w:t>
      </w:r>
    </w:p>
    <w:p w:rsidR="00033ED2" w:rsidRDefault="00033ED2" w:rsidP="00033ED2">
      <w:pPr>
        <w:spacing w:after="0"/>
        <w:jc w:val="both"/>
        <w:rPr>
          <w:rFonts w:ascii="Arial" w:hAnsi="Arial" w:cs="Arial"/>
        </w:rPr>
      </w:pPr>
    </w:p>
    <w:p w:rsidR="00033ED2" w:rsidRDefault="00033ED2" w:rsidP="00033ED2">
      <w:pPr>
        <w:spacing w:after="0"/>
        <w:jc w:val="both"/>
        <w:rPr>
          <w:rFonts w:ascii="Arial" w:hAnsi="Arial" w:cs="Arial"/>
        </w:rPr>
      </w:pPr>
      <w:r>
        <w:rPr>
          <w:rFonts w:ascii="Arial" w:hAnsi="Arial" w:cs="Arial"/>
        </w:rPr>
        <w:t>Projekty rozporządzeń:</w:t>
      </w:r>
    </w:p>
    <w:p w:rsidR="00033ED2" w:rsidRDefault="00033ED2" w:rsidP="00033ED2">
      <w:pPr>
        <w:spacing w:after="0"/>
        <w:jc w:val="both"/>
        <w:rPr>
          <w:rFonts w:ascii="Arial" w:hAnsi="Arial" w:cs="Arial"/>
        </w:rPr>
      </w:pPr>
    </w:p>
    <w:p w:rsidR="00033ED2" w:rsidRPr="00033ED2" w:rsidRDefault="00033ED2" w:rsidP="00033ED2">
      <w:pPr>
        <w:pStyle w:val="Akapitzlist"/>
        <w:spacing w:after="0"/>
        <w:jc w:val="both"/>
        <w:rPr>
          <w:rFonts w:ascii="Arial" w:hAnsi="Arial" w:cs="Arial"/>
          <w:b/>
          <w:u w:val="single"/>
        </w:rPr>
      </w:pPr>
      <w:r w:rsidRPr="00033ED2">
        <w:rPr>
          <w:rFonts w:ascii="Arial" w:hAnsi="Arial" w:cs="Arial"/>
          <w:b/>
          <w:u w:val="single"/>
        </w:rPr>
        <w:t>Projekt rozporządzenia Prezesa Rady Ministrów w sprawie danych przekazywanych w przypadku zaprzestania działalności przez przedsiębiorcę telekomunikacyjnego albo ogłoszenia jego upadłości (numer z wykazu 57)</w:t>
      </w:r>
    </w:p>
    <w:p w:rsidR="00033ED2" w:rsidRDefault="00033ED2" w:rsidP="00033ED2">
      <w:pPr>
        <w:spacing w:after="0"/>
        <w:jc w:val="both"/>
        <w:rPr>
          <w:rFonts w:ascii="Arial" w:hAnsi="Arial" w:cs="Arial"/>
        </w:rPr>
      </w:pPr>
    </w:p>
    <w:p w:rsidR="00033ED2" w:rsidRPr="00033ED2" w:rsidRDefault="00033ED2" w:rsidP="00033ED2">
      <w:pPr>
        <w:spacing w:after="0"/>
        <w:jc w:val="both"/>
        <w:rPr>
          <w:rFonts w:ascii="Arial" w:hAnsi="Arial" w:cs="Arial"/>
        </w:rPr>
      </w:pPr>
      <w:r w:rsidRPr="00033ED2">
        <w:rPr>
          <w:rFonts w:ascii="Arial" w:hAnsi="Arial" w:cs="Arial"/>
        </w:rPr>
        <w:t>Przepisy projektu rozporządzenia regulują szczegółowy tryb przekazywania Prezesowi Urzędu Komunikacji Elektronicznej, zwanego dalej „Prezesem UKE”, danych telekomunikacyjnych zgromadzonych przez przedsiębiorcę telekomunikacyjnego – w przypadku zaprzestania przez niego działalności telekomunikacyjnej albo ogłoszenia jego upadłości, a także udostępniania tych danych przez Prezesa UKE podmiotom, o których mowa w art. 47 ust. 1 pkt 2 ustawy z dnia 12 lipca 2024 r. – Prawo komunikacji elektronicznej (Dz. U. poz. 1221), tj. Policji, ABW, CBA, SKW, Straży Granicznej, Inspektoratowi Wewnętrznemu Służby Więziennej, Żandarmerii Wojskowej, Krajowej Administracji Skarbowej, Biuru Nadzoru Wewnętrznego, Służbie Ochrony Państwa, oraz sądom i prokuratorom, zwanych dalej „podmiotami”.</w:t>
      </w:r>
    </w:p>
    <w:p w:rsidR="00033ED2" w:rsidRPr="00033ED2" w:rsidRDefault="00033ED2" w:rsidP="00033ED2">
      <w:pPr>
        <w:spacing w:after="0"/>
        <w:jc w:val="both"/>
        <w:rPr>
          <w:rFonts w:ascii="Arial" w:hAnsi="Arial" w:cs="Arial"/>
        </w:rPr>
      </w:pPr>
      <w:r w:rsidRPr="00033ED2">
        <w:rPr>
          <w:rFonts w:ascii="Arial" w:hAnsi="Arial" w:cs="Arial"/>
        </w:rPr>
        <w:t>Rekomendowane rozwiązania.</w:t>
      </w:r>
    </w:p>
    <w:p w:rsidR="00033ED2" w:rsidRDefault="00033ED2" w:rsidP="00033ED2">
      <w:pPr>
        <w:spacing w:after="0"/>
        <w:jc w:val="both"/>
        <w:rPr>
          <w:rFonts w:ascii="Arial" w:hAnsi="Arial" w:cs="Arial"/>
        </w:rPr>
      </w:pPr>
      <w:r w:rsidRPr="00033ED2">
        <w:rPr>
          <w:rFonts w:ascii="Arial" w:hAnsi="Arial" w:cs="Arial"/>
        </w:rPr>
        <w:t>Rozporządzenie określa szczegółowy tryb przekazywania danych, w tym sposób dokumentowania ich przekazywania w formie protokołu. Rozporządzenie określa również szczegółowy tryb udostępniania podmiotom danych telekomunikacyjnych przez Prezesa UKE oraz sposób dokumentowania udostępnienia podmiotom</w:t>
      </w:r>
      <w:r>
        <w:rPr>
          <w:rFonts w:ascii="Arial" w:hAnsi="Arial" w:cs="Arial"/>
        </w:rPr>
        <w:t>.</w:t>
      </w:r>
    </w:p>
    <w:p w:rsidR="00033ED2" w:rsidRDefault="00033ED2" w:rsidP="00033ED2">
      <w:pPr>
        <w:spacing w:after="0"/>
        <w:jc w:val="both"/>
        <w:rPr>
          <w:rFonts w:ascii="Arial" w:hAnsi="Arial" w:cs="Arial"/>
        </w:rPr>
      </w:pPr>
    </w:p>
    <w:p w:rsidR="00033ED2" w:rsidRPr="00033ED2" w:rsidRDefault="00033ED2" w:rsidP="00033ED2">
      <w:pPr>
        <w:spacing w:after="0"/>
        <w:jc w:val="both"/>
        <w:rPr>
          <w:rFonts w:ascii="Arial" w:hAnsi="Arial" w:cs="Arial"/>
        </w:rPr>
      </w:pPr>
      <w:r w:rsidRPr="00033ED2">
        <w:rPr>
          <w:rFonts w:ascii="Arial" w:hAnsi="Arial" w:cs="Arial"/>
        </w:rPr>
        <w:t>Przedmiotowy projekt aktu prawnego wraz Uzasadnieniem oraz Oceną Skutków Regulacji dostępny jest na stronach Rządowego Centrum Legislacji pod adresem:</w:t>
      </w:r>
    </w:p>
    <w:p w:rsidR="00033ED2" w:rsidRPr="00033ED2" w:rsidRDefault="00033ED2" w:rsidP="00033ED2">
      <w:pPr>
        <w:spacing w:after="0"/>
        <w:jc w:val="both"/>
        <w:rPr>
          <w:rFonts w:ascii="Arial" w:hAnsi="Arial" w:cs="Arial"/>
        </w:rPr>
      </w:pPr>
      <w:hyperlink r:id="rId7" w:history="1">
        <w:r w:rsidRPr="00D717B9">
          <w:rPr>
            <w:rStyle w:val="Hipercze"/>
            <w:rFonts w:ascii="Arial" w:hAnsi="Arial" w:cs="Arial"/>
          </w:rPr>
          <w:t>https://legislacja.rcl.gov.pl/projekt/12394907/katalo</w:t>
        </w:r>
        <w:r w:rsidRPr="00D717B9">
          <w:rPr>
            <w:rStyle w:val="Hipercze"/>
            <w:rFonts w:ascii="Arial" w:hAnsi="Arial" w:cs="Arial"/>
          </w:rPr>
          <w:t>g</w:t>
        </w:r>
        <w:r w:rsidRPr="00D717B9">
          <w:rPr>
            <w:rStyle w:val="Hipercze"/>
            <w:rFonts w:ascii="Arial" w:hAnsi="Arial" w:cs="Arial"/>
          </w:rPr>
          <w:t>/13112965#13112965</w:t>
        </w:r>
      </w:hyperlink>
      <w:r>
        <w:rPr>
          <w:rFonts w:ascii="Arial" w:hAnsi="Arial" w:cs="Arial"/>
        </w:rPr>
        <w:t xml:space="preserve"> </w:t>
      </w:r>
    </w:p>
    <w:p w:rsidR="00033ED2" w:rsidRDefault="00033ED2" w:rsidP="00033ED2">
      <w:pPr>
        <w:spacing w:after="0"/>
        <w:jc w:val="both"/>
        <w:rPr>
          <w:rFonts w:ascii="Arial" w:hAnsi="Arial" w:cs="Arial"/>
        </w:rPr>
      </w:pPr>
    </w:p>
    <w:p w:rsidR="00033ED2" w:rsidRPr="00042C7F" w:rsidRDefault="00033ED2" w:rsidP="00033ED2">
      <w:pPr>
        <w:spacing w:after="0"/>
        <w:jc w:val="both"/>
        <w:rPr>
          <w:rFonts w:ascii="Arial" w:hAnsi="Arial" w:cs="Arial"/>
        </w:rPr>
      </w:pPr>
      <w:r w:rsidRPr="00033ED2">
        <w:rPr>
          <w:rFonts w:ascii="Arial" w:hAnsi="Arial" w:cs="Arial"/>
        </w:rPr>
        <w:lastRenderedPageBreak/>
        <w:t>Projekt jest obecnie jednocześnie na etapie uzgodnień, konsultacji publicznych i opiniowania.</w:t>
      </w:r>
    </w:p>
    <w:p w:rsidR="00033ED2" w:rsidRDefault="00033ED2" w:rsidP="00033ED2">
      <w:pPr>
        <w:spacing w:after="0"/>
        <w:jc w:val="both"/>
        <w:rPr>
          <w:rFonts w:ascii="Arial" w:hAnsi="Arial" w:cs="Arial"/>
        </w:rPr>
      </w:pPr>
    </w:p>
    <w:p w:rsidR="00033ED2" w:rsidRPr="00CB4A6E" w:rsidRDefault="00033ED2" w:rsidP="00033ED2">
      <w:pPr>
        <w:spacing w:after="0"/>
        <w:rPr>
          <w:rFonts w:ascii="Arial" w:hAnsi="Arial" w:cs="Arial"/>
        </w:rPr>
      </w:pPr>
    </w:p>
    <w:p w:rsidR="00033ED2" w:rsidRDefault="00033ED2" w:rsidP="00033ED2">
      <w:pPr>
        <w:spacing w:after="0"/>
        <w:jc w:val="both"/>
        <w:rPr>
          <w:rFonts w:ascii="Arial" w:hAnsi="Arial" w:cs="Arial"/>
          <w:b/>
        </w:rPr>
      </w:pPr>
      <w:r>
        <w:rPr>
          <w:rFonts w:ascii="Arial" w:hAnsi="Arial" w:cs="Arial"/>
          <w:b/>
        </w:rPr>
        <w:t>II. Ogłoszone akty prawne (Dziennik Ustaw RP)</w:t>
      </w:r>
    </w:p>
    <w:p w:rsidR="00033ED2" w:rsidRDefault="00033ED2" w:rsidP="00033ED2">
      <w:pPr>
        <w:spacing w:after="0"/>
        <w:jc w:val="both"/>
        <w:rPr>
          <w:rFonts w:ascii="Arial" w:hAnsi="Arial" w:cs="Arial"/>
        </w:rPr>
      </w:pPr>
    </w:p>
    <w:p w:rsidR="00033ED2" w:rsidRDefault="00033ED2" w:rsidP="00033ED2">
      <w:pPr>
        <w:spacing w:after="0"/>
        <w:jc w:val="both"/>
        <w:rPr>
          <w:rFonts w:ascii="Arial" w:hAnsi="Arial" w:cs="Arial"/>
        </w:rPr>
      </w:pPr>
      <w:r>
        <w:rPr>
          <w:rFonts w:ascii="Arial" w:hAnsi="Arial" w:cs="Arial"/>
        </w:rPr>
        <w:t xml:space="preserve">W analizowanym okresie opublikowano </w:t>
      </w:r>
      <w:r w:rsidR="00CE02C9">
        <w:rPr>
          <w:rFonts w:ascii="Arial" w:hAnsi="Arial" w:cs="Arial"/>
        </w:rPr>
        <w:t>23</w:t>
      </w:r>
      <w:r>
        <w:rPr>
          <w:rFonts w:ascii="Arial" w:hAnsi="Arial" w:cs="Arial"/>
        </w:rPr>
        <w:t xml:space="preserve"> akt</w:t>
      </w:r>
      <w:r w:rsidR="00CE02C9">
        <w:rPr>
          <w:rFonts w:ascii="Arial" w:hAnsi="Arial" w:cs="Arial"/>
        </w:rPr>
        <w:t>y</w:t>
      </w:r>
      <w:r>
        <w:rPr>
          <w:rFonts w:ascii="Arial" w:hAnsi="Arial" w:cs="Arial"/>
        </w:rPr>
        <w:t xml:space="preserve"> prawn</w:t>
      </w:r>
      <w:r w:rsidR="00CE02C9">
        <w:rPr>
          <w:rFonts w:ascii="Arial" w:hAnsi="Arial" w:cs="Arial"/>
        </w:rPr>
        <w:t>e</w:t>
      </w:r>
      <w:r>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033ED2" w:rsidRDefault="00033ED2" w:rsidP="00033ED2">
      <w:pPr>
        <w:spacing w:after="0"/>
        <w:jc w:val="both"/>
        <w:rPr>
          <w:rFonts w:ascii="Arial" w:hAnsi="Arial" w:cs="Arial"/>
        </w:rPr>
      </w:pPr>
    </w:p>
    <w:p w:rsidR="00033ED2" w:rsidRDefault="00510112" w:rsidP="00510112">
      <w:pPr>
        <w:pStyle w:val="Akapitzlist"/>
        <w:numPr>
          <w:ilvl w:val="0"/>
          <w:numId w:val="2"/>
        </w:numPr>
        <w:spacing w:after="0"/>
        <w:jc w:val="both"/>
        <w:rPr>
          <w:rFonts w:ascii="Arial" w:hAnsi="Arial" w:cs="Arial"/>
          <w:u w:val="single"/>
        </w:rPr>
      </w:pPr>
      <w:r w:rsidRPr="00510112">
        <w:rPr>
          <w:rFonts w:ascii="Arial" w:hAnsi="Arial" w:cs="Arial"/>
          <w:u w:val="single"/>
        </w:rPr>
        <w:t>Rozporządzenie Ministra Finansów z dnia 15 lutego 2025 r. w sprawie dokumentów potwierdzających spełnienie warunków uzyskania zezwolenia na prowadzenie działalności w zakresie obsługi kredytów</w:t>
      </w:r>
    </w:p>
    <w:p w:rsidR="00510112" w:rsidRDefault="00510112" w:rsidP="00510112">
      <w:pPr>
        <w:spacing w:after="0"/>
        <w:jc w:val="both"/>
        <w:rPr>
          <w:rFonts w:ascii="Arial" w:eastAsia="Times New Roman" w:hAnsi="Arial" w:cs="Arial"/>
          <w:lang w:eastAsia="pl-PL"/>
        </w:rPr>
      </w:pPr>
    </w:p>
    <w:p w:rsidR="00033ED2" w:rsidRPr="00510112" w:rsidRDefault="00033ED2" w:rsidP="00510112">
      <w:pPr>
        <w:spacing w:after="0"/>
        <w:jc w:val="both"/>
        <w:rPr>
          <w:rFonts w:ascii="Arial" w:eastAsia="Times New Roman" w:hAnsi="Arial" w:cs="Arial"/>
          <w:lang w:eastAsia="pl-PL"/>
        </w:rPr>
      </w:pPr>
      <w:r w:rsidRPr="00510112">
        <w:rPr>
          <w:rFonts w:ascii="Arial" w:eastAsia="Times New Roman" w:hAnsi="Arial" w:cs="Arial"/>
          <w:lang w:eastAsia="pl-PL"/>
        </w:rPr>
        <w:t xml:space="preserve">Powyższy akt prawny opublikowany został </w:t>
      </w:r>
      <w:r w:rsidR="00510112">
        <w:rPr>
          <w:rFonts w:ascii="Arial" w:eastAsia="Times New Roman" w:hAnsi="Arial" w:cs="Arial"/>
          <w:lang w:eastAsia="pl-PL"/>
        </w:rPr>
        <w:t>18 lutego</w:t>
      </w:r>
      <w:r w:rsidRPr="00510112">
        <w:rPr>
          <w:rFonts w:ascii="Arial" w:eastAsia="Times New Roman" w:hAnsi="Arial" w:cs="Arial"/>
          <w:lang w:eastAsia="pl-PL"/>
        </w:rPr>
        <w:t xml:space="preserve"> 20</w:t>
      </w:r>
      <w:r w:rsidR="00510112">
        <w:rPr>
          <w:rFonts w:ascii="Arial" w:eastAsia="Times New Roman" w:hAnsi="Arial" w:cs="Arial"/>
          <w:lang w:eastAsia="pl-PL"/>
        </w:rPr>
        <w:t>25</w:t>
      </w:r>
      <w:r w:rsidRPr="00510112">
        <w:rPr>
          <w:rFonts w:ascii="Arial" w:eastAsia="Times New Roman" w:hAnsi="Arial" w:cs="Arial"/>
          <w:lang w:eastAsia="pl-PL"/>
        </w:rPr>
        <w:t xml:space="preserve"> roku w Dzienniku Ustaw (Dz.U. z 202</w:t>
      </w:r>
      <w:r w:rsidR="00510112">
        <w:rPr>
          <w:rFonts w:ascii="Arial" w:eastAsia="Times New Roman" w:hAnsi="Arial" w:cs="Arial"/>
          <w:lang w:eastAsia="pl-PL"/>
        </w:rPr>
        <w:t>5</w:t>
      </w:r>
      <w:r w:rsidRPr="00510112">
        <w:rPr>
          <w:rFonts w:ascii="Arial" w:eastAsia="Times New Roman" w:hAnsi="Arial" w:cs="Arial"/>
          <w:lang w:eastAsia="pl-PL"/>
        </w:rPr>
        <w:t xml:space="preserve">, poz. </w:t>
      </w:r>
      <w:r w:rsidR="00510112">
        <w:rPr>
          <w:rFonts w:ascii="Arial" w:eastAsia="Times New Roman" w:hAnsi="Arial" w:cs="Arial"/>
          <w:lang w:eastAsia="pl-PL"/>
        </w:rPr>
        <w:t>207</w:t>
      </w:r>
      <w:r w:rsidRPr="00510112">
        <w:rPr>
          <w:rFonts w:ascii="Arial" w:eastAsia="Times New Roman" w:hAnsi="Arial" w:cs="Arial"/>
          <w:lang w:eastAsia="pl-PL"/>
        </w:rPr>
        <w:t>).</w:t>
      </w:r>
    </w:p>
    <w:p w:rsidR="00510112" w:rsidRDefault="00510112" w:rsidP="00510112">
      <w:pPr>
        <w:spacing w:after="0"/>
        <w:jc w:val="both"/>
        <w:rPr>
          <w:rFonts w:ascii="Arial" w:eastAsia="Times New Roman" w:hAnsi="Arial" w:cs="Arial"/>
          <w:lang w:eastAsia="pl-PL"/>
        </w:rPr>
      </w:pPr>
    </w:p>
    <w:p w:rsidR="00510112" w:rsidRPr="00510112"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Rozporządzenie określa rodzaj i formę dokumentów potwierdzających speł</w:t>
      </w:r>
      <w:r>
        <w:rPr>
          <w:rFonts w:ascii="Arial" w:eastAsia="Times New Roman" w:hAnsi="Arial" w:cs="Arial"/>
          <w:lang w:eastAsia="pl-PL"/>
        </w:rPr>
        <w:t xml:space="preserve">nienie warunków, o których mowa </w:t>
      </w:r>
      <w:r w:rsidRPr="00510112">
        <w:rPr>
          <w:rFonts w:ascii="Arial" w:eastAsia="Times New Roman" w:hAnsi="Arial" w:cs="Arial"/>
          <w:lang w:eastAsia="pl-PL"/>
        </w:rPr>
        <w:t>w art. 6 ust. 1 pkt 3 lit. b–e ustawy z dnia 20 grudnia 2024 r. o podmiotach obsługującyc</w:t>
      </w:r>
      <w:r>
        <w:rPr>
          <w:rFonts w:ascii="Arial" w:eastAsia="Times New Roman" w:hAnsi="Arial" w:cs="Arial"/>
          <w:lang w:eastAsia="pl-PL"/>
        </w:rPr>
        <w:t xml:space="preserve">h kredyty i nabywcach kredytów, </w:t>
      </w:r>
      <w:r w:rsidRPr="00510112">
        <w:rPr>
          <w:rFonts w:ascii="Arial" w:eastAsia="Times New Roman" w:hAnsi="Arial" w:cs="Arial"/>
          <w:lang w:eastAsia="pl-PL"/>
        </w:rPr>
        <w:t>zwanej dalej „ustawą”.</w:t>
      </w:r>
    </w:p>
    <w:p w:rsidR="00510112" w:rsidRPr="00510112"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 xml:space="preserve">Dokumenty potwierdzające spełnienie warunków, o których mowa </w:t>
      </w:r>
      <w:r>
        <w:rPr>
          <w:rFonts w:ascii="Arial" w:eastAsia="Times New Roman" w:hAnsi="Arial" w:cs="Arial"/>
          <w:lang w:eastAsia="pl-PL"/>
        </w:rPr>
        <w:t>powyżej</w:t>
      </w:r>
      <w:r w:rsidRPr="00510112">
        <w:rPr>
          <w:rFonts w:ascii="Arial" w:eastAsia="Times New Roman" w:hAnsi="Arial" w:cs="Arial"/>
          <w:lang w:eastAsia="pl-PL"/>
        </w:rPr>
        <w:t>, obejmują:</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1) oświadczenia o zezwoleniach, zgodach, rejestracjach lub wpisach, uzyskanych w okre</w:t>
      </w:r>
      <w:r>
        <w:rPr>
          <w:rFonts w:ascii="Arial" w:eastAsia="Times New Roman" w:hAnsi="Arial" w:cs="Arial"/>
          <w:lang w:eastAsia="pl-PL"/>
        </w:rPr>
        <w:t xml:space="preserve">sie 5 lat poprzedzających dzień </w:t>
      </w:r>
      <w:r w:rsidRPr="00510112">
        <w:rPr>
          <w:rFonts w:ascii="Arial" w:eastAsia="Times New Roman" w:hAnsi="Arial" w:cs="Arial"/>
          <w:lang w:eastAsia="pl-PL"/>
        </w:rPr>
        <w:t>złożenia wniosku o wydanie zezwolenia na wykonywanie działalności w zakresie obsługi kredytów, w zwi</w:t>
      </w:r>
      <w:r>
        <w:rPr>
          <w:rFonts w:ascii="Arial" w:eastAsia="Times New Roman" w:hAnsi="Arial" w:cs="Arial"/>
          <w:lang w:eastAsia="pl-PL"/>
        </w:rPr>
        <w:t xml:space="preserve">ązku z wykonywaną lub planowaną </w:t>
      </w:r>
      <w:r w:rsidRPr="00510112">
        <w:rPr>
          <w:rFonts w:ascii="Arial" w:eastAsia="Times New Roman" w:hAnsi="Arial" w:cs="Arial"/>
          <w:lang w:eastAsia="pl-PL"/>
        </w:rPr>
        <w:t>działalnością na rynku finansowym albo pełnieniem fu</w:t>
      </w:r>
      <w:r>
        <w:rPr>
          <w:rFonts w:ascii="Arial" w:eastAsia="Times New Roman" w:hAnsi="Arial" w:cs="Arial"/>
          <w:lang w:eastAsia="pl-PL"/>
        </w:rPr>
        <w:t xml:space="preserve">nkcji w podmiotach prowadzących </w:t>
      </w:r>
      <w:r w:rsidRPr="00510112">
        <w:rPr>
          <w:rFonts w:ascii="Arial" w:eastAsia="Times New Roman" w:hAnsi="Arial" w:cs="Arial"/>
          <w:lang w:eastAsia="pl-PL"/>
        </w:rPr>
        <w:t>działalność na rynku finansowym, z podaniem daty lub przyczyn:</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a) udzielenia zezwolenia lub zgody, rejestracji, wpisu lub niezgłoszenia sprzeciwu,</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b) złożenia wniosku o udzielenie zezwolenia lub zgody, rejestracji lub wpisu,</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c) odmowy udzielenia lub cofnięcia zezwolenia lub zgody, rejestracji, wpisu lub zgłoszenia sprzeciwu,</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 xml:space="preserve">d) zaniechania podejmowania czynności w odniesieniu do </w:t>
      </w:r>
      <w:r>
        <w:rPr>
          <w:rFonts w:ascii="Arial" w:eastAsia="Times New Roman" w:hAnsi="Arial" w:cs="Arial"/>
          <w:lang w:eastAsia="pl-PL"/>
        </w:rPr>
        <w:t xml:space="preserve">wniosku o udzielenie zezwolenia lub zgody, rejestracji, </w:t>
      </w:r>
      <w:r w:rsidRPr="00510112">
        <w:rPr>
          <w:rFonts w:ascii="Arial" w:eastAsia="Times New Roman" w:hAnsi="Arial" w:cs="Arial"/>
          <w:lang w:eastAsia="pl-PL"/>
        </w:rPr>
        <w:t>wpisu lub niezgłoszenia sprzeciwu, a także zrzeczenia się zezwolenia;</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2) oświadczenia o prowadzonych przez właściwe organy nadzoru, w okresie 5 lat poprzed</w:t>
      </w:r>
      <w:r>
        <w:rPr>
          <w:rFonts w:ascii="Arial" w:eastAsia="Times New Roman" w:hAnsi="Arial" w:cs="Arial"/>
          <w:lang w:eastAsia="pl-PL"/>
        </w:rPr>
        <w:t xml:space="preserve">zających dzień złożenia wniosku </w:t>
      </w:r>
      <w:r w:rsidRPr="00510112">
        <w:rPr>
          <w:rFonts w:ascii="Arial" w:eastAsia="Times New Roman" w:hAnsi="Arial" w:cs="Arial"/>
          <w:lang w:eastAsia="pl-PL"/>
        </w:rPr>
        <w:t>o wydanie zezwolenia na wykonywanie działalności w zakresie obsługi kredytów, postępowaniach z wniosku lub zawiadomienia osób wchodzących w skład organu zarządzającego wnioskodawcy, dotyczących zam</w:t>
      </w:r>
      <w:r>
        <w:rPr>
          <w:rFonts w:ascii="Arial" w:eastAsia="Times New Roman" w:hAnsi="Arial" w:cs="Arial"/>
          <w:lang w:eastAsia="pl-PL"/>
        </w:rPr>
        <w:t xml:space="preserve">iaru nabycia albo objęcia akcji </w:t>
      </w:r>
      <w:r w:rsidRPr="00510112">
        <w:rPr>
          <w:rFonts w:ascii="Arial" w:eastAsia="Times New Roman" w:hAnsi="Arial" w:cs="Arial"/>
          <w:lang w:eastAsia="pl-PL"/>
        </w:rPr>
        <w:t>lub udziałów instytucji kredytowej, banku, zakładu ubezpieczeń, firmy inwestycyjnej, instyt</w:t>
      </w:r>
      <w:r>
        <w:rPr>
          <w:rFonts w:ascii="Arial" w:eastAsia="Times New Roman" w:hAnsi="Arial" w:cs="Arial"/>
          <w:lang w:eastAsia="pl-PL"/>
        </w:rPr>
        <w:t xml:space="preserve">ucji pieniądza elektronicznego, </w:t>
      </w:r>
      <w:r w:rsidRPr="00510112">
        <w:rPr>
          <w:rFonts w:ascii="Arial" w:eastAsia="Times New Roman" w:hAnsi="Arial" w:cs="Arial"/>
          <w:lang w:eastAsia="pl-PL"/>
        </w:rPr>
        <w:t>instytucji płatniczej lub dostawcy usług finansowania społecznościowego, z podaniem organu prowadzącego to postępowanie, daty jego wszczęcia i zakończenia, oznaczenia podmiotu, którego dotyczył ten zamiar, oraz wyników postępowania;</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3) oświadczenia o funkcjach zarządczych, które osoba wchodząca w skład organu za</w:t>
      </w:r>
      <w:r>
        <w:rPr>
          <w:rFonts w:ascii="Arial" w:eastAsia="Times New Roman" w:hAnsi="Arial" w:cs="Arial"/>
          <w:lang w:eastAsia="pl-PL"/>
        </w:rPr>
        <w:t xml:space="preserve">rządzającego wnioskodawcy pełni </w:t>
      </w:r>
      <w:r w:rsidRPr="00510112">
        <w:rPr>
          <w:rFonts w:ascii="Arial" w:eastAsia="Times New Roman" w:hAnsi="Arial" w:cs="Arial"/>
          <w:lang w:eastAsia="pl-PL"/>
        </w:rPr>
        <w:t>lub pełniła w podmiotach innych niż określone w pkt 2;</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4) oświadczenia, że w okresie 5 lat poprzedzających dzień złożenia wniosku o wydanie zezwolenia na wykonywanie działalności w zakresie obsługi kredytów w stosunku do osób wchodzących w skład organu zarządzającego wnioskodawcy:</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lastRenderedPageBreak/>
        <w:t>a) były podejmowane środki nadzorcze przez właściwy organ nadzoru w związku z nie</w:t>
      </w:r>
      <w:r>
        <w:rPr>
          <w:rFonts w:ascii="Arial" w:eastAsia="Times New Roman" w:hAnsi="Arial" w:cs="Arial"/>
          <w:lang w:eastAsia="pl-PL"/>
        </w:rPr>
        <w:t xml:space="preserve">prawidłowościami w działalności </w:t>
      </w:r>
      <w:r w:rsidRPr="00510112">
        <w:rPr>
          <w:rFonts w:ascii="Arial" w:eastAsia="Times New Roman" w:hAnsi="Arial" w:cs="Arial"/>
          <w:lang w:eastAsia="pl-PL"/>
        </w:rPr>
        <w:t>innych podmiotów podlegających nadzorowi właściwego organu nadzoru, w których</w:t>
      </w:r>
      <w:r>
        <w:rPr>
          <w:rFonts w:ascii="Arial" w:eastAsia="Times New Roman" w:hAnsi="Arial" w:cs="Arial"/>
          <w:lang w:eastAsia="pl-PL"/>
        </w:rPr>
        <w:t xml:space="preserve"> osoby te były członkami organu </w:t>
      </w:r>
      <w:r w:rsidRPr="00510112">
        <w:rPr>
          <w:rFonts w:ascii="Arial" w:eastAsia="Times New Roman" w:hAnsi="Arial" w:cs="Arial"/>
          <w:lang w:eastAsia="pl-PL"/>
        </w:rPr>
        <w:t>zarządzającego w okresie wystąpienia nieprawidłowości, w związku z którymi podjęto środki nadzorcze, albo</w:t>
      </w:r>
    </w:p>
    <w:p w:rsid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b) nie były podejmowane środki, o których mowa w lit. a;</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 xml:space="preserve">5) oświadczenia o postępowaniach o przestępstwa ścigane z oskarżenia publicznego lub przestępstwa skarbowe oraz o postępowaniach związanych z likwidacją, upadłością, postępowaniem naprawczym lub postępowaniem restrukturyzacyjnym, prowadzonych wobec podmiotów, w których osoby wchodzące w skład organu zarządzającego wnioskodawcy pełnią lub pełniły funkcje zarządcze lub w których posiadają lub posiadały udziały równe </w:t>
      </w:r>
      <w:r>
        <w:rPr>
          <w:rFonts w:ascii="Arial" w:eastAsia="Times New Roman" w:hAnsi="Arial" w:cs="Arial"/>
          <w:lang w:eastAsia="pl-PL"/>
        </w:rPr>
        <w:t xml:space="preserve">lub przekraczające 10 % ogólnej </w:t>
      </w:r>
      <w:r w:rsidRPr="00510112">
        <w:rPr>
          <w:rFonts w:ascii="Arial" w:eastAsia="Times New Roman" w:hAnsi="Arial" w:cs="Arial"/>
          <w:lang w:eastAsia="pl-PL"/>
        </w:rPr>
        <w:t>liczby głosów na walnym zgromadzeniu lub w kapitale zakładowym, toczących się w okre</w:t>
      </w:r>
      <w:r>
        <w:rPr>
          <w:rFonts w:ascii="Arial" w:eastAsia="Times New Roman" w:hAnsi="Arial" w:cs="Arial"/>
          <w:lang w:eastAsia="pl-PL"/>
        </w:rPr>
        <w:t xml:space="preserve">sie 5 lat poprzedzających dzień </w:t>
      </w:r>
      <w:r w:rsidRPr="00510112">
        <w:rPr>
          <w:rFonts w:ascii="Arial" w:eastAsia="Times New Roman" w:hAnsi="Arial" w:cs="Arial"/>
          <w:lang w:eastAsia="pl-PL"/>
        </w:rPr>
        <w:t>złożenia wniosku o wydanie zezwolenia na wykonywanie działalności w zakresie obsługi kredytów;</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6) oświadczenia o postępowaniach sądowych w sprawach o przestępstwa ścigane z oskarżenia publicznego lub przestępstwa skarbowe oraz w sprawach gospodarczych, postępowaniach związanych z likwid</w:t>
      </w:r>
      <w:r>
        <w:rPr>
          <w:rFonts w:ascii="Arial" w:eastAsia="Times New Roman" w:hAnsi="Arial" w:cs="Arial"/>
          <w:lang w:eastAsia="pl-PL"/>
        </w:rPr>
        <w:t xml:space="preserve">acją, upadłością, postępowaniem </w:t>
      </w:r>
      <w:r w:rsidRPr="00510112">
        <w:rPr>
          <w:rFonts w:ascii="Arial" w:eastAsia="Times New Roman" w:hAnsi="Arial" w:cs="Arial"/>
          <w:lang w:eastAsia="pl-PL"/>
        </w:rPr>
        <w:t>naprawczym lub postępowaniem restrukturyzacyjnym, a także o postępowaniach związ</w:t>
      </w:r>
      <w:r>
        <w:rPr>
          <w:rFonts w:ascii="Arial" w:eastAsia="Times New Roman" w:hAnsi="Arial" w:cs="Arial"/>
          <w:lang w:eastAsia="pl-PL"/>
        </w:rPr>
        <w:t xml:space="preserve">anych z likwidacją, upadłością, </w:t>
      </w:r>
      <w:r w:rsidRPr="00510112">
        <w:rPr>
          <w:rFonts w:ascii="Arial" w:eastAsia="Times New Roman" w:hAnsi="Arial" w:cs="Arial"/>
          <w:lang w:eastAsia="pl-PL"/>
        </w:rPr>
        <w:t>postępowaniem naprawczym lub postępowaniem restrukturyzacyjnym, prowadzonych wobec p</w:t>
      </w:r>
      <w:r>
        <w:rPr>
          <w:rFonts w:ascii="Arial" w:eastAsia="Times New Roman" w:hAnsi="Arial" w:cs="Arial"/>
          <w:lang w:eastAsia="pl-PL"/>
        </w:rPr>
        <w:t xml:space="preserve">odmiotu, w którym </w:t>
      </w:r>
      <w:r w:rsidRPr="00510112">
        <w:rPr>
          <w:rFonts w:ascii="Arial" w:eastAsia="Times New Roman" w:hAnsi="Arial" w:cs="Arial"/>
          <w:lang w:eastAsia="pl-PL"/>
        </w:rPr>
        <w:t xml:space="preserve">osoby wchodzące w skład organu zarządzającego wnioskodawcy posiadają udział równy </w:t>
      </w:r>
      <w:r>
        <w:rPr>
          <w:rFonts w:ascii="Arial" w:eastAsia="Times New Roman" w:hAnsi="Arial" w:cs="Arial"/>
          <w:lang w:eastAsia="pl-PL"/>
        </w:rPr>
        <w:t xml:space="preserve">lub przekraczający 10 % ogólnej </w:t>
      </w:r>
      <w:r w:rsidRPr="00510112">
        <w:rPr>
          <w:rFonts w:ascii="Arial" w:eastAsia="Times New Roman" w:hAnsi="Arial" w:cs="Arial"/>
          <w:lang w:eastAsia="pl-PL"/>
        </w:rPr>
        <w:t xml:space="preserve">liczby głosów na walnym zgromadzeniu lub w kapitale zakładowym, zakończonych </w:t>
      </w:r>
      <w:r>
        <w:rPr>
          <w:rFonts w:ascii="Arial" w:eastAsia="Times New Roman" w:hAnsi="Arial" w:cs="Arial"/>
          <w:lang w:eastAsia="pl-PL"/>
        </w:rPr>
        <w:t xml:space="preserve">w okresie 5 lat poprzedzających </w:t>
      </w:r>
      <w:r w:rsidRPr="00510112">
        <w:rPr>
          <w:rFonts w:ascii="Arial" w:eastAsia="Times New Roman" w:hAnsi="Arial" w:cs="Arial"/>
          <w:lang w:eastAsia="pl-PL"/>
        </w:rPr>
        <w:t>dzień złożenia wniosku o wydanie zezwolenia na wykonywanie działalności w zakresie obsługi kredytów;</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7) oświadczenia, że wobec osób wchodzących w skład organu zarządzającego wnioskod</w:t>
      </w:r>
      <w:r>
        <w:rPr>
          <w:rFonts w:ascii="Arial" w:eastAsia="Times New Roman" w:hAnsi="Arial" w:cs="Arial"/>
          <w:lang w:eastAsia="pl-PL"/>
        </w:rPr>
        <w:t xml:space="preserve">awcy nie toczą się postępowania </w:t>
      </w:r>
      <w:r w:rsidRPr="00510112">
        <w:rPr>
          <w:rFonts w:ascii="Arial" w:eastAsia="Times New Roman" w:hAnsi="Arial" w:cs="Arial"/>
          <w:lang w:eastAsia="pl-PL"/>
        </w:rPr>
        <w:t>upadłościowe albo restrukturyzacyjne ani nie została ogłoszona upadłość;</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8) informacje o osobie z Krajowego Rejestru Karnego, a w przypadku osób wchodzącyc</w:t>
      </w:r>
      <w:r>
        <w:rPr>
          <w:rFonts w:ascii="Arial" w:eastAsia="Times New Roman" w:hAnsi="Arial" w:cs="Arial"/>
          <w:lang w:eastAsia="pl-PL"/>
        </w:rPr>
        <w:t xml:space="preserve">h w skład organu zarządzającego </w:t>
      </w:r>
      <w:r w:rsidRPr="00510112">
        <w:rPr>
          <w:rFonts w:ascii="Arial" w:eastAsia="Times New Roman" w:hAnsi="Arial" w:cs="Arial"/>
          <w:lang w:eastAsia="pl-PL"/>
        </w:rPr>
        <w:t>wnioskodawcy, które w okresie 5 lat poprzedzających dzień złożenia wniosku o wy</w:t>
      </w:r>
      <w:r>
        <w:rPr>
          <w:rFonts w:ascii="Arial" w:eastAsia="Times New Roman" w:hAnsi="Arial" w:cs="Arial"/>
          <w:lang w:eastAsia="pl-PL"/>
        </w:rPr>
        <w:t xml:space="preserve">danie zezwolenia na wykonywanie </w:t>
      </w:r>
      <w:r w:rsidRPr="00510112">
        <w:rPr>
          <w:rFonts w:ascii="Arial" w:eastAsia="Times New Roman" w:hAnsi="Arial" w:cs="Arial"/>
          <w:lang w:eastAsia="pl-PL"/>
        </w:rPr>
        <w:t>działalności w zakresie obsługi kredytów miały miejsce zamieszkania poza Rzecząpos</w:t>
      </w:r>
      <w:r>
        <w:rPr>
          <w:rFonts w:ascii="Arial" w:eastAsia="Times New Roman" w:hAnsi="Arial" w:cs="Arial"/>
          <w:lang w:eastAsia="pl-PL"/>
        </w:rPr>
        <w:t xml:space="preserve">politą Polską, także informacje </w:t>
      </w:r>
      <w:r w:rsidRPr="00510112">
        <w:rPr>
          <w:rFonts w:ascii="Arial" w:eastAsia="Times New Roman" w:hAnsi="Arial" w:cs="Arial"/>
          <w:lang w:eastAsia="pl-PL"/>
        </w:rPr>
        <w:t>wydane przez właściwy organ państwa, w którym osoba ta miała w tym okresie miejs</w:t>
      </w:r>
      <w:r>
        <w:rPr>
          <w:rFonts w:ascii="Arial" w:eastAsia="Times New Roman" w:hAnsi="Arial" w:cs="Arial"/>
          <w:lang w:eastAsia="pl-PL"/>
        </w:rPr>
        <w:t xml:space="preserve">ce zamieszkania, opatrzone datą </w:t>
      </w:r>
      <w:r w:rsidRPr="00510112">
        <w:rPr>
          <w:rFonts w:ascii="Arial" w:eastAsia="Times New Roman" w:hAnsi="Arial" w:cs="Arial"/>
          <w:lang w:eastAsia="pl-PL"/>
        </w:rPr>
        <w:t>nie wcześniejszą niż 3 miesiące przed dniem złożenia wniosku o wydanie zezwole</w:t>
      </w:r>
      <w:r>
        <w:rPr>
          <w:rFonts w:ascii="Arial" w:eastAsia="Times New Roman" w:hAnsi="Arial" w:cs="Arial"/>
          <w:lang w:eastAsia="pl-PL"/>
        </w:rPr>
        <w:t xml:space="preserve">nia na prowadzenie działalności </w:t>
      </w:r>
      <w:r w:rsidRPr="00510112">
        <w:rPr>
          <w:rFonts w:ascii="Arial" w:eastAsia="Times New Roman" w:hAnsi="Arial" w:cs="Arial"/>
          <w:lang w:eastAsia="pl-PL"/>
        </w:rPr>
        <w:t>w zakresie obsługi kredytów;</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9) oświadczenia o braku skazania prawomocnym wyrokiem za przestępstwa, przes</w:t>
      </w:r>
      <w:r>
        <w:rPr>
          <w:rFonts w:ascii="Arial" w:eastAsia="Times New Roman" w:hAnsi="Arial" w:cs="Arial"/>
          <w:lang w:eastAsia="pl-PL"/>
        </w:rPr>
        <w:t xml:space="preserve">tępstwa skarbowe i wykroczenia, </w:t>
      </w:r>
      <w:r w:rsidRPr="00510112">
        <w:rPr>
          <w:rFonts w:ascii="Arial" w:eastAsia="Times New Roman" w:hAnsi="Arial" w:cs="Arial"/>
          <w:lang w:eastAsia="pl-PL"/>
        </w:rPr>
        <w:t>o których mowa w art. 6 ust. 1 pkt 3 lit. d ustawy;</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10) oświadczenia o:</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a) ukończonych szkołach ponadpodstawowych, ze wskazaniem poziomu wykształcenia oraz nazwy i roku ukończenia szkoły – w przypadku braku wyższego wykształcenia,</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b) ukończonych studiach wyższych, ze wskazaniem nazwy uczelni, wydziału i kieru</w:t>
      </w:r>
      <w:r>
        <w:rPr>
          <w:rFonts w:ascii="Arial" w:eastAsia="Times New Roman" w:hAnsi="Arial" w:cs="Arial"/>
          <w:lang w:eastAsia="pl-PL"/>
        </w:rPr>
        <w:t xml:space="preserve">nku, trybu, stopnia, uzyskanego </w:t>
      </w:r>
      <w:r w:rsidRPr="00510112">
        <w:rPr>
          <w:rFonts w:ascii="Arial" w:eastAsia="Times New Roman" w:hAnsi="Arial" w:cs="Arial"/>
          <w:lang w:eastAsia="pl-PL"/>
        </w:rPr>
        <w:t>tytułu zawodowego i roku ukończenia studiów,</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t>c) ukończonych studiach III stopnia lub uzyskanych tytułach i stopniach naukowy</w:t>
      </w:r>
      <w:r>
        <w:rPr>
          <w:rFonts w:ascii="Arial" w:eastAsia="Times New Roman" w:hAnsi="Arial" w:cs="Arial"/>
          <w:lang w:eastAsia="pl-PL"/>
        </w:rPr>
        <w:t xml:space="preserve">ch, ze wskazaniem nazwy uczelni </w:t>
      </w:r>
      <w:r w:rsidRPr="00510112">
        <w:rPr>
          <w:rFonts w:ascii="Arial" w:eastAsia="Times New Roman" w:hAnsi="Arial" w:cs="Arial"/>
          <w:lang w:eastAsia="pl-PL"/>
        </w:rPr>
        <w:t>lub instytutu naukowego, wydziału i kierunku, uzyskanego tytułu lub stopnia naukowego, roku ukończenia studiów albo roku uzyskania tytułu lub stopnia naukowego,</w:t>
      </w:r>
    </w:p>
    <w:p w:rsidR="00510112" w:rsidRPr="00510112" w:rsidRDefault="00510112" w:rsidP="002343EA">
      <w:pPr>
        <w:spacing w:after="0"/>
        <w:ind w:left="567"/>
        <w:jc w:val="both"/>
        <w:rPr>
          <w:rFonts w:ascii="Arial" w:eastAsia="Times New Roman" w:hAnsi="Arial" w:cs="Arial"/>
          <w:lang w:eastAsia="pl-PL"/>
        </w:rPr>
      </w:pPr>
      <w:r w:rsidRPr="00510112">
        <w:rPr>
          <w:rFonts w:ascii="Arial" w:eastAsia="Times New Roman" w:hAnsi="Arial" w:cs="Arial"/>
          <w:lang w:eastAsia="pl-PL"/>
        </w:rPr>
        <w:lastRenderedPageBreak/>
        <w:t>d) ukończonych studiach podyplomowych, aplikacjach, szkoleniach specjalistycznych i innych formach uzupełniającego kształcenia, ze wskazaniem nazwy uczelni lub instytucji organizującej kształcenie, przedmiotu i roku ukończenia kształcenia;</w:t>
      </w:r>
    </w:p>
    <w:p w:rsidR="00510112" w:rsidRPr="00510112" w:rsidRDefault="00510112" w:rsidP="002343EA">
      <w:pPr>
        <w:spacing w:after="0"/>
        <w:ind w:left="284"/>
        <w:jc w:val="both"/>
        <w:rPr>
          <w:rFonts w:ascii="Arial" w:eastAsia="Times New Roman" w:hAnsi="Arial" w:cs="Arial"/>
          <w:lang w:eastAsia="pl-PL"/>
        </w:rPr>
      </w:pPr>
      <w:r w:rsidRPr="00510112">
        <w:rPr>
          <w:rFonts w:ascii="Arial" w:eastAsia="Times New Roman" w:hAnsi="Arial" w:cs="Arial"/>
          <w:lang w:eastAsia="pl-PL"/>
        </w:rPr>
        <w:t>11) życiorysy zawodowe zawierające w szczególności informacje o miejscach pracy, zajmowanych stanowiskach i pełnionych funkcjach oraz prowadzonej działalności gospodarczej ze wskazaniem przedmiotu tej działalności i okresu jej</w:t>
      </w:r>
      <w:r w:rsidR="002343EA">
        <w:rPr>
          <w:rFonts w:ascii="Arial" w:eastAsia="Times New Roman" w:hAnsi="Arial" w:cs="Arial"/>
          <w:lang w:eastAsia="pl-PL"/>
        </w:rPr>
        <w:t xml:space="preserve"> </w:t>
      </w:r>
      <w:r w:rsidRPr="00510112">
        <w:rPr>
          <w:rFonts w:ascii="Arial" w:eastAsia="Times New Roman" w:hAnsi="Arial" w:cs="Arial"/>
          <w:lang w:eastAsia="pl-PL"/>
        </w:rPr>
        <w:t>prowadzenia, w tym o zakresie zadań i odpowiedzialności związanych z pełnieniem funkcji w podmiotach prowadzących działalność na rynku finansowym oraz o ukończonych szkoleniach zawodowych.</w:t>
      </w:r>
    </w:p>
    <w:p w:rsidR="00510112" w:rsidRPr="00510112"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W przypadku gdy osoby wchodzące w skład organu zarządzającego wnioskodawcy</w:t>
      </w:r>
      <w:r>
        <w:rPr>
          <w:rFonts w:ascii="Arial" w:eastAsia="Times New Roman" w:hAnsi="Arial" w:cs="Arial"/>
          <w:lang w:eastAsia="pl-PL"/>
        </w:rPr>
        <w:t xml:space="preserve"> mają miejsce zamieszkania poza </w:t>
      </w:r>
      <w:r w:rsidRPr="00510112">
        <w:rPr>
          <w:rFonts w:ascii="Arial" w:eastAsia="Times New Roman" w:hAnsi="Arial" w:cs="Arial"/>
          <w:lang w:eastAsia="pl-PL"/>
        </w:rPr>
        <w:t>granicami Rzeczypospolitej Polskiej, zamiast informacji z Krajowego Rejestru Karnego, o której mowa w ust. 1 pkt 8, składają informację z odpowiedniego rejestru, takiego jak rejestr sądowy, albo, w przypadku braku takiego rejestru, inny równoważny dokument wydany przez właściwy organ sądowy lub administracyjny państwa miejsca ich zamieszkania.</w:t>
      </w:r>
    </w:p>
    <w:p w:rsidR="00510112" w:rsidRDefault="00510112" w:rsidP="00510112">
      <w:pPr>
        <w:spacing w:after="0"/>
        <w:jc w:val="both"/>
        <w:rPr>
          <w:rFonts w:ascii="Arial" w:eastAsia="Times New Roman" w:hAnsi="Arial" w:cs="Arial"/>
          <w:lang w:eastAsia="pl-PL"/>
        </w:rPr>
      </w:pPr>
      <w:r>
        <w:rPr>
          <w:rFonts w:ascii="Arial" w:eastAsia="Times New Roman" w:hAnsi="Arial" w:cs="Arial"/>
          <w:lang w:eastAsia="pl-PL"/>
        </w:rPr>
        <w:t xml:space="preserve">Część </w:t>
      </w:r>
      <w:r w:rsidR="002343EA">
        <w:rPr>
          <w:rFonts w:ascii="Arial" w:eastAsia="Times New Roman" w:hAnsi="Arial" w:cs="Arial"/>
          <w:lang w:eastAsia="pl-PL"/>
        </w:rPr>
        <w:t xml:space="preserve">z </w:t>
      </w:r>
      <w:r>
        <w:rPr>
          <w:rFonts w:ascii="Arial" w:eastAsia="Times New Roman" w:hAnsi="Arial" w:cs="Arial"/>
          <w:lang w:eastAsia="pl-PL"/>
        </w:rPr>
        <w:t>wyżej wymienionych wymogów</w:t>
      </w:r>
      <w:r w:rsidRPr="00510112">
        <w:rPr>
          <w:rFonts w:ascii="Arial" w:eastAsia="Times New Roman" w:hAnsi="Arial" w:cs="Arial"/>
          <w:lang w:eastAsia="pl-PL"/>
        </w:rPr>
        <w:t xml:space="preserve"> stosuje się także do osób posiadających znaczny pakiet akcji lub udziałów</w:t>
      </w:r>
      <w:r w:rsidR="002343EA">
        <w:rPr>
          <w:rFonts w:ascii="Arial" w:eastAsia="Times New Roman" w:hAnsi="Arial" w:cs="Arial"/>
          <w:lang w:eastAsia="pl-PL"/>
        </w:rPr>
        <w:t>.</w:t>
      </w:r>
    </w:p>
    <w:p w:rsidR="00033ED2" w:rsidRPr="00510112" w:rsidRDefault="00033ED2" w:rsidP="00510112">
      <w:pPr>
        <w:spacing w:after="0"/>
        <w:jc w:val="both"/>
        <w:rPr>
          <w:rFonts w:ascii="Arial" w:eastAsia="Times New Roman" w:hAnsi="Arial" w:cs="Arial"/>
          <w:lang w:eastAsia="pl-PL"/>
        </w:rPr>
      </w:pPr>
    </w:p>
    <w:p w:rsidR="00033ED2" w:rsidRPr="00510112" w:rsidRDefault="00033ED2" w:rsidP="00510112">
      <w:pPr>
        <w:spacing w:after="0"/>
        <w:jc w:val="both"/>
        <w:rPr>
          <w:rFonts w:ascii="Arial" w:eastAsia="Times New Roman" w:hAnsi="Arial" w:cs="Arial"/>
          <w:lang w:eastAsia="pl-PL"/>
        </w:rPr>
      </w:pPr>
      <w:r w:rsidRPr="00510112">
        <w:rPr>
          <w:rStyle w:val="markedcontent"/>
          <w:rFonts w:ascii="Arial" w:hAnsi="Arial" w:cs="Arial"/>
        </w:rPr>
        <w:t xml:space="preserve">Rozporządzenie wchodzi w życie </w:t>
      </w:r>
      <w:r w:rsidR="002343EA" w:rsidRPr="002343EA">
        <w:rPr>
          <w:rStyle w:val="markedcontent"/>
          <w:rFonts w:ascii="Arial" w:hAnsi="Arial" w:cs="Arial"/>
        </w:rPr>
        <w:t>z dniem 19 lutego 2025 r</w:t>
      </w:r>
      <w:r w:rsidR="002343EA">
        <w:rPr>
          <w:rStyle w:val="markedcontent"/>
          <w:rFonts w:ascii="Arial" w:hAnsi="Arial" w:cs="Arial"/>
        </w:rPr>
        <w:t>oku</w:t>
      </w:r>
      <w:r w:rsidRPr="00510112">
        <w:rPr>
          <w:rStyle w:val="markedcontent"/>
          <w:rFonts w:ascii="Arial" w:hAnsi="Arial" w:cs="Arial"/>
        </w:rPr>
        <w:t>.</w:t>
      </w:r>
    </w:p>
    <w:p w:rsidR="00033ED2" w:rsidRDefault="00033ED2" w:rsidP="00033ED2">
      <w:pPr>
        <w:spacing w:after="0"/>
        <w:jc w:val="both"/>
        <w:rPr>
          <w:rFonts w:ascii="Arial" w:hAnsi="Arial" w:cs="Arial"/>
        </w:rPr>
      </w:pPr>
    </w:p>
    <w:p w:rsidR="00033ED2" w:rsidRPr="00287656" w:rsidRDefault="002343EA" w:rsidP="002343EA">
      <w:pPr>
        <w:pStyle w:val="Akapitzlist"/>
        <w:numPr>
          <w:ilvl w:val="0"/>
          <w:numId w:val="2"/>
        </w:numPr>
        <w:spacing w:after="0"/>
        <w:jc w:val="both"/>
        <w:rPr>
          <w:rFonts w:ascii="Arial" w:eastAsia="Times New Roman" w:hAnsi="Arial" w:cs="Arial"/>
          <w:u w:val="single"/>
          <w:lang w:eastAsia="pl-PL"/>
        </w:rPr>
      </w:pPr>
      <w:r>
        <w:rPr>
          <w:rFonts w:ascii="Arial" w:hAnsi="Arial" w:cs="Arial"/>
          <w:u w:val="single"/>
        </w:rPr>
        <w:t xml:space="preserve">Rozporządzenie </w:t>
      </w:r>
      <w:r w:rsidRPr="002343EA">
        <w:rPr>
          <w:rFonts w:ascii="Arial" w:hAnsi="Arial" w:cs="Arial"/>
          <w:u w:val="single"/>
        </w:rPr>
        <w:t>Ministra Finansów z dnia 15 lutego 2025 r. w sprawie systemu zarządzania ryzykiem w podmiocie obsługującym kredyty</w:t>
      </w:r>
      <w:r w:rsidR="00033ED2">
        <w:rPr>
          <w:rFonts w:ascii="Arial" w:hAnsi="Arial" w:cs="Arial"/>
          <w:u w:val="single"/>
        </w:rPr>
        <w:t xml:space="preserve"> </w:t>
      </w:r>
    </w:p>
    <w:p w:rsidR="00510112" w:rsidRDefault="00510112" w:rsidP="00510112">
      <w:pPr>
        <w:spacing w:after="0"/>
        <w:jc w:val="both"/>
        <w:rPr>
          <w:rFonts w:ascii="Arial" w:eastAsia="Times New Roman" w:hAnsi="Arial" w:cs="Arial"/>
          <w:lang w:eastAsia="pl-PL"/>
        </w:rPr>
      </w:pPr>
    </w:p>
    <w:p w:rsidR="00033ED2" w:rsidRPr="00287656"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Powyższy akt prawny opublikowany został 18 lutego 2025 roku w Dzienni</w:t>
      </w:r>
      <w:r>
        <w:rPr>
          <w:rFonts w:ascii="Arial" w:eastAsia="Times New Roman" w:hAnsi="Arial" w:cs="Arial"/>
          <w:lang w:eastAsia="pl-PL"/>
        </w:rPr>
        <w:t>ku Ustaw (Dz.U. z 2025, poz. 208</w:t>
      </w:r>
      <w:r w:rsidRPr="00510112">
        <w:rPr>
          <w:rFonts w:ascii="Arial" w:eastAsia="Times New Roman" w:hAnsi="Arial" w:cs="Arial"/>
          <w:lang w:eastAsia="pl-PL"/>
        </w:rPr>
        <w:t>).</w:t>
      </w:r>
    </w:p>
    <w:p w:rsidR="002343EA" w:rsidRDefault="002343EA" w:rsidP="00510112">
      <w:pPr>
        <w:spacing w:after="0"/>
        <w:jc w:val="both"/>
        <w:rPr>
          <w:rFonts w:ascii="Arial" w:eastAsia="Times New Roman" w:hAnsi="Arial" w:cs="Arial"/>
          <w:lang w:eastAsia="pl-PL"/>
        </w:rPr>
      </w:pPr>
    </w:p>
    <w:p w:rsidR="002343EA" w:rsidRPr="002343EA" w:rsidRDefault="002343EA" w:rsidP="002343EA">
      <w:pPr>
        <w:spacing w:after="0"/>
        <w:jc w:val="both"/>
        <w:rPr>
          <w:rFonts w:ascii="Arial" w:eastAsia="Times New Roman" w:hAnsi="Arial" w:cs="Arial"/>
          <w:lang w:eastAsia="pl-PL"/>
        </w:rPr>
      </w:pPr>
      <w:r w:rsidRPr="002343EA">
        <w:rPr>
          <w:rFonts w:ascii="Arial" w:eastAsia="Times New Roman" w:hAnsi="Arial" w:cs="Arial"/>
          <w:lang w:eastAsia="pl-PL"/>
        </w:rPr>
        <w:t>Rozporządzenie określa sposób organizacji systemu zarządzania ryzykiem, o któ</w:t>
      </w:r>
      <w:r>
        <w:rPr>
          <w:rFonts w:ascii="Arial" w:eastAsia="Times New Roman" w:hAnsi="Arial" w:cs="Arial"/>
          <w:lang w:eastAsia="pl-PL"/>
        </w:rPr>
        <w:t xml:space="preserve">rym mowa w art. 17 ust. 1 pkt 1 </w:t>
      </w:r>
      <w:r w:rsidRPr="002343EA">
        <w:rPr>
          <w:rFonts w:ascii="Arial" w:eastAsia="Times New Roman" w:hAnsi="Arial" w:cs="Arial"/>
          <w:lang w:eastAsia="pl-PL"/>
        </w:rPr>
        <w:t>ustawy z dnia 20 grudnia 2024 r. o podmiotach obsługujących kredyty i nabywcach kr</w:t>
      </w:r>
      <w:r>
        <w:rPr>
          <w:rFonts w:ascii="Arial" w:eastAsia="Times New Roman" w:hAnsi="Arial" w:cs="Arial"/>
          <w:lang w:eastAsia="pl-PL"/>
        </w:rPr>
        <w:t xml:space="preserve">edytów, zwanego dalej „systemem </w:t>
      </w:r>
      <w:r w:rsidRPr="002343EA">
        <w:rPr>
          <w:rFonts w:ascii="Arial" w:eastAsia="Times New Roman" w:hAnsi="Arial" w:cs="Arial"/>
          <w:lang w:eastAsia="pl-PL"/>
        </w:rPr>
        <w:t>zarządzania ryzykiem”, w tym rodzaje procedur go tworzących.</w:t>
      </w:r>
    </w:p>
    <w:p w:rsidR="002343EA" w:rsidRPr="002343EA" w:rsidRDefault="002343EA" w:rsidP="002343EA">
      <w:pPr>
        <w:spacing w:after="0"/>
        <w:jc w:val="both"/>
        <w:rPr>
          <w:rFonts w:ascii="Arial" w:eastAsia="Times New Roman" w:hAnsi="Arial" w:cs="Arial"/>
          <w:lang w:eastAsia="pl-PL"/>
        </w:rPr>
      </w:pPr>
      <w:r w:rsidRPr="002343EA">
        <w:rPr>
          <w:rFonts w:ascii="Arial" w:eastAsia="Times New Roman" w:hAnsi="Arial" w:cs="Arial"/>
          <w:lang w:eastAsia="pl-PL"/>
        </w:rPr>
        <w:t>System zarządzania ryzykiem jest zorganizowany proporcjonalnie do:</w:t>
      </w:r>
    </w:p>
    <w:p w:rsidR="002343EA" w:rsidRPr="002343EA" w:rsidRDefault="002343EA" w:rsidP="002343EA">
      <w:pPr>
        <w:pStyle w:val="Akapitzlist"/>
        <w:numPr>
          <w:ilvl w:val="0"/>
          <w:numId w:val="6"/>
        </w:numPr>
        <w:spacing w:after="0"/>
        <w:jc w:val="both"/>
        <w:rPr>
          <w:rFonts w:ascii="Arial" w:eastAsia="Times New Roman" w:hAnsi="Arial" w:cs="Arial"/>
          <w:lang w:eastAsia="pl-PL"/>
        </w:rPr>
      </w:pPr>
      <w:r w:rsidRPr="002343EA">
        <w:rPr>
          <w:rFonts w:ascii="Arial" w:eastAsia="Times New Roman" w:hAnsi="Arial" w:cs="Arial"/>
          <w:lang w:eastAsia="pl-PL"/>
        </w:rPr>
        <w:t>złożoności działalności podmiotu obsługującego kredyty;</w:t>
      </w:r>
    </w:p>
    <w:p w:rsidR="002343EA" w:rsidRPr="002343EA" w:rsidRDefault="002343EA" w:rsidP="002343EA">
      <w:pPr>
        <w:pStyle w:val="Akapitzlist"/>
        <w:numPr>
          <w:ilvl w:val="0"/>
          <w:numId w:val="6"/>
        </w:numPr>
        <w:spacing w:after="0"/>
        <w:jc w:val="both"/>
        <w:rPr>
          <w:rFonts w:ascii="Arial" w:eastAsia="Times New Roman" w:hAnsi="Arial" w:cs="Arial"/>
          <w:lang w:eastAsia="pl-PL"/>
        </w:rPr>
      </w:pPr>
      <w:r w:rsidRPr="002343EA">
        <w:rPr>
          <w:rFonts w:ascii="Arial" w:eastAsia="Times New Roman" w:hAnsi="Arial" w:cs="Arial"/>
          <w:lang w:eastAsia="pl-PL"/>
        </w:rPr>
        <w:t>skali i struktury ekspozycji na ryzyko, stopnia narażenia</w:t>
      </w:r>
      <w:r w:rsidRPr="002343EA">
        <w:rPr>
          <w:rFonts w:ascii="Arial" w:eastAsia="Times New Roman" w:hAnsi="Arial" w:cs="Arial"/>
          <w:lang w:eastAsia="pl-PL"/>
        </w:rPr>
        <w:t xml:space="preserve"> podmiotu obsługującego kredyty na dane ryzyko wyrażonego </w:t>
      </w:r>
      <w:r w:rsidRPr="002343EA">
        <w:rPr>
          <w:rFonts w:ascii="Arial" w:eastAsia="Times New Roman" w:hAnsi="Arial" w:cs="Arial"/>
          <w:lang w:eastAsia="pl-PL"/>
        </w:rPr>
        <w:t>w ustalonej przez ten podmiot formie i skali;</w:t>
      </w:r>
    </w:p>
    <w:p w:rsidR="002343EA" w:rsidRPr="002343EA" w:rsidRDefault="002343EA" w:rsidP="002343EA">
      <w:pPr>
        <w:pStyle w:val="Akapitzlist"/>
        <w:numPr>
          <w:ilvl w:val="0"/>
          <w:numId w:val="6"/>
        </w:numPr>
        <w:spacing w:after="0"/>
        <w:jc w:val="both"/>
        <w:rPr>
          <w:rFonts w:ascii="Arial" w:eastAsia="Times New Roman" w:hAnsi="Arial" w:cs="Arial"/>
          <w:lang w:eastAsia="pl-PL"/>
        </w:rPr>
      </w:pPr>
      <w:r w:rsidRPr="002343EA">
        <w:rPr>
          <w:rFonts w:ascii="Arial" w:eastAsia="Times New Roman" w:hAnsi="Arial" w:cs="Arial"/>
          <w:lang w:eastAsia="pl-PL"/>
        </w:rPr>
        <w:t>zakresu działalności podmiotu obsługującego kredyty.</w:t>
      </w:r>
    </w:p>
    <w:p w:rsidR="002343EA" w:rsidRPr="002343EA" w:rsidRDefault="002343EA" w:rsidP="002343EA">
      <w:pPr>
        <w:spacing w:after="0"/>
        <w:jc w:val="both"/>
        <w:rPr>
          <w:rFonts w:ascii="Arial" w:eastAsia="Times New Roman" w:hAnsi="Arial" w:cs="Arial"/>
          <w:lang w:eastAsia="pl-PL"/>
        </w:rPr>
      </w:pPr>
      <w:r w:rsidRPr="002343EA">
        <w:rPr>
          <w:rFonts w:ascii="Arial" w:eastAsia="Times New Roman" w:hAnsi="Arial" w:cs="Arial"/>
          <w:lang w:eastAsia="pl-PL"/>
        </w:rPr>
        <w:t>System zarządzania ryzykiem tworzy:</w:t>
      </w:r>
    </w:p>
    <w:p w:rsidR="002343EA" w:rsidRPr="002343EA" w:rsidRDefault="002343EA" w:rsidP="002343EA">
      <w:pPr>
        <w:pStyle w:val="Akapitzlist"/>
        <w:numPr>
          <w:ilvl w:val="0"/>
          <w:numId w:val="8"/>
        </w:numPr>
        <w:spacing w:after="0"/>
        <w:jc w:val="both"/>
        <w:rPr>
          <w:rFonts w:ascii="Arial" w:eastAsia="Times New Roman" w:hAnsi="Arial" w:cs="Arial"/>
          <w:lang w:eastAsia="pl-PL"/>
        </w:rPr>
      </w:pPr>
      <w:r w:rsidRPr="002343EA">
        <w:rPr>
          <w:rFonts w:ascii="Arial" w:eastAsia="Times New Roman" w:hAnsi="Arial" w:cs="Arial"/>
          <w:lang w:eastAsia="pl-PL"/>
        </w:rPr>
        <w:t>procedura identyfikacji ryzyka;</w:t>
      </w:r>
    </w:p>
    <w:p w:rsidR="002343EA" w:rsidRPr="002343EA" w:rsidRDefault="002343EA" w:rsidP="002343EA">
      <w:pPr>
        <w:pStyle w:val="Akapitzlist"/>
        <w:numPr>
          <w:ilvl w:val="0"/>
          <w:numId w:val="8"/>
        </w:numPr>
        <w:spacing w:after="0"/>
        <w:jc w:val="both"/>
        <w:rPr>
          <w:rFonts w:ascii="Arial" w:eastAsia="Times New Roman" w:hAnsi="Arial" w:cs="Arial"/>
          <w:lang w:eastAsia="pl-PL"/>
        </w:rPr>
      </w:pPr>
      <w:r w:rsidRPr="002343EA">
        <w:rPr>
          <w:rFonts w:ascii="Arial" w:eastAsia="Times New Roman" w:hAnsi="Arial" w:cs="Arial"/>
          <w:lang w:eastAsia="pl-PL"/>
        </w:rPr>
        <w:t>procedura pomiaru lub szacowania ryzyka;</w:t>
      </w:r>
    </w:p>
    <w:p w:rsidR="002343EA" w:rsidRPr="002343EA" w:rsidRDefault="002343EA" w:rsidP="002343EA">
      <w:pPr>
        <w:pStyle w:val="Akapitzlist"/>
        <w:numPr>
          <w:ilvl w:val="0"/>
          <w:numId w:val="8"/>
        </w:numPr>
        <w:spacing w:after="0"/>
        <w:jc w:val="both"/>
        <w:rPr>
          <w:rFonts w:ascii="Arial" w:eastAsia="Times New Roman" w:hAnsi="Arial" w:cs="Arial"/>
          <w:lang w:eastAsia="pl-PL"/>
        </w:rPr>
      </w:pPr>
      <w:r w:rsidRPr="002343EA">
        <w:rPr>
          <w:rFonts w:ascii="Arial" w:eastAsia="Times New Roman" w:hAnsi="Arial" w:cs="Arial"/>
          <w:lang w:eastAsia="pl-PL"/>
        </w:rPr>
        <w:t>procedura monitorowania, raportowania i kon</w:t>
      </w:r>
      <w:r w:rsidRPr="002343EA">
        <w:rPr>
          <w:rFonts w:ascii="Arial" w:eastAsia="Times New Roman" w:hAnsi="Arial" w:cs="Arial"/>
          <w:lang w:eastAsia="pl-PL"/>
        </w:rPr>
        <w:t>troli oraz ograniczania ryzyka.</w:t>
      </w:r>
    </w:p>
    <w:p w:rsidR="002343EA" w:rsidRPr="002343EA" w:rsidRDefault="002343EA" w:rsidP="002343EA">
      <w:pPr>
        <w:spacing w:after="0"/>
        <w:jc w:val="both"/>
        <w:rPr>
          <w:rFonts w:ascii="Arial" w:eastAsia="Times New Roman" w:hAnsi="Arial" w:cs="Arial"/>
          <w:lang w:eastAsia="pl-PL"/>
        </w:rPr>
      </w:pPr>
      <w:r w:rsidRPr="002343EA">
        <w:rPr>
          <w:rFonts w:ascii="Arial" w:eastAsia="Times New Roman" w:hAnsi="Arial" w:cs="Arial"/>
          <w:lang w:eastAsia="pl-PL"/>
        </w:rPr>
        <w:t xml:space="preserve">Procedura, o której mowa </w:t>
      </w:r>
      <w:r>
        <w:rPr>
          <w:rFonts w:ascii="Arial" w:eastAsia="Times New Roman" w:hAnsi="Arial" w:cs="Arial"/>
          <w:lang w:eastAsia="pl-PL"/>
        </w:rPr>
        <w:t>powyżej</w:t>
      </w:r>
      <w:r w:rsidRPr="002343EA">
        <w:rPr>
          <w:rFonts w:ascii="Arial" w:eastAsia="Times New Roman" w:hAnsi="Arial" w:cs="Arial"/>
          <w:lang w:eastAsia="pl-PL"/>
        </w:rPr>
        <w:t>, obejmuje:</w:t>
      </w:r>
    </w:p>
    <w:p w:rsidR="002343EA" w:rsidRPr="002343EA" w:rsidRDefault="002343EA" w:rsidP="002343EA">
      <w:pPr>
        <w:pStyle w:val="Akapitzlist"/>
        <w:numPr>
          <w:ilvl w:val="0"/>
          <w:numId w:val="10"/>
        </w:numPr>
        <w:spacing w:after="0"/>
        <w:jc w:val="both"/>
        <w:rPr>
          <w:rFonts w:ascii="Arial" w:eastAsia="Times New Roman" w:hAnsi="Arial" w:cs="Arial"/>
          <w:lang w:eastAsia="pl-PL"/>
        </w:rPr>
      </w:pPr>
      <w:r w:rsidRPr="002343EA">
        <w:rPr>
          <w:rFonts w:ascii="Arial" w:eastAsia="Times New Roman" w:hAnsi="Arial" w:cs="Arial"/>
          <w:lang w:eastAsia="pl-PL"/>
        </w:rPr>
        <w:t>identyfikację źródeł i potencjalnych skutków ryzyka;</w:t>
      </w:r>
    </w:p>
    <w:p w:rsidR="002343EA" w:rsidRPr="002343EA" w:rsidRDefault="002343EA" w:rsidP="002343EA">
      <w:pPr>
        <w:pStyle w:val="Akapitzlist"/>
        <w:numPr>
          <w:ilvl w:val="0"/>
          <w:numId w:val="10"/>
        </w:numPr>
        <w:spacing w:after="0"/>
        <w:jc w:val="both"/>
        <w:rPr>
          <w:rFonts w:ascii="Arial" w:eastAsia="Times New Roman" w:hAnsi="Arial" w:cs="Arial"/>
          <w:lang w:eastAsia="pl-PL"/>
        </w:rPr>
      </w:pPr>
      <w:r w:rsidRPr="002343EA">
        <w:rPr>
          <w:rFonts w:ascii="Arial" w:eastAsia="Times New Roman" w:hAnsi="Arial" w:cs="Arial"/>
          <w:lang w:eastAsia="pl-PL"/>
        </w:rPr>
        <w:t>definicję ryzyka operacyjnego i jego zdarzeń;</w:t>
      </w:r>
    </w:p>
    <w:p w:rsidR="002343EA" w:rsidRPr="002343EA" w:rsidRDefault="002343EA" w:rsidP="002343EA">
      <w:pPr>
        <w:pStyle w:val="Akapitzlist"/>
        <w:numPr>
          <w:ilvl w:val="0"/>
          <w:numId w:val="10"/>
        </w:numPr>
        <w:spacing w:after="0"/>
        <w:jc w:val="both"/>
        <w:rPr>
          <w:rFonts w:ascii="Arial" w:eastAsia="Times New Roman" w:hAnsi="Arial" w:cs="Arial"/>
          <w:lang w:eastAsia="pl-PL"/>
        </w:rPr>
      </w:pPr>
      <w:r w:rsidRPr="002343EA">
        <w:rPr>
          <w:rFonts w:ascii="Arial" w:eastAsia="Times New Roman" w:hAnsi="Arial" w:cs="Arial"/>
          <w:lang w:eastAsia="pl-PL"/>
        </w:rPr>
        <w:t xml:space="preserve">listę rodzajów </w:t>
      </w:r>
      <w:proofErr w:type="spellStart"/>
      <w:r w:rsidRPr="002343EA">
        <w:rPr>
          <w:rFonts w:ascii="Arial" w:eastAsia="Times New Roman" w:hAnsi="Arial" w:cs="Arial"/>
          <w:lang w:eastAsia="pl-PL"/>
        </w:rPr>
        <w:t>ryzyk</w:t>
      </w:r>
      <w:proofErr w:type="spellEnd"/>
      <w:r w:rsidRPr="002343EA">
        <w:rPr>
          <w:rFonts w:ascii="Arial" w:eastAsia="Times New Roman" w:hAnsi="Arial" w:cs="Arial"/>
          <w:lang w:eastAsia="pl-PL"/>
        </w:rPr>
        <w:t>, które potencjalnie mogą wystąpić w działalności podmiotu obs</w:t>
      </w:r>
      <w:r w:rsidRPr="002343EA">
        <w:rPr>
          <w:rFonts w:ascii="Arial" w:eastAsia="Times New Roman" w:hAnsi="Arial" w:cs="Arial"/>
          <w:lang w:eastAsia="pl-PL"/>
        </w:rPr>
        <w:t xml:space="preserve">ługującego kredyty i spowodować </w:t>
      </w:r>
      <w:r w:rsidRPr="002343EA">
        <w:rPr>
          <w:rFonts w:ascii="Arial" w:eastAsia="Times New Roman" w:hAnsi="Arial" w:cs="Arial"/>
          <w:lang w:eastAsia="pl-PL"/>
        </w:rPr>
        <w:t>znaczne straty dla podmiotu obsługującego kredyty;</w:t>
      </w:r>
    </w:p>
    <w:p w:rsidR="002343EA" w:rsidRPr="002343EA" w:rsidRDefault="002343EA" w:rsidP="002343EA">
      <w:pPr>
        <w:pStyle w:val="Akapitzlist"/>
        <w:numPr>
          <w:ilvl w:val="0"/>
          <w:numId w:val="10"/>
        </w:numPr>
        <w:spacing w:after="0"/>
        <w:jc w:val="both"/>
        <w:rPr>
          <w:rFonts w:ascii="Arial" w:eastAsia="Times New Roman" w:hAnsi="Arial" w:cs="Arial"/>
          <w:lang w:eastAsia="pl-PL"/>
        </w:rPr>
      </w:pPr>
      <w:r w:rsidRPr="002343EA">
        <w:rPr>
          <w:rFonts w:ascii="Arial" w:eastAsia="Times New Roman" w:hAnsi="Arial" w:cs="Arial"/>
          <w:lang w:eastAsia="pl-PL"/>
        </w:rPr>
        <w:t>sposób dokonywania analiz, czy którekolwiek ze zidentyfikowanych źródeł ryzyka</w:t>
      </w:r>
      <w:r w:rsidRPr="002343EA">
        <w:rPr>
          <w:rFonts w:ascii="Arial" w:eastAsia="Times New Roman" w:hAnsi="Arial" w:cs="Arial"/>
          <w:lang w:eastAsia="pl-PL"/>
        </w:rPr>
        <w:t xml:space="preserve"> może spowodować materializację </w:t>
      </w:r>
      <w:r>
        <w:rPr>
          <w:rFonts w:ascii="Arial" w:eastAsia="Times New Roman" w:hAnsi="Arial" w:cs="Arial"/>
          <w:lang w:eastAsia="pl-PL"/>
        </w:rPr>
        <w:t xml:space="preserve">co najmniej jednego z określonych w liście </w:t>
      </w:r>
      <w:proofErr w:type="spellStart"/>
      <w:r>
        <w:rPr>
          <w:rFonts w:ascii="Arial" w:eastAsia="Times New Roman" w:hAnsi="Arial" w:cs="Arial"/>
          <w:lang w:eastAsia="pl-PL"/>
        </w:rPr>
        <w:t>ryzyk</w:t>
      </w:r>
      <w:proofErr w:type="spellEnd"/>
      <w:r w:rsidRPr="002343EA">
        <w:rPr>
          <w:rFonts w:ascii="Arial" w:eastAsia="Times New Roman" w:hAnsi="Arial" w:cs="Arial"/>
          <w:lang w:eastAsia="pl-PL"/>
        </w:rPr>
        <w:t>.</w:t>
      </w:r>
    </w:p>
    <w:p w:rsidR="002343EA" w:rsidRPr="002343EA" w:rsidRDefault="002343EA" w:rsidP="002343EA">
      <w:pPr>
        <w:spacing w:after="0"/>
        <w:jc w:val="both"/>
        <w:rPr>
          <w:rFonts w:ascii="Arial" w:eastAsia="Times New Roman" w:hAnsi="Arial" w:cs="Arial"/>
          <w:lang w:eastAsia="pl-PL"/>
        </w:rPr>
      </w:pPr>
      <w:r w:rsidRPr="002343EA">
        <w:rPr>
          <w:rFonts w:ascii="Arial" w:eastAsia="Times New Roman" w:hAnsi="Arial" w:cs="Arial"/>
          <w:lang w:eastAsia="pl-PL"/>
        </w:rPr>
        <w:lastRenderedPageBreak/>
        <w:t xml:space="preserve">Procedura, o której mowa </w:t>
      </w:r>
      <w:r>
        <w:rPr>
          <w:rFonts w:ascii="Arial" w:eastAsia="Times New Roman" w:hAnsi="Arial" w:cs="Arial"/>
          <w:lang w:eastAsia="pl-PL"/>
        </w:rPr>
        <w:t>powyżej</w:t>
      </w:r>
      <w:r w:rsidRPr="002343EA">
        <w:rPr>
          <w:rFonts w:ascii="Arial" w:eastAsia="Times New Roman" w:hAnsi="Arial" w:cs="Arial"/>
          <w:lang w:eastAsia="pl-PL"/>
        </w:rPr>
        <w:t>, obejmuje zasady ustalające sp</w:t>
      </w:r>
      <w:r>
        <w:rPr>
          <w:rFonts w:ascii="Arial" w:eastAsia="Times New Roman" w:hAnsi="Arial" w:cs="Arial"/>
          <w:lang w:eastAsia="pl-PL"/>
        </w:rPr>
        <w:t xml:space="preserve">osób określania poziomu ryzyka. </w:t>
      </w:r>
      <w:r w:rsidRPr="002343EA">
        <w:rPr>
          <w:rFonts w:ascii="Arial" w:eastAsia="Times New Roman" w:hAnsi="Arial" w:cs="Arial"/>
          <w:lang w:eastAsia="pl-PL"/>
        </w:rPr>
        <w:t>Procedura</w:t>
      </w:r>
      <w:r w:rsidR="009A6873">
        <w:rPr>
          <w:rFonts w:ascii="Arial" w:eastAsia="Times New Roman" w:hAnsi="Arial" w:cs="Arial"/>
          <w:lang w:eastAsia="pl-PL"/>
        </w:rPr>
        <w:t xml:space="preserve"> ta </w:t>
      </w:r>
      <w:r w:rsidRPr="002343EA">
        <w:rPr>
          <w:rFonts w:ascii="Arial" w:eastAsia="Times New Roman" w:hAnsi="Arial" w:cs="Arial"/>
          <w:lang w:eastAsia="pl-PL"/>
        </w:rPr>
        <w:t xml:space="preserve"> obejmuje:</w:t>
      </w:r>
    </w:p>
    <w:p w:rsidR="002343EA" w:rsidRPr="009A6873" w:rsidRDefault="002343EA" w:rsidP="009A6873">
      <w:pPr>
        <w:pStyle w:val="Akapitzlist"/>
        <w:numPr>
          <w:ilvl w:val="0"/>
          <w:numId w:val="12"/>
        </w:numPr>
        <w:spacing w:after="0"/>
        <w:jc w:val="both"/>
        <w:rPr>
          <w:rFonts w:ascii="Arial" w:eastAsia="Times New Roman" w:hAnsi="Arial" w:cs="Arial"/>
          <w:lang w:eastAsia="pl-PL"/>
        </w:rPr>
      </w:pPr>
      <w:r w:rsidRPr="009A6873">
        <w:rPr>
          <w:rFonts w:ascii="Arial" w:eastAsia="Times New Roman" w:hAnsi="Arial" w:cs="Arial"/>
          <w:lang w:eastAsia="pl-PL"/>
        </w:rPr>
        <w:t>zasady monitorowania ryzyka;</w:t>
      </w:r>
    </w:p>
    <w:p w:rsidR="00033ED2" w:rsidRPr="009A6873" w:rsidRDefault="002343EA" w:rsidP="009A6873">
      <w:pPr>
        <w:pStyle w:val="Akapitzlist"/>
        <w:numPr>
          <w:ilvl w:val="0"/>
          <w:numId w:val="12"/>
        </w:numPr>
        <w:spacing w:after="0"/>
        <w:jc w:val="both"/>
        <w:rPr>
          <w:rFonts w:ascii="Arial" w:eastAsia="Times New Roman" w:hAnsi="Arial" w:cs="Arial"/>
          <w:lang w:eastAsia="pl-PL"/>
        </w:rPr>
      </w:pPr>
      <w:r w:rsidRPr="009A6873">
        <w:rPr>
          <w:rFonts w:ascii="Arial" w:eastAsia="Times New Roman" w:hAnsi="Arial" w:cs="Arial"/>
          <w:lang w:eastAsia="pl-PL"/>
        </w:rPr>
        <w:t xml:space="preserve">zasady raportowania ryzyka, obejmujące przekazywanie informacji dotyczących </w:t>
      </w:r>
      <w:r w:rsidR="009A6873" w:rsidRPr="009A6873">
        <w:rPr>
          <w:rFonts w:ascii="Arial" w:eastAsia="Times New Roman" w:hAnsi="Arial" w:cs="Arial"/>
          <w:lang w:eastAsia="pl-PL"/>
        </w:rPr>
        <w:t xml:space="preserve">zidentyfikowanego ryzyka i jego </w:t>
      </w:r>
      <w:r w:rsidRPr="009A6873">
        <w:rPr>
          <w:rFonts w:ascii="Arial" w:eastAsia="Times New Roman" w:hAnsi="Arial" w:cs="Arial"/>
          <w:lang w:eastAsia="pl-PL"/>
        </w:rPr>
        <w:t>poziomu, wyników monitorowania oraz podjętych działań;</w:t>
      </w:r>
    </w:p>
    <w:p w:rsidR="002343EA" w:rsidRPr="009A6873" w:rsidRDefault="002343EA" w:rsidP="009A6873">
      <w:pPr>
        <w:pStyle w:val="Akapitzlist"/>
        <w:numPr>
          <w:ilvl w:val="0"/>
          <w:numId w:val="12"/>
        </w:numPr>
        <w:spacing w:after="0"/>
        <w:jc w:val="both"/>
        <w:rPr>
          <w:rFonts w:ascii="Arial" w:eastAsia="Times New Roman" w:hAnsi="Arial" w:cs="Arial"/>
          <w:lang w:eastAsia="pl-PL"/>
        </w:rPr>
      </w:pPr>
      <w:r w:rsidRPr="009A6873">
        <w:rPr>
          <w:rFonts w:ascii="Arial" w:eastAsia="Times New Roman" w:hAnsi="Arial" w:cs="Arial"/>
          <w:lang w:eastAsia="pl-PL"/>
        </w:rPr>
        <w:t>zasady kontroli oraz ograniczania ryzyka, obejmujące:</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weryfikację, czy poziom ryzyka nie narusza przyjętych zasad,</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eliminację przyczyn występowania ryzyka,</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ograniczenie skutków ewentualnej materializacji ryzyka,</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przeniesienie ryzyka na podmiot zewnętrzny,</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akceptację ryzyka bez podejmowania</w:t>
      </w:r>
      <w:r w:rsidR="009A6873">
        <w:rPr>
          <w:rFonts w:ascii="Arial" w:eastAsia="Times New Roman" w:hAnsi="Arial" w:cs="Arial"/>
          <w:lang w:eastAsia="pl-PL"/>
        </w:rPr>
        <w:t xml:space="preserve"> stosownych</w:t>
      </w:r>
      <w:r w:rsidRPr="009A6873">
        <w:rPr>
          <w:rFonts w:ascii="Arial" w:eastAsia="Times New Roman" w:hAnsi="Arial" w:cs="Arial"/>
          <w:lang w:eastAsia="pl-PL"/>
        </w:rPr>
        <w:t xml:space="preserve"> dz</w:t>
      </w:r>
      <w:r w:rsidR="009A6873">
        <w:rPr>
          <w:rFonts w:ascii="Arial" w:eastAsia="Times New Roman" w:hAnsi="Arial" w:cs="Arial"/>
          <w:lang w:eastAsia="pl-PL"/>
        </w:rPr>
        <w:t>iałań</w:t>
      </w:r>
      <w:r w:rsidRPr="009A6873">
        <w:rPr>
          <w:rFonts w:ascii="Arial" w:eastAsia="Times New Roman" w:hAnsi="Arial" w:cs="Arial"/>
          <w:lang w:eastAsia="pl-PL"/>
        </w:rPr>
        <w:t>;</w:t>
      </w:r>
    </w:p>
    <w:p w:rsidR="002343EA" w:rsidRPr="009A6873" w:rsidRDefault="002343EA" w:rsidP="009A6873">
      <w:pPr>
        <w:pStyle w:val="Akapitzlist"/>
        <w:numPr>
          <w:ilvl w:val="0"/>
          <w:numId w:val="12"/>
        </w:numPr>
        <w:spacing w:after="0"/>
        <w:jc w:val="both"/>
        <w:rPr>
          <w:rFonts w:ascii="Arial" w:eastAsia="Times New Roman" w:hAnsi="Arial" w:cs="Arial"/>
          <w:lang w:eastAsia="pl-PL"/>
        </w:rPr>
      </w:pPr>
      <w:r w:rsidRPr="009A6873">
        <w:rPr>
          <w:rFonts w:ascii="Arial" w:eastAsia="Times New Roman" w:hAnsi="Arial" w:cs="Arial"/>
          <w:lang w:eastAsia="pl-PL"/>
        </w:rPr>
        <w:t>w przypadku ryzyka operacyjnego:</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tryb i sposób monitorowania strat z tytułu materializacji tego ryzyka,</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powierzenie wykonywania czynności podmiotom zewnętrznym,</w:t>
      </w:r>
    </w:p>
    <w:p w:rsidR="002343EA" w:rsidRPr="009A6873" w:rsidRDefault="002343EA" w:rsidP="009A6873">
      <w:pPr>
        <w:pStyle w:val="Akapitzlist"/>
        <w:numPr>
          <w:ilvl w:val="1"/>
          <w:numId w:val="12"/>
        </w:numPr>
        <w:spacing w:after="0"/>
        <w:jc w:val="both"/>
        <w:rPr>
          <w:rFonts w:ascii="Arial" w:eastAsia="Times New Roman" w:hAnsi="Arial" w:cs="Arial"/>
          <w:lang w:eastAsia="pl-PL"/>
        </w:rPr>
      </w:pPr>
      <w:r w:rsidRPr="009A6873">
        <w:rPr>
          <w:rFonts w:ascii="Arial" w:eastAsia="Times New Roman" w:hAnsi="Arial" w:cs="Arial"/>
          <w:lang w:eastAsia="pl-PL"/>
        </w:rPr>
        <w:t>sposób organizacji bezpieczeństwa sieci i systemów informacyjnych w celu zapewnienia poufności, integralności</w:t>
      </w:r>
      <w:r w:rsidR="009A6873">
        <w:rPr>
          <w:rFonts w:ascii="Arial" w:eastAsia="Times New Roman" w:hAnsi="Arial" w:cs="Arial"/>
          <w:lang w:eastAsia="pl-PL"/>
        </w:rPr>
        <w:t xml:space="preserve"> </w:t>
      </w:r>
      <w:r w:rsidRPr="009A6873">
        <w:rPr>
          <w:rFonts w:ascii="Arial" w:eastAsia="Times New Roman" w:hAnsi="Arial" w:cs="Arial"/>
          <w:lang w:eastAsia="pl-PL"/>
        </w:rPr>
        <w:t>i dostępności procesów oraz danych i aktywów podmiotu obsługującego kredyty.</w:t>
      </w:r>
    </w:p>
    <w:p w:rsidR="002343EA" w:rsidRPr="009A6873" w:rsidRDefault="002343EA" w:rsidP="009A6873">
      <w:pPr>
        <w:spacing w:after="0"/>
        <w:jc w:val="both"/>
        <w:rPr>
          <w:rFonts w:ascii="Arial" w:eastAsia="Times New Roman" w:hAnsi="Arial" w:cs="Arial"/>
          <w:lang w:eastAsia="pl-PL"/>
        </w:rPr>
      </w:pPr>
      <w:r w:rsidRPr="009A6873">
        <w:rPr>
          <w:rFonts w:ascii="Arial" w:eastAsia="Times New Roman" w:hAnsi="Arial" w:cs="Arial"/>
          <w:lang w:eastAsia="pl-PL"/>
        </w:rPr>
        <w:t>Procedury tworzące system zarządzania ryzykiem zatwierdza zarząd albo rada dyrektorów</w:t>
      </w:r>
      <w:r w:rsidRPr="009A6873">
        <w:rPr>
          <w:rFonts w:ascii="Arial" w:eastAsia="Times New Roman" w:hAnsi="Arial" w:cs="Arial"/>
          <w:lang w:eastAsia="pl-PL"/>
        </w:rPr>
        <w:t>.</w:t>
      </w:r>
    </w:p>
    <w:p w:rsidR="002343EA" w:rsidRDefault="002343EA" w:rsidP="00510112">
      <w:pPr>
        <w:spacing w:after="0"/>
        <w:jc w:val="both"/>
        <w:rPr>
          <w:rStyle w:val="markedcontent"/>
          <w:rFonts w:ascii="Arial" w:hAnsi="Arial" w:cs="Arial"/>
        </w:rPr>
      </w:pPr>
    </w:p>
    <w:p w:rsidR="00033ED2" w:rsidRPr="00510112" w:rsidRDefault="00033ED2" w:rsidP="00510112">
      <w:pPr>
        <w:spacing w:after="0"/>
        <w:jc w:val="both"/>
        <w:rPr>
          <w:rStyle w:val="markedcontent"/>
          <w:rFonts w:ascii="Arial" w:eastAsia="Times New Roman" w:hAnsi="Arial" w:cs="Arial"/>
          <w:lang w:eastAsia="pl-PL"/>
        </w:rPr>
      </w:pPr>
      <w:r w:rsidRPr="00510112">
        <w:rPr>
          <w:rStyle w:val="markedcontent"/>
          <w:rFonts w:ascii="Arial" w:hAnsi="Arial" w:cs="Arial"/>
        </w:rPr>
        <w:t xml:space="preserve">Rozporządzenie wchodzi w życie </w:t>
      </w:r>
      <w:r w:rsidR="009A6873">
        <w:rPr>
          <w:rStyle w:val="markedcontent"/>
          <w:rFonts w:ascii="Arial" w:hAnsi="Arial" w:cs="Arial"/>
        </w:rPr>
        <w:t xml:space="preserve">z dniem 19 lutego 2025 </w:t>
      </w:r>
      <w:r w:rsidRPr="00510112">
        <w:rPr>
          <w:rStyle w:val="markedcontent"/>
          <w:rFonts w:ascii="Arial" w:hAnsi="Arial" w:cs="Arial"/>
        </w:rPr>
        <w:t>roku.</w:t>
      </w:r>
    </w:p>
    <w:p w:rsidR="00033ED2" w:rsidRPr="00287656" w:rsidRDefault="00033ED2" w:rsidP="00033ED2">
      <w:pPr>
        <w:pStyle w:val="Akapitzlist"/>
        <w:spacing w:after="0"/>
        <w:ind w:left="426"/>
        <w:jc w:val="both"/>
        <w:rPr>
          <w:rStyle w:val="markedcontent"/>
          <w:rFonts w:ascii="Arial" w:eastAsia="Times New Roman" w:hAnsi="Arial" w:cs="Arial"/>
          <w:lang w:eastAsia="pl-PL"/>
        </w:rPr>
      </w:pPr>
    </w:p>
    <w:p w:rsidR="00033ED2" w:rsidRPr="009A6873" w:rsidRDefault="009A6873" w:rsidP="009A6873">
      <w:pPr>
        <w:pStyle w:val="Akapitzlist"/>
        <w:numPr>
          <w:ilvl w:val="0"/>
          <w:numId w:val="2"/>
        </w:numPr>
        <w:spacing w:after="0"/>
        <w:ind w:left="714" w:hanging="357"/>
        <w:jc w:val="both"/>
        <w:rPr>
          <w:rStyle w:val="markedcontent"/>
          <w:rFonts w:ascii="Arial" w:eastAsia="Times New Roman" w:hAnsi="Arial" w:cs="Arial"/>
          <w:u w:val="single"/>
          <w:lang w:eastAsia="pl-PL"/>
        </w:rPr>
      </w:pPr>
      <w:r w:rsidRPr="009A6873">
        <w:rPr>
          <w:rStyle w:val="markedcontent"/>
          <w:rFonts w:ascii="Arial" w:eastAsia="Times New Roman" w:hAnsi="Arial" w:cs="Arial"/>
          <w:u w:val="single"/>
          <w:lang w:eastAsia="pl-PL"/>
        </w:rPr>
        <w:t>Rozporządzenie Ministra Finansów z dnia 15 lutego 2025 r. w sprawie szczegółowego sposobu postępowania w zakresie nabywania lub obejmowania przez Skarb Państwa akcji ze środków Funduszu Reprywatyzacji w roku 2025</w:t>
      </w:r>
    </w:p>
    <w:p w:rsidR="00033ED2" w:rsidRDefault="00033ED2" w:rsidP="00510112">
      <w:pPr>
        <w:spacing w:after="0"/>
        <w:jc w:val="both"/>
        <w:rPr>
          <w:rFonts w:ascii="Arial" w:eastAsia="Times New Roman" w:hAnsi="Arial" w:cs="Arial"/>
          <w:lang w:eastAsia="pl-PL"/>
        </w:rPr>
      </w:pPr>
    </w:p>
    <w:p w:rsidR="00510112" w:rsidRPr="00510112"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 xml:space="preserve">Powyższy akt prawny opublikowany został </w:t>
      </w:r>
      <w:r w:rsidR="009A6873">
        <w:rPr>
          <w:rFonts w:ascii="Arial" w:eastAsia="Times New Roman" w:hAnsi="Arial" w:cs="Arial"/>
          <w:lang w:eastAsia="pl-PL"/>
        </w:rPr>
        <w:t>20 lutego</w:t>
      </w:r>
      <w:r w:rsidRPr="00510112">
        <w:rPr>
          <w:rFonts w:ascii="Arial" w:eastAsia="Times New Roman" w:hAnsi="Arial" w:cs="Arial"/>
          <w:lang w:eastAsia="pl-PL"/>
        </w:rPr>
        <w:t xml:space="preserve"> 20</w:t>
      </w:r>
      <w:r w:rsidR="009A6873">
        <w:rPr>
          <w:rFonts w:ascii="Arial" w:eastAsia="Times New Roman" w:hAnsi="Arial" w:cs="Arial"/>
          <w:lang w:eastAsia="pl-PL"/>
        </w:rPr>
        <w:t>25</w:t>
      </w:r>
      <w:r w:rsidRPr="00510112">
        <w:rPr>
          <w:rFonts w:ascii="Arial" w:eastAsia="Times New Roman" w:hAnsi="Arial" w:cs="Arial"/>
          <w:lang w:eastAsia="pl-PL"/>
        </w:rPr>
        <w:t xml:space="preserve"> roku</w:t>
      </w:r>
      <w:r w:rsidR="009A6873">
        <w:rPr>
          <w:rFonts w:ascii="Arial" w:eastAsia="Times New Roman" w:hAnsi="Arial" w:cs="Arial"/>
          <w:lang w:eastAsia="pl-PL"/>
        </w:rPr>
        <w:t xml:space="preserve"> w Dzienniku Ustaw (Dz.U. z 2025, poz. 215</w:t>
      </w:r>
      <w:r w:rsidRPr="00510112">
        <w:rPr>
          <w:rFonts w:ascii="Arial" w:eastAsia="Times New Roman" w:hAnsi="Arial" w:cs="Arial"/>
          <w:lang w:eastAsia="pl-PL"/>
        </w:rPr>
        <w:t>).</w:t>
      </w:r>
    </w:p>
    <w:p w:rsidR="009A6873" w:rsidRDefault="009A6873" w:rsidP="00510112">
      <w:pPr>
        <w:spacing w:after="0"/>
        <w:jc w:val="both"/>
        <w:rPr>
          <w:rFonts w:ascii="Arial" w:eastAsia="Times New Roman" w:hAnsi="Arial" w:cs="Arial"/>
          <w:lang w:eastAsia="pl-PL"/>
        </w:rPr>
      </w:pPr>
    </w:p>
    <w:p w:rsidR="009A6873" w:rsidRPr="009A6873" w:rsidRDefault="009A6873" w:rsidP="009A6873">
      <w:pPr>
        <w:spacing w:after="0"/>
        <w:jc w:val="both"/>
        <w:rPr>
          <w:rFonts w:ascii="Arial" w:eastAsia="Times New Roman" w:hAnsi="Arial" w:cs="Arial"/>
          <w:lang w:eastAsia="pl-PL"/>
        </w:rPr>
      </w:pPr>
      <w:r w:rsidRPr="009A6873">
        <w:rPr>
          <w:rFonts w:ascii="Arial" w:eastAsia="Times New Roman" w:hAnsi="Arial" w:cs="Arial"/>
          <w:lang w:eastAsia="pl-PL"/>
        </w:rPr>
        <w:t>Rozporządzenie określa szczegółowy sposób postępowania w zakresie nabywa</w:t>
      </w:r>
      <w:r>
        <w:rPr>
          <w:rFonts w:ascii="Arial" w:eastAsia="Times New Roman" w:hAnsi="Arial" w:cs="Arial"/>
          <w:lang w:eastAsia="pl-PL"/>
        </w:rPr>
        <w:t xml:space="preserve">nia lub obejmowania przez Skarb </w:t>
      </w:r>
      <w:r w:rsidRPr="009A6873">
        <w:rPr>
          <w:rFonts w:ascii="Arial" w:eastAsia="Times New Roman" w:hAnsi="Arial" w:cs="Arial"/>
          <w:lang w:eastAsia="pl-PL"/>
        </w:rPr>
        <w:t>Państwa, reprezentowany przez ministra właściwego do spraw aktywów państwowych, akcji ze środków Funduszu Reprywatyzacji, o którym mowa w art. 56 ust. 1 ustawy z dnia 30 sierpnia 1996 r. o komercjaliz</w:t>
      </w:r>
      <w:r>
        <w:rPr>
          <w:rFonts w:ascii="Arial" w:eastAsia="Times New Roman" w:hAnsi="Arial" w:cs="Arial"/>
          <w:lang w:eastAsia="pl-PL"/>
        </w:rPr>
        <w:t xml:space="preserve">acji i niektórych uprawnieniach </w:t>
      </w:r>
      <w:r w:rsidRPr="009A6873">
        <w:rPr>
          <w:rFonts w:ascii="Arial" w:eastAsia="Times New Roman" w:hAnsi="Arial" w:cs="Arial"/>
          <w:lang w:eastAsia="pl-PL"/>
        </w:rPr>
        <w:t>pracowników, zwanego dalej „Funduszem”, w roku 2025.</w:t>
      </w:r>
    </w:p>
    <w:p w:rsidR="009A6873" w:rsidRDefault="009A6873" w:rsidP="009A6873">
      <w:pPr>
        <w:spacing w:after="0"/>
        <w:jc w:val="both"/>
        <w:rPr>
          <w:rFonts w:ascii="Arial" w:eastAsia="Times New Roman" w:hAnsi="Arial" w:cs="Arial"/>
          <w:lang w:eastAsia="pl-PL"/>
        </w:rPr>
      </w:pPr>
      <w:r w:rsidRPr="009A6873">
        <w:rPr>
          <w:rFonts w:ascii="Arial" w:eastAsia="Times New Roman" w:hAnsi="Arial" w:cs="Arial"/>
          <w:lang w:eastAsia="pl-PL"/>
        </w:rPr>
        <w:t>Nabycie lub objęcie akcji spółek publicznych w obrocie zorganizowanym w rozumi</w:t>
      </w:r>
      <w:r>
        <w:rPr>
          <w:rFonts w:ascii="Arial" w:eastAsia="Times New Roman" w:hAnsi="Arial" w:cs="Arial"/>
          <w:lang w:eastAsia="pl-PL"/>
        </w:rPr>
        <w:t xml:space="preserve">eniu art. 3 pkt 9 ustawy z dnia </w:t>
      </w:r>
      <w:r w:rsidRPr="009A6873">
        <w:rPr>
          <w:rFonts w:ascii="Arial" w:eastAsia="Times New Roman" w:hAnsi="Arial" w:cs="Arial"/>
          <w:lang w:eastAsia="pl-PL"/>
        </w:rPr>
        <w:t>29 lipca 2005 r. o obrocie instrumentami finansowymi (Dz. U. z 2024 r. poz. 722 i 1863 o</w:t>
      </w:r>
      <w:r>
        <w:rPr>
          <w:rFonts w:ascii="Arial" w:eastAsia="Times New Roman" w:hAnsi="Arial" w:cs="Arial"/>
          <w:lang w:eastAsia="pl-PL"/>
        </w:rPr>
        <w:t xml:space="preserve">raz z 2025 r. poz. 146), zwanej </w:t>
      </w:r>
      <w:r w:rsidRPr="009A6873">
        <w:rPr>
          <w:rFonts w:ascii="Arial" w:eastAsia="Times New Roman" w:hAnsi="Arial" w:cs="Arial"/>
          <w:lang w:eastAsia="pl-PL"/>
        </w:rPr>
        <w:t>dalej „ustawą o obrocie instrumentami finansowymi”, ze środków Funduszu przez Skar</w:t>
      </w:r>
      <w:r>
        <w:rPr>
          <w:rFonts w:ascii="Arial" w:eastAsia="Times New Roman" w:hAnsi="Arial" w:cs="Arial"/>
          <w:lang w:eastAsia="pl-PL"/>
        </w:rPr>
        <w:t xml:space="preserve">b Państwa, reprezentowany przez </w:t>
      </w:r>
      <w:r w:rsidRPr="009A6873">
        <w:rPr>
          <w:rFonts w:ascii="Arial" w:eastAsia="Times New Roman" w:hAnsi="Arial" w:cs="Arial"/>
          <w:lang w:eastAsia="pl-PL"/>
        </w:rPr>
        <w:t>ministra właściwego do spraw aktywów państwowych, następuje z uwzględnieniem przepisów ustawy o obrocie instrumentami finansowymi oraz ustawy z dnia 29 lipca 2005 r. o ofercie publicznej i warunkach wprowadzania instrumentów finansowych do zorganizowanego systemu obrotu oraz o spółkach publicznych (Dz. U. z 2024 r.</w:t>
      </w:r>
      <w:r>
        <w:rPr>
          <w:rFonts w:ascii="Arial" w:eastAsia="Times New Roman" w:hAnsi="Arial" w:cs="Arial"/>
          <w:lang w:eastAsia="pl-PL"/>
        </w:rPr>
        <w:t xml:space="preserve"> poz. 620 i 1863 oraz z 2025 r. </w:t>
      </w:r>
      <w:r w:rsidRPr="009A6873">
        <w:rPr>
          <w:rFonts w:ascii="Arial" w:eastAsia="Times New Roman" w:hAnsi="Arial" w:cs="Arial"/>
          <w:lang w:eastAsia="pl-PL"/>
        </w:rPr>
        <w:t>poz. 146).</w:t>
      </w:r>
      <w:r w:rsidRPr="009A6873">
        <w:rPr>
          <w:rFonts w:ascii="Arial" w:eastAsia="Times New Roman" w:hAnsi="Arial" w:cs="Arial"/>
          <w:lang w:eastAsia="pl-PL"/>
        </w:rPr>
        <w:cr/>
      </w:r>
    </w:p>
    <w:p w:rsidR="00510112" w:rsidRPr="00510112" w:rsidRDefault="00510112" w:rsidP="00510112">
      <w:pPr>
        <w:spacing w:after="0"/>
        <w:jc w:val="both"/>
        <w:rPr>
          <w:rFonts w:ascii="Arial" w:eastAsia="Times New Roman" w:hAnsi="Arial" w:cs="Arial"/>
          <w:lang w:eastAsia="pl-PL"/>
        </w:rPr>
      </w:pPr>
      <w:r w:rsidRPr="00510112">
        <w:rPr>
          <w:rFonts w:ascii="Arial" w:eastAsia="Times New Roman" w:hAnsi="Arial" w:cs="Arial"/>
          <w:lang w:eastAsia="pl-PL"/>
        </w:rPr>
        <w:t xml:space="preserve">Rozporządzenie wchodzi w życie </w:t>
      </w:r>
      <w:r w:rsidR="009A6873" w:rsidRPr="009A6873">
        <w:rPr>
          <w:rFonts w:ascii="Arial" w:eastAsia="Times New Roman" w:hAnsi="Arial" w:cs="Arial"/>
          <w:lang w:eastAsia="pl-PL"/>
        </w:rPr>
        <w:t>z dniem następującym po dniu ogłoszenia</w:t>
      </w:r>
      <w:r w:rsidR="009A6873">
        <w:rPr>
          <w:rFonts w:ascii="Arial" w:eastAsia="Times New Roman" w:hAnsi="Arial" w:cs="Arial"/>
          <w:lang w:eastAsia="pl-PL"/>
        </w:rPr>
        <w:t xml:space="preserve">, </w:t>
      </w:r>
      <w:proofErr w:type="spellStart"/>
      <w:r w:rsidR="009A6873">
        <w:rPr>
          <w:rFonts w:ascii="Arial" w:eastAsia="Times New Roman" w:hAnsi="Arial" w:cs="Arial"/>
          <w:lang w:eastAsia="pl-PL"/>
        </w:rPr>
        <w:t>tj</w:t>
      </w:r>
      <w:proofErr w:type="spellEnd"/>
      <w:r w:rsidR="009A6873">
        <w:rPr>
          <w:rFonts w:ascii="Arial" w:eastAsia="Times New Roman" w:hAnsi="Arial" w:cs="Arial"/>
          <w:lang w:eastAsia="pl-PL"/>
        </w:rPr>
        <w:t xml:space="preserve"> 21 lutego</w:t>
      </w:r>
      <w:r w:rsidRPr="00510112">
        <w:rPr>
          <w:rFonts w:ascii="Arial" w:eastAsia="Times New Roman" w:hAnsi="Arial" w:cs="Arial"/>
          <w:lang w:eastAsia="pl-PL"/>
        </w:rPr>
        <w:t xml:space="preserve"> 202</w:t>
      </w:r>
      <w:r w:rsidR="009A6873">
        <w:rPr>
          <w:rFonts w:ascii="Arial" w:eastAsia="Times New Roman" w:hAnsi="Arial" w:cs="Arial"/>
          <w:lang w:eastAsia="pl-PL"/>
        </w:rPr>
        <w:t>5</w:t>
      </w:r>
      <w:r w:rsidRPr="00510112">
        <w:rPr>
          <w:rFonts w:ascii="Arial" w:eastAsia="Times New Roman" w:hAnsi="Arial" w:cs="Arial"/>
          <w:lang w:eastAsia="pl-PL"/>
        </w:rPr>
        <w:t xml:space="preserve"> roku.</w:t>
      </w:r>
      <w:bookmarkStart w:id="0" w:name="_GoBack"/>
      <w:bookmarkEnd w:id="0"/>
    </w:p>
    <w:p w:rsidR="00033ED2" w:rsidRDefault="00033ED2" w:rsidP="00033ED2">
      <w:pPr>
        <w:spacing w:after="0"/>
        <w:jc w:val="both"/>
        <w:rPr>
          <w:rFonts w:ascii="Arial" w:hAnsi="Arial" w:cs="Arial"/>
        </w:rPr>
      </w:pPr>
    </w:p>
    <w:p w:rsidR="00C03572" w:rsidRDefault="00C03572" w:rsidP="00033ED2">
      <w:pPr>
        <w:spacing w:after="0"/>
      </w:pPr>
    </w:p>
    <w:sectPr w:rsidR="00C03572"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797EE8"/>
    <w:multiLevelType w:val="hybridMultilevel"/>
    <w:tmpl w:val="C276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0F44E6"/>
    <w:multiLevelType w:val="hybridMultilevel"/>
    <w:tmpl w:val="FDD8DD4A"/>
    <w:lvl w:ilvl="0" w:tplc="04150011">
      <w:start w:val="1"/>
      <w:numFmt w:val="decimal"/>
      <w:lvlText w:val="%1)"/>
      <w:lvlJc w:val="left"/>
      <w:pPr>
        <w:ind w:left="720" w:hanging="360"/>
      </w:pPr>
      <w:rPr>
        <w:rFonts w:hint="default"/>
      </w:rPr>
    </w:lvl>
    <w:lvl w:ilvl="1" w:tplc="24ECE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646F1A"/>
    <w:multiLevelType w:val="hybridMultilevel"/>
    <w:tmpl w:val="A95A7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276BE9"/>
    <w:multiLevelType w:val="hybridMultilevel"/>
    <w:tmpl w:val="93686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548471C"/>
    <w:multiLevelType w:val="hybridMultilevel"/>
    <w:tmpl w:val="AD88D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3F58F3"/>
    <w:multiLevelType w:val="hybridMultilevel"/>
    <w:tmpl w:val="479A3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EF5822"/>
    <w:multiLevelType w:val="hybridMultilevel"/>
    <w:tmpl w:val="BA803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20788D"/>
    <w:multiLevelType w:val="hybridMultilevel"/>
    <w:tmpl w:val="25D0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10"/>
  </w:num>
  <w:num w:numId="7">
    <w:abstractNumId w:val="5"/>
  </w:num>
  <w:num w:numId="8">
    <w:abstractNumId w:val="12"/>
  </w:num>
  <w:num w:numId="9">
    <w:abstractNumId w:val="6"/>
  </w:num>
  <w:num w:numId="10">
    <w:abstractNumId w:val="1"/>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D2"/>
    <w:rsid w:val="00033ED2"/>
    <w:rsid w:val="002343EA"/>
    <w:rsid w:val="00510112"/>
    <w:rsid w:val="009A6873"/>
    <w:rsid w:val="00C03572"/>
    <w:rsid w:val="00CE0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E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ED2"/>
    <w:pPr>
      <w:ind w:left="720"/>
      <w:contextualSpacing/>
    </w:pPr>
  </w:style>
  <w:style w:type="character" w:customStyle="1" w:styleId="markedcontent">
    <w:name w:val="markedcontent"/>
    <w:basedOn w:val="Domylnaczcionkaakapitu"/>
    <w:rsid w:val="00033ED2"/>
  </w:style>
  <w:style w:type="paragraph" w:styleId="Tekstdymka">
    <w:name w:val="Balloon Text"/>
    <w:basedOn w:val="Normalny"/>
    <w:link w:val="TekstdymkaZnak"/>
    <w:uiPriority w:val="99"/>
    <w:semiHidden/>
    <w:unhideWhenUsed/>
    <w:rsid w:val="00033E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ED2"/>
    <w:rPr>
      <w:rFonts w:ascii="Tahoma" w:hAnsi="Tahoma" w:cs="Tahoma"/>
      <w:sz w:val="16"/>
      <w:szCs w:val="16"/>
    </w:rPr>
  </w:style>
  <w:style w:type="character" w:styleId="Hipercze">
    <w:name w:val="Hyperlink"/>
    <w:basedOn w:val="Domylnaczcionkaakapitu"/>
    <w:uiPriority w:val="99"/>
    <w:unhideWhenUsed/>
    <w:rsid w:val="00033ED2"/>
    <w:rPr>
      <w:color w:val="0000FF" w:themeColor="hyperlink"/>
      <w:u w:val="single"/>
    </w:rPr>
  </w:style>
  <w:style w:type="character" w:styleId="UyteHipercze">
    <w:name w:val="FollowedHyperlink"/>
    <w:basedOn w:val="Domylnaczcionkaakapitu"/>
    <w:uiPriority w:val="99"/>
    <w:semiHidden/>
    <w:unhideWhenUsed/>
    <w:rsid w:val="00033E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E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ED2"/>
    <w:pPr>
      <w:ind w:left="720"/>
      <w:contextualSpacing/>
    </w:pPr>
  </w:style>
  <w:style w:type="character" w:customStyle="1" w:styleId="markedcontent">
    <w:name w:val="markedcontent"/>
    <w:basedOn w:val="Domylnaczcionkaakapitu"/>
    <w:rsid w:val="00033ED2"/>
  </w:style>
  <w:style w:type="paragraph" w:styleId="Tekstdymka">
    <w:name w:val="Balloon Text"/>
    <w:basedOn w:val="Normalny"/>
    <w:link w:val="TekstdymkaZnak"/>
    <w:uiPriority w:val="99"/>
    <w:semiHidden/>
    <w:unhideWhenUsed/>
    <w:rsid w:val="00033E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ED2"/>
    <w:rPr>
      <w:rFonts w:ascii="Tahoma" w:hAnsi="Tahoma" w:cs="Tahoma"/>
      <w:sz w:val="16"/>
      <w:szCs w:val="16"/>
    </w:rPr>
  </w:style>
  <w:style w:type="character" w:styleId="Hipercze">
    <w:name w:val="Hyperlink"/>
    <w:basedOn w:val="Domylnaczcionkaakapitu"/>
    <w:uiPriority w:val="99"/>
    <w:unhideWhenUsed/>
    <w:rsid w:val="00033ED2"/>
    <w:rPr>
      <w:color w:val="0000FF" w:themeColor="hyperlink"/>
      <w:u w:val="single"/>
    </w:rPr>
  </w:style>
  <w:style w:type="character" w:styleId="UyteHipercze">
    <w:name w:val="FollowedHyperlink"/>
    <w:basedOn w:val="Domylnaczcionkaakapitu"/>
    <w:uiPriority w:val="99"/>
    <w:semiHidden/>
    <w:unhideWhenUsed/>
    <w:rsid w:val="00033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cja.rcl.gov.pl/projekt/12394907/katalog/13112965#1311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2005</Words>
  <Characters>12034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2025-02-25T07:45:00Z</dcterms:created>
  <dcterms:modified xsi:type="dcterms:W3CDTF">2025-02-25T08:42:00Z</dcterms:modified>
</cp:coreProperties>
</file>