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F926" w14:textId="7898E357" w:rsidR="00C561FB" w:rsidRPr="008F5610" w:rsidRDefault="008F5610" w:rsidP="008F5610">
      <w:pPr>
        <w:jc w:val="center"/>
        <w:rPr>
          <w:b/>
          <w:bCs/>
        </w:rPr>
      </w:pPr>
      <w:r w:rsidRPr="008F5610">
        <w:rPr>
          <w:b/>
          <w:bCs/>
        </w:rPr>
        <w:t xml:space="preserve">Tabela uwag do projektu </w:t>
      </w:r>
      <w:r>
        <w:rPr>
          <w:b/>
          <w:bCs/>
        </w:rPr>
        <w:t>ustawy o zmianie</w:t>
      </w:r>
      <w:r w:rsidRPr="008F5610">
        <w:rPr>
          <w:b/>
          <w:bCs/>
        </w:rPr>
        <w:t xml:space="preserve"> </w:t>
      </w:r>
      <w:r>
        <w:rPr>
          <w:b/>
          <w:bCs/>
        </w:rPr>
        <w:t xml:space="preserve">ustawy - </w:t>
      </w:r>
      <w:r w:rsidRPr="008F5610">
        <w:rPr>
          <w:b/>
          <w:bCs/>
        </w:rPr>
        <w:t>Kodeks pracy (</w:t>
      </w:r>
      <w:r>
        <w:rPr>
          <w:b/>
          <w:bCs/>
        </w:rPr>
        <w:t xml:space="preserve">nr w wykazie </w:t>
      </w:r>
      <w:r w:rsidRPr="008F5610">
        <w:rPr>
          <w:b/>
          <w:bCs/>
        </w:rPr>
        <w:t>UD183)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5"/>
        <w:gridCol w:w="1765"/>
        <w:gridCol w:w="2411"/>
        <w:gridCol w:w="2658"/>
        <w:gridCol w:w="2917"/>
      </w:tblGrid>
      <w:tr w:rsidR="00CA3B5E" w:rsidRPr="00647135" w14:paraId="6E135901" w14:textId="77777777" w:rsidTr="00CA3B5E">
        <w:tc>
          <w:tcPr>
            <w:tcW w:w="337" w:type="pct"/>
          </w:tcPr>
          <w:p w14:paraId="49DEB771" w14:textId="4A176076" w:rsidR="00CA3B5E" w:rsidRDefault="00CA3B5E" w:rsidP="0058023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44" w:type="pct"/>
            <w:vAlign w:val="center"/>
          </w:tcPr>
          <w:p w14:paraId="2255BC20" w14:textId="7AB34158" w:rsidR="00CA3B5E" w:rsidRPr="00647135" w:rsidRDefault="00CA3B5E" w:rsidP="0058023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bookmarkStart w:id="0" w:name="_Hlk189821012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Przepis</w:t>
            </w:r>
          </w:p>
        </w:tc>
        <w:tc>
          <w:tcPr>
            <w:tcW w:w="1153" w:type="pct"/>
            <w:vAlign w:val="center"/>
          </w:tcPr>
          <w:p w14:paraId="4E1ED331" w14:textId="77777777" w:rsidR="00CA3B5E" w:rsidRPr="00647135" w:rsidRDefault="00CA3B5E" w:rsidP="00580234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647135">
              <w:rPr>
                <w:rFonts w:ascii="Open Sans" w:hAnsi="Open Sans" w:cs="Open Sans"/>
                <w:b/>
                <w:bCs/>
                <w:sz w:val="16"/>
                <w:szCs w:val="16"/>
              </w:rPr>
              <w:t>Obecne brzmienie</w:t>
            </w:r>
          </w:p>
        </w:tc>
        <w:tc>
          <w:tcPr>
            <w:tcW w:w="1271" w:type="pct"/>
            <w:vAlign w:val="center"/>
          </w:tcPr>
          <w:p w14:paraId="0F98E827" w14:textId="77777777" w:rsidR="00CA3B5E" w:rsidRPr="00647135" w:rsidRDefault="00CA3B5E" w:rsidP="0058023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</w:t>
            </w:r>
            <w:r w:rsidRPr="00647135">
              <w:rPr>
                <w:rFonts w:ascii="Open Sans" w:hAnsi="Open Sans" w:cs="Open Sans"/>
                <w:b/>
                <w:bCs/>
                <w:sz w:val="16"/>
                <w:szCs w:val="16"/>
              </w:rPr>
              <w:t>rojekt</w:t>
            </w:r>
          </w:p>
        </w:tc>
        <w:tc>
          <w:tcPr>
            <w:tcW w:w="1396" w:type="pct"/>
            <w:vAlign w:val="center"/>
          </w:tcPr>
          <w:p w14:paraId="780EE27A" w14:textId="77777777" w:rsidR="00CA3B5E" w:rsidRPr="00647135" w:rsidRDefault="00CA3B5E" w:rsidP="00580234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4713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Uwagi </w:t>
            </w:r>
          </w:p>
        </w:tc>
      </w:tr>
      <w:tr w:rsidR="00CA3B5E" w:rsidRPr="00647135" w14:paraId="5BB4CD7B" w14:textId="77777777" w:rsidTr="00CA3B5E">
        <w:tc>
          <w:tcPr>
            <w:tcW w:w="337" w:type="pct"/>
          </w:tcPr>
          <w:p w14:paraId="57500BFF" w14:textId="71CCC103" w:rsidR="00CA3B5E" w:rsidRPr="00CA3B5E" w:rsidRDefault="00CA3B5E" w:rsidP="00CA3B5E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44" w:type="pct"/>
          </w:tcPr>
          <w:p w14:paraId="12B371C3" w14:textId="0030483D" w:rsidR="00CA3B5E" w:rsidRPr="0064713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 w:rsidRPr="006F3A9A">
              <w:rPr>
                <w:rFonts w:ascii="Open Sans" w:hAnsi="Open Sans" w:cs="Open Sans"/>
                <w:sz w:val="16"/>
                <w:szCs w:val="16"/>
              </w:rPr>
              <w:t xml:space="preserve">Art. 1 pkt </w:t>
            </w:r>
            <w:r>
              <w:rPr>
                <w:rFonts w:ascii="Open Sans" w:hAnsi="Open Sans" w:cs="Open Sans"/>
                <w:sz w:val="16"/>
                <w:szCs w:val="16"/>
              </w:rPr>
              <w:t>3</w:t>
            </w:r>
            <w:r w:rsidRPr="006F3A9A">
              <w:rPr>
                <w:rFonts w:ascii="Open Sans" w:hAnsi="Open Sans" w:cs="Open Sans"/>
                <w:sz w:val="16"/>
                <w:szCs w:val="16"/>
              </w:rPr>
              <w:t xml:space="preserve"> ustawy zmieniającej w zakresie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nowych </w:t>
            </w:r>
            <w:r w:rsidRPr="006D0080">
              <w:rPr>
                <w:rFonts w:ascii="Open Sans" w:hAnsi="Open Sans" w:cs="Open Sans"/>
                <w:sz w:val="16"/>
                <w:szCs w:val="16"/>
              </w:rPr>
              <w:t>art. 18</w:t>
            </w:r>
            <w:r w:rsidRPr="006D0080">
              <w:rPr>
                <w:rFonts w:ascii="Open Sans" w:hAnsi="Open Sans" w:cs="Open Sans"/>
                <w:sz w:val="16"/>
                <w:szCs w:val="16"/>
                <w:vertAlign w:val="superscript"/>
              </w:rPr>
              <w:t>3f</w:t>
            </w:r>
            <w:r w:rsidRPr="006D0080">
              <w:rPr>
                <w:rFonts w:ascii="Open Sans" w:hAnsi="Open Sans" w:cs="Open Sans"/>
                <w:sz w:val="16"/>
                <w:szCs w:val="16"/>
              </w:rPr>
              <w:t xml:space="preserve"> i art. 18</w:t>
            </w:r>
            <w:r w:rsidRPr="006D0080">
              <w:rPr>
                <w:rFonts w:ascii="Open Sans" w:hAnsi="Open Sans" w:cs="Open Sans"/>
                <w:sz w:val="16"/>
                <w:szCs w:val="16"/>
                <w:vertAlign w:val="superscript"/>
              </w:rPr>
              <w:t>3g</w:t>
            </w:r>
            <w:r w:rsidRPr="006D008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1153" w:type="pct"/>
          </w:tcPr>
          <w:p w14:paraId="091FFF63" w14:textId="77777777" w:rsidR="00CA3B5E" w:rsidRPr="0064713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Nd.</w:t>
            </w:r>
          </w:p>
        </w:tc>
        <w:tc>
          <w:tcPr>
            <w:tcW w:w="1271" w:type="pct"/>
          </w:tcPr>
          <w:p w14:paraId="2B953FA0" w14:textId="77777777" w:rsidR="00CA3B5E" w:rsidRPr="007F3E86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7F3E86">
              <w:rPr>
                <w:rFonts w:ascii="Open Sans" w:hAnsi="Open Sans" w:cs="Open Sans"/>
                <w:i/>
                <w:iCs/>
                <w:sz w:val="16"/>
                <w:szCs w:val="16"/>
              </w:rPr>
              <w:t>„Art. 18</w:t>
            </w:r>
            <w:r w:rsidRPr="007F3E86">
              <w:rPr>
                <w:rFonts w:ascii="Open Sans" w:hAnsi="Open Sans" w:cs="Open Sans"/>
                <w:i/>
                <w:iCs/>
                <w:sz w:val="16"/>
                <w:szCs w:val="16"/>
                <w:vertAlign w:val="superscript"/>
              </w:rPr>
              <w:t>3f</w:t>
            </w:r>
            <w:r w:rsidRPr="007F3E86">
              <w:rPr>
                <w:rFonts w:ascii="Open Sans" w:hAnsi="Open Sans" w:cs="Open Sans"/>
                <w:i/>
                <w:iCs/>
                <w:sz w:val="16"/>
                <w:szCs w:val="16"/>
              </w:rPr>
              <w:t>. § 1. W postępowaniach o naruszenie zasady równego traktowania w zakresie zachowań, o których mowa w art. 18</w:t>
            </w:r>
            <w:r w:rsidRPr="007F3E86">
              <w:rPr>
                <w:rFonts w:ascii="Open Sans" w:hAnsi="Open Sans" w:cs="Open Sans"/>
                <w:i/>
                <w:iCs/>
                <w:sz w:val="16"/>
                <w:szCs w:val="16"/>
                <w:vertAlign w:val="superscript"/>
              </w:rPr>
              <w:t>3a</w:t>
            </w:r>
            <w:r w:rsidRPr="007F3E86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§ 5 i 6, toczących się w oparciu o przepisy ustawy z dnia</w:t>
            </w:r>
          </w:p>
          <w:p w14:paraId="17B69B9E" w14:textId="77777777" w:rsidR="00CA3B5E" w:rsidRPr="0069079A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7F3E86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17 listopada 1964 r. — Kodeks postępowania cywilnego (Dz. U. z 2024 r. </w:t>
            </w:r>
            <w:r w:rsidRPr="0069079A">
              <w:rPr>
                <w:rFonts w:ascii="Open Sans" w:hAnsi="Open Sans" w:cs="Open Sans"/>
                <w:i/>
                <w:iCs/>
                <w:sz w:val="16"/>
                <w:szCs w:val="16"/>
              </w:rPr>
              <w:t>poz. 1568 i 1841.)</w:t>
            </w:r>
          </w:p>
          <w:p w14:paraId="537CC29B" w14:textId="77777777" w:rsidR="00CA3B5E" w:rsidRPr="0069079A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69079A">
              <w:rPr>
                <w:rFonts w:ascii="Open Sans" w:hAnsi="Open Sans" w:cs="Open Sans"/>
                <w:i/>
                <w:iCs/>
                <w:sz w:val="16"/>
                <w:szCs w:val="16"/>
              </w:rPr>
              <w:t>lub w ramach postępowań wewnątrzzakładowych, pracownik zarzucający naruszenie zasady</w:t>
            </w:r>
          </w:p>
          <w:p w14:paraId="744295B6" w14:textId="77777777" w:rsidR="00CA3B5E" w:rsidRPr="0069079A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69079A">
              <w:rPr>
                <w:rFonts w:ascii="Open Sans" w:hAnsi="Open Sans" w:cs="Open Sans"/>
                <w:i/>
                <w:iCs/>
                <w:sz w:val="16"/>
                <w:szCs w:val="16"/>
              </w:rPr>
              <w:t>równego traktowania uprawdopodobnia fakt jej naruszenia.</w:t>
            </w:r>
          </w:p>
          <w:p w14:paraId="39766C6A" w14:textId="77777777" w:rsidR="00CA3B5E" w:rsidRPr="0069079A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69079A">
              <w:rPr>
                <w:rFonts w:ascii="Open Sans" w:hAnsi="Open Sans" w:cs="Open Sans"/>
                <w:i/>
                <w:iCs/>
                <w:sz w:val="16"/>
                <w:szCs w:val="16"/>
              </w:rPr>
              <w:t>§ 2. W przypadku uprawdopodobnienia naruszenia zasady równego traktowania</w:t>
            </w:r>
          </w:p>
          <w:p w14:paraId="0F29FDBF" w14:textId="77777777" w:rsidR="00CA3B5E" w:rsidRPr="0069079A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69079A">
              <w:rPr>
                <w:rFonts w:ascii="Open Sans" w:hAnsi="Open Sans" w:cs="Open Sans"/>
                <w:i/>
                <w:iCs/>
                <w:sz w:val="16"/>
                <w:szCs w:val="16"/>
              </w:rPr>
              <w:t>pracodawca, któremu zarzucono naruszenie tej zasady, jest obowiązany wykazać, że nie</w:t>
            </w:r>
          </w:p>
          <w:p w14:paraId="58F836B1" w14:textId="77777777" w:rsidR="00CA3B5E" w:rsidRPr="0069079A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69079A">
              <w:rPr>
                <w:rFonts w:ascii="Open Sans" w:hAnsi="Open Sans" w:cs="Open Sans"/>
                <w:i/>
                <w:iCs/>
                <w:sz w:val="16"/>
                <w:szCs w:val="16"/>
              </w:rPr>
              <w:t>dopuścił się jej naruszenia.</w:t>
            </w:r>
          </w:p>
          <w:p w14:paraId="455707E1" w14:textId="77777777" w:rsidR="00CA3B5E" w:rsidRPr="0069079A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69079A">
              <w:rPr>
                <w:rFonts w:ascii="Open Sans" w:hAnsi="Open Sans" w:cs="Open Sans"/>
                <w:i/>
                <w:iCs/>
                <w:sz w:val="16"/>
                <w:szCs w:val="16"/>
              </w:rPr>
              <w:t>Art. 18</w:t>
            </w:r>
            <w:r w:rsidRPr="0069079A">
              <w:rPr>
                <w:rFonts w:ascii="Open Sans" w:hAnsi="Open Sans" w:cs="Open Sans"/>
                <w:i/>
                <w:iCs/>
                <w:sz w:val="16"/>
                <w:szCs w:val="16"/>
                <w:vertAlign w:val="superscript"/>
              </w:rPr>
              <w:t>3g</w:t>
            </w:r>
            <w:r w:rsidRPr="0069079A">
              <w:rPr>
                <w:rFonts w:ascii="Open Sans" w:hAnsi="Open Sans" w:cs="Open Sans"/>
                <w:i/>
                <w:iCs/>
                <w:sz w:val="16"/>
                <w:szCs w:val="16"/>
              </w:rPr>
              <w:t>. Pracodawca jest obowiązany aktywnie i stale przeciwdziałać naruszaniu zasady</w:t>
            </w:r>
          </w:p>
          <w:p w14:paraId="36D62BF0" w14:textId="77777777" w:rsidR="00CA3B5E" w:rsidRPr="0069079A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69079A">
              <w:rPr>
                <w:rFonts w:ascii="Open Sans" w:hAnsi="Open Sans" w:cs="Open Sans"/>
                <w:i/>
                <w:iCs/>
                <w:sz w:val="16"/>
                <w:szCs w:val="16"/>
              </w:rPr>
              <w:t>równego traktowania przez stosowanie działań prewencyjnych, wykrywanie oraz szybkie i właściwe reagowanie, a także przez działania naprawcze i wsparcie osób dotkniętych</w:t>
            </w:r>
          </w:p>
          <w:p w14:paraId="516070ED" w14:textId="77777777" w:rsidR="00CA3B5E" w:rsidRPr="007F3E86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69079A">
              <w:rPr>
                <w:rFonts w:ascii="Open Sans" w:hAnsi="Open Sans" w:cs="Open Sans"/>
                <w:i/>
                <w:iCs/>
                <w:sz w:val="16"/>
                <w:szCs w:val="16"/>
              </w:rPr>
              <w:t>nierównym traktowaniem.”;</w:t>
            </w:r>
          </w:p>
        </w:tc>
        <w:tc>
          <w:tcPr>
            <w:tcW w:w="1396" w:type="pct"/>
          </w:tcPr>
          <w:p w14:paraId="680F287C" w14:textId="77777777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Zgodnie z proponowanym art. 18</w:t>
            </w:r>
            <w:r w:rsidRPr="003A1A63">
              <w:rPr>
                <w:rFonts w:ascii="Open Sans" w:hAnsi="Open Sans" w:cs="Open Sans"/>
                <w:sz w:val="16"/>
                <w:szCs w:val="16"/>
                <w:vertAlign w:val="superscript"/>
              </w:rPr>
              <w:t>3g</w:t>
            </w:r>
            <w:r>
              <w:rPr>
                <w:rFonts w:ascii="Open Sans" w:hAnsi="Open Sans" w:cs="Open Sans"/>
                <w:sz w:val="16"/>
                <w:szCs w:val="16"/>
              </w:rPr>
              <w:t>,</w:t>
            </w:r>
            <w:r>
              <w:rPr>
                <w:rFonts w:ascii="Open Sans" w:hAnsi="Open Sans" w:cs="Open Sans"/>
                <w:sz w:val="16"/>
                <w:szCs w:val="16"/>
                <w:vertAlign w:val="superscript"/>
              </w:rPr>
              <w:t xml:space="preserve"> </w:t>
            </w:r>
            <w:r w:rsidRPr="003C1DD8">
              <w:rPr>
                <w:rFonts w:ascii="Open Sans" w:hAnsi="Open Sans" w:cs="Open Sans"/>
                <w:sz w:val="16"/>
                <w:szCs w:val="16"/>
              </w:rPr>
              <w:t xml:space="preserve">na pracodawcy spoczywać będą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obowiązki związane z </w:t>
            </w:r>
            <w:r>
              <w:rPr>
                <w:rFonts w:ascii="Open Sans" w:hAnsi="Open Sans" w:cs="Open Sans"/>
                <w:sz w:val="16"/>
                <w:szCs w:val="16"/>
              </w:rPr>
              <w:t>„</w:t>
            </w:r>
            <w:r>
              <w:rPr>
                <w:rFonts w:ascii="Open Sans" w:hAnsi="Open Sans" w:cs="Open Sans"/>
                <w:sz w:val="16"/>
                <w:szCs w:val="16"/>
              </w:rPr>
              <w:t>działaniami naprawczymi</w:t>
            </w:r>
            <w:r>
              <w:rPr>
                <w:rFonts w:ascii="Open Sans" w:hAnsi="Open Sans" w:cs="Open Sans"/>
                <w:sz w:val="16"/>
                <w:szCs w:val="16"/>
              </w:rPr>
              <w:t>”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oraz ogólnie pojęt</w:t>
            </w:r>
            <w:r>
              <w:rPr>
                <w:rFonts w:ascii="Open Sans" w:hAnsi="Open Sans" w:cs="Open Sans"/>
                <w:sz w:val="16"/>
                <w:szCs w:val="16"/>
              </w:rPr>
              <w:t>ym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„wsparcie</w:t>
            </w:r>
            <w:r>
              <w:rPr>
                <w:rFonts w:ascii="Open Sans" w:hAnsi="Open Sans" w:cs="Open Sans"/>
                <w:sz w:val="16"/>
                <w:szCs w:val="16"/>
              </w:rPr>
              <w:t>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”. </w:t>
            </w:r>
          </w:p>
          <w:p w14:paraId="5D8726AF" w14:textId="77777777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558CEF9" w14:textId="27E52C5B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Przytoczone sformułowania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rodzą wątpliwości co do zakresu działań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rzeczywiście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wymaganych od pracodawcy. </w:t>
            </w:r>
            <w:r>
              <w:rPr>
                <w:rFonts w:ascii="Open Sans" w:hAnsi="Open Sans" w:cs="Open Sans"/>
                <w:sz w:val="16"/>
                <w:szCs w:val="16"/>
              </w:rPr>
              <w:t>Trudno wskazać na podstawie projektowanych przepisów, czy pracodawca byłby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zobowiązany np. finansować koszty terapii lub pomocy prawnej dla ofiar naruszeń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</w:p>
          <w:p w14:paraId="6E557AEB" w14:textId="77777777" w:rsidR="00CA3B5E" w:rsidRDefault="00CA3B5E" w:rsidP="003C1DD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B08CD32" w14:textId="09496611" w:rsidR="00CA3B5E" w:rsidRPr="00647135" w:rsidRDefault="00CA3B5E" w:rsidP="003C1DD8">
            <w:pPr>
              <w:rPr>
                <w:rFonts w:ascii="Open Sans" w:hAnsi="Open Sans" w:cs="Open Sans"/>
                <w:sz w:val="16"/>
                <w:szCs w:val="16"/>
              </w:rPr>
            </w:pPr>
            <w:r w:rsidRPr="003C1DD8">
              <w:rPr>
                <w:rFonts w:ascii="Open Sans" w:hAnsi="Open Sans" w:cs="Open Sans"/>
                <w:sz w:val="16"/>
                <w:szCs w:val="16"/>
              </w:rPr>
              <w:t>Co prawda, zgodnie z uzasadnieniem nowelizacji, narzędzia przeciwdziałania dyskryminacji nadal określane będą na poziomie konkretnego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C1DD8">
              <w:rPr>
                <w:rFonts w:ascii="Open Sans" w:hAnsi="Open Sans" w:cs="Open Sans"/>
                <w:sz w:val="16"/>
                <w:szCs w:val="16"/>
              </w:rPr>
              <w:t>pracodawcy, to jednak bez wskazania przez ustawodawcę katalogu przykładowych, wymaganych czynności, pracodawcy będą w tym zakresie funkcjonować w niepewności, aż do czasu ukształtowania praktyki przez orzecznictwo i doktrynę.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  <w:tr w:rsidR="00CA3B5E" w:rsidRPr="00647135" w14:paraId="5BE256BE" w14:textId="77777777" w:rsidTr="00CA3B5E">
        <w:tc>
          <w:tcPr>
            <w:tcW w:w="337" w:type="pct"/>
          </w:tcPr>
          <w:p w14:paraId="705EE933" w14:textId="262DFEA7" w:rsidR="00CA3B5E" w:rsidRPr="00CA3B5E" w:rsidRDefault="00CA3B5E" w:rsidP="00CA3B5E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44" w:type="pct"/>
          </w:tcPr>
          <w:p w14:paraId="5D7D308C" w14:textId="34E92C8D" w:rsidR="00CA3B5E" w:rsidRPr="0064713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 w:rsidRPr="006F3A9A">
              <w:rPr>
                <w:rFonts w:ascii="Open Sans" w:hAnsi="Open Sans" w:cs="Open Sans"/>
                <w:sz w:val="16"/>
                <w:szCs w:val="16"/>
              </w:rPr>
              <w:t xml:space="preserve">Art. 1 pkt 4 lit. </w:t>
            </w:r>
            <w:r>
              <w:rPr>
                <w:rFonts w:ascii="Open Sans" w:hAnsi="Open Sans" w:cs="Open Sans"/>
                <w:sz w:val="16"/>
                <w:szCs w:val="16"/>
              </w:rPr>
              <w:t>b</w:t>
            </w:r>
            <w:r w:rsidRPr="006F3A9A">
              <w:rPr>
                <w:rFonts w:ascii="Open Sans" w:hAnsi="Open Sans" w:cs="Open Sans"/>
                <w:sz w:val="16"/>
                <w:szCs w:val="16"/>
              </w:rPr>
              <w:t xml:space="preserve"> ustawy zmieniającej w zakresie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nowego </w:t>
            </w:r>
            <w:r w:rsidRPr="007F3E86">
              <w:rPr>
                <w:rFonts w:ascii="Open Sans" w:hAnsi="Open Sans" w:cs="Open Sans"/>
                <w:sz w:val="16"/>
                <w:szCs w:val="16"/>
              </w:rPr>
              <w:t xml:space="preserve">art. 94 pkt 2c </w:t>
            </w:r>
          </w:p>
        </w:tc>
        <w:tc>
          <w:tcPr>
            <w:tcW w:w="1153" w:type="pct"/>
          </w:tcPr>
          <w:p w14:paraId="26BC4AEB" w14:textId="77777777" w:rsidR="00CA3B5E" w:rsidRPr="0064713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Nd.</w:t>
            </w:r>
          </w:p>
        </w:tc>
        <w:tc>
          <w:tcPr>
            <w:tcW w:w="1271" w:type="pct"/>
          </w:tcPr>
          <w:p w14:paraId="2092EDF8" w14:textId="77777777" w:rsidR="00CA3B5E" w:rsidRPr="007F3E86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7F3E86">
              <w:rPr>
                <w:rFonts w:ascii="Open Sans" w:hAnsi="Open Sans" w:cs="Open Sans"/>
                <w:i/>
                <w:iCs/>
                <w:sz w:val="16"/>
                <w:szCs w:val="16"/>
              </w:rPr>
              <w:t>Pracodawca jest obowiązany w szczególności:</w:t>
            </w:r>
          </w:p>
          <w:p w14:paraId="3FBFF958" w14:textId="77777777" w:rsidR="00CA3B5E" w:rsidRPr="007F3E86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  <w:p w14:paraId="42CD6BED" w14:textId="77777777" w:rsidR="00CA3B5E" w:rsidRPr="007F3E86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7F3E86">
              <w:rPr>
                <w:rFonts w:ascii="Open Sans" w:hAnsi="Open Sans" w:cs="Open Sans"/>
                <w:i/>
                <w:iCs/>
                <w:sz w:val="16"/>
                <w:szCs w:val="16"/>
              </w:rPr>
              <w:t>2c) przeciwdziałać naruszaniu godności oraz innych dóbr osobistych pracownika, w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</w:t>
            </w:r>
            <w:r w:rsidRPr="007F3E86">
              <w:rPr>
                <w:rFonts w:ascii="Open Sans" w:hAnsi="Open Sans" w:cs="Open Sans"/>
                <w:i/>
                <w:iCs/>
                <w:sz w:val="16"/>
                <w:szCs w:val="16"/>
              </w:rPr>
              <w:t>szczególności w obszarze: zdrowia, sfery osobistej i reputacji, właściwej</w:t>
            </w:r>
          </w:p>
          <w:p w14:paraId="5DB23D76" w14:textId="77777777" w:rsidR="00CA3B5E" w:rsidRPr="007F3E86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7F3E86">
              <w:rPr>
                <w:rFonts w:ascii="Open Sans" w:hAnsi="Open Sans" w:cs="Open Sans"/>
                <w:i/>
                <w:iCs/>
                <w:sz w:val="16"/>
                <w:szCs w:val="16"/>
              </w:rPr>
              <w:t>komunikacji w miejscu pracy, pozycji w zespole, efektów pracy oraz jej oceny, a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</w:t>
            </w:r>
            <w:r w:rsidRPr="007F3E86">
              <w:rPr>
                <w:rFonts w:ascii="Open Sans" w:hAnsi="Open Sans" w:cs="Open Sans"/>
                <w:i/>
                <w:iCs/>
                <w:sz w:val="16"/>
                <w:szCs w:val="16"/>
              </w:rPr>
              <w:t>także statusu zawodowego pracownika i jego kwalifikacji;”;</w:t>
            </w:r>
          </w:p>
        </w:tc>
        <w:tc>
          <w:tcPr>
            <w:tcW w:w="1396" w:type="pct"/>
          </w:tcPr>
          <w:p w14:paraId="5623C4C0" w14:textId="26E0272B" w:rsidR="00CA3B5E" w:rsidRPr="0022228F" w:rsidRDefault="00CA3B5E" w:rsidP="0022228F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22228F">
              <w:rPr>
                <w:rFonts w:ascii="Open Sans" w:hAnsi="Open Sans" w:cs="Open Sans"/>
                <w:sz w:val="16"/>
                <w:szCs w:val="16"/>
              </w:rPr>
              <w:t>Proponowane zmiany będą stanowić spore utrudnienie organizacyjne dla dużych pracodawców, ze względu na potrzebę szybkiego, aktywnego i skutecznego reagowania na niemalże każdą nieprawidłowość zgłoszoną w relacji pomiędzy pracownikami. Nowe przepisy ponadto nałożą na pracodawców nowy obowiązek w postaci aktywnego wykrywania naruszeń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- z</w:t>
            </w:r>
            <w:r w:rsidRPr="0022228F">
              <w:rPr>
                <w:rFonts w:ascii="Open Sans" w:hAnsi="Open Sans" w:cs="Open Sans"/>
                <w:sz w:val="16"/>
                <w:szCs w:val="16"/>
              </w:rPr>
              <w:t xml:space="preserve"> uzasadnienia nie wynika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jednak,</w:t>
            </w:r>
            <w:r w:rsidRPr="0022228F">
              <w:rPr>
                <w:rFonts w:ascii="Open Sans" w:hAnsi="Open Sans" w:cs="Open Sans"/>
                <w:sz w:val="16"/>
                <w:szCs w:val="16"/>
              </w:rPr>
              <w:t xml:space="preserve"> jaki poziom aktywności jest od pracodawcy wymagany.</w:t>
            </w:r>
          </w:p>
          <w:p w14:paraId="353FEC51" w14:textId="77777777" w:rsidR="00CA3B5E" w:rsidRPr="0022228F" w:rsidRDefault="00CA3B5E" w:rsidP="0022228F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2399261D" w14:textId="7471D979" w:rsidR="00CA3B5E" w:rsidRDefault="00CA3B5E" w:rsidP="0022228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Może to rodzić wątpliwości interpretacyjne, biorąc pod uwagę że o</w:t>
            </w:r>
            <w:r w:rsidRPr="0022228F">
              <w:rPr>
                <w:rFonts w:ascii="Open Sans" w:hAnsi="Open Sans" w:cs="Open Sans"/>
                <w:sz w:val="16"/>
                <w:szCs w:val="16"/>
              </w:rPr>
              <w:t>bowiązki pracodawcy określone w art. 94 składają się na zasadniczą treść stosunku pracy i ich naruszenie może stanowić ciężkie naruszenie podstawowych obowiązków wobec pracownika, upoważniające go do rozwiązania umowy bez wypowiedzenia. Wówczas, zgodnie z art. 55 § 11 KP pracownikowi przysługuje odszkodowanie.</w:t>
            </w:r>
          </w:p>
          <w:p w14:paraId="4557FF1A" w14:textId="77777777" w:rsidR="00CA3B5E" w:rsidRPr="0064713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A3B5E" w:rsidRPr="00647135" w14:paraId="27EA8625" w14:textId="77777777" w:rsidTr="00CA3B5E">
        <w:tc>
          <w:tcPr>
            <w:tcW w:w="337" w:type="pct"/>
          </w:tcPr>
          <w:p w14:paraId="20D8D2BE" w14:textId="41432B66" w:rsidR="00CA3B5E" w:rsidRPr="00CA3B5E" w:rsidRDefault="00CA3B5E" w:rsidP="00CA3B5E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44" w:type="pct"/>
          </w:tcPr>
          <w:p w14:paraId="1526B01C" w14:textId="04252A6A" w:rsidR="00CA3B5E" w:rsidRPr="001128A1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 w:rsidRPr="006F3A9A">
              <w:rPr>
                <w:rFonts w:ascii="Open Sans" w:hAnsi="Open Sans" w:cs="Open Sans"/>
                <w:sz w:val="16"/>
                <w:szCs w:val="16"/>
              </w:rPr>
              <w:t xml:space="preserve">Art. 1 pkt </w:t>
            </w:r>
            <w:r>
              <w:rPr>
                <w:rFonts w:ascii="Open Sans" w:hAnsi="Open Sans" w:cs="Open Sans"/>
                <w:sz w:val="16"/>
                <w:szCs w:val="16"/>
              </w:rPr>
              <w:t>5</w:t>
            </w:r>
            <w:r w:rsidRPr="006F3A9A">
              <w:rPr>
                <w:rFonts w:ascii="Open Sans" w:hAnsi="Open Sans" w:cs="Open Sans"/>
                <w:sz w:val="16"/>
                <w:szCs w:val="16"/>
              </w:rPr>
              <w:t xml:space="preserve"> ustawy zmieniającej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w zakresie </w:t>
            </w:r>
            <w:r w:rsidRPr="00BF5CB8">
              <w:rPr>
                <w:rFonts w:ascii="Open Sans" w:hAnsi="Open Sans" w:cs="Open Sans"/>
                <w:sz w:val="16"/>
                <w:szCs w:val="16"/>
              </w:rPr>
              <w:t>art. 94</w:t>
            </w:r>
            <w:r w:rsidRPr="00BF5CB8">
              <w:rPr>
                <w:rFonts w:ascii="Open Sans" w:hAnsi="Open Sans" w:cs="Open Sans"/>
                <w:sz w:val="16"/>
                <w:szCs w:val="16"/>
                <w:vertAlign w:val="superscript"/>
              </w:rPr>
              <w:t>3</w:t>
            </w:r>
            <w:r>
              <w:rPr>
                <w:rFonts w:ascii="Open Sans" w:hAnsi="Open Sans" w:cs="Open Sans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53" w:type="pct"/>
          </w:tcPr>
          <w:p w14:paraId="083EEA08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1. Pracodawca jest obowiązany przeciwdziałać </w:t>
            </w:r>
            <w:proofErr w:type="spellStart"/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>mobbingowi</w:t>
            </w:r>
            <w:proofErr w:type="spellEnd"/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>.</w:t>
            </w:r>
          </w:p>
          <w:p w14:paraId="70A4EFCC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2. </w:t>
            </w:r>
            <w:proofErr w:type="spellStart"/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>Mobbing</w:t>
            </w:r>
            <w:proofErr w:type="spellEnd"/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oznacza działania lub zachowania </w:t>
            </w: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lastRenderedPageBreak/>
              <w:t xml:space="preserve">dotyczące pracownika lub skierowane przeciwko pracownikowi, polegające na uporczywym i długotrwałym </w:t>
            </w:r>
          </w:p>
          <w:p w14:paraId="02905C79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nękaniu lub zastraszaniu pracownika, wywołujące u niego zaniżoną ocenę </w:t>
            </w:r>
          </w:p>
          <w:p w14:paraId="77384F11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przydatności zawodowej, powodujące lub mające na celu poniżenie lub ośmieszenie </w:t>
            </w:r>
          </w:p>
          <w:p w14:paraId="463E3976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>pracownika, izolowanie go lub wyeliminowanie z zespołu współpracowników.</w:t>
            </w:r>
          </w:p>
          <w:p w14:paraId="5C2F3F34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3. Pracownik, u którego </w:t>
            </w:r>
            <w:proofErr w:type="spellStart"/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>mobbing</w:t>
            </w:r>
            <w:proofErr w:type="spellEnd"/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wywołał rozstrój zdrowia, może dochodzić od pracodawcy odpowiedniej sumy tytułem zadośćuczynienia pieniężnego za doznaną </w:t>
            </w:r>
          </w:p>
          <w:p w14:paraId="1B9897D7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>krzywdę.</w:t>
            </w:r>
          </w:p>
          <w:p w14:paraId="4805E6CD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4. Pracownik, który doznał </w:t>
            </w:r>
            <w:proofErr w:type="spellStart"/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>mobbingu</w:t>
            </w:r>
            <w:proofErr w:type="spellEnd"/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lub wskutek </w:t>
            </w:r>
            <w:proofErr w:type="spellStart"/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>mobbingu</w:t>
            </w:r>
            <w:proofErr w:type="spellEnd"/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rozwiązał umowę </w:t>
            </w:r>
          </w:p>
          <w:p w14:paraId="25741C31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o pracę, ma prawo dochodzić od pracodawcy odszkodowania w wysokości nie niższej </w:t>
            </w:r>
          </w:p>
          <w:p w14:paraId="726A55D8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>niż minimalne wynagrodzenie za pracę, ustalane na podstawie odrębnych przepisów.</w:t>
            </w:r>
          </w:p>
          <w:p w14:paraId="746C3BB2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5. Oświadczenie pracownika o rozwiązaniu umowy o pracę powinno nastąpić </w:t>
            </w:r>
          </w:p>
          <w:p w14:paraId="773B2228" w14:textId="77777777" w:rsidR="00CA3B5E" w:rsidRPr="00BF5CB8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BF5CB8">
              <w:rPr>
                <w:rFonts w:ascii="Open Sans" w:hAnsi="Open Sans" w:cs="Open Sans"/>
                <w:i/>
                <w:iCs/>
                <w:sz w:val="16"/>
                <w:szCs w:val="16"/>
              </w:rPr>
              <w:t>na piśmie z podaniem przyczyny, o której mowa w § 2, uzasadniającej rozwiązanie umowy.</w:t>
            </w:r>
          </w:p>
        </w:tc>
        <w:tc>
          <w:tcPr>
            <w:tcW w:w="1271" w:type="pct"/>
          </w:tcPr>
          <w:p w14:paraId="329A5A88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lastRenderedPageBreak/>
              <w:t>„Art. 94</w:t>
            </w: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  <w:vertAlign w:val="superscript"/>
              </w:rPr>
              <w:t>3</w:t>
            </w: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§ 1. Pracodawca jest </w:t>
            </w:r>
            <w:r w:rsidRPr="00C04A1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obowiązany aktywnie i stale przeciwdziałać </w:t>
            </w:r>
            <w:proofErr w:type="spellStart"/>
            <w:r w:rsidRPr="00C04A14">
              <w:rPr>
                <w:rFonts w:ascii="Open Sans" w:hAnsi="Open Sans" w:cs="Open Sans"/>
                <w:i/>
                <w:iCs/>
                <w:sz w:val="16"/>
                <w:szCs w:val="16"/>
              </w:rPr>
              <w:t>mobbingowi</w:t>
            </w:r>
            <w:proofErr w:type="spellEnd"/>
            <w:r w:rsidRPr="00C04A1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przez stosowanie działań prewencyjnych, wykrywanie oraz </w:t>
            </w:r>
            <w:r w:rsidRPr="00C04A14">
              <w:rPr>
                <w:rFonts w:ascii="Open Sans" w:hAnsi="Open Sans" w:cs="Open Sans"/>
                <w:i/>
                <w:iCs/>
                <w:sz w:val="16"/>
                <w:szCs w:val="16"/>
              </w:rPr>
              <w:lastRenderedPageBreak/>
              <w:t xml:space="preserve">właściwe reagowanie, a także przez działania naprawcze i wsparcie osób dotkniętych </w:t>
            </w:r>
            <w:proofErr w:type="spellStart"/>
            <w:r w:rsidRPr="00C04A14">
              <w:rPr>
                <w:rFonts w:ascii="Open Sans" w:hAnsi="Open Sans" w:cs="Open Sans"/>
                <w:i/>
                <w:iCs/>
                <w:sz w:val="16"/>
                <w:szCs w:val="16"/>
              </w:rPr>
              <w:t>mobbingiem</w:t>
            </w:r>
            <w:proofErr w:type="spellEnd"/>
            <w:r w:rsidRPr="00C04A14">
              <w:rPr>
                <w:rFonts w:ascii="Open Sans" w:hAnsi="Open Sans" w:cs="Open Sans"/>
                <w:i/>
                <w:iCs/>
                <w:sz w:val="16"/>
                <w:szCs w:val="16"/>
              </w:rPr>
              <w:t>.</w:t>
            </w:r>
          </w:p>
          <w:p w14:paraId="668FF2F0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2. </w:t>
            </w:r>
            <w:proofErr w:type="spellStart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Mobbing</w:t>
            </w:r>
            <w:proofErr w:type="spellEnd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oznacza zachowania polegające na uporczywym nękaniu pracownika.</w:t>
            </w:r>
          </w:p>
          <w:p w14:paraId="3B67D1BB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§ 3. Uporczywość nękania polega na tym, że jest ono powtarzalne, nawracające lub stałe.</w:t>
            </w:r>
          </w:p>
          <w:p w14:paraId="18E5C608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4. Przejawem </w:t>
            </w:r>
            <w:proofErr w:type="spellStart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mobbingu</w:t>
            </w:r>
            <w:proofErr w:type="spellEnd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jest w szczególności:</w:t>
            </w:r>
          </w:p>
          <w:p w14:paraId="41EAE53E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1) upokarzanie lub uwłaczanie;</w:t>
            </w:r>
          </w:p>
          <w:p w14:paraId="6B69482C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2) zastraszanie;</w:t>
            </w:r>
          </w:p>
          <w:p w14:paraId="4102B938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3) zaniżanie oceny przydatności zawodowej pracownika;</w:t>
            </w:r>
          </w:p>
          <w:p w14:paraId="20886F4A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4) nieuzasadniona krytyka, poniżanie lub ośmieszanie pracownika,</w:t>
            </w:r>
          </w:p>
          <w:p w14:paraId="2D222A79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5) utrudnianie funkcjonowania w środowisku pracy w zakresie możliwości osiągania</w:t>
            </w:r>
          </w:p>
          <w:p w14:paraId="12C42D77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efektów pracy, wykonywania zadań służbowych, wykorzystania posiadanych</w:t>
            </w:r>
          </w:p>
          <w:p w14:paraId="0B10E8FA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kompetencji, komunikacji ze współpracownikami, dostępu do koniecznych informacji;</w:t>
            </w:r>
          </w:p>
          <w:p w14:paraId="22C681E2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6) izolowanie pracownika lub wyeliminowanie z zespołu.</w:t>
            </w:r>
          </w:p>
          <w:p w14:paraId="34718462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§ 5. Na zachowania, o których mowa w § 2 i § 4 mogą się składać fizyczne, werbalne lub</w:t>
            </w:r>
          </w:p>
          <w:p w14:paraId="01F06FCF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pozawerbalne elementy.</w:t>
            </w:r>
          </w:p>
          <w:p w14:paraId="7FFE0142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6. Za </w:t>
            </w:r>
            <w:proofErr w:type="spellStart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mobbing</w:t>
            </w:r>
            <w:proofErr w:type="spellEnd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uważa się także nakazanie innej osobie podejmowania zachowań, o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</w:t>
            </w: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których mowa w § 2 i § 4 wobec pracownika lub zachęcanie do nich innej osoby.</w:t>
            </w:r>
          </w:p>
          <w:p w14:paraId="4E832F7F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7. Za </w:t>
            </w:r>
            <w:proofErr w:type="spellStart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mobbing</w:t>
            </w:r>
            <w:proofErr w:type="spellEnd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mogą być także uznane nieumyślne zachowania wobec pracownika,</w:t>
            </w:r>
          </w:p>
          <w:p w14:paraId="19C208E9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które mogłyby wywołać konkretny skutek, niezależnie od faktycznego wystąpienia tego skutku.</w:t>
            </w:r>
          </w:p>
          <w:p w14:paraId="43DC8A17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§ 8. Zachowania, o których mowa w § 2, § 4, § 6 i § 7 mogą pochodzić, w szczególności</w:t>
            </w:r>
          </w:p>
          <w:p w14:paraId="7EAA7E13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od pracodawcy, przełożonego, osoby zajmującej równorzędne stanowisko, podwładnego,</w:t>
            </w:r>
          </w:p>
          <w:p w14:paraId="6DB3AA6B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innego pracownika oraz osób zatrudnionych u pracodawcy poza stosunkiem pracy, zarówno od</w:t>
            </w:r>
          </w:p>
          <w:p w14:paraId="209DAD1B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pojedynczej osoby, jak i od grupy osób.</w:t>
            </w:r>
          </w:p>
          <w:p w14:paraId="5C069D61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9. Przy ocenie, czy zachowania, których doświadczył pracownik stanowiły </w:t>
            </w:r>
            <w:proofErr w:type="spellStart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mobbing</w:t>
            </w:r>
            <w:proofErr w:type="spellEnd"/>
          </w:p>
          <w:p w14:paraId="04D07167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bierze się pod uwagę zarówno rodzaj obiektywnego oddziaływania na pracownika, jak i</w:t>
            </w:r>
          </w:p>
          <w:p w14:paraId="4B9B23C1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subiektywne odczucia lub reakcje pracownika, gdy są one racjonalne.</w:t>
            </w:r>
          </w:p>
          <w:p w14:paraId="19B78AD1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10. Pracownik, który doznał </w:t>
            </w:r>
            <w:proofErr w:type="spellStart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mobbingu</w:t>
            </w:r>
            <w:proofErr w:type="spellEnd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ma prawo dochodzić od pracodawcy</w:t>
            </w:r>
          </w:p>
          <w:p w14:paraId="31553663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lastRenderedPageBreak/>
              <w:t>zadośćuczynienia w wysokości nie niższej niż wysokość wynagrodzenia za okres 6 miesięcy</w:t>
            </w:r>
          </w:p>
          <w:p w14:paraId="2D14523A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lub odszkodowania.</w:t>
            </w:r>
          </w:p>
          <w:p w14:paraId="7FA341E0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11. Pracodawca nie ponosi odpowiedzialności za </w:t>
            </w:r>
            <w:proofErr w:type="spellStart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mobbing</w:t>
            </w:r>
            <w:proofErr w:type="spellEnd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, gdy wykaże, że należycie</w:t>
            </w:r>
          </w:p>
          <w:p w14:paraId="3523212B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wykonywał obowiązek, o którym mowa w § 1, a zachowania, o których mowa w § 2, § 4, § 6</w:t>
            </w:r>
          </w:p>
          <w:p w14:paraId="1FBC2C97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i § 7 pochodziły od osoby, która nie zarządzała pracownikiem lub nie znajdowała się wobec</w:t>
            </w:r>
          </w:p>
          <w:p w14:paraId="110758A7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niego w nadrzędnej pozycji służbowej w zakładzie pracy.</w:t>
            </w:r>
          </w:p>
          <w:p w14:paraId="61E0B032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§ 12. W postępowaniu mającym za przedmiot roszczenia z tytułu </w:t>
            </w:r>
            <w:proofErr w:type="spellStart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mobbingu</w:t>
            </w:r>
            <w:proofErr w:type="spellEnd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, uznając, że</w:t>
            </w:r>
          </w:p>
          <w:p w14:paraId="03D44A7B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określone zachowanie nie stanowiło </w:t>
            </w:r>
            <w:proofErr w:type="spellStart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mobbingu</w:t>
            </w:r>
            <w:proofErr w:type="spellEnd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, sąd dokonuje każdorazowo oceny, czy doszło</w:t>
            </w:r>
          </w:p>
          <w:p w14:paraId="0239FBC5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do naruszenia godności lub innych dóbr osobistych pracownika.”;</w:t>
            </w:r>
          </w:p>
          <w:p w14:paraId="057C790E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  <w:tc>
          <w:tcPr>
            <w:tcW w:w="1396" w:type="pct"/>
          </w:tcPr>
          <w:p w14:paraId="10F6022F" w14:textId="4FC856D0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 w:rsidRPr="00FC3D87">
              <w:rPr>
                <w:rFonts w:ascii="Open Sans" w:hAnsi="Open Sans" w:cs="Open Sans"/>
                <w:b/>
                <w:bCs/>
                <w:sz w:val="16"/>
                <w:szCs w:val="16"/>
              </w:rPr>
              <w:lastRenderedPageBreak/>
              <w:t>§ 1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– U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waga </w:t>
            </w:r>
            <w:r>
              <w:rPr>
                <w:rFonts w:ascii="Open Sans" w:hAnsi="Open Sans" w:cs="Open Sans"/>
                <w:sz w:val="16"/>
                <w:szCs w:val="16"/>
              </w:rPr>
              <w:t>analogiczna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jak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wcześniej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w przypadku art. 18</w:t>
            </w:r>
            <w:r w:rsidRPr="00895ADC">
              <w:rPr>
                <w:rFonts w:ascii="Open Sans" w:hAnsi="Open Sans" w:cs="Open Sans"/>
                <w:sz w:val="16"/>
                <w:szCs w:val="16"/>
                <w:vertAlign w:val="superscript"/>
              </w:rPr>
              <w:t>3g</w:t>
            </w:r>
            <w:r>
              <w:rPr>
                <w:rFonts w:ascii="Open Sans" w:hAnsi="Open Sans" w:cs="Open Sans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–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problem </w:t>
            </w:r>
            <w:r>
              <w:rPr>
                <w:rFonts w:ascii="Open Sans" w:hAnsi="Open Sans" w:cs="Open Sans"/>
                <w:sz w:val="16"/>
                <w:szCs w:val="16"/>
              </w:rPr>
              <w:t>niejasne</w:t>
            </w:r>
            <w:r>
              <w:rPr>
                <w:rFonts w:ascii="Open Sans" w:hAnsi="Open Sans" w:cs="Open Sans"/>
                <w:sz w:val="16"/>
                <w:szCs w:val="16"/>
              </w:rPr>
              <w:t>go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sformułowani</w:t>
            </w:r>
            <w:r>
              <w:rPr>
                <w:rFonts w:ascii="Open Sans" w:hAnsi="Open Sans" w:cs="Open Sans"/>
                <w:sz w:val="16"/>
                <w:szCs w:val="16"/>
              </w:rPr>
              <w:t>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„wsparcie”, brak przykładowego katalogu działań naprawczych.</w:t>
            </w:r>
          </w:p>
          <w:p w14:paraId="25A28F26" w14:textId="6D1FF2D8" w:rsidR="00CA3B5E" w:rsidRDefault="00CA3B5E" w:rsidP="0022228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lastRenderedPageBreak/>
              <w:t>Z</w:t>
            </w:r>
            <w:r w:rsidRPr="0022228F">
              <w:rPr>
                <w:rFonts w:ascii="Open Sans" w:hAnsi="Open Sans" w:cs="Open Sans"/>
                <w:sz w:val="16"/>
                <w:szCs w:val="16"/>
              </w:rPr>
              <w:t>godnie z uzasadnieniem do projektu nowelizacji</w:t>
            </w:r>
            <w:r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22228F">
              <w:rPr>
                <w:rFonts w:ascii="Open Sans" w:hAnsi="Open Sans" w:cs="Open Sans"/>
                <w:sz w:val="16"/>
                <w:szCs w:val="16"/>
              </w:rPr>
              <w:t xml:space="preserve"> narzędzia przeciwdziałania dyskryminacji nadal określane będą na poziomie konkretnego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p</w:t>
            </w:r>
            <w:r w:rsidRPr="0022228F">
              <w:rPr>
                <w:rFonts w:ascii="Open Sans" w:hAnsi="Open Sans" w:cs="Open Sans"/>
                <w:sz w:val="16"/>
                <w:szCs w:val="16"/>
              </w:rPr>
              <w:t>racodawcy. Do czasu ukształtowania praktyki przez orzecznictwo i doktrynę, pracodawcy pozostaną jednak w niepewności co do prawidłowości podejmowanych przez siebie działań. Szczególne wątpliwości może budzić obowiązek „aktywnego” działania pracodawcy. Z uzasadnienia nie wynika</w:t>
            </w:r>
            <w:r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22228F">
              <w:rPr>
                <w:rFonts w:ascii="Open Sans" w:hAnsi="Open Sans" w:cs="Open Sans"/>
                <w:sz w:val="16"/>
                <w:szCs w:val="16"/>
              </w:rPr>
              <w:t xml:space="preserve"> jaki poziom aktywności jest od pracodawcy wymagany.</w:t>
            </w:r>
          </w:p>
          <w:p w14:paraId="0B59BAC8" w14:textId="77777777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9CDE146" w14:textId="3BC0B423" w:rsidR="00CA3B5E" w:rsidRPr="009F03EB" w:rsidRDefault="00CA3B5E" w:rsidP="009F03EB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FC3D87">
              <w:rPr>
                <w:rFonts w:ascii="Open Sans" w:hAnsi="Open Sans" w:cs="Open Sans"/>
                <w:b/>
                <w:bCs/>
                <w:sz w:val="16"/>
                <w:szCs w:val="16"/>
              </w:rPr>
              <w:t>§ 7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–</w:t>
            </w:r>
            <w:r w:rsidRPr="009F03E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B</w:t>
            </w:r>
            <w:r w:rsidRPr="009F03EB">
              <w:rPr>
                <w:rFonts w:ascii="Open Sans" w:hAnsi="Open Sans" w:cs="Open Sans"/>
                <w:sz w:val="16"/>
                <w:szCs w:val="16"/>
              </w:rPr>
              <w:t>rak w uzasadnieniu do projektu nowelizacji argumentów do proponowanej zmiany. Trudno bez stosownego wyjaśnienia pomysłodawcy uchwycić sens takiego rozwiązania, ponieważ literalnie czytając przepis, możemy mieć do czynienia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9F03EB">
              <w:rPr>
                <w:rFonts w:ascii="Open Sans" w:hAnsi="Open Sans" w:cs="Open Sans"/>
                <w:sz w:val="16"/>
                <w:szCs w:val="16"/>
              </w:rPr>
              <w:t xml:space="preserve">z hipotetyczną sytuacją, w której zarówno sprawca jak i ofiara nie są świadome działań </w:t>
            </w:r>
            <w:proofErr w:type="spellStart"/>
            <w:r w:rsidRPr="009F03EB">
              <w:rPr>
                <w:rFonts w:ascii="Open Sans" w:hAnsi="Open Sans" w:cs="Open Sans"/>
                <w:sz w:val="16"/>
                <w:szCs w:val="16"/>
              </w:rPr>
              <w:t>mobbingowych</w:t>
            </w:r>
            <w:proofErr w:type="spellEnd"/>
            <w:r w:rsidRPr="009F03EB">
              <w:rPr>
                <w:rFonts w:ascii="Open Sans" w:hAnsi="Open Sans" w:cs="Open Sans"/>
                <w:sz w:val="16"/>
                <w:szCs w:val="16"/>
              </w:rPr>
              <w:t xml:space="preserve"> (brak winy w działaniu oraz brak skutków tych działań). Otwarte pozostaje zatem pytanie, jaki jest cel tej regulacji – w sytuacji, w której potencjalnie pokrzywdzony pracownik nie doświadcza cierpień (skutków) potencjalnie bezprawnych działań, nie możemy mówić o szkodzie. Przez szkodę niematerialną (krzywdę), rozumie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się</w:t>
            </w:r>
            <w:r w:rsidRPr="009F03EB">
              <w:rPr>
                <w:rFonts w:ascii="Open Sans" w:hAnsi="Open Sans" w:cs="Open Sans"/>
                <w:sz w:val="16"/>
                <w:szCs w:val="16"/>
              </w:rPr>
              <w:t xml:space="preserve"> bowiem cierpienia fizyczne, psychiczne / moralne. Przepis natomiast dotyczy m.in. sytuacji, w których pokrzywdzony nie doświadcza negatywnych skutków działań sprawcy.</w:t>
            </w:r>
          </w:p>
          <w:p w14:paraId="4A48279A" w14:textId="77777777" w:rsidR="00CA3B5E" w:rsidRPr="009F03EB" w:rsidRDefault="00CA3B5E" w:rsidP="009F03EB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1E3E5CFD" w14:textId="5D335D43" w:rsidR="00CA3B5E" w:rsidRDefault="00CA3B5E" w:rsidP="009F03EB">
            <w:pPr>
              <w:rPr>
                <w:rFonts w:ascii="Open Sans" w:hAnsi="Open Sans" w:cs="Open Sans"/>
                <w:sz w:val="16"/>
                <w:szCs w:val="16"/>
              </w:rPr>
            </w:pPr>
            <w:r w:rsidRPr="009F03EB">
              <w:rPr>
                <w:rFonts w:ascii="Open Sans" w:hAnsi="Open Sans" w:cs="Open Sans"/>
                <w:sz w:val="16"/>
                <w:szCs w:val="16"/>
              </w:rPr>
              <w:t>W obecnym brzmieniu, ze względu na niejasną redakcję i intencje pomysłodawcy, przepis może stanowić pole do nadużyć, przed którymi pracodawcy trudno będzie się bronić.</w:t>
            </w:r>
          </w:p>
          <w:p w14:paraId="6C732E7B" w14:textId="77777777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6C1AFAB" w14:textId="1C2E1CFC" w:rsidR="00CA3B5E" w:rsidRPr="009F03EB" w:rsidRDefault="00CA3B5E" w:rsidP="009F03EB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FC3D87">
              <w:rPr>
                <w:rFonts w:ascii="Open Sans" w:hAnsi="Open Sans" w:cs="Open Sans"/>
                <w:b/>
                <w:bCs/>
                <w:sz w:val="16"/>
                <w:szCs w:val="16"/>
              </w:rPr>
              <w:t>§11</w:t>
            </w:r>
            <w:r w:rsidRPr="009F03EB">
              <w:rPr>
                <w:rFonts w:ascii="Open Sans" w:hAnsi="Open Sans" w:cs="Open Sans"/>
                <w:sz w:val="16"/>
                <w:szCs w:val="16"/>
              </w:rPr>
              <w:t xml:space="preserve"> – </w:t>
            </w:r>
            <w:r>
              <w:rPr>
                <w:rFonts w:ascii="Open Sans" w:hAnsi="Open Sans" w:cs="Open Sans"/>
                <w:sz w:val="16"/>
                <w:szCs w:val="16"/>
              </w:rPr>
              <w:t>R</w:t>
            </w:r>
            <w:r w:rsidRPr="009F03EB">
              <w:rPr>
                <w:rFonts w:ascii="Open Sans" w:hAnsi="Open Sans" w:cs="Open Sans"/>
                <w:sz w:val="16"/>
                <w:szCs w:val="16"/>
              </w:rPr>
              <w:t>ozwiązanie, w którym pracodawca jest zwolniony z odpowiedzialności cywilnoprawnej względem pracownika za</w:t>
            </w:r>
          </w:p>
          <w:p w14:paraId="7F7D248F" w14:textId="77777777" w:rsidR="00CA3B5E" w:rsidRPr="009F03EB" w:rsidRDefault="00CA3B5E" w:rsidP="009F03EB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9F03EB">
              <w:rPr>
                <w:rFonts w:ascii="Open Sans" w:hAnsi="Open Sans" w:cs="Open Sans"/>
                <w:sz w:val="16"/>
                <w:szCs w:val="16"/>
              </w:rPr>
              <w:t xml:space="preserve">wystąpienie </w:t>
            </w:r>
            <w:proofErr w:type="spellStart"/>
            <w:r w:rsidRPr="009F03EB">
              <w:rPr>
                <w:rFonts w:ascii="Open Sans" w:hAnsi="Open Sans" w:cs="Open Sans"/>
                <w:sz w:val="16"/>
                <w:szCs w:val="16"/>
              </w:rPr>
              <w:t>mobbingu</w:t>
            </w:r>
            <w:proofErr w:type="spellEnd"/>
            <w:r w:rsidRPr="009F03EB">
              <w:rPr>
                <w:rFonts w:ascii="Open Sans" w:hAnsi="Open Sans" w:cs="Open Sans"/>
                <w:sz w:val="16"/>
                <w:szCs w:val="16"/>
              </w:rPr>
              <w:t xml:space="preserve">, jedynie w przypadku, w którym wdrożył skuteczne działania w obszarze prewencji </w:t>
            </w:r>
            <w:proofErr w:type="spellStart"/>
            <w:r w:rsidRPr="009F03EB">
              <w:rPr>
                <w:rFonts w:ascii="Open Sans" w:hAnsi="Open Sans" w:cs="Open Sans"/>
                <w:sz w:val="16"/>
                <w:szCs w:val="16"/>
              </w:rPr>
              <w:t>antymobbingowej</w:t>
            </w:r>
            <w:proofErr w:type="spellEnd"/>
            <w:r w:rsidRPr="009F03EB">
              <w:rPr>
                <w:rFonts w:ascii="Open Sans" w:hAnsi="Open Sans" w:cs="Open Sans"/>
                <w:sz w:val="16"/>
                <w:szCs w:val="16"/>
              </w:rPr>
              <w:t xml:space="preserve">, a </w:t>
            </w:r>
            <w:proofErr w:type="spellStart"/>
            <w:r w:rsidRPr="009F03EB">
              <w:rPr>
                <w:rFonts w:ascii="Open Sans" w:hAnsi="Open Sans" w:cs="Open Sans"/>
                <w:sz w:val="16"/>
                <w:szCs w:val="16"/>
              </w:rPr>
              <w:t>mobbing</w:t>
            </w:r>
            <w:proofErr w:type="spellEnd"/>
            <w:r w:rsidRPr="009F03EB">
              <w:rPr>
                <w:rFonts w:ascii="Open Sans" w:hAnsi="Open Sans" w:cs="Open Sans"/>
                <w:sz w:val="16"/>
                <w:szCs w:val="16"/>
              </w:rPr>
              <w:t xml:space="preserve"> nie pochodził od przełożonego</w:t>
            </w:r>
          </w:p>
          <w:p w14:paraId="1EAC88BC" w14:textId="7EF08273" w:rsidR="00CA3B5E" w:rsidRDefault="00CA3B5E" w:rsidP="009F03EB">
            <w:pPr>
              <w:rPr>
                <w:rFonts w:ascii="Open Sans" w:hAnsi="Open Sans" w:cs="Open Sans"/>
                <w:sz w:val="16"/>
                <w:szCs w:val="16"/>
              </w:rPr>
            </w:pPr>
            <w:r w:rsidRPr="009F03EB">
              <w:rPr>
                <w:rFonts w:ascii="Open Sans" w:hAnsi="Open Sans" w:cs="Open Sans"/>
                <w:sz w:val="16"/>
                <w:szCs w:val="16"/>
              </w:rPr>
              <w:t xml:space="preserve">pracownika, jest rozwiązaniem rażąco niesprawiedliwym dla pracodawców. </w:t>
            </w:r>
          </w:p>
          <w:p w14:paraId="0CBCB0CF" w14:textId="77777777" w:rsidR="00CA3B5E" w:rsidRPr="00D12F78" w:rsidRDefault="00CA3B5E" w:rsidP="00D12F78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D12F78">
              <w:rPr>
                <w:rFonts w:ascii="Open Sans" w:hAnsi="Open Sans" w:cs="Open Sans"/>
                <w:sz w:val="16"/>
                <w:szCs w:val="16"/>
              </w:rPr>
              <w:t xml:space="preserve">W przypadku osób przełożonych, pracodawca odpowiada bowiem za ich działania na zasadzie ryzyka. Nawet prawidłowe wdrożenie procedur, stałe, aktywne i </w:t>
            </w:r>
            <w:r w:rsidRPr="00D12F78">
              <w:rPr>
                <w:rFonts w:ascii="Open Sans" w:hAnsi="Open Sans" w:cs="Open Sans"/>
                <w:sz w:val="16"/>
                <w:szCs w:val="16"/>
              </w:rPr>
              <w:lastRenderedPageBreak/>
              <w:t xml:space="preserve">adekwatne działania prewencyjne pracodawcy nie uchronią go przed odpowiedzialnością, jeśli działań </w:t>
            </w:r>
            <w:proofErr w:type="spellStart"/>
            <w:r w:rsidRPr="00D12F78">
              <w:rPr>
                <w:rFonts w:ascii="Open Sans" w:hAnsi="Open Sans" w:cs="Open Sans"/>
                <w:sz w:val="16"/>
                <w:szCs w:val="16"/>
              </w:rPr>
              <w:t>mobbingowych</w:t>
            </w:r>
            <w:proofErr w:type="spellEnd"/>
            <w:r w:rsidRPr="00D12F78">
              <w:rPr>
                <w:rFonts w:ascii="Open Sans" w:hAnsi="Open Sans" w:cs="Open Sans"/>
                <w:sz w:val="16"/>
                <w:szCs w:val="16"/>
              </w:rPr>
              <w:t xml:space="preserve"> dopuści się przełożony. </w:t>
            </w:r>
          </w:p>
          <w:p w14:paraId="3DD7A4B4" w14:textId="77777777" w:rsidR="00CA3B5E" w:rsidRPr="00D12F78" w:rsidRDefault="00CA3B5E" w:rsidP="00D12F78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7AFBC611" w14:textId="169359D4" w:rsidR="00CA3B5E" w:rsidRPr="00F95CA5" w:rsidRDefault="00CA3B5E" w:rsidP="00B96612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12F78">
              <w:rPr>
                <w:rFonts w:ascii="Open Sans" w:hAnsi="Open Sans" w:cs="Open Sans"/>
                <w:sz w:val="16"/>
                <w:szCs w:val="16"/>
              </w:rPr>
              <w:t>Biorąc pod uwagę zakres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D12F78">
              <w:rPr>
                <w:rFonts w:ascii="Open Sans" w:hAnsi="Open Sans" w:cs="Open Sans"/>
                <w:sz w:val="16"/>
                <w:szCs w:val="16"/>
              </w:rPr>
              <w:t>odpowiedzialności pracodawcy (obowiązek zapłaty</w:t>
            </w:r>
            <w:r w:rsidR="00B96612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D12F78">
              <w:rPr>
                <w:rFonts w:ascii="Open Sans" w:hAnsi="Open Sans" w:cs="Open Sans"/>
                <w:sz w:val="16"/>
                <w:szCs w:val="16"/>
              </w:rPr>
              <w:t>zadośćuczynienia w wysokości nie niższej niż wysokość wynagrodzenia za okres 6 miesięcy</w:t>
            </w:r>
            <w:r w:rsidR="00B96612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D12F78">
              <w:rPr>
                <w:rFonts w:ascii="Open Sans" w:hAnsi="Open Sans" w:cs="Open Sans"/>
                <w:sz w:val="16"/>
                <w:szCs w:val="16"/>
              </w:rPr>
              <w:t>lub odszkodowania), rozwiązanie polegające na rozszerzonej podstawie odpowiedzialności za przełożonych pokrzywdzonych pracowników, jest rozwiązaniem rażąco godzącym w interesy pracodawców.</w:t>
            </w:r>
          </w:p>
        </w:tc>
      </w:tr>
      <w:tr w:rsidR="00CA3B5E" w:rsidRPr="00647135" w14:paraId="669D6BC5" w14:textId="77777777" w:rsidTr="00CA3B5E">
        <w:tc>
          <w:tcPr>
            <w:tcW w:w="337" w:type="pct"/>
          </w:tcPr>
          <w:p w14:paraId="214E3964" w14:textId="49867FD3" w:rsidR="00CA3B5E" w:rsidRPr="00CA3B5E" w:rsidRDefault="00CA3B5E" w:rsidP="00CA3B5E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44" w:type="pct"/>
          </w:tcPr>
          <w:p w14:paraId="6B28F89B" w14:textId="39197946" w:rsidR="00CA3B5E" w:rsidRPr="0064713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 w:rsidRPr="006F3A9A">
              <w:rPr>
                <w:rFonts w:ascii="Open Sans" w:hAnsi="Open Sans" w:cs="Open Sans"/>
                <w:sz w:val="16"/>
                <w:szCs w:val="16"/>
              </w:rPr>
              <w:t xml:space="preserve">Art. 1 pkt </w:t>
            </w:r>
            <w:r>
              <w:rPr>
                <w:rFonts w:ascii="Open Sans" w:hAnsi="Open Sans" w:cs="Open Sans"/>
                <w:sz w:val="16"/>
                <w:szCs w:val="16"/>
              </w:rPr>
              <w:t>6</w:t>
            </w:r>
            <w:r w:rsidRPr="006F3A9A">
              <w:rPr>
                <w:rFonts w:ascii="Open Sans" w:hAnsi="Open Sans" w:cs="Open Sans"/>
                <w:sz w:val="16"/>
                <w:szCs w:val="16"/>
              </w:rPr>
              <w:t xml:space="preserve"> ustawy zmieniającej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w zakresie nowego </w:t>
            </w:r>
            <w:r w:rsidRPr="00AE3DD5">
              <w:rPr>
                <w:rFonts w:ascii="Open Sans" w:hAnsi="Open Sans" w:cs="Open Sans"/>
                <w:sz w:val="16"/>
                <w:szCs w:val="16"/>
              </w:rPr>
              <w:t>art. 104</w:t>
            </w:r>
            <w:r w:rsidRPr="00AE3DD5">
              <w:rPr>
                <w:rFonts w:ascii="Open Sans" w:hAnsi="Open Sans" w:cs="Open Sans"/>
                <w:sz w:val="16"/>
                <w:szCs w:val="16"/>
                <w:vertAlign w:val="superscript"/>
              </w:rPr>
              <w:t>1</w:t>
            </w:r>
            <w:r w:rsidRPr="00AE3DD5">
              <w:rPr>
                <w:rFonts w:ascii="Open Sans" w:hAnsi="Open Sans" w:cs="Open Sans"/>
                <w:sz w:val="16"/>
                <w:szCs w:val="16"/>
              </w:rPr>
              <w:t xml:space="preserve"> § 1</w:t>
            </w:r>
            <w:r>
              <w:t xml:space="preserve"> </w:t>
            </w:r>
            <w:r w:rsidRPr="00AE3DD5">
              <w:rPr>
                <w:rFonts w:ascii="Open Sans" w:hAnsi="Open Sans" w:cs="Open Sans"/>
                <w:sz w:val="16"/>
                <w:szCs w:val="16"/>
              </w:rPr>
              <w:t xml:space="preserve">pkt 10 </w:t>
            </w:r>
          </w:p>
        </w:tc>
        <w:tc>
          <w:tcPr>
            <w:tcW w:w="1153" w:type="pct"/>
          </w:tcPr>
          <w:p w14:paraId="1DD630DF" w14:textId="77777777" w:rsidR="00CA3B5E" w:rsidRPr="0064713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Nd.</w:t>
            </w:r>
          </w:p>
        </w:tc>
        <w:tc>
          <w:tcPr>
            <w:tcW w:w="1271" w:type="pct"/>
          </w:tcPr>
          <w:p w14:paraId="3D1D977B" w14:textId="77777777" w:rsidR="00CA3B5E" w:rsidRPr="00AE3DD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 w:rsidRPr="00AE3DD5">
              <w:rPr>
                <w:rFonts w:ascii="Open Sans" w:hAnsi="Open Sans" w:cs="Open Sans"/>
                <w:sz w:val="16"/>
                <w:szCs w:val="16"/>
              </w:rPr>
              <w:t>Art. 104</w:t>
            </w:r>
            <w:r w:rsidRPr="00AE3DD5">
              <w:rPr>
                <w:rFonts w:ascii="Open Sans" w:hAnsi="Open Sans" w:cs="Open Sans"/>
                <w:sz w:val="16"/>
                <w:szCs w:val="16"/>
                <w:vertAlign w:val="superscript"/>
              </w:rPr>
              <w:t>1</w:t>
            </w:r>
            <w:r w:rsidRPr="00AE3DD5">
              <w:rPr>
                <w:rFonts w:ascii="Open Sans" w:hAnsi="Open Sans" w:cs="Open Sans"/>
                <w:sz w:val="16"/>
                <w:szCs w:val="16"/>
              </w:rPr>
              <w:t xml:space="preserve">. § 1. Regulamin pracy, określając prawa i obowiązki pracodawcy </w:t>
            </w:r>
          </w:p>
          <w:p w14:paraId="33491390" w14:textId="77777777" w:rsidR="00CA3B5E" w:rsidRPr="00AE3DD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 w:rsidRPr="00AE3DD5">
              <w:rPr>
                <w:rFonts w:ascii="Open Sans" w:hAnsi="Open Sans" w:cs="Open Sans"/>
                <w:sz w:val="16"/>
                <w:szCs w:val="16"/>
              </w:rPr>
              <w:t xml:space="preserve">i pracowników związane z porządkiem w zakładzie pracy, powinien ustalać </w:t>
            </w:r>
          </w:p>
          <w:p w14:paraId="158058E7" w14:textId="77777777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 w:rsidRPr="00AE3DD5">
              <w:rPr>
                <w:rFonts w:ascii="Open Sans" w:hAnsi="Open Sans" w:cs="Open Sans"/>
                <w:sz w:val="16"/>
                <w:szCs w:val="16"/>
              </w:rPr>
              <w:t>w szczególności:</w:t>
            </w:r>
          </w:p>
          <w:p w14:paraId="77DF445F" w14:textId="77777777" w:rsidR="00CA3B5E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  <w:p w14:paraId="4B4EE207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„10) zasady, tryb oraz częstotliwość działań w obszarze przeciwdziałania:</w:t>
            </w:r>
          </w:p>
          <w:p w14:paraId="2C420794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a) naruszaniu godności oraz innych dóbr osobistych pracowników,</w:t>
            </w:r>
          </w:p>
          <w:p w14:paraId="7C2974DB" w14:textId="77777777" w:rsidR="00CA3B5E" w:rsidRPr="001128A1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b) naruszaniu zasady równego traktowania w zatrudnieniu oraz dyskryminacji,</w:t>
            </w:r>
          </w:p>
          <w:p w14:paraId="5D74E952" w14:textId="77777777" w:rsidR="00CA3B5E" w:rsidRPr="0064713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c) </w:t>
            </w:r>
            <w:proofErr w:type="spellStart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mobbingowi</w:t>
            </w:r>
            <w:proofErr w:type="spellEnd"/>
            <w:r w:rsidRPr="001128A1">
              <w:rPr>
                <w:rFonts w:ascii="Open Sans" w:hAnsi="Open Sans" w:cs="Open Sans"/>
                <w:i/>
                <w:iCs/>
                <w:sz w:val="16"/>
                <w:szCs w:val="16"/>
              </w:rPr>
              <w:t>.”;</w:t>
            </w:r>
          </w:p>
        </w:tc>
        <w:tc>
          <w:tcPr>
            <w:tcW w:w="1396" w:type="pct"/>
          </w:tcPr>
          <w:p w14:paraId="07CA2253" w14:textId="04C91558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 w:rsidRPr="00D12F78">
              <w:rPr>
                <w:rFonts w:ascii="Open Sans" w:hAnsi="Open Sans" w:cs="Open Sans"/>
                <w:sz w:val="16"/>
                <w:szCs w:val="16"/>
              </w:rPr>
              <w:t xml:space="preserve">Konieczność dostosowania wewnętrznych aktów prawnych wymusza na pracodawcach szybkie i aktywne podjęcie działań mających na celu ustalenie procesów związanych z przeciwdziałaniem </w:t>
            </w:r>
            <w:proofErr w:type="spellStart"/>
            <w:r w:rsidRPr="00D12F78">
              <w:rPr>
                <w:rFonts w:ascii="Open Sans" w:hAnsi="Open Sans" w:cs="Open Sans"/>
                <w:sz w:val="16"/>
                <w:szCs w:val="16"/>
              </w:rPr>
              <w:t>mobbingowi</w:t>
            </w:r>
            <w:proofErr w:type="spellEnd"/>
            <w:r w:rsidRPr="00D12F78">
              <w:rPr>
                <w:rFonts w:ascii="Open Sans" w:hAnsi="Open Sans" w:cs="Open Sans"/>
                <w:sz w:val="16"/>
                <w:szCs w:val="16"/>
              </w:rPr>
              <w:t>, dyskryminacji i naruszeniom dóbr osobistych.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Biorąc pod uwagę sytuację dużych pracodawców, proponuje się wydłużenie vacatio legis (jak niżej).</w:t>
            </w:r>
          </w:p>
          <w:p w14:paraId="7093868B" w14:textId="77777777" w:rsidR="00CA3B5E" w:rsidRPr="0064713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A3B5E" w:rsidRPr="00647135" w14:paraId="0E436CAD" w14:textId="77777777" w:rsidTr="00CA3B5E">
        <w:tc>
          <w:tcPr>
            <w:tcW w:w="337" w:type="pct"/>
          </w:tcPr>
          <w:p w14:paraId="7DC82399" w14:textId="00ED33A0" w:rsidR="00CA3B5E" w:rsidRPr="00CA3B5E" w:rsidRDefault="00CA3B5E" w:rsidP="00CA3B5E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44" w:type="pct"/>
          </w:tcPr>
          <w:p w14:paraId="19D87686" w14:textId="50FC6554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Art. 2 i art. 3 ustawy zmieniającej</w:t>
            </w:r>
          </w:p>
          <w:p w14:paraId="2047B944" w14:textId="77777777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A9B1D39" w14:textId="1DCD6A2F" w:rsidR="00CA3B5E" w:rsidRPr="0064713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53" w:type="pct"/>
          </w:tcPr>
          <w:p w14:paraId="2BBD0467" w14:textId="77777777" w:rsidR="00CA3B5E" w:rsidRPr="0083510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Nd.</w:t>
            </w:r>
          </w:p>
        </w:tc>
        <w:tc>
          <w:tcPr>
            <w:tcW w:w="1271" w:type="pct"/>
          </w:tcPr>
          <w:p w14:paraId="0D5E9E17" w14:textId="77777777" w:rsidR="00CA3B5E" w:rsidRPr="0083510E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</w:rPr>
              <w:t>Art. 2. Pracodawcy w terminie 3 miesięcy od daty wejścia w życie niniejszej ustawy, na</w:t>
            </w:r>
          </w:p>
          <w:p w14:paraId="01E39474" w14:textId="77777777" w:rsidR="00CA3B5E" w:rsidRPr="0083510E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</w:rPr>
              <w:t>zasadach i w trybie określonym w art. 104</w:t>
            </w: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  <w:vertAlign w:val="superscript"/>
              </w:rPr>
              <w:t>1</w:t>
            </w: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§ 1 i w art. 104</w:t>
            </w: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  <w:vertAlign w:val="superscript"/>
              </w:rPr>
              <w:t>1a</w:t>
            </w: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ustawy zmienianej w art. 1</w:t>
            </w:r>
          </w:p>
          <w:p w14:paraId="12C2CD2E" w14:textId="77777777" w:rsidR="00CA3B5E" w:rsidRPr="0083510E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</w:rPr>
              <w:t>niniejszej ustawy dostosują akty, o których mowa w art. 104</w:t>
            </w: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  <w:vertAlign w:val="superscript"/>
              </w:rPr>
              <w:t>1</w:t>
            </w: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do wymagań określonych w</w:t>
            </w:r>
          </w:p>
          <w:p w14:paraId="5646298A" w14:textId="77777777" w:rsidR="00CA3B5E" w:rsidRPr="0083510E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</w:rPr>
              <w:t>niniejszej ustawie albo wydadzą akty, o których mowa w art. 104</w:t>
            </w: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  <w:vertAlign w:val="superscript"/>
              </w:rPr>
              <w:t>1a</w:t>
            </w: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§ 1 ustawy zmienianej w</w:t>
            </w:r>
          </w:p>
          <w:p w14:paraId="5CB47D14" w14:textId="77777777" w:rsidR="00CA3B5E" w:rsidRPr="0083510E" w:rsidRDefault="00CA3B5E" w:rsidP="00580234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</w:rPr>
              <w:t>art. 1 niniejszej ustawy.</w:t>
            </w:r>
          </w:p>
          <w:p w14:paraId="132F6254" w14:textId="77777777" w:rsidR="00CA3B5E" w:rsidRPr="00647135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 w:rsidRPr="0083510E">
              <w:rPr>
                <w:rFonts w:ascii="Open Sans" w:hAnsi="Open Sans" w:cs="Open Sans"/>
                <w:i/>
                <w:iCs/>
                <w:sz w:val="16"/>
                <w:szCs w:val="16"/>
              </w:rPr>
              <w:t>Art. 3. Ustawa wchodzi w życie po upływie 21 dni od dnia ogłoszenia.</w:t>
            </w:r>
          </w:p>
        </w:tc>
        <w:tc>
          <w:tcPr>
            <w:tcW w:w="1396" w:type="pct"/>
          </w:tcPr>
          <w:p w14:paraId="6C2E5551" w14:textId="6EA0EC02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Przewidziany w projekcie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termin na dostosowanie aktów wewnątrzzakładowych wynoszący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3 miesiące </w:t>
            </w:r>
            <w:r>
              <w:rPr>
                <w:rFonts w:ascii="Open Sans" w:hAnsi="Open Sans" w:cs="Open Sans"/>
                <w:sz w:val="16"/>
                <w:szCs w:val="16"/>
              </w:rPr>
              <w:t>jest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zdecydowanie zbyt krótki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– zwłaszcza w odniesieniu do dużych pracodawców,</w:t>
            </w:r>
            <w:r>
              <w:t xml:space="preserve"> </w:t>
            </w:r>
            <w:r w:rsidRPr="00D12F78">
              <w:rPr>
                <w:rFonts w:ascii="Open Sans" w:hAnsi="Open Sans" w:cs="Open Sans"/>
                <w:sz w:val="16"/>
                <w:szCs w:val="16"/>
              </w:rPr>
              <w:t>mających obowiązek uzgodnienia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ich</w:t>
            </w:r>
            <w:r w:rsidRPr="00D12F78">
              <w:rPr>
                <w:rFonts w:ascii="Open Sans" w:hAnsi="Open Sans" w:cs="Open Sans"/>
                <w:sz w:val="16"/>
                <w:szCs w:val="16"/>
              </w:rPr>
              <w:t xml:space="preserve"> treści</w:t>
            </w:r>
            <w:r w:rsidRPr="00D12F7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D12F78">
              <w:rPr>
                <w:rFonts w:ascii="Open Sans" w:hAnsi="Open Sans" w:cs="Open Sans"/>
                <w:sz w:val="16"/>
                <w:szCs w:val="16"/>
              </w:rPr>
              <w:t>z organizacjami związkowymi</w:t>
            </w:r>
            <w:r>
              <w:rPr>
                <w:rFonts w:ascii="Open Sans" w:hAnsi="Open Sans" w:cs="Open Sans"/>
                <w:sz w:val="16"/>
                <w:szCs w:val="16"/>
              </w:rPr>
              <w:t>.</w:t>
            </w:r>
            <w:r w:rsidRPr="00D12F7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488BE469" w14:textId="77777777" w:rsidR="00CA3B5E" w:rsidRDefault="00CA3B5E" w:rsidP="00580234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551CD72" w14:textId="22B4863B" w:rsidR="00CA3B5E" w:rsidRPr="00647135" w:rsidRDefault="00CA3B5E" w:rsidP="007834EC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ymogi </w:t>
            </w:r>
            <w:r w:rsidR="00193976">
              <w:rPr>
                <w:rFonts w:ascii="Open Sans" w:hAnsi="Open Sans" w:cs="Open Sans"/>
                <w:sz w:val="16"/>
                <w:szCs w:val="16"/>
              </w:rPr>
              <w:t>w stosunku do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pracodawcy w zakresie przeciwdziałania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mobbingowi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it</w:t>
            </w:r>
            <w:r w:rsidR="00193976">
              <w:rPr>
                <w:rFonts w:ascii="Open Sans" w:hAnsi="Open Sans" w:cs="Open Sans"/>
                <w:sz w:val="16"/>
                <w:szCs w:val="16"/>
              </w:rPr>
              <w:t>p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  <w:r>
              <w:rPr>
                <w:rFonts w:ascii="Open Sans" w:hAnsi="Open Sans" w:cs="Open Sans"/>
                <w:sz w:val="16"/>
                <w:szCs w:val="16"/>
              </w:rPr>
              <w:t>powinny wejść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w życie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wraz z upływem terminu na </w:t>
            </w:r>
            <w:r>
              <w:rPr>
                <w:rFonts w:ascii="Open Sans" w:hAnsi="Open Sans" w:cs="Open Sans"/>
                <w:sz w:val="16"/>
                <w:szCs w:val="16"/>
              </w:rPr>
              <w:t>dostosowaniu aktów wewnątrzzakładowych</w:t>
            </w:r>
            <w:r>
              <w:rPr>
                <w:rFonts w:ascii="Open Sans" w:hAnsi="Open Sans" w:cs="Open Sans"/>
                <w:sz w:val="16"/>
                <w:szCs w:val="16"/>
              </w:rPr>
              <w:t>, tak aby umożliwić dostosowanie procedur wewnętrznych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</w:p>
        </w:tc>
      </w:tr>
      <w:bookmarkEnd w:id="0"/>
    </w:tbl>
    <w:p w14:paraId="05D2226C" w14:textId="77777777" w:rsidR="008F5610" w:rsidRDefault="008F5610" w:rsidP="008F5610"/>
    <w:p w14:paraId="6A09291F" w14:textId="77777777" w:rsidR="008F5610" w:rsidRPr="008F5610" w:rsidRDefault="008F5610" w:rsidP="008F5610"/>
    <w:sectPr w:rsidR="008F5610" w:rsidRPr="008F5610" w:rsidSect="008F5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4F12" w14:textId="77777777" w:rsidR="007B7A68" w:rsidRDefault="007B7A68" w:rsidP="002D6301">
      <w:pPr>
        <w:spacing w:after="0" w:line="240" w:lineRule="auto"/>
      </w:pPr>
      <w:r>
        <w:separator/>
      </w:r>
    </w:p>
  </w:endnote>
  <w:endnote w:type="continuationSeparator" w:id="0">
    <w:p w14:paraId="0FD0E084" w14:textId="77777777" w:rsidR="007B7A68" w:rsidRDefault="007B7A68" w:rsidP="002D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DCF8" w14:textId="77777777" w:rsidR="007B7A68" w:rsidRDefault="007B7A68" w:rsidP="002D6301">
      <w:pPr>
        <w:spacing w:after="0" w:line="240" w:lineRule="auto"/>
      </w:pPr>
      <w:r>
        <w:separator/>
      </w:r>
    </w:p>
  </w:footnote>
  <w:footnote w:type="continuationSeparator" w:id="0">
    <w:p w14:paraId="6FEF026D" w14:textId="77777777" w:rsidR="007B7A68" w:rsidRDefault="007B7A68" w:rsidP="002D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47197"/>
    <w:multiLevelType w:val="hybridMultilevel"/>
    <w:tmpl w:val="7012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4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ED"/>
    <w:rsid w:val="00002E7D"/>
    <w:rsid w:val="00085F9D"/>
    <w:rsid w:val="000F4EC0"/>
    <w:rsid w:val="00100A8A"/>
    <w:rsid w:val="001128A1"/>
    <w:rsid w:val="00160EE8"/>
    <w:rsid w:val="0017422D"/>
    <w:rsid w:val="001772ED"/>
    <w:rsid w:val="00193976"/>
    <w:rsid w:val="001E4525"/>
    <w:rsid w:val="0022228F"/>
    <w:rsid w:val="00233831"/>
    <w:rsid w:val="002D6301"/>
    <w:rsid w:val="0030000B"/>
    <w:rsid w:val="00342D19"/>
    <w:rsid w:val="00346AC6"/>
    <w:rsid w:val="00370378"/>
    <w:rsid w:val="003843FF"/>
    <w:rsid w:val="00392564"/>
    <w:rsid w:val="00397966"/>
    <w:rsid w:val="003A1A63"/>
    <w:rsid w:val="003A1DCF"/>
    <w:rsid w:val="003A6F25"/>
    <w:rsid w:val="003B6BA8"/>
    <w:rsid w:val="003C1DD8"/>
    <w:rsid w:val="003E49FC"/>
    <w:rsid w:val="003F7782"/>
    <w:rsid w:val="00401777"/>
    <w:rsid w:val="00450A61"/>
    <w:rsid w:val="00460FB2"/>
    <w:rsid w:val="00463A50"/>
    <w:rsid w:val="00473860"/>
    <w:rsid w:val="00477384"/>
    <w:rsid w:val="00490795"/>
    <w:rsid w:val="004C25AE"/>
    <w:rsid w:val="00500944"/>
    <w:rsid w:val="0050682E"/>
    <w:rsid w:val="00514A84"/>
    <w:rsid w:val="005641E0"/>
    <w:rsid w:val="00592BEE"/>
    <w:rsid w:val="005943AF"/>
    <w:rsid w:val="00631D55"/>
    <w:rsid w:val="00644652"/>
    <w:rsid w:val="00644B85"/>
    <w:rsid w:val="00647135"/>
    <w:rsid w:val="00662B80"/>
    <w:rsid w:val="0069079A"/>
    <w:rsid w:val="00693A4F"/>
    <w:rsid w:val="006978C2"/>
    <w:rsid w:val="006A7AF7"/>
    <w:rsid w:val="006C1681"/>
    <w:rsid w:val="006C5970"/>
    <w:rsid w:val="006D0080"/>
    <w:rsid w:val="006F3A9A"/>
    <w:rsid w:val="007834EC"/>
    <w:rsid w:val="007B7A68"/>
    <w:rsid w:val="007C1C9B"/>
    <w:rsid w:val="007C40F9"/>
    <w:rsid w:val="007F3E86"/>
    <w:rsid w:val="00821904"/>
    <w:rsid w:val="0083510E"/>
    <w:rsid w:val="00891F64"/>
    <w:rsid w:val="00896DD6"/>
    <w:rsid w:val="008F5610"/>
    <w:rsid w:val="009263D6"/>
    <w:rsid w:val="009B2398"/>
    <w:rsid w:val="009C2D37"/>
    <w:rsid w:val="009C422E"/>
    <w:rsid w:val="009E53BC"/>
    <w:rsid w:val="009F03EB"/>
    <w:rsid w:val="00A01149"/>
    <w:rsid w:val="00A530D9"/>
    <w:rsid w:val="00A54919"/>
    <w:rsid w:val="00A841B5"/>
    <w:rsid w:val="00AB190B"/>
    <w:rsid w:val="00AE3DD5"/>
    <w:rsid w:val="00B30099"/>
    <w:rsid w:val="00B436AB"/>
    <w:rsid w:val="00B505E4"/>
    <w:rsid w:val="00B737B1"/>
    <w:rsid w:val="00B93257"/>
    <w:rsid w:val="00B96612"/>
    <w:rsid w:val="00BB7683"/>
    <w:rsid w:val="00BB7E14"/>
    <w:rsid w:val="00BF5CB8"/>
    <w:rsid w:val="00C04A14"/>
    <w:rsid w:val="00C20AEF"/>
    <w:rsid w:val="00C31BF3"/>
    <w:rsid w:val="00C3747B"/>
    <w:rsid w:val="00C544C5"/>
    <w:rsid w:val="00C561FB"/>
    <w:rsid w:val="00C92601"/>
    <w:rsid w:val="00CA3B5E"/>
    <w:rsid w:val="00CA7F3F"/>
    <w:rsid w:val="00D12F78"/>
    <w:rsid w:val="00D55456"/>
    <w:rsid w:val="00D64EAB"/>
    <w:rsid w:val="00E131C4"/>
    <w:rsid w:val="00E16CA3"/>
    <w:rsid w:val="00E2341A"/>
    <w:rsid w:val="00E4017A"/>
    <w:rsid w:val="00E539F7"/>
    <w:rsid w:val="00EA7B95"/>
    <w:rsid w:val="00EF4D66"/>
    <w:rsid w:val="00EF6365"/>
    <w:rsid w:val="00F121FE"/>
    <w:rsid w:val="00F16393"/>
    <w:rsid w:val="00F31BC9"/>
    <w:rsid w:val="00F65940"/>
    <w:rsid w:val="00F95CA5"/>
    <w:rsid w:val="00FC3D87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B5A7"/>
  <w15:chartTrackingRefBased/>
  <w15:docId w15:val="{57888299-CE2F-4EDC-BE37-80F02ECF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610"/>
  </w:style>
  <w:style w:type="paragraph" w:styleId="Nagwek1">
    <w:name w:val="heading 1"/>
    <w:basedOn w:val="Normalny"/>
    <w:next w:val="Normalny"/>
    <w:link w:val="Nagwek1Znak"/>
    <w:uiPriority w:val="9"/>
    <w:qFormat/>
    <w:rsid w:val="00177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7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7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7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7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7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7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7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72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72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72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72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72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2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7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7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72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72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72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7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72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72E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7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0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0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0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08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008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08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009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6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63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6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4D89-ADA2-4EA4-836E-BA43FE5D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1586</Words>
  <Characters>9516</Characters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2025-01-28T12:23:00Z</dcterms:created>
  <dcterms:modified xsi:type="dcterms:W3CDTF">2025-02-07T11:52:00Z</dcterms:modified>
</cp:coreProperties>
</file>