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ED" w:rsidRPr="00586923" w:rsidRDefault="001729ED" w:rsidP="001729ED">
      <w:pPr>
        <w:rPr>
          <w:rFonts w:ascii="Arial" w:hAnsi="Arial" w:cs="Arial"/>
        </w:rPr>
      </w:pPr>
      <w:r w:rsidRPr="00586923">
        <w:rPr>
          <w:rFonts w:ascii="Arial" w:hAnsi="Arial" w:cs="Arial"/>
          <w:noProof/>
          <w:lang w:eastAsia="pl-PL"/>
        </w:rPr>
        <w:drawing>
          <wp:inline distT="0" distB="0" distL="0" distR="0" wp14:anchorId="0E1CDDAB" wp14:editId="04709D0D">
            <wp:extent cx="5683910" cy="943559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L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187" cy="94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9ED" w:rsidRDefault="001729ED" w:rsidP="001729ED">
      <w:pPr>
        <w:spacing w:after="0" w:line="300" w:lineRule="auto"/>
        <w:jc w:val="center"/>
        <w:rPr>
          <w:rFonts w:ascii="Arial" w:hAnsi="Arial" w:cs="Arial"/>
          <w:b/>
        </w:rPr>
      </w:pPr>
      <w:r w:rsidRPr="00586923">
        <w:rPr>
          <w:rFonts w:ascii="Arial" w:hAnsi="Arial" w:cs="Arial"/>
          <w:b/>
        </w:rPr>
        <w:t xml:space="preserve">Konsultacje </w:t>
      </w:r>
      <w:r>
        <w:rPr>
          <w:rFonts w:ascii="Arial" w:hAnsi="Arial" w:cs="Arial"/>
          <w:b/>
        </w:rPr>
        <w:t>projektów</w:t>
      </w:r>
      <w:r w:rsidRPr="00586923">
        <w:rPr>
          <w:rFonts w:ascii="Arial" w:hAnsi="Arial" w:cs="Arial"/>
          <w:b/>
        </w:rPr>
        <w:t xml:space="preserve"> krajowych aktów prawnych </w:t>
      </w:r>
      <w:r>
        <w:rPr>
          <w:rFonts w:ascii="Arial" w:hAnsi="Arial" w:cs="Arial"/>
          <w:b/>
        </w:rPr>
        <w:t xml:space="preserve">i ogłoszone akty prawne </w:t>
      </w:r>
      <w:r>
        <w:rPr>
          <w:rFonts w:ascii="Arial" w:hAnsi="Arial" w:cs="Arial"/>
          <w:b/>
        </w:rPr>
        <w:br/>
        <w:t>w Dzienniku Ustaw</w:t>
      </w:r>
    </w:p>
    <w:p w:rsidR="001729ED" w:rsidRPr="00586923" w:rsidRDefault="001729ED" w:rsidP="001729ED">
      <w:pPr>
        <w:spacing w:after="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586923">
        <w:rPr>
          <w:rFonts w:ascii="Arial" w:hAnsi="Arial" w:cs="Arial"/>
          <w:b/>
        </w:rPr>
        <w:t xml:space="preserve">monitoring legislacji </w:t>
      </w:r>
      <w:r>
        <w:rPr>
          <w:rFonts w:ascii="Arial" w:hAnsi="Arial" w:cs="Arial"/>
          <w:b/>
        </w:rPr>
        <w:t xml:space="preserve">krajowej </w:t>
      </w:r>
      <w:r w:rsidRPr="00586923">
        <w:rPr>
          <w:rFonts w:ascii="Arial" w:hAnsi="Arial" w:cs="Arial"/>
          <w:b/>
        </w:rPr>
        <w:t>ZPPM</w:t>
      </w:r>
      <w:r>
        <w:rPr>
          <w:rFonts w:ascii="Arial" w:hAnsi="Arial" w:cs="Arial"/>
          <w:b/>
        </w:rPr>
        <w:t>)</w:t>
      </w:r>
    </w:p>
    <w:p w:rsidR="001729ED" w:rsidRPr="00586923" w:rsidRDefault="001729ED" w:rsidP="001729ED">
      <w:pPr>
        <w:spacing w:after="0" w:line="300" w:lineRule="auto"/>
        <w:jc w:val="center"/>
        <w:rPr>
          <w:rFonts w:ascii="Arial" w:hAnsi="Arial" w:cs="Arial"/>
        </w:rPr>
      </w:pPr>
      <w:r w:rsidRPr="00586923">
        <w:rPr>
          <w:rFonts w:ascii="Arial" w:hAnsi="Arial" w:cs="Arial"/>
          <w:b/>
        </w:rPr>
        <w:t xml:space="preserve">w okresie od </w:t>
      </w:r>
      <w:r>
        <w:rPr>
          <w:rFonts w:ascii="Arial" w:hAnsi="Arial" w:cs="Arial"/>
          <w:b/>
        </w:rPr>
        <w:t xml:space="preserve">10 </w:t>
      </w:r>
      <w:r w:rsidRPr="00586923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16 marca</w:t>
      </w:r>
      <w:r w:rsidRPr="00586923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  <w:r w:rsidRPr="00586923">
        <w:rPr>
          <w:rFonts w:ascii="Arial" w:hAnsi="Arial" w:cs="Arial"/>
          <w:b/>
        </w:rPr>
        <w:t xml:space="preserve"> roku</w:t>
      </w:r>
    </w:p>
    <w:p w:rsidR="001729ED" w:rsidRPr="00AC3187" w:rsidRDefault="001729ED" w:rsidP="001729ED">
      <w:pPr>
        <w:spacing w:after="0" w:line="300" w:lineRule="auto"/>
        <w:jc w:val="center"/>
        <w:rPr>
          <w:rFonts w:ascii="Arial" w:hAnsi="Arial" w:cs="Arial"/>
        </w:rPr>
      </w:pPr>
      <w:r w:rsidRPr="00AC3187">
        <w:rPr>
          <w:rFonts w:ascii="Arial" w:hAnsi="Arial" w:cs="Arial"/>
        </w:rPr>
        <w:t xml:space="preserve">Raport na dzień </w:t>
      </w:r>
      <w:r>
        <w:rPr>
          <w:rFonts w:ascii="Arial" w:hAnsi="Arial" w:cs="Arial"/>
        </w:rPr>
        <w:t>17 marca</w:t>
      </w:r>
      <w:r w:rsidRPr="00AC318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AC3187">
        <w:rPr>
          <w:rFonts w:ascii="Arial" w:hAnsi="Arial" w:cs="Arial"/>
        </w:rPr>
        <w:t xml:space="preserve"> roku</w:t>
      </w:r>
    </w:p>
    <w:p w:rsidR="001729ED" w:rsidRPr="00586923" w:rsidRDefault="001729ED" w:rsidP="001729ED">
      <w:pPr>
        <w:spacing w:after="0" w:line="240" w:lineRule="auto"/>
        <w:jc w:val="both"/>
        <w:rPr>
          <w:rFonts w:ascii="Arial" w:hAnsi="Arial" w:cs="Arial"/>
        </w:rPr>
      </w:pPr>
    </w:p>
    <w:p w:rsidR="001729ED" w:rsidRPr="00287656" w:rsidRDefault="001729ED" w:rsidP="001729E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u w:val="single"/>
        </w:rPr>
      </w:pPr>
      <w:r w:rsidRPr="00287656">
        <w:rPr>
          <w:rFonts w:ascii="Arial" w:hAnsi="Arial" w:cs="Arial"/>
          <w:b/>
          <w:u w:val="single"/>
        </w:rPr>
        <w:t>Projekty aktów prawnych</w:t>
      </w:r>
    </w:p>
    <w:p w:rsidR="001729ED" w:rsidRDefault="001729ED" w:rsidP="001729ED">
      <w:pPr>
        <w:spacing w:after="0"/>
        <w:jc w:val="both"/>
        <w:rPr>
          <w:rFonts w:ascii="Arial" w:hAnsi="Arial" w:cs="Arial"/>
        </w:rPr>
      </w:pPr>
    </w:p>
    <w:p w:rsidR="001729ED" w:rsidRPr="00C70674" w:rsidRDefault="001729ED" w:rsidP="001729ED">
      <w:pPr>
        <w:spacing w:after="0"/>
        <w:jc w:val="both"/>
        <w:rPr>
          <w:rFonts w:ascii="Arial" w:hAnsi="Arial" w:cs="Arial"/>
        </w:rPr>
      </w:pPr>
      <w:r w:rsidRPr="00C70674">
        <w:rPr>
          <w:rFonts w:ascii="Arial" w:hAnsi="Arial" w:cs="Arial"/>
        </w:rPr>
        <w:t xml:space="preserve">W omawianym okresie </w:t>
      </w:r>
      <w:r w:rsidRPr="00C70674">
        <w:rPr>
          <w:rFonts w:ascii="Arial" w:eastAsia="Calibri" w:hAnsi="Arial" w:cs="Arial"/>
          <w:bCs/>
        </w:rPr>
        <w:t xml:space="preserve">Rządowe Centrum Legislacji opublikowało </w:t>
      </w:r>
      <w:r>
        <w:rPr>
          <w:rFonts w:ascii="Arial" w:eastAsia="Calibri" w:hAnsi="Arial" w:cs="Arial"/>
          <w:bCs/>
        </w:rPr>
        <w:t>4</w:t>
      </w:r>
      <w:r w:rsidRPr="00C70674">
        <w:rPr>
          <w:rFonts w:ascii="Arial" w:eastAsia="Calibri" w:hAnsi="Arial" w:cs="Arial"/>
          <w:bCs/>
        </w:rPr>
        <w:t xml:space="preserve"> projekt</w:t>
      </w:r>
      <w:r>
        <w:rPr>
          <w:rFonts w:ascii="Arial" w:eastAsia="Calibri" w:hAnsi="Arial" w:cs="Arial"/>
          <w:bCs/>
        </w:rPr>
        <w:t>y ustaw</w:t>
      </w:r>
      <w:r w:rsidRPr="00C70674">
        <w:rPr>
          <w:rFonts w:ascii="Arial" w:eastAsia="Calibri" w:hAnsi="Arial" w:cs="Arial"/>
          <w:bCs/>
        </w:rPr>
        <w:t xml:space="preserve"> oraz</w:t>
      </w:r>
      <w:r w:rsidRPr="00C706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</w:t>
      </w:r>
      <w:r w:rsidRPr="00C70674">
        <w:rPr>
          <w:rFonts w:ascii="Arial" w:hAnsi="Arial" w:cs="Arial"/>
        </w:rPr>
        <w:t xml:space="preserve"> projekt</w:t>
      </w:r>
      <w:r>
        <w:rPr>
          <w:rFonts w:ascii="Arial" w:hAnsi="Arial" w:cs="Arial"/>
        </w:rPr>
        <w:t>ów</w:t>
      </w:r>
      <w:r w:rsidRPr="00C70674">
        <w:rPr>
          <w:rFonts w:ascii="Arial" w:hAnsi="Arial" w:cs="Arial"/>
        </w:rPr>
        <w:t xml:space="preserve"> rozporządzeń Rady Ministrów, Prezesa Rady Ministrów oraz poszczególnych Ministrów.</w:t>
      </w:r>
    </w:p>
    <w:p w:rsidR="001729ED" w:rsidRPr="00C70674" w:rsidRDefault="001729ED" w:rsidP="001729ED">
      <w:pPr>
        <w:spacing w:after="0"/>
        <w:jc w:val="both"/>
        <w:rPr>
          <w:rFonts w:ascii="Arial" w:hAnsi="Arial" w:cs="Arial"/>
        </w:rPr>
      </w:pPr>
    </w:p>
    <w:p w:rsidR="001729ED" w:rsidRDefault="001729ED" w:rsidP="001729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Przeprowadzono konsultacje 3 projektów rozporządzeń dotyczących podmiotów członkowskich (pracodawcy, przedsiębiorcy, JST) zrzeszonych w Związku. </w:t>
      </w:r>
    </w:p>
    <w:p w:rsidR="001729ED" w:rsidRDefault="001729ED" w:rsidP="001729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 konsultacji przekazane zostały następujące projekty:</w:t>
      </w:r>
    </w:p>
    <w:p w:rsidR="001729ED" w:rsidRDefault="001729ED" w:rsidP="001729ED">
      <w:pPr>
        <w:spacing w:after="0"/>
        <w:jc w:val="both"/>
        <w:rPr>
          <w:rFonts w:ascii="Arial" w:hAnsi="Arial" w:cs="Arial"/>
        </w:rPr>
      </w:pPr>
    </w:p>
    <w:p w:rsidR="001729ED" w:rsidRDefault="001729ED" w:rsidP="001729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Projekty rozporządzeń:</w:t>
      </w:r>
    </w:p>
    <w:p w:rsidR="00AC3649" w:rsidRDefault="00AC3649" w:rsidP="001729ED">
      <w:pPr>
        <w:spacing w:after="0"/>
        <w:jc w:val="both"/>
        <w:rPr>
          <w:rFonts w:ascii="Arial" w:hAnsi="Arial" w:cs="Arial"/>
        </w:rPr>
      </w:pPr>
    </w:p>
    <w:p w:rsidR="001729ED" w:rsidRPr="001729ED" w:rsidRDefault="001729ED" w:rsidP="001729ED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/>
          <w:u w:val="single"/>
        </w:rPr>
      </w:pPr>
      <w:r w:rsidRPr="001729ED">
        <w:rPr>
          <w:rFonts w:ascii="Arial" w:hAnsi="Arial" w:cs="Arial"/>
          <w:b/>
          <w:u w:val="single"/>
        </w:rPr>
        <w:t xml:space="preserve">Projekt rozporządzenia Ministra Cyfryzacji w sprawie udzielania pomocy de </w:t>
      </w:r>
      <w:proofErr w:type="spellStart"/>
      <w:r w:rsidRPr="001729ED">
        <w:rPr>
          <w:rFonts w:ascii="Arial" w:hAnsi="Arial" w:cs="Arial"/>
          <w:b/>
          <w:u w:val="single"/>
        </w:rPr>
        <w:t>minimis</w:t>
      </w:r>
      <w:proofErr w:type="spellEnd"/>
      <w:r w:rsidRPr="001729ED">
        <w:rPr>
          <w:rFonts w:ascii="Arial" w:hAnsi="Arial" w:cs="Arial"/>
          <w:b/>
          <w:u w:val="single"/>
        </w:rPr>
        <w:t xml:space="preserve"> na wsparcie przedsiębiorstw wodociągowo-kanalizacyjnych objętych krajowym systemem </w:t>
      </w:r>
      <w:proofErr w:type="spellStart"/>
      <w:r w:rsidRPr="001729ED">
        <w:rPr>
          <w:rFonts w:ascii="Arial" w:hAnsi="Arial" w:cs="Arial"/>
          <w:b/>
          <w:u w:val="single"/>
        </w:rPr>
        <w:t>cyberbezpieczeństwa</w:t>
      </w:r>
      <w:proofErr w:type="spellEnd"/>
      <w:r w:rsidRPr="001729ED">
        <w:rPr>
          <w:rFonts w:ascii="Arial" w:hAnsi="Arial" w:cs="Arial"/>
          <w:b/>
          <w:u w:val="single"/>
        </w:rPr>
        <w:t xml:space="preserve"> w ramach Krajowego Planu Odbudowy i Zwiększania Odporności (numer z wykazu 27)</w:t>
      </w:r>
    </w:p>
    <w:p w:rsidR="001729ED" w:rsidRDefault="001729ED" w:rsidP="001729ED">
      <w:pPr>
        <w:spacing w:after="0"/>
        <w:jc w:val="both"/>
        <w:rPr>
          <w:rFonts w:ascii="Arial" w:hAnsi="Arial" w:cs="Arial"/>
        </w:rPr>
      </w:pP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 xml:space="preserve">Polska cyberprzestrzeń jest jedną z najczęściej atakowanych przez hakerów na całym świecie. W 2020 r. 13% polskich firm stało się celem cyberataku </w:t>
      </w:r>
      <w:proofErr w:type="spellStart"/>
      <w:r w:rsidRPr="00AC3649">
        <w:rPr>
          <w:rFonts w:ascii="Arial" w:hAnsi="Arial" w:cs="Arial"/>
        </w:rPr>
        <w:t>ransomware</w:t>
      </w:r>
      <w:proofErr w:type="spellEnd"/>
      <w:r w:rsidRPr="00AC3649">
        <w:rPr>
          <w:rFonts w:ascii="Arial" w:hAnsi="Arial" w:cs="Arial"/>
        </w:rPr>
        <w:t xml:space="preserve">, czyli wymuszenia okupu za umożliwienie dostępu do danych zablokowanych za pomocą złośliwego oprogramowania. Sytuacja w cyberprzestrzeni z każdym rokiem staje się coraz bardziej niebezpieczna. Zespół CSIRT NASK, jeden z trzech zespołów poziomu krajowego zajmujących się incydentami </w:t>
      </w:r>
      <w:proofErr w:type="spellStart"/>
      <w:r w:rsidRPr="00AC3649">
        <w:rPr>
          <w:rFonts w:ascii="Arial" w:hAnsi="Arial" w:cs="Arial"/>
        </w:rPr>
        <w:t>cyberbezpieczeństwa</w:t>
      </w:r>
      <w:proofErr w:type="spellEnd"/>
      <w:r w:rsidRPr="00AC3649">
        <w:rPr>
          <w:rFonts w:ascii="Arial" w:hAnsi="Arial" w:cs="Arial"/>
        </w:rPr>
        <w:t xml:space="preserve">, z roku na rok odnotowuje coraz więcej incydentów. W 2021 r. było to prawie 30 tys. incydentów, a w 2022 r. prawie 40 tys. incydentów. W 2023 r. było to już ponad 80 tys. incydentów – co oznacza wzrost o ponad 100% w stosunku do ubiegłego roku. W ciągu pierwszych 5 miesięcy 2024 r. odnotowano już około 47,6 tys. incydentów i jeśli ten trend się utrzyma to w tym roku może zostać przekroczona liczba 100 tys. zgłoszonych incydentów. W związku z tym konieczne jest podjęcie działań służących zwiększeniu </w:t>
      </w:r>
      <w:proofErr w:type="spellStart"/>
      <w:r w:rsidRPr="00AC3649">
        <w:rPr>
          <w:rFonts w:ascii="Arial" w:hAnsi="Arial" w:cs="Arial"/>
        </w:rPr>
        <w:t>cyberbezpieczeństwa</w:t>
      </w:r>
      <w:proofErr w:type="spellEnd"/>
      <w:r w:rsidRPr="00AC3649">
        <w:rPr>
          <w:rFonts w:ascii="Arial" w:hAnsi="Arial" w:cs="Arial"/>
        </w:rPr>
        <w:t xml:space="preserve"> w obszarach kluczowych z punktu widzenia funkcjonowania państwa i społeczeństwa. 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 xml:space="preserve">Przyjęta do sfinansowania w ramach Krajowego Planu Odbudowy i Zwiększania Odporności (KPO), w ramach komponentu C – Transformacja Cyfrowa, inwestycja C3.1.1. „Cyberbezpieczeństwo – </w:t>
      </w:r>
      <w:proofErr w:type="spellStart"/>
      <w:r w:rsidRPr="00AC3649">
        <w:rPr>
          <w:rFonts w:ascii="Arial" w:hAnsi="Arial" w:cs="Arial"/>
        </w:rPr>
        <w:t>CyberPL</w:t>
      </w:r>
      <w:proofErr w:type="spellEnd"/>
      <w:r w:rsidRPr="00AC3649">
        <w:rPr>
          <w:rFonts w:ascii="Arial" w:hAnsi="Arial" w:cs="Arial"/>
        </w:rPr>
        <w:t xml:space="preserve">, infrastruktura przetwarzania danych optymalizacja infrastruktury służb państwowych odpowiedzialnych za bezpieczeństwo” zakłada </w:t>
      </w:r>
      <w:r w:rsidRPr="00AC3649">
        <w:rPr>
          <w:rFonts w:ascii="Arial" w:hAnsi="Arial" w:cs="Arial"/>
        </w:rPr>
        <w:lastRenderedPageBreak/>
        <w:t xml:space="preserve">wydatkowanie środków na wsparcie podmiotów krajowego systemu </w:t>
      </w:r>
      <w:proofErr w:type="spellStart"/>
      <w:r w:rsidRPr="00AC3649">
        <w:rPr>
          <w:rFonts w:ascii="Arial" w:hAnsi="Arial" w:cs="Arial"/>
        </w:rPr>
        <w:t>cyberbezpieczeństwa</w:t>
      </w:r>
      <w:proofErr w:type="spellEnd"/>
      <w:r w:rsidRPr="00AC3649">
        <w:rPr>
          <w:rFonts w:ascii="Arial" w:hAnsi="Arial" w:cs="Arial"/>
        </w:rPr>
        <w:t xml:space="preserve"> w zakresie zwiększania </w:t>
      </w:r>
      <w:proofErr w:type="spellStart"/>
      <w:r w:rsidRPr="00AC3649">
        <w:rPr>
          <w:rFonts w:ascii="Arial" w:hAnsi="Arial" w:cs="Arial"/>
        </w:rPr>
        <w:t>cyberbezpieczeństwa</w:t>
      </w:r>
      <w:proofErr w:type="spellEnd"/>
      <w:r w:rsidRPr="00AC3649">
        <w:rPr>
          <w:rFonts w:ascii="Arial" w:hAnsi="Arial" w:cs="Arial"/>
        </w:rPr>
        <w:t xml:space="preserve"> i służy osiągnięciu ww. celu.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>KPO jest finansowany w ramach przyjętego przez państwa członkowskie Unii Europejskiej Instrumentu na rzecz Odbudowy i Zwiększania Odporności (</w:t>
      </w:r>
      <w:proofErr w:type="spellStart"/>
      <w:r w:rsidRPr="00AC3649">
        <w:rPr>
          <w:rFonts w:ascii="Arial" w:hAnsi="Arial" w:cs="Arial"/>
        </w:rPr>
        <w:t>Recovery</w:t>
      </w:r>
      <w:proofErr w:type="spellEnd"/>
      <w:r w:rsidRPr="00AC3649">
        <w:rPr>
          <w:rFonts w:ascii="Arial" w:hAnsi="Arial" w:cs="Arial"/>
        </w:rPr>
        <w:t xml:space="preserve"> and </w:t>
      </w:r>
      <w:proofErr w:type="spellStart"/>
      <w:r w:rsidRPr="00AC3649">
        <w:rPr>
          <w:rFonts w:ascii="Arial" w:hAnsi="Arial" w:cs="Arial"/>
        </w:rPr>
        <w:t>Resilience</w:t>
      </w:r>
      <w:proofErr w:type="spellEnd"/>
      <w:r w:rsidRPr="00AC3649">
        <w:rPr>
          <w:rFonts w:ascii="Arial" w:hAnsi="Arial" w:cs="Arial"/>
        </w:rPr>
        <w:t xml:space="preserve"> </w:t>
      </w:r>
      <w:proofErr w:type="spellStart"/>
      <w:r w:rsidRPr="00AC3649">
        <w:rPr>
          <w:rFonts w:ascii="Arial" w:hAnsi="Arial" w:cs="Arial"/>
        </w:rPr>
        <w:t>Facility</w:t>
      </w:r>
      <w:proofErr w:type="spellEnd"/>
      <w:r w:rsidRPr="00AC3649">
        <w:rPr>
          <w:rFonts w:ascii="Arial" w:hAnsi="Arial" w:cs="Arial"/>
        </w:rPr>
        <w:t xml:space="preserve"> – RRF). Jednym z kluczowych wyzwań w tym zakresie jest zwiększenie poziomu </w:t>
      </w:r>
      <w:proofErr w:type="spellStart"/>
      <w:r w:rsidRPr="00AC3649">
        <w:rPr>
          <w:rFonts w:ascii="Arial" w:hAnsi="Arial" w:cs="Arial"/>
        </w:rPr>
        <w:t>cyberbezpieczeństwa</w:t>
      </w:r>
      <w:proofErr w:type="spellEnd"/>
      <w:r w:rsidRPr="00AC3649">
        <w:rPr>
          <w:rFonts w:ascii="Arial" w:hAnsi="Arial" w:cs="Arial"/>
        </w:rPr>
        <w:t xml:space="preserve"> w podmiotach kluczowych z punktu widzenia gospodarki. Jednym z takich sektorów, objętych krajowym systemem </w:t>
      </w:r>
      <w:proofErr w:type="spellStart"/>
      <w:r w:rsidRPr="00AC3649">
        <w:rPr>
          <w:rFonts w:ascii="Arial" w:hAnsi="Arial" w:cs="Arial"/>
        </w:rPr>
        <w:t>cyberbezpieczeństwa</w:t>
      </w:r>
      <w:proofErr w:type="spellEnd"/>
      <w:r w:rsidRPr="00AC3649">
        <w:rPr>
          <w:rFonts w:ascii="Arial" w:hAnsi="Arial" w:cs="Arial"/>
        </w:rPr>
        <w:t xml:space="preserve">, jest sektor zaopatrywania w wodę. Szeroko w tym sektorze wykorzystywane są technologie operacyjne (OT) do sterowania i monitorowania świadczonych usług. Wystąpienie incydentu w tym obszarze łatwo mogłoby prowadzić do przerwania ciągłości świadczonych usług. Ponadto, jest to obszar w którym nie jest łatwo uzyskać środki na inwestycje z rynku prywatnego. Dlatego ten obszar wymaga działania ze strony państwa. Podmioty, dla których jest dedykowana pomoc, stanowią również podmioty krajowego systemu </w:t>
      </w:r>
      <w:proofErr w:type="spellStart"/>
      <w:r w:rsidRPr="00AC3649">
        <w:rPr>
          <w:rFonts w:ascii="Arial" w:hAnsi="Arial" w:cs="Arial"/>
        </w:rPr>
        <w:t>cyberbezpieczeństwa</w:t>
      </w:r>
      <w:proofErr w:type="spellEnd"/>
      <w:r w:rsidRPr="00AC3649">
        <w:rPr>
          <w:rFonts w:ascii="Arial" w:hAnsi="Arial" w:cs="Arial"/>
        </w:rPr>
        <w:t xml:space="preserve">, zgodnie z art. 4 ustawy z dnia 5 lipca 2018 r. o krajowym systemie </w:t>
      </w:r>
      <w:proofErr w:type="spellStart"/>
      <w:r w:rsidRPr="00AC3649">
        <w:rPr>
          <w:rFonts w:ascii="Arial" w:hAnsi="Arial" w:cs="Arial"/>
        </w:rPr>
        <w:t>cyberbezpieczeństwa</w:t>
      </w:r>
      <w:proofErr w:type="spellEnd"/>
      <w:r w:rsidRPr="00AC3649">
        <w:rPr>
          <w:rFonts w:ascii="Arial" w:hAnsi="Arial" w:cs="Arial"/>
        </w:rPr>
        <w:t xml:space="preserve"> (Dz. U. z 2024 r. poz. 1077 i 1222). 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>Podstawą do wydania przedmiotowego rozporządzenia jest art. 14lc ust. 4 ustawy z dnia 6 grudnia 2006 r. o zasadach prowadzenia polityki rozwoju. Podmiotem uprawnionym do wydania programów pomocowych umożliwiających takie wsparcie jest właściwy minister pełniący funkcję instytucji odpowiedzialnej za realizację inwestycji – w zakresie, w jakim pomoc, o której mowa powyżej, ma być udzielana w ramach inwestycji.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 xml:space="preserve">Projektowane rozporządzenie ma umożliwić udzielanie pomocy de </w:t>
      </w:r>
      <w:proofErr w:type="spellStart"/>
      <w:r w:rsidRPr="00AC3649">
        <w:rPr>
          <w:rFonts w:ascii="Arial" w:hAnsi="Arial" w:cs="Arial"/>
        </w:rPr>
        <w:t>minimis</w:t>
      </w:r>
      <w:proofErr w:type="spellEnd"/>
      <w:r w:rsidRPr="00AC3649">
        <w:rPr>
          <w:rFonts w:ascii="Arial" w:hAnsi="Arial" w:cs="Arial"/>
        </w:rPr>
        <w:t xml:space="preserve"> przedsiębiorstwom wodociągowo-kanalizacyjnym na inwestycje z zakresu </w:t>
      </w:r>
      <w:proofErr w:type="spellStart"/>
      <w:r w:rsidRPr="00AC3649">
        <w:rPr>
          <w:rFonts w:ascii="Arial" w:hAnsi="Arial" w:cs="Arial"/>
        </w:rPr>
        <w:t>cyberbezpieczeństwa</w:t>
      </w:r>
      <w:proofErr w:type="spellEnd"/>
      <w:r w:rsidRPr="00AC3649">
        <w:rPr>
          <w:rFonts w:ascii="Arial" w:hAnsi="Arial" w:cs="Arial"/>
        </w:rPr>
        <w:t xml:space="preserve">. Wsparcie będzie udzielane na przedsięwzięcie, którego celem jest zapewnienie </w:t>
      </w:r>
      <w:proofErr w:type="spellStart"/>
      <w:r w:rsidRPr="00AC3649">
        <w:rPr>
          <w:rFonts w:ascii="Arial" w:hAnsi="Arial" w:cs="Arial"/>
        </w:rPr>
        <w:t>cyberbezpieczeństwa</w:t>
      </w:r>
      <w:proofErr w:type="spellEnd"/>
      <w:r w:rsidRPr="00AC3649">
        <w:rPr>
          <w:rFonts w:ascii="Arial" w:hAnsi="Arial" w:cs="Arial"/>
        </w:rPr>
        <w:t xml:space="preserve"> wewnątrz danego podmiotu poprzez inwestycje w:</w:t>
      </w:r>
    </w:p>
    <w:p w:rsidR="00AC3649" w:rsidRPr="00AC3649" w:rsidRDefault="00AC3649" w:rsidP="00AC3649">
      <w:pPr>
        <w:spacing w:after="0"/>
        <w:ind w:left="284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 xml:space="preserve">1) środki organizacyjne służące zapewnianiu </w:t>
      </w:r>
      <w:proofErr w:type="spellStart"/>
      <w:r w:rsidRPr="00AC3649">
        <w:rPr>
          <w:rFonts w:ascii="Arial" w:hAnsi="Arial" w:cs="Arial"/>
        </w:rPr>
        <w:t>cyberbezpieczeństwa</w:t>
      </w:r>
      <w:proofErr w:type="spellEnd"/>
      <w:r w:rsidRPr="00AC3649">
        <w:rPr>
          <w:rFonts w:ascii="Arial" w:hAnsi="Arial" w:cs="Arial"/>
        </w:rPr>
        <w:t>;</w:t>
      </w:r>
    </w:p>
    <w:p w:rsidR="00AC3649" w:rsidRPr="00AC3649" w:rsidRDefault="00AC3649" w:rsidP="00AC3649">
      <w:pPr>
        <w:spacing w:after="0"/>
        <w:ind w:left="284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 xml:space="preserve">2) środki techniczne służące zapewnianiu </w:t>
      </w:r>
      <w:proofErr w:type="spellStart"/>
      <w:r w:rsidRPr="00AC3649">
        <w:rPr>
          <w:rFonts w:ascii="Arial" w:hAnsi="Arial" w:cs="Arial"/>
        </w:rPr>
        <w:t>cyberbezpieczeństwa</w:t>
      </w:r>
      <w:proofErr w:type="spellEnd"/>
      <w:r w:rsidRPr="00AC3649">
        <w:rPr>
          <w:rFonts w:ascii="Arial" w:hAnsi="Arial" w:cs="Arial"/>
        </w:rPr>
        <w:t xml:space="preserve">; </w:t>
      </w:r>
    </w:p>
    <w:p w:rsidR="00AC3649" w:rsidRPr="00AC3649" w:rsidRDefault="00AC3649" w:rsidP="00AC3649">
      <w:pPr>
        <w:spacing w:after="0"/>
        <w:ind w:left="284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 xml:space="preserve">3) rozwój kompetencji personelu w zakresie </w:t>
      </w:r>
      <w:proofErr w:type="spellStart"/>
      <w:r w:rsidRPr="00AC3649">
        <w:rPr>
          <w:rFonts w:ascii="Arial" w:hAnsi="Arial" w:cs="Arial"/>
        </w:rPr>
        <w:t>cyberbezpieczeństwa</w:t>
      </w:r>
      <w:proofErr w:type="spellEnd"/>
      <w:r w:rsidRPr="00AC3649">
        <w:rPr>
          <w:rFonts w:ascii="Arial" w:hAnsi="Arial" w:cs="Arial"/>
        </w:rPr>
        <w:t>.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 xml:space="preserve">Projektowane wsparcie pozwoli na zwiększenie </w:t>
      </w:r>
      <w:proofErr w:type="spellStart"/>
      <w:r w:rsidRPr="00AC3649">
        <w:rPr>
          <w:rFonts w:ascii="Arial" w:hAnsi="Arial" w:cs="Arial"/>
        </w:rPr>
        <w:t>cyberbezpieczeństwa</w:t>
      </w:r>
      <w:proofErr w:type="spellEnd"/>
      <w:r w:rsidRPr="00AC3649">
        <w:rPr>
          <w:rFonts w:ascii="Arial" w:hAnsi="Arial" w:cs="Arial"/>
        </w:rPr>
        <w:t xml:space="preserve"> w tych podmiotach poprzez inwestycje w sprzęt oraz kompetencje pracowników. Dzięki temu ten sektor gospodarki stanie się bardziej odporny na </w:t>
      </w:r>
      <w:proofErr w:type="spellStart"/>
      <w:r w:rsidRPr="00AC3649">
        <w:rPr>
          <w:rFonts w:ascii="Arial" w:hAnsi="Arial" w:cs="Arial"/>
        </w:rPr>
        <w:t>cyberzagrożenia</w:t>
      </w:r>
      <w:proofErr w:type="spellEnd"/>
      <w:r w:rsidRPr="00AC3649">
        <w:rPr>
          <w:rFonts w:ascii="Arial" w:hAnsi="Arial" w:cs="Arial"/>
        </w:rPr>
        <w:t>. Należy podkreślić, że zagwarantuje to zapewnienie ciągłości działania tych przedsiębiorstw co pozytywnie wpłynie również na wszystkie inne podmioty korzystające z usług tych podmiotów.</w:t>
      </w:r>
    </w:p>
    <w:p w:rsidR="001729ED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 xml:space="preserve">Osiągnięcie celów inwestycji C3.1.1. „Cyberbezpieczeństwo – </w:t>
      </w:r>
      <w:proofErr w:type="spellStart"/>
      <w:r w:rsidRPr="00AC3649">
        <w:rPr>
          <w:rFonts w:ascii="Arial" w:hAnsi="Arial" w:cs="Arial"/>
        </w:rPr>
        <w:t>CyberPL</w:t>
      </w:r>
      <w:proofErr w:type="spellEnd"/>
      <w:r w:rsidRPr="00AC3649">
        <w:rPr>
          <w:rFonts w:ascii="Arial" w:hAnsi="Arial" w:cs="Arial"/>
        </w:rPr>
        <w:t>, infrastruktura przetwarzania danych optymalizacja infrastruktury służb państwowych odpowiedzialnych za bezpieczeństwo” w wyniku podjęcia działań innych niż legislacyjne nie jest możliwe.</w:t>
      </w:r>
    </w:p>
    <w:p w:rsidR="001729ED" w:rsidRDefault="001729ED" w:rsidP="001729ED">
      <w:pPr>
        <w:spacing w:after="0"/>
        <w:jc w:val="both"/>
        <w:rPr>
          <w:rFonts w:ascii="Arial" w:hAnsi="Arial" w:cs="Arial"/>
        </w:rPr>
      </w:pP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>Przedmiotowy projekt aktu prawnego wraz z Uzasadnieniem oraz Oceną Skutków Regulacji dostępny jest na stronach Rządowego Centrum Legislacji pod adresem:</w:t>
      </w:r>
    </w:p>
    <w:p w:rsidR="00AC3649" w:rsidRDefault="00AC3649" w:rsidP="00AC3649">
      <w:pPr>
        <w:spacing w:after="0"/>
        <w:jc w:val="both"/>
        <w:rPr>
          <w:rFonts w:ascii="Arial" w:hAnsi="Arial" w:cs="Arial"/>
        </w:rPr>
      </w:pPr>
      <w:hyperlink r:id="rId7" w:history="1">
        <w:r w:rsidRPr="00842F0E">
          <w:rPr>
            <w:rStyle w:val="Hipercze"/>
            <w:rFonts w:ascii="Arial" w:hAnsi="Arial" w:cs="Arial"/>
          </w:rPr>
          <w:t>https://legislacja.rcl.gov.pl/projekt/1</w:t>
        </w:r>
        <w:r w:rsidRPr="00842F0E">
          <w:rPr>
            <w:rStyle w:val="Hipercze"/>
            <w:rFonts w:ascii="Arial" w:hAnsi="Arial" w:cs="Arial"/>
          </w:rPr>
          <w:t>2</w:t>
        </w:r>
        <w:r w:rsidRPr="00842F0E">
          <w:rPr>
            <w:rStyle w:val="Hipercze"/>
            <w:rFonts w:ascii="Arial" w:hAnsi="Arial" w:cs="Arial"/>
          </w:rPr>
          <w:t>395454/katalog/13115611#13115611</w:t>
        </w:r>
      </w:hyperlink>
      <w:r>
        <w:rPr>
          <w:rFonts w:ascii="Arial" w:hAnsi="Arial" w:cs="Arial"/>
        </w:rPr>
        <w:t xml:space="preserve"> </w:t>
      </w:r>
    </w:p>
    <w:p w:rsidR="00AC3649" w:rsidRDefault="00AC3649" w:rsidP="001729ED">
      <w:pPr>
        <w:spacing w:after="0"/>
        <w:jc w:val="both"/>
        <w:rPr>
          <w:rFonts w:ascii="Arial" w:hAnsi="Arial" w:cs="Arial"/>
        </w:rPr>
      </w:pPr>
    </w:p>
    <w:p w:rsidR="00AC3649" w:rsidRDefault="00AC3649" w:rsidP="001729ED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>Projekt jest obecnie jednocześnie na etapie uzgodnień, konsultacji publicznych i opiniowania</w:t>
      </w:r>
      <w:r>
        <w:rPr>
          <w:rFonts w:ascii="Arial" w:hAnsi="Arial" w:cs="Arial"/>
        </w:rPr>
        <w:t>.</w:t>
      </w:r>
    </w:p>
    <w:p w:rsidR="00AC3649" w:rsidRPr="001729ED" w:rsidRDefault="00AC3649" w:rsidP="001729ED">
      <w:pPr>
        <w:spacing w:after="0"/>
        <w:jc w:val="both"/>
        <w:rPr>
          <w:rFonts w:ascii="Arial" w:hAnsi="Arial" w:cs="Arial"/>
        </w:rPr>
      </w:pPr>
    </w:p>
    <w:p w:rsidR="00E638EE" w:rsidRPr="00E638EE" w:rsidRDefault="00AC3649" w:rsidP="00E638EE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/>
          <w:u w:val="single"/>
        </w:rPr>
      </w:pPr>
      <w:r w:rsidRPr="00AC3649">
        <w:rPr>
          <w:rFonts w:ascii="Arial" w:hAnsi="Arial" w:cs="Arial"/>
          <w:b/>
          <w:u w:val="single"/>
        </w:rPr>
        <w:t>Projekt rozporządzenia Ministra Infrastruktury zmieniającego rozporządzenie w sprawie ogólnych warunków prowadzenia ruchu kolejowego i sygnalizacji (numer z wykazu 90)</w:t>
      </w:r>
      <w:r w:rsidR="00E638EE" w:rsidRPr="00E638EE">
        <w:t xml:space="preserve"> </w:t>
      </w:r>
    </w:p>
    <w:p w:rsidR="001729ED" w:rsidRDefault="00E638EE" w:rsidP="00E638EE">
      <w:pPr>
        <w:pStyle w:val="Akapitzlist"/>
        <w:spacing w:after="0"/>
        <w:jc w:val="both"/>
        <w:rPr>
          <w:rFonts w:ascii="Arial" w:hAnsi="Arial" w:cs="Arial"/>
          <w:b/>
          <w:u w:val="single"/>
        </w:rPr>
      </w:pPr>
      <w:r w:rsidRPr="00E638EE">
        <w:rPr>
          <w:rFonts w:ascii="Arial" w:hAnsi="Arial" w:cs="Arial"/>
          <w:u w:val="single"/>
        </w:rPr>
        <w:t xml:space="preserve">Projekt datowany jest na dzień 16 października 2024 roku, lecz na stronach </w:t>
      </w:r>
      <w:proofErr w:type="spellStart"/>
      <w:r w:rsidRPr="00E638EE">
        <w:rPr>
          <w:rFonts w:ascii="Arial" w:hAnsi="Arial" w:cs="Arial"/>
          <w:u w:val="single"/>
        </w:rPr>
        <w:t>Rądowego</w:t>
      </w:r>
      <w:proofErr w:type="spellEnd"/>
      <w:r w:rsidRPr="00E638EE">
        <w:rPr>
          <w:rFonts w:ascii="Arial" w:hAnsi="Arial" w:cs="Arial"/>
          <w:u w:val="single"/>
        </w:rPr>
        <w:t xml:space="preserve"> Centrum Legislacji opublikowany został dopiero 11 marca 2025 roku.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lastRenderedPageBreak/>
        <w:t xml:space="preserve">Projekt zmiany rozporządzenia Ministra Infrastruktury z dnia 18 lipca 2005 r. w sprawie ogólnych warunków prowadzenia ruchu kolejowego i sygnalizacji (Dz. U. z 2015 r. poz. 360, z </w:t>
      </w:r>
      <w:proofErr w:type="spellStart"/>
      <w:r w:rsidRPr="00AC3649">
        <w:rPr>
          <w:rFonts w:ascii="Arial" w:hAnsi="Arial" w:cs="Arial"/>
        </w:rPr>
        <w:t>późn</w:t>
      </w:r>
      <w:proofErr w:type="spellEnd"/>
      <w:r w:rsidRPr="00AC3649">
        <w:rPr>
          <w:rFonts w:ascii="Arial" w:hAnsi="Arial" w:cs="Arial"/>
        </w:rPr>
        <w:t>. zm.), zwanego dalej „rozporządzeniem”, ma na celu dostosowanie przepisów do obecnych warunków prowadzenia ruchu kolejowego. Projekt jest odpowiedzią na prośby dotyczące jego nowelizacji kierowane do Ministerstwa Infrastruktury przez podmioty sektora kolejowego, w szczególności PKP Intercity S. A. oraz PKP Polskie Linie Kolejowe S. A. W ślad za postępem technologicznym, który ułatwia wszelkiego rodzaju operacje i procesy na kolei, konieczne jest dokonywanie zmian legislacyjnych. Należy również wziąć pod uwagę zmieniające się warunki pracy na kolei oraz aktualny stan infrastruktury kolejowej, która z roku na rok jest nowocześniejsza i ma większą przepustowość. Konieczne jest zatem podjęcie prac legislacyjnych tak, aby dostosować brzmienie aktu prawnego do rzeczywistych warunków prowadzenia ruchu kolejowego, a co ważniejsze aby nie utrudniać wdrażania koniecznych zmian na kolei, a wręcz przeciwnie – wychodzić naprzeciw oczekiwaniom związanym z modernizacją ogólnie pojętej infrastruktury kolejowej.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>Z uwagi na zmieniające się warunki, które obejmowały wiele aspektów prowadzenia ruchu kolejowego, konieczność nowelizacji dotyczy szeregu zagadnień w obowiązującym akcie prawnym.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>1) Zwiększenia prędkości pociągów w konkretnych sytuacjach i jej dostosowanie do obecnych warunków ruchu kolejowego, co w efekcie powinno usprawnić szereg procesów u przewoźników i zarządców infrastruktury przez: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>- wyeliminowanie ograniczeń prędkości manewrowych dla wagonów z towarami niebezpiecznymi,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>- zmianę prędkości jazdy w przypadku braku znajomości odcinków linii kolejowej przez drużynę trakcyjną,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>- zmianę prędkości zastępczego pojazdu trakcyjnego,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>- zmianę prędkości w przypadku cofania pociągów złożonych z zespołów trakcyjnych i składów posiadających na końcu kabinę sterowniczą,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 xml:space="preserve">- zmianę prędkości w przypadku zatrzymania pociągu przed semaforem </w:t>
      </w:r>
      <w:proofErr w:type="spellStart"/>
      <w:r w:rsidRPr="00AC3649">
        <w:rPr>
          <w:rFonts w:ascii="Arial" w:hAnsi="Arial" w:cs="Arial"/>
        </w:rPr>
        <w:t>odstępowym</w:t>
      </w:r>
      <w:proofErr w:type="spellEnd"/>
      <w:r w:rsidRPr="00AC3649">
        <w:rPr>
          <w:rFonts w:ascii="Arial" w:hAnsi="Arial" w:cs="Arial"/>
        </w:rPr>
        <w:t xml:space="preserve"> samoczynnym wskazującym sygnał S1 „Stój”.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>2) Wprowadzenie ułatwień w procesie obsługi technicznej pojazdów kolejowych przez: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>- ułatwienie zasad postępowania przy uproszczonej próbie hamulców i czynnego hamulca zespolonego,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>- uproszczenie zasad dotyczących oględzin technicznych na stacji końcowej.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>3) Poprawa warunków eksploatacji przez zapewnienie możliwości nieprzerwanej eksploatacji wszystkich posiadanych pojazdów do czasu rozwiązania problemów/naprawy z systemem ERTMS/ETCS.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>4) Wyeliminowanie wątpliwości dotyczących sygnalizacji przez: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>- wprowadzenie powiązania wskaźnika W 21 ze wskaźnikiem W 21a,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 xml:space="preserve">- doprecyzowanie opisu sygnałów </w:t>
      </w:r>
      <w:proofErr w:type="spellStart"/>
      <w:r w:rsidRPr="00AC3649">
        <w:rPr>
          <w:rFonts w:ascii="Arial" w:hAnsi="Arial" w:cs="Arial"/>
        </w:rPr>
        <w:t>Pc</w:t>
      </w:r>
      <w:proofErr w:type="spellEnd"/>
      <w:r w:rsidRPr="00AC3649">
        <w:rPr>
          <w:rFonts w:ascii="Arial" w:hAnsi="Arial" w:cs="Arial"/>
        </w:rPr>
        <w:t xml:space="preserve"> 1, </w:t>
      </w:r>
      <w:proofErr w:type="spellStart"/>
      <w:r w:rsidRPr="00AC3649">
        <w:rPr>
          <w:rFonts w:ascii="Arial" w:hAnsi="Arial" w:cs="Arial"/>
        </w:rPr>
        <w:t>Pc</w:t>
      </w:r>
      <w:proofErr w:type="spellEnd"/>
      <w:r w:rsidRPr="00AC3649">
        <w:rPr>
          <w:rFonts w:ascii="Arial" w:hAnsi="Arial" w:cs="Arial"/>
        </w:rPr>
        <w:t>, 2, Tb 1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>- doprecyzowanie opisu wskaźnika W 31.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>5) Usprawnienie organizacji przewozów kolejami wąskotorowymi.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>Proponowane zmiany w § 9 mają na celu wyeliminowanie dotychczasowych rygorystycznych ograniczeń prędkości manewrowania wagonami przewożącymi towary niebezpieczne, które powodowały znaczne utrudnienia eksploatacyjne na bocznicach kolejowych. W wyniku proponowanych zmian wagony przewożące towary niebezpieczne będą przetaczane na ogólnych zasadach ruchu manewrowego a także zgodnie z regulaminem pracy bocznicy kolejowej, bez uszczerbku dla bezpieczeństwa ruchu kolejowego.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lastRenderedPageBreak/>
        <w:t>Rekomendowanym przez projektodawcę rozwiązaniem problemu związanego z postępowaniem przy szczegółowej i uproszczonej próbie hamulców oraz czynnego hamulca zespolonego jest zmiana ust. 3 w § 15 oraz pkt 3 i 5 w ust. 3 i ust. 4 w § 19 rozporządzenia. W jej rezultacie w przypadku pociągów prowadzonych zespołami trakcyjnymi, gdy ich człony połączone są w sposób nierozerwalny, pojazd z nie w pełni czynnym hamulcem (niezależnie od wózka) może pozostawać w eksploatacji do czasu planowego zjazdu do stacji macierzystej, przy czym pociąg należy prowadzić z prędkością nie większą niż pozwala na to rzeczywista masa hamująca. Ponadto wydłużenie ważności szczegółowej próby hamulca z 12 do 24 godzin (§ 19 ust. 3 pkt 3) wynika z dostosowania przepisów krajowych w tym zakresie do wytycznych Agencji Kolejowej Unii Europejskiej.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>Problemy związane z nieefektywnością przepisów dotyczących prędkości jazdy w przypadku braku znajomości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 xml:space="preserve">odcinków linii kolejowej przez drużynę trakcyjną, prędkości zastępczego pojazdu trakcyjnego, prędkości w przypadku cofania pociągów złożonych z zespołów trakcyjnych i składów posiadających na końcu kabinę sterowniczą, prędkości w przypadku zatrzymania pociągu przed semaforem </w:t>
      </w:r>
      <w:proofErr w:type="spellStart"/>
      <w:r w:rsidRPr="00AC3649">
        <w:rPr>
          <w:rFonts w:ascii="Arial" w:hAnsi="Arial" w:cs="Arial"/>
        </w:rPr>
        <w:t>odstępowym</w:t>
      </w:r>
      <w:proofErr w:type="spellEnd"/>
      <w:r w:rsidRPr="00AC3649">
        <w:rPr>
          <w:rFonts w:ascii="Arial" w:hAnsi="Arial" w:cs="Arial"/>
        </w:rPr>
        <w:t xml:space="preserve"> samoczynnym wskazującym sygnał S1 „Stój” zostały rozwiązane przez nowelizację ust. 7 w § 21, ust. 7 w § 43, dodanie ust. 3 w § 49, zmianę treści pkt 18 w § 68 oraz ust. 3 w § 69. W ust. 7 w § 21 zwiększono dozwolone prędkości niektórych pociągów prowadzonych bez znajomości szlaku oraz wprowadzono rozróżnienie na pociągi towarowe i pasażerskie, ponadto pociągi prowadzone z wykorzystaniem systemu ERTMS/ETCS w trybie pełnego nadzoru prędkości jazdy. W ust. 7 w § 43 w przypadku zamknięcia toru szlakowego ze względu na awarię pojazdu trakcyjnego zaproponowano stosowanie dozwolonej na danym odcinku prędkości drogowej, ale z ograniczeniem do 60 km/h. Dodano ust. 3 w § 49, który ma na celu zwiększenie bezpieczeństwa, a także oszczędność czasu wycofania pociągu ze szlaku. Wskazano, że cofany pociąg zestawiony z zespołów trakcyjnych lub składów zakończonych kabiną sterowniczą powinien być cofany z kabiny umieszczonej w kierunku cofania. W tym przypadku cofanie może się odbywać za zgodą dyżurnego ruchu, w kierunku którego pociąg ma się cofać, z prędkością rozkładową dla tego pociągu. W § 68 pkt 18 zwiększono prędkość wyjazdu pociągu na szlak z blokadą samoczynną na podstawie sygnału zastępczego z 20 km/h na 40 km/h, analogiczna zmiana prędkości zaszła w ust. 3 w § 69, który dotyczy jazdy pociąg zatrzymanego przed semaforem </w:t>
      </w:r>
      <w:proofErr w:type="spellStart"/>
      <w:r w:rsidRPr="00AC3649">
        <w:rPr>
          <w:rFonts w:ascii="Arial" w:hAnsi="Arial" w:cs="Arial"/>
        </w:rPr>
        <w:t>odstępowym</w:t>
      </w:r>
      <w:proofErr w:type="spellEnd"/>
      <w:r w:rsidRPr="00AC3649">
        <w:rPr>
          <w:rFonts w:ascii="Arial" w:hAnsi="Arial" w:cs="Arial"/>
        </w:rPr>
        <w:t xml:space="preserve"> samoczynnym wskazującym sygnał S 1 „Stój”.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>Problem z niedostosowaniem wymaganej masy hamującej do obecnych realiów rozwiązano przez zmianę wartości w załączniku nr 1, rozszerzając wartości wymaganej masy hamującej dla większych prędkości w celu lepszego wykorzystania projektowanej i eksploatowanej infrastruktury kolejowej.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>Ponadto znowelizowano przepis ust. 2 w § 22 dotyczący oględzin technicznych na stacji końcowej przez wykreślenie ograniczenia prędkości pociągów co do których mają być wykonywane oględziny techniczne, a także ich przebiegu. Dodano postanowienie, że wymóg dokonywania oględzin technicznych nie dotyczy stacji zwrotnych, za wyjątkiem przypadków dołączenia pojazdów, na których nie zostały uprzednio dokonane oględziny techniczne. W takim przypadku oględzinom podlegają wyłącznie dołączone pojazdy.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>Problem związany z uszkodzeniami urządzeń systemu pokładowego ERTMS/ETCS rozwiązano przez dodanie nowego ust. 3 w § 30b pozwoli na nieprzerwaną eksploatację wszystkich pojazdów do czasu rozwiązania problemów/naprawy z systemem ERTMS/ETCS - nie zmniejszając przy tym rzeczywistego poziomu bezpieczeństwa wobec stosowania alternatywnych, obowiązujących zasad prowadzenia ruchu jak dla pojazdów niewyposażonych w przedmiotowy system.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lastRenderedPageBreak/>
        <w:t>Celem proponowanych zmian w § 82 ust. 2 i § 83 ust. 4 jest usprawnienie manewrów na stacji kolejowej w przypadkach gdy z różnych względów nie jest możliwe podanie sygnału Ms 3 na semaforze bądź tarczy manewrowej. W tych przypadkach umożliwione zostało prowadzenie manewrów przy pomocy sygnałów ręcznych albo urządzeń łączności.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>W § 100b zaproponowano doprecyzowanie kwestii podawania sygnałów stosowanych przy odjeździe pociągu pasażerskiego ze stacji tj. umożliwiono podawanie tych sygnałów również konduktorowi, a nie jak dotychczas tylko kierownikowi pociągu.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 xml:space="preserve">W projektowanej zmianie § 105 doprecyzowane zostały przepisy dotyczące sygnałów </w:t>
      </w:r>
      <w:proofErr w:type="spellStart"/>
      <w:r w:rsidRPr="00AC3649">
        <w:rPr>
          <w:rFonts w:ascii="Arial" w:hAnsi="Arial" w:cs="Arial"/>
        </w:rPr>
        <w:t>Pc</w:t>
      </w:r>
      <w:proofErr w:type="spellEnd"/>
      <w:r w:rsidRPr="00AC3649">
        <w:rPr>
          <w:rFonts w:ascii="Arial" w:hAnsi="Arial" w:cs="Arial"/>
        </w:rPr>
        <w:t xml:space="preserve"> 1 i </w:t>
      </w:r>
      <w:proofErr w:type="spellStart"/>
      <w:r w:rsidRPr="00AC3649">
        <w:rPr>
          <w:rFonts w:ascii="Arial" w:hAnsi="Arial" w:cs="Arial"/>
        </w:rPr>
        <w:t>Pc</w:t>
      </w:r>
      <w:proofErr w:type="spellEnd"/>
      <w:r w:rsidRPr="00AC3649">
        <w:rPr>
          <w:rFonts w:ascii="Arial" w:hAnsi="Arial" w:cs="Arial"/>
        </w:rPr>
        <w:t xml:space="preserve"> 2, ponieważ zgodnie z dotychczasowymi przepisami można było wywnioskować błędną interpretację, że sygnałów tych można używać tylko gdy pociąg znajduje się w ruchu. Oczywistym zdaniem projektodawcy jest to że sygnałów tych można używać, również gdy pociąg nie znajduje się w ruchu. Natomiast zmiana w ust. 7 wynika ze zmian wprowadzonych w § 49 ust. 2a.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 xml:space="preserve">W projektowanej zmianie § 106 zlikwidowana została luka, polegająca na tym że dotychczasowe przepisy nie uwzględniały faktu, że w nowoczesnych pojazdach kolejowych (np. ED250 </w:t>
      </w:r>
      <w:proofErr w:type="spellStart"/>
      <w:r w:rsidRPr="00AC3649">
        <w:rPr>
          <w:rFonts w:ascii="Arial" w:hAnsi="Arial" w:cs="Arial"/>
        </w:rPr>
        <w:t>Pendolino</w:t>
      </w:r>
      <w:proofErr w:type="spellEnd"/>
      <w:r w:rsidRPr="00AC3649">
        <w:rPr>
          <w:rFonts w:ascii="Arial" w:hAnsi="Arial" w:cs="Arial"/>
        </w:rPr>
        <w:t>) stanowisko maszynisty umiejscowione jest centralnie (a nie z boku kabiny maszynisty) i w związku z tym mogły zachodzić wątpliwości w jaki sposób należy prawidłowo wyświetlić sygnał Tb 1.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 xml:space="preserve">Zmiany zaproponowane w § 112 w ust. 2 pkt 6a i 6b dotyczą nowego znaczenia wskaźników W 6a i W 6b. Celem tej zmiany jest zredukowanie podawania sygnału </w:t>
      </w:r>
      <w:proofErr w:type="spellStart"/>
      <w:r w:rsidRPr="00AC3649">
        <w:rPr>
          <w:rFonts w:ascii="Arial" w:hAnsi="Arial" w:cs="Arial"/>
        </w:rPr>
        <w:t>Rp</w:t>
      </w:r>
      <w:proofErr w:type="spellEnd"/>
      <w:r w:rsidRPr="00AC3649">
        <w:rPr>
          <w:rFonts w:ascii="Arial" w:hAnsi="Arial" w:cs="Arial"/>
        </w:rPr>
        <w:t xml:space="preserve"> 1 „Baczność” przed zabezpieczonymi przejazdami kolejowo-drogowymi i przejściami w wyniku bardzo dużej ilości skarg mieszkańców okolic przejazdów kolejowo-drogowych na hałas powodowany podawaniem sygnału </w:t>
      </w:r>
      <w:proofErr w:type="spellStart"/>
      <w:r w:rsidRPr="00AC3649">
        <w:rPr>
          <w:rFonts w:ascii="Arial" w:hAnsi="Arial" w:cs="Arial"/>
        </w:rPr>
        <w:t>Rp</w:t>
      </w:r>
      <w:proofErr w:type="spellEnd"/>
      <w:r w:rsidRPr="00AC3649">
        <w:rPr>
          <w:rFonts w:ascii="Arial" w:hAnsi="Arial" w:cs="Arial"/>
        </w:rPr>
        <w:t xml:space="preserve"> 1 „Baczność”. Ponadto należy mieć na uwadze, że podawanie sygnału </w:t>
      </w:r>
      <w:proofErr w:type="spellStart"/>
      <w:r w:rsidRPr="00AC3649">
        <w:rPr>
          <w:rFonts w:ascii="Arial" w:hAnsi="Arial" w:cs="Arial"/>
        </w:rPr>
        <w:t>Rp</w:t>
      </w:r>
      <w:proofErr w:type="spellEnd"/>
      <w:r w:rsidRPr="00AC3649">
        <w:rPr>
          <w:rFonts w:ascii="Arial" w:hAnsi="Arial" w:cs="Arial"/>
        </w:rPr>
        <w:t xml:space="preserve"> 1 „Baczność” jest często niesłyszalne dla kierowców samochodów osobowych ze względu na wygłuszenie wnętrza nowoczesnych samochodów oraz częste słuchanie przez kierowców radia lub odtwarzanie muzyki wewnątrz samochodu.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>Projekt zakłada również ustanowienia nowego wskaźnika W 21a oraz dodanie w § 112 w ust. 2 w pkt 21 lit. e, co ma pozwolić rozwiać dotychczasowe wątpliwości maszynistów polegające na zwlekaniu z wdrożeniem hamowania do prędkości 100 km/h wypatrując, czy wskaźnik świeci - czym ryzykują przekroczenie prędkości przy semaforze albo hamowaniu do prędkości 100 km/h wynikającej z obrazu semafora, a następnie przyspieszaniu. Przepis precyzuje powyższe i dzięki temu nie zostawia żadnych wątpliwości. Natomiast w § 112 w ust. 2 w pkt 22 wykreślono fragment „a sygnały wyświetlane na nim są nieobowiązujące”. Proponowana zmiana przepisu powoduje, że nieobowiązujące sygnały będą niewidoczne dla maszynistów i nie będą powodowały ryzyka pomyłki.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>Ponadto wprowadzono, w wyniku propozycji zgłaszanych w ramach konsultacji publicznych przez przedstawicieli stowarzyszeń zarządzających kolejami wąskotorowymi i prowadzących na nich przewozy o charakterze turystycznym, zmiany mające na celu usprawnienie organizacji tych przewozów.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  <w:r w:rsidRPr="00AC3649">
        <w:rPr>
          <w:rFonts w:ascii="Arial" w:hAnsi="Arial" w:cs="Arial"/>
        </w:rPr>
        <w:t>Nie ma możliwości osiągnięcia celu projektu za pomocą innych środków niż zmiana rozporządzenia.</w:t>
      </w:r>
    </w:p>
    <w:p w:rsidR="00AC3649" w:rsidRPr="00AC3649" w:rsidRDefault="00AC3649" w:rsidP="00AC3649">
      <w:pPr>
        <w:spacing w:after="0"/>
        <w:jc w:val="both"/>
        <w:rPr>
          <w:rFonts w:ascii="Arial" w:hAnsi="Arial" w:cs="Arial"/>
        </w:rPr>
      </w:pPr>
    </w:p>
    <w:p w:rsidR="00E638EE" w:rsidRPr="00E638EE" w:rsidRDefault="00E638EE" w:rsidP="00E638EE">
      <w:pPr>
        <w:spacing w:after="0"/>
        <w:jc w:val="both"/>
        <w:rPr>
          <w:rFonts w:ascii="Arial" w:hAnsi="Arial" w:cs="Arial"/>
        </w:rPr>
      </w:pPr>
      <w:r w:rsidRPr="00E638EE">
        <w:rPr>
          <w:rFonts w:ascii="Arial" w:hAnsi="Arial" w:cs="Arial"/>
        </w:rPr>
        <w:t>Przedmiotowy projekt aktu prawnego wraz z załącznikami (szt. 3), Uzasadnieniem oraz Oceną Skutków Regulacji dostępny jest na stronach Rządowego Centrum Legislacji pod adresem:</w:t>
      </w:r>
    </w:p>
    <w:p w:rsidR="00AC3649" w:rsidRDefault="00E638EE" w:rsidP="00E638EE">
      <w:pPr>
        <w:spacing w:after="0"/>
        <w:jc w:val="both"/>
        <w:rPr>
          <w:rFonts w:ascii="Arial" w:hAnsi="Arial" w:cs="Arial"/>
        </w:rPr>
      </w:pPr>
      <w:hyperlink r:id="rId8" w:history="1">
        <w:r w:rsidRPr="00842F0E">
          <w:rPr>
            <w:rStyle w:val="Hipercze"/>
            <w:rFonts w:ascii="Arial" w:hAnsi="Arial" w:cs="Arial"/>
          </w:rPr>
          <w:t>https://legislacja.rcl.gov.pl/projekt/12395503</w:t>
        </w:r>
        <w:r w:rsidRPr="00842F0E">
          <w:rPr>
            <w:rStyle w:val="Hipercze"/>
            <w:rFonts w:ascii="Arial" w:hAnsi="Arial" w:cs="Arial"/>
          </w:rPr>
          <w:t>/</w:t>
        </w:r>
        <w:r w:rsidRPr="00842F0E">
          <w:rPr>
            <w:rStyle w:val="Hipercze"/>
            <w:rFonts w:ascii="Arial" w:hAnsi="Arial" w:cs="Arial"/>
          </w:rPr>
          <w:t>katalog/13115887#13115887</w:t>
        </w:r>
      </w:hyperlink>
      <w:r>
        <w:rPr>
          <w:rFonts w:ascii="Arial" w:hAnsi="Arial" w:cs="Arial"/>
        </w:rPr>
        <w:t xml:space="preserve"> </w:t>
      </w:r>
    </w:p>
    <w:p w:rsidR="00E638EE" w:rsidRDefault="00E638EE" w:rsidP="00E638EE">
      <w:pPr>
        <w:spacing w:after="0"/>
        <w:jc w:val="both"/>
        <w:rPr>
          <w:rFonts w:ascii="Arial" w:hAnsi="Arial" w:cs="Arial"/>
        </w:rPr>
      </w:pPr>
    </w:p>
    <w:p w:rsidR="00E638EE" w:rsidRDefault="00E638EE" w:rsidP="00E638EE">
      <w:pPr>
        <w:spacing w:after="0"/>
        <w:jc w:val="both"/>
        <w:rPr>
          <w:rFonts w:ascii="Arial" w:hAnsi="Arial" w:cs="Arial"/>
        </w:rPr>
      </w:pPr>
      <w:r w:rsidRPr="00E638EE">
        <w:rPr>
          <w:rFonts w:ascii="Arial" w:hAnsi="Arial" w:cs="Arial"/>
        </w:rPr>
        <w:t>Projekt jest obecnie jednocześnie na etapie uzgodnień</w:t>
      </w:r>
      <w:r>
        <w:rPr>
          <w:rFonts w:ascii="Arial" w:hAnsi="Arial" w:cs="Arial"/>
        </w:rPr>
        <w:t xml:space="preserve"> </w:t>
      </w:r>
      <w:r w:rsidRPr="00E638E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konsultacji publicznych.</w:t>
      </w:r>
    </w:p>
    <w:p w:rsidR="001A6405" w:rsidRDefault="001A6405" w:rsidP="00E638EE">
      <w:pPr>
        <w:spacing w:after="0"/>
        <w:jc w:val="both"/>
        <w:rPr>
          <w:rFonts w:ascii="Arial" w:hAnsi="Arial" w:cs="Arial"/>
        </w:rPr>
      </w:pPr>
    </w:p>
    <w:p w:rsidR="001729ED" w:rsidRPr="001A6405" w:rsidRDefault="001A6405" w:rsidP="001A6405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/>
          <w:u w:val="single"/>
        </w:rPr>
      </w:pPr>
      <w:r w:rsidRPr="001A6405">
        <w:rPr>
          <w:rFonts w:ascii="Arial" w:hAnsi="Arial" w:cs="Arial"/>
          <w:b/>
          <w:u w:val="single"/>
        </w:rPr>
        <w:t>Projekt rozporządzenia Ministra Funduszy i Polityki Regionalnej zmieniające rozporządzenie w sprawie udzielania przez Polską Agencję Rozwoju Przedsiębiorczości pomocy finansowej w ramach programu „Fundusze Europejskie dla Rozwoju Społecznego 2021–2027” (numer z wykazu 118)</w:t>
      </w:r>
    </w:p>
    <w:p w:rsidR="001729ED" w:rsidRDefault="001729ED" w:rsidP="001729ED">
      <w:pPr>
        <w:spacing w:after="0"/>
        <w:jc w:val="both"/>
        <w:rPr>
          <w:rFonts w:ascii="Arial" w:hAnsi="Arial" w:cs="Arial"/>
        </w:rPr>
      </w:pPr>
    </w:p>
    <w:p w:rsidR="001A6405" w:rsidRPr="001A6405" w:rsidRDefault="001A6405" w:rsidP="001A6405">
      <w:pPr>
        <w:spacing w:after="0"/>
        <w:jc w:val="both"/>
        <w:rPr>
          <w:rFonts w:ascii="Arial" w:hAnsi="Arial" w:cs="Arial"/>
        </w:rPr>
      </w:pPr>
      <w:r w:rsidRPr="001A6405">
        <w:rPr>
          <w:rFonts w:ascii="Arial" w:hAnsi="Arial" w:cs="Arial"/>
        </w:rPr>
        <w:t xml:space="preserve">Nowelizacja rozporządzenia Ministra Funduszy i Polityki Regionalnej  z dnia 25 maja 2023 r. w sprawie udzielania przez Polską Agencję Rozwoju Przedsiębiorczości pomocy finansowej w ramach programu „Fundusze Europejskie dla Rozwoju Społecznego 2021–2027” (Dz. U. poz. 1106, z </w:t>
      </w:r>
      <w:proofErr w:type="spellStart"/>
      <w:r w:rsidRPr="001A6405">
        <w:rPr>
          <w:rFonts w:ascii="Arial" w:hAnsi="Arial" w:cs="Arial"/>
        </w:rPr>
        <w:t>późn</w:t>
      </w:r>
      <w:proofErr w:type="spellEnd"/>
      <w:r w:rsidRPr="001A6405">
        <w:rPr>
          <w:rFonts w:ascii="Arial" w:hAnsi="Arial" w:cs="Arial"/>
        </w:rPr>
        <w:t>. zm.) ma na celu dostosowanie rozporządzenia do zakresu wsparcia planowanego do realizacji w ramach programu Fundusze Europejskie dla Rozwoju Społecznego 2021–2027, zwanego dalej „FERS”, przez Polską Agencję Rozwoju Przedsiębiorczości, zwaną dalej „PARP”, w obszarze adaptacyjności pracowników i przedsiębiorstw w 2025 r.</w:t>
      </w:r>
    </w:p>
    <w:p w:rsidR="001A6405" w:rsidRPr="001A6405" w:rsidRDefault="001A6405" w:rsidP="001A6405">
      <w:pPr>
        <w:spacing w:after="0"/>
        <w:jc w:val="both"/>
        <w:rPr>
          <w:rFonts w:ascii="Arial" w:hAnsi="Arial" w:cs="Arial"/>
        </w:rPr>
      </w:pPr>
      <w:r w:rsidRPr="001A6405">
        <w:rPr>
          <w:rFonts w:ascii="Arial" w:hAnsi="Arial" w:cs="Arial"/>
        </w:rPr>
        <w:t>Zmiana rozporządzenia ureguluje kwestię udzielania pomocy finansowej na szkolenia i doradztwo dla osób fizycznych w ramach pilotażu Indywidualnych Kont Rozwojowych, zwanych dalej „IKR”, oraz doprecyzuje warunki udzielania tego wsparcia. System IKR pozwoli osobom fizycznym na zdobycie nowych umiejętności i kompetencji, co zwiększy ich atrakcyjność na rynku pracy, poprawiając tym samym stabilność zatrudnienia i możliwości awansu zawodowego. Lepsze kwalifikacje przyczynią się również do wzrostu produktywności i efektywności przedsiębiorstw, co będzie miało bezpośredni wpływ na rozwój gospodarczy kraju. Dodatkowo, szkolenia i doradztwo umożliwią osobom fizycznym lepsze zrozumienie i wykorzystanie nowych technologii, co jest kluczowe w dobie cyfryzacji i automatyzacji procesów.</w:t>
      </w:r>
    </w:p>
    <w:p w:rsidR="001A6405" w:rsidRPr="001A6405" w:rsidRDefault="001A6405" w:rsidP="001A6405">
      <w:pPr>
        <w:spacing w:after="0"/>
        <w:jc w:val="both"/>
        <w:rPr>
          <w:rFonts w:ascii="Arial" w:hAnsi="Arial" w:cs="Arial"/>
        </w:rPr>
      </w:pPr>
      <w:r w:rsidRPr="001A6405">
        <w:rPr>
          <w:rFonts w:ascii="Arial" w:hAnsi="Arial" w:cs="Arial"/>
        </w:rPr>
        <w:t xml:space="preserve">Nowelizacja wynika również z potrzeby uwzględnienia form wsparcia planowanych do realizacji w ramach projektu niekonkurencyjnego PARP dotyczącego wsparcia mikro-, małych lub średnich przedsiębiorców znajdujących się w okresowych trudnościach, zwanych dalej „MŚP”, w formie mentoringu. Wsparciem szkoleniowym dla przedsiębiorców objęci będą również przedsiębiorcy, którzy będą świadczyli usługi mentoringu. Wprowadzenie zmiany pozwoli uruchomić nową metodę wsparcia ww. przedsiębiorców i uzupełnić dotychczasowo oferowane wsparcie za pośrednictwem Bazy Usług Rozwojowych, by w sposób pełny odpowiedzieć na potrzeby tej grupy odbiorców. </w:t>
      </w:r>
    </w:p>
    <w:p w:rsidR="001A6405" w:rsidRPr="001A6405" w:rsidRDefault="001A6405" w:rsidP="001A6405">
      <w:pPr>
        <w:spacing w:after="0"/>
        <w:jc w:val="both"/>
        <w:rPr>
          <w:rFonts w:ascii="Arial" w:hAnsi="Arial" w:cs="Arial"/>
        </w:rPr>
      </w:pPr>
      <w:r w:rsidRPr="001A6405">
        <w:rPr>
          <w:rFonts w:ascii="Arial" w:hAnsi="Arial" w:cs="Arial"/>
        </w:rPr>
        <w:t xml:space="preserve">Dodatkowo, w projekcie doprecyzowano koszty kwalifikowalne związane z realizacją projektów dotyczących opracowania i włączenia kwalifikacji rynkowych do Zintegrowanego Systemu Kwalifikacji, o którym mowa w ustawie z dnia 22 grudnia 2015 r. o Zintegrowanym Systemie Kwalifikacji (Dz. U. z 2024 r. poz. 1606) oraz uzyskania uprawnień do certyfikowania lub upoważnień do przeprowadzania walidacji. </w:t>
      </w:r>
    </w:p>
    <w:p w:rsidR="001A6405" w:rsidRPr="001A6405" w:rsidRDefault="001A6405" w:rsidP="001A6405">
      <w:pPr>
        <w:spacing w:after="0"/>
        <w:jc w:val="both"/>
        <w:rPr>
          <w:rFonts w:ascii="Arial" w:hAnsi="Arial" w:cs="Arial"/>
        </w:rPr>
      </w:pPr>
      <w:r w:rsidRPr="001A6405">
        <w:rPr>
          <w:rFonts w:ascii="Arial" w:hAnsi="Arial" w:cs="Arial"/>
        </w:rPr>
        <w:t>Dodatkowo, w związku ze zmianą sposobu obliczania limitu kosztów objętych zasadą cross-</w:t>
      </w:r>
      <w:proofErr w:type="spellStart"/>
      <w:r w:rsidRPr="001A6405">
        <w:rPr>
          <w:rFonts w:ascii="Arial" w:hAnsi="Arial" w:cs="Arial"/>
        </w:rPr>
        <w:t>financingu</w:t>
      </w:r>
      <w:proofErr w:type="spellEnd"/>
      <w:r w:rsidRPr="001A6405">
        <w:rPr>
          <w:rFonts w:ascii="Arial" w:hAnsi="Arial" w:cs="Arial"/>
        </w:rPr>
        <w:t xml:space="preserve">, zgodnie  z Zasadami finansowania programu Fundusze Europejskie dla Rozwoju Społecznego  2021–2027, w projekcie rozporządzenia znajduje się doprecyzowanie kwestii kosztów stanowiących podstawę wyliczenia pomocy  de </w:t>
      </w:r>
      <w:proofErr w:type="spellStart"/>
      <w:r w:rsidRPr="001A6405">
        <w:rPr>
          <w:rFonts w:ascii="Arial" w:hAnsi="Arial" w:cs="Arial"/>
        </w:rPr>
        <w:t>minimis</w:t>
      </w:r>
      <w:proofErr w:type="spellEnd"/>
      <w:r w:rsidRPr="001A6405">
        <w:rPr>
          <w:rFonts w:ascii="Arial" w:hAnsi="Arial" w:cs="Arial"/>
        </w:rPr>
        <w:t xml:space="preserve"> udzielanej przedsiębiorcom realizującym projekty dotyczące usług doradczych lub szkoleniowych.</w:t>
      </w:r>
    </w:p>
    <w:p w:rsidR="001A6405" w:rsidRDefault="001A6405" w:rsidP="001A6405">
      <w:pPr>
        <w:spacing w:after="0"/>
        <w:jc w:val="both"/>
        <w:rPr>
          <w:rFonts w:ascii="Arial" w:hAnsi="Arial" w:cs="Arial"/>
        </w:rPr>
      </w:pPr>
      <w:r w:rsidRPr="001A6405">
        <w:rPr>
          <w:rFonts w:ascii="Arial" w:hAnsi="Arial" w:cs="Arial"/>
        </w:rPr>
        <w:t>Konieczna jest zmiana rozporządzenia Ministra Funduszy i Polityki Regionalnej z dnia 25 maja 2023 r.  w sprawie udzielania przez Polską Agencję Rozwoju Przedsiębiorczości pomocy finansowej w ramach programu „Fundusze Europejskie dla Rozwoju Społecznego 2021–2027” w celu uregulowania udzielania wsparcia osobom fizycznym  w ramach pilotażu IKR oraz pomocy w formie mentoringu dla MŚP.</w:t>
      </w:r>
    </w:p>
    <w:p w:rsidR="001A6405" w:rsidRDefault="001A6405" w:rsidP="001A6405">
      <w:pPr>
        <w:spacing w:after="0"/>
        <w:jc w:val="both"/>
        <w:rPr>
          <w:rFonts w:ascii="Arial" w:hAnsi="Arial" w:cs="Arial"/>
        </w:rPr>
      </w:pPr>
    </w:p>
    <w:p w:rsidR="001A6405" w:rsidRPr="001A6405" w:rsidRDefault="001A6405" w:rsidP="001A6405">
      <w:pPr>
        <w:spacing w:after="0"/>
        <w:jc w:val="both"/>
        <w:rPr>
          <w:rFonts w:ascii="Arial" w:hAnsi="Arial" w:cs="Arial"/>
        </w:rPr>
      </w:pPr>
      <w:r w:rsidRPr="001A6405">
        <w:rPr>
          <w:rFonts w:ascii="Arial" w:hAnsi="Arial" w:cs="Arial"/>
        </w:rPr>
        <w:lastRenderedPageBreak/>
        <w:t>Przedmiotowy projekt aktu prawnego wraz z Uzasadnieniem oraz Oceną Skutków Regulacji dostępny jest na stronach Rządowego Centrum Legislacji pod adresem:</w:t>
      </w:r>
    </w:p>
    <w:p w:rsidR="001A6405" w:rsidRDefault="001A6405" w:rsidP="001A6405">
      <w:pPr>
        <w:spacing w:after="0"/>
        <w:jc w:val="both"/>
        <w:rPr>
          <w:rFonts w:ascii="Arial" w:hAnsi="Arial" w:cs="Arial"/>
        </w:rPr>
      </w:pPr>
      <w:hyperlink r:id="rId9" w:history="1">
        <w:r w:rsidRPr="00842F0E">
          <w:rPr>
            <w:rStyle w:val="Hipercze"/>
            <w:rFonts w:ascii="Arial" w:hAnsi="Arial" w:cs="Arial"/>
          </w:rPr>
          <w:t>https://legislacja.rcl.gov.pl/projekt/12395</w:t>
        </w:r>
        <w:r w:rsidRPr="00842F0E">
          <w:rPr>
            <w:rStyle w:val="Hipercze"/>
            <w:rFonts w:ascii="Arial" w:hAnsi="Arial" w:cs="Arial"/>
          </w:rPr>
          <w:t>7</w:t>
        </w:r>
        <w:r w:rsidRPr="00842F0E">
          <w:rPr>
            <w:rStyle w:val="Hipercze"/>
            <w:rFonts w:ascii="Arial" w:hAnsi="Arial" w:cs="Arial"/>
          </w:rPr>
          <w:t>04/katalog/13116636#13116636</w:t>
        </w:r>
      </w:hyperlink>
      <w:r>
        <w:rPr>
          <w:rFonts w:ascii="Arial" w:hAnsi="Arial" w:cs="Arial"/>
        </w:rPr>
        <w:t xml:space="preserve"> </w:t>
      </w:r>
    </w:p>
    <w:p w:rsidR="001A6405" w:rsidRDefault="001A6405" w:rsidP="001A6405">
      <w:pPr>
        <w:spacing w:after="0"/>
        <w:jc w:val="both"/>
        <w:rPr>
          <w:rFonts w:ascii="Arial" w:hAnsi="Arial" w:cs="Arial"/>
        </w:rPr>
      </w:pPr>
    </w:p>
    <w:p w:rsidR="001A6405" w:rsidRDefault="001A6405" w:rsidP="001A6405">
      <w:pPr>
        <w:spacing w:after="0"/>
        <w:jc w:val="both"/>
        <w:rPr>
          <w:rFonts w:ascii="Arial" w:hAnsi="Arial" w:cs="Arial"/>
        </w:rPr>
      </w:pPr>
      <w:r w:rsidRPr="001A6405">
        <w:rPr>
          <w:rFonts w:ascii="Arial" w:hAnsi="Arial" w:cs="Arial"/>
        </w:rPr>
        <w:t>Projekt jest obecnie jednocześnie na etapie uzgodnień, konsultacji publicznych i opiniowania</w:t>
      </w:r>
      <w:r>
        <w:rPr>
          <w:rFonts w:ascii="Arial" w:hAnsi="Arial" w:cs="Arial"/>
        </w:rPr>
        <w:t>.</w:t>
      </w:r>
    </w:p>
    <w:p w:rsidR="001A6405" w:rsidRDefault="001A6405" w:rsidP="001729ED">
      <w:pPr>
        <w:spacing w:after="0"/>
        <w:jc w:val="both"/>
        <w:rPr>
          <w:rFonts w:ascii="Arial" w:hAnsi="Arial" w:cs="Arial"/>
        </w:rPr>
      </w:pPr>
    </w:p>
    <w:p w:rsidR="001729ED" w:rsidRPr="00CB4A6E" w:rsidRDefault="001729ED" w:rsidP="001729ED">
      <w:pPr>
        <w:spacing w:after="0"/>
        <w:rPr>
          <w:rFonts w:ascii="Arial" w:hAnsi="Arial" w:cs="Arial"/>
        </w:rPr>
      </w:pPr>
    </w:p>
    <w:p w:rsidR="001729ED" w:rsidRDefault="001729ED" w:rsidP="001729E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Ogłoszone akty prawne (Dziennik Ustaw RP)</w:t>
      </w:r>
    </w:p>
    <w:p w:rsidR="001729ED" w:rsidRDefault="001729ED" w:rsidP="001729ED">
      <w:pPr>
        <w:spacing w:after="0"/>
        <w:jc w:val="both"/>
        <w:rPr>
          <w:rFonts w:ascii="Arial" w:hAnsi="Arial" w:cs="Arial"/>
        </w:rPr>
      </w:pPr>
    </w:p>
    <w:p w:rsidR="001A6405" w:rsidRDefault="001729ED" w:rsidP="001729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analizowanym okresie opublikowano </w:t>
      </w:r>
      <w:r w:rsidR="001A6405">
        <w:rPr>
          <w:rFonts w:ascii="Arial" w:hAnsi="Arial" w:cs="Arial"/>
        </w:rPr>
        <w:t>42</w:t>
      </w:r>
      <w:r>
        <w:rPr>
          <w:rFonts w:ascii="Arial" w:hAnsi="Arial" w:cs="Arial"/>
        </w:rPr>
        <w:t xml:space="preserve"> akt</w:t>
      </w:r>
      <w:r w:rsidR="001A6405">
        <w:rPr>
          <w:rFonts w:ascii="Arial" w:hAnsi="Arial" w:cs="Arial"/>
        </w:rPr>
        <w:t>y prawne</w:t>
      </w:r>
      <w:r>
        <w:rPr>
          <w:rFonts w:ascii="Arial" w:hAnsi="Arial" w:cs="Arial"/>
        </w:rPr>
        <w:t xml:space="preserve">, tzn. ustawy, rozporządzenia Rady Ministrów, Prezesa Rady Ministrów i poszczególnych ministrów, obwieszczenia w sprawie ogłoszenia tekstu jednolitego. </w:t>
      </w:r>
    </w:p>
    <w:p w:rsidR="001729ED" w:rsidRDefault="001729ED" w:rsidP="001729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 powyższych publikacji w zainteresowaniu pracodawców i przedsiębiorców znaleźć się mogą następujące akty prawne:</w:t>
      </w:r>
    </w:p>
    <w:p w:rsidR="001729ED" w:rsidRDefault="001729ED" w:rsidP="001729ED">
      <w:pPr>
        <w:spacing w:after="0"/>
        <w:jc w:val="both"/>
        <w:rPr>
          <w:rFonts w:ascii="Arial" w:hAnsi="Arial" w:cs="Arial"/>
        </w:rPr>
      </w:pPr>
    </w:p>
    <w:p w:rsidR="00723FB0" w:rsidRPr="00723FB0" w:rsidRDefault="001A6405" w:rsidP="001A6405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1A6405">
        <w:rPr>
          <w:rFonts w:ascii="Arial" w:hAnsi="Arial" w:cs="Arial"/>
          <w:u w:val="single"/>
        </w:rPr>
        <w:t xml:space="preserve">Ustawa z dnia 21 lutego 2025 r. o zmianie ustawy o rynku mocy oraz niektórych innych ustaw </w:t>
      </w:r>
    </w:p>
    <w:p w:rsidR="00723FB0" w:rsidRDefault="00723FB0" w:rsidP="00723FB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1729ED" w:rsidRPr="00723FB0" w:rsidRDefault="001729ED" w:rsidP="00723FB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723FB0">
        <w:rPr>
          <w:rFonts w:ascii="Arial" w:eastAsia="Times New Roman" w:hAnsi="Arial" w:cs="Arial"/>
          <w:lang w:eastAsia="pl-PL"/>
        </w:rPr>
        <w:t xml:space="preserve">Powyższy akt prawny opublikowany został </w:t>
      </w:r>
      <w:r w:rsidR="00723FB0">
        <w:rPr>
          <w:rFonts w:ascii="Arial" w:eastAsia="Times New Roman" w:hAnsi="Arial" w:cs="Arial"/>
          <w:lang w:eastAsia="pl-PL"/>
        </w:rPr>
        <w:t>10 marca</w:t>
      </w:r>
      <w:r w:rsidRPr="00723FB0">
        <w:rPr>
          <w:rFonts w:ascii="Arial" w:eastAsia="Times New Roman" w:hAnsi="Arial" w:cs="Arial"/>
          <w:lang w:eastAsia="pl-PL"/>
        </w:rPr>
        <w:t xml:space="preserve"> 20</w:t>
      </w:r>
      <w:r w:rsidR="00723FB0">
        <w:rPr>
          <w:rFonts w:ascii="Arial" w:eastAsia="Times New Roman" w:hAnsi="Arial" w:cs="Arial"/>
          <w:lang w:eastAsia="pl-PL"/>
        </w:rPr>
        <w:t>25</w:t>
      </w:r>
      <w:r w:rsidRPr="00723FB0">
        <w:rPr>
          <w:rFonts w:ascii="Arial" w:eastAsia="Times New Roman" w:hAnsi="Arial" w:cs="Arial"/>
          <w:lang w:eastAsia="pl-PL"/>
        </w:rPr>
        <w:t xml:space="preserve"> roku w Dzienniku Ustaw (Dz.U. z 202</w:t>
      </w:r>
      <w:r w:rsidR="00723FB0">
        <w:rPr>
          <w:rFonts w:ascii="Arial" w:eastAsia="Times New Roman" w:hAnsi="Arial" w:cs="Arial"/>
          <w:lang w:eastAsia="pl-PL"/>
        </w:rPr>
        <w:t>5</w:t>
      </w:r>
      <w:r w:rsidRPr="00723FB0">
        <w:rPr>
          <w:rFonts w:ascii="Arial" w:eastAsia="Times New Roman" w:hAnsi="Arial" w:cs="Arial"/>
          <w:lang w:eastAsia="pl-PL"/>
        </w:rPr>
        <w:t xml:space="preserve">, poz. </w:t>
      </w:r>
      <w:r w:rsidR="00723FB0">
        <w:rPr>
          <w:rFonts w:ascii="Arial" w:eastAsia="Times New Roman" w:hAnsi="Arial" w:cs="Arial"/>
          <w:lang w:eastAsia="pl-PL"/>
        </w:rPr>
        <w:t>290</w:t>
      </w:r>
      <w:r w:rsidRPr="00723FB0">
        <w:rPr>
          <w:rFonts w:ascii="Arial" w:eastAsia="Times New Roman" w:hAnsi="Arial" w:cs="Arial"/>
          <w:lang w:eastAsia="pl-PL"/>
        </w:rPr>
        <w:t>).</w:t>
      </w:r>
    </w:p>
    <w:p w:rsidR="00723FB0" w:rsidRDefault="00723FB0" w:rsidP="00723FB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251315" w:rsidRPr="00251315" w:rsidRDefault="00251315" w:rsidP="0025131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51315">
        <w:rPr>
          <w:rFonts w:ascii="Arial" w:eastAsia="Times New Roman" w:hAnsi="Arial" w:cs="Arial"/>
          <w:lang w:eastAsia="pl-PL"/>
        </w:rPr>
        <w:t>Celem ustawy jest wprowadzenie do ustawy z dnia</w:t>
      </w:r>
      <w:r>
        <w:rPr>
          <w:rFonts w:ascii="Arial" w:eastAsia="Times New Roman" w:hAnsi="Arial" w:cs="Arial"/>
          <w:lang w:eastAsia="pl-PL"/>
        </w:rPr>
        <w:t xml:space="preserve"> 8 grudnia 2017 r. o rynku mocy </w:t>
      </w:r>
      <w:r w:rsidRPr="00251315">
        <w:rPr>
          <w:rFonts w:ascii="Arial" w:eastAsia="Times New Roman" w:hAnsi="Arial" w:cs="Arial"/>
          <w:lang w:eastAsia="pl-PL"/>
        </w:rPr>
        <w:t>mechanizmu tzw. aukcji dogrywkowych na rynku mocy, któr</w:t>
      </w:r>
      <w:r>
        <w:rPr>
          <w:rFonts w:ascii="Arial" w:eastAsia="Times New Roman" w:hAnsi="Arial" w:cs="Arial"/>
          <w:lang w:eastAsia="pl-PL"/>
        </w:rPr>
        <w:t xml:space="preserve">y pozwala na powtórzenie aukcji </w:t>
      </w:r>
      <w:r w:rsidRPr="00251315">
        <w:rPr>
          <w:rFonts w:ascii="Arial" w:eastAsia="Times New Roman" w:hAnsi="Arial" w:cs="Arial"/>
          <w:lang w:eastAsia="pl-PL"/>
        </w:rPr>
        <w:t xml:space="preserve">głównej albo uzupełnienie umów mocowanych zawartych </w:t>
      </w:r>
      <w:r>
        <w:rPr>
          <w:rFonts w:ascii="Arial" w:eastAsia="Times New Roman" w:hAnsi="Arial" w:cs="Arial"/>
          <w:lang w:eastAsia="pl-PL"/>
        </w:rPr>
        <w:t xml:space="preserve">w wyniku rozstrzygniętej aukcji </w:t>
      </w:r>
      <w:r w:rsidRPr="00251315">
        <w:rPr>
          <w:rFonts w:ascii="Arial" w:eastAsia="Times New Roman" w:hAnsi="Arial" w:cs="Arial"/>
          <w:lang w:eastAsia="pl-PL"/>
        </w:rPr>
        <w:t>głównej, w przypadku gdy wyniki rozstrzygniętej aukcji gł</w:t>
      </w:r>
      <w:r>
        <w:rPr>
          <w:rFonts w:ascii="Arial" w:eastAsia="Times New Roman" w:hAnsi="Arial" w:cs="Arial"/>
          <w:lang w:eastAsia="pl-PL"/>
        </w:rPr>
        <w:t xml:space="preserve">ównej nie zapewniają możliwości </w:t>
      </w:r>
      <w:r w:rsidRPr="00251315">
        <w:rPr>
          <w:rFonts w:ascii="Arial" w:eastAsia="Times New Roman" w:hAnsi="Arial" w:cs="Arial"/>
          <w:lang w:eastAsia="pl-PL"/>
        </w:rPr>
        <w:t>utrzymania bezpieczeństwa dostaw energii elektrycznej do odbiorców końcowych.</w:t>
      </w:r>
    </w:p>
    <w:p w:rsidR="00251315" w:rsidRPr="00251315" w:rsidRDefault="00251315" w:rsidP="0025131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51315">
        <w:rPr>
          <w:rFonts w:ascii="Arial" w:eastAsia="Times New Roman" w:hAnsi="Arial" w:cs="Arial"/>
          <w:lang w:eastAsia="pl-PL"/>
        </w:rPr>
        <w:t xml:space="preserve">W przypadku gdy po przeprowadzeniu aukcji głównej </w:t>
      </w:r>
      <w:r>
        <w:rPr>
          <w:rFonts w:ascii="Arial" w:eastAsia="Times New Roman" w:hAnsi="Arial" w:cs="Arial"/>
          <w:lang w:eastAsia="pl-PL"/>
        </w:rPr>
        <w:t xml:space="preserve">albo jej unieważnieniu operator </w:t>
      </w:r>
      <w:r w:rsidRPr="00251315">
        <w:rPr>
          <w:rFonts w:ascii="Arial" w:eastAsia="Times New Roman" w:hAnsi="Arial" w:cs="Arial"/>
          <w:lang w:eastAsia="pl-PL"/>
        </w:rPr>
        <w:t xml:space="preserve">systemu przesyłowego stwierdzi, że nie będzie </w:t>
      </w:r>
      <w:r>
        <w:rPr>
          <w:rFonts w:ascii="Arial" w:eastAsia="Times New Roman" w:hAnsi="Arial" w:cs="Arial"/>
          <w:lang w:eastAsia="pl-PL"/>
        </w:rPr>
        <w:t xml:space="preserve">zapewnione średnioterminowe lub </w:t>
      </w:r>
      <w:r w:rsidRPr="00251315">
        <w:rPr>
          <w:rFonts w:ascii="Arial" w:eastAsia="Times New Roman" w:hAnsi="Arial" w:cs="Arial"/>
          <w:lang w:eastAsia="pl-PL"/>
        </w:rPr>
        <w:t>długoterminowe bezpieczeństwo dostaw energii elek</w:t>
      </w:r>
      <w:r>
        <w:rPr>
          <w:rFonts w:ascii="Arial" w:eastAsia="Times New Roman" w:hAnsi="Arial" w:cs="Arial"/>
          <w:lang w:eastAsia="pl-PL"/>
        </w:rPr>
        <w:t xml:space="preserve">trycznej, będzie miał możliwość </w:t>
      </w:r>
      <w:r w:rsidRPr="00251315">
        <w:rPr>
          <w:rFonts w:ascii="Arial" w:eastAsia="Times New Roman" w:hAnsi="Arial" w:cs="Arial"/>
          <w:lang w:eastAsia="pl-PL"/>
        </w:rPr>
        <w:t>dokonania zgłoszenia do ministra właściwego do spraw ener</w:t>
      </w:r>
      <w:r>
        <w:rPr>
          <w:rFonts w:ascii="Arial" w:eastAsia="Times New Roman" w:hAnsi="Arial" w:cs="Arial"/>
          <w:lang w:eastAsia="pl-PL"/>
        </w:rPr>
        <w:t xml:space="preserve">gii potrzeby organizacji aukcji </w:t>
      </w:r>
      <w:r w:rsidRPr="00251315">
        <w:rPr>
          <w:rFonts w:ascii="Arial" w:eastAsia="Times New Roman" w:hAnsi="Arial" w:cs="Arial"/>
          <w:lang w:eastAsia="pl-PL"/>
        </w:rPr>
        <w:t>dogrywkowej dla okresu dostaw, którego dotyczyła dana aukcja główna.</w:t>
      </w:r>
    </w:p>
    <w:p w:rsidR="00251315" w:rsidRPr="00251315" w:rsidRDefault="00251315" w:rsidP="0025131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51315">
        <w:rPr>
          <w:rFonts w:ascii="Arial" w:eastAsia="Times New Roman" w:hAnsi="Arial" w:cs="Arial"/>
          <w:lang w:eastAsia="pl-PL"/>
        </w:rPr>
        <w:t>Ustawa przewiduje przeprowadzenie aukcji dogr</w:t>
      </w:r>
      <w:r>
        <w:rPr>
          <w:rFonts w:ascii="Arial" w:eastAsia="Times New Roman" w:hAnsi="Arial" w:cs="Arial"/>
          <w:lang w:eastAsia="pl-PL"/>
        </w:rPr>
        <w:t xml:space="preserve">ywkowej na rok dostaw 2029 oraz </w:t>
      </w:r>
      <w:r w:rsidRPr="00251315">
        <w:rPr>
          <w:rFonts w:ascii="Arial" w:eastAsia="Times New Roman" w:hAnsi="Arial" w:cs="Arial"/>
          <w:lang w:eastAsia="pl-PL"/>
        </w:rPr>
        <w:t>możliwość przeprowadzenia takiej aukcji na rok dostaw 2030.</w:t>
      </w:r>
    </w:p>
    <w:p w:rsidR="00251315" w:rsidRPr="00251315" w:rsidRDefault="00251315" w:rsidP="0025131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51315">
        <w:rPr>
          <w:rFonts w:ascii="Arial" w:eastAsia="Times New Roman" w:hAnsi="Arial" w:cs="Arial"/>
          <w:lang w:eastAsia="pl-PL"/>
        </w:rPr>
        <w:t>Mechanizm rynku mocy, wprowadzony ustawą z dnia 8 grudnia 2017 r. o ryn</w:t>
      </w:r>
      <w:r>
        <w:rPr>
          <w:rFonts w:ascii="Arial" w:eastAsia="Times New Roman" w:hAnsi="Arial" w:cs="Arial"/>
          <w:lang w:eastAsia="pl-PL"/>
        </w:rPr>
        <w:t xml:space="preserve">ku mocy </w:t>
      </w:r>
      <w:r w:rsidRPr="00251315">
        <w:rPr>
          <w:rFonts w:ascii="Arial" w:eastAsia="Times New Roman" w:hAnsi="Arial" w:cs="Arial"/>
          <w:lang w:eastAsia="pl-PL"/>
        </w:rPr>
        <w:t xml:space="preserve">(Dz. U. z 2023 r. poz. 2131) zapewnia możliwość </w:t>
      </w:r>
      <w:r>
        <w:rPr>
          <w:rFonts w:ascii="Arial" w:eastAsia="Times New Roman" w:hAnsi="Arial" w:cs="Arial"/>
          <w:lang w:eastAsia="pl-PL"/>
        </w:rPr>
        <w:t xml:space="preserve">wynagradzania uczestników rynku </w:t>
      </w:r>
      <w:r w:rsidRPr="00251315">
        <w:rPr>
          <w:rFonts w:ascii="Arial" w:eastAsia="Times New Roman" w:hAnsi="Arial" w:cs="Arial"/>
          <w:lang w:eastAsia="pl-PL"/>
        </w:rPr>
        <w:t>(jednostki wytwórcze, odpowiedź odbioru (DSR), magazyny</w:t>
      </w:r>
      <w:r>
        <w:rPr>
          <w:rFonts w:ascii="Arial" w:eastAsia="Times New Roman" w:hAnsi="Arial" w:cs="Arial"/>
          <w:lang w:eastAsia="pl-PL"/>
        </w:rPr>
        <w:t xml:space="preserve"> energii) za ich pozostawanie w gotowości </w:t>
      </w:r>
      <w:r w:rsidRPr="00251315">
        <w:rPr>
          <w:rFonts w:ascii="Arial" w:eastAsia="Times New Roman" w:hAnsi="Arial" w:cs="Arial"/>
          <w:lang w:eastAsia="pl-PL"/>
        </w:rPr>
        <w:t>do dostarczania mocy i zapewnienie dostaw energii elektrycznej do syste</w:t>
      </w:r>
      <w:r>
        <w:rPr>
          <w:rFonts w:ascii="Arial" w:eastAsia="Times New Roman" w:hAnsi="Arial" w:cs="Arial"/>
          <w:lang w:eastAsia="pl-PL"/>
        </w:rPr>
        <w:t xml:space="preserve">mu </w:t>
      </w:r>
      <w:r w:rsidRPr="00251315">
        <w:rPr>
          <w:rFonts w:ascii="Arial" w:eastAsia="Times New Roman" w:hAnsi="Arial" w:cs="Arial"/>
          <w:lang w:eastAsia="pl-PL"/>
        </w:rPr>
        <w:t>elektroenergetycznego w przypadku przew</w:t>
      </w:r>
      <w:r>
        <w:rPr>
          <w:rFonts w:ascii="Arial" w:eastAsia="Times New Roman" w:hAnsi="Arial" w:cs="Arial"/>
          <w:lang w:eastAsia="pl-PL"/>
        </w:rPr>
        <w:t xml:space="preserve">idywanych problemów z pokryciem </w:t>
      </w:r>
      <w:r w:rsidRPr="00251315">
        <w:rPr>
          <w:rFonts w:ascii="Arial" w:eastAsia="Times New Roman" w:hAnsi="Arial" w:cs="Arial"/>
          <w:lang w:eastAsia="pl-PL"/>
        </w:rPr>
        <w:t>zapotrzebowania na moc w systemie w czasie okresu przywołania na rynku mocy.</w:t>
      </w:r>
    </w:p>
    <w:p w:rsidR="00251315" w:rsidRPr="00251315" w:rsidRDefault="00251315" w:rsidP="0025131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51315">
        <w:rPr>
          <w:rFonts w:ascii="Arial" w:eastAsia="Times New Roman" w:hAnsi="Arial" w:cs="Arial"/>
          <w:lang w:eastAsia="pl-PL"/>
        </w:rPr>
        <w:t>Ponadto, ustawa:</w:t>
      </w:r>
    </w:p>
    <w:p w:rsidR="00251315" w:rsidRPr="00251315" w:rsidRDefault="00251315" w:rsidP="0025131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51315">
        <w:rPr>
          <w:rFonts w:ascii="Arial" w:eastAsia="Times New Roman" w:hAnsi="Arial" w:cs="Arial"/>
          <w:lang w:eastAsia="pl-PL"/>
        </w:rPr>
        <w:t xml:space="preserve">1) zwiększa wsparcie dla odbiorców ciepła </w:t>
      </w:r>
      <w:r>
        <w:rPr>
          <w:rFonts w:ascii="Arial" w:eastAsia="Times New Roman" w:hAnsi="Arial" w:cs="Arial"/>
          <w:lang w:eastAsia="pl-PL"/>
        </w:rPr>
        <w:t xml:space="preserve">systemowego – limit budżetowego </w:t>
      </w:r>
      <w:r w:rsidRPr="00251315">
        <w:rPr>
          <w:rFonts w:ascii="Arial" w:eastAsia="Times New Roman" w:hAnsi="Arial" w:cs="Arial"/>
          <w:lang w:eastAsia="pl-PL"/>
        </w:rPr>
        <w:t>wsparcia wzrośnie z 350 mln zł do 1,2 mld zł. Jeśli wy</w:t>
      </w:r>
      <w:r>
        <w:rPr>
          <w:rFonts w:ascii="Arial" w:eastAsia="Times New Roman" w:hAnsi="Arial" w:cs="Arial"/>
          <w:lang w:eastAsia="pl-PL"/>
        </w:rPr>
        <w:t xml:space="preserve">płaty przekroczą 75% tej kwoty, </w:t>
      </w:r>
      <w:r w:rsidRPr="00251315">
        <w:rPr>
          <w:rFonts w:ascii="Arial" w:eastAsia="Times New Roman" w:hAnsi="Arial" w:cs="Arial"/>
          <w:lang w:eastAsia="pl-PL"/>
        </w:rPr>
        <w:t xml:space="preserve">kolejne wyrównania będą pomniejszane proporcjonalnie. </w:t>
      </w:r>
      <w:r>
        <w:rPr>
          <w:rFonts w:ascii="Arial" w:eastAsia="Times New Roman" w:hAnsi="Arial" w:cs="Arial"/>
          <w:lang w:eastAsia="pl-PL"/>
        </w:rPr>
        <w:t xml:space="preserve">Zwiększeniu ulegnie zatem kwota </w:t>
      </w:r>
      <w:r w:rsidRPr="00251315">
        <w:rPr>
          <w:rFonts w:ascii="Arial" w:eastAsia="Times New Roman" w:hAnsi="Arial" w:cs="Arial"/>
          <w:lang w:eastAsia="pl-PL"/>
        </w:rPr>
        <w:t>maksymalnego limitu wydatków z Funduszu Przeciwdzia</w:t>
      </w:r>
      <w:r>
        <w:rPr>
          <w:rFonts w:ascii="Arial" w:eastAsia="Times New Roman" w:hAnsi="Arial" w:cs="Arial"/>
          <w:lang w:eastAsia="pl-PL"/>
        </w:rPr>
        <w:t xml:space="preserve">łania COVID-19 z 350 000 000,00 </w:t>
      </w:r>
      <w:r w:rsidRPr="00251315">
        <w:rPr>
          <w:rFonts w:ascii="Arial" w:eastAsia="Times New Roman" w:hAnsi="Arial" w:cs="Arial"/>
          <w:lang w:eastAsia="pl-PL"/>
        </w:rPr>
        <w:t>zł na 1 200 000 000,00 zł przeznaczonych w 2025 r. na</w:t>
      </w:r>
      <w:r>
        <w:rPr>
          <w:rFonts w:ascii="Arial" w:eastAsia="Times New Roman" w:hAnsi="Arial" w:cs="Arial"/>
          <w:lang w:eastAsia="pl-PL"/>
        </w:rPr>
        <w:t xml:space="preserve"> wyrównania dla przedsiębiorstw </w:t>
      </w:r>
      <w:r w:rsidRPr="00251315">
        <w:rPr>
          <w:rFonts w:ascii="Arial" w:eastAsia="Times New Roman" w:hAnsi="Arial" w:cs="Arial"/>
          <w:lang w:eastAsia="pl-PL"/>
        </w:rPr>
        <w:t xml:space="preserve">energetycznych zgodnie z art. 12aa ust. 1 ustawy z dnia 15 </w:t>
      </w:r>
      <w:r>
        <w:rPr>
          <w:rFonts w:ascii="Arial" w:eastAsia="Times New Roman" w:hAnsi="Arial" w:cs="Arial"/>
          <w:lang w:eastAsia="pl-PL"/>
        </w:rPr>
        <w:t xml:space="preserve">września 2022 r. o szczególnych </w:t>
      </w:r>
      <w:r w:rsidRPr="00251315">
        <w:rPr>
          <w:rFonts w:ascii="Arial" w:eastAsia="Times New Roman" w:hAnsi="Arial" w:cs="Arial"/>
          <w:lang w:eastAsia="pl-PL"/>
        </w:rPr>
        <w:t>rozwiązaniach w zakresie niektórych źródeł ciepła w związku z sytuacją na rynku paliw;</w:t>
      </w:r>
    </w:p>
    <w:p w:rsidR="00251315" w:rsidRPr="00251315" w:rsidRDefault="00251315" w:rsidP="0025131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51315">
        <w:rPr>
          <w:rFonts w:ascii="Arial" w:eastAsia="Times New Roman" w:hAnsi="Arial" w:cs="Arial"/>
          <w:lang w:eastAsia="pl-PL"/>
        </w:rPr>
        <w:lastRenderedPageBreak/>
        <w:t>2) w zakresie rozliczeń pomocy publicznej dotyczącej cen energii elektrycznej dla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51315">
        <w:rPr>
          <w:rFonts w:ascii="Arial" w:eastAsia="Times New Roman" w:hAnsi="Arial" w:cs="Arial"/>
          <w:lang w:eastAsia="pl-PL"/>
        </w:rPr>
        <w:t>sektora MŚP, tj. mechanizmu ceny maksymalnej energii elek</w:t>
      </w:r>
      <w:r>
        <w:rPr>
          <w:rFonts w:ascii="Arial" w:eastAsia="Times New Roman" w:hAnsi="Arial" w:cs="Arial"/>
          <w:lang w:eastAsia="pl-PL"/>
        </w:rPr>
        <w:t xml:space="preserve">trycznej w drugiej połowie 2024 </w:t>
      </w:r>
      <w:r w:rsidRPr="00251315">
        <w:rPr>
          <w:rFonts w:ascii="Arial" w:eastAsia="Times New Roman" w:hAnsi="Arial" w:cs="Arial"/>
          <w:lang w:eastAsia="pl-PL"/>
        </w:rPr>
        <w:t xml:space="preserve">r., przewiduje wydłużenie terminu na przekazanie do </w:t>
      </w:r>
      <w:r>
        <w:rPr>
          <w:rFonts w:ascii="Arial" w:eastAsia="Times New Roman" w:hAnsi="Arial" w:cs="Arial"/>
          <w:lang w:eastAsia="pl-PL"/>
        </w:rPr>
        <w:t xml:space="preserve">sprzedawcy energii elektrycznej </w:t>
      </w:r>
      <w:r w:rsidRPr="00251315">
        <w:rPr>
          <w:rFonts w:ascii="Arial" w:eastAsia="Times New Roman" w:hAnsi="Arial" w:cs="Arial"/>
          <w:lang w:eastAsia="pl-PL"/>
        </w:rPr>
        <w:t>formularza informacji o pomocy w terminie od dnia 28 lu</w:t>
      </w:r>
      <w:r>
        <w:rPr>
          <w:rFonts w:ascii="Arial" w:eastAsia="Times New Roman" w:hAnsi="Arial" w:cs="Arial"/>
          <w:lang w:eastAsia="pl-PL"/>
        </w:rPr>
        <w:t xml:space="preserve">tego 2025 r. do dnia 30 czerwca </w:t>
      </w:r>
      <w:r w:rsidRPr="00251315">
        <w:rPr>
          <w:rFonts w:ascii="Arial" w:eastAsia="Times New Roman" w:hAnsi="Arial" w:cs="Arial"/>
          <w:lang w:eastAsia="pl-PL"/>
        </w:rPr>
        <w:t>2025 r.;</w:t>
      </w:r>
    </w:p>
    <w:p w:rsidR="00251315" w:rsidRPr="00251315" w:rsidRDefault="00251315" w:rsidP="0025131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51315">
        <w:rPr>
          <w:rFonts w:ascii="Arial" w:eastAsia="Times New Roman" w:hAnsi="Arial" w:cs="Arial"/>
          <w:lang w:eastAsia="pl-PL"/>
        </w:rPr>
        <w:t>3) wydłuża termin na złożenie przez sprzedawców d</w:t>
      </w:r>
      <w:r>
        <w:rPr>
          <w:rFonts w:ascii="Arial" w:eastAsia="Times New Roman" w:hAnsi="Arial" w:cs="Arial"/>
          <w:lang w:eastAsia="pl-PL"/>
        </w:rPr>
        <w:t xml:space="preserve">o Zarządcy Rozliczeń wniosków o </w:t>
      </w:r>
      <w:r w:rsidRPr="00251315">
        <w:rPr>
          <w:rFonts w:ascii="Arial" w:eastAsia="Times New Roman" w:hAnsi="Arial" w:cs="Arial"/>
          <w:lang w:eastAsia="pl-PL"/>
        </w:rPr>
        <w:t>rozliczenie końcowe rekompensat z tytułu stosowania mechanizmu ceny maksymalnej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51315">
        <w:rPr>
          <w:rFonts w:ascii="Arial" w:eastAsia="Times New Roman" w:hAnsi="Arial" w:cs="Arial"/>
          <w:lang w:eastAsia="pl-PL"/>
        </w:rPr>
        <w:t>w drugiej połowie 2024 r.</w:t>
      </w:r>
    </w:p>
    <w:p w:rsidR="00251315" w:rsidRDefault="00251315" w:rsidP="0025131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1729ED" w:rsidRPr="00723FB0" w:rsidRDefault="00251315" w:rsidP="00723FB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51315">
        <w:rPr>
          <w:rFonts w:ascii="Arial" w:eastAsia="Times New Roman" w:hAnsi="Arial" w:cs="Arial"/>
          <w:lang w:eastAsia="pl-PL"/>
        </w:rPr>
        <w:t>Ustawa wejdzie w życie po upływie 7 dni od dnia ogłoszenia,</w:t>
      </w:r>
      <w:r>
        <w:rPr>
          <w:rFonts w:ascii="Arial" w:eastAsia="Times New Roman" w:hAnsi="Arial" w:cs="Arial"/>
          <w:lang w:eastAsia="pl-PL"/>
        </w:rPr>
        <w:t xml:space="preserve"> tj. 17 marca 2025 roku, z wyjątkiem art. 2, który </w:t>
      </w:r>
      <w:r w:rsidRPr="00251315">
        <w:rPr>
          <w:rFonts w:ascii="Arial" w:eastAsia="Times New Roman" w:hAnsi="Arial" w:cs="Arial"/>
          <w:lang w:eastAsia="pl-PL"/>
        </w:rPr>
        <w:t>wchodzi w życie z dniem następującym po dniu ogłoszenia</w:t>
      </w:r>
      <w:r>
        <w:rPr>
          <w:rStyle w:val="markedcontent"/>
          <w:rFonts w:ascii="Arial" w:eastAsia="Times New Roman" w:hAnsi="Arial" w:cs="Arial"/>
          <w:lang w:eastAsia="pl-PL"/>
        </w:rPr>
        <w:t>.</w:t>
      </w:r>
    </w:p>
    <w:p w:rsidR="001729ED" w:rsidRDefault="001729ED" w:rsidP="001729ED">
      <w:pPr>
        <w:spacing w:after="0"/>
        <w:jc w:val="both"/>
        <w:rPr>
          <w:rFonts w:ascii="Arial" w:hAnsi="Arial" w:cs="Arial"/>
        </w:rPr>
      </w:pPr>
    </w:p>
    <w:p w:rsidR="001729ED" w:rsidRPr="00287656" w:rsidRDefault="008914C8" w:rsidP="008914C8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  <w:r w:rsidRPr="008914C8">
        <w:rPr>
          <w:rFonts w:ascii="Arial" w:hAnsi="Arial" w:cs="Arial"/>
          <w:u w:val="single"/>
        </w:rPr>
        <w:t>Ustawa z dnia 21 lutego 2025 r. o zmianie ustawy o biokomponentach i biopaliwach ciekłych oraz niektórych innych ustaw</w:t>
      </w:r>
      <w:r w:rsidR="001729ED">
        <w:rPr>
          <w:rFonts w:ascii="Arial" w:hAnsi="Arial" w:cs="Arial"/>
          <w:u w:val="single"/>
        </w:rPr>
        <w:t xml:space="preserve"> </w:t>
      </w:r>
    </w:p>
    <w:p w:rsidR="008914C8" w:rsidRDefault="008914C8" w:rsidP="008914C8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1729ED" w:rsidRPr="00287656" w:rsidRDefault="001729ED" w:rsidP="008914C8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87656">
        <w:rPr>
          <w:rFonts w:ascii="Arial" w:eastAsia="Times New Roman" w:hAnsi="Arial" w:cs="Arial"/>
          <w:lang w:eastAsia="pl-PL"/>
        </w:rPr>
        <w:t xml:space="preserve">Powyższy akt prawny opublikowany został </w:t>
      </w:r>
      <w:r w:rsidR="008914C8">
        <w:rPr>
          <w:rFonts w:ascii="Arial" w:eastAsia="Times New Roman" w:hAnsi="Arial" w:cs="Arial"/>
          <w:lang w:eastAsia="pl-PL"/>
        </w:rPr>
        <w:t>12 marca</w:t>
      </w:r>
      <w:r w:rsidRPr="00287656">
        <w:rPr>
          <w:rFonts w:ascii="Arial" w:eastAsia="Times New Roman" w:hAnsi="Arial" w:cs="Arial"/>
          <w:lang w:eastAsia="pl-PL"/>
        </w:rPr>
        <w:t xml:space="preserve"> 20</w:t>
      </w:r>
      <w:r w:rsidR="008914C8">
        <w:rPr>
          <w:rFonts w:ascii="Arial" w:eastAsia="Times New Roman" w:hAnsi="Arial" w:cs="Arial"/>
          <w:lang w:eastAsia="pl-PL"/>
        </w:rPr>
        <w:t>25</w:t>
      </w:r>
      <w:r w:rsidRPr="00287656">
        <w:rPr>
          <w:rFonts w:ascii="Arial" w:eastAsia="Times New Roman" w:hAnsi="Arial" w:cs="Arial"/>
          <w:lang w:eastAsia="pl-PL"/>
        </w:rPr>
        <w:t xml:space="preserve"> roku w Dzienniku Ustaw (Dz.U. z 202</w:t>
      </w:r>
      <w:r w:rsidR="008914C8">
        <w:rPr>
          <w:rFonts w:ascii="Arial" w:eastAsia="Times New Roman" w:hAnsi="Arial" w:cs="Arial"/>
          <w:lang w:eastAsia="pl-PL"/>
        </w:rPr>
        <w:t>5</w:t>
      </w:r>
      <w:r w:rsidRPr="00287656">
        <w:rPr>
          <w:rFonts w:ascii="Arial" w:eastAsia="Times New Roman" w:hAnsi="Arial" w:cs="Arial"/>
          <w:lang w:eastAsia="pl-PL"/>
        </w:rPr>
        <w:t xml:space="preserve">, poz. </w:t>
      </w:r>
      <w:r w:rsidR="008914C8">
        <w:rPr>
          <w:rFonts w:ascii="Arial" w:eastAsia="Times New Roman" w:hAnsi="Arial" w:cs="Arial"/>
          <w:lang w:eastAsia="pl-PL"/>
        </w:rPr>
        <w:t>303</w:t>
      </w:r>
      <w:r w:rsidRPr="00287656">
        <w:rPr>
          <w:rFonts w:ascii="Arial" w:eastAsia="Times New Roman" w:hAnsi="Arial" w:cs="Arial"/>
          <w:lang w:eastAsia="pl-PL"/>
        </w:rPr>
        <w:t>).</w:t>
      </w:r>
    </w:p>
    <w:p w:rsidR="008914C8" w:rsidRDefault="008914C8" w:rsidP="008914C8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8914C8" w:rsidRPr="008914C8" w:rsidRDefault="008914C8" w:rsidP="008914C8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914C8">
        <w:rPr>
          <w:rFonts w:ascii="Arial" w:eastAsia="Times New Roman" w:hAnsi="Arial" w:cs="Arial"/>
          <w:lang w:eastAsia="pl-PL"/>
        </w:rPr>
        <w:t>Celem ustawy z dnia 21 lutego 2025 r. o zmi</w:t>
      </w:r>
      <w:r>
        <w:rPr>
          <w:rFonts w:ascii="Arial" w:eastAsia="Times New Roman" w:hAnsi="Arial" w:cs="Arial"/>
          <w:lang w:eastAsia="pl-PL"/>
        </w:rPr>
        <w:t xml:space="preserve">anie ustawy o biokomponentach i </w:t>
      </w:r>
      <w:r w:rsidRPr="008914C8">
        <w:rPr>
          <w:rFonts w:ascii="Arial" w:eastAsia="Times New Roman" w:hAnsi="Arial" w:cs="Arial"/>
          <w:lang w:eastAsia="pl-PL"/>
        </w:rPr>
        <w:t xml:space="preserve">biopaliwach ciekłych oraz niektórych innych ustaw, jest </w:t>
      </w:r>
      <w:r>
        <w:rPr>
          <w:rFonts w:ascii="Arial" w:eastAsia="Times New Roman" w:hAnsi="Arial" w:cs="Arial"/>
          <w:lang w:eastAsia="pl-PL"/>
        </w:rPr>
        <w:t xml:space="preserve">transpozycja do polskiego prawa </w:t>
      </w:r>
      <w:r w:rsidRPr="008914C8">
        <w:rPr>
          <w:rFonts w:ascii="Arial" w:eastAsia="Times New Roman" w:hAnsi="Arial" w:cs="Arial"/>
          <w:lang w:eastAsia="pl-PL"/>
        </w:rPr>
        <w:t>dyrektywy Parlamentu Europejskiego i Rady (UE) 2018/2001 z dnia 11 grudnia 2018 r</w:t>
      </w:r>
      <w:r>
        <w:rPr>
          <w:rFonts w:ascii="Arial" w:eastAsia="Times New Roman" w:hAnsi="Arial" w:cs="Arial"/>
          <w:lang w:eastAsia="pl-PL"/>
        </w:rPr>
        <w:t xml:space="preserve">. </w:t>
      </w:r>
      <w:r w:rsidRPr="008914C8">
        <w:rPr>
          <w:rFonts w:ascii="Arial" w:eastAsia="Times New Roman" w:hAnsi="Arial" w:cs="Arial"/>
          <w:lang w:eastAsia="pl-PL"/>
        </w:rPr>
        <w:t xml:space="preserve">w sprawie promowania stosowania energii ze źródeł </w:t>
      </w:r>
      <w:r>
        <w:rPr>
          <w:rFonts w:ascii="Arial" w:eastAsia="Times New Roman" w:hAnsi="Arial" w:cs="Arial"/>
          <w:lang w:eastAsia="pl-PL"/>
        </w:rPr>
        <w:t xml:space="preserve">odnawialnych (Dz. Urz. UE L 328 </w:t>
      </w:r>
      <w:r w:rsidRPr="008914C8">
        <w:rPr>
          <w:rFonts w:ascii="Arial" w:eastAsia="Times New Roman" w:hAnsi="Arial" w:cs="Arial"/>
          <w:lang w:eastAsia="pl-PL"/>
        </w:rPr>
        <w:t xml:space="preserve">z 21.12.2018, str. 82, z </w:t>
      </w:r>
      <w:proofErr w:type="spellStart"/>
      <w:r w:rsidRPr="008914C8">
        <w:rPr>
          <w:rFonts w:ascii="Arial" w:eastAsia="Times New Roman" w:hAnsi="Arial" w:cs="Arial"/>
          <w:lang w:eastAsia="pl-PL"/>
        </w:rPr>
        <w:t>późn</w:t>
      </w:r>
      <w:proofErr w:type="spellEnd"/>
      <w:r w:rsidRPr="008914C8">
        <w:rPr>
          <w:rFonts w:ascii="Arial" w:eastAsia="Times New Roman" w:hAnsi="Arial" w:cs="Arial"/>
          <w:lang w:eastAsia="pl-PL"/>
        </w:rPr>
        <w:t>. zm.), zwanej dale</w:t>
      </w:r>
      <w:r>
        <w:rPr>
          <w:rFonts w:ascii="Arial" w:eastAsia="Times New Roman" w:hAnsi="Arial" w:cs="Arial"/>
          <w:lang w:eastAsia="pl-PL"/>
        </w:rPr>
        <w:t xml:space="preserve">j „dyrektywą REDII”, w zakresie </w:t>
      </w:r>
      <w:r w:rsidRPr="008914C8">
        <w:rPr>
          <w:rFonts w:ascii="Arial" w:eastAsia="Times New Roman" w:hAnsi="Arial" w:cs="Arial"/>
          <w:lang w:eastAsia="pl-PL"/>
        </w:rPr>
        <w:t xml:space="preserve">wykorzystania w transporcie niskoemisyjnych paliw oraz </w:t>
      </w:r>
      <w:r>
        <w:rPr>
          <w:rFonts w:ascii="Arial" w:eastAsia="Times New Roman" w:hAnsi="Arial" w:cs="Arial"/>
          <w:lang w:eastAsia="pl-PL"/>
        </w:rPr>
        <w:t xml:space="preserve">energii elektrycznej. Uchwalona </w:t>
      </w:r>
      <w:r w:rsidRPr="008914C8">
        <w:rPr>
          <w:rFonts w:ascii="Arial" w:eastAsia="Times New Roman" w:hAnsi="Arial" w:cs="Arial"/>
          <w:lang w:eastAsia="pl-PL"/>
        </w:rPr>
        <w:t>ustawa wdrażając dyrektywę REDII w zakresie przepisów d</w:t>
      </w:r>
      <w:r>
        <w:rPr>
          <w:rFonts w:ascii="Arial" w:eastAsia="Times New Roman" w:hAnsi="Arial" w:cs="Arial"/>
          <w:lang w:eastAsia="pl-PL"/>
        </w:rPr>
        <w:t xml:space="preserve">otyczących paliw transportowych </w:t>
      </w:r>
      <w:r w:rsidRPr="008914C8">
        <w:rPr>
          <w:rFonts w:ascii="Arial" w:eastAsia="Times New Roman" w:hAnsi="Arial" w:cs="Arial"/>
          <w:lang w:eastAsia="pl-PL"/>
        </w:rPr>
        <w:t>ma na względzie zapewnienie rozwoju rynku paliw transp</w:t>
      </w:r>
      <w:r>
        <w:rPr>
          <w:rFonts w:ascii="Arial" w:eastAsia="Times New Roman" w:hAnsi="Arial" w:cs="Arial"/>
          <w:lang w:eastAsia="pl-PL"/>
        </w:rPr>
        <w:t xml:space="preserve">ortowych w kierunku zwiększenia </w:t>
      </w:r>
      <w:r w:rsidRPr="008914C8">
        <w:rPr>
          <w:rFonts w:ascii="Arial" w:eastAsia="Times New Roman" w:hAnsi="Arial" w:cs="Arial"/>
          <w:lang w:eastAsia="pl-PL"/>
        </w:rPr>
        <w:t>wykorzystania energii odnawialnej oraz zmniejszenia emisyjności sektora transportu.</w:t>
      </w:r>
    </w:p>
    <w:p w:rsidR="008914C8" w:rsidRPr="008914C8" w:rsidRDefault="008914C8" w:rsidP="008914C8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914C8">
        <w:rPr>
          <w:rFonts w:ascii="Arial" w:eastAsia="Times New Roman" w:hAnsi="Arial" w:cs="Arial"/>
          <w:lang w:eastAsia="pl-PL"/>
        </w:rPr>
        <w:t>Równie istotne jest stworzenie warunków dla roz</w:t>
      </w:r>
      <w:r>
        <w:rPr>
          <w:rFonts w:ascii="Arial" w:eastAsia="Times New Roman" w:hAnsi="Arial" w:cs="Arial"/>
          <w:lang w:eastAsia="pl-PL"/>
        </w:rPr>
        <w:t xml:space="preserve">woju technologii biokomponentów </w:t>
      </w:r>
      <w:r w:rsidRPr="008914C8">
        <w:rPr>
          <w:rFonts w:ascii="Arial" w:eastAsia="Times New Roman" w:hAnsi="Arial" w:cs="Arial"/>
          <w:lang w:eastAsia="pl-PL"/>
        </w:rPr>
        <w:t xml:space="preserve">zaawansowanych, w tym </w:t>
      </w:r>
      <w:proofErr w:type="spellStart"/>
      <w:r w:rsidRPr="008914C8">
        <w:rPr>
          <w:rFonts w:ascii="Arial" w:eastAsia="Times New Roman" w:hAnsi="Arial" w:cs="Arial"/>
          <w:lang w:eastAsia="pl-PL"/>
        </w:rPr>
        <w:t>biometanu</w:t>
      </w:r>
      <w:proofErr w:type="spellEnd"/>
      <w:r w:rsidRPr="008914C8">
        <w:rPr>
          <w:rFonts w:ascii="Arial" w:eastAsia="Times New Roman" w:hAnsi="Arial" w:cs="Arial"/>
          <w:lang w:eastAsia="pl-PL"/>
        </w:rPr>
        <w:t>, jak również zaliczenie w</w:t>
      </w:r>
      <w:r>
        <w:rPr>
          <w:rFonts w:ascii="Arial" w:eastAsia="Times New Roman" w:hAnsi="Arial" w:cs="Arial"/>
          <w:lang w:eastAsia="pl-PL"/>
        </w:rPr>
        <w:t xml:space="preserve"> poczet celu OZE w transporcie, </w:t>
      </w:r>
      <w:r w:rsidRPr="008914C8">
        <w:rPr>
          <w:rFonts w:ascii="Arial" w:eastAsia="Times New Roman" w:hAnsi="Arial" w:cs="Arial"/>
          <w:lang w:eastAsia="pl-PL"/>
        </w:rPr>
        <w:t>odnawialnej energii elektrycznej wykorzystanej w pojazdach.</w:t>
      </w:r>
    </w:p>
    <w:p w:rsidR="008914C8" w:rsidRPr="008914C8" w:rsidRDefault="008914C8" w:rsidP="008914C8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914C8">
        <w:rPr>
          <w:rFonts w:ascii="Arial" w:eastAsia="Times New Roman" w:hAnsi="Arial" w:cs="Arial"/>
          <w:lang w:eastAsia="pl-PL"/>
        </w:rPr>
        <w:t>Ustawa transponuje do polskiego prawa dyrektywę</w:t>
      </w:r>
      <w:r>
        <w:rPr>
          <w:rFonts w:ascii="Arial" w:eastAsia="Times New Roman" w:hAnsi="Arial" w:cs="Arial"/>
          <w:lang w:eastAsia="pl-PL"/>
        </w:rPr>
        <w:t xml:space="preserve"> REDII w zakresie wykorzystania </w:t>
      </w:r>
      <w:r w:rsidRPr="008914C8">
        <w:rPr>
          <w:rFonts w:ascii="Arial" w:eastAsia="Times New Roman" w:hAnsi="Arial" w:cs="Arial"/>
          <w:lang w:eastAsia="pl-PL"/>
        </w:rPr>
        <w:t>w transporcie niskoemisyjnych paliw oraz energii elektrycznej, a także m. in.:</w:t>
      </w:r>
    </w:p>
    <w:p w:rsidR="008914C8" w:rsidRPr="008914C8" w:rsidRDefault="008914C8" w:rsidP="008914C8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914C8">
        <w:rPr>
          <w:rFonts w:ascii="Arial" w:eastAsia="Times New Roman" w:hAnsi="Arial" w:cs="Arial"/>
          <w:lang w:eastAsia="pl-PL"/>
        </w:rPr>
        <w:t xml:space="preserve">1) określa poziomy Narodowego Celu Wskaźnikowego, </w:t>
      </w:r>
      <w:r>
        <w:rPr>
          <w:rFonts w:ascii="Arial" w:eastAsia="Times New Roman" w:hAnsi="Arial" w:cs="Arial"/>
          <w:lang w:eastAsia="pl-PL"/>
        </w:rPr>
        <w:t xml:space="preserve">zwanego dalej „NCW”, na kolejne </w:t>
      </w:r>
      <w:r w:rsidRPr="008914C8">
        <w:rPr>
          <w:rFonts w:ascii="Arial" w:eastAsia="Times New Roman" w:hAnsi="Arial" w:cs="Arial"/>
          <w:lang w:eastAsia="pl-PL"/>
        </w:rPr>
        <w:t>lata – z uwzględnieniem możliwości branży paliwowe</w:t>
      </w:r>
      <w:r>
        <w:rPr>
          <w:rFonts w:ascii="Arial" w:eastAsia="Times New Roman" w:hAnsi="Arial" w:cs="Arial"/>
          <w:lang w:eastAsia="pl-PL"/>
        </w:rPr>
        <w:t xml:space="preserve">j i sektora transportu, zgodnie </w:t>
      </w:r>
      <w:r w:rsidRPr="008914C8">
        <w:rPr>
          <w:rFonts w:ascii="Arial" w:eastAsia="Times New Roman" w:hAnsi="Arial" w:cs="Arial"/>
          <w:lang w:eastAsia="pl-PL"/>
        </w:rPr>
        <w:t>z wyznaczonymi celami zapewnienia minimalnego udzi</w:t>
      </w:r>
      <w:r>
        <w:rPr>
          <w:rFonts w:ascii="Arial" w:eastAsia="Times New Roman" w:hAnsi="Arial" w:cs="Arial"/>
          <w:lang w:eastAsia="pl-PL"/>
        </w:rPr>
        <w:t xml:space="preserve">ału odnawialnych źródeł energii </w:t>
      </w:r>
      <w:r w:rsidRPr="008914C8">
        <w:rPr>
          <w:rFonts w:ascii="Arial" w:eastAsia="Times New Roman" w:hAnsi="Arial" w:cs="Arial"/>
          <w:lang w:eastAsia="pl-PL"/>
        </w:rPr>
        <w:t>w transporcie określonymi w dyrektywie REDII, oraz</w:t>
      </w:r>
      <w:r>
        <w:rPr>
          <w:rFonts w:ascii="Arial" w:eastAsia="Times New Roman" w:hAnsi="Arial" w:cs="Arial"/>
          <w:lang w:eastAsia="pl-PL"/>
        </w:rPr>
        <w:t xml:space="preserve"> wyznacza mechanizmy nadzoru, w </w:t>
      </w:r>
      <w:r w:rsidRPr="008914C8">
        <w:rPr>
          <w:rFonts w:ascii="Arial" w:eastAsia="Times New Roman" w:hAnsi="Arial" w:cs="Arial"/>
          <w:lang w:eastAsia="pl-PL"/>
        </w:rPr>
        <w:t>tym finansowe, związane z brakiem realizacji wskazanych udziałów minimalnych,</w:t>
      </w:r>
    </w:p>
    <w:p w:rsidR="008914C8" w:rsidRPr="008914C8" w:rsidRDefault="008914C8" w:rsidP="008914C8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914C8">
        <w:rPr>
          <w:rFonts w:ascii="Arial" w:eastAsia="Times New Roman" w:hAnsi="Arial" w:cs="Arial"/>
          <w:lang w:eastAsia="pl-PL"/>
        </w:rPr>
        <w:t>2) uwzględnia wymóg dyrektywy REDII dotyczący maks</w:t>
      </w:r>
      <w:r>
        <w:rPr>
          <w:rFonts w:ascii="Arial" w:eastAsia="Times New Roman" w:hAnsi="Arial" w:cs="Arial"/>
          <w:lang w:eastAsia="pl-PL"/>
        </w:rPr>
        <w:t xml:space="preserve">ymalnego udziału biokomponentów </w:t>
      </w:r>
      <w:r w:rsidRPr="008914C8">
        <w:rPr>
          <w:rFonts w:ascii="Arial" w:eastAsia="Times New Roman" w:hAnsi="Arial" w:cs="Arial"/>
          <w:lang w:eastAsia="pl-PL"/>
        </w:rPr>
        <w:t xml:space="preserve">pozyskiwanych z surowców spożywczych lub </w:t>
      </w:r>
      <w:r>
        <w:rPr>
          <w:rFonts w:ascii="Arial" w:eastAsia="Times New Roman" w:hAnsi="Arial" w:cs="Arial"/>
          <w:lang w:eastAsia="pl-PL"/>
        </w:rPr>
        <w:t xml:space="preserve">pastewnych, wykorzystywanych do </w:t>
      </w:r>
      <w:r w:rsidRPr="008914C8">
        <w:rPr>
          <w:rFonts w:ascii="Arial" w:eastAsia="Times New Roman" w:hAnsi="Arial" w:cs="Arial"/>
          <w:lang w:eastAsia="pl-PL"/>
        </w:rPr>
        <w:t>realizacji celu udziału odnawialnej energii w sektorze transportu,</w:t>
      </w:r>
    </w:p>
    <w:p w:rsidR="008914C8" w:rsidRPr="008914C8" w:rsidRDefault="008914C8" w:rsidP="008914C8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914C8">
        <w:rPr>
          <w:rFonts w:ascii="Arial" w:eastAsia="Times New Roman" w:hAnsi="Arial" w:cs="Arial"/>
          <w:lang w:eastAsia="pl-PL"/>
        </w:rPr>
        <w:t>3) uwzględnia wymóg dyrektywy REDII dotyczący min</w:t>
      </w:r>
      <w:r>
        <w:rPr>
          <w:rFonts w:ascii="Arial" w:eastAsia="Times New Roman" w:hAnsi="Arial" w:cs="Arial"/>
          <w:lang w:eastAsia="pl-PL"/>
        </w:rPr>
        <w:t xml:space="preserve">imalnego udziału zaawansowanych </w:t>
      </w:r>
      <w:r w:rsidRPr="008914C8">
        <w:rPr>
          <w:rFonts w:ascii="Arial" w:eastAsia="Times New Roman" w:hAnsi="Arial" w:cs="Arial"/>
          <w:lang w:eastAsia="pl-PL"/>
        </w:rPr>
        <w:t xml:space="preserve">biokomponentów, w tym </w:t>
      </w:r>
      <w:proofErr w:type="spellStart"/>
      <w:r w:rsidRPr="008914C8">
        <w:rPr>
          <w:rFonts w:ascii="Arial" w:eastAsia="Times New Roman" w:hAnsi="Arial" w:cs="Arial"/>
          <w:lang w:eastAsia="pl-PL"/>
        </w:rPr>
        <w:t>biometanu</w:t>
      </w:r>
      <w:proofErr w:type="spellEnd"/>
      <w:r w:rsidRPr="008914C8">
        <w:rPr>
          <w:rFonts w:ascii="Arial" w:eastAsia="Times New Roman" w:hAnsi="Arial" w:cs="Arial"/>
          <w:lang w:eastAsia="pl-PL"/>
        </w:rPr>
        <w:t>, wytwarzanych z</w:t>
      </w:r>
      <w:r>
        <w:rPr>
          <w:rFonts w:ascii="Arial" w:eastAsia="Times New Roman" w:hAnsi="Arial" w:cs="Arial"/>
          <w:lang w:eastAsia="pl-PL"/>
        </w:rPr>
        <w:t xml:space="preserve"> surowców wskazanych w części A </w:t>
      </w:r>
      <w:r w:rsidRPr="008914C8">
        <w:rPr>
          <w:rFonts w:ascii="Arial" w:eastAsia="Times New Roman" w:hAnsi="Arial" w:cs="Arial"/>
          <w:lang w:eastAsia="pl-PL"/>
        </w:rPr>
        <w:t>w załączniku IX do tej dyrektywy w sektorze transportu,</w:t>
      </w:r>
    </w:p>
    <w:p w:rsidR="008914C8" w:rsidRDefault="008914C8" w:rsidP="008914C8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914C8">
        <w:rPr>
          <w:rFonts w:ascii="Arial" w:eastAsia="Times New Roman" w:hAnsi="Arial" w:cs="Arial"/>
          <w:lang w:eastAsia="pl-PL"/>
        </w:rPr>
        <w:t>4) uzupełnia katalog paliw, którymi można realizow</w:t>
      </w:r>
      <w:r>
        <w:rPr>
          <w:rFonts w:ascii="Arial" w:eastAsia="Times New Roman" w:hAnsi="Arial" w:cs="Arial"/>
          <w:lang w:eastAsia="pl-PL"/>
        </w:rPr>
        <w:t xml:space="preserve">ać NCW, o ciekłe paliwa węglowe </w:t>
      </w:r>
      <w:r w:rsidRPr="008914C8">
        <w:rPr>
          <w:rFonts w:ascii="Arial" w:eastAsia="Times New Roman" w:hAnsi="Arial" w:cs="Arial"/>
          <w:lang w:eastAsia="pl-PL"/>
        </w:rPr>
        <w:t>pochodzące z recyklingu, gazowe paliwa w</w:t>
      </w:r>
      <w:r>
        <w:rPr>
          <w:rFonts w:ascii="Arial" w:eastAsia="Times New Roman" w:hAnsi="Arial" w:cs="Arial"/>
          <w:lang w:eastAsia="pl-PL"/>
        </w:rPr>
        <w:t xml:space="preserve">ęglowe pochodzące z recyklingu, </w:t>
      </w:r>
      <w:r w:rsidRPr="008914C8">
        <w:rPr>
          <w:rFonts w:ascii="Arial" w:eastAsia="Times New Roman" w:hAnsi="Arial" w:cs="Arial"/>
          <w:lang w:eastAsia="pl-PL"/>
        </w:rPr>
        <w:t>biokomponenty gazowe oraz biokomponenty z</w:t>
      </w:r>
      <w:r>
        <w:rPr>
          <w:rFonts w:ascii="Arial" w:eastAsia="Times New Roman" w:hAnsi="Arial" w:cs="Arial"/>
          <w:lang w:eastAsia="pl-PL"/>
        </w:rPr>
        <w:t xml:space="preserve">aawansowane, pozyskiwane dzięki </w:t>
      </w:r>
      <w:r w:rsidRPr="008914C8">
        <w:rPr>
          <w:rFonts w:ascii="Arial" w:eastAsia="Times New Roman" w:hAnsi="Arial" w:cs="Arial"/>
          <w:lang w:eastAsia="pl-PL"/>
        </w:rPr>
        <w:t>zagospodarowaniu pozostałości, produktów ubocznych z procesów przetwó</w:t>
      </w:r>
      <w:r>
        <w:rPr>
          <w:rFonts w:ascii="Arial" w:eastAsia="Times New Roman" w:hAnsi="Arial" w:cs="Arial"/>
          <w:lang w:eastAsia="pl-PL"/>
        </w:rPr>
        <w:t xml:space="preserve">rczych, </w:t>
      </w:r>
      <w:r w:rsidRPr="008914C8">
        <w:rPr>
          <w:rFonts w:ascii="Arial" w:eastAsia="Times New Roman" w:hAnsi="Arial" w:cs="Arial"/>
          <w:lang w:eastAsia="pl-PL"/>
        </w:rPr>
        <w:t>odpadów zamiast ich składowania, na rzecz prowadzenia gospodarki w obiegu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914C8">
        <w:rPr>
          <w:rFonts w:ascii="Arial" w:eastAsia="Times New Roman" w:hAnsi="Arial" w:cs="Arial"/>
          <w:lang w:eastAsia="pl-PL"/>
        </w:rPr>
        <w:t>zamkniętym,</w:t>
      </w:r>
    </w:p>
    <w:p w:rsidR="008914C8" w:rsidRPr="008914C8" w:rsidRDefault="008914C8" w:rsidP="008914C8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914C8">
        <w:rPr>
          <w:rFonts w:ascii="Arial" w:eastAsia="Times New Roman" w:hAnsi="Arial" w:cs="Arial"/>
          <w:lang w:eastAsia="pl-PL"/>
        </w:rPr>
        <w:lastRenderedPageBreak/>
        <w:t xml:space="preserve">5) wskazuje </w:t>
      </w:r>
      <w:proofErr w:type="spellStart"/>
      <w:r w:rsidRPr="008914C8">
        <w:rPr>
          <w:rFonts w:ascii="Arial" w:eastAsia="Times New Roman" w:hAnsi="Arial" w:cs="Arial"/>
          <w:lang w:eastAsia="pl-PL"/>
        </w:rPr>
        <w:t>biometan</w:t>
      </w:r>
      <w:proofErr w:type="spellEnd"/>
      <w:r w:rsidRPr="008914C8">
        <w:rPr>
          <w:rFonts w:ascii="Arial" w:eastAsia="Times New Roman" w:hAnsi="Arial" w:cs="Arial"/>
          <w:lang w:eastAsia="pl-PL"/>
        </w:rPr>
        <w:t xml:space="preserve">, w tym wprowadzony do sieci </w:t>
      </w:r>
      <w:r>
        <w:rPr>
          <w:rFonts w:ascii="Arial" w:eastAsia="Times New Roman" w:hAnsi="Arial" w:cs="Arial"/>
          <w:lang w:eastAsia="pl-PL"/>
        </w:rPr>
        <w:t xml:space="preserve">gazowej, który w celu końcowego </w:t>
      </w:r>
      <w:r w:rsidRPr="008914C8">
        <w:rPr>
          <w:rFonts w:ascii="Arial" w:eastAsia="Times New Roman" w:hAnsi="Arial" w:cs="Arial"/>
          <w:lang w:eastAsia="pl-PL"/>
        </w:rPr>
        <w:t>zużycia trafił na stacje np. CNG, jako paliwo umożliwiające realizację NCW,</w:t>
      </w:r>
    </w:p>
    <w:p w:rsidR="008914C8" w:rsidRPr="008914C8" w:rsidRDefault="008914C8" w:rsidP="008914C8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914C8">
        <w:rPr>
          <w:rFonts w:ascii="Arial" w:eastAsia="Times New Roman" w:hAnsi="Arial" w:cs="Arial"/>
          <w:lang w:eastAsia="pl-PL"/>
        </w:rPr>
        <w:t xml:space="preserve">6) uwzględnia w realizacji NCW energię elektryczną z </w:t>
      </w:r>
      <w:r>
        <w:rPr>
          <w:rFonts w:ascii="Arial" w:eastAsia="Times New Roman" w:hAnsi="Arial" w:cs="Arial"/>
          <w:lang w:eastAsia="pl-PL"/>
        </w:rPr>
        <w:t xml:space="preserve">OZE – wytwarzaną w instalacjach </w:t>
      </w:r>
      <w:r w:rsidRPr="008914C8">
        <w:rPr>
          <w:rFonts w:ascii="Arial" w:eastAsia="Times New Roman" w:hAnsi="Arial" w:cs="Arial"/>
          <w:lang w:eastAsia="pl-PL"/>
        </w:rPr>
        <w:t xml:space="preserve">OZE w rozumieniu ustawy z dnia 20 lutego 2015 r. </w:t>
      </w:r>
      <w:r>
        <w:rPr>
          <w:rFonts w:ascii="Arial" w:eastAsia="Times New Roman" w:hAnsi="Arial" w:cs="Arial"/>
          <w:lang w:eastAsia="pl-PL"/>
        </w:rPr>
        <w:t xml:space="preserve">o odnawialnych źródłach energii </w:t>
      </w:r>
      <w:r w:rsidRPr="008914C8">
        <w:rPr>
          <w:rFonts w:ascii="Arial" w:eastAsia="Times New Roman" w:hAnsi="Arial" w:cs="Arial"/>
          <w:lang w:eastAsia="pl-PL"/>
        </w:rPr>
        <w:t>i wykorzystywaną w transporcie (energia elektryczna z</w:t>
      </w:r>
      <w:r>
        <w:rPr>
          <w:rFonts w:ascii="Arial" w:eastAsia="Times New Roman" w:hAnsi="Arial" w:cs="Arial"/>
          <w:lang w:eastAsia="pl-PL"/>
        </w:rPr>
        <w:t xml:space="preserve"> OZE), w tym przy wykorzystaniu </w:t>
      </w:r>
      <w:r w:rsidRPr="008914C8">
        <w:rPr>
          <w:rFonts w:ascii="Arial" w:eastAsia="Times New Roman" w:hAnsi="Arial" w:cs="Arial"/>
          <w:lang w:eastAsia="pl-PL"/>
        </w:rPr>
        <w:t>mechanizmu umów zaliczania energii elektrycznej odnaw</w:t>
      </w:r>
      <w:r>
        <w:rPr>
          <w:rFonts w:ascii="Arial" w:eastAsia="Times New Roman" w:hAnsi="Arial" w:cs="Arial"/>
          <w:lang w:eastAsia="pl-PL"/>
        </w:rPr>
        <w:t xml:space="preserve">ialnej w poczet realizacji celu </w:t>
      </w:r>
      <w:r w:rsidRPr="008914C8">
        <w:rPr>
          <w:rFonts w:ascii="Arial" w:eastAsia="Times New Roman" w:hAnsi="Arial" w:cs="Arial"/>
          <w:lang w:eastAsia="pl-PL"/>
        </w:rPr>
        <w:t>OZE w transporcie,</w:t>
      </w:r>
    </w:p>
    <w:p w:rsidR="008914C8" w:rsidRPr="008914C8" w:rsidRDefault="008914C8" w:rsidP="008914C8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914C8">
        <w:rPr>
          <w:rFonts w:ascii="Arial" w:eastAsia="Times New Roman" w:hAnsi="Arial" w:cs="Arial"/>
          <w:lang w:eastAsia="pl-PL"/>
        </w:rPr>
        <w:t>7) zapewnia ciągłość funkcjonowania mechanizmów m</w:t>
      </w:r>
      <w:r>
        <w:rPr>
          <w:rFonts w:ascii="Arial" w:eastAsia="Times New Roman" w:hAnsi="Arial" w:cs="Arial"/>
          <w:lang w:eastAsia="pl-PL"/>
        </w:rPr>
        <w:t xml:space="preserve">onitoringu spełniania kryteriów </w:t>
      </w:r>
      <w:r w:rsidRPr="008914C8">
        <w:rPr>
          <w:rFonts w:ascii="Arial" w:eastAsia="Times New Roman" w:hAnsi="Arial" w:cs="Arial"/>
          <w:lang w:eastAsia="pl-PL"/>
        </w:rPr>
        <w:t>zrównoważonego rozwoju, w tym funkcjonowania uzn</w:t>
      </w:r>
      <w:r>
        <w:rPr>
          <w:rFonts w:ascii="Arial" w:eastAsia="Times New Roman" w:hAnsi="Arial" w:cs="Arial"/>
          <w:lang w:eastAsia="pl-PL"/>
        </w:rPr>
        <w:t xml:space="preserve">anych przez KE w drodze decyzji </w:t>
      </w:r>
      <w:r w:rsidRPr="008914C8">
        <w:rPr>
          <w:rFonts w:ascii="Arial" w:eastAsia="Times New Roman" w:hAnsi="Arial" w:cs="Arial"/>
          <w:lang w:eastAsia="pl-PL"/>
        </w:rPr>
        <w:t>dobrowolnych systemów certyfikacji, zachowania</w:t>
      </w:r>
      <w:r>
        <w:rPr>
          <w:rFonts w:ascii="Arial" w:eastAsia="Times New Roman" w:hAnsi="Arial" w:cs="Arial"/>
          <w:lang w:eastAsia="pl-PL"/>
        </w:rPr>
        <w:t xml:space="preserve"> ważności wydanych poświadczeń, </w:t>
      </w:r>
      <w:r w:rsidRPr="008914C8">
        <w:rPr>
          <w:rFonts w:ascii="Arial" w:eastAsia="Times New Roman" w:hAnsi="Arial" w:cs="Arial"/>
          <w:lang w:eastAsia="pl-PL"/>
        </w:rPr>
        <w:t>certyfikatów, świadectw, prowadzących do wzaj</w:t>
      </w:r>
      <w:r>
        <w:rPr>
          <w:rFonts w:ascii="Arial" w:eastAsia="Times New Roman" w:hAnsi="Arial" w:cs="Arial"/>
          <w:lang w:eastAsia="pl-PL"/>
        </w:rPr>
        <w:t xml:space="preserve">emnego uznawania na obszarze UE </w:t>
      </w:r>
      <w:r w:rsidRPr="008914C8">
        <w:rPr>
          <w:rFonts w:ascii="Arial" w:eastAsia="Times New Roman" w:hAnsi="Arial" w:cs="Arial"/>
          <w:lang w:eastAsia="pl-PL"/>
        </w:rPr>
        <w:t>certyfikowanych surowców i towarów,</w:t>
      </w:r>
    </w:p>
    <w:p w:rsidR="008914C8" w:rsidRPr="008914C8" w:rsidRDefault="008914C8" w:rsidP="008914C8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914C8">
        <w:rPr>
          <w:rFonts w:ascii="Arial" w:eastAsia="Times New Roman" w:hAnsi="Arial" w:cs="Arial"/>
          <w:lang w:eastAsia="pl-PL"/>
        </w:rPr>
        <w:t>8) reguluje wymagania dotyczące spełniania k</w:t>
      </w:r>
      <w:r>
        <w:rPr>
          <w:rFonts w:ascii="Arial" w:eastAsia="Times New Roman" w:hAnsi="Arial" w:cs="Arial"/>
          <w:lang w:eastAsia="pl-PL"/>
        </w:rPr>
        <w:t xml:space="preserve">ryteriów zrównoważonego rozwoju </w:t>
      </w:r>
      <w:r w:rsidRPr="008914C8">
        <w:rPr>
          <w:rFonts w:ascii="Arial" w:eastAsia="Times New Roman" w:hAnsi="Arial" w:cs="Arial"/>
          <w:lang w:eastAsia="pl-PL"/>
        </w:rPr>
        <w:t xml:space="preserve">w odniesieniu do biokomponentów, </w:t>
      </w:r>
      <w:proofErr w:type="spellStart"/>
      <w:r w:rsidRPr="008914C8">
        <w:rPr>
          <w:rFonts w:ascii="Arial" w:eastAsia="Times New Roman" w:hAnsi="Arial" w:cs="Arial"/>
          <w:lang w:eastAsia="pl-PL"/>
        </w:rPr>
        <w:t>biopłynów</w:t>
      </w:r>
      <w:proofErr w:type="spellEnd"/>
      <w:r w:rsidRPr="008914C8">
        <w:rPr>
          <w:rFonts w:ascii="Arial" w:eastAsia="Times New Roman" w:hAnsi="Arial" w:cs="Arial"/>
          <w:lang w:eastAsia="pl-PL"/>
        </w:rPr>
        <w:t xml:space="preserve"> i p</w:t>
      </w:r>
      <w:r>
        <w:rPr>
          <w:rFonts w:ascii="Arial" w:eastAsia="Times New Roman" w:hAnsi="Arial" w:cs="Arial"/>
          <w:lang w:eastAsia="pl-PL"/>
        </w:rPr>
        <w:t xml:space="preserve">aliw z biomasy wykorzystywanych </w:t>
      </w:r>
      <w:r w:rsidRPr="008914C8">
        <w:rPr>
          <w:rFonts w:ascii="Arial" w:eastAsia="Times New Roman" w:hAnsi="Arial" w:cs="Arial"/>
          <w:lang w:eastAsia="pl-PL"/>
        </w:rPr>
        <w:t>w instalacjach odnawialnego źródła energii wytwarzając</w:t>
      </w:r>
      <w:r>
        <w:rPr>
          <w:rFonts w:ascii="Arial" w:eastAsia="Times New Roman" w:hAnsi="Arial" w:cs="Arial"/>
          <w:lang w:eastAsia="pl-PL"/>
        </w:rPr>
        <w:t xml:space="preserve">ych energię elektryczną, ciepło </w:t>
      </w:r>
      <w:r w:rsidRPr="008914C8">
        <w:rPr>
          <w:rFonts w:ascii="Arial" w:eastAsia="Times New Roman" w:hAnsi="Arial" w:cs="Arial"/>
          <w:lang w:eastAsia="pl-PL"/>
        </w:rPr>
        <w:t>lub chłód wytwarzanych z biomasy.</w:t>
      </w:r>
    </w:p>
    <w:p w:rsidR="008914C8" w:rsidRPr="008914C8" w:rsidRDefault="008914C8" w:rsidP="008914C8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914C8">
        <w:rPr>
          <w:rFonts w:ascii="Arial" w:eastAsia="Times New Roman" w:hAnsi="Arial" w:cs="Arial"/>
          <w:lang w:eastAsia="pl-PL"/>
        </w:rPr>
        <w:t>Ustawa przewiduje, że zasady wykonywania działalności gospodarczej</w:t>
      </w:r>
      <w:r>
        <w:rPr>
          <w:rFonts w:ascii="Arial" w:eastAsia="Times New Roman" w:hAnsi="Arial" w:cs="Arial"/>
          <w:lang w:eastAsia="pl-PL"/>
        </w:rPr>
        <w:t xml:space="preserve"> w zakresie </w:t>
      </w:r>
      <w:r w:rsidRPr="008914C8">
        <w:rPr>
          <w:rFonts w:ascii="Arial" w:eastAsia="Times New Roman" w:hAnsi="Arial" w:cs="Arial"/>
          <w:lang w:eastAsia="pl-PL"/>
        </w:rPr>
        <w:t xml:space="preserve">wytwarzania biokomponentów nie dotyczą </w:t>
      </w:r>
      <w:proofErr w:type="spellStart"/>
      <w:r w:rsidRPr="008914C8">
        <w:rPr>
          <w:rFonts w:ascii="Arial" w:eastAsia="Times New Roman" w:hAnsi="Arial" w:cs="Arial"/>
          <w:lang w:eastAsia="pl-PL"/>
        </w:rPr>
        <w:t>biometanu</w:t>
      </w:r>
      <w:proofErr w:type="spellEnd"/>
      <w:r w:rsidRPr="008914C8">
        <w:rPr>
          <w:rFonts w:ascii="Arial" w:eastAsia="Times New Roman" w:hAnsi="Arial" w:cs="Arial"/>
          <w:lang w:eastAsia="pl-PL"/>
        </w:rPr>
        <w:t>, takż</w:t>
      </w:r>
      <w:r>
        <w:rPr>
          <w:rFonts w:ascii="Arial" w:eastAsia="Times New Roman" w:hAnsi="Arial" w:cs="Arial"/>
          <w:lang w:eastAsia="pl-PL"/>
        </w:rPr>
        <w:t xml:space="preserve">e gdy jest on wytwarzany w celu </w:t>
      </w:r>
      <w:r w:rsidRPr="008914C8">
        <w:rPr>
          <w:rFonts w:ascii="Arial" w:eastAsia="Times New Roman" w:hAnsi="Arial" w:cs="Arial"/>
          <w:lang w:eastAsia="pl-PL"/>
        </w:rPr>
        <w:t>wykorzystania w sektorze transportu. Skutkiem powyższego</w:t>
      </w:r>
      <w:r>
        <w:rPr>
          <w:rFonts w:ascii="Arial" w:eastAsia="Times New Roman" w:hAnsi="Arial" w:cs="Arial"/>
          <w:lang w:eastAsia="pl-PL"/>
        </w:rPr>
        <w:t xml:space="preserve"> wprowadzono regulacje, zgodnie </w:t>
      </w:r>
      <w:r w:rsidRPr="008914C8">
        <w:rPr>
          <w:rFonts w:ascii="Arial" w:eastAsia="Times New Roman" w:hAnsi="Arial" w:cs="Arial"/>
          <w:lang w:eastAsia="pl-PL"/>
        </w:rPr>
        <w:t>z którymi zasady prowadzenia działalności gospodarczej w</w:t>
      </w:r>
      <w:r>
        <w:rPr>
          <w:rFonts w:ascii="Arial" w:eastAsia="Times New Roman" w:hAnsi="Arial" w:cs="Arial"/>
          <w:lang w:eastAsia="pl-PL"/>
        </w:rPr>
        <w:t xml:space="preserve"> zakresie wytwarzania </w:t>
      </w:r>
      <w:proofErr w:type="spellStart"/>
      <w:r>
        <w:rPr>
          <w:rFonts w:ascii="Arial" w:eastAsia="Times New Roman" w:hAnsi="Arial" w:cs="Arial"/>
          <w:lang w:eastAsia="pl-PL"/>
        </w:rPr>
        <w:t>biometanu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r w:rsidRPr="008914C8">
        <w:rPr>
          <w:rFonts w:ascii="Arial" w:eastAsia="Times New Roman" w:hAnsi="Arial" w:cs="Arial"/>
          <w:lang w:eastAsia="pl-PL"/>
        </w:rPr>
        <w:t xml:space="preserve">regulowane są w ustawie z dnia 20 lutego 2015 r. </w:t>
      </w:r>
      <w:r>
        <w:rPr>
          <w:rFonts w:ascii="Arial" w:eastAsia="Times New Roman" w:hAnsi="Arial" w:cs="Arial"/>
          <w:lang w:eastAsia="pl-PL"/>
        </w:rPr>
        <w:t xml:space="preserve">o odnawialnych źródłach energii </w:t>
      </w:r>
      <w:r w:rsidRPr="008914C8">
        <w:rPr>
          <w:rFonts w:ascii="Arial" w:eastAsia="Times New Roman" w:hAnsi="Arial" w:cs="Arial"/>
          <w:lang w:eastAsia="pl-PL"/>
        </w:rPr>
        <w:t>(niezależnie od jego przeznaczenia).</w:t>
      </w:r>
    </w:p>
    <w:p w:rsidR="008914C8" w:rsidRPr="008914C8" w:rsidRDefault="008914C8" w:rsidP="008914C8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914C8">
        <w:rPr>
          <w:rFonts w:ascii="Arial" w:eastAsia="Times New Roman" w:hAnsi="Arial" w:cs="Arial"/>
          <w:lang w:eastAsia="pl-PL"/>
        </w:rPr>
        <w:t xml:space="preserve">Istotne zamiany wprowadzono również w definicjach </w:t>
      </w:r>
      <w:r>
        <w:rPr>
          <w:rFonts w:ascii="Arial" w:eastAsia="Times New Roman" w:hAnsi="Arial" w:cs="Arial"/>
          <w:lang w:eastAsia="pl-PL"/>
        </w:rPr>
        <w:t xml:space="preserve">pojęć ustawowych. W celu </w:t>
      </w:r>
      <w:r w:rsidRPr="008914C8">
        <w:rPr>
          <w:rFonts w:ascii="Arial" w:eastAsia="Times New Roman" w:hAnsi="Arial" w:cs="Arial"/>
          <w:lang w:eastAsia="pl-PL"/>
        </w:rPr>
        <w:t>dostosowania siatki pojęciowej w ustawie z dnia 25 sie</w:t>
      </w:r>
      <w:r>
        <w:rPr>
          <w:rFonts w:ascii="Arial" w:eastAsia="Times New Roman" w:hAnsi="Arial" w:cs="Arial"/>
          <w:lang w:eastAsia="pl-PL"/>
        </w:rPr>
        <w:t xml:space="preserve">rpnia 2006 r. o biokomponentach </w:t>
      </w:r>
      <w:r w:rsidRPr="008914C8">
        <w:rPr>
          <w:rFonts w:ascii="Arial" w:eastAsia="Times New Roman" w:hAnsi="Arial" w:cs="Arial"/>
          <w:lang w:eastAsia="pl-PL"/>
        </w:rPr>
        <w:t>i biopaliwach ciekłych do dyrektywy REDII wprowadzono następujące zmiany:</w:t>
      </w:r>
    </w:p>
    <w:p w:rsidR="008914C8" w:rsidRPr="008914C8" w:rsidRDefault="008914C8" w:rsidP="008914C8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914C8">
        <w:rPr>
          <w:rFonts w:ascii="Arial" w:eastAsia="Times New Roman" w:hAnsi="Arial" w:cs="Arial"/>
          <w:lang w:eastAsia="pl-PL"/>
        </w:rPr>
        <w:t>1) doprecyzowano dotychczasową definicję biomasy w celu wskazania rodza</w:t>
      </w:r>
      <w:r>
        <w:rPr>
          <w:rFonts w:ascii="Arial" w:eastAsia="Times New Roman" w:hAnsi="Arial" w:cs="Arial"/>
          <w:lang w:eastAsia="pl-PL"/>
        </w:rPr>
        <w:t xml:space="preserve">jów surowców </w:t>
      </w:r>
      <w:r w:rsidRPr="008914C8">
        <w:rPr>
          <w:rFonts w:ascii="Arial" w:eastAsia="Times New Roman" w:hAnsi="Arial" w:cs="Arial"/>
          <w:lang w:eastAsia="pl-PL"/>
        </w:rPr>
        <w:t>kwalifikujących się do tego terminu zgodnie z treścią dyrektywy REDII,</w:t>
      </w:r>
    </w:p>
    <w:p w:rsidR="008914C8" w:rsidRPr="008914C8" w:rsidRDefault="008914C8" w:rsidP="008914C8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914C8">
        <w:rPr>
          <w:rFonts w:ascii="Arial" w:eastAsia="Times New Roman" w:hAnsi="Arial" w:cs="Arial"/>
          <w:lang w:eastAsia="pl-PL"/>
        </w:rPr>
        <w:t>2) wyodrębniono definicję biomasy rolniczej i biomasy l</w:t>
      </w:r>
      <w:r>
        <w:rPr>
          <w:rFonts w:ascii="Arial" w:eastAsia="Times New Roman" w:hAnsi="Arial" w:cs="Arial"/>
          <w:lang w:eastAsia="pl-PL"/>
        </w:rPr>
        <w:t xml:space="preserve">eśnej – pojęcie biomasa zawiera </w:t>
      </w:r>
      <w:r w:rsidRPr="008914C8">
        <w:rPr>
          <w:rFonts w:ascii="Arial" w:eastAsia="Times New Roman" w:hAnsi="Arial" w:cs="Arial"/>
          <w:lang w:eastAsia="pl-PL"/>
        </w:rPr>
        <w:t>zarówno biomasę pochodzącą z rolnictwa, łącz</w:t>
      </w:r>
      <w:r>
        <w:rPr>
          <w:rFonts w:ascii="Arial" w:eastAsia="Times New Roman" w:hAnsi="Arial" w:cs="Arial"/>
          <w:lang w:eastAsia="pl-PL"/>
        </w:rPr>
        <w:t xml:space="preserve">nie z substancjami roślinnymi i </w:t>
      </w:r>
      <w:r w:rsidRPr="008914C8">
        <w:rPr>
          <w:rFonts w:ascii="Arial" w:eastAsia="Times New Roman" w:hAnsi="Arial" w:cs="Arial"/>
          <w:lang w:eastAsia="pl-PL"/>
        </w:rPr>
        <w:t xml:space="preserve">zwierzęcymi, jak również z leśnictwa i łowiectwa, a </w:t>
      </w:r>
      <w:r>
        <w:rPr>
          <w:rFonts w:ascii="Arial" w:eastAsia="Times New Roman" w:hAnsi="Arial" w:cs="Arial"/>
          <w:lang w:eastAsia="pl-PL"/>
        </w:rPr>
        <w:t xml:space="preserve">także rybołówstwa i akwakultury </w:t>
      </w:r>
      <w:r w:rsidRPr="008914C8">
        <w:rPr>
          <w:rFonts w:ascii="Arial" w:eastAsia="Times New Roman" w:hAnsi="Arial" w:cs="Arial"/>
          <w:lang w:eastAsia="pl-PL"/>
        </w:rPr>
        <w:t>oraz z powiązanych z nimi działami przemysłu,</w:t>
      </w:r>
    </w:p>
    <w:p w:rsidR="008914C8" w:rsidRPr="008914C8" w:rsidRDefault="008914C8" w:rsidP="008914C8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914C8">
        <w:rPr>
          <w:rFonts w:ascii="Arial" w:eastAsia="Times New Roman" w:hAnsi="Arial" w:cs="Arial"/>
          <w:lang w:eastAsia="pl-PL"/>
        </w:rPr>
        <w:t>3) zmieniono definicję biokomponentów. Dodatkowo wska</w:t>
      </w:r>
      <w:r>
        <w:rPr>
          <w:rFonts w:ascii="Arial" w:eastAsia="Times New Roman" w:hAnsi="Arial" w:cs="Arial"/>
          <w:lang w:eastAsia="pl-PL"/>
        </w:rPr>
        <w:t xml:space="preserve">zano, że biokomponenty mogą być </w:t>
      </w:r>
      <w:r w:rsidRPr="008914C8">
        <w:rPr>
          <w:rFonts w:ascii="Arial" w:eastAsia="Times New Roman" w:hAnsi="Arial" w:cs="Arial"/>
          <w:lang w:eastAsia="pl-PL"/>
        </w:rPr>
        <w:t>wykorzystywane do wytwarzania paliw, paliw lotnicz</w:t>
      </w:r>
      <w:r>
        <w:rPr>
          <w:rFonts w:ascii="Arial" w:eastAsia="Times New Roman" w:hAnsi="Arial" w:cs="Arial"/>
          <w:lang w:eastAsia="pl-PL"/>
        </w:rPr>
        <w:t xml:space="preserve">ych i paliw żeglugowych, zaś </w:t>
      </w:r>
      <w:r w:rsidRPr="008914C8">
        <w:rPr>
          <w:rFonts w:ascii="Arial" w:eastAsia="Times New Roman" w:hAnsi="Arial" w:cs="Arial"/>
          <w:lang w:eastAsia="pl-PL"/>
        </w:rPr>
        <w:t>w przypadku biokomponentów gazowych mogą służyć do mieszania z kopalnymi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914C8">
        <w:rPr>
          <w:rFonts w:ascii="Arial" w:eastAsia="Times New Roman" w:hAnsi="Arial" w:cs="Arial"/>
          <w:lang w:eastAsia="pl-PL"/>
        </w:rPr>
        <w:t>odpowiednikami biokomponentu, bez konieczności pos</w:t>
      </w:r>
      <w:r>
        <w:rPr>
          <w:rFonts w:ascii="Arial" w:eastAsia="Times New Roman" w:hAnsi="Arial" w:cs="Arial"/>
          <w:lang w:eastAsia="pl-PL"/>
        </w:rPr>
        <w:t xml:space="preserve">iadania koncesji na wytwarzanie </w:t>
      </w:r>
      <w:r w:rsidRPr="008914C8">
        <w:rPr>
          <w:rFonts w:ascii="Arial" w:eastAsia="Times New Roman" w:hAnsi="Arial" w:cs="Arial"/>
          <w:lang w:eastAsia="pl-PL"/>
        </w:rPr>
        <w:t>paliw,</w:t>
      </w:r>
    </w:p>
    <w:p w:rsidR="008914C8" w:rsidRPr="008914C8" w:rsidRDefault="008914C8" w:rsidP="008914C8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914C8">
        <w:rPr>
          <w:rFonts w:ascii="Arial" w:eastAsia="Times New Roman" w:hAnsi="Arial" w:cs="Arial"/>
          <w:lang w:eastAsia="pl-PL"/>
        </w:rPr>
        <w:t>4) doprecyzowano również biokomponent gazowy, jakim jes</w:t>
      </w:r>
      <w:r>
        <w:rPr>
          <w:rFonts w:ascii="Arial" w:eastAsia="Times New Roman" w:hAnsi="Arial" w:cs="Arial"/>
          <w:lang w:eastAsia="pl-PL"/>
        </w:rPr>
        <w:t xml:space="preserve">t </w:t>
      </w:r>
      <w:proofErr w:type="spellStart"/>
      <w:r>
        <w:rPr>
          <w:rFonts w:ascii="Arial" w:eastAsia="Times New Roman" w:hAnsi="Arial" w:cs="Arial"/>
          <w:lang w:eastAsia="pl-PL"/>
        </w:rPr>
        <w:t>biometan</w:t>
      </w:r>
      <w:proofErr w:type="spellEnd"/>
      <w:r>
        <w:rPr>
          <w:rFonts w:ascii="Arial" w:eastAsia="Times New Roman" w:hAnsi="Arial" w:cs="Arial"/>
          <w:lang w:eastAsia="pl-PL"/>
        </w:rPr>
        <w:t xml:space="preserve">. Definicja </w:t>
      </w:r>
      <w:proofErr w:type="spellStart"/>
      <w:r>
        <w:rPr>
          <w:rFonts w:ascii="Arial" w:eastAsia="Times New Roman" w:hAnsi="Arial" w:cs="Arial"/>
          <w:lang w:eastAsia="pl-PL"/>
        </w:rPr>
        <w:t>biometanu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r w:rsidRPr="008914C8">
        <w:rPr>
          <w:rFonts w:ascii="Arial" w:eastAsia="Times New Roman" w:hAnsi="Arial" w:cs="Arial"/>
          <w:lang w:eastAsia="pl-PL"/>
        </w:rPr>
        <w:t xml:space="preserve">wprowadza odesłanie do definicji </w:t>
      </w:r>
      <w:proofErr w:type="spellStart"/>
      <w:r w:rsidRPr="008914C8">
        <w:rPr>
          <w:rFonts w:ascii="Arial" w:eastAsia="Times New Roman" w:hAnsi="Arial" w:cs="Arial"/>
          <w:lang w:eastAsia="pl-PL"/>
        </w:rPr>
        <w:t>biometanu</w:t>
      </w:r>
      <w:proofErr w:type="spellEnd"/>
      <w:r w:rsidRPr="008914C8">
        <w:rPr>
          <w:rFonts w:ascii="Arial" w:eastAsia="Times New Roman" w:hAnsi="Arial" w:cs="Arial"/>
          <w:lang w:eastAsia="pl-PL"/>
        </w:rPr>
        <w:t xml:space="preserve"> zawartej w </w:t>
      </w:r>
      <w:r>
        <w:rPr>
          <w:rFonts w:ascii="Arial" w:eastAsia="Times New Roman" w:hAnsi="Arial" w:cs="Arial"/>
          <w:lang w:eastAsia="pl-PL"/>
        </w:rPr>
        <w:t xml:space="preserve">ustawie o odnawialnych źródłach </w:t>
      </w:r>
      <w:r w:rsidRPr="008914C8">
        <w:rPr>
          <w:rFonts w:ascii="Arial" w:eastAsia="Times New Roman" w:hAnsi="Arial" w:cs="Arial"/>
          <w:lang w:eastAsia="pl-PL"/>
        </w:rPr>
        <w:t>energii,</w:t>
      </w:r>
    </w:p>
    <w:p w:rsidR="008914C8" w:rsidRPr="008914C8" w:rsidRDefault="008914C8" w:rsidP="008914C8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914C8">
        <w:rPr>
          <w:rFonts w:ascii="Arial" w:eastAsia="Times New Roman" w:hAnsi="Arial" w:cs="Arial"/>
          <w:lang w:eastAsia="pl-PL"/>
        </w:rPr>
        <w:t>5) w ramach definicji biokomponentów dokonano</w:t>
      </w:r>
      <w:r w:rsidR="006255D6">
        <w:rPr>
          <w:rFonts w:ascii="Arial" w:eastAsia="Times New Roman" w:hAnsi="Arial" w:cs="Arial"/>
          <w:lang w:eastAsia="pl-PL"/>
        </w:rPr>
        <w:t xml:space="preserve"> również doprecyzowania pojęcia </w:t>
      </w:r>
      <w:proofErr w:type="spellStart"/>
      <w:r w:rsidRPr="008914C8">
        <w:rPr>
          <w:rFonts w:ascii="Arial" w:eastAsia="Times New Roman" w:hAnsi="Arial" w:cs="Arial"/>
          <w:lang w:eastAsia="pl-PL"/>
        </w:rPr>
        <w:t>biowodoru</w:t>
      </w:r>
      <w:proofErr w:type="spellEnd"/>
      <w:r w:rsidRPr="008914C8">
        <w:rPr>
          <w:rFonts w:ascii="Arial" w:eastAsia="Times New Roman" w:hAnsi="Arial" w:cs="Arial"/>
          <w:lang w:eastAsia="pl-PL"/>
        </w:rPr>
        <w:t>. Zmiana polega na dookreśleniu, że jest t</w:t>
      </w:r>
      <w:r w:rsidR="006255D6">
        <w:rPr>
          <w:rFonts w:ascii="Arial" w:eastAsia="Times New Roman" w:hAnsi="Arial" w:cs="Arial"/>
          <w:lang w:eastAsia="pl-PL"/>
        </w:rPr>
        <w:t xml:space="preserve">o wodór wytworzony z biomasy, w </w:t>
      </w:r>
      <w:r w:rsidRPr="008914C8">
        <w:rPr>
          <w:rFonts w:ascii="Arial" w:eastAsia="Times New Roman" w:hAnsi="Arial" w:cs="Arial"/>
          <w:lang w:eastAsia="pl-PL"/>
        </w:rPr>
        <w:t xml:space="preserve">tym z </w:t>
      </w:r>
      <w:proofErr w:type="spellStart"/>
      <w:r w:rsidRPr="008914C8">
        <w:rPr>
          <w:rFonts w:ascii="Arial" w:eastAsia="Times New Roman" w:hAnsi="Arial" w:cs="Arial"/>
          <w:lang w:eastAsia="pl-PL"/>
        </w:rPr>
        <w:t>biometanu</w:t>
      </w:r>
      <w:proofErr w:type="spellEnd"/>
      <w:r w:rsidRPr="008914C8">
        <w:rPr>
          <w:rFonts w:ascii="Arial" w:eastAsia="Times New Roman" w:hAnsi="Arial" w:cs="Arial"/>
          <w:lang w:eastAsia="pl-PL"/>
        </w:rPr>
        <w:t>, który jest oczyszczonym gazem p</w:t>
      </w:r>
      <w:r w:rsidR="006255D6">
        <w:rPr>
          <w:rFonts w:ascii="Arial" w:eastAsia="Times New Roman" w:hAnsi="Arial" w:cs="Arial"/>
          <w:lang w:eastAsia="pl-PL"/>
        </w:rPr>
        <w:t xml:space="preserve">ochodzącym z biomasy. Zmiana ma </w:t>
      </w:r>
      <w:r w:rsidRPr="008914C8">
        <w:rPr>
          <w:rFonts w:ascii="Arial" w:eastAsia="Times New Roman" w:hAnsi="Arial" w:cs="Arial"/>
          <w:lang w:eastAsia="pl-PL"/>
        </w:rPr>
        <w:t xml:space="preserve">na celu doprecyzowanie pojęcia </w:t>
      </w:r>
      <w:proofErr w:type="spellStart"/>
      <w:r w:rsidRPr="008914C8">
        <w:rPr>
          <w:rFonts w:ascii="Arial" w:eastAsia="Times New Roman" w:hAnsi="Arial" w:cs="Arial"/>
          <w:lang w:eastAsia="pl-PL"/>
        </w:rPr>
        <w:t>biowodoru</w:t>
      </w:r>
      <w:proofErr w:type="spellEnd"/>
      <w:r w:rsidRPr="008914C8">
        <w:rPr>
          <w:rFonts w:ascii="Arial" w:eastAsia="Times New Roman" w:hAnsi="Arial" w:cs="Arial"/>
          <w:lang w:eastAsia="pl-PL"/>
        </w:rPr>
        <w:t>, k</w:t>
      </w:r>
      <w:r w:rsidR="006255D6">
        <w:rPr>
          <w:rFonts w:ascii="Arial" w:eastAsia="Times New Roman" w:hAnsi="Arial" w:cs="Arial"/>
          <w:lang w:eastAsia="pl-PL"/>
        </w:rPr>
        <w:t xml:space="preserve">tóry będzie wykorzystywany jako </w:t>
      </w:r>
      <w:r w:rsidRPr="008914C8">
        <w:rPr>
          <w:rFonts w:ascii="Arial" w:eastAsia="Times New Roman" w:hAnsi="Arial" w:cs="Arial"/>
          <w:lang w:eastAsia="pl-PL"/>
        </w:rPr>
        <w:t>biokomponent do produkcji paliw, np. w procesach hydro</w:t>
      </w:r>
      <w:r w:rsidR="006255D6">
        <w:rPr>
          <w:rFonts w:ascii="Arial" w:eastAsia="Times New Roman" w:hAnsi="Arial" w:cs="Arial"/>
          <w:lang w:eastAsia="pl-PL"/>
        </w:rPr>
        <w:t xml:space="preserve">krakingu i </w:t>
      </w:r>
      <w:proofErr w:type="spellStart"/>
      <w:r w:rsidR="006255D6">
        <w:rPr>
          <w:rFonts w:ascii="Arial" w:eastAsia="Times New Roman" w:hAnsi="Arial" w:cs="Arial"/>
          <w:lang w:eastAsia="pl-PL"/>
        </w:rPr>
        <w:t>hydroodsiarczania</w:t>
      </w:r>
      <w:proofErr w:type="spellEnd"/>
      <w:r w:rsidR="006255D6">
        <w:rPr>
          <w:rFonts w:ascii="Arial" w:eastAsia="Times New Roman" w:hAnsi="Arial" w:cs="Arial"/>
          <w:lang w:eastAsia="pl-PL"/>
        </w:rPr>
        <w:t xml:space="preserve">, w </w:t>
      </w:r>
      <w:r w:rsidRPr="008914C8">
        <w:rPr>
          <w:rFonts w:ascii="Arial" w:eastAsia="Times New Roman" w:hAnsi="Arial" w:cs="Arial"/>
          <w:lang w:eastAsia="pl-PL"/>
        </w:rPr>
        <w:t xml:space="preserve">których </w:t>
      </w:r>
      <w:proofErr w:type="spellStart"/>
      <w:r w:rsidR="006255D6">
        <w:rPr>
          <w:rFonts w:ascii="Arial" w:eastAsia="Times New Roman" w:hAnsi="Arial" w:cs="Arial"/>
          <w:lang w:eastAsia="pl-PL"/>
        </w:rPr>
        <w:t>biowodór</w:t>
      </w:r>
      <w:proofErr w:type="spellEnd"/>
      <w:r w:rsidR="006255D6">
        <w:rPr>
          <w:rFonts w:ascii="Arial" w:eastAsia="Times New Roman" w:hAnsi="Arial" w:cs="Arial"/>
          <w:lang w:eastAsia="pl-PL"/>
        </w:rPr>
        <w:t xml:space="preserve"> wytworzony z </w:t>
      </w:r>
      <w:proofErr w:type="spellStart"/>
      <w:r w:rsidR="006255D6">
        <w:rPr>
          <w:rFonts w:ascii="Arial" w:eastAsia="Times New Roman" w:hAnsi="Arial" w:cs="Arial"/>
          <w:lang w:eastAsia="pl-PL"/>
        </w:rPr>
        <w:t>biometanu</w:t>
      </w:r>
      <w:proofErr w:type="spellEnd"/>
      <w:r w:rsidR="006255D6">
        <w:rPr>
          <w:rFonts w:ascii="Arial" w:eastAsia="Times New Roman" w:hAnsi="Arial" w:cs="Arial"/>
          <w:lang w:eastAsia="pl-PL"/>
        </w:rPr>
        <w:t xml:space="preserve"> </w:t>
      </w:r>
      <w:r w:rsidRPr="008914C8">
        <w:rPr>
          <w:rFonts w:ascii="Arial" w:eastAsia="Times New Roman" w:hAnsi="Arial" w:cs="Arial"/>
          <w:lang w:eastAsia="pl-PL"/>
        </w:rPr>
        <w:t>wbudowuje się w cząsteczki paliw stosowanych w transporcie,</w:t>
      </w:r>
    </w:p>
    <w:p w:rsidR="008914C8" w:rsidRPr="008914C8" w:rsidRDefault="008914C8" w:rsidP="008914C8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914C8">
        <w:rPr>
          <w:rFonts w:ascii="Arial" w:eastAsia="Times New Roman" w:hAnsi="Arial" w:cs="Arial"/>
          <w:lang w:eastAsia="pl-PL"/>
        </w:rPr>
        <w:t>6) uzupełniono przedmiotową ustawę o definicję bioko</w:t>
      </w:r>
      <w:r w:rsidR="006255D6">
        <w:rPr>
          <w:rFonts w:ascii="Arial" w:eastAsia="Times New Roman" w:hAnsi="Arial" w:cs="Arial"/>
          <w:lang w:eastAsia="pl-PL"/>
        </w:rPr>
        <w:t xml:space="preserve">mponentów zaawansowanych. Są to </w:t>
      </w:r>
      <w:r w:rsidRPr="008914C8">
        <w:rPr>
          <w:rFonts w:ascii="Arial" w:eastAsia="Times New Roman" w:hAnsi="Arial" w:cs="Arial"/>
          <w:lang w:eastAsia="pl-PL"/>
        </w:rPr>
        <w:t>biokomponenty wytworzone z surowców, o których mowa w części A załącznik</w:t>
      </w:r>
      <w:r w:rsidR="006255D6">
        <w:rPr>
          <w:rFonts w:ascii="Arial" w:eastAsia="Times New Roman" w:hAnsi="Arial" w:cs="Arial"/>
          <w:lang w:eastAsia="pl-PL"/>
        </w:rPr>
        <w:t xml:space="preserve">a nr 1 do </w:t>
      </w:r>
      <w:r w:rsidRPr="008914C8">
        <w:rPr>
          <w:rFonts w:ascii="Arial" w:eastAsia="Times New Roman" w:hAnsi="Arial" w:cs="Arial"/>
          <w:lang w:eastAsia="pl-PL"/>
        </w:rPr>
        <w:t>ustawy. Załącznik nr 1 część A jest zaś odpowiednikiem części A załącznika IX do</w:t>
      </w:r>
      <w:r w:rsidR="006255D6">
        <w:rPr>
          <w:rFonts w:ascii="Arial" w:eastAsia="Times New Roman" w:hAnsi="Arial" w:cs="Arial"/>
          <w:lang w:eastAsia="pl-PL"/>
        </w:rPr>
        <w:t xml:space="preserve"> dyrektywy </w:t>
      </w:r>
      <w:r w:rsidRPr="008914C8">
        <w:rPr>
          <w:rFonts w:ascii="Arial" w:eastAsia="Times New Roman" w:hAnsi="Arial" w:cs="Arial"/>
          <w:lang w:eastAsia="pl-PL"/>
        </w:rPr>
        <w:lastRenderedPageBreak/>
        <w:t>REDII. Lista surowców w załączniku został</w:t>
      </w:r>
      <w:r w:rsidR="006255D6">
        <w:rPr>
          <w:rFonts w:ascii="Arial" w:eastAsia="Times New Roman" w:hAnsi="Arial" w:cs="Arial"/>
          <w:lang w:eastAsia="pl-PL"/>
        </w:rPr>
        <w:t xml:space="preserve">a uzupełniona zgodnie z treścią </w:t>
      </w:r>
      <w:r w:rsidRPr="008914C8">
        <w:rPr>
          <w:rFonts w:ascii="Arial" w:eastAsia="Times New Roman" w:hAnsi="Arial" w:cs="Arial"/>
          <w:lang w:eastAsia="pl-PL"/>
        </w:rPr>
        <w:t>dyrektywy o nowe rodzaje surowców, m.in.: frakcję biomasy z odpadów i pozostałości</w:t>
      </w:r>
      <w:r w:rsidR="006255D6">
        <w:rPr>
          <w:rFonts w:ascii="Arial" w:eastAsia="Times New Roman" w:hAnsi="Arial" w:cs="Arial"/>
          <w:lang w:eastAsia="pl-PL"/>
        </w:rPr>
        <w:t xml:space="preserve"> z </w:t>
      </w:r>
      <w:r w:rsidRPr="008914C8">
        <w:rPr>
          <w:rFonts w:ascii="Arial" w:eastAsia="Times New Roman" w:hAnsi="Arial" w:cs="Arial"/>
          <w:lang w:eastAsia="pl-PL"/>
        </w:rPr>
        <w:t>leśnictwa i działów przemysłu powiązanych z leśnictwem, jak np. kora, gałęzie.</w:t>
      </w:r>
    </w:p>
    <w:p w:rsidR="008914C8" w:rsidRPr="008914C8" w:rsidRDefault="008914C8" w:rsidP="008914C8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914C8">
        <w:rPr>
          <w:rFonts w:ascii="Arial" w:eastAsia="Times New Roman" w:hAnsi="Arial" w:cs="Arial"/>
          <w:lang w:eastAsia="pl-PL"/>
        </w:rPr>
        <w:t>7) dodano definicję ciekłego paliwa węglowego pocho</w:t>
      </w:r>
      <w:r w:rsidR="006255D6">
        <w:rPr>
          <w:rFonts w:ascii="Arial" w:eastAsia="Times New Roman" w:hAnsi="Arial" w:cs="Arial"/>
          <w:lang w:eastAsia="pl-PL"/>
        </w:rPr>
        <w:t xml:space="preserve">dzącego z recyklingu i gazowego </w:t>
      </w:r>
      <w:r w:rsidRPr="008914C8">
        <w:rPr>
          <w:rFonts w:ascii="Arial" w:eastAsia="Times New Roman" w:hAnsi="Arial" w:cs="Arial"/>
          <w:lang w:eastAsia="pl-PL"/>
        </w:rPr>
        <w:t>paliwa węglowego pochodzącego z recyklingu,</w:t>
      </w:r>
    </w:p>
    <w:p w:rsidR="008914C8" w:rsidRPr="008914C8" w:rsidRDefault="008914C8" w:rsidP="008914C8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914C8">
        <w:rPr>
          <w:rFonts w:ascii="Arial" w:eastAsia="Times New Roman" w:hAnsi="Arial" w:cs="Arial"/>
          <w:lang w:eastAsia="pl-PL"/>
        </w:rPr>
        <w:t>8) zmieniono definicję roślin wysokoskrobiowych oraz doda</w:t>
      </w:r>
      <w:r w:rsidR="006255D6">
        <w:rPr>
          <w:rFonts w:ascii="Arial" w:eastAsia="Times New Roman" w:hAnsi="Arial" w:cs="Arial"/>
          <w:lang w:eastAsia="pl-PL"/>
        </w:rPr>
        <w:t xml:space="preserve">no definicję roślin spożywczych </w:t>
      </w:r>
      <w:r w:rsidRPr="008914C8">
        <w:rPr>
          <w:rFonts w:ascii="Arial" w:eastAsia="Times New Roman" w:hAnsi="Arial" w:cs="Arial"/>
          <w:lang w:eastAsia="pl-PL"/>
        </w:rPr>
        <w:t>lub pastewnych,</w:t>
      </w:r>
    </w:p>
    <w:p w:rsidR="008914C8" w:rsidRPr="008914C8" w:rsidRDefault="008914C8" w:rsidP="008914C8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914C8">
        <w:rPr>
          <w:rFonts w:ascii="Arial" w:eastAsia="Times New Roman" w:hAnsi="Arial" w:cs="Arial"/>
          <w:lang w:eastAsia="pl-PL"/>
        </w:rPr>
        <w:t>9) wprowadzono zmiany w definicji „pozostałość z rolnictw</w:t>
      </w:r>
      <w:r w:rsidR="006255D6">
        <w:rPr>
          <w:rFonts w:ascii="Arial" w:eastAsia="Times New Roman" w:hAnsi="Arial" w:cs="Arial"/>
          <w:lang w:eastAsia="pl-PL"/>
        </w:rPr>
        <w:t xml:space="preserve">a, akwakultury, rybołówstwa lub </w:t>
      </w:r>
      <w:r w:rsidRPr="008914C8">
        <w:rPr>
          <w:rFonts w:ascii="Arial" w:eastAsia="Times New Roman" w:hAnsi="Arial" w:cs="Arial"/>
          <w:lang w:eastAsia="pl-PL"/>
        </w:rPr>
        <w:t>leśnictwa” oraz w definicji „pozostałość z przetwarzania”,</w:t>
      </w:r>
    </w:p>
    <w:p w:rsidR="008914C8" w:rsidRPr="008914C8" w:rsidRDefault="008914C8" w:rsidP="008914C8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914C8">
        <w:rPr>
          <w:rFonts w:ascii="Arial" w:eastAsia="Times New Roman" w:hAnsi="Arial" w:cs="Arial"/>
          <w:lang w:eastAsia="pl-PL"/>
        </w:rPr>
        <w:t>10) dodano definicję operatora infrastruktury ładowania oraz przewoźnika kolejowego,</w:t>
      </w:r>
    </w:p>
    <w:p w:rsidR="008914C8" w:rsidRPr="008914C8" w:rsidRDefault="008914C8" w:rsidP="008914C8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914C8">
        <w:rPr>
          <w:rFonts w:ascii="Arial" w:eastAsia="Times New Roman" w:hAnsi="Arial" w:cs="Arial"/>
          <w:lang w:eastAsia="pl-PL"/>
        </w:rPr>
        <w:t>11) dodano definicje związane z procesem dostarczania energii elektrycznej do pojazdów,</w:t>
      </w:r>
    </w:p>
    <w:p w:rsidR="006255D6" w:rsidRPr="006255D6" w:rsidRDefault="008914C8" w:rsidP="006255D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914C8">
        <w:rPr>
          <w:rFonts w:ascii="Arial" w:eastAsia="Times New Roman" w:hAnsi="Arial" w:cs="Arial"/>
          <w:lang w:eastAsia="pl-PL"/>
        </w:rPr>
        <w:t xml:space="preserve">12) wprowadzono zmiany w definicji NCW oraz podmiotu </w:t>
      </w:r>
      <w:r w:rsidR="006255D6">
        <w:rPr>
          <w:rFonts w:ascii="Arial" w:eastAsia="Times New Roman" w:hAnsi="Arial" w:cs="Arial"/>
          <w:lang w:eastAsia="pl-PL"/>
        </w:rPr>
        <w:t xml:space="preserve">realizującego NCW – konieczność </w:t>
      </w:r>
      <w:r w:rsidRPr="008914C8">
        <w:rPr>
          <w:rFonts w:ascii="Arial" w:eastAsia="Times New Roman" w:hAnsi="Arial" w:cs="Arial"/>
          <w:lang w:eastAsia="pl-PL"/>
        </w:rPr>
        <w:t>tych zmian wynika z wprowadzenia regulacji przewidu</w:t>
      </w:r>
      <w:r w:rsidR="006255D6">
        <w:rPr>
          <w:rFonts w:ascii="Arial" w:eastAsia="Times New Roman" w:hAnsi="Arial" w:cs="Arial"/>
          <w:lang w:eastAsia="pl-PL"/>
        </w:rPr>
        <w:t xml:space="preserve">jących możliwość realizacji NCW </w:t>
      </w:r>
      <w:r w:rsidRPr="008914C8">
        <w:rPr>
          <w:rFonts w:ascii="Arial" w:eastAsia="Times New Roman" w:hAnsi="Arial" w:cs="Arial"/>
          <w:lang w:eastAsia="pl-PL"/>
        </w:rPr>
        <w:t>przez inne paliwa odnawialne, biokomponenty zaw</w:t>
      </w:r>
      <w:r w:rsidR="006255D6">
        <w:rPr>
          <w:rFonts w:ascii="Arial" w:eastAsia="Times New Roman" w:hAnsi="Arial" w:cs="Arial"/>
          <w:lang w:eastAsia="pl-PL"/>
        </w:rPr>
        <w:t xml:space="preserve">arte w paliwach oraz nowe grupy </w:t>
      </w:r>
      <w:r w:rsidRPr="008914C8">
        <w:rPr>
          <w:rFonts w:ascii="Arial" w:eastAsia="Times New Roman" w:hAnsi="Arial" w:cs="Arial"/>
          <w:lang w:eastAsia="pl-PL"/>
        </w:rPr>
        <w:t>paliw: ciekłe paliwa węglowe pochodzące z rec</w:t>
      </w:r>
      <w:r w:rsidR="006255D6">
        <w:rPr>
          <w:rFonts w:ascii="Arial" w:eastAsia="Times New Roman" w:hAnsi="Arial" w:cs="Arial"/>
          <w:lang w:eastAsia="pl-PL"/>
        </w:rPr>
        <w:t xml:space="preserve">yklingu i gazowe paliwa węglowe </w:t>
      </w:r>
      <w:r w:rsidRPr="008914C8">
        <w:rPr>
          <w:rFonts w:ascii="Arial" w:eastAsia="Times New Roman" w:hAnsi="Arial" w:cs="Arial"/>
          <w:lang w:eastAsia="pl-PL"/>
        </w:rPr>
        <w:t>pochodzące z recyklingu oraz przez energię elektryczną z OZE, sto</w:t>
      </w:r>
      <w:r w:rsidR="006255D6">
        <w:rPr>
          <w:rFonts w:ascii="Arial" w:eastAsia="Times New Roman" w:hAnsi="Arial" w:cs="Arial"/>
          <w:lang w:eastAsia="pl-PL"/>
        </w:rPr>
        <w:t xml:space="preserve">sowanych w </w:t>
      </w:r>
      <w:r w:rsidRPr="008914C8">
        <w:rPr>
          <w:rFonts w:ascii="Arial" w:eastAsia="Times New Roman" w:hAnsi="Arial" w:cs="Arial"/>
          <w:lang w:eastAsia="pl-PL"/>
        </w:rPr>
        <w:t>transporcie, które zgodnie z dyrektywą REDII mogą b</w:t>
      </w:r>
      <w:r w:rsidR="006255D6">
        <w:rPr>
          <w:rFonts w:ascii="Arial" w:eastAsia="Times New Roman" w:hAnsi="Arial" w:cs="Arial"/>
          <w:lang w:eastAsia="pl-PL"/>
        </w:rPr>
        <w:t xml:space="preserve">yć uwzględniane w liczniku przy </w:t>
      </w:r>
      <w:r w:rsidRPr="008914C8">
        <w:rPr>
          <w:rFonts w:ascii="Arial" w:eastAsia="Times New Roman" w:hAnsi="Arial" w:cs="Arial"/>
          <w:lang w:eastAsia="pl-PL"/>
        </w:rPr>
        <w:t>obliczaniu udziału energii odnawialnej w końc</w:t>
      </w:r>
      <w:r w:rsidR="006255D6">
        <w:rPr>
          <w:rFonts w:ascii="Arial" w:eastAsia="Times New Roman" w:hAnsi="Arial" w:cs="Arial"/>
          <w:lang w:eastAsia="pl-PL"/>
        </w:rPr>
        <w:t xml:space="preserve">owym zużyciu energii w sektorze </w:t>
      </w:r>
      <w:r w:rsidRPr="008914C8">
        <w:rPr>
          <w:rFonts w:ascii="Arial" w:eastAsia="Times New Roman" w:hAnsi="Arial" w:cs="Arial"/>
          <w:lang w:eastAsia="pl-PL"/>
        </w:rPr>
        <w:t>transportu liczonej według wartości energetycznej. Ustawa wprowadza te grupy paliw i</w:t>
      </w:r>
      <w:r w:rsidR="006255D6">
        <w:rPr>
          <w:rFonts w:ascii="Arial" w:eastAsia="Times New Roman" w:hAnsi="Arial" w:cs="Arial"/>
          <w:lang w:eastAsia="pl-PL"/>
        </w:rPr>
        <w:t xml:space="preserve"> </w:t>
      </w:r>
      <w:r w:rsidR="006255D6" w:rsidRPr="006255D6">
        <w:rPr>
          <w:rFonts w:ascii="Arial" w:eastAsia="Times New Roman" w:hAnsi="Arial" w:cs="Arial"/>
          <w:lang w:eastAsia="pl-PL"/>
        </w:rPr>
        <w:t>energii elektrycznej z OZE do licznika w struk</w:t>
      </w:r>
      <w:r w:rsidR="006255D6">
        <w:rPr>
          <w:rFonts w:ascii="Arial" w:eastAsia="Times New Roman" w:hAnsi="Arial" w:cs="Arial"/>
          <w:lang w:eastAsia="pl-PL"/>
        </w:rPr>
        <w:t xml:space="preserve">turze udziału NCW. Narodowy Cel </w:t>
      </w:r>
      <w:r w:rsidR="006255D6" w:rsidRPr="006255D6">
        <w:rPr>
          <w:rFonts w:ascii="Arial" w:eastAsia="Times New Roman" w:hAnsi="Arial" w:cs="Arial"/>
          <w:lang w:eastAsia="pl-PL"/>
        </w:rPr>
        <w:t>Wskaźnikowy zdefiniowany został jako minimalny udział</w:t>
      </w:r>
      <w:r w:rsidR="006255D6">
        <w:rPr>
          <w:rFonts w:ascii="Arial" w:eastAsia="Times New Roman" w:hAnsi="Arial" w:cs="Arial"/>
          <w:lang w:eastAsia="pl-PL"/>
        </w:rPr>
        <w:t xml:space="preserve"> innych paliw odnawialnych, </w:t>
      </w:r>
      <w:r w:rsidR="006255D6" w:rsidRPr="006255D6">
        <w:rPr>
          <w:rFonts w:ascii="Arial" w:eastAsia="Times New Roman" w:hAnsi="Arial" w:cs="Arial"/>
          <w:lang w:eastAsia="pl-PL"/>
        </w:rPr>
        <w:t>ciekłych paliw węglowych pochodzących z recyk</w:t>
      </w:r>
      <w:r w:rsidR="006255D6">
        <w:rPr>
          <w:rFonts w:ascii="Arial" w:eastAsia="Times New Roman" w:hAnsi="Arial" w:cs="Arial"/>
          <w:lang w:eastAsia="pl-PL"/>
        </w:rPr>
        <w:t xml:space="preserve">lingu, gazowych paliw węglowych </w:t>
      </w:r>
      <w:r w:rsidR="006255D6" w:rsidRPr="006255D6">
        <w:rPr>
          <w:rFonts w:ascii="Arial" w:eastAsia="Times New Roman" w:hAnsi="Arial" w:cs="Arial"/>
          <w:lang w:eastAsia="pl-PL"/>
        </w:rPr>
        <w:t>pochodzących z recyklingu i biokomponentów</w:t>
      </w:r>
      <w:r w:rsidR="006255D6">
        <w:rPr>
          <w:rFonts w:ascii="Arial" w:eastAsia="Times New Roman" w:hAnsi="Arial" w:cs="Arial"/>
          <w:lang w:eastAsia="pl-PL"/>
        </w:rPr>
        <w:t xml:space="preserve"> zawartych w paliwach, paliwach </w:t>
      </w:r>
      <w:r w:rsidR="006255D6" w:rsidRPr="006255D6">
        <w:rPr>
          <w:rFonts w:ascii="Arial" w:eastAsia="Times New Roman" w:hAnsi="Arial" w:cs="Arial"/>
          <w:lang w:eastAsia="pl-PL"/>
        </w:rPr>
        <w:t>lotniczych i paliwach żeglugowych stosowanych we wszys</w:t>
      </w:r>
      <w:r w:rsidR="006255D6">
        <w:rPr>
          <w:rFonts w:ascii="Arial" w:eastAsia="Times New Roman" w:hAnsi="Arial" w:cs="Arial"/>
          <w:lang w:eastAsia="pl-PL"/>
        </w:rPr>
        <w:t xml:space="preserve">tkich rodzajach transportu oraz </w:t>
      </w:r>
      <w:r w:rsidR="006255D6" w:rsidRPr="006255D6">
        <w:rPr>
          <w:rFonts w:ascii="Arial" w:eastAsia="Times New Roman" w:hAnsi="Arial" w:cs="Arial"/>
          <w:lang w:eastAsia="pl-PL"/>
        </w:rPr>
        <w:t>energii elektrycznej z odnawialnych źródeł energii dos</w:t>
      </w:r>
      <w:r w:rsidR="006255D6">
        <w:rPr>
          <w:rFonts w:ascii="Arial" w:eastAsia="Times New Roman" w:hAnsi="Arial" w:cs="Arial"/>
          <w:lang w:eastAsia="pl-PL"/>
        </w:rPr>
        <w:t xml:space="preserve">tarczanej do pojazdów drogowych </w:t>
      </w:r>
      <w:r w:rsidR="006255D6" w:rsidRPr="006255D6">
        <w:rPr>
          <w:rFonts w:ascii="Arial" w:eastAsia="Times New Roman" w:hAnsi="Arial" w:cs="Arial"/>
          <w:lang w:eastAsia="pl-PL"/>
        </w:rPr>
        <w:t>lub kolejowych w ogólnej ilości paliw ciekłych i biopaliw ciekłych, zużywanych w dan</w:t>
      </w:r>
      <w:r w:rsidR="006255D6">
        <w:rPr>
          <w:rFonts w:ascii="Arial" w:eastAsia="Times New Roman" w:hAnsi="Arial" w:cs="Arial"/>
          <w:lang w:eastAsia="pl-PL"/>
        </w:rPr>
        <w:t xml:space="preserve">ym </w:t>
      </w:r>
      <w:r w:rsidR="006255D6" w:rsidRPr="006255D6">
        <w:rPr>
          <w:rFonts w:ascii="Arial" w:eastAsia="Times New Roman" w:hAnsi="Arial" w:cs="Arial"/>
          <w:lang w:eastAsia="pl-PL"/>
        </w:rPr>
        <w:t>roku kalendarzowym w transporcie drogowym lub kolejowym, liczony według wartości</w:t>
      </w:r>
    </w:p>
    <w:p w:rsidR="006255D6" w:rsidRPr="006255D6" w:rsidRDefault="006255D6" w:rsidP="006255D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6255D6">
        <w:rPr>
          <w:rFonts w:ascii="Arial" w:eastAsia="Times New Roman" w:hAnsi="Arial" w:cs="Arial"/>
          <w:lang w:eastAsia="pl-PL"/>
        </w:rPr>
        <w:t>energetycznej,</w:t>
      </w:r>
    </w:p>
    <w:p w:rsidR="006255D6" w:rsidRPr="006255D6" w:rsidRDefault="006255D6" w:rsidP="006255D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6255D6">
        <w:rPr>
          <w:rFonts w:ascii="Arial" w:eastAsia="Times New Roman" w:hAnsi="Arial" w:cs="Arial"/>
          <w:lang w:eastAsia="pl-PL"/>
        </w:rPr>
        <w:t xml:space="preserve">13) zmieniono i rozszerzono definicję niespożywczego </w:t>
      </w:r>
      <w:r>
        <w:rPr>
          <w:rFonts w:ascii="Arial" w:eastAsia="Times New Roman" w:hAnsi="Arial" w:cs="Arial"/>
          <w:lang w:eastAsia="pl-PL"/>
        </w:rPr>
        <w:t xml:space="preserve">materiału celulozowego, a także </w:t>
      </w:r>
      <w:r w:rsidRPr="006255D6">
        <w:rPr>
          <w:rFonts w:ascii="Arial" w:eastAsia="Times New Roman" w:hAnsi="Arial" w:cs="Arial"/>
          <w:lang w:eastAsia="pl-PL"/>
        </w:rPr>
        <w:t>zmodyfikowano definicję zużytego oleju kuchennego.</w:t>
      </w:r>
    </w:p>
    <w:p w:rsidR="006255D6" w:rsidRPr="006255D6" w:rsidRDefault="006255D6" w:rsidP="006255D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6255D6">
        <w:rPr>
          <w:rFonts w:ascii="Arial" w:eastAsia="Times New Roman" w:hAnsi="Arial" w:cs="Arial"/>
          <w:lang w:eastAsia="pl-PL"/>
        </w:rPr>
        <w:t>Jak wcześniej podkreślono ustawa przewiduje okr</w:t>
      </w:r>
      <w:r>
        <w:rPr>
          <w:rFonts w:ascii="Arial" w:eastAsia="Times New Roman" w:hAnsi="Arial" w:cs="Arial"/>
          <w:lang w:eastAsia="pl-PL"/>
        </w:rPr>
        <w:t xml:space="preserve">eślenie poziomów NCW do 2030 r. </w:t>
      </w:r>
      <w:r w:rsidRPr="006255D6">
        <w:rPr>
          <w:rFonts w:ascii="Arial" w:eastAsia="Times New Roman" w:hAnsi="Arial" w:cs="Arial"/>
          <w:lang w:eastAsia="pl-PL"/>
        </w:rPr>
        <w:t>oraz sposobów jego realizacji, w tym celu:</w:t>
      </w:r>
    </w:p>
    <w:p w:rsidR="006255D6" w:rsidRPr="006255D6" w:rsidRDefault="006255D6" w:rsidP="006255D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6255D6">
        <w:rPr>
          <w:rFonts w:ascii="Arial" w:eastAsia="Times New Roman" w:hAnsi="Arial" w:cs="Arial"/>
          <w:lang w:eastAsia="pl-PL"/>
        </w:rPr>
        <w:t xml:space="preserve">– określone zostały wymagane poziomy NCW na </w:t>
      </w:r>
      <w:r>
        <w:rPr>
          <w:rFonts w:ascii="Arial" w:eastAsia="Times New Roman" w:hAnsi="Arial" w:cs="Arial"/>
          <w:lang w:eastAsia="pl-PL"/>
        </w:rPr>
        <w:t xml:space="preserve">kolejne lata – z uwzględnieniem </w:t>
      </w:r>
      <w:r w:rsidRPr="006255D6">
        <w:rPr>
          <w:rFonts w:ascii="Arial" w:eastAsia="Times New Roman" w:hAnsi="Arial" w:cs="Arial"/>
          <w:lang w:eastAsia="pl-PL"/>
        </w:rPr>
        <w:t>możliwości branży paliwowej i sektora transportu,</w:t>
      </w:r>
    </w:p>
    <w:p w:rsidR="006255D6" w:rsidRPr="006255D6" w:rsidRDefault="006255D6" w:rsidP="006255D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6255D6">
        <w:rPr>
          <w:rFonts w:ascii="Arial" w:eastAsia="Times New Roman" w:hAnsi="Arial" w:cs="Arial"/>
          <w:lang w:eastAsia="pl-PL"/>
        </w:rPr>
        <w:t>– zapewnione zostały mechanizmy nadzoru, w tym kar</w:t>
      </w:r>
      <w:r>
        <w:rPr>
          <w:rFonts w:ascii="Arial" w:eastAsia="Times New Roman" w:hAnsi="Arial" w:cs="Arial"/>
          <w:lang w:eastAsia="pl-PL"/>
        </w:rPr>
        <w:t xml:space="preserve">y finansowe, związane z brakiem </w:t>
      </w:r>
      <w:r w:rsidRPr="006255D6">
        <w:rPr>
          <w:rFonts w:ascii="Arial" w:eastAsia="Times New Roman" w:hAnsi="Arial" w:cs="Arial"/>
          <w:lang w:eastAsia="pl-PL"/>
        </w:rPr>
        <w:t>realizacji wskazanych udziałów minimalnych.</w:t>
      </w:r>
    </w:p>
    <w:p w:rsidR="006255D6" w:rsidRPr="006255D6" w:rsidRDefault="006255D6" w:rsidP="006255D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6255D6">
        <w:rPr>
          <w:rFonts w:ascii="Arial" w:eastAsia="Times New Roman" w:hAnsi="Arial" w:cs="Arial"/>
          <w:lang w:eastAsia="pl-PL"/>
        </w:rPr>
        <w:t>NCW na 2030 r. wyznaczono na poziomie 14,9% (fa</w:t>
      </w:r>
      <w:r>
        <w:rPr>
          <w:rFonts w:ascii="Arial" w:eastAsia="Times New Roman" w:hAnsi="Arial" w:cs="Arial"/>
          <w:lang w:eastAsia="pl-PL"/>
        </w:rPr>
        <w:t xml:space="preserve">ktyczna realizacja wyniesie 14% </w:t>
      </w:r>
      <w:r w:rsidRPr="006255D6">
        <w:rPr>
          <w:rFonts w:ascii="Arial" w:eastAsia="Times New Roman" w:hAnsi="Arial" w:cs="Arial"/>
          <w:lang w:eastAsia="pl-PL"/>
        </w:rPr>
        <w:t>przy rozliczeniu realizacji NCW z użyciem mechanizmu współczynnika redukcyjnego)</w:t>
      </w:r>
      <w:r>
        <w:rPr>
          <w:rFonts w:ascii="Arial" w:eastAsia="Times New Roman" w:hAnsi="Arial" w:cs="Arial"/>
          <w:lang w:eastAsia="pl-PL"/>
        </w:rPr>
        <w:t xml:space="preserve">. Cel </w:t>
      </w:r>
      <w:r w:rsidRPr="006255D6">
        <w:rPr>
          <w:rFonts w:ascii="Arial" w:eastAsia="Times New Roman" w:hAnsi="Arial" w:cs="Arial"/>
          <w:lang w:eastAsia="pl-PL"/>
        </w:rPr>
        <w:t>na 2030 r. został wyznaczony w oparciu o zapewnienie m</w:t>
      </w:r>
      <w:r>
        <w:rPr>
          <w:rFonts w:ascii="Arial" w:eastAsia="Times New Roman" w:hAnsi="Arial" w:cs="Arial"/>
          <w:lang w:eastAsia="pl-PL"/>
        </w:rPr>
        <w:t xml:space="preserve">inimalnego udziału odnawialnych </w:t>
      </w:r>
      <w:r w:rsidRPr="006255D6">
        <w:rPr>
          <w:rFonts w:ascii="Arial" w:eastAsia="Times New Roman" w:hAnsi="Arial" w:cs="Arial"/>
          <w:lang w:eastAsia="pl-PL"/>
        </w:rPr>
        <w:t>źródeł energii w transporcie, określonych w dyrektywie RE</w:t>
      </w:r>
      <w:r>
        <w:rPr>
          <w:rFonts w:ascii="Arial" w:eastAsia="Times New Roman" w:hAnsi="Arial" w:cs="Arial"/>
          <w:lang w:eastAsia="pl-PL"/>
        </w:rPr>
        <w:t xml:space="preserve">DII (tj. biokomponentów, innych </w:t>
      </w:r>
      <w:r w:rsidRPr="006255D6">
        <w:rPr>
          <w:rFonts w:ascii="Arial" w:eastAsia="Times New Roman" w:hAnsi="Arial" w:cs="Arial"/>
          <w:lang w:eastAsia="pl-PL"/>
        </w:rPr>
        <w:t>paliw odnawialnych, ciekłych i gazowych paliw węglowych pochodzących z recy</w:t>
      </w:r>
      <w:r>
        <w:rPr>
          <w:rFonts w:ascii="Arial" w:eastAsia="Times New Roman" w:hAnsi="Arial" w:cs="Arial"/>
          <w:lang w:eastAsia="pl-PL"/>
        </w:rPr>
        <w:t xml:space="preserve">klingu, </w:t>
      </w:r>
      <w:r w:rsidRPr="006255D6">
        <w:rPr>
          <w:rFonts w:ascii="Arial" w:eastAsia="Times New Roman" w:hAnsi="Arial" w:cs="Arial"/>
          <w:lang w:eastAsia="pl-PL"/>
        </w:rPr>
        <w:t>energii elektrycznej z OZE dostarczonej do pojazdów samochodowych).</w:t>
      </w:r>
    </w:p>
    <w:p w:rsidR="006255D6" w:rsidRDefault="006255D6" w:rsidP="006255D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6255D6" w:rsidRPr="006255D6" w:rsidRDefault="006255D6" w:rsidP="006255D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6255D6">
        <w:rPr>
          <w:rFonts w:ascii="Arial" w:eastAsia="Times New Roman" w:hAnsi="Arial" w:cs="Arial"/>
          <w:lang w:eastAsia="pl-PL"/>
        </w:rPr>
        <w:t>Ustawa wejdzie w życie z dniem 1 kwietnia 2025 r., z wyjątkiem:</w:t>
      </w:r>
    </w:p>
    <w:p w:rsidR="006255D6" w:rsidRPr="006255D6" w:rsidRDefault="006255D6" w:rsidP="006255D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6255D6">
        <w:rPr>
          <w:rFonts w:ascii="Arial" w:eastAsia="Times New Roman" w:hAnsi="Arial" w:cs="Arial"/>
          <w:lang w:eastAsia="pl-PL"/>
        </w:rPr>
        <w:t>1) art. 6 pkt 3, który wchodzi w życie z dniem 31 marca 2025 r.;</w:t>
      </w:r>
    </w:p>
    <w:p w:rsidR="006255D6" w:rsidRPr="006255D6" w:rsidRDefault="006255D6" w:rsidP="006255D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6255D6">
        <w:rPr>
          <w:rFonts w:ascii="Arial" w:eastAsia="Times New Roman" w:hAnsi="Arial" w:cs="Arial"/>
          <w:lang w:eastAsia="pl-PL"/>
        </w:rPr>
        <w:t>2) art. 4 pkt 3 w zakresie art. 30h–30j oraz art. 5 pkt 15</w:t>
      </w:r>
      <w:r>
        <w:rPr>
          <w:rFonts w:ascii="Arial" w:eastAsia="Times New Roman" w:hAnsi="Arial" w:cs="Arial"/>
          <w:lang w:eastAsia="pl-PL"/>
        </w:rPr>
        <w:t xml:space="preserve">, które wchodzą w życie z dniem </w:t>
      </w:r>
      <w:r>
        <w:rPr>
          <w:rFonts w:ascii="Arial" w:eastAsia="Times New Roman" w:hAnsi="Arial" w:cs="Arial"/>
          <w:lang w:eastAsia="pl-PL"/>
        </w:rPr>
        <w:br/>
      </w:r>
      <w:r w:rsidRPr="006255D6">
        <w:rPr>
          <w:rFonts w:ascii="Arial" w:eastAsia="Times New Roman" w:hAnsi="Arial" w:cs="Arial"/>
          <w:lang w:eastAsia="pl-PL"/>
        </w:rPr>
        <w:t>1 lipca 2025 r.;</w:t>
      </w:r>
    </w:p>
    <w:p w:rsidR="006255D6" w:rsidRPr="006255D6" w:rsidRDefault="006255D6" w:rsidP="006255D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6255D6">
        <w:rPr>
          <w:rFonts w:ascii="Arial" w:eastAsia="Times New Roman" w:hAnsi="Arial" w:cs="Arial"/>
          <w:lang w:eastAsia="pl-PL"/>
        </w:rPr>
        <w:t>3) art. 5 pkt 7, 12 i 13, które wchodzą w życie z dniem 31 grudnia 2025 r.;</w:t>
      </w:r>
    </w:p>
    <w:p w:rsidR="008914C8" w:rsidRDefault="006255D6" w:rsidP="006255D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6255D6">
        <w:rPr>
          <w:rFonts w:ascii="Arial" w:eastAsia="Times New Roman" w:hAnsi="Arial" w:cs="Arial"/>
          <w:lang w:eastAsia="pl-PL"/>
        </w:rPr>
        <w:lastRenderedPageBreak/>
        <w:t xml:space="preserve">4) art. 1 pkt 2 lit. a </w:t>
      </w:r>
      <w:proofErr w:type="spellStart"/>
      <w:r w:rsidRPr="006255D6">
        <w:rPr>
          <w:rFonts w:ascii="Arial" w:eastAsia="Times New Roman" w:hAnsi="Arial" w:cs="Arial"/>
          <w:lang w:eastAsia="pl-PL"/>
        </w:rPr>
        <w:t>tiret</w:t>
      </w:r>
      <w:proofErr w:type="spellEnd"/>
      <w:r w:rsidRPr="006255D6">
        <w:rPr>
          <w:rFonts w:ascii="Arial" w:eastAsia="Times New Roman" w:hAnsi="Arial" w:cs="Arial"/>
          <w:lang w:eastAsia="pl-PL"/>
        </w:rPr>
        <w:t xml:space="preserve"> trzecie w zakresie pkt 3e i 3f, pkt 3 lit. 1, lit. o oraz lit. t w zakresie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6255D6">
        <w:rPr>
          <w:rFonts w:ascii="Arial" w:eastAsia="Times New Roman" w:hAnsi="Arial" w:cs="Arial"/>
          <w:lang w:eastAsia="pl-PL"/>
        </w:rPr>
        <w:t xml:space="preserve">pkt 32c, pkt 7, pkt 12, pkt 14 lit. a–c, e, f i h–j, pkt 16, pkt 19 </w:t>
      </w:r>
      <w:r>
        <w:rPr>
          <w:rFonts w:ascii="Arial" w:eastAsia="Times New Roman" w:hAnsi="Arial" w:cs="Arial"/>
          <w:lang w:eastAsia="pl-PL"/>
        </w:rPr>
        <w:t xml:space="preserve">lit. f, pkt 21, pkt 29, pkt 32, </w:t>
      </w:r>
      <w:r w:rsidRPr="006255D6">
        <w:rPr>
          <w:rFonts w:ascii="Arial" w:eastAsia="Times New Roman" w:hAnsi="Arial" w:cs="Arial"/>
          <w:lang w:eastAsia="pl-PL"/>
        </w:rPr>
        <w:t xml:space="preserve">pkt 42–44, pkt 48 lit. a </w:t>
      </w:r>
      <w:proofErr w:type="spellStart"/>
      <w:r w:rsidRPr="006255D6">
        <w:rPr>
          <w:rFonts w:ascii="Arial" w:eastAsia="Times New Roman" w:hAnsi="Arial" w:cs="Arial"/>
          <w:lang w:eastAsia="pl-PL"/>
        </w:rPr>
        <w:t>tiret</w:t>
      </w:r>
      <w:proofErr w:type="spellEnd"/>
      <w:r w:rsidRPr="006255D6">
        <w:rPr>
          <w:rFonts w:ascii="Arial" w:eastAsia="Times New Roman" w:hAnsi="Arial" w:cs="Arial"/>
          <w:lang w:eastAsia="pl-PL"/>
        </w:rPr>
        <w:t xml:space="preserve"> czwarte–szóste i lit. b–g, pkt 4</w:t>
      </w:r>
      <w:r>
        <w:rPr>
          <w:rFonts w:ascii="Arial" w:eastAsia="Times New Roman" w:hAnsi="Arial" w:cs="Arial"/>
          <w:lang w:eastAsia="pl-PL"/>
        </w:rPr>
        <w:t xml:space="preserve">9, pkt 51 i pkt 52 lit. a </w:t>
      </w:r>
      <w:proofErr w:type="spellStart"/>
      <w:r>
        <w:rPr>
          <w:rFonts w:ascii="Arial" w:eastAsia="Times New Roman" w:hAnsi="Arial" w:cs="Arial"/>
          <w:lang w:eastAsia="pl-PL"/>
        </w:rPr>
        <w:t>tiret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r w:rsidRPr="006255D6">
        <w:rPr>
          <w:rFonts w:ascii="Arial" w:eastAsia="Times New Roman" w:hAnsi="Arial" w:cs="Arial"/>
          <w:lang w:eastAsia="pl-PL"/>
        </w:rPr>
        <w:t xml:space="preserve">pierwsze, art. 2 pkt 1, art. 3 pkt 1 lit. a i pkt 2 lit. b oraz </w:t>
      </w:r>
      <w:r>
        <w:rPr>
          <w:rFonts w:ascii="Arial" w:eastAsia="Times New Roman" w:hAnsi="Arial" w:cs="Arial"/>
          <w:lang w:eastAsia="pl-PL"/>
        </w:rPr>
        <w:t xml:space="preserve">art. 7, które wchodzą w życie z </w:t>
      </w:r>
      <w:r w:rsidRPr="006255D6">
        <w:rPr>
          <w:rFonts w:ascii="Arial" w:eastAsia="Times New Roman" w:hAnsi="Arial" w:cs="Arial"/>
          <w:lang w:eastAsia="pl-PL"/>
        </w:rPr>
        <w:t>dniem 1 stycznia 2026 r.;</w:t>
      </w:r>
    </w:p>
    <w:p w:rsidR="001729ED" w:rsidRPr="00287656" w:rsidRDefault="001729ED" w:rsidP="001729ED">
      <w:pPr>
        <w:pStyle w:val="Akapitzlist"/>
        <w:spacing w:after="0"/>
        <w:ind w:left="426"/>
        <w:jc w:val="both"/>
        <w:rPr>
          <w:rStyle w:val="markedcontent"/>
          <w:rFonts w:ascii="Arial" w:eastAsia="Times New Roman" w:hAnsi="Arial" w:cs="Arial"/>
          <w:lang w:eastAsia="pl-PL"/>
        </w:rPr>
      </w:pPr>
    </w:p>
    <w:p w:rsidR="001729ED" w:rsidRDefault="009518F8" w:rsidP="009518F8">
      <w:pPr>
        <w:pStyle w:val="Akapitzlist"/>
        <w:numPr>
          <w:ilvl w:val="0"/>
          <w:numId w:val="2"/>
        </w:numPr>
        <w:spacing w:after="0"/>
        <w:jc w:val="both"/>
        <w:rPr>
          <w:rStyle w:val="markedcontent"/>
          <w:rFonts w:ascii="Arial" w:eastAsia="Times New Roman" w:hAnsi="Arial" w:cs="Arial"/>
          <w:u w:val="single"/>
          <w:lang w:eastAsia="pl-PL"/>
        </w:rPr>
      </w:pPr>
      <w:r w:rsidRPr="009518F8">
        <w:rPr>
          <w:rStyle w:val="markedcontent"/>
          <w:rFonts w:ascii="Arial" w:eastAsia="Times New Roman" w:hAnsi="Arial" w:cs="Arial"/>
          <w:u w:val="single"/>
          <w:lang w:eastAsia="pl-PL"/>
        </w:rPr>
        <w:t>Rozporządzenie Ministra Rodziny, Pracy i Polityki Społecznej z dnia 11 marca 2025 r. w sprawie wniosków dotyczących uprawnień pracowników związanych z rodzicielstwem oraz dokumentów dołączanych do takich wniosków</w:t>
      </w:r>
    </w:p>
    <w:p w:rsidR="009518F8" w:rsidRPr="009518F8" w:rsidRDefault="009518F8" w:rsidP="009518F8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</w:p>
    <w:p w:rsidR="009518F8" w:rsidRPr="009518F8" w:rsidRDefault="009518F8" w:rsidP="009518F8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 w:rsidRPr="009518F8">
        <w:rPr>
          <w:rStyle w:val="markedcontent"/>
          <w:rFonts w:ascii="Arial" w:eastAsia="Times New Roman" w:hAnsi="Arial" w:cs="Arial"/>
          <w:lang w:eastAsia="pl-PL"/>
        </w:rPr>
        <w:t>Powyższy a</w:t>
      </w:r>
      <w:r>
        <w:rPr>
          <w:rStyle w:val="markedcontent"/>
          <w:rFonts w:ascii="Arial" w:eastAsia="Times New Roman" w:hAnsi="Arial" w:cs="Arial"/>
          <w:lang w:eastAsia="pl-PL"/>
        </w:rPr>
        <w:t>kt prawny opublikowany został 14</w:t>
      </w:r>
      <w:r w:rsidRPr="009518F8">
        <w:rPr>
          <w:rStyle w:val="markedcontent"/>
          <w:rFonts w:ascii="Arial" w:eastAsia="Times New Roman" w:hAnsi="Arial" w:cs="Arial"/>
          <w:lang w:eastAsia="pl-PL"/>
        </w:rPr>
        <w:t xml:space="preserve"> marca 2025 roku w Dzienni</w:t>
      </w:r>
      <w:r>
        <w:rPr>
          <w:rStyle w:val="markedcontent"/>
          <w:rFonts w:ascii="Arial" w:eastAsia="Times New Roman" w:hAnsi="Arial" w:cs="Arial"/>
          <w:lang w:eastAsia="pl-PL"/>
        </w:rPr>
        <w:t>ku Ustaw (Dz.U. z 2025, poz. 322</w:t>
      </w:r>
      <w:r w:rsidRPr="009518F8">
        <w:rPr>
          <w:rStyle w:val="markedcontent"/>
          <w:rFonts w:ascii="Arial" w:eastAsia="Times New Roman" w:hAnsi="Arial" w:cs="Arial"/>
          <w:lang w:eastAsia="pl-PL"/>
        </w:rPr>
        <w:t>).</w:t>
      </w:r>
    </w:p>
    <w:p w:rsidR="009518F8" w:rsidRDefault="009518F8" w:rsidP="009518F8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</w:p>
    <w:p w:rsidR="009518F8" w:rsidRPr="009518F8" w:rsidRDefault="009518F8" w:rsidP="009518F8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 w:rsidRPr="009518F8">
        <w:rPr>
          <w:rStyle w:val="markedcontent"/>
          <w:rFonts w:ascii="Arial" w:eastAsia="Times New Roman" w:hAnsi="Arial" w:cs="Arial"/>
          <w:lang w:eastAsia="pl-PL"/>
        </w:rPr>
        <w:t>Rozporządzenie określa:</w:t>
      </w:r>
    </w:p>
    <w:p w:rsidR="009518F8" w:rsidRPr="009518F8" w:rsidRDefault="009518F8" w:rsidP="009518F8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 w:rsidRPr="009518F8">
        <w:rPr>
          <w:rStyle w:val="markedcontent"/>
          <w:rFonts w:ascii="Arial" w:eastAsia="Times New Roman" w:hAnsi="Arial" w:cs="Arial"/>
          <w:lang w:eastAsia="pl-PL"/>
        </w:rPr>
        <w:t xml:space="preserve">1) treść wniosku o udzielenie części urlopu macierzyńskiego, urlopu na warunkach urlopu </w:t>
      </w:r>
      <w:r>
        <w:rPr>
          <w:rStyle w:val="markedcontent"/>
          <w:rFonts w:ascii="Arial" w:eastAsia="Times New Roman" w:hAnsi="Arial" w:cs="Arial"/>
          <w:lang w:eastAsia="pl-PL"/>
        </w:rPr>
        <w:t xml:space="preserve">macierzyńskiego lub jego </w:t>
      </w:r>
      <w:r w:rsidRPr="009518F8">
        <w:rPr>
          <w:rStyle w:val="markedcontent"/>
          <w:rFonts w:ascii="Arial" w:eastAsia="Times New Roman" w:hAnsi="Arial" w:cs="Arial"/>
          <w:lang w:eastAsia="pl-PL"/>
        </w:rPr>
        <w:t>części, uzupełniającego urlopu macierzyńskiego, urlopu rodzicielskiego lub jego częśc</w:t>
      </w:r>
      <w:r>
        <w:rPr>
          <w:rStyle w:val="markedcontent"/>
          <w:rFonts w:ascii="Arial" w:eastAsia="Times New Roman" w:hAnsi="Arial" w:cs="Arial"/>
          <w:lang w:eastAsia="pl-PL"/>
        </w:rPr>
        <w:t xml:space="preserve">i i urlopu ojcowskiego lub jego </w:t>
      </w:r>
      <w:r w:rsidRPr="009518F8">
        <w:rPr>
          <w:rStyle w:val="markedcontent"/>
          <w:rFonts w:ascii="Arial" w:eastAsia="Times New Roman" w:hAnsi="Arial" w:cs="Arial"/>
          <w:lang w:eastAsia="pl-PL"/>
        </w:rPr>
        <w:t>części;</w:t>
      </w:r>
    </w:p>
    <w:p w:rsidR="009518F8" w:rsidRPr="009518F8" w:rsidRDefault="009518F8" w:rsidP="009518F8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 w:rsidRPr="009518F8">
        <w:rPr>
          <w:rStyle w:val="markedcontent"/>
          <w:rFonts w:ascii="Arial" w:eastAsia="Times New Roman" w:hAnsi="Arial" w:cs="Arial"/>
          <w:lang w:eastAsia="pl-PL"/>
        </w:rPr>
        <w:t>2) dokumenty dołączane do wniosków, o których mowa w pkt 1;</w:t>
      </w:r>
    </w:p>
    <w:p w:rsidR="009518F8" w:rsidRPr="009518F8" w:rsidRDefault="009518F8" w:rsidP="009518F8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 w:rsidRPr="009518F8">
        <w:rPr>
          <w:rStyle w:val="markedcontent"/>
          <w:rFonts w:ascii="Arial" w:eastAsia="Times New Roman" w:hAnsi="Arial" w:cs="Arial"/>
          <w:lang w:eastAsia="pl-PL"/>
        </w:rPr>
        <w:t>3) treść wniosku w sprawie rezygnacji z części urlopu mac</w:t>
      </w:r>
      <w:r>
        <w:rPr>
          <w:rStyle w:val="markedcontent"/>
          <w:rFonts w:ascii="Arial" w:eastAsia="Times New Roman" w:hAnsi="Arial" w:cs="Arial"/>
          <w:lang w:eastAsia="pl-PL"/>
        </w:rPr>
        <w:t xml:space="preserve">ierzyńskiego i części urlopu na </w:t>
      </w:r>
      <w:r w:rsidRPr="009518F8">
        <w:rPr>
          <w:rStyle w:val="markedcontent"/>
          <w:rFonts w:ascii="Arial" w:eastAsia="Times New Roman" w:hAnsi="Arial" w:cs="Arial"/>
          <w:lang w:eastAsia="pl-PL"/>
        </w:rPr>
        <w:t>warunkach urlopu macierzyńskiego;</w:t>
      </w:r>
    </w:p>
    <w:p w:rsidR="009518F8" w:rsidRPr="009518F8" w:rsidRDefault="009518F8" w:rsidP="009518F8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 w:rsidRPr="009518F8">
        <w:rPr>
          <w:rStyle w:val="markedcontent"/>
          <w:rFonts w:ascii="Arial" w:eastAsia="Times New Roman" w:hAnsi="Arial" w:cs="Arial"/>
          <w:lang w:eastAsia="pl-PL"/>
        </w:rPr>
        <w:t>4) dokumenty dołączane do wniosków, o których mowa w pkt 3;</w:t>
      </w:r>
    </w:p>
    <w:p w:rsidR="009518F8" w:rsidRPr="009518F8" w:rsidRDefault="009518F8" w:rsidP="009518F8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 w:rsidRPr="009518F8">
        <w:rPr>
          <w:rStyle w:val="markedcontent"/>
          <w:rFonts w:ascii="Arial" w:eastAsia="Times New Roman" w:hAnsi="Arial" w:cs="Arial"/>
          <w:lang w:eastAsia="pl-PL"/>
        </w:rPr>
        <w:t>5) treść wniosku o łączenie korzystania z urlopu ro</w:t>
      </w:r>
      <w:r>
        <w:rPr>
          <w:rStyle w:val="markedcontent"/>
          <w:rFonts w:ascii="Arial" w:eastAsia="Times New Roman" w:hAnsi="Arial" w:cs="Arial"/>
          <w:lang w:eastAsia="pl-PL"/>
        </w:rPr>
        <w:t xml:space="preserve">dzicielskiego lub jego części z wykonywaniem pracy u pracodawcy </w:t>
      </w:r>
      <w:r w:rsidRPr="009518F8">
        <w:rPr>
          <w:rStyle w:val="markedcontent"/>
          <w:rFonts w:ascii="Arial" w:eastAsia="Times New Roman" w:hAnsi="Arial" w:cs="Arial"/>
          <w:lang w:eastAsia="pl-PL"/>
        </w:rPr>
        <w:t>udzielającego takiego urlopu;</w:t>
      </w:r>
    </w:p>
    <w:p w:rsidR="009518F8" w:rsidRPr="009518F8" w:rsidRDefault="009518F8" w:rsidP="009518F8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 w:rsidRPr="009518F8">
        <w:rPr>
          <w:rStyle w:val="markedcontent"/>
          <w:rFonts w:ascii="Arial" w:eastAsia="Times New Roman" w:hAnsi="Arial" w:cs="Arial"/>
          <w:lang w:eastAsia="pl-PL"/>
        </w:rPr>
        <w:t>6) treść wniosku o udzielenie urlopu wychowawczego lub jego części;</w:t>
      </w:r>
    </w:p>
    <w:p w:rsidR="009518F8" w:rsidRPr="009518F8" w:rsidRDefault="009518F8" w:rsidP="009518F8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 w:rsidRPr="009518F8">
        <w:rPr>
          <w:rStyle w:val="markedcontent"/>
          <w:rFonts w:ascii="Arial" w:eastAsia="Times New Roman" w:hAnsi="Arial" w:cs="Arial"/>
          <w:lang w:eastAsia="pl-PL"/>
        </w:rPr>
        <w:t>7) dokumenty dołączane do wniosku, o którym mowa w pkt 6;</w:t>
      </w:r>
    </w:p>
    <w:p w:rsidR="009518F8" w:rsidRPr="009518F8" w:rsidRDefault="009518F8" w:rsidP="009518F8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 w:rsidRPr="009518F8">
        <w:rPr>
          <w:rStyle w:val="markedcontent"/>
          <w:rFonts w:ascii="Arial" w:eastAsia="Times New Roman" w:hAnsi="Arial" w:cs="Arial"/>
          <w:lang w:eastAsia="pl-PL"/>
        </w:rPr>
        <w:t>8) treść wniosku o obniżenie wymiaru czasu pracy pr</w:t>
      </w:r>
      <w:r>
        <w:rPr>
          <w:rStyle w:val="markedcontent"/>
          <w:rFonts w:ascii="Arial" w:eastAsia="Times New Roman" w:hAnsi="Arial" w:cs="Arial"/>
          <w:lang w:eastAsia="pl-PL"/>
        </w:rPr>
        <w:t xml:space="preserve">acownika uprawnionego do urlopu </w:t>
      </w:r>
      <w:r w:rsidRPr="009518F8">
        <w:rPr>
          <w:rStyle w:val="markedcontent"/>
          <w:rFonts w:ascii="Arial" w:eastAsia="Times New Roman" w:hAnsi="Arial" w:cs="Arial"/>
          <w:lang w:eastAsia="pl-PL"/>
        </w:rPr>
        <w:t>wychowawczego;</w:t>
      </w:r>
    </w:p>
    <w:p w:rsidR="009518F8" w:rsidRDefault="009518F8" w:rsidP="009518F8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 w:rsidRPr="009518F8">
        <w:rPr>
          <w:rStyle w:val="markedcontent"/>
          <w:rFonts w:ascii="Arial" w:eastAsia="Times New Roman" w:hAnsi="Arial" w:cs="Arial"/>
          <w:lang w:eastAsia="pl-PL"/>
        </w:rPr>
        <w:t>9) dokumenty dołączane do wniosku, o którym mowa w pkt 8.</w:t>
      </w:r>
    </w:p>
    <w:p w:rsidR="009518F8" w:rsidRDefault="009518F8" w:rsidP="009518F8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</w:p>
    <w:p w:rsidR="009518F8" w:rsidRPr="009518F8" w:rsidRDefault="009518F8" w:rsidP="009518F8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 w:rsidRPr="009518F8">
        <w:rPr>
          <w:rStyle w:val="markedcontent"/>
          <w:rFonts w:ascii="Arial" w:eastAsia="Times New Roman" w:hAnsi="Arial" w:cs="Arial"/>
          <w:lang w:eastAsia="pl-PL"/>
        </w:rPr>
        <w:t>Rozporządzenie wchodzi w życie z dniem 19 marca 2025 r</w:t>
      </w:r>
      <w:r>
        <w:rPr>
          <w:rStyle w:val="markedcontent"/>
          <w:rFonts w:ascii="Arial" w:eastAsia="Times New Roman" w:hAnsi="Arial" w:cs="Arial"/>
          <w:lang w:eastAsia="pl-PL"/>
        </w:rPr>
        <w:t>.</w:t>
      </w:r>
      <w:bookmarkStart w:id="0" w:name="_GoBack"/>
      <w:bookmarkEnd w:id="0"/>
    </w:p>
    <w:sectPr w:rsidR="009518F8" w:rsidRPr="009518F8" w:rsidSect="00723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05F1"/>
    <w:multiLevelType w:val="hybridMultilevel"/>
    <w:tmpl w:val="6F92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4FCE"/>
    <w:multiLevelType w:val="hybridMultilevel"/>
    <w:tmpl w:val="ABB0EF4E"/>
    <w:lvl w:ilvl="0" w:tplc="7CDEB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4088E"/>
    <w:multiLevelType w:val="hybridMultilevel"/>
    <w:tmpl w:val="CAF21E52"/>
    <w:lvl w:ilvl="0" w:tplc="43D837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80FD5"/>
    <w:multiLevelType w:val="hybridMultilevel"/>
    <w:tmpl w:val="0F9875F4"/>
    <w:lvl w:ilvl="0" w:tplc="837CD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D00C6"/>
    <w:multiLevelType w:val="hybridMultilevel"/>
    <w:tmpl w:val="82C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ED"/>
    <w:rsid w:val="001729ED"/>
    <w:rsid w:val="001A6405"/>
    <w:rsid w:val="00251315"/>
    <w:rsid w:val="006255D6"/>
    <w:rsid w:val="00723FB0"/>
    <w:rsid w:val="008914C8"/>
    <w:rsid w:val="009518F8"/>
    <w:rsid w:val="00AC3649"/>
    <w:rsid w:val="00E638EE"/>
    <w:rsid w:val="00F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9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9E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729ED"/>
  </w:style>
  <w:style w:type="paragraph" w:styleId="Tekstdymka">
    <w:name w:val="Balloon Text"/>
    <w:basedOn w:val="Normalny"/>
    <w:link w:val="TekstdymkaZnak"/>
    <w:uiPriority w:val="99"/>
    <w:semiHidden/>
    <w:unhideWhenUsed/>
    <w:rsid w:val="0017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9E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C364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36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9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9E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729ED"/>
  </w:style>
  <w:style w:type="paragraph" w:styleId="Tekstdymka">
    <w:name w:val="Balloon Text"/>
    <w:basedOn w:val="Normalny"/>
    <w:link w:val="TekstdymkaZnak"/>
    <w:uiPriority w:val="99"/>
    <w:semiHidden/>
    <w:unhideWhenUsed/>
    <w:rsid w:val="0017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9E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C364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36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ja.rcl.gov.pl/projekt/12395503/katalog/13115887#1311588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gislacja.rcl.gov.pl/projekt/12395454/katalog/13115611#131156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gislacja.rcl.gov.pl/projekt/12395704/katalog/13116636#1311663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4991</Words>
  <Characters>29951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Związek Pracodawców Polska Miedź</Company>
  <LinksUpToDate>false</LinksUpToDate>
  <CharactersWithSpaces>34873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ZPPM</dc:creator>
  <cp:lastModifiedBy>ZPPM</cp:lastModifiedBy>
  <cp:revision>1</cp:revision>
  <dcterms:created xsi:type="dcterms:W3CDTF">2025-03-19T11:33:00Z</dcterms:created>
  <dcterms:modified xsi:type="dcterms:W3CDTF">2025-03-19T14:10:00Z</dcterms:modified>
</cp:coreProperties>
</file>