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826A" w14:textId="77777777" w:rsidR="006B2761" w:rsidRPr="00586923" w:rsidRDefault="006B2761" w:rsidP="006B2761">
      <w:pPr>
        <w:rPr>
          <w:rFonts w:ascii="Arial" w:hAnsi="Arial" w:cs="Arial"/>
        </w:rPr>
      </w:pPr>
      <w:r w:rsidRPr="00586923">
        <w:rPr>
          <w:rFonts w:ascii="Arial" w:hAnsi="Arial" w:cs="Arial"/>
          <w:noProof/>
          <w:lang w:eastAsia="pl-PL"/>
        </w:rPr>
        <w:drawing>
          <wp:inline distT="0" distB="0" distL="0" distR="0" wp14:anchorId="7B633F03" wp14:editId="2CDE59C8">
            <wp:extent cx="5683910" cy="943559"/>
            <wp:effectExtent l="0" t="0" r="0" b="9525"/>
            <wp:docPr id="2" name="Obraz 2" descr="Obraz zawierający tekst, Czcionka, zrzut ekranu,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zrzut ekranu, logo&#10;&#10;Zawartość wygenerowana przez sztuczną inteligencję może być niepoprawna."/>
                    <pic:cNvPicPr/>
                  </pic:nvPicPr>
                  <pic:blipFill>
                    <a:blip r:embed="rId5">
                      <a:extLst>
                        <a:ext uri="{28A0092B-C50C-407E-A947-70E740481C1C}">
                          <a14:useLocalDpi xmlns:a14="http://schemas.microsoft.com/office/drawing/2010/main" val="0"/>
                        </a:ext>
                      </a:extLst>
                    </a:blip>
                    <a:stretch>
                      <a:fillRect/>
                    </a:stretch>
                  </pic:blipFill>
                  <pic:spPr>
                    <a:xfrm>
                      <a:off x="0" y="0"/>
                      <a:ext cx="5704187" cy="946925"/>
                    </a:xfrm>
                    <a:prstGeom prst="rect">
                      <a:avLst/>
                    </a:prstGeom>
                  </pic:spPr>
                </pic:pic>
              </a:graphicData>
            </a:graphic>
          </wp:inline>
        </w:drawing>
      </w:r>
    </w:p>
    <w:p w14:paraId="6D1FFD03" w14:textId="77777777" w:rsidR="006B2761" w:rsidRDefault="006B2761" w:rsidP="006B2761">
      <w:pPr>
        <w:spacing w:after="0" w:line="300" w:lineRule="auto"/>
        <w:jc w:val="center"/>
        <w:rPr>
          <w:rFonts w:ascii="Arial" w:hAnsi="Arial" w:cs="Arial"/>
          <w:b/>
        </w:rPr>
      </w:pPr>
      <w:r w:rsidRPr="00586923">
        <w:rPr>
          <w:rFonts w:ascii="Arial" w:hAnsi="Arial" w:cs="Arial"/>
          <w:b/>
        </w:rPr>
        <w:t xml:space="preserve">Konsultacje </w:t>
      </w:r>
      <w:r>
        <w:rPr>
          <w:rFonts w:ascii="Arial" w:hAnsi="Arial" w:cs="Arial"/>
          <w:b/>
        </w:rPr>
        <w:t>projektów</w:t>
      </w:r>
      <w:r w:rsidRPr="00586923">
        <w:rPr>
          <w:rFonts w:ascii="Arial" w:hAnsi="Arial" w:cs="Arial"/>
          <w:b/>
        </w:rPr>
        <w:t xml:space="preserve"> krajowych aktów prawnych </w:t>
      </w:r>
      <w:r>
        <w:rPr>
          <w:rFonts w:ascii="Arial" w:hAnsi="Arial" w:cs="Arial"/>
          <w:b/>
        </w:rPr>
        <w:t xml:space="preserve">i ogłoszone akty prawne </w:t>
      </w:r>
      <w:r>
        <w:rPr>
          <w:rFonts w:ascii="Arial" w:hAnsi="Arial" w:cs="Arial"/>
          <w:b/>
        </w:rPr>
        <w:br/>
        <w:t>w Dzienniku Ustaw</w:t>
      </w:r>
    </w:p>
    <w:p w14:paraId="7F3A5A7E" w14:textId="77777777" w:rsidR="006B2761" w:rsidRPr="00586923" w:rsidRDefault="006B2761" w:rsidP="006B2761">
      <w:pPr>
        <w:spacing w:after="0" w:line="300" w:lineRule="auto"/>
        <w:jc w:val="center"/>
        <w:rPr>
          <w:rFonts w:ascii="Arial" w:hAnsi="Arial" w:cs="Arial"/>
          <w:b/>
        </w:rPr>
      </w:pPr>
      <w:r>
        <w:rPr>
          <w:rFonts w:ascii="Arial" w:hAnsi="Arial" w:cs="Arial"/>
          <w:b/>
        </w:rPr>
        <w:t>(</w:t>
      </w:r>
      <w:r w:rsidRPr="00586923">
        <w:rPr>
          <w:rFonts w:ascii="Arial" w:hAnsi="Arial" w:cs="Arial"/>
          <w:b/>
        </w:rPr>
        <w:t xml:space="preserve">monitoring legislacji </w:t>
      </w:r>
      <w:r>
        <w:rPr>
          <w:rFonts w:ascii="Arial" w:hAnsi="Arial" w:cs="Arial"/>
          <w:b/>
        </w:rPr>
        <w:t xml:space="preserve">krajowej </w:t>
      </w:r>
      <w:r w:rsidRPr="00586923">
        <w:rPr>
          <w:rFonts w:ascii="Arial" w:hAnsi="Arial" w:cs="Arial"/>
          <w:b/>
        </w:rPr>
        <w:t>ZPPM</w:t>
      </w:r>
      <w:r>
        <w:rPr>
          <w:rFonts w:ascii="Arial" w:hAnsi="Arial" w:cs="Arial"/>
          <w:b/>
        </w:rPr>
        <w:t>)</w:t>
      </w:r>
    </w:p>
    <w:p w14:paraId="7CAE7E18" w14:textId="2A2EE5DF" w:rsidR="006B2761" w:rsidRPr="00586923" w:rsidRDefault="006B2761" w:rsidP="006B2761">
      <w:pPr>
        <w:spacing w:after="0" w:line="300" w:lineRule="auto"/>
        <w:jc w:val="center"/>
        <w:rPr>
          <w:rFonts w:ascii="Arial" w:hAnsi="Arial" w:cs="Arial"/>
        </w:rPr>
      </w:pPr>
      <w:r w:rsidRPr="00586923">
        <w:rPr>
          <w:rFonts w:ascii="Arial" w:hAnsi="Arial" w:cs="Arial"/>
          <w:b/>
        </w:rPr>
        <w:t xml:space="preserve">w okresie od </w:t>
      </w:r>
      <w:r>
        <w:rPr>
          <w:rFonts w:ascii="Arial" w:hAnsi="Arial" w:cs="Arial"/>
          <w:b/>
        </w:rPr>
        <w:t>7</w:t>
      </w:r>
      <w:r>
        <w:rPr>
          <w:rFonts w:ascii="Arial" w:hAnsi="Arial" w:cs="Arial"/>
          <w:b/>
        </w:rPr>
        <w:t xml:space="preserve"> </w:t>
      </w:r>
      <w:r w:rsidRPr="00586923">
        <w:rPr>
          <w:rFonts w:ascii="Arial" w:hAnsi="Arial" w:cs="Arial"/>
          <w:b/>
        </w:rPr>
        <w:t xml:space="preserve">do </w:t>
      </w:r>
      <w:r>
        <w:rPr>
          <w:rFonts w:ascii="Arial" w:hAnsi="Arial" w:cs="Arial"/>
          <w:b/>
        </w:rPr>
        <w:t>13</w:t>
      </w:r>
      <w:r>
        <w:rPr>
          <w:rFonts w:ascii="Arial" w:hAnsi="Arial" w:cs="Arial"/>
          <w:b/>
        </w:rPr>
        <w:t xml:space="preserve"> </w:t>
      </w:r>
      <w:r>
        <w:rPr>
          <w:rFonts w:ascii="Arial" w:hAnsi="Arial" w:cs="Arial"/>
          <w:b/>
        </w:rPr>
        <w:t>kwietnia</w:t>
      </w:r>
      <w:r w:rsidRPr="00586923">
        <w:rPr>
          <w:rFonts w:ascii="Arial" w:hAnsi="Arial" w:cs="Arial"/>
          <w:b/>
        </w:rPr>
        <w:t xml:space="preserve"> 202</w:t>
      </w:r>
      <w:r>
        <w:rPr>
          <w:rFonts w:ascii="Arial" w:hAnsi="Arial" w:cs="Arial"/>
          <w:b/>
        </w:rPr>
        <w:t>5</w:t>
      </w:r>
      <w:r w:rsidRPr="00586923">
        <w:rPr>
          <w:rFonts w:ascii="Arial" w:hAnsi="Arial" w:cs="Arial"/>
          <w:b/>
        </w:rPr>
        <w:t xml:space="preserve"> roku</w:t>
      </w:r>
    </w:p>
    <w:p w14:paraId="4D285554" w14:textId="7AF66EBF" w:rsidR="006B2761" w:rsidRPr="00AC3187" w:rsidRDefault="006B2761" w:rsidP="006B2761">
      <w:pPr>
        <w:spacing w:after="0" w:line="300" w:lineRule="auto"/>
        <w:jc w:val="center"/>
        <w:rPr>
          <w:rFonts w:ascii="Arial" w:hAnsi="Arial" w:cs="Arial"/>
        </w:rPr>
      </w:pPr>
      <w:r w:rsidRPr="00AC3187">
        <w:rPr>
          <w:rFonts w:ascii="Arial" w:hAnsi="Arial" w:cs="Arial"/>
        </w:rPr>
        <w:t xml:space="preserve">Raport na dzień </w:t>
      </w:r>
      <w:r>
        <w:rPr>
          <w:rFonts w:ascii="Arial" w:hAnsi="Arial" w:cs="Arial"/>
        </w:rPr>
        <w:t>14 kwietnia</w:t>
      </w:r>
      <w:r w:rsidRPr="00AC3187">
        <w:rPr>
          <w:rFonts w:ascii="Arial" w:hAnsi="Arial" w:cs="Arial"/>
        </w:rPr>
        <w:t xml:space="preserve"> 202</w:t>
      </w:r>
      <w:r>
        <w:rPr>
          <w:rFonts w:ascii="Arial" w:hAnsi="Arial" w:cs="Arial"/>
        </w:rPr>
        <w:t>5</w:t>
      </w:r>
      <w:r w:rsidRPr="00AC3187">
        <w:rPr>
          <w:rFonts w:ascii="Arial" w:hAnsi="Arial" w:cs="Arial"/>
        </w:rPr>
        <w:t xml:space="preserve"> roku</w:t>
      </w:r>
    </w:p>
    <w:p w14:paraId="1F5E660A" w14:textId="77777777" w:rsidR="006B2761" w:rsidRPr="00586923" w:rsidRDefault="006B2761" w:rsidP="006B2761">
      <w:pPr>
        <w:spacing w:after="0"/>
        <w:jc w:val="both"/>
        <w:rPr>
          <w:rFonts w:ascii="Arial" w:hAnsi="Arial" w:cs="Arial"/>
        </w:rPr>
      </w:pPr>
    </w:p>
    <w:p w14:paraId="037D3E0A" w14:textId="77777777" w:rsidR="006B2761" w:rsidRPr="00887B82" w:rsidRDefault="006B2761" w:rsidP="006B2761">
      <w:pPr>
        <w:pStyle w:val="Akapitzlist"/>
        <w:numPr>
          <w:ilvl w:val="0"/>
          <w:numId w:val="1"/>
        </w:numPr>
        <w:spacing w:after="0"/>
        <w:ind w:left="284" w:hanging="284"/>
        <w:jc w:val="both"/>
        <w:rPr>
          <w:rFonts w:ascii="Arial" w:hAnsi="Arial" w:cs="Arial"/>
          <w:b/>
        </w:rPr>
      </w:pPr>
      <w:r w:rsidRPr="00887B82">
        <w:rPr>
          <w:rFonts w:ascii="Arial" w:hAnsi="Arial" w:cs="Arial"/>
          <w:b/>
        </w:rPr>
        <w:t>Projekty aktów prawnych</w:t>
      </w:r>
    </w:p>
    <w:p w14:paraId="76C1C625" w14:textId="77777777" w:rsidR="006B2761" w:rsidRDefault="006B2761" w:rsidP="006B2761">
      <w:pPr>
        <w:spacing w:after="0"/>
        <w:jc w:val="both"/>
        <w:rPr>
          <w:rFonts w:ascii="Arial" w:hAnsi="Arial" w:cs="Arial"/>
        </w:rPr>
      </w:pPr>
    </w:p>
    <w:p w14:paraId="02DB6258" w14:textId="45DD69C5" w:rsidR="006B2761" w:rsidRPr="00C70674" w:rsidRDefault="006B2761" w:rsidP="006B2761">
      <w:pPr>
        <w:spacing w:after="0"/>
        <w:jc w:val="both"/>
        <w:rPr>
          <w:rFonts w:ascii="Arial" w:hAnsi="Arial" w:cs="Arial"/>
        </w:rPr>
      </w:pPr>
      <w:r w:rsidRPr="00C70674">
        <w:rPr>
          <w:rFonts w:ascii="Arial" w:hAnsi="Arial" w:cs="Arial"/>
        </w:rPr>
        <w:t xml:space="preserve">W omawianym okresie </w:t>
      </w:r>
      <w:r w:rsidRPr="00C70674">
        <w:rPr>
          <w:rFonts w:ascii="Arial" w:eastAsia="Calibri" w:hAnsi="Arial" w:cs="Arial"/>
          <w:bCs/>
        </w:rPr>
        <w:t xml:space="preserve">Rządowe Centrum Legislacji opublikowało </w:t>
      </w:r>
      <w:r>
        <w:rPr>
          <w:rFonts w:ascii="Arial" w:eastAsia="Calibri" w:hAnsi="Arial" w:cs="Arial"/>
          <w:bCs/>
        </w:rPr>
        <w:t>4</w:t>
      </w:r>
      <w:r w:rsidRPr="00C70674">
        <w:rPr>
          <w:rFonts w:ascii="Arial" w:eastAsia="Calibri" w:hAnsi="Arial" w:cs="Arial"/>
          <w:bCs/>
        </w:rPr>
        <w:t xml:space="preserve"> projekt</w:t>
      </w:r>
      <w:r>
        <w:rPr>
          <w:rFonts w:ascii="Arial" w:eastAsia="Calibri" w:hAnsi="Arial" w:cs="Arial"/>
          <w:bCs/>
        </w:rPr>
        <w:t>y ustaw</w:t>
      </w:r>
      <w:r w:rsidRPr="00C70674">
        <w:rPr>
          <w:rFonts w:ascii="Arial" w:eastAsia="Calibri" w:hAnsi="Arial" w:cs="Arial"/>
          <w:bCs/>
        </w:rPr>
        <w:t xml:space="preserve"> oraz</w:t>
      </w:r>
      <w:r w:rsidRPr="00C70674">
        <w:rPr>
          <w:rFonts w:ascii="Arial" w:hAnsi="Arial" w:cs="Arial"/>
        </w:rPr>
        <w:t xml:space="preserve"> </w:t>
      </w:r>
      <w:r>
        <w:rPr>
          <w:rFonts w:ascii="Arial" w:hAnsi="Arial" w:cs="Arial"/>
        </w:rPr>
        <w:t>22</w:t>
      </w:r>
      <w:r w:rsidRPr="00C70674">
        <w:rPr>
          <w:rFonts w:ascii="Arial" w:hAnsi="Arial" w:cs="Arial"/>
        </w:rPr>
        <w:t xml:space="preserve"> projekt</w:t>
      </w:r>
      <w:r>
        <w:rPr>
          <w:rFonts w:ascii="Arial" w:hAnsi="Arial" w:cs="Arial"/>
        </w:rPr>
        <w:t>y</w:t>
      </w:r>
      <w:r w:rsidRPr="00C70674">
        <w:rPr>
          <w:rFonts w:ascii="Arial" w:hAnsi="Arial" w:cs="Arial"/>
        </w:rPr>
        <w:t xml:space="preserve"> rozporządzeń Rady Ministrów, Prezesa Rady Ministrów oraz poszczególnych Ministrów.</w:t>
      </w:r>
    </w:p>
    <w:p w14:paraId="355888D6" w14:textId="77777777" w:rsidR="006B2761" w:rsidRPr="00C70674" w:rsidRDefault="006B2761" w:rsidP="006B2761">
      <w:pPr>
        <w:spacing w:after="0"/>
        <w:jc w:val="both"/>
        <w:rPr>
          <w:rFonts w:ascii="Arial" w:hAnsi="Arial" w:cs="Arial"/>
        </w:rPr>
      </w:pPr>
    </w:p>
    <w:p w14:paraId="20863C6F" w14:textId="6656D049" w:rsidR="006B2761" w:rsidRDefault="006B2761" w:rsidP="006B2761">
      <w:pPr>
        <w:spacing w:after="0"/>
        <w:jc w:val="both"/>
        <w:rPr>
          <w:rFonts w:ascii="Arial" w:hAnsi="Arial" w:cs="Arial"/>
        </w:rPr>
      </w:pPr>
      <w:r>
        <w:rPr>
          <w:rFonts w:ascii="Arial" w:hAnsi="Arial" w:cs="Arial"/>
        </w:rPr>
        <w:t xml:space="preserve">Przeprowadzono konsultacje </w:t>
      </w:r>
      <w:r>
        <w:rPr>
          <w:rFonts w:ascii="Arial" w:hAnsi="Arial" w:cs="Arial"/>
        </w:rPr>
        <w:t>2</w:t>
      </w:r>
      <w:r>
        <w:rPr>
          <w:rFonts w:ascii="Arial" w:hAnsi="Arial" w:cs="Arial"/>
        </w:rPr>
        <w:t xml:space="preserve"> projekt</w:t>
      </w:r>
      <w:r>
        <w:rPr>
          <w:rFonts w:ascii="Arial" w:hAnsi="Arial" w:cs="Arial"/>
        </w:rPr>
        <w:t>ów</w:t>
      </w:r>
      <w:r>
        <w:rPr>
          <w:rFonts w:ascii="Arial" w:hAnsi="Arial" w:cs="Arial"/>
        </w:rPr>
        <w:t xml:space="preserve"> ustawy i </w:t>
      </w:r>
      <w:r>
        <w:rPr>
          <w:rFonts w:ascii="Arial" w:hAnsi="Arial" w:cs="Arial"/>
        </w:rPr>
        <w:t>3</w:t>
      </w:r>
      <w:r>
        <w:rPr>
          <w:rFonts w:ascii="Arial" w:hAnsi="Arial" w:cs="Arial"/>
        </w:rPr>
        <w:t xml:space="preserve"> projektów rozporządzeń dotyczących podmiotów członkowskich (pracodawcy, przedsiębiorcy, JST) zrzeszonych w Związku. </w:t>
      </w:r>
    </w:p>
    <w:p w14:paraId="58C92BC4" w14:textId="77777777" w:rsidR="006B2761" w:rsidRDefault="006B2761" w:rsidP="006B2761">
      <w:pPr>
        <w:spacing w:after="0"/>
        <w:jc w:val="both"/>
        <w:rPr>
          <w:rFonts w:ascii="Arial" w:hAnsi="Arial" w:cs="Arial"/>
        </w:rPr>
      </w:pPr>
      <w:r>
        <w:rPr>
          <w:rFonts w:ascii="Arial" w:hAnsi="Arial" w:cs="Arial"/>
        </w:rPr>
        <w:t>Do konsultacji przekazane zostały następujące projekty:</w:t>
      </w:r>
    </w:p>
    <w:p w14:paraId="38A0D5F2" w14:textId="77777777" w:rsidR="006B2761" w:rsidRDefault="006B2761" w:rsidP="006B2761">
      <w:pPr>
        <w:spacing w:after="0"/>
        <w:jc w:val="both"/>
        <w:rPr>
          <w:rFonts w:ascii="Arial" w:hAnsi="Arial" w:cs="Arial"/>
        </w:rPr>
      </w:pPr>
    </w:p>
    <w:p w14:paraId="0D3C734B" w14:textId="77777777" w:rsidR="006B2761" w:rsidRDefault="006B2761" w:rsidP="006B2761">
      <w:pPr>
        <w:spacing w:after="0"/>
        <w:jc w:val="both"/>
        <w:rPr>
          <w:rFonts w:ascii="Arial" w:hAnsi="Arial" w:cs="Arial"/>
        </w:rPr>
      </w:pPr>
      <w:r>
        <w:rPr>
          <w:rFonts w:ascii="Arial" w:hAnsi="Arial" w:cs="Arial"/>
        </w:rPr>
        <w:t>Projekty ustaw:</w:t>
      </w:r>
    </w:p>
    <w:p w14:paraId="7DCF4DB9" w14:textId="77777777" w:rsidR="006B2761" w:rsidRDefault="006B2761" w:rsidP="006B2761">
      <w:pPr>
        <w:spacing w:after="0"/>
        <w:jc w:val="both"/>
        <w:rPr>
          <w:rFonts w:ascii="Arial" w:hAnsi="Arial" w:cs="Arial"/>
        </w:rPr>
      </w:pPr>
    </w:p>
    <w:p w14:paraId="4C6D0722" w14:textId="5D4E49C8" w:rsidR="006B2761" w:rsidRPr="006B2761" w:rsidRDefault="006B2761" w:rsidP="006B2761">
      <w:pPr>
        <w:pStyle w:val="Akapitzlist"/>
        <w:numPr>
          <w:ilvl w:val="0"/>
          <w:numId w:val="3"/>
        </w:numPr>
        <w:spacing w:after="0"/>
        <w:jc w:val="both"/>
        <w:rPr>
          <w:rFonts w:ascii="Arial" w:hAnsi="Arial" w:cs="Arial"/>
          <w:b/>
          <w:bCs/>
          <w:u w:val="single"/>
        </w:rPr>
      </w:pPr>
      <w:r w:rsidRPr="006B2761">
        <w:rPr>
          <w:rFonts w:ascii="Arial" w:hAnsi="Arial" w:cs="Arial"/>
          <w:b/>
          <w:bCs/>
          <w:u w:val="single"/>
        </w:rPr>
        <w:t>P</w:t>
      </w:r>
      <w:r w:rsidRPr="006B2761">
        <w:rPr>
          <w:rFonts w:ascii="Arial" w:hAnsi="Arial" w:cs="Arial"/>
          <w:b/>
          <w:bCs/>
          <w:u w:val="single"/>
        </w:rPr>
        <w:t xml:space="preserve">rojekt ustawy o zmianie ustawy o przeciwdziałaniu praniu pieniędzy oraz finansowaniu terroryzmu (numer z wykazu UC75). </w:t>
      </w:r>
    </w:p>
    <w:p w14:paraId="540B29CF" w14:textId="77777777" w:rsidR="006B2761" w:rsidRDefault="006B2761" w:rsidP="006B2761">
      <w:pPr>
        <w:spacing w:after="0"/>
        <w:jc w:val="both"/>
        <w:rPr>
          <w:rFonts w:ascii="Arial" w:hAnsi="Arial" w:cs="Arial"/>
        </w:rPr>
      </w:pPr>
    </w:p>
    <w:p w14:paraId="6479FF95" w14:textId="77777777" w:rsidR="006B2761" w:rsidRPr="006B2761" w:rsidRDefault="006B2761" w:rsidP="006B2761">
      <w:pPr>
        <w:spacing w:after="0"/>
        <w:jc w:val="both"/>
        <w:rPr>
          <w:rFonts w:ascii="Arial" w:hAnsi="Arial" w:cs="Arial"/>
        </w:rPr>
      </w:pPr>
      <w:r w:rsidRPr="006B2761">
        <w:rPr>
          <w:rFonts w:ascii="Arial" w:hAnsi="Arial" w:cs="Arial"/>
        </w:rPr>
        <w:t xml:space="preserve">I. Celem projektu jest uzupełnienie przepisów ustawy z dnia 1 marca 2018 r. o przeciwdziałaniu praniu pieniędzy oraz finansowaniu terroryzmu (Dz. U. z 2023 r. poz. 1124, z </w:t>
      </w:r>
      <w:proofErr w:type="spellStart"/>
      <w:r w:rsidRPr="006B2761">
        <w:rPr>
          <w:rFonts w:ascii="Arial" w:hAnsi="Arial" w:cs="Arial"/>
        </w:rPr>
        <w:t>późn</w:t>
      </w:r>
      <w:proofErr w:type="spellEnd"/>
      <w:r w:rsidRPr="006B2761">
        <w:rPr>
          <w:rFonts w:ascii="Arial" w:hAnsi="Arial" w:cs="Arial"/>
        </w:rPr>
        <w:t xml:space="preserve">. zm.), dalej ustawa o p.p.p.f.t. o regulację związaną z środkami ograniczającymi stosowanymi w celu przeciwdziałania rozprzestrzenianiu broni masowego rażenia oraz finansowaniu jej rozprzestrzeniania (BMR). Regulacja taka jest niezbędna ze względu na potrzebę pełniejszego wdrożenia standardów międzynarodowych. Obecnie wynikają one w przeważającej mierze z bezpośrednio obowiązującego prawa europejskiego, jednakże wciąż wymagane są korekty i rozwiązania dostosowujące polski porządek prawny do rozwiązań międzynarodowych. </w:t>
      </w:r>
    </w:p>
    <w:p w14:paraId="374EF409" w14:textId="77777777" w:rsidR="006B2761" w:rsidRPr="006B2761" w:rsidRDefault="006B2761" w:rsidP="006B2761">
      <w:pPr>
        <w:spacing w:after="0"/>
        <w:jc w:val="both"/>
        <w:rPr>
          <w:rFonts w:ascii="Arial" w:hAnsi="Arial" w:cs="Arial"/>
        </w:rPr>
      </w:pPr>
      <w:r w:rsidRPr="006B2761">
        <w:rPr>
          <w:rFonts w:ascii="Arial" w:hAnsi="Arial" w:cs="Arial"/>
        </w:rPr>
        <w:t xml:space="preserve">Wymóg ustanowienia ww. środków ograniczających w celu przeciwdziałania rozprzestrzenianiu broni masowego rażenia i finansowaniu jej rozprzestrzeniania stanowi istotny element międzynarodowego standardu w zakresie przeciwdziałania praniu pieniędzy, finansowaniu terroryzmu oraz proliferacji. Standard ten ustanowiony został przez Grupę Zadaniową ds. Przeciwdziałania Praniu Pieniędzy (standard FATF). Jego realizacja jest poddawana ewaluacji i stanowi o pozytywnej ocenie całości systemu AML wprowadzonego w danym kraju.  </w:t>
      </w:r>
    </w:p>
    <w:p w14:paraId="6AF4CF3D" w14:textId="77777777" w:rsidR="006B2761" w:rsidRPr="006B2761" w:rsidRDefault="006B2761" w:rsidP="006B2761">
      <w:pPr>
        <w:spacing w:after="0"/>
        <w:jc w:val="both"/>
        <w:rPr>
          <w:rFonts w:ascii="Arial" w:hAnsi="Arial" w:cs="Arial"/>
        </w:rPr>
      </w:pPr>
      <w:r w:rsidRPr="006B2761">
        <w:rPr>
          <w:rFonts w:ascii="Arial" w:hAnsi="Arial" w:cs="Arial"/>
        </w:rPr>
        <w:t xml:space="preserve">Rekomendacja FATF nr 7 (FATF R.7) nakłada wymóg wdrożenia środków ograniczających mających na celu przeciwdziałanie rozprzestrzenianiu broni masowego rażenia oraz finansowaniu jej rozprzestrzeniania zgodnie z wymogami wynikającymi z rezolucji Rady Bezpieczeństwa Organizacji Narodów Zjednoczonych wydanych na podstawie rozdziału VII </w:t>
      </w:r>
      <w:r w:rsidRPr="006B2761">
        <w:rPr>
          <w:rFonts w:ascii="Arial" w:hAnsi="Arial" w:cs="Arial"/>
        </w:rPr>
        <w:lastRenderedPageBreak/>
        <w:t xml:space="preserve">Karty Narodów Zjednoczonych, dotyczących zapobiegania, zwalczania i zakłócania rozprzestrzeniania broni masowego rażenia i finansowania tego procederu.  </w:t>
      </w:r>
    </w:p>
    <w:p w14:paraId="4CBF4C6C" w14:textId="77777777" w:rsidR="006B2761" w:rsidRPr="006B2761" w:rsidRDefault="006B2761" w:rsidP="006B2761">
      <w:pPr>
        <w:spacing w:after="0"/>
        <w:jc w:val="both"/>
        <w:rPr>
          <w:rFonts w:ascii="Arial" w:hAnsi="Arial" w:cs="Arial"/>
        </w:rPr>
      </w:pPr>
      <w:r w:rsidRPr="006B2761">
        <w:rPr>
          <w:rFonts w:ascii="Arial" w:hAnsi="Arial" w:cs="Arial"/>
        </w:rPr>
        <w:t xml:space="preserve">Aktualnie rezolucje ONZ skierowane są przeciwko Republice Iranu - rezolucja 2231 (2015) oraz Koreańskiej Republice Ludowo-Demokratycznej - rezolucje 1718 (2006), 1874 (2009), 2087 (2013), 2094 (2013), 2270 (2016), 2321 (2016) i 2356 (2017).  </w:t>
      </w:r>
    </w:p>
    <w:p w14:paraId="61E3AF69" w14:textId="77777777" w:rsidR="006B2761" w:rsidRPr="006B2761" w:rsidRDefault="006B2761" w:rsidP="006B2761">
      <w:pPr>
        <w:spacing w:after="0"/>
        <w:jc w:val="both"/>
        <w:rPr>
          <w:rFonts w:ascii="Arial" w:hAnsi="Arial" w:cs="Arial"/>
        </w:rPr>
      </w:pPr>
      <w:r w:rsidRPr="006B2761">
        <w:rPr>
          <w:rFonts w:ascii="Arial" w:hAnsi="Arial" w:cs="Arial"/>
        </w:rPr>
        <w:t xml:space="preserve">Wymogi wynikające z FATF R.7 oraz wskazanych w tej rekomendacji rezolucjach Rady Bezpieczeństwa Organizacji Narodów Zjednoczonych zostały recypowane do mających bezpośrednie zastosowanie przepisów prawa Unii Europejskiej – rozporządzenia Rady (UE) nr 267/2012 z dnia 23 marca 2012 r. w sprawie środków ograniczających wobec Iranu i uchylającego rozporządzenie (UE) nr 961/2010 (rozporządzenie 267/2012) oraz rozporządzenia Rady (UE) 2017/1509 z dnia 30 sierpnia 2017 r. dotyczącego środków ograniczających skierowanych przeciwko Koreańskiej Republice Ludowo-Demokratycznej i uchylającego rozporządzenie (WE) nr 329/2007 (rozporządzenie 2017/1509).  </w:t>
      </w:r>
    </w:p>
    <w:p w14:paraId="76CD49B9" w14:textId="77777777" w:rsidR="006B2761" w:rsidRPr="006B2761" w:rsidRDefault="006B2761" w:rsidP="006B2761">
      <w:pPr>
        <w:spacing w:after="0"/>
        <w:jc w:val="both"/>
        <w:rPr>
          <w:rFonts w:ascii="Arial" w:hAnsi="Arial" w:cs="Arial"/>
        </w:rPr>
      </w:pPr>
      <w:r w:rsidRPr="006B2761">
        <w:rPr>
          <w:rFonts w:ascii="Arial" w:hAnsi="Arial" w:cs="Arial"/>
        </w:rPr>
        <w:t xml:space="preserve">W związku z powyższym, większość wymogów wynikających z FATF R.7 znajduje zastosowanie w polskim porządku prawnym, jednak ze względu na pewne różnice pomiędzy wymogami FATF R.7 a przepisami ww. rozporządzeń unijnych oraz ze względu na potrzebę przyjęcia przepisów służących stosowaniu rozporządzenia 267/2012 oraz rozporządzenia 2017/1509 zachodzi konieczność nowelizacji przepisów ustawy o p.p.p.f.t. Spełnienie tych wymogów jest monitorowane w raportach ewaluacyjnych </w:t>
      </w:r>
      <w:proofErr w:type="spellStart"/>
      <w:r w:rsidRPr="006B2761">
        <w:rPr>
          <w:rFonts w:ascii="Arial" w:hAnsi="Arial" w:cs="Arial"/>
        </w:rPr>
        <w:t>Moneyval</w:t>
      </w:r>
      <w:proofErr w:type="spellEnd"/>
      <w:r w:rsidRPr="006B2761">
        <w:rPr>
          <w:rFonts w:ascii="Arial" w:hAnsi="Arial" w:cs="Arial"/>
        </w:rPr>
        <w:t xml:space="preserve">. </w:t>
      </w:r>
    </w:p>
    <w:p w14:paraId="3C9244B4" w14:textId="77777777" w:rsidR="006B2761" w:rsidRPr="006B2761" w:rsidRDefault="006B2761" w:rsidP="006B2761">
      <w:pPr>
        <w:spacing w:after="0"/>
        <w:jc w:val="both"/>
        <w:rPr>
          <w:rFonts w:ascii="Arial" w:hAnsi="Arial" w:cs="Arial"/>
        </w:rPr>
      </w:pPr>
      <w:r w:rsidRPr="006B2761">
        <w:rPr>
          <w:rFonts w:ascii="Arial" w:hAnsi="Arial" w:cs="Arial"/>
        </w:rPr>
        <w:t>II. Z uwagi na fakt, że 30 maja 2024 r. przyjęto przepisy tzw. unijnego pakietu AML/CFT tj. zbioru regulacji w sprawie przeciwdziałania korzystaniu z systemu finansowego w celu prania pieniędzy lub finansowania terroryzmu w projekcie zawarto, w celu implementacji do krajowego porządku prawnego wymogów wynikających z aktów prawnych wchodzących w skład ww. pakietu (6AMLD, AMLR, AMLAR, TFR), zapisy korygujące wybrane elementy dotychczasowych przepisów ustawy o p.p.p.f.t. W projekcie przewidziano regulacje dotyczące m.in. uzasadnionego interesu w dostępie do Centralnego Rejestru Beneficjentów Rzeczywistych, a zatem dotyczące art. 11-13 oraz art. 74 6AMLD, które mają być zaimplementowane już w 2025 r. Dodatkowo w związku z istniejącym związkiem celowościowym pomiędzy wyżej opisanymi przepisami najnowszego pakietu AML/CTF, a poprzednimi nowelizacjami Dyrektywy 2015/849 zasadne jest wprowadzenie rozwiązań uzupełniających dotychczasową implementację o szczegółowe zmiany nawiązujące do 4AMLD oraz 5AMLD.</w:t>
      </w:r>
    </w:p>
    <w:p w14:paraId="52628907" w14:textId="77777777" w:rsidR="006B2761" w:rsidRPr="006B2761" w:rsidRDefault="006B2761" w:rsidP="006B2761">
      <w:pPr>
        <w:spacing w:after="0"/>
        <w:jc w:val="both"/>
        <w:rPr>
          <w:rFonts w:ascii="Arial" w:hAnsi="Arial" w:cs="Arial"/>
        </w:rPr>
      </w:pPr>
      <w:r w:rsidRPr="006B2761">
        <w:rPr>
          <w:rFonts w:ascii="Arial" w:hAnsi="Arial" w:cs="Arial"/>
        </w:rPr>
        <w:t xml:space="preserve">Doprecyzowane zostaje brzmienie art. 1 ustawy o p.p.p.f.t., do którego dodany zostaje pkt 3, zgodnie z którym przepisy ustawy o p.p.p.f.t. określają zasady i tryb stosowania środków ograniczających w celu przeciwdziałania terroryzmowi, finansowaniu terroryzmu, rozprzestrzenianiu broni masowego rażenia oraz finansowaniu jej rozprzestrzeniania.  </w:t>
      </w:r>
    </w:p>
    <w:p w14:paraId="292FB101" w14:textId="77777777" w:rsidR="006B2761" w:rsidRPr="006B2761" w:rsidRDefault="006B2761" w:rsidP="006B2761">
      <w:pPr>
        <w:spacing w:after="0"/>
        <w:jc w:val="both"/>
        <w:rPr>
          <w:rFonts w:ascii="Arial" w:hAnsi="Arial" w:cs="Arial"/>
        </w:rPr>
      </w:pPr>
      <w:r w:rsidRPr="006B2761">
        <w:rPr>
          <w:rFonts w:ascii="Arial" w:hAnsi="Arial" w:cs="Arial"/>
        </w:rPr>
        <w:t xml:space="preserve">• Do słownika ustawowego dodane zostają skróty rozporządzenia Parlamentu Europejskiego i Rady (UE) 2016/679 z dnia 27 kwietnia 2016 r. w sprawie ochrony osób fizycznych w związku z przetwarzaniem danych osobowych i w sprawie swobodnego przepływu takich danych oraz uchylenia dyrektywy 95/46/WE – art. 1 ust. 1 pkt 19ba, rozporządzenia Rady (WE) Nr 267/2012 z dnia 23 marca 2012 r. w sprawie środków ograniczających wobec Iranu i uchylającego rozporządzenie (UE) nr 961/2010 - art. 1 ust. 2 pkt 19bb ustawy o p.p.p.f.t. oraz rozporządzenia Rady (UE) 1509/2017 z dnia 30 sierpnia 2017 r. dotyczącego środków ograniczających skierowanych przeciwko Koreańskiej Republice Ludowo-Demokratycznej i uchylającego rozporządzenie (WE) nr 329/2007 – art. 1 ust. 2 pkt 19bc ustawy o p.p.p.f.t.  </w:t>
      </w:r>
    </w:p>
    <w:p w14:paraId="25A63693" w14:textId="77777777" w:rsidR="006B2761" w:rsidRPr="006B2761" w:rsidRDefault="006B2761" w:rsidP="006B2761">
      <w:pPr>
        <w:spacing w:after="0"/>
        <w:jc w:val="both"/>
        <w:rPr>
          <w:rFonts w:ascii="Arial" w:hAnsi="Arial" w:cs="Arial"/>
        </w:rPr>
      </w:pPr>
      <w:r w:rsidRPr="006B2761">
        <w:rPr>
          <w:rFonts w:ascii="Arial" w:hAnsi="Arial" w:cs="Arial"/>
        </w:rPr>
        <w:t xml:space="preserve">• W związku z rozszerzeniem zadań Generalnego Inspektora Informacji Finansowej (GIIF), o te związane ze stosowaniem środków ograniczających stosowanych w celu przeciwdziałania rozprzestrzenianiu broni masowego </w:t>
      </w:r>
    </w:p>
    <w:p w14:paraId="74887C9E" w14:textId="77777777" w:rsidR="006B2761" w:rsidRPr="006B2761" w:rsidRDefault="006B2761" w:rsidP="006B2761">
      <w:pPr>
        <w:spacing w:after="0"/>
        <w:jc w:val="both"/>
        <w:rPr>
          <w:rFonts w:ascii="Arial" w:hAnsi="Arial" w:cs="Arial"/>
        </w:rPr>
      </w:pPr>
      <w:r w:rsidRPr="006B2761">
        <w:rPr>
          <w:rFonts w:ascii="Arial" w:hAnsi="Arial" w:cs="Arial"/>
        </w:rPr>
        <w:lastRenderedPageBreak/>
        <w:t xml:space="preserve">rażenia oraz finansowaniu jej rozprzestrzeniania, stosowanej modyfikacji ulega art. 11 w ust. 1 pkt 7 ustawy o p.p.p.f.t., określający wymagania wobec osoby pełniącej funkcję GIIF (będzie musiała legitymować się wiedzą z zakresu przeciwdziałania rozprzestrzenianiu broni masowego rażenia oraz finansowaniu jej rozprzestrzeniania) oraz art. 12 w ust. 1 pkt 7 i pkt 8 ustawy o p.p.p.f.t. (zmiany doprecyzowujące katalog zadań GIIF).  </w:t>
      </w:r>
    </w:p>
    <w:p w14:paraId="3321A3B9" w14:textId="77777777" w:rsidR="006B2761" w:rsidRPr="006B2761" w:rsidRDefault="006B2761" w:rsidP="006B2761">
      <w:pPr>
        <w:spacing w:after="0"/>
        <w:jc w:val="both"/>
        <w:rPr>
          <w:rFonts w:ascii="Arial" w:hAnsi="Arial" w:cs="Arial"/>
        </w:rPr>
      </w:pPr>
      <w:r w:rsidRPr="006B2761">
        <w:rPr>
          <w:rFonts w:ascii="Arial" w:hAnsi="Arial" w:cs="Arial"/>
        </w:rPr>
        <w:t xml:space="preserve">• Skutkiem ww. rozszerzenia zadań GIIF jest również dokonanie stosownych modyfikacji w przepisach regulujących funkcjonowanie działającego przy GIIF ciała o charakterze opiniodawczo-doradczym, tj. Komitetu Bezpieczeństwa Finansowego. Członkiem Komitetu będzie mogła zostać osoba posiadająca wiedzę także z zakresu przeciwdziałania rozprzestrzenianiu broni masowego rażenia. Poszerzony zostanie katalog celów stawianych Komitetowi. Prace komitetu zyskają również bardziej praktyczny wymiar, gdyż będzie on mógł rekomendować zmiany legislacyjne w zakresie Rozdziału 10 ustawy o p.p.p.f.t, który dotyczy szczególnych środków ograniczających. </w:t>
      </w:r>
    </w:p>
    <w:p w14:paraId="2C92C075" w14:textId="77777777" w:rsidR="006B2761" w:rsidRPr="006B2761" w:rsidRDefault="006B2761" w:rsidP="006B2761">
      <w:pPr>
        <w:spacing w:after="0"/>
        <w:jc w:val="both"/>
        <w:rPr>
          <w:rFonts w:ascii="Arial" w:hAnsi="Arial" w:cs="Arial"/>
        </w:rPr>
      </w:pPr>
      <w:r w:rsidRPr="006B2761">
        <w:rPr>
          <w:rFonts w:ascii="Arial" w:hAnsi="Arial" w:cs="Arial"/>
        </w:rPr>
        <w:t xml:space="preserve">• W projektowanej zmianie art. 12 ustawy o p.p.p.f.t. doprecyzowany zostanie zakres kontroli realizowanych przez GIIF, z wyraźnym wskazaniem, że dotyczą one realizacji obowiązków przez instytucje obowiązane. Ustawodawca zrezygnuje z odesłania do art. 117, ponieważ nie było ono konieczne. </w:t>
      </w:r>
    </w:p>
    <w:p w14:paraId="14EE1096" w14:textId="77777777" w:rsidR="006B2761" w:rsidRPr="006B2761" w:rsidRDefault="006B2761" w:rsidP="006B2761">
      <w:pPr>
        <w:spacing w:after="0"/>
        <w:jc w:val="both"/>
        <w:rPr>
          <w:rFonts w:ascii="Arial" w:hAnsi="Arial" w:cs="Arial"/>
        </w:rPr>
      </w:pPr>
      <w:r w:rsidRPr="006B2761">
        <w:rPr>
          <w:rFonts w:ascii="Arial" w:hAnsi="Arial" w:cs="Arial"/>
        </w:rPr>
        <w:t xml:space="preserve">• W związku z zbliżającym się terminem implementacji części rozwiązań przewidzianych przez Dyrektywę 2024/1640 (6AMLD) projekt (pkt 11-17) przewiduje szereg zmian w zakresie przepisów regulujących działalność Centralnego Rejestru Beneficjentów Rzeczywistych. Rejestr ten zbiera informacje o osobach i podmiotach mających kluczowe znaczenie w zarządzaniu m.in. spółkami. Wiedza ta jest niezbędna w zakresie przeciwdziałania przestępczości. Wprowadzone zostaną nowe zasady przekazywania danych organom publicznym, ale przede wszystkim rejestr nie będzie już całkowicie jawny, a dostęp do niego będzie można uzyskać poprzez wykazanie uzasadnionego interesu. Wystąpienie tego interesu będzie badane na podstawie obiektywnych przesłanek i wniosku złożonego przez zainteresowany podmiot. Przepisy przewidują również możliwość ograniczenia udostępniania danych. </w:t>
      </w:r>
    </w:p>
    <w:p w14:paraId="0BFF1A4B" w14:textId="77777777" w:rsidR="006B2761" w:rsidRPr="006B2761" w:rsidRDefault="006B2761" w:rsidP="006B2761">
      <w:pPr>
        <w:spacing w:after="0"/>
        <w:jc w:val="both"/>
        <w:rPr>
          <w:rFonts w:ascii="Arial" w:hAnsi="Arial" w:cs="Arial"/>
        </w:rPr>
      </w:pPr>
      <w:r w:rsidRPr="006B2761">
        <w:rPr>
          <w:rFonts w:ascii="Arial" w:hAnsi="Arial" w:cs="Arial"/>
        </w:rPr>
        <w:t xml:space="preserve">• Ze względu na fakt, że wymogi określone w standardzie FATF (FATF R.6) w stosunku do środków ograniczających stosowanych w celu przeciwdziałania terroryzmowi oraz finansowaniu terroryzmu są niemal tożsame z tymi, które standard stawia wobec środków ograniczających stosowanych w celu przeciwdziałania rozprzestrzenianiu broni masowego rażenia oraz finansowaniu jej rozprzestrzeniania (FATF R.7), odpowiednie zmiany zostaną wprowadzone w przepisach Rozdziału 10 ustawy o p.p.p.f.t.: </w:t>
      </w:r>
    </w:p>
    <w:p w14:paraId="54A073E1" w14:textId="28B6BD29" w:rsidR="006B2761" w:rsidRPr="006B2761" w:rsidRDefault="006B2761" w:rsidP="006B2761">
      <w:pPr>
        <w:pStyle w:val="Akapitzlist"/>
        <w:numPr>
          <w:ilvl w:val="0"/>
          <w:numId w:val="6"/>
        </w:numPr>
        <w:spacing w:after="0"/>
        <w:jc w:val="both"/>
        <w:rPr>
          <w:rFonts w:ascii="Arial" w:hAnsi="Arial" w:cs="Arial"/>
        </w:rPr>
      </w:pPr>
      <w:r w:rsidRPr="006B2761">
        <w:rPr>
          <w:rFonts w:ascii="Arial" w:hAnsi="Arial" w:cs="Arial"/>
        </w:rPr>
        <w:t xml:space="preserve">nowe brzmienie otrzyma art. 117 ust. 1 ustawy o p.p.p.f.t., określający zakres przedmiotowy środków ograniczających stosowanych przez instytucje obowiązane – poszerzony o przeciwdziałanie rozprzestrzenianiu broni masowego rażenia oraz finansowaniu jej rozprzestrzeniania; </w:t>
      </w:r>
    </w:p>
    <w:p w14:paraId="2A8A6744" w14:textId="21CA6264" w:rsidR="006B2761" w:rsidRPr="006B2761" w:rsidRDefault="006B2761" w:rsidP="006B2761">
      <w:pPr>
        <w:pStyle w:val="Akapitzlist"/>
        <w:numPr>
          <w:ilvl w:val="0"/>
          <w:numId w:val="6"/>
        </w:numPr>
        <w:spacing w:after="0"/>
        <w:jc w:val="both"/>
        <w:rPr>
          <w:rFonts w:ascii="Arial" w:hAnsi="Arial" w:cs="Arial"/>
        </w:rPr>
      </w:pPr>
      <w:r w:rsidRPr="006B2761">
        <w:rPr>
          <w:rFonts w:ascii="Arial" w:hAnsi="Arial" w:cs="Arial"/>
        </w:rPr>
        <w:t xml:space="preserve">dodany zostaje art. 118 ust. 1 pkt 1a – przepis został skonstruowany na wzór art. 118 ust. 1 pkt 1 ustawy o p.p.p.f.t. i dotyczyć będzie broni masowego rażenia. Oba przepisy obejmą listy osób i podmiotów, wobec których stosuje się szczególe środki ograniczające. Obecnie lista (ust. 1 pkt 1) obejmuje przede wszystkim działalność terrorystyczną, a nowy ust. 1 pkt 1a wprowadzi listę dotyczącą ograniczania rozprzestrzeniania broni masowego rażenia; </w:t>
      </w:r>
    </w:p>
    <w:p w14:paraId="1AA85E18" w14:textId="2463483F" w:rsidR="006B2761" w:rsidRPr="006B2761" w:rsidRDefault="006B2761" w:rsidP="006B2761">
      <w:pPr>
        <w:pStyle w:val="Akapitzlist"/>
        <w:numPr>
          <w:ilvl w:val="0"/>
          <w:numId w:val="6"/>
        </w:numPr>
        <w:spacing w:after="0"/>
        <w:jc w:val="both"/>
        <w:rPr>
          <w:rFonts w:ascii="Arial" w:hAnsi="Arial" w:cs="Arial"/>
        </w:rPr>
      </w:pPr>
      <w:r w:rsidRPr="006B2761">
        <w:rPr>
          <w:rFonts w:ascii="Arial" w:hAnsi="Arial" w:cs="Arial"/>
        </w:rPr>
        <w:t xml:space="preserve">pozostałe zmiany przepisów Rozdziału 10 są zmianami wynikowymi i mają charakter dostosowawczy. </w:t>
      </w:r>
    </w:p>
    <w:p w14:paraId="482E6FA6" w14:textId="77777777" w:rsidR="006B2761" w:rsidRPr="006B2761" w:rsidRDefault="006B2761" w:rsidP="006B2761">
      <w:pPr>
        <w:spacing w:after="0"/>
        <w:jc w:val="both"/>
        <w:rPr>
          <w:rFonts w:ascii="Arial" w:hAnsi="Arial" w:cs="Arial"/>
        </w:rPr>
      </w:pPr>
      <w:r w:rsidRPr="006B2761">
        <w:rPr>
          <w:rFonts w:ascii="Arial" w:hAnsi="Arial" w:cs="Arial"/>
        </w:rPr>
        <w:lastRenderedPageBreak/>
        <w:t xml:space="preserve">• Zmodyfikowany zostanie art. 130, uzupełniony zostanie zakres uprawnień kontrolnych GIIF, przede wszystkim o kontrolowanie środków ograniczających, o których mowa w Rozdziale 10, a zatem – po nowelizacji – również w zakresie broni masowego rażenia. </w:t>
      </w:r>
    </w:p>
    <w:p w14:paraId="387DFE3C" w14:textId="77777777" w:rsidR="006B2761" w:rsidRPr="006B2761" w:rsidRDefault="006B2761" w:rsidP="006B2761">
      <w:pPr>
        <w:spacing w:after="0"/>
        <w:jc w:val="both"/>
        <w:rPr>
          <w:rFonts w:ascii="Arial" w:hAnsi="Arial" w:cs="Arial"/>
        </w:rPr>
      </w:pPr>
      <w:r w:rsidRPr="006B2761">
        <w:rPr>
          <w:rFonts w:ascii="Arial" w:hAnsi="Arial" w:cs="Arial"/>
        </w:rPr>
        <w:t xml:space="preserve">• Nowe brzmienie zostaje nadane art. 149 pkt 2-4 ustawy o p.p.p.f.t. Zmienione przepisy są przepisami służącymi stosowaniu rozporządzenia 267/2012 oraz rozporządzenia 2017/1509 i określają delikty administracyjne związane z naruszeniem przepisów ww. rozporządzeń.   </w:t>
      </w:r>
    </w:p>
    <w:p w14:paraId="548F0FD9" w14:textId="77777777" w:rsidR="006B2761" w:rsidRPr="006B2761" w:rsidRDefault="006B2761" w:rsidP="006B2761">
      <w:pPr>
        <w:spacing w:after="0"/>
        <w:jc w:val="both"/>
        <w:rPr>
          <w:rFonts w:ascii="Arial" w:hAnsi="Arial" w:cs="Arial"/>
        </w:rPr>
      </w:pPr>
      <w:r w:rsidRPr="006B2761">
        <w:rPr>
          <w:rFonts w:ascii="Arial" w:hAnsi="Arial" w:cs="Arial"/>
        </w:rPr>
        <w:t xml:space="preserve">• Ponadto projekt dostosowuje przepisy ustawy do konkretnych zaleceń zawartych w Raporcie 5 rundy ewaluacji polskiego systemu przeciwdziałania praniu pieniędzy i finansowaniu terroryzmu przeprowadzonej przez MONEYVAL. Szczegółowe zalecenia znajdują się w tabeli nr 1 Raportu i dotyczą (w zakresie właściwości GIIF) oprócz kwestii związanych ze zwalczaniem proliferacji, również m.in. zagadnienia poprawy funkcjonowania współpracy między organami krajowymi, uzupełnienia oceny ryzyka instytucji obowiązanych o nowe elementy, poprawy funkcjonowania Centralnego Rejestru Beneficjentów Rzeczywistych.  </w:t>
      </w:r>
    </w:p>
    <w:p w14:paraId="0F5FDFB0" w14:textId="77777777" w:rsidR="006B2761" w:rsidRPr="006B2761" w:rsidRDefault="006B2761" w:rsidP="006B2761">
      <w:pPr>
        <w:spacing w:after="0"/>
        <w:jc w:val="both"/>
        <w:rPr>
          <w:rFonts w:ascii="Arial" w:hAnsi="Arial" w:cs="Arial"/>
        </w:rPr>
      </w:pPr>
      <w:r w:rsidRPr="006B2761">
        <w:rPr>
          <w:rFonts w:ascii="Arial" w:hAnsi="Arial" w:cs="Arial"/>
        </w:rPr>
        <w:t xml:space="preserve">• Ponadto, projekt zawiera przepisy służące zapewnieniu spójności przepisów ustawy o p.p.p.f.t. z przepisami dyrektywy Parlamentu Europejskiego i Rady (UE) 2015/849 z dnia 20 maja 2015 r. w sprawie zapobiegania wykorzystywaniu systemu finansowego do prania pieniędzy lub finansowania terroryzmu, zmieniającej rozporządzenie Parlamentu Europejskiego i Rady (UE) nr 648/2012 i uchylającej dyrektywę Parlamentu Europejskiego i Rady 2005/60/WE oraz dyrektywę Komisji 2006/70/WE (dyrektywa 2015/849) w jej aktualnym brzmieniu. Analiza praktyki stosowania przepisów ustawy o p.p.p.f.t., a także kolejne nowelizacje przepisów dyrektywy 2015/849 wykazały konieczność modyfikacji niektórych przepisów ustawy o p.p.p.f.t., mianowicie art. 27 (obowiązek uwzględnienia zapisów oceny ryzyka przeprowadzanej na poziomie UE), art. 41 (możliwość nieprzeprowadzania transakcji, także w ramach stosunków gospodarczych oraz obowiązek dokumentacji niezastosowania środka bezpieczeństwa finansowego), art. 77 (usprawnienie sprawozdawczości poprzez obowiązek zgłoszenia do GIIF formularza identyfikującego instytucję obowiązaną, który zostanie uzależniony od rozpoczęcia działalności). W szczególności wymieniony przepis art. 77 ma kluczowe znaczenie w rozbudowie systemu informatycznego SI GIIF i podniesieniu go do wyższego standardu w ramach </w:t>
      </w:r>
      <w:proofErr w:type="spellStart"/>
      <w:r w:rsidRPr="006B2761">
        <w:rPr>
          <w:rFonts w:ascii="Arial" w:hAnsi="Arial" w:cs="Arial"/>
        </w:rPr>
        <w:t>GoAML</w:t>
      </w:r>
      <w:proofErr w:type="spellEnd"/>
      <w:r w:rsidRPr="006B2761">
        <w:rPr>
          <w:rFonts w:ascii="Arial" w:hAnsi="Arial" w:cs="Arial"/>
        </w:rPr>
        <w:t>. Natomiast przepisy art. 82 i następnych, które również są zmieniane niniejszą nowelizacją, dotyczą zasad przekazywania informacji przez jednostki współpracujące poprzez tzw. formularz identyfikacyjny.</w:t>
      </w:r>
    </w:p>
    <w:p w14:paraId="46727ECE" w14:textId="7E9F8279" w:rsidR="006B2761" w:rsidRDefault="006B2761" w:rsidP="006B2761">
      <w:pPr>
        <w:spacing w:after="0"/>
        <w:jc w:val="both"/>
        <w:rPr>
          <w:rFonts w:ascii="Arial" w:hAnsi="Arial" w:cs="Arial"/>
        </w:rPr>
      </w:pPr>
      <w:r w:rsidRPr="006B2761">
        <w:rPr>
          <w:rFonts w:ascii="Arial" w:hAnsi="Arial" w:cs="Arial"/>
        </w:rPr>
        <w:t>W konsekwencji wprowadzonych zmian zapewniona zostanie pełna zgodność przepisów krajowych z wymienionymi w cz. 1 standardami, co przełoży się na lepszą pozycję Polski podczas procedur ewaluacyjnych. Kwestie dodatkowo regulowane wpłyną również na możliwość uzyskania przez Polskę wyższej oceny, ponieważ wpłyną one na jasność, efektywność oraz elastyczność już obowiązujących regulacji, nie pozwolą także na podważanie poprawności implementacji rozwiązań przyjętych w dyrektywie 2015/849</w:t>
      </w:r>
      <w:r>
        <w:rPr>
          <w:rFonts w:ascii="Arial" w:hAnsi="Arial" w:cs="Arial"/>
        </w:rPr>
        <w:t>.</w:t>
      </w:r>
    </w:p>
    <w:p w14:paraId="4E609A3F" w14:textId="77777777" w:rsidR="006B2761" w:rsidRDefault="006B2761" w:rsidP="006B2761">
      <w:pPr>
        <w:spacing w:after="0"/>
        <w:jc w:val="both"/>
        <w:rPr>
          <w:rFonts w:ascii="Arial" w:hAnsi="Arial" w:cs="Arial"/>
        </w:rPr>
      </w:pPr>
    </w:p>
    <w:p w14:paraId="05A33C57" w14:textId="77777777" w:rsidR="008E3D37" w:rsidRPr="008E3D37" w:rsidRDefault="008E3D37" w:rsidP="008E3D37">
      <w:pPr>
        <w:spacing w:after="0"/>
        <w:jc w:val="both"/>
        <w:rPr>
          <w:rFonts w:ascii="Arial" w:hAnsi="Arial" w:cs="Arial"/>
        </w:rPr>
      </w:pPr>
      <w:r w:rsidRPr="008E3D37">
        <w:rPr>
          <w:rFonts w:ascii="Arial" w:hAnsi="Arial" w:cs="Arial"/>
        </w:rPr>
        <w:t>Przedmiotowy projekt aktu prawnego wraz z Uzasadnieniem, Oceną Skutków Regulacji, tabelami zgodności (szt. 4) oraz Odwróconą tabelą zgodności dostępny jest na stronach Rządowego Centrum Legislacji pod adresem:</w:t>
      </w:r>
    </w:p>
    <w:p w14:paraId="53D84397" w14:textId="50EB84C1" w:rsidR="006B2761" w:rsidRDefault="008E3D37" w:rsidP="008E3D37">
      <w:pPr>
        <w:spacing w:after="0"/>
        <w:jc w:val="both"/>
        <w:rPr>
          <w:rFonts w:ascii="Arial" w:hAnsi="Arial" w:cs="Arial"/>
        </w:rPr>
      </w:pPr>
      <w:hyperlink r:id="rId6" w:history="1">
        <w:r w:rsidRPr="00964FDA">
          <w:rPr>
            <w:rStyle w:val="Hipercze"/>
            <w:rFonts w:ascii="Arial" w:hAnsi="Arial" w:cs="Arial"/>
          </w:rPr>
          <w:t>https://legislacja.rcl.gov.pl/projekt/1239</w:t>
        </w:r>
        <w:r w:rsidRPr="00964FDA">
          <w:rPr>
            <w:rStyle w:val="Hipercze"/>
            <w:rFonts w:ascii="Arial" w:hAnsi="Arial" w:cs="Arial"/>
          </w:rPr>
          <w:t>6</w:t>
        </w:r>
        <w:r w:rsidRPr="00964FDA">
          <w:rPr>
            <w:rStyle w:val="Hipercze"/>
            <w:rFonts w:ascii="Arial" w:hAnsi="Arial" w:cs="Arial"/>
          </w:rPr>
          <w:t>501/katalog/13120701#13120701</w:t>
        </w:r>
      </w:hyperlink>
      <w:r>
        <w:rPr>
          <w:rFonts w:ascii="Arial" w:hAnsi="Arial" w:cs="Arial"/>
        </w:rPr>
        <w:t xml:space="preserve"> </w:t>
      </w:r>
    </w:p>
    <w:p w14:paraId="02FC3AEB" w14:textId="77777777" w:rsidR="006B2761" w:rsidRDefault="006B2761" w:rsidP="006B2761">
      <w:pPr>
        <w:spacing w:after="0"/>
        <w:jc w:val="both"/>
        <w:rPr>
          <w:rFonts w:ascii="Arial" w:hAnsi="Arial" w:cs="Arial"/>
        </w:rPr>
      </w:pPr>
    </w:p>
    <w:p w14:paraId="1A5407C2" w14:textId="3A8343D8" w:rsidR="008E3D37" w:rsidRDefault="008E3D37" w:rsidP="006B2761">
      <w:pPr>
        <w:spacing w:after="0"/>
        <w:jc w:val="both"/>
        <w:rPr>
          <w:rFonts w:ascii="Arial" w:hAnsi="Arial" w:cs="Arial"/>
        </w:rPr>
      </w:pPr>
      <w:r w:rsidRPr="008E3D37">
        <w:rPr>
          <w:rFonts w:ascii="Arial" w:hAnsi="Arial" w:cs="Arial"/>
        </w:rPr>
        <w:t>Projekt jest obecnie jednocześnie na etapie uzgodnień, konsultacji publicznych i opiniowania.</w:t>
      </w:r>
    </w:p>
    <w:p w14:paraId="1F553D8D" w14:textId="77777777" w:rsidR="008E3D37" w:rsidRPr="006B2761" w:rsidRDefault="008E3D37" w:rsidP="006B2761">
      <w:pPr>
        <w:spacing w:after="0"/>
        <w:jc w:val="both"/>
        <w:rPr>
          <w:rFonts w:ascii="Arial" w:hAnsi="Arial" w:cs="Arial"/>
        </w:rPr>
      </w:pPr>
    </w:p>
    <w:p w14:paraId="631FB792" w14:textId="48CE8BD7" w:rsidR="006B2761" w:rsidRPr="008E3D37" w:rsidRDefault="008E3D37" w:rsidP="006B2761">
      <w:pPr>
        <w:pStyle w:val="Akapitzlist"/>
        <w:numPr>
          <w:ilvl w:val="0"/>
          <w:numId w:val="3"/>
        </w:numPr>
        <w:spacing w:after="0"/>
        <w:jc w:val="both"/>
        <w:rPr>
          <w:rFonts w:ascii="Arial" w:hAnsi="Arial" w:cs="Arial"/>
          <w:b/>
          <w:bCs/>
          <w:u w:val="single"/>
        </w:rPr>
      </w:pPr>
      <w:r w:rsidRPr="008E3D37">
        <w:rPr>
          <w:rFonts w:ascii="Arial" w:hAnsi="Arial" w:cs="Arial"/>
          <w:b/>
          <w:bCs/>
          <w:u w:val="single"/>
        </w:rPr>
        <w:t>P</w:t>
      </w:r>
      <w:r w:rsidRPr="008E3D37">
        <w:rPr>
          <w:rFonts w:ascii="Arial" w:hAnsi="Arial" w:cs="Arial"/>
          <w:b/>
          <w:bCs/>
          <w:u w:val="single"/>
        </w:rPr>
        <w:t>rojekt ustawy o zmianie ustawy o podatku od towarów i usług oraz zmieniająca ustawę o zmianie ustawy o podatku od towarów i usług oraz niektórych innych ustaw (numer z wykazu prac: UD158</w:t>
      </w:r>
      <w:r w:rsidRPr="008E3D37">
        <w:rPr>
          <w:rFonts w:ascii="Arial" w:hAnsi="Arial" w:cs="Arial"/>
          <w:b/>
          <w:bCs/>
          <w:u w:val="single"/>
        </w:rPr>
        <w:t xml:space="preserve"> – nowa wersja</w:t>
      </w:r>
      <w:r w:rsidRPr="008E3D37">
        <w:rPr>
          <w:rFonts w:ascii="Arial" w:hAnsi="Arial" w:cs="Arial"/>
          <w:b/>
          <w:bCs/>
          <w:u w:val="single"/>
        </w:rPr>
        <w:t>).</w:t>
      </w:r>
    </w:p>
    <w:p w14:paraId="72E47A8F" w14:textId="4BF0B7F2" w:rsidR="008E3D37" w:rsidRPr="008E3D37" w:rsidRDefault="008E3D37" w:rsidP="008E3D37">
      <w:pPr>
        <w:spacing w:after="0"/>
        <w:jc w:val="both"/>
        <w:rPr>
          <w:rFonts w:ascii="Arial" w:hAnsi="Arial" w:cs="Arial"/>
        </w:rPr>
      </w:pPr>
      <w:r>
        <w:rPr>
          <w:rFonts w:ascii="Arial" w:hAnsi="Arial" w:cs="Arial"/>
        </w:rPr>
        <w:lastRenderedPageBreak/>
        <w:t xml:space="preserve">1. </w:t>
      </w:r>
      <w:r w:rsidRPr="008E3D37">
        <w:rPr>
          <w:rFonts w:ascii="Arial" w:hAnsi="Arial" w:cs="Arial"/>
        </w:rPr>
        <w:t xml:space="preserve">System fakturowania w Polsce </w:t>
      </w:r>
    </w:p>
    <w:p w14:paraId="423EB4B0" w14:textId="77777777" w:rsidR="008E3D37" w:rsidRPr="008E3D37" w:rsidRDefault="008E3D37" w:rsidP="008E3D37">
      <w:pPr>
        <w:spacing w:after="0"/>
        <w:jc w:val="both"/>
        <w:rPr>
          <w:rFonts w:ascii="Arial" w:hAnsi="Arial" w:cs="Arial"/>
        </w:rPr>
      </w:pPr>
      <w:r w:rsidRPr="008E3D37">
        <w:rPr>
          <w:rFonts w:ascii="Arial" w:hAnsi="Arial" w:cs="Arial"/>
        </w:rPr>
        <w:t xml:space="preserve">Obligatoryjne e-fakturowanie obejmie zasadniczo czynności, które obecnie wymagają udokumentowania fakturą wystawioną zgodnie z ustawą z dnia 11 marca 2004 r. o podatku od towarów i usług (Dz. U. z 2024 r. poz. 361) – dalej: „ustawa o VAT”. W pierwszej kolejności od dnia 1 lipca 2024 r. mieli zostać nim objęci podatnicy czynni VAT, a następnie od 1 stycznia 2025 r. podatnicy zwolnieni podmiotowo (drobni przedsiębiorcy) lub wykonujący wyłącznie czynności zwolnione od podatku. W związku ze zdiagnozowanymi problemami związanymi z wydajnością systemu, który nie byłby w stanie na dzień wejścia w życie obligatoryjnego e-fakturowania przetworzyć znacznej, w tym przypadku nawet kilkumilionowej liczby faktur przesłanych w krótkim odstępie czasu do </w:t>
      </w:r>
      <w:proofErr w:type="spellStart"/>
      <w:r w:rsidRPr="008E3D37">
        <w:rPr>
          <w:rFonts w:ascii="Arial" w:hAnsi="Arial" w:cs="Arial"/>
        </w:rPr>
        <w:t>KSeF</w:t>
      </w:r>
      <w:proofErr w:type="spellEnd"/>
      <w:r w:rsidRPr="008E3D37">
        <w:rPr>
          <w:rFonts w:ascii="Arial" w:hAnsi="Arial" w:cs="Arial"/>
        </w:rPr>
        <w:t>, podjęto decyzję o przesunięciu terminu wdrożenia systemu. Na podstawie ustawy z dnia 9 maja 2024 r. zmieniającej ustawę o zmianie ustawy o podatku od towarów i usług oraz niektórych innych ustaw (Dz. U. poz. 852) przedłużono obowiązek stosowania obligatoryjnego e-fakturowania do 1 lutego 2026 r.</w:t>
      </w:r>
    </w:p>
    <w:p w14:paraId="7AA69DC6" w14:textId="77777777" w:rsidR="008E3D37" w:rsidRPr="008E3D37" w:rsidRDefault="008E3D37" w:rsidP="008E3D37">
      <w:pPr>
        <w:spacing w:after="0"/>
        <w:jc w:val="both"/>
        <w:rPr>
          <w:rFonts w:ascii="Arial" w:hAnsi="Arial" w:cs="Arial"/>
        </w:rPr>
      </w:pPr>
      <w:r w:rsidRPr="008E3D37">
        <w:rPr>
          <w:rFonts w:ascii="Arial" w:hAnsi="Arial" w:cs="Arial"/>
        </w:rPr>
        <w:t xml:space="preserve">Przedmiotowy projekt jest wynikiem licznych konsultacji z przedsiębiorcami, jakie przeprowadził Minister Finansów. W spotkaniach – od 16 lutego do 1 marca 2024 r. – uczestniczyło łącznie około 10 tys. osób. Zebrano wówczas szereg informacji i opinii o planowanym systemie. W szczególności dotyczyły one potrzeby uproszczenia otoczenia prawnego wdrożenia i funkcjonowania obowiązkowego </w:t>
      </w:r>
      <w:proofErr w:type="spellStart"/>
      <w:r w:rsidRPr="008E3D37">
        <w:rPr>
          <w:rFonts w:ascii="Arial" w:hAnsi="Arial" w:cs="Arial"/>
        </w:rPr>
        <w:t>KSeF</w:t>
      </w:r>
      <w:proofErr w:type="spellEnd"/>
      <w:r w:rsidRPr="008E3D37">
        <w:rPr>
          <w:rFonts w:ascii="Arial" w:hAnsi="Arial" w:cs="Arial"/>
        </w:rPr>
        <w:t xml:space="preserve">. Cykl spotkań konsultacyjnych pozwolił na zidentyfikowanie obszarów obowiązkowego </w:t>
      </w:r>
      <w:proofErr w:type="spellStart"/>
      <w:r w:rsidRPr="008E3D37">
        <w:rPr>
          <w:rFonts w:ascii="Arial" w:hAnsi="Arial" w:cs="Arial"/>
        </w:rPr>
        <w:t>KSeF</w:t>
      </w:r>
      <w:proofErr w:type="spellEnd"/>
      <w:r w:rsidRPr="008E3D37">
        <w:rPr>
          <w:rFonts w:ascii="Arial" w:hAnsi="Arial" w:cs="Arial"/>
        </w:rPr>
        <w:t>, które powinny zostać zmienione lub uproszczone.</w:t>
      </w:r>
    </w:p>
    <w:p w14:paraId="64FFACF7" w14:textId="77777777" w:rsidR="008E3D37" w:rsidRPr="008E3D37" w:rsidRDefault="008E3D37" w:rsidP="008E3D37">
      <w:pPr>
        <w:spacing w:after="0"/>
        <w:jc w:val="both"/>
        <w:rPr>
          <w:rFonts w:ascii="Arial" w:hAnsi="Arial" w:cs="Arial"/>
        </w:rPr>
      </w:pPr>
      <w:r w:rsidRPr="008E3D37">
        <w:rPr>
          <w:rFonts w:ascii="Arial" w:hAnsi="Arial" w:cs="Arial"/>
        </w:rPr>
        <w:t xml:space="preserve">W kwietniu 2024 r. zostały przeprowadzone </w:t>
      </w:r>
      <w:proofErr w:type="spellStart"/>
      <w:r w:rsidRPr="008E3D37">
        <w:rPr>
          <w:rFonts w:ascii="Arial" w:hAnsi="Arial" w:cs="Arial"/>
        </w:rPr>
        <w:t>prekonsultacje</w:t>
      </w:r>
      <w:proofErr w:type="spellEnd"/>
      <w:r w:rsidRPr="008E3D37">
        <w:rPr>
          <w:rFonts w:ascii="Arial" w:hAnsi="Arial" w:cs="Arial"/>
        </w:rPr>
        <w:t xml:space="preserve"> propozycji uproszczeń we wdrożeniu obowiązkowego </w:t>
      </w:r>
      <w:proofErr w:type="spellStart"/>
      <w:r w:rsidRPr="008E3D37">
        <w:rPr>
          <w:rFonts w:ascii="Arial" w:hAnsi="Arial" w:cs="Arial"/>
        </w:rPr>
        <w:t>KSeF</w:t>
      </w:r>
      <w:proofErr w:type="spellEnd"/>
      <w:r w:rsidRPr="008E3D37">
        <w:rPr>
          <w:rFonts w:ascii="Arial" w:hAnsi="Arial" w:cs="Arial"/>
        </w:rPr>
        <w:t xml:space="preserve">. Projekt rozwiązań prawnych, dotyczący zmian w zakresie wystawiania e-faktur, był konsultowany do 19 kwietnia 2024 r. </w:t>
      </w:r>
    </w:p>
    <w:p w14:paraId="3F9B5945" w14:textId="77777777" w:rsidR="008E3D37" w:rsidRPr="008E3D37" w:rsidRDefault="008E3D37" w:rsidP="008E3D37">
      <w:pPr>
        <w:spacing w:after="0"/>
        <w:jc w:val="both"/>
        <w:rPr>
          <w:rFonts w:ascii="Arial" w:hAnsi="Arial" w:cs="Arial"/>
        </w:rPr>
      </w:pPr>
      <w:r w:rsidRPr="008E3D37">
        <w:rPr>
          <w:rFonts w:ascii="Arial" w:hAnsi="Arial" w:cs="Arial"/>
        </w:rPr>
        <w:t>W dniu 18 lipca 2024 r. odbyło się dodatkowe spotkanie z przedsiębiorcami, podczas którego przedstawiciele Ministerstwa Finansów  podsumowali wyniki spotkań konsultacyjnych z przedsiębiorcami organizowanych od lutego 2024 roku. Omawiano również dalsze kierunki działań prawnych i biznesowych mających na celu uproszczenie systemu, tj. m.in.: odroczenie terminu likwidacji wystawiania faktur w kasach rejestrujących, zasady wystawiania e-faktur dla konsumentów oraz uwzględnienie dodatkowych danych na e-fakturze.</w:t>
      </w:r>
    </w:p>
    <w:p w14:paraId="45BC883A" w14:textId="77777777" w:rsidR="008E3D37" w:rsidRPr="008E3D37" w:rsidRDefault="008E3D37" w:rsidP="008E3D37">
      <w:pPr>
        <w:spacing w:after="0"/>
        <w:jc w:val="both"/>
        <w:rPr>
          <w:rFonts w:ascii="Arial" w:hAnsi="Arial" w:cs="Arial"/>
        </w:rPr>
      </w:pPr>
      <w:r w:rsidRPr="008E3D37">
        <w:rPr>
          <w:rFonts w:ascii="Arial" w:hAnsi="Arial" w:cs="Arial"/>
        </w:rPr>
        <w:t xml:space="preserve">W listopadzie 2024 r. przeprowadzono konsultacje publiczne projektu rozwiązań, na skutek których przedsiębiorcy wnieśli dodatkowe uwagi. Wynik ich analizy zawarto w raporcie z konsultacji, który został opublikowany na stronie BIP RCL. Ponadto w resorcie przeprowadzono weryfikację założeń biznesowych i prawnych projektu </w:t>
      </w:r>
      <w:proofErr w:type="spellStart"/>
      <w:r w:rsidRPr="008E3D37">
        <w:rPr>
          <w:rFonts w:ascii="Arial" w:hAnsi="Arial" w:cs="Arial"/>
        </w:rPr>
        <w:t>KSeF</w:t>
      </w:r>
      <w:proofErr w:type="spellEnd"/>
      <w:r w:rsidRPr="008E3D37">
        <w:rPr>
          <w:rFonts w:ascii="Arial" w:hAnsi="Arial" w:cs="Arial"/>
        </w:rPr>
        <w:t xml:space="preserve"> w toku prac wytwórczych. </w:t>
      </w:r>
    </w:p>
    <w:p w14:paraId="52D24623" w14:textId="1054CAA5" w:rsidR="006B2761" w:rsidRDefault="008E3D37" w:rsidP="008E3D37">
      <w:pPr>
        <w:spacing w:after="0"/>
        <w:jc w:val="both"/>
        <w:rPr>
          <w:rFonts w:ascii="Arial" w:hAnsi="Arial" w:cs="Arial"/>
        </w:rPr>
      </w:pPr>
      <w:r w:rsidRPr="008E3D37">
        <w:rPr>
          <w:rFonts w:ascii="Arial" w:hAnsi="Arial" w:cs="Arial"/>
        </w:rPr>
        <w:t xml:space="preserve">W efekcie dokonanej oceny zgłaszanych postulatów oraz przeprowadzonych weryfikacji w procesie wytwórczym, przedstawiony projekt uwzględnia wszystkie zasadnicze propozycje oraz uwagi przedsiębiorców dotyczące procesu wystawiania faktur w </w:t>
      </w:r>
      <w:proofErr w:type="spellStart"/>
      <w:r w:rsidRPr="008E3D37">
        <w:rPr>
          <w:rFonts w:ascii="Arial" w:hAnsi="Arial" w:cs="Arial"/>
        </w:rPr>
        <w:t>KSeF</w:t>
      </w:r>
      <w:proofErr w:type="spellEnd"/>
      <w:r w:rsidRPr="008E3D37">
        <w:rPr>
          <w:rFonts w:ascii="Arial" w:hAnsi="Arial" w:cs="Arial"/>
        </w:rPr>
        <w:t xml:space="preserve">. W projekcie wypracowano rozwiązania w obszarze zarówno prawnym, jak i technicznym oraz biznesowym </w:t>
      </w:r>
      <w:proofErr w:type="spellStart"/>
      <w:r w:rsidRPr="008E3D37">
        <w:rPr>
          <w:rFonts w:ascii="Arial" w:hAnsi="Arial" w:cs="Arial"/>
        </w:rPr>
        <w:t>KSeF</w:t>
      </w:r>
      <w:proofErr w:type="spellEnd"/>
      <w:r w:rsidRPr="008E3D37">
        <w:rPr>
          <w:rFonts w:ascii="Arial" w:hAnsi="Arial" w:cs="Arial"/>
        </w:rPr>
        <w:t>, a celem opracowanych rozwiązań jest wsparcie podatników we wdrożeniu obowiązku i stosowaniu systemu w sposób możliwie prosty i sprawny</w:t>
      </w:r>
      <w:r>
        <w:rPr>
          <w:rFonts w:ascii="Arial" w:hAnsi="Arial" w:cs="Arial"/>
        </w:rPr>
        <w:t>.</w:t>
      </w:r>
    </w:p>
    <w:p w14:paraId="277C8DBA" w14:textId="77777777" w:rsidR="008E3D37" w:rsidRPr="008E3D37" w:rsidRDefault="008E3D37" w:rsidP="008E3D37">
      <w:pPr>
        <w:spacing w:after="0"/>
        <w:jc w:val="both"/>
        <w:rPr>
          <w:rFonts w:ascii="Arial" w:hAnsi="Arial" w:cs="Arial"/>
        </w:rPr>
      </w:pPr>
      <w:r w:rsidRPr="008E3D37">
        <w:rPr>
          <w:rFonts w:ascii="Arial" w:hAnsi="Arial" w:cs="Arial"/>
        </w:rPr>
        <w:t xml:space="preserve">Projekt </w:t>
      </w:r>
      <w:proofErr w:type="spellStart"/>
      <w:r w:rsidRPr="008E3D37">
        <w:rPr>
          <w:rFonts w:ascii="Arial" w:hAnsi="Arial" w:cs="Arial"/>
        </w:rPr>
        <w:t>KSeF</w:t>
      </w:r>
      <w:proofErr w:type="spellEnd"/>
      <w:r w:rsidRPr="008E3D37">
        <w:rPr>
          <w:rFonts w:ascii="Arial" w:hAnsi="Arial" w:cs="Arial"/>
        </w:rPr>
        <w:t xml:space="preserve"> jest jednym z priorytetów resortu. Kontynuacja dialogu i rzetelnych konsultacji rozwiązań z przedsiębiorcami jest kluczowa, aby zapewnić odpowiednią jakość rozwiązań i skutecznie wdrożyć obowiązkowe e-fakturowanie. Jednocześnie zostaną podjęte na szeroką skalę działania informacyjne dla podmiotów zaangażowanych we wdrożenie </w:t>
      </w:r>
      <w:proofErr w:type="spellStart"/>
      <w:r w:rsidRPr="008E3D37">
        <w:rPr>
          <w:rFonts w:ascii="Arial" w:hAnsi="Arial" w:cs="Arial"/>
        </w:rPr>
        <w:t>KSeF</w:t>
      </w:r>
      <w:proofErr w:type="spellEnd"/>
      <w:r w:rsidRPr="008E3D37">
        <w:rPr>
          <w:rFonts w:ascii="Arial" w:hAnsi="Arial" w:cs="Arial"/>
        </w:rPr>
        <w:t>, w tym również dla podatników, tak aby zapewnić tym podmiotom odpowiednie przygotowanie i efektywne wdrożenie proponowanego rozwiązania.</w:t>
      </w:r>
    </w:p>
    <w:p w14:paraId="7055E8BE" w14:textId="77777777" w:rsidR="008E3D37" w:rsidRPr="008E3D37" w:rsidRDefault="008E3D37" w:rsidP="008E3D37">
      <w:pPr>
        <w:spacing w:after="0"/>
        <w:jc w:val="both"/>
        <w:rPr>
          <w:rFonts w:ascii="Arial" w:hAnsi="Arial" w:cs="Arial"/>
        </w:rPr>
      </w:pPr>
      <w:r w:rsidRPr="008E3D37">
        <w:rPr>
          <w:rFonts w:ascii="Arial" w:hAnsi="Arial" w:cs="Arial"/>
        </w:rPr>
        <w:t>2. Limit zwolnienia podmiotowego w VAT</w:t>
      </w:r>
    </w:p>
    <w:p w14:paraId="2ACEA880" w14:textId="77777777" w:rsidR="008E3D37" w:rsidRPr="008E3D37" w:rsidRDefault="008E3D37" w:rsidP="008E3D37">
      <w:pPr>
        <w:spacing w:after="0"/>
        <w:jc w:val="both"/>
        <w:rPr>
          <w:rFonts w:ascii="Arial" w:hAnsi="Arial" w:cs="Arial"/>
        </w:rPr>
      </w:pPr>
    </w:p>
    <w:p w14:paraId="55230A7E" w14:textId="77777777" w:rsidR="008E3D37" w:rsidRPr="008E3D37" w:rsidRDefault="008E3D37" w:rsidP="008E3D37">
      <w:pPr>
        <w:spacing w:after="0"/>
        <w:jc w:val="both"/>
        <w:rPr>
          <w:rFonts w:ascii="Arial" w:hAnsi="Arial" w:cs="Arial"/>
        </w:rPr>
      </w:pPr>
      <w:r w:rsidRPr="008E3D37">
        <w:rPr>
          <w:rFonts w:ascii="Arial" w:hAnsi="Arial" w:cs="Arial"/>
        </w:rPr>
        <w:lastRenderedPageBreak/>
        <w:t>Projekt przewiduje również zmiany dotyczące obowiązującego limitu zwolnienia podmiotowego w VAT. Obecnie podatnicy mogą korzystać z tzw. zwolnienia podmiotowego, w przypadku gdy nie przekroczyli limitu sprzedaży w wysokości 200 tys. zł w poprzednim i bieżącym roku. W przypadku podatników rozpoczynających w danym roku prowadzenie działalności gospodarczej limit przyjmuje się w proporcji do okresu działalności prowadzonej w trakcie roku.</w:t>
      </w:r>
    </w:p>
    <w:p w14:paraId="5BE158B6" w14:textId="77777777" w:rsidR="008E3D37" w:rsidRPr="008E3D37" w:rsidRDefault="008E3D37" w:rsidP="008E3D37">
      <w:pPr>
        <w:spacing w:after="0"/>
        <w:jc w:val="both"/>
        <w:rPr>
          <w:rFonts w:ascii="Arial" w:hAnsi="Arial" w:cs="Arial"/>
        </w:rPr>
      </w:pPr>
      <w:r w:rsidRPr="008E3D37">
        <w:rPr>
          <w:rFonts w:ascii="Arial" w:hAnsi="Arial" w:cs="Arial"/>
        </w:rPr>
        <w:t>Biorąc pod uwagę, że obowiązujący limit 200 000 zł nie był podwyższany od 2017 r., coraz mniejsza liczba firm jest uprawnionych do korzystania ze zwolnienia w podatku VAT. Oznacza to, że przedsiębiorcy, którzy do tej pory mogli korzystać ze zwolnienia, przekraczają obowiązujący limit i mają obowiązek rejestracji dla potrzeb tego podatku, prowadzenia pełnej (szczegółowej) ewidencji czynności podlegających temu podatkowi oraz obowiązek wystawiania faktur i rozliczania podatku VAT. W związku z dodatkowymi obowiązkami administracyjnymi może to powodować utrudnienia w prowadzaniu działalności gospodarczej przez takich podatników.</w:t>
      </w:r>
    </w:p>
    <w:p w14:paraId="6F15157B" w14:textId="77777777" w:rsidR="008E3D37" w:rsidRPr="008E3D37" w:rsidRDefault="008E3D37" w:rsidP="008E3D37">
      <w:pPr>
        <w:spacing w:after="0"/>
        <w:jc w:val="both"/>
        <w:rPr>
          <w:rFonts w:ascii="Arial" w:hAnsi="Arial" w:cs="Arial"/>
        </w:rPr>
      </w:pPr>
      <w:r w:rsidRPr="008E3D37">
        <w:rPr>
          <w:rFonts w:ascii="Arial" w:hAnsi="Arial" w:cs="Arial"/>
        </w:rPr>
        <w:t>3. Zmiany w procedurze marża (art. 120 ustawy o VAT) mające charakter porządkujący.</w:t>
      </w:r>
    </w:p>
    <w:p w14:paraId="16E607F2" w14:textId="77777777" w:rsidR="008E3D37" w:rsidRPr="008E3D37" w:rsidRDefault="008E3D37" w:rsidP="008E3D37">
      <w:pPr>
        <w:spacing w:after="0"/>
        <w:jc w:val="both"/>
        <w:rPr>
          <w:rFonts w:ascii="Arial" w:hAnsi="Arial" w:cs="Arial"/>
        </w:rPr>
      </w:pPr>
      <w:r w:rsidRPr="008E3D37">
        <w:rPr>
          <w:rFonts w:ascii="Arial" w:hAnsi="Arial" w:cs="Arial"/>
        </w:rPr>
        <w:t xml:space="preserve">Od dnia 1 stycznia 2025 r. uchylone zostały przepisy umożliwiające stosowanie procedury opodatkowania marży w odniesieniu do dzieł sztuki, przedmiotów kolekcjonerskich lub antyków uprzednio importowanych przez podatnika  oraz w odniesieniu do  dzieł sztuki nabytych od ich twórców lub spadkobierców twórców. </w:t>
      </w:r>
    </w:p>
    <w:p w14:paraId="11CB96EC" w14:textId="77777777" w:rsidR="008E3D37" w:rsidRPr="008E3D37" w:rsidRDefault="008E3D37" w:rsidP="008E3D37">
      <w:pPr>
        <w:spacing w:after="0"/>
        <w:jc w:val="both"/>
        <w:rPr>
          <w:rFonts w:ascii="Arial" w:hAnsi="Arial" w:cs="Arial"/>
        </w:rPr>
      </w:pPr>
      <w:r w:rsidRPr="008E3D37">
        <w:rPr>
          <w:rFonts w:ascii="Arial" w:hAnsi="Arial" w:cs="Arial"/>
        </w:rPr>
        <w:t>Zgodnie bowiem z przepisami ustawy o VAT takie transakcje opodatkowane są stawką obniżoną, natomiast stosowanie procedury marży do dzieł sztuki, przedmiotów kolekcjonerskich i antyków nabywanych oraz importowanych przez podatnika, gdy są one objęte stawką obniżoną, uniemożliwiają wprost przepisy unijne (przepisy dyrektywy 2006/112/WE).</w:t>
      </w:r>
    </w:p>
    <w:p w14:paraId="1DC9FB96" w14:textId="51DB176E" w:rsidR="008E3D37" w:rsidRDefault="008E3D37" w:rsidP="008E3D37">
      <w:pPr>
        <w:spacing w:after="0"/>
        <w:jc w:val="both"/>
        <w:rPr>
          <w:rFonts w:ascii="Arial" w:hAnsi="Arial" w:cs="Arial"/>
        </w:rPr>
      </w:pPr>
      <w:r w:rsidRPr="008E3D37">
        <w:rPr>
          <w:rFonts w:ascii="Arial" w:hAnsi="Arial" w:cs="Arial"/>
        </w:rPr>
        <w:t>W konsekwencji procedura marży nie ma już zastosowania do wskazanych transakcji</w:t>
      </w:r>
      <w:r>
        <w:rPr>
          <w:rFonts w:ascii="Arial" w:hAnsi="Arial" w:cs="Arial"/>
        </w:rPr>
        <w:t>.</w:t>
      </w:r>
    </w:p>
    <w:p w14:paraId="3BB160E2" w14:textId="77777777" w:rsidR="002C00D7" w:rsidRPr="002C00D7" w:rsidRDefault="002C00D7" w:rsidP="002C00D7">
      <w:pPr>
        <w:spacing w:after="0"/>
        <w:jc w:val="both"/>
        <w:rPr>
          <w:rFonts w:ascii="Arial" w:hAnsi="Arial" w:cs="Arial"/>
        </w:rPr>
      </w:pPr>
      <w:r w:rsidRPr="002C00D7">
        <w:rPr>
          <w:rFonts w:ascii="Arial" w:hAnsi="Arial" w:cs="Arial"/>
        </w:rPr>
        <w:t xml:space="preserve">Zmiany upraszczające wdrożenie obowiązku </w:t>
      </w:r>
      <w:proofErr w:type="spellStart"/>
      <w:r w:rsidRPr="002C00D7">
        <w:rPr>
          <w:rFonts w:ascii="Arial" w:hAnsi="Arial" w:cs="Arial"/>
        </w:rPr>
        <w:t>KSeF</w:t>
      </w:r>
      <w:proofErr w:type="spellEnd"/>
    </w:p>
    <w:p w14:paraId="1EDE97DE" w14:textId="77777777" w:rsidR="002C00D7" w:rsidRPr="002C00D7" w:rsidRDefault="002C00D7" w:rsidP="002C00D7">
      <w:pPr>
        <w:spacing w:after="0"/>
        <w:jc w:val="both"/>
        <w:rPr>
          <w:rFonts w:ascii="Arial" w:hAnsi="Arial" w:cs="Arial"/>
        </w:rPr>
      </w:pPr>
      <w:r w:rsidRPr="002C00D7">
        <w:rPr>
          <w:rFonts w:ascii="Arial" w:hAnsi="Arial" w:cs="Arial"/>
        </w:rPr>
        <w:t xml:space="preserve">W wyniku przeprowadzonych konsultacji wypracowano rozwiązania w obszarze zarówno prawnym, jak i technicznym oraz biznesowym projektu </w:t>
      </w:r>
      <w:proofErr w:type="spellStart"/>
      <w:r w:rsidRPr="002C00D7">
        <w:rPr>
          <w:rFonts w:ascii="Arial" w:hAnsi="Arial" w:cs="Arial"/>
        </w:rPr>
        <w:t>KSeF</w:t>
      </w:r>
      <w:proofErr w:type="spellEnd"/>
      <w:r w:rsidRPr="002C00D7">
        <w:rPr>
          <w:rFonts w:ascii="Arial" w:hAnsi="Arial" w:cs="Arial"/>
        </w:rPr>
        <w:t>, których celem jest wsparcie podatników we wdrożeniu obowiązku.</w:t>
      </w:r>
    </w:p>
    <w:p w14:paraId="5C74EA5A" w14:textId="77777777" w:rsidR="002C00D7" w:rsidRPr="002C00D7" w:rsidRDefault="002C00D7" w:rsidP="002C00D7">
      <w:pPr>
        <w:spacing w:after="0"/>
        <w:jc w:val="both"/>
        <w:rPr>
          <w:rFonts w:ascii="Arial" w:hAnsi="Arial" w:cs="Arial"/>
        </w:rPr>
      </w:pPr>
      <w:r w:rsidRPr="002C00D7">
        <w:rPr>
          <w:rFonts w:ascii="Arial" w:hAnsi="Arial" w:cs="Arial"/>
        </w:rPr>
        <w:t xml:space="preserve">Proponowany zakres rozwiązań skonsultowany z przedsiębiorcami obejmuje oprócz rozwiązań legislacyjnych, także zmiany biznesowe uwzględniające niektóre uproszczenia. Do głównych rozwiązań o charakterze prawnym oraz biznesowym należą: </w:t>
      </w:r>
    </w:p>
    <w:p w14:paraId="0C4F5C36" w14:textId="77777777" w:rsidR="002C00D7" w:rsidRPr="002C00D7" w:rsidRDefault="002C00D7" w:rsidP="002C00D7">
      <w:pPr>
        <w:spacing w:after="0"/>
        <w:jc w:val="both"/>
        <w:rPr>
          <w:rFonts w:ascii="Arial" w:hAnsi="Arial" w:cs="Arial"/>
        </w:rPr>
      </w:pPr>
      <w:r w:rsidRPr="002C00D7">
        <w:rPr>
          <w:rFonts w:ascii="Arial" w:hAnsi="Arial" w:cs="Arial"/>
        </w:rPr>
        <w:t>1)</w:t>
      </w:r>
      <w:r w:rsidRPr="002C00D7">
        <w:rPr>
          <w:rFonts w:ascii="Arial" w:hAnsi="Arial" w:cs="Arial"/>
        </w:rPr>
        <w:tab/>
        <w:t>wprowadzenie obowiązku wystawiania e-faktur dla wszystkich podatników (dla podatników czynnych i podatników zwolnionych z VAT), z uwzględnieniem etapowania:</w:t>
      </w:r>
    </w:p>
    <w:p w14:paraId="5B912B1A" w14:textId="6BFE0E85" w:rsidR="002C00D7" w:rsidRPr="002C00D7" w:rsidRDefault="002C00D7" w:rsidP="002C00D7">
      <w:pPr>
        <w:pStyle w:val="Akapitzlist"/>
        <w:numPr>
          <w:ilvl w:val="0"/>
          <w:numId w:val="7"/>
        </w:numPr>
        <w:spacing w:after="0"/>
        <w:jc w:val="both"/>
        <w:rPr>
          <w:rFonts w:ascii="Arial" w:hAnsi="Arial" w:cs="Arial"/>
        </w:rPr>
      </w:pPr>
      <w:r w:rsidRPr="002C00D7">
        <w:rPr>
          <w:rFonts w:ascii="Arial" w:hAnsi="Arial" w:cs="Arial"/>
        </w:rPr>
        <w:t xml:space="preserve">od 1 lutego 2026 r. dla podatników, których wartość sprzedaży (wraz z podatkiem) przekroczyła w 2024 r. kwotę 200 mln zł, </w:t>
      </w:r>
    </w:p>
    <w:p w14:paraId="6B2F7A15" w14:textId="2690702F" w:rsidR="002C00D7" w:rsidRPr="002C00D7" w:rsidRDefault="002C00D7" w:rsidP="002C00D7">
      <w:pPr>
        <w:pStyle w:val="Akapitzlist"/>
        <w:numPr>
          <w:ilvl w:val="0"/>
          <w:numId w:val="7"/>
        </w:numPr>
        <w:spacing w:after="0"/>
        <w:jc w:val="both"/>
        <w:rPr>
          <w:rFonts w:ascii="Arial" w:hAnsi="Arial" w:cs="Arial"/>
        </w:rPr>
      </w:pPr>
      <w:r w:rsidRPr="002C00D7">
        <w:rPr>
          <w:rFonts w:ascii="Arial" w:hAnsi="Arial" w:cs="Arial"/>
        </w:rPr>
        <w:t>od 1 kwietnia 2026 r. dla pozostałych przedsiębiorców.</w:t>
      </w:r>
    </w:p>
    <w:p w14:paraId="176B5837" w14:textId="77777777" w:rsidR="002C00D7" w:rsidRPr="002C00D7" w:rsidRDefault="002C00D7" w:rsidP="002C00D7">
      <w:pPr>
        <w:spacing w:after="0"/>
        <w:jc w:val="both"/>
        <w:rPr>
          <w:rFonts w:ascii="Arial" w:hAnsi="Arial" w:cs="Arial"/>
        </w:rPr>
      </w:pPr>
      <w:r w:rsidRPr="002C00D7">
        <w:rPr>
          <w:rFonts w:ascii="Arial" w:hAnsi="Arial" w:cs="Arial"/>
        </w:rPr>
        <w:t xml:space="preserve">Fazowanie tego obowiązku to zalecenie audytu </w:t>
      </w:r>
      <w:proofErr w:type="spellStart"/>
      <w:r w:rsidRPr="002C00D7">
        <w:rPr>
          <w:rFonts w:ascii="Arial" w:hAnsi="Arial" w:cs="Arial"/>
        </w:rPr>
        <w:t>KSeF</w:t>
      </w:r>
      <w:proofErr w:type="spellEnd"/>
      <w:r w:rsidRPr="002C00D7">
        <w:rPr>
          <w:rFonts w:ascii="Arial" w:hAnsi="Arial" w:cs="Arial"/>
        </w:rPr>
        <w:t>, które jest warunkiem wdrożenia stabilnego technicznie systemu; mniejsi podatnicy otrzymają dodatkowe 2 miesiące na wdrożenie zmian;</w:t>
      </w:r>
    </w:p>
    <w:p w14:paraId="0C23EEB4" w14:textId="77777777" w:rsidR="002C00D7" w:rsidRPr="002C00D7" w:rsidRDefault="002C00D7" w:rsidP="002C00D7">
      <w:pPr>
        <w:spacing w:after="0"/>
        <w:jc w:val="both"/>
        <w:rPr>
          <w:rFonts w:ascii="Arial" w:hAnsi="Arial" w:cs="Arial"/>
        </w:rPr>
      </w:pPr>
      <w:r w:rsidRPr="002C00D7">
        <w:rPr>
          <w:rFonts w:ascii="Arial" w:hAnsi="Arial" w:cs="Arial"/>
        </w:rPr>
        <w:t>2)</w:t>
      </w:r>
      <w:r w:rsidRPr="002C00D7">
        <w:rPr>
          <w:rFonts w:ascii="Arial" w:hAnsi="Arial" w:cs="Arial"/>
        </w:rPr>
        <w:tab/>
        <w:t xml:space="preserve">utrzymanie do końca 2026 r. możliwości wystawiania faktur na kasach rejestrujących – rozwiązanie to pozwoli na wydłużenie okresu dostosowania się podatników, którzy korzystali z możliwości wystawiania faktur przy użyciu kas rejestrujących do wdrażanych rozwiązań;  </w:t>
      </w:r>
    </w:p>
    <w:p w14:paraId="5989361F" w14:textId="77777777" w:rsidR="002C00D7" w:rsidRPr="002C00D7" w:rsidRDefault="002C00D7" w:rsidP="002C00D7">
      <w:pPr>
        <w:spacing w:after="0"/>
        <w:jc w:val="both"/>
        <w:rPr>
          <w:rFonts w:ascii="Arial" w:hAnsi="Arial" w:cs="Arial"/>
        </w:rPr>
      </w:pPr>
      <w:r w:rsidRPr="002C00D7">
        <w:rPr>
          <w:rFonts w:ascii="Arial" w:hAnsi="Arial" w:cs="Arial"/>
        </w:rPr>
        <w:t>3)</w:t>
      </w:r>
      <w:r w:rsidRPr="002C00D7">
        <w:rPr>
          <w:rFonts w:ascii="Arial" w:hAnsi="Arial" w:cs="Arial"/>
        </w:rPr>
        <w:tab/>
        <w:t xml:space="preserve">odroczenie  do końca 2026 r. wymogu podania numeru </w:t>
      </w:r>
      <w:proofErr w:type="spellStart"/>
      <w:r w:rsidRPr="002C00D7">
        <w:rPr>
          <w:rFonts w:ascii="Arial" w:hAnsi="Arial" w:cs="Arial"/>
        </w:rPr>
        <w:t>KSeF</w:t>
      </w:r>
      <w:proofErr w:type="spellEnd"/>
      <w:r w:rsidRPr="002C00D7">
        <w:rPr>
          <w:rFonts w:ascii="Arial" w:hAnsi="Arial" w:cs="Arial"/>
        </w:rPr>
        <w:t xml:space="preserve"> w płatnościach za e-faktury - również tych wykonywanych w mechanizmie podzielonej płatności (MPP) – tak jak w przypadku faktur z kas rejestrujących propozycja ta zabezpieczy podatnikom dodatkowy czas na odpowiednie dostosowanie się do proponowanych zmian;</w:t>
      </w:r>
    </w:p>
    <w:p w14:paraId="7FEE2F14" w14:textId="77777777" w:rsidR="002C00D7" w:rsidRPr="002C00D7" w:rsidRDefault="002C00D7" w:rsidP="002C00D7">
      <w:pPr>
        <w:spacing w:after="0"/>
        <w:jc w:val="both"/>
        <w:rPr>
          <w:rFonts w:ascii="Arial" w:hAnsi="Arial" w:cs="Arial"/>
        </w:rPr>
      </w:pPr>
      <w:r w:rsidRPr="002C00D7">
        <w:rPr>
          <w:rFonts w:ascii="Arial" w:hAnsi="Arial" w:cs="Arial"/>
        </w:rPr>
        <w:lastRenderedPageBreak/>
        <w:t>4)</w:t>
      </w:r>
      <w:r w:rsidRPr="002C00D7">
        <w:rPr>
          <w:rFonts w:ascii="Arial" w:hAnsi="Arial" w:cs="Arial"/>
        </w:rPr>
        <w:tab/>
        <w:t xml:space="preserve">wprowadzenie na stałe możliwości dobrowolnego stosowania przez podatników trybu „offline24” – rozwiązanie to wzmocni pewność obrotu gospodarczego w sytuacji, gdy podatnik napotka trudności z wystawianiem i przesłaniem e-faktury do systemu lub generalnie specyfika jego działalności uzasadnia stosowanie tego trybu; </w:t>
      </w:r>
    </w:p>
    <w:p w14:paraId="07E3F192" w14:textId="77777777" w:rsidR="002C00D7" w:rsidRPr="002C00D7" w:rsidRDefault="002C00D7" w:rsidP="002C00D7">
      <w:pPr>
        <w:spacing w:after="0"/>
        <w:jc w:val="both"/>
        <w:rPr>
          <w:rFonts w:ascii="Arial" w:hAnsi="Arial" w:cs="Arial"/>
        </w:rPr>
      </w:pPr>
      <w:r w:rsidRPr="002C00D7">
        <w:rPr>
          <w:rFonts w:ascii="Arial" w:hAnsi="Arial" w:cs="Arial"/>
        </w:rPr>
        <w:t>5)</w:t>
      </w:r>
      <w:r w:rsidRPr="002C00D7">
        <w:rPr>
          <w:rFonts w:ascii="Arial" w:hAnsi="Arial" w:cs="Arial"/>
        </w:rPr>
        <w:tab/>
        <w:t>wprowadzenie okresu przejściowego, tj. od kwietnia do końca 2026 roku dla mikro-przedsiębiorców – w tym okresie podatnicy, których transakcje obejmują niewielkie kwoty (do 450 zł dla pojedynczej faktury i do łącznej</w:t>
      </w:r>
      <w:r>
        <w:rPr>
          <w:rFonts w:ascii="Arial" w:hAnsi="Arial" w:cs="Arial"/>
        </w:rPr>
        <w:t xml:space="preserve"> </w:t>
      </w:r>
      <w:r w:rsidRPr="002C00D7">
        <w:rPr>
          <w:rFonts w:ascii="Arial" w:hAnsi="Arial" w:cs="Arial"/>
        </w:rPr>
        <w:t xml:space="preserve">wartości sprzedaży - 10 tys. zł miesięcznie) nie będą obowiązani do wystawiania e-faktur – rozwiązanie to ułatwi dokumentowanie transakcji najmniejszym lub wykluczonym cyfrowo podatnikom; </w:t>
      </w:r>
    </w:p>
    <w:p w14:paraId="4EB71A79" w14:textId="77777777" w:rsidR="002C00D7" w:rsidRPr="002C00D7" w:rsidRDefault="002C00D7" w:rsidP="002C00D7">
      <w:pPr>
        <w:spacing w:after="0"/>
        <w:jc w:val="both"/>
        <w:rPr>
          <w:rFonts w:ascii="Arial" w:hAnsi="Arial" w:cs="Arial"/>
        </w:rPr>
      </w:pPr>
      <w:r w:rsidRPr="002C00D7">
        <w:rPr>
          <w:rFonts w:ascii="Arial" w:hAnsi="Arial" w:cs="Arial"/>
        </w:rPr>
        <w:t>6)</w:t>
      </w:r>
      <w:r w:rsidRPr="002C00D7">
        <w:rPr>
          <w:rFonts w:ascii="Arial" w:hAnsi="Arial" w:cs="Arial"/>
        </w:rPr>
        <w:tab/>
        <w:t xml:space="preserve">dobrowolne wystawianie e-faktur dla konsumentów – rozwiązanie stanowi narzędzie do osiągnięcia możliwie wysokich efektów wynikających z digitalizacji procesu wystawiania faktur oraz wesprze podatników w realizowaniu ustawowych obowiązków wystawiania e-faktur. Wprowadzana zmiana nie wymaga, aby przedsiębiorca wystawiając na rzecz konsumenta e-fakturę w </w:t>
      </w:r>
      <w:proofErr w:type="spellStart"/>
      <w:r w:rsidRPr="002C00D7">
        <w:rPr>
          <w:rFonts w:ascii="Arial" w:hAnsi="Arial" w:cs="Arial"/>
        </w:rPr>
        <w:t>KSeF</w:t>
      </w:r>
      <w:proofErr w:type="spellEnd"/>
      <w:r w:rsidRPr="002C00D7">
        <w:rPr>
          <w:rFonts w:ascii="Arial" w:hAnsi="Arial" w:cs="Arial"/>
        </w:rPr>
        <w:t xml:space="preserve"> pozyskiwał od niego zgodę na przetwarzanie danych osobowych, o której mowa w przepisach rozporządzenia o ochronie danych osobowych 2016/679 z dnia 27 kwietnia 2016 r. Udostępnianie danych pomiędzy Administratorami, tj. przedsiębiorcą, a Szefem KAS w ramach </w:t>
      </w:r>
      <w:proofErr w:type="spellStart"/>
      <w:r w:rsidRPr="002C00D7">
        <w:rPr>
          <w:rFonts w:ascii="Arial" w:hAnsi="Arial" w:cs="Arial"/>
        </w:rPr>
        <w:t>KSeF</w:t>
      </w:r>
      <w:proofErr w:type="spellEnd"/>
      <w:r w:rsidRPr="002C00D7">
        <w:rPr>
          <w:rFonts w:ascii="Arial" w:hAnsi="Arial" w:cs="Arial"/>
        </w:rPr>
        <w:t xml:space="preserve"> odbywa się na podstawie przepisów prawa;</w:t>
      </w:r>
    </w:p>
    <w:p w14:paraId="617F62C8" w14:textId="77777777" w:rsidR="002C00D7" w:rsidRPr="002C00D7" w:rsidRDefault="002C00D7" w:rsidP="002C00D7">
      <w:pPr>
        <w:spacing w:after="0"/>
        <w:jc w:val="both"/>
        <w:rPr>
          <w:rFonts w:ascii="Arial" w:hAnsi="Arial" w:cs="Arial"/>
        </w:rPr>
      </w:pPr>
      <w:r w:rsidRPr="002C00D7">
        <w:rPr>
          <w:rFonts w:ascii="Arial" w:hAnsi="Arial" w:cs="Arial"/>
        </w:rPr>
        <w:t>7)</w:t>
      </w:r>
      <w:r w:rsidRPr="002C00D7">
        <w:rPr>
          <w:rFonts w:ascii="Arial" w:hAnsi="Arial" w:cs="Arial"/>
        </w:rPr>
        <w:tab/>
        <w:t xml:space="preserve">załącznik do faktury - załącznik stanowi integralną część e-faktury. Treści w załączniku będą pogrupowane w bloki danych, w ramach których znajdą się tabele wraz z ich opisami. Funkcjonalność przesyłania faktur z załącznikiem będzie dostępna dla użytkowników systemu po złożeniu odpowiedniego zgłoszenia w usłudze e-Urząd Skarbowy. Zgłoszenia te podatnicy będą mogli składać już od 1 stycznia 2026 r. Przesyłanie faktury z załącznikiem do </w:t>
      </w:r>
      <w:proofErr w:type="spellStart"/>
      <w:r w:rsidRPr="002C00D7">
        <w:rPr>
          <w:rFonts w:ascii="Arial" w:hAnsi="Arial" w:cs="Arial"/>
        </w:rPr>
        <w:t>KSeF</w:t>
      </w:r>
      <w:proofErr w:type="spellEnd"/>
      <w:r w:rsidRPr="002C00D7">
        <w:rPr>
          <w:rFonts w:ascii="Arial" w:hAnsi="Arial" w:cs="Arial"/>
        </w:rPr>
        <w:t xml:space="preserve"> nie będzie obowiązkowe. </w:t>
      </w:r>
      <w:proofErr w:type="spellStart"/>
      <w:r w:rsidRPr="002C00D7">
        <w:rPr>
          <w:rFonts w:ascii="Arial" w:hAnsi="Arial" w:cs="Arial"/>
        </w:rPr>
        <w:t>Schema</w:t>
      </w:r>
      <w:proofErr w:type="spellEnd"/>
      <w:r w:rsidRPr="002C00D7">
        <w:rPr>
          <w:rFonts w:ascii="Arial" w:hAnsi="Arial" w:cs="Arial"/>
        </w:rPr>
        <w:t xml:space="preserve"> e-faktury została zaprojektowana w sposób umożliwiający zawarcie w niej wszystkich danych wymaganych przepisami prawa w sposób kompletny, zaś załącznik został dopuszczony w ramach działań dostosowawczych do potrzeb konkretnych branż. W związku z koniecznością ochrony systemu przed potencjalnymi zagrożeniami, w tym wzmożoną aktywnością </w:t>
      </w:r>
      <w:proofErr w:type="spellStart"/>
      <w:r w:rsidRPr="002C00D7">
        <w:rPr>
          <w:rFonts w:ascii="Arial" w:hAnsi="Arial" w:cs="Arial"/>
        </w:rPr>
        <w:t>cyberprzestępczą</w:t>
      </w:r>
      <w:proofErr w:type="spellEnd"/>
      <w:r w:rsidRPr="002C00D7">
        <w:rPr>
          <w:rFonts w:ascii="Arial" w:hAnsi="Arial" w:cs="Arial"/>
        </w:rPr>
        <w:t>, wprowadzono obowiązek uprzedniego powiadomienia – złożenia zgłoszenia o zamiarze przesyłania faktur z załącznikiem. Środek ten ma celu zwiększenie bezpieczeństwa oraz minimalizację ryzyka nadużyć;</w:t>
      </w:r>
    </w:p>
    <w:p w14:paraId="6EFD6FCA" w14:textId="77777777" w:rsidR="002C00D7" w:rsidRPr="002C00D7" w:rsidRDefault="002C00D7" w:rsidP="002C00D7">
      <w:pPr>
        <w:spacing w:after="0"/>
        <w:jc w:val="both"/>
        <w:rPr>
          <w:rFonts w:ascii="Arial" w:hAnsi="Arial" w:cs="Arial"/>
        </w:rPr>
      </w:pPr>
      <w:r w:rsidRPr="002C00D7">
        <w:rPr>
          <w:rFonts w:ascii="Arial" w:hAnsi="Arial" w:cs="Arial"/>
        </w:rPr>
        <w:t>8)</w:t>
      </w:r>
      <w:r w:rsidRPr="002C00D7">
        <w:rPr>
          <w:rFonts w:ascii="Arial" w:hAnsi="Arial" w:cs="Arial"/>
        </w:rPr>
        <w:tab/>
        <w:t xml:space="preserve">pobór certyfikatu wystawcy faktury przed wprowadzeniem obowiązku wystawiania faktur w </w:t>
      </w:r>
      <w:proofErr w:type="spellStart"/>
      <w:r w:rsidRPr="002C00D7">
        <w:rPr>
          <w:rFonts w:ascii="Arial" w:hAnsi="Arial" w:cs="Arial"/>
        </w:rPr>
        <w:t>KSeF</w:t>
      </w:r>
      <w:proofErr w:type="spellEnd"/>
      <w:r w:rsidRPr="002C00D7">
        <w:rPr>
          <w:rFonts w:ascii="Arial" w:hAnsi="Arial" w:cs="Arial"/>
        </w:rPr>
        <w:t xml:space="preserve"> – podatnikom zostanie zapewniona możliwość wcześniejszego pobrania certyfikatu wystawcy faktury jeszcze przez datą wejścia w życie obowiązku </w:t>
      </w:r>
      <w:proofErr w:type="spellStart"/>
      <w:r w:rsidRPr="002C00D7">
        <w:rPr>
          <w:rFonts w:ascii="Arial" w:hAnsi="Arial" w:cs="Arial"/>
        </w:rPr>
        <w:t>KSeF</w:t>
      </w:r>
      <w:proofErr w:type="spellEnd"/>
      <w:r w:rsidRPr="002C00D7">
        <w:rPr>
          <w:rFonts w:ascii="Arial" w:hAnsi="Arial" w:cs="Arial"/>
        </w:rPr>
        <w:t xml:space="preserve">, tj. od 1 listopada 2025 r. Projektowane rozwiązanie pozwoli podatnikom przygotować się – z odpowiednim wyprzedzeniem – do realizacji obowiązku wystawiania faktur w </w:t>
      </w:r>
      <w:proofErr w:type="spellStart"/>
      <w:r w:rsidRPr="002C00D7">
        <w:rPr>
          <w:rFonts w:ascii="Arial" w:hAnsi="Arial" w:cs="Arial"/>
        </w:rPr>
        <w:t>KSeF</w:t>
      </w:r>
      <w:proofErr w:type="spellEnd"/>
      <w:r w:rsidRPr="002C00D7">
        <w:rPr>
          <w:rFonts w:ascii="Arial" w:hAnsi="Arial" w:cs="Arial"/>
        </w:rPr>
        <w:t xml:space="preserve"> od 1 lutego 2026 r.;</w:t>
      </w:r>
    </w:p>
    <w:p w14:paraId="0BB6901F" w14:textId="77777777" w:rsidR="002C00D7" w:rsidRPr="002C00D7" w:rsidRDefault="002C00D7" w:rsidP="002C00D7">
      <w:pPr>
        <w:spacing w:after="0"/>
        <w:jc w:val="both"/>
        <w:rPr>
          <w:rFonts w:ascii="Arial" w:hAnsi="Arial" w:cs="Arial"/>
        </w:rPr>
      </w:pPr>
      <w:r w:rsidRPr="002C00D7">
        <w:rPr>
          <w:rFonts w:ascii="Arial" w:hAnsi="Arial" w:cs="Arial"/>
        </w:rPr>
        <w:t>9)</w:t>
      </w:r>
      <w:r w:rsidRPr="002C00D7">
        <w:rPr>
          <w:rFonts w:ascii="Arial" w:hAnsi="Arial" w:cs="Arial"/>
        </w:rPr>
        <w:tab/>
        <w:t xml:space="preserve">testowanie </w:t>
      </w:r>
      <w:proofErr w:type="spellStart"/>
      <w:r w:rsidRPr="002C00D7">
        <w:rPr>
          <w:rFonts w:ascii="Arial" w:hAnsi="Arial" w:cs="Arial"/>
        </w:rPr>
        <w:t>KSeF</w:t>
      </w:r>
      <w:proofErr w:type="spellEnd"/>
      <w:r w:rsidRPr="002C00D7">
        <w:rPr>
          <w:rFonts w:ascii="Arial" w:hAnsi="Arial" w:cs="Arial"/>
        </w:rPr>
        <w:t xml:space="preserve"> 2.0 - od 1 listopada 2025 r. planowane jest udostępnienie zakresu funkcjonalności </w:t>
      </w:r>
      <w:proofErr w:type="spellStart"/>
      <w:r w:rsidRPr="002C00D7">
        <w:rPr>
          <w:rFonts w:ascii="Arial" w:hAnsi="Arial" w:cs="Arial"/>
        </w:rPr>
        <w:t>KSeF</w:t>
      </w:r>
      <w:proofErr w:type="spellEnd"/>
      <w:r w:rsidRPr="002C00D7">
        <w:rPr>
          <w:rFonts w:ascii="Arial" w:hAnsi="Arial" w:cs="Arial"/>
        </w:rPr>
        <w:t xml:space="preserve"> obligatoryjnego na środowisku testowym w celu zapewnienia możliwości przeprowadzenia przez podatników testów wykorzystania funkcjonalności systemu, które umożliwią im zapoznanie się ze zbudowanym rozwiązaniem, zgłoszenie potencjalnych problemów oraz usunięcie zidentyfikowanych błędów przed wejściem obowiązku korzystania z </w:t>
      </w:r>
      <w:proofErr w:type="spellStart"/>
      <w:r w:rsidRPr="002C00D7">
        <w:rPr>
          <w:rFonts w:ascii="Arial" w:hAnsi="Arial" w:cs="Arial"/>
        </w:rPr>
        <w:t>KSeF</w:t>
      </w:r>
      <w:proofErr w:type="spellEnd"/>
      <w:r w:rsidRPr="002C00D7">
        <w:rPr>
          <w:rFonts w:ascii="Arial" w:hAnsi="Arial" w:cs="Arial"/>
        </w:rPr>
        <w:t xml:space="preserve"> od 1 lutego 2026 r.;</w:t>
      </w:r>
    </w:p>
    <w:p w14:paraId="75C3B2ED" w14:textId="77777777" w:rsidR="002C00D7" w:rsidRPr="002C00D7" w:rsidRDefault="002C00D7" w:rsidP="002C00D7">
      <w:pPr>
        <w:spacing w:after="0"/>
        <w:jc w:val="both"/>
        <w:rPr>
          <w:rFonts w:ascii="Arial" w:hAnsi="Arial" w:cs="Arial"/>
        </w:rPr>
      </w:pPr>
      <w:r w:rsidRPr="002C00D7">
        <w:rPr>
          <w:rFonts w:ascii="Arial" w:hAnsi="Arial" w:cs="Arial"/>
        </w:rPr>
        <w:t>10)</w:t>
      </w:r>
      <w:r w:rsidRPr="002C00D7">
        <w:rPr>
          <w:rFonts w:ascii="Arial" w:hAnsi="Arial" w:cs="Arial"/>
        </w:rPr>
        <w:tab/>
        <w:t xml:space="preserve">wymóg podania na fakturze NIP jednostki podległej JST – w tym celu zostanie zaproponowana zmiana </w:t>
      </w:r>
      <w:proofErr w:type="spellStart"/>
      <w:r w:rsidRPr="002C00D7">
        <w:rPr>
          <w:rFonts w:ascii="Arial" w:hAnsi="Arial" w:cs="Arial"/>
        </w:rPr>
        <w:t>schemy</w:t>
      </w:r>
      <w:proofErr w:type="spellEnd"/>
      <w:r w:rsidRPr="002C00D7">
        <w:rPr>
          <w:rFonts w:ascii="Arial" w:hAnsi="Arial" w:cs="Arial"/>
        </w:rPr>
        <w:t xml:space="preserve"> e-faktury poprzez wprowadzenie obowiązku wypełniania elementu Podmiot3. Rozwiązanie to stanowi odpowiedź na postulat zgłaszany przez JST pod kątem zapewnienia dostępu do faktur jednostkom im podległym (obowiązek wskazywania NIP jednostek podległych).</w:t>
      </w:r>
    </w:p>
    <w:p w14:paraId="6B72D38C" w14:textId="77777777" w:rsidR="002C00D7" w:rsidRPr="002C00D7" w:rsidRDefault="002C00D7" w:rsidP="002C00D7">
      <w:pPr>
        <w:spacing w:after="0"/>
        <w:jc w:val="both"/>
        <w:rPr>
          <w:rFonts w:ascii="Arial" w:hAnsi="Arial" w:cs="Arial"/>
        </w:rPr>
      </w:pPr>
      <w:r w:rsidRPr="002C00D7">
        <w:rPr>
          <w:rFonts w:ascii="Arial" w:hAnsi="Arial" w:cs="Arial"/>
        </w:rPr>
        <w:t>Podwyższenie limitu zwolnienia podmiotowego w VAT</w:t>
      </w:r>
    </w:p>
    <w:p w14:paraId="2C156D6C" w14:textId="364CCF14" w:rsidR="002C00D7" w:rsidRPr="002C00D7" w:rsidRDefault="002C00D7" w:rsidP="002C00D7">
      <w:pPr>
        <w:spacing w:after="0"/>
        <w:jc w:val="both"/>
        <w:rPr>
          <w:rFonts w:ascii="Arial" w:hAnsi="Arial" w:cs="Arial"/>
        </w:rPr>
      </w:pPr>
      <w:r w:rsidRPr="002C00D7">
        <w:rPr>
          <w:rFonts w:ascii="Arial" w:hAnsi="Arial" w:cs="Arial"/>
        </w:rPr>
        <w:lastRenderedPageBreak/>
        <w:t>Projekt przewiduje również podwyższenie limitu zwolnienia podmiotowego z obecnych 200 000 zł do 240 000 zł od 1 stycznia 2026 r.</w:t>
      </w:r>
    </w:p>
    <w:p w14:paraId="029CE2D7" w14:textId="28435428" w:rsidR="002C00D7" w:rsidRPr="002C00D7" w:rsidRDefault="002C00D7" w:rsidP="002C00D7">
      <w:pPr>
        <w:spacing w:after="0"/>
        <w:jc w:val="both"/>
        <w:rPr>
          <w:rFonts w:ascii="Arial" w:hAnsi="Arial" w:cs="Arial"/>
        </w:rPr>
      </w:pPr>
      <w:r w:rsidRPr="002C00D7">
        <w:rPr>
          <w:rFonts w:ascii="Arial" w:hAnsi="Arial" w:cs="Arial"/>
        </w:rPr>
        <w:t xml:space="preserve">Dyrektywa Rady 2006/112/WE z dnia 28 listopada 2006 r. w sprawie wspólnego systemu podatku od wartości dodanej (Dz. Urz. UE L 347 z 11.12.2006, str. 1, z </w:t>
      </w:r>
      <w:proofErr w:type="spellStart"/>
      <w:r w:rsidRPr="002C00D7">
        <w:rPr>
          <w:rFonts w:ascii="Arial" w:hAnsi="Arial" w:cs="Arial"/>
        </w:rPr>
        <w:t>późn</w:t>
      </w:r>
      <w:proofErr w:type="spellEnd"/>
      <w:r w:rsidRPr="002C00D7">
        <w:rPr>
          <w:rFonts w:ascii="Arial" w:hAnsi="Arial" w:cs="Arial"/>
        </w:rPr>
        <w:t>. zm.), zwana dalej „dyrektywą VAT” daje możliwość podwyższenia limitu zwolnienia podmiotowego do progu maksymalnego nieprzekraczającego 85 000 EUR. W uwzględnieniu licznych postulatów organizacji przedsiębiorców o urealnienie limitu zwolnienia, przewiduje się podwyższenie limitu zwolnienia w ramach progu określonego w Dyrektywie VAT. Podwyższony limit zwolnienia podmiotowego w VAT będzie dotyczył wszystkich podatników korzystających ze zwolnienia w Polsce (zarówno tych posiadających siedzibę działalności gospodarczej na terytorium kraju jak również tych posiadających siedzibę w innych państwach członkowskich UE, którzy skorzystają ze zwolnienia VAT w Polsce).</w:t>
      </w:r>
    </w:p>
    <w:p w14:paraId="2415EE87" w14:textId="3BC5A478" w:rsidR="002C00D7" w:rsidRPr="002C00D7" w:rsidRDefault="002C00D7" w:rsidP="002C00D7">
      <w:pPr>
        <w:spacing w:after="0"/>
        <w:jc w:val="both"/>
        <w:rPr>
          <w:rFonts w:ascii="Arial" w:hAnsi="Arial" w:cs="Arial"/>
        </w:rPr>
      </w:pPr>
      <w:r w:rsidRPr="002C00D7">
        <w:rPr>
          <w:rFonts w:ascii="Arial" w:hAnsi="Arial" w:cs="Arial"/>
        </w:rPr>
        <w:t>Procedura stanowi znaczne uproszczenie zasad związanych z podatkiem VAT, zmniejszając obowiązki administracyjne dla małych podatników nieposiadających siedziby działalności na terytorium państwa, w którym prowadzona jest działalność gospodarcza.</w:t>
      </w:r>
    </w:p>
    <w:p w14:paraId="54147567" w14:textId="757244C8" w:rsidR="008E3D37" w:rsidRDefault="002C00D7" w:rsidP="002C00D7">
      <w:pPr>
        <w:spacing w:after="0"/>
        <w:jc w:val="both"/>
        <w:rPr>
          <w:rFonts w:ascii="Arial" w:hAnsi="Arial" w:cs="Arial"/>
        </w:rPr>
      </w:pPr>
      <w:r w:rsidRPr="002C00D7">
        <w:rPr>
          <w:rFonts w:ascii="Arial" w:hAnsi="Arial" w:cs="Arial"/>
        </w:rPr>
        <w:t>Zmiany w procedurze marża (art. 120 ustawy o VAT) mają charakter porządkujący</w:t>
      </w:r>
      <w:r>
        <w:rPr>
          <w:rFonts w:ascii="Arial" w:hAnsi="Arial" w:cs="Arial"/>
        </w:rPr>
        <w:t>.</w:t>
      </w:r>
    </w:p>
    <w:p w14:paraId="760DED74" w14:textId="77777777" w:rsidR="008E3D37" w:rsidRDefault="008E3D37" w:rsidP="006B2761">
      <w:pPr>
        <w:spacing w:after="0"/>
        <w:jc w:val="both"/>
        <w:rPr>
          <w:rFonts w:ascii="Arial" w:hAnsi="Arial" w:cs="Arial"/>
        </w:rPr>
      </w:pPr>
    </w:p>
    <w:p w14:paraId="298E2D76" w14:textId="77777777" w:rsidR="002C00D7" w:rsidRPr="002C00D7" w:rsidRDefault="002C00D7" w:rsidP="002C00D7">
      <w:pPr>
        <w:spacing w:after="0"/>
        <w:jc w:val="both"/>
        <w:rPr>
          <w:rFonts w:ascii="Arial" w:hAnsi="Arial" w:cs="Arial"/>
        </w:rPr>
      </w:pPr>
      <w:r w:rsidRPr="002C00D7">
        <w:rPr>
          <w:rFonts w:ascii="Arial" w:hAnsi="Arial" w:cs="Arial"/>
        </w:rPr>
        <w:t>Projekt wraz z załącznikami dostępny jest pod linkiem:</w:t>
      </w:r>
    </w:p>
    <w:p w14:paraId="5F0C0A2B" w14:textId="145C3AFD" w:rsidR="002C00D7" w:rsidRDefault="002C00D7" w:rsidP="002C00D7">
      <w:pPr>
        <w:spacing w:after="0"/>
        <w:jc w:val="both"/>
        <w:rPr>
          <w:rFonts w:ascii="Arial" w:hAnsi="Arial" w:cs="Arial"/>
        </w:rPr>
      </w:pPr>
      <w:hyperlink r:id="rId7" w:history="1">
        <w:r w:rsidRPr="00964FDA">
          <w:rPr>
            <w:rStyle w:val="Hipercze"/>
            <w:rFonts w:ascii="Arial" w:hAnsi="Arial" w:cs="Arial"/>
          </w:rPr>
          <w:t>https://legislacja.rcl.gov.pl/projekt/12391205/kat</w:t>
        </w:r>
        <w:r w:rsidRPr="00964FDA">
          <w:rPr>
            <w:rStyle w:val="Hipercze"/>
            <w:rFonts w:ascii="Arial" w:hAnsi="Arial" w:cs="Arial"/>
          </w:rPr>
          <w:t>a</w:t>
        </w:r>
        <w:r w:rsidRPr="00964FDA">
          <w:rPr>
            <w:rStyle w:val="Hipercze"/>
            <w:rFonts w:ascii="Arial" w:hAnsi="Arial" w:cs="Arial"/>
          </w:rPr>
          <w:t>log/13092618#13092618</w:t>
        </w:r>
      </w:hyperlink>
      <w:r>
        <w:rPr>
          <w:rFonts w:ascii="Arial" w:hAnsi="Arial" w:cs="Arial"/>
        </w:rPr>
        <w:t xml:space="preserve"> </w:t>
      </w:r>
      <w:r w:rsidRPr="002C00D7">
        <w:rPr>
          <w:rFonts w:ascii="Arial" w:hAnsi="Arial" w:cs="Arial"/>
        </w:rPr>
        <w:t xml:space="preserve">  </w:t>
      </w:r>
    </w:p>
    <w:p w14:paraId="4D347EB2" w14:textId="77777777" w:rsidR="002C00D7" w:rsidRDefault="002C00D7" w:rsidP="006B2761">
      <w:pPr>
        <w:spacing w:after="0"/>
        <w:jc w:val="both"/>
        <w:rPr>
          <w:rFonts w:ascii="Arial" w:hAnsi="Arial" w:cs="Arial"/>
        </w:rPr>
      </w:pPr>
    </w:p>
    <w:p w14:paraId="227E45C9" w14:textId="19E44ED3" w:rsidR="002C00D7" w:rsidRDefault="002C00D7" w:rsidP="006B2761">
      <w:pPr>
        <w:spacing w:after="0"/>
        <w:jc w:val="both"/>
        <w:rPr>
          <w:rFonts w:ascii="Arial" w:hAnsi="Arial" w:cs="Arial"/>
        </w:rPr>
      </w:pPr>
      <w:r w:rsidRPr="002C00D7">
        <w:rPr>
          <w:rFonts w:ascii="Arial" w:hAnsi="Arial" w:cs="Arial"/>
        </w:rPr>
        <w:t>Projekt jest obecnie jednocześnie na etapie uzgodnień, konsultacji publicznych i opiniowania.</w:t>
      </w:r>
    </w:p>
    <w:p w14:paraId="22112138" w14:textId="77777777" w:rsidR="002C00D7" w:rsidRDefault="002C00D7" w:rsidP="006B2761">
      <w:pPr>
        <w:spacing w:after="0"/>
        <w:jc w:val="both"/>
        <w:rPr>
          <w:rFonts w:ascii="Arial" w:hAnsi="Arial" w:cs="Arial"/>
        </w:rPr>
      </w:pPr>
    </w:p>
    <w:p w14:paraId="67D98E58" w14:textId="77777777" w:rsidR="006B2761" w:rsidRDefault="006B2761" w:rsidP="006B2761">
      <w:pPr>
        <w:spacing w:after="0"/>
        <w:jc w:val="both"/>
        <w:rPr>
          <w:rFonts w:ascii="Arial" w:hAnsi="Arial" w:cs="Arial"/>
        </w:rPr>
      </w:pPr>
      <w:r>
        <w:rPr>
          <w:rFonts w:ascii="Arial" w:hAnsi="Arial" w:cs="Arial"/>
        </w:rPr>
        <w:t>Projekty rozporządzeń:</w:t>
      </w:r>
    </w:p>
    <w:p w14:paraId="0410BD34" w14:textId="77777777" w:rsidR="002C00D7" w:rsidRDefault="002C00D7" w:rsidP="006B2761">
      <w:pPr>
        <w:spacing w:after="0"/>
        <w:jc w:val="both"/>
        <w:rPr>
          <w:rFonts w:ascii="Arial" w:hAnsi="Arial" w:cs="Arial"/>
        </w:rPr>
      </w:pPr>
    </w:p>
    <w:p w14:paraId="0913F3AC" w14:textId="0D78D914" w:rsidR="002C00D7" w:rsidRPr="002C00D7" w:rsidRDefault="002C00D7" w:rsidP="006B2761">
      <w:pPr>
        <w:pStyle w:val="Akapitzlist"/>
        <w:numPr>
          <w:ilvl w:val="0"/>
          <w:numId w:val="4"/>
        </w:numPr>
        <w:spacing w:after="0"/>
        <w:jc w:val="both"/>
        <w:rPr>
          <w:rFonts w:ascii="Arial" w:hAnsi="Arial" w:cs="Arial"/>
          <w:b/>
          <w:bCs/>
          <w:u w:val="single"/>
        </w:rPr>
      </w:pPr>
      <w:r w:rsidRPr="002C00D7">
        <w:rPr>
          <w:rFonts w:ascii="Arial" w:hAnsi="Arial" w:cs="Arial"/>
          <w:b/>
          <w:bCs/>
          <w:u w:val="single"/>
        </w:rPr>
        <w:t>P</w:t>
      </w:r>
      <w:r w:rsidRPr="002C00D7">
        <w:rPr>
          <w:rFonts w:ascii="Arial" w:hAnsi="Arial" w:cs="Arial"/>
          <w:b/>
          <w:bCs/>
          <w:u w:val="single"/>
        </w:rPr>
        <w:t>rojekt rozporządzenia Ministra Rodziny Pracy i Polityki Społecznej zmieniającego rozporządzenie w sprawie określenia wzorów zgłoszeń do ubezpieczeń społecznych i ubezpieczenia zdrowotnego, imiennych raportów miesięcznych i imiennych raportów miesięcznych korygujących, zgłoszeń płatnika składek, deklaracji rozliczeniowych i deklaracji rozliczeniowych korygujących, zgłoszeń danych o pracy w szczególnych warunkach lub o szczególnym charakterze, raportów informacyjnych, oświadczeń o zamiarze przekazania raportów informacyjnych, informacji o zawartych umowach o dzieło oraz innych dokumentów (numer z wykazu 52).</w:t>
      </w:r>
    </w:p>
    <w:p w14:paraId="18C20CCB" w14:textId="77777777" w:rsidR="002C00D7" w:rsidRDefault="002C00D7" w:rsidP="002C00D7">
      <w:pPr>
        <w:spacing w:after="0"/>
        <w:jc w:val="both"/>
        <w:rPr>
          <w:rFonts w:ascii="Arial" w:hAnsi="Arial" w:cs="Arial"/>
        </w:rPr>
      </w:pPr>
    </w:p>
    <w:p w14:paraId="75C4B757" w14:textId="77777777" w:rsidR="00E74A03" w:rsidRPr="00E74A03" w:rsidRDefault="00E74A03" w:rsidP="00E74A03">
      <w:pPr>
        <w:spacing w:after="0"/>
        <w:jc w:val="both"/>
        <w:rPr>
          <w:rFonts w:ascii="Arial" w:hAnsi="Arial" w:cs="Arial"/>
        </w:rPr>
      </w:pPr>
      <w:r w:rsidRPr="00E74A03">
        <w:rPr>
          <w:rFonts w:ascii="Arial" w:hAnsi="Arial" w:cs="Arial"/>
        </w:rPr>
        <w:t xml:space="preserve">Potrzeba nowelizacji rozporządzenia Ministra Rodziny i Polityki Społecznej z dnia 20 grudnia 2020 r. w sprawie określenia wzorów zgłoszeń do ubezpieczeń społecznych i ubezpieczenia zdrowotnego, imiennych raportów miesięcznych i imiennych raportów miesięcznych korygujących, zgłoszeń płatnika składek, deklaracji rozliczeniowych  i deklaracji rozliczeniowych korygujących, zgłoszeń danych o pracy w szczególnych warunkach lub o szczególnym charakterze, raportów informacyjnych, oświadczeń o zamiarze przekazania raportów informacyjnych, informacji o zawartych umowach o dzieło oraz innych dokumentów (Dz. U. z 2023 r. poz. 2023 i 2529, z 2024 r. poz. 1296 oraz z 2025 r. poz. 241)  wynika ze zmian wprowadzanych ustawą z dnia 20 marca 2025 r. o rynku pracy i służbach zatrudnienia (Dz. U. </w:t>
      </w:r>
      <w:proofErr w:type="spellStart"/>
      <w:r w:rsidRPr="00E74A03">
        <w:rPr>
          <w:rFonts w:ascii="Arial" w:hAnsi="Arial" w:cs="Arial"/>
        </w:rPr>
        <w:t>poz</w:t>
      </w:r>
      <w:proofErr w:type="spellEnd"/>
      <w:r w:rsidRPr="00E74A03">
        <w:rPr>
          <w:rFonts w:ascii="Arial" w:hAnsi="Arial" w:cs="Arial"/>
        </w:rPr>
        <w:t>…).</w:t>
      </w:r>
    </w:p>
    <w:p w14:paraId="16BA71DB" w14:textId="77777777" w:rsidR="00E74A03" w:rsidRPr="00E74A03" w:rsidRDefault="00E74A03" w:rsidP="00E74A03">
      <w:pPr>
        <w:spacing w:after="0"/>
        <w:jc w:val="both"/>
        <w:rPr>
          <w:rFonts w:ascii="Arial" w:hAnsi="Arial" w:cs="Arial"/>
        </w:rPr>
      </w:pPr>
      <w:r w:rsidRPr="00E74A03">
        <w:rPr>
          <w:rFonts w:ascii="Arial" w:hAnsi="Arial" w:cs="Arial"/>
        </w:rPr>
        <w:t xml:space="preserve">Wejście w życie przepisów ustawy z dnia 20 marca 2025 r. o rynku pracy i służbach zatrudnienia jest realizacją części kamienia milowego nr A51G dla reformy pn. A4.1 Efektywne instytucje na rzecz rynku pracy zapisanej w KPO. Przedmiotem ww. reformy jest kompleksowa modernizacja instytucji polskiego rynku pracy, poprzez udoskonalenie funkcjonowania </w:t>
      </w:r>
      <w:r w:rsidRPr="00E74A03">
        <w:rPr>
          <w:rFonts w:ascii="Arial" w:hAnsi="Arial" w:cs="Arial"/>
        </w:rPr>
        <w:lastRenderedPageBreak/>
        <w:t>publicznych służb zatrudnienia oraz form aktywizacji zawodowej i podnoszenia umiejętności kadr gospodarki.</w:t>
      </w:r>
    </w:p>
    <w:p w14:paraId="09AE8BBE" w14:textId="77777777" w:rsidR="00E74A03" w:rsidRPr="00E74A03" w:rsidRDefault="00E74A03" w:rsidP="00E74A03">
      <w:pPr>
        <w:spacing w:after="0"/>
        <w:jc w:val="both"/>
        <w:rPr>
          <w:rFonts w:ascii="Arial" w:hAnsi="Arial" w:cs="Arial"/>
        </w:rPr>
      </w:pPr>
      <w:r w:rsidRPr="00E74A03">
        <w:rPr>
          <w:rFonts w:ascii="Arial" w:hAnsi="Arial" w:cs="Arial"/>
        </w:rPr>
        <w:t>Główne zmiany wprowadzane ustawą z dnia 20 marca 2025 r. o rynku pracy i służbach zatrudnienia w ustawie z dnia 13 października 1998 r. o systemie ubezpieczeń społecznych:</w:t>
      </w:r>
    </w:p>
    <w:p w14:paraId="0833BFCF" w14:textId="77777777" w:rsidR="00E74A03" w:rsidRPr="00E74A03" w:rsidRDefault="00E74A03" w:rsidP="00E74A03">
      <w:pPr>
        <w:spacing w:after="0"/>
        <w:jc w:val="both"/>
        <w:rPr>
          <w:rFonts w:ascii="Arial" w:hAnsi="Arial" w:cs="Arial"/>
        </w:rPr>
      </w:pPr>
      <w:r w:rsidRPr="00E74A03">
        <w:rPr>
          <w:rFonts w:ascii="Arial" w:hAnsi="Arial" w:cs="Arial"/>
        </w:rPr>
        <w:t>1.</w:t>
      </w:r>
      <w:r w:rsidRPr="00E74A03">
        <w:rPr>
          <w:rFonts w:ascii="Arial" w:hAnsi="Arial" w:cs="Arial"/>
        </w:rPr>
        <w:tab/>
        <w:t>zmiana w art. 6 ust. 9 – usunięto tytuł ubezpieczenia – osoby pobierające stypendium w okresie przygotowania zawodowego dorosłych – na to miejsce wprowadzono stypendium związane ze zleconymi przez starostę działaniami w zakresie reintegracji społecznej;</w:t>
      </w:r>
    </w:p>
    <w:p w14:paraId="44521C20" w14:textId="77777777" w:rsidR="00E74A03" w:rsidRPr="00E74A03" w:rsidRDefault="00E74A03" w:rsidP="00E74A03">
      <w:pPr>
        <w:spacing w:after="0"/>
        <w:jc w:val="both"/>
        <w:rPr>
          <w:rFonts w:ascii="Arial" w:hAnsi="Arial" w:cs="Arial"/>
        </w:rPr>
      </w:pPr>
      <w:r w:rsidRPr="00E74A03">
        <w:rPr>
          <w:rFonts w:ascii="Arial" w:hAnsi="Arial" w:cs="Arial"/>
        </w:rPr>
        <w:t>2.</w:t>
      </w:r>
      <w:r w:rsidRPr="00E74A03">
        <w:rPr>
          <w:rFonts w:ascii="Arial" w:hAnsi="Arial" w:cs="Arial"/>
        </w:rPr>
        <w:tab/>
        <w:t xml:space="preserve">usunięto art. 6 ust. 9b usunięto tytuł ubezpieczenia -– osoby pobierające stypendium na podstawie przepisów o promocji zatrudnienia i instytucjach rynku pracy w okresie odbywania studiów podyplomowych; </w:t>
      </w:r>
    </w:p>
    <w:p w14:paraId="1D0DCCBF" w14:textId="77777777" w:rsidR="00E74A03" w:rsidRPr="00E74A03" w:rsidRDefault="00E74A03" w:rsidP="00E74A03">
      <w:pPr>
        <w:spacing w:after="0"/>
        <w:jc w:val="both"/>
        <w:rPr>
          <w:rFonts w:ascii="Arial" w:hAnsi="Arial" w:cs="Arial"/>
        </w:rPr>
      </w:pPr>
      <w:r w:rsidRPr="00E74A03">
        <w:rPr>
          <w:rFonts w:ascii="Arial" w:hAnsi="Arial" w:cs="Arial"/>
        </w:rPr>
        <w:t>3.</w:t>
      </w:r>
      <w:r w:rsidRPr="00E74A03">
        <w:rPr>
          <w:rFonts w:ascii="Arial" w:hAnsi="Arial" w:cs="Arial"/>
        </w:rPr>
        <w:tab/>
        <w:t>dodano art. 6 ust. 9c – dodano nowy tytuł - osoby niepełnosprawne zarejestrowane w powiatowym urzędzie pracy jako poszukujące pracy niepozostające w zatrudnieniu pobierającymi stypendium na podstawie ustawy z dnia 20 marca 2025 r. o rynku pracy i służbach zatrudnienia (Dz. U. ….) w okresie odbywania szkolenia lub stażu, na które zostały skierowane przez powiatowy urząd pracy.</w:t>
      </w:r>
    </w:p>
    <w:p w14:paraId="35747C0D" w14:textId="77777777" w:rsidR="00E74A03" w:rsidRPr="00E74A03" w:rsidRDefault="00E74A03" w:rsidP="00E74A03">
      <w:pPr>
        <w:spacing w:after="0"/>
        <w:jc w:val="both"/>
        <w:rPr>
          <w:rFonts w:ascii="Arial" w:hAnsi="Arial" w:cs="Arial"/>
        </w:rPr>
      </w:pPr>
      <w:r w:rsidRPr="00E74A03">
        <w:rPr>
          <w:rFonts w:ascii="Arial" w:hAnsi="Arial" w:cs="Arial"/>
        </w:rPr>
        <w:t xml:space="preserve">Wprowadzana jest zmiana w załączniku nr 25 do nowelizowanego rozporządzenia. </w:t>
      </w:r>
    </w:p>
    <w:p w14:paraId="50C7CF32" w14:textId="77777777" w:rsidR="00E74A03" w:rsidRPr="00E74A03" w:rsidRDefault="00E74A03" w:rsidP="00E74A03">
      <w:pPr>
        <w:spacing w:after="0"/>
        <w:jc w:val="both"/>
        <w:rPr>
          <w:rFonts w:ascii="Arial" w:hAnsi="Arial" w:cs="Arial"/>
        </w:rPr>
      </w:pPr>
      <w:r w:rsidRPr="00E74A03">
        <w:rPr>
          <w:rFonts w:ascii="Arial" w:hAnsi="Arial" w:cs="Arial"/>
        </w:rPr>
        <w:t xml:space="preserve">W załączniku nr 25 w części I „Kod tytułu ubezpieczenia” w dziale 1 „Podmiot podstawowy wraz z rozszerzeniem”: </w:t>
      </w:r>
    </w:p>
    <w:p w14:paraId="1C648E27" w14:textId="77777777" w:rsidR="00E74A03" w:rsidRPr="00E74A03" w:rsidRDefault="00E74A03" w:rsidP="00E74A03">
      <w:pPr>
        <w:spacing w:after="0"/>
        <w:jc w:val="both"/>
        <w:rPr>
          <w:rFonts w:ascii="Arial" w:hAnsi="Arial" w:cs="Arial"/>
        </w:rPr>
      </w:pPr>
      <w:r w:rsidRPr="00E74A03">
        <w:rPr>
          <w:rFonts w:ascii="Arial" w:hAnsi="Arial" w:cs="Arial"/>
        </w:rPr>
        <w:t>1.</w:t>
      </w:r>
      <w:r w:rsidRPr="00E74A03">
        <w:rPr>
          <w:rFonts w:ascii="Arial" w:hAnsi="Arial" w:cs="Arial"/>
        </w:rPr>
        <w:tab/>
        <w:t>dokonano zmiany w opisie kodu „09 20 – osoba pobierająca stypendium w okresie odbywania szkolenia, stażu lub uczestnictwa w zleconych przez starostę działaniach w zakresie reintegracji społecznej, na które została skierowana przez powiatowy urząd pracy lub inny niż powiatowy urząd pracy podmiot kierujący”;</w:t>
      </w:r>
    </w:p>
    <w:p w14:paraId="58AE319A" w14:textId="77777777" w:rsidR="00E74A03" w:rsidRPr="00E74A03" w:rsidRDefault="00E74A03" w:rsidP="00E74A03">
      <w:pPr>
        <w:spacing w:after="0"/>
        <w:jc w:val="both"/>
        <w:rPr>
          <w:rFonts w:ascii="Arial" w:hAnsi="Arial" w:cs="Arial"/>
        </w:rPr>
      </w:pPr>
      <w:r w:rsidRPr="00E74A03">
        <w:rPr>
          <w:rFonts w:ascii="Arial" w:hAnsi="Arial" w:cs="Arial"/>
        </w:rPr>
        <w:t>2.</w:t>
      </w:r>
      <w:r w:rsidRPr="00E74A03">
        <w:rPr>
          <w:rFonts w:ascii="Arial" w:hAnsi="Arial" w:cs="Arial"/>
        </w:rPr>
        <w:tab/>
        <w:t>dodano nowy kod ubezpieczenia „09 21 – osoba niepełnosprawna zarejestrowana w powiatowym urzędzie pracy jako poszukująca pracy niepozostająca w zatrudnieniu pobierająca stypendium na podstawie ustawy z dnia 20 marca 2025r. o rynku pracy i służbach zatrudnienia w okresie odbywania szkolenia lub stażu, na które została skierowana przez powiatowy urząd pracy”.</w:t>
      </w:r>
    </w:p>
    <w:p w14:paraId="67E63E2F" w14:textId="2DB1CD11" w:rsidR="002C00D7" w:rsidRDefault="00E74A03" w:rsidP="00E74A03">
      <w:pPr>
        <w:spacing w:after="0"/>
        <w:jc w:val="both"/>
        <w:rPr>
          <w:rFonts w:ascii="Arial" w:hAnsi="Arial" w:cs="Arial"/>
        </w:rPr>
      </w:pPr>
      <w:r w:rsidRPr="00E74A03">
        <w:rPr>
          <w:rFonts w:ascii="Arial" w:hAnsi="Arial" w:cs="Arial"/>
        </w:rPr>
        <w:t xml:space="preserve">Nie ma możliwości </w:t>
      </w:r>
      <w:proofErr w:type="spellStart"/>
      <w:r w:rsidRPr="00E74A03">
        <w:rPr>
          <w:rFonts w:ascii="Arial" w:hAnsi="Arial" w:cs="Arial"/>
        </w:rPr>
        <w:t>pozalegislacyjnego</w:t>
      </w:r>
      <w:proofErr w:type="spellEnd"/>
      <w:r w:rsidRPr="00E74A03">
        <w:rPr>
          <w:rFonts w:ascii="Arial" w:hAnsi="Arial" w:cs="Arial"/>
        </w:rPr>
        <w:t xml:space="preserve"> rozwiązania problemu.</w:t>
      </w:r>
    </w:p>
    <w:p w14:paraId="515A8703" w14:textId="77777777" w:rsidR="00E74A03" w:rsidRDefault="00E74A03" w:rsidP="00E74A03">
      <w:pPr>
        <w:spacing w:after="0"/>
        <w:jc w:val="both"/>
        <w:rPr>
          <w:rFonts w:ascii="Arial" w:hAnsi="Arial" w:cs="Arial"/>
        </w:rPr>
      </w:pPr>
    </w:p>
    <w:p w14:paraId="5B5B25C7" w14:textId="77777777" w:rsidR="00E74A03" w:rsidRPr="00E74A03" w:rsidRDefault="00E74A03" w:rsidP="00E74A03">
      <w:pPr>
        <w:spacing w:after="0"/>
        <w:jc w:val="both"/>
        <w:rPr>
          <w:rFonts w:ascii="Arial" w:hAnsi="Arial" w:cs="Arial"/>
        </w:rPr>
      </w:pPr>
      <w:r w:rsidRPr="00E74A03">
        <w:rPr>
          <w:rFonts w:ascii="Arial" w:hAnsi="Arial" w:cs="Arial"/>
        </w:rPr>
        <w:t>Przedmiotowy projekt aktu prawnego wraz z Uzasadnieniem oraz Oceną Skutków Regulacji dostępny jest na stronach Rządowego Centrum Legislacji pod adresem:</w:t>
      </w:r>
    </w:p>
    <w:p w14:paraId="5781F1D4" w14:textId="23EBA2BB" w:rsidR="00E74A03" w:rsidRDefault="00E74A03" w:rsidP="00E74A03">
      <w:pPr>
        <w:spacing w:after="0"/>
        <w:jc w:val="both"/>
        <w:rPr>
          <w:rFonts w:ascii="Arial" w:hAnsi="Arial" w:cs="Arial"/>
        </w:rPr>
      </w:pPr>
      <w:hyperlink r:id="rId8" w:history="1">
        <w:r w:rsidRPr="00964FDA">
          <w:rPr>
            <w:rStyle w:val="Hipercze"/>
            <w:rFonts w:ascii="Arial" w:hAnsi="Arial" w:cs="Arial"/>
          </w:rPr>
          <w:t>https://legislacja.rcl.gov.pl/projek</w:t>
        </w:r>
        <w:r w:rsidRPr="00964FDA">
          <w:rPr>
            <w:rStyle w:val="Hipercze"/>
            <w:rFonts w:ascii="Arial" w:hAnsi="Arial" w:cs="Arial"/>
          </w:rPr>
          <w:t>t</w:t>
        </w:r>
        <w:r w:rsidRPr="00964FDA">
          <w:rPr>
            <w:rStyle w:val="Hipercze"/>
            <w:rFonts w:ascii="Arial" w:hAnsi="Arial" w:cs="Arial"/>
          </w:rPr>
          <w:t>/12396601/katalog/13121057#13121057</w:t>
        </w:r>
      </w:hyperlink>
      <w:r>
        <w:rPr>
          <w:rFonts w:ascii="Arial" w:hAnsi="Arial" w:cs="Arial"/>
        </w:rPr>
        <w:t xml:space="preserve"> </w:t>
      </w:r>
    </w:p>
    <w:p w14:paraId="76007324" w14:textId="77777777" w:rsidR="00E74A03" w:rsidRDefault="00E74A03" w:rsidP="00E74A03">
      <w:pPr>
        <w:spacing w:after="0"/>
        <w:jc w:val="both"/>
        <w:rPr>
          <w:rFonts w:ascii="Arial" w:hAnsi="Arial" w:cs="Arial"/>
        </w:rPr>
      </w:pPr>
    </w:p>
    <w:p w14:paraId="7345007D" w14:textId="686C01C2" w:rsidR="00E74A03" w:rsidRDefault="00E74A03" w:rsidP="00E74A03">
      <w:pPr>
        <w:spacing w:after="0"/>
        <w:jc w:val="both"/>
        <w:rPr>
          <w:rFonts w:ascii="Arial" w:hAnsi="Arial" w:cs="Arial"/>
        </w:rPr>
      </w:pPr>
      <w:r w:rsidRPr="00E74A03">
        <w:rPr>
          <w:rFonts w:ascii="Arial" w:hAnsi="Arial" w:cs="Arial"/>
        </w:rPr>
        <w:t>Projekt jest obecnie jednocześnie na etapie uzgodnień, konsultacji publicznych i opiniowania.</w:t>
      </w:r>
    </w:p>
    <w:p w14:paraId="387AB169" w14:textId="77777777" w:rsidR="002C00D7" w:rsidRPr="002C00D7" w:rsidRDefault="002C00D7" w:rsidP="002C00D7">
      <w:pPr>
        <w:spacing w:after="0"/>
        <w:jc w:val="both"/>
        <w:rPr>
          <w:rFonts w:ascii="Arial" w:hAnsi="Arial" w:cs="Arial"/>
        </w:rPr>
      </w:pPr>
    </w:p>
    <w:p w14:paraId="57C4DCEF" w14:textId="51329CD7" w:rsidR="002C00D7" w:rsidRPr="00E74A03" w:rsidRDefault="00E74A03" w:rsidP="006B2761">
      <w:pPr>
        <w:pStyle w:val="Akapitzlist"/>
        <w:numPr>
          <w:ilvl w:val="0"/>
          <w:numId w:val="4"/>
        </w:numPr>
        <w:spacing w:after="0"/>
        <w:jc w:val="both"/>
        <w:rPr>
          <w:rFonts w:ascii="Arial" w:hAnsi="Arial" w:cs="Arial"/>
          <w:b/>
          <w:bCs/>
          <w:u w:val="single"/>
        </w:rPr>
      </w:pPr>
      <w:r w:rsidRPr="00E74A03">
        <w:rPr>
          <w:rFonts w:ascii="Arial" w:hAnsi="Arial" w:cs="Arial"/>
          <w:b/>
          <w:bCs/>
          <w:u w:val="single"/>
        </w:rPr>
        <w:t>P</w:t>
      </w:r>
      <w:r w:rsidRPr="00E74A03">
        <w:rPr>
          <w:rFonts w:ascii="Arial" w:hAnsi="Arial" w:cs="Arial"/>
          <w:b/>
          <w:bCs/>
          <w:u w:val="single"/>
        </w:rPr>
        <w:t>rojekt rozporządzenia Ministra Klimatu i Środowiska w sprawie parametrów aukcji dogrywkowej dla roku dostaw 2029 (numer z wykazu 1254).</w:t>
      </w:r>
      <w:r w:rsidR="006B2761" w:rsidRPr="00E74A03">
        <w:rPr>
          <w:rFonts w:ascii="Arial" w:hAnsi="Arial" w:cs="Arial"/>
          <w:b/>
          <w:bCs/>
          <w:u w:val="single"/>
        </w:rPr>
        <w:t xml:space="preserve"> </w:t>
      </w:r>
    </w:p>
    <w:p w14:paraId="2E9AD062" w14:textId="77777777" w:rsidR="002C00D7" w:rsidRDefault="002C00D7" w:rsidP="002C00D7">
      <w:pPr>
        <w:spacing w:after="0"/>
        <w:jc w:val="both"/>
        <w:rPr>
          <w:rFonts w:ascii="Arial" w:hAnsi="Arial" w:cs="Arial"/>
        </w:rPr>
      </w:pPr>
    </w:p>
    <w:p w14:paraId="19A28259" w14:textId="77777777" w:rsidR="00E74A03" w:rsidRPr="00E74A03" w:rsidRDefault="00E74A03" w:rsidP="00E74A03">
      <w:pPr>
        <w:spacing w:after="0"/>
        <w:jc w:val="both"/>
        <w:rPr>
          <w:rFonts w:ascii="Arial" w:hAnsi="Arial" w:cs="Arial"/>
        </w:rPr>
      </w:pPr>
      <w:r w:rsidRPr="00E74A03">
        <w:rPr>
          <w:rFonts w:ascii="Arial" w:hAnsi="Arial" w:cs="Arial"/>
        </w:rPr>
        <w:t xml:space="preserve">Zgodnie z upoważnieniem ustawowym zawartym w art. 39a ust. 4 ustawy z dnia 8 grudnia 2017 r. o rynku mocy (Dz. U. z 2023 r. poz. 2131 z </w:t>
      </w:r>
      <w:proofErr w:type="spellStart"/>
      <w:r w:rsidRPr="00E74A03">
        <w:rPr>
          <w:rFonts w:ascii="Arial" w:hAnsi="Arial" w:cs="Arial"/>
        </w:rPr>
        <w:t>późn</w:t>
      </w:r>
      <w:proofErr w:type="spellEnd"/>
      <w:r w:rsidRPr="00E74A03">
        <w:rPr>
          <w:rFonts w:ascii="Arial" w:hAnsi="Arial" w:cs="Arial"/>
        </w:rPr>
        <w:t xml:space="preserve">. zm.), zwanej dalej „ustawą”, minister właściwy do spraw energii może określić w drodze rozporządzenia parametry najbliższej aukcji dogrywkowej. Parametry aukcji dogrywkowej na dany rok dostaw są niezbędnym elementem do przeprowadzenia samego procesu aukcyjnego. Parametry aukcji dogrywkowej nie zostały dotychczas określone na drodze ustawy lub innego aktu prawnego i wymagają wydania odrębnego rozporządzenia Ministra Klimatu i Środowiska wskazującego wartości tych parametrów. Rozporządzenie może być wydawane po dokonaniu oceny rekomendacji przedstawionej przez operatora systemu przesyłowego w zakresie potrzeby przeprowadzenia aukcji dogrywkowej dla okresu dostaw, którego dotyczyła dana aukcja główna, przedłożonej </w:t>
      </w:r>
      <w:r w:rsidRPr="00E74A03">
        <w:rPr>
          <w:rFonts w:ascii="Arial" w:hAnsi="Arial" w:cs="Arial"/>
        </w:rPr>
        <w:lastRenderedPageBreak/>
        <w:t>wraz z uzasadnieniem rekomendacji oraz propozycją parametrów aukcji dogrywkowej. Przedmiotowy projekt określa parametry aukcji dogrywkowej na rok dostaw 2029. Bez publikacji parametrów niemożliwe jest przeprowadzenie najbliższej aukcji dogrywkowej, co może skutkować brakiem zapewnienia wystarczalności zasobów w okresie dostaw obejmującym 2029 r.</w:t>
      </w:r>
    </w:p>
    <w:p w14:paraId="0A6F532C" w14:textId="77777777" w:rsidR="00E74A03" w:rsidRPr="00E74A03" w:rsidRDefault="00E74A03" w:rsidP="00E74A03">
      <w:pPr>
        <w:spacing w:after="0"/>
        <w:jc w:val="both"/>
        <w:rPr>
          <w:rFonts w:ascii="Arial" w:hAnsi="Arial" w:cs="Arial"/>
        </w:rPr>
      </w:pPr>
      <w:r w:rsidRPr="00E74A03">
        <w:rPr>
          <w:rFonts w:ascii="Arial" w:hAnsi="Arial" w:cs="Arial"/>
        </w:rPr>
        <w:t>Możliwość wydania rozporządzenia regulującego parametry aukcji mocy dla aukcji dogrywkowych wynika bezpośrednio z ustawy o rynku mocy. Stosowanie alternatywnych rozwiązań byłoby niezgodne z ustawą. Rekomendowanym rozwiązaniem jest wydanie rozporządzenia w zakresie i na podstawie upoważnienia przewidzianego w ustawie. Oczekiwanym efektem jest wyznaczenie parametrów dla aukcji dogrywkowej dla roku dostaw 2029 w celu umożliwienia jej przeprowadzenia.</w:t>
      </w:r>
    </w:p>
    <w:p w14:paraId="6BD6735B" w14:textId="77777777" w:rsidR="00E74A03" w:rsidRPr="00E74A03" w:rsidRDefault="00E74A03" w:rsidP="00E74A03">
      <w:pPr>
        <w:spacing w:after="0"/>
        <w:jc w:val="both"/>
        <w:rPr>
          <w:rFonts w:ascii="Arial" w:hAnsi="Arial" w:cs="Arial"/>
        </w:rPr>
      </w:pPr>
      <w:r w:rsidRPr="00E74A03">
        <w:rPr>
          <w:rFonts w:ascii="Arial" w:hAnsi="Arial" w:cs="Arial"/>
        </w:rPr>
        <w:t>Projektowane rozporządzenie dotyczy określenia parametrów aukcji dogrywkowej dla roku dostaw 2029, przeprowadzanej w 2025 r.</w:t>
      </w:r>
    </w:p>
    <w:p w14:paraId="1D1468FD" w14:textId="77777777" w:rsidR="00E74A03" w:rsidRPr="00E74A03" w:rsidRDefault="00E74A03" w:rsidP="00E74A03">
      <w:pPr>
        <w:spacing w:after="0"/>
        <w:jc w:val="both"/>
        <w:rPr>
          <w:rFonts w:ascii="Arial" w:hAnsi="Arial" w:cs="Arial"/>
        </w:rPr>
      </w:pPr>
      <w:r w:rsidRPr="00E74A03">
        <w:rPr>
          <w:rFonts w:ascii="Arial" w:hAnsi="Arial" w:cs="Arial"/>
        </w:rPr>
        <w:t>Zgodnie z art. 39a ust. 5 ustawy parametrami aukcji dogrywkowej, które zostaną określone w rozporządzeniu, są:</w:t>
      </w:r>
    </w:p>
    <w:p w14:paraId="330C805C" w14:textId="77777777" w:rsidR="00E74A03" w:rsidRPr="00E74A03" w:rsidRDefault="00E74A03" w:rsidP="00E74A03">
      <w:pPr>
        <w:spacing w:after="0"/>
        <w:ind w:left="426"/>
        <w:jc w:val="both"/>
        <w:rPr>
          <w:rFonts w:ascii="Arial" w:hAnsi="Arial" w:cs="Arial"/>
        </w:rPr>
      </w:pPr>
      <w:r w:rsidRPr="00E74A03">
        <w:rPr>
          <w:rFonts w:ascii="Arial" w:hAnsi="Arial" w:cs="Arial"/>
        </w:rPr>
        <w:t>1)</w:t>
      </w:r>
      <w:r w:rsidRPr="00E74A03">
        <w:rPr>
          <w:rFonts w:ascii="Arial" w:hAnsi="Arial" w:cs="Arial"/>
        </w:rPr>
        <w:tab/>
        <w:t>wielkości wyznaczające popyt w aukcji, tj. zapotrzebowanie na moc, cena wejścia na rynek nowej jednostki wytwórczej, współczynnik zwiększający tę cenę, parametr wyznaczający wielkość mocy poniżej zapotrzebowania na moc, dla której cena osiąga wartość maksymalną oraz parametr wyznaczający wielkość mocy ponad zapotrzebowanie na moc, dla której cena osiąga wartość minimalną;</w:t>
      </w:r>
    </w:p>
    <w:p w14:paraId="01A52A15" w14:textId="77777777" w:rsidR="00E74A03" w:rsidRPr="00E74A03" w:rsidRDefault="00E74A03" w:rsidP="00E74A03">
      <w:pPr>
        <w:spacing w:after="0"/>
        <w:ind w:left="426"/>
        <w:jc w:val="both"/>
        <w:rPr>
          <w:rFonts w:ascii="Arial" w:hAnsi="Arial" w:cs="Arial"/>
        </w:rPr>
      </w:pPr>
      <w:r w:rsidRPr="00E74A03">
        <w:rPr>
          <w:rFonts w:ascii="Arial" w:hAnsi="Arial" w:cs="Arial"/>
        </w:rPr>
        <w:t>2)</w:t>
      </w:r>
      <w:r w:rsidRPr="00E74A03">
        <w:rPr>
          <w:rFonts w:ascii="Arial" w:hAnsi="Arial" w:cs="Arial"/>
        </w:rPr>
        <w:tab/>
        <w:t xml:space="preserve">cena maksymalna określona dla </w:t>
      </w:r>
      <w:proofErr w:type="spellStart"/>
      <w:r w:rsidRPr="00E74A03">
        <w:rPr>
          <w:rFonts w:ascii="Arial" w:hAnsi="Arial" w:cs="Arial"/>
        </w:rPr>
        <w:t>cenobiorcy</w:t>
      </w:r>
      <w:proofErr w:type="spellEnd"/>
      <w:r w:rsidRPr="00E74A03">
        <w:rPr>
          <w:rFonts w:ascii="Arial" w:hAnsi="Arial" w:cs="Arial"/>
        </w:rPr>
        <w:t>, wyznaczona na podstawie kapitałowych i operacyjnych kosztów stałych;</w:t>
      </w:r>
    </w:p>
    <w:p w14:paraId="384C273E" w14:textId="77777777" w:rsidR="00E74A03" w:rsidRPr="00E74A03" w:rsidRDefault="00E74A03" w:rsidP="00E74A03">
      <w:pPr>
        <w:spacing w:after="0"/>
        <w:ind w:left="426"/>
        <w:jc w:val="both"/>
        <w:rPr>
          <w:rFonts w:ascii="Arial" w:hAnsi="Arial" w:cs="Arial"/>
        </w:rPr>
      </w:pPr>
      <w:r w:rsidRPr="00E74A03">
        <w:rPr>
          <w:rFonts w:ascii="Arial" w:hAnsi="Arial" w:cs="Arial"/>
        </w:rPr>
        <w:t>3)</w:t>
      </w:r>
      <w:r w:rsidRPr="00E74A03">
        <w:rPr>
          <w:rFonts w:ascii="Arial" w:hAnsi="Arial" w:cs="Arial"/>
        </w:rPr>
        <w:tab/>
        <w:t>maksymalna liczba rund aukcji;</w:t>
      </w:r>
    </w:p>
    <w:p w14:paraId="5C8A5788" w14:textId="77777777" w:rsidR="00E74A03" w:rsidRPr="00E74A03" w:rsidRDefault="00E74A03" w:rsidP="00E74A03">
      <w:pPr>
        <w:spacing w:after="0"/>
        <w:ind w:left="426"/>
        <w:jc w:val="both"/>
        <w:rPr>
          <w:rFonts w:ascii="Arial" w:hAnsi="Arial" w:cs="Arial"/>
        </w:rPr>
      </w:pPr>
      <w:r w:rsidRPr="00E74A03">
        <w:rPr>
          <w:rFonts w:ascii="Arial" w:hAnsi="Arial" w:cs="Arial"/>
        </w:rPr>
        <w:t>4)</w:t>
      </w:r>
      <w:r w:rsidRPr="00E74A03">
        <w:rPr>
          <w:rFonts w:ascii="Arial" w:hAnsi="Arial" w:cs="Arial"/>
        </w:rPr>
        <w:tab/>
        <w:t>jednostkowe poziomy nakładów inwestycyjnych odniesione do mocy osiągalnej netto, warunkujące kwalifikację jednostki rynku mocy jako:</w:t>
      </w:r>
    </w:p>
    <w:p w14:paraId="424CD1D3" w14:textId="08B25892" w:rsidR="00E74A03" w:rsidRPr="00E74A03" w:rsidRDefault="00E74A03" w:rsidP="00E74A03">
      <w:pPr>
        <w:pStyle w:val="Akapitzlist"/>
        <w:numPr>
          <w:ilvl w:val="0"/>
          <w:numId w:val="8"/>
        </w:numPr>
        <w:spacing w:after="0"/>
        <w:ind w:left="993" w:hanging="284"/>
        <w:jc w:val="both"/>
        <w:rPr>
          <w:rFonts w:ascii="Arial" w:hAnsi="Arial" w:cs="Arial"/>
        </w:rPr>
      </w:pPr>
      <w:r w:rsidRPr="00E74A03">
        <w:rPr>
          <w:rFonts w:ascii="Arial" w:hAnsi="Arial" w:cs="Arial"/>
        </w:rPr>
        <w:t xml:space="preserve">nowej jednostki rynku mocy wytwórczą – uprawnionej do oferowania obowiązków </w:t>
      </w:r>
      <w:proofErr w:type="spellStart"/>
      <w:r w:rsidRPr="00E74A03">
        <w:rPr>
          <w:rFonts w:ascii="Arial" w:hAnsi="Arial" w:cs="Arial"/>
        </w:rPr>
        <w:t>mocowych</w:t>
      </w:r>
      <w:proofErr w:type="spellEnd"/>
      <w:r w:rsidRPr="00E74A03">
        <w:rPr>
          <w:rFonts w:ascii="Arial" w:hAnsi="Arial" w:cs="Arial"/>
        </w:rPr>
        <w:t xml:space="preserve"> na nie więcej niż 15 okresów dostaw w aukcji głównej,</w:t>
      </w:r>
    </w:p>
    <w:p w14:paraId="181A6831" w14:textId="1BA548F3" w:rsidR="00E74A03" w:rsidRPr="00E74A03" w:rsidRDefault="00E74A03" w:rsidP="00E74A03">
      <w:pPr>
        <w:pStyle w:val="Akapitzlist"/>
        <w:numPr>
          <w:ilvl w:val="0"/>
          <w:numId w:val="8"/>
        </w:numPr>
        <w:spacing w:after="0"/>
        <w:ind w:left="993" w:hanging="284"/>
        <w:jc w:val="both"/>
        <w:rPr>
          <w:rFonts w:ascii="Arial" w:hAnsi="Arial" w:cs="Arial"/>
        </w:rPr>
      </w:pPr>
      <w:r w:rsidRPr="00E74A03">
        <w:rPr>
          <w:rFonts w:ascii="Arial" w:hAnsi="Arial" w:cs="Arial"/>
        </w:rPr>
        <w:t xml:space="preserve">nowej jednostki rynku mocy wytwórczą, modernizowanej jednostki rynku mocy wytwórczą albo jednostki rynku mocy redukcji zapotrzebowania – uprawnionej do oferowania obowiązków </w:t>
      </w:r>
      <w:proofErr w:type="spellStart"/>
      <w:r w:rsidRPr="00E74A03">
        <w:rPr>
          <w:rFonts w:ascii="Arial" w:hAnsi="Arial" w:cs="Arial"/>
        </w:rPr>
        <w:t>mocowych</w:t>
      </w:r>
      <w:proofErr w:type="spellEnd"/>
      <w:r w:rsidRPr="00E74A03">
        <w:rPr>
          <w:rFonts w:ascii="Arial" w:hAnsi="Arial" w:cs="Arial"/>
        </w:rPr>
        <w:t xml:space="preserve"> na nie więcej niż 5 okresów dostaw w aukcji głównej;</w:t>
      </w:r>
    </w:p>
    <w:p w14:paraId="481BDFCA" w14:textId="77777777" w:rsidR="00E74A03" w:rsidRPr="00E74A03" w:rsidRDefault="00E74A03" w:rsidP="00E74A03">
      <w:pPr>
        <w:spacing w:after="0"/>
        <w:ind w:left="426"/>
        <w:jc w:val="both"/>
        <w:rPr>
          <w:rFonts w:ascii="Arial" w:hAnsi="Arial" w:cs="Arial"/>
        </w:rPr>
      </w:pPr>
      <w:r w:rsidRPr="00E74A03">
        <w:rPr>
          <w:rFonts w:ascii="Arial" w:hAnsi="Arial" w:cs="Arial"/>
        </w:rPr>
        <w:t>5)</w:t>
      </w:r>
      <w:r w:rsidRPr="00E74A03">
        <w:rPr>
          <w:rFonts w:ascii="Arial" w:hAnsi="Arial" w:cs="Arial"/>
        </w:rPr>
        <w:tab/>
        <w:t>korekcyjne współczynniki dyspozycyjności dla poszczególnych grup technologii;</w:t>
      </w:r>
    </w:p>
    <w:p w14:paraId="706526DD" w14:textId="77777777" w:rsidR="00E74A03" w:rsidRPr="00E74A03" w:rsidRDefault="00E74A03" w:rsidP="00E74A03">
      <w:pPr>
        <w:spacing w:after="0"/>
        <w:ind w:left="426"/>
        <w:jc w:val="both"/>
        <w:rPr>
          <w:rFonts w:ascii="Arial" w:hAnsi="Arial" w:cs="Arial"/>
        </w:rPr>
      </w:pPr>
      <w:r w:rsidRPr="00E74A03">
        <w:rPr>
          <w:rFonts w:ascii="Arial" w:hAnsi="Arial" w:cs="Arial"/>
        </w:rPr>
        <w:t>6)</w:t>
      </w:r>
      <w:r w:rsidRPr="00E74A03">
        <w:rPr>
          <w:rFonts w:ascii="Arial" w:hAnsi="Arial" w:cs="Arial"/>
        </w:rPr>
        <w:tab/>
        <w:t xml:space="preserve">maksymalne wolumeny obowiązków </w:t>
      </w:r>
      <w:proofErr w:type="spellStart"/>
      <w:r w:rsidRPr="00E74A03">
        <w:rPr>
          <w:rFonts w:ascii="Arial" w:hAnsi="Arial" w:cs="Arial"/>
        </w:rPr>
        <w:t>mocowych</w:t>
      </w:r>
      <w:proofErr w:type="spellEnd"/>
      <w:r w:rsidRPr="00E74A03">
        <w:rPr>
          <w:rFonts w:ascii="Arial" w:hAnsi="Arial" w:cs="Arial"/>
        </w:rPr>
        <w:t xml:space="preserve"> dla stref, o których mowa w art. 6 ust. 6 ustawy.</w:t>
      </w:r>
    </w:p>
    <w:p w14:paraId="7390EE5C" w14:textId="77777777" w:rsidR="00E74A03" w:rsidRPr="00E74A03" w:rsidRDefault="00E74A03" w:rsidP="00E74A03">
      <w:pPr>
        <w:spacing w:after="0"/>
        <w:jc w:val="both"/>
        <w:rPr>
          <w:rFonts w:ascii="Arial" w:hAnsi="Arial" w:cs="Arial"/>
        </w:rPr>
      </w:pPr>
      <w:r w:rsidRPr="00E74A03">
        <w:rPr>
          <w:rFonts w:ascii="Arial" w:hAnsi="Arial" w:cs="Arial"/>
        </w:rPr>
        <w:t>Zgodnie z art. 39a ust. 4 ustawy minister właściwy do spraw energii, może określić, w drodze rozporządzenia, parametry najbliższej aukcji dogrywkowej, po zasięgnięciu opinii Prezesa Urzędu Regulacji Energetyki, a także mając na względzie politykę energetyczną państwa, adekwatność stosowanych parametrów do potrzeb systemu, zapewnienie bezpieczeństwa systemu, równoprawne i niedyskryminacyjne traktowanie dostawców mocy oraz mając na względzie przewidywaną dostępność zdolności przesyłowych oraz ich udział w zapewnieniu bezpieczeństwa dostaw energii elektrycznej.</w:t>
      </w:r>
    </w:p>
    <w:p w14:paraId="08A1E109" w14:textId="1A1525DA" w:rsidR="002C00D7" w:rsidRDefault="00E74A03" w:rsidP="00E74A03">
      <w:pPr>
        <w:spacing w:after="0"/>
        <w:jc w:val="both"/>
        <w:rPr>
          <w:rFonts w:ascii="Arial" w:hAnsi="Arial" w:cs="Arial"/>
        </w:rPr>
      </w:pPr>
      <w:r w:rsidRPr="00E74A03">
        <w:rPr>
          <w:rFonts w:ascii="Arial" w:hAnsi="Arial" w:cs="Arial"/>
        </w:rPr>
        <w:t>Termin do wydania rozporządzenia wynika wprost z art. 39a ust. 4 ustawy, który wskazuje, że minister właściwy do spraw energii może wydać ww. rozporządzenie nie później niż do dnia 30 kwietnia roku następującego po roku przeprowadzenia aukcji głównej na ten sam okres. Aukcja główna na rok dostaw 2029 odbyła się 12 grudnia 2024 r. W rozporządzeniu uwzględniono również dostosowanie korekcyjnego współczynnika dyspozycyjności dla technologii magazynów do warunków pracy systemu w 2029 r., obejmującego wyniki aukcji głównej na rok dostaw 2029.</w:t>
      </w:r>
    </w:p>
    <w:p w14:paraId="31126A9D" w14:textId="77777777" w:rsidR="00E74A03" w:rsidRDefault="00E74A03" w:rsidP="00E74A03">
      <w:pPr>
        <w:spacing w:after="0"/>
        <w:jc w:val="both"/>
        <w:rPr>
          <w:rFonts w:ascii="Arial" w:hAnsi="Arial" w:cs="Arial"/>
        </w:rPr>
      </w:pPr>
    </w:p>
    <w:p w14:paraId="13DEFEE3" w14:textId="77777777" w:rsidR="00E74A03" w:rsidRPr="00E74A03" w:rsidRDefault="00E74A03" w:rsidP="00E74A03">
      <w:pPr>
        <w:spacing w:after="0"/>
        <w:jc w:val="both"/>
        <w:rPr>
          <w:rFonts w:ascii="Arial" w:hAnsi="Arial" w:cs="Arial"/>
        </w:rPr>
      </w:pPr>
      <w:r w:rsidRPr="00E74A03">
        <w:rPr>
          <w:rFonts w:ascii="Arial" w:hAnsi="Arial" w:cs="Arial"/>
        </w:rPr>
        <w:t>Przedmiotowy projekt aktu prawnego wraz z Uzasadnieniem oraz Oceną Skutków Regulacji dostępny jest na stronach Rządowego Centrum Legislacji pod adresem:</w:t>
      </w:r>
    </w:p>
    <w:p w14:paraId="0EBC3255" w14:textId="7D1C3358" w:rsidR="00E74A03" w:rsidRDefault="00E74A03" w:rsidP="00E74A03">
      <w:pPr>
        <w:spacing w:after="0"/>
        <w:jc w:val="both"/>
        <w:rPr>
          <w:rFonts w:ascii="Arial" w:hAnsi="Arial" w:cs="Arial"/>
        </w:rPr>
      </w:pPr>
      <w:hyperlink r:id="rId9" w:history="1">
        <w:r w:rsidRPr="00964FDA">
          <w:rPr>
            <w:rStyle w:val="Hipercze"/>
            <w:rFonts w:ascii="Arial" w:hAnsi="Arial" w:cs="Arial"/>
          </w:rPr>
          <w:t>https://legislacja.rcl.gov.pl/proje</w:t>
        </w:r>
        <w:r w:rsidRPr="00964FDA">
          <w:rPr>
            <w:rStyle w:val="Hipercze"/>
            <w:rFonts w:ascii="Arial" w:hAnsi="Arial" w:cs="Arial"/>
          </w:rPr>
          <w:t>k</w:t>
        </w:r>
        <w:r w:rsidRPr="00964FDA">
          <w:rPr>
            <w:rStyle w:val="Hipercze"/>
            <w:rFonts w:ascii="Arial" w:hAnsi="Arial" w:cs="Arial"/>
          </w:rPr>
          <w:t>t/12396657/katalog/13121681#13121681</w:t>
        </w:r>
      </w:hyperlink>
      <w:r>
        <w:rPr>
          <w:rFonts w:ascii="Arial" w:hAnsi="Arial" w:cs="Arial"/>
        </w:rPr>
        <w:t xml:space="preserve"> </w:t>
      </w:r>
    </w:p>
    <w:p w14:paraId="7D60927E" w14:textId="77777777" w:rsidR="00E74A03" w:rsidRDefault="00E74A03" w:rsidP="00E74A03">
      <w:pPr>
        <w:spacing w:after="0"/>
        <w:jc w:val="both"/>
        <w:rPr>
          <w:rFonts w:ascii="Arial" w:hAnsi="Arial" w:cs="Arial"/>
        </w:rPr>
      </w:pPr>
    </w:p>
    <w:p w14:paraId="5C53A15C" w14:textId="3FAF24A4" w:rsidR="00E74A03" w:rsidRDefault="00E74A03" w:rsidP="00E74A03">
      <w:pPr>
        <w:spacing w:after="0"/>
        <w:jc w:val="both"/>
        <w:rPr>
          <w:rFonts w:ascii="Arial" w:hAnsi="Arial" w:cs="Arial"/>
        </w:rPr>
      </w:pPr>
      <w:r w:rsidRPr="00E74A03">
        <w:rPr>
          <w:rFonts w:ascii="Arial" w:hAnsi="Arial" w:cs="Arial"/>
        </w:rPr>
        <w:t>Projekt jest obecnie jednocześnie na etapie uzgodnień, konsultacji publicznych i opiniowania.</w:t>
      </w:r>
    </w:p>
    <w:p w14:paraId="2E50D56A" w14:textId="77777777" w:rsidR="002C00D7" w:rsidRPr="002C00D7" w:rsidRDefault="002C00D7" w:rsidP="002C00D7">
      <w:pPr>
        <w:spacing w:after="0"/>
        <w:jc w:val="both"/>
        <w:rPr>
          <w:rFonts w:ascii="Arial" w:hAnsi="Arial" w:cs="Arial"/>
        </w:rPr>
      </w:pPr>
    </w:p>
    <w:p w14:paraId="2036B9CF" w14:textId="06E8C64F" w:rsidR="006B2761" w:rsidRPr="00E74A03" w:rsidRDefault="00E74A03" w:rsidP="006B2761">
      <w:pPr>
        <w:pStyle w:val="Akapitzlist"/>
        <w:numPr>
          <w:ilvl w:val="0"/>
          <w:numId w:val="4"/>
        </w:numPr>
        <w:spacing w:after="0"/>
        <w:jc w:val="both"/>
        <w:rPr>
          <w:rFonts w:ascii="Arial" w:hAnsi="Arial" w:cs="Arial"/>
          <w:b/>
          <w:bCs/>
          <w:u w:val="single"/>
        </w:rPr>
      </w:pPr>
      <w:r w:rsidRPr="00E74A03">
        <w:rPr>
          <w:rFonts w:ascii="Arial" w:hAnsi="Arial" w:cs="Arial"/>
          <w:b/>
          <w:bCs/>
          <w:u w:val="single"/>
        </w:rPr>
        <w:t>P</w:t>
      </w:r>
      <w:r w:rsidRPr="00E74A03">
        <w:rPr>
          <w:rFonts w:ascii="Arial" w:hAnsi="Arial" w:cs="Arial"/>
          <w:b/>
          <w:bCs/>
          <w:u w:val="single"/>
        </w:rPr>
        <w:t>rojekt rozporządzenia Ministra Edukacji zmieniającego rozporządzenie w sprawie przyznawania, przekazywania i rozliczania dotacji celowej na finansowanie lub dofinansowanie kosztów realizacji remontów i inwestycji (numer z wykazu 58).</w:t>
      </w:r>
    </w:p>
    <w:p w14:paraId="6E830CFE" w14:textId="77777777" w:rsidR="006B2761" w:rsidRDefault="006B2761" w:rsidP="006B2761">
      <w:pPr>
        <w:spacing w:after="0"/>
        <w:jc w:val="both"/>
        <w:rPr>
          <w:rFonts w:ascii="Arial" w:hAnsi="Arial" w:cs="Arial"/>
        </w:rPr>
      </w:pPr>
    </w:p>
    <w:p w14:paraId="299C2C95" w14:textId="77777777" w:rsidR="00E74A03" w:rsidRPr="00E74A03" w:rsidRDefault="00E74A03" w:rsidP="00E74A03">
      <w:pPr>
        <w:spacing w:after="0"/>
        <w:jc w:val="both"/>
        <w:rPr>
          <w:rFonts w:ascii="Arial" w:hAnsi="Arial" w:cs="Arial"/>
        </w:rPr>
      </w:pPr>
      <w:r w:rsidRPr="00E74A03">
        <w:rPr>
          <w:rFonts w:ascii="Arial" w:hAnsi="Arial" w:cs="Arial"/>
        </w:rPr>
        <w:t>Nowelizacja rozporządzenia Ministra Edukacji i Nauki z dnia 22 lipca 2022 r. w sprawie przyznawania, przekazywania i rozliczania dotacji celowej na finansowanie lub dofinansowanie kosztów realizacji remontów i inwestycji (Dz. U. z 2023 r. poz. 1994), zwanego dalej „rozporządzeniem”, wynika z potrzeby usprawnienia procedury składania i rozpatrywania wniosków o udzielenie dotacji celowej na finansowanie lub dofinansowanie kosztów realizacji remontów i inwestycji, o których mowa w art. 75a ustawy z dnia 27 października 2017 r. o finansowaniu zadań oświatowych, zwanej dalej „ustawą”, tj. związanych z:</w:t>
      </w:r>
    </w:p>
    <w:p w14:paraId="67671104" w14:textId="77777777" w:rsidR="00E74A03" w:rsidRPr="00E74A03" w:rsidRDefault="00E74A03" w:rsidP="00E74A03">
      <w:pPr>
        <w:spacing w:after="0"/>
        <w:jc w:val="both"/>
        <w:rPr>
          <w:rFonts w:ascii="Arial" w:hAnsi="Arial" w:cs="Arial"/>
        </w:rPr>
      </w:pPr>
      <w:r w:rsidRPr="00E74A03">
        <w:rPr>
          <w:rFonts w:ascii="Arial" w:hAnsi="Arial" w:cs="Arial"/>
        </w:rPr>
        <w:t>1)</w:t>
      </w:r>
      <w:r w:rsidRPr="00E74A03">
        <w:rPr>
          <w:rFonts w:ascii="Arial" w:hAnsi="Arial" w:cs="Arial"/>
        </w:rPr>
        <w:tab/>
        <w:t xml:space="preserve">realizacją programów inwestycyjnych, o których mowa w art. 90x ustawy z dnia 7 września 1991 r. o systemie oświaty (Dz. U. z 2024 r. poz. 750, z </w:t>
      </w:r>
      <w:proofErr w:type="spellStart"/>
      <w:r w:rsidRPr="00E74A03">
        <w:rPr>
          <w:rFonts w:ascii="Arial" w:hAnsi="Arial" w:cs="Arial"/>
        </w:rPr>
        <w:t>późn</w:t>
      </w:r>
      <w:proofErr w:type="spellEnd"/>
      <w:r w:rsidRPr="00E74A03">
        <w:rPr>
          <w:rFonts w:ascii="Arial" w:hAnsi="Arial" w:cs="Arial"/>
        </w:rPr>
        <w:t>. zm.),</w:t>
      </w:r>
    </w:p>
    <w:p w14:paraId="7804ABD4" w14:textId="77777777" w:rsidR="00E74A03" w:rsidRPr="00E74A03" w:rsidRDefault="00E74A03" w:rsidP="00E74A03">
      <w:pPr>
        <w:spacing w:after="0"/>
        <w:jc w:val="both"/>
        <w:rPr>
          <w:rFonts w:ascii="Arial" w:hAnsi="Arial" w:cs="Arial"/>
        </w:rPr>
      </w:pPr>
      <w:r w:rsidRPr="00E74A03">
        <w:rPr>
          <w:rFonts w:ascii="Arial" w:hAnsi="Arial" w:cs="Arial"/>
        </w:rPr>
        <w:t>2)</w:t>
      </w:r>
      <w:r w:rsidRPr="00E74A03">
        <w:rPr>
          <w:rFonts w:ascii="Arial" w:hAnsi="Arial" w:cs="Arial"/>
        </w:rPr>
        <w:tab/>
        <w:t>zakupem nieruchomości oraz budową lub dostosowaniem obiektów, niezbędnych dla rozwoju przedszkoli, szkół lub placówek,</w:t>
      </w:r>
    </w:p>
    <w:p w14:paraId="6640DB00" w14:textId="77777777" w:rsidR="00E74A03" w:rsidRPr="00E74A03" w:rsidRDefault="00E74A03" w:rsidP="00E74A03">
      <w:pPr>
        <w:spacing w:after="0"/>
        <w:jc w:val="both"/>
        <w:rPr>
          <w:rFonts w:ascii="Arial" w:hAnsi="Arial" w:cs="Arial"/>
        </w:rPr>
      </w:pPr>
      <w:r w:rsidRPr="00E74A03">
        <w:rPr>
          <w:rFonts w:ascii="Arial" w:hAnsi="Arial" w:cs="Arial"/>
        </w:rPr>
        <w:t>3)</w:t>
      </w:r>
      <w:r w:rsidRPr="00E74A03">
        <w:rPr>
          <w:rFonts w:ascii="Arial" w:hAnsi="Arial" w:cs="Arial"/>
        </w:rPr>
        <w:tab/>
        <w:t xml:space="preserve">wyposażeniem przedszkoli, szkół lub placówek </w:t>
      </w:r>
    </w:p>
    <w:p w14:paraId="611E79EC" w14:textId="77777777" w:rsidR="00E74A03" w:rsidRPr="00E74A03" w:rsidRDefault="00E74A03" w:rsidP="00E74A03">
      <w:pPr>
        <w:spacing w:after="0"/>
        <w:jc w:val="both"/>
        <w:rPr>
          <w:rFonts w:ascii="Arial" w:hAnsi="Arial" w:cs="Arial"/>
        </w:rPr>
      </w:pPr>
      <w:r w:rsidRPr="00E74A03">
        <w:rPr>
          <w:rFonts w:ascii="Arial" w:hAnsi="Arial" w:cs="Arial"/>
        </w:rPr>
        <w:t xml:space="preserve">– a także z potrzeby usprawnienia weryfikacji sprawozdań z realizacji inwestycji i remontów. </w:t>
      </w:r>
    </w:p>
    <w:p w14:paraId="6938344A" w14:textId="77777777" w:rsidR="00E74A03" w:rsidRPr="00E74A03" w:rsidRDefault="00E74A03" w:rsidP="00E74A03">
      <w:pPr>
        <w:spacing w:after="0"/>
        <w:jc w:val="both"/>
        <w:rPr>
          <w:rFonts w:ascii="Arial" w:hAnsi="Arial" w:cs="Arial"/>
        </w:rPr>
      </w:pPr>
      <w:r w:rsidRPr="00E74A03">
        <w:rPr>
          <w:rFonts w:ascii="Arial" w:hAnsi="Arial" w:cs="Arial"/>
        </w:rPr>
        <w:t>Dotychczasowe doświadczenia w zakresie składania wniosków o przyznanie dotacji celowej na finansowanie lub dofinansowanie kosztów realizacji remontów i inwestycji, o której mowa w art. 75a ustawy, przyznawania i rozliczania tej dotacji, wskazują na potrzebę wprowadzenia zmian w zakresie procedury składania tych wniosków, doprecyzowania informacji, jakie wniosek ma zawierać, rozszerzenia zakresu dołączanych do wniosku dokumentów oraz składania sprawozdań z realizacji inwestycji lub remontów.</w:t>
      </w:r>
    </w:p>
    <w:p w14:paraId="2C3AE7C1" w14:textId="77777777" w:rsidR="00E74A03" w:rsidRPr="00E74A03" w:rsidRDefault="00E74A03" w:rsidP="00E74A03">
      <w:pPr>
        <w:spacing w:after="0"/>
        <w:jc w:val="both"/>
        <w:rPr>
          <w:rFonts w:ascii="Arial" w:hAnsi="Arial" w:cs="Arial"/>
        </w:rPr>
      </w:pPr>
      <w:r w:rsidRPr="00E74A03">
        <w:rPr>
          <w:rFonts w:ascii="Arial" w:hAnsi="Arial" w:cs="Arial"/>
        </w:rPr>
        <w:t>W projekcie rozporządzenia proponuje się:</w:t>
      </w:r>
    </w:p>
    <w:p w14:paraId="6AD9AE07" w14:textId="77777777" w:rsidR="00E74A03" w:rsidRPr="00E74A03" w:rsidRDefault="00E74A03" w:rsidP="00E74A03">
      <w:pPr>
        <w:spacing w:after="0"/>
        <w:jc w:val="both"/>
        <w:rPr>
          <w:rFonts w:ascii="Arial" w:hAnsi="Arial" w:cs="Arial"/>
        </w:rPr>
      </w:pPr>
      <w:r w:rsidRPr="00E74A03">
        <w:rPr>
          <w:rFonts w:ascii="Arial" w:hAnsi="Arial" w:cs="Arial"/>
        </w:rPr>
        <w:t>1)</w:t>
      </w:r>
      <w:r w:rsidRPr="00E74A03">
        <w:rPr>
          <w:rFonts w:ascii="Arial" w:hAnsi="Arial" w:cs="Arial"/>
        </w:rPr>
        <w:tab/>
        <w:t>uchylenie przepisów umożliwiających składanie wniosków o przyznanie dotacji celowej na finansowanie lub dofinansowanie kosztów realizacji inwestycji, o których mowa w art. 75a pkt 2 i 3 ustawy, lub remontu, po terminie określonym w § 3 ust. 1 pkt 2 rozporządzenia (tj. po dniu 30 kwietnia danego roku) w przypadku wystąpienia zdarzenia losowego powodującego zakłócenie działalności wnioskodawcy (§ 1 pkt 1 i 3 lit. b projektu rozporządzenia dot. § 3 ust. 2 i 3 oraz § 5 ust. 3 rozporządzenia);</w:t>
      </w:r>
    </w:p>
    <w:p w14:paraId="3BF6375B" w14:textId="77777777" w:rsidR="00E74A03" w:rsidRPr="00E74A03" w:rsidRDefault="00E74A03" w:rsidP="00E74A03">
      <w:pPr>
        <w:spacing w:after="0"/>
        <w:jc w:val="both"/>
        <w:rPr>
          <w:rFonts w:ascii="Arial" w:hAnsi="Arial" w:cs="Arial"/>
        </w:rPr>
      </w:pPr>
      <w:r w:rsidRPr="00E74A03">
        <w:rPr>
          <w:rFonts w:ascii="Arial" w:hAnsi="Arial" w:cs="Arial"/>
        </w:rPr>
        <w:t>2)</w:t>
      </w:r>
      <w:r w:rsidRPr="00E74A03">
        <w:rPr>
          <w:rFonts w:ascii="Arial" w:hAnsi="Arial" w:cs="Arial"/>
        </w:rPr>
        <w:tab/>
        <w:t xml:space="preserve">rozszerzenie katalogu informacji, jakie ma zawierać wniosek o przyznanie dotacji celowej na finansowanie lub dofinansowanie kosztów realizacji inwestycji lub remontu o numer telefonu osoby uprawnionej do reprezentacji i składania oświadczeń woli w imieniu i na rzecz wnioskodawcy (§ 1 pkt 2 projektu rozporządzenia dot. § 4 pkt 2 lit. e rozporządzenia); </w:t>
      </w:r>
    </w:p>
    <w:p w14:paraId="6FB67ECA" w14:textId="77777777" w:rsidR="00E74A03" w:rsidRPr="00E74A03" w:rsidRDefault="00E74A03" w:rsidP="00E74A03">
      <w:pPr>
        <w:spacing w:after="0"/>
        <w:jc w:val="both"/>
        <w:rPr>
          <w:rFonts w:ascii="Arial" w:hAnsi="Arial" w:cs="Arial"/>
        </w:rPr>
      </w:pPr>
      <w:r w:rsidRPr="00E74A03">
        <w:rPr>
          <w:rFonts w:ascii="Arial" w:hAnsi="Arial" w:cs="Arial"/>
        </w:rPr>
        <w:t>3)</w:t>
      </w:r>
      <w:r w:rsidRPr="00E74A03">
        <w:rPr>
          <w:rFonts w:ascii="Arial" w:hAnsi="Arial" w:cs="Arial"/>
        </w:rPr>
        <w:tab/>
        <w:t>wprowadzenie obowiązku dołączania do wniosku o przyznanie dotacji celowej na finansowanie lub dofinansowanie kosztów realizacji:</w:t>
      </w:r>
    </w:p>
    <w:p w14:paraId="472AF854" w14:textId="7CEA371B" w:rsidR="00E74A03" w:rsidRPr="004F31BA" w:rsidRDefault="00E74A03" w:rsidP="004F31BA">
      <w:pPr>
        <w:pStyle w:val="Akapitzlist"/>
        <w:numPr>
          <w:ilvl w:val="0"/>
          <w:numId w:val="10"/>
        </w:numPr>
        <w:spacing w:after="0"/>
        <w:jc w:val="both"/>
        <w:rPr>
          <w:rFonts w:ascii="Arial" w:hAnsi="Arial" w:cs="Arial"/>
        </w:rPr>
      </w:pPr>
      <w:r w:rsidRPr="004F31BA">
        <w:rPr>
          <w:rFonts w:ascii="Arial" w:hAnsi="Arial" w:cs="Arial"/>
        </w:rPr>
        <w:t xml:space="preserve">inwestycji, o której mowa w art. 75a pkt 1 ustawy, której przedmiot programu, o którym mowa w art. 90x ust. 3 pkt 1 ustawy z dnia 7 września 1991 r. o systemie oświaty, jest związany z budową obiektu, </w:t>
      </w:r>
    </w:p>
    <w:p w14:paraId="56858C8D" w14:textId="2FFA4195" w:rsidR="00E74A03" w:rsidRPr="004F31BA" w:rsidRDefault="00E74A03" w:rsidP="004F31BA">
      <w:pPr>
        <w:pStyle w:val="Akapitzlist"/>
        <w:numPr>
          <w:ilvl w:val="0"/>
          <w:numId w:val="10"/>
        </w:numPr>
        <w:spacing w:after="0"/>
        <w:jc w:val="both"/>
        <w:rPr>
          <w:rFonts w:ascii="Arial" w:hAnsi="Arial" w:cs="Arial"/>
        </w:rPr>
      </w:pPr>
      <w:r w:rsidRPr="004F31BA">
        <w:rPr>
          <w:rFonts w:ascii="Arial" w:hAnsi="Arial" w:cs="Arial"/>
        </w:rPr>
        <w:lastRenderedPageBreak/>
        <w:t xml:space="preserve">inwestycji, o której mowa w art. 75a pkt 2 ustawy, związanej z budową lub dostosowaniem obiektów, niezbędnych dla rozwoju przedszkoli, szkół lub placówek </w:t>
      </w:r>
    </w:p>
    <w:p w14:paraId="5C6DD57D" w14:textId="77777777" w:rsidR="00E74A03" w:rsidRPr="00E74A03" w:rsidRDefault="00E74A03" w:rsidP="00E74A03">
      <w:pPr>
        <w:spacing w:after="0"/>
        <w:jc w:val="both"/>
        <w:rPr>
          <w:rFonts w:ascii="Arial" w:hAnsi="Arial" w:cs="Arial"/>
        </w:rPr>
      </w:pPr>
      <w:r w:rsidRPr="00E74A03">
        <w:rPr>
          <w:rFonts w:ascii="Arial" w:hAnsi="Arial" w:cs="Arial"/>
        </w:rPr>
        <w:t xml:space="preserve">– pozwolenia wojewódzkiego konserwatora zabytków, o którym mowa w art. 36 ust. 1 ustawy z dnia 23 lipca 2003 r. o ochronie zabytków i opiece nad zabytkami (Dz. U. z 2024 r. poz. 1292, z </w:t>
      </w:r>
      <w:proofErr w:type="spellStart"/>
      <w:r w:rsidRPr="00E74A03">
        <w:rPr>
          <w:rFonts w:ascii="Arial" w:hAnsi="Arial" w:cs="Arial"/>
        </w:rPr>
        <w:t>późn</w:t>
      </w:r>
      <w:proofErr w:type="spellEnd"/>
      <w:r w:rsidRPr="00E74A03">
        <w:rPr>
          <w:rFonts w:ascii="Arial" w:hAnsi="Arial" w:cs="Arial"/>
        </w:rPr>
        <w:t>. zm.), na realizację inwestycji – w przypadku prowadzenia inwestycji przy obiekcie budowlanym wpisanym do rejestru zabytków lub na obszarze wpisanym do rejestru zabytków (§ 1 pkt 3 lit. a projektu rozporządzenia dot. § 5 ust. 1 pkt 2 lit. k, pkt 3 i 5 rozporządzenia). Pozwolenie to będzie dołączane do wniosku w postaci kopii poświadczonej za zgodność z oryginałem przez wnioskodawcę lub osobę uprawnioną do reprezentacji i składania oświadczeń woli w imieniu i na rzecz wnioskodawcy, z tym że minister właściwy do spraw oświaty i wychowania będzie mógł wezwać do przedstawienia do wglądu oryginału pozwolenia (§ 1 pkt 4 projektu rozporządzenia dot. § 6 rozporządzenia);</w:t>
      </w:r>
    </w:p>
    <w:p w14:paraId="7CA3F532" w14:textId="77777777" w:rsidR="00E74A03" w:rsidRPr="00E74A03" w:rsidRDefault="00E74A03" w:rsidP="00E74A03">
      <w:pPr>
        <w:spacing w:after="0"/>
        <w:jc w:val="both"/>
        <w:rPr>
          <w:rFonts w:ascii="Arial" w:hAnsi="Arial" w:cs="Arial"/>
        </w:rPr>
      </w:pPr>
      <w:r w:rsidRPr="00E74A03">
        <w:rPr>
          <w:rFonts w:ascii="Arial" w:hAnsi="Arial" w:cs="Arial"/>
        </w:rPr>
        <w:t>4)</w:t>
      </w:r>
      <w:r w:rsidRPr="00E74A03">
        <w:rPr>
          <w:rFonts w:ascii="Arial" w:hAnsi="Arial" w:cs="Arial"/>
        </w:rPr>
        <w:tab/>
        <w:t xml:space="preserve">wprowadzenie możliwości składania przez wnioskodawcę dokumentów, tj. wniosku o przyznanie dotacji celowej na finansowanie lub dofinansowanie kosztów realizacji remontu lub inwestycji, podpisanej umowy dotacyjnej, o której mowa w art. 150 ustawy z dnia 27 sierpnia 2009 r. o finansach publicznych (Dz. U. z 2024 r. poz. 1530, z </w:t>
      </w:r>
      <w:proofErr w:type="spellStart"/>
      <w:r w:rsidRPr="00E74A03">
        <w:rPr>
          <w:rFonts w:ascii="Arial" w:hAnsi="Arial" w:cs="Arial"/>
        </w:rPr>
        <w:t>późn</w:t>
      </w:r>
      <w:proofErr w:type="spellEnd"/>
      <w:r w:rsidRPr="00E74A03">
        <w:rPr>
          <w:rFonts w:ascii="Arial" w:hAnsi="Arial" w:cs="Arial"/>
        </w:rPr>
        <w:t xml:space="preserve">. zm.), oraz podpisanego sprawozdania rocznego i sprawozdania końcowego, za pośrednictwem adresu do doręczeń elektronicznych w rozumieniu art. 2 pkt 1 ustawy z dnia 18 listopada 2020 r. o doręczeniach elektronicznych (Dz. U. z 2024 r. poz. 1045, z </w:t>
      </w:r>
      <w:proofErr w:type="spellStart"/>
      <w:r w:rsidRPr="00E74A03">
        <w:rPr>
          <w:rFonts w:ascii="Arial" w:hAnsi="Arial" w:cs="Arial"/>
        </w:rPr>
        <w:t>późn</w:t>
      </w:r>
      <w:proofErr w:type="spellEnd"/>
      <w:r w:rsidRPr="00E74A03">
        <w:rPr>
          <w:rFonts w:ascii="Arial" w:hAnsi="Arial" w:cs="Arial"/>
        </w:rPr>
        <w:t>. zm.) – w przypadku składania tych dokumentów w postaci elektronicznej (§ 1 pkt 5, pkt 7 lit. b i pkt 9 lit. b projektu rozporządzenia dot. § 7, § 10 ust. 3 pkt 1 i § 16 ust. 3 rozporządzenia);</w:t>
      </w:r>
    </w:p>
    <w:p w14:paraId="390288BC" w14:textId="77777777" w:rsidR="00E74A03" w:rsidRPr="00E74A03" w:rsidRDefault="00E74A03" w:rsidP="00E74A03">
      <w:pPr>
        <w:spacing w:after="0"/>
        <w:jc w:val="both"/>
        <w:rPr>
          <w:rFonts w:ascii="Arial" w:hAnsi="Arial" w:cs="Arial"/>
        </w:rPr>
      </w:pPr>
      <w:r w:rsidRPr="00E74A03">
        <w:rPr>
          <w:rFonts w:ascii="Arial" w:hAnsi="Arial" w:cs="Arial"/>
        </w:rPr>
        <w:t>5)</w:t>
      </w:r>
      <w:r w:rsidRPr="00E74A03">
        <w:rPr>
          <w:rFonts w:ascii="Arial" w:hAnsi="Arial" w:cs="Arial"/>
        </w:rPr>
        <w:tab/>
        <w:t xml:space="preserve">wprowadzenie obowiązku powoływania przez ministra właściwego do spraw oświaty i wychowania zespołu doradczego lub ekspertów, o którym mowa w art. 30d ust. 1 ustawy z dnia 14 grudnia 2016 r. – Prawo oświatowe (Dz. U. z 2024 r. poz. 737, z </w:t>
      </w:r>
      <w:proofErr w:type="spellStart"/>
      <w:r w:rsidRPr="00E74A03">
        <w:rPr>
          <w:rFonts w:ascii="Arial" w:hAnsi="Arial" w:cs="Arial"/>
        </w:rPr>
        <w:t>późn</w:t>
      </w:r>
      <w:proofErr w:type="spellEnd"/>
      <w:r w:rsidRPr="00E74A03">
        <w:rPr>
          <w:rFonts w:ascii="Arial" w:hAnsi="Arial" w:cs="Arial"/>
        </w:rPr>
        <w:t>. zm.), w celu merytorycznego rozpatrzenia wniosków o przyznanie dotacji celowej na finansowanie lub dofinansowanie kosztów realizacji remontu lub inwestycji (§ 1 pkt 6 projektu rozporządzenia dot. § 8 ust. 3 rozporządzenia);</w:t>
      </w:r>
    </w:p>
    <w:p w14:paraId="31445AA8" w14:textId="77777777" w:rsidR="00E74A03" w:rsidRPr="00E74A03" w:rsidRDefault="00E74A03" w:rsidP="00E74A03">
      <w:pPr>
        <w:spacing w:after="0"/>
        <w:jc w:val="both"/>
        <w:rPr>
          <w:rFonts w:ascii="Arial" w:hAnsi="Arial" w:cs="Arial"/>
        </w:rPr>
      </w:pPr>
      <w:r w:rsidRPr="00E74A03">
        <w:rPr>
          <w:rFonts w:ascii="Arial" w:hAnsi="Arial" w:cs="Arial"/>
        </w:rPr>
        <w:t>6)</w:t>
      </w:r>
      <w:r w:rsidRPr="00E74A03">
        <w:rPr>
          <w:rFonts w:ascii="Arial" w:hAnsi="Arial" w:cs="Arial"/>
        </w:rPr>
        <w:tab/>
        <w:t>dodanie przepisu przewidującego, że wysokość ostatecznie przyznanej przez ministra właściwego do spraw oświaty i wychowania dotacji celowej nie musi być tożsama z wysokością kwoty wskazanej we wniosku o przyznanie dotacji celowej na finansowanie lub dofinansowanie kosztów realizacji remontu lub inwestycji (§ 1 pkt 7 lit. a projektu rozporządzenia dot. § 10 ust. 1a rozporządzenia);</w:t>
      </w:r>
    </w:p>
    <w:p w14:paraId="2656A803" w14:textId="77777777" w:rsidR="00E74A03" w:rsidRPr="00E74A03" w:rsidRDefault="00E74A03" w:rsidP="00E74A03">
      <w:pPr>
        <w:spacing w:after="0"/>
        <w:jc w:val="both"/>
        <w:rPr>
          <w:rFonts w:ascii="Arial" w:hAnsi="Arial" w:cs="Arial"/>
        </w:rPr>
      </w:pPr>
      <w:r w:rsidRPr="00E74A03">
        <w:rPr>
          <w:rFonts w:ascii="Arial" w:hAnsi="Arial" w:cs="Arial"/>
        </w:rPr>
        <w:t>7)</w:t>
      </w:r>
      <w:r w:rsidRPr="00E74A03">
        <w:rPr>
          <w:rFonts w:ascii="Arial" w:hAnsi="Arial" w:cs="Arial"/>
        </w:rPr>
        <w:tab/>
        <w:t xml:space="preserve">zmianę o charakterze porządkującym, będącą konsekwencją wejścia w życie z dniem 25 października 2024 r. ustawy z dnia 1 października 2024 r. o dochodach jednostek samorządu terytorialnego (Dz. U. poz. 1572, z </w:t>
      </w:r>
      <w:proofErr w:type="spellStart"/>
      <w:r w:rsidRPr="00E74A03">
        <w:rPr>
          <w:rFonts w:ascii="Arial" w:hAnsi="Arial" w:cs="Arial"/>
        </w:rPr>
        <w:t>późn</w:t>
      </w:r>
      <w:proofErr w:type="spellEnd"/>
      <w:r w:rsidRPr="00E74A03">
        <w:rPr>
          <w:rFonts w:ascii="Arial" w:hAnsi="Arial" w:cs="Arial"/>
        </w:rPr>
        <w:t>. zm.), która uchyliła ustawę z dnia 13 listopada 2003 r. o dochodach jednostek samorządu terytorialnego (Dz. U. z 2024 r. poz. 356) (§ 1 pkt 8 projektu rozporządzenia dot. § 12 ust. 1 pkt 1 rozporządzenia). W związku z powyższym, w projekcie zamiast dotychczasowego odesłania do art. 42 ust. 3 ustawy z dnia 13 listopada 2003 r. o dochodach jednostek samorządu terytorialnego, wprowadzono odesłanie do art. 45 ust. 2 nowej ustawy z dnia 1 października 2024 r. o dochodach jednostek samorządu terytorialnego;</w:t>
      </w:r>
    </w:p>
    <w:p w14:paraId="657851C8" w14:textId="77777777" w:rsidR="00E74A03" w:rsidRPr="00E74A03" w:rsidRDefault="00E74A03" w:rsidP="00E74A03">
      <w:pPr>
        <w:spacing w:after="0"/>
        <w:jc w:val="both"/>
        <w:rPr>
          <w:rFonts w:ascii="Arial" w:hAnsi="Arial" w:cs="Arial"/>
        </w:rPr>
      </w:pPr>
      <w:r w:rsidRPr="00E74A03">
        <w:rPr>
          <w:rFonts w:ascii="Arial" w:hAnsi="Arial" w:cs="Arial"/>
        </w:rPr>
        <w:t>8)</w:t>
      </w:r>
      <w:r w:rsidRPr="00E74A03">
        <w:rPr>
          <w:rFonts w:ascii="Arial" w:hAnsi="Arial" w:cs="Arial"/>
        </w:rPr>
        <w:tab/>
        <w:t>rozszerzenie katalogu informacji, jakie powinno zawierać sprawozdanie roczne dotyczące inwestycji lub remontu, o spis faktur w okresie objętym sprawozdaniem, z wyszczególnieniem tych, które zostały opłacone w całości lub w części ze środków pochodzących z dotacji celowej (§ 1 pkt 9 lit. a projektu rozporządzenia dot. § 16 ust. 1 pkt 7 rozporządzenia);</w:t>
      </w:r>
    </w:p>
    <w:p w14:paraId="0DEF56C1" w14:textId="53E64590" w:rsidR="00E74A03" w:rsidRPr="00042C7F" w:rsidRDefault="00E74A03" w:rsidP="00E74A03">
      <w:pPr>
        <w:spacing w:after="0"/>
        <w:jc w:val="both"/>
        <w:rPr>
          <w:rFonts w:ascii="Arial" w:hAnsi="Arial" w:cs="Arial"/>
        </w:rPr>
      </w:pPr>
      <w:r w:rsidRPr="00E74A03">
        <w:rPr>
          <w:rFonts w:ascii="Arial" w:hAnsi="Arial" w:cs="Arial"/>
        </w:rPr>
        <w:lastRenderedPageBreak/>
        <w:t>9)</w:t>
      </w:r>
      <w:r w:rsidRPr="00E74A03">
        <w:rPr>
          <w:rFonts w:ascii="Arial" w:hAnsi="Arial" w:cs="Arial"/>
        </w:rPr>
        <w:tab/>
        <w:t>rozszerzenie podstaw rozliczenia dotacji celowej udzielonej na realizację inwestycji lub remontu także o wniosek o przyznanie dotacji celowej, który stanowi załącznik do umowy dotacyjnej (§ 1 pkt 10 projektu rozporządzenia dot. § 18 pkt 1 rozporządzenia).</w:t>
      </w:r>
    </w:p>
    <w:p w14:paraId="34966176" w14:textId="77777777" w:rsidR="006B2761" w:rsidRDefault="006B2761" w:rsidP="006B2761">
      <w:pPr>
        <w:spacing w:after="0"/>
        <w:jc w:val="both"/>
        <w:rPr>
          <w:rFonts w:ascii="Arial" w:hAnsi="Arial" w:cs="Arial"/>
        </w:rPr>
      </w:pPr>
    </w:p>
    <w:p w14:paraId="3445E1BA" w14:textId="77777777" w:rsidR="004F31BA" w:rsidRPr="004F31BA" w:rsidRDefault="004F31BA" w:rsidP="004F31BA">
      <w:pPr>
        <w:spacing w:after="0"/>
        <w:jc w:val="both"/>
        <w:rPr>
          <w:rFonts w:ascii="Arial" w:hAnsi="Arial" w:cs="Arial"/>
        </w:rPr>
      </w:pPr>
      <w:r w:rsidRPr="004F31BA">
        <w:rPr>
          <w:rFonts w:ascii="Arial" w:hAnsi="Arial" w:cs="Arial"/>
        </w:rPr>
        <w:t>Przedmiotowy projekt aktu prawnego wraz z Uzasadnieniem oraz Oceną Skutków Regulacji dostępny jest na stronach Rządowego Centrum Legislacji pod adresem:</w:t>
      </w:r>
    </w:p>
    <w:p w14:paraId="180BE4C8" w14:textId="3BD344E5" w:rsidR="004F31BA" w:rsidRDefault="004F31BA" w:rsidP="004F31BA">
      <w:pPr>
        <w:spacing w:after="0"/>
        <w:jc w:val="both"/>
        <w:rPr>
          <w:rFonts w:ascii="Arial" w:hAnsi="Arial" w:cs="Arial"/>
        </w:rPr>
      </w:pPr>
      <w:hyperlink r:id="rId10" w:history="1">
        <w:r w:rsidRPr="00964FDA">
          <w:rPr>
            <w:rStyle w:val="Hipercze"/>
            <w:rFonts w:ascii="Arial" w:hAnsi="Arial" w:cs="Arial"/>
          </w:rPr>
          <w:t>https://legislacja.rcl.gov.pl/projekt/1</w:t>
        </w:r>
        <w:r w:rsidRPr="00964FDA">
          <w:rPr>
            <w:rStyle w:val="Hipercze"/>
            <w:rFonts w:ascii="Arial" w:hAnsi="Arial" w:cs="Arial"/>
          </w:rPr>
          <w:t>2</w:t>
        </w:r>
        <w:r w:rsidRPr="00964FDA">
          <w:rPr>
            <w:rStyle w:val="Hipercze"/>
            <w:rFonts w:ascii="Arial" w:hAnsi="Arial" w:cs="Arial"/>
          </w:rPr>
          <w:t>396750/katalog/13121902#13121902</w:t>
        </w:r>
      </w:hyperlink>
      <w:r>
        <w:rPr>
          <w:rFonts w:ascii="Arial" w:hAnsi="Arial" w:cs="Arial"/>
        </w:rPr>
        <w:t xml:space="preserve"> </w:t>
      </w:r>
    </w:p>
    <w:p w14:paraId="17875EB4" w14:textId="77777777" w:rsidR="004F31BA" w:rsidRDefault="004F31BA" w:rsidP="006B2761">
      <w:pPr>
        <w:spacing w:after="0"/>
        <w:jc w:val="both"/>
        <w:rPr>
          <w:rFonts w:ascii="Arial" w:hAnsi="Arial" w:cs="Arial"/>
        </w:rPr>
      </w:pPr>
    </w:p>
    <w:p w14:paraId="7D024193" w14:textId="4C165931" w:rsidR="004F31BA" w:rsidRDefault="004F31BA" w:rsidP="006B2761">
      <w:pPr>
        <w:spacing w:after="0"/>
        <w:jc w:val="both"/>
        <w:rPr>
          <w:rFonts w:ascii="Arial" w:hAnsi="Arial" w:cs="Arial"/>
        </w:rPr>
      </w:pPr>
      <w:r w:rsidRPr="004F31BA">
        <w:rPr>
          <w:rFonts w:ascii="Arial" w:hAnsi="Arial" w:cs="Arial"/>
        </w:rPr>
        <w:t>Projekt jest obecnie na etapie uzgodnień.</w:t>
      </w:r>
    </w:p>
    <w:p w14:paraId="7B9809CF" w14:textId="77777777" w:rsidR="004F31BA" w:rsidRDefault="004F31BA" w:rsidP="006B2761">
      <w:pPr>
        <w:spacing w:after="0"/>
        <w:jc w:val="both"/>
        <w:rPr>
          <w:rFonts w:ascii="Arial" w:hAnsi="Arial" w:cs="Arial"/>
        </w:rPr>
      </w:pPr>
    </w:p>
    <w:p w14:paraId="42EB34DD" w14:textId="6F8A1CF2" w:rsidR="009C7CB0" w:rsidRPr="009C7CB0" w:rsidRDefault="009C7CB0" w:rsidP="006B2761">
      <w:pPr>
        <w:spacing w:after="0"/>
        <w:jc w:val="both"/>
        <w:rPr>
          <w:rFonts w:ascii="Arial" w:hAnsi="Arial" w:cs="Arial"/>
          <w:b/>
          <w:bCs/>
        </w:rPr>
      </w:pPr>
      <w:r w:rsidRPr="009C7CB0">
        <w:rPr>
          <w:rFonts w:ascii="Arial" w:hAnsi="Arial" w:cs="Arial"/>
          <w:b/>
          <w:bCs/>
        </w:rPr>
        <w:t>II.</w:t>
      </w:r>
      <w:r>
        <w:rPr>
          <w:rFonts w:ascii="Arial" w:hAnsi="Arial" w:cs="Arial"/>
          <w:b/>
          <w:bCs/>
        </w:rPr>
        <w:t xml:space="preserve"> Stanowiska Związku Pracodawców Polska Miedź</w:t>
      </w:r>
    </w:p>
    <w:p w14:paraId="46D8C980" w14:textId="77777777" w:rsidR="009C7CB0" w:rsidRDefault="009C7CB0" w:rsidP="006B2761">
      <w:pPr>
        <w:spacing w:after="0"/>
        <w:jc w:val="both"/>
        <w:rPr>
          <w:rFonts w:ascii="Arial" w:hAnsi="Arial" w:cs="Arial"/>
        </w:rPr>
      </w:pPr>
    </w:p>
    <w:p w14:paraId="0825C902" w14:textId="5457C977" w:rsidR="006B2761" w:rsidRDefault="006B2761" w:rsidP="006B2761">
      <w:pPr>
        <w:spacing w:after="0"/>
        <w:jc w:val="both"/>
        <w:rPr>
          <w:rFonts w:ascii="Arial" w:hAnsi="Arial" w:cs="Arial"/>
        </w:rPr>
      </w:pPr>
      <w:r w:rsidRPr="00AF00A1">
        <w:rPr>
          <w:rFonts w:ascii="Arial" w:hAnsi="Arial" w:cs="Arial"/>
        </w:rPr>
        <w:t>Na podstawie opinii i ekspertyz podmiotów członkowskich Związku Pracodaw</w:t>
      </w:r>
      <w:r>
        <w:rPr>
          <w:rFonts w:ascii="Arial" w:hAnsi="Arial" w:cs="Arial"/>
        </w:rPr>
        <w:t xml:space="preserve">ców Polska Miedź przygotowano </w:t>
      </w:r>
      <w:r w:rsidR="00E133AF">
        <w:rPr>
          <w:rFonts w:ascii="Arial" w:hAnsi="Arial" w:cs="Arial"/>
        </w:rPr>
        <w:t>jedno</w:t>
      </w:r>
      <w:r w:rsidRPr="00AF00A1">
        <w:rPr>
          <w:rFonts w:ascii="Arial" w:hAnsi="Arial" w:cs="Arial"/>
        </w:rPr>
        <w:t xml:space="preserve"> stanowisk</w:t>
      </w:r>
      <w:r w:rsidR="00E133AF">
        <w:rPr>
          <w:rFonts w:ascii="Arial" w:hAnsi="Arial" w:cs="Arial"/>
        </w:rPr>
        <w:t>o</w:t>
      </w:r>
      <w:r w:rsidRPr="00AF00A1">
        <w:rPr>
          <w:rFonts w:ascii="Arial" w:hAnsi="Arial" w:cs="Arial"/>
        </w:rPr>
        <w:t xml:space="preserve"> do opublikowanych projektów aktów prawnych oraz</w:t>
      </w:r>
      <w:r>
        <w:rPr>
          <w:rFonts w:ascii="Arial" w:hAnsi="Arial" w:cs="Arial"/>
        </w:rPr>
        <w:t xml:space="preserve"> dokumentów strategicznych</w:t>
      </w:r>
      <w:r w:rsidRPr="00AF00A1">
        <w:rPr>
          <w:rFonts w:ascii="Arial" w:hAnsi="Arial" w:cs="Arial"/>
        </w:rPr>
        <w:t>.</w:t>
      </w:r>
    </w:p>
    <w:p w14:paraId="07ED80FA" w14:textId="77777777" w:rsidR="00E133AF" w:rsidRPr="00AF00A1" w:rsidRDefault="00E133AF" w:rsidP="006B2761">
      <w:pPr>
        <w:spacing w:after="0"/>
        <w:jc w:val="both"/>
        <w:rPr>
          <w:rFonts w:ascii="Arial" w:hAnsi="Arial" w:cs="Arial"/>
        </w:rPr>
      </w:pPr>
    </w:p>
    <w:p w14:paraId="2C9CFCBD" w14:textId="6BA061B1" w:rsidR="006B2761" w:rsidRPr="00D56379" w:rsidRDefault="006B2761" w:rsidP="00E133AF">
      <w:pPr>
        <w:pStyle w:val="Akapitzlist"/>
        <w:spacing w:after="0"/>
        <w:jc w:val="both"/>
        <w:rPr>
          <w:rFonts w:ascii="Arial" w:hAnsi="Arial" w:cs="Arial"/>
          <w:bCs/>
        </w:rPr>
      </w:pPr>
      <w:r w:rsidRPr="00D56379">
        <w:rPr>
          <w:rFonts w:ascii="Arial" w:hAnsi="Arial" w:cs="Arial"/>
          <w:u w:val="single"/>
        </w:rPr>
        <w:t xml:space="preserve">Stanowisko Związku Pracodawców Polska </w:t>
      </w:r>
      <w:r w:rsidR="00E133AF">
        <w:rPr>
          <w:rFonts w:ascii="Arial" w:hAnsi="Arial" w:cs="Arial"/>
          <w:u w:val="single"/>
        </w:rPr>
        <w:t xml:space="preserve">Miedź </w:t>
      </w:r>
      <w:r w:rsidR="00E133AF" w:rsidRPr="00E133AF">
        <w:rPr>
          <w:rFonts w:ascii="Arial" w:hAnsi="Arial" w:cs="Arial"/>
          <w:u w:val="single"/>
        </w:rPr>
        <w:t>(uwagi Związku Pracodawców Polska Miedź) do projektu</w:t>
      </w:r>
      <w:r w:rsidR="00E133AF" w:rsidRPr="00E133AF">
        <w:rPr>
          <w:rFonts w:ascii="Arial" w:hAnsi="Arial" w:cs="Arial"/>
          <w:u w:val="single"/>
        </w:rPr>
        <w:t xml:space="preserve"> </w:t>
      </w:r>
      <w:r w:rsidR="00E133AF" w:rsidRPr="00E133AF">
        <w:rPr>
          <w:rFonts w:ascii="Arial" w:hAnsi="Arial" w:cs="Arial"/>
          <w:u w:val="single"/>
        </w:rPr>
        <w:t>ustawy o zmianie ustawy – Prawo energetyczne oraz niektórych innych ustaw</w:t>
      </w:r>
      <w:r w:rsidR="00E133AF">
        <w:rPr>
          <w:rFonts w:ascii="Arial" w:hAnsi="Arial" w:cs="Arial"/>
          <w:u w:val="single"/>
        </w:rPr>
        <w:t>.</w:t>
      </w:r>
    </w:p>
    <w:p w14:paraId="7FF4325D" w14:textId="77777777" w:rsidR="00E133AF" w:rsidRDefault="00E133AF" w:rsidP="006B2761">
      <w:pPr>
        <w:spacing w:after="0"/>
        <w:rPr>
          <w:rFonts w:ascii="Arial" w:hAnsi="Arial" w:cs="Arial"/>
        </w:rPr>
      </w:pPr>
    </w:p>
    <w:p w14:paraId="53F9D7F7" w14:textId="2D3DF5D2" w:rsidR="00E133AF" w:rsidRPr="00E133AF" w:rsidRDefault="00E133AF" w:rsidP="00E133AF">
      <w:pPr>
        <w:spacing w:after="0"/>
        <w:jc w:val="both"/>
        <w:rPr>
          <w:rFonts w:ascii="Arial" w:hAnsi="Arial" w:cs="Arial"/>
        </w:rPr>
      </w:pPr>
      <w:r w:rsidRPr="00E133AF">
        <w:rPr>
          <w:rFonts w:ascii="Arial" w:hAnsi="Arial" w:cs="Arial"/>
        </w:rPr>
        <w:t>Projekt z dnia 1</w:t>
      </w:r>
      <w:r>
        <w:rPr>
          <w:rFonts w:ascii="Arial" w:hAnsi="Arial" w:cs="Arial"/>
        </w:rPr>
        <w:t>2</w:t>
      </w:r>
      <w:r w:rsidRPr="00E133AF">
        <w:rPr>
          <w:rFonts w:ascii="Arial" w:hAnsi="Arial" w:cs="Arial"/>
        </w:rPr>
        <w:t>.0</w:t>
      </w:r>
      <w:r>
        <w:rPr>
          <w:rFonts w:ascii="Arial" w:hAnsi="Arial" w:cs="Arial"/>
        </w:rPr>
        <w:t>3</w:t>
      </w:r>
      <w:r w:rsidRPr="00E133AF">
        <w:rPr>
          <w:rFonts w:ascii="Arial" w:hAnsi="Arial" w:cs="Arial"/>
        </w:rPr>
        <w:t>.2025 roku, opublikowany na stronie BIP Rządowego Centrum Legislacji w dniu 2</w:t>
      </w:r>
      <w:r>
        <w:rPr>
          <w:rFonts w:ascii="Arial" w:hAnsi="Arial" w:cs="Arial"/>
        </w:rPr>
        <w:t>4</w:t>
      </w:r>
      <w:r w:rsidRPr="00E133AF">
        <w:rPr>
          <w:rFonts w:ascii="Arial" w:hAnsi="Arial" w:cs="Arial"/>
        </w:rPr>
        <w:t>.0</w:t>
      </w:r>
      <w:r>
        <w:rPr>
          <w:rFonts w:ascii="Arial" w:hAnsi="Arial" w:cs="Arial"/>
        </w:rPr>
        <w:t>3</w:t>
      </w:r>
      <w:r w:rsidRPr="00E133AF">
        <w:rPr>
          <w:rFonts w:ascii="Arial" w:hAnsi="Arial" w:cs="Arial"/>
        </w:rPr>
        <w:t>.2025 roku. (nr U</w:t>
      </w:r>
      <w:r>
        <w:rPr>
          <w:rFonts w:ascii="Arial" w:hAnsi="Arial" w:cs="Arial"/>
        </w:rPr>
        <w:t>C</w:t>
      </w:r>
      <w:r w:rsidRPr="00E133AF">
        <w:rPr>
          <w:rFonts w:ascii="Arial" w:hAnsi="Arial" w:cs="Arial"/>
        </w:rPr>
        <w:t>8</w:t>
      </w:r>
      <w:r>
        <w:rPr>
          <w:rFonts w:ascii="Arial" w:hAnsi="Arial" w:cs="Arial"/>
        </w:rPr>
        <w:t>4</w:t>
      </w:r>
      <w:r w:rsidRPr="00E133AF">
        <w:rPr>
          <w:rFonts w:ascii="Arial" w:hAnsi="Arial" w:cs="Arial"/>
        </w:rPr>
        <w:t xml:space="preserve"> w Wykazie prac legislacyjnych i programowych Rady Ministrów).</w:t>
      </w:r>
    </w:p>
    <w:p w14:paraId="32DF04DC" w14:textId="77777777" w:rsidR="00E133AF" w:rsidRPr="00E133AF" w:rsidRDefault="00E133AF" w:rsidP="00E133AF">
      <w:pPr>
        <w:spacing w:after="0"/>
        <w:jc w:val="both"/>
        <w:rPr>
          <w:rFonts w:ascii="Arial" w:hAnsi="Arial" w:cs="Arial"/>
        </w:rPr>
      </w:pPr>
    </w:p>
    <w:p w14:paraId="42C084B8" w14:textId="7E651E80" w:rsidR="006B2761" w:rsidRPr="00A96E77" w:rsidRDefault="00E133AF" w:rsidP="00E133AF">
      <w:pPr>
        <w:spacing w:after="0"/>
        <w:jc w:val="both"/>
        <w:rPr>
          <w:rFonts w:ascii="Arial" w:hAnsi="Arial" w:cs="Arial"/>
        </w:rPr>
      </w:pPr>
      <w:r w:rsidRPr="00E133AF">
        <w:rPr>
          <w:rFonts w:ascii="Arial" w:hAnsi="Arial" w:cs="Arial"/>
        </w:rPr>
        <w:t xml:space="preserve">Przedmiotowe stanowisko zostało przesłane do Ministerstwa </w:t>
      </w:r>
      <w:r>
        <w:rPr>
          <w:rFonts w:ascii="Arial" w:hAnsi="Arial" w:cs="Arial"/>
        </w:rPr>
        <w:t xml:space="preserve">Klimatu i Środowiska </w:t>
      </w:r>
      <w:r w:rsidRPr="00E133AF">
        <w:rPr>
          <w:rFonts w:ascii="Arial" w:hAnsi="Arial" w:cs="Arial"/>
        </w:rPr>
        <w:t>oraz reprezentatywnych organizacji pracodawców, z którymi Związek Pracodawców Polska Miedź współpracuje.</w:t>
      </w:r>
    </w:p>
    <w:p w14:paraId="6EB0712A" w14:textId="77777777" w:rsidR="006B2761" w:rsidRPr="00042C7F" w:rsidRDefault="006B2761" w:rsidP="006B2761">
      <w:pPr>
        <w:spacing w:after="0"/>
        <w:jc w:val="both"/>
        <w:rPr>
          <w:rFonts w:ascii="Arial" w:hAnsi="Arial" w:cs="Arial"/>
        </w:rPr>
      </w:pPr>
    </w:p>
    <w:p w14:paraId="01F24ECC" w14:textId="77777777" w:rsidR="006B2761" w:rsidRPr="00042C7F" w:rsidRDefault="006B2761" w:rsidP="006B2761">
      <w:pPr>
        <w:spacing w:after="0"/>
        <w:rPr>
          <w:rFonts w:ascii="Arial" w:hAnsi="Arial" w:cs="Arial"/>
        </w:rPr>
      </w:pPr>
    </w:p>
    <w:p w14:paraId="595FA688" w14:textId="05B7033A" w:rsidR="006B2761" w:rsidRDefault="009C7CB0" w:rsidP="006B2761">
      <w:pPr>
        <w:spacing w:after="0"/>
        <w:jc w:val="both"/>
        <w:rPr>
          <w:rFonts w:ascii="Arial" w:hAnsi="Arial" w:cs="Arial"/>
          <w:b/>
        </w:rPr>
      </w:pPr>
      <w:r>
        <w:rPr>
          <w:rFonts w:ascii="Arial" w:hAnsi="Arial" w:cs="Arial"/>
          <w:b/>
        </w:rPr>
        <w:t>I</w:t>
      </w:r>
      <w:r w:rsidR="006B2761">
        <w:rPr>
          <w:rFonts w:ascii="Arial" w:hAnsi="Arial" w:cs="Arial"/>
          <w:b/>
        </w:rPr>
        <w:t>II. Ogłoszone akty prawne (Dziennik Ustaw RP)</w:t>
      </w:r>
    </w:p>
    <w:p w14:paraId="45849323" w14:textId="77777777" w:rsidR="006B2761" w:rsidRDefault="006B2761" w:rsidP="006B2761">
      <w:pPr>
        <w:spacing w:after="0"/>
        <w:jc w:val="both"/>
        <w:rPr>
          <w:rFonts w:ascii="Arial" w:hAnsi="Arial" w:cs="Arial"/>
        </w:rPr>
      </w:pPr>
    </w:p>
    <w:p w14:paraId="2F48153B" w14:textId="5202A0A6" w:rsidR="006B2761" w:rsidRDefault="006B2761" w:rsidP="009C7CB0">
      <w:pPr>
        <w:spacing w:after="0"/>
        <w:jc w:val="both"/>
        <w:rPr>
          <w:rFonts w:ascii="Arial" w:hAnsi="Arial" w:cs="Arial"/>
        </w:rPr>
      </w:pPr>
      <w:r>
        <w:rPr>
          <w:rFonts w:ascii="Arial" w:hAnsi="Arial" w:cs="Arial"/>
        </w:rPr>
        <w:t xml:space="preserve">W analizowanym okresie opublikowano </w:t>
      </w:r>
      <w:r w:rsidR="00D32667">
        <w:rPr>
          <w:rFonts w:ascii="Arial" w:hAnsi="Arial" w:cs="Arial"/>
        </w:rPr>
        <w:t>38</w:t>
      </w:r>
      <w:r>
        <w:rPr>
          <w:rFonts w:ascii="Arial" w:hAnsi="Arial" w:cs="Arial"/>
        </w:rPr>
        <w:t xml:space="preserve"> aktów prawnych, tzn. ustawy, rozporządzenia Rady Ministrów, Prezesa Rady Ministrów i poszczególnych ministrów, obwieszczenia w sprawie ogłoszenia tekstu jednolitego. </w:t>
      </w:r>
    </w:p>
    <w:p w14:paraId="593B5ABD" w14:textId="77777777" w:rsidR="00516DFD" w:rsidRDefault="00516DFD" w:rsidP="006B2761">
      <w:pPr>
        <w:spacing w:after="0"/>
      </w:pPr>
    </w:p>
    <w:sectPr w:rsidR="00516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1DCB"/>
    <w:multiLevelType w:val="hybridMultilevel"/>
    <w:tmpl w:val="4CD4E30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16C005F1"/>
    <w:multiLevelType w:val="hybridMultilevel"/>
    <w:tmpl w:val="6F92A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64FCE"/>
    <w:multiLevelType w:val="hybridMultilevel"/>
    <w:tmpl w:val="ABB0EF4E"/>
    <w:lvl w:ilvl="0" w:tplc="7CDEB8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345B2"/>
    <w:multiLevelType w:val="hybridMultilevel"/>
    <w:tmpl w:val="52B0892E"/>
    <w:lvl w:ilvl="0" w:tplc="DE1442C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FD7A13"/>
    <w:multiLevelType w:val="hybridMultilevel"/>
    <w:tmpl w:val="E21A80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E4088E"/>
    <w:multiLevelType w:val="hybridMultilevel"/>
    <w:tmpl w:val="CAF21E52"/>
    <w:lvl w:ilvl="0" w:tplc="43D8372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C6DF8"/>
    <w:multiLevelType w:val="hybridMultilevel"/>
    <w:tmpl w:val="1D2EBA1C"/>
    <w:lvl w:ilvl="0" w:tplc="84D68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980FD5"/>
    <w:multiLevelType w:val="hybridMultilevel"/>
    <w:tmpl w:val="52A4B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1ED00C6"/>
    <w:multiLevelType w:val="hybridMultilevel"/>
    <w:tmpl w:val="82C2C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BB7284D"/>
    <w:multiLevelType w:val="hybridMultilevel"/>
    <w:tmpl w:val="A02AF8CC"/>
    <w:lvl w:ilvl="0" w:tplc="D4485A7C">
      <w:start w:val="1"/>
      <w:numFmt w:val="lowerLetter"/>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7AA14B1A"/>
    <w:multiLevelType w:val="hybridMultilevel"/>
    <w:tmpl w:val="EF6EDD18"/>
    <w:lvl w:ilvl="0" w:tplc="84D68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8232621">
    <w:abstractNumId w:val="2"/>
  </w:num>
  <w:num w:numId="2" w16cid:durableId="380860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979232">
    <w:abstractNumId w:val="1"/>
  </w:num>
  <w:num w:numId="4" w16cid:durableId="446852086">
    <w:abstractNumId w:val="7"/>
  </w:num>
  <w:num w:numId="5" w16cid:durableId="2015719067">
    <w:abstractNumId w:val="5"/>
  </w:num>
  <w:num w:numId="6" w16cid:durableId="280501699">
    <w:abstractNumId w:val="10"/>
  </w:num>
  <w:num w:numId="7" w16cid:durableId="676421773">
    <w:abstractNumId w:val="6"/>
  </w:num>
  <w:num w:numId="8" w16cid:durableId="1561400184">
    <w:abstractNumId w:val="0"/>
  </w:num>
  <w:num w:numId="9" w16cid:durableId="778447246">
    <w:abstractNumId w:val="9"/>
  </w:num>
  <w:num w:numId="10" w16cid:durableId="463697579">
    <w:abstractNumId w:val="4"/>
  </w:num>
  <w:num w:numId="11" w16cid:durableId="737946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61"/>
    <w:rsid w:val="002C00D7"/>
    <w:rsid w:val="004160DF"/>
    <w:rsid w:val="004F31BA"/>
    <w:rsid w:val="00516DFD"/>
    <w:rsid w:val="006B2761"/>
    <w:rsid w:val="00887B82"/>
    <w:rsid w:val="008E3D37"/>
    <w:rsid w:val="009A45C6"/>
    <w:rsid w:val="009C7CB0"/>
    <w:rsid w:val="00D32667"/>
    <w:rsid w:val="00E133AF"/>
    <w:rsid w:val="00E7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37D2"/>
  <w15:chartTrackingRefBased/>
  <w15:docId w15:val="{945859FE-88CC-4455-A096-FE79A250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61"/>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6B2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B2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B27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B27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B27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B27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27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27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27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27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B27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B27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B27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B27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B27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27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27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2761"/>
    <w:rPr>
      <w:rFonts w:eastAsiaTheme="majorEastAsia" w:cstheme="majorBidi"/>
      <w:color w:val="272727" w:themeColor="text1" w:themeTint="D8"/>
    </w:rPr>
  </w:style>
  <w:style w:type="paragraph" w:styleId="Tytu">
    <w:name w:val="Title"/>
    <w:basedOn w:val="Normalny"/>
    <w:next w:val="Normalny"/>
    <w:link w:val="TytuZnak"/>
    <w:uiPriority w:val="10"/>
    <w:qFormat/>
    <w:rsid w:val="006B2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27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27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27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2761"/>
    <w:pPr>
      <w:spacing w:before="160"/>
      <w:jc w:val="center"/>
    </w:pPr>
    <w:rPr>
      <w:i/>
      <w:iCs/>
      <w:color w:val="404040" w:themeColor="text1" w:themeTint="BF"/>
    </w:rPr>
  </w:style>
  <w:style w:type="character" w:customStyle="1" w:styleId="CytatZnak">
    <w:name w:val="Cytat Znak"/>
    <w:basedOn w:val="Domylnaczcionkaakapitu"/>
    <w:link w:val="Cytat"/>
    <w:uiPriority w:val="29"/>
    <w:rsid w:val="006B2761"/>
    <w:rPr>
      <w:i/>
      <w:iCs/>
      <w:color w:val="404040" w:themeColor="text1" w:themeTint="BF"/>
    </w:rPr>
  </w:style>
  <w:style w:type="paragraph" w:styleId="Akapitzlist">
    <w:name w:val="List Paragraph"/>
    <w:basedOn w:val="Normalny"/>
    <w:uiPriority w:val="34"/>
    <w:qFormat/>
    <w:rsid w:val="006B2761"/>
    <w:pPr>
      <w:ind w:left="720"/>
      <w:contextualSpacing/>
    </w:pPr>
  </w:style>
  <w:style w:type="character" w:styleId="Wyrnienieintensywne">
    <w:name w:val="Intense Emphasis"/>
    <w:basedOn w:val="Domylnaczcionkaakapitu"/>
    <w:uiPriority w:val="21"/>
    <w:qFormat/>
    <w:rsid w:val="006B2761"/>
    <w:rPr>
      <w:i/>
      <w:iCs/>
      <w:color w:val="0F4761" w:themeColor="accent1" w:themeShade="BF"/>
    </w:rPr>
  </w:style>
  <w:style w:type="paragraph" w:styleId="Cytatintensywny">
    <w:name w:val="Intense Quote"/>
    <w:basedOn w:val="Normalny"/>
    <w:next w:val="Normalny"/>
    <w:link w:val="CytatintensywnyZnak"/>
    <w:uiPriority w:val="30"/>
    <w:qFormat/>
    <w:rsid w:val="006B2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B2761"/>
    <w:rPr>
      <w:i/>
      <w:iCs/>
      <w:color w:val="0F4761" w:themeColor="accent1" w:themeShade="BF"/>
    </w:rPr>
  </w:style>
  <w:style w:type="character" w:styleId="Odwoanieintensywne">
    <w:name w:val="Intense Reference"/>
    <w:basedOn w:val="Domylnaczcionkaakapitu"/>
    <w:uiPriority w:val="32"/>
    <w:qFormat/>
    <w:rsid w:val="006B2761"/>
    <w:rPr>
      <w:b/>
      <w:bCs/>
      <w:smallCaps/>
      <w:color w:val="0F4761" w:themeColor="accent1" w:themeShade="BF"/>
      <w:spacing w:val="5"/>
    </w:rPr>
  </w:style>
  <w:style w:type="character" w:customStyle="1" w:styleId="markedcontent">
    <w:name w:val="markedcontent"/>
    <w:basedOn w:val="Domylnaczcionkaakapitu"/>
    <w:rsid w:val="006B2761"/>
  </w:style>
  <w:style w:type="character" w:styleId="Hipercze">
    <w:name w:val="Hyperlink"/>
    <w:basedOn w:val="Domylnaczcionkaakapitu"/>
    <w:uiPriority w:val="99"/>
    <w:unhideWhenUsed/>
    <w:rsid w:val="008E3D37"/>
    <w:rPr>
      <w:color w:val="467886" w:themeColor="hyperlink"/>
      <w:u w:val="single"/>
    </w:rPr>
  </w:style>
  <w:style w:type="character" w:styleId="Nierozpoznanawzmianka">
    <w:name w:val="Unresolved Mention"/>
    <w:basedOn w:val="Domylnaczcionkaakapitu"/>
    <w:uiPriority w:val="99"/>
    <w:semiHidden/>
    <w:unhideWhenUsed/>
    <w:rsid w:val="008E3D37"/>
    <w:rPr>
      <w:color w:val="605E5C"/>
      <w:shd w:val="clear" w:color="auto" w:fill="E1DFDD"/>
    </w:rPr>
  </w:style>
  <w:style w:type="character" w:styleId="UyteHipercze">
    <w:name w:val="FollowedHyperlink"/>
    <w:basedOn w:val="Domylnaczcionkaakapitu"/>
    <w:uiPriority w:val="99"/>
    <w:semiHidden/>
    <w:unhideWhenUsed/>
    <w:rsid w:val="008E3D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ja.rcl.gov.pl/projekt/12396601/katalog/13121057#13121057" TargetMode="External"/><Relationship Id="rId3" Type="http://schemas.openxmlformats.org/officeDocument/2006/relationships/settings" Target="settings.xml"/><Relationship Id="rId7" Type="http://schemas.openxmlformats.org/officeDocument/2006/relationships/hyperlink" Target="https://legislacja.rcl.gov.pl/projekt/12391205/katalog/13092618#13092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cja.rcl.gov.pl/projekt/12396501/katalog/13120701#13120701"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gislacja.rcl.gov.pl/projekt/12396750/katalog/13121902#13121902" TargetMode="External"/><Relationship Id="rId4" Type="http://schemas.openxmlformats.org/officeDocument/2006/relationships/webSettings" Target="webSettings.xml"/><Relationship Id="rId9" Type="http://schemas.openxmlformats.org/officeDocument/2006/relationships/hyperlink" Target="https://legislacja.rcl.gov.pl/projekt/12396657/katalog/13121681#1312168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6205</Words>
  <Characters>37235</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Związek Pracodawców Polska Miedź</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Kudłak</dc:creator>
  <cp:keywords/>
  <dc:description/>
  <cp:lastModifiedBy>Alicja Kudłak</cp:lastModifiedBy>
  <cp:revision>1</cp:revision>
  <dcterms:created xsi:type="dcterms:W3CDTF">2025-04-18T06:06:00Z</dcterms:created>
  <dcterms:modified xsi:type="dcterms:W3CDTF">2025-04-18T07:30:00Z</dcterms:modified>
</cp:coreProperties>
</file>