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8759C" w14:textId="77777777" w:rsidR="00C93278" w:rsidRPr="006513A0" w:rsidRDefault="00CA2841" w:rsidP="00A9338E">
      <w:pPr>
        <w:spacing w:after="0" w:line="240" w:lineRule="auto"/>
        <w:jc w:val="center"/>
        <w:rPr>
          <w:rFonts w:ascii="Lato" w:hAnsi="Lato" w:cs="Times New Roman"/>
          <w:b/>
          <w:bCs/>
          <w:sz w:val="20"/>
          <w:szCs w:val="20"/>
        </w:rPr>
      </w:pPr>
      <w:bookmarkStart w:id="0" w:name="_Hlk107398740"/>
      <w:r w:rsidRPr="006513A0">
        <w:rPr>
          <w:rFonts w:ascii="Lato" w:hAnsi="Lato" w:cs="Times New Roman"/>
          <w:b/>
          <w:bCs/>
          <w:sz w:val="20"/>
          <w:szCs w:val="20"/>
        </w:rPr>
        <w:t xml:space="preserve">Uwagi </w:t>
      </w:r>
    </w:p>
    <w:p w14:paraId="653DA768" w14:textId="5ACECA9D" w:rsidR="00894E5C" w:rsidRPr="006513A0" w:rsidRDefault="00CA2841" w:rsidP="00A9338E">
      <w:pPr>
        <w:spacing w:after="0" w:line="240" w:lineRule="auto"/>
        <w:jc w:val="center"/>
        <w:rPr>
          <w:rFonts w:ascii="Lato" w:hAnsi="Lato" w:cs="Times New Roman"/>
          <w:b/>
          <w:bCs/>
          <w:sz w:val="20"/>
          <w:szCs w:val="20"/>
        </w:rPr>
      </w:pPr>
      <w:r w:rsidRPr="006513A0">
        <w:rPr>
          <w:rFonts w:ascii="Lato" w:hAnsi="Lato" w:cs="Times New Roman"/>
          <w:b/>
          <w:bCs/>
          <w:sz w:val="20"/>
          <w:szCs w:val="20"/>
        </w:rPr>
        <w:t>do projektu</w:t>
      </w:r>
      <w:bookmarkStart w:id="1" w:name="_Hlk163464623"/>
      <w:r w:rsidR="00894E5C" w:rsidRPr="006513A0">
        <w:rPr>
          <w:rFonts w:ascii="Lato" w:hAnsi="Lato" w:cs="Times New Roman"/>
          <w:b/>
          <w:bCs/>
          <w:sz w:val="20"/>
          <w:szCs w:val="20"/>
        </w:rPr>
        <w:t xml:space="preserve"> ustawy</w:t>
      </w:r>
      <w:r w:rsidR="00894E5C" w:rsidRPr="006513A0">
        <w:rPr>
          <w:rFonts w:ascii="Lato" w:eastAsia="Times New Roman" w:hAnsi="Lato" w:cs="Times New Roman"/>
          <w:b/>
          <w:color w:val="000000" w:themeColor="text1"/>
          <w:sz w:val="20"/>
          <w:szCs w:val="20"/>
          <w:lang w:eastAsia="pl-PL"/>
        </w:rPr>
        <w:t xml:space="preserve"> </w:t>
      </w:r>
      <w:r w:rsidR="00894E5C" w:rsidRPr="006513A0">
        <w:rPr>
          <w:rFonts w:ascii="Lato" w:hAnsi="Lato" w:cs="Times New Roman"/>
          <w:b/>
          <w:bCs/>
          <w:sz w:val="20"/>
          <w:szCs w:val="20"/>
        </w:rPr>
        <w:t xml:space="preserve">o </w:t>
      </w:r>
      <w:r w:rsidR="00A01497" w:rsidRPr="006513A0">
        <w:rPr>
          <w:rFonts w:ascii="Lato" w:hAnsi="Lato" w:cs="Times New Roman"/>
          <w:b/>
          <w:bCs/>
          <w:sz w:val="20"/>
          <w:szCs w:val="20"/>
        </w:rPr>
        <w:t>zmianie ustawy – prawo energetyczne oraz niektórych innych ustaw</w:t>
      </w:r>
    </w:p>
    <w:bookmarkEnd w:id="1"/>
    <w:p w14:paraId="304455B3" w14:textId="52D42684" w:rsidR="00CA2841" w:rsidRPr="006513A0" w:rsidRDefault="00B91BB7" w:rsidP="00A9338E">
      <w:pPr>
        <w:spacing w:after="0" w:line="240" w:lineRule="auto"/>
        <w:jc w:val="center"/>
        <w:rPr>
          <w:rFonts w:ascii="Lato" w:hAnsi="Lato" w:cs="Times New Roman"/>
          <w:b/>
          <w:bCs/>
          <w:sz w:val="20"/>
          <w:szCs w:val="20"/>
        </w:rPr>
      </w:pPr>
      <w:r w:rsidRPr="006513A0">
        <w:rPr>
          <w:rFonts w:ascii="Lato" w:hAnsi="Lato" w:cs="Times New Roman"/>
          <w:b/>
          <w:bCs/>
          <w:sz w:val="20"/>
          <w:szCs w:val="20"/>
        </w:rPr>
        <w:t>(</w:t>
      </w:r>
      <w:r w:rsidR="00894E5C" w:rsidRPr="006513A0">
        <w:rPr>
          <w:rFonts w:ascii="Lato" w:hAnsi="Lato" w:cs="Times New Roman"/>
          <w:b/>
          <w:bCs/>
          <w:sz w:val="20"/>
          <w:szCs w:val="20"/>
        </w:rPr>
        <w:t xml:space="preserve">nr </w:t>
      </w:r>
      <w:r w:rsidR="00A01497" w:rsidRPr="006513A0">
        <w:rPr>
          <w:rFonts w:ascii="Lato" w:hAnsi="Lato" w:cs="Times New Roman"/>
          <w:b/>
          <w:bCs/>
          <w:sz w:val="20"/>
          <w:szCs w:val="20"/>
        </w:rPr>
        <w:t xml:space="preserve">UC84 </w:t>
      </w:r>
      <w:r w:rsidR="00894E5C" w:rsidRPr="006513A0">
        <w:rPr>
          <w:rFonts w:ascii="Lato" w:hAnsi="Lato" w:cs="Times New Roman"/>
          <w:b/>
          <w:bCs/>
          <w:sz w:val="20"/>
          <w:szCs w:val="20"/>
        </w:rPr>
        <w:t>w Wykazie prac legislacyjnych i programowych Rady Ministrów)</w:t>
      </w:r>
    </w:p>
    <w:p w14:paraId="711D6FEE" w14:textId="77777777" w:rsidR="00CA2841" w:rsidRDefault="00CA2841" w:rsidP="00A9338E">
      <w:pPr>
        <w:spacing w:after="0" w:line="240" w:lineRule="auto"/>
        <w:rPr>
          <w:rFonts w:ascii="Lato" w:hAnsi="Lato" w:cs="Times New Roman"/>
          <w:sz w:val="20"/>
          <w:szCs w:val="20"/>
        </w:rPr>
      </w:pPr>
    </w:p>
    <w:p w14:paraId="03D4E7B9" w14:textId="77777777" w:rsidR="00CB218B" w:rsidRPr="006513A0" w:rsidRDefault="00CB218B" w:rsidP="00A9338E">
      <w:pPr>
        <w:spacing w:after="0" w:line="240" w:lineRule="auto"/>
        <w:rPr>
          <w:rFonts w:ascii="Lato" w:hAnsi="Lato" w:cs="Times New Roman"/>
          <w:sz w:val="20"/>
          <w:szCs w:val="20"/>
        </w:rPr>
      </w:pPr>
    </w:p>
    <w:tbl>
      <w:tblPr>
        <w:tblStyle w:val="Tabela-Siatka"/>
        <w:tblpPr w:leftFromText="142" w:rightFromText="142" w:vertAnchor="text" w:horzAnchor="margin" w:tblpXSpec="center" w:tblpY="58"/>
        <w:tblW w:w="15740" w:type="dxa"/>
        <w:tblLayout w:type="fixed"/>
        <w:tblLook w:val="04A0" w:firstRow="1" w:lastRow="0" w:firstColumn="1" w:lastColumn="0" w:noHBand="0" w:noVBand="1"/>
      </w:tblPr>
      <w:tblGrid>
        <w:gridCol w:w="562"/>
        <w:gridCol w:w="1701"/>
        <w:gridCol w:w="2694"/>
        <w:gridCol w:w="5103"/>
        <w:gridCol w:w="4252"/>
        <w:gridCol w:w="1428"/>
      </w:tblGrid>
      <w:tr w:rsidR="0090574C" w:rsidRPr="006513A0" w14:paraId="47E9ED08" w14:textId="77777777" w:rsidTr="00B91BB7">
        <w:trPr>
          <w:trHeight w:val="551"/>
          <w:tblHeader/>
        </w:trPr>
        <w:tc>
          <w:tcPr>
            <w:tcW w:w="562" w:type="dxa"/>
          </w:tcPr>
          <w:p w14:paraId="115BF413" w14:textId="6257DDCF" w:rsidR="0090574C" w:rsidRPr="006513A0" w:rsidRDefault="0090574C" w:rsidP="00A9338E">
            <w:pPr>
              <w:jc w:val="center"/>
              <w:rPr>
                <w:rFonts w:ascii="Lato" w:hAnsi="Lato" w:cs="Times New Roman"/>
                <w:b/>
                <w:bCs/>
                <w:sz w:val="20"/>
                <w:szCs w:val="20"/>
              </w:rPr>
            </w:pPr>
            <w:r w:rsidRPr="006513A0">
              <w:rPr>
                <w:rFonts w:ascii="Lato" w:hAnsi="Lato" w:cs="Times New Roman"/>
                <w:b/>
                <w:bCs/>
                <w:sz w:val="20"/>
                <w:szCs w:val="20"/>
              </w:rPr>
              <w:t>Lp.</w:t>
            </w:r>
          </w:p>
        </w:tc>
        <w:tc>
          <w:tcPr>
            <w:tcW w:w="1701" w:type="dxa"/>
          </w:tcPr>
          <w:p w14:paraId="0FAF4510" w14:textId="4FD6EB74" w:rsidR="0090574C" w:rsidRPr="006513A0" w:rsidRDefault="0090574C" w:rsidP="00A9338E">
            <w:pPr>
              <w:jc w:val="center"/>
              <w:rPr>
                <w:rFonts w:ascii="Lato" w:hAnsi="Lato" w:cs="Times New Roman"/>
                <w:b/>
                <w:bCs/>
                <w:sz w:val="20"/>
                <w:szCs w:val="20"/>
              </w:rPr>
            </w:pPr>
            <w:r w:rsidRPr="006513A0">
              <w:rPr>
                <w:rFonts w:ascii="Lato" w:hAnsi="Lato" w:cs="Times New Roman"/>
                <w:b/>
                <w:bCs/>
                <w:sz w:val="20"/>
                <w:szCs w:val="20"/>
              </w:rPr>
              <w:t>Podmiot wnoszący uwag</w:t>
            </w:r>
            <w:r w:rsidR="00B91BB7" w:rsidRPr="006513A0">
              <w:rPr>
                <w:rFonts w:ascii="Lato" w:hAnsi="Lato" w:cs="Times New Roman"/>
                <w:b/>
                <w:bCs/>
                <w:sz w:val="20"/>
                <w:szCs w:val="20"/>
              </w:rPr>
              <w:t>ę</w:t>
            </w:r>
          </w:p>
        </w:tc>
        <w:tc>
          <w:tcPr>
            <w:tcW w:w="2694" w:type="dxa"/>
          </w:tcPr>
          <w:p w14:paraId="51F92737" w14:textId="48E4A866" w:rsidR="0090574C" w:rsidRPr="006513A0" w:rsidRDefault="0090574C" w:rsidP="00A9338E">
            <w:pPr>
              <w:jc w:val="center"/>
              <w:rPr>
                <w:rFonts w:ascii="Lato" w:hAnsi="Lato" w:cs="Times New Roman"/>
                <w:b/>
                <w:bCs/>
                <w:sz w:val="20"/>
                <w:szCs w:val="20"/>
              </w:rPr>
            </w:pPr>
            <w:r w:rsidRPr="006513A0">
              <w:rPr>
                <w:rFonts w:ascii="Lato" w:hAnsi="Lato" w:cs="Times New Roman"/>
                <w:b/>
                <w:bCs/>
                <w:sz w:val="20"/>
                <w:szCs w:val="20"/>
              </w:rPr>
              <w:t>Jednostka redakcyjna, do której wnoszon</w:t>
            </w:r>
            <w:r w:rsidR="00B91BB7" w:rsidRPr="006513A0">
              <w:rPr>
                <w:rFonts w:ascii="Lato" w:hAnsi="Lato" w:cs="Times New Roman"/>
                <w:b/>
                <w:bCs/>
                <w:sz w:val="20"/>
                <w:szCs w:val="20"/>
              </w:rPr>
              <w:t>a jest</w:t>
            </w:r>
            <w:r w:rsidRPr="006513A0">
              <w:rPr>
                <w:rFonts w:ascii="Lato" w:hAnsi="Lato" w:cs="Times New Roman"/>
                <w:b/>
                <w:bCs/>
                <w:sz w:val="20"/>
                <w:szCs w:val="20"/>
              </w:rPr>
              <w:t xml:space="preserve"> uwag</w:t>
            </w:r>
            <w:r w:rsidR="00B91BB7" w:rsidRPr="006513A0">
              <w:rPr>
                <w:rFonts w:ascii="Lato" w:hAnsi="Lato" w:cs="Times New Roman"/>
                <w:b/>
                <w:bCs/>
                <w:sz w:val="20"/>
                <w:szCs w:val="20"/>
              </w:rPr>
              <w:t>a</w:t>
            </w:r>
            <w:r w:rsidR="004F2D1D" w:rsidRPr="006513A0">
              <w:rPr>
                <w:rStyle w:val="Odwoanieprzypisudolnego"/>
                <w:rFonts w:ascii="Lato" w:hAnsi="Lato" w:cs="Times New Roman"/>
                <w:b/>
                <w:bCs/>
                <w:sz w:val="20"/>
                <w:szCs w:val="20"/>
              </w:rPr>
              <w:footnoteReference w:customMarkFollows="1" w:id="1"/>
              <w:t>1)</w:t>
            </w:r>
          </w:p>
        </w:tc>
        <w:tc>
          <w:tcPr>
            <w:tcW w:w="5103" w:type="dxa"/>
          </w:tcPr>
          <w:p w14:paraId="74AACE5A" w14:textId="0BDDBBD7" w:rsidR="0090574C" w:rsidRPr="006513A0" w:rsidRDefault="0090574C" w:rsidP="00A9338E">
            <w:pPr>
              <w:jc w:val="center"/>
              <w:rPr>
                <w:rFonts w:ascii="Lato" w:hAnsi="Lato" w:cs="Times New Roman"/>
                <w:b/>
                <w:bCs/>
                <w:sz w:val="20"/>
                <w:szCs w:val="20"/>
              </w:rPr>
            </w:pPr>
            <w:r w:rsidRPr="006513A0">
              <w:rPr>
                <w:rFonts w:ascii="Lato" w:hAnsi="Lato" w:cs="Times New Roman"/>
                <w:b/>
                <w:bCs/>
                <w:sz w:val="20"/>
                <w:szCs w:val="20"/>
              </w:rPr>
              <w:t>Treść uwagi</w:t>
            </w:r>
          </w:p>
        </w:tc>
        <w:tc>
          <w:tcPr>
            <w:tcW w:w="4252" w:type="dxa"/>
          </w:tcPr>
          <w:p w14:paraId="7C9E6D74" w14:textId="597CDAA9" w:rsidR="0090574C" w:rsidRPr="006513A0" w:rsidRDefault="0090574C" w:rsidP="00A9338E">
            <w:pPr>
              <w:jc w:val="center"/>
              <w:rPr>
                <w:rFonts w:ascii="Lato" w:hAnsi="Lato" w:cs="Times New Roman"/>
                <w:b/>
                <w:bCs/>
                <w:sz w:val="20"/>
                <w:szCs w:val="20"/>
              </w:rPr>
            </w:pPr>
            <w:r w:rsidRPr="006513A0">
              <w:rPr>
                <w:rFonts w:ascii="Lato" w:hAnsi="Lato" w:cs="Times New Roman"/>
                <w:b/>
                <w:bCs/>
                <w:sz w:val="20"/>
                <w:szCs w:val="20"/>
              </w:rPr>
              <w:t xml:space="preserve">Propozycja </w:t>
            </w:r>
            <w:r w:rsidR="00773DAD" w:rsidRPr="006513A0">
              <w:rPr>
                <w:rFonts w:ascii="Lato" w:hAnsi="Lato" w:cs="Times New Roman"/>
                <w:b/>
                <w:bCs/>
                <w:sz w:val="20"/>
                <w:szCs w:val="20"/>
              </w:rPr>
              <w:t>brzmienia</w:t>
            </w:r>
            <w:r w:rsidR="00C93278" w:rsidRPr="006513A0">
              <w:rPr>
                <w:rFonts w:ascii="Lato" w:hAnsi="Lato" w:cs="Times New Roman"/>
                <w:b/>
                <w:bCs/>
                <w:sz w:val="20"/>
                <w:szCs w:val="20"/>
              </w:rPr>
              <w:t xml:space="preserve"> przepisu</w:t>
            </w:r>
          </w:p>
        </w:tc>
        <w:tc>
          <w:tcPr>
            <w:tcW w:w="1428" w:type="dxa"/>
          </w:tcPr>
          <w:p w14:paraId="2C049C38" w14:textId="382C7B91" w:rsidR="0090574C" w:rsidRPr="006513A0" w:rsidRDefault="0090574C" w:rsidP="00A9338E">
            <w:pPr>
              <w:jc w:val="center"/>
              <w:rPr>
                <w:rFonts w:ascii="Lato" w:hAnsi="Lato" w:cs="Times New Roman"/>
                <w:b/>
                <w:bCs/>
                <w:sz w:val="20"/>
                <w:szCs w:val="20"/>
              </w:rPr>
            </w:pPr>
            <w:r w:rsidRPr="006513A0">
              <w:rPr>
                <w:rFonts w:ascii="Lato" w:hAnsi="Lato" w:cs="Times New Roman"/>
                <w:b/>
                <w:bCs/>
                <w:sz w:val="20"/>
                <w:szCs w:val="20"/>
              </w:rPr>
              <w:t>Stanowisko do uwagi</w:t>
            </w:r>
          </w:p>
        </w:tc>
      </w:tr>
      <w:tr w:rsidR="0090574C" w:rsidRPr="006513A0" w14:paraId="27D19DF6" w14:textId="77777777" w:rsidTr="009B5AD6">
        <w:tc>
          <w:tcPr>
            <w:tcW w:w="562" w:type="dxa"/>
          </w:tcPr>
          <w:p w14:paraId="743719D4" w14:textId="77777777" w:rsidR="0090574C" w:rsidRPr="006513A0" w:rsidRDefault="0090574C" w:rsidP="00A9338E">
            <w:pPr>
              <w:jc w:val="center"/>
              <w:rPr>
                <w:rFonts w:ascii="Lato" w:hAnsi="Lato" w:cs="Times New Roman"/>
                <w:sz w:val="20"/>
                <w:szCs w:val="20"/>
              </w:rPr>
            </w:pPr>
            <w:r w:rsidRPr="006513A0">
              <w:rPr>
                <w:rFonts w:ascii="Lato" w:hAnsi="Lato" w:cs="Times New Roman"/>
                <w:sz w:val="20"/>
                <w:szCs w:val="20"/>
              </w:rPr>
              <w:t>1</w:t>
            </w:r>
          </w:p>
        </w:tc>
        <w:tc>
          <w:tcPr>
            <w:tcW w:w="1701" w:type="dxa"/>
          </w:tcPr>
          <w:p w14:paraId="00E6D6A0" w14:textId="79C1656B" w:rsidR="0090574C" w:rsidRPr="006513A0" w:rsidRDefault="00CB218B" w:rsidP="00A9338E">
            <w:pPr>
              <w:jc w:val="both"/>
              <w:rPr>
                <w:rFonts w:ascii="Lato" w:hAnsi="Lato" w:cs="Times New Roman"/>
                <w:sz w:val="20"/>
                <w:szCs w:val="20"/>
              </w:rPr>
            </w:pPr>
            <w:r>
              <w:rPr>
                <w:rFonts w:ascii="Lato" w:hAnsi="Lato" w:cs="Times New Roman"/>
                <w:sz w:val="20"/>
                <w:szCs w:val="20"/>
              </w:rPr>
              <w:t>Związek Pracodawców Polska Miedź</w:t>
            </w:r>
          </w:p>
        </w:tc>
        <w:tc>
          <w:tcPr>
            <w:tcW w:w="2694" w:type="dxa"/>
          </w:tcPr>
          <w:p w14:paraId="32C46E4D" w14:textId="6DA9B926" w:rsidR="0090574C" w:rsidRPr="006513A0" w:rsidRDefault="006E0695" w:rsidP="00A9338E">
            <w:pPr>
              <w:jc w:val="both"/>
              <w:rPr>
                <w:rFonts w:ascii="Lato" w:hAnsi="Lato" w:cs="Times New Roman"/>
                <w:sz w:val="20"/>
                <w:szCs w:val="20"/>
              </w:rPr>
            </w:pPr>
            <w:r w:rsidRPr="006513A0">
              <w:rPr>
                <w:rFonts w:ascii="Lato" w:hAnsi="Lato" w:cs="Times New Roman"/>
                <w:sz w:val="20"/>
                <w:szCs w:val="20"/>
              </w:rPr>
              <w:t>Art. 1 pkt 3 projektu (art. 5 ust. 1bb PE)</w:t>
            </w:r>
          </w:p>
        </w:tc>
        <w:tc>
          <w:tcPr>
            <w:tcW w:w="5103" w:type="dxa"/>
          </w:tcPr>
          <w:p w14:paraId="2746E60B" w14:textId="7727BCCE" w:rsidR="00E2776A" w:rsidRPr="006513A0" w:rsidRDefault="00E2776A" w:rsidP="00A9338E">
            <w:pPr>
              <w:jc w:val="both"/>
              <w:rPr>
                <w:rFonts w:ascii="Lato" w:hAnsi="Lato" w:cs="Times New Roman"/>
                <w:b/>
                <w:bCs/>
                <w:sz w:val="20"/>
                <w:szCs w:val="20"/>
              </w:rPr>
            </w:pPr>
            <w:r w:rsidRPr="006513A0">
              <w:rPr>
                <w:rFonts w:ascii="Lato" w:hAnsi="Lato" w:cs="Times New Roman"/>
                <w:sz w:val="20"/>
                <w:szCs w:val="20"/>
              </w:rPr>
              <w:t xml:space="preserve">Obecnie obowiązujące przepisy nie wykluczają możliwości posiadania przez odbiorców więcej niż jednej umowy sprzedaży energii elektrycznej. </w:t>
            </w:r>
            <w:r w:rsidRPr="006513A0">
              <w:rPr>
                <w:rFonts w:ascii="Lato" w:hAnsi="Lato" w:cs="Times New Roman"/>
                <w:b/>
                <w:bCs/>
                <w:sz w:val="20"/>
                <w:szCs w:val="20"/>
              </w:rPr>
              <w:t>Przepis nie daje zatem nowego uprawnienia, lecz zawęża możliwość korzystania z niego –</w:t>
            </w:r>
            <w:r w:rsidR="00CE2F98" w:rsidRPr="006513A0">
              <w:rPr>
                <w:rFonts w:ascii="Lato" w:hAnsi="Lato" w:cs="Times New Roman"/>
                <w:b/>
                <w:bCs/>
                <w:sz w:val="20"/>
                <w:szCs w:val="20"/>
              </w:rPr>
              <w:t xml:space="preserve"> uzależniając od spełnienia określonych w projekcie warunków</w:t>
            </w:r>
            <w:r w:rsidRPr="006513A0">
              <w:rPr>
                <w:rFonts w:ascii="Lato" w:hAnsi="Lato" w:cs="Times New Roman"/>
                <w:b/>
                <w:bCs/>
                <w:sz w:val="20"/>
                <w:szCs w:val="20"/>
              </w:rPr>
              <w:t>.</w:t>
            </w:r>
          </w:p>
          <w:p w14:paraId="5C6517B3" w14:textId="77777777" w:rsidR="00E2776A" w:rsidRPr="006513A0" w:rsidRDefault="00E2776A" w:rsidP="00A9338E">
            <w:pPr>
              <w:jc w:val="both"/>
              <w:rPr>
                <w:rFonts w:ascii="Lato" w:hAnsi="Lato" w:cs="Times New Roman"/>
                <w:sz w:val="20"/>
                <w:szCs w:val="20"/>
              </w:rPr>
            </w:pPr>
          </w:p>
          <w:p w14:paraId="6A81E5B1" w14:textId="4F293003" w:rsidR="00F06C7C" w:rsidRPr="006513A0" w:rsidRDefault="00E2776A" w:rsidP="00A9338E">
            <w:pPr>
              <w:jc w:val="both"/>
              <w:rPr>
                <w:rFonts w:ascii="Lato" w:hAnsi="Lato" w:cs="Times New Roman"/>
                <w:sz w:val="20"/>
                <w:szCs w:val="20"/>
              </w:rPr>
            </w:pPr>
            <w:r w:rsidRPr="006513A0">
              <w:rPr>
                <w:rFonts w:ascii="Lato" w:hAnsi="Lato" w:cs="Times New Roman"/>
                <w:sz w:val="20"/>
                <w:szCs w:val="20"/>
              </w:rPr>
              <w:t xml:space="preserve">Wśród większych odbiorców </w:t>
            </w:r>
            <w:r w:rsidR="00F06C7C" w:rsidRPr="006513A0">
              <w:rPr>
                <w:rFonts w:ascii="Lato" w:hAnsi="Lato" w:cs="Times New Roman"/>
                <w:sz w:val="20"/>
                <w:szCs w:val="20"/>
              </w:rPr>
              <w:t>posiadanie wielu umów sprzedaży jest</w:t>
            </w:r>
            <w:r w:rsidRPr="006513A0">
              <w:rPr>
                <w:rFonts w:ascii="Lato" w:hAnsi="Lato" w:cs="Times New Roman"/>
                <w:sz w:val="20"/>
                <w:szCs w:val="20"/>
              </w:rPr>
              <w:t xml:space="preserve"> zjawisk</w:t>
            </w:r>
            <w:r w:rsidR="00F06C7C" w:rsidRPr="006513A0">
              <w:rPr>
                <w:rFonts w:ascii="Lato" w:hAnsi="Lato" w:cs="Times New Roman"/>
                <w:sz w:val="20"/>
                <w:szCs w:val="20"/>
              </w:rPr>
              <w:t>iem</w:t>
            </w:r>
            <w:r w:rsidRPr="006513A0">
              <w:rPr>
                <w:rFonts w:ascii="Lato" w:hAnsi="Lato" w:cs="Times New Roman"/>
                <w:sz w:val="20"/>
                <w:szCs w:val="20"/>
              </w:rPr>
              <w:t xml:space="preserve"> nierzadki</w:t>
            </w:r>
            <w:r w:rsidR="00F06C7C" w:rsidRPr="006513A0">
              <w:rPr>
                <w:rFonts w:ascii="Lato" w:hAnsi="Lato" w:cs="Times New Roman"/>
                <w:sz w:val="20"/>
                <w:szCs w:val="20"/>
              </w:rPr>
              <w:t>m</w:t>
            </w:r>
            <w:r w:rsidRPr="006513A0">
              <w:rPr>
                <w:rFonts w:ascii="Lato" w:hAnsi="Lato" w:cs="Times New Roman"/>
                <w:sz w:val="20"/>
                <w:szCs w:val="20"/>
              </w:rPr>
              <w:t>. Odbiorcy mający odrębne umowy na usługi bilansowania handlowego często zawierają więcej niż jedną umowę zakupu energii elektrycznej</w:t>
            </w:r>
            <w:r w:rsidR="00F06C7C" w:rsidRPr="006513A0">
              <w:rPr>
                <w:rFonts w:ascii="Lato" w:hAnsi="Lato" w:cs="Times New Roman"/>
                <w:sz w:val="20"/>
                <w:szCs w:val="20"/>
              </w:rPr>
              <w:t xml:space="preserve"> – w ramach własnej Jednostki Bilansowej lub jednostki </w:t>
            </w:r>
            <w:r w:rsidR="00CE2F98" w:rsidRPr="006513A0">
              <w:rPr>
                <w:rFonts w:ascii="Lato" w:hAnsi="Lato" w:cs="Times New Roman"/>
                <w:sz w:val="20"/>
                <w:szCs w:val="20"/>
              </w:rPr>
              <w:t xml:space="preserve">bilansowej </w:t>
            </w:r>
            <w:r w:rsidR="00F06C7C" w:rsidRPr="006513A0">
              <w:rPr>
                <w:rFonts w:ascii="Lato" w:hAnsi="Lato" w:cs="Times New Roman"/>
                <w:sz w:val="20"/>
                <w:szCs w:val="20"/>
              </w:rPr>
              <w:t>swojego POB</w:t>
            </w:r>
            <w:r w:rsidRPr="006513A0">
              <w:rPr>
                <w:rFonts w:ascii="Lato" w:hAnsi="Lato" w:cs="Times New Roman"/>
                <w:sz w:val="20"/>
                <w:szCs w:val="20"/>
              </w:rPr>
              <w:t xml:space="preserve"> (co związane jest też m.in. z zawieraniem PPA). Projektowany przepis może stworzyć wątpliwość </w:t>
            </w:r>
            <w:r w:rsidR="00F06C7C" w:rsidRPr="006513A0">
              <w:rPr>
                <w:rFonts w:ascii="Lato" w:hAnsi="Lato" w:cs="Times New Roman"/>
                <w:sz w:val="20"/>
                <w:szCs w:val="20"/>
              </w:rPr>
              <w:t xml:space="preserve">interpretacyjne </w:t>
            </w:r>
            <w:r w:rsidRPr="006513A0">
              <w:rPr>
                <w:rFonts w:ascii="Lato" w:hAnsi="Lato" w:cs="Times New Roman"/>
                <w:sz w:val="20"/>
                <w:szCs w:val="20"/>
              </w:rPr>
              <w:t>czy tacy odbiorcy nadal będą mogli zawierać wiele umów</w:t>
            </w:r>
            <w:r w:rsidR="00F06C7C" w:rsidRPr="006513A0">
              <w:rPr>
                <w:rFonts w:ascii="Lato" w:hAnsi="Lato" w:cs="Times New Roman"/>
                <w:sz w:val="20"/>
                <w:szCs w:val="20"/>
              </w:rPr>
              <w:t xml:space="preserve"> sprzedaży</w:t>
            </w:r>
            <w:r w:rsidRPr="006513A0">
              <w:rPr>
                <w:rFonts w:ascii="Lato" w:hAnsi="Lato" w:cs="Times New Roman"/>
                <w:sz w:val="20"/>
                <w:szCs w:val="20"/>
              </w:rPr>
              <w:t xml:space="preserve">, bez instalowania dodatkowych liczników w </w:t>
            </w:r>
            <w:r w:rsidR="00F06C7C" w:rsidRPr="006513A0">
              <w:rPr>
                <w:rFonts w:ascii="Lato" w:hAnsi="Lato" w:cs="Times New Roman"/>
                <w:sz w:val="20"/>
                <w:szCs w:val="20"/>
              </w:rPr>
              <w:t xml:space="preserve">swoich </w:t>
            </w:r>
            <w:r w:rsidRPr="006513A0">
              <w:rPr>
                <w:rFonts w:ascii="Lato" w:hAnsi="Lato" w:cs="Times New Roman"/>
                <w:sz w:val="20"/>
                <w:szCs w:val="20"/>
              </w:rPr>
              <w:t>PPE</w:t>
            </w:r>
            <w:r w:rsidR="00F06C7C" w:rsidRPr="006513A0">
              <w:rPr>
                <w:rFonts w:ascii="Lato" w:hAnsi="Lato" w:cs="Times New Roman"/>
                <w:sz w:val="20"/>
                <w:szCs w:val="20"/>
              </w:rPr>
              <w:t>.</w:t>
            </w:r>
            <w:r w:rsidRPr="006513A0">
              <w:rPr>
                <w:rFonts w:ascii="Lato" w:hAnsi="Lato" w:cs="Times New Roman"/>
                <w:sz w:val="20"/>
                <w:szCs w:val="20"/>
              </w:rPr>
              <w:t xml:space="preserve"> </w:t>
            </w:r>
            <w:r w:rsidR="00F06C7C" w:rsidRPr="006513A0">
              <w:rPr>
                <w:rFonts w:ascii="Lato" w:hAnsi="Lato" w:cs="Times New Roman"/>
                <w:sz w:val="20"/>
                <w:szCs w:val="20"/>
              </w:rPr>
              <w:t xml:space="preserve">Taki wymóg w ich przypadku nie ma </w:t>
            </w:r>
            <w:r w:rsidR="00CE2F98" w:rsidRPr="006513A0">
              <w:rPr>
                <w:rFonts w:ascii="Lato" w:hAnsi="Lato" w:cs="Times New Roman"/>
                <w:sz w:val="20"/>
                <w:szCs w:val="20"/>
              </w:rPr>
              <w:t xml:space="preserve">natomiast </w:t>
            </w:r>
            <w:r w:rsidR="00F06C7C" w:rsidRPr="006513A0">
              <w:rPr>
                <w:rFonts w:ascii="Lato" w:hAnsi="Lato" w:cs="Times New Roman"/>
                <w:sz w:val="20"/>
                <w:szCs w:val="20"/>
              </w:rPr>
              <w:t>najmniejszego sensu, gdyż rozliczenia ze sprzedawcami nie są prowadzone w oparciu o wskazania układów pomiarowych</w:t>
            </w:r>
            <w:r w:rsidR="00CE2F98" w:rsidRPr="006513A0">
              <w:rPr>
                <w:rFonts w:ascii="Lato" w:hAnsi="Lato" w:cs="Times New Roman"/>
                <w:sz w:val="20"/>
                <w:szCs w:val="20"/>
              </w:rPr>
              <w:t>, tj. w oparciu o rzeczywistą ilość dostarczonej energii.</w:t>
            </w:r>
          </w:p>
          <w:p w14:paraId="3379CF0F" w14:textId="77777777" w:rsidR="00F06C7C" w:rsidRPr="006513A0" w:rsidRDefault="00F06C7C" w:rsidP="00A9338E">
            <w:pPr>
              <w:jc w:val="both"/>
              <w:rPr>
                <w:rFonts w:ascii="Lato" w:hAnsi="Lato" w:cs="Times New Roman"/>
                <w:sz w:val="20"/>
                <w:szCs w:val="20"/>
              </w:rPr>
            </w:pPr>
          </w:p>
          <w:p w14:paraId="40039D54" w14:textId="77777777" w:rsidR="0090574C" w:rsidRPr="006513A0" w:rsidRDefault="00E2776A" w:rsidP="00A9338E">
            <w:pPr>
              <w:jc w:val="both"/>
              <w:rPr>
                <w:rFonts w:ascii="Lato" w:hAnsi="Lato" w:cs="Times New Roman"/>
                <w:sz w:val="20"/>
                <w:szCs w:val="20"/>
              </w:rPr>
            </w:pPr>
            <w:r w:rsidRPr="006513A0">
              <w:rPr>
                <w:rFonts w:ascii="Lato" w:hAnsi="Lato" w:cs="Times New Roman"/>
                <w:sz w:val="20"/>
                <w:szCs w:val="20"/>
              </w:rPr>
              <w:t>Projektowany przepis formalnie dotyczy</w:t>
            </w:r>
            <w:r w:rsidR="00F06C7C" w:rsidRPr="006513A0">
              <w:rPr>
                <w:rFonts w:ascii="Lato" w:hAnsi="Lato" w:cs="Times New Roman"/>
                <w:sz w:val="20"/>
                <w:szCs w:val="20"/>
              </w:rPr>
              <w:t>ć będzie</w:t>
            </w:r>
            <w:r w:rsidRPr="006513A0">
              <w:rPr>
                <w:rFonts w:ascii="Lato" w:hAnsi="Lato" w:cs="Times New Roman"/>
                <w:sz w:val="20"/>
                <w:szCs w:val="20"/>
              </w:rPr>
              <w:t xml:space="preserve"> każdego „odbiorcy” mimo, że wydaje się</w:t>
            </w:r>
            <w:r w:rsidR="00CE2F98" w:rsidRPr="006513A0">
              <w:rPr>
                <w:rFonts w:ascii="Lato" w:hAnsi="Lato" w:cs="Times New Roman"/>
                <w:sz w:val="20"/>
                <w:szCs w:val="20"/>
              </w:rPr>
              <w:t>,</w:t>
            </w:r>
            <w:r w:rsidRPr="006513A0">
              <w:rPr>
                <w:rFonts w:ascii="Lato" w:hAnsi="Lato" w:cs="Times New Roman"/>
                <w:sz w:val="20"/>
                <w:szCs w:val="20"/>
              </w:rPr>
              <w:t xml:space="preserve"> iż w praktyce miał on dotyczyć </w:t>
            </w:r>
            <w:r w:rsidR="00F06C7C" w:rsidRPr="006513A0">
              <w:rPr>
                <w:rFonts w:ascii="Lato" w:hAnsi="Lato" w:cs="Times New Roman"/>
                <w:sz w:val="20"/>
                <w:szCs w:val="20"/>
              </w:rPr>
              <w:t xml:space="preserve">jedynie </w:t>
            </w:r>
            <w:r w:rsidRPr="006513A0">
              <w:rPr>
                <w:rFonts w:ascii="Lato" w:hAnsi="Lato" w:cs="Times New Roman"/>
                <w:sz w:val="20"/>
                <w:szCs w:val="20"/>
              </w:rPr>
              <w:t>„mniejszych” odbiorców końcowych, nie zawierających odrębnych umów na bilansowanie handlowe</w:t>
            </w:r>
            <w:r w:rsidR="00F06C7C" w:rsidRPr="006513A0">
              <w:rPr>
                <w:rFonts w:ascii="Lato" w:hAnsi="Lato" w:cs="Times New Roman"/>
                <w:sz w:val="20"/>
                <w:szCs w:val="20"/>
              </w:rPr>
              <w:t>/ nie rozliczanych za energię sprzedaną w punkcie.</w:t>
            </w:r>
          </w:p>
          <w:p w14:paraId="4AE287CA" w14:textId="77777777" w:rsidR="00CE2F98" w:rsidRPr="006513A0" w:rsidRDefault="00CE2F98" w:rsidP="00A9338E">
            <w:pPr>
              <w:jc w:val="both"/>
              <w:rPr>
                <w:rFonts w:ascii="Lato" w:hAnsi="Lato" w:cs="Times New Roman"/>
                <w:sz w:val="20"/>
                <w:szCs w:val="20"/>
              </w:rPr>
            </w:pPr>
          </w:p>
          <w:p w14:paraId="473A40F5" w14:textId="5CEA9664" w:rsidR="00CE2F98" w:rsidRPr="006513A0" w:rsidRDefault="00CE2F98" w:rsidP="007F0B65">
            <w:pPr>
              <w:jc w:val="both"/>
              <w:rPr>
                <w:rFonts w:ascii="Lato" w:hAnsi="Lato" w:cs="Times New Roman"/>
                <w:sz w:val="20"/>
                <w:szCs w:val="20"/>
              </w:rPr>
            </w:pPr>
            <w:r w:rsidRPr="006513A0">
              <w:rPr>
                <w:rFonts w:ascii="Lato" w:hAnsi="Lato" w:cs="Times New Roman"/>
                <w:sz w:val="20"/>
                <w:szCs w:val="20"/>
              </w:rPr>
              <w:t>Dlatego wskazane jest doprecyzowanie, że</w:t>
            </w:r>
            <w:r w:rsidR="0008694F" w:rsidRPr="006513A0">
              <w:rPr>
                <w:rFonts w:ascii="Lato" w:hAnsi="Lato" w:cs="Times New Roman"/>
                <w:sz w:val="20"/>
                <w:szCs w:val="20"/>
              </w:rPr>
              <w:t xml:space="preserve"> przepis</w:t>
            </w:r>
            <w:r w:rsidRPr="006513A0">
              <w:rPr>
                <w:rFonts w:ascii="Lato" w:hAnsi="Lato" w:cs="Times New Roman"/>
                <w:sz w:val="20"/>
                <w:szCs w:val="20"/>
              </w:rPr>
              <w:t xml:space="preserve"> odnosi się tylko do odbiorców zakupujących energię w (fizycznym) PPE</w:t>
            </w:r>
            <w:r w:rsidR="0008694F" w:rsidRPr="006513A0">
              <w:rPr>
                <w:rFonts w:ascii="Lato" w:hAnsi="Lato" w:cs="Times New Roman"/>
                <w:sz w:val="20"/>
                <w:szCs w:val="20"/>
              </w:rPr>
              <w:t xml:space="preserve"> oraz nie wyklucza odrębnych uzgodnień z POB.</w:t>
            </w:r>
          </w:p>
        </w:tc>
        <w:tc>
          <w:tcPr>
            <w:tcW w:w="4252" w:type="dxa"/>
          </w:tcPr>
          <w:p w14:paraId="49D66E7C" w14:textId="5153B707" w:rsidR="00F06C7C" w:rsidRPr="006513A0" w:rsidRDefault="00F06C7C" w:rsidP="00A9338E">
            <w:pPr>
              <w:jc w:val="both"/>
              <w:rPr>
                <w:rFonts w:ascii="Lato" w:hAnsi="Lato" w:cs="Times New Roman"/>
                <w:i/>
                <w:iCs/>
                <w:sz w:val="20"/>
                <w:szCs w:val="20"/>
              </w:rPr>
            </w:pPr>
            <w:r w:rsidRPr="006513A0">
              <w:rPr>
                <w:rFonts w:ascii="Lato" w:hAnsi="Lato" w:cs="Times New Roman"/>
                <w:i/>
                <w:iCs/>
                <w:sz w:val="20"/>
                <w:szCs w:val="20"/>
              </w:rPr>
              <w:t xml:space="preserve">1bb. Uprawnienie, o którym mowa w ust. 1ba, </w:t>
            </w:r>
            <w:r w:rsidRPr="006513A0">
              <w:rPr>
                <w:rFonts w:ascii="Lato" w:hAnsi="Lato" w:cs="Times New Roman"/>
                <w:i/>
                <w:iCs/>
                <w:color w:val="FF0000"/>
                <w:sz w:val="20"/>
                <w:szCs w:val="20"/>
              </w:rPr>
              <w:t>odbiorca dokonujący zakupu energii elektrycznej w punkcie poboru energii może zrealizować</w:t>
            </w:r>
            <w:r w:rsidRPr="006513A0">
              <w:rPr>
                <w:rFonts w:ascii="Lato" w:hAnsi="Lato" w:cs="Times New Roman"/>
                <w:i/>
                <w:iCs/>
                <w:sz w:val="20"/>
                <w:szCs w:val="20"/>
              </w:rPr>
              <w:t>:</w:t>
            </w:r>
          </w:p>
          <w:p w14:paraId="42596CAE" w14:textId="77777777" w:rsidR="00F06C7C" w:rsidRPr="006513A0" w:rsidRDefault="00F06C7C" w:rsidP="00A9338E">
            <w:pPr>
              <w:jc w:val="both"/>
              <w:rPr>
                <w:rFonts w:ascii="Lato" w:hAnsi="Lato" w:cs="Times New Roman"/>
                <w:i/>
                <w:iCs/>
                <w:sz w:val="20"/>
                <w:szCs w:val="20"/>
              </w:rPr>
            </w:pPr>
            <w:r w:rsidRPr="006513A0">
              <w:rPr>
                <w:rFonts w:ascii="Lato" w:hAnsi="Lato" w:cs="Times New Roman"/>
                <w:i/>
                <w:iCs/>
                <w:sz w:val="20"/>
                <w:szCs w:val="20"/>
              </w:rPr>
              <w:t>1)</w:t>
            </w:r>
            <w:r w:rsidRPr="006513A0">
              <w:rPr>
                <w:rFonts w:ascii="Lato" w:hAnsi="Lato" w:cs="Times New Roman"/>
                <w:i/>
                <w:iCs/>
                <w:sz w:val="20"/>
                <w:szCs w:val="20"/>
              </w:rPr>
              <w:tab/>
              <w:t>posiadając więcej niż jeden punkt poboru energii,</w:t>
            </w:r>
          </w:p>
          <w:p w14:paraId="74BCD6A5" w14:textId="41226047" w:rsidR="00F06C7C" w:rsidRPr="006513A0" w:rsidRDefault="00F06C7C" w:rsidP="00A9338E">
            <w:pPr>
              <w:jc w:val="both"/>
              <w:rPr>
                <w:rFonts w:ascii="Lato" w:hAnsi="Lato" w:cs="Times New Roman"/>
                <w:i/>
                <w:iCs/>
                <w:sz w:val="20"/>
                <w:szCs w:val="20"/>
              </w:rPr>
            </w:pPr>
            <w:r w:rsidRPr="006513A0">
              <w:rPr>
                <w:rFonts w:ascii="Lato" w:hAnsi="Lato" w:cs="Times New Roman"/>
                <w:i/>
                <w:iCs/>
                <w:sz w:val="20"/>
                <w:szCs w:val="20"/>
              </w:rPr>
              <w:t>2)</w:t>
            </w:r>
            <w:r w:rsidRPr="006513A0">
              <w:rPr>
                <w:rFonts w:ascii="Lato" w:hAnsi="Lato" w:cs="Times New Roman"/>
                <w:i/>
                <w:iCs/>
                <w:sz w:val="20"/>
                <w:szCs w:val="20"/>
              </w:rPr>
              <w:tab/>
              <w:t>instalując dodatkowy licznik zdalnego odczytu, w jednym punkcie poboru energii.</w:t>
            </w:r>
          </w:p>
          <w:p w14:paraId="3DDC253A" w14:textId="5C6F71DF" w:rsidR="0008694F" w:rsidRPr="006513A0" w:rsidRDefault="0008694F" w:rsidP="00A9338E">
            <w:pPr>
              <w:jc w:val="both"/>
              <w:rPr>
                <w:rFonts w:ascii="Lato" w:hAnsi="Lato" w:cs="Times New Roman"/>
                <w:sz w:val="20"/>
                <w:szCs w:val="20"/>
              </w:rPr>
            </w:pPr>
            <w:r w:rsidRPr="006513A0">
              <w:rPr>
                <w:rFonts w:ascii="Lato" w:hAnsi="Lato" w:cs="Times New Roman"/>
                <w:i/>
                <w:iCs/>
                <w:color w:val="FF0000"/>
                <w:sz w:val="20"/>
                <w:szCs w:val="20"/>
              </w:rPr>
              <w:t>lub zawierając stosowną umowę z podmiotem odpowiedzialnym za bilansowanie, bądź przejmując samodzielnie odpowiedzialność za swoje bilansowanie.</w:t>
            </w:r>
          </w:p>
          <w:p w14:paraId="67C28E7A" w14:textId="77777777" w:rsidR="0008694F" w:rsidRPr="006513A0" w:rsidRDefault="0008694F" w:rsidP="00A9338E">
            <w:pPr>
              <w:jc w:val="both"/>
              <w:rPr>
                <w:rFonts w:ascii="Lato" w:hAnsi="Lato" w:cs="Times New Roman"/>
                <w:sz w:val="20"/>
                <w:szCs w:val="20"/>
              </w:rPr>
            </w:pPr>
          </w:p>
          <w:p w14:paraId="22910CD3" w14:textId="77777777" w:rsidR="0008694F" w:rsidRPr="006513A0" w:rsidRDefault="0008694F" w:rsidP="00A9338E">
            <w:pPr>
              <w:jc w:val="both"/>
              <w:rPr>
                <w:rFonts w:ascii="Lato" w:hAnsi="Lato" w:cs="Times New Roman"/>
                <w:sz w:val="20"/>
                <w:szCs w:val="20"/>
              </w:rPr>
            </w:pPr>
          </w:p>
          <w:p w14:paraId="72530CAA" w14:textId="10AD9D8C" w:rsidR="008917E2" w:rsidRPr="006513A0" w:rsidRDefault="008917E2" w:rsidP="0008694F">
            <w:pPr>
              <w:jc w:val="both"/>
              <w:rPr>
                <w:rFonts w:ascii="Lato" w:hAnsi="Lato" w:cs="Times New Roman"/>
                <w:sz w:val="20"/>
                <w:szCs w:val="20"/>
              </w:rPr>
            </w:pPr>
          </w:p>
        </w:tc>
        <w:tc>
          <w:tcPr>
            <w:tcW w:w="1428" w:type="dxa"/>
          </w:tcPr>
          <w:p w14:paraId="330A28F2" w14:textId="77777777" w:rsidR="0090574C" w:rsidRPr="006513A0" w:rsidRDefault="0090574C" w:rsidP="00A9338E">
            <w:pPr>
              <w:jc w:val="both"/>
              <w:rPr>
                <w:rFonts w:ascii="Lato" w:hAnsi="Lato" w:cs="Times New Roman"/>
                <w:sz w:val="20"/>
                <w:szCs w:val="20"/>
              </w:rPr>
            </w:pPr>
          </w:p>
        </w:tc>
      </w:tr>
      <w:tr w:rsidR="00B86ED0" w:rsidRPr="006513A0" w14:paraId="4AE66715" w14:textId="77777777" w:rsidTr="009B5AD6">
        <w:tc>
          <w:tcPr>
            <w:tcW w:w="562" w:type="dxa"/>
          </w:tcPr>
          <w:p w14:paraId="6AFC8947" w14:textId="6420194E" w:rsidR="00B86ED0" w:rsidRPr="006513A0" w:rsidRDefault="00B86ED0" w:rsidP="00A9338E">
            <w:pPr>
              <w:jc w:val="center"/>
              <w:rPr>
                <w:rFonts w:ascii="Lato" w:hAnsi="Lato" w:cs="Times New Roman"/>
                <w:sz w:val="20"/>
                <w:szCs w:val="20"/>
              </w:rPr>
            </w:pPr>
            <w:r w:rsidRPr="006513A0">
              <w:rPr>
                <w:rFonts w:ascii="Lato" w:hAnsi="Lato" w:cs="Times New Roman"/>
                <w:sz w:val="20"/>
                <w:szCs w:val="20"/>
              </w:rPr>
              <w:lastRenderedPageBreak/>
              <w:t>2</w:t>
            </w:r>
          </w:p>
        </w:tc>
        <w:tc>
          <w:tcPr>
            <w:tcW w:w="1701" w:type="dxa"/>
          </w:tcPr>
          <w:p w14:paraId="752B4D6B" w14:textId="106167B9" w:rsidR="00B86ED0" w:rsidRPr="006513A0" w:rsidRDefault="00CB218B" w:rsidP="00A9338E">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1945FFFA" w14:textId="2A7BCF02" w:rsidR="00B86ED0" w:rsidRPr="006513A0" w:rsidRDefault="00B86ED0" w:rsidP="00A9338E">
            <w:pPr>
              <w:jc w:val="both"/>
              <w:rPr>
                <w:rFonts w:ascii="Lato" w:hAnsi="Lato" w:cs="Times New Roman"/>
                <w:sz w:val="20"/>
                <w:szCs w:val="20"/>
              </w:rPr>
            </w:pPr>
            <w:r w:rsidRPr="006513A0">
              <w:rPr>
                <w:rFonts w:ascii="Lato" w:hAnsi="Lato" w:cs="Times New Roman"/>
                <w:sz w:val="20"/>
                <w:szCs w:val="20"/>
              </w:rPr>
              <w:t>Art. 1 pkt 3 projektu (art. 6h ust. 1 PE)</w:t>
            </w:r>
          </w:p>
        </w:tc>
        <w:tc>
          <w:tcPr>
            <w:tcW w:w="5103" w:type="dxa"/>
          </w:tcPr>
          <w:p w14:paraId="2D79E846" w14:textId="478726AF" w:rsidR="007771BE" w:rsidRPr="006513A0" w:rsidRDefault="003122BA" w:rsidP="00A9338E">
            <w:pPr>
              <w:jc w:val="both"/>
              <w:rPr>
                <w:rFonts w:ascii="Lato" w:hAnsi="Lato" w:cs="Times New Roman"/>
                <w:sz w:val="20"/>
                <w:szCs w:val="20"/>
              </w:rPr>
            </w:pPr>
            <w:r w:rsidRPr="006513A0">
              <w:rPr>
                <w:rFonts w:ascii="Lato" w:hAnsi="Lato" w:cs="Times New Roman"/>
                <w:sz w:val="20"/>
                <w:szCs w:val="20"/>
              </w:rPr>
              <w:t>Dodawany w art. 6h obowiązek stanowi kolejne obciążenie regulacyjne, które nie ma uzasadnienia dla bardzo wielu relacji kontraktow</w:t>
            </w:r>
            <w:r w:rsidR="000A275E" w:rsidRPr="006513A0">
              <w:rPr>
                <w:rFonts w:ascii="Lato" w:hAnsi="Lato" w:cs="Times New Roman"/>
                <w:sz w:val="20"/>
                <w:szCs w:val="20"/>
              </w:rPr>
              <w:t>ych</w:t>
            </w:r>
            <w:r w:rsidRPr="006513A0">
              <w:rPr>
                <w:rFonts w:ascii="Lato" w:hAnsi="Lato" w:cs="Times New Roman"/>
                <w:sz w:val="20"/>
                <w:szCs w:val="20"/>
              </w:rPr>
              <w:t>. O ile kolejne obowiązki informacyjne mogą mieć jakieś uzasadnienie (choć i to jest wątpliwe) w relacjach z konsumentami czy małymi odbiorcami, o tyle w</w:t>
            </w:r>
            <w:r w:rsidR="000A275E" w:rsidRPr="006513A0">
              <w:rPr>
                <w:rFonts w:ascii="Lato" w:hAnsi="Lato" w:cs="Times New Roman"/>
                <w:sz w:val="20"/>
                <w:szCs w:val="20"/>
              </w:rPr>
              <w:t xml:space="preserve"> odniesieniu do odbiorców, u których pozyskiwanie energii odbywa się w sposób sprofesjonalizowany</w:t>
            </w:r>
            <w:r w:rsidR="007F0B65">
              <w:rPr>
                <w:rFonts w:ascii="Lato" w:hAnsi="Lato" w:cs="Times New Roman"/>
                <w:sz w:val="20"/>
                <w:szCs w:val="20"/>
              </w:rPr>
              <w:t>,</w:t>
            </w:r>
            <w:r w:rsidR="000A275E" w:rsidRPr="006513A0">
              <w:rPr>
                <w:rFonts w:ascii="Lato" w:hAnsi="Lato" w:cs="Times New Roman"/>
                <w:sz w:val="20"/>
                <w:szCs w:val="20"/>
              </w:rPr>
              <w:t xml:space="preserve"> są one całkowicie bezcelowe. Przepis traktuje jedną miarą dużego sprzedawcę dostarczającego energię odbiorcom w gosp. domowym</w:t>
            </w:r>
            <w:r w:rsidR="007F0B65">
              <w:rPr>
                <w:rFonts w:ascii="Lato" w:hAnsi="Lato" w:cs="Times New Roman"/>
                <w:sz w:val="20"/>
                <w:szCs w:val="20"/>
              </w:rPr>
              <w:t>,</w:t>
            </w:r>
            <w:r w:rsidR="000A275E" w:rsidRPr="006513A0">
              <w:rPr>
                <w:rFonts w:ascii="Lato" w:hAnsi="Lato" w:cs="Times New Roman"/>
                <w:sz w:val="20"/>
                <w:szCs w:val="20"/>
              </w:rPr>
              <w:t xml:space="preserve"> jak </w:t>
            </w:r>
            <w:r w:rsidR="0008694F" w:rsidRPr="006513A0">
              <w:rPr>
                <w:rFonts w:ascii="Lato" w:hAnsi="Lato" w:cs="Times New Roman"/>
                <w:sz w:val="20"/>
                <w:szCs w:val="20"/>
              </w:rPr>
              <w:t xml:space="preserve">i </w:t>
            </w:r>
            <w:r w:rsidR="000A275E" w:rsidRPr="006513A0">
              <w:rPr>
                <w:rFonts w:ascii="Lato" w:hAnsi="Lato" w:cs="Times New Roman"/>
                <w:sz w:val="20"/>
                <w:szCs w:val="20"/>
              </w:rPr>
              <w:t>wytwórcę energii z OZE sprzedającemu bezpośrednio energię elektryczną wyłącznie jednemu odbiorcy lub tylko dużym odbiorcom. Przykładowo</w:t>
            </w:r>
            <w:r w:rsidR="007F0B65">
              <w:rPr>
                <w:rFonts w:ascii="Lato" w:hAnsi="Lato" w:cs="Times New Roman"/>
                <w:sz w:val="20"/>
                <w:szCs w:val="20"/>
              </w:rPr>
              <w:t>,</w:t>
            </w:r>
            <w:r w:rsidR="000A275E" w:rsidRPr="006513A0">
              <w:rPr>
                <w:rFonts w:ascii="Lato" w:hAnsi="Lato" w:cs="Times New Roman"/>
                <w:sz w:val="20"/>
                <w:szCs w:val="20"/>
              </w:rPr>
              <w:t xml:space="preserve"> odbiorcy przemysłowi, czy te</w:t>
            </w:r>
            <w:r w:rsidR="007F0B65">
              <w:rPr>
                <w:rFonts w:ascii="Lato" w:hAnsi="Lato" w:cs="Times New Roman"/>
                <w:sz w:val="20"/>
                <w:szCs w:val="20"/>
              </w:rPr>
              <w:t>ż</w:t>
            </w:r>
            <w:r w:rsidR="000A275E" w:rsidRPr="006513A0">
              <w:rPr>
                <w:rFonts w:ascii="Lato" w:hAnsi="Lato" w:cs="Times New Roman"/>
                <w:sz w:val="20"/>
                <w:szCs w:val="20"/>
              </w:rPr>
              <w:t xml:space="preserve"> inni odbiorcy nabywający energię </w:t>
            </w:r>
            <w:r w:rsidR="007F0B65">
              <w:rPr>
                <w:rFonts w:ascii="Lato" w:hAnsi="Lato" w:cs="Times New Roman"/>
                <w:sz w:val="20"/>
                <w:szCs w:val="20"/>
              </w:rPr>
              <w:t>(</w:t>
            </w:r>
            <w:r w:rsidR="000A275E" w:rsidRPr="006513A0">
              <w:rPr>
                <w:rFonts w:ascii="Lato" w:hAnsi="Lato" w:cs="Times New Roman"/>
                <w:sz w:val="20"/>
                <w:szCs w:val="20"/>
              </w:rPr>
              <w:t xml:space="preserve">np. na podstawie </w:t>
            </w:r>
            <w:proofErr w:type="spellStart"/>
            <w:r w:rsidR="000A275E" w:rsidRPr="006513A0">
              <w:rPr>
                <w:rFonts w:ascii="Lato" w:hAnsi="Lato" w:cs="Times New Roman"/>
                <w:sz w:val="20"/>
                <w:szCs w:val="20"/>
              </w:rPr>
              <w:t>cPPA</w:t>
            </w:r>
            <w:proofErr w:type="spellEnd"/>
            <w:r w:rsidR="007F0B65">
              <w:rPr>
                <w:rFonts w:ascii="Lato" w:hAnsi="Lato" w:cs="Times New Roman"/>
                <w:sz w:val="20"/>
                <w:szCs w:val="20"/>
              </w:rPr>
              <w:t>)</w:t>
            </w:r>
            <w:r w:rsidR="000A275E" w:rsidRPr="006513A0">
              <w:rPr>
                <w:rFonts w:ascii="Lato" w:hAnsi="Lato" w:cs="Times New Roman"/>
                <w:sz w:val="20"/>
                <w:szCs w:val="20"/>
              </w:rPr>
              <w:t xml:space="preserve"> </w:t>
            </w:r>
            <w:r w:rsidR="007F0B65">
              <w:rPr>
                <w:rFonts w:ascii="Lato" w:hAnsi="Lato" w:cs="Times New Roman"/>
                <w:sz w:val="20"/>
                <w:szCs w:val="20"/>
              </w:rPr>
              <w:t>z racji swojej działalności często cechują się co najmniej tak samo wysokim poziomem rozeznania w kwestiach energetycznych</w:t>
            </w:r>
            <w:r w:rsidR="000A275E" w:rsidRPr="006513A0">
              <w:rPr>
                <w:rFonts w:ascii="Lato" w:hAnsi="Lato" w:cs="Times New Roman"/>
                <w:sz w:val="20"/>
                <w:szCs w:val="20"/>
              </w:rPr>
              <w:t xml:space="preserve"> </w:t>
            </w:r>
            <w:r w:rsidR="007F0B65">
              <w:rPr>
                <w:rFonts w:ascii="Lato" w:hAnsi="Lato" w:cs="Times New Roman"/>
                <w:sz w:val="20"/>
                <w:szCs w:val="20"/>
              </w:rPr>
              <w:t>jak</w:t>
            </w:r>
            <w:r w:rsidR="007771BE" w:rsidRPr="006513A0">
              <w:rPr>
                <w:rFonts w:ascii="Lato" w:hAnsi="Lato" w:cs="Times New Roman"/>
                <w:sz w:val="20"/>
                <w:szCs w:val="20"/>
              </w:rPr>
              <w:t xml:space="preserve"> ich dostawcy</w:t>
            </w:r>
            <w:r w:rsidR="000A275E" w:rsidRPr="006513A0">
              <w:rPr>
                <w:rFonts w:ascii="Lato" w:hAnsi="Lato" w:cs="Times New Roman"/>
                <w:sz w:val="20"/>
                <w:szCs w:val="20"/>
              </w:rPr>
              <w:t>. Obarczanie setek SPV (wytwórców energii w OZE) obowiązkiem opracowywania dodatkowych informacji dla odbiorców energii w ramach PPA rodzi ciężary regulacyjne</w:t>
            </w:r>
            <w:r w:rsidR="007771BE" w:rsidRPr="006513A0">
              <w:rPr>
                <w:rFonts w:ascii="Lato" w:hAnsi="Lato" w:cs="Times New Roman"/>
                <w:sz w:val="20"/>
                <w:szCs w:val="20"/>
              </w:rPr>
              <w:t xml:space="preserve">, które </w:t>
            </w:r>
            <w:r w:rsidR="007F0B65">
              <w:rPr>
                <w:rFonts w:ascii="Lato" w:hAnsi="Lato" w:cs="Times New Roman"/>
                <w:sz w:val="20"/>
                <w:szCs w:val="20"/>
              </w:rPr>
              <w:t>nie przynoszą żadnych skutków</w:t>
            </w:r>
            <w:r w:rsidR="007771BE" w:rsidRPr="006513A0">
              <w:rPr>
                <w:rFonts w:ascii="Lato" w:hAnsi="Lato" w:cs="Times New Roman"/>
                <w:sz w:val="20"/>
                <w:szCs w:val="20"/>
              </w:rPr>
              <w:t xml:space="preserve"> (poza generowaniem dodatkowych kosztów działalności operacyjnej).</w:t>
            </w:r>
            <w:r w:rsidR="00D82B34" w:rsidRPr="006513A0">
              <w:rPr>
                <w:rFonts w:ascii="Lato" w:hAnsi="Lato" w:cs="Times New Roman"/>
                <w:sz w:val="20"/>
                <w:szCs w:val="20"/>
              </w:rPr>
              <w:t xml:space="preserve"> Podobn</w:t>
            </w:r>
            <w:r w:rsidR="0008694F" w:rsidRPr="006513A0">
              <w:rPr>
                <w:rFonts w:ascii="Lato" w:hAnsi="Lato" w:cs="Times New Roman"/>
                <w:sz w:val="20"/>
                <w:szCs w:val="20"/>
              </w:rPr>
              <w:t>y</w:t>
            </w:r>
            <w:r w:rsidR="00D82B34" w:rsidRPr="006513A0">
              <w:rPr>
                <w:rFonts w:ascii="Lato" w:hAnsi="Lato" w:cs="Times New Roman"/>
                <w:sz w:val="20"/>
                <w:szCs w:val="20"/>
              </w:rPr>
              <w:t xml:space="preserve"> skutek niesie nakładanie takich ciężarów w odniesieniu dostaw energii dla podmiotów powiązanych kapitałowo, czy też na obszarach Z</w:t>
            </w:r>
            <w:r w:rsidR="0008694F" w:rsidRPr="006513A0">
              <w:rPr>
                <w:rFonts w:ascii="Lato" w:hAnsi="Lato" w:cs="Times New Roman"/>
                <w:sz w:val="20"/>
                <w:szCs w:val="20"/>
              </w:rPr>
              <w:t>amkniętych Systemów Dystrybucyjnych</w:t>
            </w:r>
            <w:r w:rsidR="00D82B34" w:rsidRPr="006513A0">
              <w:rPr>
                <w:rFonts w:ascii="Lato" w:hAnsi="Lato" w:cs="Times New Roman"/>
                <w:sz w:val="20"/>
                <w:szCs w:val="20"/>
              </w:rPr>
              <w:t>.</w:t>
            </w:r>
            <w:r w:rsidR="007771BE" w:rsidRPr="006513A0">
              <w:rPr>
                <w:rFonts w:ascii="Lato" w:hAnsi="Lato" w:cs="Times New Roman"/>
                <w:sz w:val="20"/>
                <w:szCs w:val="20"/>
              </w:rPr>
              <w:t xml:space="preserve"> </w:t>
            </w:r>
            <w:r w:rsidR="007771BE" w:rsidRPr="006513A0">
              <w:rPr>
                <w:rFonts w:ascii="Lato" w:hAnsi="Lato" w:cs="Times New Roman"/>
                <w:b/>
                <w:bCs/>
                <w:sz w:val="20"/>
                <w:szCs w:val="20"/>
              </w:rPr>
              <w:t xml:space="preserve">Jest to całkowicie wbrew </w:t>
            </w:r>
            <w:r w:rsidR="00E357C2">
              <w:rPr>
                <w:rFonts w:ascii="Lato" w:hAnsi="Lato" w:cs="Times New Roman"/>
                <w:b/>
                <w:bCs/>
                <w:sz w:val="20"/>
                <w:szCs w:val="20"/>
              </w:rPr>
              <w:t>realizowanym obecnie rozwiązaniom o charakterze</w:t>
            </w:r>
            <w:r w:rsidR="007771BE" w:rsidRPr="006513A0">
              <w:rPr>
                <w:rFonts w:ascii="Lato" w:hAnsi="Lato" w:cs="Times New Roman"/>
                <w:b/>
                <w:bCs/>
                <w:sz w:val="20"/>
                <w:szCs w:val="20"/>
              </w:rPr>
              <w:t xml:space="preserve"> </w:t>
            </w:r>
            <w:proofErr w:type="spellStart"/>
            <w:r w:rsidR="00481C08" w:rsidRPr="006513A0">
              <w:rPr>
                <w:rFonts w:ascii="Lato" w:hAnsi="Lato" w:cs="Times New Roman"/>
                <w:b/>
                <w:bCs/>
                <w:sz w:val="20"/>
                <w:szCs w:val="20"/>
              </w:rPr>
              <w:t>de</w:t>
            </w:r>
            <w:r w:rsidR="007771BE" w:rsidRPr="006513A0">
              <w:rPr>
                <w:rFonts w:ascii="Lato" w:hAnsi="Lato" w:cs="Times New Roman"/>
                <w:b/>
                <w:bCs/>
                <w:sz w:val="20"/>
                <w:szCs w:val="20"/>
              </w:rPr>
              <w:t>regulacyjn</w:t>
            </w:r>
            <w:r w:rsidR="00E357C2">
              <w:rPr>
                <w:rFonts w:ascii="Lato" w:hAnsi="Lato" w:cs="Times New Roman"/>
                <w:b/>
                <w:bCs/>
                <w:sz w:val="20"/>
                <w:szCs w:val="20"/>
              </w:rPr>
              <w:t>ym</w:t>
            </w:r>
            <w:proofErr w:type="spellEnd"/>
            <w:r w:rsidR="00E357C2">
              <w:rPr>
                <w:rFonts w:ascii="Lato" w:hAnsi="Lato" w:cs="Times New Roman"/>
                <w:b/>
                <w:bCs/>
                <w:sz w:val="20"/>
                <w:szCs w:val="20"/>
              </w:rPr>
              <w:t>.</w:t>
            </w:r>
          </w:p>
        </w:tc>
        <w:tc>
          <w:tcPr>
            <w:tcW w:w="4252" w:type="dxa"/>
          </w:tcPr>
          <w:p w14:paraId="48888A72" w14:textId="77777777" w:rsidR="00B86ED0" w:rsidRPr="006513A0" w:rsidRDefault="003122BA" w:rsidP="00A9338E">
            <w:pPr>
              <w:jc w:val="both"/>
              <w:rPr>
                <w:rFonts w:ascii="Lato" w:hAnsi="Lato" w:cs="Times New Roman"/>
                <w:sz w:val="20"/>
                <w:szCs w:val="20"/>
              </w:rPr>
            </w:pPr>
            <w:r w:rsidRPr="006513A0">
              <w:rPr>
                <w:rFonts w:ascii="Lato" w:hAnsi="Lato" w:cs="Times New Roman"/>
                <w:sz w:val="20"/>
                <w:szCs w:val="20"/>
              </w:rPr>
              <w:t>Dodanie w art. 6h ust. 3:</w:t>
            </w:r>
          </w:p>
          <w:p w14:paraId="3B775471" w14:textId="2C596B0C" w:rsidR="00D82B34" w:rsidRPr="006513A0" w:rsidRDefault="003122BA" w:rsidP="00A9338E">
            <w:pPr>
              <w:jc w:val="both"/>
              <w:rPr>
                <w:rFonts w:ascii="Lato" w:hAnsi="Lato" w:cs="Times New Roman"/>
                <w:i/>
                <w:iCs/>
                <w:color w:val="FF0000"/>
                <w:sz w:val="20"/>
                <w:szCs w:val="20"/>
              </w:rPr>
            </w:pPr>
            <w:r w:rsidRPr="006513A0">
              <w:rPr>
                <w:rFonts w:ascii="Lato" w:hAnsi="Lato" w:cs="Times New Roman"/>
                <w:i/>
                <w:iCs/>
                <w:color w:val="FF0000"/>
                <w:sz w:val="20"/>
                <w:szCs w:val="20"/>
              </w:rPr>
              <w:t xml:space="preserve">Obowiązek, o którym mowa w ust. </w:t>
            </w:r>
            <w:r w:rsidR="00E86CDC" w:rsidRPr="006513A0">
              <w:rPr>
                <w:rFonts w:ascii="Lato" w:hAnsi="Lato" w:cs="Times New Roman"/>
                <w:i/>
                <w:iCs/>
                <w:color w:val="FF0000"/>
                <w:sz w:val="20"/>
                <w:szCs w:val="20"/>
              </w:rPr>
              <w:t>1</w:t>
            </w:r>
            <w:r w:rsidRPr="006513A0">
              <w:rPr>
                <w:rFonts w:ascii="Lato" w:hAnsi="Lato" w:cs="Times New Roman"/>
                <w:i/>
                <w:iCs/>
                <w:color w:val="FF0000"/>
                <w:sz w:val="20"/>
                <w:szCs w:val="20"/>
              </w:rPr>
              <w:t xml:space="preserve"> nie dotyczy</w:t>
            </w:r>
            <w:r w:rsidR="00D82B34" w:rsidRPr="006513A0">
              <w:rPr>
                <w:rFonts w:ascii="Lato" w:hAnsi="Lato" w:cs="Times New Roman"/>
                <w:i/>
                <w:iCs/>
                <w:color w:val="FF0000"/>
                <w:sz w:val="20"/>
                <w:szCs w:val="20"/>
              </w:rPr>
              <w:t xml:space="preserve"> dostarczania energii elektrycznej na podstawie umowy, o której mowa w art. 5 ust. 2d </w:t>
            </w:r>
            <w:r w:rsidR="0008694F" w:rsidRPr="006513A0">
              <w:rPr>
                <w:rFonts w:ascii="Lato" w:hAnsi="Lato" w:cs="Times New Roman"/>
                <w:i/>
                <w:iCs/>
                <w:color w:val="FF0000"/>
                <w:sz w:val="20"/>
                <w:szCs w:val="20"/>
              </w:rPr>
              <w:t xml:space="preserve">lub </w:t>
            </w:r>
            <w:r w:rsidR="00D82B34" w:rsidRPr="006513A0">
              <w:rPr>
                <w:rFonts w:ascii="Lato" w:hAnsi="Lato" w:cs="Times New Roman"/>
                <w:i/>
                <w:iCs/>
                <w:color w:val="FF0000"/>
                <w:sz w:val="20"/>
                <w:szCs w:val="20"/>
              </w:rPr>
              <w:t>do przedsiębiorstw powiązanych</w:t>
            </w:r>
            <w:r w:rsidR="0008694F" w:rsidRPr="006513A0">
              <w:rPr>
                <w:rFonts w:ascii="Lato" w:hAnsi="Lato" w:cs="Times New Roman"/>
                <w:i/>
                <w:iCs/>
                <w:color w:val="FF0000"/>
                <w:sz w:val="20"/>
                <w:szCs w:val="20"/>
              </w:rPr>
              <w:t>,</w:t>
            </w:r>
            <w:r w:rsidR="00D82B34" w:rsidRPr="006513A0">
              <w:rPr>
                <w:rFonts w:ascii="Lato" w:hAnsi="Lato" w:cs="Times New Roman"/>
                <w:i/>
                <w:iCs/>
                <w:color w:val="FF0000"/>
                <w:sz w:val="20"/>
                <w:szCs w:val="20"/>
              </w:rPr>
              <w:t xml:space="preserve"> lub do odbiorców końcowych przyłączonych do zamkniętego systemu dystrybucyjnego.</w:t>
            </w:r>
          </w:p>
          <w:p w14:paraId="5773CC58" w14:textId="77777777" w:rsidR="00D82B34" w:rsidRPr="006513A0" w:rsidRDefault="00D82B34" w:rsidP="00A9338E">
            <w:pPr>
              <w:jc w:val="both"/>
              <w:rPr>
                <w:rFonts w:ascii="Lato" w:hAnsi="Lato" w:cs="Times New Roman"/>
                <w:sz w:val="20"/>
                <w:szCs w:val="20"/>
              </w:rPr>
            </w:pPr>
          </w:p>
          <w:p w14:paraId="739BD357" w14:textId="77777777" w:rsidR="003122BA" w:rsidRPr="006513A0" w:rsidRDefault="003122BA" w:rsidP="00A9338E">
            <w:pPr>
              <w:jc w:val="both"/>
              <w:rPr>
                <w:rFonts w:ascii="Lato" w:hAnsi="Lato" w:cs="Times New Roman"/>
                <w:sz w:val="20"/>
                <w:szCs w:val="20"/>
              </w:rPr>
            </w:pPr>
          </w:p>
          <w:p w14:paraId="38D07FBA" w14:textId="0E0D1AD8" w:rsidR="003122BA" w:rsidRPr="006513A0" w:rsidRDefault="003122BA" w:rsidP="00A9338E">
            <w:pPr>
              <w:jc w:val="both"/>
              <w:rPr>
                <w:rFonts w:ascii="Lato" w:hAnsi="Lato" w:cs="Times New Roman"/>
                <w:sz w:val="20"/>
                <w:szCs w:val="20"/>
              </w:rPr>
            </w:pPr>
          </w:p>
        </w:tc>
        <w:tc>
          <w:tcPr>
            <w:tcW w:w="1428" w:type="dxa"/>
          </w:tcPr>
          <w:p w14:paraId="31C0C230" w14:textId="77777777" w:rsidR="00B86ED0" w:rsidRPr="006513A0" w:rsidRDefault="00B86ED0" w:rsidP="00A9338E">
            <w:pPr>
              <w:jc w:val="both"/>
              <w:rPr>
                <w:rFonts w:ascii="Lato" w:hAnsi="Lato" w:cs="Times New Roman"/>
                <w:sz w:val="20"/>
                <w:szCs w:val="20"/>
              </w:rPr>
            </w:pPr>
          </w:p>
        </w:tc>
      </w:tr>
      <w:tr w:rsidR="00B86ED0" w:rsidRPr="006513A0" w14:paraId="574FF95B" w14:textId="77777777" w:rsidTr="009B5AD6">
        <w:tc>
          <w:tcPr>
            <w:tcW w:w="562" w:type="dxa"/>
          </w:tcPr>
          <w:p w14:paraId="590D690B" w14:textId="321DEEE7" w:rsidR="00B86ED0" w:rsidRPr="006513A0" w:rsidRDefault="00B86ED0" w:rsidP="00A9338E">
            <w:pPr>
              <w:jc w:val="center"/>
              <w:rPr>
                <w:rFonts w:ascii="Lato" w:hAnsi="Lato" w:cs="Times New Roman"/>
                <w:sz w:val="20"/>
                <w:szCs w:val="20"/>
              </w:rPr>
            </w:pPr>
            <w:r w:rsidRPr="006513A0">
              <w:rPr>
                <w:rFonts w:ascii="Lato" w:hAnsi="Lato" w:cs="Times New Roman"/>
                <w:sz w:val="20"/>
                <w:szCs w:val="20"/>
              </w:rPr>
              <w:t>3</w:t>
            </w:r>
          </w:p>
        </w:tc>
        <w:tc>
          <w:tcPr>
            <w:tcW w:w="1701" w:type="dxa"/>
          </w:tcPr>
          <w:p w14:paraId="7283C367" w14:textId="6E7B4DB3" w:rsidR="00B86ED0" w:rsidRPr="006513A0" w:rsidRDefault="00CB218B" w:rsidP="00A9338E">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43EC42A6" w14:textId="04B20DFA" w:rsidR="00B86ED0" w:rsidRPr="006513A0" w:rsidRDefault="00E86CDC" w:rsidP="00A9338E">
            <w:pPr>
              <w:jc w:val="both"/>
              <w:rPr>
                <w:rFonts w:ascii="Lato" w:hAnsi="Lato" w:cs="Times New Roman"/>
                <w:sz w:val="20"/>
                <w:szCs w:val="20"/>
              </w:rPr>
            </w:pPr>
            <w:r w:rsidRPr="006513A0">
              <w:rPr>
                <w:rFonts w:ascii="Lato" w:hAnsi="Lato" w:cs="Times New Roman"/>
                <w:sz w:val="20"/>
                <w:szCs w:val="20"/>
              </w:rPr>
              <w:t>Art. 1 pkt 8 lit c projektu (art. 7 ust. 2</w:t>
            </w:r>
            <w:r w:rsidRPr="006513A0">
              <w:rPr>
                <w:rFonts w:ascii="Lato" w:hAnsi="Lato" w:cs="Times New Roman"/>
                <w:sz w:val="20"/>
                <w:szCs w:val="20"/>
                <w:vertAlign w:val="superscript"/>
              </w:rPr>
              <w:t>1a</w:t>
            </w:r>
            <w:r w:rsidRPr="006513A0">
              <w:rPr>
                <w:rFonts w:ascii="Lato" w:hAnsi="Lato" w:cs="Times New Roman"/>
                <w:sz w:val="20"/>
                <w:szCs w:val="20"/>
              </w:rPr>
              <w:t xml:space="preserve"> PE)</w:t>
            </w:r>
          </w:p>
        </w:tc>
        <w:tc>
          <w:tcPr>
            <w:tcW w:w="5103" w:type="dxa"/>
          </w:tcPr>
          <w:p w14:paraId="5593D5C7" w14:textId="7D1AB581" w:rsidR="00B86ED0" w:rsidRPr="006513A0" w:rsidRDefault="00E86CDC" w:rsidP="00A9338E">
            <w:pPr>
              <w:jc w:val="both"/>
              <w:rPr>
                <w:rFonts w:ascii="Lato" w:hAnsi="Lato" w:cs="Times New Roman"/>
                <w:sz w:val="20"/>
                <w:szCs w:val="20"/>
              </w:rPr>
            </w:pPr>
            <w:r w:rsidRPr="006513A0">
              <w:rPr>
                <w:rFonts w:ascii="Lato" w:hAnsi="Lato" w:cs="Times New Roman"/>
                <w:sz w:val="20"/>
                <w:szCs w:val="20"/>
              </w:rPr>
              <w:t>Projektowany 7 ust. 2</w:t>
            </w:r>
            <w:r w:rsidRPr="006513A0">
              <w:rPr>
                <w:rFonts w:ascii="Lato" w:hAnsi="Lato" w:cs="Times New Roman"/>
                <w:sz w:val="20"/>
                <w:szCs w:val="20"/>
                <w:vertAlign w:val="superscript"/>
              </w:rPr>
              <w:t>1a</w:t>
            </w:r>
            <w:r w:rsidRPr="006513A0">
              <w:rPr>
                <w:rFonts w:ascii="Lato" w:hAnsi="Lato" w:cs="Times New Roman"/>
                <w:sz w:val="20"/>
                <w:szCs w:val="20"/>
              </w:rPr>
              <w:t xml:space="preserve"> PE </w:t>
            </w:r>
            <w:r w:rsidR="00F6016B" w:rsidRPr="006513A0">
              <w:rPr>
                <w:rFonts w:ascii="Lato" w:hAnsi="Lato" w:cs="Times New Roman"/>
                <w:sz w:val="20"/>
                <w:szCs w:val="20"/>
              </w:rPr>
              <w:t xml:space="preserve">przewiduje nadmierny i nieproporcjonalny rygoryzm – w zakresie rozwiązana umów przyłączeniowych. </w:t>
            </w:r>
            <w:r w:rsidR="003D2CAB" w:rsidRPr="006513A0">
              <w:rPr>
                <w:rFonts w:ascii="Lato" w:hAnsi="Lato" w:cs="Times New Roman"/>
                <w:sz w:val="20"/>
                <w:szCs w:val="20"/>
              </w:rPr>
              <w:t>Należy zwrócić uwagę, że zakres prac związanych z realizacją przyłączenia potrafi być bardzo różny.</w:t>
            </w:r>
            <w:r w:rsidR="00641E3D" w:rsidRPr="006513A0">
              <w:rPr>
                <w:rFonts w:ascii="Lato" w:hAnsi="Lato" w:cs="Times New Roman"/>
                <w:sz w:val="20"/>
                <w:szCs w:val="20"/>
              </w:rPr>
              <w:t xml:space="preserve"> Przykładowo</w:t>
            </w:r>
            <w:r w:rsidR="003D2CAB" w:rsidRPr="006513A0">
              <w:rPr>
                <w:rFonts w:ascii="Lato" w:hAnsi="Lato" w:cs="Times New Roman"/>
                <w:sz w:val="20"/>
                <w:szCs w:val="20"/>
              </w:rPr>
              <w:t xml:space="preserve"> </w:t>
            </w:r>
            <w:r w:rsidR="00641E3D" w:rsidRPr="006513A0">
              <w:rPr>
                <w:rFonts w:ascii="Lato" w:hAnsi="Lato" w:cs="Times New Roman"/>
                <w:sz w:val="20"/>
                <w:szCs w:val="20"/>
              </w:rPr>
              <w:t>d</w:t>
            </w:r>
            <w:r w:rsidR="003D2CAB" w:rsidRPr="006513A0">
              <w:rPr>
                <w:rFonts w:ascii="Lato" w:hAnsi="Lato" w:cs="Times New Roman"/>
                <w:sz w:val="20"/>
                <w:szCs w:val="20"/>
              </w:rPr>
              <w:t>uzi odbiorcy przyłączający swoje instalacje</w:t>
            </w:r>
            <w:r w:rsidR="00170B3C" w:rsidRPr="006513A0">
              <w:rPr>
                <w:rFonts w:ascii="Lato" w:hAnsi="Lato" w:cs="Times New Roman"/>
                <w:sz w:val="20"/>
                <w:szCs w:val="20"/>
              </w:rPr>
              <w:t xml:space="preserve"> (obiekty)</w:t>
            </w:r>
            <w:r w:rsidR="003D2CAB" w:rsidRPr="006513A0">
              <w:rPr>
                <w:rFonts w:ascii="Lato" w:hAnsi="Lato" w:cs="Times New Roman"/>
                <w:sz w:val="20"/>
                <w:szCs w:val="20"/>
              </w:rPr>
              <w:t xml:space="preserve"> do sieci OSD na </w:t>
            </w:r>
            <w:r w:rsidR="00CF51ED" w:rsidRPr="006513A0">
              <w:rPr>
                <w:rFonts w:ascii="Lato" w:hAnsi="Lato" w:cs="Times New Roman"/>
                <w:sz w:val="20"/>
                <w:szCs w:val="20"/>
              </w:rPr>
              <w:t xml:space="preserve">poziomie WN (110 </w:t>
            </w:r>
            <w:proofErr w:type="spellStart"/>
            <w:r w:rsidR="00CF51ED" w:rsidRPr="006513A0">
              <w:rPr>
                <w:rFonts w:ascii="Lato" w:hAnsi="Lato" w:cs="Times New Roman"/>
                <w:sz w:val="20"/>
                <w:szCs w:val="20"/>
              </w:rPr>
              <w:t>kV</w:t>
            </w:r>
            <w:proofErr w:type="spellEnd"/>
            <w:r w:rsidR="00CF51ED" w:rsidRPr="006513A0">
              <w:rPr>
                <w:rFonts w:ascii="Lato" w:hAnsi="Lato" w:cs="Times New Roman"/>
                <w:sz w:val="20"/>
                <w:szCs w:val="20"/>
              </w:rPr>
              <w:t xml:space="preserve">) nierzadko są zobowiązywani </w:t>
            </w:r>
            <w:r w:rsidR="00641E3D" w:rsidRPr="006513A0">
              <w:rPr>
                <w:rFonts w:ascii="Lato" w:hAnsi="Lato" w:cs="Times New Roman"/>
                <w:sz w:val="20"/>
                <w:szCs w:val="20"/>
              </w:rPr>
              <w:t xml:space="preserve">na podstawie umów przyłączeniowych </w:t>
            </w:r>
            <w:r w:rsidR="00CF51ED" w:rsidRPr="006513A0">
              <w:rPr>
                <w:rFonts w:ascii="Lato" w:hAnsi="Lato" w:cs="Times New Roman"/>
                <w:sz w:val="20"/>
                <w:szCs w:val="20"/>
              </w:rPr>
              <w:t>do wykonania linii zasilających</w:t>
            </w:r>
            <w:r w:rsidR="00641E3D" w:rsidRPr="006513A0">
              <w:rPr>
                <w:rFonts w:ascii="Lato" w:hAnsi="Lato" w:cs="Times New Roman"/>
                <w:sz w:val="20"/>
                <w:szCs w:val="20"/>
              </w:rPr>
              <w:t xml:space="preserve"> swoje obiekty</w:t>
            </w:r>
            <w:r w:rsidR="00B25F31" w:rsidRPr="006513A0">
              <w:rPr>
                <w:rFonts w:ascii="Lato" w:hAnsi="Lato" w:cs="Times New Roman"/>
                <w:sz w:val="20"/>
                <w:szCs w:val="20"/>
              </w:rPr>
              <w:t xml:space="preserve"> </w:t>
            </w:r>
            <w:r w:rsidR="00CF51ED" w:rsidRPr="006513A0">
              <w:rPr>
                <w:rFonts w:ascii="Lato" w:hAnsi="Lato" w:cs="Times New Roman"/>
                <w:sz w:val="20"/>
                <w:szCs w:val="20"/>
              </w:rPr>
              <w:t>o długości nawet do kilku kilometrów.</w:t>
            </w:r>
            <w:r w:rsidR="00641E3D" w:rsidRPr="006513A0">
              <w:rPr>
                <w:rFonts w:ascii="Lato" w:hAnsi="Lato" w:cs="Times New Roman"/>
                <w:sz w:val="20"/>
                <w:szCs w:val="20"/>
              </w:rPr>
              <w:t xml:space="preserve"> Linie te muszą być prowadzone poza obszarem zakładu przemysłowego</w:t>
            </w:r>
            <w:r w:rsidR="00CF51ED" w:rsidRPr="006513A0">
              <w:rPr>
                <w:rFonts w:ascii="Lato" w:hAnsi="Lato" w:cs="Times New Roman"/>
                <w:sz w:val="20"/>
                <w:szCs w:val="20"/>
              </w:rPr>
              <w:t xml:space="preserve"> </w:t>
            </w:r>
            <w:r w:rsidR="00641E3D" w:rsidRPr="006513A0">
              <w:rPr>
                <w:rFonts w:ascii="Lato" w:hAnsi="Lato" w:cs="Times New Roman"/>
                <w:sz w:val="20"/>
                <w:szCs w:val="20"/>
              </w:rPr>
              <w:t xml:space="preserve">(formalnie są jednak częścią przyłączanej instalacji). </w:t>
            </w:r>
            <w:r w:rsidR="00CF51ED" w:rsidRPr="006513A0">
              <w:rPr>
                <w:rFonts w:ascii="Lato" w:hAnsi="Lato" w:cs="Times New Roman"/>
                <w:sz w:val="20"/>
                <w:szCs w:val="20"/>
              </w:rPr>
              <w:t>Taki proces wiąże się</w:t>
            </w:r>
            <w:r w:rsidR="00641E3D" w:rsidRPr="006513A0">
              <w:rPr>
                <w:rFonts w:ascii="Lato" w:hAnsi="Lato" w:cs="Times New Roman"/>
                <w:sz w:val="20"/>
                <w:szCs w:val="20"/>
              </w:rPr>
              <w:t xml:space="preserve"> zatem</w:t>
            </w:r>
            <w:r w:rsidR="00CF51ED" w:rsidRPr="006513A0">
              <w:rPr>
                <w:rFonts w:ascii="Lato" w:hAnsi="Lato" w:cs="Times New Roman"/>
                <w:sz w:val="20"/>
                <w:szCs w:val="20"/>
              </w:rPr>
              <w:t xml:space="preserve"> z koniecznością pozyskiwania tytułów prawnych do nieruchomości.</w:t>
            </w:r>
            <w:r w:rsidR="00B25F31" w:rsidRPr="006513A0">
              <w:rPr>
                <w:rFonts w:ascii="Lato" w:hAnsi="Lato" w:cs="Times New Roman"/>
                <w:sz w:val="20"/>
                <w:szCs w:val="20"/>
              </w:rPr>
              <w:t xml:space="preserve"> Te warunkują </w:t>
            </w:r>
            <w:r w:rsidR="0008694F" w:rsidRPr="006513A0">
              <w:rPr>
                <w:rFonts w:ascii="Lato" w:hAnsi="Lato" w:cs="Times New Roman"/>
                <w:sz w:val="20"/>
                <w:szCs w:val="20"/>
              </w:rPr>
              <w:t>zaś</w:t>
            </w:r>
            <w:r w:rsidR="00641E3D" w:rsidRPr="006513A0">
              <w:rPr>
                <w:rFonts w:ascii="Lato" w:hAnsi="Lato" w:cs="Times New Roman"/>
                <w:sz w:val="20"/>
                <w:szCs w:val="20"/>
              </w:rPr>
              <w:t xml:space="preserve"> m.in.</w:t>
            </w:r>
            <w:r w:rsidR="00B25F31" w:rsidRPr="006513A0">
              <w:rPr>
                <w:rFonts w:ascii="Lato" w:hAnsi="Lato" w:cs="Times New Roman"/>
                <w:sz w:val="20"/>
                <w:szCs w:val="20"/>
              </w:rPr>
              <w:t xml:space="preserve"> uzyskanie pozwolenia na budowę</w:t>
            </w:r>
            <w:r w:rsidR="0008694F" w:rsidRPr="006513A0">
              <w:rPr>
                <w:rFonts w:ascii="Lato" w:hAnsi="Lato" w:cs="Times New Roman"/>
                <w:sz w:val="20"/>
                <w:szCs w:val="20"/>
              </w:rPr>
              <w:t xml:space="preserve"> dla takich linii</w:t>
            </w:r>
            <w:r w:rsidR="00B25F31" w:rsidRPr="006513A0">
              <w:rPr>
                <w:rFonts w:ascii="Lato" w:hAnsi="Lato" w:cs="Times New Roman"/>
                <w:sz w:val="20"/>
                <w:szCs w:val="20"/>
              </w:rPr>
              <w:t>.</w:t>
            </w:r>
            <w:r w:rsidR="00CF51ED" w:rsidRPr="006513A0">
              <w:rPr>
                <w:rFonts w:ascii="Lato" w:hAnsi="Lato" w:cs="Times New Roman"/>
                <w:sz w:val="20"/>
                <w:szCs w:val="20"/>
              </w:rPr>
              <w:t xml:space="preserve"> </w:t>
            </w:r>
            <w:r w:rsidR="00CF51ED" w:rsidRPr="006513A0">
              <w:rPr>
                <w:rFonts w:ascii="Lato" w:hAnsi="Lato" w:cs="Times New Roman"/>
                <w:sz w:val="20"/>
                <w:szCs w:val="20"/>
              </w:rPr>
              <w:lastRenderedPageBreak/>
              <w:t>Potrafi to być proces długotrwały</w:t>
            </w:r>
            <w:r w:rsidR="00170B3C" w:rsidRPr="006513A0">
              <w:rPr>
                <w:rFonts w:ascii="Lato" w:hAnsi="Lato" w:cs="Times New Roman"/>
                <w:sz w:val="20"/>
                <w:szCs w:val="20"/>
              </w:rPr>
              <w:t xml:space="preserve"> – trwających dłużej niż 2 lata. Zwłaszcza, że </w:t>
            </w:r>
            <w:r w:rsidR="00B25F31" w:rsidRPr="006513A0">
              <w:rPr>
                <w:rFonts w:ascii="Lato" w:hAnsi="Lato" w:cs="Times New Roman"/>
                <w:sz w:val="20"/>
                <w:szCs w:val="20"/>
              </w:rPr>
              <w:t>pozyskiwanie tytułów prawnych pod takie linie (nie będące sieciami) nie korzysta z administracyjnych trybów wywłaszczeniowych.</w:t>
            </w:r>
            <w:r w:rsidR="00641E3D" w:rsidRPr="006513A0">
              <w:rPr>
                <w:rFonts w:ascii="Lato" w:hAnsi="Lato" w:cs="Times New Roman"/>
                <w:sz w:val="20"/>
                <w:szCs w:val="20"/>
              </w:rPr>
              <w:t xml:space="preserve"> Jest zatem skazane na negocjacje umowne lub prowadzenie spraw sądowych.</w:t>
            </w:r>
          </w:p>
          <w:p w14:paraId="0F81C21F" w14:textId="77777777" w:rsidR="00170B3C" w:rsidRPr="006513A0" w:rsidRDefault="00170B3C" w:rsidP="00A9338E">
            <w:pPr>
              <w:jc w:val="both"/>
              <w:rPr>
                <w:rFonts w:ascii="Lato" w:hAnsi="Lato" w:cs="Times New Roman"/>
                <w:sz w:val="20"/>
                <w:szCs w:val="20"/>
              </w:rPr>
            </w:pPr>
          </w:p>
          <w:p w14:paraId="50B2FAAC" w14:textId="48960AD9" w:rsidR="00170B3C" w:rsidRPr="006513A0" w:rsidRDefault="00B25F31" w:rsidP="00A9338E">
            <w:pPr>
              <w:jc w:val="both"/>
              <w:rPr>
                <w:rFonts w:ascii="Lato" w:hAnsi="Lato" w:cs="Times New Roman"/>
                <w:b/>
                <w:bCs/>
                <w:sz w:val="20"/>
                <w:szCs w:val="20"/>
              </w:rPr>
            </w:pPr>
            <w:r w:rsidRPr="006513A0">
              <w:rPr>
                <w:rFonts w:ascii="Lato" w:hAnsi="Lato" w:cs="Times New Roman"/>
                <w:b/>
                <w:bCs/>
                <w:sz w:val="20"/>
                <w:szCs w:val="20"/>
              </w:rPr>
              <w:t xml:space="preserve">Projektowana regulacja może </w:t>
            </w:r>
            <w:r w:rsidR="008852D2" w:rsidRPr="006513A0">
              <w:rPr>
                <w:rFonts w:ascii="Lato" w:hAnsi="Lato" w:cs="Times New Roman"/>
                <w:b/>
                <w:bCs/>
                <w:sz w:val="20"/>
                <w:szCs w:val="20"/>
              </w:rPr>
              <w:t xml:space="preserve">zatem </w:t>
            </w:r>
            <w:r w:rsidRPr="006513A0">
              <w:rPr>
                <w:rFonts w:ascii="Lato" w:hAnsi="Lato" w:cs="Times New Roman"/>
                <w:b/>
                <w:bCs/>
                <w:sz w:val="20"/>
                <w:szCs w:val="20"/>
              </w:rPr>
              <w:t>uniemożliwić realizację kluczowych instalacji przemysłowy</w:t>
            </w:r>
            <w:r w:rsidR="00185CF3">
              <w:rPr>
                <w:rFonts w:ascii="Lato" w:hAnsi="Lato" w:cs="Times New Roman"/>
                <w:b/>
                <w:bCs/>
                <w:sz w:val="20"/>
                <w:szCs w:val="20"/>
              </w:rPr>
              <w:t>ch</w:t>
            </w:r>
            <w:r w:rsidR="0008694F" w:rsidRPr="006513A0">
              <w:rPr>
                <w:rFonts w:ascii="Lato" w:hAnsi="Lato" w:cs="Times New Roman"/>
                <w:b/>
                <w:bCs/>
                <w:sz w:val="20"/>
                <w:szCs w:val="20"/>
              </w:rPr>
              <w:t xml:space="preserve"> – uzyskanie wszystkich pozwoleń w terminie 24 miesięcy będzie bowiem niewykonalne (co będzie skutkowało automatycznym rozwiązaniem umowy)</w:t>
            </w:r>
            <w:r w:rsidR="00B90B43" w:rsidRPr="006513A0">
              <w:rPr>
                <w:rFonts w:ascii="Lato" w:hAnsi="Lato" w:cs="Times New Roman"/>
                <w:b/>
                <w:bCs/>
                <w:sz w:val="20"/>
                <w:szCs w:val="20"/>
              </w:rPr>
              <w:t>.</w:t>
            </w:r>
          </w:p>
          <w:p w14:paraId="38D16DA3" w14:textId="77777777" w:rsidR="00B25F31" w:rsidRPr="006513A0" w:rsidRDefault="00B25F31" w:rsidP="00A9338E">
            <w:pPr>
              <w:jc w:val="both"/>
              <w:rPr>
                <w:rFonts w:ascii="Lato" w:hAnsi="Lato" w:cs="Times New Roman"/>
                <w:sz w:val="20"/>
                <w:szCs w:val="20"/>
              </w:rPr>
            </w:pPr>
          </w:p>
          <w:p w14:paraId="553AD939" w14:textId="6328BA52" w:rsidR="008852D2" w:rsidRPr="006513A0" w:rsidRDefault="008852D2" w:rsidP="00A9338E">
            <w:pPr>
              <w:jc w:val="both"/>
              <w:rPr>
                <w:rFonts w:ascii="Lato" w:hAnsi="Lato" w:cs="Times New Roman"/>
                <w:sz w:val="20"/>
                <w:szCs w:val="20"/>
              </w:rPr>
            </w:pPr>
            <w:r w:rsidRPr="006513A0">
              <w:rPr>
                <w:rFonts w:ascii="Lato" w:hAnsi="Lato" w:cs="Times New Roman"/>
                <w:sz w:val="20"/>
                <w:szCs w:val="20"/>
              </w:rPr>
              <w:t>Dodatkowo trzeba wskazać, że pojęcie „wymagane zgody i pozwolenia” jest bardzo ogólne. Powinno być ono skonkretyzowane w umowie przyłączeniowej.</w:t>
            </w:r>
          </w:p>
          <w:p w14:paraId="61F20F7F" w14:textId="77777777" w:rsidR="008852D2" w:rsidRPr="006513A0" w:rsidRDefault="008852D2" w:rsidP="00A9338E">
            <w:pPr>
              <w:jc w:val="both"/>
              <w:rPr>
                <w:rFonts w:ascii="Lato" w:hAnsi="Lato" w:cs="Times New Roman"/>
                <w:sz w:val="20"/>
                <w:szCs w:val="20"/>
              </w:rPr>
            </w:pPr>
          </w:p>
          <w:p w14:paraId="4D848C80" w14:textId="6054C93E" w:rsidR="00B25F31" w:rsidRPr="006513A0" w:rsidRDefault="00B25F31" w:rsidP="00A9338E">
            <w:pPr>
              <w:jc w:val="both"/>
              <w:rPr>
                <w:rFonts w:ascii="Lato" w:hAnsi="Lato" w:cs="Times New Roman"/>
                <w:sz w:val="20"/>
                <w:szCs w:val="20"/>
              </w:rPr>
            </w:pPr>
            <w:r w:rsidRPr="006513A0">
              <w:rPr>
                <w:rFonts w:ascii="Lato" w:hAnsi="Lato" w:cs="Times New Roman"/>
                <w:sz w:val="20"/>
                <w:szCs w:val="20"/>
              </w:rPr>
              <w:t>Należy także zwrócić uwagę, że projektowane rozwiązanie bardzo niesymetrycznie traktuje podmioty przyłączane i przedsiębiorstwa przesyłowe. Te ostatnie nie podlegają bowiem szczególnym sankcjom za niewykonanie po swojej stronie prac w określonym terminie.</w:t>
            </w:r>
            <w:r w:rsidR="0008694F" w:rsidRPr="006513A0">
              <w:rPr>
                <w:rFonts w:ascii="Lato" w:hAnsi="Lato" w:cs="Times New Roman"/>
                <w:sz w:val="20"/>
                <w:szCs w:val="20"/>
              </w:rPr>
              <w:t xml:space="preserve"> Regułą jest, że takie zdarzenia jak przedłużające się procedury administracyjne są podstawą przesunięcia terminu przyłączenia.</w:t>
            </w:r>
          </w:p>
          <w:p w14:paraId="63F0288D" w14:textId="77777777" w:rsidR="008852D2" w:rsidRPr="006513A0" w:rsidRDefault="008852D2" w:rsidP="00A9338E">
            <w:pPr>
              <w:jc w:val="both"/>
              <w:rPr>
                <w:rFonts w:ascii="Lato" w:hAnsi="Lato" w:cs="Times New Roman"/>
                <w:sz w:val="20"/>
                <w:szCs w:val="20"/>
              </w:rPr>
            </w:pPr>
          </w:p>
          <w:p w14:paraId="63B4D9CE" w14:textId="77777777" w:rsidR="008852D2" w:rsidRPr="006513A0" w:rsidRDefault="008852D2" w:rsidP="00A9338E">
            <w:pPr>
              <w:jc w:val="both"/>
              <w:rPr>
                <w:rFonts w:ascii="Lato" w:hAnsi="Lato" w:cs="Times New Roman"/>
                <w:sz w:val="20"/>
                <w:szCs w:val="20"/>
              </w:rPr>
            </w:pPr>
            <w:r w:rsidRPr="006513A0">
              <w:rPr>
                <w:rFonts w:ascii="Lato" w:hAnsi="Lato" w:cs="Times New Roman"/>
                <w:sz w:val="20"/>
                <w:szCs w:val="20"/>
              </w:rPr>
              <w:t>Aut</w:t>
            </w:r>
            <w:r w:rsidR="00FF072C" w:rsidRPr="006513A0">
              <w:rPr>
                <w:rFonts w:ascii="Lato" w:hAnsi="Lato" w:cs="Times New Roman"/>
                <w:sz w:val="20"/>
                <w:szCs w:val="20"/>
              </w:rPr>
              <w:t>o</w:t>
            </w:r>
            <w:r w:rsidRPr="006513A0">
              <w:rPr>
                <w:rFonts w:ascii="Lato" w:hAnsi="Lato" w:cs="Times New Roman"/>
                <w:sz w:val="20"/>
                <w:szCs w:val="20"/>
              </w:rPr>
              <w:t>matyzm w zakresie rozwiązanie umowy w przypadku braku osiągnięcia kamieni milowych nie chroni też m.in. przed konsekwencjami siły wyższej, czy okolicznościami zupełnie niezależnymi od podmiotu przyłączanego</w:t>
            </w:r>
            <w:r w:rsidR="0008694F" w:rsidRPr="006513A0">
              <w:rPr>
                <w:rFonts w:ascii="Lato" w:hAnsi="Lato" w:cs="Times New Roman"/>
                <w:sz w:val="20"/>
                <w:szCs w:val="20"/>
              </w:rPr>
              <w:t xml:space="preserve"> (</w:t>
            </w:r>
            <w:proofErr w:type="spellStart"/>
            <w:r w:rsidR="0008694F" w:rsidRPr="006513A0">
              <w:rPr>
                <w:rFonts w:ascii="Lato" w:hAnsi="Lato" w:cs="Times New Roman"/>
                <w:sz w:val="20"/>
                <w:szCs w:val="20"/>
              </w:rPr>
              <w:t>niezawionionymi</w:t>
            </w:r>
            <w:proofErr w:type="spellEnd"/>
            <w:r w:rsidR="0008694F" w:rsidRPr="006513A0">
              <w:rPr>
                <w:rFonts w:ascii="Lato" w:hAnsi="Lato" w:cs="Times New Roman"/>
                <w:sz w:val="20"/>
                <w:szCs w:val="20"/>
              </w:rPr>
              <w:t>)</w:t>
            </w:r>
            <w:r w:rsidRPr="006513A0">
              <w:rPr>
                <w:rFonts w:ascii="Lato" w:hAnsi="Lato" w:cs="Times New Roman"/>
                <w:sz w:val="20"/>
                <w:szCs w:val="20"/>
              </w:rPr>
              <w:t>.</w:t>
            </w:r>
          </w:p>
          <w:p w14:paraId="305D200A" w14:textId="77777777" w:rsidR="007D66C8" w:rsidRPr="006513A0" w:rsidRDefault="007D66C8" w:rsidP="00A9338E">
            <w:pPr>
              <w:jc w:val="both"/>
              <w:rPr>
                <w:rFonts w:ascii="Lato" w:hAnsi="Lato" w:cs="Times New Roman"/>
                <w:sz w:val="20"/>
                <w:szCs w:val="20"/>
              </w:rPr>
            </w:pPr>
          </w:p>
          <w:p w14:paraId="29BC8EF8" w14:textId="049F0623" w:rsidR="007D66C8" w:rsidRPr="006513A0" w:rsidRDefault="007D66C8" w:rsidP="00A9338E">
            <w:pPr>
              <w:jc w:val="both"/>
              <w:rPr>
                <w:rFonts w:ascii="Lato" w:hAnsi="Lato" w:cs="Times New Roman"/>
                <w:sz w:val="20"/>
                <w:szCs w:val="20"/>
              </w:rPr>
            </w:pPr>
            <w:r w:rsidRPr="006513A0">
              <w:rPr>
                <w:rFonts w:ascii="Lato" w:hAnsi="Lato" w:cs="Times New Roman"/>
                <w:sz w:val="20"/>
                <w:szCs w:val="20"/>
              </w:rPr>
              <w:t>Postulowane jest zatem wyłączenie automatyzmu w zakresie rozwiązania umów przyłączeniowych. To bowiem nigdy nie pozwala na uwzględnienie wszystkich okoliczności właściwych dla danego przyłączenia, a także wyłączenie spod kamieni milowych infrastruktury liniowej. Ponadto wskazane jest wydłużenie terminów.</w:t>
            </w:r>
          </w:p>
          <w:p w14:paraId="1E27B9F5" w14:textId="77777777" w:rsidR="007D66C8" w:rsidRPr="006513A0" w:rsidRDefault="007D66C8" w:rsidP="00A9338E">
            <w:pPr>
              <w:jc w:val="both"/>
              <w:rPr>
                <w:rFonts w:ascii="Lato" w:hAnsi="Lato" w:cs="Times New Roman"/>
                <w:sz w:val="20"/>
                <w:szCs w:val="20"/>
              </w:rPr>
            </w:pPr>
          </w:p>
          <w:p w14:paraId="59C5BA70" w14:textId="2EFC93D2" w:rsidR="007D66C8" w:rsidRPr="006513A0" w:rsidRDefault="007D66C8" w:rsidP="007D66C8">
            <w:pPr>
              <w:jc w:val="both"/>
              <w:rPr>
                <w:rFonts w:ascii="Lato" w:hAnsi="Lato" w:cs="Times New Roman"/>
                <w:sz w:val="20"/>
                <w:szCs w:val="20"/>
              </w:rPr>
            </w:pPr>
            <w:r w:rsidRPr="006513A0">
              <w:rPr>
                <w:rFonts w:ascii="Lato" w:hAnsi="Lato" w:cs="Times New Roman"/>
                <w:sz w:val="20"/>
                <w:szCs w:val="20"/>
              </w:rPr>
              <w:t xml:space="preserve">Alternatywnie ustawowe kamienie milowe powinny być ograniczone do instalacji OZE. To bowiem zalew wniosków przyłączeniowych dot. tych instalacji powoduje „niedrożność” systemu. W odniesieniu do pozostałych instalacji należy wskazać, że żaden </w:t>
            </w:r>
            <w:r w:rsidRPr="006513A0">
              <w:rPr>
                <w:rFonts w:ascii="Lato" w:hAnsi="Lato" w:cs="Times New Roman"/>
                <w:sz w:val="20"/>
                <w:szCs w:val="20"/>
              </w:rPr>
              <w:lastRenderedPageBreak/>
              <w:t>przepis obecnie nie zabrania operatorom formułowania kamieni milowych w umowie przyłączeniowej, także pod rygorem rozwiązania takiej umowy.</w:t>
            </w:r>
          </w:p>
        </w:tc>
        <w:tc>
          <w:tcPr>
            <w:tcW w:w="4252" w:type="dxa"/>
          </w:tcPr>
          <w:p w14:paraId="5AFCA3A8" w14:textId="3DCEE9E4" w:rsidR="00E86CDC" w:rsidRPr="006513A0" w:rsidRDefault="0008694F" w:rsidP="00A9338E">
            <w:pPr>
              <w:jc w:val="both"/>
              <w:rPr>
                <w:rFonts w:ascii="Lato" w:hAnsi="Lato" w:cs="Times New Roman"/>
                <w:i/>
                <w:iCs/>
                <w:sz w:val="20"/>
                <w:szCs w:val="20"/>
              </w:rPr>
            </w:pPr>
            <w:r w:rsidRPr="006513A0">
              <w:rPr>
                <w:rFonts w:ascii="Lato" w:hAnsi="Lato" w:cs="Times New Roman"/>
                <w:sz w:val="20"/>
                <w:szCs w:val="20"/>
              </w:rPr>
              <w:lastRenderedPageBreak/>
              <w:t>2</w:t>
            </w:r>
            <w:r w:rsidRPr="006513A0">
              <w:rPr>
                <w:rFonts w:ascii="Lato" w:hAnsi="Lato" w:cs="Times New Roman"/>
                <w:sz w:val="20"/>
                <w:szCs w:val="20"/>
                <w:vertAlign w:val="superscript"/>
              </w:rPr>
              <w:t>1a</w:t>
            </w:r>
            <w:r w:rsidRPr="006513A0">
              <w:rPr>
                <w:rFonts w:ascii="Lato" w:hAnsi="Lato" w:cs="Times New Roman"/>
                <w:sz w:val="20"/>
                <w:szCs w:val="20"/>
              </w:rPr>
              <w:t xml:space="preserve"> </w:t>
            </w:r>
            <w:r w:rsidR="00E86CDC" w:rsidRPr="006513A0">
              <w:rPr>
                <w:rFonts w:ascii="Lato" w:hAnsi="Lato" w:cs="Times New Roman"/>
                <w:i/>
                <w:iCs/>
                <w:sz w:val="20"/>
                <w:szCs w:val="20"/>
              </w:rPr>
              <w:t xml:space="preserve">Umowa o przyłączenie dotycząca instalacji przyłączanej do sieci o napięciu powyżej 1kV </w:t>
            </w:r>
            <w:r w:rsidR="00E86CDC" w:rsidRPr="006513A0">
              <w:rPr>
                <w:rFonts w:ascii="Lato" w:hAnsi="Lato" w:cs="Times New Roman"/>
                <w:i/>
                <w:iCs/>
                <w:color w:val="FF0000"/>
                <w:sz w:val="20"/>
                <w:szCs w:val="20"/>
              </w:rPr>
              <w:t xml:space="preserve">może zostać wypowiedziana </w:t>
            </w:r>
            <w:r w:rsidR="00E86CDC" w:rsidRPr="006513A0">
              <w:rPr>
                <w:rFonts w:ascii="Lato" w:hAnsi="Lato" w:cs="Times New Roman"/>
                <w:i/>
                <w:iCs/>
                <w:sz w:val="20"/>
                <w:szCs w:val="20"/>
              </w:rPr>
              <w:t>z przyczyn leżących po stronie podmiotu przyłączanego w przypadku gdy podmiot ten nie zawiadomi w terminie:</w:t>
            </w:r>
          </w:p>
          <w:p w14:paraId="291F3CEF" w14:textId="67B0934F" w:rsidR="00E86CDC" w:rsidRPr="006513A0" w:rsidRDefault="00E86CDC" w:rsidP="00A9338E">
            <w:pPr>
              <w:jc w:val="both"/>
              <w:rPr>
                <w:rFonts w:ascii="Lato" w:hAnsi="Lato" w:cs="Times New Roman"/>
                <w:i/>
                <w:iCs/>
                <w:sz w:val="20"/>
                <w:szCs w:val="20"/>
              </w:rPr>
            </w:pPr>
            <w:r w:rsidRPr="006513A0">
              <w:rPr>
                <w:rFonts w:ascii="Lato" w:hAnsi="Lato" w:cs="Times New Roman"/>
                <w:i/>
                <w:iCs/>
                <w:sz w:val="20"/>
                <w:szCs w:val="20"/>
              </w:rPr>
              <w:t>1)</w:t>
            </w:r>
            <w:r w:rsidRPr="006513A0">
              <w:rPr>
                <w:rFonts w:ascii="Lato" w:hAnsi="Lato" w:cs="Times New Roman"/>
                <w:i/>
                <w:iCs/>
                <w:sz w:val="20"/>
                <w:szCs w:val="20"/>
              </w:rPr>
              <w:tab/>
            </w:r>
            <w:r w:rsidR="00170B3C" w:rsidRPr="006513A0">
              <w:rPr>
                <w:rFonts w:ascii="Lato" w:hAnsi="Lato" w:cs="Times New Roman"/>
                <w:i/>
                <w:iCs/>
                <w:color w:val="FF0000"/>
                <w:sz w:val="20"/>
                <w:szCs w:val="20"/>
              </w:rPr>
              <w:t>48</w:t>
            </w:r>
            <w:r w:rsidRPr="006513A0">
              <w:rPr>
                <w:rFonts w:ascii="Lato" w:hAnsi="Lato" w:cs="Times New Roman"/>
                <w:i/>
                <w:iCs/>
                <w:sz w:val="20"/>
                <w:szCs w:val="20"/>
              </w:rPr>
              <w:t xml:space="preserve"> miesięcy od daty zawarcia umowy, że pozyskał wymagane zgody i pozwolenia</w:t>
            </w:r>
            <w:r w:rsidR="00641E3D" w:rsidRPr="006513A0">
              <w:rPr>
                <w:rFonts w:ascii="Lato" w:hAnsi="Lato" w:cs="Times New Roman"/>
                <w:i/>
                <w:iCs/>
                <w:sz w:val="20"/>
                <w:szCs w:val="20"/>
              </w:rPr>
              <w:t xml:space="preserve"> </w:t>
            </w:r>
            <w:r w:rsidR="00641E3D" w:rsidRPr="006513A0">
              <w:rPr>
                <w:rFonts w:ascii="Lato" w:hAnsi="Lato" w:cs="Times New Roman"/>
                <w:i/>
                <w:iCs/>
                <w:color w:val="FF0000"/>
                <w:sz w:val="20"/>
                <w:szCs w:val="20"/>
              </w:rPr>
              <w:t>wskazane w umowie</w:t>
            </w:r>
            <w:r w:rsidRPr="006513A0">
              <w:rPr>
                <w:rFonts w:ascii="Lato" w:hAnsi="Lato" w:cs="Times New Roman"/>
                <w:i/>
                <w:iCs/>
                <w:sz w:val="20"/>
                <w:szCs w:val="20"/>
              </w:rPr>
              <w:t xml:space="preserve">, niezbędne dla realizacji </w:t>
            </w:r>
            <w:r w:rsidRPr="006513A0">
              <w:rPr>
                <w:rFonts w:ascii="Lato" w:hAnsi="Lato" w:cs="Times New Roman"/>
                <w:i/>
                <w:iCs/>
                <w:strike/>
                <w:sz w:val="20"/>
                <w:szCs w:val="20"/>
              </w:rPr>
              <w:t>całości</w:t>
            </w:r>
            <w:r w:rsidRPr="006513A0">
              <w:rPr>
                <w:rFonts w:ascii="Lato" w:hAnsi="Lato" w:cs="Times New Roman"/>
                <w:i/>
                <w:iCs/>
                <w:sz w:val="20"/>
                <w:szCs w:val="20"/>
              </w:rPr>
              <w:t xml:space="preserve"> instalacji objętej </w:t>
            </w:r>
            <w:r w:rsidR="00641E3D" w:rsidRPr="006513A0">
              <w:rPr>
                <w:rFonts w:ascii="Lato" w:hAnsi="Lato" w:cs="Times New Roman"/>
                <w:i/>
                <w:iCs/>
                <w:color w:val="FF0000"/>
                <w:sz w:val="20"/>
                <w:szCs w:val="20"/>
              </w:rPr>
              <w:t xml:space="preserve">tą </w:t>
            </w:r>
            <w:r w:rsidRPr="006513A0">
              <w:rPr>
                <w:rFonts w:ascii="Lato" w:hAnsi="Lato" w:cs="Times New Roman"/>
                <w:i/>
                <w:iCs/>
                <w:sz w:val="20"/>
                <w:szCs w:val="20"/>
              </w:rPr>
              <w:t>umową</w:t>
            </w:r>
            <w:r w:rsidR="00B90B43" w:rsidRPr="006513A0">
              <w:rPr>
                <w:rFonts w:ascii="Lato" w:hAnsi="Lato" w:cs="Times New Roman"/>
                <w:i/>
                <w:iCs/>
                <w:sz w:val="20"/>
                <w:szCs w:val="20"/>
              </w:rPr>
              <w:t xml:space="preserve">, </w:t>
            </w:r>
            <w:r w:rsidR="00B90B43" w:rsidRPr="006513A0">
              <w:rPr>
                <w:rFonts w:ascii="Lato" w:hAnsi="Lato" w:cs="Times New Roman"/>
                <w:i/>
                <w:iCs/>
                <w:color w:val="FF0000"/>
                <w:sz w:val="20"/>
                <w:szCs w:val="20"/>
              </w:rPr>
              <w:t xml:space="preserve">przy czym termin ten nie dotyczy uzyskania zgód i pozwoleń dla </w:t>
            </w:r>
            <w:r w:rsidR="009C7063" w:rsidRPr="006513A0">
              <w:rPr>
                <w:rFonts w:ascii="Lato" w:hAnsi="Lato" w:cs="Times New Roman"/>
                <w:i/>
                <w:iCs/>
                <w:color w:val="FF0000"/>
                <w:sz w:val="20"/>
                <w:szCs w:val="20"/>
              </w:rPr>
              <w:t xml:space="preserve">obiektów liniowych jeśli te </w:t>
            </w:r>
            <w:r w:rsidR="00B90B43" w:rsidRPr="006513A0">
              <w:rPr>
                <w:rFonts w:ascii="Lato" w:hAnsi="Lato" w:cs="Times New Roman"/>
                <w:i/>
                <w:iCs/>
                <w:color w:val="FF0000"/>
                <w:sz w:val="20"/>
                <w:szCs w:val="20"/>
              </w:rPr>
              <w:t>stanowią część przyłączanej instalacji, dla których terminy określa umowa</w:t>
            </w:r>
            <w:r w:rsidRPr="006513A0">
              <w:rPr>
                <w:rFonts w:ascii="Lato" w:hAnsi="Lato" w:cs="Times New Roman"/>
                <w:i/>
                <w:iCs/>
                <w:sz w:val="20"/>
                <w:szCs w:val="20"/>
              </w:rPr>
              <w:t>;</w:t>
            </w:r>
          </w:p>
          <w:p w14:paraId="2E438078" w14:textId="77777777" w:rsidR="00B86ED0" w:rsidRPr="006513A0" w:rsidRDefault="00E86CDC" w:rsidP="00A9338E">
            <w:pPr>
              <w:jc w:val="both"/>
              <w:rPr>
                <w:rFonts w:ascii="Lato" w:hAnsi="Lato" w:cs="Times New Roman"/>
                <w:i/>
                <w:iCs/>
                <w:sz w:val="20"/>
                <w:szCs w:val="20"/>
              </w:rPr>
            </w:pPr>
            <w:r w:rsidRPr="006513A0">
              <w:rPr>
                <w:rFonts w:ascii="Lato" w:hAnsi="Lato" w:cs="Times New Roman"/>
                <w:i/>
                <w:iCs/>
                <w:sz w:val="20"/>
                <w:szCs w:val="20"/>
              </w:rPr>
              <w:t>2)</w:t>
            </w:r>
            <w:r w:rsidRPr="006513A0">
              <w:rPr>
                <w:rFonts w:ascii="Lato" w:hAnsi="Lato" w:cs="Times New Roman"/>
                <w:i/>
                <w:iCs/>
                <w:sz w:val="20"/>
                <w:szCs w:val="20"/>
              </w:rPr>
              <w:tab/>
            </w:r>
            <w:r w:rsidR="00B25F31" w:rsidRPr="006513A0">
              <w:rPr>
                <w:rFonts w:ascii="Lato" w:hAnsi="Lato" w:cs="Times New Roman"/>
                <w:i/>
                <w:iCs/>
                <w:color w:val="FF0000"/>
                <w:sz w:val="20"/>
                <w:szCs w:val="20"/>
              </w:rPr>
              <w:t>48</w:t>
            </w:r>
            <w:r w:rsidRPr="006513A0">
              <w:rPr>
                <w:rFonts w:ascii="Lato" w:hAnsi="Lato" w:cs="Times New Roman"/>
                <w:i/>
                <w:iCs/>
                <w:sz w:val="20"/>
                <w:szCs w:val="20"/>
              </w:rPr>
              <w:t xml:space="preserve"> miesięcy od daty zawarcia </w:t>
            </w:r>
            <w:r w:rsidRPr="006513A0">
              <w:rPr>
                <w:rFonts w:ascii="Lato" w:hAnsi="Lato" w:cs="Times New Roman"/>
                <w:i/>
                <w:iCs/>
                <w:sz w:val="20"/>
                <w:szCs w:val="20"/>
              </w:rPr>
              <w:lastRenderedPageBreak/>
              <w:t>umowy, że zawarł umowy na dostawę głównych urządzeń wykorzystywanych w instalacji objętej umową.</w:t>
            </w:r>
          </w:p>
          <w:p w14:paraId="31B631C4" w14:textId="77777777" w:rsidR="000E2070" w:rsidRPr="006513A0" w:rsidRDefault="000E2070" w:rsidP="00A9338E">
            <w:pPr>
              <w:jc w:val="both"/>
              <w:rPr>
                <w:rFonts w:ascii="Lato" w:hAnsi="Lato" w:cs="Times New Roman"/>
                <w:i/>
                <w:iCs/>
                <w:sz w:val="20"/>
                <w:szCs w:val="20"/>
              </w:rPr>
            </w:pPr>
          </w:p>
          <w:p w14:paraId="72D0D28F" w14:textId="77777777" w:rsidR="000E2070" w:rsidRPr="006513A0" w:rsidRDefault="000E2070" w:rsidP="00A9338E">
            <w:pPr>
              <w:jc w:val="both"/>
              <w:rPr>
                <w:rFonts w:ascii="Lato" w:hAnsi="Lato"/>
                <w:i/>
                <w:iCs/>
                <w:strike/>
                <w:sz w:val="20"/>
                <w:szCs w:val="20"/>
              </w:rPr>
            </w:pPr>
            <w:r w:rsidRPr="006513A0">
              <w:rPr>
                <w:rFonts w:ascii="Lato" w:hAnsi="Lato"/>
                <w:i/>
                <w:iCs/>
                <w:sz w:val="20"/>
                <w:szCs w:val="20"/>
              </w:rPr>
              <w:t>2</w:t>
            </w:r>
            <w:r w:rsidRPr="006513A0">
              <w:rPr>
                <w:rFonts w:ascii="Lato" w:hAnsi="Lato"/>
                <w:i/>
                <w:iCs/>
                <w:sz w:val="20"/>
                <w:szCs w:val="20"/>
                <w:vertAlign w:val="superscript"/>
              </w:rPr>
              <w:t>1c</w:t>
            </w:r>
            <w:r w:rsidRPr="006513A0">
              <w:rPr>
                <w:rFonts w:ascii="Lato" w:hAnsi="Lato"/>
                <w:i/>
                <w:iCs/>
                <w:sz w:val="20"/>
                <w:szCs w:val="20"/>
              </w:rPr>
              <w:t>. Przedsiębiorstwo energetyczne zajmujące się przesyłaniem lub dystrybucją energii elektrycznej w terminie 60 dni od dnia otrzymania zawiadomienia, o którym mowa w ust 2</w:t>
            </w:r>
            <w:r w:rsidRPr="006513A0">
              <w:rPr>
                <w:rFonts w:ascii="Lato" w:hAnsi="Lato"/>
                <w:i/>
                <w:iCs/>
                <w:sz w:val="20"/>
                <w:szCs w:val="20"/>
                <w:vertAlign w:val="superscript"/>
              </w:rPr>
              <w:t>1b</w:t>
            </w:r>
            <w:r w:rsidRPr="006513A0">
              <w:rPr>
                <w:rFonts w:ascii="Lato" w:hAnsi="Lato"/>
                <w:i/>
                <w:iCs/>
                <w:sz w:val="20"/>
                <w:szCs w:val="20"/>
              </w:rPr>
              <w:t>, albo bezskutecznego upływu tego terminu albo otrzymania zawiadomienia uzupełnionego zgodnie z ust. 2</w:t>
            </w:r>
            <w:r w:rsidRPr="006513A0">
              <w:rPr>
                <w:rFonts w:ascii="Lato" w:hAnsi="Lato"/>
                <w:i/>
                <w:iCs/>
                <w:sz w:val="20"/>
                <w:szCs w:val="20"/>
                <w:vertAlign w:val="superscript"/>
              </w:rPr>
              <w:t>1b</w:t>
            </w:r>
            <w:r w:rsidRPr="006513A0">
              <w:rPr>
                <w:rFonts w:ascii="Lato" w:hAnsi="Lato"/>
                <w:i/>
                <w:iCs/>
                <w:sz w:val="20"/>
                <w:szCs w:val="20"/>
              </w:rPr>
              <w:t>, zawiadamia przyłączany podmiot o spełnieniu albo braku spełnienia wymagań określonych w ust. 2</w:t>
            </w:r>
            <w:r w:rsidRPr="006513A0">
              <w:rPr>
                <w:rFonts w:ascii="Lato" w:hAnsi="Lato"/>
                <w:i/>
                <w:iCs/>
                <w:sz w:val="20"/>
                <w:szCs w:val="20"/>
                <w:vertAlign w:val="superscript"/>
              </w:rPr>
              <w:t>1a</w:t>
            </w:r>
            <w:r w:rsidRPr="006513A0">
              <w:rPr>
                <w:rFonts w:ascii="Lato" w:hAnsi="Lato"/>
                <w:i/>
                <w:iCs/>
                <w:sz w:val="20"/>
                <w:szCs w:val="20"/>
              </w:rPr>
              <w:t xml:space="preserve">. </w:t>
            </w:r>
            <w:r w:rsidRPr="006513A0">
              <w:rPr>
                <w:rFonts w:ascii="Lato" w:hAnsi="Lato"/>
                <w:i/>
                <w:iCs/>
                <w:strike/>
                <w:sz w:val="20"/>
                <w:szCs w:val="20"/>
              </w:rPr>
              <w:t>W przypadku braku spełnienia wymagań określonych w ust. 2</w:t>
            </w:r>
            <w:r w:rsidRPr="006513A0">
              <w:rPr>
                <w:rFonts w:ascii="Lato" w:hAnsi="Lato"/>
                <w:i/>
                <w:iCs/>
                <w:strike/>
                <w:sz w:val="20"/>
                <w:szCs w:val="20"/>
                <w:vertAlign w:val="superscript"/>
              </w:rPr>
              <w:t>1a</w:t>
            </w:r>
            <w:r w:rsidRPr="006513A0">
              <w:rPr>
                <w:rFonts w:ascii="Lato" w:hAnsi="Lato"/>
                <w:i/>
                <w:iCs/>
                <w:strike/>
                <w:sz w:val="20"/>
                <w:szCs w:val="20"/>
              </w:rPr>
              <w:t xml:space="preserve"> przedsiębiorstwo energetyczne informuje dodatkowo o rozwiązaniu umowy o przyłączenie do sieci.</w:t>
            </w:r>
          </w:p>
          <w:p w14:paraId="0FFBF7F5" w14:textId="77777777" w:rsidR="00FF072C" w:rsidRPr="006513A0" w:rsidRDefault="00FF072C" w:rsidP="00A9338E">
            <w:pPr>
              <w:jc w:val="both"/>
              <w:rPr>
                <w:rFonts w:ascii="Lato" w:hAnsi="Lato"/>
                <w:i/>
                <w:iCs/>
                <w:strike/>
                <w:sz w:val="20"/>
                <w:szCs w:val="20"/>
              </w:rPr>
            </w:pPr>
          </w:p>
          <w:p w14:paraId="2F0CB9B1" w14:textId="77777777" w:rsidR="00FF072C" w:rsidRPr="006513A0" w:rsidRDefault="00FF072C" w:rsidP="00A9338E">
            <w:pPr>
              <w:jc w:val="both"/>
              <w:rPr>
                <w:rFonts w:ascii="Lato" w:hAnsi="Lato"/>
                <w:i/>
                <w:iCs/>
                <w:strike/>
                <w:sz w:val="20"/>
                <w:szCs w:val="20"/>
              </w:rPr>
            </w:pPr>
          </w:p>
          <w:p w14:paraId="1349308A" w14:textId="1276E024" w:rsidR="00FF072C" w:rsidRPr="006513A0" w:rsidRDefault="00FF072C" w:rsidP="00A9338E">
            <w:pPr>
              <w:jc w:val="both"/>
              <w:rPr>
                <w:rFonts w:ascii="Lato" w:hAnsi="Lato"/>
                <w:b/>
                <w:bCs/>
                <w:sz w:val="20"/>
                <w:szCs w:val="20"/>
              </w:rPr>
            </w:pPr>
            <w:r w:rsidRPr="006513A0">
              <w:rPr>
                <w:rFonts w:ascii="Lato" w:hAnsi="Lato"/>
                <w:b/>
                <w:bCs/>
                <w:sz w:val="20"/>
                <w:szCs w:val="20"/>
              </w:rPr>
              <w:t>Alternatywnie:</w:t>
            </w:r>
          </w:p>
          <w:p w14:paraId="02373A0E" w14:textId="77777777" w:rsidR="00FF072C" w:rsidRPr="006513A0" w:rsidRDefault="00FF072C" w:rsidP="00A9338E">
            <w:pPr>
              <w:jc w:val="both"/>
              <w:rPr>
                <w:rFonts w:ascii="Lato" w:hAnsi="Lato" w:cs="Times New Roman"/>
                <w:i/>
                <w:iCs/>
                <w:sz w:val="20"/>
                <w:szCs w:val="20"/>
              </w:rPr>
            </w:pPr>
          </w:p>
          <w:p w14:paraId="118E3641" w14:textId="45EFA0E7" w:rsidR="00FF072C" w:rsidRPr="006513A0" w:rsidRDefault="007D66C8" w:rsidP="00A9338E">
            <w:pPr>
              <w:jc w:val="both"/>
              <w:rPr>
                <w:rFonts w:ascii="Lato" w:hAnsi="Lato" w:cs="Times New Roman"/>
                <w:sz w:val="20"/>
                <w:szCs w:val="20"/>
              </w:rPr>
            </w:pPr>
            <w:r w:rsidRPr="006513A0">
              <w:rPr>
                <w:rFonts w:ascii="Lato" w:hAnsi="Lato" w:cs="Times New Roman"/>
                <w:sz w:val="20"/>
                <w:szCs w:val="20"/>
              </w:rPr>
              <w:t>2</w:t>
            </w:r>
            <w:r w:rsidRPr="006513A0">
              <w:rPr>
                <w:rFonts w:ascii="Lato" w:hAnsi="Lato" w:cs="Times New Roman"/>
                <w:sz w:val="20"/>
                <w:szCs w:val="20"/>
                <w:vertAlign w:val="superscript"/>
              </w:rPr>
              <w:t>1a</w:t>
            </w:r>
            <w:r w:rsidRPr="006513A0">
              <w:rPr>
                <w:rFonts w:ascii="Lato" w:hAnsi="Lato" w:cs="Times New Roman"/>
                <w:i/>
                <w:iCs/>
                <w:sz w:val="20"/>
                <w:szCs w:val="20"/>
              </w:rPr>
              <w:t xml:space="preserve"> </w:t>
            </w:r>
            <w:r w:rsidR="00FF072C" w:rsidRPr="006513A0">
              <w:rPr>
                <w:rFonts w:ascii="Lato" w:hAnsi="Lato" w:cs="Times New Roman"/>
                <w:i/>
                <w:iCs/>
                <w:sz w:val="20"/>
                <w:szCs w:val="20"/>
              </w:rPr>
              <w:t xml:space="preserve">Umowa o przyłączenie dotycząca instalacji </w:t>
            </w:r>
            <w:r w:rsidR="00FF072C" w:rsidRPr="006513A0">
              <w:rPr>
                <w:rFonts w:ascii="Lato" w:hAnsi="Lato" w:cs="Times New Roman"/>
                <w:i/>
                <w:iCs/>
                <w:color w:val="FF0000"/>
                <w:sz w:val="20"/>
                <w:szCs w:val="20"/>
              </w:rPr>
              <w:t xml:space="preserve">odnawialnego źródła energii </w:t>
            </w:r>
            <w:r w:rsidR="00FF072C" w:rsidRPr="006513A0">
              <w:rPr>
                <w:rFonts w:ascii="Lato" w:hAnsi="Lato" w:cs="Times New Roman"/>
                <w:i/>
                <w:iCs/>
                <w:sz w:val="20"/>
                <w:szCs w:val="20"/>
              </w:rPr>
              <w:t xml:space="preserve">przyłączanej do sieci o napięciu powyżej 1kV </w:t>
            </w:r>
            <w:r w:rsidR="00FF072C" w:rsidRPr="006513A0">
              <w:rPr>
                <w:rFonts w:ascii="Lato" w:hAnsi="Lato" w:cs="Times New Roman"/>
                <w:i/>
                <w:iCs/>
                <w:color w:val="FF0000"/>
                <w:sz w:val="20"/>
                <w:szCs w:val="20"/>
              </w:rPr>
              <w:t xml:space="preserve">może zostać wypowiedziana </w:t>
            </w:r>
            <w:r w:rsidR="00FF072C" w:rsidRPr="006513A0">
              <w:rPr>
                <w:rFonts w:ascii="Lato" w:hAnsi="Lato" w:cs="Times New Roman"/>
                <w:i/>
                <w:iCs/>
                <w:sz w:val="20"/>
                <w:szCs w:val="20"/>
              </w:rPr>
              <w:t>z przyczyn leżących po stronie podmiotu przyłączanego w przypadku gdy podmiot ten nie zawiadomi w terminie:</w:t>
            </w:r>
          </w:p>
        </w:tc>
        <w:tc>
          <w:tcPr>
            <w:tcW w:w="1428" w:type="dxa"/>
          </w:tcPr>
          <w:p w14:paraId="17C40DBE" w14:textId="77777777" w:rsidR="00B86ED0" w:rsidRPr="006513A0" w:rsidRDefault="00B86ED0" w:rsidP="00A9338E">
            <w:pPr>
              <w:jc w:val="both"/>
              <w:rPr>
                <w:rFonts w:ascii="Lato" w:hAnsi="Lato" w:cs="Times New Roman"/>
                <w:sz w:val="20"/>
                <w:szCs w:val="20"/>
              </w:rPr>
            </w:pPr>
          </w:p>
        </w:tc>
      </w:tr>
      <w:tr w:rsidR="00B86ED0" w:rsidRPr="006513A0" w14:paraId="597EDC07" w14:textId="77777777" w:rsidTr="009B5AD6">
        <w:tc>
          <w:tcPr>
            <w:tcW w:w="562" w:type="dxa"/>
          </w:tcPr>
          <w:p w14:paraId="513652BE" w14:textId="5481CAA8" w:rsidR="00B86ED0" w:rsidRPr="006513A0" w:rsidRDefault="00B86ED0" w:rsidP="00A9338E">
            <w:pPr>
              <w:jc w:val="center"/>
              <w:rPr>
                <w:rFonts w:ascii="Lato" w:hAnsi="Lato" w:cs="Times New Roman"/>
                <w:sz w:val="20"/>
                <w:szCs w:val="20"/>
              </w:rPr>
            </w:pPr>
            <w:r w:rsidRPr="006513A0">
              <w:rPr>
                <w:rFonts w:ascii="Lato" w:hAnsi="Lato" w:cs="Times New Roman"/>
                <w:sz w:val="20"/>
                <w:szCs w:val="20"/>
              </w:rPr>
              <w:lastRenderedPageBreak/>
              <w:t>4</w:t>
            </w:r>
          </w:p>
        </w:tc>
        <w:tc>
          <w:tcPr>
            <w:tcW w:w="1701" w:type="dxa"/>
          </w:tcPr>
          <w:p w14:paraId="2C112C99" w14:textId="1D8BF5D4" w:rsidR="00B86ED0" w:rsidRPr="006513A0" w:rsidRDefault="00CB218B" w:rsidP="00A9338E">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29E8C0CD" w14:textId="315CA688" w:rsidR="00B86ED0" w:rsidRPr="006513A0" w:rsidRDefault="000E2070" w:rsidP="00A9338E">
            <w:pPr>
              <w:jc w:val="both"/>
              <w:rPr>
                <w:rFonts w:ascii="Lato" w:hAnsi="Lato" w:cs="Times New Roman"/>
                <w:sz w:val="20"/>
                <w:szCs w:val="20"/>
              </w:rPr>
            </w:pPr>
            <w:r w:rsidRPr="006513A0">
              <w:rPr>
                <w:rFonts w:ascii="Lato" w:hAnsi="Lato" w:cs="Times New Roman"/>
                <w:sz w:val="20"/>
                <w:szCs w:val="20"/>
              </w:rPr>
              <w:t xml:space="preserve">Art. 1 pkt 8 lit k projektu (art. 7 ust. </w:t>
            </w:r>
            <w:r w:rsidR="00552A10" w:rsidRPr="006513A0">
              <w:rPr>
                <w:rFonts w:ascii="Lato" w:hAnsi="Lato" w:cs="Times New Roman"/>
                <w:sz w:val="20"/>
                <w:szCs w:val="20"/>
              </w:rPr>
              <w:t>8a i 8c</w:t>
            </w:r>
            <w:r w:rsidRPr="006513A0">
              <w:rPr>
                <w:rFonts w:ascii="Lato" w:hAnsi="Lato" w:cs="Times New Roman"/>
                <w:sz w:val="20"/>
                <w:szCs w:val="20"/>
              </w:rPr>
              <w:t xml:space="preserve"> PE)</w:t>
            </w:r>
          </w:p>
        </w:tc>
        <w:tc>
          <w:tcPr>
            <w:tcW w:w="5103" w:type="dxa"/>
          </w:tcPr>
          <w:p w14:paraId="460B5DCD" w14:textId="6F87CC3D" w:rsidR="00552A10" w:rsidRPr="006513A0" w:rsidRDefault="001C1718" w:rsidP="00A9338E">
            <w:pPr>
              <w:jc w:val="both"/>
              <w:rPr>
                <w:rFonts w:ascii="Lato" w:hAnsi="Lato" w:cs="Times New Roman"/>
                <w:sz w:val="20"/>
                <w:szCs w:val="20"/>
              </w:rPr>
            </w:pPr>
            <w:r w:rsidRPr="006513A0">
              <w:rPr>
                <w:rFonts w:ascii="Lato" w:hAnsi="Lato" w:cs="Times New Roman"/>
                <w:sz w:val="20"/>
                <w:szCs w:val="20"/>
              </w:rPr>
              <w:t xml:space="preserve">Każda istotna zmiana parametrów przyłączenia, nawet jeśli nie wiąże się ze zmianą mocy przyłączeniowej wymaga złożenia wniosku o określenie warunków przyłączenia. W takim wniosku formalnie wskazuje się </w:t>
            </w:r>
            <w:r w:rsidR="00861712" w:rsidRPr="006513A0">
              <w:rPr>
                <w:rFonts w:ascii="Lato" w:hAnsi="Lato" w:cs="Times New Roman"/>
                <w:sz w:val="20"/>
                <w:szCs w:val="20"/>
              </w:rPr>
              <w:t>zawsze</w:t>
            </w:r>
            <w:r w:rsidRPr="006513A0">
              <w:rPr>
                <w:rFonts w:ascii="Lato" w:hAnsi="Lato" w:cs="Times New Roman"/>
                <w:sz w:val="20"/>
                <w:szCs w:val="20"/>
              </w:rPr>
              <w:t xml:space="preserve"> moc przyłączeniową</w:t>
            </w:r>
            <w:r w:rsidR="00861712" w:rsidRPr="006513A0">
              <w:rPr>
                <w:rFonts w:ascii="Lato" w:hAnsi="Lato" w:cs="Times New Roman"/>
                <w:sz w:val="20"/>
                <w:szCs w:val="20"/>
              </w:rPr>
              <w:t xml:space="preserve"> dla miejsca przyłączenia</w:t>
            </w:r>
            <w:r w:rsidRPr="006513A0">
              <w:rPr>
                <w:rFonts w:ascii="Lato" w:hAnsi="Lato" w:cs="Times New Roman"/>
                <w:sz w:val="20"/>
                <w:szCs w:val="20"/>
              </w:rPr>
              <w:t xml:space="preserve">. Podobnie w przypadku wnioskowania o zmianę mocy przyłączeniowej, we wniosku wskazuje się całkowitą </w:t>
            </w:r>
            <w:r w:rsidR="00861712" w:rsidRPr="006513A0">
              <w:rPr>
                <w:rFonts w:ascii="Lato" w:hAnsi="Lato" w:cs="Times New Roman"/>
                <w:sz w:val="20"/>
                <w:szCs w:val="20"/>
              </w:rPr>
              <w:t>łączną nową</w:t>
            </w:r>
            <w:r w:rsidRPr="006513A0">
              <w:rPr>
                <w:rFonts w:ascii="Lato" w:hAnsi="Lato" w:cs="Times New Roman"/>
                <w:sz w:val="20"/>
                <w:szCs w:val="20"/>
              </w:rPr>
              <w:t xml:space="preserve"> moc (a nie jedynie różnicę). Zaliczka w takich przypadkach powinna być naliczana jedynie od przyrostu mocy przyłączeniowej. Zmiana warunków przyłączeniowych wiąże się bowiem z reguły z o wiele mniejszym zakresem prac</w:t>
            </w:r>
            <w:r w:rsidR="007D66C8" w:rsidRPr="006513A0">
              <w:rPr>
                <w:rFonts w:ascii="Lato" w:hAnsi="Lato" w:cs="Times New Roman"/>
                <w:sz w:val="20"/>
                <w:szCs w:val="20"/>
              </w:rPr>
              <w:t xml:space="preserve"> niż realizacja zupełnie nowego przyłączenia</w:t>
            </w:r>
            <w:r w:rsidRPr="006513A0">
              <w:rPr>
                <w:rFonts w:ascii="Lato" w:hAnsi="Lato" w:cs="Times New Roman"/>
                <w:sz w:val="20"/>
                <w:szCs w:val="20"/>
              </w:rPr>
              <w:t>.</w:t>
            </w:r>
            <w:r w:rsidR="00861712" w:rsidRPr="006513A0">
              <w:rPr>
                <w:rFonts w:ascii="Lato" w:hAnsi="Lato" w:cs="Times New Roman"/>
                <w:sz w:val="20"/>
                <w:szCs w:val="20"/>
              </w:rPr>
              <w:t xml:space="preserve"> Nie ma zatem uzasadnienia, by naliczać ją od już posiadanej mocy.</w:t>
            </w:r>
          </w:p>
          <w:p w14:paraId="4212CFA9" w14:textId="77777777" w:rsidR="001C1718" w:rsidRPr="006513A0" w:rsidRDefault="001C1718" w:rsidP="00A9338E">
            <w:pPr>
              <w:jc w:val="both"/>
              <w:rPr>
                <w:rFonts w:ascii="Lato" w:hAnsi="Lato" w:cs="Times New Roman"/>
                <w:sz w:val="20"/>
                <w:szCs w:val="20"/>
              </w:rPr>
            </w:pPr>
          </w:p>
          <w:p w14:paraId="569E7674" w14:textId="2C6338CC" w:rsidR="001C1718" w:rsidRPr="006513A0" w:rsidRDefault="001C1718" w:rsidP="00A9338E">
            <w:pPr>
              <w:jc w:val="both"/>
              <w:rPr>
                <w:rFonts w:ascii="Lato" w:hAnsi="Lato" w:cs="Times New Roman"/>
                <w:sz w:val="20"/>
                <w:szCs w:val="20"/>
              </w:rPr>
            </w:pPr>
            <w:r w:rsidRPr="006513A0">
              <w:rPr>
                <w:rFonts w:ascii="Lato" w:hAnsi="Lato" w:cs="Times New Roman"/>
                <w:sz w:val="20"/>
                <w:szCs w:val="20"/>
              </w:rPr>
              <w:t xml:space="preserve">Ponadto należy zwrócić uwagę, że </w:t>
            </w:r>
            <w:r w:rsidR="00861712" w:rsidRPr="006513A0">
              <w:rPr>
                <w:rFonts w:ascii="Lato" w:hAnsi="Lato" w:cs="Times New Roman"/>
                <w:sz w:val="20"/>
                <w:szCs w:val="20"/>
              </w:rPr>
              <w:t xml:space="preserve">projektowane przepisy przewidują obowiązek wnoszenia zaliczki także przez odbiorców (nie tylko wytwórców). Problem blokowania mocy przyłączeniowych „odbiorczych” jest jednak daleko mniejszy niż mocy </w:t>
            </w:r>
            <w:r w:rsidR="00F47191" w:rsidRPr="006513A0">
              <w:rPr>
                <w:rFonts w:ascii="Lato" w:hAnsi="Lato" w:cs="Times New Roman"/>
                <w:sz w:val="20"/>
                <w:szCs w:val="20"/>
              </w:rPr>
              <w:t>„</w:t>
            </w:r>
            <w:r w:rsidR="00861712" w:rsidRPr="006513A0">
              <w:rPr>
                <w:rFonts w:ascii="Lato" w:hAnsi="Lato" w:cs="Times New Roman"/>
                <w:sz w:val="20"/>
                <w:szCs w:val="20"/>
              </w:rPr>
              <w:t>wytwórczych</w:t>
            </w:r>
            <w:r w:rsidR="00F47191" w:rsidRPr="006513A0">
              <w:rPr>
                <w:rFonts w:ascii="Lato" w:hAnsi="Lato" w:cs="Times New Roman"/>
                <w:sz w:val="20"/>
                <w:szCs w:val="20"/>
              </w:rPr>
              <w:t>”</w:t>
            </w:r>
            <w:r w:rsidR="00861712" w:rsidRPr="006513A0">
              <w:rPr>
                <w:rFonts w:ascii="Lato" w:hAnsi="Lato" w:cs="Times New Roman"/>
                <w:sz w:val="20"/>
                <w:szCs w:val="20"/>
              </w:rPr>
              <w:t>. Blokowanie zaliczki na wiele miesięcy do czasu rozpoznania wniosku o określenie warunków przyłączenia</w:t>
            </w:r>
            <w:r w:rsidR="007D66C8" w:rsidRPr="006513A0">
              <w:rPr>
                <w:rFonts w:ascii="Lato" w:hAnsi="Lato" w:cs="Times New Roman"/>
                <w:sz w:val="20"/>
                <w:szCs w:val="20"/>
              </w:rPr>
              <w:t xml:space="preserve">, a dalej na czas do zawarcia umowy </w:t>
            </w:r>
            <w:r w:rsidR="00861712" w:rsidRPr="006513A0">
              <w:rPr>
                <w:rFonts w:ascii="Lato" w:hAnsi="Lato" w:cs="Times New Roman"/>
                <w:sz w:val="20"/>
                <w:szCs w:val="20"/>
              </w:rPr>
              <w:t>jest w tej</w:t>
            </w:r>
            <w:r w:rsidR="00F47191" w:rsidRPr="006513A0">
              <w:rPr>
                <w:rFonts w:ascii="Lato" w:hAnsi="Lato" w:cs="Times New Roman"/>
                <w:sz w:val="20"/>
                <w:szCs w:val="20"/>
              </w:rPr>
              <w:t xml:space="preserve"> sytuacji nadmiarowym obciążeniem, zwłaszcza w sytuacji gdy odbiorcy i tak </w:t>
            </w:r>
            <w:r w:rsidR="007D66C8" w:rsidRPr="006513A0">
              <w:rPr>
                <w:rFonts w:ascii="Lato" w:hAnsi="Lato" w:cs="Times New Roman"/>
                <w:sz w:val="20"/>
                <w:szCs w:val="20"/>
              </w:rPr>
              <w:t xml:space="preserve">zgodnie z projektem mają być </w:t>
            </w:r>
            <w:r w:rsidR="00F47191" w:rsidRPr="006513A0">
              <w:rPr>
                <w:rFonts w:ascii="Lato" w:hAnsi="Lato" w:cs="Times New Roman"/>
                <w:sz w:val="20"/>
                <w:szCs w:val="20"/>
              </w:rPr>
              <w:t xml:space="preserve"> zobligowani do ustanowienia zabezpieczenia w terminie 30 dni od uzyskania warunków przyłączenia. Stąd postuluje się w art. 7 ust. 8c dokonać rozróżnienie momentu wniesienia zaliczki przez wytwórców i pozostałe podmioty.</w:t>
            </w:r>
          </w:p>
          <w:p w14:paraId="6A5B2FF5" w14:textId="77777777" w:rsidR="00552A10" w:rsidRPr="006513A0" w:rsidRDefault="00552A10" w:rsidP="00A9338E">
            <w:pPr>
              <w:jc w:val="both"/>
              <w:rPr>
                <w:rFonts w:ascii="Lato" w:hAnsi="Lato" w:cs="Times New Roman"/>
                <w:sz w:val="20"/>
                <w:szCs w:val="20"/>
              </w:rPr>
            </w:pPr>
          </w:p>
          <w:p w14:paraId="61393C6E" w14:textId="0109A713" w:rsidR="00B86ED0" w:rsidRPr="006513A0" w:rsidRDefault="007C7758" w:rsidP="00A9338E">
            <w:pPr>
              <w:jc w:val="both"/>
              <w:rPr>
                <w:rFonts w:ascii="Lato" w:hAnsi="Lato" w:cs="Times New Roman"/>
                <w:sz w:val="20"/>
                <w:szCs w:val="20"/>
              </w:rPr>
            </w:pPr>
            <w:r w:rsidRPr="006513A0">
              <w:rPr>
                <w:rFonts w:ascii="Lato" w:hAnsi="Lato" w:cs="Times New Roman"/>
                <w:sz w:val="20"/>
                <w:szCs w:val="20"/>
              </w:rPr>
              <w:t xml:space="preserve">W przypadku mniejszych sieci dystrybucyjnych (w szczególności na obszarze zakładów przemysłowych) występują sytuację, w których pobieranie zaliczki niesie dla operatora więcej ciężarów (choćby w zakresie obsługi dokonywanych wpłat i ich oprocentowania) niż korzyści. </w:t>
            </w:r>
            <w:r w:rsidR="00450CF0" w:rsidRPr="006513A0">
              <w:rPr>
                <w:rFonts w:ascii="Lato" w:hAnsi="Lato" w:cs="Times New Roman"/>
                <w:sz w:val="20"/>
                <w:szCs w:val="20"/>
              </w:rPr>
              <w:t xml:space="preserve">Dzieje się tak zwłaszcza gdy proces rozpatrzenia wniosku o wydanie warunków przyłączenia jest długi (np. z uwagi na konieczność uzyskania uzgodnienia ze strony </w:t>
            </w:r>
            <w:proofErr w:type="spellStart"/>
            <w:r w:rsidR="00450CF0" w:rsidRPr="006513A0">
              <w:rPr>
                <w:rFonts w:ascii="Lato" w:hAnsi="Lato" w:cs="Times New Roman"/>
                <w:sz w:val="20"/>
                <w:szCs w:val="20"/>
              </w:rPr>
              <w:t>OSDn</w:t>
            </w:r>
            <w:proofErr w:type="spellEnd"/>
            <w:r w:rsidR="00450CF0" w:rsidRPr="006513A0">
              <w:rPr>
                <w:rFonts w:ascii="Lato" w:hAnsi="Lato" w:cs="Times New Roman"/>
                <w:sz w:val="20"/>
                <w:szCs w:val="20"/>
              </w:rPr>
              <w:t>) i jednocześnie trudno na etapie rozpatrywania wniosku oszacować koszty związane z przyłączeniem.</w:t>
            </w:r>
          </w:p>
        </w:tc>
        <w:tc>
          <w:tcPr>
            <w:tcW w:w="4252" w:type="dxa"/>
          </w:tcPr>
          <w:p w14:paraId="6CD28AE7" w14:textId="15AE6366" w:rsidR="00B86ED0" w:rsidRPr="006513A0" w:rsidRDefault="000E2070" w:rsidP="00A9338E">
            <w:pPr>
              <w:jc w:val="both"/>
              <w:rPr>
                <w:rFonts w:ascii="Lato" w:hAnsi="Lato"/>
                <w:i/>
                <w:iCs/>
                <w:color w:val="FF0000"/>
                <w:sz w:val="20"/>
                <w:szCs w:val="20"/>
              </w:rPr>
            </w:pPr>
            <w:r w:rsidRPr="006513A0">
              <w:rPr>
                <w:rFonts w:ascii="Lato" w:hAnsi="Lato"/>
                <w:i/>
                <w:iCs/>
                <w:sz w:val="20"/>
                <w:szCs w:val="20"/>
              </w:rPr>
              <w:t xml:space="preserve">8a. Podmiot ubiegający się o przyłączenie instalacji, urządzeń lub sieci do sieci elektroenergetycznej o napięciu znamionowym wyższym niż 1 </w:t>
            </w:r>
            <w:proofErr w:type="spellStart"/>
            <w:r w:rsidRPr="006513A0">
              <w:rPr>
                <w:rFonts w:ascii="Lato" w:hAnsi="Lato"/>
                <w:i/>
                <w:iCs/>
                <w:sz w:val="20"/>
                <w:szCs w:val="20"/>
              </w:rPr>
              <w:t>kV</w:t>
            </w:r>
            <w:proofErr w:type="spellEnd"/>
            <w:r w:rsidRPr="006513A0">
              <w:rPr>
                <w:rFonts w:ascii="Lato" w:hAnsi="Lato"/>
                <w:i/>
                <w:iCs/>
                <w:sz w:val="20"/>
                <w:szCs w:val="20"/>
              </w:rPr>
              <w:t xml:space="preserve"> wnosi zaliczkę na poczet opłaty za przyłączenie do sieci, zwaną dalej „zaliczką”, w wysokości 60 zł za każdy kilowat mocy przyłączeniowej określonej we wniosku o określenie warunków przyłączenia, z uwzględnieniem ust. 8b. Przepisu zdania pierwszego nie stosuje się do inwestycji realizowanych na podstawie ustawy z dnia 17 grudnia 2020 r. o promowaniu wytwarzania energii elektrycznej w morskich farmach wiatrowych.</w:t>
            </w:r>
            <w:r w:rsidR="00552A10" w:rsidRPr="006513A0">
              <w:rPr>
                <w:rFonts w:ascii="Lato" w:hAnsi="Lato"/>
                <w:i/>
                <w:iCs/>
                <w:sz w:val="20"/>
                <w:szCs w:val="20"/>
              </w:rPr>
              <w:t xml:space="preserve"> </w:t>
            </w:r>
            <w:r w:rsidR="00552A10" w:rsidRPr="006513A0">
              <w:rPr>
                <w:rFonts w:ascii="Lato" w:hAnsi="Lato"/>
                <w:i/>
                <w:iCs/>
                <w:color w:val="FF0000"/>
                <w:sz w:val="20"/>
                <w:szCs w:val="20"/>
              </w:rPr>
              <w:t xml:space="preserve">W przypadku gdy podmiot ubiegający się o przyłączenie dysponuje mocą przyłączeniową, zaliczka jest </w:t>
            </w:r>
            <w:r w:rsidR="00861712" w:rsidRPr="006513A0">
              <w:rPr>
                <w:rFonts w:ascii="Lato" w:hAnsi="Lato"/>
                <w:i/>
                <w:iCs/>
                <w:color w:val="FF0000"/>
                <w:sz w:val="20"/>
                <w:szCs w:val="20"/>
              </w:rPr>
              <w:t>wnoszona</w:t>
            </w:r>
            <w:r w:rsidR="00552A10" w:rsidRPr="006513A0">
              <w:rPr>
                <w:rFonts w:ascii="Lato" w:hAnsi="Lato"/>
                <w:i/>
                <w:iCs/>
                <w:color w:val="FF0000"/>
                <w:sz w:val="20"/>
                <w:szCs w:val="20"/>
              </w:rPr>
              <w:t xml:space="preserve"> jedynie od przyrostu mocy przyłączeniowej.</w:t>
            </w:r>
            <w:r w:rsidRPr="006513A0">
              <w:rPr>
                <w:rFonts w:ascii="Lato" w:hAnsi="Lato" w:cs="Open Sans"/>
                <w:color w:val="333333"/>
                <w:sz w:val="20"/>
                <w:szCs w:val="20"/>
                <w:shd w:val="clear" w:color="auto" w:fill="FFFFFF"/>
              </w:rPr>
              <w:t xml:space="preserve"> </w:t>
            </w:r>
            <w:r w:rsidRPr="006513A0">
              <w:rPr>
                <w:rFonts w:ascii="Lato" w:hAnsi="Lato"/>
                <w:i/>
                <w:iCs/>
                <w:color w:val="FF0000"/>
                <w:sz w:val="20"/>
                <w:szCs w:val="20"/>
              </w:rPr>
              <w:t>Przedsiębiorstwo, o którym mowa w art. 9d ust. 7 może zwolnić podmiot ubiegający się o przyłączenie z obowiązku wniesienia zaliczki</w:t>
            </w:r>
            <w:r w:rsidR="007C7758" w:rsidRPr="006513A0">
              <w:rPr>
                <w:rFonts w:ascii="Lato" w:hAnsi="Lato"/>
                <w:i/>
                <w:iCs/>
                <w:color w:val="FF0000"/>
                <w:sz w:val="20"/>
                <w:szCs w:val="20"/>
              </w:rPr>
              <w:t xml:space="preserve"> o ile nie będzie to prowadziło do nierównoprawnego traktowania innych podmiotów ubiegający się o przyłączenie.</w:t>
            </w:r>
          </w:p>
          <w:p w14:paraId="63FF5736" w14:textId="77777777" w:rsidR="00552A10" w:rsidRPr="006513A0" w:rsidRDefault="00552A10" w:rsidP="00A9338E">
            <w:pPr>
              <w:jc w:val="both"/>
              <w:rPr>
                <w:rFonts w:ascii="Lato" w:hAnsi="Lato"/>
                <w:i/>
                <w:iCs/>
                <w:color w:val="FF0000"/>
                <w:sz w:val="20"/>
                <w:szCs w:val="20"/>
              </w:rPr>
            </w:pPr>
          </w:p>
          <w:p w14:paraId="6BD03E7F" w14:textId="290E999A" w:rsidR="00552A10" w:rsidRPr="006513A0" w:rsidRDefault="00552A10" w:rsidP="00A9338E">
            <w:pPr>
              <w:jc w:val="both"/>
              <w:rPr>
                <w:rFonts w:ascii="Lato" w:hAnsi="Lato"/>
                <w:i/>
                <w:iCs/>
                <w:color w:val="FF0000"/>
                <w:sz w:val="20"/>
                <w:szCs w:val="20"/>
              </w:rPr>
            </w:pPr>
            <w:r w:rsidRPr="006513A0">
              <w:rPr>
                <w:rFonts w:ascii="Lato" w:hAnsi="Lato"/>
                <w:i/>
                <w:iCs/>
                <w:color w:val="FF0000"/>
                <w:sz w:val="20"/>
                <w:szCs w:val="20"/>
              </w:rPr>
              <w:t xml:space="preserve">8c </w:t>
            </w:r>
            <w:r w:rsidR="006E1F3E" w:rsidRPr="006513A0">
              <w:rPr>
                <w:rFonts w:ascii="Lato" w:hAnsi="Lato"/>
                <w:i/>
                <w:iCs/>
                <w:color w:val="FF0000"/>
                <w:sz w:val="20"/>
                <w:szCs w:val="20"/>
              </w:rPr>
              <w:t xml:space="preserve">Podmiot ubiegający się o przyłączenie źródła lub magazynu energii elektrycznej </w:t>
            </w:r>
            <w:r w:rsidRPr="006513A0">
              <w:rPr>
                <w:rFonts w:ascii="Lato" w:hAnsi="Lato"/>
                <w:i/>
                <w:iCs/>
                <w:color w:val="FF0000"/>
                <w:sz w:val="20"/>
                <w:szCs w:val="20"/>
              </w:rPr>
              <w:t xml:space="preserve">wnosi </w:t>
            </w:r>
            <w:r w:rsidR="006E1F3E" w:rsidRPr="006513A0">
              <w:rPr>
                <w:rFonts w:ascii="Lato" w:hAnsi="Lato"/>
                <w:i/>
                <w:iCs/>
                <w:color w:val="FF0000"/>
                <w:sz w:val="20"/>
                <w:szCs w:val="20"/>
              </w:rPr>
              <w:t>zaliczkę</w:t>
            </w:r>
            <w:r w:rsidRPr="006513A0">
              <w:rPr>
                <w:rFonts w:ascii="Lato" w:hAnsi="Lato"/>
                <w:i/>
                <w:iCs/>
                <w:color w:val="FF0000"/>
                <w:sz w:val="20"/>
                <w:szCs w:val="20"/>
              </w:rPr>
              <w:t xml:space="preserve"> w ciągu 14 dni od dnia złożenia wniosku o określenie warunków przyłączenia, pod rygorem pozostawienia wniosku bez rozpatrzenia.</w:t>
            </w:r>
            <w:r w:rsidR="006E1F3E" w:rsidRPr="006513A0">
              <w:rPr>
                <w:rFonts w:ascii="Lato" w:hAnsi="Lato"/>
                <w:i/>
                <w:iCs/>
                <w:color w:val="FF0000"/>
                <w:sz w:val="20"/>
                <w:szCs w:val="20"/>
              </w:rPr>
              <w:t xml:space="preserve"> Pozostałe podmioty wnoszą zaliczkę w terminie 7 dni od dnia zawarcia umowy o przyłączenie do sieci.</w:t>
            </w:r>
          </w:p>
        </w:tc>
        <w:tc>
          <w:tcPr>
            <w:tcW w:w="1428" w:type="dxa"/>
          </w:tcPr>
          <w:p w14:paraId="2EFA759D" w14:textId="77777777" w:rsidR="00B86ED0" w:rsidRPr="006513A0" w:rsidRDefault="00B86ED0" w:rsidP="00A9338E">
            <w:pPr>
              <w:jc w:val="both"/>
              <w:rPr>
                <w:rFonts w:ascii="Lato" w:hAnsi="Lato" w:cs="Times New Roman"/>
                <w:sz w:val="20"/>
                <w:szCs w:val="20"/>
              </w:rPr>
            </w:pPr>
          </w:p>
        </w:tc>
      </w:tr>
      <w:tr w:rsidR="00B86ED0" w:rsidRPr="006513A0" w14:paraId="50E6FC26" w14:textId="77777777" w:rsidTr="009B5AD6">
        <w:tc>
          <w:tcPr>
            <w:tcW w:w="562" w:type="dxa"/>
          </w:tcPr>
          <w:p w14:paraId="72CBEA22" w14:textId="12486115" w:rsidR="00B86ED0" w:rsidRPr="006513A0" w:rsidRDefault="00B86ED0" w:rsidP="00A9338E">
            <w:pPr>
              <w:jc w:val="center"/>
              <w:rPr>
                <w:rFonts w:ascii="Lato" w:hAnsi="Lato" w:cs="Times New Roman"/>
                <w:sz w:val="20"/>
                <w:szCs w:val="20"/>
              </w:rPr>
            </w:pPr>
            <w:r w:rsidRPr="006513A0">
              <w:rPr>
                <w:rFonts w:ascii="Lato" w:hAnsi="Lato" w:cs="Times New Roman"/>
                <w:sz w:val="20"/>
                <w:szCs w:val="20"/>
              </w:rPr>
              <w:lastRenderedPageBreak/>
              <w:t>5</w:t>
            </w:r>
          </w:p>
        </w:tc>
        <w:tc>
          <w:tcPr>
            <w:tcW w:w="1701" w:type="dxa"/>
          </w:tcPr>
          <w:p w14:paraId="13E20248" w14:textId="29C0CBD9" w:rsidR="00B86ED0" w:rsidRPr="006513A0" w:rsidRDefault="00CB218B" w:rsidP="00A9338E">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607E353C" w14:textId="7F4A471B" w:rsidR="00B86ED0" w:rsidRPr="006513A0" w:rsidRDefault="00B87298" w:rsidP="00A9338E">
            <w:pPr>
              <w:jc w:val="both"/>
              <w:rPr>
                <w:rFonts w:ascii="Lato" w:hAnsi="Lato" w:cs="Times New Roman"/>
                <w:sz w:val="20"/>
                <w:szCs w:val="20"/>
              </w:rPr>
            </w:pPr>
            <w:r w:rsidRPr="006513A0">
              <w:rPr>
                <w:rFonts w:ascii="Lato" w:hAnsi="Lato" w:cs="Times New Roman"/>
                <w:sz w:val="20"/>
                <w:szCs w:val="20"/>
              </w:rPr>
              <w:t xml:space="preserve">Art. 1 pkt 8 lit m projektu (art. 7 ust. </w:t>
            </w:r>
            <w:r w:rsidR="0035402D" w:rsidRPr="006513A0">
              <w:rPr>
                <w:rFonts w:ascii="Lato" w:hAnsi="Lato" w:cs="Times New Roman"/>
                <w:sz w:val="20"/>
                <w:szCs w:val="20"/>
              </w:rPr>
              <w:t>8b</w:t>
            </w:r>
            <w:r w:rsidR="0035402D" w:rsidRPr="006513A0">
              <w:rPr>
                <w:rFonts w:ascii="Lato" w:hAnsi="Lato" w:cs="Times New Roman"/>
                <w:sz w:val="20"/>
                <w:szCs w:val="20"/>
                <w:vertAlign w:val="superscript"/>
              </w:rPr>
              <w:t>1</w:t>
            </w:r>
            <w:r w:rsidRPr="006513A0">
              <w:rPr>
                <w:rFonts w:ascii="Lato" w:hAnsi="Lato" w:cs="Times New Roman"/>
                <w:sz w:val="20"/>
                <w:szCs w:val="20"/>
              </w:rPr>
              <w:t xml:space="preserve"> PE)</w:t>
            </w:r>
          </w:p>
        </w:tc>
        <w:tc>
          <w:tcPr>
            <w:tcW w:w="5103" w:type="dxa"/>
          </w:tcPr>
          <w:p w14:paraId="1B3CC005" w14:textId="20E72574" w:rsidR="00E52A7E" w:rsidRPr="006513A0" w:rsidRDefault="00E52A7E" w:rsidP="00A9338E">
            <w:pPr>
              <w:jc w:val="both"/>
              <w:rPr>
                <w:rFonts w:ascii="Lato" w:hAnsi="Lato" w:cs="Times New Roman"/>
                <w:sz w:val="20"/>
                <w:szCs w:val="20"/>
              </w:rPr>
            </w:pPr>
            <w:r w:rsidRPr="006513A0">
              <w:rPr>
                <w:rFonts w:ascii="Lato" w:hAnsi="Lato" w:cs="Times New Roman"/>
                <w:sz w:val="20"/>
                <w:szCs w:val="20"/>
              </w:rPr>
              <w:t xml:space="preserve">Projekt stwarza ryzyko powstania luki kosztowej po stronie </w:t>
            </w:r>
            <w:proofErr w:type="spellStart"/>
            <w:r w:rsidRPr="006513A0">
              <w:rPr>
                <w:rFonts w:ascii="Lato" w:hAnsi="Lato" w:cs="Times New Roman"/>
                <w:sz w:val="20"/>
                <w:szCs w:val="20"/>
              </w:rPr>
              <w:t>OSDn</w:t>
            </w:r>
            <w:proofErr w:type="spellEnd"/>
            <w:r w:rsidRPr="006513A0">
              <w:rPr>
                <w:rFonts w:ascii="Lato" w:hAnsi="Lato" w:cs="Times New Roman"/>
                <w:sz w:val="20"/>
                <w:szCs w:val="20"/>
              </w:rPr>
              <w:t xml:space="preserve">. Rozpatrzenie wniosku wytwórcy o określenie warunków przyłączenia przez </w:t>
            </w:r>
            <w:proofErr w:type="spellStart"/>
            <w:r w:rsidRPr="006513A0">
              <w:rPr>
                <w:rFonts w:ascii="Lato" w:hAnsi="Lato" w:cs="Times New Roman"/>
                <w:sz w:val="20"/>
                <w:szCs w:val="20"/>
              </w:rPr>
              <w:t>OSDn</w:t>
            </w:r>
            <w:proofErr w:type="spellEnd"/>
            <w:r w:rsidRPr="006513A0">
              <w:rPr>
                <w:rFonts w:ascii="Lato" w:hAnsi="Lato" w:cs="Times New Roman"/>
                <w:sz w:val="20"/>
                <w:szCs w:val="20"/>
              </w:rPr>
              <w:t xml:space="preserve"> często wymaga złożenia przez </w:t>
            </w:r>
            <w:proofErr w:type="spellStart"/>
            <w:r w:rsidRPr="006513A0">
              <w:rPr>
                <w:rFonts w:ascii="Lato" w:hAnsi="Lato" w:cs="Times New Roman"/>
                <w:sz w:val="20"/>
                <w:szCs w:val="20"/>
              </w:rPr>
              <w:t>OSDn</w:t>
            </w:r>
            <w:proofErr w:type="spellEnd"/>
            <w:r w:rsidRPr="006513A0">
              <w:rPr>
                <w:rFonts w:ascii="Lato" w:hAnsi="Lato" w:cs="Times New Roman"/>
                <w:sz w:val="20"/>
                <w:szCs w:val="20"/>
              </w:rPr>
              <w:t xml:space="preserve"> wniosku o zwiększenie mocy przyłączeniowej na połączeniu sieci </w:t>
            </w:r>
            <w:proofErr w:type="spellStart"/>
            <w:r w:rsidRPr="006513A0">
              <w:rPr>
                <w:rFonts w:ascii="Lato" w:hAnsi="Lato" w:cs="Times New Roman"/>
                <w:sz w:val="20"/>
                <w:szCs w:val="20"/>
              </w:rPr>
              <w:t>OSDn</w:t>
            </w:r>
            <w:proofErr w:type="spellEnd"/>
            <w:r w:rsidRPr="006513A0">
              <w:rPr>
                <w:rFonts w:ascii="Lato" w:hAnsi="Lato" w:cs="Times New Roman"/>
                <w:sz w:val="20"/>
                <w:szCs w:val="20"/>
              </w:rPr>
              <w:t xml:space="preserve"> i </w:t>
            </w:r>
            <w:proofErr w:type="spellStart"/>
            <w:r w:rsidRPr="006513A0">
              <w:rPr>
                <w:rFonts w:ascii="Lato" w:hAnsi="Lato" w:cs="Times New Roman"/>
                <w:sz w:val="20"/>
                <w:szCs w:val="20"/>
              </w:rPr>
              <w:t>OSDp</w:t>
            </w:r>
            <w:proofErr w:type="spellEnd"/>
            <w:r w:rsidRPr="006513A0">
              <w:rPr>
                <w:rFonts w:ascii="Lato" w:hAnsi="Lato" w:cs="Times New Roman"/>
                <w:sz w:val="20"/>
                <w:szCs w:val="20"/>
              </w:rPr>
              <w:t xml:space="preserve">. </w:t>
            </w:r>
            <w:proofErr w:type="spellStart"/>
            <w:r w:rsidRPr="006513A0">
              <w:rPr>
                <w:rFonts w:ascii="Lato" w:hAnsi="Lato" w:cs="Times New Roman"/>
                <w:sz w:val="20"/>
                <w:szCs w:val="20"/>
              </w:rPr>
              <w:t>OSDn</w:t>
            </w:r>
            <w:proofErr w:type="spellEnd"/>
            <w:r w:rsidRPr="006513A0">
              <w:rPr>
                <w:rFonts w:ascii="Lato" w:hAnsi="Lato" w:cs="Times New Roman"/>
                <w:sz w:val="20"/>
                <w:szCs w:val="20"/>
              </w:rPr>
              <w:t xml:space="preserve"> w takiej sytuacji będzie musiał wnieść do </w:t>
            </w:r>
            <w:proofErr w:type="spellStart"/>
            <w:r w:rsidRPr="006513A0">
              <w:rPr>
                <w:rFonts w:ascii="Lato" w:hAnsi="Lato" w:cs="Times New Roman"/>
                <w:sz w:val="20"/>
                <w:szCs w:val="20"/>
              </w:rPr>
              <w:t>OSDp</w:t>
            </w:r>
            <w:proofErr w:type="spellEnd"/>
            <w:r w:rsidRPr="006513A0">
              <w:rPr>
                <w:rFonts w:ascii="Lato" w:hAnsi="Lato" w:cs="Times New Roman"/>
                <w:sz w:val="20"/>
                <w:szCs w:val="20"/>
              </w:rPr>
              <w:t xml:space="preserve"> opłatę za rozpatrzenie swojego wniosku – nie mając zagwarantowanego pokrycia tej opłaty. </w:t>
            </w:r>
            <w:proofErr w:type="spellStart"/>
            <w:r w:rsidRPr="006513A0">
              <w:rPr>
                <w:rFonts w:ascii="Lato" w:hAnsi="Lato" w:cs="Times New Roman"/>
                <w:sz w:val="20"/>
                <w:szCs w:val="20"/>
              </w:rPr>
              <w:t>OSDn</w:t>
            </w:r>
            <w:proofErr w:type="spellEnd"/>
            <w:r w:rsidRPr="006513A0">
              <w:rPr>
                <w:rFonts w:ascii="Lato" w:hAnsi="Lato" w:cs="Times New Roman"/>
                <w:sz w:val="20"/>
                <w:szCs w:val="20"/>
              </w:rPr>
              <w:t xml:space="preserve"> prowadzą </w:t>
            </w:r>
            <w:r w:rsidR="00BC2A70" w:rsidRPr="006513A0">
              <w:rPr>
                <w:rFonts w:ascii="Lato" w:hAnsi="Lato" w:cs="Times New Roman"/>
                <w:sz w:val="20"/>
                <w:szCs w:val="20"/>
              </w:rPr>
              <w:t xml:space="preserve">zwykle </w:t>
            </w:r>
            <w:r w:rsidRPr="006513A0">
              <w:rPr>
                <w:rFonts w:ascii="Lato" w:hAnsi="Lato" w:cs="Times New Roman"/>
                <w:sz w:val="20"/>
                <w:szCs w:val="20"/>
              </w:rPr>
              <w:t xml:space="preserve">działalność dystrybucyjną na niewielką skalę. </w:t>
            </w:r>
            <w:r w:rsidR="00BC2A70" w:rsidRPr="006513A0">
              <w:rPr>
                <w:rFonts w:ascii="Lato" w:hAnsi="Lato" w:cs="Times New Roman"/>
                <w:sz w:val="20"/>
                <w:szCs w:val="20"/>
              </w:rPr>
              <w:t xml:space="preserve">Wszelkie luki kosztowe istotnie zatem zakłócają opłacalność prowadzonej działalności. Dlatego projektowany przepis powinien regulować zasady przenoszenia kosztów „opłaty za wniosek”, którymi </w:t>
            </w:r>
            <w:proofErr w:type="spellStart"/>
            <w:r w:rsidR="00BC2A70" w:rsidRPr="006513A0">
              <w:rPr>
                <w:rFonts w:ascii="Lato" w:hAnsi="Lato" w:cs="Times New Roman"/>
                <w:sz w:val="20"/>
                <w:szCs w:val="20"/>
              </w:rPr>
              <w:t>OSDp</w:t>
            </w:r>
            <w:proofErr w:type="spellEnd"/>
            <w:r w:rsidR="00BC2A70" w:rsidRPr="006513A0">
              <w:rPr>
                <w:rFonts w:ascii="Lato" w:hAnsi="Lato" w:cs="Times New Roman"/>
                <w:sz w:val="20"/>
                <w:szCs w:val="20"/>
              </w:rPr>
              <w:t xml:space="preserve"> obciążać będą </w:t>
            </w:r>
            <w:proofErr w:type="spellStart"/>
            <w:r w:rsidR="00BC2A70" w:rsidRPr="006513A0">
              <w:rPr>
                <w:rFonts w:ascii="Lato" w:hAnsi="Lato" w:cs="Times New Roman"/>
                <w:sz w:val="20"/>
                <w:szCs w:val="20"/>
              </w:rPr>
              <w:t>OSDn</w:t>
            </w:r>
            <w:proofErr w:type="spellEnd"/>
            <w:r w:rsidR="00BC2A70" w:rsidRPr="006513A0">
              <w:rPr>
                <w:rFonts w:ascii="Lato" w:hAnsi="Lato" w:cs="Times New Roman"/>
                <w:sz w:val="20"/>
                <w:szCs w:val="20"/>
              </w:rPr>
              <w:t xml:space="preserve">, w związku z rozpatrywaniem wniosku podmiotu ubiegającego się o przyłączenie do sieci </w:t>
            </w:r>
            <w:proofErr w:type="spellStart"/>
            <w:r w:rsidR="00BC2A70" w:rsidRPr="006513A0">
              <w:rPr>
                <w:rFonts w:ascii="Lato" w:hAnsi="Lato" w:cs="Times New Roman"/>
                <w:sz w:val="20"/>
                <w:szCs w:val="20"/>
              </w:rPr>
              <w:t>OSDn</w:t>
            </w:r>
            <w:proofErr w:type="spellEnd"/>
            <w:r w:rsidR="00BC2A70" w:rsidRPr="006513A0">
              <w:rPr>
                <w:rFonts w:ascii="Lato" w:hAnsi="Lato" w:cs="Times New Roman"/>
                <w:sz w:val="20"/>
                <w:szCs w:val="20"/>
              </w:rPr>
              <w:t>.</w:t>
            </w:r>
          </w:p>
          <w:p w14:paraId="6A20BA2F" w14:textId="77777777" w:rsidR="00E52A7E" w:rsidRPr="006513A0" w:rsidRDefault="00E52A7E" w:rsidP="00A9338E">
            <w:pPr>
              <w:jc w:val="both"/>
              <w:rPr>
                <w:rFonts w:ascii="Lato" w:hAnsi="Lato" w:cs="Times New Roman"/>
                <w:sz w:val="20"/>
                <w:szCs w:val="20"/>
              </w:rPr>
            </w:pPr>
          </w:p>
          <w:p w14:paraId="19712568" w14:textId="04604162" w:rsidR="00F47191" w:rsidRPr="006513A0" w:rsidRDefault="004F2675" w:rsidP="00A9338E">
            <w:pPr>
              <w:jc w:val="both"/>
              <w:rPr>
                <w:rFonts w:ascii="Lato" w:hAnsi="Lato" w:cs="Times New Roman"/>
                <w:sz w:val="20"/>
                <w:szCs w:val="20"/>
              </w:rPr>
            </w:pPr>
            <w:r w:rsidRPr="006513A0">
              <w:rPr>
                <w:rFonts w:ascii="Lato" w:hAnsi="Lato" w:cs="Times New Roman"/>
                <w:sz w:val="20"/>
                <w:szCs w:val="20"/>
              </w:rPr>
              <w:t>W przypadku podmiotów przyłączonych już do sieci o</w:t>
            </w:r>
            <w:r w:rsidR="00F47191" w:rsidRPr="006513A0">
              <w:rPr>
                <w:rFonts w:ascii="Lato" w:hAnsi="Lato" w:cs="Times New Roman"/>
                <w:sz w:val="20"/>
                <w:szCs w:val="20"/>
              </w:rPr>
              <w:t>płata powinna być także naliczana jedynie od przyrostu mocy przyłączeniowej (naliczanie jej w przypadku</w:t>
            </w:r>
            <w:r w:rsidRPr="006513A0">
              <w:rPr>
                <w:rFonts w:ascii="Lato" w:hAnsi="Lato" w:cs="Times New Roman"/>
                <w:sz w:val="20"/>
                <w:szCs w:val="20"/>
              </w:rPr>
              <w:t xml:space="preserve"> np. samej</w:t>
            </w:r>
            <w:r w:rsidR="00F47191" w:rsidRPr="006513A0">
              <w:rPr>
                <w:rFonts w:ascii="Lato" w:hAnsi="Lato" w:cs="Times New Roman"/>
                <w:sz w:val="20"/>
                <w:szCs w:val="20"/>
              </w:rPr>
              <w:t xml:space="preserve"> zmiany odbiorników energii, przy zachowaniu dotychczasowej mocy</w:t>
            </w:r>
            <w:r w:rsidRPr="006513A0">
              <w:rPr>
                <w:rFonts w:ascii="Lato" w:hAnsi="Lato" w:cs="Times New Roman"/>
                <w:sz w:val="20"/>
                <w:szCs w:val="20"/>
              </w:rPr>
              <w:t>,</w:t>
            </w:r>
            <w:r w:rsidR="00F47191" w:rsidRPr="006513A0">
              <w:rPr>
                <w:rFonts w:ascii="Lato" w:hAnsi="Lato" w:cs="Times New Roman"/>
                <w:sz w:val="20"/>
                <w:szCs w:val="20"/>
              </w:rPr>
              <w:t xml:space="preserve"> jest nieuzasadnione</w:t>
            </w:r>
            <w:r w:rsidRPr="006513A0">
              <w:rPr>
                <w:rFonts w:ascii="Lato" w:hAnsi="Lato" w:cs="Times New Roman"/>
                <w:sz w:val="20"/>
                <w:szCs w:val="20"/>
              </w:rPr>
              <w:t>. Prowadzi do podwójnego ponoszenia tej opłaty)</w:t>
            </w:r>
            <w:r w:rsidR="00F47191" w:rsidRPr="006513A0">
              <w:rPr>
                <w:rFonts w:ascii="Lato" w:hAnsi="Lato" w:cs="Times New Roman"/>
                <w:sz w:val="20"/>
                <w:szCs w:val="20"/>
              </w:rPr>
              <w:t>.</w:t>
            </w:r>
          </w:p>
          <w:p w14:paraId="4822FC11" w14:textId="77777777" w:rsidR="00F47191" w:rsidRPr="006513A0" w:rsidRDefault="00F47191" w:rsidP="00A9338E">
            <w:pPr>
              <w:jc w:val="both"/>
              <w:rPr>
                <w:rFonts w:ascii="Lato" w:hAnsi="Lato" w:cs="Times New Roman"/>
                <w:sz w:val="20"/>
                <w:szCs w:val="20"/>
              </w:rPr>
            </w:pPr>
          </w:p>
          <w:p w14:paraId="64CD17A9" w14:textId="17AD0ED7" w:rsidR="00B86ED0" w:rsidRPr="006513A0" w:rsidRDefault="00BC2A70" w:rsidP="00A9338E">
            <w:pPr>
              <w:jc w:val="both"/>
              <w:rPr>
                <w:rFonts w:ascii="Lato" w:hAnsi="Lato" w:cs="Times New Roman"/>
                <w:sz w:val="20"/>
                <w:szCs w:val="20"/>
              </w:rPr>
            </w:pPr>
            <w:r w:rsidRPr="006513A0">
              <w:rPr>
                <w:rFonts w:ascii="Lato" w:hAnsi="Lato" w:cs="Times New Roman"/>
                <w:sz w:val="20"/>
                <w:szCs w:val="20"/>
              </w:rPr>
              <w:t xml:space="preserve">Ponadto </w:t>
            </w:r>
            <w:r w:rsidR="00165D91">
              <w:rPr>
                <w:rFonts w:ascii="Lato" w:hAnsi="Lato" w:cs="Times New Roman"/>
                <w:sz w:val="20"/>
                <w:szCs w:val="20"/>
              </w:rPr>
              <w:t>konieczne jest</w:t>
            </w:r>
            <w:r w:rsidR="00B87298" w:rsidRPr="006513A0">
              <w:rPr>
                <w:rFonts w:ascii="Lato" w:hAnsi="Lato" w:cs="Times New Roman"/>
                <w:sz w:val="20"/>
                <w:szCs w:val="20"/>
              </w:rPr>
              <w:t xml:space="preserve"> doprecyzowani</w:t>
            </w:r>
            <w:r w:rsidR="00165D91">
              <w:rPr>
                <w:rFonts w:ascii="Lato" w:hAnsi="Lato" w:cs="Times New Roman"/>
                <w:sz w:val="20"/>
                <w:szCs w:val="20"/>
              </w:rPr>
              <w:t>e,</w:t>
            </w:r>
            <w:r w:rsidR="00B87298" w:rsidRPr="006513A0">
              <w:rPr>
                <w:rFonts w:ascii="Lato" w:hAnsi="Lato" w:cs="Times New Roman"/>
                <w:sz w:val="20"/>
                <w:szCs w:val="20"/>
              </w:rPr>
              <w:t xml:space="preserve"> czy </w:t>
            </w:r>
            <w:r w:rsidR="00165D91">
              <w:rPr>
                <w:rFonts w:ascii="Lato" w:hAnsi="Lato" w:cs="Times New Roman"/>
                <w:sz w:val="20"/>
                <w:szCs w:val="20"/>
              </w:rPr>
              <w:t xml:space="preserve">kwota </w:t>
            </w:r>
            <w:r w:rsidR="00B87298" w:rsidRPr="006513A0">
              <w:rPr>
                <w:rFonts w:ascii="Lato" w:hAnsi="Lato" w:cs="Times New Roman"/>
                <w:sz w:val="20"/>
                <w:szCs w:val="20"/>
              </w:rPr>
              <w:t>opłat</w:t>
            </w:r>
            <w:r w:rsidR="00165D91">
              <w:rPr>
                <w:rFonts w:ascii="Lato" w:hAnsi="Lato" w:cs="Times New Roman"/>
                <w:sz w:val="20"/>
                <w:szCs w:val="20"/>
              </w:rPr>
              <w:t>y</w:t>
            </w:r>
            <w:r w:rsidR="00B87298" w:rsidRPr="006513A0">
              <w:rPr>
                <w:rFonts w:ascii="Lato" w:hAnsi="Lato" w:cs="Times New Roman"/>
                <w:sz w:val="20"/>
                <w:szCs w:val="20"/>
              </w:rPr>
              <w:t xml:space="preserve"> jest </w:t>
            </w:r>
            <w:r w:rsidR="00165D91">
              <w:rPr>
                <w:rFonts w:ascii="Lato" w:hAnsi="Lato" w:cs="Times New Roman"/>
                <w:sz w:val="20"/>
                <w:szCs w:val="20"/>
              </w:rPr>
              <w:t xml:space="preserve">kwotą </w:t>
            </w:r>
            <w:r w:rsidR="00B87298" w:rsidRPr="006513A0">
              <w:rPr>
                <w:rFonts w:ascii="Lato" w:hAnsi="Lato" w:cs="Times New Roman"/>
                <w:sz w:val="20"/>
                <w:szCs w:val="20"/>
              </w:rPr>
              <w:t>netto czy brutto.</w:t>
            </w:r>
          </w:p>
        </w:tc>
        <w:tc>
          <w:tcPr>
            <w:tcW w:w="4252" w:type="dxa"/>
          </w:tcPr>
          <w:p w14:paraId="2B119892" w14:textId="637C388D" w:rsidR="00B86ED0" w:rsidRPr="006513A0" w:rsidRDefault="00B87298" w:rsidP="00A9338E">
            <w:pPr>
              <w:jc w:val="both"/>
              <w:rPr>
                <w:rFonts w:ascii="Lato" w:hAnsi="Lato" w:cs="Times New Roman"/>
                <w:i/>
                <w:iCs/>
                <w:sz w:val="20"/>
                <w:szCs w:val="20"/>
              </w:rPr>
            </w:pPr>
            <w:r w:rsidRPr="006513A0">
              <w:rPr>
                <w:rFonts w:ascii="Lato" w:hAnsi="Lato"/>
                <w:i/>
                <w:iCs/>
                <w:sz w:val="20"/>
                <w:szCs w:val="20"/>
              </w:rPr>
              <w:t>„8b</w:t>
            </w:r>
            <w:r w:rsidRPr="006513A0">
              <w:rPr>
                <w:rFonts w:ascii="Lato" w:hAnsi="Lato"/>
                <w:i/>
                <w:iCs/>
                <w:sz w:val="20"/>
                <w:szCs w:val="20"/>
                <w:vertAlign w:val="superscript"/>
              </w:rPr>
              <w:t>1</w:t>
            </w:r>
            <w:r w:rsidRPr="006513A0">
              <w:rPr>
                <w:rFonts w:ascii="Lato" w:hAnsi="Lato"/>
                <w:i/>
                <w:iCs/>
                <w:sz w:val="20"/>
                <w:szCs w:val="20"/>
              </w:rPr>
              <w:t xml:space="preserve">. W przypadkach, o których mowa w ust. 8e, podmiot ubiegający się o przyłączenie do sieci elektroenergetycznej o napięciu znamionowym wyższym niż 1 </w:t>
            </w:r>
            <w:proofErr w:type="spellStart"/>
            <w:r w:rsidRPr="006513A0">
              <w:rPr>
                <w:rFonts w:ascii="Lato" w:hAnsi="Lato"/>
                <w:i/>
                <w:iCs/>
                <w:sz w:val="20"/>
                <w:szCs w:val="20"/>
              </w:rPr>
              <w:t>kV</w:t>
            </w:r>
            <w:proofErr w:type="spellEnd"/>
            <w:r w:rsidRPr="006513A0">
              <w:rPr>
                <w:rFonts w:ascii="Lato" w:hAnsi="Lato"/>
                <w:i/>
                <w:iCs/>
                <w:sz w:val="20"/>
                <w:szCs w:val="20"/>
              </w:rPr>
              <w:t xml:space="preserve">, wnosi opłatę za rozpatrzenie wniosku o określenie warunków przyłączenia, zwaną dalej „opłatą za wniosek”, w wysokości 1 zł </w:t>
            </w:r>
            <w:r w:rsidRPr="006513A0">
              <w:rPr>
                <w:rFonts w:ascii="Lato" w:hAnsi="Lato"/>
                <w:i/>
                <w:iCs/>
                <w:color w:val="FF0000"/>
                <w:sz w:val="20"/>
                <w:szCs w:val="20"/>
              </w:rPr>
              <w:t xml:space="preserve">netto </w:t>
            </w:r>
            <w:r w:rsidRPr="006513A0">
              <w:rPr>
                <w:rFonts w:ascii="Lato" w:hAnsi="Lato"/>
                <w:i/>
                <w:iCs/>
                <w:sz w:val="20"/>
                <w:szCs w:val="20"/>
              </w:rPr>
              <w:t xml:space="preserve">za każdy kilowat mocy przyłączeniowej określonej we wniosku o określenie warunków przyłączenia, jednak nie więcej niż 100 000 zł </w:t>
            </w:r>
            <w:r w:rsidRPr="006513A0">
              <w:rPr>
                <w:rFonts w:ascii="Lato" w:hAnsi="Lato"/>
                <w:i/>
                <w:iCs/>
                <w:color w:val="FF0000"/>
                <w:sz w:val="20"/>
                <w:szCs w:val="20"/>
              </w:rPr>
              <w:t>netto</w:t>
            </w:r>
            <w:r w:rsidRPr="006513A0">
              <w:rPr>
                <w:rFonts w:ascii="Lato" w:hAnsi="Lato"/>
                <w:i/>
                <w:iCs/>
                <w:sz w:val="20"/>
                <w:szCs w:val="20"/>
              </w:rPr>
              <w:t>.</w:t>
            </w:r>
            <w:r w:rsidR="005924DF" w:rsidRPr="006513A0">
              <w:rPr>
                <w:rFonts w:ascii="Lato" w:hAnsi="Lato"/>
                <w:i/>
                <w:iCs/>
                <w:sz w:val="20"/>
                <w:szCs w:val="20"/>
              </w:rPr>
              <w:t xml:space="preserve"> </w:t>
            </w:r>
            <w:r w:rsidR="00F47191" w:rsidRPr="006513A0">
              <w:rPr>
                <w:rFonts w:ascii="Lato" w:hAnsi="Lato"/>
                <w:i/>
                <w:iCs/>
                <w:color w:val="FF0000"/>
                <w:sz w:val="20"/>
                <w:szCs w:val="20"/>
              </w:rPr>
              <w:t>Jeżeli podmiot ubiegający się o przyłączenie dysponuje mocą przyłączeniową, opłata jest wnoszona jedynie od przyrostu mocy przyłączeniowej.</w:t>
            </w:r>
            <w:r w:rsidR="00F47191" w:rsidRPr="006513A0">
              <w:rPr>
                <w:rFonts w:ascii="Lato" w:hAnsi="Lato" w:cs="Open Sans"/>
                <w:color w:val="333333"/>
                <w:sz w:val="20"/>
                <w:szCs w:val="20"/>
                <w:shd w:val="clear" w:color="auto" w:fill="FFFFFF"/>
              </w:rPr>
              <w:t xml:space="preserve"> </w:t>
            </w:r>
            <w:r w:rsidR="005924DF" w:rsidRPr="006513A0">
              <w:rPr>
                <w:rFonts w:ascii="Lato" w:hAnsi="Lato"/>
                <w:i/>
                <w:iCs/>
                <w:color w:val="FF0000"/>
                <w:sz w:val="20"/>
                <w:szCs w:val="20"/>
              </w:rPr>
              <w:t xml:space="preserve">W przypadku gdy rozpatrzenie wniosku o określenie warunków przyłączenia </w:t>
            </w:r>
            <w:r w:rsidR="00387119" w:rsidRPr="006513A0">
              <w:rPr>
                <w:rFonts w:ascii="Lato" w:hAnsi="Lato"/>
                <w:i/>
                <w:iCs/>
                <w:color w:val="FF0000"/>
                <w:sz w:val="20"/>
                <w:szCs w:val="20"/>
              </w:rPr>
              <w:t>przez przedsiębiorstwo energetyczne,</w:t>
            </w:r>
            <w:r w:rsidR="00387119" w:rsidRPr="006513A0">
              <w:rPr>
                <w:rFonts w:ascii="Lato" w:hAnsi="Lato" w:cs="Open Sans"/>
                <w:color w:val="FF0000"/>
                <w:sz w:val="20"/>
                <w:szCs w:val="20"/>
                <w:shd w:val="clear" w:color="auto" w:fill="FFFFFF"/>
              </w:rPr>
              <w:t xml:space="preserve"> </w:t>
            </w:r>
            <w:r w:rsidR="00387119" w:rsidRPr="006513A0">
              <w:rPr>
                <w:rFonts w:ascii="Lato" w:hAnsi="Lato"/>
                <w:i/>
                <w:iCs/>
                <w:color w:val="FF0000"/>
                <w:sz w:val="20"/>
                <w:szCs w:val="20"/>
              </w:rPr>
              <w:t xml:space="preserve">którego sieć dystrybucyjna nie posiada bezpośrednich połączeń z siecią przesyłową wymaga złożenia przez to przedsiębiorstwo wniosku o określenie warunków przyłączenia do przedsiębiorstwa energetycznego, którego sieć posiada bezpośrednie połączenie z siecią przesyłową podmiot ubiegający się o przyłączenie do sieci elektroenergetycznej o napięciu znamionowym wyższym niż 1 </w:t>
            </w:r>
            <w:proofErr w:type="spellStart"/>
            <w:r w:rsidR="00387119" w:rsidRPr="006513A0">
              <w:rPr>
                <w:rFonts w:ascii="Lato" w:hAnsi="Lato"/>
                <w:i/>
                <w:iCs/>
                <w:color w:val="FF0000"/>
                <w:sz w:val="20"/>
                <w:szCs w:val="20"/>
              </w:rPr>
              <w:t>kV</w:t>
            </w:r>
            <w:proofErr w:type="spellEnd"/>
            <w:r w:rsidR="00387119" w:rsidRPr="006513A0">
              <w:rPr>
                <w:rFonts w:ascii="Lato" w:hAnsi="Lato"/>
                <w:i/>
                <w:iCs/>
                <w:color w:val="FF0000"/>
                <w:sz w:val="20"/>
                <w:szCs w:val="20"/>
              </w:rPr>
              <w:t>, ponosi także opłatę za wniosek w wysokości określonej przez przedsiębiorstwa energetycznego, którego sieć posiada bezpośrednie połączenie z siecią przesyłową.</w:t>
            </w:r>
          </w:p>
        </w:tc>
        <w:tc>
          <w:tcPr>
            <w:tcW w:w="1428" w:type="dxa"/>
          </w:tcPr>
          <w:p w14:paraId="5D16DB46" w14:textId="77777777" w:rsidR="00B86ED0" w:rsidRPr="006513A0" w:rsidRDefault="00B86ED0" w:rsidP="00A9338E">
            <w:pPr>
              <w:jc w:val="both"/>
              <w:rPr>
                <w:rFonts w:ascii="Lato" w:hAnsi="Lato" w:cs="Times New Roman"/>
                <w:sz w:val="20"/>
                <w:szCs w:val="20"/>
              </w:rPr>
            </w:pPr>
          </w:p>
        </w:tc>
      </w:tr>
      <w:tr w:rsidR="00B86ED0" w:rsidRPr="006513A0" w14:paraId="0B5199B1" w14:textId="77777777" w:rsidTr="009B5AD6">
        <w:tc>
          <w:tcPr>
            <w:tcW w:w="562" w:type="dxa"/>
          </w:tcPr>
          <w:p w14:paraId="486410FA" w14:textId="7DC11221" w:rsidR="00B86ED0" w:rsidRPr="006513A0" w:rsidRDefault="00B86ED0" w:rsidP="00A9338E">
            <w:pPr>
              <w:jc w:val="center"/>
              <w:rPr>
                <w:rFonts w:ascii="Lato" w:hAnsi="Lato" w:cs="Times New Roman"/>
                <w:sz w:val="20"/>
                <w:szCs w:val="20"/>
              </w:rPr>
            </w:pPr>
            <w:r w:rsidRPr="006513A0">
              <w:rPr>
                <w:rFonts w:ascii="Lato" w:hAnsi="Lato" w:cs="Times New Roman"/>
                <w:sz w:val="20"/>
                <w:szCs w:val="20"/>
              </w:rPr>
              <w:t>6</w:t>
            </w:r>
          </w:p>
        </w:tc>
        <w:tc>
          <w:tcPr>
            <w:tcW w:w="1701" w:type="dxa"/>
          </w:tcPr>
          <w:p w14:paraId="41EC1220" w14:textId="636D5C6B" w:rsidR="00B86ED0" w:rsidRPr="006513A0" w:rsidRDefault="00CB218B" w:rsidP="00A9338E">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18801E29" w14:textId="70E3710C" w:rsidR="00B86ED0" w:rsidRPr="006513A0" w:rsidRDefault="0035402D" w:rsidP="00A9338E">
            <w:pPr>
              <w:jc w:val="both"/>
              <w:rPr>
                <w:rFonts w:ascii="Lato" w:hAnsi="Lato" w:cs="Times New Roman"/>
                <w:sz w:val="20"/>
                <w:szCs w:val="20"/>
              </w:rPr>
            </w:pPr>
            <w:r w:rsidRPr="006513A0">
              <w:rPr>
                <w:rFonts w:ascii="Lato" w:hAnsi="Lato" w:cs="Times New Roman"/>
                <w:sz w:val="20"/>
                <w:szCs w:val="20"/>
              </w:rPr>
              <w:t>Art. 1 pkt 8 lit n projektu (art. 7 ust. 8c</w:t>
            </w:r>
            <w:r w:rsidRPr="006513A0">
              <w:rPr>
                <w:rFonts w:ascii="Lato" w:hAnsi="Lato" w:cs="Times New Roman"/>
                <w:sz w:val="20"/>
                <w:szCs w:val="20"/>
                <w:vertAlign w:val="superscript"/>
              </w:rPr>
              <w:t>1</w:t>
            </w:r>
            <w:r w:rsidRPr="006513A0">
              <w:rPr>
                <w:rFonts w:ascii="Lato" w:hAnsi="Lato" w:cs="Times New Roman"/>
                <w:sz w:val="20"/>
                <w:szCs w:val="20"/>
              </w:rPr>
              <w:t xml:space="preserve"> PE)</w:t>
            </w:r>
          </w:p>
        </w:tc>
        <w:tc>
          <w:tcPr>
            <w:tcW w:w="5103" w:type="dxa"/>
          </w:tcPr>
          <w:p w14:paraId="400FC004" w14:textId="40DEB47B" w:rsidR="004F2675" w:rsidRPr="006513A0" w:rsidRDefault="004F2675" w:rsidP="00A9338E">
            <w:pPr>
              <w:jc w:val="both"/>
              <w:rPr>
                <w:rFonts w:ascii="Lato" w:hAnsi="Lato" w:cs="Times New Roman"/>
                <w:sz w:val="20"/>
                <w:szCs w:val="20"/>
              </w:rPr>
            </w:pPr>
            <w:r w:rsidRPr="006513A0">
              <w:rPr>
                <w:rFonts w:ascii="Lato" w:hAnsi="Lato" w:cs="Times New Roman"/>
                <w:sz w:val="20"/>
                <w:szCs w:val="20"/>
              </w:rPr>
              <w:t>W przypadku podmiotów przyłączonych do sieci zabezpieczenie powinno być wnoszone jedynie od przyrostu mocy przyłączeniowej.</w:t>
            </w:r>
          </w:p>
          <w:p w14:paraId="182DF852" w14:textId="77777777" w:rsidR="004F2675" w:rsidRPr="006513A0" w:rsidRDefault="004F2675" w:rsidP="00A9338E">
            <w:pPr>
              <w:jc w:val="both"/>
              <w:rPr>
                <w:rFonts w:ascii="Lato" w:hAnsi="Lato" w:cs="Times New Roman"/>
                <w:sz w:val="20"/>
                <w:szCs w:val="20"/>
              </w:rPr>
            </w:pPr>
          </w:p>
          <w:p w14:paraId="3CCB883F" w14:textId="07181451" w:rsidR="004F2675" w:rsidRPr="006513A0" w:rsidRDefault="004F2675" w:rsidP="00A9338E">
            <w:pPr>
              <w:jc w:val="both"/>
              <w:rPr>
                <w:rFonts w:ascii="Lato" w:hAnsi="Lato" w:cs="Times New Roman"/>
                <w:sz w:val="20"/>
                <w:szCs w:val="20"/>
              </w:rPr>
            </w:pPr>
            <w:r w:rsidRPr="006513A0">
              <w:rPr>
                <w:rFonts w:ascii="Lato" w:hAnsi="Lato" w:cs="Times New Roman"/>
                <w:sz w:val="20"/>
                <w:szCs w:val="20"/>
              </w:rPr>
              <w:t xml:space="preserve">Ponadto wysokość zabezpieczenia (podobnie jak zaliczka) nie powinny przekraczać </w:t>
            </w:r>
            <w:r w:rsidR="0035402D" w:rsidRPr="006513A0">
              <w:rPr>
                <w:rFonts w:ascii="Lato" w:hAnsi="Lato" w:cs="Times New Roman"/>
                <w:sz w:val="20"/>
                <w:szCs w:val="20"/>
              </w:rPr>
              <w:t xml:space="preserve">prognozowanej </w:t>
            </w:r>
            <w:r w:rsidRPr="006513A0">
              <w:rPr>
                <w:rFonts w:ascii="Lato" w:hAnsi="Lato" w:cs="Times New Roman"/>
                <w:sz w:val="20"/>
                <w:szCs w:val="20"/>
              </w:rPr>
              <w:t>wysokości opłaty za przyłączenie, a obowiązek wniesienia zabezpieczenia nie powinien dotyczyć podmiotów o wysokim ratingu kredytowym (wymaganym dla banków)</w:t>
            </w:r>
            <w:r w:rsidR="0035402D" w:rsidRPr="006513A0">
              <w:rPr>
                <w:rFonts w:ascii="Lato" w:hAnsi="Lato" w:cs="Times New Roman"/>
                <w:sz w:val="20"/>
                <w:szCs w:val="20"/>
              </w:rPr>
              <w:t>. p</w:t>
            </w:r>
            <w:r w:rsidR="00334D76" w:rsidRPr="006513A0">
              <w:rPr>
                <w:rFonts w:ascii="Lato" w:hAnsi="Lato" w:cs="Times New Roman"/>
                <w:sz w:val="20"/>
                <w:szCs w:val="20"/>
              </w:rPr>
              <w:t>otencjał finansowy takich podmiotów jest bowiem sam w sobie zabezpieczeniem</w:t>
            </w:r>
            <w:r w:rsidRPr="006513A0">
              <w:rPr>
                <w:rFonts w:ascii="Lato" w:hAnsi="Lato" w:cs="Times New Roman"/>
                <w:sz w:val="20"/>
                <w:szCs w:val="20"/>
              </w:rPr>
              <w:t>.</w:t>
            </w:r>
            <w:r w:rsidR="00334D76" w:rsidRPr="006513A0">
              <w:rPr>
                <w:rFonts w:ascii="Lato" w:hAnsi="Lato" w:cs="Times New Roman"/>
                <w:sz w:val="20"/>
                <w:szCs w:val="20"/>
              </w:rPr>
              <w:t xml:space="preserve"> Wymaganie ponoszenia dodatkowych kosztów zabezpieczenia jest w tym wypadku niecelowe.</w:t>
            </w:r>
          </w:p>
          <w:p w14:paraId="20247E22" w14:textId="77777777" w:rsidR="004F2675" w:rsidRPr="006513A0" w:rsidRDefault="004F2675" w:rsidP="00A9338E">
            <w:pPr>
              <w:jc w:val="both"/>
              <w:rPr>
                <w:rFonts w:ascii="Lato" w:hAnsi="Lato" w:cs="Times New Roman"/>
                <w:sz w:val="20"/>
                <w:szCs w:val="20"/>
              </w:rPr>
            </w:pPr>
          </w:p>
          <w:p w14:paraId="0611B7C8" w14:textId="5E44DB55" w:rsidR="00141822" w:rsidRPr="006513A0" w:rsidRDefault="00B87298" w:rsidP="00655A10">
            <w:pPr>
              <w:jc w:val="both"/>
              <w:rPr>
                <w:rFonts w:ascii="Lato" w:hAnsi="Lato" w:cs="Times New Roman"/>
                <w:sz w:val="20"/>
                <w:szCs w:val="20"/>
              </w:rPr>
            </w:pPr>
            <w:r w:rsidRPr="006513A0">
              <w:rPr>
                <w:rFonts w:ascii="Lato" w:hAnsi="Lato" w:cs="Times New Roman"/>
                <w:sz w:val="20"/>
                <w:szCs w:val="20"/>
              </w:rPr>
              <w:t xml:space="preserve">W przypadku mniejszych sieci dystrybucyjnych (w szczególności na obszarze zakładów przemysłowych) mogą występować sytuacje, w których pobieranie zabezpieczenia będzie dla operatora </w:t>
            </w:r>
            <w:r w:rsidR="00141822" w:rsidRPr="006513A0">
              <w:rPr>
                <w:rFonts w:ascii="Lato" w:hAnsi="Lato" w:cs="Times New Roman"/>
                <w:sz w:val="20"/>
                <w:szCs w:val="20"/>
              </w:rPr>
              <w:t>większym</w:t>
            </w:r>
            <w:r w:rsidRPr="006513A0">
              <w:rPr>
                <w:rFonts w:ascii="Lato" w:hAnsi="Lato" w:cs="Times New Roman"/>
                <w:sz w:val="20"/>
                <w:szCs w:val="20"/>
              </w:rPr>
              <w:t xml:space="preserve"> ciężar</w:t>
            </w:r>
            <w:r w:rsidR="00141822" w:rsidRPr="006513A0">
              <w:rPr>
                <w:rFonts w:ascii="Lato" w:hAnsi="Lato" w:cs="Times New Roman"/>
                <w:sz w:val="20"/>
                <w:szCs w:val="20"/>
              </w:rPr>
              <w:t>em</w:t>
            </w:r>
            <w:r w:rsidRPr="006513A0">
              <w:rPr>
                <w:rFonts w:ascii="Lato" w:hAnsi="Lato" w:cs="Times New Roman"/>
                <w:sz w:val="20"/>
                <w:szCs w:val="20"/>
              </w:rPr>
              <w:t xml:space="preserve"> niż korzyści</w:t>
            </w:r>
            <w:r w:rsidR="00141822" w:rsidRPr="006513A0">
              <w:rPr>
                <w:rFonts w:ascii="Lato" w:hAnsi="Lato" w:cs="Times New Roman"/>
                <w:sz w:val="20"/>
                <w:szCs w:val="20"/>
              </w:rPr>
              <w:t xml:space="preserve">ą (np. gdy faktyczny koszt wykonania przyłączenia będzie na poziomie dużo mniejszym niż 30zł/1 </w:t>
            </w:r>
            <w:proofErr w:type="spellStart"/>
            <w:r w:rsidR="00141822" w:rsidRPr="006513A0">
              <w:rPr>
                <w:rFonts w:ascii="Lato" w:hAnsi="Lato" w:cs="Times New Roman"/>
                <w:sz w:val="20"/>
                <w:szCs w:val="20"/>
              </w:rPr>
              <w:t>kV</w:t>
            </w:r>
            <w:proofErr w:type="spellEnd"/>
            <w:r w:rsidR="00141822" w:rsidRPr="006513A0">
              <w:rPr>
                <w:rFonts w:ascii="Lato" w:hAnsi="Lato" w:cs="Times New Roman"/>
                <w:sz w:val="20"/>
                <w:szCs w:val="20"/>
              </w:rPr>
              <w:t>)</w:t>
            </w:r>
            <w:r w:rsidR="004F2675" w:rsidRPr="006513A0">
              <w:rPr>
                <w:rFonts w:ascii="Lato" w:hAnsi="Lato" w:cs="Times New Roman"/>
                <w:sz w:val="20"/>
                <w:szCs w:val="20"/>
              </w:rPr>
              <w:t>. Takie przedsiębiorstwa, z uwagi na ic</w:t>
            </w:r>
            <w:r w:rsidR="00334D76" w:rsidRPr="006513A0">
              <w:rPr>
                <w:rFonts w:ascii="Lato" w:hAnsi="Lato" w:cs="Times New Roman"/>
                <w:sz w:val="20"/>
                <w:szCs w:val="20"/>
              </w:rPr>
              <w:t>h</w:t>
            </w:r>
            <w:r w:rsidR="004F2675" w:rsidRPr="006513A0">
              <w:rPr>
                <w:rFonts w:ascii="Lato" w:hAnsi="Lato" w:cs="Times New Roman"/>
                <w:sz w:val="20"/>
                <w:szCs w:val="20"/>
              </w:rPr>
              <w:t xml:space="preserve"> marginalne znaczenie dla</w:t>
            </w:r>
            <w:r w:rsidR="00334D76" w:rsidRPr="006513A0">
              <w:rPr>
                <w:rFonts w:ascii="Lato" w:hAnsi="Lato" w:cs="Times New Roman"/>
                <w:sz w:val="20"/>
                <w:szCs w:val="20"/>
              </w:rPr>
              <w:t xml:space="preserve"> mocy przyłączeniowych</w:t>
            </w:r>
            <w:r w:rsidR="004F2675" w:rsidRPr="006513A0">
              <w:rPr>
                <w:rFonts w:ascii="Lato" w:hAnsi="Lato" w:cs="Times New Roman"/>
                <w:sz w:val="20"/>
                <w:szCs w:val="20"/>
              </w:rPr>
              <w:t xml:space="preserve"> KSE, powinny mieć zatem większą elastyczność w zakresie potrzeby ustalania zabezpieczenia</w:t>
            </w:r>
            <w:r w:rsidR="00334D76" w:rsidRPr="006513A0">
              <w:rPr>
                <w:rFonts w:ascii="Lato" w:hAnsi="Lato" w:cs="Times New Roman"/>
                <w:sz w:val="20"/>
                <w:szCs w:val="20"/>
              </w:rPr>
              <w:t xml:space="preserve"> – tzn</w:t>
            </w:r>
            <w:r w:rsidR="00141822" w:rsidRPr="006513A0">
              <w:rPr>
                <w:rFonts w:ascii="Lato" w:hAnsi="Lato" w:cs="Times New Roman"/>
                <w:sz w:val="20"/>
                <w:szCs w:val="20"/>
              </w:rPr>
              <w:t>.</w:t>
            </w:r>
            <w:r w:rsidR="00334D76" w:rsidRPr="006513A0">
              <w:rPr>
                <w:rFonts w:ascii="Lato" w:hAnsi="Lato" w:cs="Times New Roman"/>
                <w:sz w:val="20"/>
                <w:szCs w:val="20"/>
              </w:rPr>
              <w:t xml:space="preserve"> wskazane jest pozostawienie im decyzji</w:t>
            </w:r>
            <w:r w:rsidR="00141822" w:rsidRPr="006513A0">
              <w:rPr>
                <w:rFonts w:ascii="Lato" w:hAnsi="Lato" w:cs="Times New Roman"/>
                <w:sz w:val="20"/>
                <w:szCs w:val="20"/>
              </w:rPr>
              <w:t xml:space="preserve"> </w:t>
            </w:r>
            <w:r w:rsidR="0035402D" w:rsidRPr="006513A0">
              <w:rPr>
                <w:rFonts w:ascii="Lato" w:hAnsi="Lato" w:cs="Times New Roman"/>
                <w:sz w:val="20"/>
                <w:szCs w:val="20"/>
              </w:rPr>
              <w:t>w jakiej wysokości i czy w ogóle żądać zabezpieczenia. Zwłaszcza w sytuacjach gdy do sieci tych podmiotów przyłączane są podmioty powiązane kapitałowo. W takim wypadku obligatoryjne zabezpieczenie nie ma sensu, ponieważ sytuacja finansowa podmioty przyłączającego i przyłączanego jest powiązana.</w:t>
            </w:r>
          </w:p>
        </w:tc>
        <w:tc>
          <w:tcPr>
            <w:tcW w:w="4252" w:type="dxa"/>
          </w:tcPr>
          <w:p w14:paraId="70C41F90" w14:textId="7677CCC3" w:rsidR="00B86ED0" w:rsidRPr="006513A0" w:rsidRDefault="00B87298" w:rsidP="00A9338E">
            <w:pPr>
              <w:jc w:val="both"/>
              <w:rPr>
                <w:rFonts w:ascii="Lato" w:hAnsi="Lato" w:cs="Times New Roman"/>
                <w:i/>
                <w:iCs/>
                <w:sz w:val="20"/>
                <w:szCs w:val="20"/>
              </w:rPr>
            </w:pPr>
            <w:r w:rsidRPr="006513A0">
              <w:rPr>
                <w:rFonts w:ascii="Lato" w:hAnsi="Lato"/>
                <w:i/>
                <w:iCs/>
                <w:sz w:val="20"/>
                <w:szCs w:val="20"/>
              </w:rPr>
              <w:lastRenderedPageBreak/>
              <w:t>„8c</w:t>
            </w:r>
            <w:r w:rsidRPr="006513A0">
              <w:rPr>
                <w:rFonts w:ascii="Lato" w:hAnsi="Lato"/>
                <w:i/>
                <w:iCs/>
                <w:sz w:val="20"/>
                <w:szCs w:val="20"/>
                <w:vertAlign w:val="superscript"/>
              </w:rPr>
              <w:t>1</w:t>
            </w:r>
            <w:r w:rsidRPr="006513A0">
              <w:rPr>
                <w:rFonts w:ascii="Lato" w:hAnsi="Lato"/>
                <w:i/>
                <w:iCs/>
                <w:sz w:val="20"/>
                <w:szCs w:val="20"/>
              </w:rPr>
              <w:t xml:space="preserve">. Podmiot ubiegający się o przyłączenie do sieci elektroenergetycznej o napięciu znamionowym wyższym niż 1 </w:t>
            </w:r>
            <w:proofErr w:type="spellStart"/>
            <w:r w:rsidRPr="006513A0">
              <w:rPr>
                <w:rFonts w:ascii="Lato" w:hAnsi="Lato"/>
                <w:i/>
                <w:iCs/>
                <w:sz w:val="20"/>
                <w:szCs w:val="20"/>
              </w:rPr>
              <w:t>kV</w:t>
            </w:r>
            <w:proofErr w:type="spellEnd"/>
            <w:r w:rsidRPr="006513A0">
              <w:rPr>
                <w:rFonts w:ascii="Lato" w:hAnsi="Lato"/>
                <w:i/>
                <w:iCs/>
                <w:sz w:val="20"/>
                <w:szCs w:val="20"/>
              </w:rPr>
              <w:t>,</w:t>
            </w:r>
            <w:r w:rsidR="00141822" w:rsidRPr="006513A0">
              <w:rPr>
                <w:rFonts w:ascii="Lato" w:hAnsi="Lato"/>
                <w:i/>
                <w:iCs/>
                <w:sz w:val="20"/>
                <w:szCs w:val="20"/>
              </w:rPr>
              <w:t xml:space="preserve"> </w:t>
            </w:r>
            <w:r w:rsidR="00141822" w:rsidRPr="006513A0">
              <w:rPr>
                <w:rFonts w:ascii="Lato" w:hAnsi="Lato"/>
                <w:i/>
                <w:iCs/>
                <w:color w:val="FF0000"/>
                <w:sz w:val="20"/>
                <w:szCs w:val="20"/>
              </w:rPr>
              <w:t xml:space="preserve">nieposiadający ratingu kredytowego, o którym mowa w </w:t>
            </w:r>
            <w:r w:rsidR="00B3682D" w:rsidRPr="006513A0">
              <w:rPr>
                <w:rFonts w:ascii="Lato" w:hAnsi="Lato"/>
                <w:i/>
                <w:iCs/>
                <w:color w:val="FF0000"/>
                <w:sz w:val="20"/>
                <w:szCs w:val="20"/>
              </w:rPr>
              <w:t>ust. 8c</w:t>
            </w:r>
            <w:r w:rsidR="00B3682D" w:rsidRPr="006513A0">
              <w:rPr>
                <w:rFonts w:ascii="Lato" w:hAnsi="Lato"/>
                <w:i/>
                <w:iCs/>
                <w:color w:val="FF0000"/>
                <w:sz w:val="20"/>
                <w:szCs w:val="20"/>
                <w:vertAlign w:val="superscript"/>
              </w:rPr>
              <w:t>4</w:t>
            </w:r>
            <w:r w:rsidR="00141822" w:rsidRPr="006513A0">
              <w:rPr>
                <w:rFonts w:ascii="Lato" w:hAnsi="Lato"/>
                <w:i/>
                <w:iCs/>
                <w:color w:val="FF0000"/>
                <w:sz w:val="20"/>
                <w:szCs w:val="20"/>
              </w:rPr>
              <w:t xml:space="preserve"> </w:t>
            </w:r>
            <w:r w:rsidR="00B3682D" w:rsidRPr="006513A0">
              <w:rPr>
                <w:rFonts w:ascii="Lato" w:hAnsi="Lato"/>
                <w:i/>
                <w:iCs/>
                <w:color w:val="FF0000"/>
                <w:sz w:val="20"/>
                <w:szCs w:val="20"/>
              </w:rPr>
              <w:t>pkt 2,</w:t>
            </w:r>
            <w:r w:rsidR="00B3682D" w:rsidRPr="006513A0">
              <w:rPr>
                <w:rFonts w:ascii="Lato" w:hAnsi="Lato"/>
                <w:i/>
                <w:iCs/>
                <w:sz w:val="20"/>
                <w:szCs w:val="20"/>
              </w:rPr>
              <w:t xml:space="preserve"> </w:t>
            </w:r>
            <w:r w:rsidRPr="006513A0">
              <w:rPr>
                <w:rFonts w:ascii="Lato" w:hAnsi="Lato"/>
                <w:i/>
                <w:iCs/>
                <w:sz w:val="20"/>
                <w:szCs w:val="20"/>
              </w:rPr>
              <w:t xml:space="preserve">składa zabezpieczenie wykonania zobowiązań wynikających z warunków przyłączenia, zwane dalej „zabezpieczeniem”, w wysokości 30 zł za każdy kilowat mocy przyłączeniowej określonej we wniosku o określenie warunków przyłączenia, w zakresie wartości mocy nieprzekraczającej 100 MW, oraz w wysokości 60 zł za każdy kilowat mocy przyłączeniowej określonej we wniosku o </w:t>
            </w:r>
            <w:r w:rsidRPr="006513A0">
              <w:rPr>
                <w:rFonts w:ascii="Lato" w:hAnsi="Lato"/>
                <w:i/>
                <w:iCs/>
                <w:sz w:val="20"/>
                <w:szCs w:val="20"/>
              </w:rPr>
              <w:lastRenderedPageBreak/>
              <w:t>określenie warunków przyłączenia, w zakresie wartości mocy przekraczającej 100 MW, jednak nie więcej niż 12 000 000 zł</w:t>
            </w:r>
            <w:r w:rsidR="00141822" w:rsidRPr="006513A0">
              <w:rPr>
                <w:rFonts w:ascii="Lato" w:hAnsi="Lato"/>
                <w:i/>
                <w:iCs/>
                <w:sz w:val="20"/>
                <w:szCs w:val="20"/>
              </w:rPr>
              <w:t xml:space="preserve"> </w:t>
            </w:r>
            <w:r w:rsidR="00141822" w:rsidRPr="006513A0">
              <w:rPr>
                <w:rFonts w:ascii="Lato" w:hAnsi="Lato"/>
                <w:i/>
                <w:iCs/>
                <w:color w:val="FF0000"/>
                <w:sz w:val="20"/>
                <w:szCs w:val="20"/>
              </w:rPr>
              <w:t>oraz nie więcej niż wysokość szacowanej opłaty za przyłączenie</w:t>
            </w:r>
            <w:r w:rsidR="00141822" w:rsidRPr="006513A0">
              <w:rPr>
                <w:rFonts w:ascii="Lato" w:hAnsi="Lato"/>
                <w:i/>
                <w:iCs/>
                <w:sz w:val="20"/>
                <w:szCs w:val="20"/>
              </w:rPr>
              <w:t>.</w:t>
            </w:r>
            <w:r w:rsidR="00F47191" w:rsidRPr="006513A0">
              <w:rPr>
                <w:rFonts w:ascii="Lato" w:hAnsi="Lato"/>
                <w:i/>
                <w:iCs/>
                <w:color w:val="FF0000"/>
                <w:sz w:val="20"/>
                <w:szCs w:val="20"/>
              </w:rPr>
              <w:t xml:space="preserve"> Jeżeli podmiot ubiegający się o przyłączenie dysponuje mocą przyłączeniową, </w:t>
            </w:r>
            <w:r w:rsidR="004F2675" w:rsidRPr="006513A0">
              <w:rPr>
                <w:rFonts w:ascii="Lato" w:hAnsi="Lato"/>
                <w:i/>
                <w:iCs/>
                <w:color w:val="FF0000"/>
                <w:sz w:val="20"/>
                <w:szCs w:val="20"/>
              </w:rPr>
              <w:t>zabezpieczenie</w:t>
            </w:r>
            <w:r w:rsidR="00F47191" w:rsidRPr="006513A0">
              <w:rPr>
                <w:rFonts w:ascii="Lato" w:hAnsi="Lato"/>
                <w:i/>
                <w:iCs/>
                <w:color w:val="FF0000"/>
                <w:sz w:val="20"/>
                <w:szCs w:val="20"/>
              </w:rPr>
              <w:t xml:space="preserve"> jest </w:t>
            </w:r>
            <w:r w:rsidR="004F2675" w:rsidRPr="006513A0">
              <w:rPr>
                <w:rFonts w:ascii="Lato" w:hAnsi="Lato"/>
                <w:i/>
                <w:iCs/>
                <w:color w:val="FF0000"/>
                <w:sz w:val="20"/>
                <w:szCs w:val="20"/>
              </w:rPr>
              <w:t>składane</w:t>
            </w:r>
            <w:r w:rsidR="00F47191" w:rsidRPr="006513A0">
              <w:rPr>
                <w:rFonts w:ascii="Lato" w:hAnsi="Lato"/>
                <w:i/>
                <w:iCs/>
                <w:color w:val="FF0000"/>
                <w:sz w:val="20"/>
                <w:szCs w:val="20"/>
              </w:rPr>
              <w:t xml:space="preserve"> jedynie </w:t>
            </w:r>
            <w:r w:rsidR="004F2675" w:rsidRPr="006513A0">
              <w:rPr>
                <w:rFonts w:ascii="Lato" w:hAnsi="Lato"/>
                <w:i/>
                <w:iCs/>
                <w:color w:val="FF0000"/>
                <w:sz w:val="20"/>
                <w:szCs w:val="20"/>
              </w:rPr>
              <w:t>w odniesieniu do</w:t>
            </w:r>
            <w:r w:rsidR="00F47191" w:rsidRPr="006513A0">
              <w:rPr>
                <w:rFonts w:ascii="Lato" w:hAnsi="Lato"/>
                <w:i/>
                <w:iCs/>
                <w:color w:val="FF0000"/>
                <w:sz w:val="20"/>
                <w:szCs w:val="20"/>
              </w:rPr>
              <w:t xml:space="preserve"> przyrostu mocy przyłączeniowej.</w:t>
            </w:r>
            <w:r w:rsidRPr="006513A0">
              <w:rPr>
                <w:rFonts w:ascii="Lato" w:hAnsi="Lato"/>
                <w:i/>
                <w:iCs/>
                <w:color w:val="FF0000"/>
                <w:sz w:val="20"/>
                <w:szCs w:val="20"/>
              </w:rPr>
              <w:t xml:space="preserve"> Przedsiębiorstwo, o którym mowa w art. 9d ust. 7 może zwolnić podmiot ubiegający się o przyłączenie z obowiązku wniesienia zabezpieczenia</w:t>
            </w:r>
            <w:r w:rsidR="00141822" w:rsidRPr="006513A0">
              <w:rPr>
                <w:rFonts w:ascii="Lato" w:hAnsi="Lato"/>
                <w:i/>
                <w:iCs/>
                <w:color w:val="FF0000"/>
                <w:sz w:val="20"/>
                <w:szCs w:val="20"/>
              </w:rPr>
              <w:t xml:space="preserve"> lub zmniejszyć jego wysokość</w:t>
            </w:r>
            <w:r w:rsidRPr="006513A0">
              <w:rPr>
                <w:rFonts w:ascii="Lato" w:hAnsi="Lato"/>
                <w:i/>
                <w:iCs/>
                <w:color w:val="FF0000"/>
                <w:sz w:val="20"/>
                <w:szCs w:val="20"/>
              </w:rPr>
              <w:t xml:space="preserve"> o ile nie będzie to prowadziło do nierównoprawnego traktowania innych podmiotów ubiegający się o przyłączenie.</w:t>
            </w:r>
          </w:p>
        </w:tc>
        <w:tc>
          <w:tcPr>
            <w:tcW w:w="1428" w:type="dxa"/>
          </w:tcPr>
          <w:p w14:paraId="2EFBC216" w14:textId="77777777" w:rsidR="00B86ED0" w:rsidRPr="006513A0" w:rsidRDefault="00B86ED0" w:rsidP="00A9338E">
            <w:pPr>
              <w:jc w:val="both"/>
              <w:rPr>
                <w:rFonts w:ascii="Lato" w:hAnsi="Lato" w:cs="Times New Roman"/>
                <w:sz w:val="20"/>
                <w:szCs w:val="20"/>
              </w:rPr>
            </w:pPr>
          </w:p>
        </w:tc>
      </w:tr>
      <w:tr w:rsidR="00B3682D" w:rsidRPr="006513A0" w14:paraId="049523FB" w14:textId="77777777" w:rsidTr="009B5AD6">
        <w:tc>
          <w:tcPr>
            <w:tcW w:w="562" w:type="dxa"/>
          </w:tcPr>
          <w:p w14:paraId="099F9F79" w14:textId="757F535A" w:rsidR="00B3682D" w:rsidRPr="006513A0" w:rsidRDefault="00CB218B" w:rsidP="00A9338E">
            <w:pPr>
              <w:jc w:val="center"/>
              <w:rPr>
                <w:rFonts w:ascii="Lato" w:hAnsi="Lato" w:cs="Times New Roman"/>
                <w:sz w:val="20"/>
                <w:szCs w:val="20"/>
              </w:rPr>
            </w:pPr>
            <w:r>
              <w:rPr>
                <w:rFonts w:ascii="Lato" w:hAnsi="Lato" w:cs="Times New Roman"/>
                <w:sz w:val="20"/>
                <w:szCs w:val="20"/>
              </w:rPr>
              <w:lastRenderedPageBreak/>
              <w:t>7</w:t>
            </w:r>
          </w:p>
        </w:tc>
        <w:tc>
          <w:tcPr>
            <w:tcW w:w="1701" w:type="dxa"/>
          </w:tcPr>
          <w:p w14:paraId="4BB5883F" w14:textId="72853A0E" w:rsidR="00B3682D" w:rsidRPr="006513A0" w:rsidRDefault="00CB218B" w:rsidP="00A9338E">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0E38C7EF" w14:textId="78737C9A" w:rsidR="00B3682D" w:rsidRPr="006513A0" w:rsidRDefault="0035402D" w:rsidP="00A9338E">
            <w:pPr>
              <w:jc w:val="both"/>
              <w:rPr>
                <w:rFonts w:ascii="Lato" w:hAnsi="Lato" w:cs="Times New Roman"/>
                <w:sz w:val="20"/>
                <w:szCs w:val="20"/>
              </w:rPr>
            </w:pPr>
            <w:r w:rsidRPr="006513A0">
              <w:rPr>
                <w:rFonts w:ascii="Lato" w:hAnsi="Lato" w:cs="Times New Roman"/>
                <w:sz w:val="20"/>
                <w:szCs w:val="20"/>
              </w:rPr>
              <w:t>Art. 1 pkt 8 lit n projektu (art. 7 ust. 8c</w:t>
            </w:r>
            <w:r w:rsidRPr="006513A0">
              <w:rPr>
                <w:rFonts w:ascii="Lato" w:hAnsi="Lato" w:cs="Times New Roman"/>
                <w:sz w:val="20"/>
                <w:szCs w:val="20"/>
                <w:vertAlign w:val="superscript"/>
              </w:rPr>
              <w:t>6</w:t>
            </w:r>
            <w:r w:rsidRPr="006513A0">
              <w:rPr>
                <w:rFonts w:ascii="Lato" w:hAnsi="Lato" w:cs="Times New Roman"/>
                <w:sz w:val="20"/>
                <w:szCs w:val="20"/>
              </w:rPr>
              <w:t xml:space="preserve"> PE)</w:t>
            </w:r>
          </w:p>
        </w:tc>
        <w:tc>
          <w:tcPr>
            <w:tcW w:w="5103" w:type="dxa"/>
          </w:tcPr>
          <w:p w14:paraId="6983829E" w14:textId="5494E3D5" w:rsidR="00B3682D" w:rsidRPr="006513A0" w:rsidRDefault="00375F6D" w:rsidP="00A9338E">
            <w:pPr>
              <w:jc w:val="both"/>
              <w:rPr>
                <w:rFonts w:ascii="Lato" w:hAnsi="Lato" w:cs="Times New Roman"/>
                <w:sz w:val="20"/>
                <w:szCs w:val="20"/>
              </w:rPr>
            </w:pPr>
            <w:r w:rsidRPr="006513A0">
              <w:rPr>
                <w:rFonts w:ascii="Lato" w:hAnsi="Lato" w:cs="Times New Roman"/>
                <w:sz w:val="20"/>
                <w:szCs w:val="20"/>
              </w:rPr>
              <w:t>Projektowane przepisy rozszerzyły obowiązek wnoszenia zaliczki oraz wprowadziły obowiązek dostarczenia zabezpieczenia na odbiorców energii elektrycznej. Projektowane regulacje nie uwzględniają jednak specyfiki przyłączeń dużych odbiorów. W przypadku dużych inwestycji przemysłowych, o mocach kilkudziesięciu MW lub większych, inwestycje często realizowane są etapowo. I tak następuje też realizacja przyłączenia. Nie jest uzasadnionym utrzymywanie zabezpieczenia w pierwotnej wysokości w sytuacji gdy na przykład 80% inwestycji wykonano, a do przyłączonego obiektu jest już dostarczona energia elektryczna (tzn. zawarto już umowę o świadczenie usług dystrybucji).</w:t>
            </w:r>
            <w:r w:rsidR="00B72A12" w:rsidRPr="006513A0">
              <w:rPr>
                <w:rFonts w:ascii="Lato" w:hAnsi="Lato" w:cs="Times New Roman"/>
                <w:sz w:val="20"/>
                <w:szCs w:val="20"/>
              </w:rPr>
              <w:t xml:space="preserve"> Przyłączenie złożonych instalacji przemysłowych może być</w:t>
            </w:r>
            <w:r w:rsidR="0035402D" w:rsidRPr="006513A0">
              <w:rPr>
                <w:rFonts w:ascii="Lato" w:hAnsi="Lato" w:cs="Times New Roman"/>
                <w:sz w:val="20"/>
                <w:szCs w:val="20"/>
              </w:rPr>
              <w:t xml:space="preserve"> bowiem</w:t>
            </w:r>
            <w:r w:rsidR="00B72A12" w:rsidRPr="006513A0">
              <w:rPr>
                <w:rFonts w:ascii="Lato" w:hAnsi="Lato" w:cs="Times New Roman"/>
                <w:sz w:val="20"/>
                <w:szCs w:val="20"/>
              </w:rPr>
              <w:t xml:space="preserve"> rozłożone na kilka lat.</w:t>
            </w:r>
          </w:p>
          <w:p w14:paraId="52D9393A" w14:textId="77777777" w:rsidR="00B72A12" w:rsidRPr="006513A0" w:rsidRDefault="00B72A12" w:rsidP="00A9338E">
            <w:pPr>
              <w:jc w:val="both"/>
              <w:rPr>
                <w:rFonts w:ascii="Lato" w:hAnsi="Lato" w:cs="Times New Roman"/>
                <w:sz w:val="20"/>
                <w:szCs w:val="20"/>
              </w:rPr>
            </w:pPr>
          </w:p>
          <w:p w14:paraId="1583B1F1" w14:textId="11EBB4BB" w:rsidR="00B72A12" w:rsidRPr="006513A0" w:rsidRDefault="00B72A12" w:rsidP="00A9338E">
            <w:pPr>
              <w:jc w:val="both"/>
              <w:rPr>
                <w:rFonts w:ascii="Lato" w:hAnsi="Lato" w:cs="Times New Roman"/>
                <w:sz w:val="20"/>
                <w:szCs w:val="20"/>
              </w:rPr>
            </w:pPr>
            <w:r w:rsidRPr="006513A0">
              <w:rPr>
                <w:rFonts w:ascii="Lato" w:hAnsi="Lato" w:cs="Times New Roman"/>
                <w:sz w:val="20"/>
                <w:szCs w:val="20"/>
              </w:rPr>
              <w:t>Celowe jest też wprowadzenie możliwości zwolnienia z obowiązku dalszego utrzymywania zabezpieczenia.</w:t>
            </w:r>
            <w:r w:rsidR="0035402D" w:rsidRPr="006513A0">
              <w:rPr>
                <w:rFonts w:ascii="Lato" w:hAnsi="Lato" w:cs="Times New Roman"/>
                <w:sz w:val="20"/>
                <w:szCs w:val="20"/>
              </w:rPr>
              <w:t xml:space="preserve"> Dotyczy to zwłaszcza przypadków, gdy większość prac została już wykonana, </w:t>
            </w:r>
            <w:r w:rsidR="00CC7F74">
              <w:rPr>
                <w:rFonts w:ascii="Lato" w:hAnsi="Lato" w:cs="Times New Roman"/>
                <w:sz w:val="20"/>
                <w:szCs w:val="20"/>
              </w:rPr>
              <w:t>a</w:t>
            </w:r>
            <w:r w:rsidR="0035402D" w:rsidRPr="006513A0">
              <w:rPr>
                <w:rFonts w:ascii="Lato" w:hAnsi="Lato" w:cs="Times New Roman"/>
                <w:sz w:val="20"/>
                <w:szCs w:val="20"/>
              </w:rPr>
              <w:t xml:space="preserve"> przyłączony obiekt ma już zawartą umowę o świadczenie usług dystrybucyjnych/przesyłowych. </w:t>
            </w:r>
          </w:p>
          <w:p w14:paraId="335AD6A5" w14:textId="60CF5ED7" w:rsidR="00B72A12" w:rsidRPr="006513A0" w:rsidRDefault="00B72A12" w:rsidP="00A9338E">
            <w:pPr>
              <w:jc w:val="both"/>
              <w:rPr>
                <w:rFonts w:ascii="Lato" w:hAnsi="Lato" w:cs="Times New Roman"/>
                <w:sz w:val="20"/>
                <w:szCs w:val="20"/>
              </w:rPr>
            </w:pPr>
          </w:p>
        </w:tc>
        <w:tc>
          <w:tcPr>
            <w:tcW w:w="4252" w:type="dxa"/>
          </w:tcPr>
          <w:p w14:paraId="21EF09F6" w14:textId="77777777" w:rsidR="00DB1164" w:rsidRPr="006513A0" w:rsidRDefault="00DB1164" w:rsidP="00A9338E">
            <w:pPr>
              <w:pStyle w:val="ZLITUSTzmustliter"/>
              <w:spacing w:line="240" w:lineRule="auto"/>
              <w:ind w:left="37" w:firstLine="0"/>
              <w:rPr>
                <w:rFonts w:ascii="Lato" w:eastAsiaTheme="minorHAnsi" w:hAnsi="Lato" w:cs="Times New Roman"/>
                <w:bCs w:val="0"/>
                <w:i/>
                <w:iCs/>
                <w:sz w:val="20"/>
                <w:lang w:eastAsia="en-US"/>
              </w:rPr>
            </w:pPr>
            <w:r w:rsidRPr="006513A0">
              <w:rPr>
                <w:rFonts w:ascii="Lato" w:eastAsiaTheme="minorHAnsi" w:hAnsi="Lato" w:cs="Times New Roman"/>
                <w:bCs w:val="0"/>
                <w:i/>
                <w:iCs/>
                <w:sz w:val="20"/>
                <w:lang w:eastAsia="en-US"/>
              </w:rPr>
              <w:t>8c</w:t>
            </w:r>
            <w:r w:rsidRPr="006513A0">
              <w:rPr>
                <w:rFonts w:ascii="Lato" w:eastAsiaTheme="minorHAnsi" w:hAnsi="Lato" w:cs="Times New Roman"/>
                <w:bCs w:val="0"/>
                <w:i/>
                <w:iCs/>
                <w:sz w:val="20"/>
                <w:vertAlign w:val="superscript"/>
                <w:lang w:eastAsia="en-US"/>
              </w:rPr>
              <w:t>6</w:t>
            </w:r>
            <w:r w:rsidRPr="006513A0">
              <w:rPr>
                <w:rFonts w:ascii="Lato" w:eastAsiaTheme="minorHAnsi" w:hAnsi="Lato" w:cs="Times New Roman"/>
                <w:bCs w:val="0"/>
                <w:i/>
                <w:iCs/>
                <w:sz w:val="20"/>
                <w:lang w:eastAsia="en-US"/>
              </w:rPr>
              <w:t>. Z uwzględnieniem ust. 8j pkt 1, zabezpieczenie podlega zwrotowi w terminie 30 dni od:</w:t>
            </w:r>
          </w:p>
          <w:p w14:paraId="307967C2" w14:textId="16296C81" w:rsidR="00DB1164" w:rsidRPr="006513A0" w:rsidRDefault="00DB1164" w:rsidP="00A9338E">
            <w:pPr>
              <w:pStyle w:val="ZLITPKTzmpktliter"/>
              <w:spacing w:line="240" w:lineRule="auto"/>
              <w:ind w:left="37" w:firstLine="0"/>
              <w:rPr>
                <w:rFonts w:ascii="Lato" w:eastAsiaTheme="minorHAnsi" w:hAnsi="Lato" w:cs="Times New Roman"/>
                <w:bCs w:val="0"/>
                <w:i/>
                <w:iCs/>
                <w:sz w:val="20"/>
                <w:lang w:eastAsia="en-US"/>
              </w:rPr>
            </w:pPr>
            <w:r w:rsidRPr="006513A0">
              <w:rPr>
                <w:rFonts w:ascii="Lato" w:eastAsiaTheme="minorHAnsi" w:hAnsi="Lato" w:cs="Times New Roman"/>
                <w:bCs w:val="0"/>
                <w:i/>
                <w:iCs/>
                <w:sz w:val="20"/>
                <w:lang w:eastAsia="en-US"/>
              </w:rPr>
              <w:t>2)</w:t>
            </w:r>
            <w:r w:rsidRPr="006513A0">
              <w:rPr>
                <w:rFonts w:ascii="Lato" w:eastAsiaTheme="minorHAnsi" w:hAnsi="Lato" w:cs="Times New Roman"/>
                <w:bCs w:val="0"/>
                <w:i/>
                <w:iCs/>
                <w:sz w:val="20"/>
                <w:lang w:eastAsia="en-US"/>
              </w:rPr>
              <w:tab/>
              <w:t xml:space="preserve">pisemnego poinformowania przedsiębiorstwa energetycznego przez podmiot ubiegający się o przyłączenie o zrealizowaniu wszystkich wynikających z umowy o przyłączenie zobowiązań w zakresie przyłączenia urządzeń lub instalacji lub sieci niezbędnych do zawarcia umowy. </w:t>
            </w:r>
            <w:r w:rsidRPr="006513A0">
              <w:rPr>
                <w:rFonts w:ascii="Lato" w:eastAsiaTheme="minorHAnsi" w:hAnsi="Lato" w:cs="Times New Roman"/>
                <w:bCs w:val="0"/>
                <w:i/>
                <w:iCs/>
                <w:color w:val="FF0000"/>
                <w:sz w:val="20"/>
                <w:lang w:eastAsia="en-US"/>
              </w:rPr>
              <w:t>W przypadku gdy przyłączenie obiektu realizowane jest etapowo</w:t>
            </w:r>
            <w:r w:rsidR="00375F6D" w:rsidRPr="006513A0">
              <w:rPr>
                <w:rFonts w:ascii="Lato" w:eastAsiaTheme="minorHAnsi" w:hAnsi="Lato" w:cs="Times New Roman"/>
                <w:bCs w:val="0"/>
                <w:i/>
                <w:iCs/>
                <w:color w:val="FF0000"/>
                <w:sz w:val="20"/>
                <w:lang w:eastAsia="en-US"/>
              </w:rPr>
              <w:t xml:space="preserve"> i do obiektu jest już dostarczana energia elektryczna</w:t>
            </w:r>
            <w:r w:rsidRPr="006513A0">
              <w:rPr>
                <w:rFonts w:ascii="Lato" w:eastAsiaTheme="minorHAnsi" w:hAnsi="Lato" w:cs="Times New Roman"/>
                <w:bCs w:val="0"/>
                <w:i/>
                <w:iCs/>
                <w:color w:val="FF0000"/>
                <w:sz w:val="20"/>
                <w:lang w:eastAsia="en-US"/>
              </w:rPr>
              <w:t xml:space="preserve">, zwrot zabezpieczenia następuje proporcjonalnie do </w:t>
            </w:r>
            <w:r w:rsidR="003234C4" w:rsidRPr="006513A0">
              <w:rPr>
                <w:rFonts w:ascii="Lato" w:eastAsiaTheme="minorHAnsi" w:hAnsi="Lato" w:cs="Times New Roman"/>
                <w:bCs w:val="0"/>
                <w:i/>
                <w:iCs/>
                <w:color w:val="FF0000"/>
                <w:sz w:val="20"/>
                <w:lang w:eastAsia="en-US"/>
              </w:rPr>
              <w:t>zakończonego etapu przyłączenia i poinformowania o tym przedsiębiorstwa energetycznego</w:t>
            </w:r>
            <w:r w:rsidRPr="006513A0">
              <w:rPr>
                <w:rFonts w:ascii="Lato" w:eastAsiaTheme="minorHAnsi" w:hAnsi="Lato" w:cs="Times New Roman"/>
                <w:bCs w:val="0"/>
                <w:i/>
                <w:iCs/>
                <w:color w:val="FF0000"/>
                <w:sz w:val="20"/>
                <w:lang w:eastAsia="en-US"/>
              </w:rPr>
              <w:t>;</w:t>
            </w:r>
            <w:r w:rsidRPr="006513A0">
              <w:rPr>
                <w:rFonts w:ascii="Lato" w:eastAsiaTheme="minorHAnsi" w:hAnsi="Lato" w:cs="Times New Roman"/>
                <w:bCs w:val="0"/>
                <w:i/>
                <w:iCs/>
                <w:sz w:val="20"/>
                <w:lang w:eastAsia="en-US"/>
              </w:rPr>
              <w:t xml:space="preserve"> </w:t>
            </w:r>
          </w:p>
          <w:p w14:paraId="3EE941F9" w14:textId="129F2E7D" w:rsidR="00B3682D" w:rsidRPr="006513A0" w:rsidRDefault="00DB1164" w:rsidP="00655A10">
            <w:pPr>
              <w:pStyle w:val="ZLITPKTzmpktliter"/>
              <w:spacing w:line="240" w:lineRule="auto"/>
              <w:ind w:left="0" w:firstLine="37"/>
              <w:rPr>
                <w:rFonts w:ascii="Lato" w:hAnsi="Lato" w:cs="Times New Roman"/>
                <w:i/>
                <w:iCs/>
                <w:sz w:val="20"/>
              </w:rPr>
            </w:pPr>
            <w:r w:rsidRPr="006513A0">
              <w:rPr>
                <w:rFonts w:ascii="Lato" w:eastAsiaTheme="minorHAnsi" w:hAnsi="Lato" w:cs="Times New Roman"/>
                <w:bCs w:val="0"/>
                <w:i/>
                <w:iCs/>
                <w:color w:val="FF0000"/>
                <w:sz w:val="20"/>
                <w:lang w:eastAsia="en-US"/>
              </w:rPr>
              <w:t>4) w przypadku zwolnienia</w:t>
            </w:r>
            <w:r w:rsidR="003234C4" w:rsidRPr="006513A0">
              <w:rPr>
                <w:rFonts w:ascii="Lato" w:eastAsiaTheme="minorHAnsi" w:hAnsi="Lato" w:cs="Times New Roman"/>
                <w:bCs w:val="0"/>
                <w:i/>
                <w:iCs/>
                <w:color w:val="FF0000"/>
                <w:sz w:val="20"/>
                <w:lang w:eastAsia="en-US"/>
              </w:rPr>
              <w:t xml:space="preserve"> przez</w:t>
            </w:r>
            <w:r w:rsidRPr="006513A0">
              <w:rPr>
                <w:rFonts w:ascii="Lato" w:eastAsiaTheme="minorHAnsi" w:hAnsi="Lato" w:cs="Times New Roman"/>
                <w:bCs w:val="0"/>
                <w:i/>
                <w:iCs/>
                <w:color w:val="FF0000"/>
                <w:sz w:val="20"/>
                <w:lang w:eastAsia="en-US"/>
              </w:rPr>
              <w:t xml:space="preserve"> </w:t>
            </w:r>
            <w:r w:rsidR="003234C4" w:rsidRPr="006513A0">
              <w:rPr>
                <w:rFonts w:ascii="Lato" w:eastAsiaTheme="minorHAnsi" w:hAnsi="Lato" w:cs="Times New Roman"/>
                <w:bCs w:val="0"/>
                <w:i/>
                <w:iCs/>
                <w:color w:val="FF0000"/>
                <w:sz w:val="20"/>
                <w:lang w:eastAsia="en-US"/>
              </w:rPr>
              <w:t xml:space="preserve">przedsiębiorstwo energetyczne przez podmiot ubiegający się o przyłączenie </w:t>
            </w:r>
            <w:r w:rsidRPr="006513A0">
              <w:rPr>
                <w:rFonts w:ascii="Lato" w:eastAsiaTheme="minorHAnsi" w:hAnsi="Lato" w:cs="Times New Roman"/>
                <w:bCs w:val="0"/>
                <w:i/>
                <w:iCs/>
                <w:color w:val="FF0000"/>
                <w:sz w:val="20"/>
                <w:lang w:eastAsia="en-US"/>
              </w:rPr>
              <w:t>z obowiązku utrzym</w:t>
            </w:r>
            <w:r w:rsidR="003234C4" w:rsidRPr="006513A0">
              <w:rPr>
                <w:rFonts w:ascii="Lato" w:eastAsiaTheme="minorHAnsi" w:hAnsi="Lato" w:cs="Times New Roman"/>
                <w:bCs w:val="0"/>
                <w:i/>
                <w:iCs/>
                <w:color w:val="FF0000"/>
                <w:sz w:val="20"/>
                <w:lang w:eastAsia="en-US"/>
              </w:rPr>
              <w:t>y</w:t>
            </w:r>
            <w:r w:rsidRPr="006513A0">
              <w:rPr>
                <w:rFonts w:ascii="Lato" w:eastAsiaTheme="minorHAnsi" w:hAnsi="Lato" w:cs="Times New Roman"/>
                <w:bCs w:val="0"/>
                <w:i/>
                <w:iCs/>
                <w:color w:val="FF0000"/>
                <w:sz w:val="20"/>
                <w:lang w:eastAsia="en-US"/>
              </w:rPr>
              <w:t xml:space="preserve">wania </w:t>
            </w:r>
            <w:r w:rsidR="003234C4" w:rsidRPr="006513A0">
              <w:rPr>
                <w:rFonts w:ascii="Lato" w:eastAsiaTheme="minorHAnsi" w:hAnsi="Lato" w:cs="Times New Roman"/>
                <w:bCs w:val="0"/>
                <w:i/>
                <w:iCs/>
                <w:color w:val="FF0000"/>
                <w:sz w:val="20"/>
                <w:lang w:eastAsia="en-US"/>
              </w:rPr>
              <w:t>zabezpieczenia, w szczególności po zawarciu umowy o świadczenie usług dystrybucji albo przesyłania energii elektrycznej</w:t>
            </w:r>
            <w:r w:rsidR="00752D57" w:rsidRPr="006513A0">
              <w:rPr>
                <w:rFonts w:ascii="Lato" w:eastAsiaTheme="minorHAnsi" w:hAnsi="Lato" w:cs="Times New Roman"/>
                <w:bCs w:val="0"/>
                <w:i/>
                <w:iCs/>
                <w:color w:val="FF0000"/>
                <w:sz w:val="20"/>
                <w:lang w:eastAsia="en-US"/>
              </w:rPr>
              <w:t xml:space="preserve"> dla przyłączanego obiektu</w:t>
            </w:r>
            <w:r w:rsidR="003234C4" w:rsidRPr="006513A0">
              <w:rPr>
                <w:rFonts w:ascii="Lato" w:eastAsiaTheme="minorHAnsi" w:hAnsi="Lato" w:cs="Times New Roman"/>
                <w:bCs w:val="0"/>
                <w:i/>
                <w:iCs/>
                <w:color w:val="FF0000"/>
                <w:sz w:val="20"/>
                <w:lang w:eastAsia="en-US"/>
              </w:rPr>
              <w:t>.</w:t>
            </w:r>
          </w:p>
        </w:tc>
        <w:tc>
          <w:tcPr>
            <w:tcW w:w="1428" w:type="dxa"/>
          </w:tcPr>
          <w:p w14:paraId="1594B29E" w14:textId="1E0A9B26" w:rsidR="00B3682D" w:rsidRPr="006513A0" w:rsidRDefault="00B3682D" w:rsidP="00A9338E">
            <w:pPr>
              <w:jc w:val="both"/>
              <w:rPr>
                <w:rFonts w:ascii="Lato" w:hAnsi="Lato" w:cs="Times New Roman"/>
                <w:sz w:val="20"/>
                <w:szCs w:val="20"/>
              </w:rPr>
            </w:pPr>
          </w:p>
        </w:tc>
      </w:tr>
      <w:tr w:rsidR="00C512C2" w:rsidRPr="006513A0" w14:paraId="7BF4D07C" w14:textId="77777777" w:rsidTr="009B5AD6">
        <w:tc>
          <w:tcPr>
            <w:tcW w:w="562" w:type="dxa"/>
          </w:tcPr>
          <w:p w14:paraId="155D9A5A" w14:textId="7C1125AA" w:rsidR="00C512C2" w:rsidRPr="006513A0" w:rsidRDefault="00CB218B" w:rsidP="00A9338E">
            <w:pPr>
              <w:jc w:val="center"/>
              <w:rPr>
                <w:rFonts w:ascii="Lato" w:hAnsi="Lato" w:cs="Times New Roman"/>
                <w:sz w:val="20"/>
                <w:szCs w:val="20"/>
              </w:rPr>
            </w:pPr>
            <w:r>
              <w:rPr>
                <w:rFonts w:ascii="Lato" w:hAnsi="Lato" w:cs="Times New Roman"/>
                <w:sz w:val="20"/>
                <w:szCs w:val="20"/>
              </w:rPr>
              <w:t>8</w:t>
            </w:r>
          </w:p>
        </w:tc>
        <w:tc>
          <w:tcPr>
            <w:tcW w:w="1701" w:type="dxa"/>
          </w:tcPr>
          <w:p w14:paraId="42F72192" w14:textId="6BDB14C4" w:rsidR="00C512C2" w:rsidRPr="006513A0" w:rsidRDefault="00CB218B" w:rsidP="00A9338E">
            <w:pPr>
              <w:jc w:val="both"/>
              <w:rPr>
                <w:rFonts w:ascii="Lato" w:hAnsi="Lato" w:cs="Times New Roman"/>
                <w:sz w:val="20"/>
                <w:szCs w:val="20"/>
              </w:rPr>
            </w:pPr>
            <w:r w:rsidRPr="00CB218B">
              <w:rPr>
                <w:rFonts w:ascii="Lato" w:hAnsi="Lato" w:cs="Times New Roman"/>
                <w:sz w:val="20"/>
                <w:szCs w:val="20"/>
              </w:rPr>
              <w:t xml:space="preserve">Związek </w:t>
            </w:r>
            <w:r w:rsidRPr="00CB218B">
              <w:rPr>
                <w:rFonts w:ascii="Lato" w:hAnsi="Lato" w:cs="Times New Roman"/>
                <w:sz w:val="20"/>
                <w:szCs w:val="20"/>
              </w:rPr>
              <w:lastRenderedPageBreak/>
              <w:t>Pracodawców Polska Miedź</w:t>
            </w:r>
          </w:p>
        </w:tc>
        <w:tc>
          <w:tcPr>
            <w:tcW w:w="2694" w:type="dxa"/>
          </w:tcPr>
          <w:p w14:paraId="1DCFC4B1" w14:textId="69CA5FC0" w:rsidR="00C512C2" w:rsidRPr="006513A0" w:rsidRDefault="0035402D" w:rsidP="00A9338E">
            <w:pPr>
              <w:jc w:val="both"/>
              <w:rPr>
                <w:rFonts w:ascii="Lato" w:hAnsi="Lato" w:cs="Times New Roman"/>
                <w:sz w:val="20"/>
                <w:szCs w:val="20"/>
              </w:rPr>
            </w:pPr>
            <w:r w:rsidRPr="006513A0">
              <w:rPr>
                <w:rFonts w:ascii="Lato" w:hAnsi="Lato" w:cs="Times New Roman"/>
                <w:sz w:val="20"/>
                <w:szCs w:val="20"/>
              </w:rPr>
              <w:lastRenderedPageBreak/>
              <w:t xml:space="preserve">Art. 1 pkt 8 lit n projektu </w:t>
            </w:r>
            <w:r w:rsidRPr="006513A0">
              <w:rPr>
                <w:rFonts w:ascii="Lato" w:hAnsi="Lato" w:cs="Times New Roman"/>
                <w:sz w:val="20"/>
                <w:szCs w:val="20"/>
              </w:rPr>
              <w:lastRenderedPageBreak/>
              <w:t>(art. 7 ust. 8c</w:t>
            </w:r>
            <w:r w:rsidRPr="006513A0">
              <w:rPr>
                <w:rFonts w:ascii="Lato" w:hAnsi="Lato" w:cs="Times New Roman"/>
                <w:sz w:val="20"/>
                <w:szCs w:val="20"/>
                <w:vertAlign w:val="superscript"/>
              </w:rPr>
              <w:t>8</w:t>
            </w:r>
            <w:r w:rsidRPr="006513A0">
              <w:rPr>
                <w:rFonts w:ascii="Lato" w:hAnsi="Lato" w:cs="Times New Roman"/>
                <w:sz w:val="20"/>
                <w:szCs w:val="20"/>
              </w:rPr>
              <w:t xml:space="preserve"> PE)</w:t>
            </w:r>
          </w:p>
        </w:tc>
        <w:tc>
          <w:tcPr>
            <w:tcW w:w="5103" w:type="dxa"/>
          </w:tcPr>
          <w:p w14:paraId="753417B7" w14:textId="6872AFB4" w:rsidR="00C512C2" w:rsidRPr="006513A0" w:rsidRDefault="00B72A12" w:rsidP="00A9338E">
            <w:pPr>
              <w:jc w:val="both"/>
              <w:rPr>
                <w:rFonts w:ascii="Lato" w:hAnsi="Lato" w:cs="Times New Roman"/>
                <w:sz w:val="20"/>
                <w:szCs w:val="20"/>
              </w:rPr>
            </w:pPr>
            <w:r w:rsidRPr="006513A0">
              <w:rPr>
                <w:rFonts w:ascii="Lato" w:hAnsi="Lato" w:cs="Times New Roman"/>
                <w:sz w:val="20"/>
                <w:szCs w:val="20"/>
              </w:rPr>
              <w:lastRenderedPageBreak/>
              <w:t xml:space="preserve">Projektowana konstrukcja braku zwrotu </w:t>
            </w:r>
            <w:r w:rsidRPr="006513A0">
              <w:rPr>
                <w:rFonts w:ascii="Lato" w:hAnsi="Lato" w:cs="Times New Roman"/>
                <w:sz w:val="20"/>
                <w:szCs w:val="20"/>
              </w:rPr>
              <w:lastRenderedPageBreak/>
              <w:t>zabezpieczenia w przypadku odmowy zawarcia umowy przyłączeniowej lub rozwiązania tej umowy jest niezrozumiała. Istotą zabezpieczenia jest zagwarantowanie pokrycia ewentualnych roszczeń odszkodowawczych jakie powstają w związku z niewykonaniem zobowiązania. W tym kontekście nie jest jasne czy brak zwrotu zabezpieczenia należy utożsamiać z możliwością jego realizacji przez operatora. To znaczy czy w takim przypadku operator ma np. prawo zrealizować gwarancję bankową niezależnie od tego czy poniósł jakąkolwiek szkodę czy nie. Jeśli tak, to taka konstrukcja budzi zdecydowany sprzeciw. Zabezpieczenie staje się bowiem w istocie zobowiązaniem gwarancyjnym zawarcia umowy przyłączeniowej. Tymczasem zgodnie z obowiązującymi ale i projektowanymi przepisami warunki przyłączenia stanowią warunkowe zobowiązanie przedsiębiorstwa energetycznego do zawarcia umowy o przyłączenie, a nie zobowiązanie podmiotu przyłączeniowego do zawarcia takiej umowy. Operator do czasu zawarcia umowy przyłączeniowej nie rozpoczyna żadnych prac, ani nie zaciąga zobowiązań finansowych związanych z realizacją przyłączenia. Nie jest jasne dlaczego w sytuacji</w:t>
            </w:r>
            <w:r w:rsidR="00DD3FB5" w:rsidRPr="006513A0">
              <w:rPr>
                <w:rFonts w:ascii="Lato" w:hAnsi="Lato" w:cs="Times New Roman"/>
                <w:sz w:val="20"/>
                <w:szCs w:val="20"/>
              </w:rPr>
              <w:t xml:space="preserve"> </w:t>
            </w:r>
            <w:r w:rsidR="00CE2F98" w:rsidRPr="006513A0">
              <w:rPr>
                <w:rFonts w:ascii="Lato" w:hAnsi="Lato" w:cs="Times New Roman"/>
                <w:sz w:val="20"/>
                <w:szCs w:val="20"/>
              </w:rPr>
              <w:t xml:space="preserve">braku zawarcia umowy przyłączeniowej całe zabezpieczenie miałoby przepadać. </w:t>
            </w:r>
            <w:r w:rsidR="0035402D" w:rsidRPr="006513A0">
              <w:rPr>
                <w:rFonts w:ascii="Lato" w:hAnsi="Lato" w:cs="Times New Roman"/>
                <w:sz w:val="20"/>
                <w:szCs w:val="20"/>
              </w:rPr>
              <w:t xml:space="preserve">Staje się ono w takiej sytuacji bardziej formą odstępnego niż zabezpieczenia. </w:t>
            </w:r>
            <w:r w:rsidR="00CE2F98" w:rsidRPr="006513A0">
              <w:rPr>
                <w:rFonts w:ascii="Lato" w:hAnsi="Lato" w:cs="Times New Roman"/>
                <w:sz w:val="20"/>
                <w:szCs w:val="20"/>
              </w:rPr>
              <w:t>Z kolei w przypadku rozwiązania umowy przyłączeniowej z winy podmiotu przyłączanego zabezpieczenie powinno być użyte tylko w przypadku ewentualnego braku pokrycia przez ten podmiot kar czy odszkodowań wynikających z umowy.</w:t>
            </w:r>
          </w:p>
          <w:p w14:paraId="1CF8D3BD" w14:textId="77777777" w:rsidR="00CE2F98" w:rsidRPr="006513A0" w:rsidRDefault="00CE2F98" w:rsidP="00A9338E">
            <w:pPr>
              <w:jc w:val="both"/>
              <w:rPr>
                <w:rFonts w:ascii="Lato" w:hAnsi="Lato" w:cs="Times New Roman"/>
                <w:sz w:val="20"/>
                <w:szCs w:val="20"/>
              </w:rPr>
            </w:pPr>
          </w:p>
          <w:p w14:paraId="46B98E4C" w14:textId="6EED72D3" w:rsidR="00CE2F98" w:rsidRPr="006513A0" w:rsidRDefault="00CE2F98" w:rsidP="00CE2F98">
            <w:pPr>
              <w:jc w:val="both"/>
              <w:rPr>
                <w:rFonts w:ascii="Lato" w:hAnsi="Lato" w:cs="Times New Roman"/>
                <w:sz w:val="20"/>
                <w:szCs w:val="20"/>
              </w:rPr>
            </w:pPr>
            <w:r w:rsidRPr="006513A0">
              <w:rPr>
                <w:rFonts w:ascii="Lato" w:hAnsi="Lato" w:cs="Times New Roman"/>
                <w:sz w:val="20"/>
                <w:szCs w:val="20"/>
              </w:rPr>
              <w:t xml:space="preserve">Należy </w:t>
            </w:r>
            <w:r w:rsidR="00085F28" w:rsidRPr="006513A0">
              <w:rPr>
                <w:rFonts w:ascii="Lato" w:hAnsi="Lato" w:cs="Times New Roman"/>
                <w:sz w:val="20"/>
                <w:szCs w:val="20"/>
              </w:rPr>
              <w:t xml:space="preserve">też </w:t>
            </w:r>
            <w:r w:rsidRPr="006513A0">
              <w:rPr>
                <w:rFonts w:ascii="Lato" w:hAnsi="Lato" w:cs="Times New Roman"/>
                <w:sz w:val="20"/>
                <w:szCs w:val="20"/>
              </w:rPr>
              <w:t>zwrócić uwagę, że zabezpieczenie jest liczone od mocy przyłączeniowej. Występują sytuacje, w których zabezpieczenie może znacząco przekraczać wysokość opłaty przyłączeniowej. Przykładowo jeśli przyłączenie polega jedynie na udostępnieniu wolnego pola w istniejącej stacji, koszty przyłączenia po stronie przedsiębiorstwa energetycznego mogą być niewielkie, mimo dużej mocy przyłączeniowej przyłączanych instalacji (determinujących wysokość zabezpieczenia). W takiej sytuacji prz</w:t>
            </w:r>
            <w:r w:rsidR="00085F28" w:rsidRPr="006513A0">
              <w:rPr>
                <w:rFonts w:ascii="Lato" w:hAnsi="Lato" w:cs="Times New Roman"/>
                <w:sz w:val="20"/>
                <w:szCs w:val="20"/>
              </w:rPr>
              <w:t>e</w:t>
            </w:r>
            <w:r w:rsidRPr="006513A0">
              <w:rPr>
                <w:rFonts w:ascii="Lato" w:hAnsi="Lato" w:cs="Times New Roman"/>
                <w:sz w:val="20"/>
                <w:szCs w:val="20"/>
              </w:rPr>
              <w:t xml:space="preserve">padek zabezpieczenia </w:t>
            </w:r>
            <w:r w:rsidR="00085F28" w:rsidRPr="006513A0">
              <w:rPr>
                <w:rFonts w:ascii="Lato" w:hAnsi="Lato" w:cs="Times New Roman"/>
                <w:sz w:val="20"/>
                <w:szCs w:val="20"/>
              </w:rPr>
              <w:t>–</w:t>
            </w:r>
            <w:r w:rsidRPr="006513A0">
              <w:rPr>
                <w:rFonts w:ascii="Lato" w:hAnsi="Lato" w:cs="Times New Roman"/>
                <w:sz w:val="20"/>
                <w:szCs w:val="20"/>
              </w:rPr>
              <w:t xml:space="preserve"> </w:t>
            </w:r>
            <w:r w:rsidR="00085F28" w:rsidRPr="006513A0">
              <w:rPr>
                <w:rFonts w:ascii="Lato" w:hAnsi="Lato" w:cs="Times New Roman"/>
                <w:sz w:val="20"/>
                <w:szCs w:val="20"/>
              </w:rPr>
              <w:t>n</w:t>
            </w:r>
            <w:r w:rsidRPr="006513A0">
              <w:rPr>
                <w:rFonts w:ascii="Lato" w:hAnsi="Lato" w:cs="Times New Roman"/>
                <w:sz w:val="20"/>
                <w:szCs w:val="20"/>
              </w:rPr>
              <w:t>awet w przypadku rozwiązania umowy przyłączeniowej z winy podmiotu przyłączonego</w:t>
            </w:r>
            <w:r w:rsidR="00085F28" w:rsidRPr="006513A0">
              <w:rPr>
                <w:rFonts w:ascii="Lato" w:hAnsi="Lato" w:cs="Times New Roman"/>
                <w:sz w:val="20"/>
                <w:szCs w:val="20"/>
              </w:rPr>
              <w:t xml:space="preserve"> </w:t>
            </w:r>
            <w:r w:rsidRPr="006513A0">
              <w:rPr>
                <w:rFonts w:ascii="Lato" w:hAnsi="Lato" w:cs="Times New Roman"/>
                <w:sz w:val="20"/>
                <w:szCs w:val="20"/>
              </w:rPr>
              <w:t xml:space="preserve">- byłby daleko </w:t>
            </w:r>
            <w:r w:rsidRPr="006513A0">
              <w:rPr>
                <w:rFonts w:ascii="Lato" w:hAnsi="Lato" w:cs="Times New Roman"/>
                <w:sz w:val="20"/>
                <w:szCs w:val="20"/>
              </w:rPr>
              <w:lastRenderedPageBreak/>
              <w:t>nieproporcjonalną sankcją, w stosunku do szkód przedsiębiorstwa energetycznego.</w:t>
            </w:r>
          </w:p>
        </w:tc>
        <w:tc>
          <w:tcPr>
            <w:tcW w:w="4252" w:type="dxa"/>
          </w:tcPr>
          <w:p w14:paraId="79EF1D4E" w14:textId="6EE998C1" w:rsidR="00C512C2" w:rsidRPr="006513A0" w:rsidRDefault="00C512C2" w:rsidP="00A9338E">
            <w:pPr>
              <w:pStyle w:val="ZLITUSTzmustliter"/>
              <w:spacing w:line="240" w:lineRule="auto"/>
              <w:ind w:left="40" w:firstLine="0"/>
              <w:rPr>
                <w:rFonts w:ascii="Lato" w:hAnsi="Lato"/>
                <w:i/>
                <w:iCs/>
                <w:color w:val="000000" w:themeColor="text1"/>
                <w:sz w:val="20"/>
              </w:rPr>
            </w:pPr>
            <w:r w:rsidRPr="006513A0">
              <w:rPr>
                <w:rFonts w:ascii="Lato" w:hAnsi="Lato"/>
                <w:i/>
                <w:iCs/>
                <w:color w:val="000000" w:themeColor="text1"/>
                <w:sz w:val="20"/>
              </w:rPr>
              <w:lastRenderedPageBreak/>
              <w:t>8c</w:t>
            </w:r>
            <w:r w:rsidRPr="006513A0">
              <w:rPr>
                <w:rFonts w:ascii="Lato" w:hAnsi="Lato"/>
                <w:i/>
                <w:iCs/>
                <w:color w:val="000000" w:themeColor="text1"/>
                <w:sz w:val="20"/>
                <w:vertAlign w:val="superscript"/>
              </w:rPr>
              <w:t>8</w:t>
            </w:r>
            <w:r w:rsidRPr="006513A0">
              <w:rPr>
                <w:rFonts w:ascii="Lato" w:hAnsi="Lato"/>
                <w:i/>
                <w:iCs/>
                <w:color w:val="000000" w:themeColor="text1"/>
                <w:sz w:val="20"/>
              </w:rPr>
              <w:t xml:space="preserve">. Zabezpieczenie </w:t>
            </w:r>
            <w:r w:rsidRPr="006513A0">
              <w:rPr>
                <w:rFonts w:ascii="Lato" w:hAnsi="Lato"/>
                <w:i/>
                <w:iCs/>
                <w:strike/>
                <w:color w:val="000000" w:themeColor="text1"/>
                <w:sz w:val="20"/>
              </w:rPr>
              <w:t>nie</w:t>
            </w:r>
            <w:r w:rsidRPr="006513A0">
              <w:rPr>
                <w:rFonts w:ascii="Lato" w:hAnsi="Lato"/>
                <w:i/>
                <w:iCs/>
                <w:color w:val="000000" w:themeColor="text1"/>
                <w:sz w:val="20"/>
              </w:rPr>
              <w:t xml:space="preserve"> </w:t>
            </w:r>
            <w:r w:rsidRPr="006513A0">
              <w:rPr>
                <w:rFonts w:ascii="Lato" w:hAnsi="Lato"/>
                <w:i/>
                <w:iCs/>
                <w:color w:val="FF0000"/>
                <w:sz w:val="20"/>
              </w:rPr>
              <w:t>podlega zwrotowi</w:t>
            </w:r>
            <w:r w:rsidR="0085759A" w:rsidRPr="006513A0">
              <w:rPr>
                <w:rFonts w:ascii="Lato" w:hAnsi="Lato"/>
                <w:i/>
                <w:iCs/>
                <w:color w:val="FF0000"/>
                <w:sz w:val="20"/>
              </w:rPr>
              <w:t xml:space="preserve"> w </w:t>
            </w:r>
            <w:r w:rsidR="0085759A" w:rsidRPr="006513A0">
              <w:rPr>
                <w:rFonts w:ascii="Lato" w:hAnsi="Lato"/>
                <w:i/>
                <w:iCs/>
                <w:color w:val="FF0000"/>
                <w:sz w:val="20"/>
              </w:rPr>
              <w:lastRenderedPageBreak/>
              <w:t xml:space="preserve">terminie </w:t>
            </w:r>
            <w:r w:rsidR="00AF746D" w:rsidRPr="006513A0">
              <w:rPr>
                <w:rFonts w:ascii="Lato" w:hAnsi="Lato"/>
                <w:i/>
                <w:iCs/>
                <w:color w:val="FF0000"/>
                <w:sz w:val="20"/>
              </w:rPr>
              <w:t>120 dni</w:t>
            </w:r>
            <w:r w:rsidR="0085759A" w:rsidRPr="006513A0">
              <w:rPr>
                <w:rFonts w:ascii="Lato" w:hAnsi="Lato"/>
                <w:i/>
                <w:iCs/>
                <w:color w:val="FF0000"/>
                <w:sz w:val="20"/>
              </w:rPr>
              <w:t xml:space="preserve">, w zakresie w jakim nie zostanie one użyte w celu zaspokojenia wymagalnych roszczeń przedsiębiorstwa energetycznego związanych z poniesionymi kosztami określenia warunków przyłączenia dla podmiotu ubiegającego się o przyłączenie lub </w:t>
            </w:r>
            <w:r w:rsidR="00AF746D" w:rsidRPr="006513A0">
              <w:rPr>
                <w:rFonts w:ascii="Lato" w:hAnsi="Lato"/>
                <w:i/>
                <w:iCs/>
                <w:color w:val="FF0000"/>
                <w:sz w:val="20"/>
              </w:rPr>
              <w:t>kosztów związanych z realizacją przyłączenia</w:t>
            </w:r>
            <w:r w:rsidRPr="006513A0">
              <w:rPr>
                <w:rFonts w:ascii="Lato" w:hAnsi="Lato"/>
                <w:i/>
                <w:iCs/>
                <w:color w:val="FF0000"/>
                <w:sz w:val="20"/>
              </w:rPr>
              <w:t xml:space="preserve"> </w:t>
            </w:r>
            <w:r w:rsidRPr="006513A0">
              <w:rPr>
                <w:rFonts w:ascii="Lato" w:hAnsi="Lato"/>
                <w:i/>
                <w:iCs/>
                <w:sz w:val="20"/>
              </w:rPr>
              <w:t>w przypadku</w:t>
            </w:r>
            <w:r w:rsidRPr="006513A0">
              <w:rPr>
                <w:rFonts w:ascii="Lato" w:hAnsi="Lato"/>
                <w:i/>
                <w:iCs/>
                <w:color w:val="000000" w:themeColor="text1"/>
                <w:sz w:val="20"/>
              </w:rPr>
              <w:t>:</w:t>
            </w:r>
          </w:p>
          <w:p w14:paraId="6544333E" w14:textId="77777777" w:rsidR="00C512C2" w:rsidRPr="006513A0" w:rsidRDefault="00C512C2" w:rsidP="00A9338E">
            <w:pPr>
              <w:pStyle w:val="ZLITPKTzmpktliter"/>
              <w:spacing w:line="240" w:lineRule="auto"/>
              <w:ind w:left="40" w:firstLine="0"/>
              <w:rPr>
                <w:rFonts w:ascii="Lato" w:hAnsi="Lato"/>
                <w:i/>
                <w:iCs/>
                <w:sz w:val="20"/>
              </w:rPr>
            </w:pPr>
            <w:r w:rsidRPr="006513A0">
              <w:rPr>
                <w:rFonts w:ascii="Lato" w:hAnsi="Lato"/>
                <w:i/>
                <w:iCs/>
                <w:sz w:val="20"/>
              </w:rPr>
              <w:t>1)</w:t>
            </w:r>
            <w:r w:rsidRPr="006513A0">
              <w:rPr>
                <w:rFonts w:ascii="Lato" w:hAnsi="Lato"/>
                <w:i/>
                <w:iCs/>
                <w:sz w:val="20"/>
              </w:rPr>
              <w:tab/>
              <w:t>gdy podmiot ubiegający się o przyłączenie nie wystąpi o zawarcie umowy o przyłączenie albo odmówi zawarcia umowy o przyłączenie w okresie ważności warunków przyłączenia, z wyłączeniem ust. 8c</w:t>
            </w:r>
            <w:r w:rsidRPr="006513A0">
              <w:rPr>
                <w:rFonts w:ascii="Lato" w:hAnsi="Lato"/>
                <w:i/>
                <w:iCs/>
                <w:sz w:val="20"/>
                <w:vertAlign w:val="superscript"/>
              </w:rPr>
              <w:t>6</w:t>
            </w:r>
            <w:r w:rsidRPr="006513A0">
              <w:rPr>
                <w:rFonts w:ascii="Lato" w:hAnsi="Lato"/>
                <w:i/>
                <w:iCs/>
                <w:sz w:val="20"/>
              </w:rPr>
              <w:t xml:space="preserve"> pkt 1;</w:t>
            </w:r>
          </w:p>
          <w:p w14:paraId="046EBFBF" w14:textId="77777777" w:rsidR="00C512C2" w:rsidRPr="006513A0" w:rsidRDefault="00C512C2" w:rsidP="00A9338E">
            <w:pPr>
              <w:pStyle w:val="ZLITPKTzmpktliter"/>
              <w:spacing w:line="240" w:lineRule="auto"/>
              <w:ind w:left="40" w:firstLine="0"/>
              <w:rPr>
                <w:rFonts w:ascii="Lato" w:hAnsi="Lato"/>
                <w:i/>
                <w:iCs/>
                <w:sz w:val="20"/>
              </w:rPr>
            </w:pPr>
            <w:r w:rsidRPr="006513A0">
              <w:rPr>
                <w:rFonts w:ascii="Lato" w:hAnsi="Lato"/>
                <w:i/>
                <w:iCs/>
                <w:sz w:val="20"/>
              </w:rPr>
              <w:t>2)</w:t>
            </w:r>
            <w:r w:rsidRPr="006513A0">
              <w:rPr>
                <w:rFonts w:ascii="Lato" w:hAnsi="Lato"/>
                <w:i/>
                <w:iCs/>
                <w:sz w:val="20"/>
              </w:rPr>
              <w:tab/>
              <w:t>rozwiązania albo odstąpienia od umowy o przyłączenie, z wyłączeniem ust. 8c</w:t>
            </w:r>
            <w:r w:rsidRPr="006513A0">
              <w:rPr>
                <w:rFonts w:ascii="Lato" w:hAnsi="Lato"/>
                <w:i/>
                <w:iCs/>
                <w:sz w:val="20"/>
                <w:vertAlign w:val="superscript"/>
              </w:rPr>
              <w:t>6</w:t>
            </w:r>
            <w:r w:rsidRPr="006513A0">
              <w:rPr>
                <w:rFonts w:ascii="Lato" w:hAnsi="Lato"/>
                <w:i/>
                <w:iCs/>
                <w:sz w:val="20"/>
              </w:rPr>
              <w:t xml:space="preserve"> pkt 3.</w:t>
            </w:r>
          </w:p>
          <w:p w14:paraId="5794C4D6" w14:textId="77777777" w:rsidR="00C512C2" w:rsidRPr="006513A0" w:rsidRDefault="00C512C2" w:rsidP="00A9338E">
            <w:pPr>
              <w:pStyle w:val="ZLITUSTzmustliter"/>
              <w:spacing w:line="240" w:lineRule="auto"/>
              <w:ind w:left="37" w:firstLine="0"/>
              <w:rPr>
                <w:rFonts w:ascii="Lato" w:eastAsiaTheme="minorHAnsi" w:hAnsi="Lato" w:cs="Times New Roman"/>
                <w:bCs w:val="0"/>
                <w:i/>
                <w:iCs/>
                <w:sz w:val="20"/>
                <w:lang w:eastAsia="en-US"/>
              </w:rPr>
            </w:pPr>
          </w:p>
        </w:tc>
        <w:tc>
          <w:tcPr>
            <w:tcW w:w="1428" w:type="dxa"/>
          </w:tcPr>
          <w:p w14:paraId="01502DAC" w14:textId="77777777" w:rsidR="00C512C2" w:rsidRPr="006513A0" w:rsidRDefault="00C512C2" w:rsidP="00A9338E">
            <w:pPr>
              <w:jc w:val="both"/>
              <w:rPr>
                <w:rFonts w:ascii="Lato" w:hAnsi="Lato" w:cs="Times New Roman"/>
                <w:sz w:val="20"/>
                <w:szCs w:val="20"/>
              </w:rPr>
            </w:pPr>
          </w:p>
        </w:tc>
      </w:tr>
      <w:tr w:rsidR="00BC2A70" w:rsidRPr="006513A0" w14:paraId="0DEAA097" w14:textId="77777777" w:rsidTr="009B5AD6">
        <w:tc>
          <w:tcPr>
            <w:tcW w:w="562" w:type="dxa"/>
          </w:tcPr>
          <w:p w14:paraId="5BD8AE7E" w14:textId="4EB889A1" w:rsidR="00BC2A70" w:rsidRPr="006513A0" w:rsidRDefault="00CB218B" w:rsidP="00A9338E">
            <w:pPr>
              <w:jc w:val="center"/>
              <w:rPr>
                <w:rFonts w:ascii="Lato" w:hAnsi="Lato" w:cs="Times New Roman"/>
                <w:sz w:val="20"/>
                <w:szCs w:val="20"/>
              </w:rPr>
            </w:pPr>
            <w:r>
              <w:rPr>
                <w:rFonts w:ascii="Lato" w:hAnsi="Lato" w:cs="Times New Roman"/>
                <w:sz w:val="20"/>
                <w:szCs w:val="20"/>
              </w:rPr>
              <w:lastRenderedPageBreak/>
              <w:t>9</w:t>
            </w:r>
          </w:p>
        </w:tc>
        <w:tc>
          <w:tcPr>
            <w:tcW w:w="1701" w:type="dxa"/>
          </w:tcPr>
          <w:p w14:paraId="22AAF7D5" w14:textId="401BC6C5" w:rsidR="00BC2A70" w:rsidRPr="006513A0" w:rsidRDefault="00CB218B" w:rsidP="00A9338E">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13F27AFA" w14:textId="296185D4" w:rsidR="00BC2A70" w:rsidRPr="006513A0" w:rsidRDefault="004B77E6" w:rsidP="00A9338E">
            <w:pPr>
              <w:jc w:val="both"/>
              <w:rPr>
                <w:rFonts w:ascii="Lato" w:hAnsi="Lato" w:cs="Times New Roman"/>
                <w:sz w:val="20"/>
                <w:szCs w:val="20"/>
              </w:rPr>
            </w:pPr>
            <w:r w:rsidRPr="006513A0">
              <w:rPr>
                <w:rFonts w:ascii="Lato" w:hAnsi="Lato" w:cs="Times New Roman"/>
                <w:sz w:val="20"/>
                <w:szCs w:val="20"/>
              </w:rPr>
              <w:t>Art. 1 pkt 8 lit o projektu (art. 7 ust. 8d pkt 4 PE)</w:t>
            </w:r>
          </w:p>
        </w:tc>
        <w:tc>
          <w:tcPr>
            <w:tcW w:w="5103" w:type="dxa"/>
          </w:tcPr>
          <w:p w14:paraId="483D1E4B" w14:textId="69FC2042" w:rsidR="0058490C" w:rsidRPr="006513A0" w:rsidRDefault="0058490C" w:rsidP="00A9338E">
            <w:pPr>
              <w:jc w:val="both"/>
              <w:rPr>
                <w:rFonts w:ascii="Lato" w:hAnsi="Lato" w:cs="Times New Roman"/>
                <w:sz w:val="20"/>
                <w:szCs w:val="20"/>
              </w:rPr>
            </w:pPr>
            <w:r w:rsidRPr="006513A0">
              <w:rPr>
                <w:rFonts w:ascii="Lato" w:hAnsi="Lato" w:cs="Times New Roman"/>
                <w:sz w:val="20"/>
                <w:szCs w:val="20"/>
              </w:rPr>
              <w:t xml:space="preserve">Pozyskiwanie tytułów prawnych do obiektów liniowych odbywa się dopiero po określeniu warunków przyłączenia i zawarcia umowy przyłączeniowej. Trasa sieci jest bowiem zdeterminowana wskazanym przez operatora miejscem przyłączenia i istniejącymi uwarunkowaniami lokalnymi. Podmiot przyłączany nie jest w stanie </w:t>
            </w:r>
            <w:r w:rsidRPr="006513A0">
              <w:rPr>
                <w:rFonts w:ascii="Lato" w:hAnsi="Lato" w:cs="Times New Roman"/>
                <w:i/>
                <w:iCs/>
                <w:sz w:val="20"/>
                <w:szCs w:val="20"/>
              </w:rPr>
              <w:t xml:space="preserve">in </w:t>
            </w:r>
            <w:proofErr w:type="spellStart"/>
            <w:r w:rsidRPr="006513A0">
              <w:rPr>
                <w:rFonts w:ascii="Lato" w:hAnsi="Lato" w:cs="Times New Roman"/>
                <w:i/>
                <w:iCs/>
                <w:sz w:val="20"/>
                <w:szCs w:val="20"/>
              </w:rPr>
              <w:t>spe</w:t>
            </w:r>
            <w:proofErr w:type="spellEnd"/>
            <w:r w:rsidRPr="006513A0">
              <w:rPr>
                <w:rFonts w:ascii="Lato" w:hAnsi="Lato" w:cs="Times New Roman"/>
                <w:sz w:val="20"/>
                <w:szCs w:val="20"/>
              </w:rPr>
              <w:t xml:space="preserve"> zabezpieczać, często wielokilometrowych odcinków linii wchodzących w skład przyłączanej instalacji, nie </w:t>
            </w:r>
            <w:r w:rsidR="00085F28" w:rsidRPr="006513A0">
              <w:rPr>
                <w:rFonts w:ascii="Lato" w:hAnsi="Lato" w:cs="Times New Roman"/>
                <w:sz w:val="20"/>
                <w:szCs w:val="20"/>
              </w:rPr>
              <w:t>wiedząc</w:t>
            </w:r>
            <w:r w:rsidRPr="006513A0">
              <w:rPr>
                <w:rFonts w:ascii="Lato" w:hAnsi="Lato" w:cs="Times New Roman"/>
                <w:sz w:val="20"/>
                <w:szCs w:val="20"/>
              </w:rPr>
              <w:t xml:space="preserve"> jeszcze </w:t>
            </w:r>
            <w:r w:rsidRPr="006513A0">
              <w:rPr>
                <w:rFonts w:ascii="Lato" w:hAnsi="Lato" w:cs="Times New Roman"/>
                <w:i/>
                <w:iCs/>
                <w:sz w:val="20"/>
                <w:szCs w:val="20"/>
              </w:rPr>
              <w:t>de facto</w:t>
            </w:r>
            <w:r w:rsidRPr="006513A0">
              <w:rPr>
                <w:rFonts w:ascii="Lato" w:hAnsi="Lato" w:cs="Times New Roman"/>
                <w:sz w:val="20"/>
                <w:szCs w:val="20"/>
              </w:rPr>
              <w:t>, w którym miejscu zostanie przyłączony (np. w której stacji). Podobna sytuacja występuje w przypadku przyłączania nowych odcinków sieci (</w:t>
            </w:r>
            <w:proofErr w:type="spellStart"/>
            <w:r w:rsidRPr="006513A0">
              <w:rPr>
                <w:rFonts w:ascii="Lato" w:hAnsi="Lato" w:cs="Times New Roman"/>
                <w:sz w:val="20"/>
                <w:szCs w:val="20"/>
              </w:rPr>
              <w:t>OSDn</w:t>
            </w:r>
            <w:proofErr w:type="spellEnd"/>
            <w:r w:rsidRPr="006513A0">
              <w:rPr>
                <w:rFonts w:ascii="Lato" w:hAnsi="Lato" w:cs="Times New Roman"/>
                <w:sz w:val="20"/>
                <w:szCs w:val="20"/>
              </w:rPr>
              <w:t>) do sieci operatorów nadrzędnych</w:t>
            </w:r>
            <w:r w:rsidR="00085F28" w:rsidRPr="006513A0">
              <w:rPr>
                <w:rFonts w:ascii="Lato" w:hAnsi="Lato" w:cs="Times New Roman"/>
                <w:sz w:val="20"/>
                <w:szCs w:val="20"/>
              </w:rPr>
              <w:t xml:space="preserve"> (</w:t>
            </w:r>
            <w:proofErr w:type="spellStart"/>
            <w:r w:rsidR="00085F28" w:rsidRPr="006513A0">
              <w:rPr>
                <w:rFonts w:ascii="Lato" w:hAnsi="Lato" w:cs="Times New Roman"/>
                <w:sz w:val="20"/>
                <w:szCs w:val="20"/>
              </w:rPr>
              <w:t>OSDp</w:t>
            </w:r>
            <w:proofErr w:type="spellEnd"/>
            <w:r w:rsidR="00CC7F74">
              <w:rPr>
                <w:rFonts w:ascii="Lato" w:hAnsi="Lato" w:cs="Times New Roman"/>
                <w:sz w:val="20"/>
                <w:szCs w:val="20"/>
              </w:rPr>
              <w:t>)</w:t>
            </w:r>
            <w:r w:rsidRPr="006513A0">
              <w:rPr>
                <w:rFonts w:ascii="Lato" w:hAnsi="Lato" w:cs="Times New Roman"/>
                <w:sz w:val="20"/>
                <w:szCs w:val="20"/>
              </w:rPr>
              <w:t xml:space="preserve">. </w:t>
            </w:r>
          </w:p>
          <w:p w14:paraId="3FCA41C0" w14:textId="77777777" w:rsidR="0058490C" w:rsidRPr="006513A0" w:rsidRDefault="0058490C" w:rsidP="00A9338E">
            <w:pPr>
              <w:jc w:val="both"/>
              <w:rPr>
                <w:rFonts w:ascii="Lato" w:hAnsi="Lato" w:cs="Times New Roman"/>
                <w:sz w:val="20"/>
                <w:szCs w:val="20"/>
              </w:rPr>
            </w:pPr>
          </w:p>
          <w:p w14:paraId="58647F11" w14:textId="1369A4ED" w:rsidR="00BC2A70" w:rsidRPr="006513A0" w:rsidRDefault="0058490C" w:rsidP="00A9338E">
            <w:pPr>
              <w:jc w:val="both"/>
              <w:rPr>
                <w:rFonts w:ascii="Lato" w:hAnsi="Lato" w:cs="Times New Roman"/>
                <w:sz w:val="20"/>
                <w:szCs w:val="20"/>
              </w:rPr>
            </w:pPr>
            <w:r w:rsidRPr="006513A0">
              <w:rPr>
                <w:rFonts w:ascii="Lato" w:hAnsi="Lato" w:cs="Times New Roman"/>
                <w:sz w:val="20"/>
                <w:szCs w:val="20"/>
              </w:rPr>
              <w:t xml:space="preserve">Już obecnie operatorzy w praktyce wymagają przedstawienia tytułu prawnego </w:t>
            </w:r>
            <w:r w:rsidR="00085F28" w:rsidRPr="006513A0">
              <w:rPr>
                <w:rFonts w:ascii="Lato" w:hAnsi="Lato" w:cs="Times New Roman"/>
                <w:sz w:val="20"/>
                <w:szCs w:val="20"/>
              </w:rPr>
              <w:t xml:space="preserve">jedynie </w:t>
            </w:r>
            <w:r w:rsidRPr="006513A0">
              <w:rPr>
                <w:rFonts w:ascii="Lato" w:hAnsi="Lato" w:cs="Times New Roman"/>
                <w:sz w:val="20"/>
                <w:szCs w:val="20"/>
              </w:rPr>
              <w:t xml:space="preserve">dla głównej części przyłączanego obiektu (bez towarzyszącej infrastruktury liniowej). </w:t>
            </w:r>
            <w:r w:rsidRPr="006513A0">
              <w:rPr>
                <w:rFonts w:ascii="Lato" w:hAnsi="Lato" w:cs="Times New Roman"/>
                <w:b/>
                <w:bCs/>
                <w:sz w:val="20"/>
                <w:szCs w:val="20"/>
              </w:rPr>
              <w:t xml:space="preserve">Praktyka ta w ramach obecnej noweli powinna jednak </w:t>
            </w:r>
            <w:r w:rsidR="00AB70A2" w:rsidRPr="006513A0">
              <w:rPr>
                <w:rFonts w:ascii="Lato" w:hAnsi="Lato" w:cs="Times New Roman"/>
                <w:b/>
                <w:bCs/>
                <w:sz w:val="20"/>
                <w:szCs w:val="20"/>
              </w:rPr>
              <w:t xml:space="preserve">zostać wyraźnie usankcjonowana, tak by nie była przedmiotem </w:t>
            </w:r>
            <w:r w:rsidR="00551EF5" w:rsidRPr="006513A0">
              <w:rPr>
                <w:rFonts w:ascii="Lato" w:hAnsi="Lato" w:cs="Times New Roman"/>
                <w:b/>
                <w:bCs/>
                <w:sz w:val="20"/>
                <w:szCs w:val="20"/>
              </w:rPr>
              <w:t>rozbieżnych</w:t>
            </w:r>
            <w:r w:rsidR="00AB70A2" w:rsidRPr="006513A0">
              <w:rPr>
                <w:rFonts w:ascii="Lato" w:hAnsi="Lato" w:cs="Times New Roman"/>
                <w:b/>
                <w:bCs/>
                <w:sz w:val="20"/>
                <w:szCs w:val="20"/>
              </w:rPr>
              <w:t xml:space="preserve"> interpretacji.</w:t>
            </w:r>
          </w:p>
        </w:tc>
        <w:tc>
          <w:tcPr>
            <w:tcW w:w="4252" w:type="dxa"/>
          </w:tcPr>
          <w:p w14:paraId="5643E90D" w14:textId="1AFA9DB5" w:rsidR="0058490C" w:rsidRPr="006513A0" w:rsidRDefault="0058490C" w:rsidP="00A9338E">
            <w:pPr>
              <w:pStyle w:val="ZTIRPKTzmpkttiret"/>
              <w:spacing w:line="240" w:lineRule="auto"/>
              <w:ind w:left="37" w:firstLine="0"/>
              <w:rPr>
                <w:rFonts w:ascii="Lato" w:hAnsi="Lato"/>
                <w:sz w:val="20"/>
              </w:rPr>
            </w:pPr>
            <w:r w:rsidRPr="006513A0">
              <w:rPr>
                <w:rFonts w:ascii="Lato" w:hAnsi="Lato"/>
                <w:sz w:val="20"/>
              </w:rPr>
              <w:t xml:space="preserve">„4) </w:t>
            </w:r>
            <w:r w:rsidRPr="006513A0">
              <w:rPr>
                <w:rFonts w:ascii="Lato" w:hAnsi="Lato"/>
                <w:i/>
                <w:iCs/>
                <w:sz w:val="20"/>
              </w:rPr>
              <w:t xml:space="preserve">oświadczenie o posiadaniu tytułu prawnego podmiotu do korzystania z nieruchomości, na której jest planowana inwestycja określona we wniosku z wyłączeniem źródeł lokalizowanych w polskim obszarze morskim, </w:t>
            </w:r>
            <w:r w:rsidRPr="006513A0">
              <w:rPr>
                <w:rFonts w:ascii="Lato" w:hAnsi="Lato"/>
                <w:i/>
                <w:iCs/>
                <w:color w:val="FF0000"/>
                <w:sz w:val="20"/>
              </w:rPr>
              <w:t>sieci, linii wyprowadzających moc oraz linii zasilających przyłączany obiekt</w:t>
            </w:r>
            <w:r w:rsidRPr="006513A0">
              <w:rPr>
                <w:rFonts w:ascii="Lato" w:hAnsi="Lato"/>
                <w:i/>
                <w:iCs/>
                <w:sz w:val="20"/>
              </w:rPr>
              <w:t>”;</w:t>
            </w:r>
          </w:p>
          <w:p w14:paraId="226B9C80" w14:textId="77777777" w:rsidR="00BC2A70" w:rsidRPr="006513A0" w:rsidRDefault="00BC2A70" w:rsidP="00A9338E">
            <w:pPr>
              <w:pStyle w:val="ZLITUSTzmustliter"/>
              <w:spacing w:line="240" w:lineRule="auto"/>
              <w:ind w:left="40" w:firstLine="0"/>
              <w:rPr>
                <w:rFonts w:ascii="Lato" w:hAnsi="Lato"/>
                <w:i/>
                <w:iCs/>
                <w:color w:val="000000" w:themeColor="text1"/>
                <w:sz w:val="20"/>
              </w:rPr>
            </w:pPr>
          </w:p>
        </w:tc>
        <w:tc>
          <w:tcPr>
            <w:tcW w:w="1428" w:type="dxa"/>
          </w:tcPr>
          <w:p w14:paraId="155F8E81" w14:textId="77777777" w:rsidR="00BC2A70" w:rsidRPr="006513A0" w:rsidRDefault="00BC2A70" w:rsidP="00A9338E">
            <w:pPr>
              <w:jc w:val="both"/>
              <w:rPr>
                <w:rFonts w:ascii="Lato" w:hAnsi="Lato" w:cs="Times New Roman"/>
                <w:sz w:val="20"/>
                <w:szCs w:val="20"/>
              </w:rPr>
            </w:pPr>
          </w:p>
        </w:tc>
      </w:tr>
      <w:tr w:rsidR="00A9338E" w:rsidRPr="006513A0" w14:paraId="0898C9B4" w14:textId="77777777" w:rsidTr="009B5AD6">
        <w:tc>
          <w:tcPr>
            <w:tcW w:w="562" w:type="dxa"/>
          </w:tcPr>
          <w:p w14:paraId="127B48D5" w14:textId="52B4762E" w:rsidR="00A9338E" w:rsidRPr="006513A0" w:rsidRDefault="00CB218B" w:rsidP="00A9338E">
            <w:pPr>
              <w:jc w:val="center"/>
              <w:rPr>
                <w:rFonts w:ascii="Lato" w:hAnsi="Lato" w:cs="Times New Roman"/>
                <w:sz w:val="20"/>
                <w:szCs w:val="20"/>
              </w:rPr>
            </w:pPr>
            <w:r>
              <w:rPr>
                <w:rFonts w:ascii="Lato" w:hAnsi="Lato" w:cs="Times New Roman"/>
                <w:sz w:val="20"/>
                <w:szCs w:val="20"/>
              </w:rPr>
              <w:t>10</w:t>
            </w:r>
          </w:p>
        </w:tc>
        <w:tc>
          <w:tcPr>
            <w:tcW w:w="1701" w:type="dxa"/>
          </w:tcPr>
          <w:p w14:paraId="1EA5D937" w14:textId="167CDBC7" w:rsidR="00A9338E" w:rsidRPr="006513A0" w:rsidRDefault="00CB218B" w:rsidP="00A9338E">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5B8AD18B" w14:textId="2C03B2B0" w:rsidR="00A9338E" w:rsidRPr="006513A0" w:rsidRDefault="00A9338E" w:rsidP="00A9338E">
            <w:pPr>
              <w:jc w:val="both"/>
              <w:rPr>
                <w:rFonts w:ascii="Lato" w:hAnsi="Lato" w:cs="Times New Roman"/>
                <w:sz w:val="20"/>
                <w:szCs w:val="20"/>
              </w:rPr>
            </w:pPr>
            <w:r w:rsidRPr="006513A0">
              <w:rPr>
                <w:rFonts w:ascii="Lato" w:hAnsi="Lato" w:cs="Times New Roman"/>
                <w:sz w:val="20"/>
                <w:szCs w:val="20"/>
              </w:rPr>
              <w:t>Art. 1 pkt 8 lit o projektu (art. 7 ust. 8da pkt 2 PE)</w:t>
            </w:r>
          </w:p>
        </w:tc>
        <w:tc>
          <w:tcPr>
            <w:tcW w:w="5103" w:type="dxa"/>
          </w:tcPr>
          <w:p w14:paraId="5D435CA6" w14:textId="77777777" w:rsidR="00A9338E" w:rsidRPr="006513A0" w:rsidRDefault="00A9338E" w:rsidP="00A9338E">
            <w:pPr>
              <w:jc w:val="both"/>
              <w:rPr>
                <w:rFonts w:ascii="Lato" w:hAnsi="Lato" w:cs="Times New Roman"/>
                <w:sz w:val="20"/>
                <w:szCs w:val="20"/>
              </w:rPr>
            </w:pPr>
            <w:r w:rsidRPr="006513A0">
              <w:rPr>
                <w:rFonts w:ascii="Lato" w:hAnsi="Lato" w:cs="Times New Roman"/>
                <w:sz w:val="20"/>
                <w:szCs w:val="20"/>
              </w:rPr>
              <w:t xml:space="preserve">Pozyskiwanie tytułów prawnych do obiektów liniowych odbywa się dopiero po określeniu warunków przyłączenia i zawarcia umowy przyłączeniowej. Trasa sieci jest bowiem zdeterminowana wskazanym przez operatora miejscem przyłączenia i istniejącymi uwarunkowaniami lokalnymi. Podmiot przyłączany nie jest w stanie </w:t>
            </w:r>
            <w:r w:rsidRPr="006513A0">
              <w:rPr>
                <w:rFonts w:ascii="Lato" w:hAnsi="Lato" w:cs="Times New Roman"/>
                <w:i/>
                <w:iCs/>
                <w:sz w:val="20"/>
                <w:szCs w:val="20"/>
              </w:rPr>
              <w:t xml:space="preserve">in </w:t>
            </w:r>
            <w:proofErr w:type="spellStart"/>
            <w:r w:rsidRPr="006513A0">
              <w:rPr>
                <w:rFonts w:ascii="Lato" w:hAnsi="Lato" w:cs="Times New Roman"/>
                <w:i/>
                <w:iCs/>
                <w:sz w:val="20"/>
                <w:szCs w:val="20"/>
              </w:rPr>
              <w:t>spe</w:t>
            </w:r>
            <w:proofErr w:type="spellEnd"/>
            <w:r w:rsidRPr="006513A0">
              <w:rPr>
                <w:rFonts w:ascii="Lato" w:hAnsi="Lato" w:cs="Times New Roman"/>
                <w:sz w:val="20"/>
                <w:szCs w:val="20"/>
              </w:rPr>
              <w:t xml:space="preserve"> zabezpieczać, często wielokilometrowych odcinków linii wchodzących w skład przyłączanej instalacji, nie </w:t>
            </w:r>
            <w:proofErr w:type="spellStart"/>
            <w:r w:rsidRPr="006513A0">
              <w:rPr>
                <w:rFonts w:ascii="Lato" w:hAnsi="Lato" w:cs="Times New Roman"/>
                <w:sz w:val="20"/>
                <w:szCs w:val="20"/>
              </w:rPr>
              <w:t>wiedzac</w:t>
            </w:r>
            <w:proofErr w:type="spellEnd"/>
            <w:r w:rsidRPr="006513A0">
              <w:rPr>
                <w:rFonts w:ascii="Lato" w:hAnsi="Lato" w:cs="Times New Roman"/>
                <w:sz w:val="20"/>
                <w:szCs w:val="20"/>
              </w:rPr>
              <w:t xml:space="preserve"> jeszcze </w:t>
            </w:r>
            <w:r w:rsidRPr="006513A0">
              <w:rPr>
                <w:rFonts w:ascii="Lato" w:hAnsi="Lato" w:cs="Times New Roman"/>
                <w:i/>
                <w:iCs/>
                <w:sz w:val="20"/>
                <w:szCs w:val="20"/>
              </w:rPr>
              <w:t>de facto</w:t>
            </w:r>
            <w:r w:rsidRPr="006513A0">
              <w:rPr>
                <w:rFonts w:ascii="Lato" w:hAnsi="Lato" w:cs="Times New Roman"/>
                <w:sz w:val="20"/>
                <w:szCs w:val="20"/>
              </w:rPr>
              <w:t>, w którym miejscu zostanie przyłączony (np. w której stacji). Podobna sytuacja występuje w przypadku przyłączania nowych odcinków sieci (</w:t>
            </w:r>
            <w:proofErr w:type="spellStart"/>
            <w:r w:rsidRPr="006513A0">
              <w:rPr>
                <w:rFonts w:ascii="Lato" w:hAnsi="Lato" w:cs="Times New Roman"/>
                <w:sz w:val="20"/>
                <w:szCs w:val="20"/>
              </w:rPr>
              <w:t>OSDn</w:t>
            </w:r>
            <w:proofErr w:type="spellEnd"/>
            <w:r w:rsidRPr="006513A0">
              <w:rPr>
                <w:rFonts w:ascii="Lato" w:hAnsi="Lato" w:cs="Times New Roman"/>
                <w:sz w:val="20"/>
                <w:szCs w:val="20"/>
              </w:rPr>
              <w:t xml:space="preserve">) do sieci operatorów nadrzędnych. </w:t>
            </w:r>
          </w:p>
          <w:p w14:paraId="7C462B63" w14:textId="77777777" w:rsidR="00A9338E" w:rsidRPr="006513A0" w:rsidRDefault="00A9338E" w:rsidP="00A9338E">
            <w:pPr>
              <w:jc w:val="both"/>
              <w:rPr>
                <w:rFonts w:ascii="Lato" w:hAnsi="Lato" w:cs="Times New Roman"/>
                <w:sz w:val="20"/>
                <w:szCs w:val="20"/>
              </w:rPr>
            </w:pPr>
          </w:p>
          <w:p w14:paraId="7795B508" w14:textId="2AFB6210" w:rsidR="00A9338E" w:rsidRPr="006513A0" w:rsidRDefault="00A9338E" w:rsidP="00A9338E">
            <w:pPr>
              <w:jc w:val="both"/>
              <w:rPr>
                <w:rFonts w:ascii="Lato" w:hAnsi="Lato" w:cs="Times New Roman"/>
                <w:sz w:val="20"/>
                <w:szCs w:val="20"/>
              </w:rPr>
            </w:pPr>
            <w:r w:rsidRPr="006513A0">
              <w:rPr>
                <w:rFonts w:ascii="Lato" w:hAnsi="Lato" w:cs="Times New Roman"/>
                <w:sz w:val="20"/>
                <w:szCs w:val="20"/>
              </w:rPr>
              <w:t>Już obecnie operatorzy w praktyce wymagają przedstawienia tytułu prawnego dla głównej części przyłączanego obiektu (bez towarzyszącej infrastruktury liniowej). Praktyka ta w ramach obecnej noweli powinna jednak zostać wyraźnie usankcjonowana, tak by nie była przedmiotem rozbieżnych interpretacji.</w:t>
            </w:r>
          </w:p>
        </w:tc>
        <w:tc>
          <w:tcPr>
            <w:tcW w:w="4252" w:type="dxa"/>
          </w:tcPr>
          <w:p w14:paraId="147A9C1B" w14:textId="34472E8E" w:rsidR="00A9338E" w:rsidRPr="006513A0" w:rsidRDefault="00A9338E" w:rsidP="00A9338E">
            <w:pPr>
              <w:pStyle w:val="ZLITPKTzmpktliter"/>
              <w:spacing w:line="240" w:lineRule="auto"/>
              <w:ind w:left="37" w:hanging="37"/>
              <w:rPr>
                <w:rFonts w:ascii="Lato" w:hAnsi="Lato"/>
                <w:i/>
                <w:iCs/>
                <w:sz w:val="20"/>
              </w:rPr>
            </w:pPr>
            <w:r w:rsidRPr="006513A0">
              <w:rPr>
                <w:rFonts w:ascii="Lato" w:hAnsi="Lato"/>
                <w:i/>
                <w:iCs/>
                <w:sz w:val="20"/>
              </w:rPr>
              <w:t>2)</w:t>
            </w:r>
            <w:r w:rsidRPr="006513A0">
              <w:rPr>
                <w:rFonts w:ascii="Lato" w:hAnsi="Lato"/>
                <w:i/>
                <w:iCs/>
                <w:sz w:val="20"/>
              </w:rPr>
              <w:tab/>
              <w:t xml:space="preserve">dokument potwierdzający tytuł prawny podmiotu do korzystania z nieruchomości, na której jest planowana inwestycja określona we wniosku, z wyłączeniem źródeł lokalizowanych w polskim obszarze morskim, </w:t>
            </w:r>
            <w:r w:rsidRPr="006513A0">
              <w:rPr>
                <w:rFonts w:ascii="Lato" w:hAnsi="Lato"/>
                <w:i/>
                <w:iCs/>
                <w:color w:val="FF0000"/>
                <w:sz w:val="20"/>
              </w:rPr>
              <w:t>sieci, linii wyprowadzających moc oraz linii zasilających przyłączany obiekt”</w:t>
            </w:r>
          </w:p>
          <w:p w14:paraId="454EF78E" w14:textId="77777777" w:rsidR="00A9338E" w:rsidRPr="006513A0" w:rsidRDefault="00A9338E" w:rsidP="00A9338E">
            <w:pPr>
              <w:pStyle w:val="ZTIRPKTzmpkttiret"/>
              <w:spacing w:line="240" w:lineRule="auto"/>
              <w:ind w:left="37" w:firstLine="0"/>
              <w:rPr>
                <w:rFonts w:ascii="Lato" w:hAnsi="Lato"/>
                <w:i/>
                <w:iCs/>
                <w:sz w:val="20"/>
              </w:rPr>
            </w:pPr>
          </w:p>
        </w:tc>
        <w:tc>
          <w:tcPr>
            <w:tcW w:w="1428" w:type="dxa"/>
          </w:tcPr>
          <w:p w14:paraId="017BE1F9" w14:textId="77777777" w:rsidR="00A9338E" w:rsidRPr="006513A0" w:rsidRDefault="00A9338E" w:rsidP="00A9338E">
            <w:pPr>
              <w:jc w:val="both"/>
              <w:rPr>
                <w:rFonts w:ascii="Lato" w:hAnsi="Lato" w:cs="Times New Roman"/>
                <w:sz w:val="20"/>
                <w:szCs w:val="20"/>
              </w:rPr>
            </w:pPr>
          </w:p>
        </w:tc>
      </w:tr>
      <w:tr w:rsidR="00A9338E" w:rsidRPr="006513A0" w14:paraId="4C340D5F" w14:textId="77777777" w:rsidTr="009B5AD6">
        <w:tc>
          <w:tcPr>
            <w:tcW w:w="562" w:type="dxa"/>
          </w:tcPr>
          <w:p w14:paraId="7799F2B5" w14:textId="0708791A" w:rsidR="00A9338E" w:rsidRPr="006513A0" w:rsidRDefault="00CB218B" w:rsidP="00A9338E">
            <w:pPr>
              <w:jc w:val="center"/>
              <w:rPr>
                <w:rFonts w:ascii="Lato" w:hAnsi="Lato" w:cs="Times New Roman"/>
                <w:sz w:val="20"/>
                <w:szCs w:val="20"/>
              </w:rPr>
            </w:pPr>
            <w:r>
              <w:rPr>
                <w:rFonts w:ascii="Lato" w:hAnsi="Lato" w:cs="Times New Roman"/>
                <w:sz w:val="20"/>
                <w:szCs w:val="20"/>
              </w:rPr>
              <w:t>11</w:t>
            </w:r>
          </w:p>
        </w:tc>
        <w:tc>
          <w:tcPr>
            <w:tcW w:w="1701" w:type="dxa"/>
          </w:tcPr>
          <w:p w14:paraId="68010768" w14:textId="74F49589" w:rsidR="00A9338E" w:rsidRPr="006513A0" w:rsidRDefault="00CB218B" w:rsidP="00A9338E">
            <w:pPr>
              <w:jc w:val="both"/>
              <w:rPr>
                <w:rFonts w:ascii="Lato" w:hAnsi="Lato" w:cs="Times New Roman"/>
                <w:sz w:val="20"/>
                <w:szCs w:val="20"/>
              </w:rPr>
            </w:pPr>
            <w:r w:rsidRPr="00CB218B">
              <w:rPr>
                <w:rFonts w:ascii="Lato" w:hAnsi="Lato" w:cs="Times New Roman"/>
                <w:sz w:val="20"/>
                <w:szCs w:val="20"/>
              </w:rPr>
              <w:t xml:space="preserve">Związek </w:t>
            </w:r>
            <w:r w:rsidRPr="00CB218B">
              <w:rPr>
                <w:rFonts w:ascii="Lato" w:hAnsi="Lato" w:cs="Times New Roman"/>
                <w:sz w:val="20"/>
                <w:szCs w:val="20"/>
              </w:rPr>
              <w:lastRenderedPageBreak/>
              <w:t>Pracodawców Polska Miedź</w:t>
            </w:r>
          </w:p>
        </w:tc>
        <w:tc>
          <w:tcPr>
            <w:tcW w:w="2694" w:type="dxa"/>
          </w:tcPr>
          <w:p w14:paraId="0A861227" w14:textId="1F092AC4" w:rsidR="00A9338E" w:rsidRPr="006513A0" w:rsidRDefault="00085F28" w:rsidP="00A9338E">
            <w:pPr>
              <w:jc w:val="both"/>
              <w:rPr>
                <w:rFonts w:ascii="Lato" w:hAnsi="Lato" w:cs="Times New Roman"/>
                <w:sz w:val="20"/>
                <w:szCs w:val="20"/>
              </w:rPr>
            </w:pPr>
            <w:r w:rsidRPr="006513A0">
              <w:rPr>
                <w:rFonts w:ascii="Lato" w:hAnsi="Lato" w:cs="Times New Roman"/>
                <w:sz w:val="20"/>
                <w:szCs w:val="20"/>
              </w:rPr>
              <w:lastRenderedPageBreak/>
              <w:t xml:space="preserve">Art. 1 pkt 8 lit u projektu </w:t>
            </w:r>
            <w:r w:rsidRPr="006513A0">
              <w:rPr>
                <w:rFonts w:ascii="Lato" w:hAnsi="Lato" w:cs="Times New Roman"/>
                <w:sz w:val="20"/>
                <w:szCs w:val="20"/>
              </w:rPr>
              <w:lastRenderedPageBreak/>
              <w:t>(art. 7 ust. 8l PE)</w:t>
            </w:r>
          </w:p>
        </w:tc>
        <w:tc>
          <w:tcPr>
            <w:tcW w:w="5103" w:type="dxa"/>
          </w:tcPr>
          <w:p w14:paraId="1FD2A64E" w14:textId="0C767725" w:rsidR="00A9338E" w:rsidRPr="006513A0" w:rsidRDefault="00064FFE" w:rsidP="00064FFE">
            <w:pPr>
              <w:jc w:val="both"/>
              <w:rPr>
                <w:rFonts w:ascii="Lato" w:hAnsi="Lato" w:cs="Times New Roman"/>
                <w:sz w:val="20"/>
                <w:szCs w:val="20"/>
              </w:rPr>
            </w:pPr>
            <w:r w:rsidRPr="006513A0">
              <w:rPr>
                <w:rFonts w:ascii="Lato" w:hAnsi="Lato" w:cs="Times New Roman"/>
                <w:sz w:val="20"/>
                <w:szCs w:val="20"/>
              </w:rPr>
              <w:lastRenderedPageBreak/>
              <w:t xml:space="preserve">Zwiększanie transparentności zasad przyłączeń do </w:t>
            </w:r>
            <w:r w:rsidRPr="006513A0">
              <w:rPr>
                <w:rFonts w:ascii="Lato" w:hAnsi="Lato" w:cs="Times New Roman"/>
                <w:sz w:val="20"/>
                <w:szCs w:val="20"/>
              </w:rPr>
              <w:lastRenderedPageBreak/>
              <w:t>sieci może być uzasadnione w przypadku przedsiębiorstw odgrywających podstawową rolę w KSE. Dla mniejszych operatorów, do których sieci często przyłączonych jest nie więcej niż 100 odbiorców dodatkowe obowiązki informacyjne stanowią jednak tylko kolejne obciążenie regulacyjne, które nie znajduje uzasadnienia w skali działalności tych przedsiębiorstw</w:t>
            </w:r>
            <w:r w:rsidR="00085F28" w:rsidRPr="006513A0">
              <w:rPr>
                <w:rFonts w:ascii="Lato" w:hAnsi="Lato" w:cs="Times New Roman"/>
                <w:sz w:val="20"/>
                <w:szCs w:val="20"/>
              </w:rPr>
              <w:t xml:space="preserve"> (informacje te nie mają takiej doniosłości rynkowej)</w:t>
            </w:r>
            <w:r w:rsidRPr="006513A0">
              <w:rPr>
                <w:rFonts w:ascii="Lato" w:hAnsi="Lato" w:cs="Times New Roman"/>
                <w:sz w:val="20"/>
                <w:szCs w:val="20"/>
              </w:rPr>
              <w:t>.</w:t>
            </w:r>
            <w:r w:rsidR="0097016B" w:rsidRPr="006513A0">
              <w:rPr>
                <w:rFonts w:ascii="Lato" w:hAnsi="Lato" w:cs="Times New Roman"/>
                <w:sz w:val="20"/>
                <w:szCs w:val="20"/>
              </w:rPr>
              <w:t xml:space="preserve"> Na terenie takich podmiotów nie jest realizowanych wiele procesów przyłączeniowych. Jeśli są – są one zazwyczaj związane z przyłączeniami kooperantów. Wymaganie od takich przedsiębiorstw</w:t>
            </w:r>
            <w:r w:rsidRPr="006513A0">
              <w:rPr>
                <w:rFonts w:ascii="Lato" w:hAnsi="Lato" w:cs="Times New Roman"/>
                <w:sz w:val="20"/>
                <w:szCs w:val="20"/>
              </w:rPr>
              <w:t xml:space="preserve"> publikacji kolejnych danych o przyłączeniach czy też opracowywania kryteriów obliczania przy przepustowości angażuje i tak nieliczne zasoby osobowe takich podmiotów i nieproporcjonalnie podnosi koszty ich działalności. Koszty te nie są bowiem przenoszone na setki tysięcy odbiorców, jak w przypadku dużych OSD, lecz zwykle na maksymalnie kilkudziesięciu</w:t>
            </w:r>
            <w:r w:rsidR="00085F28" w:rsidRPr="006513A0">
              <w:rPr>
                <w:rFonts w:ascii="Lato" w:hAnsi="Lato" w:cs="Times New Roman"/>
                <w:sz w:val="20"/>
                <w:szCs w:val="20"/>
              </w:rPr>
              <w:t xml:space="preserve"> odbiorców</w:t>
            </w:r>
            <w:r w:rsidRPr="006513A0">
              <w:rPr>
                <w:rFonts w:ascii="Lato" w:hAnsi="Lato" w:cs="Times New Roman"/>
                <w:sz w:val="20"/>
                <w:szCs w:val="20"/>
              </w:rPr>
              <w:t xml:space="preserve">. </w:t>
            </w:r>
          </w:p>
          <w:p w14:paraId="704420D9" w14:textId="77777777" w:rsidR="00064FFE" w:rsidRPr="006513A0" w:rsidRDefault="00064FFE" w:rsidP="00064FFE">
            <w:pPr>
              <w:jc w:val="both"/>
              <w:rPr>
                <w:rFonts w:ascii="Lato" w:hAnsi="Lato" w:cs="Times New Roman"/>
                <w:sz w:val="20"/>
                <w:szCs w:val="20"/>
              </w:rPr>
            </w:pPr>
          </w:p>
          <w:p w14:paraId="54730ED3" w14:textId="34BD4B1D" w:rsidR="00064FFE" w:rsidRPr="006513A0" w:rsidRDefault="00064FFE" w:rsidP="00064FFE">
            <w:pPr>
              <w:jc w:val="both"/>
              <w:rPr>
                <w:rFonts w:ascii="Lato" w:hAnsi="Lato" w:cs="Times New Roman"/>
                <w:i/>
                <w:iCs/>
                <w:sz w:val="20"/>
                <w:szCs w:val="20"/>
              </w:rPr>
            </w:pPr>
            <w:r w:rsidRPr="006513A0">
              <w:rPr>
                <w:rFonts w:ascii="Lato" w:hAnsi="Lato" w:cs="Times New Roman"/>
                <w:b/>
                <w:bCs/>
                <w:sz w:val="20"/>
                <w:szCs w:val="20"/>
              </w:rPr>
              <w:t xml:space="preserve">Postulujemy zatem nie zwiększanie kolejnych obowiązków </w:t>
            </w:r>
            <w:r w:rsidR="00A17460" w:rsidRPr="006513A0">
              <w:rPr>
                <w:rFonts w:ascii="Lato" w:hAnsi="Lato" w:cs="Times New Roman"/>
                <w:b/>
                <w:bCs/>
                <w:sz w:val="20"/>
                <w:szCs w:val="20"/>
              </w:rPr>
              <w:t xml:space="preserve">informacyjnych dla najmniejszych operatorów (realizujących przyłączenia sporadycznie). </w:t>
            </w:r>
          </w:p>
        </w:tc>
        <w:tc>
          <w:tcPr>
            <w:tcW w:w="4252" w:type="dxa"/>
          </w:tcPr>
          <w:p w14:paraId="7A16A967" w14:textId="2B3ED05F" w:rsidR="00A9338E" w:rsidRPr="006513A0" w:rsidRDefault="00A9338E" w:rsidP="00A9338E">
            <w:pPr>
              <w:pStyle w:val="ZLITPKTzmpktliter"/>
              <w:spacing w:line="240" w:lineRule="auto"/>
              <w:ind w:left="37" w:hanging="37"/>
              <w:rPr>
                <w:rFonts w:ascii="Lato" w:hAnsi="Lato"/>
                <w:i/>
                <w:iCs/>
                <w:sz w:val="20"/>
              </w:rPr>
            </w:pPr>
            <w:r w:rsidRPr="006513A0">
              <w:rPr>
                <w:rFonts w:ascii="Lato" w:hAnsi="Lato"/>
                <w:i/>
                <w:iCs/>
                <w:sz w:val="20"/>
              </w:rPr>
              <w:lastRenderedPageBreak/>
              <w:t xml:space="preserve">„8l. Przedsiębiorstwo energetyczne </w:t>
            </w:r>
            <w:r w:rsidRPr="006513A0">
              <w:rPr>
                <w:rFonts w:ascii="Lato" w:hAnsi="Lato"/>
                <w:i/>
                <w:iCs/>
                <w:sz w:val="20"/>
              </w:rPr>
              <w:lastRenderedPageBreak/>
              <w:t>zajmujące się przesyłaniem lub dystrybucją energii elektrycznej sporządza informacje dotyczące: (…)</w:t>
            </w:r>
          </w:p>
          <w:p w14:paraId="5D0C9861" w14:textId="093E6E60" w:rsidR="00A9338E" w:rsidRPr="006513A0" w:rsidRDefault="00A9338E" w:rsidP="00A9338E">
            <w:pPr>
              <w:pStyle w:val="ZLITPKTzmpktliter"/>
              <w:spacing w:line="240" w:lineRule="auto"/>
              <w:ind w:left="37" w:hanging="37"/>
              <w:rPr>
                <w:rFonts w:ascii="Lato" w:hAnsi="Lato"/>
                <w:i/>
                <w:iCs/>
                <w:sz w:val="20"/>
              </w:rPr>
            </w:pPr>
            <w:r w:rsidRPr="006513A0">
              <w:rPr>
                <w:rFonts w:ascii="Lato" w:hAnsi="Lato"/>
                <w:i/>
                <w:iCs/>
                <w:sz w:val="20"/>
              </w:rPr>
              <w:t xml:space="preserve">- z zachowaniem przepisów o ochronie informacji niejawnych lub innych informacji prawnie chronionych. </w:t>
            </w:r>
            <w:bookmarkStart w:id="2" w:name="_Hlk188969220"/>
            <w:r w:rsidRPr="006513A0">
              <w:rPr>
                <w:rFonts w:ascii="Lato" w:hAnsi="Lato"/>
                <w:i/>
                <w:iCs/>
                <w:sz w:val="20"/>
              </w:rPr>
              <w:t>Informacje, o których mowa w zdaniu pierwszym przedsiębiorstwo aktualizuje co najmniej raz na miesiąc</w:t>
            </w:r>
            <w:bookmarkEnd w:id="2"/>
            <w:r w:rsidRPr="006513A0">
              <w:rPr>
                <w:rFonts w:ascii="Lato" w:hAnsi="Lato"/>
                <w:i/>
                <w:iCs/>
                <w:sz w:val="20"/>
              </w:rPr>
              <w:t xml:space="preserve">, uwzględniając dokonaną rozbudowę i modernizację sieci oraz zrealizowane i będące w trakcie realizacji przyłączenia oraz zamieszcza na swojej stronie internetowej. </w:t>
            </w:r>
            <w:r w:rsidRPr="006513A0">
              <w:rPr>
                <w:rFonts w:ascii="Lato" w:hAnsi="Lato"/>
                <w:i/>
                <w:iCs/>
                <w:color w:val="FF0000"/>
                <w:sz w:val="20"/>
              </w:rPr>
              <w:t>Przedsiębiorstwo energetyczne zajmujące się przesyłaniem lub dystrybucją energii elektrycznej w ramach zamkniętego systemu dystrybucyjnego sporządza informacje jedynie w zakresie określonym w pkt 1-2.</w:t>
            </w:r>
          </w:p>
        </w:tc>
        <w:tc>
          <w:tcPr>
            <w:tcW w:w="1428" w:type="dxa"/>
          </w:tcPr>
          <w:p w14:paraId="473EB860" w14:textId="77777777" w:rsidR="00A9338E" w:rsidRPr="006513A0" w:rsidRDefault="00A9338E" w:rsidP="00A9338E">
            <w:pPr>
              <w:jc w:val="both"/>
              <w:rPr>
                <w:rFonts w:ascii="Lato" w:hAnsi="Lato" w:cs="Times New Roman"/>
                <w:sz w:val="20"/>
                <w:szCs w:val="20"/>
              </w:rPr>
            </w:pPr>
          </w:p>
        </w:tc>
      </w:tr>
      <w:tr w:rsidR="00744EC0" w:rsidRPr="006513A0" w14:paraId="09D579C3" w14:textId="77777777" w:rsidTr="009B5AD6">
        <w:tc>
          <w:tcPr>
            <w:tcW w:w="562" w:type="dxa"/>
          </w:tcPr>
          <w:p w14:paraId="3B8BF44A" w14:textId="7ED94834" w:rsidR="00744EC0" w:rsidRPr="006513A0" w:rsidRDefault="00CB218B" w:rsidP="00744EC0">
            <w:pPr>
              <w:jc w:val="center"/>
              <w:rPr>
                <w:rFonts w:ascii="Lato" w:hAnsi="Lato" w:cs="Times New Roman"/>
                <w:sz w:val="20"/>
                <w:szCs w:val="20"/>
              </w:rPr>
            </w:pPr>
            <w:r>
              <w:rPr>
                <w:rFonts w:ascii="Lato" w:hAnsi="Lato" w:cs="Times New Roman"/>
                <w:sz w:val="20"/>
                <w:szCs w:val="20"/>
              </w:rPr>
              <w:lastRenderedPageBreak/>
              <w:t>12</w:t>
            </w:r>
          </w:p>
        </w:tc>
        <w:tc>
          <w:tcPr>
            <w:tcW w:w="1701" w:type="dxa"/>
          </w:tcPr>
          <w:p w14:paraId="0327922E" w14:textId="71968445" w:rsidR="00744EC0" w:rsidRPr="006513A0" w:rsidRDefault="00CB218B" w:rsidP="00744EC0">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201F9347" w14:textId="31F91372" w:rsidR="00744EC0" w:rsidRPr="006513A0" w:rsidRDefault="00744EC0" w:rsidP="00744EC0">
            <w:pPr>
              <w:jc w:val="both"/>
              <w:rPr>
                <w:rFonts w:ascii="Lato" w:hAnsi="Lato" w:cs="Times New Roman"/>
                <w:sz w:val="20"/>
                <w:szCs w:val="20"/>
              </w:rPr>
            </w:pPr>
            <w:r w:rsidRPr="006513A0">
              <w:rPr>
                <w:rFonts w:ascii="Lato" w:hAnsi="Lato" w:cs="Times New Roman"/>
                <w:sz w:val="20"/>
                <w:szCs w:val="20"/>
              </w:rPr>
              <w:t xml:space="preserve">Art. 1 pkt </w:t>
            </w:r>
            <w:r w:rsidRPr="006513A0">
              <w:rPr>
                <w:rFonts w:ascii="Lato" w:hAnsi="Lato" w:cs="Times New Roman"/>
                <w:color w:val="FF0000"/>
                <w:sz w:val="20"/>
                <w:szCs w:val="20"/>
              </w:rPr>
              <w:t>11</w:t>
            </w:r>
            <w:r w:rsidRPr="006513A0">
              <w:rPr>
                <w:rFonts w:ascii="Lato" w:hAnsi="Lato" w:cs="Times New Roman"/>
                <w:sz w:val="20"/>
                <w:szCs w:val="20"/>
              </w:rPr>
              <w:t xml:space="preserve"> projektu (</w:t>
            </w:r>
            <w:r w:rsidRPr="006513A0">
              <w:rPr>
                <w:rFonts w:ascii="Lato" w:hAnsi="Lato" w:cs="Times New Roman"/>
                <w:color w:val="FF0000"/>
                <w:sz w:val="20"/>
                <w:szCs w:val="20"/>
              </w:rPr>
              <w:t>art. 7k PE</w:t>
            </w:r>
            <w:r w:rsidRPr="006513A0">
              <w:rPr>
                <w:rFonts w:ascii="Lato" w:hAnsi="Lato" w:cs="Times New Roman"/>
                <w:sz w:val="20"/>
                <w:szCs w:val="20"/>
              </w:rPr>
              <w:t>)</w:t>
            </w:r>
          </w:p>
        </w:tc>
        <w:tc>
          <w:tcPr>
            <w:tcW w:w="5103" w:type="dxa"/>
          </w:tcPr>
          <w:p w14:paraId="6469EAA0" w14:textId="32F639B0" w:rsidR="00744EC0" w:rsidRPr="006513A0" w:rsidRDefault="00744EC0" w:rsidP="00744EC0">
            <w:pPr>
              <w:jc w:val="both"/>
              <w:rPr>
                <w:rFonts w:ascii="Lato" w:hAnsi="Lato" w:cs="Times New Roman"/>
                <w:sz w:val="20"/>
                <w:szCs w:val="20"/>
              </w:rPr>
            </w:pPr>
            <w:r w:rsidRPr="006513A0">
              <w:rPr>
                <w:rFonts w:ascii="Lato" w:hAnsi="Lato" w:cs="Times New Roman"/>
                <w:sz w:val="20"/>
                <w:szCs w:val="20"/>
              </w:rPr>
              <w:t>Wprowadzenie aukcyjnego dysponowania mocami uwolnionymi na skutek rozwiązania umowy przyłączeniowe może mieć uzasadnienie</w:t>
            </w:r>
            <w:r w:rsidR="00F222F9" w:rsidRPr="006513A0">
              <w:rPr>
                <w:rFonts w:ascii="Lato" w:hAnsi="Lato" w:cs="Times New Roman"/>
                <w:sz w:val="20"/>
                <w:szCs w:val="20"/>
              </w:rPr>
              <w:t xml:space="preserve"> w przypadku dużych</w:t>
            </w:r>
            <w:r w:rsidR="0097016B" w:rsidRPr="006513A0">
              <w:rPr>
                <w:rFonts w:ascii="Lato" w:hAnsi="Lato" w:cs="Times New Roman"/>
                <w:sz w:val="20"/>
                <w:szCs w:val="20"/>
              </w:rPr>
              <w:t>,</w:t>
            </w:r>
            <w:r w:rsidR="00F222F9" w:rsidRPr="006513A0">
              <w:rPr>
                <w:rFonts w:ascii="Lato" w:hAnsi="Lato" w:cs="Times New Roman"/>
                <w:sz w:val="20"/>
                <w:szCs w:val="20"/>
              </w:rPr>
              <w:t xml:space="preserve"> zawodowych operatorów – odgrywających podstawową rolę dla KSE. Jest jednak zupełnie nieproporcjonalne w odniesieniu do małych OSD, takich jak przemysłowe systemy dystrybucyjne. Na terenie takich podmiotów nie jest realizowanych wiele procesów przyłączeniowych. Jeśli są – są one</w:t>
            </w:r>
            <w:r w:rsidR="0097016B" w:rsidRPr="006513A0">
              <w:rPr>
                <w:rFonts w:ascii="Lato" w:hAnsi="Lato" w:cs="Times New Roman"/>
                <w:sz w:val="20"/>
                <w:szCs w:val="20"/>
              </w:rPr>
              <w:t xml:space="preserve"> zazwyczaj</w:t>
            </w:r>
            <w:r w:rsidR="00F222F9" w:rsidRPr="006513A0">
              <w:rPr>
                <w:rFonts w:ascii="Lato" w:hAnsi="Lato" w:cs="Times New Roman"/>
                <w:sz w:val="20"/>
                <w:szCs w:val="20"/>
              </w:rPr>
              <w:t xml:space="preserve"> związane z przyłączeniami kooperantów</w:t>
            </w:r>
            <w:r w:rsidR="00085F28" w:rsidRPr="006513A0">
              <w:rPr>
                <w:rFonts w:ascii="Lato" w:hAnsi="Lato" w:cs="Times New Roman"/>
                <w:sz w:val="20"/>
                <w:szCs w:val="20"/>
              </w:rPr>
              <w:t xml:space="preserve"> czy podmiotów powiązanych</w:t>
            </w:r>
            <w:r w:rsidR="00F222F9" w:rsidRPr="006513A0">
              <w:rPr>
                <w:rFonts w:ascii="Lato" w:hAnsi="Lato" w:cs="Times New Roman"/>
                <w:sz w:val="20"/>
                <w:szCs w:val="20"/>
              </w:rPr>
              <w:t xml:space="preserve">. Wymaganie od takich przedsiębiorstw tworzenie dedykowanych platform informatycznych, opracowywania regulaminu aukcji i uzyskiwanie jego zatwierdzenia </w:t>
            </w:r>
            <w:r w:rsidR="0097016B" w:rsidRPr="006513A0">
              <w:rPr>
                <w:rFonts w:ascii="Lato" w:hAnsi="Lato" w:cs="Times New Roman"/>
                <w:sz w:val="20"/>
                <w:szCs w:val="20"/>
              </w:rPr>
              <w:t>przez URE stanowi nadmierne obciążenie regulacyjne</w:t>
            </w:r>
            <w:r w:rsidR="00085F28" w:rsidRPr="006513A0">
              <w:rPr>
                <w:rFonts w:ascii="Lato" w:hAnsi="Lato" w:cs="Times New Roman"/>
                <w:sz w:val="20"/>
                <w:szCs w:val="20"/>
              </w:rPr>
              <w:t xml:space="preserve"> i jest nieefektywne ekonomicznie</w:t>
            </w:r>
            <w:r w:rsidR="0097016B" w:rsidRPr="006513A0">
              <w:rPr>
                <w:rFonts w:ascii="Lato" w:hAnsi="Lato" w:cs="Times New Roman"/>
                <w:sz w:val="20"/>
                <w:szCs w:val="20"/>
              </w:rPr>
              <w:t xml:space="preserve">. Jest też wbrew aktualnemu trendowi </w:t>
            </w:r>
            <w:proofErr w:type="spellStart"/>
            <w:r w:rsidR="0097016B" w:rsidRPr="006513A0">
              <w:rPr>
                <w:rFonts w:ascii="Lato" w:hAnsi="Lato" w:cs="Times New Roman"/>
                <w:sz w:val="20"/>
                <w:szCs w:val="20"/>
              </w:rPr>
              <w:t>deregulacyjnemu</w:t>
            </w:r>
            <w:proofErr w:type="spellEnd"/>
            <w:r w:rsidR="0097016B" w:rsidRPr="006513A0">
              <w:rPr>
                <w:rFonts w:ascii="Lato" w:hAnsi="Lato" w:cs="Times New Roman"/>
                <w:sz w:val="20"/>
                <w:szCs w:val="20"/>
              </w:rPr>
              <w:t xml:space="preserve">, </w:t>
            </w:r>
            <w:r w:rsidR="00F222F9" w:rsidRPr="006513A0">
              <w:rPr>
                <w:rFonts w:ascii="Lato" w:hAnsi="Lato" w:cs="Times New Roman"/>
                <w:sz w:val="20"/>
                <w:szCs w:val="20"/>
              </w:rPr>
              <w:t xml:space="preserve"> </w:t>
            </w:r>
          </w:p>
          <w:p w14:paraId="0EFA28F5" w14:textId="77777777" w:rsidR="0097016B" w:rsidRPr="006513A0" w:rsidRDefault="0097016B" w:rsidP="00744EC0">
            <w:pPr>
              <w:jc w:val="both"/>
              <w:rPr>
                <w:rFonts w:ascii="Lato" w:hAnsi="Lato" w:cs="Times New Roman"/>
                <w:sz w:val="20"/>
                <w:szCs w:val="20"/>
              </w:rPr>
            </w:pPr>
          </w:p>
          <w:p w14:paraId="1AB1F684" w14:textId="5AC9984F" w:rsidR="0097016B" w:rsidRPr="006513A0" w:rsidRDefault="0097016B" w:rsidP="00744EC0">
            <w:pPr>
              <w:jc w:val="both"/>
              <w:rPr>
                <w:rFonts w:ascii="Lato" w:hAnsi="Lato" w:cs="Times New Roman"/>
                <w:b/>
                <w:bCs/>
                <w:sz w:val="20"/>
                <w:szCs w:val="20"/>
              </w:rPr>
            </w:pPr>
            <w:r w:rsidRPr="006513A0">
              <w:rPr>
                <w:rFonts w:ascii="Lato" w:hAnsi="Lato" w:cs="Times New Roman"/>
                <w:b/>
                <w:bCs/>
                <w:sz w:val="20"/>
                <w:szCs w:val="20"/>
              </w:rPr>
              <w:t>Postuluje</w:t>
            </w:r>
            <w:r w:rsidR="00856750">
              <w:rPr>
                <w:rFonts w:ascii="Lato" w:hAnsi="Lato" w:cs="Times New Roman"/>
                <w:b/>
                <w:bCs/>
                <w:sz w:val="20"/>
                <w:szCs w:val="20"/>
              </w:rPr>
              <w:t xml:space="preserve"> się</w:t>
            </w:r>
            <w:r w:rsidRPr="006513A0">
              <w:rPr>
                <w:rFonts w:ascii="Lato" w:hAnsi="Lato" w:cs="Times New Roman"/>
                <w:b/>
                <w:bCs/>
                <w:sz w:val="20"/>
                <w:szCs w:val="20"/>
              </w:rPr>
              <w:t xml:space="preserve"> uwzględnianie w zakresie projektowanych regulacji specyfiki mniejszych </w:t>
            </w:r>
            <w:r w:rsidRPr="006513A0">
              <w:rPr>
                <w:rFonts w:ascii="Lato" w:hAnsi="Lato" w:cs="Times New Roman"/>
                <w:b/>
                <w:bCs/>
                <w:sz w:val="20"/>
                <w:szCs w:val="20"/>
              </w:rPr>
              <w:lastRenderedPageBreak/>
              <w:t>operatorów, dla których wdrażanie rozwiązań adresowanych do największych operatorów tworzy nieuzasadnione obciążenia regulacyjne</w:t>
            </w:r>
            <w:r w:rsidR="006513A0" w:rsidRPr="006513A0">
              <w:rPr>
                <w:rFonts w:ascii="Lato" w:hAnsi="Lato" w:cs="Times New Roman"/>
                <w:b/>
                <w:bCs/>
                <w:sz w:val="20"/>
                <w:szCs w:val="20"/>
              </w:rPr>
              <w:t>, o wysoce wątpliwym sensie ekonomicznym.</w:t>
            </w:r>
          </w:p>
          <w:p w14:paraId="7661D6D8" w14:textId="18BC420B" w:rsidR="0097016B" w:rsidRPr="006513A0" w:rsidRDefault="0097016B" w:rsidP="00744EC0">
            <w:pPr>
              <w:jc w:val="both"/>
              <w:rPr>
                <w:rFonts w:ascii="Lato" w:hAnsi="Lato" w:cs="Times New Roman"/>
                <w:sz w:val="20"/>
                <w:szCs w:val="20"/>
              </w:rPr>
            </w:pPr>
          </w:p>
        </w:tc>
        <w:tc>
          <w:tcPr>
            <w:tcW w:w="4252" w:type="dxa"/>
          </w:tcPr>
          <w:p w14:paraId="78864433" w14:textId="6418610D" w:rsidR="00187AD3" w:rsidRPr="006513A0" w:rsidRDefault="00187AD3" w:rsidP="00744EC0">
            <w:pPr>
              <w:pStyle w:val="ZLITPKTzmpktliter"/>
              <w:spacing w:line="240" w:lineRule="auto"/>
              <w:ind w:left="37" w:hanging="37"/>
              <w:rPr>
                <w:rFonts w:ascii="Lato" w:hAnsi="Lato"/>
                <w:sz w:val="20"/>
              </w:rPr>
            </w:pPr>
            <w:r w:rsidRPr="006513A0">
              <w:rPr>
                <w:rFonts w:ascii="Lato" w:hAnsi="Lato"/>
                <w:sz w:val="20"/>
              </w:rPr>
              <w:lastRenderedPageBreak/>
              <w:t>[dodanie nowego</w:t>
            </w:r>
            <w:r w:rsidR="00B0093F" w:rsidRPr="006513A0">
              <w:rPr>
                <w:rFonts w:ascii="Lato" w:hAnsi="Lato"/>
                <w:sz w:val="20"/>
              </w:rPr>
              <w:t xml:space="preserve"> art. 7k</w:t>
            </w:r>
            <w:r w:rsidRPr="006513A0">
              <w:rPr>
                <w:rFonts w:ascii="Lato" w:hAnsi="Lato"/>
                <w:sz w:val="20"/>
              </w:rPr>
              <w:t>]</w:t>
            </w:r>
          </w:p>
          <w:p w14:paraId="7E2180F4" w14:textId="77777777" w:rsidR="00187AD3" w:rsidRPr="006513A0" w:rsidRDefault="00187AD3" w:rsidP="00744EC0">
            <w:pPr>
              <w:pStyle w:val="ZLITPKTzmpktliter"/>
              <w:spacing w:line="240" w:lineRule="auto"/>
              <w:ind w:left="37" w:hanging="37"/>
              <w:rPr>
                <w:rFonts w:ascii="Lato" w:hAnsi="Lato"/>
                <w:i/>
                <w:iCs/>
                <w:color w:val="FF0000"/>
                <w:sz w:val="20"/>
              </w:rPr>
            </w:pPr>
          </w:p>
          <w:p w14:paraId="7C1961DB" w14:textId="51F34EC3" w:rsidR="00F222F9" w:rsidRPr="006513A0" w:rsidRDefault="00F222F9" w:rsidP="00744EC0">
            <w:pPr>
              <w:pStyle w:val="ZLITPKTzmpktliter"/>
              <w:spacing w:line="240" w:lineRule="auto"/>
              <w:ind w:left="37" w:hanging="37"/>
              <w:rPr>
                <w:rFonts w:ascii="Lato" w:hAnsi="Lato"/>
                <w:i/>
                <w:iCs/>
                <w:color w:val="FF0000"/>
                <w:sz w:val="20"/>
              </w:rPr>
            </w:pPr>
            <w:r w:rsidRPr="006513A0">
              <w:rPr>
                <w:rFonts w:ascii="Lato" w:hAnsi="Lato"/>
                <w:i/>
                <w:iCs/>
                <w:color w:val="FF0000"/>
                <w:sz w:val="20"/>
              </w:rPr>
              <w:t>Art. 7k Przepisów art. 7c-7j nie stosuje się do  przedsiębiorstwa energetycznego zajmującego się dystrybucją energii elektrycznej, do którego sieci przyłączonych jest nie więcej niż 1000 odbiorców  .</w:t>
            </w:r>
          </w:p>
          <w:p w14:paraId="22C3FBAB" w14:textId="77777777" w:rsidR="00F222F9" w:rsidRPr="006513A0" w:rsidRDefault="00F222F9" w:rsidP="00744EC0">
            <w:pPr>
              <w:pStyle w:val="ZLITPKTzmpktliter"/>
              <w:spacing w:line="240" w:lineRule="auto"/>
              <w:ind w:left="37" w:hanging="37"/>
              <w:rPr>
                <w:rFonts w:ascii="Lato" w:hAnsi="Lato"/>
                <w:i/>
                <w:iCs/>
                <w:color w:val="FF0000"/>
                <w:sz w:val="20"/>
              </w:rPr>
            </w:pPr>
          </w:p>
          <w:p w14:paraId="6A1DD2EA" w14:textId="40DC9163" w:rsidR="00F222F9" w:rsidRPr="006513A0" w:rsidRDefault="00187AD3" w:rsidP="00744EC0">
            <w:pPr>
              <w:pStyle w:val="ZLITPKTzmpktliter"/>
              <w:spacing w:line="240" w:lineRule="auto"/>
              <w:ind w:left="37" w:hanging="37"/>
              <w:rPr>
                <w:rFonts w:ascii="Lato" w:hAnsi="Lato"/>
                <w:sz w:val="20"/>
              </w:rPr>
            </w:pPr>
            <w:r w:rsidRPr="006513A0">
              <w:rPr>
                <w:rFonts w:ascii="Lato" w:hAnsi="Lato"/>
                <w:sz w:val="20"/>
              </w:rPr>
              <w:t>Ewentualnie</w:t>
            </w:r>
          </w:p>
          <w:p w14:paraId="0F6A3431" w14:textId="77777777" w:rsidR="00F222F9" w:rsidRPr="006513A0" w:rsidRDefault="00F222F9" w:rsidP="00744EC0">
            <w:pPr>
              <w:pStyle w:val="ZLITPKTzmpktliter"/>
              <w:spacing w:line="240" w:lineRule="auto"/>
              <w:ind w:left="37" w:hanging="37"/>
              <w:rPr>
                <w:rFonts w:ascii="Lato" w:hAnsi="Lato"/>
                <w:i/>
                <w:iCs/>
                <w:color w:val="FF0000"/>
                <w:sz w:val="20"/>
              </w:rPr>
            </w:pPr>
          </w:p>
          <w:p w14:paraId="6F252EE1" w14:textId="707DEAB2" w:rsidR="00F222F9" w:rsidRPr="006513A0" w:rsidRDefault="00F222F9" w:rsidP="00F222F9">
            <w:pPr>
              <w:pStyle w:val="ZLITPKTzmpktliter"/>
              <w:spacing w:line="240" w:lineRule="auto"/>
              <w:ind w:left="37" w:hanging="37"/>
              <w:rPr>
                <w:rFonts w:ascii="Lato" w:hAnsi="Lato"/>
                <w:i/>
                <w:iCs/>
                <w:color w:val="FF0000"/>
                <w:sz w:val="20"/>
              </w:rPr>
            </w:pPr>
            <w:r w:rsidRPr="006513A0">
              <w:rPr>
                <w:rFonts w:ascii="Lato" w:hAnsi="Lato"/>
                <w:i/>
                <w:iCs/>
                <w:color w:val="FF0000"/>
                <w:sz w:val="20"/>
              </w:rPr>
              <w:t>Art. 7k Przepisów art. 7c-7j nie stosuje się do operatorów zamkniętych systemów dystrybucyjnych.</w:t>
            </w:r>
          </w:p>
          <w:p w14:paraId="227C1B53" w14:textId="6C988544" w:rsidR="00744EC0" w:rsidRPr="006513A0" w:rsidRDefault="00744EC0" w:rsidP="00F222F9">
            <w:pPr>
              <w:pStyle w:val="ZLITPKTzmpktliter"/>
              <w:spacing w:line="240" w:lineRule="auto"/>
              <w:ind w:left="0" w:firstLine="0"/>
              <w:rPr>
                <w:rFonts w:ascii="Lato" w:hAnsi="Lato"/>
                <w:i/>
                <w:iCs/>
                <w:sz w:val="20"/>
              </w:rPr>
            </w:pPr>
          </w:p>
        </w:tc>
        <w:tc>
          <w:tcPr>
            <w:tcW w:w="1428" w:type="dxa"/>
          </w:tcPr>
          <w:p w14:paraId="0E310690" w14:textId="77777777" w:rsidR="00744EC0" w:rsidRPr="006513A0" w:rsidRDefault="00744EC0" w:rsidP="00744EC0">
            <w:pPr>
              <w:jc w:val="both"/>
              <w:rPr>
                <w:rFonts w:ascii="Lato" w:hAnsi="Lato" w:cs="Times New Roman"/>
                <w:sz w:val="20"/>
                <w:szCs w:val="20"/>
              </w:rPr>
            </w:pPr>
          </w:p>
        </w:tc>
      </w:tr>
      <w:tr w:rsidR="00187AD3" w:rsidRPr="006513A0" w14:paraId="6516BABE" w14:textId="77777777" w:rsidTr="009B5AD6">
        <w:tc>
          <w:tcPr>
            <w:tcW w:w="562" w:type="dxa"/>
          </w:tcPr>
          <w:p w14:paraId="3888318C" w14:textId="33684FE3" w:rsidR="00187AD3" w:rsidRPr="006513A0" w:rsidRDefault="00CB218B" w:rsidP="00744EC0">
            <w:pPr>
              <w:jc w:val="center"/>
              <w:rPr>
                <w:rFonts w:ascii="Lato" w:hAnsi="Lato" w:cs="Times New Roman"/>
                <w:sz w:val="20"/>
                <w:szCs w:val="20"/>
              </w:rPr>
            </w:pPr>
            <w:r>
              <w:rPr>
                <w:rFonts w:ascii="Lato" w:hAnsi="Lato" w:cs="Times New Roman"/>
                <w:sz w:val="20"/>
                <w:szCs w:val="20"/>
              </w:rPr>
              <w:lastRenderedPageBreak/>
              <w:t>13</w:t>
            </w:r>
          </w:p>
        </w:tc>
        <w:tc>
          <w:tcPr>
            <w:tcW w:w="1701" w:type="dxa"/>
          </w:tcPr>
          <w:p w14:paraId="5BE18BF8" w14:textId="5EFBBDB6" w:rsidR="00187AD3" w:rsidRPr="006513A0" w:rsidRDefault="00CB218B" w:rsidP="00744EC0">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76C38733" w14:textId="6871E063" w:rsidR="00187AD3" w:rsidRPr="00E357C2" w:rsidRDefault="00B0093F" w:rsidP="00744EC0">
            <w:pPr>
              <w:jc w:val="both"/>
              <w:rPr>
                <w:rFonts w:ascii="Lato" w:hAnsi="Lato" w:cs="Times New Roman"/>
                <w:sz w:val="20"/>
                <w:szCs w:val="20"/>
                <w:lang w:val="de-DE"/>
              </w:rPr>
            </w:pPr>
            <w:r w:rsidRPr="00E357C2">
              <w:rPr>
                <w:rFonts w:ascii="Lato" w:hAnsi="Lato" w:cs="Times New Roman"/>
                <w:sz w:val="20"/>
                <w:szCs w:val="20"/>
                <w:lang w:val="de-DE"/>
              </w:rPr>
              <w:t xml:space="preserve">Art. 1 </w:t>
            </w:r>
            <w:proofErr w:type="spellStart"/>
            <w:r w:rsidRPr="00E357C2">
              <w:rPr>
                <w:rFonts w:ascii="Lato" w:hAnsi="Lato" w:cs="Times New Roman"/>
                <w:sz w:val="20"/>
                <w:szCs w:val="20"/>
                <w:lang w:val="de-DE"/>
              </w:rPr>
              <w:t>pkt</w:t>
            </w:r>
            <w:proofErr w:type="spellEnd"/>
            <w:r w:rsidRPr="00E357C2">
              <w:rPr>
                <w:rFonts w:ascii="Lato" w:hAnsi="Lato" w:cs="Times New Roman"/>
                <w:sz w:val="20"/>
                <w:szCs w:val="20"/>
                <w:lang w:val="de-DE"/>
              </w:rPr>
              <w:t xml:space="preserve"> 13 </w:t>
            </w:r>
            <w:proofErr w:type="spellStart"/>
            <w:r w:rsidRPr="00E357C2">
              <w:rPr>
                <w:rFonts w:ascii="Lato" w:hAnsi="Lato" w:cs="Times New Roman"/>
                <w:sz w:val="20"/>
                <w:szCs w:val="20"/>
                <w:lang w:val="de-DE"/>
              </w:rPr>
              <w:t>projektu</w:t>
            </w:r>
            <w:proofErr w:type="spellEnd"/>
            <w:r w:rsidRPr="00E357C2">
              <w:rPr>
                <w:rFonts w:ascii="Lato" w:hAnsi="Lato" w:cs="Times New Roman"/>
                <w:sz w:val="20"/>
                <w:szCs w:val="20"/>
                <w:lang w:val="de-DE"/>
              </w:rPr>
              <w:t xml:space="preserve"> (art. 10e PE)</w:t>
            </w:r>
          </w:p>
        </w:tc>
        <w:tc>
          <w:tcPr>
            <w:tcW w:w="5103" w:type="dxa"/>
          </w:tcPr>
          <w:p w14:paraId="4626B520" w14:textId="6AC94F3D" w:rsidR="00187AD3" w:rsidRPr="006513A0" w:rsidRDefault="00D443F1" w:rsidP="00744EC0">
            <w:pPr>
              <w:jc w:val="both"/>
              <w:rPr>
                <w:rFonts w:ascii="Lato" w:hAnsi="Lato"/>
                <w:b/>
                <w:bCs/>
                <w:sz w:val="20"/>
                <w:szCs w:val="20"/>
              </w:rPr>
            </w:pPr>
            <w:r w:rsidRPr="006513A0">
              <w:rPr>
                <w:rFonts w:ascii="Lato" w:hAnsi="Lato"/>
                <w:sz w:val="20"/>
                <w:szCs w:val="20"/>
              </w:rPr>
              <w:t xml:space="preserve">W Polsce koncesję na obrót energią elektryczną posiada kilkaset przedsiębiorstw. Jedynie dla części z nich obrót energią elektryczną stanowi podstawową działalność. Wiele przedsiębiorstw </w:t>
            </w:r>
            <w:r w:rsidR="00B0093F" w:rsidRPr="006513A0">
              <w:rPr>
                <w:rFonts w:ascii="Lato" w:hAnsi="Lato"/>
                <w:sz w:val="20"/>
                <w:szCs w:val="20"/>
              </w:rPr>
              <w:t xml:space="preserve">prowadzi </w:t>
            </w:r>
            <w:r w:rsidRPr="006513A0">
              <w:rPr>
                <w:rFonts w:ascii="Lato" w:hAnsi="Lato"/>
                <w:sz w:val="20"/>
                <w:szCs w:val="20"/>
              </w:rPr>
              <w:t xml:space="preserve">działalność obrotową wyłącznie z uwagi na istniejące uwarunkowania regulacyjne. Koncesja jest im </w:t>
            </w:r>
            <w:r w:rsidR="00B0093F" w:rsidRPr="006513A0">
              <w:rPr>
                <w:rFonts w:ascii="Lato" w:hAnsi="Lato"/>
                <w:sz w:val="20"/>
                <w:szCs w:val="20"/>
              </w:rPr>
              <w:t xml:space="preserve">często </w:t>
            </w:r>
            <w:r w:rsidRPr="006513A0">
              <w:rPr>
                <w:rFonts w:ascii="Lato" w:hAnsi="Lato"/>
                <w:sz w:val="20"/>
                <w:szCs w:val="20"/>
              </w:rPr>
              <w:t xml:space="preserve">potrzebna </w:t>
            </w:r>
            <w:r w:rsidR="00B0093F" w:rsidRPr="006513A0">
              <w:rPr>
                <w:rFonts w:ascii="Lato" w:hAnsi="Lato"/>
                <w:sz w:val="20"/>
                <w:szCs w:val="20"/>
              </w:rPr>
              <w:t xml:space="preserve">tylko </w:t>
            </w:r>
            <w:r w:rsidRPr="006513A0">
              <w:rPr>
                <w:rFonts w:ascii="Lato" w:hAnsi="Lato"/>
                <w:sz w:val="20"/>
                <w:szCs w:val="20"/>
              </w:rPr>
              <w:t>w celu</w:t>
            </w:r>
            <w:r w:rsidR="00B0093F" w:rsidRPr="006513A0">
              <w:rPr>
                <w:rFonts w:ascii="Lato" w:hAnsi="Lato"/>
                <w:sz w:val="20"/>
                <w:szCs w:val="20"/>
              </w:rPr>
              <w:t xml:space="preserve"> możliwości</w:t>
            </w:r>
            <w:r w:rsidRPr="006513A0">
              <w:rPr>
                <w:rFonts w:ascii="Lato" w:hAnsi="Lato"/>
                <w:sz w:val="20"/>
                <w:szCs w:val="20"/>
              </w:rPr>
              <w:t xml:space="preserve"> sprzedaży energii elektrycznej do podmiotów powiązanych</w:t>
            </w:r>
            <w:r w:rsidR="00B0093F" w:rsidRPr="006513A0">
              <w:rPr>
                <w:rFonts w:ascii="Lato" w:hAnsi="Lato"/>
                <w:sz w:val="20"/>
                <w:szCs w:val="20"/>
              </w:rPr>
              <w:t>, czy też działających na terenie zakładu</w:t>
            </w:r>
            <w:r w:rsidR="006513A0" w:rsidRPr="006513A0">
              <w:rPr>
                <w:rFonts w:ascii="Lato" w:hAnsi="Lato"/>
                <w:sz w:val="20"/>
                <w:szCs w:val="20"/>
              </w:rPr>
              <w:t xml:space="preserve"> bądź do odsprzedaży nadmiarowej energii zakupionej na potrzeby własne</w:t>
            </w:r>
            <w:r w:rsidRPr="006513A0">
              <w:rPr>
                <w:rFonts w:ascii="Lato" w:hAnsi="Lato"/>
                <w:sz w:val="20"/>
                <w:szCs w:val="20"/>
              </w:rPr>
              <w:t xml:space="preserve">. Jest tak </w:t>
            </w:r>
            <w:r w:rsidR="00003CD6">
              <w:rPr>
                <w:rFonts w:ascii="Lato" w:hAnsi="Lato"/>
                <w:sz w:val="20"/>
                <w:szCs w:val="20"/>
              </w:rPr>
              <w:t>m.in.</w:t>
            </w:r>
            <w:r w:rsidRPr="006513A0">
              <w:rPr>
                <w:rFonts w:ascii="Lato" w:hAnsi="Lato"/>
                <w:sz w:val="20"/>
                <w:szCs w:val="20"/>
              </w:rPr>
              <w:t xml:space="preserve"> w przypadku dużych zakładów energochłonnych, które zaopatrują w energię elektryczną odbiorców przyłączonych na terenie zakładów lub spółki powiązane kapitałowo</w:t>
            </w:r>
            <w:r w:rsidR="006513A0" w:rsidRPr="006513A0">
              <w:rPr>
                <w:rFonts w:ascii="Lato" w:hAnsi="Lato"/>
                <w:sz w:val="20"/>
                <w:szCs w:val="20"/>
              </w:rPr>
              <w:t xml:space="preserve"> czy też nabywają energię na własne potrzeby na giełdzie</w:t>
            </w:r>
            <w:r w:rsidRPr="006513A0">
              <w:rPr>
                <w:rFonts w:ascii="Lato" w:hAnsi="Lato"/>
                <w:sz w:val="20"/>
                <w:szCs w:val="20"/>
              </w:rPr>
              <w:t xml:space="preserve">. Dla takich podmiotów przychody ze sprzedaży energii elektrycznej stanowią jedynie  nieznaczną część ich całkowitych przychodów. Siłą rzeczy ryzyka związane z utratą płynności w obszarze obrotu energii elektrycznej mają marginalne znaczenie dla ich ogólnej sytuacji finansowej. Inaczej niż w przypadku podmiotów całkowicie zorientowanych na działalność obrotową. </w:t>
            </w:r>
            <w:r w:rsidR="00003CD6">
              <w:rPr>
                <w:rFonts w:ascii="Lato" w:hAnsi="Lato"/>
                <w:b/>
                <w:bCs/>
                <w:sz w:val="20"/>
                <w:szCs w:val="20"/>
              </w:rPr>
              <w:t>Z powyższych względów</w:t>
            </w:r>
            <w:r w:rsidRPr="006513A0">
              <w:rPr>
                <w:rFonts w:ascii="Lato" w:hAnsi="Lato"/>
                <w:b/>
                <w:bCs/>
                <w:sz w:val="20"/>
                <w:szCs w:val="20"/>
              </w:rPr>
              <w:t xml:space="preserve"> wymóg opracowywani</w:t>
            </w:r>
            <w:r w:rsidR="00003CD6">
              <w:rPr>
                <w:rFonts w:ascii="Lato" w:hAnsi="Lato"/>
                <w:b/>
                <w:bCs/>
                <w:sz w:val="20"/>
                <w:szCs w:val="20"/>
              </w:rPr>
              <w:t>a</w:t>
            </w:r>
            <w:r w:rsidRPr="006513A0">
              <w:rPr>
                <w:rFonts w:ascii="Lato" w:hAnsi="Lato"/>
                <w:b/>
                <w:bCs/>
                <w:sz w:val="20"/>
                <w:szCs w:val="20"/>
              </w:rPr>
              <w:t xml:space="preserve"> strategii ograniczania ryzyka nie powinien się odnosić do takich podmiotów. Jest to bowiem w ich przypadku zbędny ciężar regulacyjny</w:t>
            </w:r>
            <w:r w:rsidR="00003CD6">
              <w:rPr>
                <w:rFonts w:ascii="Lato" w:hAnsi="Lato"/>
                <w:b/>
                <w:bCs/>
                <w:sz w:val="20"/>
                <w:szCs w:val="20"/>
              </w:rPr>
              <w:t>,</w:t>
            </w:r>
            <w:r w:rsidRPr="006513A0">
              <w:rPr>
                <w:rFonts w:ascii="Lato" w:hAnsi="Lato"/>
                <w:b/>
                <w:bCs/>
                <w:sz w:val="20"/>
                <w:szCs w:val="20"/>
              </w:rPr>
              <w:t xml:space="preserve"> który nie realizuje swojego podstawowego celu</w:t>
            </w:r>
            <w:r w:rsidR="00B0093F" w:rsidRPr="006513A0">
              <w:rPr>
                <w:rFonts w:ascii="Lato" w:hAnsi="Lato"/>
                <w:b/>
                <w:bCs/>
                <w:sz w:val="20"/>
                <w:szCs w:val="20"/>
              </w:rPr>
              <w:t>.</w:t>
            </w:r>
            <w:r w:rsidR="006513A0" w:rsidRPr="006513A0">
              <w:rPr>
                <w:rFonts w:ascii="Lato" w:hAnsi="Lato"/>
                <w:b/>
                <w:bCs/>
                <w:sz w:val="20"/>
                <w:szCs w:val="20"/>
              </w:rPr>
              <w:t xml:space="preserve"> Jest to </w:t>
            </w:r>
            <w:r w:rsidR="00003CD6">
              <w:rPr>
                <w:rFonts w:ascii="Lato" w:hAnsi="Lato"/>
                <w:b/>
                <w:bCs/>
                <w:sz w:val="20"/>
                <w:szCs w:val="20"/>
              </w:rPr>
              <w:t>również</w:t>
            </w:r>
            <w:r w:rsidR="006513A0" w:rsidRPr="006513A0">
              <w:rPr>
                <w:rFonts w:ascii="Lato" w:hAnsi="Lato"/>
                <w:b/>
                <w:bCs/>
                <w:sz w:val="20"/>
                <w:szCs w:val="20"/>
              </w:rPr>
              <w:t xml:space="preserve"> zbędny ciężar dla </w:t>
            </w:r>
            <w:r w:rsidR="00003CD6">
              <w:rPr>
                <w:rFonts w:ascii="Lato" w:hAnsi="Lato"/>
                <w:b/>
                <w:bCs/>
                <w:sz w:val="20"/>
                <w:szCs w:val="20"/>
              </w:rPr>
              <w:t xml:space="preserve">organów </w:t>
            </w:r>
            <w:r w:rsidR="006513A0" w:rsidRPr="006513A0">
              <w:rPr>
                <w:rFonts w:ascii="Lato" w:hAnsi="Lato"/>
                <w:b/>
                <w:bCs/>
                <w:sz w:val="20"/>
                <w:szCs w:val="20"/>
              </w:rPr>
              <w:t xml:space="preserve">administracji – </w:t>
            </w:r>
            <w:r w:rsidR="00003CD6">
              <w:rPr>
                <w:rFonts w:ascii="Lato" w:hAnsi="Lato"/>
                <w:b/>
                <w:bCs/>
                <w:sz w:val="20"/>
                <w:szCs w:val="20"/>
              </w:rPr>
              <w:t>m.in.</w:t>
            </w:r>
            <w:r w:rsidR="006513A0" w:rsidRPr="006513A0">
              <w:rPr>
                <w:rFonts w:ascii="Lato" w:hAnsi="Lato"/>
                <w:b/>
                <w:bCs/>
                <w:sz w:val="20"/>
                <w:szCs w:val="20"/>
              </w:rPr>
              <w:t xml:space="preserve"> w zakresie procedowania postępowania ws. zatwierdzenia strategii.</w:t>
            </w:r>
          </w:p>
        </w:tc>
        <w:tc>
          <w:tcPr>
            <w:tcW w:w="4252" w:type="dxa"/>
          </w:tcPr>
          <w:p w14:paraId="6BAA6AB2" w14:textId="7D5F9C1C" w:rsidR="00187AD3" w:rsidRPr="006513A0" w:rsidRDefault="00187AD3" w:rsidP="00187AD3">
            <w:pPr>
              <w:pStyle w:val="ZLITPKTzmpktliter"/>
              <w:spacing w:line="240" w:lineRule="auto"/>
              <w:ind w:left="37" w:hanging="37"/>
              <w:rPr>
                <w:rFonts w:ascii="Lato" w:hAnsi="Lato"/>
                <w:sz w:val="20"/>
              </w:rPr>
            </w:pPr>
            <w:r w:rsidRPr="006513A0">
              <w:rPr>
                <w:rFonts w:ascii="Lato" w:hAnsi="Lato"/>
                <w:sz w:val="20"/>
              </w:rPr>
              <w:t>[dodanie nowego art. 10e ust. 8]</w:t>
            </w:r>
          </w:p>
          <w:p w14:paraId="2333A4B6" w14:textId="77777777" w:rsidR="00187AD3" w:rsidRPr="006513A0" w:rsidRDefault="00187AD3" w:rsidP="00187AD3">
            <w:pPr>
              <w:pStyle w:val="ZLITPKTzmpktliter"/>
              <w:spacing w:line="240" w:lineRule="auto"/>
              <w:ind w:left="37" w:hanging="37"/>
              <w:rPr>
                <w:rFonts w:ascii="Lato" w:hAnsi="Lato"/>
                <w:i/>
                <w:iCs/>
                <w:color w:val="FF0000"/>
                <w:sz w:val="20"/>
              </w:rPr>
            </w:pPr>
          </w:p>
          <w:p w14:paraId="34121F65" w14:textId="71F80FCF" w:rsidR="00187AD3" w:rsidRPr="006513A0" w:rsidRDefault="00B0093F" w:rsidP="00187AD3">
            <w:pPr>
              <w:pStyle w:val="ZLITPKTzmpktliter"/>
              <w:spacing w:line="240" w:lineRule="auto"/>
              <w:ind w:left="37" w:hanging="37"/>
              <w:rPr>
                <w:rFonts w:ascii="Lato" w:hAnsi="Lato"/>
                <w:i/>
                <w:iCs/>
                <w:color w:val="FF0000"/>
                <w:sz w:val="20"/>
              </w:rPr>
            </w:pPr>
            <w:r w:rsidRPr="006513A0">
              <w:rPr>
                <w:rFonts w:ascii="Lato" w:hAnsi="Lato"/>
                <w:i/>
                <w:iCs/>
                <w:color w:val="FF0000"/>
                <w:sz w:val="20"/>
              </w:rPr>
              <w:t xml:space="preserve">8. </w:t>
            </w:r>
            <w:r w:rsidR="00187AD3" w:rsidRPr="006513A0">
              <w:rPr>
                <w:rFonts w:ascii="Lato" w:hAnsi="Lato"/>
                <w:i/>
                <w:iCs/>
                <w:color w:val="FF0000"/>
                <w:sz w:val="20"/>
              </w:rPr>
              <w:t>Przepisów ust. 1-7 nie stosuje się do przedsiębiorstwa energetycznego zajmującego się obrotem energią elektryczną</w:t>
            </w:r>
            <w:r w:rsidR="005D2F92" w:rsidRPr="006513A0">
              <w:rPr>
                <w:rFonts w:ascii="Lato" w:hAnsi="Lato"/>
                <w:i/>
                <w:iCs/>
                <w:color w:val="FF0000"/>
                <w:sz w:val="20"/>
              </w:rPr>
              <w:t>, którego przychody ze sprzedaży energii elektrycznej w poprzednim roku obrotowym, nie były większe niż 30% całkowitych rocznych przychodów</w:t>
            </w:r>
            <w:r w:rsidRPr="006513A0">
              <w:rPr>
                <w:rFonts w:ascii="Lato" w:hAnsi="Lato"/>
                <w:i/>
                <w:iCs/>
                <w:color w:val="FF0000"/>
                <w:sz w:val="20"/>
              </w:rPr>
              <w:t xml:space="preserve"> tego przedsiębiorstwa</w:t>
            </w:r>
            <w:r w:rsidR="005D2F92" w:rsidRPr="006513A0">
              <w:rPr>
                <w:rFonts w:ascii="Lato" w:hAnsi="Lato"/>
                <w:i/>
                <w:iCs/>
                <w:color w:val="FF0000"/>
                <w:sz w:val="20"/>
              </w:rPr>
              <w:t>.</w:t>
            </w:r>
          </w:p>
          <w:p w14:paraId="55FF615E" w14:textId="57F4DF1F" w:rsidR="00187AD3" w:rsidRPr="006513A0" w:rsidRDefault="00187AD3" w:rsidP="00187AD3">
            <w:pPr>
              <w:pStyle w:val="ZLITPKTzmpktliter"/>
              <w:spacing w:line="240" w:lineRule="auto"/>
              <w:ind w:left="0" w:firstLine="0"/>
              <w:rPr>
                <w:rFonts w:ascii="Lato" w:hAnsi="Lato"/>
                <w:i/>
                <w:iCs/>
                <w:color w:val="FF0000"/>
                <w:sz w:val="20"/>
              </w:rPr>
            </w:pPr>
          </w:p>
        </w:tc>
        <w:tc>
          <w:tcPr>
            <w:tcW w:w="1428" w:type="dxa"/>
          </w:tcPr>
          <w:p w14:paraId="41473DB2" w14:textId="77777777" w:rsidR="00187AD3" w:rsidRPr="006513A0" w:rsidRDefault="00187AD3" w:rsidP="00744EC0">
            <w:pPr>
              <w:jc w:val="both"/>
              <w:rPr>
                <w:rFonts w:ascii="Lato" w:hAnsi="Lato" w:cs="Times New Roman"/>
                <w:sz w:val="20"/>
                <w:szCs w:val="20"/>
              </w:rPr>
            </w:pPr>
          </w:p>
        </w:tc>
      </w:tr>
      <w:tr w:rsidR="009260F6" w:rsidRPr="006513A0" w14:paraId="654DB5F7" w14:textId="77777777" w:rsidTr="009B5AD6">
        <w:tc>
          <w:tcPr>
            <w:tcW w:w="562" w:type="dxa"/>
          </w:tcPr>
          <w:p w14:paraId="52FE6D1B" w14:textId="5EBD2E9B" w:rsidR="009260F6" w:rsidRPr="006513A0" w:rsidRDefault="00CB218B" w:rsidP="00744EC0">
            <w:pPr>
              <w:jc w:val="center"/>
              <w:rPr>
                <w:rFonts w:ascii="Lato" w:hAnsi="Lato" w:cs="Times New Roman"/>
                <w:sz w:val="20"/>
                <w:szCs w:val="20"/>
              </w:rPr>
            </w:pPr>
            <w:r>
              <w:rPr>
                <w:rFonts w:ascii="Lato" w:hAnsi="Lato" w:cs="Times New Roman"/>
                <w:sz w:val="20"/>
                <w:szCs w:val="20"/>
              </w:rPr>
              <w:t>14</w:t>
            </w:r>
          </w:p>
        </w:tc>
        <w:tc>
          <w:tcPr>
            <w:tcW w:w="1701" w:type="dxa"/>
          </w:tcPr>
          <w:p w14:paraId="05AC980D" w14:textId="4DE3ADD5" w:rsidR="009260F6" w:rsidRPr="006513A0" w:rsidRDefault="00CB218B" w:rsidP="00744EC0">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4951EC23" w14:textId="2FF742D2" w:rsidR="009260F6" w:rsidRPr="006513A0" w:rsidRDefault="009260F6" w:rsidP="00744EC0">
            <w:pPr>
              <w:jc w:val="both"/>
              <w:rPr>
                <w:rFonts w:ascii="Lato" w:hAnsi="Lato" w:cs="Times New Roman"/>
                <w:sz w:val="20"/>
                <w:szCs w:val="20"/>
              </w:rPr>
            </w:pPr>
            <w:r w:rsidRPr="006513A0">
              <w:rPr>
                <w:rFonts w:ascii="Lato" w:hAnsi="Lato" w:cs="Times New Roman"/>
                <w:sz w:val="20"/>
                <w:szCs w:val="20"/>
              </w:rPr>
              <w:t>Art. 1 pkt 17</w:t>
            </w:r>
            <w:r w:rsidR="005B4E15" w:rsidRPr="006513A0">
              <w:rPr>
                <w:rFonts w:ascii="Lato" w:hAnsi="Lato" w:cs="Times New Roman"/>
                <w:sz w:val="20"/>
                <w:szCs w:val="20"/>
              </w:rPr>
              <w:t xml:space="preserve"> </w:t>
            </w:r>
            <w:r w:rsidRPr="006513A0">
              <w:rPr>
                <w:rFonts w:ascii="Lato" w:hAnsi="Lato" w:cs="Times New Roman"/>
                <w:sz w:val="20"/>
                <w:szCs w:val="20"/>
              </w:rPr>
              <w:t>projektu (art. 20 ust. 2 pkt 7 PE)</w:t>
            </w:r>
          </w:p>
        </w:tc>
        <w:tc>
          <w:tcPr>
            <w:tcW w:w="5103" w:type="dxa"/>
          </w:tcPr>
          <w:p w14:paraId="66DCC424" w14:textId="6153E1E4" w:rsidR="009260F6" w:rsidRPr="006513A0" w:rsidRDefault="0028117E" w:rsidP="00744EC0">
            <w:pPr>
              <w:jc w:val="both"/>
              <w:rPr>
                <w:rFonts w:ascii="Lato" w:hAnsi="Lato"/>
                <w:sz w:val="20"/>
                <w:szCs w:val="20"/>
              </w:rPr>
            </w:pPr>
            <w:r w:rsidRPr="006513A0">
              <w:rPr>
                <w:rFonts w:ascii="Lato" w:hAnsi="Lato"/>
                <w:sz w:val="20"/>
                <w:szCs w:val="20"/>
              </w:rPr>
              <w:t>N</w:t>
            </w:r>
            <w:r w:rsidR="009260F6" w:rsidRPr="006513A0">
              <w:rPr>
                <w:rFonts w:ascii="Lato" w:hAnsi="Lato"/>
                <w:sz w:val="20"/>
                <w:szCs w:val="20"/>
              </w:rPr>
              <w:t>akładanie na gminy na potrzeby sporządzenia projektu planu zaopatrzenia wykazu instalacji przyłączanych oraz planowanych do przyłączenia w odniesieniu do wszystkich systemów dystrybucyjnych jest niecelowe. Wymusza to komunikacj</w:t>
            </w:r>
            <w:r w:rsidRPr="006513A0">
              <w:rPr>
                <w:rFonts w:ascii="Lato" w:hAnsi="Lato"/>
                <w:sz w:val="20"/>
                <w:szCs w:val="20"/>
              </w:rPr>
              <w:t>e</w:t>
            </w:r>
            <w:r w:rsidR="009260F6" w:rsidRPr="006513A0">
              <w:rPr>
                <w:rFonts w:ascii="Lato" w:hAnsi="Lato"/>
                <w:sz w:val="20"/>
                <w:szCs w:val="20"/>
              </w:rPr>
              <w:t xml:space="preserve"> w tym zakresie między gminą a każdym operatorem systemu dystrybucyjnego</w:t>
            </w:r>
            <w:r w:rsidRPr="006513A0">
              <w:rPr>
                <w:rFonts w:ascii="Lato" w:hAnsi="Lato"/>
                <w:sz w:val="20"/>
                <w:szCs w:val="20"/>
              </w:rPr>
              <w:t xml:space="preserve"> działającym na terenie gminy</w:t>
            </w:r>
            <w:r w:rsidR="009260F6" w:rsidRPr="006513A0">
              <w:rPr>
                <w:rFonts w:ascii="Lato" w:hAnsi="Lato"/>
                <w:sz w:val="20"/>
                <w:szCs w:val="20"/>
              </w:rPr>
              <w:t xml:space="preserve">, nawet jeśli dany system ma marginalne znaczenie w kontekście zaspakajania potrzeb energetycznych </w:t>
            </w:r>
            <w:r w:rsidR="009260F6" w:rsidRPr="006513A0">
              <w:rPr>
                <w:rFonts w:ascii="Lato" w:hAnsi="Lato"/>
                <w:sz w:val="20"/>
                <w:szCs w:val="20"/>
              </w:rPr>
              <w:lastRenderedPageBreak/>
              <w:t>mieszkańców danej gminy. W szczególności bezcelow</w:t>
            </w:r>
            <w:r w:rsidRPr="006513A0">
              <w:rPr>
                <w:rFonts w:ascii="Lato" w:hAnsi="Lato"/>
                <w:sz w:val="20"/>
                <w:szCs w:val="20"/>
              </w:rPr>
              <w:t>e jest uwzględnianie</w:t>
            </w:r>
            <w:r w:rsidR="009260F6" w:rsidRPr="006513A0">
              <w:rPr>
                <w:rFonts w:ascii="Lato" w:hAnsi="Lato"/>
                <w:sz w:val="20"/>
                <w:szCs w:val="20"/>
              </w:rPr>
              <w:t xml:space="preserve"> w takim wykazie instalacji przyłączanych do zamkniętych systemów dystrybucyjnych</w:t>
            </w:r>
            <w:r w:rsidRPr="006513A0">
              <w:rPr>
                <w:rFonts w:ascii="Lato" w:hAnsi="Lato"/>
                <w:sz w:val="20"/>
                <w:szCs w:val="20"/>
              </w:rPr>
              <w:t>. Dla systemów tych zgodnie z obowiązującymi przepisami nie sporządza się nawet planów rozwoju</w:t>
            </w:r>
            <w:r w:rsidR="006D6658">
              <w:rPr>
                <w:rFonts w:ascii="Lato" w:hAnsi="Lato"/>
                <w:sz w:val="20"/>
                <w:szCs w:val="20"/>
              </w:rPr>
              <w:t>.</w:t>
            </w:r>
          </w:p>
        </w:tc>
        <w:tc>
          <w:tcPr>
            <w:tcW w:w="4252" w:type="dxa"/>
          </w:tcPr>
          <w:p w14:paraId="3E5D9995" w14:textId="4FCC07CB" w:rsidR="009260F6" w:rsidRPr="006513A0" w:rsidRDefault="0028117E" w:rsidP="00187AD3">
            <w:pPr>
              <w:pStyle w:val="ZLITPKTzmpktliter"/>
              <w:spacing w:line="240" w:lineRule="auto"/>
              <w:ind w:left="37" w:hanging="37"/>
              <w:rPr>
                <w:rFonts w:ascii="Lato" w:hAnsi="Lato"/>
                <w:i/>
                <w:iCs/>
                <w:color w:val="FF0000"/>
                <w:sz w:val="20"/>
              </w:rPr>
            </w:pPr>
            <w:r w:rsidRPr="006513A0">
              <w:rPr>
                <w:rFonts w:ascii="Lato" w:hAnsi="Lato"/>
                <w:i/>
                <w:iCs/>
                <w:sz w:val="20"/>
              </w:rPr>
              <w:lastRenderedPageBreak/>
              <w:t xml:space="preserve">7) </w:t>
            </w:r>
            <w:r w:rsidR="009260F6" w:rsidRPr="006513A0">
              <w:rPr>
                <w:rFonts w:ascii="Lato" w:hAnsi="Lato"/>
                <w:i/>
                <w:iCs/>
                <w:sz w:val="20"/>
              </w:rPr>
              <w:t xml:space="preserve">wykaz instalacji przyłączanych oraz planowanych do przyłączenia na terenie gminy do sieci elektroenergetycznej o napięciu znamionowym wyższym niż 1 </w:t>
            </w:r>
            <w:proofErr w:type="spellStart"/>
            <w:r w:rsidR="009260F6" w:rsidRPr="006513A0">
              <w:rPr>
                <w:rFonts w:ascii="Lato" w:hAnsi="Lato"/>
                <w:i/>
                <w:iCs/>
                <w:sz w:val="20"/>
              </w:rPr>
              <w:t>kV</w:t>
            </w:r>
            <w:proofErr w:type="spellEnd"/>
            <w:r w:rsidR="009260F6" w:rsidRPr="006513A0">
              <w:rPr>
                <w:rFonts w:ascii="Lato" w:hAnsi="Lato"/>
                <w:i/>
                <w:iCs/>
                <w:sz w:val="20"/>
              </w:rPr>
              <w:t xml:space="preserve">, </w:t>
            </w:r>
            <w:r w:rsidR="009260F6" w:rsidRPr="006513A0">
              <w:rPr>
                <w:rFonts w:ascii="Lato" w:hAnsi="Lato"/>
                <w:i/>
                <w:iCs/>
                <w:color w:val="FF0000"/>
                <w:sz w:val="20"/>
              </w:rPr>
              <w:t>z wyłączenie</w:t>
            </w:r>
            <w:r w:rsidR="006D6658">
              <w:rPr>
                <w:rFonts w:ascii="Lato" w:hAnsi="Lato"/>
                <w:i/>
                <w:iCs/>
                <w:color w:val="FF0000"/>
                <w:sz w:val="20"/>
              </w:rPr>
              <w:t>m</w:t>
            </w:r>
            <w:r w:rsidR="009260F6" w:rsidRPr="006513A0">
              <w:rPr>
                <w:rFonts w:ascii="Lato" w:hAnsi="Lato"/>
                <w:i/>
                <w:iCs/>
                <w:color w:val="FF0000"/>
                <w:sz w:val="20"/>
              </w:rPr>
              <w:t xml:space="preserve"> instalacji przyłączanych do zamkniętych systemów dystrybucyjnych;</w:t>
            </w:r>
          </w:p>
        </w:tc>
        <w:tc>
          <w:tcPr>
            <w:tcW w:w="1428" w:type="dxa"/>
          </w:tcPr>
          <w:p w14:paraId="27D9B050" w14:textId="77777777" w:rsidR="009260F6" w:rsidRPr="006513A0" w:rsidRDefault="009260F6" w:rsidP="00744EC0">
            <w:pPr>
              <w:jc w:val="both"/>
              <w:rPr>
                <w:rFonts w:ascii="Lato" w:hAnsi="Lato" w:cs="Times New Roman"/>
                <w:sz w:val="20"/>
                <w:szCs w:val="20"/>
              </w:rPr>
            </w:pPr>
          </w:p>
        </w:tc>
      </w:tr>
      <w:tr w:rsidR="00514B88" w:rsidRPr="006513A0" w14:paraId="0631E8EC" w14:textId="77777777" w:rsidTr="009B5AD6">
        <w:tc>
          <w:tcPr>
            <w:tcW w:w="562" w:type="dxa"/>
          </w:tcPr>
          <w:p w14:paraId="3F12431F" w14:textId="73DB7BF1" w:rsidR="00514B88" w:rsidRPr="006513A0" w:rsidRDefault="00CB218B" w:rsidP="005B4E15">
            <w:pPr>
              <w:jc w:val="center"/>
              <w:rPr>
                <w:rFonts w:ascii="Lato" w:hAnsi="Lato" w:cs="Times New Roman"/>
                <w:sz w:val="20"/>
                <w:szCs w:val="20"/>
              </w:rPr>
            </w:pPr>
            <w:r>
              <w:rPr>
                <w:rFonts w:ascii="Lato" w:hAnsi="Lato" w:cs="Times New Roman"/>
                <w:sz w:val="20"/>
                <w:szCs w:val="20"/>
              </w:rPr>
              <w:lastRenderedPageBreak/>
              <w:t>15</w:t>
            </w:r>
          </w:p>
        </w:tc>
        <w:tc>
          <w:tcPr>
            <w:tcW w:w="1701" w:type="dxa"/>
          </w:tcPr>
          <w:p w14:paraId="3AA5D56D" w14:textId="6984E9F5" w:rsidR="00514B88" w:rsidRPr="006513A0" w:rsidRDefault="00CB218B" w:rsidP="005B4E15">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06F99649" w14:textId="2878EF43" w:rsidR="00514B88" w:rsidRPr="006513A0" w:rsidRDefault="00514B88" w:rsidP="00514B88">
            <w:pPr>
              <w:jc w:val="both"/>
              <w:rPr>
                <w:rFonts w:ascii="Lato" w:hAnsi="Lato" w:cs="Times New Roman"/>
                <w:sz w:val="20"/>
                <w:szCs w:val="20"/>
              </w:rPr>
            </w:pPr>
            <w:r w:rsidRPr="00514B88">
              <w:rPr>
                <w:rFonts w:ascii="Lato" w:hAnsi="Lato" w:cs="Times New Roman"/>
                <w:sz w:val="20"/>
                <w:szCs w:val="20"/>
              </w:rPr>
              <w:t>Ar</w:t>
            </w:r>
            <w:r>
              <w:rPr>
                <w:rFonts w:ascii="Lato" w:hAnsi="Lato" w:cs="Times New Roman"/>
                <w:sz w:val="20"/>
                <w:szCs w:val="20"/>
              </w:rPr>
              <w:t>t. 1 pkt 17 (</w:t>
            </w:r>
            <w:r w:rsidRPr="00514B88">
              <w:rPr>
                <w:rFonts w:ascii="Lato" w:hAnsi="Lato" w:cs="Times New Roman"/>
                <w:sz w:val="20"/>
                <w:szCs w:val="20"/>
              </w:rPr>
              <w:t>art. 20</w:t>
            </w:r>
            <w:r>
              <w:rPr>
                <w:rFonts w:ascii="Lato" w:hAnsi="Lato" w:cs="Times New Roman"/>
                <w:sz w:val="20"/>
                <w:szCs w:val="20"/>
              </w:rPr>
              <w:t xml:space="preserve"> </w:t>
            </w:r>
            <w:r w:rsidR="00EE79D8">
              <w:rPr>
                <w:rFonts w:ascii="Lato" w:hAnsi="Lato" w:cs="Times New Roman"/>
                <w:sz w:val="20"/>
                <w:szCs w:val="20"/>
              </w:rPr>
              <w:t xml:space="preserve">ust 3 </w:t>
            </w:r>
            <w:r>
              <w:rPr>
                <w:rFonts w:ascii="Lato" w:hAnsi="Lato" w:cs="Times New Roman"/>
                <w:sz w:val="20"/>
                <w:szCs w:val="20"/>
              </w:rPr>
              <w:t>PE</w:t>
            </w:r>
            <w:r w:rsidRPr="00514B88">
              <w:rPr>
                <w:rFonts w:ascii="Lato" w:hAnsi="Lato" w:cs="Times New Roman"/>
                <w:sz w:val="20"/>
                <w:szCs w:val="20"/>
              </w:rPr>
              <w:t>)</w:t>
            </w:r>
          </w:p>
        </w:tc>
        <w:tc>
          <w:tcPr>
            <w:tcW w:w="5103" w:type="dxa"/>
          </w:tcPr>
          <w:p w14:paraId="30072046" w14:textId="7A37D0E3" w:rsidR="00514B88" w:rsidRPr="006513A0" w:rsidRDefault="00EE79D8" w:rsidP="005B4E15">
            <w:pPr>
              <w:jc w:val="both"/>
              <w:rPr>
                <w:rFonts w:ascii="Lato" w:hAnsi="Lato"/>
                <w:sz w:val="20"/>
                <w:szCs w:val="20"/>
              </w:rPr>
            </w:pPr>
            <w:r w:rsidRPr="00EE79D8">
              <w:rPr>
                <w:rFonts w:ascii="Lato" w:hAnsi="Lato"/>
                <w:sz w:val="20"/>
                <w:szCs w:val="20"/>
              </w:rPr>
              <w:t>Zapis art. 20 ust. 3 o nieodpłatnym udostępnieniu wójtowi, burmistrzowi, prezydentowi  projektów planów lub planów, o których mowa w art. 16 ust. 1, w zakresie dotyczącym terenu gminy oraz informacji niezbędnych do opracowania projektu planu zaopatrzenia, nie gwarantuje gminie otrzymania danych niezbędnych do opracowania planu. Przedsiębiorstwa energetyczne często nie chcą udostępniać danych powołując się na tajemnicę przedsiębiorstwa i ochronę danych wrażliwych (np. zużycie energii, ilość odbiorców, ilość przyłączonych odbiorców). Gminy często zobowiązane są do składania oświadczeń, że pozyskane dane zostaną zachowane w tajemnicy i nie będą przekazywane żadnej stronie trzeciej i nie będą użyte w celu innym niż do opracowania planów lub ich aktualizacji. Brak możliwości przekazania stronie trzeciej pozyskanych informacji ogranicza w takim wypadku przekazanie ich wykonawcy opracowującemu na zlecenie gminy planów/aktualizacji.</w:t>
            </w:r>
          </w:p>
        </w:tc>
        <w:tc>
          <w:tcPr>
            <w:tcW w:w="4252" w:type="dxa"/>
          </w:tcPr>
          <w:p w14:paraId="27A0685C" w14:textId="77777777" w:rsidR="00EE79D8" w:rsidRPr="00EE79D8" w:rsidRDefault="00EE79D8" w:rsidP="00EE79D8">
            <w:pPr>
              <w:pStyle w:val="ZLITPKTzmpktliter"/>
              <w:spacing w:line="240" w:lineRule="auto"/>
              <w:ind w:left="37" w:hanging="37"/>
              <w:jc w:val="left"/>
              <w:rPr>
                <w:rFonts w:ascii="Lato" w:hAnsi="Lato"/>
                <w:i/>
                <w:iCs/>
                <w:sz w:val="20"/>
              </w:rPr>
            </w:pPr>
            <w:r w:rsidRPr="00EE79D8">
              <w:rPr>
                <w:rFonts w:ascii="Lato" w:hAnsi="Lato"/>
                <w:i/>
                <w:iCs/>
                <w:sz w:val="20"/>
              </w:rPr>
              <w:t>Dla uniknięcia potencjalnych wątpliwości,</w:t>
            </w:r>
          </w:p>
          <w:p w14:paraId="4FD04DE3" w14:textId="77777777" w:rsidR="00EE79D8" w:rsidRPr="00EE79D8" w:rsidRDefault="00EE79D8" w:rsidP="00EE79D8">
            <w:pPr>
              <w:pStyle w:val="ZLITPKTzmpktliter"/>
              <w:spacing w:line="240" w:lineRule="auto"/>
              <w:ind w:left="37" w:hanging="37"/>
              <w:jc w:val="left"/>
              <w:rPr>
                <w:rFonts w:ascii="Lato" w:hAnsi="Lato"/>
                <w:i/>
                <w:iCs/>
                <w:sz w:val="20"/>
              </w:rPr>
            </w:pPr>
            <w:r w:rsidRPr="00EE79D8">
              <w:rPr>
                <w:rFonts w:ascii="Lato" w:hAnsi="Lato"/>
                <w:i/>
                <w:iCs/>
                <w:sz w:val="20"/>
              </w:rPr>
              <w:t>w projektowanym akcie powinno znaleźć się</w:t>
            </w:r>
          </w:p>
          <w:p w14:paraId="1C6DE849" w14:textId="15BFC261" w:rsidR="00514B88" w:rsidRPr="006513A0" w:rsidRDefault="00EE79D8" w:rsidP="00EE79D8">
            <w:pPr>
              <w:pStyle w:val="ZLITPKTzmpktliter"/>
              <w:spacing w:line="240" w:lineRule="auto"/>
              <w:ind w:left="37" w:hanging="37"/>
              <w:jc w:val="left"/>
              <w:rPr>
                <w:rFonts w:ascii="Lato" w:hAnsi="Lato"/>
                <w:i/>
                <w:iCs/>
                <w:sz w:val="20"/>
              </w:rPr>
            </w:pPr>
            <w:r w:rsidRPr="00EE79D8">
              <w:rPr>
                <w:rFonts w:ascii="Lato" w:hAnsi="Lato"/>
                <w:i/>
                <w:iCs/>
                <w:sz w:val="20"/>
              </w:rPr>
              <w:t>jednoznacznie wskaza</w:t>
            </w:r>
            <w:r>
              <w:rPr>
                <w:rFonts w:ascii="Lato" w:hAnsi="Lato"/>
                <w:i/>
                <w:iCs/>
                <w:sz w:val="20"/>
              </w:rPr>
              <w:t xml:space="preserve">nie co do zakresu przekazywania danych przez </w:t>
            </w:r>
            <w:r w:rsidRPr="00EE79D8">
              <w:rPr>
                <w:rFonts w:ascii="Lato" w:hAnsi="Lato"/>
                <w:i/>
                <w:iCs/>
                <w:sz w:val="20"/>
              </w:rPr>
              <w:t>przedsiębio</w:t>
            </w:r>
            <w:r>
              <w:rPr>
                <w:rFonts w:ascii="Lato" w:hAnsi="Lato"/>
                <w:i/>
                <w:iCs/>
                <w:sz w:val="20"/>
              </w:rPr>
              <w:t>rstwa</w:t>
            </w:r>
            <w:r w:rsidRPr="00EE79D8">
              <w:rPr>
                <w:rFonts w:ascii="Lato" w:hAnsi="Lato"/>
                <w:i/>
                <w:iCs/>
                <w:sz w:val="20"/>
              </w:rPr>
              <w:t xml:space="preserve"> energetyczne.</w:t>
            </w:r>
          </w:p>
        </w:tc>
        <w:tc>
          <w:tcPr>
            <w:tcW w:w="1428" w:type="dxa"/>
          </w:tcPr>
          <w:p w14:paraId="3F74FD9B" w14:textId="77777777" w:rsidR="00514B88" w:rsidRPr="006513A0" w:rsidRDefault="00514B88" w:rsidP="005B4E15">
            <w:pPr>
              <w:jc w:val="both"/>
              <w:rPr>
                <w:rFonts w:ascii="Lato" w:hAnsi="Lato" w:cs="Times New Roman"/>
                <w:sz w:val="20"/>
                <w:szCs w:val="20"/>
              </w:rPr>
            </w:pPr>
          </w:p>
        </w:tc>
      </w:tr>
      <w:tr w:rsidR="005B4E15" w:rsidRPr="006513A0" w14:paraId="516BE068" w14:textId="77777777" w:rsidTr="009B5AD6">
        <w:tc>
          <w:tcPr>
            <w:tcW w:w="562" w:type="dxa"/>
          </w:tcPr>
          <w:p w14:paraId="0F5868CF" w14:textId="29BD3C52" w:rsidR="005B4E15" w:rsidRPr="006513A0" w:rsidRDefault="00CB218B" w:rsidP="005B4E15">
            <w:pPr>
              <w:jc w:val="center"/>
              <w:rPr>
                <w:rFonts w:ascii="Lato" w:hAnsi="Lato" w:cs="Times New Roman"/>
                <w:sz w:val="20"/>
                <w:szCs w:val="20"/>
              </w:rPr>
            </w:pPr>
            <w:r>
              <w:rPr>
                <w:rFonts w:ascii="Lato" w:hAnsi="Lato" w:cs="Times New Roman"/>
                <w:sz w:val="20"/>
                <w:szCs w:val="20"/>
              </w:rPr>
              <w:t>16</w:t>
            </w:r>
          </w:p>
        </w:tc>
        <w:tc>
          <w:tcPr>
            <w:tcW w:w="1701" w:type="dxa"/>
          </w:tcPr>
          <w:p w14:paraId="4DB9961B" w14:textId="28AC1F84" w:rsidR="005B4E15" w:rsidRPr="006513A0" w:rsidRDefault="00CB218B" w:rsidP="005B4E15">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63C05988" w14:textId="747E650B" w:rsidR="005B4E15" w:rsidRPr="006513A0" w:rsidRDefault="005B4E15" w:rsidP="005B4E15">
            <w:pPr>
              <w:jc w:val="both"/>
              <w:rPr>
                <w:rFonts w:ascii="Lato" w:hAnsi="Lato" w:cs="Times New Roman"/>
                <w:sz w:val="20"/>
                <w:szCs w:val="20"/>
              </w:rPr>
            </w:pPr>
            <w:r w:rsidRPr="006513A0">
              <w:rPr>
                <w:rFonts w:ascii="Lato" w:hAnsi="Lato" w:cs="Times New Roman"/>
                <w:sz w:val="20"/>
                <w:szCs w:val="20"/>
              </w:rPr>
              <w:t>Art. 1 pkt 23 projektu (art. 20 ust. 2 pkt 7 PE)</w:t>
            </w:r>
          </w:p>
        </w:tc>
        <w:tc>
          <w:tcPr>
            <w:tcW w:w="5103" w:type="dxa"/>
          </w:tcPr>
          <w:p w14:paraId="65379A6F" w14:textId="388B0821" w:rsidR="005B4E15" w:rsidRPr="006513A0" w:rsidRDefault="005B4E15" w:rsidP="005B4E15">
            <w:pPr>
              <w:jc w:val="both"/>
              <w:rPr>
                <w:rFonts w:ascii="Lato" w:hAnsi="Lato"/>
                <w:sz w:val="20"/>
                <w:szCs w:val="20"/>
              </w:rPr>
            </w:pPr>
            <w:r w:rsidRPr="006513A0">
              <w:rPr>
                <w:rFonts w:ascii="Lato" w:hAnsi="Lato"/>
                <w:sz w:val="20"/>
                <w:szCs w:val="20"/>
              </w:rPr>
              <w:t>Mnożenie organów, którym ma być przesyłane to samo sprawozdanie</w:t>
            </w:r>
            <w:r w:rsidR="00D86C47">
              <w:rPr>
                <w:rFonts w:ascii="Lato" w:hAnsi="Lato"/>
                <w:sz w:val="20"/>
                <w:szCs w:val="20"/>
              </w:rPr>
              <w:t>,</w:t>
            </w:r>
            <w:r w:rsidRPr="006513A0">
              <w:rPr>
                <w:rFonts w:ascii="Lato" w:hAnsi="Lato"/>
                <w:sz w:val="20"/>
                <w:szCs w:val="20"/>
              </w:rPr>
              <w:t xml:space="preserve"> jest działaniem </w:t>
            </w:r>
            <w:r w:rsidR="00D86C47">
              <w:rPr>
                <w:rFonts w:ascii="Lato" w:hAnsi="Lato"/>
                <w:sz w:val="20"/>
                <w:szCs w:val="20"/>
              </w:rPr>
              <w:t>sprzecznym z celami</w:t>
            </w:r>
            <w:r w:rsidRPr="006513A0">
              <w:rPr>
                <w:rFonts w:ascii="Lato" w:hAnsi="Lato"/>
                <w:sz w:val="20"/>
                <w:szCs w:val="20"/>
              </w:rPr>
              <w:t xml:space="preserve"> </w:t>
            </w:r>
            <w:proofErr w:type="spellStart"/>
            <w:r w:rsidRPr="006513A0">
              <w:rPr>
                <w:rFonts w:ascii="Lato" w:hAnsi="Lato"/>
                <w:sz w:val="20"/>
                <w:szCs w:val="20"/>
              </w:rPr>
              <w:t>deregulacyjn</w:t>
            </w:r>
            <w:r w:rsidR="00D86C47">
              <w:rPr>
                <w:rFonts w:ascii="Lato" w:hAnsi="Lato"/>
                <w:sz w:val="20"/>
                <w:szCs w:val="20"/>
              </w:rPr>
              <w:t>y</w:t>
            </w:r>
            <w:r w:rsidRPr="006513A0">
              <w:rPr>
                <w:rFonts w:ascii="Lato" w:hAnsi="Lato"/>
                <w:sz w:val="20"/>
                <w:szCs w:val="20"/>
              </w:rPr>
              <w:t>m</w:t>
            </w:r>
            <w:r w:rsidR="00D86C47">
              <w:rPr>
                <w:rFonts w:ascii="Lato" w:hAnsi="Lato"/>
                <w:sz w:val="20"/>
                <w:szCs w:val="20"/>
              </w:rPr>
              <w:t>i</w:t>
            </w:r>
            <w:proofErr w:type="spellEnd"/>
            <w:r w:rsidRPr="006513A0">
              <w:rPr>
                <w:rFonts w:ascii="Lato" w:hAnsi="Lato"/>
                <w:sz w:val="20"/>
                <w:szCs w:val="20"/>
              </w:rPr>
              <w:t xml:space="preserve">. W przeszłości sprawozdania składane na podstawie art. 43d ust. 1 </w:t>
            </w:r>
            <w:r w:rsidR="006513A0" w:rsidRPr="006513A0">
              <w:rPr>
                <w:rFonts w:ascii="Lato" w:hAnsi="Lato"/>
                <w:sz w:val="20"/>
                <w:szCs w:val="20"/>
              </w:rPr>
              <w:t xml:space="preserve">PE </w:t>
            </w:r>
            <w:r w:rsidRPr="006513A0">
              <w:rPr>
                <w:rFonts w:ascii="Lato" w:hAnsi="Lato"/>
                <w:sz w:val="20"/>
                <w:szCs w:val="20"/>
              </w:rPr>
              <w:t xml:space="preserve">również składane było równolegle do kilku instytucji, by finalnie zostało to uproszczone do </w:t>
            </w:r>
            <w:r w:rsidR="006513A0" w:rsidRPr="006513A0">
              <w:rPr>
                <w:rFonts w:ascii="Lato" w:hAnsi="Lato"/>
                <w:sz w:val="20"/>
                <w:szCs w:val="20"/>
              </w:rPr>
              <w:t xml:space="preserve">składania </w:t>
            </w:r>
            <w:r w:rsidRPr="006513A0">
              <w:rPr>
                <w:rFonts w:ascii="Lato" w:hAnsi="Lato"/>
                <w:sz w:val="20"/>
                <w:szCs w:val="20"/>
              </w:rPr>
              <w:t xml:space="preserve">sprawozdań </w:t>
            </w:r>
            <w:r w:rsidR="006513A0" w:rsidRPr="006513A0">
              <w:rPr>
                <w:rFonts w:ascii="Lato" w:hAnsi="Lato"/>
                <w:sz w:val="20"/>
                <w:szCs w:val="20"/>
              </w:rPr>
              <w:t xml:space="preserve">wyłącznie </w:t>
            </w:r>
            <w:r w:rsidRPr="006513A0">
              <w:rPr>
                <w:rFonts w:ascii="Lato" w:hAnsi="Lato"/>
                <w:sz w:val="20"/>
                <w:szCs w:val="20"/>
              </w:rPr>
              <w:t>do URE. Postuluje</w:t>
            </w:r>
            <w:r w:rsidR="00D86C47">
              <w:rPr>
                <w:rFonts w:ascii="Lato" w:hAnsi="Lato"/>
                <w:sz w:val="20"/>
                <w:szCs w:val="20"/>
              </w:rPr>
              <w:t xml:space="preserve"> się</w:t>
            </w:r>
            <w:r w:rsidRPr="006513A0">
              <w:rPr>
                <w:rFonts w:ascii="Lato" w:hAnsi="Lato"/>
                <w:sz w:val="20"/>
                <w:szCs w:val="20"/>
              </w:rPr>
              <w:t xml:space="preserve"> analogiczne podejście w przypadku sprawozdań dot. wykazu </w:t>
            </w:r>
            <w:r w:rsidR="006513A0" w:rsidRPr="006513A0">
              <w:rPr>
                <w:rFonts w:ascii="Lato" w:hAnsi="Lato"/>
                <w:sz w:val="20"/>
                <w:szCs w:val="20"/>
              </w:rPr>
              <w:t>magazynów</w:t>
            </w:r>
            <w:r w:rsidRPr="006513A0">
              <w:rPr>
                <w:rFonts w:ascii="Lato" w:hAnsi="Lato"/>
                <w:sz w:val="20"/>
                <w:szCs w:val="20"/>
              </w:rPr>
              <w:t>.</w:t>
            </w:r>
          </w:p>
        </w:tc>
        <w:tc>
          <w:tcPr>
            <w:tcW w:w="4252" w:type="dxa"/>
          </w:tcPr>
          <w:p w14:paraId="212C80F9" w14:textId="2BC33E48" w:rsidR="005B4E15" w:rsidRPr="006513A0" w:rsidRDefault="005B4E15" w:rsidP="005B4E15">
            <w:pPr>
              <w:pStyle w:val="ZLITPKTzmpktliter"/>
              <w:spacing w:line="240" w:lineRule="auto"/>
              <w:ind w:left="37" w:hanging="37"/>
              <w:rPr>
                <w:rFonts w:ascii="Lato" w:hAnsi="Lato"/>
                <w:i/>
                <w:iCs/>
                <w:sz w:val="20"/>
              </w:rPr>
            </w:pPr>
            <w:r w:rsidRPr="006513A0">
              <w:rPr>
                <w:rFonts w:ascii="Lato" w:hAnsi="Lato"/>
                <w:i/>
                <w:iCs/>
                <w:sz w:val="20"/>
              </w:rPr>
              <w:t xml:space="preserve">10. Operator systemu elektroenergetycznego przedkłada </w:t>
            </w:r>
            <w:bookmarkStart w:id="3" w:name="_Hlk189839368"/>
            <w:r w:rsidRPr="006513A0">
              <w:rPr>
                <w:rFonts w:ascii="Lato" w:hAnsi="Lato"/>
                <w:i/>
                <w:iCs/>
                <w:strike/>
                <w:sz w:val="20"/>
              </w:rPr>
              <w:t xml:space="preserve">ministrowi właściwemu do spraw energii, ministrowi właściwemu do spraw klimatu oraz </w:t>
            </w:r>
            <w:r w:rsidRPr="006513A0">
              <w:rPr>
                <w:rFonts w:ascii="Lato" w:hAnsi="Lato"/>
                <w:i/>
                <w:iCs/>
                <w:sz w:val="20"/>
              </w:rPr>
              <w:t xml:space="preserve">Prezesowi URE </w:t>
            </w:r>
            <w:bookmarkStart w:id="4" w:name="_Hlk189839297"/>
            <w:bookmarkEnd w:id="3"/>
            <w:r w:rsidRPr="006513A0">
              <w:rPr>
                <w:rFonts w:ascii="Lato" w:hAnsi="Lato"/>
                <w:i/>
                <w:iCs/>
                <w:sz w:val="20"/>
              </w:rPr>
              <w:t xml:space="preserve">sprawozdanie zawierające wykaz magazynów energii elektrycznej przyłączonych do jego sieci </w:t>
            </w:r>
            <w:bookmarkEnd w:id="4"/>
            <w:r w:rsidRPr="006513A0">
              <w:rPr>
                <w:rFonts w:ascii="Lato" w:hAnsi="Lato"/>
                <w:i/>
                <w:iCs/>
                <w:sz w:val="20"/>
              </w:rPr>
              <w:t>obejmujący następujące informacje:</w:t>
            </w:r>
          </w:p>
        </w:tc>
        <w:tc>
          <w:tcPr>
            <w:tcW w:w="1428" w:type="dxa"/>
          </w:tcPr>
          <w:p w14:paraId="435C9278" w14:textId="77777777" w:rsidR="005B4E15" w:rsidRPr="006513A0" w:rsidRDefault="005B4E15" w:rsidP="005B4E15">
            <w:pPr>
              <w:jc w:val="both"/>
              <w:rPr>
                <w:rFonts w:ascii="Lato" w:hAnsi="Lato" w:cs="Times New Roman"/>
                <w:sz w:val="20"/>
                <w:szCs w:val="20"/>
              </w:rPr>
            </w:pPr>
          </w:p>
        </w:tc>
      </w:tr>
      <w:tr w:rsidR="005B4E15" w:rsidRPr="006513A0" w14:paraId="78A283CC" w14:textId="77777777" w:rsidTr="009B5AD6">
        <w:tc>
          <w:tcPr>
            <w:tcW w:w="562" w:type="dxa"/>
          </w:tcPr>
          <w:p w14:paraId="1F5C66DD" w14:textId="6C1F0907" w:rsidR="005B4E15" w:rsidRPr="006513A0" w:rsidRDefault="00CB218B" w:rsidP="005B4E15">
            <w:pPr>
              <w:jc w:val="center"/>
              <w:rPr>
                <w:rFonts w:ascii="Lato" w:hAnsi="Lato" w:cs="Times New Roman"/>
                <w:sz w:val="20"/>
                <w:szCs w:val="20"/>
              </w:rPr>
            </w:pPr>
            <w:r>
              <w:rPr>
                <w:rFonts w:ascii="Lato" w:hAnsi="Lato" w:cs="Times New Roman"/>
                <w:sz w:val="20"/>
                <w:szCs w:val="20"/>
              </w:rPr>
              <w:t>17</w:t>
            </w:r>
          </w:p>
        </w:tc>
        <w:tc>
          <w:tcPr>
            <w:tcW w:w="1701" w:type="dxa"/>
          </w:tcPr>
          <w:p w14:paraId="36E2FEC8" w14:textId="476ACDE5" w:rsidR="005B4E15" w:rsidRPr="006513A0" w:rsidRDefault="00CB218B" w:rsidP="005B4E15">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3D5517F9" w14:textId="6A05DCB1" w:rsidR="005B4E15" w:rsidRPr="006513A0" w:rsidRDefault="00F55171" w:rsidP="005B4E15">
            <w:pPr>
              <w:jc w:val="both"/>
              <w:rPr>
                <w:rFonts w:ascii="Lato" w:hAnsi="Lato" w:cs="Times New Roman"/>
                <w:sz w:val="20"/>
                <w:szCs w:val="20"/>
              </w:rPr>
            </w:pPr>
            <w:r w:rsidRPr="006513A0">
              <w:rPr>
                <w:rFonts w:ascii="Lato" w:hAnsi="Lato" w:cs="Times New Roman"/>
                <w:sz w:val="20"/>
                <w:szCs w:val="20"/>
              </w:rPr>
              <w:t>Art. 9 Projektu</w:t>
            </w:r>
          </w:p>
        </w:tc>
        <w:tc>
          <w:tcPr>
            <w:tcW w:w="5103" w:type="dxa"/>
          </w:tcPr>
          <w:p w14:paraId="048572B8" w14:textId="2348952D" w:rsidR="005B4E15" w:rsidRPr="006513A0" w:rsidRDefault="00F55171" w:rsidP="005B4E15">
            <w:pPr>
              <w:jc w:val="both"/>
              <w:rPr>
                <w:rFonts w:ascii="Lato" w:hAnsi="Lato"/>
                <w:sz w:val="20"/>
                <w:szCs w:val="20"/>
              </w:rPr>
            </w:pPr>
            <w:r w:rsidRPr="006513A0">
              <w:rPr>
                <w:rFonts w:ascii="Lato" w:hAnsi="Lato"/>
                <w:sz w:val="20"/>
                <w:szCs w:val="20"/>
              </w:rPr>
              <w:t>Uwagi analogiczne jak do projektowanego</w:t>
            </w:r>
            <w:r w:rsidRPr="006513A0">
              <w:rPr>
                <w:rFonts w:ascii="Lato" w:hAnsi="Lato"/>
                <w:bCs/>
                <w:sz w:val="20"/>
                <w:szCs w:val="20"/>
              </w:rPr>
              <w:t xml:space="preserve"> art. 7 ust. 2</w:t>
            </w:r>
            <w:r w:rsidRPr="006513A0">
              <w:rPr>
                <w:rFonts w:ascii="Lato" w:hAnsi="Lato"/>
                <w:bCs/>
                <w:sz w:val="20"/>
                <w:szCs w:val="20"/>
                <w:vertAlign w:val="superscript"/>
              </w:rPr>
              <w:t>1a</w:t>
            </w:r>
            <w:r w:rsidRPr="006513A0">
              <w:rPr>
                <w:rFonts w:ascii="Lato" w:hAnsi="Lato"/>
                <w:bCs/>
                <w:sz w:val="20"/>
                <w:szCs w:val="20"/>
              </w:rPr>
              <w:t xml:space="preserve"> Prawa energetycznego.</w:t>
            </w:r>
          </w:p>
        </w:tc>
        <w:tc>
          <w:tcPr>
            <w:tcW w:w="4252" w:type="dxa"/>
          </w:tcPr>
          <w:p w14:paraId="3B60CEC8" w14:textId="6423E963" w:rsidR="00FF072C" w:rsidRPr="006513A0" w:rsidRDefault="00FF072C" w:rsidP="006513A0">
            <w:pPr>
              <w:pStyle w:val="ARTartustawynprozporzdzenia"/>
              <w:spacing w:before="0" w:line="240" w:lineRule="auto"/>
              <w:ind w:firstLine="0"/>
              <w:rPr>
                <w:rFonts w:ascii="Lato" w:hAnsi="Lato"/>
                <w:bCs/>
                <w:i/>
                <w:iCs/>
                <w:sz w:val="20"/>
              </w:rPr>
            </w:pPr>
            <w:r w:rsidRPr="006513A0">
              <w:rPr>
                <w:rFonts w:ascii="Lato" w:hAnsi="Lato"/>
                <w:b/>
                <w:i/>
                <w:iCs/>
                <w:sz w:val="20"/>
              </w:rPr>
              <w:t>Art. 9.</w:t>
            </w:r>
            <w:r w:rsidRPr="006513A0">
              <w:rPr>
                <w:rFonts w:ascii="Lato" w:hAnsi="Lato"/>
                <w:bCs/>
                <w:i/>
                <w:iCs/>
                <w:sz w:val="20"/>
              </w:rPr>
              <w:t xml:space="preserve"> 1. Umowy, o których mowa w art. 7 ust. 2</w:t>
            </w:r>
            <w:r w:rsidRPr="006513A0">
              <w:rPr>
                <w:rFonts w:ascii="Lato" w:hAnsi="Lato"/>
                <w:bCs/>
                <w:i/>
                <w:iCs/>
                <w:sz w:val="20"/>
                <w:vertAlign w:val="superscript"/>
              </w:rPr>
              <w:t>1a</w:t>
            </w:r>
            <w:r w:rsidRPr="006513A0">
              <w:rPr>
                <w:rFonts w:ascii="Lato" w:hAnsi="Lato"/>
                <w:bCs/>
                <w:i/>
                <w:iCs/>
                <w:sz w:val="20"/>
              </w:rPr>
              <w:t xml:space="preserve"> ustawy zmienianej w art. 1 w brzmieniu nadanym niniejszą ustawą, zawarte przed dniem wejścia w życie niniejszej ustawy, </w:t>
            </w:r>
            <w:r w:rsidR="00F55171" w:rsidRPr="006513A0">
              <w:rPr>
                <w:rFonts w:ascii="Lato" w:hAnsi="Lato"/>
                <w:bCs/>
                <w:i/>
                <w:iCs/>
                <w:color w:val="FF0000"/>
                <w:sz w:val="20"/>
              </w:rPr>
              <w:t>mogą zostać</w:t>
            </w:r>
            <w:r w:rsidRPr="006513A0">
              <w:rPr>
                <w:rFonts w:ascii="Lato" w:hAnsi="Lato"/>
                <w:bCs/>
                <w:i/>
                <w:iCs/>
                <w:color w:val="FF0000"/>
                <w:sz w:val="20"/>
              </w:rPr>
              <w:t xml:space="preserve"> rozwiązan</w:t>
            </w:r>
            <w:r w:rsidR="00F55171" w:rsidRPr="006513A0">
              <w:rPr>
                <w:rFonts w:ascii="Lato" w:hAnsi="Lato"/>
                <w:bCs/>
                <w:i/>
                <w:iCs/>
                <w:color w:val="FF0000"/>
                <w:sz w:val="20"/>
              </w:rPr>
              <w:t>e</w:t>
            </w:r>
            <w:r w:rsidRPr="006513A0">
              <w:rPr>
                <w:rFonts w:ascii="Lato" w:hAnsi="Lato"/>
                <w:bCs/>
                <w:i/>
                <w:iCs/>
                <w:color w:val="FF0000"/>
                <w:sz w:val="20"/>
              </w:rPr>
              <w:t xml:space="preserve"> </w:t>
            </w:r>
            <w:r w:rsidRPr="006513A0">
              <w:rPr>
                <w:rFonts w:ascii="Lato" w:hAnsi="Lato"/>
                <w:bCs/>
                <w:i/>
                <w:iCs/>
                <w:sz w:val="20"/>
              </w:rPr>
              <w:t>z przyczyn leżących po stronie podmiotu przyłączanego w przypadku gdy:</w:t>
            </w:r>
          </w:p>
          <w:p w14:paraId="0BE9A859" w14:textId="6F1C041C" w:rsidR="00FF072C" w:rsidRPr="006513A0" w:rsidRDefault="00FF072C" w:rsidP="006513A0">
            <w:pPr>
              <w:pStyle w:val="PKTpunkt"/>
              <w:spacing w:line="240" w:lineRule="auto"/>
              <w:rPr>
                <w:rFonts w:ascii="Lato" w:hAnsi="Lato"/>
                <w:i/>
                <w:iCs/>
                <w:sz w:val="20"/>
              </w:rPr>
            </w:pPr>
            <w:r w:rsidRPr="006513A0">
              <w:rPr>
                <w:rFonts w:ascii="Lato" w:hAnsi="Lato"/>
                <w:i/>
                <w:iCs/>
                <w:sz w:val="20"/>
              </w:rPr>
              <w:t xml:space="preserve">1) </w:t>
            </w:r>
            <w:r w:rsidRPr="006513A0">
              <w:rPr>
                <w:rFonts w:ascii="Lato" w:hAnsi="Lato"/>
                <w:i/>
                <w:iCs/>
                <w:sz w:val="20"/>
              </w:rPr>
              <w:tab/>
              <w:t xml:space="preserve">w terminie </w:t>
            </w:r>
            <w:r w:rsidR="00F55171" w:rsidRPr="006513A0">
              <w:rPr>
                <w:rFonts w:ascii="Lato" w:hAnsi="Lato"/>
                <w:i/>
                <w:iCs/>
                <w:color w:val="FF0000"/>
                <w:sz w:val="20"/>
              </w:rPr>
              <w:t>48</w:t>
            </w:r>
            <w:r w:rsidRPr="006513A0">
              <w:rPr>
                <w:rFonts w:ascii="Lato" w:hAnsi="Lato"/>
                <w:i/>
                <w:iCs/>
                <w:sz w:val="20"/>
              </w:rPr>
              <w:t xml:space="preserve"> miesięcy od daty wejścia w życie niniejszej ustawy podmiot ten nie wykaże, że pozyskał wymagane </w:t>
            </w:r>
            <w:r w:rsidRPr="006513A0">
              <w:rPr>
                <w:rFonts w:ascii="Lato" w:hAnsi="Lato"/>
                <w:i/>
                <w:iCs/>
                <w:sz w:val="20"/>
              </w:rPr>
              <w:lastRenderedPageBreak/>
              <w:t xml:space="preserve">zgody i pozwolenia, które są niezbędne dla realizacji </w:t>
            </w:r>
            <w:r w:rsidR="006513A0" w:rsidRPr="006513A0">
              <w:rPr>
                <w:rFonts w:ascii="Lato" w:hAnsi="Lato" w:cs="Times New Roman"/>
                <w:i/>
                <w:iCs/>
                <w:strike/>
                <w:sz w:val="20"/>
              </w:rPr>
              <w:t xml:space="preserve"> całości</w:t>
            </w:r>
            <w:r w:rsidR="006513A0" w:rsidRPr="006513A0">
              <w:rPr>
                <w:rFonts w:ascii="Lato" w:hAnsi="Lato" w:cs="Times New Roman"/>
                <w:i/>
                <w:iCs/>
                <w:sz w:val="20"/>
              </w:rPr>
              <w:t xml:space="preserve"> instalacji objętej </w:t>
            </w:r>
            <w:r w:rsidR="006513A0" w:rsidRPr="006513A0">
              <w:rPr>
                <w:rFonts w:ascii="Lato" w:hAnsi="Lato" w:cs="Times New Roman"/>
                <w:i/>
                <w:iCs/>
                <w:color w:val="FF0000"/>
                <w:sz w:val="20"/>
              </w:rPr>
              <w:t xml:space="preserve">tą </w:t>
            </w:r>
            <w:r w:rsidR="006513A0" w:rsidRPr="006513A0">
              <w:rPr>
                <w:rFonts w:ascii="Lato" w:hAnsi="Lato" w:cs="Times New Roman"/>
                <w:i/>
                <w:iCs/>
                <w:sz w:val="20"/>
              </w:rPr>
              <w:t xml:space="preserve">umową, </w:t>
            </w:r>
            <w:r w:rsidR="006513A0" w:rsidRPr="006513A0">
              <w:rPr>
                <w:rFonts w:ascii="Lato" w:hAnsi="Lato" w:cs="Times New Roman"/>
                <w:i/>
                <w:iCs/>
                <w:color w:val="FF0000"/>
                <w:sz w:val="20"/>
              </w:rPr>
              <w:t xml:space="preserve">przy czym termin ten nie dotyczy uzyskania zgód i pozwoleń dla obiektów liniowych jeśli te stanowią część przyłączanej instalacji, dla których terminy określa umowa  </w:t>
            </w:r>
            <w:r w:rsidRPr="006513A0">
              <w:rPr>
                <w:rFonts w:ascii="Lato" w:hAnsi="Lato"/>
                <w:i/>
                <w:iCs/>
                <w:sz w:val="20"/>
              </w:rPr>
              <w:t>;</w:t>
            </w:r>
          </w:p>
          <w:p w14:paraId="0E8EA65B" w14:textId="616C9414" w:rsidR="005B4E15" w:rsidRPr="006513A0" w:rsidRDefault="00FF072C" w:rsidP="006513A0">
            <w:pPr>
              <w:pStyle w:val="ZLITPKTzmpktliter"/>
              <w:spacing w:line="240" w:lineRule="auto"/>
              <w:ind w:left="37" w:hanging="37"/>
              <w:rPr>
                <w:rFonts w:ascii="Lato" w:hAnsi="Lato"/>
                <w:i/>
                <w:iCs/>
                <w:sz w:val="20"/>
              </w:rPr>
            </w:pPr>
            <w:r w:rsidRPr="006513A0">
              <w:rPr>
                <w:rFonts w:ascii="Lato" w:hAnsi="Lato"/>
                <w:i/>
                <w:iCs/>
                <w:sz w:val="20"/>
              </w:rPr>
              <w:t xml:space="preserve">2) </w:t>
            </w:r>
            <w:r w:rsidRPr="006513A0">
              <w:rPr>
                <w:rFonts w:ascii="Lato" w:hAnsi="Lato"/>
                <w:i/>
                <w:iCs/>
                <w:sz w:val="20"/>
              </w:rPr>
              <w:tab/>
              <w:t xml:space="preserve">w terminie </w:t>
            </w:r>
            <w:r w:rsidR="00F55171" w:rsidRPr="006513A0">
              <w:rPr>
                <w:rFonts w:ascii="Lato" w:hAnsi="Lato"/>
                <w:i/>
                <w:iCs/>
                <w:color w:val="FF0000"/>
                <w:sz w:val="20"/>
              </w:rPr>
              <w:t>48</w:t>
            </w:r>
            <w:r w:rsidRPr="006513A0">
              <w:rPr>
                <w:rFonts w:ascii="Lato" w:hAnsi="Lato"/>
                <w:i/>
                <w:iCs/>
                <w:color w:val="FF0000"/>
                <w:sz w:val="20"/>
              </w:rPr>
              <w:t xml:space="preserve"> </w:t>
            </w:r>
            <w:r w:rsidRPr="006513A0">
              <w:rPr>
                <w:rFonts w:ascii="Lato" w:hAnsi="Lato"/>
                <w:i/>
                <w:iCs/>
                <w:sz w:val="20"/>
              </w:rPr>
              <w:t>miesięcy od daty wejścia w życie niniejszej ustawy podmiot ten nie wykaże, że zawarł umowy na dostawę głównych urządzeń wykorzystywanych w instalacji objętej umową.</w:t>
            </w:r>
          </w:p>
        </w:tc>
        <w:tc>
          <w:tcPr>
            <w:tcW w:w="1428" w:type="dxa"/>
          </w:tcPr>
          <w:p w14:paraId="1190BCAA" w14:textId="77777777" w:rsidR="005B4E15" w:rsidRPr="006513A0" w:rsidRDefault="005B4E15" w:rsidP="005B4E15">
            <w:pPr>
              <w:jc w:val="both"/>
              <w:rPr>
                <w:rFonts w:ascii="Lato" w:hAnsi="Lato" w:cs="Times New Roman"/>
                <w:sz w:val="20"/>
                <w:szCs w:val="20"/>
              </w:rPr>
            </w:pPr>
          </w:p>
        </w:tc>
      </w:tr>
      <w:tr w:rsidR="00F55171" w:rsidRPr="006513A0" w14:paraId="00ECE591" w14:textId="77777777" w:rsidTr="009B5AD6">
        <w:tc>
          <w:tcPr>
            <w:tcW w:w="562" w:type="dxa"/>
          </w:tcPr>
          <w:p w14:paraId="17156A9D" w14:textId="5A1FE014" w:rsidR="00F55171" w:rsidRPr="006513A0" w:rsidRDefault="00CB218B" w:rsidP="005B4E15">
            <w:pPr>
              <w:jc w:val="center"/>
              <w:rPr>
                <w:rFonts w:ascii="Lato" w:hAnsi="Lato" w:cs="Times New Roman"/>
                <w:sz w:val="20"/>
                <w:szCs w:val="20"/>
              </w:rPr>
            </w:pPr>
            <w:r>
              <w:rPr>
                <w:rFonts w:ascii="Lato" w:hAnsi="Lato" w:cs="Times New Roman"/>
                <w:sz w:val="20"/>
                <w:szCs w:val="20"/>
              </w:rPr>
              <w:lastRenderedPageBreak/>
              <w:t>18</w:t>
            </w:r>
          </w:p>
        </w:tc>
        <w:tc>
          <w:tcPr>
            <w:tcW w:w="1701" w:type="dxa"/>
          </w:tcPr>
          <w:p w14:paraId="2BA7BC4A" w14:textId="20A3D903" w:rsidR="00F55171" w:rsidRPr="006513A0" w:rsidRDefault="00CB218B" w:rsidP="005B4E15">
            <w:pPr>
              <w:jc w:val="both"/>
              <w:rPr>
                <w:rFonts w:ascii="Lato" w:hAnsi="Lato" w:cs="Times New Roman"/>
                <w:sz w:val="20"/>
                <w:szCs w:val="20"/>
              </w:rPr>
            </w:pPr>
            <w:r w:rsidRPr="00CB218B">
              <w:rPr>
                <w:rFonts w:ascii="Lato" w:hAnsi="Lato" w:cs="Times New Roman"/>
                <w:sz w:val="20"/>
                <w:szCs w:val="20"/>
              </w:rPr>
              <w:t>Związek Pracodawców Polska Miedź</w:t>
            </w:r>
          </w:p>
        </w:tc>
        <w:tc>
          <w:tcPr>
            <w:tcW w:w="2694" w:type="dxa"/>
          </w:tcPr>
          <w:p w14:paraId="5CEF1FA6" w14:textId="7A3F48C6" w:rsidR="00F55171" w:rsidRPr="006513A0" w:rsidRDefault="00193F43" w:rsidP="005B4E15">
            <w:pPr>
              <w:jc w:val="both"/>
              <w:rPr>
                <w:rFonts w:ascii="Lato" w:hAnsi="Lato" w:cs="Times New Roman"/>
                <w:sz w:val="20"/>
                <w:szCs w:val="20"/>
              </w:rPr>
            </w:pPr>
            <w:r w:rsidRPr="004B44A0">
              <w:rPr>
                <w:rFonts w:ascii="Lato" w:hAnsi="Lato" w:cs="Times New Roman"/>
                <w:color w:val="FF0000"/>
                <w:sz w:val="20"/>
                <w:szCs w:val="20"/>
              </w:rPr>
              <w:t>Art. 9d</w:t>
            </w:r>
            <w:r w:rsidR="00E65DF9" w:rsidRPr="004B44A0">
              <w:rPr>
                <w:rFonts w:ascii="Lato" w:hAnsi="Lato" w:cs="Times New Roman"/>
                <w:color w:val="FF0000"/>
                <w:sz w:val="20"/>
                <w:szCs w:val="20"/>
                <w:vertAlign w:val="superscript"/>
              </w:rPr>
              <w:t>1</w:t>
            </w:r>
            <w:r w:rsidR="00E65DF9" w:rsidRPr="004B44A0">
              <w:rPr>
                <w:rFonts w:ascii="Lato" w:hAnsi="Lato" w:cs="Times New Roman"/>
                <w:color w:val="FF0000"/>
                <w:sz w:val="20"/>
                <w:szCs w:val="20"/>
              </w:rPr>
              <w:t xml:space="preserve"> ust. 8 PE</w:t>
            </w:r>
          </w:p>
        </w:tc>
        <w:tc>
          <w:tcPr>
            <w:tcW w:w="5103" w:type="dxa"/>
          </w:tcPr>
          <w:p w14:paraId="371174C3" w14:textId="0B795E72" w:rsidR="00E65DF9" w:rsidRPr="006513A0" w:rsidRDefault="00E65DF9" w:rsidP="005B4E15">
            <w:pPr>
              <w:jc w:val="both"/>
              <w:rPr>
                <w:rFonts w:ascii="Lato" w:hAnsi="Lato"/>
                <w:sz w:val="20"/>
                <w:szCs w:val="20"/>
              </w:rPr>
            </w:pPr>
            <w:r w:rsidRPr="006513A0">
              <w:rPr>
                <w:rFonts w:ascii="Lato" w:hAnsi="Lato"/>
                <w:sz w:val="20"/>
                <w:szCs w:val="20"/>
              </w:rPr>
              <w:t xml:space="preserve">Ustawodawca dodając </w:t>
            </w:r>
            <w:r w:rsidR="0045311D" w:rsidRPr="006513A0">
              <w:rPr>
                <w:rFonts w:ascii="Lato" w:hAnsi="Lato"/>
                <w:sz w:val="20"/>
                <w:szCs w:val="20"/>
              </w:rPr>
              <w:t>w 2021</w:t>
            </w:r>
            <w:r w:rsidR="00AB3599">
              <w:rPr>
                <w:rFonts w:ascii="Lato" w:hAnsi="Lato"/>
                <w:sz w:val="20"/>
                <w:szCs w:val="20"/>
              </w:rPr>
              <w:t xml:space="preserve"> roku</w:t>
            </w:r>
            <w:r w:rsidR="0045311D" w:rsidRPr="006513A0">
              <w:rPr>
                <w:rFonts w:ascii="Lato" w:hAnsi="Lato"/>
                <w:sz w:val="20"/>
                <w:szCs w:val="20"/>
              </w:rPr>
              <w:t xml:space="preserve"> </w:t>
            </w:r>
            <w:r w:rsidR="00AB3599">
              <w:t xml:space="preserve"> </w:t>
            </w:r>
            <w:r w:rsidR="00AB3599" w:rsidRPr="00AB3599">
              <w:rPr>
                <w:rFonts w:ascii="Lato" w:hAnsi="Lato"/>
                <w:sz w:val="20"/>
                <w:szCs w:val="20"/>
              </w:rPr>
              <w:t xml:space="preserve">w treści </w:t>
            </w:r>
            <w:r w:rsidRPr="006513A0">
              <w:rPr>
                <w:rFonts w:ascii="Lato" w:hAnsi="Lato"/>
                <w:sz w:val="20"/>
                <w:szCs w:val="20"/>
              </w:rPr>
              <w:t>Prawa energetycznego przepis art. 9da istotnie ograniczył</w:t>
            </w:r>
            <w:r w:rsidR="0045311D" w:rsidRPr="006513A0">
              <w:rPr>
                <w:rFonts w:ascii="Lato" w:hAnsi="Lato"/>
                <w:sz w:val="20"/>
                <w:szCs w:val="20"/>
              </w:rPr>
              <w:t xml:space="preserve"> operatorom systemów dystrybucyjnych możliwość korzystania z magazynów energii. Zmiana ta podyktowana była koniecznością dostosowania krajowych przepisów do wymogu dyrektywy 2019/944.</w:t>
            </w:r>
          </w:p>
          <w:p w14:paraId="64175B82" w14:textId="77777777" w:rsidR="0045311D" w:rsidRPr="006513A0" w:rsidRDefault="0045311D" w:rsidP="005B4E15">
            <w:pPr>
              <w:jc w:val="both"/>
              <w:rPr>
                <w:rFonts w:ascii="Lato" w:hAnsi="Lato"/>
                <w:sz w:val="20"/>
                <w:szCs w:val="20"/>
              </w:rPr>
            </w:pPr>
          </w:p>
          <w:p w14:paraId="00EB188F" w14:textId="74F46C37" w:rsidR="0045311D" w:rsidRPr="006513A0" w:rsidRDefault="0045311D" w:rsidP="005B4E15">
            <w:pPr>
              <w:jc w:val="both"/>
              <w:rPr>
                <w:rFonts w:ascii="Lato" w:hAnsi="Lato"/>
                <w:sz w:val="20"/>
                <w:szCs w:val="20"/>
              </w:rPr>
            </w:pPr>
            <w:r w:rsidRPr="006513A0">
              <w:rPr>
                <w:rFonts w:ascii="Lato" w:hAnsi="Lato"/>
                <w:sz w:val="20"/>
                <w:szCs w:val="20"/>
              </w:rPr>
              <w:t>Nie dokonano jednak pełnej implementacji</w:t>
            </w:r>
            <w:r w:rsidR="004B44A0">
              <w:rPr>
                <w:rFonts w:ascii="Lato" w:hAnsi="Lato"/>
                <w:sz w:val="20"/>
                <w:szCs w:val="20"/>
              </w:rPr>
              <w:t xml:space="preserve"> przepisów dyrektywy</w:t>
            </w:r>
            <w:r w:rsidRPr="006513A0">
              <w:rPr>
                <w:rFonts w:ascii="Lato" w:hAnsi="Lato"/>
                <w:sz w:val="20"/>
                <w:szCs w:val="20"/>
              </w:rPr>
              <w:t xml:space="preserve">. Spod ograniczeń dotyczących możliwości posiadania magazynów energii przez OSD nie zostali wyłączeni operatorzy zamkniętych systemów dystrybucyjnych, </w:t>
            </w:r>
            <w:r w:rsidRPr="004B44A0">
              <w:rPr>
                <w:rFonts w:ascii="Lato" w:hAnsi="Lato"/>
                <w:b/>
                <w:bCs/>
                <w:sz w:val="20"/>
                <w:szCs w:val="20"/>
                <w:u w:val="single"/>
              </w:rPr>
              <w:t>mimo iż taką możliwość dopuszcza dyrektywa (art. 38 ust. 2 lit. e).</w:t>
            </w:r>
            <w:r w:rsidRPr="006513A0">
              <w:rPr>
                <w:rFonts w:ascii="Lato" w:hAnsi="Lato"/>
                <w:sz w:val="20"/>
                <w:szCs w:val="20"/>
              </w:rPr>
              <w:t xml:space="preserve"> </w:t>
            </w:r>
            <w:r w:rsidRPr="006513A0">
              <w:rPr>
                <w:rFonts w:ascii="Lato" w:hAnsi="Lato"/>
                <w:b/>
                <w:bCs/>
                <w:sz w:val="20"/>
                <w:szCs w:val="20"/>
              </w:rPr>
              <w:t>W konsekwencji wielu operatorów, któr</w:t>
            </w:r>
            <w:r w:rsidR="004B44A0">
              <w:rPr>
                <w:rFonts w:ascii="Lato" w:hAnsi="Lato"/>
                <w:b/>
                <w:bCs/>
                <w:sz w:val="20"/>
                <w:szCs w:val="20"/>
              </w:rPr>
              <w:t>z</w:t>
            </w:r>
            <w:r w:rsidRPr="006513A0">
              <w:rPr>
                <w:rFonts w:ascii="Lato" w:hAnsi="Lato"/>
                <w:b/>
                <w:bCs/>
                <w:sz w:val="20"/>
                <w:szCs w:val="20"/>
              </w:rPr>
              <w:t>y działalność dystrybucyjną prowadzą jedynie ubocznie wobec swojej podstawowej działalności, zostało bardzo mocno ograniczonych w zakresie możliwości korzystania z magazynów energii</w:t>
            </w:r>
            <w:r w:rsidRPr="006513A0">
              <w:rPr>
                <w:rFonts w:ascii="Lato" w:hAnsi="Lato"/>
                <w:sz w:val="20"/>
                <w:szCs w:val="20"/>
              </w:rPr>
              <w:t>.</w:t>
            </w:r>
            <w:r w:rsidR="00474B3C" w:rsidRPr="006513A0">
              <w:rPr>
                <w:rFonts w:ascii="Lato" w:hAnsi="Lato"/>
                <w:sz w:val="20"/>
                <w:szCs w:val="20"/>
              </w:rPr>
              <w:t xml:space="preserve"> </w:t>
            </w:r>
            <w:r w:rsidR="00474B3C" w:rsidRPr="006513A0">
              <w:rPr>
                <w:rFonts w:ascii="Lato" w:hAnsi="Lato"/>
                <w:b/>
                <w:bCs/>
                <w:sz w:val="20"/>
                <w:szCs w:val="20"/>
              </w:rPr>
              <w:t xml:space="preserve">Do tej grupy podmiotów należą m.in. zakłady energochłonne posiadające własne sieci dystrybucyjne. </w:t>
            </w:r>
            <w:r w:rsidR="00474B3C" w:rsidRPr="006513A0">
              <w:rPr>
                <w:rFonts w:ascii="Lato" w:hAnsi="Lato"/>
                <w:sz w:val="20"/>
                <w:szCs w:val="20"/>
              </w:rPr>
              <w:t>Mimo iż podmioty te mają ogromny potencjał w zakresie inwestowania w wielkoskalowe magazyny energii są one przez obecne regulacje w tym zakresie mocno ograniczone. Nie ma to zaś w zasadzie żadnego racjonalnego uzasadnienia.</w:t>
            </w:r>
            <w:r w:rsidR="004B44A0">
              <w:rPr>
                <w:rFonts w:ascii="Lato" w:hAnsi="Lato"/>
                <w:sz w:val="20"/>
                <w:szCs w:val="20"/>
              </w:rPr>
              <w:t xml:space="preserve"> </w:t>
            </w:r>
          </w:p>
          <w:p w14:paraId="68147C65" w14:textId="77777777" w:rsidR="00474B3C" w:rsidRPr="006513A0" w:rsidRDefault="00474B3C" w:rsidP="005B4E15">
            <w:pPr>
              <w:jc w:val="both"/>
              <w:rPr>
                <w:rFonts w:ascii="Lato" w:hAnsi="Lato"/>
                <w:sz w:val="20"/>
                <w:szCs w:val="20"/>
              </w:rPr>
            </w:pPr>
          </w:p>
          <w:p w14:paraId="7C68609F" w14:textId="5EEFC639" w:rsidR="00474B3C" w:rsidRPr="006513A0" w:rsidRDefault="00474B3C" w:rsidP="005B4E15">
            <w:pPr>
              <w:jc w:val="both"/>
              <w:rPr>
                <w:rFonts w:ascii="Lato" w:hAnsi="Lato"/>
                <w:sz w:val="20"/>
                <w:szCs w:val="20"/>
              </w:rPr>
            </w:pPr>
            <w:r w:rsidRPr="006513A0">
              <w:rPr>
                <w:rFonts w:ascii="Lato" w:hAnsi="Lato"/>
                <w:sz w:val="20"/>
                <w:szCs w:val="20"/>
              </w:rPr>
              <w:t xml:space="preserve">Mając na uwadze, że magazyny energii mają odegrać istotną rolę w transformacji energetycznej państwa, w tym przez stabilizację KSE - </w:t>
            </w:r>
            <w:r w:rsidRPr="006513A0">
              <w:rPr>
                <w:rFonts w:ascii="Lato" w:hAnsi="Lato"/>
                <w:b/>
                <w:bCs/>
                <w:sz w:val="20"/>
                <w:szCs w:val="20"/>
              </w:rPr>
              <w:t>zniesienie barier regulacyjnych dla wykorzystania magazynów energii</w:t>
            </w:r>
            <w:r w:rsidRPr="006513A0">
              <w:rPr>
                <w:rFonts w:ascii="Lato" w:hAnsi="Lato"/>
                <w:sz w:val="20"/>
                <w:szCs w:val="20"/>
              </w:rPr>
              <w:t xml:space="preserve"> </w:t>
            </w:r>
            <w:r w:rsidRPr="006513A0">
              <w:rPr>
                <w:rFonts w:ascii="Lato" w:hAnsi="Lato"/>
                <w:b/>
                <w:bCs/>
                <w:sz w:val="20"/>
                <w:szCs w:val="20"/>
              </w:rPr>
              <w:t>przez duże zakłady powinno być absolutnym priorytetem legislacyjnym.</w:t>
            </w:r>
          </w:p>
          <w:p w14:paraId="487C01B9" w14:textId="77777777" w:rsidR="00474B3C" w:rsidRPr="006513A0" w:rsidRDefault="00474B3C" w:rsidP="005B4E15">
            <w:pPr>
              <w:jc w:val="both"/>
              <w:rPr>
                <w:rFonts w:ascii="Lato" w:hAnsi="Lato"/>
                <w:sz w:val="20"/>
                <w:szCs w:val="20"/>
              </w:rPr>
            </w:pPr>
          </w:p>
          <w:p w14:paraId="1B15E16E" w14:textId="77777777" w:rsidR="0045311D" w:rsidRDefault="00474B3C" w:rsidP="004B6E59">
            <w:pPr>
              <w:jc w:val="both"/>
              <w:rPr>
                <w:rFonts w:ascii="Lato" w:hAnsi="Lato"/>
                <w:sz w:val="20"/>
                <w:szCs w:val="20"/>
              </w:rPr>
            </w:pPr>
            <w:r w:rsidRPr="006513A0">
              <w:rPr>
                <w:rFonts w:ascii="Lato" w:hAnsi="Lato"/>
                <w:sz w:val="20"/>
                <w:szCs w:val="20"/>
              </w:rPr>
              <w:t xml:space="preserve">Wyłączenie spod ograniczenia przewidzianego w art. 9da PE zamkniętych systemów dystrybucyjnych </w:t>
            </w:r>
            <w:r w:rsidR="004B44A0">
              <w:rPr>
                <w:rFonts w:ascii="Lato" w:hAnsi="Lato"/>
                <w:sz w:val="20"/>
                <w:szCs w:val="20"/>
              </w:rPr>
              <w:t>m</w:t>
            </w:r>
            <w:r w:rsidRPr="006513A0">
              <w:rPr>
                <w:rFonts w:ascii="Lato" w:hAnsi="Lato"/>
                <w:sz w:val="20"/>
                <w:szCs w:val="20"/>
              </w:rPr>
              <w:t>oże dać impuls dla dużych zakładów</w:t>
            </w:r>
            <w:r w:rsidR="004B6E59" w:rsidRPr="006513A0">
              <w:rPr>
                <w:rFonts w:ascii="Lato" w:hAnsi="Lato"/>
                <w:sz w:val="20"/>
                <w:szCs w:val="20"/>
              </w:rPr>
              <w:t xml:space="preserve"> do uzyskania takiego statusu. Przyczyni się to też zwiększenia praktycznego znaczenia instytucji ZSD.</w:t>
            </w:r>
          </w:p>
          <w:p w14:paraId="5C9E090E" w14:textId="48063591" w:rsidR="002A6800" w:rsidRPr="006513A0" w:rsidRDefault="002A6800" w:rsidP="004B6E59">
            <w:pPr>
              <w:jc w:val="both"/>
              <w:rPr>
                <w:rFonts w:ascii="Lato" w:hAnsi="Lato"/>
                <w:sz w:val="20"/>
                <w:szCs w:val="20"/>
              </w:rPr>
            </w:pPr>
            <w:r>
              <w:rPr>
                <w:rFonts w:ascii="Lato" w:hAnsi="Lato"/>
                <w:sz w:val="20"/>
                <w:szCs w:val="20"/>
              </w:rPr>
              <w:t>Uwaga jest</w:t>
            </w:r>
            <w:r w:rsidRPr="002A6800">
              <w:rPr>
                <w:rFonts w:ascii="Lato" w:hAnsi="Lato"/>
                <w:sz w:val="20"/>
                <w:szCs w:val="20"/>
              </w:rPr>
              <w:t xml:space="preserve"> przedmiotowo związana z projektowaną nowelizacją i zasadne jest jej uwzględnienie w najbliższym procesie nowelizacji prawa energetycznego.</w:t>
            </w:r>
          </w:p>
        </w:tc>
        <w:tc>
          <w:tcPr>
            <w:tcW w:w="4252" w:type="dxa"/>
          </w:tcPr>
          <w:p w14:paraId="73FCBBA9" w14:textId="6D6D4B5A" w:rsidR="00E65DF9" w:rsidRDefault="00E65DF9" w:rsidP="006513A0">
            <w:pPr>
              <w:pStyle w:val="ARTartustawynprozporzdzenia"/>
              <w:spacing w:before="0" w:line="240" w:lineRule="auto"/>
              <w:ind w:firstLine="0"/>
              <w:rPr>
                <w:rFonts w:ascii="Lato" w:hAnsi="Lato"/>
                <w:bCs/>
                <w:sz w:val="20"/>
              </w:rPr>
            </w:pPr>
            <w:r w:rsidRPr="006513A0">
              <w:rPr>
                <w:rFonts w:ascii="Lato" w:hAnsi="Lato"/>
                <w:bCs/>
                <w:sz w:val="20"/>
              </w:rPr>
              <w:lastRenderedPageBreak/>
              <w:t>[Dodanie nowego przepisu]</w:t>
            </w:r>
          </w:p>
          <w:p w14:paraId="0C6FBDBC" w14:textId="77777777" w:rsidR="006513A0" w:rsidRPr="006513A0" w:rsidRDefault="006513A0" w:rsidP="006513A0">
            <w:pPr>
              <w:pStyle w:val="ARTartustawynprozporzdzenia"/>
              <w:spacing w:before="0" w:line="240" w:lineRule="auto"/>
              <w:ind w:firstLine="0"/>
              <w:rPr>
                <w:rFonts w:ascii="Lato" w:hAnsi="Lato"/>
                <w:bCs/>
                <w:sz w:val="20"/>
              </w:rPr>
            </w:pPr>
          </w:p>
          <w:p w14:paraId="35CE518D" w14:textId="74156626" w:rsidR="00F55171" w:rsidRPr="006513A0" w:rsidRDefault="00E65DF9" w:rsidP="006513A0">
            <w:pPr>
              <w:pStyle w:val="ARTartustawynprozporzdzenia"/>
              <w:spacing w:before="0" w:line="240" w:lineRule="auto"/>
              <w:ind w:firstLine="0"/>
              <w:rPr>
                <w:rFonts w:ascii="Lato" w:hAnsi="Lato"/>
                <w:bCs/>
                <w:i/>
                <w:iCs/>
                <w:sz w:val="20"/>
              </w:rPr>
            </w:pPr>
            <w:r w:rsidRPr="006513A0">
              <w:rPr>
                <w:rFonts w:ascii="Lato" w:hAnsi="Lato"/>
                <w:bCs/>
                <w:i/>
                <w:iCs/>
                <w:color w:val="FF0000"/>
                <w:sz w:val="20"/>
              </w:rPr>
              <w:t xml:space="preserve">8. </w:t>
            </w:r>
            <w:r w:rsidR="00193F43" w:rsidRPr="006513A0">
              <w:rPr>
                <w:rFonts w:ascii="Lato" w:hAnsi="Lato"/>
                <w:bCs/>
                <w:i/>
                <w:iCs/>
                <w:color w:val="FF0000"/>
                <w:sz w:val="20"/>
              </w:rPr>
              <w:t xml:space="preserve">Przepisów </w:t>
            </w:r>
            <w:r w:rsidRPr="006513A0">
              <w:rPr>
                <w:rFonts w:ascii="Lato" w:hAnsi="Lato"/>
                <w:bCs/>
                <w:i/>
                <w:iCs/>
                <w:color w:val="FF0000"/>
                <w:sz w:val="20"/>
              </w:rPr>
              <w:t>ust. 1-7 nie stosuje się do operatorów zamkniętych systemów dystrybucyjnych.</w:t>
            </w:r>
          </w:p>
        </w:tc>
        <w:tc>
          <w:tcPr>
            <w:tcW w:w="1428" w:type="dxa"/>
          </w:tcPr>
          <w:p w14:paraId="471B648A" w14:textId="77777777" w:rsidR="00F55171" w:rsidRPr="006513A0" w:rsidRDefault="00F55171" w:rsidP="005B4E15">
            <w:pPr>
              <w:jc w:val="both"/>
              <w:rPr>
                <w:rFonts w:ascii="Lato" w:hAnsi="Lato" w:cs="Times New Roman"/>
                <w:sz w:val="20"/>
                <w:szCs w:val="20"/>
              </w:rPr>
            </w:pPr>
          </w:p>
        </w:tc>
      </w:tr>
      <w:tr w:rsidR="004B6E59" w:rsidRPr="006513A0" w14:paraId="4030D0DF" w14:textId="77777777" w:rsidTr="009B5AD6">
        <w:tc>
          <w:tcPr>
            <w:tcW w:w="562" w:type="dxa"/>
          </w:tcPr>
          <w:p w14:paraId="3609FD95" w14:textId="6208B41B" w:rsidR="004B6E59" w:rsidRPr="006513A0" w:rsidRDefault="00CB218B" w:rsidP="005B4E15">
            <w:pPr>
              <w:jc w:val="center"/>
              <w:rPr>
                <w:rFonts w:ascii="Lato" w:hAnsi="Lato" w:cs="Times New Roman"/>
                <w:sz w:val="20"/>
                <w:szCs w:val="20"/>
              </w:rPr>
            </w:pPr>
            <w:r>
              <w:rPr>
                <w:rFonts w:ascii="Lato" w:hAnsi="Lato" w:cs="Times New Roman"/>
                <w:sz w:val="20"/>
                <w:szCs w:val="20"/>
              </w:rPr>
              <w:lastRenderedPageBreak/>
              <w:t>19</w:t>
            </w:r>
          </w:p>
        </w:tc>
        <w:tc>
          <w:tcPr>
            <w:tcW w:w="1701" w:type="dxa"/>
          </w:tcPr>
          <w:p w14:paraId="3851FAB9" w14:textId="1D914362" w:rsidR="004B6E59" w:rsidRPr="006513A0" w:rsidRDefault="00CB218B" w:rsidP="005B4E15">
            <w:pPr>
              <w:jc w:val="both"/>
              <w:rPr>
                <w:rFonts w:ascii="Lato" w:hAnsi="Lato" w:cs="Times New Roman"/>
                <w:sz w:val="20"/>
                <w:szCs w:val="20"/>
              </w:rPr>
            </w:pPr>
            <w:r w:rsidRPr="00CB218B">
              <w:rPr>
                <w:rFonts w:ascii="Lato" w:hAnsi="Lato" w:cs="Times New Roman"/>
                <w:sz w:val="20"/>
                <w:szCs w:val="20"/>
              </w:rPr>
              <w:t>Związek Pracodawców Polska Miedź</w:t>
            </w:r>
            <w:bookmarkStart w:id="5" w:name="_GoBack"/>
            <w:bookmarkEnd w:id="5"/>
          </w:p>
        </w:tc>
        <w:tc>
          <w:tcPr>
            <w:tcW w:w="2694" w:type="dxa"/>
          </w:tcPr>
          <w:p w14:paraId="3C0C4A86" w14:textId="5D7CBCD0" w:rsidR="004B6E59" w:rsidRPr="006513A0" w:rsidRDefault="00DC45B5" w:rsidP="005B4E15">
            <w:pPr>
              <w:jc w:val="both"/>
              <w:rPr>
                <w:rFonts w:ascii="Lato" w:hAnsi="Lato" w:cs="Times New Roman"/>
                <w:sz w:val="20"/>
                <w:szCs w:val="20"/>
              </w:rPr>
            </w:pPr>
            <w:r w:rsidRPr="004B44A0">
              <w:rPr>
                <w:rFonts w:ascii="Lato" w:hAnsi="Lato" w:cs="Times New Roman"/>
                <w:color w:val="FF0000"/>
                <w:sz w:val="20"/>
                <w:szCs w:val="20"/>
              </w:rPr>
              <w:t>Art. 11t ust.3</w:t>
            </w:r>
            <w:r w:rsidRPr="004B44A0">
              <w:rPr>
                <w:rFonts w:ascii="Lato" w:hAnsi="Lato" w:cs="Times New Roman"/>
                <w:color w:val="FF0000"/>
                <w:sz w:val="20"/>
                <w:szCs w:val="20"/>
                <w:vertAlign w:val="superscript"/>
              </w:rPr>
              <w:t>1</w:t>
            </w:r>
            <w:r w:rsidRPr="004B44A0">
              <w:rPr>
                <w:rFonts w:ascii="Lato" w:hAnsi="Lato" w:cs="Times New Roman"/>
                <w:color w:val="FF0000"/>
                <w:sz w:val="20"/>
                <w:szCs w:val="20"/>
              </w:rPr>
              <w:t xml:space="preserve"> PE</w:t>
            </w:r>
          </w:p>
        </w:tc>
        <w:tc>
          <w:tcPr>
            <w:tcW w:w="5103" w:type="dxa"/>
          </w:tcPr>
          <w:p w14:paraId="5DF041D9" w14:textId="334F3B2B" w:rsidR="00DC45B5" w:rsidRDefault="00DC45B5" w:rsidP="005B4E15">
            <w:pPr>
              <w:jc w:val="both"/>
              <w:rPr>
                <w:rFonts w:ascii="Lato" w:hAnsi="Lato"/>
                <w:sz w:val="20"/>
                <w:szCs w:val="20"/>
              </w:rPr>
            </w:pPr>
            <w:r w:rsidRPr="006513A0">
              <w:rPr>
                <w:rFonts w:ascii="Lato" w:hAnsi="Lato"/>
                <w:sz w:val="20"/>
                <w:szCs w:val="20"/>
              </w:rPr>
              <w:t xml:space="preserve">Art. 11t ust. 3 PE zobowiązuje OSD do zainstalowania </w:t>
            </w:r>
            <w:r w:rsidR="00174A16" w:rsidRPr="006513A0">
              <w:rPr>
                <w:rFonts w:ascii="Lato" w:hAnsi="Lato" w:cs="Open Sans"/>
                <w:color w:val="333333"/>
                <w:sz w:val="20"/>
                <w:szCs w:val="20"/>
                <w:shd w:val="clear" w:color="auto" w:fill="FFFFFF"/>
              </w:rPr>
              <w:t xml:space="preserve"> </w:t>
            </w:r>
            <w:r w:rsidR="00174A16" w:rsidRPr="006513A0">
              <w:rPr>
                <w:rFonts w:ascii="Lato" w:hAnsi="Lato"/>
                <w:sz w:val="20"/>
                <w:szCs w:val="20"/>
              </w:rPr>
              <w:t>liczników zdalnego odczytu na wszystkich stacjach elektroenergetycznych SN/</w:t>
            </w:r>
            <w:proofErr w:type="spellStart"/>
            <w:r w:rsidR="00174A16" w:rsidRPr="006513A0">
              <w:rPr>
                <w:rFonts w:ascii="Lato" w:hAnsi="Lato"/>
                <w:sz w:val="20"/>
                <w:szCs w:val="20"/>
              </w:rPr>
              <w:t>nN.</w:t>
            </w:r>
            <w:proofErr w:type="spellEnd"/>
            <w:r w:rsidR="00174A16" w:rsidRPr="006513A0">
              <w:rPr>
                <w:rFonts w:ascii="Lato" w:hAnsi="Lato"/>
                <w:sz w:val="20"/>
                <w:szCs w:val="20"/>
              </w:rPr>
              <w:t xml:space="preserve"> O ile wymóg ten może mieć uzasadnienie w odniesieniu do zawodowych operatorów</w:t>
            </w:r>
            <w:r w:rsidR="004B44A0">
              <w:rPr>
                <w:rFonts w:ascii="Lato" w:hAnsi="Lato"/>
                <w:sz w:val="20"/>
                <w:szCs w:val="20"/>
              </w:rPr>
              <w:t xml:space="preserve"> (zasadniczo nie zużywających energii na własny użytek)</w:t>
            </w:r>
            <w:r w:rsidR="00174A16" w:rsidRPr="006513A0">
              <w:rPr>
                <w:rFonts w:ascii="Lato" w:hAnsi="Lato"/>
                <w:sz w:val="20"/>
                <w:szCs w:val="20"/>
              </w:rPr>
              <w:t xml:space="preserve">, o tyle jest on zupełnie nieracjonalny w przypadku sieci zakładowych. Te ostatnie służą przede wszystkim potrzebom własnym zakładów przemysłowych. Jedynie niewielka część energii dostarczana jest do odbiorców zewnętrznych. Opomiarowanie na poziomie stacji </w:t>
            </w:r>
            <w:r w:rsidR="00F93BB8" w:rsidRPr="006513A0">
              <w:rPr>
                <w:rFonts w:ascii="Lato" w:hAnsi="Lato"/>
                <w:sz w:val="20"/>
                <w:szCs w:val="20"/>
              </w:rPr>
              <w:t>w</w:t>
            </w:r>
            <w:r w:rsidR="00174A16" w:rsidRPr="006513A0">
              <w:rPr>
                <w:rFonts w:ascii="Lato" w:hAnsi="Lato"/>
                <w:sz w:val="20"/>
                <w:szCs w:val="20"/>
              </w:rPr>
              <w:t xml:space="preserve"> żaden sposób nie jest reprezentatywn</w:t>
            </w:r>
            <w:r w:rsidR="00F93BB8" w:rsidRPr="006513A0">
              <w:rPr>
                <w:rFonts w:ascii="Lato" w:hAnsi="Lato"/>
                <w:sz w:val="20"/>
                <w:szCs w:val="20"/>
              </w:rPr>
              <w:t>e</w:t>
            </w:r>
            <w:r w:rsidR="00174A16" w:rsidRPr="006513A0">
              <w:rPr>
                <w:rFonts w:ascii="Lato" w:hAnsi="Lato"/>
                <w:sz w:val="20"/>
                <w:szCs w:val="20"/>
              </w:rPr>
              <w:t xml:space="preserve"> dla poborów energii elektrycznej przez odbiorców przyłączonych do takiego systemu dystrybucyjnego</w:t>
            </w:r>
            <w:r w:rsidR="00F93BB8" w:rsidRPr="006513A0">
              <w:rPr>
                <w:rFonts w:ascii="Lato" w:hAnsi="Lato"/>
                <w:sz w:val="20"/>
                <w:szCs w:val="20"/>
              </w:rPr>
              <w:t xml:space="preserve">. </w:t>
            </w:r>
            <w:r w:rsidR="00F93BB8" w:rsidRPr="004B44A0">
              <w:rPr>
                <w:rFonts w:ascii="Lato" w:hAnsi="Lato"/>
                <w:b/>
                <w:bCs/>
                <w:sz w:val="20"/>
                <w:szCs w:val="20"/>
              </w:rPr>
              <w:t>Większość pobieranej energii jest bowiem zużywana przez właściciela systemu, a nie jego odbiorców i jest już opomiarowana</w:t>
            </w:r>
            <w:r w:rsidR="004B44A0" w:rsidRPr="004B44A0">
              <w:rPr>
                <w:rFonts w:ascii="Lato" w:hAnsi="Lato"/>
                <w:b/>
                <w:bCs/>
                <w:sz w:val="20"/>
                <w:szCs w:val="20"/>
              </w:rPr>
              <w:t xml:space="preserve"> przez nadrzędnego operatora</w:t>
            </w:r>
            <w:r w:rsidR="00F93BB8" w:rsidRPr="004B44A0">
              <w:rPr>
                <w:rFonts w:ascii="Lato" w:hAnsi="Lato"/>
                <w:b/>
                <w:bCs/>
                <w:sz w:val="20"/>
                <w:szCs w:val="20"/>
              </w:rPr>
              <w:t>.</w:t>
            </w:r>
            <w:r w:rsidR="004B44A0" w:rsidRPr="004B44A0">
              <w:rPr>
                <w:rFonts w:ascii="Lato" w:hAnsi="Lato"/>
                <w:b/>
                <w:bCs/>
                <w:sz w:val="20"/>
                <w:szCs w:val="20"/>
              </w:rPr>
              <w:t xml:space="preserve"> Opomiarowanie to zwykle jest jednak na poziomie Stacji WN, do której przyłączone są sieci zakładów energochłonnych</w:t>
            </w:r>
            <w:r w:rsidR="004B44A0">
              <w:rPr>
                <w:rFonts w:ascii="Lato" w:hAnsi="Lato"/>
                <w:sz w:val="20"/>
                <w:szCs w:val="20"/>
              </w:rPr>
              <w:t>. Stacje SN/</w:t>
            </w:r>
            <w:proofErr w:type="spellStart"/>
            <w:r w:rsidR="004B44A0">
              <w:rPr>
                <w:rFonts w:ascii="Lato" w:hAnsi="Lato"/>
                <w:sz w:val="20"/>
                <w:szCs w:val="20"/>
              </w:rPr>
              <w:t>nN</w:t>
            </w:r>
            <w:proofErr w:type="spellEnd"/>
            <w:r w:rsidR="004B44A0">
              <w:rPr>
                <w:rFonts w:ascii="Lato" w:hAnsi="Lato"/>
                <w:sz w:val="20"/>
                <w:szCs w:val="20"/>
              </w:rPr>
              <w:t xml:space="preserve"> są już </w:t>
            </w:r>
            <w:r w:rsidR="00AB3599">
              <w:rPr>
                <w:rFonts w:ascii="Lato" w:hAnsi="Lato"/>
                <w:sz w:val="20"/>
                <w:szCs w:val="20"/>
              </w:rPr>
              <w:t>natomiast</w:t>
            </w:r>
            <w:r w:rsidR="004B44A0">
              <w:rPr>
                <w:rFonts w:ascii="Lato" w:hAnsi="Lato"/>
                <w:sz w:val="20"/>
                <w:szCs w:val="20"/>
              </w:rPr>
              <w:t xml:space="preserve"> „za licznikiem” i w większości służą potrzebom własnym zakładu.</w:t>
            </w:r>
            <w:r w:rsidR="00F93BB8" w:rsidRPr="006513A0">
              <w:rPr>
                <w:rFonts w:ascii="Lato" w:hAnsi="Lato"/>
                <w:sz w:val="20"/>
                <w:szCs w:val="20"/>
              </w:rPr>
              <w:t xml:space="preserve"> Konieczność dostosowania się do wymogów art. 11t ust. 3 PE wygeneruje znaczące koszty. Opomiarowanie na poziomie stacji</w:t>
            </w:r>
            <w:r w:rsidR="004B44A0">
              <w:rPr>
                <w:rFonts w:ascii="Lato" w:hAnsi="Lato"/>
                <w:sz w:val="20"/>
                <w:szCs w:val="20"/>
              </w:rPr>
              <w:t xml:space="preserve"> SN/</w:t>
            </w:r>
            <w:proofErr w:type="spellStart"/>
            <w:r w:rsidR="004B44A0">
              <w:rPr>
                <w:rFonts w:ascii="Lato" w:hAnsi="Lato"/>
                <w:sz w:val="20"/>
                <w:szCs w:val="20"/>
              </w:rPr>
              <w:t>nN</w:t>
            </w:r>
            <w:proofErr w:type="spellEnd"/>
            <w:r w:rsidR="004B44A0">
              <w:rPr>
                <w:rFonts w:ascii="Lato" w:hAnsi="Lato"/>
                <w:sz w:val="20"/>
                <w:szCs w:val="20"/>
              </w:rPr>
              <w:t xml:space="preserve"> </w:t>
            </w:r>
            <w:r w:rsidR="00F93BB8" w:rsidRPr="006513A0">
              <w:rPr>
                <w:rFonts w:ascii="Lato" w:hAnsi="Lato"/>
                <w:sz w:val="20"/>
                <w:szCs w:val="20"/>
              </w:rPr>
              <w:t>może wymagać bowiem wykonania gruntownych modernizacji stacji w celu umożliwienia instalacji</w:t>
            </w:r>
            <w:r w:rsidR="004B44A0">
              <w:rPr>
                <w:rFonts w:ascii="Lato" w:hAnsi="Lato"/>
                <w:sz w:val="20"/>
                <w:szCs w:val="20"/>
              </w:rPr>
              <w:t xml:space="preserve"> w nich</w:t>
            </w:r>
            <w:r w:rsidR="00F93BB8" w:rsidRPr="006513A0">
              <w:rPr>
                <w:rFonts w:ascii="Lato" w:hAnsi="Lato"/>
                <w:sz w:val="20"/>
                <w:szCs w:val="20"/>
              </w:rPr>
              <w:t xml:space="preserve"> liczników. </w:t>
            </w:r>
            <w:r w:rsidR="00F93BB8" w:rsidRPr="006513A0">
              <w:rPr>
                <w:rFonts w:ascii="Lato" w:hAnsi="Lato"/>
                <w:b/>
                <w:bCs/>
                <w:sz w:val="20"/>
                <w:szCs w:val="20"/>
              </w:rPr>
              <w:t>To wszystko przy wątpliwym celu i efekcie takich działań.</w:t>
            </w:r>
            <w:r w:rsidR="00F93BB8" w:rsidRPr="006513A0">
              <w:rPr>
                <w:rFonts w:ascii="Lato" w:hAnsi="Lato"/>
                <w:sz w:val="20"/>
                <w:szCs w:val="20"/>
              </w:rPr>
              <w:t xml:space="preserve"> Jednocześnie koszty takich działań powinny zostać przeniesione na odbiorców. W przypadku zakładowych sieci gdzie liczba odbiorców jest niewielka</w:t>
            </w:r>
            <w:r w:rsidR="00B02748" w:rsidRPr="006513A0">
              <w:rPr>
                <w:rFonts w:ascii="Lato" w:hAnsi="Lato"/>
                <w:sz w:val="20"/>
                <w:szCs w:val="20"/>
              </w:rPr>
              <w:t xml:space="preserve"> (koszt rozkłada się często na maksymalnie kilkunastu odbiorców)</w:t>
            </w:r>
            <w:r w:rsidR="00F93BB8" w:rsidRPr="006513A0">
              <w:rPr>
                <w:rFonts w:ascii="Lato" w:hAnsi="Lato"/>
                <w:sz w:val="20"/>
                <w:szCs w:val="20"/>
              </w:rPr>
              <w:t xml:space="preserve"> oznaczałoby to skokowy wzrost opłat dystrybucyjnych (art. 11t ust. 5 PE). Stąd wprowadzenie odstępstwa od przedmiotowego wymogu wymaga jak najszybszej </w:t>
            </w:r>
            <w:r w:rsidR="00F93BB8" w:rsidRPr="006513A0">
              <w:rPr>
                <w:rFonts w:ascii="Lato" w:hAnsi="Lato"/>
                <w:sz w:val="20"/>
                <w:szCs w:val="20"/>
              </w:rPr>
              <w:lastRenderedPageBreak/>
              <w:t>interwencji legislacyjnej (mając na uwadze fakt iż instalacja liczników powinna nastąpić najpóźniej do końca 2025 roku).</w:t>
            </w:r>
          </w:p>
          <w:p w14:paraId="4DCFFC46" w14:textId="2846B49D" w:rsidR="002A6800" w:rsidRPr="006513A0" w:rsidRDefault="002A6800" w:rsidP="005B4E15">
            <w:pPr>
              <w:jc w:val="both"/>
              <w:rPr>
                <w:rFonts w:ascii="Lato" w:hAnsi="Lato"/>
                <w:sz w:val="20"/>
                <w:szCs w:val="20"/>
              </w:rPr>
            </w:pPr>
            <w:r w:rsidRPr="002A6800">
              <w:rPr>
                <w:rFonts w:ascii="Lato" w:hAnsi="Lato"/>
                <w:sz w:val="20"/>
                <w:szCs w:val="20"/>
              </w:rPr>
              <w:t>Uwaga jest przedmiotowo związana z projektowaną nowelizacją i zasadne jest jej uwzględnienie w najbliższym procesie nowelizacji prawa energetycznego.</w:t>
            </w:r>
          </w:p>
          <w:p w14:paraId="3E93BCD0" w14:textId="77777777" w:rsidR="00DC45B5" w:rsidRPr="006513A0" w:rsidRDefault="00DC45B5" w:rsidP="005B4E15">
            <w:pPr>
              <w:jc w:val="both"/>
              <w:rPr>
                <w:rFonts w:ascii="Lato" w:hAnsi="Lato"/>
                <w:sz w:val="20"/>
                <w:szCs w:val="20"/>
              </w:rPr>
            </w:pPr>
          </w:p>
        </w:tc>
        <w:tc>
          <w:tcPr>
            <w:tcW w:w="4252" w:type="dxa"/>
          </w:tcPr>
          <w:p w14:paraId="5B88755D" w14:textId="77777777" w:rsidR="00DC45B5" w:rsidRPr="006513A0" w:rsidRDefault="00DC45B5" w:rsidP="004B44A0">
            <w:pPr>
              <w:pStyle w:val="ARTartustawynprozporzdzenia"/>
              <w:spacing w:before="0" w:line="240" w:lineRule="auto"/>
              <w:ind w:firstLine="0"/>
              <w:rPr>
                <w:rFonts w:ascii="Lato" w:hAnsi="Lato"/>
                <w:bCs/>
                <w:sz w:val="20"/>
              </w:rPr>
            </w:pPr>
            <w:r w:rsidRPr="006513A0">
              <w:rPr>
                <w:rFonts w:ascii="Lato" w:hAnsi="Lato"/>
                <w:bCs/>
                <w:sz w:val="20"/>
              </w:rPr>
              <w:lastRenderedPageBreak/>
              <w:t>[Dodanie nowego przepisu]</w:t>
            </w:r>
          </w:p>
          <w:p w14:paraId="2CCE6907" w14:textId="77777777" w:rsidR="004B44A0" w:rsidRDefault="004B44A0" w:rsidP="004B44A0">
            <w:pPr>
              <w:pStyle w:val="ARTartustawynprozporzdzenia"/>
              <w:spacing w:before="0" w:line="240" w:lineRule="auto"/>
              <w:ind w:firstLine="0"/>
              <w:rPr>
                <w:rFonts w:ascii="Lato" w:hAnsi="Lato"/>
                <w:bCs/>
                <w:i/>
                <w:iCs/>
                <w:color w:val="FF0000"/>
                <w:sz w:val="20"/>
              </w:rPr>
            </w:pPr>
          </w:p>
          <w:p w14:paraId="44BF5200" w14:textId="24BE1F95" w:rsidR="004B6E59" w:rsidRPr="006513A0" w:rsidRDefault="00DC45B5" w:rsidP="004B44A0">
            <w:pPr>
              <w:pStyle w:val="ARTartustawynprozporzdzenia"/>
              <w:spacing w:before="0" w:line="240" w:lineRule="auto"/>
              <w:ind w:firstLine="0"/>
              <w:rPr>
                <w:rFonts w:ascii="Lato" w:hAnsi="Lato"/>
                <w:bCs/>
                <w:i/>
                <w:iCs/>
                <w:sz w:val="20"/>
              </w:rPr>
            </w:pPr>
            <w:r w:rsidRPr="006513A0">
              <w:rPr>
                <w:rFonts w:ascii="Lato" w:hAnsi="Lato"/>
                <w:bCs/>
                <w:i/>
                <w:iCs/>
                <w:color w:val="FF0000"/>
                <w:sz w:val="20"/>
              </w:rPr>
              <w:t>3</w:t>
            </w:r>
            <w:r w:rsidRPr="006513A0">
              <w:rPr>
                <w:rFonts w:ascii="Lato" w:hAnsi="Lato"/>
                <w:bCs/>
                <w:i/>
                <w:iCs/>
                <w:color w:val="FF0000"/>
                <w:sz w:val="20"/>
                <w:vertAlign w:val="superscript"/>
              </w:rPr>
              <w:t xml:space="preserve">1 </w:t>
            </w:r>
            <w:r w:rsidRPr="006513A0">
              <w:rPr>
                <w:rFonts w:ascii="Lato" w:hAnsi="Lato"/>
                <w:bCs/>
                <w:i/>
                <w:iCs/>
                <w:color w:val="FF0000"/>
                <w:sz w:val="20"/>
              </w:rPr>
              <w:t>Przepisu ust. 1 nie stosuje się do operatora systemu dystrybucyjnego będącego jednocześnie odbiorcą przemysłowym, znajdującym się w wykazie odbiorców przemysłowych, o którym mowa w art. 52 ust. 4 ustawy o odnawialnych źródłach energii.</w:t>
            </w:r>
            <w:r w:rsidRPr="006513A0">
              <w:rPr>
                <w:rFonts w:ascii="Lato" w:hAnsi="Lato"/>
                <w:bCs/>
                <w:i/>
                <w:iCs/>
                <w:color w:val="FF0000"/>
                <w:sz w:val="20"/>
                <w:vertAlign w:val="superscript"/>
              </w:rPr>
              <w:t xml:space="preserve"> </w:t>
            </w:r>
          </w:p>
        </w:tc>
        <w:tc>
          <w:tcPr>
            <w:tcW w:w="1428" w:type="dxa"/>
          </w:tcPr>
          <w:p w14:paraId="7AB9AD0D" w14:textId="77777777" w:rsidR="004B6E59" w:rsidRPr="006513A0" w:rsidRDefault="004B6E59" w:rsidP="005B4E15">
            <w:pPr>
              <w:jc w:val="both"/>
              <w:rPr>
                <w:rFonts w:ascii="Lato" w:hAnsi="Lato" w:cs="Times New Roman"/>
                <w:sz w:val="20"/>
                <w:szCs w:val="20"/>
              </w:rPr>
            </w:pPr>
          </w:p>
        </w:tc>
      </w:tr>
      <w:bookmarkEnd w:id="0"/>
    </w:tbl>
    <w:p w14:paraId="4A485AB3" w14:textId="77777777" w:rsidR="00CA2841" w:rsidRPr="006513A0" w:rsidRDefault="00CA2841" w:rsidP="00A9338E">
      <w:pPr>
        <w:spacing w:after="0" w:line="240" w:lineRule="auto"/>
        <w:rPr>
          <w:rFonts w:ascii="Lato" w:hAnsi="Lato" w:cs="Times New Roman"/>
          <w:sz w:val="20"/>
          <w:szCs w:val="20"/>
        </w:rPr>
      </w:pPr>
    </w:p>
    <w:sectPr w:rsidR="00CA2841" w:rsidRPr="006513A0" w:rsidSect="00B91BB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EFDC2" w14:textId="77777777" w:rsidR="00625512" w:rsidRDefault="00625512" w:rsidP="00CA2841">
      <w:pPr>
        <w:spacing w:after="0" w:line="240" w:lineRule="auto"/>
      </w:pPr>
      <w:r>
        <w:separator/>
      </w:r>
    </w:p>
  </w:endnote>
  <w:endnote w:type="continuationSeparator" w:id="0">
    <w:p w14:paraId="1210C0F7" w14:textId="77777777" w:rsidR="00625512" w:rsidRDefault="00625512" w:rsidP="00CA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200247B" w:usb2="00000009" w:usb3="00000000" w:csb0="000001FF" w:csb1="00000000"/>
  </w:font>
  <w:font w:name="Lato">
    <w:altName w:val="Arial"/>
    <w:charset w:val="00"/>
    <w:family w:val="swiss"/>
    <w:pitch w:val="variable"/>
    <w:sig w:usb0="00000001" w:usb1="5000ECFF" w:usb2="00000021" w:usb3="00000000" w:csb0="0000019F" w:csb1="00000000"/>
  </w:font>
  <w:font w:name="Open Sans">
    <w:charset w:val="EE"/>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D03B6" w14:textId="77777777" w:rsidR="00625512" w:rsidRDefault="00625512" w:rsidP="00CA2841">
      <w:pPr>
        <w:spacing w:after="0" w:line="240" w:lineRule="auto"/>
      </w:pPr>
      <w:r>
        <w:separator/>
      </w:r>
    </w:p>
  </w:footnote>
  <w:footnote w:type="continuationSeparator" w:id="0">
    <w:p w14:paraId="5C00F927" w14:textId="77777777" w:rsidR="00625512" w:rsidRDefault="00625512" w:rsidP="00CA2841">
      <w:pPr>
        <w:spacing w:after="0" w:line="240" w:lineRule="auto"/>
      </w:pPr>
      <w:r>
        <w:continuationSeparator/>
      </w:r>
    </w:p>
  </w:footnote>
  <w:footnote w:id="1">
    <w:p w14:paraId="722C9D04" w14:textId="76DFC1E6" w:rsidR="004F2D1D" w:rsidRPr="00EF494C" w:rsidRDefault="004F2D1D">
      <w:pPr>
        <w:pStyle w:val="Tekstprzypisudolnego"/>
        <w:rPr>
          <w:rFonts w:ascii="Lato" w:hAnsi="Lato" w:cs="Times New Roman"/>
          <w:sz w:val="22"/>
          <w:szCs w:val="22"/>
        </w:rPr>
      </w:pPr>
      <w:r w:rsidRPr="00EF494C">
        <w:rPr>
          <w:rStyle w:val="Odwoanieprzypisudolnego"/>
          <w:rFonts w:ascii="Lato" w:hAnsi="Lato" w:cs="Times New Roman"/>
        </w:rPr>
        <w:t>1)</w:t>
      </w:r>
      <w:r w:rsidRPr="00EF494C">
        <w:rPr>
          <w:rFonts w:ascii="Lato" w:hAnsi="Lato" w:cs="Times New Roman"/>
        </w:rPr>
        <w:t xml:space="preserve"> </w:t>
      </w:r>
      <w:r w:rsidR="00B91BB7" w:rsidRPr="00EF494C">
        <w:rPr>
          <w:rFonts w:ascii="Lato" w:hAnsi="Lato" w:cs="Times New Roman"/>
        </w:rPr>
        <w:t>W przypadku aktu nowelizującego n</w:t>
      </w:r>
      <w:r w:rsidRPr="00EF494C">
        <w:rPr>
          <w:rFonts w:ascii="Lato" w:hAnsi="Lato" w:cs="Times New Roman"/>
        </w:rPr>
        <w:t xml:space="preserve">ależy wskazać jednostkę redakcyjną projektu </w:t>
      </w:r>
      <w:r w:rsidR="00EB31B4" w:rsidRPr="00EF494C">
        <w:rPr>
          <w:rFonts w:ascii="Lato" w:hAnsi="Lato" w:cs="Times New Roman"/>
        </w:rPr>
        <w:t>oraz jednostkę redakcyjną zmienianego aktu prawnego.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41"/>
    <w:rsid w:val="00003CD6"/>
    <w:rsid w:val="00064FFE"/>
    <w:rsid w:val="00085F28"/>
    <w:rsid w:val="0008694F"/>
    <w:rsid w:val="000A275E"/>
    <w:rsid w:val="000D52F2"/>
    <w:rsid w:val="000E2070"/>
    <w:rsid w:val="000E2749"/>
    <w:rsid w:val="00141822"/>
    <w:rsid w:val="00165D91"/>
    <w:rsid w:val="00170B3C"/>
    <w:rsid w:val="00173E53"/>
    <w:rsid w:val="00174A16"/>
    <w:rsid w:val="00185CF3"/>
    <w:rsid w:val="00187AD3"/>
    <w:rsid w:val="00193F43"/>
    <w:rsid w:val="0019568F"/>
    <w:rsid w:val="001B734F"/>
    <w:rsid w:val="001C1718"/>
    <w:rsid w:val="001E4824"/>
    <w:rsid w:val="001F6727"/>
    <w:rsid w:val="0028117E"/>
    <w:rsid w:val="002A6800"/>
    <w:rsid w:val="002F0DBB"/>
    <w:rsid w:val="003122BA"/>
    <w:rsid w:val="003234C4"/>
    <w:rsid w:val="00334D76"/>
    <w:rsid w:val="0035402D"/>
    <w:rsid w:val="00375F6D"/>
    <w:rsid w:val="00387119"/>
    <w:rsid w:val="003D2CAB"/>
    <w:rsid w:val="00435D45"/>
    <w:rsid w:val="00450CF0"/>
    <w:rsid w:val="0045311D"/>
    <w:rsid w:val="00474B3C"/>
    <w:rsid w:val="00481C08"/>
    <w:rsid w:val="004B44A0"/>
    <w:rsid w:val="004B6E59"/>
    <w:rsid w:val="004B77E6"/>
    <w:rsid w:val="004F2675"/>
    <w:rsid w:val="004F2D1D"/>
    <w:rsid w:val="00514B88"/>
    <w:rsid w:val="00551EF5"/>
    <w:rsid w:val="00552A10"/>
    <w:rsid w:val="0058490C"/>
    <w:rsid w:val="005924DF"/>
    <w:rsid w:val="005B4E15"/>
    <w:rsid w:val="005D2F92"/>
    <w:rsid w:val="00625512"/>
    <w:rsid w:val="00641E3D"/>
    <w:rsid w:val="006513A0"/>
    <w:rsid w:val="00655A10"/>
    <w:rsid w:val="0065784C"/>
    <w:rsid w:val="0069773A"/>
    <w:rsid w:val="006D6658"/>
    <w:rsid w:val="006E0695"/>
    <w:rsid w:val="006E1F3E"/>
    <w:rsid w:val="00710955"/>
    <w:rsid w:val="00744EC0"/>
    <w:rsid w:val="00752D57"/>
    <w:rsid w:val="00762BC2"/>
    <w:rsid w:val="00773DAD"/>
    <w:rsid w:val="007771BE"/>
    <w:rsid w:val="007C7758"/>
    <w:rsid w:val="007D66C8"/>
    <w:rsid w:val="007F0B65"/>
    <w:rsid w:val="008461FE"/>
    <w:rsid w:val="00856750"/>
    <w:rsid w:val="0085759A"/>
    <w:rsid w:val="00861712"/>
    <w:rsid w:val="00882398"/>
    <w:rsid w:val="008852D2"/>
    <w:rsid w:val="008917E2"/>
    <w:rsid w:val="00894E5C"/>
    <w:rsid w:val="008A5CD8"/>
    <w:rsid w:val="008B1756"/>
    <w:rsid w:val="008B766F"/>
    <w:rsid w:val="008E6311"/>
    <w:rsid w:val="0090574C"/>
    <w:rsid w:val="009260F6"/>
    <w:rsid w:val="00934B37"/>
    <w:rsid w:val="0097016B"/>
    <w:rsid w:val="009B5AD6"/>
    <w:rsid w:val="009C7063"/>
    <w:rsid w:val="009E504D"/>
    <w:rsid w:val="00A01497"/>
    <w:rsid w:val="00A17460"/>
    <w:rsid w:val="00A41C93"/>
    <w:rsid w:val="00A9338E"/>
    <w:rsid w:val="00AB3599"/>
    <w:rsid w:val="00AB70A2"/>
    <w:rsid w:val="00AF746D"/>
    <w:rsid w:val="00B0093F"/>
    <w:rsid w:val="00B02748"/>
    <w:rsid w:val="00B25F31"/>
    <w:rsid w:val="00B3682D"/>
    <w:rsid w:val="00B61F78"/>
    <w:rsid w:val="00B72A12"/>
    <w:rsid w:val="00B829F8"/>
    <w:rsid w:val="00B86ED0"/>
    <w:rsid w:val="00B87298"/>
    <w:rsid w:val="00B90B43"/>
    <w:rsid w:val="00B91BB7"/>
    <w:rsid w:val="00BC2A70"/>
    <w:rsid w:val="00C512C2"/>
    <w:rsid w:val="00C52165"/>
    <w:rsid w:val="00C93278"/>
    <w:rsid w:val="00CA2841"/>
    <w:rsid w:val="00CB218B"/>
    <w:rsid w:val="00CC7F74"/>
    <w:rsid w:val="00CD3075"/>
    <w:rsid w:val="00CE2F98"/>
    <w:rsid w:val="00CF51ED"/>
    <w:rsid w:val="00D037B3"/>
    <w:rsid w:val="00D35962"/>
    <w:rsid w:val="00D443F1"/>
    <w:rsid w:val="00D66167"/>
    <w:rsid w:val="00D82B34"/>
    <w:rsid w:val="00D86C47"/>
    <w:rsid w:val="00DB1164"/>
    <w:rsid w:val="00DC45B5"/>
    <w:rsid w:val="00DD3FB5"/>
    <w:rsid w:val="00E2776A"/>
    <w:rsid w:val="00E357C2"/>
    <w:rsid w:val="00E40E3D"/>
    <w:rsid w:val="00E52A7E"/>
    <w:rsid w:val="00E65DF9"/>
    <w:rsid w:val="00E86CDC"/>
    <w:rsid w:val="00EB31B4"/>
    <w:rsid w:val="00EC4C43"/>
    <w:rsid w:val="00EE79D8"/>
    <w:rsid w:val="00EF494C"/>
    <w:rsid w:val="00F06C7C"/>
    <w:rsid w:val="00F222F9"/>
    <w:rsid w:val="00F47191"/>
    <w:rsid w:val="00F55171"/>
    <w:rsid w:val="00F6016B"/>
    <w:rsid w:val="00F93BB8"/>
    <w:rsid w:val="00FE0F97"/>
    <w:rsid w:val="00FF0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28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2841"/>
    <w:rPr>
      <w:sz w:val="20"/>
      <w:szCs w:val="20"/>
    </w:rPr>
  </w:style>
  <w:style w:type="character" w:styleId="Odwoanieprzypisudolnego">
    <w:name w:val="footnote reference"/>
    <w:basedOn w:val="Domylnaczcionkaakapitu"/>
    <w:uiPriority w:val="99"/>
    <w:semiHidden/>
    <w:unhideWhenUsed/>
    <w:rsid w:val="00CA2841"/>
    <w:rPr>
      <w:vertAlign w:val="superscript"/>
    </w:rPr>
  </w:style>
  <w:style w:type="table" w:styleId="Tabela-Siatka">
    <w:name w:val="Table Grid"/>
    <w:basedOn w:val="Standardowy"/>
    <w:uiPriority w:val="39"/>
    <w:rsid w:val="00CA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F2D1D"/>
    <w:rPr>
      <w:sz w:val="16"/>
      <w:szCs w:val="16"/>
    </w:rPr>
  </w:style>
  <w:style w:type="paragraph" w:styleId="Tekstkomentarza">
    <w:name w:val="annotation text"/>
    <w:basedOn w:val="Normalny"/>
    <w:link w:val="TekstkomentarzaZnak"/>
    <w:uiPriority w:val="99"/>
    <w:unhideWhenUsed/>
    <w:rsid w:val="004F2D1D"/>
    <w:pPr>
      <w:spacing w:line="240" w:lineRule="auto"/>
    </w:pPr>
    <w:rPr>
      <w:sz w:val="20"/>
      <w:szCs w:val="20"/>
    </w:rPr>
  </w:style>
  <w:style w:type="character" w:customStyle="1" w:styleId="TekstkomentarzaZnak">
    <w:name w:val="Tekst komentarza Znak"/>
    <w:basedOn w:val="Domylnaczcionkaakapitu"/>
    <w:link w:val="Tekstkomentarza"/>
    <w:uiPriority w:val="99"/>
    <w:rsid w:val="004F2D1D"/>
    <w:rPr>
      <w:sz w:val="20"/>
      <w:szCs w:val="20"/>
    </w:rPr>
  </w:style>
  <w:style w:type="paragraph" w:styleId="Tematkomentarza">
    <w:name w:val="annotation subject"/>
    <w:basedOn w:val="Tekstkomentarza"/>
    <w:next w:val="Tekstkomentarza"/>
    <w:link w:val="TematkomentarzaZnak"/>
    <w:uiPriority w:val="99"/>
    <w:semiHidden/>
    <w:unhideWhenUsed/>
    <w:rsid w:val="004F2D1D"/>
    <w:rPr>
      <w:b/>
      <w:bCs/>
    </w:rPr>
  </w:style>
  <w:style w:type="character" w:customStyle="1" w:styleId="TematkomentarzaZnak">
    <w:name w:val="Temat komentarza Znak"/>
    <w:basedOn w:val="TekstkomentarzaZnak"/>
    <w:link w:val="Tematkomentarza"/>
    <w:uiPriority w:val="99"/>
    <w:semiHidden/>
    <w:rsid w:val="004F2D1D"/>
    <w:rPr>
      <w:b/>
      <w:bCs/>
      <w:sz w:val="20"/>
      <w:szCs w:val="20"/>
    </w:rPr>
  </w:style>
  <w:style w:type="paragraph" w:customStyle="1" w:styleId="ZLITUSTzmustliter">
    <w:name w:val="Z_LIT/UST(§) – zm. ust. (§) literą"/>
    <w:basedOn w:val="Normalny"/>
    <w:uiPriority w:val="46"/>
    <w:qFormat/>
    <w:rsid w:val="008917E2"/>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customStyle="1" w:styleId="ZLITPKTzmpktliter">
    <w:name w:val="Z_LIT/PKT – zm. pkt literą"/>
    <w:basedOn w:val="Normalny"/>
    <w:uiPriority w:val="47"/>
    <w:qFormat/>
    <w:rsid w:val="008917E2"/>
    <w:pPr>
      <w:spacing w:after="0" w:line="360" w:lineRule="auto"/>
      <w:ind w:left="1497" w:hanging="510"/>
      <w:jc w:val="both"/>
    </w:pPr>
    <w:rPr>
      <w:rFonts w:ascii="Times" w:eastAsiaTheme="minorEastAsia" w:hAnsi="Times" w:cs="Arial"/>
      <w:bCs/>
      <w:sz w:val="24"/>
      <w:szCs w:val="20"/>
      <w:lang w:eastAsia="pl-PL"/>
    </w:rPr>
  </w:style>
  <w:style w:type="paragraph" w:customStyle="1" w:styleId="ZTIRPKTzmpkttiret">
    <w:name w:val="Z_TIR/PKT – zm. pkt tiret"/>
    <w:basedOn w:val="Normalny"/>
    <w:uiPriority w:val="56"/>
    <w:qFormat/>
    <w:rsid w:val="0058490C"/>
    <w:pPr>
      <w:spacing w:after="0" w:line="360" w:lineRule="auto"/>
      <w:ind w:left="1893" w:hanging="510"/>
      <w:jc w:val="both"/>
    </w:pPr>
    <w:rPr>
      <w:rFonts w:ascii="Times" w:eastAsiaTheme="minorEastAsia" w:hAnsi="Times" w:cs="Arial"/>
      <w:bCs/>
      <w:sz w:val="24"/>
      <w:szCs w:val="20"/>
      <w:lang w:eastAsia="pl-PL"/>
    </w:rPr>
  </w:style>
  <w:style w:type="paragraph" w:styleId="Tytu">
    <w:name w:val="Title"/>
    <w:basedOn w:val="Normalny"/>
    <w:next w:val="Normalny"/>
    <w:link w:val="TytuZnak"/>
    <w:uiPriority w:val="10"/>
    <w:qFormat/>
    <w:rsid w:val="00FF07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FF072C"/>
    <w:rPr>
      <w:rFonts w:asciiTheme="majorHAnsi" w:eastAsiaTheme="majorEastAsia" w:hAnsiTheme="majorHAnsi" w:cstheme="majorBidi"/>
      <w:spacing w:val="-10"/>
      <w:kern w:val="28"/>
      <w:sz w:val="56"/>
      <w:szCs w:val="56"/>
      <w14:ligatures w14:val="standardContextual"/>
    </w:rPr>
  </w:style>
  <w:style w:type="paragraph" w:customStyle="1" w:styleId="ARTartustawynprozporzdzenia">
    <w:name w:val="ART(§) – art. ustawy (§ np. rozporządzenia)"/>
    <w:uiPriority w:val="11"/>
    <w:qFormat/>
    <w:rsid w:val="00FF072C"/>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FF072C"/>
    <w:pPr>
      <w:spacing w:after="0" w:line="360" w:lineRule="auto"/>
      <w:ind w:left="510" w:hanging="510"/>
      <w:jc w:val="both"/>
    </w:pPr>
    <w:rPr>
      <w:rFonts w:ascii="Times" w:eastAsiaTheme="minorEastAsia" w:hAnsi="Times" w:cs="Arial"/>
      <w:bCs/>
      <w:sz w:val="24"/>
      <w:szCs w:val="20"/>
      <w:lang w:eastAsia="pl-PL"/>
    </w:rPr>
  </w:style>
  <w:style w:type="paragraph" w:styleId="Tekstprzypisukocowego">
    <w:name w:val="endnote text"/>
    <w:basedOn w:val="Normalny"/>
    <w:link w:val="TekstprzypisukocowegoZnak"/>
    <w:uiPriority w:val="99"/>
    <w:semiHidden/>
    <w:unhideWhenUsed/>
    <w:rsid w:val="004B44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44A0"/>
    <w:rPr>
      <w:sz w:val="20"/>
      <w:szCs w:val="20"/>
    </w:rPr>
  </w:style>
  <w:style w:type="character" w:styleId="Odwoanieprzypisukocowego">
    <w:name w:val="endnote reference"/>
    <w:basedOn w:val="Domylnaczcionkaakapitu"/>
    <w:uiPriority w:val="99"/>
    <w:semiHidden/>
    <w:unhideWhenUsed/>
    <w:rsid w:val="004B44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28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2841"/>
    <w:rPr>
      <w:sz w:val="20"/>
      <w:szCs w:val="20"/>
    </w:rPr>
  </w:style>
  <w:style w:type="character" w:styleId="Odwoanieprzypisudolnego">
    <w:name w:val="footnote reference"/>
    <w:basedOn w:val="Domylnaczcionkaakapitu"/>
    <w:uiPriority w:val="99"/>
    <w:semiHidden/>
    <w:unhideWhenUsed/>
    <w:rsid w:val="00CA2841"/>
    <w:rPr>
      <w:vertAlign w:val="superscript"/>
    </w:rPr>
  </w:style>
  <w:style w:type="table" w:styleId="Tabela-Siatka">
    <w:name w:val="Table Grid"/>
    <w:basedOn w:val="Standardowy"/>
    <w:uiPriority w:val="39"/>
    <w:rsid w:val="00CA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F2D1D"/>
    <w:rPr>
      <w:sz w:val="16"/>
      <w:szCs w:val="16"/>
    </w:rPr>
  </w:style>
  <w:style w:type="paragraph" w:styleId="Tekstkomentarza">
    <w:name w:val="annotation text"/>
    <w:basedOn w:val="Normalny"/>
    <w:link w:val="TekstkomentarzaZnak"/>
    <w:uiPriority w:val="99"/>
    <w:unhideWhenUsed/>
    <w:rsid w:val="004F2D1D"/>
    <w:pPr>
      <w:spacing w:line="240" w:lineRule="auto"/>
    </w:pPr>
    <w:rPr>
      <w:sz w:val="20"/>
      <w:szCs w:val="20"/>
    </w:rPr>
  </w:style>
  <w:style w:type="character" w:customStyle="1" w:styleId="TekstkomentarzaZnak">
    <w:name w:val="Tekst komentarza Znak"/>
    <w:basedOn w:val="Domylnaczcionkaakapitu"/>
    <w:link w:val="Tekstkomentarza"/>
    <w:uiPriority w:val="99"/>
    <w:rsid w:val="004F2D1D"/>
    <w:rPr>
      <w:sz w:val="20"/>
      <w:szCs w:val="20"/>
    </w:rPr>
  </w:style>
  <w:style w:type="paragraph" w:styleId="Tematkomentarza">
    <w:name w:val="annotation subject"/>
    <w:basedOn w:val="Tekstkomentarza"/>
    <w:next w:val="Tekstkomentarza"/>
    <w:link w:val="TematkomentarzaZnak"/>
    <w:uiPriority w:val="99"/>
    <w:semiHidden/>
    <w:unhideWhenUsed/>
    <w:rsid w:val="004F2D1D"/>
    <w:rPr>
      <w:b/>
      <w:bCs/>
    </w:rPr>
  </w:style>
  <w:style w:type="character" w:customStyle="1" w:styleId="TematkomentarzaZnak">
    <w:name w:val="Temat komentarza Znak"/>
    <w:basedOn w:val="TekstkomentarzaZnak"/>
    <w:link w:val="Tematkomentarza"/>
    <w:uiPriority w:val="99"/>
    <w:semiHidden/>
    <w:rsid w:val="004F2D1D"/>
    <w:rPr>
      <w:b/>
      <w:bCs/>
      <w:sz w:val="20"/>
      <w:szCs w:val="20"/>
    </w:rPr>
  </w:style>
  <w:style w:type="paragraph" w:customStyle="1" w:styleId="ZLITUSTzmustliter">
    <w:name w:val="Z_LIT/UST(§) – zm. ust. (§) literą"/>
    <w:basedOn w:val="Normalny"/>
    <w:uiPriority w:val="46"/>
    <w:qFormat/>
    <w:rsid w:val="008917E2"/>
    <w:pPr>
      <w:suppressAutoHyphens/>
      <w:autoSpaceDE w:val="0"/>
      <w:autoSpaceDN w:val="0"/>
      <w:adjustRightInd w:val="0"/>
      <w:spacing w:after="0" w:line="360" w:lineRule="auto"/>
      <w:ind w:left="987" w:firstLine="510"/>
      <w:jc w:val="both"/>
    </w:pPr>
    <w:rPr>
      <w:rFonts w:ascii="Times" w:eastAsiaTheme="minorEastAsia" w:hAnsi="Times" w:cs="Arial"/>
      <w:bCs/>
      <w:sz w:val="24"/>
      <w:szCs w:val="20"/>
      <w:lang w:eastAsia="pl-PL"/>
    </w:rPr>
  </w:style>
  <w:style w:type="paragraph" w:customStyle="1" w:styleId="ZLITPKTzmpktliter">
    <w:name w:val="Z_LIT/PKT – zm. pkt literą"/>
    <w:basedOn w:val="Normalny"/>
    <w:uiPriority w:val="47"/>
    <w:qFormat/>
    <w:rsid w:val="008917E2"/>
    <w:pPr>
      <w:spacing w:after="0" w:line="360" w:lineRule="auto"/>
      <w:ind w:left="1497" w:hanging="510"/>
      <w:jc w:val="both"/>
    </w:pPr>
    <w:rPr>
      <w:rFonts w:ascii="Times" w:eastAsiaTheme="minorEastAsia" w:hAnsi="Times" w:cs="Arial"/>
      <w:bCs/>
      <w:sz w:val="24"/>
      <w:szCs w:val="20"/>
      <w:lang w:eastAsia="pl-PL"/>
    </w:rPr>
  </w:style>
  <w:style w:type="paragraph" w:customStyle="1" w:styleId="ZTIRPKTzmpkttiret">
    <w:name w:val="Z_TIR/PKT – zm. pkt tiret"/>
    <w:basedOn w:val="Normalny"/>
    <w:uiPriority w:val="56"/>
    <w:qFormat/>
    <w:rsid w:val="0058490C"/>
    <w:pPr>
      <w:spacing w:after="0" w:line="360" w:lineRule="auto"/>
      <w:ind w:left="1893" w:hanging="510"/>
      <w:jc w:val="both"/>
    </w:pPr>
    <w:rPr>
      <w:rFonts w:ascii="Times" w:eastAsiaTheme="minorEastAsia" w:hAnsi="Times" w:cs="Arial"/>
      <w:bCs/>
      <w:sz w:val="24"/>
      <w:szCs w:val="20"/>
      <w:lang w:eastAsia="pl-PL"/>
    </w:rPr>
  </w:style>
  <w:style w:type="paragraph" w:styleId="Tytu">
    <w:name w:val="Title"/>
    <w:basedOn w:val="Normalny"/>
    <w:next w:val="Normalny"/>
    <w:link w:val="TytuZnak"/>
    <w:uiPriority w:val="10"/>
    <w:qFormat/>
    <w:rsid w:val="00FF072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FF072C"/>
    <w:rPr>
      <w:rFonts w:asciiTheme="majorHAnsi" w:eastAsiaTheme="majorEastAsia" w:hAnsiTheme="majorHAnsi" w:cstheme="majorBidi"/>
      <w:spacing w:val="-10"/>
      <w:kern w:val="28"/>
      <w:sz w:val="56"/>
      <w:szCs w:val="56"/>
      <w14:ligatures w14:val="standardContextual"/>
    </w:rPr>
  </w:style>
  <w:style w:type="paragraph" w:customStyle="1" w:styleId="ARTartustawynprozporzdzenia">
    <w:name w:val="ART(§) – art. ustawy (§ np. rozporządzenia)"/>
    <w:uiPriority w:val="11"/>
    <w:qFormat/>
    <w:rsid w:val="00FF072C"/>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FF072C"/>
    <w:pPr>
      <w:spacing w:after="0" w:line="360" w:lineRule="auto"/>
      <w:ind w:left="510" w:hanging="510"/>
      <w:jc w:val="both"/>
    </w:pPr>
    <w:rPr>
      <w:rFonts w:ascii="Times" w:eastAsiaTheme="minorEastAsia" w:hAnsi="Times" w:cs="Arial"/>
      <w:bCs/>
      <w:sz w:val="24"/>
      <w:szCs w:val="20"/>
      <w:lang w:eastAsia="pl-PL"/>
    </w:rPr>
  </w:style>
  <w:style w:type="paragraph" w:styleId="Tekstprzypisukocowego">
    <w:name w:val="endnote text"/>
    <w:basedOn w:val="Normalny"/>
    <w:link w:val="TekstprzypisukocowegoZnak"/>
    <w:uiPriority w:val="99"/>
    <w:semiHidden/>
    <w:unhideWhenUsed/>
    <w:rsid w:val="004B44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44A0"/>
    <w:rPr>
      <w:sz w:val="20"/>
      <w:szCs w:val="20"/>
    </w:rPr>
  </w:style>
  <w:style w:type="character" w:styleId="Odwoanieprzypisukocowego">
    <w:name w:val="endnote reference"/>
    <w:basedOn w:val="Domylnaczcionkaakapitu"/>
    <w:uiPriority w:val="99"/>
    <w:semiHidden/>
    <w:unhideWhenUsed/>
    <w:rsid w:val="004B44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724D-1D3C-4B79-9A1D-10A91618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5375</Words>
  <Characters>32256</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Wójcikiewicz-Kawa Agata</dc:creator>
  <cp:keywords/>
  <dc:description/>
  <cp:lastModifiedBy>ZPPM</cp:lastModifiedBy>
  <cp:revision>15</cp:revision>
  <dcterms:created xsi:type="dcterms:W3CDTF">2025-04-07T13:03:00Z</dcterms:created>
  <dcterms:modified xsi:type="dcterms:W3CDTF">2025-04-10T09:50:00Z</dcterms:modified>
</cp:coreProperties>
</file>