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E21A6" w14:textId="77777777" w:rsidR="00A30893" w:rsidRPr="00586923" w:rsidRDefault="00A30893" w:rsidP="00CD4ACE">
      <w:pPr>
        <w:spacing w:after="0" w:line="288" w:lineRule="auto"/>
        <w:rPr>
          <w:rFonts w:ascii="Arial" w:hAnsi="Arial" w:cs="Arial"/>
        </w:rPr>
      </w:pPr>
      <w:r w:rsidRPr="00586923">
        <w:rPr>
          <w:rFonts w:ascii="Arial" w:hAnsi="Arial" w:cs="Arial"/>
          <w:noProof/>
          <w:lang w:eastAsia="pl-PL"/>
        </w:rPr>
        <w:drawing>
          <wp:inline distT="0" distB="0" distL="0" distR="0" wp14:anchorId="03A8447E" wp14:editId="0FED55EA">
            <wp:extent cx="5683910" cy="943559"/>
            <wp:effectExtent l="0" t="0" r="0" b="9525"/>
            <wp:docPr id="2" name="Obraz 2" descr="Obraz zawierający tekst, Czcionka, zrzut ekranu,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sztuczną inteligencję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3DBD9BB8" w14:textId="77777777" w:rsidR="00A30893" w:rsidRDefault="00A30893" w:rsidP="00CD4ACE">
      <w:pPr>
        <w:spacing w:after="0" w:line="288"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2E0BC773" w14:textId="77777777" w:rsidR="00A30893" w:rsidRPr="00586923" w:rsidRDefault="00A30893" w:rsidP="00CD4ACE">
      <w:pPr>
        <w:spacing w:after="0" w:line="288"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14EF45F2" w14:textId="10C67718" w:rsidR="00A30893" w:rsidRPr="00586923" w:rsidRDefault="00A30893" w:rsidP="00CD4ACE">
      <w:pPr>
        <w:spacing w:after="0" w:line="288" w:lineRule="auto"/>
        <w:jc w:val="center"/>
        <w:rPr>
          <w:rFonts w:ascii="Arial" w:hAnsi="Arial" w:cs="Arial"/>
        </w:rPr>
      </w:pPr>
      <w:r w:rsidRPr="00586923">
        <w:rPr>
          <w:rFonts w:ascii="Arial" w:hAnsi="Arial" w:cs="Arial"/>
          <w:b/>
        </w:rPr>
        <w:t xml:space="preserve">w okresie od </w:t>
      </w:r>
      <w:r>
        <w:rPr>
          <w:rFonts w:ascii="Arial" w:hAnsi="Arial" w:cs="Arial"/>
          <w:b/>
        </w:rPr>
        <w:t xml:space="preserve">5 </w:t>
      </w:r>
      <w:r w:rsidRPr="00586923">
        <w:rPr>
          <w:rFonts w:ascii="Arial" w:hAnsi="Arial" w:cs="Arial"/>
          <w:b/>
        </w:rPr>
        <w:t xml:space="preserve">do </w:t>
      </w:r>
      <w:r>
        <w:rPr>
          <w:rFonts w:ascii="Arial" w:hAnsi="Arial" w:cs="Arial"/>
          <w:b/>
        </w:rPr>
        <w:t>11 maja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14:paraId="3A5B0D1C" w14:textId="74A25609" w:rsidR="00A30893" w:rsidRPr="00AC3187" w:rsidRDefault="00A30893" w:rsidP="00CD4ACE">
      <w:pPr>
        <w:spacing w:after="0" w:line="288" w:lineRule="auto"/>
        <w:jc w:val="center"/>
        <w:rPr>
          <w:rFonts w:ascii="Arial" w:hAnsi="Arial" w:cs="Arial"/>
        </w:rPr>
      </w:pPr>
      <w:r w:rsidRPr="00AC3187">
        <w:rPr>
          <w:rFonts w:ascii="Arial" w:hAnsi="Arial" w:cs="Arial"/>
        </w:rPr>
        <w:t xml:space="preserve">Raport na dzień </w:t>
      </w:r>
      <w:r>
        <w:rPr>
          <w:rFonts w:ascii="Arial" w:hAnsi="Arial" w:cs="Arial"/>
        </w:rPr>
        <w:t>1</w:t>
      </w:r>
      <w:r w:rsidR="004C14A8">
        <w:rPr>
          <w:rFonts w:ascii="Arial" w:hAnsi="Arial" w:cs="Arial"/>
        </w:rPr>
        <w:t>5</w:t>
      </w:r>
      <w:r>
        <w:rPr>
          <w:rFonts w:ascii="Arial" w:hAnsi="Arial" w:cs="Arial"/>
        </w:rPr>
        <w:t xml:space="preserve"> maja</w:t>
      </w:r>
      <w:r w:rsidRPr="00AC3187">
        <w:rPr>
          <w:rFonts w:ascii="Arial" w:hAnsi="Arial" w:cs="Arial"/>
        </w:rPr>
        <w:t xml:space="preserve"> 202</w:t>
      </w:r>
      <w:r w:rsidR="00B616CA">
        <w:rPr>
          <w:rFonts w:ascii="Arial" w:hAnsi="Arial" w:cs="Arial"/>
        </w:rPr>
        <w:t>5</w:t>
      </w:r>
      <w:r w:rsidRPr="00AC3187">
        <w:rPr>
          <w:rFonts w:ascii="Arial" w:hAnsi="Arial" w:cs="Arial"/>
        </w:rPr>
        <w:t xml:space="preserve"> roku</w:t>
      </w:r>
    </w:p>
    <w:p w14:paraId="5212CDDA" w14:textId="77777777" w:rsidR="00A30893" w:rsidRPr="00CD4ACE" w:rsidRDefault="00A30893" w:rsidP="00CD4ACE">
      <w:pPr>
        <w:spacing w:after="0" w:line="288" w:lineRule="auto"/>
        <w:jc w:val="both"/>
        <w:rPr>
          <w:rFonts w:ascii="Arial" w:hAnsi="Arial" w:cs="Arial"/>
        </w:rPr>
      </w:pPr>
    </w:p>
    <w:p w14:paraId="36700681" w14:textId="77777777" w:rsidR="00A30893" w:rsidRPr="00CD4ACE" w:rsidRDefault="00A30893" w:rsidP="00CD4ACE">
      <w:pPr>
        <w:pStyle w:val="Akapitzlist"/>
        <w:numPr>
          <w:ilvl w:val="0"/>
          <w:numId w:val="1"/>
        </w:numPr>
        <w:spacing w:after="0" w:line="288" w:lineRule="auto"/>
        <w:ind w:left="284" w:hanging="284"/>
        <w:jc w:val="both"/>
        <w:rPr>
          <w:rFonts w:ascii="Arial" w:hAnsi="Arial" w:cs="Arial"/>
          <w:b/>
        </w:rPr>
      </w:pPr>
      <w:r w:rsidRPr="00CD4ACE">
        <w:rPr>
          <w:rFonts w:ascii="Arial" w:hAnsi="Arial" w:cs="Arial"/>
          <w:b/>
        </w:rPr>
        <w:t>Projekty aktów prawnych</w:t>
      </w:r>
    </w:p>
    <w:p w14:paraId="02B64255" w14:textId="77777777" w:rsidR="00A30893" w:rsidRPr="00CD4ACE" w:rsidRDefault="00A30893" w:rsidP="00CD4ACE">
      <w:pPr>
        <w:spacing w:after="0" w:line="288" w:lineRule="auto"/>
        <w:jc w:val="both"/>
        <w:rPr>
          <w:rFonts w:ascii="Arial" w:hAnsi="Arial" w:cs="Arial"/>
        </w:rPr>
      </w:pPr>
    </w:p>
    <w:p w14:paraId="251B6496" w14:textId="2783C55F" w:rsidR="00A30893" w:rsidRPr="00CD4ACE" w:rsidRDefault="00A30893" w:rsidP="00CD4ACE">
      <w:pPr>
        <w:spacing w:after="0" w:line="288" w:lineRule="auto"/>
        <w:jc w:val="both"/>
        <w:rPr>
          <w:rFonts w:ascii="Arial" w:hAnsi="Arial" w:cs="Arial"/>
        </w:rPr>
      </w:pPr>
      <w:r w:rsidRPr="00CD4ACE">
        <w:rPr>
          <w:rFonts w:ascii="Arial" w:hAnsi="Arial" w:cs="Arial"/>
        </w:rPr>
        <w:t xml:space="preserve">W omawianym okresie </w:t>
      </w:r>
      <w:r w:rsidRPr="00CD4ACE">
        <w:rPr>
          <w:rFonts w:ascii="Arial" w:eastAsia="Calibri" w:hAnsi="Arial" w:cs="Arial"/>
          <w:bCs/>
        </w:rPr>
        <w:t xml:space="preserve">Rządowe Centrum Legislacji opublikowało </w:t>
      </w:r>
      <w:r w:rsidR="003403A9" w:rsidRPr="00CD4ACE">
        <w:rPr>
          <w:rFonts w:ascii="Arial" w:eastAsia="Calibri" w:hAnsi="Arial" w:cs="Arial"/>
          <w:bCs/>
        </w:rPr>
        <w:t>11</w:t>
      </w:r>
      <w:r w:rsidRPr="00CD4ACE">
        <w:rPr>
          <w:rFonts w:ascii="Arial" w:eastAsia="Calibri" w:hAnsi="Arial" w:cs="Arial"/>
          <w:bCs/>
        </w:rPr>
        <w:t xml:space="preserve"> projekt</w:t>
      </w:r>
      <w:r w:rsidR="003403A9" w:rsidRPr="00CD4ACE">
        <w:rPr>
          <w:rFonts w:ascii="Arial" w:eastAsia="Calibri" w:hAnsi="Arial" w:cs="Arial"/>
          <w:bCs/>
        </w:rPr>
        <w:t>ów</w:t>
      </w:r>
      <w:r w:rsidRPr="00CD4ACE">
        <w:rPr>
          <w:rFonts w:ascii="Arial" w:eastAsia="Calibri" w:hAnsi="Arial" w:cs="Arial"/>
          <w:bCs/>
        </w:rPr>
        <w:t xml:space="preserve"> ustaw oraz</w:t>
      </w:r>
      <w:r w:rsidRPr="00CD4ACE">
        <w:rPr>
          <w:rFonts w:ascii="Arial" w:hAnsi="Arial" w:cs="Arial"/>
        </w:rPr>
        <w:t xml:space="preserve"> </w:t>
      </w:r>
      <w:r w:rsidR="003403A9" w:rsidRPr="00CD4ACE">
        <w:rPr>
          <w:rFonts w:ascii="Arial" w:hAnsi="Arial" w:cs="Arial"/>
        </w:rPr>
        <w:t>10</w:t>
      </w:r>
      <w:r w:rsidRPr="00CD4ACE">
        <w:rPr>
          <w:rFonts w:ascii="Arial" w:hAnsi="Arial" w:cs="Arial"/>
        </w:rPr>
        <w:t xml:space="preserve"> projekt</w:t>
      </w:r>
      <w:r w:rsidR="003403A9" w:rsidRPr="00CD4ACE">
        <w:rPr>
          <w:rFonts w:ascii="Arial" w:hAnsi="Arial" w:cs="Arial"/>
        </w:rPr>
        <w:t>ów</w:t>
      </w:r>
      <w:r w:rsidRPr="00CD4ACE">
        <w:rPr>
          <w:rFonts w:ascii="Arial" w:hAnsi="Arial" w:cs="Arial"/>
        </w:rPr>
        <w:t xml:space="preserve"> rozporządzeń Rady Ministrów, Prezesa Rady Ministrów oraz poszczególnych Ministrów.</w:t>
      </w:r>
    </w:p>
    <w:p w14:paraId="26EEA0B1" w14:textId="77777777" w:rsidR="00A30893" w:rsidRPr="00CD4ACE" w:rsidRDefault="00A30893" w:rsidP="00CD4ACE">
      <w:pPr>
        <w:spacing w:after="0" w:line="288" w:lineRule="auto"/>
        <w:jc w:val="both"/>
        <w:rPr>
          <w:rFonts w:ascii="Arial" w:hAnsi="Arial" w:cs="Arial"/>
        </w:rPr>
      </w:pPr>
    </w:p>
    <w:p w14:paraId="2B977ABF" w14:textId="0C224F11" w:rsidR="00A30893" w:rsidRPr="00CD4ACE" w:rsidRDefault="00A30893" w:rsidP="00CD4ACE">
      <w:pPr>
        <w:spacing w:after="0" w:line="288" w:lineRule="auto"/>
        <w:jc w:val="both"/>
        <w:rPr>
          <w:rFonts w:ascii="Arial" w:hAnsi="Arial" w:cs="Arial"/>
        </w:rPr>
      </w:pPr>
      <w:r w:rsidRPr="00CD4ACE">
        <w:rPr>
          <w:rFonts w:ascii="Arial" w:hAnsi="Arial" w:cs="Arial"/>
        </w:rPr>
        <w:t xml:space="preserve">Przeprowadzono konsultacje </w:t>
      </w:r>
      <w:r w:rsidR="003403A9" w:rsidRPr="00CD4ACE">
        <w:rPr>
          <w:rFonts w:ascii="Arial" w:hAnsi="Arial" w:cs="Arial"/>
        </w:rPr>
        <w:t>8</w:t>
      </w:r>
      <w:r w:rsidRPr="00CD4ACE">
        <w:rPr>
          <w:rFonts w:ascii="Arial" w:hAnsi="Arial" w:cs="Arial"/>
        </w:rPr>
        <w:t xml:space="preserve"> projekt</w:t>
      </w:r>
      <w:r w:rsidR="003403A9" w:rsidRPr="00CD4ACE">
        <w:rPr>
          <w:rFonts w:ascii="Arial" w:hAnsi="Arial" w:cs="Arial"/>
        </w:rPr>
        <w:t>ów</w:t>
      </w:r>
      <w:r w:rsidRPr="00CD4ACE">
        <w:rPr>
          <w:rFonts w:ascii="Arial" w:hAnsi="Arial" w:cs="Arial"/>
        </w:rPr>
        <w:t xml:space="preserve"> ustaw i </w:t>
      </w:r>
      <w:r w:rsidR="003403A9" w:rsidRPr="00CD4ACE">
        <w:rPr>
          <w:rFonts w:ascii="Arial" w:hAnsi="Arial" w:cs="Arial"/>
        </w:rPr>
        <w:t>1</w:t>
      </w:r>
      <w:r w:rsidRPr="00CD4ACE">
        <w:rPr>
          <w:rFonts w:ascii="Arial" w:hAnsi="Arial" w:cs="Arial"/>
        </w:rPr>
        <w:t xml:space="preserve"> projekt</w:t>
      </w:r>
      <w:r w:rsidR="003403A9" w:rsidRPr="00CD4ACE">
        <w:rPr>
          <w:rFonts w:ascii="Arial" w:hAnsi="Arial" w:cs="Arial"/>
        </w:rPr>
        <w:t>u</w:t>
      </w:r>
      <w:r w:rsidRPr="00CD4ACE">
        <w:rPr>
          <w:rFonts w:ascii="Arial" w:hAnsi="Arial" w:cs="Arial"/>
        </w:rPr>
        <w:t xml:space="preserve"> rozporządze</w:t>
      </w:r>
      <w:r w:rsidR="003403A9" w:rsidRPr="00CD4ACE">
        <w:rPr>
          <w:rFonts w:ascii="Arial" w:hAnsi="Arial" w:cs="Arial"/>
        </w:rPr>
        <w:t>nia</w:t>
      </w:r>
      <w:r w:rsidRPr="00CD4ACE">
        <w:rPr>
          <w:rFonts w:ascii="Arial" w:hAnsi="Arial" w:cs="Arial"/>
        </w:rPr>
        <w:t xml:space="preserve"> dotyczących podmiotów członkowskich (pracodawcy, przedsiębiorcy, JST) zrzeszonych w Związku. </w:t>
      </w:r>
    </w:p>
    <w:p w14:paraId="6D4CC00F" w14:textId="77777777" w:rsidR="00A30893" w:rsidRPr="00CD4ACE" w:rsidRDefault="00A30893" w:rsidP="00CD4ACE">
      <w:pPr>
        <w:spacing w:after="0" w:line="288" w:lineRule="auto"/>
        <w:jc w:val="both"/>
        <w:rPr>
          <w:rFonts w:ascii="Arial" w:hAnsi="Arial" w:cs="Arial"/>
        </w:rPr>
      </w:pPr>
      <w:r w:rsidRPr="00CD4ACE">
        <w:rPr>
          <w:rFonts w:ascii="Arial" w:hAnsi="Arial" w:cs="Arial"/>
        </w:rPr>
        <w:t>Do konsultacji przekazane zostały następujące projekty:</w:t>
      </w:r>
    </w:p>
    <w:p w14:paraId="3470F503" w14:textId="77777777" w:rsidR="00A30893" w:rsidRPr="00CD4ACE" w:rsidRDefault="00A30893" w:rsidP="00CD4ACE">
      <w:pPr>
        <w:spacing w:after="0" w:line="288" w:lineRule="auto"/>
        <w:jc w:val="both"/>
        <w:rPr>
          <w:rFonts w:ascii="Arial" w:hAnsi="Arial" w:cs="Arial"/>
        </w:rPr>
      </w:pPr>
    </w:p>
    <w:p w14:paraId="6C744DC7" w14:textId="77777777" w:rsidR="00A30893" w:rsidRPr="00CD4ACE" w:rsidRDefault="00A30893" w:rsidP="00CD4ACE">
      <w:pPr>
        <w:spacing w:after="0" w:line="288" w:lineRule="auto"/>
        <w:jc w:val="both"/>
        <w:rPr>
          <w:rFonts w:ascii="Arial" w:hAnsi="Arial" w:cs="Arial"/>
        </w:rPr>
      </w:pPr>
      <w:r w:rsidRPr="00CD4ACE">
        <w:rPr>
          <w:rFonts w:ascii="Arial" w:hAnsi="Arial" w:cs="Arial"/>
        </w:rPr>
        <w:t>Projekty ustaw:</w:t>
      </w:r>
    </w:p>
    <w:p w14:paraId="4DF31AFF" w14:textId="77777777" w:rsidR="004C14A8" w:rsidRPr="00CD4ACE" w:rsidRDefault="004C14A8" w:rsidP="00CD4ACE">
      <w:pPr>
        <w:spacing w:after="0" w:line="288" w:lineRule="auto"/>
        <w:jc w:val="both"/>
        <w:rPr>
          <w:rFonts w:ascii="Arial" w:hAnsi="Arial" w:cs="Arial"/>
        </w:rPr>
      </w:pPr>
    </w:p>
    <w:p w14:paraId="27287C75" w14:textId="2EC7B48E" w:rsidR="004C14A8" w:rsidRPr="00CD4ACE" w:rsidRDefault="004C14A8" w:rsidP="00CD4ACE">
      <w:pPr>
        <w:pStyle w:val="Akapitzlist"/>
        <w:numPr>
          <w:ilvl w:val="0"/>
          <w:numId w:val="3"/>
        </w:numPr>
        <w:spacing w:after="0" w:line="288" w:lineRule="auto"/>
        <w:jc w:val="both"/>
        <w:rPr>
          <w:rFonts w:ascii="Arial" w:hAnsi="Arial" w:cs="Arial"/>
          <w:b/>
          <w:bCs/>
          <w:u w:val="single"/>
        </w:rPr>
      </w:pPr>
      <w:r w:rsidRPr="00CD4ACE">
        <w:rPr>
          <w:rFonts w:ascii="Arial" w:hAnsi="Arial" w:cs="Arial"/>
          <w:b/>
          <w:bCs/>
          <w:u w:val="single"/>
        </w:rPr>
        <w:t>P</w:t>
      </w:r>
      <w:r w:rsidRPr="00CD4ACE">
        <w:rPr>
          <w:rFonts w:ascii="Arial" w:hAnsi="Arial" w:cs="Arial"/>
          <w:b/>
          <w:bCs/>
          <w:u w:val="single"/>
        </w:rPr>
        <w:t>rojekt ustawy o zmianie ustawy o obrocie instrumentami finansowymi (numer z wykazu UDER16)</w:t>
      </w:r>
      <w:r w:rsidRPr="00CD4ACE">
        <w:rPr>
          <w:rFonts w:ascii="Arial" w:hAnsi="Arial" w:cs="Arial"/>
          <w:b/>
          <w:bCs/>
          <w:u w:val="single"/>
        </w:rPr>
        <w:t>.</w:t>
      </w:r>
    </w:p>
    <w:p w14:paraId="6A5B0FF2" w14:textId="77777777" w:rsidR="004C14A8" w:rsidRPr="00CD4ACE" w:rsidRDefault="004C14A8" w:rsidP="00CD4ACE">
      <w:pPr>
        <w:spacing w:after="0" w:line="288" w:lineRule="auto"/>
        <w:jc w:val="both"/>
        <w:rPr>
          <w:rFonts w:ascii="Arial" w:hAnsi="Arial" w:cs="Arial"/>
        </w:rPr>
      </w:pPr>
    </w:p>
    <w:p w14:paraId="4A64FDA1" w14:textId="77777777" w:rsidR="004C14A8" w:rsidRPr="00CD4ACE" w:rsidRDefault="004C14A8" w:rsidP="00CD4ACE">
      <w:pPr>
        <w:spacing w:after="0" w:line="288" w:lineRule="auto"/>
        <w:jc w:val="both"/>
        <w:rPr>
          <w:rFonts w:ascii="Arial" w:hAnsi="Arial" w:cs="Arial"/>
        </w:rPr>
      </w:pPr>
      <w:r w:rsidRPr="00CD4ACE">
        <w:rPr>
          <w:rFonts w:ascii="Arial" w:hAnsi="Arial" w:cs="Arial"/>
        </w:rPr>
        <w:t xml:space="preserve">Celem projektu ustawy jest eliminacja </w:t>
      </w:r>
      <w:proofErr w:type="spellStart"/>
      <w:r w:rsidRPr="00CD4ACE">
        <w:rPr>
          <w:rFonts w:ascii="Arial" w:hAnsi="Arial" w:cs="Arial"/>
        </w:rPr>
        <w:t>nadregulacji</w:t>
      </w:r>
      <w:proofErr w:type="spellEnd"/>
      <w:r w:rsidRPr="00CD4ACE">
        <w:rPr>
          <w:rFonts w:ascii="Arial" w:hAnsi="Arial" w:cs="Arial"/>
        </w:rPr>
        <w:t xml:space="preserve"> w zakresie obowiązku pośrednictwa firmy inwestycyjnej dla ofert publicznych o wartości mniejszej niż równowartość 1 000 000 euro.</w:t>
      </w:r>
    </w:p>
    <w:p w14:paraId="1F62EC2C" w14:textId="77777777" w:rsidR="004C14A8" w:rsidRPr="00CD4ACE" w:rsidRDefault="004C14A8" w:rsidP="00CD4ACE">
      <w:pPr>
        <w:spacing w:after="0" w:line="288" w:lineRule="auto"/>
        <w:jc w:val="both"/>
        <w:rPr>
          <w:rFonts w:ascii="Arial" w:hAnsi="Arial" w:cs="Arial"/>
        </w:rPr>
      </w:pPr>
      <w:r w:rsidRPr="00CD4ACE">
        <w:rPr>
          <w:rFonts w:ascii="Arial" w:hAnsi="Arial" w:cs="Arial"/>
        </w:rPr>
        <w:t>Obowiązujące przed dniem 4 grudnia 2024 r. przepisy art. 19 ust. 1 pkt 2 lit. a ustawy z dnia 29 lipca 2025 r. o obrocie instrumentami finansowymi (Dz. U. z 2024 r. poz. 722 i 1863 oraz z 2025 r. poz. 146), dalej: „ustawa o obrocie”, przewidywały zwolnienie z pośrednictwa firmy inwestycyjnej dla ofert publicznych papierów wartościowych, w wyniku których zakładane wpływy brutto emitenta lub oferującego na terytorium RP, liczone według ich ceny emisyjnej lub ceny sprzedaży z dnia jej ustalenia, stanowią nie mniej niż 100 000 euro i mniej niż 1 000 000 euro (wraz z wpływami, które emitent lub oferujący zamierzał uzyskać z tytułu ofert publicznych takich papierów wartościowych, dokonanych w okresie poprzednich 12 miesięcy), poniżej progu 1 000 000 euro. Zwolnienie to sformułowane było poprzez odwołanie do art. 1 ust. 3 rozporządzenia Parlamentu Europejskiego i Rady (UE) 2017/1129 z dnia 14 czerwca 2017 r. w sprawie prospektu, który ma być publikowany w związku z ofertą publiczną papierów wartościowych lub dopuszczeniem ich do obrotu na rynku regulowanym oraz uchylenia dyrektywy 2003/71/WE, dalej: „rozporządzenie 2017/1129”.</w:t>
      </w:r>
    </w:p>
    <w:p w14:paraId="310B0FEE" w14:textId="77777777" w:rsidR="004C14A8" w:rsidRPr="00CD4ACE" w:rsidRDefault="004C14A8" w:rsidP="00CD4ACE">
      <w:pPr>
        <w:spacing w:after="0" w:line="288" w:lineRule="auto"/>
        <w:jc w:val="both"/>
        <w:rPr>
          <w:rFonts w:ascii="Arial" w:hAnsi="Arial" w:cs="Arial"/>
        </w:rPr>
      </w:pPr>
      <w:r w:rsidRPr="00CD4ACE">
        <w:rPr>
          <w:rFonts w:ascii="Arial" w:hAnsi="Arial" w:cs="Arial"/>
        </w:rPr>
        <w:t xml:space="preserve">W dniu 4 grudnia 2024 r. weszła w życie część regulacji rozporządzenia Parlamentu Europejskiego i Rady (UE) 2024/2809 z dnia 23 października 2024 r. w sprawie zmiany rozporządzenia (UE) 2017/1129, (UE) nr 596/2014 i (UE) nr 600/2014 w celu zwiększenia atrakcyjności publicznych rynków kapitałowych w Unii dla spółek oraz ułatwienia małym i średnim przedsiębiorstwom dostępu do kapitału (Dz.U. UE. L. z 2024 r. poz. 2809), tzw. Listing </w:t>
      </w:r>
      <w:proofErr w:type="spellStart"/>
      <w:r w:rsidRPr="00CD4ACE">
        <w:rPr>
          <w:rFonts w:ascii="Arial" w:hAnsi="Arial" w:cs="Arial"/>
        </w:rPr>
        <w:lastRenderedPageBreak/>
        <w:t>Act</w:t>
      </w:r>
      <w:proofErr w:type="spellEnd"/>
      <w:r w:rsidRPr="00CD4ACE">
        <w:rPr>
          <w:rFonts w:ascii="Arial" w:hAnsi="Arial" w:cs="Arial"/>
        </w:rPr>
        <w:t xml:space="preserve"> („rozporządzenie 2024/2809”), która uchyliła art. 1 ust. 3 rozporządzenia 2017/1129. Uchylona regulacja ustanawiała dolny próg do oferty publicznej papierów wartościowych o łącznej wartości w Unii mniejszej niż 1 000 000 euro, poniżej którego rozporządzenie 2017/1129 nie miało zastosowania.</w:t>
      </w:r>
    </w:p>
    <w:p w14:paraId="106EDCEE" w14:textId="77777777" w:rsidR="004C14A8" w:rsidRPr="00CD4ACE" w:rsidRDefault="004C14A8" w:rsidP="00CD4ACE">
      <w:pPr>
        <w:spacing w:after="0" w:line="288" w:lineRule="auto"/>
        <w:jc w:val="both"/>
        <w:rPr>
          <w:rFonts w:ascii="Arial" w:hAnsi="Arial" w:cs="Arial"/>
        </w:rPr>
      </w:pPr>
      <w:r w:rsidRPr="00CD4ACE">
        <w:rPr>
          <w:rFonts w:ascii="Arial" w:hAnsi="Arial" w:cs="Arial"/>
        </w:rPr>
        <w:t>W wyniku uchylenia art. 1 ust. 3 rozporządzenia 2017/1129, pośrednio uległ również zmianie zakres stosowania art. 19 ust. 1 pkt 2 lit. a ustawy o obrocie. W konsekwencji oferty publiczne o wartości mniejszej niż 1 000 000 euro (inne niż oferty, o których mowa w art. 1 ust. 4 lit. a, b, e oraz h–j rozporządzenia 2017/1129) nie korzystają ze zwolnienia z obowiązku pośrednictwa firmy inwestycyjnej.</w:t>
      </w:r>
    </w:p>
    <w:p w14:paraId="081E442C" w14:textId="77777777" w:rsidR="004C14A8" w:rsidRPr="00CD4ACE" w:rsidRDefault="004C14A8" w:rsidP="00CD4ACE">
      <w:pPr>
        <w:spacing w:after="0" w:line="288" w:lineRule="auto"/>
        <w:jc w:val="both"/>
        <w:rPr>
          <w:rFonts w:ascii="Arial" w:hAnsi="Arial" w:cs="Arial"/>
        </w:rPr>
      </w:pPr>
      <w:r w:rsidRPr="00CD4ACE">
        <w:rPr>
          <w:rFonts w:ascii="Arial" w:hAnsi="Arial" w:cs="Arial"/>
        </w:rPr>
        <w:t>W wyniku powyższego dochodzi do zwiększenia kosztów pozyskiwania kapitału przez przedsiębiorców w rezultacie potrzeby angażowania pośrednictwa firmy inwestycyjnej, ograniczenia dostępu małych przedsiębiorców do kapitału w rezultacie podniesienia kosztu jego pozyskania oraz zmniejszenia wykorzystania instrumentów rynku kapitałowego w finansowaniu małych przedsiębiorców.</w:t>
      </w:r>
    </w:p>
    <w:p w14:paraId="0C29F7D2" w14:textId="77777777" w:rsidR="004C14A8" w:rsidRPr="00CD4ACE" w:rsidRDefault="004C14A8" w:rsidP="00CD4ACE">
      <w:pPr>
        <w:spacing w:after="0" w:line="288" w:lineRule="auto"/>
        <w:jc w:val="both"/>
        <w:rPr>
          <w:rFonts w:ascii="Arial" w:hAnsi="Arial" w:cs="Arial"/>
        </w:rPr>
      </w:pPr>
      <w:r w:rsidRPr="00CD4ACE">
        <w:rPr>
          <w:rFonts w:ascii="Arial" w:hAnsi="Arial" w:cs="Arial"/>
        </w:rPr>
        <w:t>Mając na uwadze uchylenie art. 1 ust. 3 rozporządzenia 2017/1129 proponuje się wskazanie wprost w art. 19 ust. 1 pkt 2 ustawy o obrocie wyłączenia pośrednictwa firmy inwestycyjnej dla ofert publicznych papierów wartościowych, w wyniku których zakładane wpływy brutto emitenta lub oferującego na terytorium RP, liczone według ich ceny emisyjnej lub ceny sprzedaży z dnia jej ustalenia, stanowią mniej niż 1 000 000 euro (wraz z wpływami, które emitent lub oferujący zamierzał uzyskać z tytułu ofert publicznych takich papierów wartościowych, dokonanych w okresie poprzednich 12 miesięcy).</w:t>
      </w:r>
    </w:p>
    <w:p w14:paraId="79DAE927" w14:textId="5B640DAC" w:rsidR="004C14A8" w:rsidRPr="00CD4ACE" w:rsidRDefault="004C14A8" w:rsidP="00CD4ACE">
      <w:pPr>
        <w:spacing w:after="0" w:line="288" w:lineRule="auto"/>
        <w:jc w:val="both"/>
        <w:rPr>
          <w:rFonts w:ascii="Arial" w:hAnsi="Arial" w:cs="Arial"/>
        </w:rPr>
      </w:pPr>
      <w:r w:rsidRPr="00CD4ACE">
        <w:rPr>
          <w:rFonts w:ascii="Arial" w:hAnsi="Arial" w:cs="Arial"/>
        </w:rPr>
        <w:t>Zmiana ta przywróci obowiązujące w Polsce przed dniem 4 grudnia 2024 r. zasady w zakresie pośrednictwa firmy inwestycyjnej w ofertach publicznych, subskrypcji lub sprzedaży papierów wartościowych, co ułatwi emisję papierów wartościowych, zwiększy wykorzystanie instrumentów rynku kapitałowego i poprawi warunki pozyskiwania kapitału przez sektor MŚP</w:t>
      </w:r>
      <w:r w:rsidRPr="00CD4ACE">
        <w:rPr>
          <w:rFonts w:ascii="Arial" w:hAnsi="Arial" w:cs="Arial"/>
        </w:rPr>
        <w:t>.</w:t>
      </w:r>
    </w:p>
    <w:p w14:paraId="0A108866" w14:textId="77777777" w:rsidR="004C14A8" w:rsidRPr="00CD4ACE" w:rsidRDefault="004C14A8" w:rsidP="00CD4ACE">
      <w:pPr>
        <w:spacing w:after="0" w:line="288" w:lineRule="auto"/>
        <w:jc w:val="both"/>
        <w:rPr>
          <w:rFonts w:ascii="Arial" w:hAnsi="Arial" w:cs="Arial"/>
        </w:rPr>
      </w:pPr>
    </w:p>
    <w:p w14:paraId="59EB8A4F" w14:textId="77777777" w:rsidR="004C14A8" w:rsidRPr="00CD4ACE" w:rsidRDefault="004C14A8" w:rsidP="00CD4ACE">
      <w:pPr>
        <w:spacing w:after="0" w:line="288" w:lineRule="auto"/>
        <w:jc w:val="both"/>
        <w:rPr>
          <w:rFonts w:ascii="Arial" w:hAnsi="Arial" w:cs="Arial"/>
        </w:rPr>
      </w:pPr>
      <w:r w:rsidRPr="00CD4ACE">
        <w:rPr>
          <w:rFonts w:ascii="Arial" w:hAnsi="Arial" w:cs="Arial"/>
        </w:rPr>
        <w:t>Przedmiotowy projekt aktu prawnego wraz z Uzasadnieniem oraz Oceną Skutków Regulacji dostępny jest na stronach Rządowego Centrum Legislacji pod adresem:</w:t>
      </w:r>
    </w:p>
    <w:p w14:paraId="31864B04" w14:textId="7DBBFA08" w:rsidR="004C14A8" w:rsidRPr="00CD4ACE" w:rsidRDefault="004C14A8" w:rsidP="00CD4ACE">
      <w:pPr>
        <w:spacing w:after="0" w:line="288" w:lineRule="auto"/>
        <w:jc w:val="both"/>
        <w:rPr>
          <w:rFonts w:ascii="Arial" w:hAnsi="Arial" w:cs="Arial"/>
        </w:rPr>
      </w:pPr>
      <w:hyperlink r:id="rId6" w:history="1">
        <w:r w:rsidRPr="00CD4ACE">
          <w:rPr>
            <w:rStyle w:val="Hipercze"/>
            <w:rFonts w:ascii="Arial" w:hAnsi="Arial" w:cs="Arial"/>
          </w:rPr>
          <w:t>https://legislacja.rcl.gov.pl/projekt/12397400/katalo</w:t>
        </w:r>
        <w:r w:rsidRPr="00CD4ACE">
          <w:rPr>
            <w:rStyle w:val="Hipercze"/>
            <w:rFonts w:ascii="Arial" w:hAnsi="Arial" w:cs="Arial"/>
          </w:rPr>
          <w:t>g</w:t>
        </w:r>
        <w:r w:rsidRPr="00CD4ACE">
          <w:rPr>
            <w:rStyle w:val="Hipercze"/>
            <w:rFonts w:ascii="Arial" w:hAnsi="Arial" w:cs="Arial"/>
          </w:rPr>
          <w:t>/131</w:t>
        </w:r>
        <w:r w:rsidRPr="00CD4ACE">
          <w:rPr>
            <w:rStyle w:val="Hipercze"/>
            <w:rFonts w:ascii="Arial" w:hAnsi="Arial" w:cs="Arial"/>
          </w:rPr>
          <w:t>2</w:t>
        </w:r>
        <w:r w:rsidRPr="00CD4ACE">
          <w:rPr>
            <w:rStyle w:val="Hipercze"/>
            <w:rFonts w:ascii="Arial" w:hAnsi="Arial" w:cs="Arial"/>
          </w:rPr>
          <w:t>5758#13125758</w:t>
        </w:r>
      </w:hyperlink>
      <w:r w:rsidRPr="00CD4ACE">
        <w:rPr>
          <w:rFonts w:ascii="Arial" w:hAnsi="Arial" w:cs="Arial"/>
        </w:rPr>
        <w:t xml:space="preserve">   </w:t>
      </w:r>
    </w:p>
    <w:p w14:paraId="0EAD4F1A" w14:textId="77777777" w:rsidR="004C14A8" w:rsidRPr="00CD4ACE" w:rsidRDefault="004C14A8" w:rsidP="00CD4ACE">
      <w:pPr>
        <w:spacing w:after="0" w:line="288" w:lineRule="auto"/>
        <w:jc w:val="both"/>
        <w:rPr>
          <w:rFonts w:ascii="Arial" w:hAnsi="Arial" w:cs="Arial"/>
        </w:rPr>
      </w:pPr>
    </w:p>
    <w:p w14:paraId="4FFF9BFC" w14:textId="0F102134" w:rsidR="004C14A8" w:rsidRPr="00CD4ACE" w:rsidRDefault="004C14A8" w:rsidP="00CD4ACE">
      <w:pPr>
        <w:spacing w:after="0" w:line="288" w:lineRule="auto"/>
        <w:jc w:val="both"/>
        <w:rPr>
          <w:rFonts w:ascii="Arial" w:hAnsi="Arial" w:cs="Arial"/>
        </w:rPr>
      </w:pPr>
      <w:r w:rsidRPr="00CD4ACE">
        <w:rPr>
          <w:rFonts w:ascii="Arial" w:hAnsi="Arial" w:cs="Arial"/>
        </w:rPr>
        <w:t xml:space="preserve">Projekt </w:t>
      </w:r>
      <w:r w:rsidRPr="00CD4ACE">
        <w:rPr>
          <w:rFonts w:ascii="Arial" w:hAnsi="Arial" w:cs="Arial"/>
        </w:rPr>
        <w:t>skierowany został w dniu 14 maja 2025 roku pod obrady Sejmu RP</w:t>
      </w:r>
      <w:r w:rsidRPr="00CD4ACE">
        <w:rPr>
          <w:rFonts w:ascii="Arial" w:hAnsi="Arial" w:cs="Arial"/>
        </w:rPr>
        <w:t>.</w:t>
      </w:r>
    </w:p>
    <w:p w14:paraId="69E70E22" w14:textId="77777777" w:rsidR="004C14A8" w:rsidRPr="00CD4ACE" w:rsidRDefault="004C14A8" w:rsidP="00CD4ACE">
      <w:pPr>
        <w:spacing w:after="0" w:line="288" w:lineRule="auto"/>
        <w:jc w:val="both"/>
        <w:rPr>
          <w:rFonts w:ascii="Arial" w:hAnsi="Arial" w:cs="Arial"/>
        </w:rPr>
      </w:pPr>
    </w:p>
    <w:p w14:paraId="494D8593" w14:textId="4D083E3A" w:rsidR="004C14A8" w:rsidRPr="00CD4ACE" w:rsidRDefault="004C14A8" w:rsidP="00CD4ACE">
      <w:pPr>
        <w:pStyle w:val="Akapitzlist"/>
        <w:numPr>
          <w:ilvl w:val="0"/>
          <w:numId w:val="3"/>
        </w:numPr>
        <w:spacing w:after="0" w:line="288" w:lineRule="auto"/>
        <w:jc w:val="both"/>
        <w:rPr>
          <w:rFonts w:ascii="Arial" w:hAnsi="Arial" w:cs="Arial"/>
          <w:b/>
          <w:bCs/>
          <w:u w:val="single"/>
        </w:rPr>
      </w:pPr>
      <w:r w:rsidRPr="00CD4ACE">
        <w:rPr>
          <w:rFonts w:ascii="Arial" w:hAnsi="Arial" w:cs="Arial"/>
          <w:b/>
          <w:bCs/>
          <w:u w:val="single"/>
        </w:rPr>
        <w:t>P</w:t>
      </w:r>
      <w:r w:rsidRPr="00CD4ACE">
        <w:rPr>
          <w:rFonts w:ascii="Arial" w:hAnsi="Arial" w:cs="Arial"/>
          <w:b/>
          <w:bCs/>
          <w:u w:val="single"/>
        </w:rPr>
        <w:t>rojekt ustawy zmieniającej ustawę o zmianie ustawy o planowaniu i zagospodarowaniu przestrzennym oraz niektórych innych ustaw (numer z wykazu UDER13).</w:t>
      </w:r>
    </w:p>
    <w:p w14:paraId="2A020672" w14:textId="77777777" w:rsidR="004C14A8" w:rsidRPr="00CD4ACE" w:rsidRDefault="004C14A8" w:rsidP="00CD4ACE">
      <w:pPr>
        <w:spacing w:after="0" w:line="288" w:lineRule="auto"/>
        <w:jc w:val="both"/>
        <w:rPr>
          <w:rFonts w:ascii="Arial" w:hAnsi="Arial" w:cs="Arial"/>
        </w:rPr>
      </w:pPr>
    </w:p>
    <w:p w14:paraId="72B2820C" w14:textId="77777777" w:rsidR="004C14A8" w:rsidRPr="00CD4ACE" w:rsidRDefault="004C14A8" w:rsidP="00CD4ACE">
      <w:pPr>
        <w:spacing w:after="0" w:line="288" w:lineRule="auto"/>
        <w:jc w:val="both"/>
        <w:rPr>
          <w:rFonts w:ascii="Arial" w:hAnsi="Arial" w:cs="Arial"/>
        </w:rPr>
      </w:pPr>
      <w:r w:rsidRPr="00CD4ACE">
        <w:rPr>
          <w:rFonts w:ascii="Arial" w:hAnsi="Arial" w:cs="Arial"/>
        </w:rPr>
        <w:t xml:space="preserve">Z dniem 24 września 2023 r. weszła w życie ustawa z dnia 7 lipca 2023 r. o zmianie ustawy o planowaniu i zagospodarowaniu przestrzennym oraz niektórych innych ustaw (Dz. U. poz. 1688, z </w:t>
      </w:r>
      <w:proofErr w:type="spellStart"/>
      <w:r w:rsidRPr="00CD4ACE">
        <w:rPr>
          <w:rFonts w:ascii="Arial" w:hAnsi="Arial" w:cs="Arial"/>
        </w:rPr>
        <w:t>późn</w:t>
      </w:r>
      <w:proofErr w:type="spellEnd"/>
      <w:r w:rsidRPr="00CD4ACE">
        <w:rPr>
          <w:rFonts w:ascii="Arial" w:hAnsi="Arial" w:cs="Arial"/>
        </w:rPr>
        <w:t xml:space="preserve">. zm.), która zobligowała gminy do sporządzenia planów ogólnych – nowych opracowań planistycznych w randze aktu prawa miejscowego, obejmujących całą gminę i sporządzanych wyłącznie w formie cyfrowej. Dokument ten w znacznej mierze zastąpi dotychczasowe studia uwarunkowań i kierunków zagospodarowania przestrzennego gmin, które zgodnie z art. 65 ww. nowelizacji stracą moc najpóźniej z dniem 1 lipca 2026 r. W tym samym terminie zakończy się okres przejściowy i wejdą w życie wszystkie znowelizowane przepisy reformy systemu planowania przestrzennego. Po tym czasie uchwalanie miejscowych planów zagospodarowania przestrzennego oraz wydawanie decyzji </w:t>
      </w:r>
      <w:r w:rsidRPr="00CD4ACE">
        <w:rPr>
          <w:rFonts w:ascii="Arial" w:hAnsi="Arial" w:cs="Arial"/>
        </w:rPr>
        <w:lastRenderedPageBreak/>
        <w:t>lokalizacyjnych (o ustaleniu lokalizacji inwestycji celu publicznego oraz o warunkach zabudowy) będzie możliwe, jeśli w danej gminie wszedł w życie plan ogólny.</w:t>
      </w:r>
    </w:p>
    <w:p w14:paraId="45340A9C" w14:textId="77777777" w:rsidR="004C14A8" w:rsidRPr="00CD4ACE" w:rsidRDefault="004C14A8" w:rsidP="00CD4ACE">
      <w:pPr>
        <w:spacing w:after="0" w:line="288" w:lineRule="auto"/>
        <w:jc w:val="both"/>
        <w:rPr>
          <w:rFonts w:ascii="Arial" w:hAnsi="Arial" w:cs="Arial"/>
        </w:rPr>
      </w:pPr>
      <w:r w:rsidRPr="00CD4ACE">
        <w:rPr>
          <w:rFonts w:ascii="Arial" w:hAnsi="Arial" w:cs="Arial"/>
        </w:rPr>
        <w:t>Stan zaawansowania prac nad planami ogólnymi oraz fakt, że część samorządów jeszcze nie przystąpiła do jego sporządzania, powoduje konieczność zmiany przepisu uzależniającego możliwość wydania decyzji o ustaleniu lokalizacji inwestycji celu publicznego od wejścia w życie planu ogólnego gminy. Zmiana taka pozwoli gminom na ciągłość realizacji niezbędnych inwestycji celu publicznego przy równoległym sporządzaniu planu ogólnego.</w:t>
      </w:r>
    </w:p>
    <w:p w14:paraId="7887CD13" w14:textId="77777777" w:rsidR="004C14A8" w:rsidRPr="00CD4ACE" w:rsidRDefault="004C14A8" w:rsidP="00CD4ACE">
      <w:pPr>
        <w:spacing w:after="0" w:line="288" w:lineRule="auto"/>
        <w:jc w:val="both"/>
        <w:rPr>
          <w:rFonts w:ascii="Arial" w:hAnsi="Arial" w:cs="Arial"/>
        </w:rPr>
      </w:pPr>
      <w:r w:rsidRPr="00CD4ACE">
        <w:rPr>
          <w:rFonts w:ascii="Arial" w:hAnsi="Arial" w:cs="Arial"/>
        </w:rPr>
        <w:t xml:space="preserve">Projektowane zmiany realizują propozycję </w:t>
      </w:r>
      <w:proofErr w:type="spellStart"/>
      <w:r w:rsidRPr="00CD4ACE">
        <w:rPr>
          <w:rFonts w:ascii="Arial" w:hAnsi="Arial" w:cs="Arial"/>
        </w:rPr>
        <w:t>deregulacyjną</w:t>
      </w:r>
      <w:proofErr w:type="spellEnd"/>
      <w:r w:rsidRPr="00CD4ACE">
        <w:rPr>
          <w:rFonts w:ascii="Arial" w:hAnsi="Arial" w:cs="Arial"/>
        </w:rPr>
        <w:t xml:space="preserve"> zaakceptowaną przez Zespół do spraw koordynacji procesu legislacyjnego wdrażającego deregulację.</w:t>
      </w:r>
    </w:p>
    <w:p w14:paraId="0CD339E8" w14:textId="77777777" w:rsidR="004C14A8" w:rsidRPr="00CD4ACE" w:rsidRDefault="004C14A8" w:rsidP="00CD4ACE">
      <w:pPr>
        <w:spacing w:after="0" w:line="288" w:lineRule="auto"/>
        <w:jc w:val="both"/>
        <w:rPr>
          <w:rFonts w:ascii="Arial" w:hAnsi="Arial" w:cs="Arial"/>
        </w:rPr>
      </w:pPr>
      <w:r w:rsidRPr="00CD4ACE">
        <w:rPr>
          <w:rFonts w:ascii="Arial" w:hAnsi="Arial" w:cs="Arial"/>
        </w:rPr>
        <w:t xml:space="preserve">Istotą zaplanowanych rozwiązań jest modyfikacja przepisów art. 59 ustawy z dnia 7 lipca 2023 r. o zmianie ustawy o planowaniu i zagospodarowaniu przestrzennym oraz niektórych innych ustaw, aby wydanie decyzji o ustaleniu lokalizacji inwestycji celu publicznego było możliwe również po utracie mocy studium uwarunkowań i kierunków zagospodarowania przestrzennego gminy, a jeszcze przed wejściem w życie planu ogólnego gminy. </w:t>
      </w:r>
    </w:p>
    <w:p w14:paraId="1E613141" w14:textId="77777777" w:rsidR="004C14A8" w:rsidRPr="00CD4ACE" w:rsidRDefault="004C14A8" w:rsidP="00CD4ACE">
      <w:pPr>
        <w:spacing w:after="0" w:line="288" w:lineRule="auto"/>
        <w:jc w:val="both"/>
        <w:rPr>
          <w:rFonts w:ascii="Arial" w:hAnsi="Arial" w:cs="Arial"/>
        </w:rPr>
      </w:pPr>
      <w:r w:rsidRPr="00CD4ACE">
        <w:rPr>
          <w:rFonts w:ascii="Arial" w:hAnsi="Arial" w:cs="Arial"/>
        </w:rPr>
        <w:t>Uszczegółowiona ponadto zostanie kwestia, które przepisy będą stosowane do spraw wydania tych decyzji wszczętych od dnia wejścia w życie niniejszej ustawy i przed dniem wejścia w życie planu ogólnego gminy w danej gminie.</w:t>
      </w:r>
    </w:p>
    <w:p w14:paraId="79053D92" w14:textId="11AB5864" w:rsidR="004C14A8" w:rsidRPr="00CD4ACE" w:rsidRDefault="004C14A8" w:rsidP="00CD4ACE">
      <w:pPr>
        <w:spacing w:after="0" w:line="288" w:lineRule="auto"/>
        <w:jc w:val="both"/>
        <w:rPr>
          <w:rFonts w:ascii="Arial" w:hAnsi="Arial" w:cs="Arial"/>
        </w:rPr>
      </w:pPr>
      <w:r w:rsidRPr="00CD4ACE">
        <w:rPr>
          <w:rFonts w:ascii="Arial" w:hAnsi="Arial" w:cs="Arial"/>
        </w:rPr>
        <w:t>Biorąc pod uwagę, aktualny stan zaawansowania prac nad planami ogólnymi, wskazana zmiana jest celowa i konieczna by zachować ciągłość inwestycji realizowanych przez gminy na podstawie decyzji o ustaleniu lokalizacji inwestycji celu publicznego.</w:t>
      </w:r>
    </w:p>
    <w:p w14:paraId="1AD3778F" w14:textId="77777777" w:rsidR="004C14A8" w:rsidRPr="00CD4ACE" w:rsidRDefault="004C14A8" w:rsidP="00CD4ACE">
      <w:pPr>
        <w:spacing w:after="0" w:line="288" w:lineRule="auto"/>
        <w:jc w:val="both"/>
        <w:rPr>
          <w:rFonts w:ascii="Arial" w:hAnsi="Arial" w:cs="Arial"/>
        </w:rPr>
      </w:pPr>
    </w:p>
    <w:p w14:paraId="0ADAA1F5" w14:textId="77777777" w:rsidR="004C14A8" w:rsidRPr="00CD4ACE" w:rsidRDefault="004C14A8" w:rsidP="00CD4ACE">
      <w:pPr>
        <w:spacing w:after="0" w:line="288" w:lineRule="auto"/>
        <w:jc w:val="both"/>
        <w:rPr>
          <w:rFonts w:ascii="Arial" w:hAnsi="Arial" w:cs="Arial"/>
        </w:rPr>
      </w:pPr>
      <w:r w:rsidRPr="00CD4ACE">
        <w:rPr>
          <w:rFonts w:ascii="Arial" w:hAnsi="Arial" w:cs="Arial"/>
        </w:rPr>
        <w:t>Przedmiotowy projekt aktu prawnego wraz z Uzasadnieniem oraz Oceną Skutków Regulacji dostępny jest na stronach Rządowego Centrum Legislacji pod adresem:</w:t>
      </w:r>
    </w:p>
    <w:p w14:paraId="00048AFF" w14:textId="377D8049" w:rsidR="004C14A8" w:rsidRPr="00CD4ACE" w:rsidRDefault="004C14A8" w:rsidP="00CD4ACE">
      <w:pPr>
        <w:spacing w:after="0" w:line="288" w:lineRule="auto"/>
        <w:jc w:val="both"/>
        <w:rPr>
          <w:rFonts w:ascii="Arial" w:hAnsi="Arial" w:cs="Arial"/>
        </w:rPr>
      </w:pPr>
      <w:hyperlink r:id="rId7" w:history="1">
        <w:r w:rsidRPr="00CD4ACE">
          <w:rPr>
            <w:rStyle w:val="Hipercze"/>
            <w:rFonts w:ascii="Arial" w:hAnsi="Arial" w:cs="Arial"/>
          </w:rPr>
          <w:t>https://legislacja.rcl.gov.pl/projekt/12397401/kata</w:t>
        </w:r>
        <w:r w:rsidRPr="00CD4ACE">
          <w:rPr>
            <w:rStyle w:val="Hipercze"/>
            <w:rFonts w:ascii="Arial" w:hAnsi="Arial" w:cs="Arial"/>
          </w:rPr>
          <w:t>l</w:t>
        </w:r>
        <w:r w:rsidRPr="00CD4ACE">
          <w:rPr>
            <w:rStyle w:val="Hipercze"/>
            <w:rFonts w:ascii="Arial" w:hAnsi="Arial" w:cs="Arial"/>
          </w:rPr>
          <w:t>og/13125816#13125816</w:t>
        </w:r>
      </w:hyperlink>
      <w:r w:rsidRPr="00CD4ACE">
        <w:rPr>
          <w:rFonts w:ascii="Arial" w:hAnsi="Arial" w:cs="Arial"/>
        </w:rPr>
        <w:t xml:space="preserve"> </w:t>
      </w:r>
    </w:p>
    <w:p w14:paraId="16954572" w14:textId="77777777" w:rsidR="004C14A8" w:rsidRPr="00CD4ACE" w:rsidRDefault="004C14A8" w:rsidP="00CD4ACE">
      <w:pPr>
        <w:spacing w:after="0" w:line="288" w:lineRule="auto"/>
        <w:jc w:val="both"/>
        <w:rPr>
          <w:rFonts w:ascii="Arial" w:hAnsi="Arial" w:cs="Arial"/>
        </w:rPr>
      </w:pPr>
    </w:p>
    <w:p w14:paraId="4BF72470" w14:textId="5454CF89" w:rsidR="004C14A8" w:rsidRPr="00CD4ACE" w:rsidRDefault="00701E4E" w:rsidP="00CD4ACE">
      <w:pPr>
        <w:spacing w:after="0" w:line="288" w:lineRule="auto"/>
        <w:jc w:val="both"/>
        <w:rPr>
          <w:rFonts w:ascii="Arial" w:hAnsi="Arial" w:cs="Arial"/>
        </w:rPr>
      </w:pPr>
      <w:r w:rsidRPr="00CD4ACE">
        <w:rPr>
          <w:rFonts w:ascii="Arial" w:hAnsi="Arial" w:cs="Arial"/>
        </w:rPr>
        <w:t>Projekt jest obecnie jednocześnie na etapie uzgodnień, konsultacji publicznych i opiniowania.</w:t>
      </w:r>
    </w:p>
    <w:p w14:paraId="1AC933E4" w14:textId="7895E869" w:rsidR="004C14A8" w:rsidRPr="00CD4ACE" w:rsidRDefault="00A30893" w:rsidP="00CD4ACE">
      <w:pPr>
        <w:spacing w:after="0" w:line="288" w:lineRule="auto"/>
        <w:jc w:val="both"/>
        <w:rPr>
          <w:rFonts w:ascii="Arial" w:hAnsi="Arial" w:cs="Arial"/>
        </w:rPr>
      </w:pPr>
      <w:r w:rsidRPr="00CD4ACE">
        <w:rPr>
          <w:rFonts w:ascii="Arial" w:hAnsi="Arial" w:cs="Arial"/>
        </w:rPr>
        <w:t xml:space="preserve"> </w:t>
      </w:r>
    </w:p>
    <w:p w14:paraId="59BD2090" w14:textId="6CA730B4" w:rsidR="004C14A8" w:rsidRPr="00CD4ACE" w:rsidRDefault="00701E4E" w:rsidP="00CD4ACE">
      <w:pPr>
        <w:pStyle w:val="Akapitzlist"/>
        <w:numPr>
          <w:ilvl w:val="0"/>
          <w:numId w:val="3"/>
        </w:numPr>
        <w:spacing w:after="0" w:line="288" w:lineRule="auto"/>
        <w:jc w:val="both"/>
        <w:rPr>
          <w:rFonts w:ascii="Arial" w:hAnsi="Arial" w:cs="Arial"/>
          <w:b/>
          <w:bCs/>
          <w:u w:val="single"/>
        </w:rPr>
      </w:pPr>
      <w:r w:rsidRPr="00CD4ACE">
        <w:rPr>
          <w:rFonts w:ascii="Arial" w:hAnsi="Arial" w:cs="Arial"/>
          <w:b/>
          <w:bCs/>
          <w:u w:val="single"/>
        </w:rPr>
        <w:t>P</w:t>
      </w:r>
      <w:r w:rsidRPr="00CD4ACE">
        <w:rPr>
          <w:rFonts w:ascii="Arial" w:hAnsi="Arial" w:cs="Arial"/>
          <w:b/>
          <w:bCs/>
          <w:u w:val="single"/>
        </w:rPr>
        <w:t>rojekt ustawy o zmianie ustawy – Prawo bankowe oraz ustawy – Prawo restrukturyzacyjne (numer z wykazu UDER11).</w:t>
      </w:r>
    </w:p>
    <w:p w14:paraId="13A9E55C" w14:textId="6504623F" w:rsidR="004C14A8" w:rsidRPr="00CD4ACE" w:rsidRDefault="004C14A8" w:rsidP="00CD4ACE">
      <w:pPr>
        <w:spacing w:after="0" w:line="288" w:lineRule="auto"/>
        <w:jc w:val="both"/>
        <w:rPr>
          <w:rFonts w:ascii="Arial" w:hAnsi="Arial" w:cs="Arial"/>
        </w:rPr>
      </w:pPr>
    </w:p>
    <w:p w14:paraId="00D03A07" w14:textId="77777777" w:rsidR="00701E4E" w:rsidRPr="00CD4ACE" w:rsidRDefault="00701E4E" w:rsidP="00CD4ACE">
      <w:pPr>
        <w:spacing w:after="0" w:line="288" w:lineRule="auto"/>
        <w:jc w:val="both"/>
        <w:rPr>
          <w:rFonts w:ascii="Arial" w:hAnsi="Arial" w:cs="Arial"/>
        </w:rPr>
      </w:pPr>
      <w:r w:rsidRPr="00CD4ACE">
        <w:rPr>
          <w:rFonts w:ascii="Arial" w:hAnsi="Arial" w:cs="Arial"/>
        </w:rPr>
        <w:t>Obecnie w ustawie z dnia 29 sierpnia 1997 r. - Prawo bankowe (Dz.U. z 2024 r. poz. 1646 i 1863 oraz z 2025 r. poz. 146 i poz. 222, dalej jako: „ustawa – Prawo bankowe”) brak jest przepisów, które jednoznacznie umożliwiałyby bankom udzielanie informacji objętych tajemnicą bankową organom postępowania restrukturyzacyjnego oraz organom postępowania upadłościowego. Brak podstawy prawnej powoduje liczne wątpliwości interpretacyjne i problemy w praktyce, tym bardziej, że ujawnienie lub wykorzystanie informacji stanowiących tajemnicę bankową, niezgodnie z upoważnieniem określonym w ustawie, obarczone jest karą grzywny do 1.000.000 zł i karą pozbawienia wolności do lat 3. Utrudnia to prowadzenie postępowań restrukturyzacyjnych i upadłościowych. Syndyk np. nie może uzyskać informacji o rachunkach bankowych dłużnika, ponieważ bank nie ma podstawy prawnej do ujawnienia danych objętych tajemnicą bankową. Postępowanie upadłościowe utyka na etapie ustalenia masy upadłości, co wydłuża procedurę i obniża wartość zaspokojenia wierzycieli.</w:t>
      </w:r>
    </w:p>
    <w:p w14:paraId="4F4EC9B3" w14:textId="77777777" w:rsidR="00701E4E" w:rsidRPr="00CD4ACE" w:rsidRDefault="00701E4E" w:rsidP="00CD4ACE">
      <w:pPr>
        <w:spacing w:after="0" w:line="288" w:lineRule="auto"/>
        <w:jc w:val="both"/>
        <w:rPr>
          <w:rFonts w:ascii="Arial" w:hAnsi="Arial" w:cs="Arial"/>
        </w:rPr>
      </w:pPr>
      <w:r w:rsidRPr="00CD4ACE">
        <w:rPr>
          <w:rFonts w:ascii="Arial" w:hAnsi="Arial" w:cs="Arial"/>
        </w:rPr>
        <w:t xml:space="preserve">Jednocześnie należy pamiętać, że ingerencja w ochronę tajemnicy bankowej musi pozostawać w odpowiedniej proporcji, co oznacza, że uzasadniona jest ingerencja jedynie w zakresie niezbędnym dla osiągnięcia celu, którym jest w danej sytuacji ochrona preferowanej przez ustawodawcę wartości. W związku z tym dostęp do tajemnicy bankowej powinien być </w:t>
      </w:r>
      <w:r w:rsidRPr="00CD4ACE">
        <w:rPr>
          <w:rFonts w:ascii="Arial" w:hAnsi="Arial" w:cs="Arial"/>
        </w:rPr>
        <w:lastRenderedPageBreak/>
        <w:t>ograniczony do minimum, wyłącznie w zakresie w jakim jest to konieczne ze względu na realizację innych wartości chronionych przez system prawa. W kontekście postępowania upadłościowego oraz restrukturyzacyjnego tą wartością są przede wszystkim interesy majątkowe wierzycieli. Dostęp do tajemnicy bankowej pozasądowych organów postępowania upadłościowego (syndyka) oraz restrukturyzacyjnego (nadzorcy sądowego, zarządcy) będzie miał istotne znaczenia w tych postępowaniach w których powstaje masa upadłości, masa układowa albo masa sanacyjna.</w:t>
      </w:r>
    </w:p>
    <w:p w14:paraId="1C9CC9D9" w14:textId="77777777" w:rsidR="00701E4E" w:rsidRPr="00CD4ACE" w:rsidRDefault="00701E4E" w:rsidP="00CD4ACE">
      <w:pPr>
        <w:spacing w:after="0" w:line="288" w:lineRule="auto"/>
        <w:jc w:val="both"/>
        <w:rPr>
          <w:rFonts w:ascii="Arial" w:hAnsi="Arial" w:cs="Arial"/>
        </w:rPr>
      </w:pPr>
      <w:r w:rsidRPr="00CD4ACE">
        <w:rPr>
          <w:rFonts w:ascii="Arial" w:hAnsi="Arial" w:cs="Arial"/>
        </w:rPr>
        <w:t>Proponuje się umożliwienie bankom udzielania informacji objętych tajemnicą bankową organom postępowań restrukturyzacyjnego i upadłościowego, co powinno usprawnić wymianę informacji pomiędzy organami a bankami oraz wpłynie pozytywnie na usprawnienie przebiegu całego procesu restrukturyzacyjnego czy upadłościowego. W związku z sytuacją opisaną w pkt 1, proponuje się zmianę ustawy z dnia 29 sierpnia 1997 r. – Prawo bankowe poprzez wprowadzenie podstawy prawnej jednoznacznie umożliwiającej bankom udzielanie informacji objętych tajemnicą bankową:</w:t>
      </w:r>
    </w:p>
    <w:p w14:paraId="45F84566" w14:textId="3A6DCEE4" w:rsidR="00701E4E" w:rsidRPr="00CD4ACE" w:rsidRDefault="00701E4E" w:rsidP="00CD4ACE">
      <w:pPr>
        <w:pStyle w:val="Akapitzlist"/>
        <w:numPr>
          <w:ilvl w:val="0"/>
          <w:numId w:val="6"/>
        </w:numPr>
        <w:spacing w:after="0" w:line="288" w:lineRule="auto"/>
        <w:jc w:val="both"/>
        <w:rPr>
          <w:rFonts w:ascii="Arial" w:hAnsi="Arial" w:cs="Arial"/>
        </w:rPr>
      </w:pPr>
      <w:r w:rsidRPr="00CD4ACE">
        <w:rPr>
          <w:rFonts w:ascii="Arial" w:hAnsi="Arial" w:cs="Arial"/>
        </w:rPr>
        <w:t>syndykowi – w toku postępowania upadłościowego, w zakresie rachunków bankowych, rachunków pieniężnych, rachunków papierów wartościowych, skrytek, sejfów lub salda wierzytelności przysługującej bankowi względem upadłego oraz</w:t>
      </w:r>
    </w:p>
    <w:p w14:paraId="608B4367" w14:textId="1A72E000" w:rsidR="00701E4E" w:rsidRPr="00CD4ACE" w:rsidRDefault="00701E4E" w:rsidP="00CD4ACE">
      <w:pPr>
        <w:pStyle w:val="Akapitzlist"/>
        <w:numPr>
          <w:ilvl w:val="0"/>
          <w:numId w:val="6"/>
        </w:numPr>
        <w:spacing w:after="0" w:line="288" w:lineRule="auto"/>
        <w:jc w:val="both"/>
        <w:rPr>
          <w:rFonts w:ascii="Arial" w:hAnsi="Arial" w:cs="Arial"/>
        </w:rPr>
      </w:pPr>
      <w:r w:rsidRPr="00CD4ACE">
        <w:rPr>
          <w:rFonts w:ascii="Arial" w:hAnsi="Arial" w:cs="Arial"/>
        </w:rPr>
        <w:t>nadzorcy sądowemu albo zarządcy – w zakresie rachunków bankowych, rachunków pieniężnych, rachunków papierów wartościowych, skrytek, sejfów lub salda wierzytelności przysługującej bankowi względem dłużnika.</w:t>
      </w:r>
    </w:p>
    <w:p w14:paraId="59A5AF17" w14:textId="77777777" w:rsidR="00701E4E" w:rsidRPr="00CD4ACE" w:rsidRDefault="00701E4E" w:rsidP="00CD4ACE">
      <w:pPr>
        <w:spacing w:after="0" w:line="288" w:lineRule="auto"/>
        <w:jc w:val="both"/>
        <w:rPr>
          <w:rFonts w:ascii="Arial" w:hAnsi="Arial" w:cs="Arial"/>
        </w:rPr>
      </w:pPr>
      <w:r w:rsidRPr="00CD4ACE">
        <w:rPr>
          <w:rFonts w:ascii="Arial" w:hAnsi="Arial" w:cs="Arial"/>
        </w:rPr>
        <w:t xml:space="preserve">Zgodnie z projektem udzielanie powyższych informacji jest możliwe tylko w zakresie niezbędnym do prawidłowego wykonywania czynności w postępowaniu upadłościowym bądź restrukturyzacyjnym (dodanie lit. </w:t>
      </w:r>
      <w:proofErr w:type="spellStart"/>
      <w:r w:rsidRPr="00CD4ACE">
        <w:rPr>
          <w:rFonts w:ascii="Arial" w:hAnsi="Arial" w:cs="Arial"/>
        </w:rPr>
        <w:t>łb</w:t>
      </w:r>
      <w:proofErr w:type="spellEnd"/>
      <w:r w:rsidRPr="00CD4ACE">
        <w:rPr>
          <w:rFonts w:ascii="Arial" w:hAnsi="Arial" w:cs="Arial"/>
        </w:rPr>
        <w:t xml:space="preserve"> i </w:t>
      </w:r>
      <w:proofErr w:type="spellStart"/>
      <w:r w:rsidRPr="00CD4ACE">
        <w:rPr>
          <w:rFonts w:ascii="Arial" w:hAnsi="Arial" w:cs="Arial"/>
        </w:rPr>
        <w:t>łc</w:t>
      </w:r>
      <w:proofErr w:type="spellEnd"/>
      <w:r w:rsidRPr="00CD4ACE">
        <w:rPr>
          <w:rFonts w:ascii="Arial" w:hAnsi="Arial" w:cs="Arial"/>
        </w:rPr>
        <w:t xml:space="preserve"> w art. 105 ust. 1 pkt 2).</w:t>
      </w:r>
    </w:p>
    <w:p w14:paraId="71B703CD" w14:textId="25E4010C" w:rsidR="00701E4E" w:rsidRPr="00CD4ACE" w:rsidRDefault="00701E4E" w:rsidP="00CD4ACE">
      <w:pPr>
        <w:spacing w:after="0" w:line="288" w:lineRule="auto"/>
        <w:jc w:val="both"/>
        <w:rPr>
          <w:rFonts w:ascii="Arial" w:hAnsi="Arial" w:cs="Arial"/>
        </w:rPr>
      </w:pPr>
      <w:r w:rsidRPr="00CD4ACE">
        <w:rPr>
          <w:rFonts w:ascii="Arial" w:hAnsi="Arial" w:cs="Arial"/>
        </w:rPr>
        <w:t>W celu zachowania spójności systemowej, dodatkowo proponuje się zmianę w ustawie z dnia 15 maja 2015 r. – Prawo restrukturyzacyjne poprzez wprowadzenie przepisu, zgodnie z którym po obwieszczeniu postanowienia o otwarciu postępowania restrukturyzacyjnego, banki, w których dłużnik ma rachunki bankowe, sejfy lub skrytki, obowiązane będą zawiadomić o tym nadzorcę sądowego albo zarządcę. Wspomniana spójność systemowa w zakresie procesu restrukturyzacyjnego lub upadłościowego odnosi się od analogicznego przepisu art. 178 ust. 5 ustawy z dnia 28 lutego 2003 r. – Prawo upadłościowe, w myśl którego po obwieszczeniu postanowienia o ogłoszeniu upadłości banki, w których upadły ma rachunki bankowe, sejfy lub skrytki, są obowiązane zawiadomić o tym syndyka</w:t>
      </w:r>
      <w:r w:rsidRPr="00CD4ACE">
        <w:rPr>
          <w:rFonts w:ascii="Arial" w:hAnsi="Arial" w:cs="Arial"/>
        </w:rPr>
        <w:t>.</w:t>
      </w:r>
    </w:p>
    <w:p w14:paraId="37A5ECEF" w14:textId="77777777" w:rsidR="004C14A8" w:rsidRPr="00CD4ACE" w:rsidRDefault="004C14A8" w:rsidP="00CD4ACE">
      <w:pPr>
        <w:spacing w:after="0" w:line="288" w:lineRule="auto"/>
        <w:jc w:val="both"/>
        <w:rPr>
          <w:rFonts w:ascii="Arial" w:hAnsi="Arial" w:cs="Arial"/>
        </w:rPr>
      </w:pPr>
    </w:p>
    <w:p w14:paraId="544F7935" w14:textId="77777777" w:rsidR="00701E4E" w:rsidRPr="00CD4ACE" w:rsidRDefault="00701E4E" w:rsidP="00CD4ACE">
      <w:pPr>
        <w:spacing w:after="0" w:line="288" w:lineRule="auto"/>
        <w:jc w:val="both"/>
        <w:rPr>
          <w:rFonts w:ascii="Arial" w:hAnsi="Arial" w:cs="Arial"/>
        </w:rPr>
      </w:pPr>
      <w:r w:rsidRPr="00CD4ACE">
        <w:rPr>
          <w:rFonts w:ascii="Arial" w:hAnsi="Arial" w:cs="Arial"/>
        </w:rPr>
        <w:t>Przedmiotowy projekt aktu prawnego wraz z Uzasadnieniem oraz Oceną Skutków Regulacji dostępny jest na stronach Rządowego Centrum Legislacji pod adresem:</w:t>
      </w:r>
    </w:p>
    <w:p w14:paraId="05785A24" w14:textId="4D933A5A" w:rsidR="00701E4E" w:rsidRPr="00CD4ACE" w:rsidRDefault="00701E4E" w:rsidP="00CD4ACE">
      <w:pPr>
        <w:spacing w:after="0" w:line="288" w:lineRule="auto"/>
        <w:jc w:val="both"/>
        <w:rPr>
          <w:rFonts w:ascii="Arial" w:hAnsi="Arial" w:cs="Arial"/>
        </w:rPr>
      </w:pPr>
      <w:hyperlink r:id="rId8" w:history="1">
        <w:r w:rsidRPr="00CD4ACE">
          <w:rPr>
            <w:rStyle w:val="Hipercze"/>
            <w:rFonts w:ascii="Arial" w:hAnsi="Arial" w:cs="Arial"/>
          </w:rPr>
          <w:t>https://legislacja.rcl.gov.pl/projekt/12397451/katalog/1</w:t>
        </w:r>
        <w:r w:rsidRPr="00CD4ACE">
          <w:rPr>
            <w:rStyle w:val="Hipercze"/>
            <w:rFonts w:ascii="Arial" w:hAnsi="Arial" w:cs="Arial"/>
          </w:rPr>
          <w:t>3</w:t>
        </w:r>
        <w:r w:rsidRPr="00CD4ACE">
          <w:rPr>
            <w:rStyle w:val="Hipercze"/>
            <w:rFonts w:ascii="Arial" w:hAnsi="Arial" w:cs="Arial"/>
          </w:rPr>
          <w:t>126051#13126051</w:t>
        </w:r>
      </w:hyperlink>
      <w:r w:rsidRPr="00CD4ACE">
        <w:rPr>
          <w:rFonts w:ascii="Arial" w:hAnsi="Arial" w:cs="Arial"/>
        </w:rPr>
        <w:t xml:space="preserve"> </w:t>
      </w:r>
    </w:p>
    <w:p w14:paraId="6DE787BA" w14:textId="77777777" w:rsidR="00701E4E" w:rsidRPr="00CD4ACE" w:rsidRDefault="00701E4E" w:rsidP="00CD4ACE">
      <w:pPr>
        <w:spacing w:after="0" w:line="288" w:lineRule="auto"/>
        <w:jc w:val="both"/>
        <w:rPr>
          <w:rFonts w:ascii="Arial" w:hAnsi="Arial" w:cs="Arial"/>
        </w:rPr>
      </w:pPr>
    </w:p>
    <w:p w14:paraId="29C0ED36" w14:textId="492CD48A" w:rsidR="00701E4E" w:rsidRPr="00CD4ACE" w:rsidRDefault="00701E4E" w:rsidP="00CD4ACE">
      <w:pPr>
        <w:spacing w:after="0" w:line="288" w:lineRule="auto"/>
        <w:jc w:val="both"/>
        <w:rPr>
          <w:rFonts w:ascii="Arial" w:hAnsi="Arial" w:cs="Arial"/>
        </w:rPr>
      </w:pPr>
      <w:r w:rsidRPr="00CD4ACE">
        <w:rPr>
          <w:rFonts w:ascii="Arial" w:hAnsi="Arial" w:cs="Arial"/>
        </w:rPr>
        <w:t>Projekt jest obecnie jednocześnie na etapie uzgodnień, konsultacji publicznych i opiniowania.</w:t>
      </w:r>
    </w:p>
    <w:p w14:paraId="17FE7BA9" w14:textId="77777777" w:rsidR="00701E4E" w:rsidRPr="00CD4ACE" w:rsidRDefault="00701E4E" w:rsidP="00CD4ACE">
      <w:pPr>
        <w:spacing w:after="0" w:line="288" w:lineRule="auto"/>
        <w:jc w:val="both"/>
        <w:rPr>
          <w:rFonts w:ascii="Arial" w:hAnsi="Arial" w:cs="Arial"/>
        </w:rPr>
      </w:pPr>
    </w:p>
    <w:p w14:paraId="6323BD1A" w14:textId="4769AE42" w:rsidR="004C14A8" w:rsidRPr="00CD4ACE" w:rsidRDefault="00701E4E" w:rsidP="00CD4ACE">
      <w:pPr>
        <w:pStyle w:val="Akapitzlist"/>
        <w:numPr>
          <w:ilvl w:val="0"/>
          <w:numId w:val="3"/>
        </w:numPr>
        <w:spacing w:after="0" w:line="288" w:lineRule="auto"/>
        <w:jc w:val="both"/>
        <w:rPr>
          <w:rFonts w:ascii="Arial" w:hAnsi="Arial" w:cs="Arial"/>
          <w:b/>
          <w:bCs/>
          <w:u w:val="single"/>
        </w:rPr>
      </w:pPr>
      <w:r w:rsidRPr="00CD4ACE">
        <w:rPr>
          <w:rFonts w:ascii="Arial" w:hAnsi="Arial" w:cs="Arial"/>
          <w:b/>
          <w:bCs/>
          <w:u w:val="single"/>
        </w:rPr>
        <w:t>P</w:t>
      </w:r>
      <w:r w:rsidRPr="00CD4ACE">
        <w:rPr>
          <w:rFonts w:ascii="Arial" w:hAnsi="Arial" w:cs="Arial"/>
          <w:b/>
          <w:bCs/>
          <w:u w:val="single"/>
        </w:rPr>
        <w:t>rojekt ustawy zmieniającej ustawę o zmianie ustawy o rachunkowości, ustawy o biegłych rewidentach, firmach audytorskich oraz nadzorze publicznym oraz niektórych innych ustaw (numer z wykazu UC93).</w:t>
      </w:r>
    </w:p>
    <w:p w14:paraId="1A0297DB" w14:textId="77777777" w:rsidR="004C14A8" w:rsidRPr="00CD4ACE" w:rsidRDefault="004C14A8" w:rsidP="00CD4ACE">
      <w:pPr>
        <w:spacing w:after="0" w:line="288" w:lineRule="auto"/>
        <w:rPr>
          <w:rFonts w:ascii="Arial" w:hAnsi="Arial" w:cs="Arial"/>
        </w:rPr>
      </w:pPr>
    </w:p>
    <w:p w14:paraId="3D69368A" w14:textId="77777777" w:rsidR="00701E4E" w:rsidRPr="00CD4ACE" w:rsidRDefault="00701E4E" w:rsidP="00CD4ACE">
      <w:pPr>
        <w:spacing w:after="0" w:line="288" w:lineRule="auto"/>
        <w:jc w:val="both"/>
        <w:rPr>
          <w:rFonts w:ascii="Arial" w:hAnsi="Arial" w:cs="Arial"/>
        </w:rPr>
      </w:pPr>
      <w:r w:rsidRPr="00CD4ACE">
        <w:rPr>
          <w:rFonts w:ascii="Arial" w:hAnsi="Arial" w:cs="Arial"/>
        </w:rPr>
        <w:t xml:space="preserve">Państwa członkowskie mają obowiązek dostosowania do końca 2025 r. przepisów krajowych do dyrektywy 2025/794 w zakresie w jakim wprowadza ona zmiany do dyrektywy Parlamentu Europejskiego i Rady (UE) 2022/2464 z dnia 14 grudnia 2022 r. w sprawie zmiany </w:t>
      </w:r>
      <w:r w:rsidRPr="00CD4ACE">
        <w:rPr>
          <w:rFonts w:ascii="Arial" w:hAnsi="Arial" w:cs="Arial"/>
        </w:rPr>
        <w:lastRenderedPageBreak/>
        <w:t xml:space="preserve">rozporządzenia (UE) nr 537/2014, dyrektywy 2004/109/WE, dyrektywy 2006/43/WE oraz dyrektywy 2013/34/UE w odniesieniu do sprawozdawczości przedsiębiorstw w zakresie zrównoważonego rozwoju, tzw. CSRD (Dz. Urz. UE L 322 z 16.12.2022 r., str. 15). </w:t>
      </w:r>
    </w:p>
    <w:p w14:paraId="085E1B90" w14:textId="77777777" w:rsidR="00701E4E" w:rsidRPr="00CD4ACE" w:rsidRDefault="00701E4E" w:rsidP="00CD4ACE">
      <w:pPr>
        <w:spacing w:after="0" w:line="288" w:lineRule="auto"/>
        <w:jc w:val="both"/>
        <w:rPr>
          <w:rFonts w:ascii="Arial" w:hAnsi="Arial" w:cs="Arial"/>
        </w:rPr>
      </w:pPr>
      <w:r w:rsidRPr="00CD4ACE">
        <w:rPr>
          <w:rFonts w:ascii="Arial" w:hAnsi="Arial" w:cs="Arial"/>
        </w:rPr>
        <w:t xml:space="preserve">CSRD, która została wdrożona do przepisów krajowych ustawą z dnia 6 grudnia 2024 r. o zmianie ustawy o rachunkowości, ustawy o biegłych rewidentach, firmach audytorskich oraz nadzorze publicznym oraz innych ustaw (Dz. U. z 2024 r. poz. 1863), wprowadziła obowiązek przedstawiania informacji o wpływie działalności jednostki na obszar środowiskowy, spraw społecznych, w tym praw człowieka, oraz ładu korporacyjnego, a także wpływu tych trzech obszarów na rozwój, wyniki i sytuację jednostki (tzw. sprawozdawczość zrównoważonego rozwoju lub sprawozdawczość ESG). Do raportowania zobowiązane są obecnie jednostki duże oraz małe i średnie jednostki będące emitentami papierów wartościowych dopuszczonych do obrotu na jednym z rynków regulowanych Europejskiego Obszaru Gospodarczego, a także jednostki dominujące dużych grup. Obowiązek raportowania po raz pierwszy zgodnie z wymogami CSRD został rozłożony na trzy etapy. W pierwszej kolejności, w 2025 r. za rok obrotowy 2024, raportują największe jednostki zainteresowania publicznego zatrudniające ponad 500 pracowników i przekraczające co najmniej jeden z progów finansowych dla jednostki dużej, a także jednostki zainteresowania publicznego stojące na czele grupy, w której zatrudnienie przekracza 500 osób oraz która przekracza co najmniej jeden z progów finansowych dla dużej grupy. Zgodnie z obecnymi regulacjami w drugiej turze, w 2026 r. za rok obrotowy 2025, miałyby zaraportować pozostałe jednostki duże i pozostałe duże grupy, natomiast w trzeciej turze, w 2027 r. za rok obrotowy 2026 – mali i średni emitenci z rynku regulowanego. </w:t>
      </w:r>
    </w:p>
    <w:p w14:paraId="1D541C1C" w14:textId="77777777" w:rsidR="00701E4E" w:rsidRPr="00CD4ACE" w:rsidRDefault="00701E4E" w:rsidP="00CD4ACE">
      <w:pPr>
        <w:spacing w:after="0" w:line="288" w:lineRule="auto"/>
        <w:jc w:val="both"/>
        <w:rPr>
          <w:rFonts w:ascii="Arial" w:hAnsi="Arial" w:cs="Arial"/>
        </w:rPr>
      </w:pPr>
      <w:r w:rsidRPr="00CD4ACE">
        <w:rPr>
          <w:rFonts w:ascii="Arial" w:hAnsi="Arial" w:cs="Arial"/>
        </w:rPr>
        <w:t>Jednakże w ramach nadrzędnego celu znoszenia nadmiernych obciążeń biurokratycznych i administracyjnych dla przedsiębiorców w UE oraz poprawy ich konkurencyjności, szczególnie w kontekście rosnącej presji konkurencyjnej ze strony państw spoza UE, 26 lutego 2024 r. Komisja Europejska przedstawiła pierwszy pakiet uproszczeń w obszarze zrównoważonego rozwoju, tzw. Omnibus I. Uproszczenia w zakresie CSRD zawarto w dwóch projektach aktów prawnych. Pierwszy z nich (tzw. stop-the-</w:t>
      </w:r>
      <w:proofErr w:type="spellStart"/>
      <w:r w:rsidRPr="00CD4ACE">
        <w:rPr>
          <w:rFonts w:ascii="Arial" w:hAnsi="Arial" w:cs="Arial"/>
        </w:rPr>
        <w:t>clock</w:t>
      </w:r>
      <w:proofErr w:type="spellEnd"/>
      <w:r w:rsidRPr="00CD4ACE">
        <w:rPr>
          <w:rFonts w:ascii="Arial" w:hAnsi="Arial" w:cs="Arial"/>
        </w:rPr>
        <w:t xml:space="preserve">) przewidywał odroczenie o dwa lata wskazanego wyżej terminarza wchodzenia w życie obowiązków sprawozdawczości zrównoważonego rozwoju dla drugiej i trzeciej tury przedsiębiorstw Został on ostatecznie przyjęty przez Parlament Europejski i Radę UE w postaci dyrektywy 2025/794, którą państwa członkowskie mają obowiązek wdrożyć do końca 2025 r. </w:t>
      </w:r>
    </w:p>
    <w:p w14:paraId="3EC72BDF" w14:textId="77777777" w:rsidR="00701E4E" w:rsidRPr="00CD4ACE" w:rsidRDefault="00701E4E" w:rsidP="00CD4ACE">
      <w:pPr>
        <w:spacing w:after="0" w:line="288" w:lineRule="auto"/>
        <w:jc w:val="both"/>
        <w:rPr>
          <w:rFonts w:ascii="Arial" w:hAnsi="Arial" w:cs="Arial"/>
        </w:rPr>
      </w:pPr>
      <w:r w:rsidRPr="00CD4ACE">
        <w:rPr>
          <w:rFonts w:ascii="Arial" w:hAnsi="Arial" w:cs="Arial"/>
        </w:rPr>
        <w:t xml:space="preserve">Przyjęte dyrektywą 2025/794 odroczenie terminów pierwszego raportowania dla drugiej i trzeciej grupy jednostek należy też rozpatrywać w świetle zmian merytorycznych w zakresie sprawozdawczości zrównoważonego rozwoju zaproponowanych w drugim z projektów aktów prawnych (wniosek dotyczący dyrektywy Parlamentu Europejskiego i Rady zmieniającej dyrektywy 2006/43/WE, 2013/34/UE, 2022/2464 i 2024/1760 w odniesieniu do niektórych wymogów dotyczących sprawozdawczości przedsiębiorstw w zakresie zrównoważonego rozwoju i należytej staranności (COM(2025) 81). Projekt ten jest obecnie procedowany na forum UE. KE zaproponowała w nim m. in.: </w:t>
      </w:r>
    </w:p>
    <w:p w14:paraId="79EAF1B6" w14:textId="498170C2" w:rsidR="00701E4E" w:rsidRPr="00CD4ACE" w:rsidRDefault="00701E4E" w:rsidP="00CD4ACE">
      <w:pPr>
        <w:pStyle w:val="Akapitzlist"/>
        <w:numPr>
          <w:ilvl w:val="0"/>
          <w:numId w:val="7"/>
        </w:numPr>
        <w:spacing w:after="0" w:line="288" w:lineRule="auto"/>
        <w:jc w:val="both"/>
        <w:rPr>
          <w:rFonts w:ascii="Arial" w:hAnsi="Arial" w:cs="Arial"/>
        </w:rPr>
      </w:pPr>
      <w:r w:rsidRPr="00CD4ACE">
        <w:rPr>
          <w:rFonts w:ascii="Arial" w:hAnsi="Arial" w:cs="Arial"/>
        </w:rPr>
        <w:t xml:space="preserve">znacząco zawęzić zakres jednostek zobowiązanych do sporządzania sprawozdawczości zrównoważonego rozwoju; </w:t>
      </w:r>
    </w:p>
    <w:p w14:paraId="4547BBF1" w14:textId="36BA8E23" w:rsidR="00701E4E" w:rsidRPr="00CD4ACE" w:rsidRDefault="00701E4E" w:rsidP="00CD4ACE">
      <w:pPr>
        <w:pStyle w:val="Akapitzlist"/>
        <w:numPr>
          <w:ilvl w:val="0"/>
          <w:numId w:val="7"/>
        </w:numPr>
        <w:spacing w:after="0" w:line="288" w:lineRule="auto"/>
        <w:jc w:val="both"/>
        <w:rPr>
          <w:rFonts w:ascii="Arial" w:hAnsi="Arial" w:cs="Arial"/>
        </w:rPr>
      </w:pPr>
      <w:r w:rsidRPr="00CD4ACE">
        <w:rPr>
          <w:rFonts w:ascii="Arial" w:hAnsi="Arial" w:cs="Arial"/>
        </w:rPr>
        <w:t xml:space="preserve">wprowadzenie limitu informacji jakie jednostki raportujące mogłyby żądać od jednostek znajdujących się w ich łańcuchu wartości; </w:t>
      </w:r>
    </w:p>
    <w:p w14:paraId="6C01EAE2" w14:textId="41A61C22" w:rsidR="00701E4E" w:rsidRPr="00CD4ACE" w:rsidRDefault="00701E4E" w:rsidP="00CD4ACE">
      <w:pPr>
        <w:pStyle w:val="Akapitzlist"/>
        <w:numPr>
          <w:ilvl w:val="0"/>
          <w:numId w:val="7"/>
        </w:numPr>
        <w:spacing w:after="0" w:line="288" w:lineRule="auto"/>
        <w:jc w:val="both"/>
        <w:rPr>
          <w:rFonts w:ascii="Arial" w:hAnsi="Arial" w:cs="Arial"/>
        </w:rPr>
      </w:pPr>
      <w:r w:rsidRPr="00CD4ACE">
        <w:rPr>
          <w:rFonts w:ascii="Arial" w:hAnsi="Arial" w:cs="Arial"/>
        </w:rPr>
        <w:t xml:space="preserve">usunięcie uprawnienia dla KE do wydania sektorowych standardów sprawozdawczości zrównoważonego rozwoju; czy </w:t>
      </w:r>
    </w:p>
    <w:p w14:paraId="209CD43E" w14:textId="650462C7" w:rsidR="00701E4E" w:rsidRPr="00CD4ACE" w:rsidRDefault="00701E4E" w:rsidP="00CD4ACE">
      <w:pPr>
        <w:pStyle w:val="Akapitzlist"/>
        <w:numPr>
          <w:ilvl w:val="0"/>
          <w:numId w:val="7"/>
        </w:numPr>
        <w:spacing w:after="0" w:line="288" w:lineRule="auto"/>
        <w:jc w:val="both"/>
        <w:rPr>
          <w:rFonts w:ascii="Arial" w:hAnsi="Arial" w:cs="Arial"/>
        </w:rPr>
      </w:pPr>
      <w:r w:rsidRPr="00CD4ACE">
        <w:rPr>
          <w:rFonts w:ascii="Arial" w:hAnsi="Arial" w:cs="Arial"/>
        </w:rPr>
        <w:lastRenderedPageBreak/>
        <w:t>rezygnację z docelowo przewidzianej w CSRD atestacji sprawozdawczości zrównoważonego rozwoju na poziomie wystarczającego zapewnienia (</w:t>
      </w:r>
      <w:proofErr w:type="spellStart"/>
      <w:r w:rsidRPr="00CD4ACE">
        <w:rPr>
          <w:rFonts w:ascii="Arial" w:hAnsi="Arial" w:cs="Arial"/>
        </w:rPr>
        <w:t>reasonable</w:t>
      </w:r>
      <w:proofErr w:type="spellEnd"/>
      <w:r w:rsidRPr="00CD4ACE">
        <w:rPr>
          <w:rFonts w:ascii="Arial" w:hAnsi="Arial" w:cs="Arial"/>
        </w:rPr>
        <w:t xml:space="preserve"> </w:t>
      </w:r>
      <w:proofErr w:type="spellStart"/>
      <w:r w:rsidRPr="00CD4ACE">
        <w:rPr>
          <w:rFonts w:ascii="Arial" w:hAnsi="Arial" w:cs="Arial"/>
        </w:rPr>
        <w:t>assurance</w:t>
      </w:r>
      <w:proofErr w:type="spellEnd"/>
      <w:r w:rsidRPr="00CD4ACE">
        <w:rPr>
          <w:rFonts w:ascii="Arial" w:hAnsi="Arial" w:cs="Arial"/>
        </w:rPr>
        <w:t>) i pozostawienie jej na poziomie ograniczonego zapewnienia (</w:t>
      </w:r>
      <w:proofErr w:type="spellStart"/>
      <w:r w:rsidRPr="00CD4ACE">
        <w:rPr>
          <w:rFonts w:ascii="Arial" w:hAnsi="Arial" w:cs="Arial"/>
        </w:rPr>
        <w:t>limited</w:t>
      </w:r>
      <w:proofErr w:type="spellEnd"/>
      <w:r w:rsidRPr="00CD4ACE">
        <w:rPr>
          <w:rFonts w:ascii="Arial" w:hAnsi="Arial" w:cs="Arial"/>
        </w:rPr>
        <w:t xml:space="preserve"> </w:t>
      </w:r>
      <w:proofErr w:type="spellStart"/>
      <w:r w:rsidRPr="00CD4ACE">
        <w:rPr>
          <w:rFonts w:ascii="Arial" w:hAnsi="Arial" w:cs="Arial"/>
        </w:rPr>
        <w:t>assurance</w:t>
      </w:r>
      <w:proofErr w:type="spellEnd"/>
      <w:r w:rsidRPr="00CD4ACE">
        <w:rPr>
          <w:rFonts w:ascii="Arial" w:hAnsi="Arial" w:cs="Arial"/>
        </w:rPr>
        <w:t xml:space="preserve">). </w:t>
      </w:r>
    </w:p>
    <w:p w14:paraId="3B8716FB" w14:textId="77777777" w:rsidR="00701E4E" w:rsidRPr="00CD4ACE" w:rsidRDefault="00701E4E" w:rsidP="00CD4ACE">
      <w:pPr>
        <w:spacing w:after="0" w:line="288" w:lineRule="auto"/>
        <w:jc w:val="both"/>
        <w:rPr>
          <w:rFonts w:ascii="Arial" w:hAnsi="Arial" w:cs="Arial"/>
        </w:rPr>
      </w:pPr>
      <w:r w:rsidRPr="00CD4ACE">
        <w:rPr>
          <w:rFonts w:ascii="Arial" w:hAnsi="Arial" w:cs="Arial"/>
        </w:rPr>
        <w:t xml:space="preserve">Ww. odroczenie terminów pierwszego raportowania ma zapewnić odpowiedni czas na rozpatrzenie zaproponowanych zmian merytorycznych, ich przyjęcie i wdrożenie do krajowego porządku prawnego, tak aby jednostki miały czas dostosować się do tych zmian. </w:t>
      </w:r>
    </w:p>
    <w:p w14:paraId="48896776" w14:textId="77777777" w:rsidR="00701E4E" w:rsidRPr="00CD4ACE" w:rsidRDefault="00701E4E" w:rsidP="00CD4ACE">
      <w:pPr>
        <w:spacing w:after="0" w:line="288" w:lineRule="auto"/>
        <w:jc w:val="both"/>
        <w:rPr>
          <w:rFonts w:ascii="Arial" w:hAnsi="Arial" w:cs="Arial"/>
        </w:rPr>
      </w:pPr>
      <w:r w:rsidRPr="00CD4ACE">
        <w:rPr>
          <w:rFonts w:ascii="Arial" w:hAnsi="Arial" w:cs="Arial"/>
        </w:rPr>
        <w:t>CRSD została wdrożona do polskiego porządku prawnego ustawą z dnia 6 grudnia 2024 r. o zmianie ustawy o rachunkowości, ustawy o biegłych rewidentach, firmach audytorskich oraz nadzorze publicznym oraz niektórych innych ustaw (Dz. U. poz. 1863).</w:t>
      </w:r>
    </w:p>
    <w:p w14:paraId="5A52F042" w14:textId="77777777" w:rsidR="00701E4E" w:rsidRPr="00CD4ACE" w:rsidRDefault="00701E4E" w:rsidP="00CD4ACE">
      <w:pPr>
        <w:spacing w:after="0" w:line="288" w:lineRule="auto"/>
        <w:jc w:val="both"/>
        <w:rPr>
          <w:rFonts w:ascii="Arial" w:hAnsi="Arial" w:cs="Arial"/>
        </w:rPr>
      </w:pPr>
      <w:r w:rsidRPr="00CD4ACE">
        <w:rPr>
          <w:rFonts w:ascii="Arial" w:hAnsi="Arial" w:cs="Arial"/>
        </w:rPr>
        <w:t xml:space="preserve">Wdrożenie zmian przewidzianych w dyrektywie 2025/794 wymaga dokonania zmian w ustawie z dnia 6 grudnia 2024 r. w zakresie jej art. 14 ust. 5 pkt 2 i 3 oraz wykreślenia ust. 6. Konieczne jest przy tym pilne wprowadzenie tych zmian nie tylko ze względu na narzucony bardzo krótki termin transpozycji (31 grudnia 2025 r.), ale przede wszystkim ze względu na potrzebę zapewnienia pewności prawnej dla jednostek objętych obowiązkiem raportowania, w szczególności dla drugiej grupy, która zgodnie z obecnym brzmieniem ww. art. 14 ust. 5 pkt 2 ustawy ma zaraportować po raz pierwszy za 2025 r. </w:t>
      </w:r>
    </w:p>
    <w:p w14:paraId="3AD7FE60" w14:textId="77777777" w:rsidR="00701E4E" w:rsidRPr="00CD4ACE" w:rsidRDefault="00701E4E" w:rsidP="00CD4ACE">
      <w:pPr>
        <w:spacing w:after="0" w:line="288" w:lineRule="auto"/>
        <w:jc w:val="both"/>
        <w:rPr>
          <w:rFonts w:ascii="Arial" w:hAnsi="Arial" w:cs="Arial"/>
        </w:rPr>
      </w:pPr>
      <w:r w:rsidRPr="00CD4ACE">
        <w:rPr>
          <w:rFonts w:ascii="Arial" w:hAnsi="Arial" w:cs="Arial"/>
        </w:rPr>
        <w:t xml:space="preserve">Dyrektywa 2025/794 dotyczy odroczenia terminów, od których państwa członkowskie mają stosować określone wymogi dotyczące sprawozdawczości przedsiębiorstw w zakresie zrównoważonego rozwoju. Ma to stanowić ulgę dla jednostek poprzez przesunięcie obowiązków w czasie.  </w:t>
      </w:r>
    </w:p>
    <w:p w14:paraId="0B468005" w14:textId="77777777" w:rsidR="00701E4E" w:rsidRPr="00CD4ACE" w:rsidRDefault="00701E4E" w:rsidP="00CD4ACE">
      <w:pPr>
        <w:spacing w:after="0" w:line="288" w:lineRule="auto"/>
        <w:jc w:val="both"/>
        <w:rPr>
          <w:rFonts w:ascii="Arial" w:hAnsi="Arial" w:cs="Arial"/>
        </w:rPr>
      </w:pPr>
      <w:r w:rsidRPr="00CD4ACE">
        <w:rPr>
          <w:rFonts w:ascii="Arial" w:hAnsi="Arial" w:cs="Arial"/>
        </w:rPr>
        <w:t xml:space="preserve">Projekt ustawy, w ślad za dyrektywą, zakłada odroczenie o dwa lata obowiązku sporządzania sprawozdawczości ESG dla dużych jednostek (z drugiej tury) oraz dla małych i średnich jednostek będących emitentami papierów wartościowych dopuszczonych do obrotu na jednym z rynków regulowanych Europejskiego Obszaru Gospodarczego (z trzeciej tury).  </w:t>
      </w:r>
    </w:p>
    <w:p w14:paraId="1FE735A7" w14:textId="5654657E" w:rsidR="00701E4E" w:rsidRPr="00CD4ACE" w:rsidRDefault="00701E4E" w:rsidP="00CD4ACE">
      <w:pPr>
        <w:spacing w:after="0" w:line="288" w:lineRule="auto"/>
        <w:jc w:val="both"/>
        <w:rPr>
          <w:rFonts w:ascii="Arial" w:hAnsi="Arial" w:cs="Arial"/>
        </w:rPr>
      </w:pPr>
      <w:r w:rsidRPr="00CD4ACE">
        <w:rPr>
          <w:rFonts w:ascii="Arial" w:hAnsi="Arial" w:cs="Arial"/>
        </w:rPr>
        <w:t>Ww. dyrektywa wprowadza też przesunięcie terminu wdrożenia dyrektywy 2024/1760 w sprawie należytej staranności przedsiębiorstw w zakresie zrównoważonego rozwoju (też: CS3D). Nie jest to przedmiotem regulacji w ramach tego projektu ustawy</w:t>
      </w:r>
      <w:r w:rsidRPr="00CD4ACE">
        <w:rPr>
          <w:rFonts w:ascii="Arial" w:hAnsi="Arial" w:cs="Arial"/>
        </w:rPr>
        <w:t>.</w:t>
      </w:r>
    </w:p>
    <w:p w14:paraId="1C10BDB4" w14:textId="79806D3F" w:rsidR="004C14A8" w:rsidRPr="00CD4ACE" w:rsidRDefault="004C14A8" w:rsidP="00CD4ACE">
      <w:pPr>
        <w:spacing w:after="0" w:line="288" w:lineRule="auto"/>
        <w:jc w:val="both"/>
        <w:rPr>
          <w:rFonts w:ascii="Arial" w:hAnsi="Arial" w:cs="Arial"/>
        </w:rPr>
      </w:pPr>
    </w:p>
    <w:p w14:paraId="7187A107" w14:textId="77777777" w:rsidR="00701E4E" w:rsidRPr="00CD4ACE" w:rsidRDefault="00701E4E" w:rsidP="00CD4ACE">
      <w:pPr>
        <w:spacing w:after="0" w:line="288" w:lineRule="auto"/>
        <w:jc w:val="both"/>
        <w:rPr>
          <w:rFonts w:ascii="Arial" w:hAnsi="Arial" w:cs="Arial"/>
        </w:rPr>
      </w:pPr>
      <w:r w:rsidRPr="00CD4ACE">
        <w:rPr>
          <w:rFonts w:ascii="Arial" w:hAnsi="Arial" w:cs="Arial"/>
        </w:rPr>
        <w:t>Przedmiotowy projekt aktu prawnego wraz z Uzasadnieniem oraz Oceną Skutków Regulacji dostępny jest na stronach Rządowego Centrum Legislacji pod adresem:</w:t>
      </w:r>
    </w:p>
    <w:p w14:paraId="4F2F52D4" w14:textId="423D5654" w:rsidR="00701E4E" w:rsidRPr="00CD4ACE" w:rsidRDefault="00701E4E" w:rsidP="00CD4ACE">
      <w:pPr>
        <w:spacing w:after="0" w:line="288" w:lineRule="auto"/>
        <w:jc w:val="both"/>
        <w:rPr>
          <w:rFonts w:ascii="Arial" w:hAnsi="Arial" w:cs="Arial"/>
        </w:rPr>
      </w:pPr>
      <w:hyperlink r:id="rId9" w:history="1">
        <w:r w:rsidRPr="00CD4ACE">
          <w:rPr>
            <w:rStyle w:val="Hipercze"/>
            <w:rFonts w:ascii="Arial" w:hAnsi="Arial" w:cs="Arial"/>
          </w:rPr>
          <w:t>https://legislacja.rcl.gov.pl/projekt/12397501/k</w:t>
        </w:r>
        <w:r w:rsidRPr="00CD4ACE">
          <w:rPr>
            <w:rStyle w:val="Hipercze"/>
            <w:rFonts w:ascii="Arial" w:hAnsi="Arial" w:cs="Arial"/>
          </w:rPr>
          <w:t>a</w:t>
        </w:r>
        <w:r w:rsidRPr="00CD4ACE">
          <w:rPr>
            <w:rStyle w:val="Hipercze"/>
            <w:rFonts w:ascii="Arial" w:hAnsi="Arial" w:cs="Arial"/>
          </w:rPr>
          <w:t>talog/13126217#13126217</w:t>
        </w:r>
      </w:hyperlink>
      <w:r w:rsidRPr="00CD4ACE">
        <w:rPr>
          <w:rFonts w:ascii="Arial" w:hAnsi="Arial" w:cs="Arial"/>
        </w:rPr>
        <w:t xml:space="preserve"> </w:t>
      </w:r>
    </w:p>
    <w:p w14:paraId="671D61F9" w14:textId="77777777" w:rsidR="00701E4E" w:rsidRPr="00CD4ACE" w:rsidRDefault="00701E4E" w:rsidP="00CD4ACE">
      <w:pPr>
        <w:spacing w:after="0" w:line="288" w:lineRule="auto"/>
        <w:jc w:val="both"/>
        <w:rPr>
          <w:rFonts w:ascii="Arial" w:hAnsi="Arial" w:cs="Arial"/>
        </w:rPr>
      </w:pPr>
    </w:p>
    <w:p w14:paraId="5F5A51FD" w14:textId="1C64DE5E" w:rsidR="00701E4E" w:rsidRPr="00CD4ACE" w:rsidRDefault="00701E4E" w:rsidP="00CD4ACE">
      <w:pPr>
        <w:spacing w:after="0" w:line="288" w:lineRule="auto"/>
        <w:jc w:val="both"/>
        <w:rPr>
          <w:rFonts w:ascii="Arial" w:hAnsi="Arial" w:cs="Arial"/>
        </w:rPr>
      </w:pPr>
      <w:r w:rsidRPr="00CD4ACE">
        <w:rPr>
          <w:rFonts w:ascii="Arial" w:hAnsi="Arial" w:cs="Arial"/>
        </w:rPr>
        <w:t>Projekt jest obecnie jednocześnie na etapie uzgodnień, konsultacji publicznych i opiniowania.</w:t>
      </w:r>
    </w:p>
    <w:p w14:paraId="03A160A1" w14:textId="77777777" w:rsidR="00701E4E" w:rsidRPr="00CD4ACE" w:rsidRDefault="00701E4E" w:rsidP="00CD4ACE">
      <w:pPr>
        <w:spacing w:after="0" w:line="288" w:lineRule="auto"/>
        <w:jc w:val="both"/>
        <w:rPr>
          <w:rFonts w:ascii="Arial" w:hAnsi="Arial" w:cs="Arial"/>
        </w:rPr>
      </w:pPr>
    </w:p>
    <w:p w14:paraId="4520280F" w14:textId="76B3F45E" w:rsidR="004C14A8" w:rsidRPr="00CD4ACE" w:rsidRDefault="00701E4E" w:rsidP="00CD4ACE">
      <w:pPr>
        <w:pStyle w:val="Akapitzlist"/>
        <w:numPr>
          <w:ilvl w:val="0"/>
          <w:numId w:val="3"/>
        </w:numPr>
        <w:spacing w:after="0" w:line="288" w:lineRule="auto"/>
        <w:jc w:val="both"/>
        <w:rPr>
          <w:rFonts w:ascii="Arial" w:hAnsi="Arial" w:cs="Arial"/>
          <w:b/>
          <w:bCs/>
          <w:u w:val="single"/>
        </w:rPr>
      </w:pPr>
      <w:r w:rsidRPr="00CD4ACE">
        <w:rPr>
          <w:rFonts w:ascii="Arial" w:hAnsi="Arial" w:cs="Arial"/>
          <w:b/>
          <w:bCs/>
          <w:u w:val="single"/>
        </w:rPr>
        <w:t>P</w:t>
      </w:r>
      <w:r w:rsidRPr="00CD4ACE">
        <w:rPr>
          <w:rFonts w:ascii="Arial" w:hAnsi="Arial" w:cs="Arial"/>
          <w:b/>
          <w:bCs/>
          <w:u w:val="single"/>
        </w:rPr>
        <w:t>rojekt ustawy o zmianie ustawy – Ordynacja podatkowa (numer z wykazu UDER26)</w:t>
      </w:r>
      <w:r w:rsidRPr="00CD4ACE">
        <w:rPr>
          <w:rFonts w:ascii="Arial" w:hAnsi="Arial" w:cs="Arial"/>
          <w:b/>
          <w:bCs/>
          <w:u w:val="single"/>
        </w:rPr>
        <w:t>.</w:t>
      </w:r>
    </w:p>
    <w:p w14:paraId="530A2F5C" w14:textId="77777777" w:rsidR="004C14A8" w:rsidRPr="00CD4ACE" w:rsidRDefault="004C14A8" w:rsidP="00CD4ACE">
      <w:pPr>
        <w:spacing w:after="0" w:line="288" w:lineRule="auto"/>
        <w:jc w:val="both"/>
        <w:rPr>
          <w:rFonts w:ascii="Arial" w:hAnsi="Arial" w:cs="Arial"/>
        </w:rPr>
      </w:pPr>
    </w:p>
    <w:p w14:paraId="1822FE3D" w14:textId="77777777" w:rsidR="004F1BFA" w:rsidRPr="00CD4ACE" w:rsidRDefault="004F1BFA" w:rsidP="00CD4ACE">
      <w:pPr>
        <w:spacing w:after="0" w:line="288" w:lineRule="auto"/>
        <w:jc w:val="both"/>
        <w:rPr>
          <w:rFonts w:ascii="Arial" w:hAnsi="Arial" w:cs="Arial"/>
        </w:rPr>
      </w:pPr>
      <w:r w:rsidRPr="00CD4ACE">
        <w:rPr>
          <w:rFonts w:ascii="Arial" w:hAnsi="Arial" w:cs="Arial"/>
        </w:rPr>
        <w:t>W przypadku przedłużających się kontroli podatkowych lub kontroli celno-skarbowych podatnicy są obciążeni odsetkami za zwłokę za cały okres prowadzenia kontroli. Ochrona przed naliczaniem odsetek jest jedynie przewidziana przy przedłużających się postępowaniach podatkowych.</w:t>
      </w:r>
    </w:p>
    <w:p w14:paraId="118032FE" w14:textId="77777777" w:rsidR="004F1BFA" w:rsidRPr="00CD4ACE" w:rsidRDefault="004F1BFA" w:rsidP="00CD4ACE">
      <w:pPr>
        <w:spacing w:after="0" w:line="288" w:lineRule="auto"/>
        <w:jc w:val="both"/>
        <w:rPr>
          <w:rFonts w:ascii="Arial" w:hAnsi="Arial" w:cs="Arial"/>
        </w:rPr>
      </w:pPr>
      <w:r w:rsidRPr="00CD4ACE">
        <w:rPr>
          <w:rFonts w:ascii="Arial" w:hAnsi="Arial" w:cs="Arial"/>
        </w:rPr>
        <w:t>Projekt wprowadza następujące rekomendowane rozwiązania:</w:t>
      </w:r>
    </w:p>
    <w:p w14:paraId="7E310306" w14:textId="577A9267" w:rsidR="004F1BFA" w:rsidRPr="00CD4ACE" w:rsidRDefault="004F1BFA" w:rsidP="00CD4ACE">
      <w:pPr>
        <w:pStyle w:val="Akapitzlist"/>
        <w:numPr>
          <w:ilvl w:val="0"/>
          <w:numId w:val="9"/>
        </w:numPr>
        <w:spacing w:after="0" w:line="288" w:lineRule="auto"/>
        <w:jc w:val="both"/>
        <w:rPr>
          <w:rFonts w:ascii="Arial" w:hAnsi="Arial" w:cs="Arial"/>
        </w:rPr>
      </w:pPr>
      <w:r w:rsidRPr="00CD4ACE">
        <w:rPr>
          <w:rFonts w:ascii="Arial" w:hAnsi="Arial" w:cs="Arial"/>
        </w:rPr>
        <w:t xml:space="preserve">Wyłączenie naliczania odsetek za zwłokę za czas kontroli podatkowej lub kontroli celno-skarbowej, jeśli kontrola będzie trwała dłużej niż 6 miesięcy.  Będzie to bodziec dla organu podatkowego do sprawnego działania, a z drugiej strony uwolni podatnika </w:t>
      </w:r>
      <w:r w:rsidRPr="00CD4ACE">
        <w:rPr>
          <w:rFonts w:ascii="Arial" w:hAnsi="Arial" w:cs="Arial"/>
        </w:rPr>
        <w:lastRenderedPageBreak/>
        <w:t>od finansowych konsekwencji przedłużających się kontroli podatkowych i kontroli celno-skarbowych.</w:t>
      </w:r>
    </w:p>
    <w:p w14:paraId="101D490E" w14:textId="7EABFCB3" w:rsidR="00701E4E" w:rsidRPr="00CD4ACE" w:rsidRDefault="004F1BFA" w:rsidP="00CD4ACE">
      <w:pPr>
        <w:pStyle w:val="Akapitzlist"/>
        <w:numPr>
          <w:ilvl w:val="0"/>
          <w:numId w:val="9"/>
        </w:numPr>
        <w:spacing w:after="0" w:line="288" w:lineRule="auto"/>
        <w:jc w:val="both"/>
        <w:rPr>
          <w:rFonts w:ascii="Arial" w:hAnsi="Arial" w:cs="Arial"/>
        </w:rPr>
      </w:pPr>
      <w:r w:rsidRPr="00CD4ACE">
        <w:rPr>
          <w:rFonts w:ascii="Arial" w:hAnsi="Arial" w:cs="Arial"/>
        </w:rPr>
        <w:t>Proponuje się ujednolicenie długości okresu warunkującego nienaliczanie odsetek za zwłokę w przypadku przedłużających się postępowań podatkowych z okresem odnoszącym się do kontroli podatkowej i kontroli celno-skarbowej (obecnie odsetki nie są naliczane, jeżeli decyzja nie została doręczona w terminie 3 miesięcy od dnia wszczęcia postępowania; po zmianie okres ten wyniesie 6 miesięcy, tak jak w przypadku kontroli).</w:t>
      </w:r>
    </w:p>
    <w:p w14:paraId="12A6ADA1" w14:textId="77777777" w:rsidR="004C14A8" w:rsidRPr="00CD4ACE" w:rsidRDefault="004C14A8" w:rsidP="00CD4ACE">
      <w:pPr>
        <w:spacing w:after="0" w:line="288" w:lineRule="auto"/>
        <w:jc w:val="both"/>
        <w:rPr>
          <w:rFonts w:ascii="Arial" w:hAnsi="Arial" w:cs="Arial"/>
        </w:rPr>
      </w:pPr>
    </w:p>
    <w:p w14:paraId="74394604" w14:textId="77777777" w:rsidR="004F1BFA" w:rsidRPr="00CD4ACE" w:rsidRDefault="004F1BFA" w:rsidP="00CD4ACE">
      <w:pPr>
        <w:spacing w:after="0" w:line="288" w:lineRule="auto"/>
        <w:jc w:val="both"/>
        <w:rPr>
          <w:rFonts w:ascii="Arial" w:hAnsi="Arial" w:cs="Arial"/>
        </w:rPr>
      </w:pPr>
      <w:r w:rsidRPr="00CD4ACE">
        <w:rPr>
          <w:rFonts w:ascii="Arial" w:hAnsi="Arial" w:cs="Arial"/>
        </w:rPr>
        <w:t>Przedmiotowy projekt aktu prawnego wraz z Uzasadnieniem oraz Oceną Skutków Regulacji dostępny jest na stronach Rządowego Centrum Legislacji pod adresem:</w:t>
      </w:r>
    </w:p>
    <w:p w14:paraId="494FA061" w14:textId="77093C17" w:rsidR="004F1BFA" w:rsidRPr="00CD4ACE" w:rsidRDefault="004F1BFA" w:rsidP="00CD4ACE">
      <w:pPr>
        <w:spacing w:after="0" w:line="288" w:lineRule="auto"/>
        <w:jc w:val="both"/>
        <w:rPr>
          <w:rFonts w:ascii="Arial" w:hAnsi="Arial" w:cs="Arial"/>
        </w:rPr>
      </w:pPr>
      <w:hyperlink r:id="rId10" w:history="1">
        <w:r w:rsidRPr="00CD4ACE">
          <w:rPr>
            <w:rStyle w:val="Hipercze"/>
            <w:rFonts w:ascii="Arial" w:hAnsi="Arial" w:cs="Arial"/>
          </w:rPr>
          <w:t>https://legislacja.rcl.gov.pl/projekt/12397551/kat</w:t>
        </w:r>
        <w:r w:rsidRPr="00CD4ACE">
          <w:rPr>
            <w:rStyle w:val="Hipercze"/>
            <w:rFonts w:ascii="Arial" w:hAnsi="Arial" w:cs="Arial"/>
          </w:rPr>
          <w:t>a</w:t>
        </w:r>
        <w:r w:rsidRPr="00CD4ACE">
          <w:rPr>
            <w:rStyle w:val="Hipercze"/>
            <w:rFonts w:ascii="Arial" w:hAnsi="Arial" w:cs="Arial"/>
          </w:rPr>
          <w:t>log/13126451#13126451</w:t>
        </w:r>
      </w:hyperlink>
      <w:r w:rsidRPr="00CD4ACE">
        <w:rPr>
          <w:rFonts w:ascii="Arial" w:hAnsi="Arial" w:cs="Arial"/>
        </w:rPr>
        <w:t xml:space="preserve"> </w:t>
      </w:r>
    </w:p>
    <w:p w14:paraId="3DCC62C4" w14:textId="77777777" w:rsidR="004F1BFA" w:rsidRPr="00CD4ACE" w:rsidRDefault="004F1BFA" w:rsidP="00CD4ACE">
      <w:pPr>
        <w:spacing w:after="0" w:line="288" w:lineRule="auto"/>
        <w:jc w:val="both"/>
        <w:rPr>
          <w:rFonts w:ascii="Arial" w:hAnsi="Arial" w:cs="Arial"/>
        </w:rPr>
      </w:pPr>
    </w:p>
    <w:p w14:paraId="76126F44" w14:textId="522458BD" w:rsidR="004F1BFA" w:rsidRPr="00CD4ACE" w:rsidRDefault="004F1BFA" w:rsidP="00CD4ACE">
      <w:pPr>
        <w:spacing w:after="0" w:line="288" w:lineRule="auto"/>
        <w:jc w:val="both"/>
        <w:rPr>
          <w:rFonts w:ascii="Arial" w:hAnsi="Arial" w:cs="Arial"/>
        </w:rPr>
      </w:pPr>
      <w:r w:rsidRPr="00CD4ACE">
        <w:rPr>
          <w:rFonts w:ascii="Arial" w:hAnsi="Arial" w:cs="Arial"/>
        </w:rPr>
        <w:t>Projekt jest obecnie jednocześnie na etapie uzgodnień, konsultacji publicznych i opiniowania.</w:t>
      </w:r>
    </w:p>
    <w:p w14:paraId="05FCE376" w14:textId="77777777" w:rsidR="004F1BFA" w:rsidRPr="00CD4ACE" w:rsidRDefault="004F1BFA" w:rsidP="00CD4ACE">
      <w:pPr>
        <w:spacing w:after="0" w:line="288" w:lineRule="auto"/>
        <w:jc w:val="both"/>
        <w:rPr>
          <w:rFonts w:ascii="Arial" w:hAnsi="Arial" w:cs="Arial"/>
        </w:rPr>
      </w:pPr>
    </w:p>
    <w:p w14:paraId="0ADD50DE" w14:textId="3664F00F" w:rsidR="004C14A8" w:rsidRPr="00CD4ACE" w:rsidRDefault="0077569E" w:rsidP="00CD4ACE">
      <w:pPr>
        <w:pStyle w:val="Akapitzlist"/>
        <w:numPr>
          <w:ilvl w:val="0"/>
          <w:numId w:val="3"/>
        </w:numPr>
        <w:spacing w:after="0" w:line="288" w:lineRule="auto"/>
        <w:jc w:val="both"/>
        <w:rPr>
          <w:rFonts w:ascii="Arial" w:hAnsi="Arial" w:cs="Arial"/>
          <w:b/>
          <w:bCs/>
          <w:u w:val="single"/>
        </w:rPr>
      </w:pPr>
      <w:r w:rsidRPr="00CD4ACE">
        <w:rPr>
          <w:rFonts w:ascii="Arial" w:hAnsi="Arial" w:cs="Arial"/>
          <w:b/>
          <w:bCs/>
          <w:u w:val="single"/>
        </w:rPr>
        <w:t>P</w:t>
      </w:r>
      <w:r w:rsidRPr="00CD4ACE">
        <w:rPr>
          <w:rFonts w:ascii="Arial" w:hAnsi="Arial" w:cs="Arial"/>
          <w:b/>
          <w:bCs/>
          <w:u w:val="single"/>
        </w:rPr>
        <w:t>rojekt ustawy o zmianie niektórych ustaw w celu dokonania deregulacji w zakresie energetyki (numer z wykazu UDER29).</w:t>
      </w:r>
    </w:p>
    <w:p w14:paraId="450B56E6" w14:textId="77777777" w:rsidR="004C14A8" w:rsidRPr="00CD4ACE" w:rsidRDefault="004C14A8" w:rsidP="00CD4ACE">
      <w:pPr>
        <w:spacing w:after="0" w:line="288" w:lineRule="auto"/>
        <w:rPr>
          <w:rFonts w:ascii="Arial" w:hAnsi="Arial" w:cs="Arial"/>
        </w:rPr>
      </w:pPr>
    </w:p>
    <w:p w14:paraId="048AC9AE" w14:textId="77777777" w:rsidR="0077569E" w:rsidRPr="00CD4ACE" w:rsidRDefault="0077569E" w:rsidP="00CD4ACE">
      <w:pPr>
        <w:spacing w:after="0" w:line="288" w:lineRule="auto"/>
        <w:jc w:val="both"/>
        <w:rPr>
          <w:rFonts w:ascii="Arial" w:hAnsi="Arial" w:cs="Arial"/>
        </w:rPr>
      </w:pPr>
      <w:r w:rsidRPr="00CD4ACE">
        <w:rPr>
          <w:rFonts w:ascii="Arial" w:hAnsi="Arial" w:cs="Arial"/>
        </w:rPr>
        <w:t>W marcu br. został powołany przez Radę Ministrów w ramach planu gospodarczego „Polska – Rok Przełomu” Rządowy Zespół ds. Deregulacji. Główne zadania zespołu polegały na rekomendacji zmian legislacyjnych w kierunku uproszczenia regulacji i lepszego ich dostosowania do potrzeb obywateli oraz przedsiębiorców. W ramach jego działań uzgodniono potrzebę przygotowania konkretnych zmian w obszarze energetyki i środowiska, które zostały zaadresowane w przygotowanym projekcie ustawy.</w:t>
      </w:r>
    </w:p>
    <w:p w14:paraId="5B67DAE5" w14:textId="77777777" w:rsidR="0077569E" w:rsidRPr="00CD4ACE" w:rsidRDefault="0077569E" w:rsidP="00CD4ACE">
      <w:pPr>
        <w:spacing w:after="0" w:line="288" w:lineRule="auto"/>
        <w:jc w:val="both"/>
        <w:rPr>
          <w:rFonts w:ascii="Arial" w:hAnsi="Arial" w:cs="Arial"/>
        </w:rPr>
      </w:pPr>
      <w:r w:rsidRPr="00CD4ACE">
        <w:rPr>
          <w:rFonts w:ascii="Arial" w:hAnsi="Arial" w:cs="Arial"/>
        </w:rPr>
        <w:t>Brak wystarczającej przejrzystości rachunków za energię elektryczną (fiszka nr: MKiŚ-2-46)</w:t>
      </w:r>
    </w:p>
    <w:p w14:paraId="3A45765B"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W obecnym stanie prawnym nie ma przepisów regulujących wygląd otrzymywanych przez odbiorców końcowych rachunków za zużytą energię elektryczną. Obowiązujące przepisy dotyczą wyłącznie zakresu informacji przedstawianych w rozliczeniu za energię elektryczną i określają je przepisy ustawy – Prawo energetyczne (art. 5 ust. 6 – 6d), przepisy rozporządzenia Ministra Klimatu i Środowiska z dnia 29 listopada 2022 r. w sprawie sposobu kształtowania i kalkulacji taryf oraz sposobu rozliczeń w obrocie energią elektryczną oraz rozporządzenia Ministra Klimatu i Środowiska z dnia 22 marca 2023 r. w sprawie szczegółowych warunków funkcjonowania systemu elektroenergetycznego (§ 44). Dodatkowo pozycje na rachunkach warunkowane są przez przepisy ustawy z dnia 11 marca 2004 r. o podatku od towarów i usług (dalej: ustawa VAT) oraz rozporządzenia Ministra Finansów z dnia 29 października 2021 r. w sprawie wystawiania faktur. Niemniej wskazują one wyłącznie na niezbędne dane, pozycje i sposób ich wyszczególnienia, które powinny zostać zawarte na rachunku, dla prawidłowości rozliczeń fiskalnych. Dlatego też faktury przekazywane do odbiorców końcowych energii elektrycznej są zróżnicowane pod względem stopnia czytelności, co ma odzwierciedlenie w skargach i zapytaniach konsumentów. Nieczytelność rachunków jest więc problemem dla odbiorców energii elektrycznej. Z uwagi na brak jednolitych przepisów, regulujących wygląd rachunków, przedsiębiorstwa energetyczne stosują wzory przygotowywane przez ich zespoły eksperckie, które subiektywnie wskazują, jakie informacje powinny znajdować się w poszczególnych częściach tego rachunku. Przygotowana regulacja ma więc na celu ujednolicenie podsumowań najważniejszych informacji na fakturze, znajdujących się na pierwszych stronach tych rachunków, tak aby </w:t>
      </w:r>
      <w:r w:rsidRPr="00CD4ACE">
        <w:rPr>
          <w:rFonts w:ascii="Arial" w:hAnsi="Arial" w:cs="Arial"/>
        </w:rPr>
        <w:lastRenderedPageBreak/>
        <w:t>odbiorca końcowy otrzymując rachunek, już na pierwszej stronie tego podsumowania mógł zobaczyć, jaka jest łączna kwota na rachunku, ile wynosi opłata za część obrotową, a ile opłata za część dystrybucyjną rachunku. Te trzy informacje są kluczowe z punktu widzenia płatnika, dlatego istotne jest przedstawienie tych informacji w pierwszej kolejności. W szczególności czytelne wyodrębnienie kwoty obrotu energią elektryczną, pozwoli klientowi dokonać właściwej decyzji odnośnie ewentualnej zmiany sprzedawcy energii elektrycznej, gdyż wybór odpowiedniego sprzedawcy energii elektrycznej wpływa tylko na wysokość opłaty za część obrotową rachunku.</w:t>
      </w:r>
    </w:p>
    <w:p w14:paraId="15DA61DE" w14:textId="77777777" w:rsidR="0077569E" w:rsidRPr="00CD4ACE" w:rsidRDefault="0077569E" w:rsidP="00CD4ACE">
      <w:pPr>
        <w:spacing w:after="0" w:line="288" w:lineRule="auto"/>
        <w:jc w:val="both"/>
        <w:rPr>
          <w:rFonts w:ascii="Arial" w:hAnsi="Arial" w:cs="Arial"/>
        </w:rPr>
      </w:pPr>
      <w:r w:rsidRPr="00CD4ACE">
        <w:rPr>
          <w:rFonts w:ascii="Arial" w:hAnsi="Arial" w:cs="Arial"/>
        </w:rPr>
        <w:t>Zmiana podstawowej formy wymiany korespondencji pomiędzy przedsiębiorstwami energetycznymi, odbiorcami, organami administracji publicznej oraz innymi podmiotami na postać elektroniczną (za pomocą środków komunikacji elektronicznej) z umożliwieniem złożenia oświadczenia przez jedną ze stron, skutkującego obowiązkiem zachowania postaci papierowej (lub tradycyjnej formy pisemnej) (fiszka nr: MKiŚ-9-88)</w:t>
      </w:r>
    </w:p>
    <w:p w14:paraId="75E94F32"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W dobie postępu cywilizacyjnego oraz szerokiego dostępu do usług cyfrowych korespondencja papierowa zaczyna tracić na znaczeniu na rzecz elektronicznej formy kontaktu, przesyłania dokumentów czy informacji. Taka forma wymiany elektronicznej korespondencji została również upowszechniona pomiędzy obywatelami a instytucjami publicznymi poprzez platformę </w:t>
      </w:r>
      <w:proofErr w:type="spellStart"/>
      <w:r w:rsidRPr="00CD4ACE">
        <w:rPr>
          <w:rFonts w:ascii="Arial" w:hAnsi="Arial" w:cs="Arial"/>
        </w:rPr>
        <w:t>ePUAP</w:t>
      </w:r>
      <w:proofErr w:type="spellEnd"/>
      <w:r w:rsidRPr="00CD4ACE">
        <w:rPr>
          <w:rFonts w:ascii="Arial" w:hAnsi="Arial" w:cs="Arial"/>
        </w:rPr>
        <w:t xml:space="preserve"> lub system </w:t>
      </w:r>
      <w:proofErr w:type="spellStart"/>
      <w:r w:rsidRPr="00CD4ACE">
        <w:rPr>
          <w:rFonts w:ascii="Arial" w:hAnsi="Arial" w:cs="Arial"/>
        </w:rPr>
        <w:t>eDoręczeń</w:t>
      </w:r>
      <w:proofErr w:type="spellEnd"/>
      <w:r w:rsidRPr="00CD4ACE">
        <w:rPr>
          <w:rFonts w:ascii="Arial" w:hAnsi="Arial" w:cs="Arial"/>
        </w:rPr>
        <w:t>. Zasadne jest więc wprowadzenie rozwiązania na potrzeby wymiany korespondencji pomiędzy przedsiębiorstwami energetycznymi, odbiorcami, organami administracji publicznej oraz innymi podmiotami, co znacząco usprawni i skróci czas tego procesu. Wprowadzona zmiana powinna również przyczynić do obniżenia kosztów działalności przedsiębiorstw energetycznych, a także wpłynąć pozytywnie na środowisko, poprzez zmniejszenie liczby drukowanych stron papieru. Istotne jest, że wprowadzone regulacje będą obligowały przedsiębiorstwa energetyczne do skutecznego poinformowania swoich klientów o zmianie sposobu komunikacji oraz do uzyskania od nich jasnej zgody na przejście na taką formę korespondencji. Taki przepis zabezpieczy obie strony i zapewni bezpieczeństwo rozliczeń, w szczególności zabezpieczone zostaną interesy osób wykluczonych cyfrowo, starszych i niebędących biegłych w obsłudze elektronicznych dokumentów, poprzez zagwarantowanie im możliwości pozostania przy tradycyjnej (papierowej) formie komunikacji.</w:t>
      </w:r>
    </w:p>
    <w:p w14:paraId="1290314B"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Optymalizacja procesu przyłączeniowego poprzez wykorzystanie mechanizmu </w:t>
      </w:r>
      <w:proofErr w:type="spellStart"/>
      <w:r w:rsidRPr="00CD4ACE">
        <w:rPr>
          <w:rFonts w:ascii="Arial" w:hAnsi="Arial" w:cs="Arial"/>
        </w:rPr>
        <w:t>cable</w:t>
      </w:r>
      <w:proofErr w:type="spellEnd"/>
      <w:r w:rsidRPr="00CD4ACE">
        <w:rPr>
          <w:rFonts w:ascii="Arial" w:hAnsi="Arial" w:cs="Arial"/>
        </w:rPr>
        <w:t xml:space="preserve"> </w:t>
      </w:r>
      <w:proofErr w:type="spellStart"/>
      <w:r w:rsidRPr="00CD4ACE">
        <w:rPr>
          <w:rFonts w:ascii="Arial" w:hAnsi="Arial" w:cs="Arial"/>
        </w:rPr>
        <w:t>poolingu</w:t>
      </w:r>
      <w:proofErr w:type="spellEnd"/>
      <w:r w:rsidRPr="00CD4ACE">
        <w:rPr>
          <w:rFonts w:ascii="Arial" w:hAnsi="Arial" w:cs="Arial"/>
        </w:rPr>
        <w:t xml:space="preserve"> (fiszka nr: MKIŚ-15-143)</w:t>
      </w:r>
    </w:p>
    <w:p w14:paraId="40BFD51A"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W projekcie ustawy proponuje się wprowadzenie rozwiązania, które optymalizuje wykorzystanie istniejącej infrastruktury elektroenergetycznej poprzez rozszerzenie formuły </w:t>
      </w:r>
      <w:proofErr w:type="spellStart"/>
      <w:r w:rsidRPr="00CD4ACE">
        <w:rPr>
          <w:rFonts w:ascii="Arial" w:hAnsi="Arial" w:cs="Arial"/>
        </w:rPr>
        <w:t>cable</w:t>
      </w:r>
      <w:proofErr w:type="spellEnd"/>
      <w:r w:rsidRPr="00CD4ACE">
        <w:rPr>
          <w:rFonts w:ascii="Arial" w:hAnsi="Arial" w:cs="Arial"/>
        </w:rPr>
        <w:t xml:space="preserve"> </w:t>
      </w:r>
      <w:proofErr w:type="spellStart"/>
      <w:r w:rsidRPr="00CD4ACE">
        <w:rPr>
          <w:rFonts w:ascii="Arial" w:hAnsi="Arial" w:cs="Arial"/>
        </w:rPr>
        <w:t>poolingu</w:t>
      </w:r>
      <w:proofErr w:type="spellEnd"/>
      <w:r w:rsidRPr="00CD4ACE">
        <w:rPr>
          <w:rFonts w:ascii="Arial" w:hAnsi="Arial" w:cs="Arial"/>
        </w:rPr>
        <w:t xml:space="preserve">. Rozwiązanie to pozwala na zwiększenie mocy wytwórczych i zwiększenie generacji energii z OZE w ramach dostępnych mocy przyłączeniowych. Aktualnie dostępność mocy przyłączeniowych stanowi główny czynnik determinujący ścieżkę przyrostu nowych mocy wytwórczych obecnie i w nadchodzących latach. Wprowadzenie zmian, które umożliwią szersze zastosowanie </w:t>
      </w:r>
      <w:proofErr w:type="spellStart"/>
      <w:r w:rsidRPr="00CD4ACE">
        <w:rPr>
          <w:rFonts w:ascii="Arial" w:hAnsi="Arial" w:cs="Arial"/>
        </w:rPr>
        <w:t>cable</w:t>
      </w:r>
      <w:proofErr w:type="spellEnd"/>
      <w:r w:rsidRPr="00CD4ACE">
        <w:rPr>
          <w:rFonts w:ascii="Arial" w:hAnsi="Arial" w:cs="Arial"/>
        </w:rPr>
        <w:t xml:space="preserve"> </w:t>
      </w:r>
      <w:proofErr w:type="spellStart"/>
      <w:r w:rsidRPr="00CD4ACE">
        <w:rPr>
          <w:rFonts w:ascii="Arial" w:hAnsi="Arial" w:cs="Arial"/>
        </w:rPr>
        <w:t>pooling</w:t>
      </w:r>
      <w:proofErr w:type="spellEnd"/>
      <w:r w:rsidRPr="00CD4ACE">
        <w:rPr>
          <w:rFonts w:ascii="Arial" w:hAnsi="Arial" w:cs="Arial"/>
        </w:rPr>
        <w:t>, pozwoli na poprawę efektywności i niezawodności pracy krajowego systemu elektroenergetycznego oraz integrację większej liczby odnawialnych źródeł energii oraz magazynów energii.</w:t>
      </w:r>
    </w:p>
    <w:p w14:paraId="1A5F0B88" w14:textId="77777777" w:rsidR="0077569E" w:rsidRPr="00CD4ACE" w:rsidRDefault="0077569E" w:rsidP="00CD4ACE">
      <w:pPr>
        <w:spacing w:after="0" w:line="288" w:lineRule="auto"/>
        <w:jc w:val="both"/>
        <w:rPr>
          <w:rFonts w:ascii="Arial" w:hAnsi="Arial" w:cs="Arial"/>
        </w:rPr>
      </w:pPr>
      <w:r w:rsidRPr="00CD4ACE">
        <w:rPr>
          <w:rFonts w:ascii="Arial" w:hAnsi="Arial" w:cs="Arial"/>
        </w:rPr>
        <w:t>Zbyt restrykcyjne zasady koncesjonowania instalacji OZE (fiszka nr: MKiŚ-5-49 oraz fiszka nr MKiŚ-10-89)</w:t>
      </w:r>
    </w:p>
    <w:p w14:paraId="4B4A2604"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Zgodnie z art. 32 ust. 1 pkt 1 lit. d ustawy z dnia 10 kwietnia 1997 r. – Prawo energetyczne uzyskania koncesji wymaga wykonywanie działalności gospodarczej w zakresie wytwarzania energii elektrycznej w instalacjach OZE z wyłączeniem wytwarzania energii elektrycznej w </w:t>
      </w:r>
      <w:r w:rsidRPr="00CD4ACE">
        <w:rPr>
          <w:rFonts w:ascii="Arial" w:hAnsi="Arial" w:cs="Arial"/>
        </w:rPr>
        <w:lastRenderedPageBreak/>
        <w:t xml:space="preserve">mikroinstalacji lub małej instalacji, wyłącznie z biogazu rolniczego, w tym w kogeneracji oraz wyłącznie z </w:t>
      </w:r>
      <w:proofErr w:type="spellStart"/>
      <w:r w:rsidRPr="00CD4ACE">
        <w:rPr>
          <w:rFonts w:ascii="Arial" w:hAnsi="Arial" w:cs="Arial"/>
        </w:rPr>
        <w:t>biopłynów</w:t>
      </w:r>
      <w:proofErr w:type="spellEnd"/>
      <w:r w:rsidRPr="00CD4ACE">
        <w:rPr>
          <w:rFonts w:ascii="Arial" w:hAnsi="Arial" w:cs="Arial"/>
        </w:rPr>
        <w:t xml:space="preserve"> w rozumieniu ustawy z dnia 20 lutego 2015 r. o odnawialnych źródłach energii.  Ustawa o odnawialnych źródłach energii wprowadza analogiczne wyłączenia od obowiązku uzyskania koncesji dla wytwarzania energii elektrycznej w instalacjach OZE. W związku z tym, co do zasady każda instalacja OZE o łącznej mocy zainstalowanej elektrycznej nie większej niż 1 MW jest zwolniona z obowiązku uzyskania koncesji. Jest to rażąca różnica w stosunku do instalacji konwencjonalnych, dla których próg obowiązku uzyskania koncesji wynosi 50 MW. </w:t>
      </w:r>
    </w:p>
    <w:p w14:paraId="76A13779"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Pierwotna wersja ustawy – Prawo energetyczne nie przewidywała rozróżnienia na rodzaj jednostki wytwórczej w kontekście obowiązku uzyskania koncesji. Z czasem, w związku z rozwojem instalacji OZE i wprowadzaniem na rynek nowych rodzajów instalacji OZE, ustawodawca zdecydował się na wprowadzenie zróżnicowania. Obecnie technologie instalacji OZE są na tyle dojrzałe a cele polityki klimatycznej w zakresie udziału energii z instalacji OZE na tyle ambitne, że zasadne jest odchodzenie od zróżnicowania zakresu obowiązku koncesyjnego w zależności od rodzaju jednostki wytwórczej. </w:t>
      </w:r>
    </w:p>
    <w:p w14:paraId="21DA1CDD" w14:textId="77777777" w:rsidR="0077569E" w:rsidRPr="00CD4ACE" w:rsidRDefault="0077569E" w:rsidP="00CD4ACE">
      <w:pPr>
        <w:spacing w:after="0" w:line="288" w:lineRule="auto"/>
        <w:jc w:val="both"/>
        <w:rPr>
          <w:rFonts w:ascii="Arial" w:hAnsi="Arial" w:cs="Arial"/>
        </w:rPr>
      </w:pPr>
      <w:r w:rsidRPr="00CD4ACE">
        <w:rPr>
          <w:rFonts w:ascii="Arial" w:hAnsi="Arial" w:cs="Arial"/>
        </w:rPr>
        <w:t>Należy przy tym podkreślić, że uzyskanie koncesji wiąże się ze spełnienie szeregu wymogów. Art. 33 ust. 1 ustawy – Prawo energetyczne szczegółowo określa wymogi dla podmiotu ubiegającego się o koncesję.</w:t>
      </w:r>
    </w:p>
    <w:p w14:paraId="47920029" w14:textId="77777777" w:rsidR="0077569E" w:rsidRPr="00CD4ACE" w:rsidRDefault="0077569E" w:rsidP="00CD4ACE">
      <w:pPr>
        <w:spacing w:after="0" w:line="288" w:lineRule="auto"/>
        <w:jc w:val="both"/>
        <w:rPr>
          <w:rFonts w:ascii="Arial" w:hAnsi="Arial" w:cs="Arial"/>
        </w:rPr>
      </w:pPr>
      <w:r w:rsidRPr="00CD4ACE">
        <w:rPr>
          <w:rFonts w:ascii="Arial" w:hAnsi="Arial" w:cs="Arial"/>
        </w:rPr>
        <w:t>Dodatkowo zgodnie z art. 38 ust. 1 ustawy – Prawo energetyczne udzielenie koncesji może być uzależnione od złożenia przez wnioskodawcę zabezpieczenia majątkowego w celu zaspokojenia roszczeń osób trzecich, mogących powstać wskutek niewłaściwego wykonywania działalności gospodarczej objętej koncesją, w tym szkód w środowisku.</w:t>
      </w:r>
    </w:p>
    <w:p w14:paraId="471CEF60"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Należy zauważyć, że są to obciążenia dla przedsiębiorstwa, które zamierza wytwarzać energię elektryczną w instalacjach o mocy zainstalowanej liczącej kilka MW. </w:t>
      </w:r>
    </w:p>
    <w:p w14:paraId="3C17FE7B"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Ponadto postępowanie koncesyjne jest czasochłonne i trwa niejednokrotnie kilka miesięcy (ze względu na wezwania do uzupełnienia skomplikowanego wniosku), wydłużając proces uruchomienia instalacji OZE oraz obciążając organ prowadzący postępowanie administracyjne – tj. Prezesa URE. Jest też obciążeniem finansowym dla Skarbu Państwa, gdyż w oparciu o art. 34 ust. 7 ustawy – Prawo energetyczne przedsiębiorstwo energetyczne wytwarzające energię elektryczną w instalacji odnawialnego źródła energii o łącznej mocy instalacji odnawialnego źródła energii nieprzekraczającej 5 MW jest zwolnione z opłaty koncesyjnej w zakresie wytwarzania energii w tej instalacji. </w:t>
      </w:r>
    </w:p>
    <w:p w14:paraId="7F8A8EE5" w14:textId="77777777" w:rsidR="0077569E" w:rsidRPr="00CD4ACE" w:rsidRDefault="0077569E" w:rsidP="00CD4ACE">
      <w:pPr>
        <w:spacing w:after="0" w:line="288" w:lineRule="auto"/>
        <w:jc w:val="both"/>
        <w:rPr>
          <w:rFonts w:ascii="Arial" w:hAnsi="Arial" w:cs="Arial"/>
        </w:rPr>
      </w:pPr>
      <w:r w:rsidRPr="00CD4ACE">
        <w:rPr>
          <w:rFonts w:ascii="Arial" w:hAnsi="Arial" w:cs="Arial"/>
        </w:rPr>
        <w:t>Konieczność uzyskania pozwolenia na budowę dla instalacji fotowoltaicznych o mocy zainstalowanej do 500 kW – przy wytwarzaniu energii elektrycznej na własne potrzeby (fiszka nr MKiŚ-4-48)</w:t>
      </w:r>
    </w:p>
    <w:p w14:paraId="0198DBB6"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Obecnie ustalony próg mocy zainstalowanej, który umożliwia budowanie instalacji fotowoltaicznej bez wymogu uzyskania pozwolenia na budowę wynosi 150 </w:t>
      </w:r>
      <w:proofErr w:type="spellStart"/>
      <w:r w:rsidRPr="00CD4ACE">
        <w:rPr>
          <w:rFonts w:ascii="Arial" w:hAnsi="Arial" w:cs="Arial"/>
        </w:rPr>
        <w:t>kW.</w:t>
      </w:r>
      <w:proofErr w:type="spellEnd"/>
      <w:r w:rsidRPr="00CD4ACE">
        <w:rPr>
          <w:rFonts w:ascii="Arial" w:hAnsi="Arial" w:cs="Arial"/>
        </w:rPr>
        <w:t xml:space="preserve"> Jest on niewystarczający dla wielu małych, średnich i dużych przedsiębiorstw. Podmioty te, jeśli mają takie plany, powinny móc rozwijać się w kierunku neutralności klimatycznej i zaspokojenia swojego zapotrzebowania na energię elektryczną wytwarzając ją na własne potrzeby w instalacji OZE przyłączonej do wewnętrznej sieci danego przedsiębiorstwa. Funkcjonowanie w oparciu o powyższy schemat może istotnie zmniejszyć koszty operacyjne prowadzenia działalności gospodarczej bez większego wpływu na system elektroenergetyczny.</w:t>
      </w:r>
    </w:p>
    <w:p w14:paraId="6031739D"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Co więcej, procedura uzyskania pozwolenia na budowę dla takich instalacji może być czasochłonna z punktu widzenia przedsiębiorcy. Może to oznaczać wydłużający się proces budowy instalacji fotowoltaicznej. W efekcie prowadzi to do strat finansowych i opóźnień w </w:t>
      </w:r>
      <w:r w:rsidRPr="00CD4ACE">
        <w:rPr>
          <w:rFonts w:ascii="Arial" w:hAnsi="Arial" w:cs="Arial"/>
        </w:rPr>
        <w:lastRenderedPageBreak/>
        <w:t xml:space="preserve">osiąganiu korzyści, jakie daje instalacja fotowoltaiczna lub do całkowitej rezygnacji przedsiębiorcy z dążenia do korzystania z własnego źródła energii. Znaczny stopień proceduralnego skomplikowania może zniechęcać do realizacji większych projektów fotowoltaicznych przede wszystkim mniejsze przedsiębiorstwa, które dysponują ograniczonymi zasobami finansowymi. </w:t>
      </w:r>
    </w:p>
    <w:p w14:paraId="642D251A" w14:textId="77777777" w:rsidR="0077569E" w:rsidRPr="00CD4ACE" w:rsidRDefault="0077569E" w:rsidP="00CD4ACE">
      <w:pPr>
        <w:spacing w:after="0" w:line="288" w:lineRule="auto"/>
        <w:jc w:val="both"/>
        <w:rPr>
          <w:rFonts w:ascii="Arial" w:hAnsi="Arial" w:cs="Arial"/>
        </w:rPr>
      </w:pPr>
      <w:r w:rsidRPr="00CD4ACE">
        <w:rPr>
          <w:rFonts w:ascii="Arial" w:hAnsi="Arial" w:cs="Arial"/>
        </w:rPr>
        <w:t>W efekcie obecne ograniczenia mogą przyczyniać się do hamowania rozwoju przedsiębiorstw, które chcą korzystać z wytworzonej na własne potrzeby czystej energii elektrycznej. Jest to niekorzystne biorąc pod uwagę potrzebę zachowania konkurencyjności polskich przedsiębiorstw na arenie międzynarodowej oraz w wymiarze budowania lokalnego bezpieczeństwa energetycznego.</w:t>
      </w:r>
    </w:p>
    <w:p w14:paraId="32F53E4C" w14:textId="77777777" w:rsidR="0077569E" w:rsidRPr="00CD4ACE" w:rsidRDefault="0077569E" w:rsidP="00CD4ACE">
      <w:pPr>
        <w:spacing w:after="0" w:line="288" w:lineRule="auto"/>
        <w:jc w:val="both"/>
        <w:rPr>
          <w:rFonts w:ascii="Arial" w:hAnsi="Arial" w:cs="Arial"/>
        </w:rPr>
      </w:pPr>
      <w:r w:rsidRPr="00CD4ACE">
        <w:rPr>
          <w:rFonts w:ascii="Arial" w:hAnsi="Arial" w:cs="Arial"/>
        </w:rPr>
        <w:t>Rekomendowane rozwiązania:</w:t>
      </w:r>
    </w:p>
    <w:p w14:paraId="0563BA03" w14:textId="77777777" w:rsidR="0077569E" w:rsidRPr="00CD4ACE" w:rsidRDefault="0077569E" w:rsidP="00CD4ACE">
      <w:pPr>
        <w:spacing w:after="0" w:line="288" w:lineRule="auto"/>
        <w:jc w:val="both"/>
        <w:rPr>
          <w:rFonts w:ascii="Arial" w:hAnsi="Arial" w:cs="Arial"/>
        </w:rPr>
      </w:pPr>
      <w:r w:rsidRPr="00CD4ACE">
        <w:rPr>
          <w:rFonts w:ascii="Arial" w:hAnsi="Arial" w:cs="Arial"/>
        </w:rPr>
        <w:t>Uproszczenie rachunków za energię elektryczną poprzez ujednolicenie pierwszej strony tego rachunku (fiszka nr: MKiŚ-2-46)</w:t>
      </w:r>
    </w:p>
    <w:p w14:paraId="5DE3B4BE"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W projektowanych rozwiązaniach proponuje się wprowadzenie przepisów dotyczących wyglądu pierwszej strony rachunku za energię elektryczną, co znacząco poprawi czytelność tego rachunku i nie będzie stwarzało niepewności i niezrozumienia wśród odbiorców w gospodarstwach domowych. Proponowane uproszczenie rachunków, poprzez przedstawianie podsumowania najważniejszych informacji na pierwszych stronach tj. informacji o łącznej kwocie do zapłaty oraz kwoty za obrót energią elektryczną oraz kwoty za dystrybucję tej energii, będzie miało wpływ na odbiorców końcowych energii elektrycznej – zapewni to klarowność otrzymywanych informacji, co wpłynie pozytywnie na odbiór społeczeństwa. Oczekuje się, że przedsiębiorstwa energetyczne bezzwłocznie dostosują wygląd pierwszych stron rachunków do wprowadzonych regulacji. </w:t>
      </w:r>
    </w:p>
    <w:p w14:paraId="0399CAF2" w14:textId="77777777" w:rsidR="0077569E" w:rsidRPr="00CD4ACE" w:rsidRDefault="0077569E" w:rsidP="00CD4ACE">
      <w:pPr>
        <w:spacing w:after="0" w:line="288" w:lineRule="auto"/>
        <w:jc w:val="both"/>
        <w:rPr>
          <w:rFonts w:ascii="Arial" w:hAnsi="Arial" w:cs="Arial"/>
        </w:rPr>
      </w:pPr>
      <w:r w:rsidRPr="00CD4ACE">
        <w:rPr>
          <w:rFonts w:ascii="Arial" w:hAnsi="Arial" w:cs="Arial"/>
        </w:rPr>
        <w:t>Proponuje się również wprowadzenie przepisów przejściowych precyzujących, że obowiązek dołączenia podsumowania najważniejszych informacji o rachunku, będzie dotyczył faktur wystawionych po dniu wejścia w życie proponowanych przepisów.</w:t>
      </w:r>
    </w:p>
    <w:p w14:paraId="3E0B6B4C" w14:textId="77777777" w:rsidR="0077569E" w:rsidRPr="00CD4ACE" w:rsidRDefault="0077569E" w:rsidP="00CD4ACE">
      <w:pPr>
        <w:spacing w:after="0" w:line="288" w:lineRule="auto"/>
        <w:jc w:val="both"/>
        <w:rPr>
          <w:rFonts w:ascii="Arial" w:hAnsi="Arial" w:cs="Arial"/>
        </w:rPr>
      </w:pPr>
      <w:r w:rsidRPr="00CD4ACE">
        <w:rPr>
          <w:rFonts w:ascii="Arial" w:hAnsi="Arial" w:cs="Arial"/>
        </w:rPr>
        <w:t>Zmiana tradycyjnej formy komunikacji papierowej na rzecz komunikacji elektronicznej przy jednoczesnym zabezpieczeniu odbiorów wykluczonych cyfrowo (fiszka nr: MKiŚ-9-88)</w:t>
      </w:r>
    </w:p>
    <w:p w14:paraId="57202417" w14:textId="77777777" w:rsidR="0077569E" w:rsidRPr="00CD4ACE" w:rsidRDefault="0077569E" w:rsidP="00CD4ACE">
      <w:pPr>
        <w:spacing w:after="0" w:line="288" w:lineRule="auto"/>
        <w:jc w:val="both"/>
        <w:rPr>
          <w:rFonts w:ascii="Arial" w:hAnsi="Arial" w:cs="Arial"/>
        </w:rPr>
      </w:pPr>
      <w:r w:rsidRPr="00CD4ACE">
        <w:rPr>
          <w:rFonts w:ascii="Arial" w:hAnsi="Arial" w:cs="Arial"/>
        </w:rPr>
        <w:t>Proponuje się zmianę istniejących przepisów w ustawie – Prawo energetyczne tak, aby obligowały przedsiębiorstwa energetyczne do stosowania komunikacji elektronicznej z odbiorcami w przypadku zawierania umów po dniu wejścia w życie proponowanych przepisów. Dodatkowo zabezpieczone zostaną interesy gospodarstw domowych, w tym odbiorców wykluczonych cyfrowo, którzy w momencie zawierania umowy będą pouczeni o możliwości zażądania prowadzenia korespondencji za pomocą tradycyjnych form przekazu, a więc drogą komunikacji papierowej.</w:t>
      </w:r>
    </w:p>
    <w:p w14:paraId="07156C43" w14:textId="77777777" w:rsidR="0077569E" w:rsidRPr="00CD4ACE" w:rsidRDefault="0077569E" w:rsidP="00CD4ACE">
      <w:pPr>
        <w:spacing w:after="0" w:line="288" w:lineRule="auto"/>
        <w:jc w:val="both"/>
        <w:rPr>
          <w:rFonts w:ascii="Arial" w:hAnsi="Arial" w:cs="Arial"/>
        </w:rPr>
      </w:pPr>
      <w:r w:rsidRPr="00CD4ACE">
        <w:rPr>
          <w:rFonts w:ascii="Arial" w:hAnsi="Arial" w:cs="Arial"/>
        </w:rPr>
        <w:t>Natomiast w przypadku odbiorców mających zawarte umowy przed dniem wejścia w życie proponowanych przepisów, korespondencja będzie odbywała się na dotychczasowych zasadach. Jednocześnie odbiorcy ci zostaną poinformowani przez przedsiębiorstwo energetyczne o możliwości udzielenia zgody na przejście na elektroniczny sposób wymiany korespondencji. W tym celu przedsiębiorstwo energetyczne wyśle do tych odbiorców formularz celem wypełnienia odpowiednich danych i wybrania preferowanego elektronicznego kanału komunikacji. Przesłanie przedsiębiorstwu energetycznemu wypełnionego formularza będzie równoznaczne z udzieleniem zgody na zmianę sposobu komunikacji z odbiorcą.</w:t>
      </w:r>
    </w:p>
    <w:p w14:paraId="5BE6FB03"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Ponadto, celem zachęcenia odbiorców do przejścia na elektroniczną formę prowadzenia korespondencji proponuje się zmianę w art. 45 ustawy – Prawo energetyczne, poprzez </w:t>
      </w:r>
      <w:r w:rsidRPr="00CD4ACE">
        <w:rPr>
          <w:rFonts w:ascii="Arial" w:hAnsi="Arial" w:cs="Arial"/>
        </w:rPr>
        <w:lastRenderedPageBreak/>
        <w:t>uwzględnienie zachęt finansowych dotyczących zmiany sposobu prowadzenia korespondencji w kosztach działalności przedsiębiorstw energetycznych.</w:t>
      </w:r>
    </w:p>
    <w:p w14:paraId="47389687"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Zmiana sposobu komunikacji z formy papierowej (tradycyjnej) na formę elektroniczną skróci czas tego procesu do minimum, a tym samy pozwoli na szybszą i skuteczniejszą wymianę korespondencji pomiędzy odbiorcami końcowymi a przedsiębiorstwami energetycznymi. Zmiana pozytywnie wpłynie na wszystkich obywateli, zwłaszcza że osoby wykluczone cyfrowo zostaną zabezpieczone poprzez zagwarantowanie im możliwości korzystania z tradycyjnej formy komunikacji – osoby te będą mogły w dalszym ciągu korzystać z komunikacji papierowej, podobnie jak inne osoby, które zdecydują się na pozostanie przy takiej formie komunikacji. Regulacja wpłynie więc pozytywnie na społeczeństwo i przedsiębiorstwa energetyczne, poprzez skrócenie czasu komunikacji, na środowisko z uwagi na zmniejszenie ilości zużywanego papieru oraz zmniejszy koszty po stronie przedsiębiorstw energetycznych. </w:t>
      </w:r>
    </w:p>
    <w:p w14:paraId="60F39D38"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Rozwiązania optymalizujące wykorzystanie istniejącej infrastruktury sieciowej poprzez rozszerzenie formuły </w:t>
      </w:r>
      <w:proofErr w:type="spellStart"/>
      <w:r w:rsidRPr="00CD4ACE">
        <w:rPr>
          <w:rFonts w:ascii="Arial" w:hAnsi="Arial" w:cs="Arial"/>
        </w:rPr>
        <w:t>cable</w:t>
      </w:r>
      <w:proofErr w:type="spellEnd"/>
      <w:r w:rsidRPr="00CD4ACE">
        <w:rPr>
          <w:rFonts w:ascii="Arial" w:hAnsi="Arial" w:cs="Arial"/>
        </w:rPr>
        <w:t xml:space="preserve"> </w:t>
      </w:r>
      <w:proofErr w:type="spellStart"/>
      <w:r w:rsidRPr="00CD4ACE">
        <w:rPr>
          <w:rFonts w:ascii="Arial" w:hAnsi="Arial" w:cs="Arial"/>
        </w:rPr>
        <w:t>poolingu</w:t>
      </w:r>
      <w:proofErr w:type="spellEnd"/>
      <w:r w:rsidRPr="00CD4ACE">
        <w:rPr>
          <w:rFonts w:ascii="Arial" w:hAnsi="Arial" w:cs="Arial"/>
        </w:rPr>
        <w:t xml:space="preserve"> (fiszka nr: MKIŚ-15-143)</w:t>
      </w:r>
    </w:p>
    <w:p w14:paraId="7CE367EC"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W projekcie ustawy wprowadza się modyfikacje funkcjonowania przepisów regulujących </w:t>
      </w:r>
      <w:proofErr w:type="spellStart"/>
      <w:r w:rsidRPr="00CD4ACE">
        <w:rPr>
          <w:rFonts w:ascii="Arial" w:hAnsi="Arial" w:cs="Arial"/>
        </w:rPr>
        <w:t>cable</w:t>
      </w:r>
      <w:proofErr w:type="spellEnd"/>
      <w:r w:rsidRPr="00CD4ACE">
        <w:rPr>
          <w:rFonts w:ascii="Arial" w:hAnsi="Arial" w:cs="Arial"/>
        </w:rPr>
        <w:t xml:space="preserve"> </w:t>
      </w:r>
      <w:proofErr w:type="spellStart"/>
      <w:r w:rsidRPr="00CD4ACE">
        <w:rPr>
          <w:rFonts w:ascii="Arial" w:hAnsi="Arial" w:cs="Arial"/>
        </w:rPr>
        <w:t>pooling</w:t>
      </w:r>
      <w:proofErr w:type="spellEnd"/>
      <w:r w:rsidRPr="00CD4ACE">
        <w:rPr>
          <w:rFonts w:ascii="Arial" w:hAnsi="Arial" w:cs="Arial"/>
        </w:rPr>
        <w:t xml:space="preserve"> poprzez jego rozszerzenie o możliwość wykorzystania magazynów energii. Rozwiązanie to pozwoli nie tylko na efektywniejsze wykorzystanie istniejących mocy przyłączeniowych ale również pozwoli na rozwój nowych inwestycji OZE bez konieczności budowy dodatkowej infrastruktury sieciowej. Dodatkowo dzięki możliwości łączenia różnych technologii, np. </w:t>
      </w:r>
      <w:proofErr w:type="spellStart"/>
      <w:r w:rsidRPr="00CD4ACE">
        <w:rPr>
          <w:rFonts w:ascii="Arial" w:hAnsi="Arial" w:cs="Arial"/>
        </w:rPr>
        <w:t>fotowoltaiki</w:t>
      </w:r>
      <w:proofErr w:type="spellEnd"/>
      <w:r w:rsidRPr="00CD4ACE">
        <w:rPr>
          <w:rFonts w:ascii="Arial" w:hAnsi="Arial" w:cs="Arial"/>
        </w:rPr>
        <w:t xml:space="preserve"> i energetyki wiatrowej z magazynami energii rozwiązanie pozwoli na lepsze zarządzanie nadwyżkami energii, poprawi (spłaszczy) profile generacji energii w punktach przyłączenia instalacji wytwórczych OZE. Tym samym zwiększy bezpieczeństwo pracy sieci, zwiększy efektywność jej wykorzystania i poprawi zarządzania mocą przyłączeniową.</w:t>
      </w:r>
    </w:p>
    <w:p w14:paraId="3B16CF3B" w14:textId="77777777" w:rsidR="0077569E" w:rsidRPr="00CD4ACE" w:rsidRDefault="0077569E" w:rsidP="00CD4ACE">
      <w:pPr>
        <w:spacing w:after="0" w:line="288" w:lineRule="auto"/>
        <w:jc w:val="both"/>
        <w:rPr>
          <w:rFonts w:ascii="Arial" w:hAnsi="Arial" w:cs="Arial"/>
        </w:rPr>
      </w:pPr>
      <w:r w:rsidRPr="00CD4ACE">
        <w:rPr>
          <w:rFonts w:ascii="Arial" w:hAnsi="Arial" w:cs="Arial"/>
        </w:rPr>
        <w:t>Podniesienie progu koncesjonowania instalacji OZE do 5 MW mocy zainstalowanej elektrycznej (fiszka nr: MKiŚ-5-49 oraz fiszka nr MKiŚ-10-89)</w:t>
      </w:r>
    </w:p>
    <w:p w14:paraId="7518E611"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Proponuje się podniesienie progu dla instalacji OZE, które wymagają uzyskania koncesji na wytwarzanie energii elektrycznej z 1 MW do 5 MW i objęcie instalacji OZE o mocy zainstalowanej elektrycznej większej niż 1 MW i nie większej niż 5 MW obowiązkiem rejestrowym – wpisem do rozszerzonego przedmiotowo rejestru wytwórców energii w małej instalacji. </w:t>
      </w:r>
    </w:p>
    <w:p w14:paraId="573F1FFF" w14:textId="77777777" w:rsidR="0077569E" w:rsidRPr="00CD4ACE" w:rsidRDefault="0077569E" w:rsidP="00CD4ACE">
      <w:pPr>
        <w:spacing w:after="0" w:line="288" w:lineRule="auto"/>
        <w:jc w:val="both"/>
        <w:rPr>
          <w:rFonts w:ascii="Arial" w:hAnsi="Arial" w:cs="Arial"/>
        </w:rPr>
      </w:pPr>
      <w:r w:rsidRPr="00CD4ACE">
        <w:rPr>
          <w:rFonts w:ascii="Arial" w:hAnsi="Arial" w:cs="Arial"/>
        </w:rPr>
        <w:t>Proponowane rozwiązanie ograniczy obciążenie proceduralne wytwórców energii elektrycznej w instalacjach OZE, zmniejszy koszt ich uruchomienia oraz funkcjonowania, ograniczy też obciążenie proceduralne URE.</w:t>
      </w:r>
    </w:p>
    <w:p w14:paraId="2BBB635D" w14:textId="77777777" w:rsidR="0077569E" w:rsidRPr="00CD4ACE" w:rsidRDefault="0077569E" w:rsidP="00CD4ACE">
      <w:pPr>
        <w:spacing w:after="0" w:line="288" w:lineRule="auto"/>
        <w:jc w:val="both"/>
        <w:rPr>
          <w:rFonts w:ascii="Arial" w:hAnsi="Arial" w:cs="Arial"/>
        </w:rPr>
      </w:pPr>
      <w:r w:rsidRPr="00CD4ACE">
        <w:rPr>
          <w:rFonts w:ascii="Arial" w:hAnsi="Arial" w:cs="Arial"/>
        </w:rPr>
        <w:t>Spowoduje też brak sztucznego dzielenia projektów (na projekty o mocy zainstalowanej elektrycznej mniejszej niż 1 MW) w celu uniknięcia koncesjonowania, co przekłada się na zwiększone koszty obsługi liczby punktów poboru energii.</w:t>
      </w:r>
    </w:p>
    <w:p w14:paraId="4EDFA593"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Należy przy tym zauważyć, że zmiana nie powinna zmniejszyć bezpieczeństwa funkcjonowania krajowego systemu elektroenergetycznego. Ostatnia korekta progu koncesjonowania instalacji OZE (z 0,5 MW mocy zainstalowanej elektrycznej do 1 MW) nastąpiła na mocy przepisów ustawy z dnia 17 września 2021 r. o zmianie ustawy o odnawialnych źródłach energii oraz niektórych innych ustaw i nie spowodowała żadnych negatywnych skutków. </w:t>
      </w:r>
    </w:p>
    <w:p w14:paraId="74DFDA7B"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W zakresie skutków finansowych należy zauważyć, że ustawowe zwolnienie instalacji OZE o mocy zainstalowanej elektrycznej nie większej niż 5 MW z obowiązku uzyskania koncesji nie spowoduje uszczuplenia wpływów Skarbu Państwa związanych z opłatą koncesyjną, a wręcz </w:t>
      </w:r>
      <w:r w:rsidRPr="00CD4ACE">
        <w:rPr>
          <w:rFonts w:ascii="Arial" w:hAnsi="Arial" w:cs="Arial"/>
        </w:rPr>
        <w:lastRenderedPageBreak/>
        <w:t>przeciwnie, zmniejszy ilość obowiązków administracyjnych po stronie organów władzy publicznej, prowadząc tym samym do oszczędności w funkcjonowaniu administracji publicznej.</w:t>
      </w:r>
    </w:p>
    <w:p w14:paraId="4ACD97F8" w14:textId="77777777" w:rsidR="0077569E" w:rsidRPr="00CD4ACE" w:rsidRDefault="0077569E" w:rsidP="00CD4ACE">
      <w:pPr>
        <w:spacing w:after="0" w:line="288" w:lineRule="auto"/>
        <w:jc w:val="both"/>
        <w:rPr>
          <w:rFonts w:ascii="Arial" w:hAnsi="Arial" w:cs="Arial"/>
        </w:rPr>
      </w:pPr>
      <w:r w:rsidRPr="00CD4ACE">
        <w:rPr>
          <w:rFonts w:ascii="Arial" w:hAnsi="Arial" w:cs="Arial"/>
        </w:rPr>
        <w:t>Projektodawca nie identyfikował innych możliwości osiągnięcia celu jak objęcie instalacji OZE o mocy zainstalowanej elektrycznej obowiązkiem rejestrowym. Brak objęcia takim obowiązkiem instalacji OZE o łącznej mocy zainstalowanej elektrycznej w przedziale od 1 MW do 5 MW, skutkowałby dyskryminacją w odniesieniu do małych instalacji, które są objęte takim obowiązkiem.</w:t>
      </w:r>
    </w:p>
    <w:p w14:paraId="4C4BE587"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Alternatywnym rozwiązaniem przy rozszerzaniu obowiązku rejestrowego jest zmiana górnego progu małej instalacji z 1 MW do 5 MW. Rozszerzenie to mogłoby stanowić zbytnią ingerencję w aktualną strukturę ustawy o odnawialnych źródłach energii, pociągając za sobą konsekwencje finansowe oraz wymagałoby oceny zgodności z poszczególnymi aktami prawa UE i innymi dokumentami, np. Komunikatem Komisji – Wytyczne w sprawie pomocy państwa na ochronę klimatu i środowiska oraz cele związane z energią z 2022 r., w których wskazano próg dla małych instalacji na poziomie 1 MW. </w:t>
      </w:r>
    </w:p>
    <w:p w14:paraId="16B13D1E"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Planowane narzędzia interwencji to nowelizacja ustawy – Prawo energetyczne, ustawy o odnawialnych źródłach energii i ustawy z dnia 14 grudnia 2018 r. o promowaniu energii elektrycznej z wysokosprawnej kogeneracji. Dodatkowo, w przypadku rozszerzenia rejestru wytwórców energii w małej instalacji o instalacje OZE o łącznej mocy zainstalowanej elektrycznej powyżej 1 MW i nie większej niż 5 MW, będzie konieczne wydanie nowego rozporządzenia w sprawie wzoru wniosku o wpis do rejestru wytwórców energii w małej instalacji wydawanego na podstawie art. 10 ust. 5 ustawy o odnawialnych źródłach energii, rozszerzając je o instalacje OZE o łącznej mocy zainstalowanej elektrycznej powyżej 1 MW i nie większej niż 5 MW. </w:t>
      </w:r>
    </w:p>
    <w:p w14:paraId="28826FE8"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Jednocześnie, w przypadku objęcia obowiązkiem sprawozdawczym określonym w art. 9 ustawy o odnawialnych źródłach energii również instalacji OZE o łącznej mocy zainstalowanej elektrycznej powyżej 1 MW i nie większej niż 5 MW, konieczne będzie zaktualizowanie obecnie obowiązującego rozporządzenia Ministra Klimatu i Środowiska z dnia 11 grudnia 2023 r. w sprawie wzoru sprawozdania wytwórcy energii w małej instalacji oraz sprawozdania wytwórcy biogazu lub </w:t>
      </w:r>
      <w:proofErr w:type="spellStart"/>
      <w:r w:rsidRPr="00CD4ACE">
        <w:rPr>
          <w:rFonts w:ascii="Arial" w:hAnsi="Arial" w:cs="Arial"/>
        </w:rPr>
        <w:t>biometanu</w:t>
      </w:r>
      <w:proofErr w:type="spellEnd"/>
      <w:r w:rsidRPr="00CD4ACE">
        <w:rPr>
          <w:rFonts w:ascii="Arial" w:hAnsi="Arial" w:cs="Arial"/>
        </w:rPr>
        <w:t>. Nowe regulacje obejmą procedowane w dniu wejścia w życie wnioski o uzyskanie koncesji.</w:t>
      </w:r>
    </w:p>
    <w:p w14:paraId="2F0BE01D" w14:textId="77777777" w:rsidR="0077569E" w:rsidRPr="00CD4ACE" w:rsidRDefault="0077569E" w:rsidP="00CD4ACE">
      <w:pPr>
        <w:spacing w:after="0" w:line="288" w:lineRule="auto"/>
        <w:jc w:val="both"/>
        <w:rPr>
          <w:rFonts w:ascii="Arial" w:hAnsi="Arial" w:cs="Arial"/>
        </w:rPr>
      </w:pPr>
      <w:r w:rsidRPr="00CD4ACE">
        <w:rPr>
          <w:rFonts w:ascii="Arial" w:hAnsi="Arial" w:cs="Arial"/>
        </w:rPr>
        <w:t xml:space="preserve">Zwolnienie z pozwolenia na budowę dla </w:t>
      </w:r>
      <w:proofErr w:type="spellStart"/>
      <w:r w:rsidRPr="00CD4ACE">
        <w:rPr>
          <w:rFonts w:ascii="Arial" w:hAnsi="Arial" w:cs="Arial"/>
        </w:rPr>
        <w:t>fotowoltaiki</w:t>
      </w:r>
      <w:proofErr w:type="spellEnd"/>
      <w:r w:rsidRPr="00CD4ACE">
        <w:rPr>
          <w:rFonts w:ascii="Arial" w:hAnsi="Arial" w:cs="Arial"/>
        </w:rPr>
        <w:t xml:space="preserve"> do 500 kW - wytwarzanie energii elektrycznej na własne potrzeby (fiszka nr MKiŚ-4-48)</w:t>
      </w:r>
    </w:p>
    <w:p w14:paraId="75A1814A" w14:textId="77777777" w:rsidR="0077569E" w:rsidRPr="00CD4ACE" w:rsidRDefault="0077569E" w:rsidP="00CD4ACE">
      <w:pPr>
        <w:spacing w:after="0" w:line="288" w:lineRule="auto"/>
        <w:jc w:val="both"/>
        <w:rPr>
          <w:rFonts w:ascii="Arial" w:hAnsi="Arial" w:cs="Arial"/>
        </w:rPr>
      </w:pPr>
      <w:r w:rsidRPr="00CD4ACE">
        <w:rPr>
          <w:rFonts w:ascii="Arial" w:hAnsi="Arial" w:cs="Arial"/>
        </w:rPr>
        <w:t>Proponuje się podwyższenie progu mocy dla instalacji fotowoltaicznych, które nie wymagają pozwolenia na budowę z 150 kW do 500 kW pod warunkiem, że instalacja taka będzie służyć zaspokojeniu własnego zapotrzebowania na energię elektryczną.   Zwiększenie limitu mocy do 500 kW pozwoli na uproszczenie procedur administracyjnych, co ułatwi realizację przez przedsiębiorstwa takich instalacji. Będą one mogły szybciej i w większej skali zaspokoić swoje zapotrzebowanie na energię elektryczną co pozwoli na szybsze obniżenie kosztów prowadzenia działalności. Wprowadzenie zmian jest niezbędne, aby sprostać rosnącym potrzebom energetycznym przedsiębiorstw. Ułatwienie realizacji instalacji przyniesie korzyści zarówno dla gospodarki, jej konkurencyjności na tle międzynarodowym jak i środowiska.</w:t>
      </w:r>
    </w:p>
    <w:p w14:paraId="0801F20A" w14:textId="4FE9DC08" w:rsidR="0077569E" w:rsidRPr="00CD4ACE" w:rsidRDefault="0077569E" w:rsidP="00CD4ACE">
      <w:pPr>
        <w:spacing w:after="0" w:line="288" w:lineRule="auto"/>
        <w:jc w:val="both"/>
        <w:rPr>
          <w:rFonts w:ascii="Arial" w:hAnsi="Arial" w:cs="Arial"/>
        </w:rPr>
      </w:pPr>
      <w:r w:rsidRPr="00CD4ACE">
        <w:rPr>
          <w:rFonts w:ascii="Arial" w:hAnsi="Arial" w:cs="Arial"/>
        </w:rPr>
        <w:t>Ze względu na konieczność utrzymania procesów ekologicznych i stabilności ekosystemów; zachowania różnorodności biologicznej, zapewnienia ciągłości istnienia gatunków roślin, zwierząt i grzybów, wraz z ich siedliskami zakłada się, że przedmiotowe inwestycje nie będą mogły być zlokalizowane na terenach najcenniejszych przyrodniczo.</w:t>
      </w:r>
    </w:p>
    <w:p w14:paraId="1CAD726C" w14:textId="77777777" w:rsidR="004C14A8" w:rsidRPr="00CD4ACE" w:rsidRDefault="004C14A8" w:rsidP="00CD4ACE">
      <w:pPr>
        <w:spacing w:after="0" w:line="288" w:lineRule="auto"/>
        <w:jc w:val="both"/>
        <w:rPr>
          <w:rFonts w:ascii="Arial" w:hAnsi="Arial" w:cs="Arial"/>
        </w:rPr>
      </w:pPr>
    </w:p>
    <w:p w14:paraId="2D716EC9" w14:textId="77777777" w:rsidR="0077569E" w:rsidRPr="00CD4ACE" w:rsidRDefault="0077569E" w:rsidP="00CD4ACE">
      <w:pPr>
        <w:spacing w:after="0" w:line="288" w:lineRule="auto"/>
        <w:jc w:val="both"/>
        <w:rPr>
          <w:rFonts w:ascii="Arial" w:hAnsi="Arial" w:cs="Arial"/>
        </w:rPr>
      </w:pPr>
      <w:r w:rsidRPr="00CD4ACE">
        <w:rPr>
          <w:rFonts w:ascii="Arial" w:hAnsi="Arial" w:cs="Arial"/>
        </w:rPr>
        <w:t>Przedmiotowy projekt aktu prawnego wraz z Uzasadnieniem oraz Oceną Skutków Regulacji dostępny jest na stronach Rządowego Centrum Legislacji pod adresem:</w:t>
      </w:r>
    </w:p>
    <w:p w14:paraId="11DE68FD" w14:textId="0E0D1937" w:rsidR="0077569E" w:rsidRPr="00CD4ACE" w:rsidRDefault="0077569E" w:rsidP="00CD4ACE">
      <w:pPr>
        <w:spacing w:after="0" w:line="288" w:lineRule="auto"/>
        <w:jc w:val="both"/>
        <w:rPr>
          <w:rFonts w:ascii="Arial" w:hAnsi="Arial" w:cs="Arial"/>
        </w:rPr>
      </w:pPr>
      <w:hyperlink r:id="rId11" w:history="1">
        <w:r w:rsidRPr="00CD4ACE">
          <w:rPr>
            <w:rStyle w:val="Hipercze"/>
            <w:rFonts w:ascii="Arial" w:hAnsi="Arial" w:cs="Arial"/>
          </w:rPr>
          <w:t>https://legislacja.rcl.gov.pl/projekt/12397604/katalog/</w:t>
        </w:r>
        <w:r w:rsidRPr="00CD4ACE">
          <w:rPr>
            <w:rStyle w:val="Hipercze"/>
            <w:rFonts w:ascii="Arial" w:hAnsi="Arial" w:cs="Arial"/>
          </w:rPr>
          <w:t>1</w:t>
        </w:r>
        <w:r w:rsidRPr="00CD4ACE">
          <w:rPr>
            <w:rStyle w:val="Hipercze"/>
            <w:rFonts w:ascii="Arial" w:hAnsi="Arial" w:cs="Arial"/>
          </w:rPr>
          <w:t>3126844#13126844</w:t>
        </w:r>
      </w:hyperlink>
      <w:r w:rsidRPr="00CD4ACE">
        <w:rPr>
          <w:rFonts w:ascii="Arial" w:hAnsi="Arial" w:cs="Arial"/>
        </w:rPr>
        <w:t xml:space="preserve"> </w:t>
      </w:r>
    </w:p>
    <w:p w14:paraId="5434019E" w14:textId="77777777" w:rsidR="0077569E" w:rsidRPr="00CD4ACE" w:rsidRDefault="0077569E" w:rsidP="00CD4ACE">
      <w:pPr>
        <w:spacing w:after="0" w:line="288" w:lineRule="auto"/>
        <w:jc w:val="both"/>
        <w:rPr>
          <w:rFonts w:ascii="Arial" w:hAnsi="Arial" w:cs="Arial"/>
        </w:rPr>
      </w:pPr>
    </w:p>
    <w:p w14:paraId="4D2982B1" w14:textId="47A38480" w:rsidR="0077569E" w:rsidRPr="00CD4ACE" w:rsidRDefault="0077569E" w:rsidP="00CD4ACE">
      <w:pPr>
        <w:spacing w:after="0" w:line="288" w:lineRule="auto"/>
        <w:jc w:val="both"/>
        <w:rPr>
          <w:rFonts w:ascii="Arial" w:hAnsi="Arial" w:cs="Arial"/>
        </w:rPr>
      </w:pPr>
      <w:r w:rsidRPr="00CD4ACE">
        <w:rPr>
          <w:rFonts w:ascii="Arial" w:hAnsi="Arial" w:cs="Arial"/>
        </w:rPr>
        <w:t>Projekt jest obecnie jednocześnie na etapie uzgodnień, konsultacji publicznych i opiniowania.</w:t>
      </w:r>
    </w:p>
    <w:p w14:paraId="07AD1A36" w14:textId="77777777" w:rsidR="0077569E" w:rsidRPr="00CD4ACE" w:rsidRDefault="0077569E" w:rsidP="00CD4ACE">
      <w:pPr>
        <w:spacing w:after="0" w:line="288" w:lineRule="auto"/>
        <w:jc w:val="both"/>
        <w:rPr>
          <w:rFonts w:ascii="Arial" w:hAnsi="Arial" w:cs="Arial"/>
        </w:rPr>
      </w:pPr>
    </w:p>
    <w:p w14:paraId="6849123A" w14:textId="5533C2C6" w:rsidR="004C14A8" w:rsidRPr="00CD4ACE" w:rsidRDefault="00C1367E" w:rsidP="00CD4ACE">
      <w:pPr>
        <w:pStyle w:val="Akapitzlist"/>
        <w:numPr>
          <w:ilvl w:val="0"/>
          <w:numId w:val="3"/>
        </w:numPr>
        <w:spacing w:after="0" w:line="288" w:lineRule="auto"/>
        <w:jc w:val="both"/>
        <w:rPr>
          <w:rFonts w:ascii="Arial" w:hAnsi="Arial" w:cs="Arial"/>
          <w:b/>
          <w:bCs/>
          <w:u w:val="single"/>
        </w:rPr>
      </w:pPr>
      <w:r w:rsidRPr="00CD4ACE">
        <w:rPr>
          <w:rFonts w:ascii="Arial" w:hAnsi="Arial" w:cs="Arial"/>
          <w:b/>
          <w:bCs/>
          <w:u w:val="single"/>
        </w:rPr>
        <w:t>P</w:t>
      </w:r>
      <w:r w:rsidRPr="00CD4ACE">
        <w:rPr>
          <w:rFonts w:ascii="Arial" w:hAnsi="Arial" w:cs="Arial"/>
          <w:b/>
          <w:bCs/>
          <w:u w:val="single"/>
        </w:rPr>
        <w:t>rojekt ustawy o zmianie ustawy o podatku dochodowym od osób fizycznych oraz ustawy o podatku dochodowym od osób prawnych (numer z wykazu UDER23).</w:t>
      </w:r>
    </w:p>
    <w:p w14:paraId="7A3D6E73" w14:textId="77777777" w:rsidR="004C14A8" w:rsidRPr="00CD4ACE" w:rsidRDefault="004C14A8" w:rsidP="00CD4ACE">
      <w:pPr>
        <w:spacing w:after="0" w:line="288" w:lineRule="auto"/>
        <w:jc w:val="both"/>
        <w:rPr>
          <w:rFonts w:ascii="Arial" w:hAnsi="Arial" w:cs="Arial"/>
        </w:rPr>
      </w:pPr>
    </w:p>
    <w:p w14:paraId="0721821C" w14:textId="77777777" w:rsidR="00C1367E" w:rsidRPr="00CD4ACE" w:rsidRDefault="00C1367E" w:rsidP="00CD4ACE">
      <w:pPr>
        <w:spacing w:after="0" w:line="288" w:lineRule="auto"/>
        <w:jc w:val="both"/>
        <w:rPr>
          <w:rFonts w:ascii="Arial" w:hAnsi="Arial" w:cs="Arial"/>
        </w:rPr>
      </w:pPr>
      <w:r w:rsidRPr="00CD4ACE">
        <w:rPr>
          <w:rFonts w:ascii="Arial" w:hAnsi="Arial" w:cs="Arial"/>
        </w:rPr>
        <w:t xml:space="preserve">Istota problemu: </w:t>
      </w:r>
    </w:p>
    <w:p w14:paraId="2B892139" w14:textId="2C0D16A8" w:rsidR="00C1367E" w:rsidRPr="00CD4ACE" w:rsidRDefault="00C1367E" w:rsidP="00CD4ACE">
      <w:pPr>
        <w:pStyle w:val="Akapitzlist"/>
        <w:numPr>
          <w:ilvl w:val="0"/>
          <w:numId w:val="11"/>
        </w:numPr>
        <w:spacing w:after="0" w:line="288" w:lineRule="auto"/>
        <w:jc w:val="both"/>
        <w:rPr>
          <w:rFonts w:ascii="Arial" w:hAnsi="Arial" w:cs="Arial"/>
        </w:rPr>
      </w:pPr>
      <w:r w:rsidRPr="00CD4ACE">
        <w:rPr>
          <w:rFonts w:ascii="Arial" w:hAnsi="Arial" w:cs="Arial"/>
        </w:rPr>
        <w:t xml:space="preserve">Obowiązek corocznego składania informacji o wspólnikach spółki jawnej, również w przypadku niezaistnienia zmian w składzie wspólników i ich udziałów w takiej spółce w sytuacji, gdy przeoczenie tego obowiązku rodzi istotne konsekwencje dla spółki i jej wspólników (nabycie przez spółkę jawną podmiotowości na gruncie ustawy o CIT). </w:t>
      </w:r>
    </w:p>
    <w:p w14:paraId="46CC5243" w14:textId="7690734A" w:rsidR="00C1367E" w:rsidRPr="00CD4ACE" w:rsidRDefault="00C1367E" w:rsidP="00CD4ACE">
      <w:pPr>
        <w:pStyle w:val="Akapitzlist"/>
        <w:numPr>
          <w:ilvl w:val="0"/>
          <w:numId w:val="11"/>
        </w:numPr>
        <w:spacing w:after="0" w:line="288" w:lineRule="auto"/>
        <w:jc w:val="both"/>
        <w:rPr>
          <w:rFonts w:ascii="Arial" w:hAnsi="Arial" w:cs="Arial"/>
        </w:rPr>
      </w:pPr>
      <w:r w:rsidRPr="00CD4ACE">
        <w:rPr>
          <w:rFonts w:ascii="Arial" w:hAnsi="Arial" w:cs="Arial"/>
        </w:rPr>
        <w:t xml:space="preserve">Nieproporcjonalne ryzyko utraty statusu podatnika CIT przez podatkową grupę kapitałową w przypadku dokonywania przez spółki z takiej grupy transakcji kontrolowanych, nawet o niewielkiej wartości, z podmiotami powiązanymi na warunkach nierynkowych. </w:t>
      </w:r>
    </w:p>
    <w:p w14:paraId="277CA3EA" w14:textId="1F672CE7" w:rsidR="00C1367E" w:rsidRPr="00CD4ACE" w:rsidRDefault="00C1367E" w:rsidP="00CD4ACE">
      <w:pPr>
        <w:pStyle w:val="Akapitzlist"/>
        <w:numPr>
          <w:ilvl w:val="0"/>
          <w:numId w:val="11"/>
        </w:numPr>
        <w:spacing w:after="0" w:line="288" w:lineRule="auto"/>
        <w:jc w:val="both"/>
        <w:rPr>
          <w:rFonts w:ascii="Arial" w:hAnsi="Arial" w:cs="Arial"/>
        </w:rPr>
      </w:pPr>
      <w:r w:rsidRPr="00CD4ACE">
        <w:rPr>
          <w:rFonts w:ascii="Arial" w:hAnsi="Arial" w:cs="Arial"/>
        </w:rPr>
        <w:t>Ryzyko zwrotu faktycznie niewykorzystanej (hipotetycznej), maksymalnej pomocy publicznej wynikającej z decyzji o wsparciu (</w:t>
      </w:r>
      <w:proofErr w:type="spellStart"/>
      <w:r w:rsidRPr="00CD4ACE">
        <w:rPr>
          <w:rFonts w:ascii="Arial" w:hAnsi="Arial" w:cs="Arial"/>
        </w:rPr>
        <w:t>DoW</w:t>
      </w:r>
      <w:proofErr w:type="spellEnd"/>
      <w:r w:rsidRPr="00CD4ACE">
        <w:rPr>
          <w:rFonts w:ascii="Arial" w:hAnsi="Arial" w:cs="Arial"/>
        </w:rPr>
        <w:t>) lub z zezwolenia strefowego w przypadku uchylenia decyzji lub cofnięcia zezwolenia.</w:t>
      </w:r>
    </w:p>
    <w:p w14:paraId="73A91E19" w14:textId="77777777" w:rsidR="00C1367E" w:rsidRPr="00CD4ACE" w:rsidRDefault="00C1367E" w:rsidP="00CD4ACE">
      <w:pPr>
        <w:spacing w:after="0" w:line="288" w:lineRule="auto"/>
        <w:jc w:val="both"/>
        <w:rPr>
          <w:rFonts w:ascii="Arial" w:hAnsi="Arial" w:cs="Arial"/>
        </w:rPr>
      </w:pPr>
      <w:r w:rsidRPr="00CD4ACE">
        <w:rPr>
          <w:rFonts w:ascii="Arial" w:hAnsi="Arial" w:cs="Arial"/>
        </w:rPr>
        <w:t xml:space="preserve">Rekomendowane rozwiązania: </w:t>
      </w:r>
    </w:p>
    <w:p w14:paraId="39F499F9" w14:textId="478ABE25" w:rsidR="00C1367E" w:rsidRPr="00CD4ACE" w:rsidRDefault="00C1367E" w:rsidP="00CD4ACE">
      <w:pPr>
        <w:pStyle w:val="Akapitzlist"/>
        <w:numPr>
          <w:ilvl w:val="0"/>
          <w:numId w:val="13"/>
        </w:numPr>
        <w:spacing w:after="0" w:line="288" w:lineRule="auto"/>
        <w:jc w:val="both"/>
        <w:rPr>
          <w:rFonts w:ascii="Arial" w:hAnsi="Arial" w:cs="Arial"/>
        </w:rPr>
      </w:pPr>
      <w:r w:rsidRPr="00CD4ACE">
        <w:rPr>
          <w:rFonts w:ascii="Arial" w:hAnsi="Arial" w:cs="Arial"/>
        </w:rPr>
        <w:t xml:space="preserve">Ograniczenie obowiązku składania informacji o wspólnikach spółki jawnej do przypadku zmiany składu wspólników i ich udziałów w takiej spółce. </w:t>
      </w:r>
    </w:p>
    <w:p w14:paraId="77C3A6B7" w14:textId="2399022E" w:rsidR="00C1367E" w:rsidRPr="00CD4ACE" w:rsidRDefault="00C1367E" w:rsidP="00CD4ACE">
      <w:pPr>
        <w:pStyle w:val="Akapitzlist"/>
        <w:numPr>
          <w:ilvl w:val="0"/>
          <w:numId w:val="13"/>
        </w:numPr>
        <w:spacing w:after="0" w:line="288" w:lineRule="auto"/>
        <w:jc w:val="both"/>
        <w:rPr>
          <w:rFonts w:ascii="Arial" w:hAnsi="Arial" w:cs="Arial"/>
        </w:rPr>
      </w:pPr>
      <w:r w:rsidRPr="00CD4ACE">
        <w:rPr>
          <w:rFonts w:ascii="Arial" w:hAnsi="Arial" w:cs="Arial"/>
        </w:rPr>
        <w:t xml:space="preserve">Uchylenie sankcji utraty przez PGK statusu podatnika CIT w przypadku dokonywania transakcji kontrolowanych z podmiotami powiązanymi spoza grupy na warunkach nierynkowych.  </w:t>
      </w:r>
    </w:p>
    <w:p w14:paraId="265FB5E6" w14:textId="210F90E5" w:rsidR="00C1367E" w:rsidRPr="00CD4ACE" w:rsidRDefault="00C1367E" w:rsidP="00CD4ACE">
      <w:pPr>
        <w:pStyle w:val="Akapitzlist"/>
        <w:numPr>
          <w:ilvl w:val="0"/>
          <w:numId w:val="13"/>
        </w:numPr>
        <w:spacing w:after="0" w:line="288" w:lineRule="auto"/>
        <w:jc w:val="both"/>
        <w:rPr>
          <w:rFonts w:ascii="Arial" w:hAnsi="Arial" w:cs="Arial"/>
        </w:rPr>
      </w:pPr>
      <w:r w:rsidRPr="00CD4ACE">
        <w:rPr>
          <w:rFonts w:ascii="Arial" w:hAnsi="Arial" w:cs="Arial"/>
        </w:rPr>
        <w:t>Wprowadzenie alternatywnego sposobu zwrotu pomocy publicznej udzielonej w formie zwolnienia podatkowego w przypadku uchylenia decyzji o wsparciu lub cofnięcia zezwolenia.</w:t>
      </w:r>
    </w:p>
    <w:p w14:paraId="2AF2F595" w14:textId="77777777" w:rsidR="004C14A8" w:rsidRPr="00CD4ACE" w:rsidRDefault="004C14A8" w:rsidP="00CD4ACE">
      <w:pPr>
        <w:spacing w:after="0" w:line="288" w:lineRule="auto"/>
        <w:jc w:val="both"/>
        <w:rPr>
          <w:rFonts w:ascii="Arial" w:hAnsi="Arial" w:cs="Arial"/>
        </w:rPr>
      </w:pPr>
    </w:p>
    <w:p w14:paraId="4EE02D85" w14:textId="77777777" w:rsidR="00C1367E" w:rsidRPr="00CD4ACE" w:rsidRDefault="00C1367E" w:rsidP="00CD4ACE">
      <w:pPr>
        <w:spacing w:after="0" w:line="288" w:lineRule="auto"/>
        <w:jc w:val="both"/>
        <w:rPr>
          <w:rFonts w:ascii="Arial" w:hAnsi="Arial" w:cs="Arial"/>
        </w:rPr>
      </w:pPr>
      <w:r w:rsidRPr="00CD4ACE">
        <w:rPr>
          <w:rFonts w:ascii="Arial" w:hAnsi="Arial" w:cs="Arial"/>
        </w:rPr>
        <w:t>Przedmiotowy projekt aktu prawnego wraz z Uzasadnieniem oraz Oceną Skutków Regulacji dostępny jest na stronach Rządowego Centrum Legislacji pod adresem:</w:t>
      </w:r>
    </w:p>
    <w:p w14:paraId="1D8C0045" w14:textId="371F1D3B" w:rsidR="00C1367E" w:rsidRPr="00CD4ACE" w:rsidRDefault="00C1367E" w:rsidP="00CD4ACE">
      <w:pPr>
        <w:spacing w:after="0" w:line="288" w:lineRule="auto"/>
        <w:jc w:val="both"/>
        <w:rPr>
          <w:rFonts w:ascii="Arial" w:hAnsi="Arial" w:cs="Arial"/>
        </w:rPr>
      </w:pPr>
      <w:hyperlink r:id="rId12" w:history="1">
        <w:r w:rsidRPr="00CD4ACE">
          <w:rPr>
            <w:rStyle w:val="Hipercze"/>
            <w:rFonts w:ascii="Arial" w:hAnsi="Arial" w:cs="Arial"/>
          </w:rPr>
          <w:t>https://legislacja.rcl.gov.pl/projekt/12397606/katalog/1312696</w:t>
        </w:r>
        <w:r w:rsidRPr="00CD4ACE">
          <w:rPr>
            <w:rStyle w:val="Hipercze"/>
            <w:rFonts w:ascii="Arial" w:hAnsi="Arial" w:cs="Arial"/>
          </w:rPr>
          <w:t>0</w:t>
        </w:r>
        <w:r w:rsidRPr="00CD4ACE">
          <w:rPr>
            <w:rStyle w:val="Hipercze"/>
            <w:rFonts w:ascii="Arial" w:hAnsi="Arial" w:cs="Arial"/>
          </w:rPr>
          <w:t>#13126960</w:t>
        </w:r>
      </w:hyperlink>
      <w:r w:rsidRPr="00CD4ACE">
        <w:rPr>
          <w:rFonts w:ascii="Arial" w:hAnsi="Arial" w:cs="Arial"/>
        </w:rPr>
        <w:t xml:space="preserve"> </w:t>
      </w:r>
    </w:p>
    <w:p w14:paraId="6C4D0F26" w14:textId="77777777" w:rsidR="00C1367E" w:rsidRPr="00CD4ACE" w:rsidRDefault="00C1367E" w:rsidP="00CD4ACE">
      <w:pPr>
        <w:spacing w:after="0" w:line="288" w:lineRule="auto"/>
        <w:jc w:val="both"/>
        <w:rPr>
          <w:rFonts w:ascii="Arial" w:hAnsi="Arial" w:cs="Arial"/>
        </w:rPr>
      </w:pPr>
    </w:p>
    <w:p w14:paraId="428995C4" w14:textId="6AD2633B" w:rsidR="00C1367E" w:rsidRPr="00CD4ACE" w:rsidRDefault="00C1367E" w:rsidP="00CD4ACE">
      <w:pPr>
        <w:spacing w:after="0" w:line="288" w:lineRule="auto"/>
        <w:jc w:val="both"/>
        <w:rPr>
          <w:rFonts w:ascii="Arial" w:hAnsi="Arial" w:cs="Arial"/>
        </w:rPr>
      </w:pPr>
      <w:r w:rsidRPr="00CD4ACE">
        <w:rPr>
          <w:rFonts w:ascii="Arial" w:hAnsi="Arial" w:cs="Arial"/>
        </w:rPr>
        <w:t>Projekt jest obecnie jednocześnie na etapie uzgodnień, konsultacji publicznych i opiniowania.</w:t>
      </w:r>
    </w:p>
    <w:p w14:paraId="53A11D71" w14:textId="77777777" w:rsidR="00C1367E" w:rsidRPr="00CD4ACE" w:rsidRDefault="00C1367E" w:rsidP="00CD4ACE">
      <w:pPr>
        <w:spacing w:after="0" w:line="288" w:lineRule="auto"/>
        <w:jc w:val="both"/>
        <w:rPr>
          <w:rFonts w:ascii="Arial" w:hAnsi="Arial" w:cs="Arial"/>
        </w:rPr>
      </w:pPr>
    </w:p>
    <w:p w14:paraId="44D8B564" w14:textId="7F7956D3" w:rsidR="00A30893" w:rsidRPr="00CD4ACE" w:rsidRDefault="00C1367E" w:rsidP="00CD4ACE">
      <w:pPr>
        <w:pStyle w:val="Akapitzlist"/>
        <w:numPr>
          <w:ilvl w:val="0"/>
          <w:numId w:val="3"/>
        </w:numPr>
        <w:spacing w:after="0" w:line="288" w:lineRule="auto"/>
        <w:jc w:val="both"/>
        <w:rPr>
          <w:rFonts w:ascii="Arial" w:hAnsi="Arial" w:cs="Arial"/>
          <w:b/>
          <w:bCs/>
          <w:u w:val="single"/>
        </w:rPr>
      </w:pPr>
      <w:r w:rsidRPr="00CD4ACE">
        <w:rPr>
          <w:rFonts w:ascii="Arial" w:hAnsi="Arial" w:cs="Arial"/>
          <w:b/>
          <w:bCs/>
          <w:u w:val="single"/>
        </w:rPr>
        <w:t>P</w:t>
      </w:r>
      <w:r w:rsidRPr="00CD4ACE">
        <w:rPr>
          <w:rFonts w:ascii="Arial" w:hAnsi="Arial" w:cs="Arial"/>
          <w:b/>
          <w:bCs/>
          <w:u w:val="single"/>
        </w:rPr>
        <w:t>rojekt ustawy o zmianie ustawy o ochronie przyrody (numer z wykazu UDER25).</w:t>
      </w:r>
    </w:p>
    <w:p w14:paraId="48B39EF6" w14:textId="77777777" w:rsidR="00A30893" w:rsidRPr="00CD4ACE" w:rsidRDefault="00A30893" w:rsidP="00CD4ACE">
      <w:pPr>
        <w:spacing w:after="0" w:line="288" w:lineRule="auto"/>
        <w:jc w:val="both"/>
        <w:rPr>
          <w:rFonts w:ascii="Arial" w:hAnsi="Arial" w:cs="Arial"/>
        </w:rPr>
      </w:pPr>
    </w:p>
    <w:p w14:paraId="3036BFCF" w14:textId="77777777" w:rsidR="00C1367E" w:rsidRPr="00CD4ACE" w:rsidRDefault="00C1367E" w:rsidP="00CD4ACE">
      <w:pPr>
        <w:spacing w:after="0" w:line="288" w:lineRule="auto"/>
        <w:jc w:val="both"/>
        <w:rPr>
          <w:rFonts w:ascii="Arial" w:hAnsi="Arial" w:cs="Arial"/>
        </w:rPr>
      </w:pPr>
      <w:r w:rsidRPr="00CD4ACE">
        <w:rPr>
          <w:rFonts w:ascii="Arial" w:hAnsi="Arial" w:cs="Arial"/>
        </w:rPr>
        <w:t xml:space="preserve">Zgodnie z obecną treścią art. 83f ust. 8 w zw. z ust. 6 w ustawy z dnia 16 kwietnia 2004 r. o ochronie przyrody (Dz. U. z 2024 r. poz. 1478, ze zm.) organ, do którego wniesiono zgłoszenie zamiaru usunięcia drzewa (najczęściej: wójt, burmistrz, prezydent miasta), po dokonaniu w terminie 21 dni od dnia zgłoszenia oględzin, może w terminie 14 dni od dnia oględzin, wnieść sprzeciw co do tego zamiaru. Usunięcie drzewa może nastąpić, jeżeli organ nie wniósł </w:t>
      </w:r>
      <w:r w:rsidRPr="00CD4ACE">
        <w:rPr>
          <w:rFonts w:ascii="Arial" w:hAnsi="Arial" w:cs="Arial"/>
        </w:rPr>
        <w:lastRenderedPageBreak/>
        <w:t xml:space="preserve">sprzeciwu w tym terminie. Jeżeli zatem oględziny nie zostały przeprowadzone w instrukcyjnym terminie 21 dni, to termin do wniesienia sprzeciwu nie rozpoczyna biegu. To zaś może spowodować, że postępowania dotyczące usunięcia drzewa z nieruchomości stanowiącej własność osoby fizycznej, które są usuwane na cele niezwiązane z prowadzeniem działalności gospodarczej mogą się nadmiernie przedłużać. Problem ten był podnoszony przez stronę społeczną w procesie związanym z opracowaniem rozwiązań </w:t>
      </w:r>
      <w:proofErr w:type="spellStart"/>
      <w:r w:rsidRPr="00CD4ACE">
        <w:rPr>
          <w:rFonts w:ascii="Arial" w:hAnsi="Arial" w:cs="Arial"/>
        </w:rPr>
        <w:t>deregulacyjnych</w:t>
      </w:r>
      <w:proofErr w:type="spellEnd"/>
      <w:r w:rsidRPr="00CD4ACE">
        <w:rPr>
          <w:rFonts w:ascii="Arial" w:hAnsi="Arial" w:cs="Arial"/>
        </w:rPr>
        <w:t>.</w:t>
      </w:r>
    </w:p>
    <w:p w14:paraId="3F693D05" w14:textId="77777777" w:rsidR="00C1367E" w:rsidRPr="00CD4ACE" w:rsidRDefault="00C1367E" w:rsidP="00CD4ACE">
      <w:pPr>
        <w:spacing w:after="0" w:line="288" w:lineRule="auto"/>
        <w:jc w:val="both"/>
        <w:rPr>
          <w:rFonts w:ascii="Arial" w:hAnsi="Arial" w:cs="Arial"/>
        </w:rPr>
      </w:pPr>
      <w:r w:rsidRPr="00CD4ACE">
        <w:rPr>
          <w:rFonts w:ascii="Arial" w:hAnsi="Arial" w:cs="Arial"/>
        </w:rPr>
        <w:t>Projekt ustawy o zmianie ustawy o ochronie przyrody ma na celu usprawnienie działania organu, o którym mowa w art. 83a ust. 1 ustawy z dnia 16 kwietnia 2004 r. o ochronie przyrody w przypadku postępowania dotyczącego usunięcia drzewa z nieruchomości stanowiącej własność osoby fizycznej.</w:t>
      </w:r>
    </w:p>
    <w:p w14:paraId="4356B3F8" w14:textId="77777777" w:rsidR="00C1367E" w:rsidRPr="00CD4ACE" w:rsidRDefault="00C1367E" w:rsidP="00CD4ACE">
      <w:pPr>
        <w:spacing w:after="0" w:line="288" w:lineRule="auto"/>
        <w:jc w:val="both"/>
        <w:rPr>
          <w:rFonts w:ascii="Arial" w:hAnsi="Arial" w:cs="Arial"/>
        </w:rPr>
      </w:pPr>
      <w:r w:rsidRPr="00CD4ACE">
        <w:rPr>
          <w:rFonts w:ascii="Arial" w:hAnsi="Arial" w:cs="Arial"/>
        </w:rPr>
        <w:t>Projekt przewiduje wprowadzenie 35-dniowego terminu liczonego od dnia zgłoszenia na wniesienie sprzeciwu od zamiaru usunięcia drzewa przez organ, do którego wniesiono zgłoszenie. Powyższa zmiana pozwoli na zabezpieczenie wnioskodawców przed bezczynnością lub przewlekłością postępowań. Projektowany 35-dniowy termin jest sumą terminu na oględziny i sprzeciw, co zdyscyplinuje organy do przeprowadzenia oględzin w pierwotnym 21-dniowym terminie i zabezpieczy wnioskodawców, zmniejszając uciążliwości związane z oczekiwaniem na decyzję i zwiększając bezpieczeństwo w przypadkach, gdy drzewo przeznaczone do wycinki stanowi zagrożenie. Usunięcie drzewa będzie mogło nastąpić, jeżeli organ nie wniósł sprzeciwu w tym terminie (milcząca zgoda).</w:t>
      </w:r>
    </w:p>
    <w:p w14:paraId="7043120C" w14:textId="77777777" w:rsidR="00C1367E" w:rsidRPr="00CD4ACE" w:rsidRDefault="00C1367E" w:rsidP="00CD4ACE">
      <w:pPr>
        <w:spacing w:after="0" w:line="288" w:lineRule="auto"/>
        <w:jc w:val="both"/>
        <w:rPr>
          <w:rFonts w:ascii="Arial" w:hAnsi="Arial" w:cs="Arial"/>
        </w:rPr>
      </w:pPr>
      <w:r w:rsidRPr="00CD4ACE">
        <w:rPr>
          <w:rFonts w:ascii="Arial" w:hAnsi="Arial" w:cs="Arial"/>
        </w:rPr>
        <w:t>Oczekiwanym efektem interwencji jest skrócenie czasu trwania postępowań administracyjnych w przedmiocie usunięcia drzewa z nieruchomości stanowiącej własność osoby fizycznej.</w:t>
      </w:r>
    </w:p>
    <w:p w14:paraId="534EC2C0" w14:textId="38FCE137" w:rsidR="00C1367E" w:rsidRPr="00CD4ACE" w:rsidRDefault="00C1367E" w:rsidP="00CD4ACE">
      <w:pPr>
        <w:spacing w:after="0" w:line="288" w:lineRule="auto"/>
        <w:jc w:val="both"/>
        <w:rPr>
          <w:rFonts w:ascii="Arial" w:hAnsi="Arial" w:cs="Arial"/>
        </w:rPr>
      </w:pPr>
      <w:r w:rsidRPr="00CD4ACE">
        <w:rPr>
          <w:rFonts w:ascii="Arial" w:hAnsi="Arial" w:cs="Arial"/>
        </w:rPr>
        <w:t>Brak jest alternatywnego sposobu rozwiązania problemu z uwagi na okoliczność uregulowania procedury usunięcia drzewa na poziomie ustawy – ustawy z dnia 16 kwietnia 2004 r. o ochronie przyrody</w:t>
      </w:r>
      <w:r w:rsidRPr="00CD4ACE">
        <w:rPr>
          <w:rFonts w:ascii="Arial" w:hAnsi="Arial" w:cs="Arial"/>
        </w:rPr>
        <w:t>.</w:t>
      </w:r>
    </w:p>
    <w:p w14:paraId="61CCBAC3" w14:textId="77777777" w:rsidR="00C1367E" w:rsidRPr="00CD4ACE" w:rsidRDefault="00C1367E" w:rsidP="00CD4ACE">
      <w:pPr>
        <w:spacing w:after="0" w:line="288" w:lineRule="auto"/>
        <w:jc w:val="both"/>
        <w:rPr>
          <w:rFonts w:ascii="Arial" w:hAnsi="Arial" w:cs="Arial"/>
        </w:rPr>
      </w:pPr>
    </w:p>
    <w:p w14:paraId="1667C260" w14:textId="77777777" w:rsidR="00C1367E" w:rsidRPr="00CD4ACE" w:rsidRDefault="00C1367E" w:rsidP="00CD4ACE">
      <w:pPr>
        <w:spacing w:after="0" w:line="288" w:lineRule="auto"/>
        <w:jc w:val="both"/>
        <w:rPr>
          <w:rFonts w:ascii="Arial" w:hAnsi="Arial" w:cs="Arial"/>
        </w:rPr>
      </w:pPr>
      <w:r w:rsidRPr="00CD4ACE">
        <w:rPr>
          <w:rFonts w:ascii="Arial" w:hAnsi="Arial" w:cs="Arial"/>
        </w:rPr>
        <w:t>Przedmiotowy projekt aktu prawnego wraz z Uzasadnieniem oraz Oceną Skutków Regulacji dostępny jest na stronach Rządowego Centrum Legislacji pod adresem:</w:t>
      </w:r>
    </w:p>
    <w:p w14:paraId="70C06FA0" w14:textId="0151428F" w:rsidR="00C1367E" w:rsidRPr="00CD4ACE" w:rsidRDefault="00C1367E" w:rsidP="00CD4ACE">
      <w:pPr>
        <w:spacing w:after="0" w:line="288" w:lineRule="auto"/>
        <w:jc w:val="both"/>
        <w:rPr>
          <w:rFonts w:ascii="Arial" w:hAnsi="Arial" w:cs="Arial"/>
        </w:rPr>
      </w:pPr>
      <w:hyperlink r:id="rId13" w:history="1">
        <w:r w:rsidRPr="00CD4ACE">
          <w:rPr>
            <w:rStyle w:val="Hipercze"/>
            <w:rFonts w:ascii="Arial" w:hAnsi="Arial" w:cs="Arial"/>
          </w:rPr>
          <w:t>https://legislacja.rcl.gov.pl/projek</w:t>
        </w:r>
        <w:r w:rsidRPr="00CD4ACE">
          <w:rPr>
            <w:rStyle w:val="Hipercze"/>
            <w:rFonts w:ascii="Arial" w:hAnsi="Arial" w:cs="Arial"/>
          </w:rPr>
          <w:t>t</w:t>
        </w:r>
        <w:r w:rsidRPr="00CD4ACE">
          <w:rPr>
            <w:rStyle w:val="Hipercze"/>
            <w:rFonts w:ascii="Arial" w:hAnsi="Arial" w:cs="Arial"/>
          </w:rPr>
          <w:t>/12397603/katalog/13126770#13126770</w:t>
        </w:r>
      </w:hyperlink>
      <w:r w:rsidRPr="00CD4ACE">
        <w:rPr>
          <w:rFonts w:ascii="Arial" w:hAnsi="Arial" w:cs="Arial"/>
        </w:rPr>
        <w:t xml:space="preserve"> </w:t>
      </w:r>
    </w:p>
    <w:p w14:paraId="72376FAC" w14:textId="77777777" w:rsidR="00C1367E" w:rsidRPr="00CD4ACE" w:rsidRDefault="00C1367E" w:rsidP="00CD4ACE">
      <w:pPr>
        <w:spacing w:after="0" w:line="288" w:lineRule="auto"/>
        <w:jc w:val="both"/>
        <w:rPr>
          <w:rFonts w:ascii="Arial" w:hAnsi="Arial" w:cs="Arial"/>
        </w:rPr>
      </w:pPr>
    </w:p>
    <w:p w14:paraId="23B2F6ED" w14:textId="29273845" w:rsidR="00C1367E" w:rsidRPr="00CD4ACE" w:rsidRDefault="00C1367E" w:rsidP="00CD4ACE">
      <w:pPr>
        <w:spacing w:after="0" w:line="288" w:lineRule="auto"/>
        <w:jc w:val="both"/>
        <w:rPr>
          <w:rFonts w:ascii="Arial" w:hAnsi="Arial" w:cs="Arial"/>
        </w:rPr>
      </w:pPr>
      <w:r w:rsidRPr="00CD4ACE">
        <w:rPr>
          <w:rFonts w:ascii="Arial" w:hAnsi="Arial" w:cs="Arial"/>
        </w:rPr>
        <w:t>Projekt jest obecnie jednocześnie na etapie uzgodnień, konsultacji publicznych i opiniowania.</w:t>
      </w:r>
    </w:p>
    <w:p w14:paraId="596CE679" w14:textId="77777777" w:rsidR="00C1367E" w:rsidRPr="00CD4ACE" w:rsidRDefault="00C1367E" w:rsidP="00CD4ACE">
      <w:pPr>
        <w:spacing w:after="0" w:line="288" w:lineRule="auto"/>
        <w:jc w:val="both"/>
        <w:rPr>
          <w:rFonts w:ascii="Arial" w:hAnsi="Arial" w:cs="Arial"/>
        </w:rPr>
      </w:pPr>
    </w:p>
    <w:p w14:paraId="2DE610D8" w14:textId="77777777" w:rsidR="00A30893" w:rsidRPr="00CD4ACE" w:rsidRDefault="00A30893" w:rsidP="00CD4ACE">
      <w:pPr>
        <w:spacing w:after="0" w:line="288" w:lineRule="auto"/>
        <w:jc w:val="both"/>
        <w:rPr>
          <w:rFonts w:ascii="Arial" w:hAnsi="Arial" w:cs="Arial"/>
        </w:rPr>
      </w:pPr>
      <w:r w:rsidRPr="00CD4ACE">
        <w:rPr>
          <w:rFonts w:ascii="Arial" w:hAnsi="Arial" w:cs="Arial"/>
        </w:rPr>
        <w:t>Projekty rozporządzeń:</w:t>
      </w:r>
    </w:p>
    <w:p w14:paraId="6F916171" w14:textId="77777777" w:rsidR="00C1367E" w:rsidRPr="00CD4ACE" w:rsidRDefault="00C1367E" w:rsidP="00CD4ACE">
      <w:pPr>
        <w:spacing w:after="0" w:line="288" w:lineRule="auto"/>
        <w:jc w:val="both"/>
        <w:rPr>
          <w:rFonts w:ascii="Arial" w:hAnsi="Arial" w:cs="Arial"/>
        </w:rPr>
      </w:pPr>
    </w:p>
    <w:p w14:paraId="6E210143" w14:textId="3B02E3C1" w:rsidR="00A30893" w:rsidRPr="00CD4ACE" w:rsidRDefault="00C1367E" w:rsidP="00CD4ACE">
      <w:pPr>
        <w:pStyle w:val="Akapitzlist"/>
        <w:spacing w:after="0" w:line="288" w:lineRule="auto"/>
        <w:jc w:val="both"/>
        <w:rPr>
          <w:rFonts w:ascii="Arial" w:hAnsi="Arial" w:cs="Arial"/>
          <w:b/>
          <w:bCs/>
          <w:u w:val="single"/>
        </w:rPr>
      </w:pPr>
      <w:r w:rsidRPr="00CD4ACE">
        <w:rPr>
          <w:rFonts w:ascii="Arial" w:hAnsi="Arial" w:cs="Arial"/>
          <w:b/>
          <w:bCs/>
          <w:u w:val="single"/>
        </w:rPr>
        <w:t>P</w:t>
      </w:r>
      <w:r w:rsidRPr="00CD4ACE">
        <w:rPr>
          <w:rFonts w:ascii="Arial" w:hAnsi="Arial" w:cs="Arial"/>
          <w:b/>
          <w:bCs/>
          <w:u w:val="single"/>
        </w:rPr>
        <w:t>rojekt rozporządzenia Ministra Klimatu i Środowiska zmieniającego rozporządzenie w sprawie dopuszczalnych poziomów hałasu w środowisku (numer z wykazu 1258).</w:t>
      </w:r>
    </w:p>
    <w:p w14:paraId="033A5C88" w14:textId="77777777" w:rsidR="00A30893" w:rsidRPr="00CD4ACE" w:rsidRDefault="00A30893" w:rsidP="00CD4ACE">
      <w:pPr>
        <w:spacing w:after="0" w:line="288" w:lineRule="auto"/>
        <w:jc w:val="both"/>
        <w:rPr>
          <w:rFonts w:ascii="Arial" w:hAnsi="Arial" w:cs="Arial"/>
        </w:rPr>
      </w:pPr>
    </w:p>
    <w:p w14:paraId="54BDF2B2" w14:textId="77777777" w:rsidR="00196ABC" w:rsidRPr="00CD4ACE" w:rsidRDefault="00196ABC" w:rsidP="00CD4ACE">
      <w:pPr>
        <w:spacing w:after="0" w:line="288" w:lineRule="auto"/>
        <w:jc w:val="both"/>
        <w:rPr>
          <w:rFonts w:ascii="Arial" w:hAnsi="Arial" w:cs="Arial"/>
        </w:rPr>
      </w:pPr>
      <w:r w:rsidRPr="00CD4ACE">
        <w:rPr>
          <w:rFonts w:ascii="Arial" w:hAnsi="Arial" w:cs="Arial"/>
        </w:rPr>
        <w:t xml:space="preserve">Projekt rozporządzenia stanowi wykonanie upoważnienia zawartego w art. 113 ust. 1 ustawy z dnia 27 kwietnia 2001 r. –  Prawo ochrony środowiska (ustawa POŚ). Zmiana rozporządzenia Ministra Środowiska z dnia 14 czerwca 2007 r. w sprawie dopuszczalnych poziomów hałasu w środowisku (Dz. U. 2014 r. poz. 112) związana jest z potrzebą doprecyzowania, że dopuszczalne poziomy hałasu określone dla pozostałych obiektów i działalności będącej źródłem hałasu nie mają zastosowania do powszechnego korzystania ze środowiska w tym boisk, kortów, bieżni, </w:t>
      </w:r>
      <w:proofErr w:type="spellStart"/>
      <w:r w:rsidRPr="00CD4ACE">
        <w:rPr>
          <w:rFonts w:ascii="Arial" w:hAnsi="Arial" w:cs="Arial"/>
        </w:rPr>
        <w:t>skateparków</w:t>
      </w:r>
      <w:proofErr w:type="spellEnd"/>
      <w:r w:rsidRPr="00CD4ACE">
        <w:rPr>
          <w:rFonts w:ascii="Arial" w:hAnsi="Arial" w:cs="Arial"/>
        </w:rPr>
        <w:t xml:space="preserve">, przeznaczonych do aktywności sportowej o charakterze szkolnym lub rekreacyjnym, w zakresie tej aktywności. Zgodnie z art. 2 ust. 2a ustawy POŚ, przepisów tej ustawy nie stosuje się w zakresie hałasu powstającego w związku z </w:t>
      </w:r>
      <w:r w:rsidRPr="00CD4ACE">
        <w:rPr>
          <w:rFonts w:ascii="Arial" w:hAnsi="Arial" w:cs="Arial"/>
        </w:rPr>
        <w:lastRenderedPageBreak/>
        <w:t>powszechnym korzystaniem ze środowiska. Natomiast powszechne korzystanie ze środowiska, na podstawie art. 4 ust. 1 ustawy POŚ, przysługuje z mocy ustawy każdemu i obejmuje korzystanie ze środowiska, bez użycia instalacji, w celu zaspokojenia potrzeb osobistych oraz gospodarstwa domowego, w tym wypoczynku oraz uprawiania sportu, w zakresie:</w:t>
      </w:r>
    </w:p>
    <w:p w14:paraId="161483B0" w14:textId="637CE047" w:rsidR="00196ABC" w:rsidRPr="00CD4ACE" w:rsidRDefault="00196ABC" w:rsidP="00CD4ACE">
      <w:pPr>
        <w:pStyle w:val="Akapitzlist"/>
        <w:numPr>
          <w:ilvl w:val="1"/>
          <w:numId w:val="16"/>
        </w:numPr>
        <w:spacing w:after="0" w:line="288" w:lineRule="auto"/>
        <w:ind w:left="709" w:hanging="425"/>
        <w:jc w:val="both"/>
        <w:rPr>
          <w:rFonts w:ascii="Arial" w:hAnsi="Arial" w:cs="Arial"/>
        </w:rPr>
      </w:pPr>
      <w:r w:rsidRPr="00CD4ACE">
        <w:rPr>
          <w:rFonts w:ascii="Arial" w:hAnsi="Arial" w:cs="Arial"/>
        </w:rPr>
        <w:t>wprowadzania do środowiska substancji lub energii;</w:t>
      </w:r>
    </w:p>
    <w:p w14:paraId="2C0CB56E" w14:textId="69A72721" w:rsidR="00196ABC" w:rsidRPr="00CD4ACE" w:rsidRDefault="00196ABC" w:rsidP="00CD4ACE">
      <w:pPr>
        <w:pStyle w:val="Akapitzlist"/>
        <w:numPr>
          <w:ilvl w:val="1"/>
          <w:numId w:val="16"/>
        </w:numPr>
        <w:spacing w:after="0" w:line="288" w:lineRule="auto"/>
        <w:ind w:left="709" w:hanging="425"/>
        <w:jc w:val="both"/>
        <w:rPr>
          <w:rFonts w:ascii="Arial" w:hAnsi="Arial" w:cs="Arial"/>
        </w:rPr>
      </w:pPr>
      <w:r w:rsidRPr="00CD4ACE">
        <w:rPr>
          <w:rFonts w:ascii="Arial" w:hAnsi="Arial" w:cs="Arial"/>
        </w:rPr>
        <w:t xml:space="preserve">innych niż wymienione w pkt 1 rodzajów powszechnego korzystania z wód w rozumieniu przepisów ustawy z dnia 20 lipca 2017 r. – Prawo wodne (Dz. U. z 2024 r. poz. 1087, z </w:t>
      </w:r>
      <w:proofErr w:type="spellStart"/>
      <w:r w:rsidRPr="00CD4ACE">
        <w:rPr>
          <w:rFonts w:ascii="Arial" w:hAnsi="Arial" w:cs="Arial"/>
        </w:rPr>
        <w:t>późn</w:t>
      </w:r>
      <w:proofErr w:type="spellEnd"/>
      <w:r w:rsidRPr="00CD4ACE">
        <w:rPr>
          <w:rFonts w:ascii="Arial" w:hAnsi="Arial" w:cs="Arial"/>
        </w:rPr>
        <w:t>. zm.).</w:t>
      </w:r>
    </w:p>
    <w:p w14:paraId="7E99032A" w14:textId="77777777" w:rsidR="00196ABC" w:rsidRPr="00CD4ACE" w:rsidRDefault="00196ABC" w:rsidP="00CD4ACE">
      <w:pPr>
        <w:spacing w:after="0" w:line="288" w:lineRule="auto"/>
        <w:jc w:val="both"/>
        <w:rPr>
          <w:rFonts w:ascii="Arial" w:hAnsi="Arial" w:cs="Arial"/>
        </w:rPr>
      </w:pPr>
      <w:r w:rsidRPr="00CD4ACE">
        <w:rPr>
          <w:rFonts w:ascii="Arial" w:hAnsi="Arial" w:cs="Arial"/>
        </w:rPr>
        <w:t xml:space="preserve">Celem projektowanego rozporządzenia jest doprecyzowanie przepisów, aby jednoznacznie wskazać, że wykorzystanie boisk, kortów, bieżni i </w:t>
      </w:r>
      <w:proofErr w:type="spellStart"/>
      <w:r w:rsidRPr="00CD4ACE">
        <w:rPr>
          <w:rFonts w:ascii="Arial" w:hAnsi="Arial" w:cs="Arial"/>
        </w:rPr>
        <w:t>skateparków</w:t>
      </w:r>
      <w:proofErr w:type="spellEnd"/>
      <w:r w:rsidRPr="00CD4ACE">
        <w:rPr>
          <w:rFonts w:ascii="Arial" w:hAnsi="Arial" w:cs="Arial"/>
        </w:rPr>
        <w:t xml:space="preserve"> do aktywności sportowej o charakterze szkolnym lub rekreacyjnym, w zakresie tej aktywności, ma charakter powszechnego korzystania ze środowiska.</w:t>
      </w:r>
    </w:p>
    <w:p w14:paraId="70FC842D" w14:textId="69BF6D7A" w:rsidR="00A30893" w:rsidRPr="00CD4ACE" w:rsidRDefault="00196ABC" w:rsidP="00CD4ACE">
      <w:pPr>
        <w:spacing w:after="0" w:line="288" w:lineRule="auto"/>
        <w:jc w:val="both"/>
        <w:rPr>
          <w:rFonts w:ascii="Arial" w:hAnsi="Arial" w:cs="Arial"/>
        </w:rPr>
      </w:pPr>
      <w:r w:rsidRPr="00CD4ACE">
        <w:rPr>
          <w:rFonts w:ascii="Arial" w:hAnsi="Arial" w:cs="Arial"/>
        </w:rPr>
        <w:t>Zaproponowana zmiana ma na celu promowanie kultury fizycznej w społeczeństwie i tym samym wpisuje się cel operacyjny: „Profilaktyka nadwagi i otyłości” zawarty w Narodowym Programie Zdrowia na lata 2021–2025 będącym załącznikiem do rozporządzenia Rady Ministrów z dnia 30 marca 2021 r. w sprawie Narodowego Programu Zdrowia na lata 2021–2025 (Dz. U. poz. 642)</w:t>
      </w:r>
      <w:r w:rsidRPr="00CD4ACE">
        <w:rPr>
          <w:rFonts w:ascii="Arial" w:hAnsi="Arial" w:cs="Arial"/>
        </w:rPr>
        <w:t>.</w:t>
      </w:r>
    </w:p>
    <w:p w14:paraId="43F4A3A2" w14:textId="77777777" w:rsidR="00196ABC" w:rsidRPr="00CD4ACE" w:rsidRDefault="00196ABC" w:rsidP="00CD4ACE">
      <w:pPr>
        <w:spacing w:after="0" w:line="288" w:lineRule="auto"/>
        <w:jc w:val="both"/>
        <w:rPr>
          <w:rFonts w:ascii="Arial" w:hAnsi="Arial" w:cs="Arial"/>
        </w:rPr>
      </w:pPr>
    </w:p>
    <w:p w14:paraId="4AB92025" w14:textId="77777777" w:rsidR="005C6BC2" w:rsidRPr="00CD4ACE" w:rsidRDefault="005C6BC2" w:rsidP="00CD4ACE">
      <w:pPr>
        <w:spacing w:after="0" w:line="288" w:lineRule="auto"/>
        <w:jc w:val="both"/>
        <w:rPr>
          <w:rFonts w:ascii="Arial" w:hAnsi="Arial" w:cs="Arial"/>
        </w:rPr>
      </w:pPr>
      <w:r w:rsidRPr="00CD4ACE">
        <w:rPr>
          <w:rFonts w:ascii="Arial" w:hAnsi="Arial" w:cs="Arial"/>
        </w:rPr>
        <w:t>Przedmiotowy projekt aktu prawnego wraz z Uzasadnieniem oraz Oceną Skutków Regulacji dostępny jest na stronach Rządowego Centrum Legislacji pod adresem:</w:t>
      </w:r>
    </w:p>
    <w:p w14:paraId="46B2F203" w14:textId="7BEBBFF9" w:rsidR="005C6BC2" w:rsidRPr="00CD4ACE" w:rsidRDefault="005C6BC2" w:rsidP="00CD4ACE">
      <w:pPr>
        <w:spacing w:after="0" w:line="288" w:lineRule="auto"/>
        <w:jc w:val="both"/>
        <w:rPr>
          <w:rFonts w:ascii="Arial" w:hAnsi="Arial" w:cs="Arial"/>
        </w:rPr>
      </w:pPr>
      <w:hyperlink r:id="rId14" w:history="1">
        <w:r w:rsidRPr="00CD4ACE">
          <w:rPr>
            <w:rStyle w:val="Hipercze"/>
            <w:rFonts w:ascii="Arial" w:hAnsi="Arial" w:cs="Arial"/>
          </w:rPr>
          <w:t>https://legislacja.rcl.gov.pl/</w:t>
        </w:r>
        <w:r w:rsidRPr="00CD4ACE">
          <w:rPr>
            <w:rStyle w:val="Hipercze"/>
            <w:rFonts w:ascii="Arial" w:hAnsi="Arial" w:cs="Arial"/>
          </w:rPr>
          <w:t>p</w:t>
        </w:r>
        <w:r w:rsidRPr="00CD4ACE">
          <w:rPr>
            <w:rStyle w:val="Hipercze"/>
            <w:rFonts w:ascii="Arial" w:hAnsi="Arial" w:cs="Arial"/>
          </w:rPr>
          <w:t>rojekt/12397403/katalog/13125941#13125941</w:t>
        </w:r>
      </w:hyperlink>
      <w:r w:rsidRPr="00CD4ACE">
        <w:rPr>
          <w:rFonts w:ascii="Arial" w:hAnsi="Arial" w:cs="Arial"/>
        </w:rPr>
        <w:t xml:space="preserve"> </w:t>
      </w:r>
    </w:p>
    <w:p w14:paraId="17CCFF3C" w14:textId="77777777" w:rsidR="005C6BC2" w:rsidRPr="00CD4ACE" w:rsidRDefault="005C6BC2" w:rsidP="00CD4ACE">
      <w:pPr>
        <w:spacing w:after="0" w:line="288" w:lineRule="auto"/>
        <w:jc w:val="both"/>
        <w:rPr>
          <w:rFonts w:ascii="Arial" w:hAnsi="Arial" w:cs="Arial"/>
        </w:rPr>
      </w:pPr>
    </w:p>
    <w:p w14:paraId="21E8823A" w14:textId="77777777" w:rsidR="005C6BC2" w:rsidRPr="00CD4ACE" w:rsidRDefault="005C6BC2" w:rsidP="00CD4ACE">
      <w:pPr>
        <w:spacing w:after="0" w:line="288" w:lineRule="auto"/>
        <w:jc w:val="both"/>
        <w:rPr>
          <w:rFonts w:ascii="Arial" w:hAnsi="Arial" w:cs="Arial"/>
        </w:rPr>
      </w:pPr>
      <w:r w:rsidRPr="00CD4ACE">
        <w:rPr>
          <w:rFonts w:ascii="Arial" w:hAnsi="Arial" w:cs="Arial"/>
        </w:rPr>
        <w:t>Projekt jest obecnie jednocześnie na etapie uzgodnień, konsultacji publicznych i opiniowania.</w:t>
      </w:r>
    </w:p>
    <w:p w14:paraId="772A686C" w14:textId="77777777" w:rsidR="005C6BC2" w:rsidRPr="00CD4ACE" w:rsidRDefault="005C6BC2" w:rsidP="00CD4ACE">
      <w:pPr>
        <w:spacing w:after="0" w:line="288" w:lineRule="auto"/>
        <w:jc w:val="both"/>
        <w:rPr>
          <w:rFonts w:ascii="Arial" w:hAnsi="Arial" w:cs="Arial"/>
        </w:rPr>
      </w:pPr>
    </w:p>
    <w:p w14:paraId="23F4866B" w14:textId="77777777" w:rsidR="005C6BC2" w:rsidRPr="00CD4ACE" w:rsidRDefault="005C6BC2" w:rsidP="00CD4ACE">
      <w:pPr>
        <w:spacing w:after="0" w:line="288" w:lineRule="auto"/>
        <w:jc w:val="both"/>
        <w:rPr>
          <w:rFonts w:ascii="Arial" w:hAnsi="Arial" w:cs="Arial"/>
        </w:rPr>
      </w:pPr>
    </w:p>
    <w:p w14:paraId="15B5406D" w14:textId="77777777" w:rsidR="005C6BC2" w:rsidRPr="00CD4ACE" w:rsidRDefault="005C6BC2" w:rsidP="00CD4ACE">
      <w:pPr>
        <w:spacing w:after="0" w:line="288" w:lineRule="auto"/>
        <w:jc w:val="both"/>
        <w:rPr>
          <w:rFonts w:ascii="Arial" w:hAnsi="Arial" w:cs="Arial"/>
          <w:b/>
          <w:bCs/>
        </w:rPr>
      </w:pPr>
      <w:r w:rsidRPr="00CD4ACE">
        <w:rPr>
          <w:rFonts w:ascii="Arial" w:hAnsi="Arial" w:cs="Arial"/>
          <w:b/>
          <w:bCs/>
        </w:rPr>
        <w:t>II. Stanowiska Związku Pracodawców Polska Miedź</w:t>
      </w:r>
    </w:p>
    <w:p w14:paraId="65755F1A" w14:textId="77777777" w:rsidR="005C6BC2" w:rsidRPr="00CD4ACE" w:rsidRDefault="005C6BC2" w:rsidP="00CD4ACE">
      <w:pPr>
        <w:spacing w:after="0" w:line="288" w:lineRule="auto"/>
        <w:jc w:val="both"/>
        <w:rPr>
          <w:rFonts w:ascii="Arial" w:hAnsi="Arial" w:cs="Arial"/>
        </w:rPr>
      </w:pPr>
    </w:p>
    <w:p w14:paraId="62CE498D" w14:textId="61A9B1E5" w:rsidR="005C6BC2" w:rsidRPr="00CD4ACE" w:rsidRDefault="005C6BC2" w:rsidP="00CD4ACE">
      <w:pPr>
        <w:spacing w:after="0" w:line="288" w:lineRule="auto"/>
        <w:jc w:val="both"/>
        <w:rPr>
          <w:rFonts w:ascii="Arial" w:hAnsi="Arial" w:cs="Arial"/>
        </w:rPr>
      </w:pPr>
      <w:r w:rsidRPr="00CD4ACE">
        <w:rPr>
          <w:rFonts w:ascii="Arial" w:hAnsi="Arial" w:cs="Arial"/>
        </w:rPr>
        <w:t xml:space="preserve">Na podstawie opinii i ekspertyz podmiotów członkowskich Związku Pracodawców Polska Miedź przygotowano </w:t>
      </w:r>
      <w:r w:rsidRPr="00CD4ACE">
        <w:rPr>
          <w:rFonts w:ascii="Arial" w:hAnsi="Arial" w:cs="Arial"/>
        </w:rPr>
        <w:t>jedno</w:t>
      </w:r>
      <w:r w:rsidRPr="00CD4ACE">
        <w:rPr>
          <w:rFonts w:ascii="Arial" w:hAnsi="Arial" w:cs="Arial"/>
        </w:rPr>
        <w:t xml:space="preserve"> stanowisk</w:t>
      </w:r>
      <w:r w:rsidRPr="00CD4ACE">
        <w:rPr>
          <w:rFonts w:ascii="Arial" w:hAnsi="Arial" w:cs="Arial"/>
        </w:rPr>
        <w:t>o</w:t>
      </w:r>
      <w:r w:rsidRPr="00CD4ACE">
        <w:rPr>
          <w:rFonts w:ascii="Arial" w:hAnsi="Arial" w:cs="Arial"/>
        </w:rPr>
        <w:t xml:space="preserve"> do opublikowanych projektów aktów prawnych oraz dokumentów strategicznych.</w:t>
      </w:r>
    </w:p>
    <w:p w14:paraId="1EE88FA6" w14:textId="77777777" w:rsidR="005C6BC2" w:rsidRPr="00CD4ACE" w:rsidRDefault="005C6BC2" w:rsidP="00CD4ACE">
      <w:pPr>
        <w:spacing w:after="0" w:line="288" w:lineRule="auto"/>
        <w:jc w:val="both"/>
        <w:rPr>
          <w:rFonts w:ascii="Arial" w:hAnsi="Arial" w:cs="Arial"/>
        </w:rPr>
      </w:pPr>
    </w:p>
    <w:p w14:paraId="5ADB9C95" w14:textId="5F402E42" w:rsidR="005C6BC2" w:rsidRPr="00CD4ACE" w:rsidRDefault="005C6BC2" w:rsidP="00CD4ACE">
      <w:pPr>
        <w:spacing w:after="0" w:line="288" w:lineRule="auto"/>
        <w:ind w:left="567"/>
        <w:jc w:val="both"/>
        <w:rPr>
          <w:rFonts w:ascii="Arial" w:hAnsi="Arial" w:cs="Arial"/>
          <w:b/>
          <w:bCs/>
          <w:u w:val="single"/>
        </w:rPr>
      </w:pPr>
      <w:r w:rsidRPr="00CD4ACE">
        <w:rPr>
          <w:rFonts w:ascii="Arial" w:hAnsi="Arial" w:cs="Arial"/>
          <w:b/>
          <w:bCs/>
          <w:u w:val="single"/>
        </w:rPr>
        <w:t xml:space="preserve">Stanowisko Związku Pracodawców Polska Miedź (uwagi Związku Pracodawców Polska Miedź) do projektu rozporządzenia Ministra </w:t>
      </w:r>
      <w:bookmarkStart w:id="0" w:name="_Hlk198200690"/>
      <w:r w:rsidRPr="00CD4ACE">
        <w:rPr>
          <w:rFonts w:ascii="Arial" w:hAnsi="Arial" w:cs="Arial"/>
          <w:b/>
          <w:bCs/>
          <w:u w:val="single"/>
        </w:rPr>
        <w:t xml:space="preserve">Klimatu i Środowiska </w:t>
      </w:r>
      <w:bookmarkEnd w:id="0"/>
      <w:r w:rsidRPr="00CD4ACE">
        <w:rPr>
          <w:rFonts w:ascii="Arial" w:hAnsi="Arial" w:cs="Arial"/>
          <w:b/>
          <w:bCs/>
          <w:u w:val="single"/>
        </w:rPr>
        <w:t xml:space="preserve">zmieniającego rozporządzenie w sprawie dopuszczalnych poziomów hałasu w środowisku. </w:t>
      </w:r>
    </w:p>
    <w:p w14:paraId="3612F2B2" w14:textId="77777777" w:rsidR="005C6BC2" w:rsidRPr="00CD4ACE" w:rsidRDefault="005C6BC2" w:rsidP="00CD4ACE">
      <w:pPr>
        <w:spacing w:after="0" w:line="288" w:lineRule="auto"/>
        <w:jc w:val="both"/>
        <w:rPr>
          <w:rFonts w:ascii="Arial" w:hAnsi="Arial" w:cs="Arial"/>
        </w:rPr>
      </w:pPr>
    </w:p>
    <w:p w14:paraId="0FF56617" w14:textId="31DAE778" w:rsidR="005C6BC2" w:rsidRPr="00CD4ACE" w:rsidRDefault="005C6BC2" w:rsidP="00CD4ACE">
      <w:pPr>
        <w:spacing w:after="0" w:line="288" w:lineRule="auto"/>
        <w:jc w:val="both"/>
        <w:rPr>
          <w:rFonts w:ascii="Arial" w:hAnsi="Arial" w:cs="Arial"/>
        </w:rPr>
      </w:pPr>
      <w:r w:rsidRPr="00CD4ACE">
        <w:rPr>
          <w:rFonts w:ascii="Arial" w:hAnsi="Arial" w:cs="Arial"/>
        </w:rPr>
        <w:t>Projekt z dnia 1</w:t>
      </w:r>
      <w:r w:rsidRPr="00CD4ACE">
        <w:rPr>
          <w:rFonts w:ascii="Arial" w:hAnsi="Arial" w:cs="Arial"/>
        </w:rPr>
        <w:t>7</w:t>
      </w:r>
      <w:r w:rsidRPr="00CD4ACE">
        <w:rPr>
          <w:rFonts w:ascii="Arial" w:hAnsi="Arial" w:cs="Arial"/>
        </w:rPr>
        <w:t xml:space="preserve">.04.2025 roku, opublikowany na stronie BIP Rządowego Centrum Legislacji w dniu </w:t>
      </w:r>
      <w:r w:rsidRPr="00CD4ACE">
        <w:rPr>
          <w:rFonts w:ascii="Arial" w:hAnsi="Arial" w:cs="Arial"/>
        </w:rPr>
        <w:t>5</w:t>
      </w:r>
      <w:r w:rsidRPr="00CD4ACE">
        <w:rPr>
          <w:rFonts w:ascii="Arial" w:hAnsi="Arial" w:cs="Arial"/>
        </w:rPr>
        <w:t>.0</w:t>
      </w:r>
      <w:r w:rsidRPr="00CD4ACE">
        <w:rPr>
          <w:rFonts w:ascii="Arial" w:hAnsi="Arial" w:cs="Arial"/>
        </w:rPr>
        <w:t>5</w:t>
      </w:r>
      <w:r w:rsidRPr="00CD4ACE">
        <w:rPr>
          <w:rFonts w:ascii="Arial" w:hAnsi="Arial" w:cs="Arial"/>
        </w:rPr>
        <w:t>.2025 roku. (nr</w:t>
      </w:r>
      <w:r w:rsidRPr="00CD4ACE">
        <w:rPr>
          <w:rFonts w:ascii="Arial" w:hAnsi="Arial" w:cs="Arial"/>
        </w:rPr>
        <w:t xml:space="preserve"> </w:t>
      </w:r>
      <w:r w:rsidRPr="00CD4ACE">
        <w:rPr>
          <w:rFonts w:ascii="Arial" w:hAnsi="Arial" w:cs="Arial"/>
        </w:rPr>
        <w:t>1</w:t>
      </w:r>
      <w:r w:rsidRPr="00CD4ACE">
        <w:rPr>
          <w:rFonts w:ascii="Arial" w:hAnsi="Arial" w:cs="Arial"/>
        </w:rPr>
        <w:t>2</w:t>
      </w:r>
      <w:r w:rsidRPr="00CD4ACE">
        <w:rPr>
          <w:rFonts w:ascii="Arial" w:hAnsi="Arial" w:cs="Arial"/>
        </w:rPr>
        <w:t>58 w Wykazie prac legislacyjnych i programowych Rady Ministrów).</w:t>
      </w:r>
    </w:p>
    <w:p w14:paraId="545A4883" w14:textId="77777777" w:rsidR="005C6BC2" w:rsidRPr="00CD4ACE" w:rsidRDefault="005C6BC2" w:rsidP="00CD4ACE">
      <w:pPr>
        <w:spacing w:after="0" w:line="288" w:lineRule="auto"/>
        <w:jc w:val="both"/>
        <w:rPr>
          <w:rFonts w:ascii="Arial" w:hAnsi="Arial" w:cs="Arial"/>
        </w:rPr>
      </w:pPr>
    </w:p>
    <w:p w14:paraId="765A731C" w14:textId="343B9731" w:rsidR="005C6BC2" w:rsidRPr="00CD4ACE" w:rsidRDefault="005C6BC2" w:rsidP="00CD4ACE">
      <w:pPr>
        <w:spacing w:after="0" w:line="288" w:lineRule="auto"/>
        <w:jc w:val="both"/>
        <w:rPr>
          <w:rFonts w:ascii="Arial" w:hAnsi="Arial" w:cs="Arial"/>
        </w:rPr>
      </w:pPr>
      <w:r w:rsidRPr="00CD4ACE">
        <w:rPr>
          <w:rFonts w:ascii="Arial" w:hAnsi="Arial" w:cs="Arial"/>
        </w:rPr>
        <w:t>Przedmiotowe stanowisko zostało przesłane do Ministerstwa Klimatu i Środowiska oraz reprezentatywnych organizacji pracodawców, z którymi Związek Pracodawców Polska Miedź współpracuje.</w:t>
      </w:r>
    </w:p>
    <w:p w14:paraId="035273B0" w14:textId="77777777" w:rsidR="00A30893" w:rsidRPr="00CD4ACE" w:rsidRDefault="00A30893" w:rsidP="00CD4ACE">
      <w:pPr>
        <w:spacing w:after="0" w:line="288" w:lineRule="auto"/>
        <w:jc w:val="both"/>
        <w:rPr>
          <w:rFonts w:ascii="Arial" w:hAnsi="Arial" w:cs="Arial"/>
          <w:bCs/>
        </w:rPr>
      </w:pPr>
    </w:p>
    <w:p w14:paraId="0D2CD625" w14:textId="77777777" w:rsidR="00A30893" w:rsidRPr="00CD4ACE" w:rsidRDefault="00A30893" w:rsidP="00CD4ACE">
      <w:pPr>
        <w:spacing w:after="0" w:line="288" w:lineRule="auto"/>
        <w:rPr>
          <w:rFonts w:ascii="Arial" w:hAnsi="Arial" w:cs="Arial"/>
        </w:rPr>
      </w:pPr>
    </w:p>
    <w:p w14:paraId="0C200D8F" w14:textId="61C0A9EF" w:rsidR="00A30893" w:rsidRPr="00CD4ACE" w:rsidRDefault="005C6BC2" w:rsidP="00CD4ACE">
      <w:pPr>
        <w:spacing w:after="0" w:line="288" w:lineRule="auto"/>
        <w:jc w:val="both"/>
        <w:rPr>
          <w:rFonts w:ascii="Arial" w:hAnsi="Arial" w:cs="Arial"/>
          <w:b/>
        </w:rPr>
      </w:pPr>
      <w:r w:rsidRPr="00CD4ACE">
        <w:rPr>
          <w:rFonts w:ascii="Arial" w:hAnsi="Arial" w:cs="Arial"/>
          <w:b/>
        </w:rPr>
        <w:lastRenderedPageBreak/>
        <w:t>I</w:t>
      </w:r>
      <w:r w:rsidR="00A30893" w:rsidRPr="00CD4ACE">
        <w:rPr>
          <w:rFonts w:ascii="Arial" w:hAnsi="Arial" w:cs="Arial"/>
          <w:b/>
        </w:rPr>
        <w:t>II. Ogłoszone akty prawne (Dziennik Ustaw RP)</w:t>
      </w:r>
    </w:p>
    <w:p w14:paraId="44B4CF54" w14:textId="77777777" w:rsidR="00A30893" w:rsidRPr="00CD4ACE" w:rsidRDefault="00A30893" w:rsidP="00CD4ACE">
      <w:pPr>
        <w:spacing w:after="0" w:line="288" w:lineRule="auto"/>
        <w:jc w:val="both"/>
        <w:rPr>
          <w:rFonts w:ascii="Arial" w:hAnsi="Arial" w:cs="Arial"/>
        </w:rPr>
      </w:pPr>
    </w:p>
    <w:p w14:paraId="6782906C" w14:textId="385645ED" w:rsidR="00A30893" w:rsidRPr="00CD4ACE" w:rsidRDefault="00A30893" w:rsidP="00CD4ACE">
      <w:pPr>
        <w:spacing w:after="0" w:line="288" w:lineRule="auto"/>
        <w:jc w:val="both"/>
        <w:rPr>
          <w:rFonts w:ascii="Arial" w:hAnsi="Arial" w:cs="Arial"/>
        </w:rPr>
      </w:pPr>
      <w:r w:rsidRPr="00CD4ACE">
        <w:rPr>
          <w:rFonts w:ascii="Arial" w:hAnsi="Arial" w:cs="Arial"/>
        </w:rPr>
        <w:t xml:space="preserve">W analizowanym okresie opublikowano </w:t>
      </w:r>
      <w:r w:rsidR="00B85AD0" w:rsidRPr="00CD4ACE">
        <w:rPr>
          <w:rFonts w:ascii="Arial" w:hAnsi="Arial" w:cs="Arial"/>
        </w:rPr>
        <w:t>34</w:t>
      </w:r>
      <w:r w:rsidRPr="00CD4ACE">
        <w:rPr>
          <w:rFonts w:ascii="Arial" w:hAnsi="Arial" w:cs="Arial"/>
        </w:rPr>
        <w:t xml:space="preserve"> akt</w:t>
      </w:r>
      <w:r w:rsidR="00B85AD0" w:rsidRPr="00CD4ACE">
        <w:rPr>
          <w:rFonts w:ascii="Arial" w:hAnsi="Arial" w:cs="Arial"/>
        </w:rPr>
        <w:t>y</w:t>
      </w:r>
      <w:r w:rsidRPr="00CD4ACE">
        <w:rPr>
          <w:rFonts w:ascii="Arial" w:hAnsi="Arial" w:cs="Arial"/>
        </w:rPr>
        <w:t xml:space="preserve"> prawn</w:t>
      </w:r>
      <w:r w:rsidR="00B85AD0" w:rsidRPr="00CD4ACE">
        <w:rPr>
          <w:rFonts w:ascii="Arial" w:hAnsi="Arial" w:cs="Arial"/>
        </w:rPr>
        <w:t>e</w:t>
      </w:r>
      <w:r w:rsidRPr="00CD4ACE">
        <w:rPr>
          <w:rFonts w:ascii="Arial" w:hAnsi="Arial" w:cs="Arial"/>
        </w:rPr>
        <w:t>, tzn. ustawy, rozporządzenia Rady Ministrów, Prezesa Rady Ministrów i poszczególnych ministrów, obwieszczenia w sprawie ogłoszenia tekstu jednolitego. Z powyższych publikacji w zainteresowaniu pracodawców i przedsiębiorców znaleźć się mogą następujące akty prawne:</w:t>
      </w:r>
    </w:p>
    <w:p w14:paraId="16EB806A" w14:textId="77777777" w:rsidR="00A30893" w:rsidRPr="00CD4ACE" w:rsidRDefault="00A30893" w:rsidP="00CD4ACE">
      <w:pPr>
        <w:spacing w:after="0" w:line="288" w:lineRule="auto"/>
        <w:jc w:val="both"/>
        <w:rPr>
          <w:rFonts w:ascii="Arial" w:hAnsi="Arial" w:cs="Arial"/>
        </w:rPr>
      </w:pPr>
    </w:p>
    <w:p w14:paraId="63AA1BAD" w14:textId="08247B01" w:rsidR="00A30893" w:rsidRPr="00CD4ACE" w:rsidRDefault="00B85AD0" w:rsidP="00CD4ACE">
      <w:pPr>
        <w:pStyle w:val="Akapitzlist"/>
        <w:spacing w:after="0" w:line="288" w:lineRule="auto"/>
        <w:ind w:left="426"/>
        <w:jc w:val="both"/>
        <w:rPr>
          <w:rFonts w:ascii="Arial" w:hAnsi="Arial" w:cs="Arial"/>
          <w:b/>
          <w:bCs/>
          <w:u w:val="single"/>
        </w:rPr>
      </w:pPr>
      <w:r w:rsidRPr="00CD4ACE">
        <w:rPr>
          <w:rFonts w:ascii="Arial" w:hAnsi="Arial" w:cs="Arial"/>
          <w:b/>
          <w:bCs/>
          <w:u w:val="single"/>
        </w:rPr>
        <w:t>Rozporządzenie Ministra Klimatu i Środowiska z dnia 24 kwietnia 2025 r. w sprawie funkcjonowania Bazy danych o produktach i opakowaniach oraz o gospodarce odpadami</w:t>
      </w:r>
      <w:r w:rsidRPr="00CD4ACE">
        <w:rPr>
          <w:rFonts w:ascii="Arial" w:hAnsi="Arial" w:cs="Arial"/>
          <w:b/>
          <w:bCs/>
          <w:u w:val="single"/>
        </w:rPr>
        <w:t>.</w:t>
      </w:r>
    </w:p>
    <w:p w14:paraId="3AAA336F" w14:textId="77777777" w:rsidR="00B85AD0" w:rsidRPr="00CD4ACE" w:rsidRDefault="00B85AD0" w:rsidP="00CD4ACE">
      <w:pPr>
        <w:spacing w:after="0" w:line="288" w:lineRule="auto"/>
        <w:jc w:val="both"/>
        <w:rPr>
          <w:rFonts w:ascii="Arial" w:eastAsia="Times New Roman" w:hAnsi="Arial" w:cs="Arial"/>
          <w:lang w:eastAsia="pl-PL"/>
        </w:rPr>
      </w:pPr>
    </w:p>
    <w:p w14:paraId="0FF4AC65" w14:textId="077C5EDE" w:rsidR="00A30893" w:rsidRPr="00CD4ACE" w:rsidRDefault="00A30893" w:rsidP="00CD4ACE">
      <w:pPr>
        <w:spacing w:after="0" w:line="288" w:lineRule="auto"/>
        <w:jc w:val="both"/>
        <w:rPr>
          <w:rFonts w:ascii="Arial" w:eastAsia="Times New Roman" w:hAnsi="Arial" w:cs="Arial"/>
          <w:lang w:eastAsia="pl-PL"/>
        </w:rPr>
      </w:pPr>
      <w:r w:rsidRPr="00CD4ACE">
        <w:rPr>
          <w:rFonts w:ascii="Arial" w:eastAsia="Times New Roman" w:hAnsi="Arial" w:cs="Arial"/>
          <w:lang w:eastAsia="pl-PL"/>
        </w:rPr>
        <w:t xml:space="preserve">Powyższy akt prawny opublikowany został </w:t>
      </w:r>
      <w:r w:rsidR="00B85AD0" w:rsidRPr="00CD4ACE">
        <w:rPr>
          <w:rFonts w:ascii="Arial" w:eastAsia="Times New Roman" w:hAnsi="Arial" w:cs="Arial"/>
          <w:lang w:eastAsia="pl-PL"/>
        </w:rPr>
        <w:t>5 maja</w:t>
      </w:r>
      <w:r w:rsidRPr="00CD4ACE">
        <w:rPr>
          <w:rFonts w:ascii="Arial" w:eastAsia="Times New Roman" w:hAnsi="Arial" w:cs="Arial"/>
          <w:lang w:eastAsia="pl-PL"/>
        </w:rPr>
        <w:t xml:space="preserve"> 20</w:t>
      </w:r>
      <w:r w:rsidR="00B85AD0" w:rsidRPr="00CD4ACE">
        <w:rPr>
          <w:rFonts w:ascii="Arial" w:eastAsia="Times New Roman" w:hAnsi="Arial" w:cs="Arial"/>
          <w:lang w:eastAsia="pl-PL"/>
        </w:rPr>
        <w:t>25</w:t>
      </w:r>
      <w:r w:rsidRPr="00CD4ACE">
        <w:rPr>
          <w:rFonts w:ascii="Arial" w:eastAsia="Times New Roman" w:hAnsi="Arial" w:cs="Arial"/>
          <w:lang w:eastAsia="pl-PL"/>
        </w:rPr>
        <w:t xml:space="preserve"> roku w Dzienniku Ustaw (Dz.U. z 202</w:t>
      </w:r>
      <w:r w:rsidR="00B85AD0" w:rsidRPr="00CD4ACE">
        <w:rPr>
          <w:rFonts w:ascii="Arial" w:eastAsia="Times New Roman" w:hAnsi="Arial" w:cs="Arial"/>
          <w:lang w:eastAsia="pl-PL"/>
        </w:rPr>
        <w:t>5</w:t>
      </w:r>
      <w:r w:rsidRPr="00CD4ACE">
        <w:rPr>
          <w:rFonts w:ascii="Arial" w:eastAsia="Times New Roman" w:hAnsi="Arial" w:cs="Arial"/>
          <w:lang w:eastAsia="pl-PL"/>
        </w:rPr>
        <w:t xml:space="preserve">, poz. </w:t>
      </w:r>
      <w:r w:rsidR="00B85AD0" w:rsidRPr="00CD4ACE">
        <w:rPr>
          <w:rFonts w:ascii="Arial" w:eastAsia="Times New Roman" w:hAnsi="Arial" w:cs="Arial"/>
          <w:lang w:eastAsia="pl-PL"/>
        </w:rPr>
        <w:t>585</w:t>
      </w:r>
      <w:r w:rsidRPr="00CD4ACE">
        <w:rPr>
          <w:rFonts w:ascii="Arial" w:eastAsia="Times New Roman" w:hAnsi="Arial" w:cs="Arial"/>
          <w:lang w:eastAsia="pl-PL"/>
        </w:rPr>
        <w:t>).</w:t>
      </w:r>
    </w:p>
    <w:p w14:paraId="6B1E2DEE" w14:textId="77777777" w:rsidR="00B85AD0" w:rsidRPr="00CD4ACE" w:rsidRDefault="00B85AD0" w:rsidP="00CD4ACE">
      <w:pPr>
        <w:spacing w:after="0" w:line="288" w:lineRule="auto"/>
        <w:jc w:val="both"/>
        <w:rPr>
          <w:rFonts w:ascii="Arial" w:eastAsia="Times New Roman" w:hAnsi="Arial" w:cs="Arial"/>
          <w:lang w:eastAsia="pl-PL"/>
        </w:rPr>
      </w:pPr>
    </w:p>
    <w:p w14:paraId="718BCB5E" w14:textId="77777777" w:rsidR="00DC1628" w:rsidRPr="00CD4ACE" w:rsidRDefault="00DC1628" w:rsidP="00CD4ACE">
      <w:pPr>
        <w:spacing w:after="0" w:line="288" w:lineRule="auto"/>
        <w:jc w:val="both"/>
        <w:rPr>
          <w:rFonts w:ascii="Arial" w:eastAsia="Times New Roman" w:hAnsi="Arial" w:cs="Arial"/>
          <w:lang w:eastAsia="pl-PL"/>
        </w:rPr>
      </w:pPr>
      <w:r w:rsidRPr="00CD4ACE">
        <w:rPr>
          <w:rFonts w:ascii="Arial" w:eastAsia="Times New Roman" w:hAnsi="Arial" w:cs="Arial"/>
          <w:lang w:eastAsia="pl-PL"/>
        </w:rPr>
        <w:t xml:space="preserve">Rozporządzenie określa: </w:t>
      </w:r>
    </w:p>
    <w:p w14:paraId="4A1E8C22" w14:textId="5710B621" w:rsidR="00DC1628" w:rsidRPr="00CD4ACE" w:rsidRDefault="00DC1628" w:rsidP="00CD4ACE">
      <w:pPr>
        <w:pStyle w:val="Akapitzlist"/>
        <w:numPr>
          <w:ilvl w:val="1"/>
          <w:numId w:val="18"/>
        </w:numPr>
        <w:spacing w:after="0" w:line="288" w:lineRule="auto"/>
        <w:ind w:left="567" w:hanging="283"/>
        <w:jc w:val="both"/>
        <w:rPr>
          <w:rFonts w:ascii="Arial" w:eastAsia="Times New Roman" w:hAnsi="Arial" w:cs="Arial"/>
          <w:lang w:eastAsia="pl-PL"/>
        </w:rPr>
      </w:pPr>
      <w:r w:rsidRPr="00CD4ACE">
        <w:rPr>
          <w:rFonts w:ascii="Arial" w:eastAsia="Times New Roman" w:hAnsi="Arial" w:cs="Arial"/>
          <w:lang w:eastAsia="pl-PL"/>
        </w:rPr>
        <w:t xml:space="preserve">adres strony internetowej rejestru podmiotów, o którym mowa w art. 49 ust. 1 ustawy z dnia 14 grudnia 2012 r. o odpadach, zwanego dalej „rejestrem”, umożliwiającej dostęp do indywidulanego konta w Bazie danych o produktach i opakowaniach oraz o gospodarce odpadami, zwanej dalej „BDO”; </w:t>
      </w:r>
    </w:p>
    <w:p w14:paraId="4F9A8B6D" w14:textId="26E22A45" w:rsidR="00DC1628" w:rsidRPr="00CD4ACE" w:rsidRDefault="00DC1628" w:rsidP="00CD4ACE">
      <w:pPr>
        <w:pStyle w:val="Akapitzlist"/>
        <w:numPr>
          <w:ilvl w:val="1"/>
          <w:numId w:val="18"/>
        </w:numPr>
        <w:spacing w:after="0" w:line="288" w:lineRule="auto"/>
        <w:ind w:left="567" w:hanging="283"/>
        <w:jc w:val="both"/>
        <w:rPr>
          <w:rFonts w:ascii="Arial" w:eastAsia="Times New Roman" w:hAnsi="Arial" w:cs="Arial"/>
          <w:lang w:eastAsia="pl-PL"/>
        </w:rPr>
      </w:pPr>
      <w:r w:rsidRPr="00CD4ACE">
        <w:rPr>
          <w:rFonts w:ascii="Arial" w:eastAsia="Times New Roman" w:hAnsi="Arial" w:cs="Arial"/>
          <w:lang w:eastAsia="pl-PL"/>
        </w:rPr>
        <w:t xml:space="preserve">zakres uprawnień dla poszczególnych użytkowników, o których mowa w art. 83 ust. 1 ustawy z dnia 14 grudnia 2012 r. o odpadach. </w:t>
      </w:r>
    </w:p>
    <w:p w14:paraId="199919FD" w14:textId="2A7D7A56" w:rsidR="00DC1628" w:rsidRPr="00CD4ACE" w:rsidRDefault="00DC1628" w:rsidP="00CD4ACE">
      <w:pPr>
        <w:spacing w:after="0" w:line="288" w:lineRule="auto"/>
        <w:jc w:val="both"/>
        <w:rPr>
          <w:rFonts w:ascii="Arial" w:eastAsia="Times New Roman" w:hAnsi="Arial" w:cs="Arial"/>
          <w:lang w:eastAsia="pl-PL"/>
        </w:rPr>
      </w:pPr>
      <w:r w:rsidRPr="00CD4ACE">
        <w:rPr>
          <w:rFonts w:ascii="Arial" w:eastAsia="Times New Roman" w:hAnsi="Arial" w:cs="Arial"/>
          <w:lang w:eastAsia="pl-PL"/>
        </w:rPr>
        <w:t>R</w:t>
      </w:r>
      <w:r w:rsidRPr="00CD4ACE">
        <w:rPr>
          <w:rFonts w:ascii="Arial" w:eastAsia="Times New Roman" w:hAnsi="Arial" w:cs="Arial"/>
          <w:lang w:eastAsia="pl-PL"/>
        </w:rPr>
        <w:t>ejestr umożliwiając</w:t>
      </w:r>
      <w:r w:rsidRPr="00CD4ACE">
        <w:rPr>
          <w:rFonts w:ascii="Arial" w:eastAsia="Times New Roman" w:hAnsi="Arial" w:cs="Arial"/>
          <w:lang w:eastAsia="pl-PL"/>
        </w:rPr>
        <w:t>y</w:t>
      </w:r>
      <w:r w:rsidRPr="00CD4ACE">
        <w:rPr>
          <w:rFonts w:ascii="Arial" w:eastAsia="Times New Roman" w:hAnsi="Arial" w:cs="Arial"/>
          <w:lang w:eastAsia="pl-PL"/>
        </w:rPr>
        <w:t xml:space="preserve"> dostęp do indywidualnego konta w BDO</w:t>
      </w:r>
      <w:r w:rsidRPr="00CD4ACE">
        <w:rPr>
          <w:rFonts w:ascii="Arial" w:eastAsia="Times New Roman" w:hAnsi="Arial" w:cs="Arial"/>
          <w:lang w:eastAsia="pl-PL"/>
        </w:rPr>
        <w:t xml:space="preserve"> otrzymuje następujący adres strony internetowej</w:t>
      </w:r>
      <w:r w:rsidRPr="00CD4ACE">
        <w:rPr>
          <w:rFonts w:ascii="Arial" w:eastAsia="Times New Roman" w:hAnsi="Arial" w:cs="Arial"/>
          <w:lang w:eastAsia="pl-PL"/>
        </w:rPr>
        <w:t xml:space="preserve">: </w:t>
      </w:r>
      <w:hyperlink r:id="rId15" w:history="1">
        <w:r w:rsidRPr="00CD4ACE">
          <w:rPr>
            <w:rStyle w:val="Hipercze"/>
            <w:rFonts w:ascii="Arial" w:eastAsia="Times New Roman" w:hAnsi="Arial" w:cs="Arial"/>
            <w:lang w:eastAsia="pl-PL"/>
          </w:rPr>
          <w:t>www.bdo.mos.gov.pl</w:t>
        </w:r>
      </w:hyperlink>
      <w:r w:rsidRPr="00CD4ACE">
        <w:rPr>
          <w:rFonts w:ascii="Arial" w:eastAsia="Times New Roman" w:hAnsi="Arial" w:cs="Arial"/>
          <w:lang w:eastAsia="pl-PL"/>
        </w:rPr>
        <w:t xml:space="preserve">. </w:t>
      </w:r>
    </w:p>
    <w:p w14:paraId="38864B6D" w14:textId="60DF146D" w:rsidR="00A30893" w:rsidRPr="00CD4ACE" w:rsidRDefault="00DC1628" w:rsidP="00CD4ACE">
      <w:pPr>
        <w:spacing w:after="0" w:line="288" w:lineRule="auto"/>
        <w:jc w:val="both"/>
        <w:rPr>
          <w:rFonts w:ascii="Arial" w:eastAsia="Times New Roman" w:hAnsi="Arial" w:cs="Arial"/>
          <w:lang w:eastAsia="pl-PL"/>
        </w:rPr>
      </w:pPr>
      <w:r w:rsidRPr="00CD4ACE">
        <w:rPr>
          <w:rFonts w:ascii="Arial" w:eastAsia="Times New Roman" w:hAnsi="Arial" w:cs="Arial"/>
          <w:lang w:eastAsia="pl-PL"/>
        </w:rPr>
        <w:t>Zakres uprawnień dla poszczególnych użytkowników, o których mowa w art. 83 ust. 1 ustawy z dnia 14 grudnia 2012 r. o odpadach, określa załącznik do rozporządzenia.</w:t>
      </w:r>
    </w:p>
    <w:p w14:paraId="2F37B9D3" w14:textId="77777777" w:rsidR="00B85AD0" w:rsidRPr="00CD4ACE" w:rsidRDefault="00B85AD0" w:rsidP="00CD4ACE">
      <w:pPr>
        <w:spacing w:after="0" w:line="288" w:lineRule="auto"/>
        <w:jc w:val="both"/>
        <w:rPr>
          <w:rStyle w:val="markedcontent"/>
          <w:rFonts w:ascii="Arial" w:hAnsi="Arial" w:cs="Arial"/>
        </w:rPr>
      </w:pPr>
    </w:p>
    <w:p w14:paraId="130858EF" w14:textId="04CCD212" w:rsidR="00A30893" w:rsidRPr="00CD4ACE" w:rsidRDefault="00A30893" w:rsidP="00CD4ACE">
      <w:pPr>
        <w:spacing w:after="0" w:line="288" w:lineRule="auto"/>
        <w:jc w:val="both"/>
        <w:rPr>
          <w:rFonts w:ascii="Arial" w:eastAsia="Times New Roman" w:hAnsi="Arial" w:cs="Arial"/>
          <w:lang w:eastAsia="pl-PL"/>
        </w:rPr>
      </w:pPr>
      <w:r w:rsidRPr="00CD4ACE">
        <w:rPr>
          <w:rStyle w:val="markedcontent"/>
          <w:rFonts w:ascii="Arial" w:hAnsi="Arial" w:cs="Arial"/>
        </w:rPr>
        <w:t xml:space="preserve">Rozporządzenie wchodzi w życie </w:t>
      </w:r>
      <w:r w:rsidR="00DC1628" w:rsidRPr="00CD4ACE">
        <w:rPr>
          <w:rStyle w:val="markedcontent"/>
          <w:rFonts w:ascii="Arial" w:hAnsi="Arial" w:cs="Arial"/>
        </w:rPr>
        <w:t xml:space="preserve">z dniem </w:t>
      </w:r>
      <w:r w:rsidR="00DC1628" w:rsidRPr="00CD4ACE">
        <w:rPr>
          <w:rStyle w:val="markedcontent"/>
          <w:rFonts w:ascii="Arial" w:hAnsi="Arial" w:cs="Arial"/>
        </w:rPr>
        <w:t>następującym po dniu ogłoszenia</w:t>
      </w:r>
      <w:r w:rsidR="00DC1628" w:rsidRPr="00CD4ACE">
        <w:rPr>
          <w:rStyle w:val="markedcontent"/>
          <w:rFonts w:ascii="Arial" w:hAnsi="Arial" w:cs="Arial"/>
        </w:rPr>
        <w:t xml:space="preserve">, tj. 6 maja </w:t>
      </w:r>
      <w:r w:rsidRPr="00CD4ACE">
        <w:rPr>
          <w:rStyle w:val="markedcontent"/>
          <w:rFonts w:ascii="Arial" w:hAnsi="Arial" w:cs="Arial"/>
        </w:rPr>
        <w:t>202</w:t>
      </w:r>
      <w:r w:rsidR="00DC1628" w:rsidRPr="00CD4ACE">
        <w:rPr>
          <w:rStyle w:val="markedcontent"/>
          <w:rFonts w:ascii="Arial" w:hAnsi="Arial" w:cs="Arial"/>
        </w:rPr>
        <w:t>5</w:t>
      </w:r>
      <w:r w:rsidRPr="00CD4ACE">
        <w:rPr>
          <w:rStyle w:val="markedcontent"/>
          <w:rFonts w:ascii="Arial" w:hAnsi="Arial" w:cs="Arial"/>
        </w:rPr>
        <w:t xml:space="preserve"> roku.</w:t>
      </w:r>
    </w:p>
    <w:p w14:paraId="461F6D13" w14:textId="77777777" w:rsidR="00516DFD" w:rsidRPr="00CD4ACE" w:rsidRDefault="00516DFD" w:rsidP="00CD4ACE">
      <w:pPr>
        <w:spacing w:after="0" w:line="288" w:lineRule="auto"/>
        <w:rPr>
          <w:rFonts w:ascii="Arial" w:hAnsi="Arial" w:cs="Arial"/>
        </w:rPr>
      </w:pPr>
    </w:p>
    <w:sectPr w:rsidR="00516DFD" w:rsidRPr="00CD4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F1F"/>
    <w:multiLevelType w:val="hybridMultilevel"/>
    <w:tmpl w:val="32A66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743CD"/>
    <w:multiLevelType w:val="hybridMultilevel"/>
    <w:tmpl w:val="96407F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765B6"/>
    <w:multiLevelType w:val="hybridMultilevel"/>
    <w:tmpl w:val="75247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8409A8"/>
    <w:multiLevelType w:val="hybridMultilevel"/>
    <w:tmpl w:val="74068B72"/>
    <w:lvl w:ilvl="0" w:tplc="5C3A889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076E7E"/>
    <w:multiLevelType w:val="hybridMultilevel"/>
    <w:tmpl w:val="10F87E5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0D6A90"/>
    <w:multiLevelType w:val="hybridMultilevel"/>
    <w:tmpl w:val="EAC2D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C303B6"/>
    <w:multiLevelType w:val="hybridMultilevel"/>
    <w:tmpl w:val="5DEC9090"/>
    <w:lvl w:ilvl="0" w:tplc="6144D32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454AD4"/>
    <w:multiLevelType w:val="hybridMultilevel"/>
    <w:tmpl w:val="C966C0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B77549"/>
    <w:multiLevelType w:val="hybridMultilevel"/>
    <w:tmpl w:val="07AA731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3CC6223"/>
    <w:multiLevelType w:val="hybridMultilevel"/>
    <w:tmpl w:val="322AD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693C12"/>
    <w:multiLevelType w:val="hybridMultilevel"/>
    <w:tmpl w:val="46CA4040"/>
    <w:lvl w:ilvl="0" w:tplc="9FA4FB0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3F60D6"/>
    <w:multiLevelType w:val="hybridMultilevel"/>
    <w:tmpl w:val="44DE6CC8"/>
    <w:lvl w:ilvl="0" w:tplc="33E09D3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6A7967"/>
    <w:multiLevelType w:val="hybridMultilevel"/>
    <w:tmpl w:val="ED5EE120"/>
    <w:lvl w:ilvl="0" w:tplc="0415000F">
      <w:start w:val="1"/>
      <w:numFmt w:val="decimal"/>
      <w:lvlText w:val="%1."/>
      <w:lvlJc w:val="left"/>
      <w:pPr>
        <w:ind w:left="720" w:hanging="360"/>
      </w:pPr>
    </w:lvl>
    <w:lvl w:ilvl="1" w:tplc="0C2066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9027726">
    <w:abstractNumId w:val="4"/>
  </w:num>
  <w:num w:numId="2" w16cid:durableId="3118319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3"/>
  </w:num>
  <w:num w:numId="4" w16cid:durableId="5788216">
    <w:abstractNumId w:val="12"/>
  </w:num>
  <w:num w:numId="5" w16cid:durableId="1820147117">
    <w:abstractNumId w:val="9"/>
  </w:num>
  <w:num w:numId="6" w16cid:durableId="753670285">
    <w:abstractNumId w:val="1"/>
  </w:num>
  <w:num w:numId="7" w16cid:durableId="2069305585">
    <w:abstractNumId w:val="2"/>
  </w:num>
  <w:num w:numId="8" w16cid:durableId="1176305807">
    <w:abstractNumId w:val="5"/>
  </w:num>
  <w:num w:numId="9" w16cid:durableId="455415443">
    <w:abstractNumId w:val="7"/>
  </w:num>
  <w:num w:numId="10" w16cid:durableId="2064061267">
    <w:abstractNumId w:val="16"/>
  </w:num>
  <w:num w:numId="11" w16cid:durableId="2053571256">
    <w:abstractNumId w:val="17"/>
  </w:num>
  <w:num w:numId="12" w16cid:durableId="1504054153">
    <w:abstractNumId w:val="8"/>
  </w:num>
  <w:num w:numId="13" w16cid:durableId="1658804836">
    <w:abstractNumId w:val="0"/>
  </w:num>
  <w:num w:numId="14" w16cid:durableId="198782653">
    <w:abstractNumId w:val="15"/>
  </w:num>
  <w:num w:numId="15" w16cid:durableId="519661730">
    <w:abstractNumId w:val="14"/>
  </w:num>
  <w:num w:numId="16" w16cid:durableId="453443860">
    <w:abstractNumId w:val="6"/>
  </w:num>
  <w:num w:numId="17" w16cid:durableId="1242837153">
    <w:abstractNumId w:val="10"/>
  </w:num>
  <w:num w:numId="18" w16cid:durableId="1400396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93"/>
    <w:rsid w:val="00196ABC"/>
    <w:rsid w:val="003403A9"/>
    <w:rsid w:val="004C14A8"/>
    <w:rsid w:val="004F1BFA"/>
    <w:rsid w:val="00516DFD"/>
    <w:rsid w:val="005C6BC2"/>
    <w:rsid w:val="005E4E75"/>
    <w:rsid w:val="00701E4E"/>
    <w:rsid w:val="0077569E"/>
    <w:rsid w:val="007B3A81"/>
    <w:rsid w:val="009A45C6"/>
    <w:rsid w:val="00A30893"/>
    <w:rsid w:val="00B616CA"/>
    <w:rsid w:val="00B85AD0"/>
    <w:rsid w:val="00C1367E"/>
    <w:rsid w:val="00CD4ACE"/>
    <w:rsid w:val="00DC1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9FDB"/>
  <w15:chartTrackingRefBased/>
  <w15:docId w15:val="{EB094B04-92CB-46BE-9177-569F60E4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893"/>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A30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30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3089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3089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3089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3089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3089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3089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3089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089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3089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3089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3089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3089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3089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3089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3089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30893"/>
    <w:rPr>
      <w:rFonts w:eastAsiaTheme="majorEastAsia" w:cstheme="majorBidi"/>
      <w:color w:val="272727" w:themeColor="text1" w:themeTint="D8"/>
    </w:rPr>
  </w:style>
  <w:style w:type="paragraph" w:styleId="Tytu">
    <w:name w:val="Title"/>
    <w:basedOn w:val="Normalny"/>
    <w:next w:val="Normalny"/>
    <w:link w:val="TytuZnak"/>
    <w:uiPriority w:val="10"/>
    <w:qFormat/>
    <w:rsid w:val="00A30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3089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3089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3089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30893"/>
    <w:pPr>
      <w:spacing w:before="160"/>
      <w:jc w:val="center"/>
    </w:pPr>
    <w:rPr>
      <w:i/>
      <w:iCs/>
      <w:color w:val="404040" w:themeColor="text1" w:themeTint="BF"/>
    </w:rPr>
  </w:style>
  <w:style w:type="character" w:customStyle="1" w:styleId="CytatZnak">
    <w:name w:val="Cytat Znak"/>
    <w:basedOn w:val="Domylnaczcionkaakapitu"/>
    <w:link w:val="Cytat"/>
    <w:uiPriority w:val="29"/>
    <w:rsid w:val="00A30893"/>
    <w:rPr>
      <w:i/>
      <w:iCs/>
      <w:color w:val="404040" w:themeColor="text1" w:themeTint="BF"/>
    </w:rPr>
  </w:style>
  <w:style w:type="paragraph" w:styleId="Akapitzlist">
    <w:name w:val="List Paragraph"/>
    <w:basedOn w:val="Normalny"/>
    <w:uiPriority w:val="34"/>
    <w:qFormat/>
    <w:rsid w:val="00A30893"/>
    <w:pPr>
      <w:ind w:left="720"/>
      <w:contextualSpacing/>
    </w:pPr>
  </w:style>
  <w:style w:type="character" w:styleId="Wyrnienieintensywne">
    <w:name w:val="Intense Emphasis"/>
    <w:basedOn w:val="Domylnaczcionkaakapitu"/>
    <w:uiPriority w:val="21"/>
    <w:qFormat/>
    <w:rsid w:val="00A30893"/>
    <w:rPr>
      <w:i/>
      <w:iCs/>
      <w:color w:val="0F4761" w:themeColor="accent1" w:themeShade="BF"/>
    </w:rPr>
  </w:style>
  <w:style w:type="paragraph" w:styleId="Cytatintensywny">
    <w:name w:val="Intense Quote"/>
    <w:basedOn w:val="Normalny"/>
    <w:next w:val="Normalny"/>
    <w:link w:val="CytatintensywnyZnak"/>
    <w:uiPriority w:val="30"/>
    <w:qFormat/>
    <w:rsid w:val="00A30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30893"/>
    <w:rPr>
      <w:i/>
      <w:iCs/>
      <w:color w:val="0F4761" w:themeColor="accent1" w:themeShade="BF"/>
    </w:rPr>
  </w:style>
  <w:style w:type="character" w:styleId="Odwoanieintensywne">
    <w:name w:val="Intense Reference"/>
    <w:basedOn w:val="Domylnaczcionkaakapitu"/>
    <w:uiPriority w:val="32"/>
    <w:qFormat/>
    <w:rsid w:val="00A30893"/>
    <w:rPr>
      <w:b/>
      <w:bCs/>
      <w:smallCaps/>
      <w:color w:val="0F4761" w:themeColor="accent1" w:themeShade="BF"/>
      <w:spacing w:val="5"/>
    </w:rPr>
  </w:style>
  <w:style w:type="character" w:customStyle="1" w:styleId="markedcontent">
    <w:name w:val="markedcontent"/>
    <w:basedOn w:val="Domylnaczcionkaakapitu"/>
    <w:rsid w:val="00A30893"/>
  </w:style>
  <w:style w:type="character" w:styleId="Hipercze">
    <w:name w:val="Hyperlink"/>
    <w:basedOn w:val="Domylnaczcionkaakapitu"/>
    <w:uiPriority w:val="99"/>
    <w:unhideWhenUsed/>
    <w:rsid w:val="004C14A8"/>
    <w:rPr>
      <w:color w:val="467886" w:themeColor="hyperlink"/>
      <w:u w:val="single"/>
    </w:rPr>
  </w:style>
  <w:style w:type="character" w:styleId="Nierozpoznanawzmianka">
    <w:name w:val="Unresolved Mention"/>
    <w:basedOn w:val="Domylnaczcionkaakapitu"/>
    <w:uiPriority w:val="99"/>
    <w:semiHidden/>
    <w:unhideWhenUsed/>
    <w:rsid w:val="004C14A8"/>
    <w:rPr>
      <w:color w:val="605E5C"/>
      <w:shd w:val="clear" w:color="auto" w:fill="E1DFDD"/>
    </w:rPr>
  </w:style>
  <w:style w:type="character" w:styleId="UyteHipercze">
    <w:name w:val="FollowedHyperlink"/>
    <w:basedOn w:val="Domylnaczcionkaakapitu"/>
    <w:uiPriority w:val="99"/>
    <w:semiHidden/>
    <w:unhideWhenUsed/>
    <w:rsid w:val="004C14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7451/katalog/13126051#13126051" TargetMode="External"/><Relationship Id="rId13" Type="http://schemas.openxmlformats.org/officeDocument/2006/relationships/hyperlink" Target="https://legislacja.rcl.gov.pl/projekt/12397603/katalog/13126770#13126770" TargetMode="External"/><Relationship Id="rId3" Type="http://schemas.openxmlformats.org/officeDocument/2006/relationships/settings" Target="settings.xml"/><Relationship Id="rId7" Type="http://schemas.openxmlformats.org/officeDocument/2006/relationships/hyperlink" Target="https://legislacja.rcl.gov.pl/projekt/12397401/katalog/13125816#13125816" TargetMode="External"/><Relationship Id="rId12" Type="http://schemas.openxmlformats.org/officeDocument/2006/relationships/hyperlink" Target="https://legislacja.rcl.gov.pl/projekt/12397606/katalog/13126960#131269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islacja.rcl.gov.pl/projekt/12397400/katalog/13125758#13125758" TargetMode="External"/><Relationship Id="rId11" Type="http://schemas.openxmlformats.org/officeDocument/2006/relationships/hyperlink" Target="https://legislacja.rcl.gov.pl/projekt/12397604/katalog/13126844#13126844" TargetMode="External"/><Relationship Id="rId5" Type="http://schemas.openxmlformats.org/officeDocument/2006/relationships/image" Target="media/image1.png"/><Relationship Id="rId15" Type="http://schemas.openxmlformats.org/officeDocument/2006/relationships/hyperlink" Target="http://www.bdo.mos.gov.pl" TargetMode="External"/><Relationship Id="rId10" Type="http://schemas.openxmlformats.org/officeDocument/2006/relationships/hyperlink" Target="https://legislacja.rcl.gov.pl/projekt/12397551/katalog/13126451#13126451" TargetMode="External"/><Relationship Id="rId4" Type="http://schemas.openxmlformats.org/officeDocument/2006/relationships/webSettings" Target="webSettings.xml"/><Relationship Id="rId9" Type="http://schemas.openxmlformats.org/officeDocument/2006/relationships/hyperlink" Target="https://legislacja.rcl.gov.pl/projekt/12397501/katalog/13126217#13126217" TargetMode="External"/><Relationship Id="rId14" Type="http://schemas.openxmlformats.org/officeDocument/2006/relationships/hyperlink" Target="https://legislacja.rcl.gov.pl/projekt/12397403/katalog/13125941#1312594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16</Pages>
  <Words>7315</Words>
  <Characters>43895</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2</cp:revision>
  <dcterms:created xsi:type="dcterms:W3CDTF">2025-05-14T08:43:00Z</dcterms:created>
  <dcterms:modified xsi:type="dcterms:W3CDTF">2025-05-15T09:48:00Z</dcterms:modified>
</cp:coreProperties>
</file>