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D409F" w14:textId="77777777" w:rsidR="000A0C11" w:rsidRPr="00586923" w:rsidRDefault="000A0C11" w:rsidP="000A0C11">
      <w:pPr>
        <w:rPr>
          <w:rFonts w:ascii="Arial" w:hAnsi="Arial" w:cs="Arial"/>
        </w:rPr>
      </w:pPr>
      <w:r w:rsidRPr="00586923">
        <w:rPr>
          <w:rFonts w:ascii="Arial" w:hAnsi="Arial" w:cs="Arial"/>
          <w:noProof/>
          <w:lang w:eastAsia="pl-PL"/>
        </w:rPr>
        <w:drawing>
          <wp:inline distT="0" distB="0" distL="0" distR="0" wp14:anchorId="22EB6098" wp14:editId="2490CCC0">
            <wp:extent cx="5683910" cy="943559"/>
            <wp:effectExtent l="0" t="0" r="0" b="9525"/>
            <wp:docPr id="2" name="Obraz 2" descr="Obraz zawierający tekst, Czcionka, zrzut ekranu,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zcionka, zrzut ekranu, logo&#10;&#10;Zawartość wygenerowana przez sztuczną inteligencję może być niepoprawna."/>
                    <pic:cNvPicPr/>
                  </pic:nvPicPr>
                  <pic:blipFill>
                    <a:blip r:embed="rId5">
                      <a:extLst>
                        <a:ext uri="{28A0092B-C50C-407E-A947-70E740481C1C}">
                          <a14:useLocalDpi xmlns:a14="http://schemas.microsoft.com/office/drawing/2010/main" val="0"/>
                        </a:ext>
                      </a:extLst>
                    </a:blip>
                    <a:stretch>
                      <a:fillRect/>
                    </a:stretch>
                  </pic:blipFill>
                  <pic:spPr>
                    <a:xfrm>
                      <a:off x="0" y="0"/>
                      <a:ext cx="5704187" cy="946925"/>
                    </a:xfrm>
                    <a:prstGeom prst="rect">
                      <a:avLst/>
                    </a:prstGeom>
                  </pic:spPr>
                </pic:pic>
              </a:graphicData>
            </a:graphic>
          </wp:inline>
        </w:drawing>
      </w:r>
    </w:p>
    <w:p w14:paraId="3184DBC5" w14:textId="77777777" w:rsidR="000A0C11" w:rsidRDefault="000A0C11" w:rsidP="000A0C11">
      <w:pPr>
        <w:spacing w:after="0" w:line="300" w:lineRule="auto"/>
        <w:jc w:val="center"/>
        <w:rPr>
          <w:rFonts w:ascii="Arial" w:hAnsi="Arial" w:cs="Arial"/>
          <w:b/>
        </w:rPr>
      </w:pPr>
      <w:r w:rsidRPr="00586923">
        <w:rPr>
          <w:rFonts w:ascii="Arial" w:hAnsi="Arial" w:cs="Arial"/>
          <w:b/>
        </w:rPr>
        <w:t xml:space="preserve">Konsultacje </w:t>
      </w:r>
      <w:r>
        <w:rPr>
          <w:rFonts w:ascii="Arial" w:hAnsi="Arial" w:cs="Arial"/>
          <w:b/>
        </w:rPr>
        <w:t>projektów</w:t>
      </w:r>
      <w:r w:rsidRPr="00586923">
        <w:rPr>
          <w:rFonts w:ascii="Arial" w:hAnsi="Arial" w:cs="Arial"/>
          <w:b/>
        </w:rPr>
        <w:t xml:space="preserve"> krajowych aktów prawnych </w:t>
      </w:r>
      <w:r>
        <w:rPr>
          <w:rFonts w:ascii="Arial" w:hAnsi="Arial" w:cs="Arial"/>
          <w:b/>
        </w:rPr>
        <w:t xml:space="preserve">i ogłoszone akty prawne </w:t>
      </w:r>
      <w:r>
        <w:rPr>
          <w:rFonts w:ascii="Arial" w:hAnsi="Arial" w:cs="Arial"/>
          <w:b/>
        </w:rPr>
        <w:br/>
        <w:t>w Dzienniku Ustaw</w:t>
      </w:r>
    </w:p>
    <w:p w14:paraId="50EFDD65" w14:textId="77777777" w:rsidR="000A0C11" w:rsidRPr="00586923" w:rsidRDefault="000A0C11" w:rsidP="000A0C11">
      <w:pPr>
        <w:spacing w:after="0" w:line="300" w:lineRule="auto"/>
        <w:jc w:val="center"/>
        <w:rPr>
          <w:rFonts w:ascii="Arial" w:hAnsi="Arial" w:cs="Arial"/>
          <w:b/>
        </w:rPr>
      </w:pPr>
      <w:r>
        <w:rPr>
          <w:rFonts w:ascii="Arial" w:hAnsi="Arial" w:cs="Arial"/>
          <w:b/>
        </w:rPr>
        <w:t>(</w:t>
      </w:r>
      <w:r w:rsidRPr="00586923">
        <w:rPr>
          <w:rFonts w:ascii="Arial" w:hAnsi="Arial" w:cs="Arial"/>
          <w:b/>
        </w:rPr>
        <w:t xml:space="preserve">monitoring legislacji </w:t>
      </w:r>
      <w:r>
        <w:rPr>
          <w:rFonts w:ascii="Arial" w:hAnsi="Arial" w:cs="Arial"/>
          <w:b/>
        </w:rPr>
        <w:t xml:space="preserve">krajowej </w:t>
      </w:r>
      <w:r w:rsidRPr="00586923">
        <w:rPr>
          <w:rFonts w:ascii="Arial" w:hAnsi="Arial" w:cs="Arial"/>
          <w:b/>
        </w:rPr>
        <w:t>ZPPM</w:t>
      </w:r>
      <w:r>
        <w:rPr>
          <w:rFonts w:ascii="Arial" w:hAnsi="Arial" w:cs="Arial"/>
          <w:b/>
        </w:rPr>
        <w:t>)</w:t>
      </w:r>
    </w:p>
    <w:p w14:paraId="1D0D5AD0" w14:textId="405FE112" w:rsidR="000A0C11" w:rsidRPr="00586923" w:rsidRDefault="000A0C11" w:rsidP="000A0C11">
      <w:pPr>
        <w:spacing w:after="0" w:line="300" w:lineRule="auto"/>
        <w:jc w:val="center"/>
        <w:rPr>
          <w:rFonts w:ascii="Arial" w:hAnsi="Arial" w:cs="Arial"/>
        </w:rPr>
      </w:pPr>
      <w:r w:rsidRPr="00586923">
        <w:rPr>
          <w:rFonts w:ascii="Arial" w:hAnsi="Arial" w:cs="Arial"/>
          <w:b/>
        </w:rPr>
        <w:t xml:space="preserve">w okresie od </w:t>
      </w:r>
      <w:r>
        <w:rPr>
          <w:rFonts w:ascii="Arial" w:hAnsi="Arial" w:cs="Arial"/>
          <w:b/>
        </w:rPr>
        <w:t>12</w:t>
      </w:r>
      <w:r>
        <w:rPr>
          <w:rFonts w:ascii="Arial" w:hAnsi="Arial" w:cs="Arial"/>
          <w:b/>
        </w:rPr>
        <w:t xml:space="preserve"> </w:t>
      </w:r>
      <w:r w:rsidRPr="00586923">
        <w:rPr>
          <w:rFonts w:ascii="Arial" w:hAnsi="Arial" w:cs="Arial"/>
          <w:b/>
        </w:rPr>
        <w:t xml:space="preserve">do </w:t>
      </w:r>
      <w:r>
        <w:rPr>
          <w:rFonts w:ascii="Arial" w:hAnsi="Arial" w:cs="Arial"/>
          <w:b/>
        </w:rPr>
        <w:t>18</w:t>
      </w:r>
      <w:r>
        <w:rPr>
          <w:rFonts w:ascii="Arial" w:hAnsi="Arial" w:cs="Arial"/>
          <w:b/>
        </w:rPr>
        <w:t xml:space="preserve"> </w:t>
      </w:r>
      <w:r>
        <w:rPr>
          <w:rFonts w:ascii="Arial" w:hAnsi="Arial" w:cs="Arial"/>
          <w:b/>
        </w:rPr>
        <w:t>maja</w:t>
      </w:r>
      <w:r w:rsidRPr="00586923">
        <w:rPr>
          <w:rFonts w:ascii="Arial" w:hAnsi="Arial" w:cs="Arial"/>
          <w:b/>
        </w:rPr>
        <w:t xml:space="preserve"> 202</w:t>
      </w:r>
      <w:r>
        <w:rPr>
          <w:rFonts w:ascii="Arial" w:hAnsi="Arial" w:cs="Arial"/>
          <w:b/>
        </w:rPr>
        <w:t>5</w:t>
      </w:r>
      <w:r w:rsidRPr="00586923">
        <w:rPr>
          <w:rFonts w:ascii="Arial" w:hAnsi="Arial" w:cs="Arial"/>
          <w:b/>
        </w:rPr>
        <w:t xml:space="preserve"> roku</w:t>
      </w:r>
    </w:p>
    <w:p w14:paraId="24619F5A" w14:textId="0E139BA1" w:rsidR="000A0C11" w:rsidRPr="00AC3187" w:rsidRDefault="000A0C11" w:rsidP="000A0C11">
      <w:pPr>
        <w:spacing w:after="0" w:line="300" w:lineRule="auto"/>
        <w:jc w:val="center"/>
        <w:rPr>
          <w:rFonts w:ascii="Arial" w:hAnsi="Arial" w:cs="Arial"/>
        </w:rPr>
      </w:pPr>
      <w:r w:rsidRPr="00AC3187">
        <w:rPr>
          <w:rFonts w:ascii="Arial" w:hAnsi="Arial" w:cs="Arial"/>
        </w:rPr>
        <w:t xml:space="preserve">Raport na dzień </w:t>
      </w:r>
      <w:r>
        <w:rPr>
          <w:rFonts w:ascii="Arial" w:hAnsi="Arial" w:cs="Arial"/>
        </w:rPr>
        <w:t>19 maja</w:t>
      </w:r>
      <w:r w:rsidRPr="00AC3187">
        <w:rPr>
          <w:rFonts w:ascii="Arial" w:hAnsi="Arial" w:cs="Arial"/>
        </w:rPr>
        <w:t xml:space="preserve"> 202</w:t>
      </w:r>
      <w:r>
        <w:rPr>
          <w:rFonts w:ascii="Arial" w:hAnsi="Arial" w:cs="Arial"/>
        </w:rPr>
        <w:t>5</w:t>
      </w:r>
      <w:r w:rsidRPr="00AC3187">
        <w:rPr>
          <w:rFonts w:ascii="Arial" w:hAnsi="Arial" w:cs="Arial"/>
        </w:rPr>
        <w:t xml:space="preserve"> roku</w:t>
      </w:r>
    </w:p>
    <w:p w14:paraId="502B059A" w14:textId="77777777" w:rsidR="000A0C11" w:rsidRPr="00586923" w:rsidRDefault="000A0C11" w:rsidP="000A0C11">
      <w:pPr>
        <w:spacing w:after="0" w:line="240" w:lineRule="auto"/>
        <w:jc w:val="both"/>
        <w:rPr>
          <w:rFonts w:ascii="Arial" w:hAnsi="Arial" w:cs="Arial"/>
        </w:rPr>
      </w:pPr>
    </w:p>
    <w:p w14:paraId="1D82D0D8" w14:textId="77777777" w:rsidR="000A0C11" w:rsidRPr="000B65D1" w:rsidRDefault="000A0C11" w:rsidP="000A0C11">
      <w:pPr>
        <w:pStyle w:val="Akapitzlist"/>
        <w:numPr>
          <w:ilvl w:val="0"/>
          <w:numId w:val="1"/>
        </w:numPr>
        <w:spacing w:after="0"/>
        <w:ind w:left="284" w:hanging="284"/>
        <w:jc w:val="both"/>
        <w:rPr>
          <w:rFonts w:ascii="Arial" w:hAnsi="Arial" w:cs="Arial"/>
          <w:b/>
        </w:rPr>
      </w:pPr>
      <w:r w:rsidRPr="000B65D1">
        <w:rPr>
          <w:rFonts w:ascii="Arial" w:hAnsi="Arial" w:cs="Arial"/>
          <w:b/>
        </w:rPr>
        <w:t>Projekty aktów prawnych</w:t>
      </w:r>
    </w:p>
    <w:p w14:paraId="3E92B786" w14:textId="77777777" w:rsidR="000A0C11" w:rsidRDefault="000A0C11" w:rsidP="000A0C11">
      <w:pPr>
        <w:spacing w:after="0"/>
        <w:jc w:val="both"/>
        <w:rPr>
          <w:rFonts w:ascii="Arial" w:hAnsi="Arial" w:cs="Arial"/>
        </w:rPr>
      </w:pPr>
    </w:p>
    <w:p w14:paraId="1D976D58" w14:textId="60080241" w:rsidR="000A0C11" w:rsidRPr="00C70674" w:rsidRDefault="000A0C11" w:rsidP="000A0C11">
      <w:pPr>
        <w:spacing w:after="0"/>
        <w:jc w:val="both"/>
        <w:rPr>
          <w:rFonts w:ascii="Arial" w:hAnsi="Arial" w:cs="Arial"/>
        </w:rPr>
      </w:pPr>
      <w:r w:rsidRPr="00C70674">
        <w:rPr>
          <w:rFonts w:ascii="Arial" w:hAnsi="Arial" w:cs="Arial"/>
        </w:rPr>
        <w:t xml:space="preserve">W omawianym okresie </w:t>
      </w:r>
      <w:r w:rsidRPr="00C70674">
        <w:rPr>
          <w:rFonts w:ascii="Arial" w:eastAsia="Calibri" w:hAnsi="Arial" w:cs="Arial"/>
          <w:bCs/>
        </w:rPr>
        <w:t xml:space="preserve">Rządowe Centrum Legislacji opublikowało </w:t>
      </w:r>
      <w:r>
        <w:rPr>
          <w:rFonts w:ascii="Arial" w:eastAsia="Calibri" w:hAnsi="Arial" w:cs="Arial"/>
          <w:bCs/>
        </w:rPr>
        <w:t>9</w:t>
      </w:r>
      <w:r w:rsidRPr="00C70674">
        <w:rPr>
          <w:rFonts w:ascii="Arial" w:eastAsia="Calibri" w:hAnsi="Arial" w:cs="Arial"/>
          <w:bCs/>
        </w:rPr>
        <w:t xml:space="preserve"> projekt</w:t>
      </w:r>
      <w:r>
        <w:rPr>
          <w:rFonts w:ascii="Arial" w:eastAsia="Calibri" w:hAnsi="Arial" w:cs="Arial"/>
          <w:bCs/>
        </w:rPr>
        <w:t>ów</w:t>
      </w:r>
      <w:r>
        <w:rPr>
          <w:rFonts w:ascii="Arial" w:eastAsia="Calibri" w:hAnsi="Arial" w:cs="Arial"/>
          <w:bCs/>
        </w:rPr>
        <w:t xml:space="preserve"> ustaw</w:t>
      </w:r>
      <w:r w:rsidRPr="00C70674">
        <w:rPr>
          <w:rFonts w:ascii="Arial" w:eastAsia="Calibri" w:hAnsi="Arial" w:cs="Arial"/>
          <w:bCs/>
        </w:rPr>
        <w:t xml:space="preserve"> oraz</w:t>
      </w:r>
      <w:r w:rsidRPr="00C70674">
        <w:rPr>
          <w:rFonts w:ascii="Arial" w:hAnsi="Arial" w:cs="Arial"/>
        </w:rPr>
        <w:t xml:space="preserve"> </w:t>
      </w:r>
      <w:r>
        <w:rPr>
          <w:rFonts w:ascii="Arial" w:hAnsi="Arial" w:cs="Arial"/>
        </w:rPr>
        <w:t xml:space="preserve">29 </w:t>
      </w:r>
      <w:r w:rsidRPr="00C70674">
        <w:rPr>
          <w:rFonts w:ascii="Arial" w:hAnsi="Arial" w:cs="Arial"/>
        </w:rPr>
        <w:t>projekt</w:t>
      </w:r>
      <w:r>
        <w:rPr>
          <w:rFonts w:ascii="Arial" w:hAnsi="Arial" w:cs="Arial"/>
        </w:rPr>
        <w:t>ów</w:t>
      </w:r>
      <w:r w:rsidRPr="00C70674">
        <w:rPr>
          <w:rFonts w:ascii="Arial" w:hAnsi="Arial" w:cs="Arial"/>
        </w:rPr>
        <w:t xml:space="preserve"> rozporządzeń Rady Ministrów, Prezesa Rady Ministrów oraz poszczególnych Ministrów.</w:t>
      </w:r>
    </w:p>
    <w:p w14:paraId="554A7E64" w14:textId="77777777" w:rsidR="000A0C11" w:rsidRPr="00C70674" w:rsidRDefault="000A0C11" w:rsidP="000A0C11">
      <w:pPr>
        <w:spacing w:after="0"/>
        <w:jc w:val="both"/>
        <w:rPr>
          <w:rFonts w:ascii="Arial" w:hAnsi="Arial" w:cs="Arial"/>
        </w:rPr>
      </w:pPr>
    </w:p>
    <w:p w14:paraId="25DFAFBA" w14:textId="1EC0DBBC" w:rsidR="000A0C11" w:rsidRDefault="000A0C11" w:rsidP="000A0C11">
      <w:pPr>
        <w:spacing w:after="0"/>
        <w:jc w:val="both"/>
        <w:rPr>
          <w:rFonts w:ascii="Arial" w:hAnsi="Arial" w:cs="Arial"/>
        </w:rPr>
      </w:pPr>
      <w:r>
        <w:rPr>
          <w:rFonts w:ascii="Arial" w:hAnsi="Arial" w:cs="Arial"/>
        </w:rPr>
        <w:t xml:space="preserve">Przeprowadzono konsultacje </w:t>
      </w:r>
      <w:r w:rsidR="00804C8A">
        <w:rPr>
          <w:rFonts w:ascii="Arial" w:hAnsi="Arial" w:cs="Arial"/>
        </w:rPr>
        <w:t xml:space="preserve">3 </w:t>
      </w:r>
      <w:r>
        <w:rPr>
          <w:rFonts w:ascii="Arial" w:hAnsi="Arial" w:cs="Arial"/>
        </w:rPr>
        <w:t>projekt</w:t>
      </w:r>
      <w:r w:rsidR="00804C8A">
        <w:rPr>
          <w:rFonts w:ascii="Arial" w:hAnsi="Arial" w:cs="Arial"/>
        </w:rPr>
        <w:t>ów</w:t>
      </w:r>
      <w:r>
        <w:rPr>
          <w:rFonts w:ascii="Arial" w:hAnsi="Arial" w:cs="Arial"/>
        </w:rPr>
        <w:t xml:space="preserve"> ustaw i</w:t>
      </w:r>
      <w:r w:rsidR="00804C8A">
        <w:rPr>
          <w:rFonts w:ascii="Arial" w:hAnsi="Arial" w:cs="Arial"/>
        </w:rPr>
        <w:t xml:space="preserve"> 17</w:t>
      </w:r>
      <w:r>
        <w:rPr>
          <w:rFonts w:ascii="Arial" w:hAnsi="Arial" w:cs="Arial"/>
        </w:rPr>
        <w:t xml:space="preserve"> projekt</w:t>
      </w:r>
      <w:r w:rsidR="00804C8A">
        <w:rPr>
          <w:rFonts w:ascii="Arial" w:hAnsi="Arial" w:cs="Arial"/>
        </w:rPr>
        <w:t>ów</w:t>
      </w:r>
      <w:r>
        <w:rPr>
          <w:rFonts w:ascii="Arial" w:hAnsi="Arial" w:cs="Arial"/>
        </w:rPr>
        <w:t xml:space="preserve"> rozporządzeń dotyczących podmiotów członkowskich (pracodawcy, przedsiębiorcy, JST) zrzeszonych w Związku. </w:t>
      </w:r>
    </w:p>
    <w:p w14:paraId="11652D8B" w14:textId="77777777" w:rsidR="000A0C11" w:rsidRDefault="000A0C11" w:rsidP="000A0C11">
      <w:pPr>
        <w:spacing w:after="0"/>
        <w:jc w:val="both"/>
        <w:rPr>
          <w:rFonts w:ascii="Arial" w:hAnsi="Arial" w:cs="Arial"/>
        </w:rPr>
      </w:pPr>
      <w:r>
        <w:rPr>
          <w:rFonts w:ascii="Arial" w:hAnsi="Arial" w:cs="Arial"/>
        </w:rPr>
        <w:t>Do konsultacji przekazane zostały następujące projekty:</w:t>
      </w:r>
    </w:p>
    <w:p w14:paraId="7190DF19" w14:textId="77777777" w:rsidR="000A0C11" w:rsidRDefault="000A0C11" w:rsidP="000A0C11">
      <w:pPr>
        <w:spacing w:after="0"/>
        <w:jc w:val="both"/>
        <w:rPr>
          <w:rFonts w:ascii="Arial" w:hAnsi="Arial" w:cs="Arial"/>
        </w:rPr>
      </w:pPr>
    </w:p>
    <w:p w14:paraId="5DCBA55C" w14:textId="77777777" w:rsidR="000A0C11" w:rsidRDefault="000A0C11" w:rsidP="000A0C11">
      <w:pPr>
        <w:spacing w:after="0"/>
        <w:jc w:val="both"/>
        <w:rPr>
          <w:rFonts w:ascii="Arial" w:hAnsi="Arial" w:cs="Arial"/>
        </w:rPr>
      </w:pPr>
      <w:r>
        <w:rPr>
          <w:rFonts w:ascii="Arial" w:hAnsi="Arial" w:cs="Arial"/>
        </w:rPr>
        <w:t>Projekty ustaw:</w:t>
      </w:r>
    </w:p>
    <w:p w14:paraId="78B0D726" w14:textId="77777777" w:rsidR="00804C8A" w:rsidRDefault="00804C8A" w:rsidP="000A0C11">
      <w:pPr>
        <w:spacing w:after="0"/>
        <w:jc w:val="both"/>
        <w:rPr>
          <w:rFonts w:ascii="Arial" w:hAnsi="Arial" w:cs="Arial"/>
        </w:rPr>
      </w:pPr>
    </w:p>
    <w:p w14:paraId="6E230226" w14:textId="05E696F0" w:rsidR="00804C8A" w:rsidRPr="00804C8A" w:rsidRDefault="00804C8A" w:rsidP="000A0C11">
      <w:pPr>
        <w:pStyle w:val="Akapitzlist"/>
        <w:numPr>
          <w:ilvl w:val="0"/>
          <w:numId w:val="3"/>
        </w:numPr>
        <w:spacing w:after="0"/>
        <w:jc w:val="both"/>
        <w:rPr>
          <w:rFonts w:ascii="Arial" w:hAnsi="Arial" w:cs="Arial"/>
          <w:b/>
          <w:bCs/>
          <w:u w:val="single"/>
        </w:rPr>
      </w:pPr>
      <w:r w:rsidRPr="00804C8A">
        <w:rPr>
          <w:rFonts w:ascii="Arial" w:hAnsi="Arial" w:cs="Arial"/>
          <w:b/>
          <w:bCs/>
          <w:u w:val="single"/>
        </w:rPr>
        <w:t>P</w:t>
      </w:r>
      <w:r w:rsidRPr="00804C8A">
        <w:rPr>
          <w:rFonts w:ascii="Arial" w:hAnsi="Arial" w:cs="Arial"/>
          <w:b/>
          <w:bCs/>
          <w:u w:val="single"/>
        </w:rPr>
        <w:t>rojekt ustawy o zmianie ustawy o funduszach inwestycyjnych i zarządzaniu alternatywnymi funduszami inwestycyjnymi oraz ustawy o obrocie instrumentami finansowymi (numer z wykazu UDER31).</w:t>
      </w:r>
    </w:p>
    <w:p w14:paraId="0583D01B" w14:textId="77777777" w:rsidR="00804C8A" w:rsidRDefault="00804C8A" w:rsidP="00804C8A">
      <w:pPr>
        <w:spacing w:after="0"/>
        <w:jc w:val="both"/>
        <w:rPr>
          <w:rFonts w:ascii="Arial" w:hAnsi="Arial" w:cs="Arial"/>
        </w:rPr>
      </w:pPr>
    </w:p>
    <w:p w14:paraId="100481EB" w14:textId="77777777" w:rsidR="00804C8A" w:rsidRPr="00804C8A" w:rsidRDefault="00804C8A" w:rsidP="00804C8A">
      <w:pPr>
        <w:spacing w:after="0"/>
        <w:jc w:val="both"/>
        <w:rPr>
          <w:rFonts w:ascii="Arial" w:hAnsi="Arial" w:cs="Arial"/>
        </w:rPr>
      </w:pPr>
      <w:r w:rsidRPr="00804C8A">
        <w:rPr>
          <w:rFonts w:ascii="Arial" w:hAnsi="Arial" w:cs="Arial"/>
        </w:rPr>
        <w:t xml:space="preserve">Celem projektu ustawy jest usunięcie </w:t>
      </w:r>
      <w:proofErr w:type="spellStart"/>
      <w:r w:rsidRPr="00804C8A">
        <w:rPr>
          <w:rFonts w:ascii="Arial" w:hAnsi="Arial" w:cs="Arial"/>
        </w:rPr>
        <w:t>nadregulacji</w:t>
      </w:r>
      <w:proofErr w:type="spellEnd"/>
      <w:r w:rsidRPr="00804C8A">
        <w:rPr>
          <w:rFonts w:ascii="Arial" w:hAnsi="Arial" w:cs="Arial"/>
        </w:rPr>
        <w:t xml:space="preserve"> w zakresie obowiązku rejestracji certyfikatów inwestycyjnych funduszy inwestycyjnych zamkniętych, które nie są publicznymi funduszami inwestycyjnymi zamkniętymi, zwanych dalej: „niepublicznymi FIZ”, w depozycie papierów wartościowych prowadzonym przez Krajowy Depozyt Papierów Wartościowych (KDPW), jak również obowiązku posiadania przez takie fundusze agenta emisji.</w:t>
      </w:r>
    </w:p>
    <w:p w14:paraId="17F8CB25" w14:textId="77777777" w:rsidR="00804C8A" w:rsidRPr="00804C8A" w:rsidRDefault="00804C8A" w:rsidP="00804C8A">
      <w:pPr>
        <w:spacing w:after="0"/>
        <w:jc w:val="both"/>
        <w:rPr>
          <w:rFonts w:ascii="Arial" w:hAnsi="Arial" w:cs="Arial"/>
        </w:rPr>
      </w:pPr>
      <w:r w:rsidRPr="00804C8A">
        <w:rPr>
          <w:rFonts w:ascii="Arial" w:hAnsi="Arial" w:cs="Arial"/>
        </w:rPr>
        <w:t xml:space="preserve">Obowiązek rejestracji w KDPW certyfikatów inwestycyjnych niepublicznych FIZ, a także posiadania agenta emisji zostały wprowadzone ustawą z dnia 9 listopada 2018 r. o zmianie niektórych ustaw w związku ze wzmocnieniem nadzoru nad rynkiem finansowym oraz ochrony inwestorów na tym rynku (Dz. U. poz. 2243, z </w:t>
      </w:r>
      <w:proofErr w:type="spellStart"/>
      <w:r w:rsidRPr="00804C8A">
        <w:rPr>
          <w:rFonts w:ascii="Arial" w:hAnsi="Arial" w:cs="Arial"/>
        </w:rPr>
        <w:t>późn</w:t>
      </w:r>
      <w:proofErr w:type="spellEnd"/>
      <w:r w:rsidRPr="00804C8A">
        <w:rPr>
          <w:rFonts w:ascii="Arial" w:hAnsi="Arial" w:cs="Arial"/>
        </w:rPr>
        <w:t xml:space="preserve">. zm.). W praktyce stosowania tych rozwiązań okazało się, że obecnie obowiązujący model rejestracji certyfikatów inwestycyjnych niepublicznych FIZ utrudnia realizację celów przepisów o przeciwdziałaniu praniu pieniędzy oraz finansowaniu terroryzmu, w szczególności w zakresie zapewnienia przejrzystości transakcji finansowych oraz identyfikacji beneficjentów rzeczywistych. Model ten uniemożliwia skuteczne stosowanie środków bezpieczeństwa finansowego, w tym ustalenia tożsamości uczestników, pochodzenia środków, ustalenia beneficjentów rzeczywistych czy statusu osoby zajmującej eksponowane stanowiska polityczne (PEP). Z uwagi na ograniczenia wynikające z tajemnicy zawodowej, do zachowania której obowiązani są agent emisji oraz firmy inwestycyjne prowadzące rachunki papierów wartościowych, towarzystwo funduszy inwestycyjnych i niepubliczny FIZ pozbawieni są dostępu do informacji o certyfikatach ujętych </w:t>
      </w:r>
      <w:r w:rsidRPr="00804C8A">
        <w:rPr>
          <w:rFonts w:ascii="Arial" w:hAnsi="Arial" w:cs="Arial"/>
        </w:rPr>
        <w:lastRenderedPageBreak/>
        <w:t>w ewidencji osób uprawnionych z certyfikatów inwestycyjnych, jak również informacji o certyfikatach inwestycyjnych, które po zawarciu przez agenta emisji umowy o rejestrację certyfikatów inwestycyjnych w KDPW, zostały przeniesione na rachunki papierów wartościowych.</w:t>
      </w:r>
    </w:p>
    <w:p w14:paraId="3E961BD0" w14:textId="77777777" w:rsidR="00804C8A" w:rsidRPr="00804C8A" w:rsidRDefault="00804C8A" w:rsidP="00804C8A">
      <w:pPr>
        <w:spacing w:after="0"/>
        <w:jc w:val="both"/>
        <w:rPr>
          <w:rFonts w:ascii="Arial" w:hAnsi="Arial" w:cs="Arial"/>
        </w:rPr>
      </w:pPr>
      <w:r w:rsidRPr="00804C8A">
        <w:rPr>
          <w:rFonts w:ascii="Arial" w:hAnsi="Arial" w:cs="Arial"/>
        </w:rPr>
        <w:t xml:space="preserve">Wprowadzone ustawą o zmianie niektórych ustaw w związku ze wzmocnieniem nadzoru nad rynkiem finansowym oraz ochrony inwestorów na tym rynku rozwiązania dotyczące agenta emisji oraz obowiązkowej rejestracji w KDPW certyfikatów inwestycyjnych niepublicznych FIZ uwidoczniły pewne mankamenty tego rozwiązania. Rolą agenta emisji miało być weryfikowanie dokumentacji, niemniej z uwagi na jej ilość, nie ma gwarancji, że weryfikacja ta jest przeprowadzona dokładnie. Ponadto agenci zastrzegają w umowach szeroki zakres </w:t>
      </w:r>
      <w:proofErr w:type="spellStart"/>
      <w:r w:rsidRPr="00804C8A">
        <w:rPr>
          <w:rFonts w:ascii="Arial" w:hAnsi="Arial" w:cs="Arial"/>
        </w:rPr>
        <w:t>wyłączeń</w:t>
      </w:r>
      <w:proofErr w:type="spellEnd"/>
      <w:r w:rsidRPr="00804C8A">
        <w:rPr>
          <w:rFonts w:ascii="Arial" w:hAnsi="Arial" w:cs="Arial"/>
        </w:rPr>
        <w:t xml:space="preserve"> od odpowiedzialności. Pojawienie się w procesie emisji dodatkowych podmiotów generuje nie tylko dodatkowe ryzyka błędów, które jak wynika z doświadczeń, mogą się pojawić na każdym jego etapie, ale także wiąże się ze wzrostem kosztów prowadzenia działalności dla niepublicznych FIZ.</w:t>
      </w:r>
    </w:p>
    <w:p w14:paraId="1FB5DE72" w14:textId="77777777" w:rsidR="00804C8A" w:rsidRPr="00804C8A" w:rsidRDefault="00804C8A" w:rsidP="00804C8A">
      <w:pPr>
        <w:spacing w:after="0"/>
        <w:jc w:val="both"/>
        <w:rPr>
          <w:rFonts w:ascii="Arial" w:hAnsi="Arial" w:cs="Arial"/>
        </w:rPr>
      </w:pPr>
      <w:r w:rsidRPr="00804C8A">
        <w:rPr>
          <w:rFonts w:ascii="Arial" w:hAnsi="Arial" w:cs="Arial"/>
        </w:rPr>
        <w:t xml:space="preserve">W przypadku niepublicznych FIZ należy zatem przywrócić model rejestracji certyfikatów inwestycyjnych w ewidencji uczestników, przewidziany w ustawie z dnia 27 maja 2004 r. o funduszach inwestycyjnych i zarządzaniu alternatywnymi funduszami inwestycyjnymi (Dz. U. z 2024 r. poz. 1034, z </w:t>
      </w:r>
      <w:proofErr w:type="spellStart"/>
      <w:r w:rsidRPr="00804C8A">
        <w:rPr>
          <w:rFonts w:ascii="Arial" w:hAnsi="Arial" w:cs="Arial"/>
        </w:rPr>
        <w:t>późn</w:t>
      </w:r>
      <w:proofErr w:type="spellEnd"/>
      <w:r w:rsidRPr="00804C8A">
        <w:rPr>
          <w:rFonts w:ascii="Arial" w:hAnsi="Arial" w:cs="Arial"/>
        </w:rPr>
        <w:t>. zm.) przed nowelizacją z 2018 r. Jednocześnie, należy utrzymać wprowadzone ustawą o zmianie niektórych ustaw w związku ze wzmocnieniem nadzoru nad rynkiem finansowym oraz ochrony inwestorów na tym rynku nadzoru przepisy, zgodnie z którymi certyfikaty inwestycyjne nie mogą mieć formy dokumentu, w celu zapewnienia bezpieczeństwa w zakresie identyfikacji osób uprawnionych z certyfikatów inwestycyjnych, jak i uprawnień wynikających z tych certyfikatów. Zmiana modelu rejestracji certyfikatów inwestycyjnych nie wpłynie negatywnie na bezpieczeństwo inwestorów. W obowiązującym stanie prawnym KNF posiada bowiem dostęp do danych o emisjach certyfikatów i zdarzeniach korporacyjnych (podział/łączenie certyfikatów).</w:t>
      </w:r>
    </w:p>
    <w:p w14:paraId="00C2198C" w14:textId="1F2373C3" w:rsidR="00804C8A" w:rsidRDefault="00804C8A" w:rsidP="00804C8A">
      <w:pPr>
        <w:spacing w:after="0"/>
        <w:jc w:val="both"/>
        <w:rPr>
          <w:rFonts w:ascii="Arial" w:hAnsi="Arial" w:cs="Arial"/>
        </w:rPr>
      </w:pPr>
      <w:r w:rsidRPr="00804C8A">
        <w:rPr>
          <w:rFonts w:ascii="Arial" w:hAnsi="Arial" w:cs="Arial"/>
        </w:rPr>
        <w:t xml:space="preserve">W związku z powyższym, projekt zakłada wprowadzenie zmian w ustawie o funduszach inwestycyjnych i zarządzaniu alternatywnymi funduszami inwestycyjnymi. Ponadto przewiduje zmiany dostosowujące w ustawie z dnia 29 lipca 2005 r. o obrocie instrumentami finansowymi (Dz. U. z 2024 r. poz. 722, z </w:t>
      </w:r>
      <w:proofErr w:type="spellStart"/>
      <w:r w:rsidRPr="00804C8A">
        <w:rPr>
          <w:rFonts w:ascii="Arial" w:hAnsi="Arial" w:cs="Arial"/>
        </w:rPr>
        <w:t>późn</w:t>
      </w:r>
      <w:proofErr w:type="spellEnd"/>
      <w:r w:rsidRPr="00804C8A">
        <w:rPr>
          <w:rFonts w:ascii="Arial" w:hAnsi="Arial" w:cs="Arial"/>
        </w:rPr>
        <w:t>. zm.), wynikające z rezygnacji z obowiązku rejestracji certyfikatów w KDPW i posiadania agenta emisji. Wprowadzone zostają także przepisy przejściowe umożliwiające funduszom płynne przejście do nowego modelu działania. Proponowane zmiany przywracają możliwość prowadzenia ewidencji uczestników certyfikatów inwestycyjnych niepublicznych FIZ przez towarzystwo lub powierzenia jej prowadzenia określonemu podmiotowi, co zwiększy przejrzystość i efektywność działania niepublicznych FIZ.</w:t>
      </w:r>
    </w:p>
    <w:p w14:paraId="2181D4C9" w14:textId="77777777" w:rsidR="00804C8A" w:rsidRDefault="00804C8A" w:rsidP="00804C8A">
      <w:pPr>
        <w:spacing w:after="0"/>
        <w:jc w:val="both"/>
        <w:rPr>
          <w:rFonts w:ascii="Arial" w:hAnsi="Arial" w:cs="Arial"/>
        </w:rPr>
      </w:pPr>
    </w:p>
    <w:p w14:paraId="268863A1" w14:textId="77777777" w:rsidR="00804C8A" w:rsidRPr="00804C8A" w:rsidRDefault="00804C8A" w:rsidP="00804C8A">
      <w:pPr>
        <w:spacing w:after="0"/>
        <w:jc w:val="both"/>
        <w:rPr>
          <w:rFonts w:ascii="Arial" w:hAnsi="Arial" w:cs="Arial"/>
        </w:rPr>
      </w:pPr>
      <w:r w:rsidRPr="00804C8A">
        <w:rPr>
          <w:rFonts w:ascii="Arial" w:hAnsi="Arial" w:cs="Arial"/>
        </w:rPr>
        <w:t>Przedmiotowy projekt aktu prawnego wraz z Uzasadnieniem oraz Oceną Skutków Regulacji dostępny jest na stronach Rządowego Centrum Legislacji pod adresem:</w:t>
      </w:r>
    </w:p>
    <w:p w14:paraId="2B3641D3" w14:textId="4318B4C0" w:rsidR="00804C8A" w:rsidRDefault="00804C8A" w:rsidP="00804C8A">
      <w:pPr>
        <w:spacing w:after="0"/>
        <w:jc w:val="both"/>
        <w:rPr>
          <w:rFonts w:ascii="Arial" w:hAnsi="Arial" w:cs="Arial"/>
        </w:rPr>
      </w:pPr>
      <w:hyperlink r:id="rId6" w:history="1">
        <w:r w:rsidRPr="006D1EDE">
          <w:rPr>
            <w:rStyle w:val="Hipercze"/>
            <w:rFonts w:ascii="Arial" w:hAnsi="Arial" w:cs="Arial"/>
          </w:rPr>
          <w:t>https://legislacja.rcl.gov.pl/projekt/12397653</w:t>
        </w:r>
        <w:r w:rsidRPr="006D1EDE">
          <w:rPr>
            <w:rStyle w:val="Hipercze"/>
            <w:rFonts w:ascii="Arial" w:hAnsi="Arial" w:cs="Arial"/>
          </w:rPr>
          <w:t>/</w:t>
        </w:r>
        <w:r w:rsidRPr="006D1EDE">
          <w:rPr>
            <w:rStyle w:val="Hipercze"/>
            <w:rFonts w:ascii="Arial" w:hAnsi="Arial" w:cs="Arial"/>
          </w:rPr>
          <w:t>katalo</w:t>
        </w:r>
        <w:r w:rsidRPr="006D1EDE">
          <w:rPr>
            <w:rStyle w:val="Hipercze"/>
            <w:rFonts w:ascii="Arial" w:hAnsi="Arial" w:cs="Arial"/>
          </w:rPr>
          <w:t>g</w:t>
        </w:r>
        <w:r w:rsidRPr="006D1EDE">
          <w:rPr>
            <w:rStyle w:val="Hipercze"/>
            <w:rFonts w:ascii="Arial" w:hAnsi="Arial" w:cs="Arial"/>
          </w:rPr>
          <w:t>/13127202#13127202</w:t>
        </w:r>
      </w:hyperlink>
      <w:r>
        <w:rPr>
          <w:rFonts w:ascii="Arial" w:hAnsi="Arial" w:cs="Arial"/>
        </w:rPr>
        <w:t xml:space="preserve"> </w:t>
      </w:r>
    </w:p>
    <w:p w14:paraId="31D8D0E4" w14:textId="77777777" w:rsidR="00804C8A" w:rsidRDefault="00804C8A" w:rsidP="00804C8A">
      <w:pPr>
        <w:spacing w:after="0"/>
        <w:jc w:val="both"/>
        <w:rPr>
          <w:rFonts w:ascii="Arial" w:hAnsi="Arial" w:cs="Arial"/>
        </w:rPr>
      </w:pPr>
    </w:p>
    <w:p w14:paraId="57037F4E" w14:textId="75C5C35F" w:rsidR="00804C8A" w:rsidRDefault="00804C8A" w:rsidP="00804C8A">
      <w:pPr>
        <w:spacing w:after="0"/>
        <w:jc w:val="both"/>
        <w:rPr>
          <w:rFonts w:ascii="Arial" w:hAnsi="Arial" w:cs="Arial"/>
        </w:rPr>
      </w:pPr>
      <w:r w:rsidRPr="00804C8A">
        <w:rPr>
          <w:rFonts w:ascii="Arial" w:hAnsi="Arial" w:cs="Arial"/>
        </w:rPr>
        <w:t>Projekt jest obecnie jednocześnie na etapie uzgodnień, konsultacji publicznych i opiniowania.</w:t>
      </w:r>
    </w:p>
    <w:p w14:paraId="039CB98E" w14:textId="77777777" w:rsidR="00804C8A" w:rsidRPr="00804C8A" w:rsidRDefault="00804C8A" w:rsidP="00804C8A">
      <w:pPr>
        <w:spacing w:after="0"/>
        <w:jc w:val="both"/>
        <w:rPr>
          <w:rFonts w:ascii="Arial" w:hAnsi="Arial" w:cs="Arial"/>
        </w:rPr>
      </w:pPr>
    </w:p>
    <w:p w14:paraId="137DF539" w14:textId="6F64BAFF" w:rsidR="00804C8A" w:rsidRPr="00B04FED" w:rsidRDefault="00B04FED" w:rsidP="00804C8A">
      <w:pPr>
        <w:pStyle w:val="Akapitzlist"/>
        <w:numPr>
          <w:ilvl w:val="0"/>
          <w:numId w:val="3"/>
        </w:numPr>
        <w:spacing w:after="0"/>
        <w:jc w:val="both"/>
        <w:rPr>
          <w:rFonts w:ascii="Arial" w:hAnsi="Arial" w:cs="Arial"/>
          <w:b/>
          <w:bCs/>
          <w:u w:val="single"/>
        </w:rPr>
      </w:pPr>
      <w:r w:rsidRPr="00B04FED">
        <w:rPr>
          <w:rFonts w:ascii="Arial" w:hAnsi="Arial" w:cs="Arial"/>
          <w:b/>
          <w:bCs/>
          <w:u w:val="single"/>
        </w:rPr>
        <w:t>P</w:t>
      </w:r>
      <w:r w:rsidRPr="00B04FED">
        <w:rPr>
          <w:rFonts w:ascii="Arial" w:hAnsi="Arial" w:cs="Arial"/>
          <w:b/>
          <w:bCs/>
          <w:u w:val="single"/>
        </w:rPr>
        <w:t>rojekt ustawy o zmianie ustawy o postępowaniu egzekucyjnym w administracji (numer z wykazu UD192).</w:t>
      </w:r>
    </w:p>
    <w:p w14:paraId="4ECAA128" w14:textId="77777777" w:rsidR="00804C8A" w:rsidRDefault="00804C8A" w:rsidP="00804C8A">
      <w:pPr>
        <w:spacing w:after="0"/>
        <w:jc w:val="both"/>
        <w:rPr>
          <w:rFonts w:ascii="Arial" w:hAnsi="Arial" w:cs="Arial"/>
        </w:rPr>
      </w:pPr>
    </w:p>
    <w:p w14:paraId="654556F7" w14:textId="77777777" w:rsidR="00B04FED" w:rsidRPr="00B04FED" w:rsidRDefault="00B04FED" w:rsidP="00B04FED">
      <w:pPr>
        <w:spacing w:after="0"/>
        <w:jc w:val="both"/>
        <w:rPr>
          <w:rFonts w:ascii="Arial" w:hAnsi="Arial" w:cs="Arial"/>
        </w:rPr>
      </w:pPr>
      <w:r w:rsidRPr="00B04FED">
        <w:rPr>
          <w:rFonts w:ascii="Arial" w:hAnsi="Arial" w:cs="Arial"/>
        </w:rPr>
        <w:t>Zmiana ustawy z dnia 17 czerwca 1966 r. o postępowaniu egzekucyjnym w administracji (Dz. U. z 2025 r. poz. 132), zwanej dalej „</w:t>
      </w:r>
      <w:proofErr w:type="spellStart"/>
      <w:r w:rsidRPr="00B04FED">
        <w:rPr>
          <w:rFonts w:ascii="Arial" w:hAnsi="Arial" w:cs="Arial"/>
        </w:rPr>
        <w:t>u.p.e.a</w:t>
      </w:r>
      <w:proofErr w:type="spellEnd"/>
      <w:r w:rsidRPr="00B04FED">
        <w:rPr>
          <w:rFonts w:ascii="Arial" w:hAnsi="Arial" w:cs="Arial"/>
        </w:rPr>
        <w:t xml:space="preserve">.”, wynika z potrzeby dalszej elektronizacji </w:t>
      </w:r>
      <w:r w:rsidRPr="00B04FED">
        <w:rPr>
          <w:rFonts w:ascii="Arial" w:hAnsi="Arial" w:cs="Arial"/>
        </w:rPr>
        <w:lastRenderedPageBreak/>
        <w:t xml:space="preserve">postępowania egzekucyjnego prowadzonego przez naczelników urzędów skarbowych, w zakresie elektronicznej sprzedaży ruchomości i nieruchomości za pośrednictwem własnego systemu teleinformatycznego, zwanego dalej „Portalem </w:t>
      </w:r>
      <w:proofErr w:type="spellStart"/>
      <w:r w:rsidRPr="00B04FED">
        <w:rPr>
          <w:rFonts w:ascii="Arial" w:hAnsi="Arial" w:cs="Arial"/>
        </w:rPr>
        <w:t>eLicytacje</w:t>
      </w:r>
      <w:proofErr w:type="spellEnd"/>
      <w:r w:rsidRPr="00B04FED">
        <w:rPr>
          <w:rFonts w:ascii="Arial" w:hAnsi="Arial" w:cs="Arial"/>
        </w:rPr>
        <w:t xml:space="preserve">”. Obowiązujące rozwiązania zawarte w art. 107e </w:t>
      </w:r>
      <w:proofErr w:type="spellStart"/>
      <w:r w:rsidRPr="00B04FED">
        <w:rPr>
          <w:rFonts w:ascii="Arial" w:hAnsi="Arial" w:cs="Arial"/>
        </w:rPr>
        <w:t>u.p.e.a</w:t>
      </w:r>
      <w:proofErr w:type="spellEnd"/>
      <w:r w:rsidRPr="00B04FED">
        <w:rPr>
          <w:rFonts w:ascii="Arial" w:hAnsi="Arial" w:cs="Arial"/>
        </w:rPr>
        <w:t xml:space="preserve">. przewidują elektroniczną formę sprzedaży jedynie ruchomości i tylko za pośrednictwem systemu teleinformatycznego prowadzonego przez podmiot wybrany przez organ egzekucyjny i zgodnie z warunkami określonymi w regulaminie tego podmiotu. W aktualnym stanie prawnym w </w:t>
      </w:r>
      <w:proofErr w:type="spellStart"/>
      <w:r w:rsidRPr="00B04FED">
        <w:rPr>
          <w:rFonts w:ascii="Arial" w:hAnsi="Arial" w:cs="Arial"/>
        </w:rPr>
        <w:t>u.p.e.a</w:t>
      </w:r>
      <w:proofErr w:type="spellEnd"/>
      <w:r w:rsidRPr="00B04FED">
        <w:rPr>
          <w:rFonts w:ascii="Arial" w:hAnsi="Arial" w:cs="Arial"/>
        </w:rPr>
        <w:t xml:space="preserve">. nie ma rozwiązań umożliwiających sprzedaż elektroniczną za pośrednictwem własnego portalu. Portal do elektronicznych sprzedaży egzekucyjnych funkcjonuje w egzekucji sądowej. Możliwość prowadzenia elektronicznych licytacji przewidują przepisy ustawy z dnia 17 listopada 1964 r. − Kodeks postępowania cywilnego (Dz. U. z 2024 r. poz. 1568, z </w:t>
      </w:r>
      <w:proofErr w:type="spellStart"/>
      <w:r w:rsidRPr="00B04FED">
        <w:rPr>
          <w:rFonts w:ascii="Arial" w:hAnsi="Arial" w:cs="Arial"/>
        </w:rPr>
        <w:t>późn</w:t>
      </w:r>
      <w:proofErr w:type="spellEnd"/>
      <w:r w:rsidRPr="00B04FED">
        <w:rPr>
          <w:rFonts w:ascii="Arial" w:hAnsi="Arial" w:cs="Arial"/>
        </w:rPr>
        <w:t>. zm.). Komornicy sądowi prowadzą elektroniczne licytacje ruchomości i nieruchomości oraz publikują obwieszczenia o sprzedażach w portalach Krajowej Rady Komorniczej (elicytacje.komornik.pl oraz licytacje.komornik.pl). Pozytywne doświadczenia związane z funkcjonowaniem licytacji elektronicznych w egzekucji sądowej wskazują na potrzebę budowy portalu dedykowanego naczelnikom urzędów skarbowych, za pośrednictwem którego będą oni mogli elektronicznie sprzedawać ruchomości i nieruchomości.</w:t>
      </w:r>
    </w:p>
    <w:p w14:paraId="30263738" w14:textId="77777777" w:rsidR="00B04FED" w:rsidRPr="00B04FED" w:rsidRDefault="00B04FED" w:rsidP="00B04FED">
      <w:pPr>
        <w:spacing w:after="0"/>
        <w:jc w:val="both"/>
        <w:rPr>
          <w:rFonts w:ascii="Arial" w:hAnsi="Arial" w:cs="Arial"/>
        </w:rPr>
      </w:pPr>
      <w:r w:rsidRPr="00B04FED">
        <w:rPr>
          <w:rFonts w:ascii="Arial" w:hAnsi="Arial" w:cs="Arial"/>
        </w:rPr>
        <w:t>Ponadto brak jest jednego miejsca, w którym dla osób zainteresowanych byłyby dostępne wszystkie ogłoszenia i obwieszczenia o sprzedawanych przez naczelników urzędów skarbowych ruchomościach i nieruchomościach. Obecnie jest 366 naczelników urzędów skarbowych działających jako administracyjne organy egzekucyjne. Zamieszczają oni obwieszczenia w Biuletynie Informacji Publicznej na stronie podmiotowej urzędu obsługującego organ egzekucyjny. Informacje o planowanych sprzedażach egzekucyjnych trafiają zatem do ograniczonej liczby potencjalnych nabywców, co z kolei może przekładać się na mniejsze sumy uzyskiwane ze sprzedaży. Obwieszczenia są wywieszane w siedzibie organu egzekucyjnego i urzędzie gminy. Są one zamieszczane również w BIP, jednak to rozwiązanie nie pozwala potencjalnym nabywcom wyszukiwać (filtrować) czy sortować interesujących ich obwieszczeń.</w:t>
      </w:r>
    </w:p>
    <w:p w14:paraId="452131FD" w14:textId="77777777" w:rsidR="00B04FED" w:rsidRPr="00B04FED" w:rsidRDefault="00B04FED" w:rsidP="00B04FED">
      <w:pPr>
        <w:spacing w:after="0"/>
        <w:jc w:val="both"/>
        <w:rPr>
          <w:rFonts w:ascii="Arial" w:hAnsi="Arial" w:cs="Arial"/>
        </w:rPr>
      </w:pPr>
      <w:r w:rsidRPr="00B04FED">
        <w:rPr>
          <w:rFonts w:ascii="Arial" w:hAnsi="Arial" w:cs="Arial"/>
        </w:rPr>
        <w:t xml:space="preserve">Budowa przez Krajową Administrację Skarbową własnego Portalu </w:t>
      </w:r>
      <w:proofErr w:type="spellStart"/>
      <w:r w:rsidRPr="00B04FED">
        <w:rPr>
          <w:rFonts w:ascii="Arial" w:hAnsi="Arial" w:cs="Arial"/>
        </w:rPr>
        <w:t>eLicytacje</w:t>
      </w:r>
      <w:proofErr w:type="spellEnd"/>
      <w:r w:rsidRPr="00B04FED">
        <w:rPr>
          <w:rFonts w:ascii="Arial" w:hAnsi="Arial" w:cs="Arial"/>
        </w:rPr>
        <w:t xml:space="preserve"> do elektronicznych sprzedaży ruchomości i nieruchomości będzie stanowić kolejny krok w kierunku elektronizacji postępowania egzekucyjnego prowadzonego przez naczelników urzędów skarbowych. Rozwiązanie to wprowadzi nowe sposoby sprzedaży ruchomości i nieruchomości, przy jednoczesnym zachowaniu dotychczasowych form sprzedaży.</w:t>
      </w:r>
    </w:p>
    <w:p w14:paraId="25879E2A" w14:textId="77777777" w:rsidR="00B04FED" w:rsidRPr="00B04FED" w:rsidRDefault="00B04FED" w:rsidP="00B04FED">
      <w:pPr>
        <w:spacing w:after="0"/>
        <w:jc w:val="both"/>
        <w:rPr>
          <w:rFonts w:ascii="Arial" w:hAnsi="Arial" w:cs="Arial"/>
        </w:rPr>
      </w:pPr>
      <w:r w:rsidRPr="00B04FED">
        <w:rPr>
          <w:rFonts w:ascii="Arial" w:hAnsi="Arial" w:cs="Arial"/>
        </w:rPr>
        <w:t xml:space="preserve">W Ministerstwie Finansów został powołany Program Jednolity System Podatkowy. Program ten jest odpowiedzią na proces transformacji Krajowej Administracji Skarbowej, zwanej dalej „KAS”, i ma na celu wzrost efektywności działania administracji skarbowej. Jednolity System Podatkowy będzie centralnym, jednolitym systemem informatycznym służącym do poboru, dystrybucji oraz egzekucji podatków i należności niepodatkowych pobieranych lub egzekwowanych przez organy KAS. W ramach Jednolitego Systemu Podatkowego zbudowany zostanie m. in. System Egzekucja (JSP Egzekucja). System teleinformatyczny Portal </w:t>
      </w:r>
      <w:proofErr w:type="spellStart"/>
      <w:r w:rsidRPr="00B04FED">
        <w:rPr>
          <w:rFonts w:ascii="Arial" w:hAnsi="Arial" w:cs="Arial"/>
        </w:rPr>
        <w:t>eLicytacje</w:t>
      </w:r>
      <w:proofErr w:type="spellEnd"/>
      <w:r w:rsidRPr="00B04FED">
        <w:rPr>
          <w:rFonts w:ascii="Arial" w:hAnsi="Arial" w:cs="Arial"/>
        </w:rPr>
        <w:t xml:space="preserve"> umożliwiający naczelnikom urzędów skarbowych działającym jako organy egzekucyjne elektroniczną sprzedaż ruchomości i nieruchomości będzie zintegrowany z JSP Egzekucja. W Portalu </w:t>
      </w:r>
      <w:proofErr w:type="spellStart"/>
      <w:r w:rsidRPr="00B04FED">
        <w:rPr>
          <w:rFonts w:ascii="Arial" w:hAnsi="Arial" w:cs="Arial"/>
        </w:rPr>
        <w:t>eLicytacje</w:t>
      </w:r>
      <w:proofErr w:type="spellEnd"/>
      <w:r w:rsidRPr="00B04FED">
        <w:rPr>
          <w:rFonts w:ascii="Arial" w:hAnsi="Arial" w:cs="Arial"/>
        </w:rPr>
        <w:t xml:space="preserve"> będą publikowane również sporządzane przez tych naczelników obwieszczenia i ogłoszenia o sprzedaży ruchomości, obwieszczenia o sprzedaży nieruchomości, ogłoszenia o przetargu ofert, ogłoszenia o sprzedaży z wolnej ręki oraz inne dokumenty związane ze sprzedażą ruchomości i nieruchomości. Ponadto za pośrednictwem Portalu </w:t>
      </w:r>
      <w:proofErr w:type="spellStart"/>
      <w:r w:rsidRPr="00B04FED">
        <w:rPr>
          <w:rFonts w:ascii="Arial" w:hAnsi="Arial" w:cs="Arial"/>
        </w:rPr>
        <w:t>eLicytacje</w:t>
      </w:r>
      <w:proofErr w:type="spellEnd"/>
      <w:r w:rsidRPr="00B04FED">
        <w:rPr>
          <w:rFonts w:ascii="Arial" w:hAnsi="Arial" w:cs="Arial"/>
        </w:rPr>
        <w:t xml:space="preserve"> naczelnicy urzędów skarbowych działający jako organy egzekucyjne będą </w:t>
      </w:r>
      <w:r w:rsidRPr="00B04FED">
        <w:rPr>
          <w:rFonts w:ascii="Arial" w:hAnsi="Arial" w:cs="Arial"/>
        </w:rPr>
        <w:lastRenderedPageBreak/>
        <w:t xml:space="preserve">mieli możliwość sprzedaży elektronicznej ruchomości z wolnej ręki. Portal </w:t>
      </w:r>
      <w:proofErr w:type="spellStart"/>
      <w:r w:rsidRPr="00B04FED">
        <w:rPr>
          <w:rFonts w:ascii="Arial" w:hAnsi="Arial" w:cs="Arial"/>
        </w:rPr>
        <w:t>eLicytacje</w:t>
      </w:r>
      <w:proofErr w:type="spellEnd"/>
      <w:r w:rsidRPr="00B04FED">
        <w:rPr>
          <w:rFonts w:ascii="Arial" w:hAnsi="Arial" w:cs="Arial"/>
        </w:rPr>
        <w:t xml:space="preserve"> będzie prowadzony przez Szefa KAS albo wyznaczony organ KAS.</w:t>
      </w:r>
    </w:p>
    <w:p w14:paraId="5ECB7045" w14:textId="77777777" w:rsidR="00B04FED" w:rsidRPr="00B04FED" w:rsidRDefault="00B04FED" w:rsidP="00B04FED">
      <w:pPr>
        <w:spacing w:after="0"/>
        <w:jc w:val="both"/>
        <w:rPr>
          <w:rFonts w:ascii="Arial" w:hAnsi="Arial" w:cs="Arial"/>
        </w:rPr>
      </w:pPr>
      <w:r w:rsidRPr="00B04FED">
        <w:rPr>
          <w:rFonts w:ascii="Arial" w:hAnsi="Arial" w:cs="Arial"/>
        </w:rPr>
        <w:t>Rozwiązania w zakresie elektronicznej licytacji ruchomości i nieruchomości będą analogiczne do obowiązujących w sądowym postępowaniu egzekucyjnym. Warunkami udziału w licytacji elektronicznej ruchomości i nieruchomości będą m. in. złożenie przez osobę zainteresowaną udziałem w licytacji wadium na rachunek naczelnika urzędu skarbowego (o ile będzie wymagane) i złożenie oświadczenia (czy zamierza nabyć ruchomość lub nieruchomość do majątku wspólnego, jeżeli pozostaje w związku małżeńskim oraz czy będzie licytowała jako pełnomocnik). O dopuszczeniu do udziału w licytacji albo o odmowie dopuszczenia (wraz z podaniem przyczyn) osoba zainteresowana zostanie niezwłocznie zawiadomiona. Na odmowę dopuszczenia do licytacji elektronicznej osobie tej będzie przysługiwała skarga.</w:t>
      </w:r>
    </w:p>
    <w:p w14:paraId="3D9EFE0E" w14:textId="77777777" w:rsidR="00B04FED" w:rsidRPr="00B04FED" w:rsidRDefault="00B04FED" w:rsidP="00B04FED">
      <w:pPr>
        <w:spacing w:after="0"/>
        <w:jc w:val="both"/>
        <w:rPr>
          <w:rFonts w:ascii="Arial" w:hAnsi="Arial" w:cs="Arial"/>
        </w:rPr>
      </w:pPr>
      <w:r w:rsidRPr="00B04FED">
        <w:rPr>
          <w:rFonts w:ascii="Arial" w:hAnsi="Arial" w:cs="Arial"/>
        </w:rPr>
        <w:t xml:space="preserve">Czas trwania licytacji elektronicznej ruchomości i nieruchomości będzie wynosił co do zasady 7 dni. W przypadku sprzedaży ruchomości w drodze licytacji elektronicznej obwieszczenie o tej sprzedaży będzie zamieszczane w Portalu </w:t>
      </w:r>
      <w:proofErr w:type="spellStart"/>
      <w:r w:rsidRPr="00B04FED">
        <w:rPr>
          <w:rFonts w:ascii="Arial" w:hAnsi="Arial" w:cs="Arial"/>
        </w:rPr>
        <w:t>eLicytacje</w:t>
      </w:r>
      <w:proofErr w:type="spellEnd"/>
      <w:r w:rsidRPr="00B04FED">
        <w:rPr>
          <w:rFonts w:ascii="Arial" w:hAnsi="Arial" w:cs="Arial"/>
        </w:rPr>
        <w:t xml:space="preserve"> co najmniej na 7 dni przed rozpoczęciem licytacji. Jeżeli będą sprzedawane ruchomości wymienione w art. 104 § 2 pkt 1 i 2 </w:t>
      </w:r>
      <w:proofErr w:type="spellStart"/>
      <w:r w:rsidRPr="00B04FED">
        <w:rPr>
          <w:rFonts w:ascii="Arial" w:hAnsi="Arial" w:cs="Arial"/>
        </w:rPr>
        <w:t>u.p.e.a</w:t>
      </w:r>
      <w:proofErr w:type="spellEnd"/>
      <w:r w:rsidRPr="00B04FED">
        <w:rPr>
          <w:rFonts w:ascii="Arial" w:hAnsi="Arial" w:cs="Arial"/>
        </w:rPr>
        <w:t xml:space="preserve">. (np. ulegające łatwo zepsuciu), termin zamieszczenia obwieszczenia w Portalu </w:t>
      </w:r>
      <w:proofErr w:type="spellStart"/>
      <w:r w:rsidRPr="00B04FED">
        <w:rPr>
          <w:rFonts w:ascii="Arial" w:hAnsi="Arial" w:cs="Arial"/>
        </w:rPr>
        <w:t>eLicytacje</w:t>
      </w:r>
      <w:proofErr w:type="spellEnd"/>
      <w:r w:rsidRPr="00B04FED">
        <w:rPr>
          <w:rFonts w:ascii="Arial" w:hAnsi="Arial" w:cs="Arial"/>
        </w:rPr>
        <w:t xml:space="preserve"> oraz czas trwania licytacji będą skrócone. W przypadku sprzedaży nieruchomości za pośrednictwem Portalu </w:t>
      </w:r>
      <w:proofErr w:type="spellStart"/>
      <w:r w:rsidRPr="00B04FED">
        <w:rPr>
          <w:rFonts w:ascii="Arial" w:hAnsi="Arial" w:cs="Arial"/>
        </w:rPr>
        <w:t>eLicytacje</w:t>
      </w:r>
      <w:proofErr w:type="spellEnd"/>
      <w:r w:rsidRPr="00B04FED">
        <w:rPr>
          <w:rFonts w:ascii="Arial" w:hAnsi="Arial" w:cs="Arial"/>
        </w:rPr>
        <w:t xml:space="preserve"> obwieszczenie o tej sprzedaży będzie zamieszczane w nim co najmniej na 30 dni przed terminem licytacji.</w:t>
      </w:r>
    </w:p>
    <w:p w14:paraId="178523A6" w14:textId="77777777" w:rsidR="00B04FED" w:rsidRPr="00B04FED" w:rsidRDefault="00B04FED" w:rsidP="00B04FED">
      <w:pPr>
        <w:spacing w:after="0"/>
        <w:jc w:val="both"/>
        <w:rPr>
          <w:rFonts w:ascii="Arial" w:hAnsi="Arial" w:cs="Arial"/>
        </w:rPr>
      </w:pPr>
      <w:r w:rsidRPr="00B04FED">
        <w:rPr>
          <w:rFonts w:ascii="Arial" w:hAnsi="Arial" w:cs="Arial"/>
        </w:rPr>
        <w:t xml:space="preserve">Licytację wygra licytant, który zaoferuje najwyższą cenę. W Portalu </w:t>
      </w:r>
      <w:proofErr w:type="spellStart"/>
      <w:r w:rsidRPr="00B04FED">
        <w:rPr>
          <w:rFonts w:ascii="Arial" w:hAnsi="Arial" w:cs="Arial"/>
        </w:rPr>
        <w:t>eLicytacje</w:t>
      </w:r>
      <w:proofErr w:type="spellEnd"/>
      <w:r w:rsidRPr="00B04FED">
        <w:rPr>
          <w:rFonts w:ascii="Arial" w:hAnsi="Arial" w:cs="Arial"/>
        </w:rPr>
        <w:t xml:space="preserve"> zostanie zamieszczone zawiadomienie o zakończeniu licytacji (dane nabywcy nie będą upubliczniane). Zawiadomienie będzie zawierało pouczenie o przysługującym prawie wniesienia skargi. Jeżeli będzie licytowana ruchomość, niezwłocznie po zakończeniu licytacji udzielone zostanie przybicie, o czym będzie zawiadomiony nabywca.</w:t>
      </w:r>
    </w:p>
    <w:p w14:paraId="69B5527F" w14:textId="77777777" w:rsidR="00B04FED" w:rsidRPr="00B04FED" w:rsidRDefault="00B04FED" w:rsidP="00B04FED">
      <w:pPr>
        <w:spacing w:after="0"/>
        <w:jc w:val="both"/>
        <w:rPr>
          <w:rFonts w:ascii="Arial" w:hAnsi="Arial" w:cs="Arial"/>
        </w:rPr>
      </w:pPr>
      <w:r w:rsidRPr="00B04FED">
        <w:rPr>
          <w:rFonts w:ascii="Arial" w:hAnsi="Arial" w:cs="Arial"/>
        </w:rPr>
        <w:t xml:space="preserve">Do doręczeń pomiędzy osobami zainteresowanymi udziałem w sprzedaży elektronicznej a organem egzekucyjnym będącym naczelnikiem urzędu skarbowego wykorzystywane będą funkcjonalności systemu e-Urząd Skarbowy, o którym mowa w art. 35b ust. 1 ustawy z dnia 16 listopada 2016 r. o Krajowej Administracji Skarbowej (Dz. U. z 2023 r. poz. 615, z </w:t>
      </w:r>
      <w:proofErr w:type="spellStart"/>
      <w:r w:rsidRPr="00B04FED">
        <w:rPr>
          <w:rFonts w:ascii="Arial" w:hAnsi="Arial" w:cs="Arial"/>
        </w:rPr>
        <w:t>późn</w:t>
      </w:r>
      <w:proofErr w:type="spellEnd"/>
      <w:r w:rsidRPr="00B04FED">
        <w:rPr>
          <w:rFonts w:ascii="Arial" w:hAnsi="Arial" w:cs="Arial"/>
        </w:rPr>
        <w:t>. zm.). Aby wziąć udział w sprzedaży osoby te będą musiały wyrazić zgodę na doręczenia za pośrednictwem systemu e-Urząd Skarbowy. Dzięki temu zostanie zapewniona sprawna i bezpieczna komunikacja.</w:t>
      </w:r>
    </w:p>
    <w:p w14:paraId="6C2ABF01" w14:textId="77777777" w:rsidR="00B04FED" w:rsidRPr="00B04FED" w:rsidRDefault="00B04FED" w:rsidP="00B04FED">
      <w:pPr>
        <w:spacing w:after="0"/>
        <w:jc w:val="both"/>
        <w:rPr>
          <w:rFonts w:ascii="Arial" w:hAnsi="Arial" w:cs="Arial"/>
        </w:rPr>
      </w:pPr>
      <w:r w:rsidRPr="00B04FED">
        <w:rPr>
          <w:rFonts w:ascii="Arial" w:hAnsi="Arial" w:cs="Arial"/>
        </w:rPr>
        <w:t xml:space="preserve">Przewiduje się, że uruchomienie Portalu </w:t>
      </w:r>
      <w:proofErr w:type="spellStart"/>
      <w:r w:rsidRPr="00B04FED">
        <w:rPr>
          <w:rFonts w:ascii="Arial" w:hAnsi="Arial" w:cs="Arial"/>
        </w:rPr>
        <w:t>eLicytacje</w:t>
      </w:r>
      <w:proofErr w:type="spellEnd"/>
      <w:r w:rsidRPr="00B04FED">
        <w:rPr>
          <w:rFonts w:ascii="Arial" w:hAnsi="Arial" w:cs="Arial"/>
        </w:rPr>
        <w:t xml:space="preserve"> nastąpi w dwóch etapach. W pierwszym etapie zaplanowano uruchomienie funkcjonalności w zakresie zamieszczania w Portalu </w:t>
      </w:r>
      <w:proofErr w:type="spellStart"/>
      <w:r w:rsidRPr="00B04FED">
        <w:rPr>
          <w:rFonts w:ascii="Arial" w:hAnsi="Arial" w:cs="Arial"/>
        </w:rPr>
        <w:t>eLictacje</w:t>
      </w:r>
      <w:proofErr w:type="spellEnd"/>
      <w:r w:rsidRPr="00B04FED">
        <w:rPr>
          <w:rFonts w:ascii="Arial" w:hAnsi="Arial" w:cs="Arial"/>
        </w:rPr>
        <w:t xml:space="preserve"> ogłoszeń, obwieszczeń i innych dokumentów dotyczących egzekucji z ruchomości i nieruchomości oraz elektronicznej sprzedaży elektronicznej ruchomości (licytacji ruchomości i sprzedaży ruchomości z wolnej ręki).</w:t>
      </w:r>
    </w:p>
    <w:p w14:paraId="3EEE86A5" w14:textId="77777777" w:rsidR="00B04FED" w:rsidRPr="00B04FED" w:rsidRDefault="00B04FED" w:rsidP="00B04FED">
      <w:pPr>
        <w:spacing w:after="0"/>
        <w:jc w:val="both"/>
        <w:rPr>
          <w:rFonts w:ascii="Arial" w:hAnsi="Arial" w:cs="Arial"/>
        </w:rPr>
      </w:pPr>
      <w:r w:rsidRPr="00B04FED">
        <w:rPr>
          <w:rFonts w:ascii="Arial" w:hAnsi="Arial" w:cs="Arial"/>
        </w:rPr>
        <w:t xml:space="preserve">W drugim etapie przewiduje się udostępnienie funkcjonalności związanych z licytacją nieruchomości. W związku z tym minister właściwy do spraw finansów publicznych ogłosi, w drodze obwieszczenia w dzienniku urzędowym, termin uruchomienia Portalu </w:t>
      </w:r>
      <w:proofErr w:type="spellStart"/>
      <w:r w:rsidRPr="00B04FED">
        <w:rPr>
          <w:rFonts w:ascii="Arial" w:hAnsi="Arial" w:cs="Arial"/>
        </w:rPr>
        <w:t>eLicytacje</w:t>
      </w:r>
      <w:proofErr w:type="spellEnd"/>
      <w:r w:rsidRPr="00B04FED">
        <w:rPr>
          <w:rFonts w:ascii="Arial" w:hAnsi="Arial" w:cs="Arial"/>
        </w:rPr>
        <w:t xml:space="preserve"> oraz terminy udostępnienia jego poszczególnych funkcjonalności.</w:t>
      </w:r>
    </w:p>
    <w:p w14:paraId="6D023812" w14:textId="06237AFD" w:rsidR="00804C8A" w:rsidRDefault="00B04FED" w:rsidP="00B04FED">
      <w:pPr>
        <w:spacing w:after="0"/>
        <w:jc w:val="both"/>
        <w:rPr>
          <w:rFonts w:ascii="Arial" w:hAnsi="Arial" w:cs="Arial"/>
        </w:rPr>
      </w:pPr>
      <w:r w:rsidRPr="00B04FED">
        <w:rPr>
          <w:rFonts w:ascii="Arial" w:hAnsi="Arial" w:cs="Arial"/>
        </w:rPr>
        <w:t xml:space="preserve">Oczekuje się, że sprzedaż elektroniczna za pośrednictwem Portalu </w:t>
      </w:r>
      <w:proofErr w:type="spellStart"/>
      <w:r w:rsidRPr="00B04FED">
        <w:rPr>
          <w:rFonts w:ascii="Arial" w:hAnsi="Arial" w:cs="Arial"/>
        </w:rPr>
        <w:t>eLicytacje</w:t>
      </w:r>
      <w:proofErr w:type="spellEnd"/>
      <w:r w:rsidRPr="00B04FED">
        <w:rPr>
          <w:rFonts w:ascii="Arial" w:hAnsi="Arial" w:cs="Arial"/>
        </w:rPr>
        <w:t xml:space="preserve"> wzmocni transparentność przebiegu sprzedaży i działań naczelników urzędów skarbowych w jej toku przy jednoczesnym zapewnieniu ochrony praw zobowiązanego. Przyczyni się również do zwiększenia kręgu potencjalnych nabywców, ponieważ umożliwi uczestniczenie w sprzedaży z dowolnego miejsca. Zamieszczanie w Portalu </w:t>
      </w:r>
      <w:proofErr w:type="spellStart"/>
      <w:r w:rsidRPr="00B04FED">
        <w:rPr>
          <w:rFonts w:ascii="Arial" w:hAnsi="Arial" w:cs="Arial"/>
        </w:rPr>
        <w:t>eLicytacje</w:t>
      </w:r>
      <w:proofErr w:type="spellEnd"/>
      <w:r w:rsidRPr="00B04FED">
        <w:rPr>
          <w:rFonts w:ascii="Arial" w:hAnsi="Arial" w:cs="Arial"/>
        </w:rPr>
        <w:t xml:space="preserve"> ogłoszeń i obwieszczeń o sprzedaży ułatwi pozyskanie informacji o nich. Portal </w:t>
      </w:r>
      <w:proofErr w:type="spellStart"/>
      <w:r w:rsidRPr="00B04FED">
        <w:rPr>
          <w:rFonts w:ascii="Arial" w:hAnsi="Arial" w:cs="Arial"/>
        </w:rPr>
        <w:t>eLicytacje</w:t>
      </w:r>
      <w:proofErr w:type="spellEnd"/>
      <w:r w:rsidRPr="00B04FED">
        <w:rPr>
          <w:rFonts w:ascii="Arial" w:hAnsi="Arial" w:cs="Arial"/>
        </w:rPr>
        <w:t xml:space="preserve"> ustandaryzuje i unowocześni działania naczelników urzędów skarbowych jako administracyjnych organów egzekucyjnych. </w:t>
      </w:r>
      <w:r w:rsidRPr="00B04FED">
        <w:rPr>
          <w:rFonts w:ascii="Arial" w:hAnsi="Arial" w:cs="Arial"/>
        </w:rPr>
        <w:lastRenderedPageBreak/>
        <w:t>Przewiduje się, że projektowane rozwiązania usprawnią proces sprzedaży, a zwiększenie kręgu potencjalnych nabywców może przełożyć się na wzrost efektywności egzekucji</w:t>
      </w:r>
      <w:r>
        <w:rPr>
          <w:rFonts w:ascii="Arial" w:hAnsi="Arial" w:cs="Arial"/>
        </w:rPr>
        <w:t>.</w:t>
      </w:r>
    </w:p>
    <w:p w14:paraId="0A8B25B1" w14:textId="77777777" w:rsidR="00B04FED" w:rsidRDefault="00B04FED" w:rsidP="00B04FED">
      <w:pPr>
        <w:spacing w:after="0"/>
        <w:jc w:val="both"/>
        <w:rPr>
          <w:rFonts w:ascii="Arial" w:hAnsi="Arial" w:cs="Arial"/>
        </w:rPr>
      </w:pPr>
    </w:p>
    <w:p w14:paraId="17513C00" w14:textId="77777777" w:rsidR="00B04FED" w:rsidRPr="00B04FED" w:rsidRDefault="00B04FED" w:rsidP="00B04FED">
      <w:pPr>
        <w:spacing w:after="0"/>
        <w:jc w:val="both"/>
        <w:rPr>
          <w:rFonts w:ascii="Arial" w:hAnsi="Arial" w:cs="Arial"/>
        </w:rPr>
      </w:pPr>
      <w:r w:rsidRPr="00B04FED">
        <w:rPr>
          <w:rFonts w:ascii="Arial" w:hAnsi="Arial" w:cs="Arial"/>
        </w:rPr>
        <w:t>Przedmiotowy projekt aktu prawnego wraz z Uzasadnieniem oraz Oceną Skutków Regulacji dostępny jest na stronach Rządowego Centrum Legislacji pod adresem:</w:t>
      </w:r>
    </w:p>
    <w:p w14:paraId="65100161" w14:textId="22A3E21D" w:rsidR="00B04FED" w:rsidRDefault="00B04FED" w:rsidP="00B04FED">
      <w:pPr>
        <w:spacing w:after="0"/>
        <w:jc w:val="both"/>
        <w:rPr>
          <w:rFonts w:ascii="Arial" w:hAnsi="Arial" w:cs="Arial"/>
        </w:rPr>
      </w:pPr>
      <w:hyperlink r:id="rId7" w:history="1">
        <w:r w:rsidRPr="006A7CBC">
          <w:rPr>
            <w:rStyle w:val="Hipercze"/>
            <w:rFonts w:ascii="Arial" w:hAnsi="Arial" w:cs="Arial"/>
          </w:rPr>
          <w:t>https://legislacja.rcl.gov.pl/projekt/12397</w:t>
        </w:r>
        <w:r w:rsidRPr="006A7CBC">
          <w:rPr>
            <w:rStyle w:val="Hipercze"/>
            <w:rFonts w:ascii="Arial" w:hAnsi="Arial" w:cs="Arial"/>
          </w:rPr>
          <w:t>7</w:t>
        </w:r>
        <w:r w:rsidRPr="006A7CBC">
          <w:rPr>
            <w:rStyle w:val="Hipercze"/>
            <w:rFonts w:ascii="Arial" w:hAnsi="Arial" w:cs="Arial"/>
          </w:rPr>
          <w:t>01/katalog/13127501#13127501</w:t>
        </w:r>
      </w:hyperlink>
      <w:r>
        <w:rPr>
          <w:rFonts w:ascii="Arial" w:hAnsi="Arial" w:cs="Arial"/>
        </w:rPr>
        <w:t xml:space="preserve"> </w:t>
      </w:r>
    </w:p>
    <w:p w14:paraId="05B3C842" w14:textId="77777777" w:rsidR="00B04FED" w:rsidRDefault="00B04FED" w:rsidP="00B04FED">
      <w:pPr>
        <w:spacing w:after="0"/>
        <w:jc w:val="both"/>
        <w:rPr>
          <w:rFonts w:ascii="Arial" w:hAnsi="Arial" w:cs="Arial"/>
        </w:rPr>
      </w:pPr>
    </w:p>
    <w:p w14:paraId="37BB6BC4" w14:textId="53AAD499" w:rsidR="00B04FED" w:rsidRDefault="00B04FED" w:rsidP="00B04FED">
      <w:pPr>
        <w:spacing w:after="0"/>
        <w:jc w:val="both"/>
        <w:rPr>
          <w:rFonts w:ascii="Arial" w:hAnsi="Arial" w:cs="Arial"/>
        </w:rPr>
      </w:pPr>
      <w:r w:rsidRPr="00B04FED">
        <w:rPr>
          <w:rFonts w:ascii="Arial" w:hAnsi="Arial" w:cs="Arial"/>
        </w:rPr>
        <w:t>Projekt jest obecnie jednocześnie na etapie uzgodnień, konsultacji publicznych i opiniowania.</w:t>
      </w:r>
    </w:p>
    <w:p w14:paraId="44F4BD11" w14:textId="77777777" w:rsidR="00804C8A" w:rsidRPr="00804C8A" w:rsidRDefault="00804C8A" w:rsidP="00804C8A">
      <w:pPr>
        <w:spacing w:after="0"/>
        <w:jc w:val="both"/>
        <w:rPr>
          <w:rFonts w:ascii="Arial" w:hAnsi="Arial" w:cs="Arial"/>
        </w:rPr>
      </w:pPr>
    </w:p>
    <w:p w14:paraId="6893AE2F" w14:textId="6BB90DC2" w:rsidR="000A0C11" w:rsidRPr="00B04FED" w:rsidRDefault="00B04FED" w:rsidP="000A0C11">
      <w:pPr>
        <w:pStyle w:val="Akapitzlist"/>
        <w:numPr>
          <w:ilvl w:val="0"/>
          <w:numId w:val="3"/>
        </w:numPr>
        <w:spacing w:after="0"/>
        <w:jc w:val="both"/>
        <w:rPr>
          <w:rFonts w:ascii="Arial" w:hAnsi="Arial" w:cs="Arial"/>
          <w:b/>
          <w:bCs/>
          <w:u w:val="single"/>
        </w:rPr>
      </w:pPr>
      <w:r w:rsidRPr="00B04FED">
        <w:rPr>
          <w:rFonts w:ascii="Arial" w:hAnsi="Arial" w:cs="Arial"/>
          <w:b/>
          <w:bCs/>
          <w:u w:val="single"/>
        </w:rPr>
        <w:t>P</w:t>
      </w:r>
      <w:r w:rsidRPr="00B04FED">
        <w:rPr>
          <w:rFonts w:ascii="Arial" w:hAnsi="Arial" w:cs="Arial"/>
          <w:b/>
          <w:bCs/>
          <w:u w:val="single"/>
        </w:rPr>
        <w:t>rojekt ustawy o zmianie ustawy - Kodeks karny skarbowy oraz ustawy – Ordynacja podatkowa (numer z wykazu UDER30).</w:t>
      </w:r>
    </w:p>
    <w:p w14:paraId="0DC8D1A8" w14:textId="77777777" w:rsidR="00804C8A" w:rsidRDefault="00804C8A" w:rsidP="00804C8A">
      <w:pPr>
        <w:spacing w:after="0"/>
        <w:jc w:val="both"/>
        <w:rPr>
          <w:rFonts w:ascii="Arial" w:hAnsi="Arial" w:cs="Arial"/>
        </w:rPr>
      </w:pPr>
    </w:p>
    <w:p w14:paraId="0B443AF4" w14:textId="77777777" w:rsidR="00B04FED" w:rsidRPr="00B04FED" w:rsidRDefault="00B04FED" w:rsidP="00B04FED">
      <w:pPr>
        <w:spacing w:after="0"/>
        <w:jc w:val="both"/>
        <w:rPr>
          <w:rFonts w:ascii="Arial" w:hAnsi="Arial" w:cs="Arial"/>
        </w:rPr>
      </w:pPr>
      <w:r w:rsidRPr="00B04FED">
        <w:rPr>
          <w:rFonts w:ascii="Arial" w:hAnsi="Arial" w:cs="Arial"/>
        </w:rPr>
        <w:t xml:space="preserve">Obecnie przewidziana dolegliwość karna w ustawie Kodeks karny skarbowy w przypadku czynów niemających charakteru </w:t>
      </w:r>
      <w:proofErr w:type="spellStart"/>
      <w:r w:rsidRPr="00B04FED">
        <w:rPr>
          <w:rFonts w:ascii="Arial" w:hAnsi="Arial" w:cs="Arial"/>
        </w:rPr>
        <w:t>uszczupleniowego</w:t>
      </w:r>
      <w:proofErr w:type="spellEnd"/>
      <w:r w:rsidRPr="00B04FED">
        <w:rPr>
          <w:rFonts w:ascii="Arial" w:hAnsi="Arial" w:cs="Arial"/>
        </w:rPr>
        <w:t xml:space="preserve"> wydaje się nieadekwatna do stopnia społecznej szkodliwości tej kategorii zachowań. Ponadto, niektóre przepisy wymagają usystematyzowania tak, aby czyny polegające na niezłożeniu (niesporządzeniu) dokumentów znajdowały się w odrębnym paragrafie danego artykułu niż czyny dotyczące podania nierzetelnych danych bądź czyny naruszające terminowość składanych dokumentów. </w:t>
      </w:r>
    </w:p>
    <w:p w14:paraId="539664A7" w14:textId="77777777" w:rsidR="00B04FED" w:rsidRPr="00B04FED" w:rsidRDefault="00B04FED" w:rsidP="00B04FED">
      <w:pPr>
        <w:spacing w:after="0"/>
        <w:jc w:val="both"/>
        <w:rPr>
          <w:rFonts w:ascii="Arial" w:hAnsi="Arial" w:cs="Arial"/>
        </w:rPr>
      </w:pPr>
      <w:r w:rsidRPr="00B04FED">
        <w:rPr>
          <w:rFonts w:ascii="Arial" w:hAnsi="Arial" w:cs="Arial"/>
        </w:rPr>
        <w:t xml:space="preserve">Celem ograniczenia (zmniejszenia) procedur administracyjnych oraz zapewnienia przejrzystości systemu podatkowego (co wpisuje się w proces </w:t>
      </w:r>
      <w:proofErr w:type="spellStart"/>
      <w:r w:rsidRPr="00B04FED">
        <w:rPr>
          <w:rFonts w:ascii="Arial" w:hAnsi="Arial" w:cs="Arial"/>
        </w:rPr>
        <w:t>deregulacyjny</w:t>
      </w:r>
      <w:proofErr w:type="spellEnd"/>
      <w:r w:rsidRPr="00B04FED">
        <w:rPr>
          <w:rFonts w:ascii="Arial" w:hAnsi="Arial" w:cs="Arial"/>
        </w:rPr>
        <w:t>) proponuje się uchylenie obowiązku zgłaszania osób odpowiedzialnych za obliczanie, pobieranie i wpłacanie podatków.</w:t>
      </w:r>
    </w:p>
    <w:p w14:paraId="4BA0357B" w14:textId="77777777" w:rsidR="00B04FED" w:rsidRPr="00B04FED" w:rsidRDefault="00B04FED" w:rsidP="00B04FED">
      <w:pPr>
        <w:spacing w:after="0"/>
        <w:jc w:val="both"/>
        <w:rPr>
          <w:rFonts w:ascii="Arial" w:hAnsi="Arial" w:cs="Arial"/>
        </w:rPr>
      </w:pPr>
      <w:r w:rsidRPr="00B04FED">
        <w:rPr>
          <w:rFonts w:ascii="Arial" w:hAnsi="Arial" w:cs="Arial"/>
        </w:rPr>
        <w:t>Projekt zakłada zmiany w ustawie Kodeks karny skarbowy oraz w ustawie - Ordynacja podatkowa polegające na:</w:t>
      </w:r>
    </w:p>
    <w:p w14:paraId="5C308F37" w14:textId="1A926EF1" w:rsidR="00B04FED" w:rsidRPr="00B04FED" w:rsidRDefault="00B04FED" w:rsidP="00B04FED">
      <w:pPr>
        <w:pStyle w:val="Akapitzlist"/>
        <w:numPr>
          <w:ilvl w:val="0"/>
          <w:numId w:val="6"/>
        </w:numPr>
        <w:spacing w:after="0"/>
        <w:jc w:val="both"/>
        <w:rPr>
          <w:rFonts w:ascii="Arial" w:hAnsi="Arial" w:cs="Arial"/>
        </w:rPr>
      </w:pPr>
      <w:r w:rsidRPr="00B04FED">
        <w:rPr>
          <w:rFonts w:ascii="Arial" w:hAnsi="Arial" w:cs="Arial"/>
        </w:rPr>
        <w:t>obniżeniu najwyższej liczby stawek dziennych grzywny wymierzanej za przestępstwa skarbowe mające charakter formalny tj. dotyczące dokumentów w postaci oświadczeń oraz informacji, do złożenia których obligują przepisy podatkowe.</w:t>
      </w:r>
    </w:p>
    <w:p w14:paraId="4DF32186" w14:textId="3E906557" w:rsidR="00B04FED" w:rsidRPr="00B04FED" w:rsidRDefault="00B04FED" w:rsidP="00B04FED">
      <w:pPr>
        <w:pStyle w:val="Akapitzlist"/>
        <w:numPr>
          <w:ilvl w:val="0"/>
          <w:numId w:val="6"/>
        </w:numPr>
        <w:spacing w:after="0"/>
        <w:jc w:val="both"/>
        <w:rPr>
          <w:rFonts w:ascii="Arial" w:hAnsi="Arial" w:cs="Arial"/>
        </w:rPr>
      </w:pPr>
      <w:r w:rsidRPr="00B04FED">
        <w:rPr>
          <w:rFonts w:ascii="Arial" w:hAnsi="Arial" w:cs="Arial"/>
        </w:rPr>
        <w:t>usystematyzowanie przepisów tak, aby czyny polegające na niezłożeniu (niesporządzeniu) dokumentów znajdowały się w odrębnym paragrafie danego artykułu niż czyny dotyczące podania nierzetelnych danych bądź czyny naruszające terminowość składanych dokumentów.</w:t>
      </w:r>
    </w:p>
    <w:p w14:paraId="0359E4C7" w14:textId="14C4A473" w:rsidR="00B04FED" w:rsidRPr="00B04FED" w:rsidRDefault="00B04FED" w:rsidP="00B04FED">
      <w:pPr>
        <w:pStyle w:val="Akapitzlist"/>
        <w:numPr>
          <w:ilvl w:val="0"/>
          <w:numId w:val="6"/>
        </w:numPr>
        <w:spacing w:after="0"/>
        <w:jc w:val="both"/>
        <w:rPr>
          <w:rFonts w:ascii="Arial" w:hAnsi="Arial" w:cs="Arial"/>
        </w:rPr>
      </w:pPr>
      <w:r w:rsidRPr="00B04FED">
        <w:rPr>
          <w:rFonts w:ascii="Arial" w:hAnsi="Arial" w:cs="Arial"/>
        </w:rPr>
        <w:t>uchylenie przepisu penalizującego niewyznaczenie osoby obliczającej i pobierającej podatki w związku z wykreśleniem przedmiotowego obowiązku w ustawie Ordynacja podatkowa.</w:t>
      </w:r>
    </w:p>
    <w:p w14:paraId="2AAA6AA1" w14:textId="77777777" w:rsidR="00B04FED" w:rsidRPr="00B04FED" w:rsidRDefault="00B04FED" w:rsidP="00B04FED">
      <w:pPr>
        <w:spacing w:after="0"/>
        <w:jc w:val="both"/>
        <w:rPr>
          <w:rFonts w:ascii="Arial" w:hAnsi="Arial" w:cs="Arial"/>
        </w:rPr>
      </w:pPr>
      <w:r w:rsidRPr="00B04FED">
        <w:rPr>
          <w:rFonts w:ascii="Arial" w:hAnsi="Arial" w:cs="Arial"/>
        </w:rPr>
        <w:t xml:space="preserve">Projektowane zmiany mają na celu złagodzenie kar, które w przypadku czynów niemających charakteru </w:t>
      </w:r>
      <w:proofErr w:type="spellStart"/>
      <w:r w:rsidRPr="00B04FED">
        <w:rPr>
          <w:rFonts w:ascii="Arial" w:hAnsi="Arial" w:cs="Arial"/>
        </w:rPr>
        <w:t>uszczupleniowego</w:t>
      </w:r>
      <w:proofErr w:type="spellEnd"/>
      <w:r w:rsidRPr="00B04FED">
        <w:rPr>
          <w:rFonts w:ascii="Arial" w:hAnsi="Arial" w:cs="Arial"/>
        </w:rPr>
        <w:t xml:space="preserve"> w swoich znamionach wydają się być wystarczające i spełniające funkcje prewencyjne. Proponowane w projekcie zagrożenie przewidziane w tych przepisach będzie adekwatne do stopnia społecznej szkodliwości tej kategorii zachowań.</w:t>
      </w:r>
    </w:p>
    <w:p w14:paraId="66C96F23" w14:textId="77777777" w:rsidR="00B04FED" w:rsidRPr="00B04FED" w:rsidRDefault="00B04FED" w:rsidP="00B04FED">
      <w:pPr>
        <w:spacing w:after="0"/>
        <w:jc w:val="both"/>
        <w:rPr>
          <w:rFonts w:ascii="Arial" w:hAnsi="Arial" w:cs="Arial"/>
        </w:rPr>
      </w:pPr>
      <w:r w:rsidRPr="00B04FED">
        <w:rPr>
          <w:rFonts w:ascii="Arial" w:hAnsi="Arial" w:cs="Arial"/>
        </w:rPr>
        <w:t>W przypadku wskazanych przestępstw skarbowych proponuje się określić maksymalną liczbę stawek dziennych, którą sąd wymierza za dany czyn zabroniony, poprzez zmianę górnej granicy kary grzywny, którą można nałożyć za poszczególne przestępstwa, tj. z obecnie przewidzianych 720 stawek (44 793 504 zł) na 480 stawek (29 862 336 zł) lub 240 stawek (14 931 168 zł), czy z obecnie przewidzianych 240 stawek na 120 stawek dziennych (7 465 584 zł). Obniżeniu ulegną zarówno kary grzywny za czyny polegające na niewykonaniu obowiązku (niezłożeniu, niesporządzeniu) jak i czyny związane z naruszeniem ustawowych terminów.</w:t>
      </w:r>
    </w:p>
    <w:p w14:paraId="58B98AF3" w14:textId="77777777" w:rsidR="00B04FED" w:rsidRPr="00B04FED" w:rsidRDefault="00B04FED" w:rsidP="00B04FED">
      <w:pPr>
        <w:spacing w:after="0"/>
        <w:jc w:val="both"/>
        <w:rPr>
          <w:rFonts w:ascii="Arial" w:hAnsi="Arial" w:cs="Arial"/>
        </w:rPr>
      </w:pPr>
      <w:r w:rsidRPr="00B04FED">
        <w:rPr>
          <w:rFonts w:ascii="Arial" w:hAnsi="Arial" w:cs="Arial"/>
        </w:rPr>
        <w:t>Skutkiem proponowanych zmian będzie:</w:t>
      </w:r>
    </w:p>
    <w:p w14:paraId="61146212" w14:textId="77777777" w:rsidR="00B04FED" w:rsidRPr="00B04FED" w:rsidRDefault="00B04FED" w:rsidP="00B04FED">
      <w:pPr>
        <w:spacing w:after="0"/>
        <w:jc w:val="both"/>
        <w:rPr>
          <w:rFonts w:ascii="Arial" w:hAnsi="Arial" w:cs="Arial"/>
        </w:rPr>
      </w:pPr>
      <w:r w:rsidRPr="00B04FED">
        <w:rPr>
          <w:rFonts w:ascii="Arial" w:hAnsi="Arial" w:cs="Arial"/>
        </w:rPr>
        <w:t>- zwiększenie transparentności przepisów Kodeksu karnego skarbowego,</w:t>
      </w:r>
    </w:p>
    <w:p w14:paraId="6603258D" w14:textId="77777777" w:rsidR="00B04FED" w:rsidRPr="00B04FED" w:rsidRDefault="00B04FED" w:rsidP="00B04FED">
      <w:pPr>
        <w:spacing w:after="0"/>
        <w:jc w:val="both"/>
        <w:rPr>
          <w:rFonts w:ascii="Arial" w:hAnsi="Arial" w:cs="Arial"/>
        </w:rPr>
      </w:pPr>
      <w:r w:rsidRPr="00B04FED">
        <w:rPr>
          <w:rFonts w:ascii="Arial" w:hAnsi="Arial" w:cs="Arial"/>
        </w:rPr>
        <w:t>- wzmocnienie zaufania obywateli do organów państwa,</w:t>
      </w:r>
    </w:p>
    <w:p w14:paraId="30FD25A8" w14:textId="0BFBBF3D" w:rsidR="00804C8A" w:rsidRDefault="00B04FED" w:rsidP="00B04FED">
      <w:pPr>
        <w:spacing w:after="0"/>
        <w:jc w:val="both"/>
        <w:rPr>
          <w:rFonts w:ascii="Arial" w:hAnsi="Arial" w:cs="Arial"/>
        </w:rPr>
      </w:pPr>
      <w:r w:rsidRPr="00B04FED">
        <w:rPr>
          <w:rFonts w:ascii="Arial" w:hAnsi="Arial" w:cs="Arial"/>
        </w:rPr>
        <w:lastRenderedPageBreak/>
        <w:t>- zmniejszenie liczby dokumentów przesyłanych przez płatnika / inkasenta do organów podatkowych</w:t>
      </w:r>
      <w:r>
        <w:rPr>
          <w:rFonts w:ascii="Arial" w:hAnsi="Arial" w:cs="Arial"/>
        </w:rPr>
        <w:t>.</w:t>
      </w:r>
    </w:p>
    <w:p w14:paraId="1354536B" w14:textId="77777777" w:rsidR="00804C8A" w:rsidRDefault="00804C8A" w:rsidP="00804C8A">
      <w:pPr>
        <w:spacing w:after="0"/>
        <w:jc w:val="both"/>
        <w:rPr>
          <w:rFonts w:ascii="Arial" w:hAnsi="Arial" w:cs="Arial"/>
        </w:rPr>
      </w:pPr>
    </w:p>
    <w:p w14:paraId="4865E499" w14:textId="77777777" w:rsidR="00B04FED" w:rsidRPr="00B04FED" w:rsidRDefault="00B04FED" w:rsidP="00B04FED">
      <w:pPr>
        <w:spacing w:after="0"/>
        <w:jc w:val="both"/>
        <w:rPr>
          <w:rFonts w:ascii="Arial" w:hAnsi="Arial" w:cs="Arial"/>
        </w:rPr>
      </w:pPr>
      <w:r w:rsidRPr="00B04FED">
        <w:rPr>
          <w:rFonts w:ascii="Arial" w:hAnsi="Arial" w:cs="Arial"/>
        </w:rPr>
        <w:t>Przedmiotowy projekt aktu prawnego wraz z Uzasadnieniem oraz Oceną Skutków Regulacji dostępny jest na stronach Rządowego Centrum Legislacji pod adresem:</w:t>
      </w:r>
    </w:p>
    <w:p w14:paraId="48788265" w14:textId="5E3A8F98" w:rsidR="00B04FED" w:rsidRDefault="00B04FED" w:rsidP="00B04FED">
      <w:pPr>
        <w:spacing w:after="0"/>
        <w:jc w:val="both"/>
        <w:rPr>
          <w:rFonts w:ascii="Arial" w:hAnsi="Arial" w:cs="Arial"/>
        </w:rPr>
      </w:pPr>
      <w:hyperlink r:id="rId8" w:history="1">
        <w:r w:rsidRPr="006A7CBC">
          <w:rPr>
            <w:rStyle w:val="Hipercze"/>
            <w:rFonts w:ascii="Arial" w:hAnsi="Arial" w:cs="Arial"/>
          </w:rPr>
          <w:t>https://legislacja.rcl.gov.pl/projekt/123978</w:t>
        </w:r>
        <w:r w:rsidRPr="006A7CBC">
          <w:rPr>
            <w:rStyle w:val="Hipercze"/>
            <w:rFonts w:ascii="Arial" w:hAnsi="Arial" w:cs="Arial"/>
          </w:rPr>
          <w:t>5</w:t>
        </w:r>
        <w:r w:rsidRPr="006A7CBC">
          <w:rPr>
            <w:rStyle w:val="Hipercze"/>
            <w:rFonts w:ascii="Arial" w:hAnsi="Arial" w:cs="Arial"/>
          </w:rPr>
          <w:t>6/katalog/13128982#13128982</w:t>
        </w:r>
      </w:hyperlink>
      <w:r>
        <w:rPr>
          <w:rFonts w:ascii="Arial" w:hAnsi="Arial" w:cs="Arial"/>
        </w:rPr>
        <w:t xml:space="preserve"> </w:t>
      </w:r>
    </w:p>
    <w:p w14:paraId="0897151E" w14:textId="77777777" w:rsidR="00B04FED" w:rsidRDefault="00B04FED" w:rsidP="00B04FED">
      <w:pPr>
        <w:spacing w:after="0"/>
        <w:jc w:val="both"/>
        <w:rPr>
          <w:rFonts w:ascii="Arial" w:hAnsi="Arial" w:cs="Arial"/>
        </w:rPr>
      </w:pPr>
    </w:p>
    <w:p w14:paraId="728D940B" w14:textId="7E505752" w:rsidR="00B04FED" w:rsidRPr="00804C8A" w:rsidRDefault="00B04FED" w:rsidP="00B04FED">
      <w:pPr>
        <w:spacing w:after="0"/>
        <w:jc w:val="both"/>
        <w:rPr>
          <w:rFonts w:ascii="Arial" w:hAnsi="Arial" w:cs="Arial"/>
        </w:rPr>
      </w:pPr>
      <w:r w:rsidRPr="00B04FED">
        <w:rPr>
          <w:rFonts w:ascii="Arial" w:hAnsi="Arial" w:cs="Arial"/>
        </w:rPr>
        <w:t>Projekt jest obecnie jednocześnie na etapie uzgodnień, konsultacji publicznych i opiniowania.</w:t>
      </w:r>
    </w:p>
    <w:p w14:paraId="048E3345" w14:textId="77777777" w:rsidR="000A0C11" w:rsidRDefault="000A0C11" w:rsidP="000A0C11">
      <w:pPr>
        <w:spacing w:after="0"/>
        <w:jc w:val="both"/>
        <w:rPr>
          <w:rFonts w:ascii="Arial" w:hAnsi="Arial" w:cs="Arial"/>
        </w:rPr>
      </w:pPr>
    </w:p>
    <w:p w14:paraId="5E518AA6" w14:textId="77777777" w:rsidR="000A0C11" w:rsidRDefault="000A0C11" w:rsidP="000A0C11">
      <w:pPr>
        <w:spacing w:after="0"/>
        <w:jc w:val="both"/>
        <w:rPr>
          <w:rFonts w:ascii="Arial" w:hAnsi="Arial" w:cs="Arial"/>
        </w:rPr>
      </w:pPr>
      <w:r>
        <w:rPr>
          <w:rFonts w:ascii="Arial" w:hAnsi="Arial" w:cs="Arial"/>
        </w:rPr>
        <w:t>Projekty rozporządzeń:</w:t>
      </w:r>
    </w:p>
    <w:p w14:paraId="18F54821" w14:textId="77777777" w:rsidR="00B04FED" w:rsidRDefault="00B04FED" w:rsidP="000A0C11">
      <w:pPr>
        <w:spacing w:after="0"/>
        <w:jc w:val="both"/>
        <w:rPr>
          <w:rFonts w:ascii="Arial" w:hAnsi="Arial" w:cs="Arial"/>
        </w:rPr>
      </w:pPr>
    </w:p>
    <w:p w14:paraId="76F991EF" w14:textId="560D431D" w:rsidR="00B04FED" w:rsidRPr="009B61D0" w:rsidRDefault="009B61D0" w:rsidP="00440124">
      <w:pPr>
        <w:pStyle w:val="Akapitzlist"/>
        <w:numPr>
          <w:ilvl w:val="0"/>
          <w:numId w:val="4"/>
        </w:numPr>
        <w:spacing w:after="0"/>
        <w:jc w:val="both"/>
        <w:rPr>
          <w:rFonts w:ascii="Arial" w:hAnsi="Arial" w:cs="Arial"/>
          <w:b/>
          <w:bCs/>
          <w:u w:val="single"/>
        </w:rPr>
      </w:pPr>
      <w:r w:rsidRPr="009B61D0">
        <w:rPr>
          <w:rFonts w:ascii="Arial" w:hAnsi="Arial" w:cs="Arial"/>
          <w:b/>
          <w:bCs/>
          <w:u w:val="single"/>
        </w:rPr>
        <w:t>P</w:t>
      </w:r>
      <w:r w:rsidRPr="009B61D0">
        <w:rPr>
          <w:rFonts w:ascii="Arial" w:hAnsi="Arial" w:cs="Arial"/>
          <w:b/>
          <w:bCs/>
          <w:u w:val="single"/>
        </w:rPr>
        <w:t>rojekt rozporządzenia Ministra Rolnictwa i Rozwoju Wsi zmieniającego rozporządzenie w sprawie szczegółowych warunków i trybu przyznawania oraz wypłaty pomocy finansowej na operacje typu „Inwestycje w obiekty pełniące funkcje kulturalne”, operacje typu „Kształtowanie przestrzeni publicznej”, oraz operacje typu „Ochrona zabytków i budownictwa tradycyjnego” w ramach poddziałania „Podstawowe usługi i odnowa wsi na obszarach wiejskich” objętego Programem Rozwoju Obszarów Wiejskich na lata 2014–2020 (numer z wykazu 194).</w:t>
      </w:r>
    </w:p>
    <w:p w14:paraId="772CF476" w14:textId="77777777" w:rsidR="00B04FED" w:rsidRDefault="00B04FED" w:rsidP="00440124">
      <w:pPr>
        <w:spacing w:after="0"/>
        <w:jc w:val="both"/>
        <w:rPr>
          <w:rFonts w:ascii="Arial" w:hAnsi="Arial" w:cs="Arial"/>
        </w:rPr>
      </w:pPr>
    </w:p>
    <w:p w14:paraId="02C0E76B" w14:textId="77777777" w:rsidR="009B61D0" w:rsidRPr="009B61D0" w:rsidRDefault="009B61D0" w:rsidP="009B61D0">
      <w:pPr>
        <w:spacing w:after="0"/>
        <w:jc w:val="both"/>
        <w:rPr>
          <w:rFonts w:ascii="Arial" w:hAnsi="Arial" w:cs="Arial"/>
        </w:rPr>
      </w:pPr>
      <w:r w:rsidRPr="009B61D0">
        <w:rPr>
          <w:rFonts w:ascii="Arial" w:hAnsi="Arial" w:cs="Arial"/>
        </w:rPr>
        <w:t>Na postawie informacji o stanie procedowanych wniosków oraz wykorzystanych środkach przez samorządy województw, będących podmiotami wdrażającymi, Ministerstwo Rolnictwa i Rozwoju Wsi, jako Instytucja Zarządzająca zidentyfikowała potencjalne ryzyka dotyczące niezrealizowania przez beneficjentów wszystkich operacji w ramach tego działania, w terminie określonym w § 4 pkt 2 rozporządzenia Ministra Rolnictwa i Rozwoju z dnia 18 sierpnia 2017 r. w sprawie szczegółowych warunków i trybu przyznawania oraz wypłaty pomocy finansowej na operacje typu „Inwestycje w obiekty pełniące funkcje kulturalne”, operacje typu „Kształtowanie przestrzeni publicznej” oraz operacje typu „Ochrona zabytków i budownictwa tradycyjnego” w ramach działania „Podstawowe usługi i odnowa wsi na obszarach wiejskich” objętego Programem Rozwoju Obszarów Wiejskich na lata 2014–2020 (dalej: rozporządzenie), tj. do 30 czerwca 2025 r.</w:t>
      </w:r>
    </w:p>
    <w:p w14:paraId="3D7AAF4A" w14:textId="77777777" w:rsidR="009B61D0" w:rsidRPr="009B61D0" w:rsidRDefault="009B61D0" w:rsidP="009B61D0">
      <w:pPr>
        <w:spacing w:after="0"/>
        <w:jc w:val="both"/>
        <w:rPr>
          <w:rFonts w:ascii="Arial" w:hAnsi="Arial" w:cs="Arial"/>
        </w:rPr>
      </w:pPr>
      <w:r w:rsidRPr="009B61D0">
        <w:rPr>
          <w:rFonts w:ascii="Arial" w:hAnsi="Arial" w:cs="Arial"/>
        </w:rPr>
        <w:t xml:space="preserve">Rekomendowane rozwiązanie polega na zmianie maksymalnego terminu realizacji operacji i złożenia wniosku o płatność końcową z 30 czerwca 2025 r. na 30 września 2025 r. dla wszystkich umów o przyznaniu pomocy. Zaproponowane rozwiązanie ma na celu zredukowanie potencjalnych </w:t>
      </w:r>
      <w:proofErr w:type="spellStart"/>
      <w:r w:rsidRPr="009B61D0">
        <w:rPr>
          <w:rFonts w:ascii="Arial" w:hAnsi="Arial" w:cs="Arial"/>
        </w:rPr>
        <w:t>ryzyk</w:t>
      </w:r>
      <w:proofErr w:type="spellEnd"/>
      <w:r w:rsidRPr="009B61D0">
        <w:rPr>
          <w:rFonts w:ascii="Arial" w:hAnsi="Arial" w:cs="Arial"/>
        </w:rPr>
        <w:t xml:space="preserve"> niezrealizowania wszystkich operacji w ramach tego działania.</w:t>
      </w:r>
    </w:p>
    <w:p w14:paraId="26A3854D" w14:textId="77777777" w:rsidR="009B61D0" w:rsidRPr="009B61D0" w:rsidRDefault="009B61D0" w:rsidP="009B61D0">
      <w:pPr>
        <w:spacing w:after="0"/>
        <w:jc w:val="both"/>
        <w:rPr>
          <w:rFonts w:ascii="Arial" w:hAnsi="Arial" w:cs="Arial"/>
        </w:rPr>
      </w:pPr>
      <w:r w:rsidRPr="009B61D0">
        <w:rPr>
          <w:rFonts w:ascii="Arial" w:hAnsi="Arial" w:cs="Arial"/>
        </w:rPr>
        <w:t>W przypadku niniejszej zmiany rozporządzenia, oczekiwanym efektem będzie umożliwienie realizacji operacji oraz pełniejsze wykorzystanie puli środków PROW 2014–2020 przez beneficjentów, a tym samym możliwość sfinansowania i zrealizowania operacji z zakresu inwestycji w obiekty pełniące funkcje kulturalne lub kształtowanie przestrzeni publicznej w możliwie najdłuższym terminie. Ostateczne rozliczenie środków nastąpi do końca 2025 roku.</w:t>
      </w:r>
    </w:p>
    <w:p w14:paraId="6A3D962A" w14:textId="77777777" w:rsidR="009B61D0" w:rsidRPr="009B61D0" w:rsidRDefault="009B61D0" w:rsidP="009B61D0">
      <w:pPr>
        <w:spacing w:after="0"/>
        <w:jc w:val="both"/>
        <w:rPr>
          <w:rFonts w:ascii="Arial" w:hAnsi="Arial" w:cs="Arial"/>
        </w:rPr>
      </w:pPr>
      <w:r w:rsidRPr="009B61D0">
        <w:rPr>
          <w:rFonts w:ascii="Arial" w:hAnsi="Arial" w:cs="Arial"/>
        </w:rPr>
        <w:t>Wydłużenie okresu realizacji operacji może wpłynąć na termin złożenia wniosków o płatność końcową przez beneficjentów, jednak nie wpłynie na czas rozpatrywania tych wniosków. Zgodnie z przepisami zmienianego rozporządzenia wypłata środków finansowych powinna nastąpić niezwłocznie po pozytywnym rozpatrzeniu wniosku o płatność, lecz nie później niż w terminie 3 miesięcy od dnia złożenia wniosku o płatność.</w:t>
      </w:r>
    </w:p>
    <w:p w14:paraId="65C7F0C5" w14:textId="1775E6E8" w:rsidR="00B04FED" w:rsidRDefault="009B61D0" w:rsidP="009B61D0">
      <w:pPr>
        <w:spacing w:after="0"/>
        <w:jc w:val="both"/>
        <w:rPr>
          <w:rFonts w:ascii="Arial" w:hAnsi="Arial" w:cs="Arial"/>
        </w:rPr>
      </w:pPr>
      <w:r w:rsidRPr="009B61D0">
        <w:rPr>
          <w:rFonts w:ascii="Arial" w:hAnsi="Arial" w:cs="Arial"/>
        </w:rPr>
        <w:t>Osiągnięcie oczekiwanych efektów jest możliwe jedynie poprzez zmianę o charakterze legislacyjnym, tj. zmianę przepisów obowiązującego rozporządzenia</w:t>
      </w:r>
      <w:r>
        <w:rPr>
          <w:rFonts w:ascii="Arial" w:hAnsi="Arial" w:cs="Arial"/>
        </w:rPr>
        <w:t>.</w:t>
      </w:r>
    </w:p>
    <w:p w14:paraId="6A979A3F" w14:textId="77777777" w:rsidR="009B61D0" w:rsidRPr="009B61D0" w:rsidRDefault="009B61D0" w:rsidP="009B61D0">
      <w:pPr>
        <w:spacing w:after="0"/>
        <w:jc w:val="both"/>
        <w:rPr>
          <w:rFonts w:ascii="Arial" w:hAnsi="Arial" w:cs="Arial"/>
        </w:rPr>
      </w:pPr>
      <w:r w:rsidRPr="009B61D0">
        <w:rPr>
          <w:rFonts w:ascii="Arial" w:hAnsi="Arial" w:cs="Arial"/>
        </w:rPr>
        <w:lastRenderedPageBreak/>
        <w:t>Przedmiotowy projekt aktu prawnego wraz z Uzasadnieniem oraz Oceną Skutków Regulacji dostępny jest na stronach Rządowego Centrum Legislacji pod adresem:</w:t>
      </w:r>
    </w:p>
    <w:p w14:paraId="1B7C8698" w14:textId="54BBAB82" w:rsidR="009B61D0" w:rsidRDefault="009B61D0" w:rsidP="009B61D0">
      <w:pPr>
        <w:spacing w:after="0"/>
        <w:jc w:val="both"/>
        <w:rPr>
          <w:rFonts w:ascii="Arial" w:hAnsi="Arial" w:cs="Arial"/>
        </w:rPr>
      </w:pPr>
      <w:hyperlink r:id="rId9" w:history="1">
        <w:r w:rsidRPr="006A7CBC">
          <w:rPr>
            <w:rStyle w:val="Hipercze"/>
            <w:rFonts w:ascii="Arial" w:hAnsi="Arial" w:cs="Arial"/>
          </w:rPr>
          <w:t>https://legislacja.rcl.gov.pl/projekt/12397655/</w:t>
        </w:r>
        <w:r w:rsidRPr="006A7CBC">
          <w:rPr>
            <w:rStyle w:val="Hipercze"/>
            <w:rFonts w:ascii="Arial" w:hAnsi="Arial" w:cs="Arial"/>
          </w:rPr>
          <w:t>k</w:t>
        </w:r>
        <w:r w:rsidRPr="006A7CBC">
          <w:rPr>
            <w:rStyle w:val="Hipercze"/>
            <w:rFonts w:ascii="Arial" w:hAnsi="Arial" w:cs="Arial"/>
          </w:rPr>
          <w:t>atalog/13127318#13127318</w:t>
        </w:r>
      </w:hyperlink>
      <w:r>
        <w:rPr>
          <w:rFonts w:ascii="Arial" w:hAnsi="Arial" w:cs="Arial"/>
        </w:rPr>
        <w:t xml:space="preserve"> </w:t>
      </w:r>
    </w:p>
    <w:p w14:paraId="226D8F2D" w14:textId="77777777" w:rsidR="009B61D0" w:rsidRDefault="009B61D0" w:rsidP="009B61D0">
      <w:pPr>
        <w:spacing w:after="0"/>
        <w:jc w:val="both"/>
        <w:rPr>
          <w:rFonts w:ascii="Arial" w:hAnsi="Arial" w:cs="Arial"/>
        </w:rPr>
      </w:pPr>
    </w:p>
    <w:p w14:paraId="744F39A3" w14:textId="55157ACE" w:rsidR="009B61D0" w:rsidRDefault="009B61D0" w:rsidP="009B61D0">
      <w:pPr>
        <w:spacing w:after="0"/>
        <w:jc w:val="both"/>
        <w:rPr>
          <w:rFonts w:ascii="Arial" w:hAnsi="Arial" w:cs="Arial"/>
        </w:rPr>
      </w:pPr>
      <w:r w:rsidRPr="009B61D0">
        <w:rPr>
          <w:rFonts w:ascii="Arial" w:hAnsi="Arial" w:cs="Arial"/>
        </w:rPr>
        <w:t>Projekt jest obecnie jednocześnie na etapie uzgodnień, konsultacji publicznych i opiniowania.</w:t>
      </w:r>
    </w:p>
    <w:p w14:paraId="59EBB8C5" w14:textId="77777777" w:rsidR="00B04FED" w:rsidRPr="00B04FED" w:rsidRDefault="00B04FED" w:rsidP="00440124">
      <w:pPr>
        <w:spacing w:after="0"/>
        <w:jc w:val="both"/>
        <w:rPr>
          <w:rFonts w:ascii="Arial" w:hAnsi="Arial" w:cs="Arial"/>
        </w:rPr>
      </w:pPr>
    </w:p>
    <w:p w14:paraId="10490CE7" w14:textId="1D9C86DF" w:rsidR="00B04FED" w:rsidRPr="009B61D0" w:rsidRDefault="009B61D0" w:rsidP="00440124">
      <w:pPr>
        <w:pStyle w:val="Akapitzlist"/>
        <w:numPr>
          <w:ilvl w:val="0"/>
          <w:numId w:val="4"/>
        </w:numPr>
        <w:spacing w:after="0"/>
        <w:jc w:val="both"/>
        <w:rPr>
          <w:rFonts w:ascii="Arial" w:hAnsi="Arial" w:cs="Arial"/>
          <w:b/>
          <w:bCs/>
          <w:u w:val="single"/>
        </w:rPr>
      </w:pPr>
      <w:r w:rsidRPr="009B61D0">
        <w:rPr>
          <w:rFonts w:ascii="Arial" w:hAnsi="Arial" w:cs="Arial"/>
          <w:b/>
          <w:bCs/>
          <w:u w:val="single"/>
        </w:rPr>
        <w:t>P</w:t>
      </w:r>
      <w:r w:rsidRPr="009B61D0">
        <w:rPr>
          <w:rFonts w:ascii="Arial" w:hAnsi="Arial" w:cs="Arial"/>
          <w:b/>
          <w:bCs/>
          <w:u w:val="single"/>
        </w:rPr>
        <w:t>rojekt rozporządzenia Ministra Rodziny, Pracy i Polityki Społecznej zmieniającego rozporządzenie w sprawie różnicowania stopy procentowej składki na ubezpieczenie społeczne z tytułu wypadków przy pracy i chorób zawodowych w zależności od zagrożeń zawodowych i ich skutków (numer z wykazu 54).</w:t>
      </w:r>
    </w:p>
    <w:p w14:paraId="2FED5B45" w14:textId="77777777" w:rsidR="00B04FED" w:rsidRDefault="00B04FED" w:rsidP="00440124">
      <w:pPr>
        <w:spacing w:after="0"/>
        <w:jc w:val="both"/>
        <w:rPr>
          <w:rFonts w:ascii="Arial" w:hAnsi="Arial" w:cs="Arial"/>
        </w:rPr>
      </w:pPr>
    </w:p>
    <w:p w14:paraId="2F32FB64" w14:textId="77777777" w:rsidR="009B61D0" w:rsidRPr="009B61D0" w:rsidRDefault="009B61D0" w:rsidP="009B61D0">
      <w:pPr>
        <w:spacing w:after="0"/>
        <w:jc w:val="both"/>
        <w:rPr>
          <w:rFonts w:ascii="Arial" w:hAnsi="Arial" w:cs="Arial"/>
        </w:rPr>
      </w:pPr>
      <w:r w:rsidRPr="009B61D0">
        <w:rPr>
          <w:rFonts w:ascii="Arial" w:hAnsi="Arial" w:cs="Arial"/>
        </w:rPr>
        <w:t>W związku ze zmianą dokonaną przez rozporządzenie Rady Ministrów z dnia 18 grudnia 2024 r. w sprawie Polskiej Klasyfikacji Działalności (PKD) (Dz. U. poz. 1936) wprowadzające nową klasyfikację PKD 2025 zaszła konieczność zmiany (dostosowania) rozporządzenia Ministra Pracy i Polityki Społecznej z dnia 29 listopada 2002 r. w sprawie różnicowania stopy procentowej składki na ubezpieczenie społeczne z tytułu wypadków przy pracy i chorób zawodowych w zależności od zagrożeń zawodowych i ich skutków (Dz. U. z 2022 r. poz. 740).</w:t>
      </w:r>
    </w:p>
    <w:p w14:paraId="51E2FFEC" w14:textId="77777777" w:rsidR="009B61D0" w:rsidRPr="009B61D0" w:rsidRDefault="009B61D0" w:rsidP="009B61D0">
      <w:pPr>
        <w:spacing w:after="0"/>
        <w:jc w:val="both"/>
        <w:rPr>
          <w:rFonts w:ascii="Arial" w:hAnsi="Arial" w:cs="Arial"/>
        </w:rPr>
      </w:pPr>
      <w:r w:rsidRPr="009B61D0">
        <w:rPr>
          <w:rFonts w:ascii="Arial" w:hAnsi="Arial" w:cs="Arial"/>
        </w:rPr>
        <w:t xml:space="preserve">Nie zmienią się kategorie </w:t>
      </w:r>
      <w:proofErr w:type="spellStart"/>
      <w:r w:rsidRPr="009B61D0">
        <w:rPr>
          <w:rFonts w:ascii="Arial" w:hAnsi="Arial" w:cs="Arial"/>
        </w:rPr>
        <w:t>ryzyk</w:t>
      </w:r>
      <w:proofErr w:type="spellEnd"/>
      <w:r w:rsidRPr="009B61D0">
        <w:rPr>
          <w:rFonts w:ascii="Arial" w:hAnsi="Arial" w:cs="Arial"/>
        </w:rPr>
        <w:t xml:space="preserve"> dla grup działalności, a w konsekwencji nie zmieni się wysokość stóp procentowych tej składki dla płatników składek.</w:t>
      </w:r>
    </w:p>
    <w:p w14:paraId="0C80DD59" w14:textId="77777777" w:rsidR="009B61D0" w:rsidRPr="009B61D0" w:rsidRDefault="009B61D0" w:rsidP="009B61D0">
      <w:pPr>
        <w:spacing w:after="0"/>
        <w:jc w:val="both"/>
        <w:rPr>
          <w:rFonts w:ascii="Arial" w:hAnsi="Arial" w:cs="Arial"/>
        </w:rPr>
      </w:pPr>
      <w:r w:rsidRPr="009B61D0">
        <w:rPr>
          <w:rFonts w:ascii="Arial" w:hAnsi="Arial" w:cs="Arial"/>
        </w:rPr>
        <w:t xml:space="preserve">Projektowane rozporządzenie Ministra Rodziny, Pracy i Polityki Społecznej zmieniające rozporządzenie w sprawie różnicowania stopy procentowej składki na ubezpieczenie społeczne z tytułu wypadków przy pracy i chorób zawodowych w zależności od zagrożeń zawodowych i ich skutków jest wykonaniem upoważnienia ustawowego zawartego w art. 33 ust. 4 ustawy z dnia 30 października 2002 r. o ubezpieczeniu społecznym z tytułu wypadków przy pracy i chorób zawodowych (Dz. U. z 2025 r. poz. 257). </w:t>
      </w:r>
    </w:p>
    <w:p w14:paraId="46B8664A" w14:textId="77777777" w:rsidR="009B61D0" w:rsidRPr="009B61D0" w:rsidRDefault="009B61D0" w:rsidP="009B61D0">
      <w:pPr>
        <w:spacing w:after="0"/>
        <w:jc w:val="both"/>
        <w:rPr>
          <w:rFonts w:ascii="Arial" w:hAnsi="Arial" w:cs="Arial"/>
        </w:rPr>
      </w:pPr>
      <w:r w:rsidRPr="009B61D0">
        <w:rPr>
          <w:rFonts w:ascii="Arial" w:hAnsi="Arial" w:cs="Arial"/>
        </w:rPr>
        <w:t xml:space="preserve">Przepisy wykonawcze uszczegóławiające zasady, które określają ustalanie stopy procentowej składki na ubezpieczenie wypadkowe zarówno dla indywidualnego płatnika składek, jak i dla grup płatników składek zawarte są w rozporządzeniu z dnia 29 listopada 2002 r. Ministra Rodziny, Pracy i Polityki Społecznej w sprawie różnicowania stopy procentowej składki na ubezpieczenie społeczne  z tytułu wypadków przy pracy i chorób zawodowych w zależności od zagrożeń zawodowych i ich skutków (Dz. U. z 2024 r. poz. 451). </w:t>
      </w:r>
    </w:p>
    <w:p w14:paraId="2B38FF3F" w14:textId="77777777" w:rsidR="009B61D0" w:rsidRPr="009B61D0" w:rsidRDefault="009B61D0" w:rsidP="009B61D0">
      <w:pPr>
        <w:spacing w:after="0"/>
        <w:jc w:val="both"/>
        <w:rPr>
          <w:rFonts w:ascii="Arial" w:hAnsi="Arial" w:cs="Arial"/>
        </w:rPr>
      </w:pPr>
      <w:r w:rsidRPr="009B61D0">
        <w:rPr>
          <w:rFonts w:ascii="Arial" w:hAnsi="Arial" w:cs="Arial"/>
        </w:rPr>
        <w:t>W załączniku nr 2 do rozporządzenia z dnia 29 listopada 2002 r. Ministra Rodziny, Pracy i Polityki Społecznej zmieniające rozporządzenie w sprawie różnicowania stopy procentowej składki na ubezpieczenie społeczne  z tytułu wypadków przy pracy i chorób zawodowych w zależności od zagrożeń zawodowych i ich skutków obowiązującym od 1 kwietnia 2024 r. zawarte są kategorie ryzyka i odpowiadające im stopy procentowe składki na ubezpieczenie wypadkowe.</w:t>
      </w:r>
    </w:p>
    <w:p w14:paraId="44A4EFF9" w14:textId="77777777" w:rsidR="009B61D0" w:rsidRPr="009B61D0" w:rsidRDefault="009B61D0" w:rsidP="009B61D0">
      <w:pPr>
        <w:spacing w:after="0"/>
        <w:jc w:val="both"/>
        <w:rPr>
          <w:rFonts w:ascii="Arial" w:hAnsi="Arial" w:cs="Arial"/>
        </w:rPr>
      </w:pPr>
      <w:r w:rsidRPr="009B61D0">
        <w:rPr>
          <w:rFonts w:ascii="Arial" w:hAnsi="Arial" w:cs="Arial"/>
        </w:rPr>
        <w:t>Zgodnie z ustawą z dnia 30 października 2002 r. o ubezpieczeniu społecznym z tytułu wypadków przy pracy i chorób zawodowych płatnicy składek podzieleni są na dwie grupy:</w:t>
      </w:r>
    </w:p>
    <w:p w14:paraId="0697065E" w14:textId="752A4366" w:rsidR="009B61D0" w:rsidRPr="009B61D0" w:rsidRDefault="009B61D0" w:rsidP="009B61D0">
      <w:pPr>
        <w:pStyle w:val="Akapitzlist"/>
        <w:numPr>
          <w:ilvl w:val="0"/>
          <w:numId w:val="8"/>
        </w:numPr>
        <w:spacing w:after="0"/>
        <w:jc w:val="both"/>
        <w:rPr>
          <w:rFonts w:ascii="Arial" w:hAnsi="Arial" w:cs="Arial"/>
        </w:rPr>
      </w:pPr>
      <w:r w:rsidRPr="009B61D0">
        <w:rPr>
          <w:rFonts w:ascii="Arial" w:hAnsi="Arial" w:cs="Arial"/>
        </w:rPr>
        <w:t xml:space="preserve">zgłaszający do ubezpieczenia wypadkowego nie więcej niż 9 ubezpieczonych, </w:t>
      </w:r>
    </w:p>
    <w:p w14:paraId="6ADBEEA1" w14:textId="36EBD7ED" w:rsidR="009B61D0" w:rsidRPr="009B61D0" w:rsidRDefault="009B61D0" w:rsidP="009B61D0">
      <w:pPr>
        <w:pStyle w:val="Akapitzlist"/>
        <w:numPr>
          <w:ilvl w:val="0"/>
          <w:numId w:val="8"/>
        </w:numPr>
        <w:spacing w:after="0"/>
        <w:jc w:val="both"/>
        <w:rPr>
          <w:rFonts w:ascii="Arial" w:hAnsi="Arial" w:cs="Arial"/>
        </w:rPr>
      </w:pPr>
      <w:r w:rsidRPr="009B61D0">
        <w:rPr>
          <w:rFonts w:ascii="Arial" w:hAnsi="Arial" w:cs="Arial"/>
        </w:rPr>
        <w:t>zgłaszający do ubezpieczenia wypadkowego co najmniej 10 ubezpieczonych.</w:t>
      </w:r>
    </w:p>
    <w:p w14:paraId="125E9652" w14:textId="77777777" w:rsidR="009B61D0" w:rsidRPr="009B61D0" w:rsidRDefault="009B61D0" w:rsidP="009B61D0">
      <w:pPr>
        <w:spacing w:after="0"/>
        <w:jc w:val="both"/>
        <w:rPr>
          <w:rFonts w:ascii="Arial" w:hAnsi="Arial" w:cs="Arial"/>
        </w:rPr>
      </w:pPr>
      <w:r w:rsidRPr="009B61D0">
        <w:rPr>
          <w:rFonts w:ascii="Arial" w:hAnsi="Arial" w:cs="Arial"/>
        </w:rPr>
        <w:t xml:space="preserve">Stopę procentową składki na ubezpieczenie wypadkowe płatnika składek zgłaszającego do ubezpieczenia wypadkowego co najmniej 10 ubezpieczonych ustala Zakład Ubezpieczeń Społecznych jako iloczyn stopy procentowej składki na ubezpieczenie wypadkowe określonej dla grupy działalności, do której należy dany płatnik, i wskaźnika korygującego ustalonego dla tego płatnika. Stopę procentową składki Zakład Ubezpieczeń Społecznych ustala tym płatnikom składek, którzy za trzy kolejne, ostatnie lata kalendarzowe przesłali Informację o </w:t>
      </w:r>
      <w:r w:rsidRPr="009B61D0">
        <w:rPr>
          <w:rFonts w:ascii="Arial" w:hAnsi="Arial" w:cs="Arial"/>
        </w:rPr>
        <w:lastRenderedPageBreak/>
        <w:t>danych do ustalenia składki na ubezpieczenie wypadkowe – ZUS IWA. Informację tę przekazują płatnicy składek, którzy podlegają wpisowi do rejestru REGON, byli zgłoszeni w ZUS jako płatnicy składek na ubezpieczenie wypadkowe nieprzerwanie przez cały rok kalendarzowy, za który składana jest informacja ZUS IWA, i przynajmniej jeden dzień w styczniu następnego roku oraz zgłaszali w roku kalendarzowym, za który składana jest informacja, średnio co najmniej 10 ubezpieczonych do ubezpieczenia wypadkowego.</w:t>
      </w:r>
    </w:p>
    <w:p w14:paraId="51B976C5" w14:textId="77777777" w:rsidR="009B61D0" w:rsidRPr="009B61D0" w:rsidRDefault="009B61D0" w:rsidP="009B61D0">
      <w:pPr>
        <w:spacing w:after="0"/>
        <w:jc w:val="both"/>
        <w:rPr>
          <w:rFonts w:ascii="Arial" w:hAnsi="Arial" w:cs="Arial"/>
        </w:rPr>
      </w:pPr>
      <w:r w:rsidRPr="009B61D0">
        <w:rPr>
          <w:rFonts w:ascii="Arial" w:hAnsi="Arial" w:cs="Arial"/>
        </w:rPr>
        <w:t>Pozostali płatnicy składek samodzielnie ustalają stopę procentową składki na ubezpieczenie wypadkowe. Dla nich stopa procentowa składki na ubezpieczenie wypadkowe wynosi tyle, co stopa procentowa określona dla grupy działalności, do której płatnik należy.</w:t>
      </w:r>
    </w:p>
    <w:p w14:paraId="530E3922" w14:textId="77777777" w:rsidR="009B61D0" w:rsidRPr="009B61D0" w:rsidRDefault="009B61D0" w:rsidP="009B61D0">
      <w:pPr>
        <w:spacing w:after="0"/>
        <w:jc w:val="both"/>
        <w:rPr>
          <w:rFonts w:ascii="Arial" w:hAnsi="Arial" w:cs="Arial"/>
        </w:rPr>
      </w:pPr>
      <w:r w:rsidRPr="009B61D0">
        <w:rPr>
          <w:rFonts w:ascii="Arial" w:hAnsi="Arial" w:cs="Arial"/>
        </w:rPr>
        <w:t>Płatnicy składek zostali przyporządkowani do określonych grup działalności, w zależności od rodzaju działalności Polskiej Klasyfikacji Działalności (PKD), ujętej w rejestrze REGON podmiotów gospodarki narodowej.</w:t>
      </w:r>
    </w:p>
    <w:p w14:paraId="63B2B7D3" w14:textId="77777777" w:rsidR="009B61D0" w:rsidRPr="009B61D0" w:rsidRDefault="009B61D0" w:rsidP="009B61D0">
      <w:pPr>
        <w:spacing w:after="0"/>
        <w:jc w:val="both"/>
        <w:rPr>
          <w:rFonts w:ascii="Arial" w:hAnsi="Arial" w:cs="Arial"/>
        </w:rPr>
      </w:pPr>
      <w:r w:rsidRPr="009B61D0">
        <w:rPr>
          <w:rFonts w:ascii="Arial" w:hAnsi="Arial" w:cs="Arial"/>
        </w:rPr>
        <w:t xml:space="preserve">Wysokość stopy procentowej składki dla płatników składek, którzy zgłaszają do ubezpieczenia wypadkowego co najmniej 10 ubezpieczonych i byli zobowiązani do składania ZUS IWA za trzy ostatnie lata kalendarzowe determinowana jest zarówno stopą procentową ustaloną dla grupy działalności oraz indywidualnym wskaźnikiem korygującym ustalanym przez Zakład Ubezpieczeń Społecznych dla każdego płatnika składek odrębnie. </w:t>
      </w:r>
    </w:p>
    <w:p w14:paraId="5A42F7C3" w14:textId="77777777" w:rsidR="009B61D0" w:rsidRPr="009B61D0" w:rsidRDefault="009B61D0" w:rsidP="009B61D0">
      <w:pPr>
        <w:spacing w:after="0"/>
        <w:jc w:val="both"/>
        <w:rPr>
          <w:rFonts w:ascii="Arial" w:hAnsi="Arial" w:cs="Arial"/>
        </w:rPr>
      </w:pPr>
      <w:r w:rsidRPr="009B61D0">
        <w:rPr>
          <w:rFonts w:ascii="Arial" w:hAnsi="Arial" w:cs="Arial"/>
        </w:rPr>
        <w:t>Zgodnie z § 2 ust. 1 rozporządzenia Rady Ministrów z dnia 18 grudnia 2024 r. w sprawie Polskiej Klasyfikacji Działalności (PKD) równocześnie ze stosowaniem klasyfikacji PKD 2025 w statystyce, ewidencji i dokumentacji oraz rachunkowości, a także w urzędowych rejestrach i systemach informacyjnych administracji publicznej można stosować klasyfikację PKD 2007 do działalności oznaczonej zgodnie z tą klasyfikacją przed dniem wejścia w życie niniejszego rozporządzenia, jednak nie dłużej niż do dnia 31 grudnia 2026 r.</w:t>
      </w:r>
    </w:p>
    <w:p w14:paraId="5627D313" w14:textId="77777777" w:rsidR="009B61D0" w:rsidRPr="009B61D0" w:rsidRDefault="009B61D0" w:rsidP="009B61D0">
      <w:pPr>
        <w:spacing w:after="0"/>
        <w:jc w:val="both"/>
        <w:rPr>
          <w:rFonts w:ascii="Arial" w:hAnsi="Arial" w:cs="Arial"/>
        </w:rPr>
      </w:pPr>
      <w:r w:rsidRPr="009B61D0">
        <w:rPr>
          <w:rFonts w:ascii="Arial" w:hAnsi="Arial" w:cs="Arial"/>
        </w:rPr>
        <w:t>Z uwagi na zmiany wprowadzone przez rozporządzenie Rady Ministrów z dnia 18 grudnia 2024 r. w sprawie Polskiej Klasyfikacji Działalności (PKD) wymagana jest zmiana rozporządzenia Ministra Pracy i Polityki Społecznej z dnia 29 listopada 2002 r. w sprawie różnicowania stopy procentowej składki na ubezpieczenie społeczne z tytułu wypadków przy pracy i chorób zawodowych w zależności od zagrożeń zawodowych i ich skutków. Zakres zmian tego rozporządzenia będzie dotyczył płatników składek którzy będą zgłaszali do ubezpieczenia wypadkowego co najmniej 10 ubezpieczonych:</w:t>
      </w:r>
    </w:p>
    <w:p w14:paraId="50D95492" w14:textId="0D707F3B" w:rsidR="009B61D0" w:rsidRPr="009B61D0" w:rsidRDefault="009B61D0" w:rsidP="009B61D0">
      <w:pPr>
        <w:pStyle w:val="Akapitzlist"/>
        <w:numPr>
          <w:ilvl w:val="0"/>
          <w:numId w:val="10"/>
        </w:numPr>
        <w:spacing w:after="0"/>
        <w:jc w:val="both"/>
        <w:rPr>
          <w:rFonts w:ascii="Arial" w:hAnsi="Arial" w:cs="Arial"/>
        </w:rPr>
      </w:pPr>
      <w:r w:rsidRPr="009B61D0">
        <w:rPr>
          <w:rFonts w:ascii="Arial" w:hAnsi="Arial" w:cs="Arial"/>
        </w:rPr>
        <w:t>którzy będą zgłaszani w ZUS jako płatnicy składek na ubezpieczenie wypadkowe po dniu 31 grudnia 2024 roku, lub</w:t>
      </w:r>
    </w:p>
    <w:p w14:paraId="3C8E489F" w14:textId="38B92F7A" w:rsidR="009B61D0" w:rsidRPr="009B61D0" w:rsidRDefault="009B61D0" w:rsidP="009B61D0">
      <w:pPr>
        <w:pStyle w:val="Akapitzlist"/>
        <w:numPr>
          <w:ilvl w:val="0"/>
          <w:numId w:val="10"/>
        </w:numPr>
        <w:spacing w:after="0"/>
        <w:jc w:val="both"/>
        <w:rPr>
          <w:rFonts w:ascii="Arial" w:hAnsi="Arial" w:cs="Arial"/>
        </w:rPr>
      </w:pPr>
      <w:r w:rsidRPr="009B61D0">
        <w:rPr>
          <w:rFonts w:ascii="Arial" w:hAnsi="Arial" w:cs="Arial"/>
        </w:rPr>
        <w:t xml:space="preserve">którzy po dniu 31 grudnia 2024 r.  będą mieli ustalony kod PKD w oparciu o klasyfikację PKD 2025 roku.    </w:t>
      </w:r>
    </w:p>
    <w:p w14:paraId="3984BE99" w14:textId="77777777" w:rsidR="009B61D0" w:rsidRPr="009B61D0" w:rsidRDefault="009B61D0" w:rsidP="009B61D0">
      <w:pPr>
        <w:spacing w:after="0"/>
        <w:jc w:val="both"/>
        <w:rPr>
          <w:rFonts w:ascii="Arial" w:hAnsi="Arial" w:cs="Arial"/>
        </w:rPr>
      </w:pPr>
      <w:r w:rsidRPr="009B61D0">
        <w:rPr>
          <w:rFonts w:ascii="Arial" w:hAnsi="Arial" w:cs="Arial"/>
        </w:rPr>
        <w:t xml:space="preserve">Nowi płatnicy składek zobowiązani są do samodzielnego ustalenia stopy procentowej składki na ubezpieczenie wypadkowe w oparciu o swój rodzaj działalności według PKD ujętego w rejestrze REGON w dniu, od którego płatnik został zgłoszony w ZUS.  Dla celów ustalenia swojego rodzaju działalności oraz właściwego zakwalifikowania do grupy działalności będą oni zobowiązani do zastosowania klasyfikacji PKD 2007 pomimo tego, że zgodnie z rozporządzeniem Rady Ministrów z dnia 18 grudnia 2024 r. w sprawie Polskiej Klasyfikacji Działalności, płatnicy ci będą wpisywani do rejestru REGON z nowym kodem PKD 2025. Analogiczna zasada będzie dotyczyła innych płatników, dla których w okresie od 1 stycznia 2025 r do 31 grudnia 2026 r. będzie ustalana stopa procentowa składki w oparciu o rodzaj działalności, jeżeli w tym okresie płatnikom tym zostanie ustalony kod PKD w oparciu o klasyfikację PKD 2025.  </w:t>
      </w:r>
    </w:p>
    <w:p w14:paraId="3490CE52" w14:textId="77777777" w:rsidR="009B61D0" w:rsidRPr="009B61D0" w:rsidRDefault="009B61D0" w:rsidP="009B61D0">
      <w:pPr>
        <w:spacing w:after="0"/>
        <w:jc w:val="both"/>
        <w:rPr>
          <w:rFonts w:ascii="Arial" w:hAnsi="Arial" w:cs="Arial"/>
        </w:rPr>
      </w:pPr>
      <w:r w:rsidRPr="009B61D0">
        <w:rPr>
          <w:rFonts w:ascii="Arial" w:hAnsi="Arial" w:cs="Arial"/>
        </w:rPr>
        <w:t xml:space="preserve">Zatem w ramach projektowanego rozporządzenia wprowadzono regulację, zgodnie z którą dla celów ustalania rodzaju działalności i grupy działalności w okresie przejściowym od 1 stycznia </w:t>
      </w:r>
      <w:r w:rsidRPr="009B61D0">
        <w:rPr>
          <w:rFonts w:ascii="Arial" w:hAnsi="Arial" w:cs="Arial"/>
        </w:rPr>
        <w:lastRenderedPageBreak/>
        <w:t>2025 r do 30 grudnia 2026 r., swój rodzaj działalności tacy płatnicy będą musieli określić według kodu PKD 2007, czyli na dotychczasowych zasadach.</w:t>
      </w:r>
    </w:p>
    <w:p w14:paraId="3247F85B" w14:textId="77777777" w:rsidR="009B61D0" w:rsidRPr="009B61D0" w:rsidRDefault="009B61D0" w:rsidP="009B61D0">
      <w:pPr>
        <w:spacing w:after="0"/>
        <w:jc w:val="both"/>
        <w:rPr>
          <w:rFonts w:ascii="Arial" w:hAnsi="Arial" w:cs="Arial"/>
        </w:rPr>
      </w:pPr>
      <w:r w:rsidRPr="009B61D0">
        <w:rPr>
          <w:rFonts w:ascii="Arial" w:hAnsi="Arial" w:cs="Arial"/>
        </w:rPr>
        <w:t xml:space="preserve">Ponadto zgodnie z objaśnieniem do kolumny „Kod PKD” w załączniku nr 2 do rozporządzenia Ministra Pracy i Polityki Społecznej z dnia 29 listopada 2002 r. klasyfikacją PKD wykorzystywaną do wyznaczania przeważającego rodzaju działalności płatnika składek na potrzeby ustalania stopy procentowej składki na ubezpieczenie wypadkowe jest klasyfikacja PKD 2007. </w:t>
      </w:r>
    </w:p>
    <w:p w14:paraId="0E0F895D" w14:textId="77777777" w:rsidR="009B61D0" w:rsidRPr="009B61D0" w:rsidRDefault="009B61D0" w:rsidP="009B61D0">
      <w:pPr>
        <w:spacing w:after="0"/>
        <w:jc w:val="both"/>
        <w:rPr>
          <w:rFonts w:ascii="Arial" w:hAnsi="Arial" w:cs="Arial"/>
        </w:rPr>
      </w:pPr>
      <w:r w:rsidRPr="009B61D0">
        <w:rPr>
          <w:rFonts w:ascii="Arial" w:hAnsi="Arial" w:cs="Arial"/>
        </w:rPr>
        <w:t>Dla celów wyliczania stopy procentowej składki na ubezpieczenie wypadowe nie mogą być bowiem stosowane równolegle dwie różne klasyfikacje PKD, które dla danego rodzaju działalności mogą przewidywać zupełnie różne kody PKD. Rodzaj działalności płatnika musi być odkodowany w sposób jednoznaczny, a to może zostać zagwarantowane, jeśli wyznaczenie kodu PKD dla celów ustalania stopy procentowej składki będzie odbywało się w odniesieniu do jednej klasyfikacji PKD. Dlatego też konieczne jest zapewnienie, aby w okresie przejściowym, w którym będą stosowane równolegle dwie klasyfikacje PKD, rodzaj działalności dla celów wyznaczania składki wypadkowej był ustalany na podstawie klasyfikacji PKD 2007.</w:t>
      </w:r>
    </w:p>
    <w:p w14:paraId="05156126" w14:textId="77777777" w:rsidR="009B61D0" w:rsidRPr="009B61D0" w:rsidRDefault="009B61D0" w:rsidP="009B61D0">
      <w:pPr>
        <w:spacing w:after="0"/>
        <w:jc w:val="both"/>
        <w:rPr>
          <w:rFonts w:ascii="Arial" w:hAnsi="Arial" w:cs="Arial"/>
        </w:rPr>
      </w:pPr>
      <w:r w:rsidRPr="009B61D0">
        <w:rPr>
          <w:rFonts w:ascii="Arial" w:hAnsi="Arial" w:cs="Arial"/>
        </w:rPr>
        <w:t>Wprowadzenie nowej klasyfikacji nie wymaga zmian w stosunku do płatników, którzy zgłaszają do ubezpieczenia wypadkowego nie więcej  niż 9 ubezpieczonych bez względu na to czy działalność rozpoczęli po dniu 31 grudnia 2024 r. – ustalają oni stopę jako wartość 50% najwyższej stopy procentowej ustalonej na dany rok składkowy dla grup działalności (art. 28 ustawy z dnia 30 października 2002 r.. o ubezpieczeniu społecznym z tytułu wypadków przy pracy i chorób zawodowych (Dz. U. z 2025 r. poz. 257).</w:t>
      </w:r>
    </w:p>
    <w:p w14:paraId="203C904D" w14:textId="77777777" w:rsidR="009B61D0" w:rsidRPr="009B61D0" w:rsidRDefault="009B61D0" w:rsidP="009B61D0">
      <w:pPr>
        <w:spacing w:after="0"/>
        <w:jc w:val="both"/>
        <w:rPr>
          <w:rFonts w:ascii="Arial" w:hAnsi="Arial" w:cs="Arial"/>
        </w:rPr>
      </w:pPr>
      <w:r w:rsidRPr="009B61D0">
        <w:rPr>
          <w:rFonts w:ascii="Arial" w:hAnsi="Arial" w:cs="Arial"/>
        </w:rPr>
        <w:t>Analogiczna sytuacja miała już miejsce w 2008 r. Wówczas od 1 stycznia 2008 r. klasyfikacja PKD 2004 została zastąpiona klasyfikacją PKD 2007. Wtedy również na mocy przepisów rozporządzenia Rady Ministrów z 24 grudnia 2007 r. w sprawie Polskiej Klasyfikacji Działalności (PKD) (Dz.U. z 2007 r. Nr 251, poz. 1885), klasyfikacja PKD 2004 mogła być stosowana do działalności oznaczonej zgodnie z tą klasyfikacją przed wejściem w życie zmian, jednak nie dłużej niż do 31 grudnia 2009 r. Wówczas celem jednoznacznego uregulowania kwestii wyznaczania kodu PKD dla celów ustalania stopy procentowej składki zostało zmienione rozporządzenie Ministra Pracy i Polityki Społecznej z dnia 22 kwietnia 2008 r. zmieniające rozporządzenie w sprawie różnicowania stopy procentowej składki na ubezpieczenie społeczne z tytułu wypadków przy pracy i chorób zawodowych w zależności od zagrożeń zawodowych i ich skutków (Dz. U.  poz. 436).</w:t>
      </w:r>
    </w:p>
    <w:p w14:paraId="4E7894DE" w14:textId="77777777" w:rsidR="009B61D0" w:rsidRPr="009B61D0" w:rsidRDefault="009B61D0" w:rsidP="009B61D0">
      <w:pPr>
        <w:spacing w:after="0"/>
        <w:jc w:val="both"/>
        <w:rPr>
          <w:rFonts w:ascii="Arial" w:hAnsi="Arial" w:cs="Arial"/>
        </w:rPr>
      </w:pPr>
      <w:r w:rsidRPr="009B61D0">
        <w:rPr>
          <w:rFonts w:ascii="Arial" w:hAnsi="Arial" w:cs="Arial"/>
        </w:rPr>
        <w:t xml:space="preserve">Wprowadzenie nowej klasyfikacji PKD 2025 powoduje konieczność zmiany rozporządzenia Ministra Pracy i Polityki Społecznej z dnia 29 listopada 2002 r. w sprawie różnicowania stopy procentowej składki na ubezpieczenie społeczne z tytułu wypadków przy pracy i chorób zawodowych w zależności od zagrożeń zawodowych i ich skutków, przez wprowadzenie regulacji określającej do jakiej daty ma być stosowana klasyfikacja PKD 2007 dla celów ustalania grup i rodzajów działalności oraz zapisu wskazującego, że na informacji ZUS IWA za rok 2025 należy podawać kod PKD 2007, a począwszy od informacji ZUS IWA za rok 2026 kod PKD 2025. Obowiązek wykazania w dokumencie ZUS IWA za 2026 r. przez płatnika składek przyporządkowania według nowej klasyfikacji PKD 2025 wynika z normy określonej w art. 29 ust. 1 ustawy z dnia 30 października 2002 r. o ubezpieczeniu społecznym z tytułu wypadków przy pracy i chorób zawodowych, zgodnie z którą przyporządkowanie płatnika składek do grup działalności – a z tym związane jest ustalenie stopy procentowej składki na ubezpieczenie wypadkowe –  następuje według numeru PKD ujętego w rejestrze REGON w dniu 31 grudnia poprzedniego roku, co będzie niezbędne do wyliczenia składki na to ubezpieczenie według nowych stóp procentowych za okres od 1 stycznia 2027 r. </w:t>
      </w:r>
    </w:p>
    <w:p w14:paraId="69C2EE43" w14:textId="02F3D9A6" w:rsidR="009B61D0" w:rsidRDefault="009B61D0" w:rsidP="009B61D0">
      <w:pPr>
        <w:spacing w:after="0"/>
        <w:jc w:val="both"/>
        <w:rPr>
          <w:rFonts w:ascii="Arial" w:hAnsi="Arial" w:cs="Arial"/>
        </w:rPr>
      </w:pPr>
      <w:r w:rsidRPr="009B61D0">
        <w:rPr>
          <w:rFonts w:ascii="Arial" w:hAnsi="Arial" w:cs="Arial"/>
        </w:rPr>
        <w:lastRenderedPageBreak/>
        <w:t xml:space="preserve">Nie ma możliwości rozwiązania problemu w drodze </w:t>
      </w:r>
      <w:proofErr w:type="spellStart"/>
      <w:r w:rsidRPr="009B61D0">
        <w:rPr>
          <w:rFonts w:ascii="Arial" w:hAnsi="Arial" w:cs="Arial"/>
        </w:rPr>
        <w:t>pozalegislacyjnej</w:t>
      </w:r>
      <w:proofErr w:type="spellEnd"/>
      <w:r w:rsidRPr="009B61D0">
        <w:rPr>
          <w:rFonts w:ascii="Arial" w:hAnsi="Arial" w:cs="Arial"/>
        </w:rPr>
        <w:t>.</w:t>
      </w:r>
    </w:p>
    <w:p w14:paraId="60AE6979" w14:textId="77777777" w:rsidR="009B61D0" w:rsidRDefault="009B61D0" w:rsidP="00440124">
      <w:pPr>
        <w:spacing w:after="0"/>
        <w:jc w:val="both"/>
        <w:rPr>
          <w:rFonts w:ascii="Arial" w:hAnsi="Arial" w:cs="Arial"/>
        </w:rPr>
      </w:pPr>
    </w:p>
    <w:p w14:paraId="5CC132AE" w14:textId="77777777" w:rsidR="00085FE9" w:rsidRPr="00085FE9" w:rsidRDefault="00085FE9" w:rsidP="00085FE9">
      <w:pPr>
        <w:spacing w:after="0"/>
        <w:jc w:val="both"/>
        <w:rPr>
          <w:rFonts w:ascii="Arial" w:hAnsi="Arial" w:cs="Arial"/>
        </w:rPr>
      </w:pPr>
      <w:r w:rsidRPr="00085FE9">
        <w:rPr>
          <w:rFonts w:ascii="Arial" w:hAnsi="Arial" w:cs="Arial"/>
        </w:rPr>
        <w:t>Przedmiotowy projekt aktu prawnego wraz z Uzasadnieniem oraz Oceną Skutków Regulacji dostępny jest na stronach Rządowego Centrum Legislacji pod adresem:</w:t>
      </w:r>
    </w:p>
    <w:p w14:paraId="0E801202" w14:textId="1BCF9AFB" w:rsidR="009B61D0" w:rsidRDefault="00085FE9" w:rsidP="00085FE9">
      <w:pPr>
        <w:spacing w:after="0"/>
        <w:jc w:val="both"/>
        <w:rPr>
          <w:rFonts w:ascii="Arial" w:hAnsi="Arial" w:cs="Arial"/>
        </w:rPr>
      </w:pPr>
      <w:hyperlink r:id="rId10" w:history="1">
        <w:r w:rsidRPr="006A7CBC">
          <w:rPr>
            <w:rStyle w:val="Hipercze"/>
            <w:rFonts w:ascii="Arial" w:hAnsi="Arial" w:cs="Arial"/>
          </w:rPr>
          <w:t>https://legislacja.rcl.gov.pl/pro</w:t>
        </w:r>
        <w:r w:rsidRPr="006A7CBC">
          <w:rPr>
            <w:rStyle w:val="Hipercze"/>
            <w:rFonts w:ascii="Arial" w:hAnsi="Arial" w:cs="Arial"/>
          </w:rPr>
          <w:t>j</w:t>
        </w:r>
        <w:r w:rsidRPr="006A7CBC">
          <w:rPr>
            <w:rStyle w:val="Hipercze"/>
            <w:rFonts w:ascii="Arial" w:hAnsi="Arial" w:cs="Arial"/>
          </w:rPr>
          <w:t>ekt/12397702/katalog/13127565#13127565</w:t>
        </w:r>
      </w:hyperlink>
      <w:r>
        <w:rPr>
          <w:rFonts w:ascii="Arial" w:hAnsi="Arial" w:cs="Arial"/>
        </w:rPr>
        <w:t xml:space="preserve"> </w:t>
      </w:r>
    </w:p>
    <w:p w14:paraId="70CCA600" w14:textId="77777777" w:rsidR="00085FE9" w:rsidRDefault="00085FE9" w:rsidP="00085FE9">
      <w:pPr>
        <w:spacing w:after="0"/>
        <w:jc w:val="both"/>
        <w:rPr>
          <w:rFonts w:ascii="Arial" w:hAnsi="Arial" w:cs="Arial"/>
        </w:rPr>
      </w:pPr>
    </w:p>
    <w:p w14:paraId="5E3230D3" w14:textId="6542315C" w:rsidR="00085FE9" w:rsidRDefault="00085FE9" w:rsidP="00085FE9">
      <w:pPr>
        <w:spacing w:after="0"/>
        <w:jc w:val="both"/>
        <w:rPr>
          <w:rFonts w:ascii="Arial" w:hAnsi="Arial" w:cs="Arial"/>
        </w:rPr>
      </w:pPr>
      <w:r w:rsidRPr="00085FE9">
        <w:rPr>
          <w:rFonts w:ascii="Arial" w:hAnsi="Arial" w:cs="Arial"/>
        </w:rPr>
        <w:t>Projekt jest obecnie jednocześnie na etapie uzgodnień, konsultacji publicznych i opiniowania.</w:t>
      </w:r>
    </w:p>
    <w:p w14:paraId="13F5AED5" w14:textId="77777777" w:rsidR="009B61D0" w:rsidRPr="00B04FED" w:rsidRDefault="009B61D0" w:rsidP="00440124">
      <w:pPr>
        <w:spacing w:after="0"/>
        <w:jc w:val="both"/>
        <w:rPr>
          <w:rFonts w:ascii="Arial" w:hAnsi="Arial" w:cs="Arial"/>
        </w:rPr>
      </w:pPr>
    </w:p>
    <w:p w14:paraId="2BF633F6" w14:textId="7A5DD3C9" w:rsidR="00B04FED" w:rsidRPr="00085FE9" w:rsidRDefault="00085FE9" w:rsidP="00440124">
      <w:pPr>
        <w:pStyle w:val="Akapitzlist"/>
        <w:numPr>
          <w:ilvl w:val="0"/>
          <w:numId w:val="4"/>
        </w:numPr>
        <w:spacing w:after="0"/>
        <w:jc w:val="both"/>
        <w:rPr>
          <w:rFonts w:ascii="Arial" w:hAnsi="Arial" w:cs="Arial"/>
          <w:b/>
          <w:bCs/>
          <w:u w:val="single"/>
        </w:rPr>
      </w:pPr>
      <w:r w:rsidRPr="00085FE9">
        <w:rPr>
          <w:rFonts w:ascii="Arial" w:hAnsi="Arial" w:cs="Arial"/>
          <w:b/>
          <w:bCs/>
          <w:u w:val="single"/>
        </w:rPr>
        <w:t>P</w:t>
      </w:r>
      <w:r w:rsidRPr="00085FE9">
        <w:rPr>
          <w:rFonts w:ascii="Arial" w:hAnsi="Arial" w:cs="Arial"/>
          <w:b/>
          <w:bCs/>
          <w:u w:val="single"/>
        </w:rPr>
        <w:t>rojekt rozporządzenia Ministra Rozwoju i Technologii w sprawie określenia wzoru formularza zgłoszenia rozbiórki (numer z wykazu 64).</w:t>
      </w:r>
    </w:p>
    <w:p w14:paraId="2E2FAF63" w14:textId="77777777" w:rsidR="00440124" w:rsidRDefault="00440124" w:rsidP="00085FE9">
      <w:pPr>
        <w:spacing w:after="0"/>
        <w:rPr>
          <w:rFonts w:ascii="Arial" w:hAnsi="Arial" w:cs="Arial"/>
        </w:rPr>
      </w:pPr>
    </w:p>
    <w:p w14:paraId="7A6A9AF7" w14:textId="77777777" w:rsidR="00085FE9" w:rsidRPr="00085FE9" w:rsidRDefault="00085FE9" w:rsidP="00085FE9">
      <w:pPr>
        <w:spacing w:after="0"/>
        <w:jc w:val="both"/>
        <w:rPr>
          <w:rFonts w:ascii="Arial" w:hAnsi="Arial" w:cs="Arial"/>
        </w:rPr>
      </w:pPr>
      <w:r w:rsidRPr="00085FE9">
        <w:rPr>
          <w:rFonts w:ascii="Arial" w:hAnsi="Arial" w:cs="Arial"/>
        </w:rPr>
        <w:t xml:space="preserve">Obowiązujący wzór formularza zgłoszenia rozbiórki, określony rozporządzeniem Ministra Rozwoju, Pracy i Technologii z dnia 16 lutego 2021 r. w sprawie określenia wzoru formularza zgłoszenia rozbiórki (Dz. U. poz. 314), nie przewiduje możliwości wskazania jako formy korespondencji z inwestorem oraz jego potencjalnym pełnomocnikiem doręczeń elektronicznych. Inwestor może jedynie wskazać adres skrzynki </w:t>
      </w:r>
      <w:proofErr w:type="spellStart"/>
      <w:r w:rsidRPr="00085FE9">
        <w:rPr>
          <w:rFonts w:ascii="Arial" w:hAnsi="Arial" w:cs="Arial"/>
        </w:rPr>
        <w:t>ePUAP</w:t>
      </w:r>
      <w:proofErr w:type="spellEnd"/>
      <w:r w:rsidRPr="00085FE9">
        <w:rPr>
          <w:rFonts w:ascii="Arial" w:hAnsi="Arial" w:cs="Arial"/>
        </w:rPr>
        <w:t>.</w:t>
      </w:r>
    </w:p>
    <w:p w14:paraId="66C7EA2B" w14:textId="77777777" w:rsidR="00085FE9" w:rsidRPr="00085FE9" w:rsidRDefault="00085FE9" w:rsidP="00085FE9">
      <w:pPr>
        <w:spacing w:after="0"/>
        <w:jc w:val="both"/>
        <w:rPr>
          <w:rFonts w:ascii="Arial" w:hAnsi="Arial" w:cs="Arial"/>
        </w:rPr>
      </w:pPr>
      <w:r w:rsidRPr="00085FE9">
        <w:rPr>
          <w:rFonts w:ascii="Arial" w:hAnsi="Arial" w:cs="Arial"/>
        </w:rPr>
        <w:t>Wobec potrzeby dostosowania dotychczasowych rozwiązań do obecnych wymogów, konieczne jest wydanie rozporządzenia określającego nowy wzór formularza zgłoszenia rozbiórki wraz z nową, dodatkową formą kontaktu z inwestorem. W tym celu wzór formularza zgłoszenia rozbiórki uzupełniony został o adres do doręczeń elektronicznych – jako jedną z form korespondencji z inwestorem lub jego pełnomocnikiem. Tym samym przedmiotowy projekt dostosowano do regulacji zawartych w ustawie z dnia 18 listopada 2020 r. o doręczeniach elektronicznych (Dz. U. z 2024 r. poz. 1045 i 1841). W pozostałym zakresie projekt powtarza regulacje zawarte w aktualnie obowiązującym rozporządzeniu Ministra Rozwoju, Pracy i Technologii z dnia 16 lutego 2021 r. w sprawie określenia wzoru formularza zgłoszenia rozbiórki.</w:t>
      </w:r>
    </w:p>
    <w:p w14:paraId="1F3F75C4" w14:textId="308DE76F" w:rsidR="00085FE9" w:rsidRDefault="00085FE9" w:rsidP="00085FE9">
      <w:pPr>
        <w:spacing w:after="0"/>
        <w:jc w:val="both"/>
        <w:rPr>
          <w:rFonts w:ascii="Arial" w:hAnsi="Arial" w:cs="Arial"/>
        </w:rPr>
      </w:pPr>
      <w:r w:rsidRPr="00085FE9">
        <w:rPr>
          <w:rFonts w:ascii="Arial" w:hAnsi="Arial" w:cs="Arial"/>
        </w:rPr>
        <w:t xml:space="preserve">Nie jest możliwe osiągnięcie powyższych efektów za pomocą środków </w:t>
      </w:r>
      <w:proofErr w:type="spellStart"/>
      <w:r w:rsidRPr="00085FE9">
        <w:rPr>
          <w:rFonts w:ascii="Arial" w:hAnsi="Arial" w:cs="Arial"/>
        </w:rPr>
        <w:t>pozalegislacyjnych</w:t>
      </w:r>
      <w:proofErr w:type="spellEnd"/>
      <w:r>
        <w:rPr>
          <w:rFonts w:ascii="Arial" w:hAnsi="Arial" w:cs="Arial"/>
        </w:rPr>
        <w:t>.</w:t>
      </w:r>
    </w:p>
    <w:p w14:paraId="10DBCB4C" w14:textId="77777777" w:rsidR="00085FE9" w:rsidRDefault="00085FE9" w:rsidP="00085FE9">
      <w:pPr>
        <w:spacing w:after="0"/>
        <w:jc w:val="both"/>
        <w:rPr>
          <w:rFonts w:ascii="Arial" w:hAnsi="Arial" w:cs="Arial"/>
        </w:rPr>
      </w:pPr>
    </w:p>
    <w:p w14:paraId="0E18AEBF" w14:textId="77777777" w:rsidR="00085FE9" w:rsidRPr="00085FE9" w:rsidRDefault="00085FE9" w:rsidP="00085FE9">
      <w:pPr>
        <w:spacing w:after="0"/>
        <w:jc w:val="both"/>
        <w:rPr>
          <w:rFonts w:ascii="Arial" w:hAnsi="Arial" w:cs="Arial"/>
        </w:rPr>
      </w:pPr>
      <w:r w:rsidRPr="00085FE9">
        <w:rPr>
          <w:rFonts w:ascii="Arial" w:hAnsi="Arial" w:cs="Arial"/>
        </w:rPr>
        <w:t>Przedmiotowy projekt aktu prawnego wraz z Załącznikiem, Uzasadnieniem oraz Oceną Skutków Regulacji dostępny jest na stronach Rządowego Centrum Legislacji pod adresem:</w:t>
      </w:r>
    </w:p>
    <w:p w14:paraId="7B69EA25" w14:textId="6444E72F" w:rsidR="00085FE9" w:rsidRDefault="00085FE9" w:rsidP="00085FE9">
      <w:pPr>
        <w:spacing w:after="0"/>
        <w:jc w:val="both"/>
        <w:rPr>
          <w:rFonts w:ascii="Arial" w:hAnsi="Arial" w:cs="Arial"/>
        </w:rPr>
      </w:pPr>
      <w:hyperlink r:id="rId11" w:history="1">
        <w:r w:rsidRPr="006A7CBC">
          <w:rPr>
            <w:rStyle w:val="Hipercze"/>
            <w:rFonts w:ascii="Arial" w:hAnsi="Arial" w:cs="Arial"/>
          </w:rPr>
          <w:t>https://legislacja.rcl.gov.pl/projekt/12397802/katalog/1</w:t>
        </w:r>
        <w:r w:rsidRPr="006A7CBC">
          <w:rPr>
            <w:rStyle w:val="Hipercze"/>
            <w:rFonts w:ascii="Arial" w:hAnsi="Arial" w:cs="Arial"/>
          </w:rPr>
          <w:t>3</w:t>
        </w:r>
        <w:r w:rsidRPr="006A7CBC">
          <w:rPr>
            <w:rStyle w:val="Hipercze"/>
            <w:rFonts w:ascii="Arial" w:hAnsi="Arial" w:cs="Arial"/>
          </w:rPr>
          <w:t>127944#13127944</w:t>
        </w:r>
      </w:hyperlink>
      <w:r>
        <w:rPr>
          <w:rFonts w:ascii="Arial" w:hAnsi="Arial" w:cs="Arial"/>
        </w:rPr>
        <w:t xml:space="preserve"> </w:t>
      </w:r>
    </w:p>
    <w:p w14:paraId="0FC42A53" w14:textId="77777777" w:rsidR="00085FE9" w:rsidRDefault="00085FE9" w:rsidP="00085FE9">
      <w:pPr>
        <w:spacing w:after="0"/>
        <w:jc w:val="both"/>
        <w:rPr>
          <w:rFonts w:ascii="Arial" w:hAnsi="Arial" w:cs="Arial"/>
        </w:rPr>
      </w:pPr>
    </w:p>
    <w:p w14:paraId="396598D1" w14:textId="4F07296C" w:rsidR="00085FE9" w:rsidRPr="00085FE9" w:rsidRDefault="007C3200" w:rsidP="00085FE9">
      <w:pPr>
        <w:spacing w:after="0"/>
        <w:jc w:val="both"/>
        <w:rPr>
          <w:rFonts w:ascii="Arial" w:hAnsi="Arial" w:cs="Arial"/>
        </w:rPr>
      </w:pPr>
      <w:r w:rsidRPr="007C3200">
        <w:rPr>
          <w:rFonts w:ascii="Arial" w:hAnsi="Arial" w:cs="Arial"/>
        </w:rPr>
        <w:t>Projekt jest obecnie jednocześnie na etapie uzgodnień, konsultacji publicznych i opiniowania.</w:t>
      </w:r>
    </w:p>
    <w:p w14:paraId="49E696B0" w14:textId="77777777" w:rsidR="00440124" w:rsidRPr="00440124" w:rsidRDefault="00440124" w:rsidP="00440124">
      <w:pPr>
        <w:spacing w:after="0"/>
        <w:jc w:val="both"/>
        <w:rPr>
          <w:rFonts w:ascii="Arial" w:hAnsi="Arial" w:cs="Arial"/>
        </w:rPr>
      </w:pPr>
    </w:p>
    <w:p w14:paraId="2F328C3C" w14:textId="435C848C" w:rsidR="00B04FED" w:rsidRPr="004A0CA6" w:rsidRDefault="007C3200" w:rsidP="00440124">
      <w:pPr>
        <w:pStyle w:val="Akapitzlist"/>
        <w:numPr>
          <w:ilvl w:val="0"/>
          <w:numId w:val="4"/>
        </w:numPr>
        <w:spacing w:after="0"/>
        <w:jc w:val="both"/>
        <w:rPr>
          <w:rFonts w:ascii="Arial" w:hAnsi="Arial" w:cs="Arial"/>
          <w:b/>
          <w:bCs/>
          <w:u w:val="single"/>
        </w:rPr>
      </w:pPr>
      <w:r w:rsidRPr="004A0CA6">
        <w:rPr>
          <w:rFonts w:ascii="Arial" w:hAnsi="Arial" w:cs="Arial"/>
          <w:b/>
          <w:bCs/>
          <w:u w:val="single"/>
        </w:rPr>
        <w:t>P</w:t>
      </w:r>
      <w:r w:rsidRPr="004A0CA6">
        <w:rPr>
          <w:rFonts w:ascii="Arial" w:hAnsi="Arial" w:cs="Arial"/>
          <w:b/>
          <w:bCs/>
          <w:u w:val="single"/>
        </w:rPr>
        <w:t>rojekt rozporządzenia Ministra Rozwoju i Technologii w sprawie określenia wzoru formularza wniosku o pozwolenie na rozbiórkę (numer z wykazu 65).</w:t>
      </w:r>
    </w:p>
    <w:p w14:paraId="3CB77AA2" w14:textId="77777777" w:rsidR="00440124" w:rsidRDefault="00440124" w:rsidP="00440124">
      <w:pPr>
        <w:spacing w:after="0"/>
        <w:jc w:val="both"/>
        <w:rPr>
          <w:rFonts w:ascii="Arial" w:hAnsi="Arial" w:cs="Arial"/>
        </w:rPr>
      </w:pPr>
    </w:p>
    <w:p w14:paraId="768813F9" w14:textId="77777777" w:rsidR="004A0CA6" w:rsidRPr="004A0CA6" w:rsidRDefault="004A0CA6" w:rsidP="004A0CA6">
      <w:pPr>
        <w:spacing w:after="0"/>
        <w:jc w:val="both"/>
        <w:rPr>
          <w:rFonts w:ascii="Arial" w:hAnsi="Arial" w:cs="Arial"/>
        </w:rPr>
      </w:pPr>
      <w:r w:rsidRPr="004A0CA6">
        <w:rPr>
          <w:rFonts w:ascii="Arial" w:hAnsi="Arial" w:cs="Arial"/>
        </w:rPr>
        <w:t xml:space="preserve">Obowiązujący wzór formularza wniosku o pozwolenie na rozbiórkę, określony rozporządzeniem Ministra Rozwoju, Pracy i Technologii z dnia 23 lutego 2021 r. w sprawie określenia wzoru formularza wniosku o pozwolenie na rozbiórkę (Dz. U. poz. 346), nie przewiduje możliwości wskazania jako formy korespondencji z inwestorem oraz jego potencjalnym pełnomocnikiem doręczeń elektronicznych. Inwestor może jedynie wskazać adres skrzynki </w:t>
      </w:r>
      <w:proofErr w:type="spellStart"/>
      <w:r w:rsidRPr="004A0CA6">
        <w:rPr>
          <w:rFonts w:ascii="Arial" w:hAnsi="Arial" w:cs="Arial"/>
        </w:rPr>
        <w:t>ePUAP</w:t>
      </w:r>
      <w:proofErr w:type="spellEnd"/>
      <w:r w:rsidRPr="004A0CA6">
        <w:rPr>
          <w:rFonts w:ascii="Arial" w:hAnsi="Arial" w:cs="Arial"/>
        </w:rPr>
        <w:t>.</w:t>
      </w:r>
    </w:p>
    <w:p w14:paraId="5D732F7E" w14:textId="77777777" w:rsidR="004A0CA6" w:rsidRPr="004A0CA6" w:rsidRDefault="004A0CA6" w:rsidP="004A0CA6">
      <w:pPr>
        <w:spacing w:after="0"/>
        <w:jc w:val="both"/>
        <w:rPr>
          <w:rFonts w:ascii="Arial" w:hAnsi="Arial" w:cs="Arial"/>
        </w:rPr>
      </w:pPr>
      <w:r w:rsidRPr="004A0CA6">
        <w:rPr>
          <w:rFonts w:ascii="Arial" w:hAnsi="Arial" w:cs="Arial"/>
        </w:rPr>
        <w:t xml:space="preserve">Wobec potrzeby dostosowania dotychczasowych rozwiązań do obecnych wymogów, konieczne jest wydanie rozporządzenia określającego nowy wzór formularza wniosku o pozwolenie na rozbiórkę wraz z nową, dodatkową formą kontaktu z inwestorem. W tym celu wzór formularza wniosku o pozwolenie na rozbiórkę uzupełniony został o adres do doręczeń elektronicznych – jako jedną z form korespondencji z inwestorem lub jego pełnomocnikiem. </w:t>
      </w:r>
      <w:r w:rsidRPr="004A0CA6">
        <w:rPr>
          <w:rFonts w:ascii="Arial" w:hAnsi="Arial" w:cs="Arial"/>
        </w:rPr>
        <w:lastRenderedPageBreak/>
        <w:t xml:space="preserve">Tym samym przedmiotowy projekt dostosowano do regulacji zawartych w ustawie z dnia 18 listopada 2020 r. o doręczeniach elektronicznych (Dz. U. z 2024 r. poz. 1045 i 1841). </w:t>
      </w:r>
    </w:p>
    <w:p w14:paraId="26F1CE51" w14:textId="77777777" w:rsidR="004A0CA6" w:rsidRPr="004A0CA6" w:rsidRDefault="004A0CA6" w:rsidP="004A0CA6">
      <w:pPr>
        <w:spacing w:after="0"/>
        <w:jc w:val="both"/>
        <w:rPr>
          <w:rFonts w:ascii="Arial" w:hAnsi="Arial" w:cs="Arial"/>
        </w:rPr>
      </w:pPr>
      <w:r w:rsidRPr="004A0CA6">
        <w:rPr>
          <w:rFonts w:ascii="Arial" w:hAnsi="Arial" w:cs="Arial"/>
        </w:rPr>
        <w:t xml:space="preserve">W pozostałym zakresie projekt powtarza regulacje zawarte w aktualnie obowiązującym rozporządzeniu Ministra Rozwoju, Pracy i Technologii 23 lutego 2021 r. w sprawie określenia wzoru formularza wniosku o pozwolenie na rozbiórkę. </w:t>
      </w:r>
    </w:p>
    <w:p w14:paraId="0B292D4E" w14:textId="6E430794" w:rsidR="004A0CA6" w:rsidRDefault="004A0CA6" w:rsidP="004A0CA6">
      <w:pPr>
        <w:spacing w:after="0"/>
        <w:jc w:val="both"/>
        <w:rPr>
          <w:rFonts w:ascii="Arial" w:hAnsi="Arial" w:cs="Arial"/>
        </w:rPr>
      </w:pPr>
      <w:r w:rsidRPr="004A0CA6">
        <w:rPr>
          <w:rFonts w:ascii="Arial" w:hAnsi="Arial" w:cs="Arial"/>
        </w:rPr>
        <w:t>Nie jest możliwe osiągnięcie powyższych efektów za pomocą środków poza legislacyjnych</w:t>
      </w:r>
      <w:r>
        <w:rPr>
          <w:rFonts w:ascii="Arial" w:hAnsi="Arial" w:cs="Arial"/>
        </w:rPr>
        <w:t>.</w:t>
      </w:r>
    </w:p>
    <w:p w14:paraId="757BCA65" w14:textId="77777777" w:rsidR="004A0CA6" w:rsidRDefault="004A0CA6" w:rsidP="004A0CA6">
      <w:pPr>
        <w:spacing w:after="0"/>
        <w:jc w:val="both"/>
        <w:rPr>
          <w:rFonts w:ascii="Arial" w:hAnsi="Arial" w:cs="Arial"/>
        </w:rPr>
      </w:pPr>
    </w:p>
    <w:p w14:paraId="3099B4D7" w14:textId="77777777" w:rsidR="004A0CA6" w:rsidRPr="004A0CA6" w:rsidRDefault="004A0CA6" w:rsidP="004A0CA6">
      <w:pPr>
        <w:spacing w:after="0"/>
        <w:jc w:val="both"/>
        <w:rPr>
          <w:rFonts w:ascii="Arial" w:hAnsi="Arial" w:cs="Arial"/>
        </w:rPr>
      </w:pPr>
      <w:r w:rsidRPr="004A0CA6">
        <w:rPr>
          <w:rFonts w:ascii="Arial" w:hAnsi="Arial" w:cs="Arial"/>
        </w:rPr>
        <w:t>Przedmiotowy projekt aktu prawnego wraz z Załącznikiem, Uzasadnieniem oraz Oceną Skutków Regulacji dostępny jest na stronach Rządowego Centrum Legislacji pod adresem:</w:t>
      </w:r>
    </w:p>
    <w:p w14:paraId="788DC51B" w14:textId="6BA7269A" w:rsidR="004A0CA6" w:rsidRDefault="004A0CA6" w:rsidP="004A0CA6">
      <w:pPr>
        <w:spacing w:after="0"/>
        <w:jc w:val="both"/>
        <w:rPr>
          <w:rFonts w:ascii="Arial" w:hAnsi="Arial" w:cs="Arial"/>
        </w:rPr>
      </w:pPr>
      <w:hyperlink r:id="rId12" w:history="1">
        <w:r w:rsidRPr="006A7CBC">
          <w:rPr>
            <w:rStyle w:val="Hipercze"/>
            <w:rFonts w:ascii="Arial" w:hAnsi="Arial" w:cs="Arial"/>
          </w:rPr>
          <w:t>https://legislacja.rcl.gov.pl/projekt/12397801</w:t>
        </w:r>
        <w:r w:rsidRPr="006A7CBC">
          <w:rPr>
            <w:rStyle w:val="Hipercze"/>
            <w:rFonts w:ascii="Arial" w:hAnsi="Arial" w:cs="Arial"/>
          </w:rPr>
          <w:t>/</w:t>
        </w:r>
        <w:r w:rsidRPr="006A7CBC">
          <w:rPr>
            <w:rStyle w:val="Hipercze"/>
            <w:rFonts w:ascii="Arial" w:hAnsi="Arial" w:cs="Arial"/>
          </w:rPr>
          <w:t>kata</w:t>
        </w:r>
        <w:r w:rsidRPr="006A7CBC">
          <w:rPr>
            <w:rStyle w:val="Hipercze"/>
            <w:rFonts w:ascii="Arial" w:hAnsi="Arial" w:cs="Arial"/>
          </w:rPr>
          <w:t>l</w:t>
        </w:r>
        <w:r w:rsidRPr="006A7CBC">
          <w:rPr>
            <w:rStyle w:val="Hipercze"/>
            <w:rFonts w:ascii="Arial" w:hAnsi="Arial" w:cs="Arial"/>
          </w:rPr>
          <w:t>og/13127901#13127901</w:t>
        </w:r>
      </w:hyperlink>
      <w:r>
        <w:rPr>
          <w:rFonts w:ascii="Arial" w:hAnsi="Arial" w:cs="Arial"/>
        </w:rPr>
        <w:t xml:space="preserve"> </w:t>
      </w:r>
    </w:p>
    <w:p w14:paraId="7347126C" w14:textId="77777777" w:rsidR="004A0CA6" w:rsidRDefault="004A0CA6" w:rsidP="004A0CA6">
      <w:pPr>
        <w:spacing w:after="0"/>
        <w:jc w:val="both"/>
        <w:rPr>
          <w:rFonts w:ascii="Arial" w:hAnsi="Arial" w:cs="Arial"/>
        </w:rPr>
      </w:pPr>
    </w:p>
    <w:p w14:paraId="2F92B46C" w14:textId="066FF773" w:rsidR="004A0CA6" w:rsidRDefault="004A0CA6" w:rsidP="004A0CA6">
      <w:pPr>
        <w:spacing w:after="0"/>
        <w:jc w:val="both"/>
        <w:rPr>
          <w:rFonts w:ascii="Arial" w:hAnsi="Arial" w:cs="Arial"/>
        </w:rPr>
      </w:pPr>
      <w:r w:rsidRPr="004A0CA6">
        <w:rPr>
          <w:rFonts w:ascii="Arial" w:hAnsi="Arial" w:cs="Arial"/>
        </w:rPr>
        <w:t>Projekt jest obecnie jednocześnie na etapie uzgodnień, konsultacji publicznych i opiniowania.</w:t>
      </w:r>
    </w:p>
    <w:p w14:paraId="4EB76431" w14:textId="77777777" w:rsidR="004A0CA6" w:rsidRPr="00440124" w:rsidRDefault="004A0CA6" w:rsidP="00440124">
      <w:pPr>
        <w:spacing w:after="0"/>
        <w:jc w:val="both"/>
        <w:rPr>
          <w:rFonts w:ascii="Arial" w:hAnsi="Arial" w:cs="Arial"/>
        </w:rPr>
      </w:pPr>
    </w:p>
    <w:p w14:paraId="26611E9E" w14:textId="404F5ADA" w:rsidR="00B04FED" w:rsidRPr="00257B0F" w:rsidRDefault="00257B0F" w:rsidP="00440124">
      <w:pPr>
        <w:pStyle w:val="Akapitzlist"/>
        <w:numPr>
          <w:ilvl w:val="0"/>
          <w:numId w:val="4"/>
        </w:numPr>
        <w:spacing w:after="0"/>
        <w:jc w:val="both"/>
        <w:rPr>
          <w:rFonts w:ascii="Arial" w:hAnsi="Arial" w:cs="Arial"/>
          <w:b/>
          <w:bCs/>
          <w:u w:val="single"/>
        </w:rPr>
      </w:pPr>
      <w:r w:rsidRPr="00257B0F">
        <w:rPr>
          <w:rFonts w:ascii="Arial" w:hAnsi="Arial" w:cs="Arial"/>
          <w:b/>
          <w:bCs/>
          <w:u w:val="single"/>
        </w:rPr>
        <w:t>P</w:t>
      </w:r>
      <w:r w:rsidRPr="00257B0F">
        <w:rPr>
          <w:rFonts w:ascii="Arial" w:hAnsi="Arial" w:cs="Arial"/>
          <w:b/>
          <w:bCs/>
          <w:u w:val="single"/>
        </w:rPr>
        <w:t>rojekt rozporządzenia Ministra Rozwoju i Technologii w sprawie określenia wzoru formularza zgłoszenia budowy lub wykonywania innych robót budowlanych (numer z wykazu 66).</w:t>
      </w:r>
    </w:p>
    <w:p w14:paraId="51CF0E93" w14:textId="77777777" w:rsidR="00440124" w:rsidRDefault="00440124" w:rsidP="0067737C">
      <w:pPr>
        <w:spacing w:after="0"/>
        <w:rPr>
          <w:rFonts w:ascii="Arial" w:hAnsi="Arial" w:cs="Arial"/>
        </w:rPr>
      </w:pPr>
    </w:p>
    <w:p w14:paraId="0BA6B2F8" w14:textId="53AAAA3A" w:rsidR="0067737C" w:rsidRPr="0067737C" w:rsidRDefault="0067737C" w:rsidP="0067737C">
      <w:pPr>
        <w:spacing w:after="0"/>
        <w:jc w:val="both"/>
        <w:rPr>
          <w:rFonts w:ascii="Arial" w:hAnsi="Arial" w:cs="Arial"/>
        </w:rPr>
      </w:pPr>
      <w:r w:rsidRPr="0067737C">
        <w:rPr>
          <w:rFonts w:ascii="Arial" w:hAnsi="Arial" w:cs="Arial"/>
        </w:rPr>
        <w:t xml:space="preserve">Obowiązujące wzory formularzy zgłoszenia budowy lub wykonywania innych robót budowlanych oraz zgłoszenia budowy lub przebudowy budynku mieszkalnego jednorodzinnego, określone rozporządzeniem Ministra Rozwoju, Pracy i Technologii z dnia 12 lutego 2021 r. w sprawie określenia wzoru formularza zgłoszenia budowy lub wykonywania innych robót budowlanych (Dz. U. poz. 304), nie przewiduje możliwości wskazania jako formy korespondencji z inwestorem oraz jego potencjalnym pełnomocnikiem doręczeń elektronicznych. Inwestor może jedynie wskazać adres skrzynki </w:t>
      </w:r>
      <w:proofErr w:type="spellStart"/>
      <w:r w:rsidRPr="0067737C">
        <w:rPr>
          <w:rFonts w:ascii="Arial" w:hAnsi="Arial" w:cs="Arial"/>
        </w:rPr>
        <w:t>ePUAP</w:t>
      </w:r>
      <w:proofErr w:type="spellEnd"/>
      <w:r w:rsidRPr="0067737C">
        <w:rPr>
          <w:rFonts w:ascii="Arial" w:hAnsi="Arial" w:cs="Arial"/>
        </w:rPr>
        <w:t>.</w:t>
      </w:r>
    </w:p>
    <w:p w14:paraId="152C8E9E" w14:textId="77777777" w:rsidR="0067737C" w:rsidRPr="0067737C" w:rsidRDefault="0067737C" w:rsidP="0067737C">
      <w:pPr>
        <w:spacing w:after="0"/>
        <w:jc w:val="both"/>
        <w:rPr>
          <w:rFonts w:ascii="Arial" w:hAnsi="Arial" w:cs="Arial"/>
        </w:rPr>
      </w:pPr>
      <w:r w:rsidRPr="0067737C">
        <w:rPr>
          <w:rFonts w:ascii="Arial" w:hAnsi="Arial" w:cs="Arial"/>
        </w:rPr>
        <w:t xml:space="preserve">Wobec potrzeby dostosowania dotychczasowych rozwiązań do obecnych wymogów, konieczne jest wydanie rozporządzenia określającego nowe wzory formularzy zgłoszenia budowy lub wykonywania innych robót budowlanych oraz zgłoszenia budowy lub przebudowy budynku mieszkalnego jednorodzinnego wraz z nową, dodatkową formą kontaktu z inwestorem. Wzory te  uzupełnione zostały o adres do doręczeń elektronicznych – jako jedną z form korespondencji z inwestorem lub jego pełnomocnikiem. Tym samym przedmiotowy projekt dostosowano do regulacji zawartych w ustawie z dnia 18 listopada 2020 r. o doręczeniach elektronicznych (Dz. U. z 2024 r. poz. 1045 i 1841). W pozostałym zakresie projekt powtarza regulacje zawarte w aktualnie obowiązującym rozporządzeniu Ministra Rozwoju, Pracy i Technologii z dnia 12 lutego 2021 r. w sprawie określenia wzoru formularza zgłoszenia budowy lub wykonywania innych robót budowlanych. </w:t>
      </w:r>
    </w:p>
    <w:p w14:paraId="00903A09" w14:textId="55516483" w:rsidR="0067737C" w:rsidRDefault="0067737C" w:rsidP="0067737C">
      <w:pPr>
        <w:spacing w:after="0"/>
        <w:jc w:val="both"/>
        <w:rPr>
          <w:rFonts w:ascii="Arial" w:hAnsi="Arial" w:cs="Arial"/>
        </w:rPr>
      </w:pPr>
      <w:r w:rsidRPr="0067737C">
        <w:rPr>
          <w:rFonts w:ascii="Arial" w:hAnsi="Arial" w:cs="Arial"/>
        </w:rPr>
        <w:t>Nie jest możliwe osiągnięcie powyższych efektów za pomocą środków poza legislacyjnych</w:t>
      </w:r>
      <w:r>
        <w:rPr>
          <w:rFonts w:ascii="Arial" w:hAnsi="Arial" w:cs="Arial"/>
        </w:rPr>
        <w:t>.</w:t>
      </w:r>
    </w:p>
    <w:p w14:paraId="77ED405F" w14:textId="77777777" w:rsidR="0067737C" w:rsidRDefault="0067737C" w:rsidP="0067737C">
      <w:pPr>
        <w:spacing w:after="0"/>
        <w:jc w:val="both"/>
        <w:rPr>
          <w:rFonts w:ascii="Arial" w:hAnsi="Arial" w:cs="Arial"/>
        </w:rPr>
      </w:pPr>
    </w:p>
    <w:p w14:paraId="747C771B" w14:textId="77777777" w:rsidR="0067737C" w:rsidRPr="0067737C" w:rsidRDefault="0067737C" w:rsidP="0067737C">
      <w:pPr>
        <w:spacing w:after="0"/>
        <w:jc w:val="both"/>
        <w:rPr>
          <w:rFonts w:ascii="Arial" w:hAnsi="Arial" w:cs="Arial"/>
        </w:rPr>
      </w:pPr>
      <w:r w:rsidRPr="0067737C">
        <w:rPr>
          <w:rFonts w:ascii="Arial" w:hAnsi="Arial" w:cs="Arial"/>
        </w:rPr>
        <w:t>Przedmiotowy projekt aktu prawnego wraz z Załącznikami (szt. 2), Uzasadnieniem oraz Oceną Skutków Regulacji dostępny jest na stronach Rządowego Centrum Legislacji pod adresem:</w:t>
      </w:r>
    </w:p>
    <w:p w14:paraId="0F2ED93B" w14:textId="5FD89EA1" w:rsidR="0067737C" w:rsidRDefault="0067737C" w:rsidP="0067737C">
      <w:pPr>
        <w:spacing w:after="0"/>
        <w:jc w:val="both"/>
        <w:rPr>
          <w:rFonts w:ascii="Arial" w:hAnsi="Arial" w:cs="Arial"/>
        </w:rPr>
      </w:pPr>
      <w:hyperlink r:id="rId13" w:history="1">
        <w:r w:rsidRPr="006A7CBC">
          <w:rPr>
            <w:rStyle w:val="Hipercze"/>
            <w:rFonts w:ascii="Arial" w:hAnsi="Arial" w:cs="Arial"/>
          </w:rPr>
          <w:t>https://legislacja.rcl.gov.pl/projekt/12397800/ka</w:t>
        </w:r>
        <w:r w:rsidRPr="006A7CBC">
          <w:rPr>
            <w:rStyle w:val="Hipercze"/>
            <w:rFonts w:ascii="Arial" w:hAnsi="Arial" w:cs="Arial"/>
          </w:rPr>
          <w:t>t</w:t>
        </w:r>
        <w:r w:rsidRPr="006A7CBC">
          <w:rPr>
            <w:rStyle w:val="Hipercze"/>
            <w:rFonts w:ascii="Arial" w:hAnsi="Arial" w:cs="Arial"/>
          </w:rPr>
          <w:t>alog/13127858#13127858</w:t>
        </w:r>
      </w:hyperlink>
      <w:r>
        <w:rPr>
          <w:rFonts w:ascii="Arial" w:hAnsi="Arial" w:cs="Arial"/>
        </w:rPr>
        <w:t xml:space="preserve"> </w:t>
      </w:r>
    </w:p>
    <w:p w14:paraId="5B86A636" w14:textId="77777777" w:rsidR="0067737C" w:rsidRDefault="0067737C" w:rsidP="0067737C">
      <w:pPr>
        <w:spacing w:after="0"/>
        <w:jc w:val="both"/>
        <w:rPr>
          <w:rFonts w:ascii="Arial" w:hAnsi="Arial" w:cs="Arial"/>
        </w:rPr>
      </w:pPr>
    </w:p>
    <w:p w14:paraId="2C28244A" w14:textId="157C191D" w:rsidR="0067737C" w:rsidRPr="0067737C" w:rsidRDefault="0067737C" w:rsidP="009B7BDF">
      <w:pPr>
        <w:spacing w:after="0"/>
        <w:jc w:val="both"/>
        <w:rPr>
          <w:rFonts w:ascii="Arial" w:hAnsi="Arial" w:cs="Arial"/>
        </w:rPr>
      </w:pPr>
      <w:r w:rsidRPr="0067737C">
        <w:rPr>
          <w:rFonts w:ascii="Arial" w:hAnsi="Arial" w:cs="Arial"/>
        </w:rPr>
        <w:t>Projekt jest obecnie jednocześnie na etapie uzgodnień, konsultacji publicznych i opiniowania.</w:t>
      </w:r>
    </w:p>
    <w:p w14:paraId="227DDE8A" w14:textId="77777777" w:rsidR="00440124" w:rsidRPr="00440124" w:rsidRDefault="00440124" w:rsidP="009B7BDF">
      <w:pPr>
        <w:spacing w:after="0"/>
        <w:jc w:val="both"/>
        <w:rPr>
          <w:rFonts w:ascii="Arial" w:hAnsi="Arial" w:cs="Arial"/>
        </w:rPr>
      </w:pPr>
    </w:p>
    <w:p w14:paraId="198DA913" w14:textId="661185C2" w:rsidR="0067737C" w:rsidRPr="009B7BDF" w:rsidRDefault="0067737C" w:rsidP="009B7BDF">
      <w:pPr>
        <w:pStyle w:val="Akapitzlist"/>
        <w:numPr>
          <w:ilvl w:val="0"/>
          <w:numId w:val="4"/>
        </w:numPr>
        <w:spacing w:after="0"/>
        <w:jc w:val="both"/>
        <w:rPr>
          <w:rFonts w:ascii="Arial" w:hAnsi="Arial" w:cs="Arial"/>
          <w:b/>
          <w:bCs/>
          <w:u w:val="single"/>
        </w:rPr>
      </w:pPr>
      <w:r w:rsidRPr="009B7BDF">
        <w:rPr>
          <w:rFonts w:ascii="Arial" w:hAnsi="Arial" w:cs="Arial"/>
          <w:b/>
          <w:bCs/>
          <w:u w:val="single"/>
        </w:rPr>
        <w:t>Projekt r</w:t>
      </w:r>
      <w:r w:rsidRPr="009B7BDF">
        <w:rPr>
          <w:rFonts w:ascii="Arial" w:hAnsi="Arial" w:cs="Arial"/>
          <w:b/>
          <w:bCs/>
          <w:u w:val="single"/>
        </w:rPr>
        <w:t>ozporządzeni</w:t>
      </w:r>
      <w:r w:rsidRPr="009B7BDF">
        <w:rPr>
          <w:rFonts w:ascii="Arial" w:hAnsi="Arial" w:cs="Arial"/>
          <w:b/>
          <w:bCs/>
          <w:u w:val="single"/>
        </w:rPr>
        <w:t>a</w:t>
      </w:r>
      <w:r w:rsidRPr="009B7BDF">
        <w:rPr>
          <w:rFonts w:ascii="Arial" w:hAnsi="Arial" w:cs="Arial"/>
          <w:b/>
          <w:bCs/>
          <w:u w:val="single"/>
        </w:rPr>
        <w:t xml:space="preserve"> Ministra Rozwoju i Technologii w sprawie określenia wzoru formularza zawiadomienia o zakończeniu budowy oraz wniosku o pozwolenie na użytkowanie (numer z wykazu 53).</w:t>
      </w:r>
    </w:p>
    <w:p w14:paraId="0444D073" w14:textId="77777777" w:rsidR="0067737C" w:rsidRDefault="0067737C" w:rsidP="009B7BDF">
      <w:pPr>
        <w:spacing w:after="0"/>
        <w:jc w:val="both"/>
        <w:rPr>
          <w:rFonts w:ascii="Arial" w:hAnsi="Arial" w:cs="Arial"/>
        </w:rPr>
      </w:pPr>
    </w:p>
    <w:p w14:paraId="4665BCDA" w14:textId="3A8267AD" w:rsidR="0067737C" w:rsidRDefault="0067737C" w:rsidP="009B7BDF">
      <w:pPr>
        <w:spacing w:after="0"/>
        <w:jc w:val="both"/>
        <w:rPr>
          <w:rFonts w:ascii="Arial" w:hAnsi="Arial" w:cs="Arial"/>
        </w:rPr>
      </w:pPr>
      <w:r w:rsidRPr="0067737C">
        <w:rPr>
          <w:rFonts w:ascii="Arial" w:hAnsi="Arial" w:cs="Arial"/>
        </w:rPr>
        <w:lastRenderedPageBreak/>
        <w:t>Obowiązujące wzory formularzy zawiadomienia o zakończeniu budowy oraz wniosku o pozwolenie na użytkowanie, określone</w:t>
      </w:r>
      <w:r>
        <w:rPr>
          <w:rFonts w:ascii="Arial" w:hAnsi="Arial" w:cs="Arial"/>
        </w:rPr>
        <w:t xml:space="preserve"> </w:t>
      </w:r>
      <w:r w:rsidRPr="0067737C">
        <w:rPr>
          <w:rFonts w:ascii="Arial" w:hAnsi="Arial" w:cs="Arial"/>
        </w:rPr>
        <w:t>rozporządzeniem Ministra Rozwoju i Technologii z dnia 31 marca 2022 r. w sprawie określenia wzoru formularza</w:t>
      </w:r>
      <w:r>
        <w:rPr>
          <w:rFonts w:ascii="Arial" w:hAnsi="Arial" w:cs="Arial"/>
        </w:rPr>
        <w:t xml:space="preserve"> </w:t>
      </w:r>
      <w:r w:rsidRPr="0067737C">
        <w:rPr>
          <w:rFonts w:ascii="Arial" w:hAnsi="Arial" w:cs="Arial"/>
        </w:rPr>
        <w:t>zawiadomienia o zakończeniu budowy oraz wniosku o pozwolenie na użytkowanie (Dz. U. poz. 715), nie przewidują</w:t>
      </w:r>
      <w:r>
        <w:rPr>
          <w:rFonts w:ascii="Arial" w:hAnsi="Arial" w:cs="Arial"/>
        </w:rPr>
        <w:t xml:space="preserve"> </w:t>
      </w:r>
      <w:r w:rsidRPr="0067737C">
        <w:rPr>
          <w:rFonts w:ascii="Arial" w:hAnsi="Arial" w:cs="Arial"/>
        </w:rPr>
        <w:t>możliwości</w:t>
      </w:r>
      <w:r>
        <w:rPr>
          <w:rFonts w:ascii="Arial" w:hAnsi="Arial" w:cs="Arial"/>
        </w:rPr>
        <w:t xml:space="preserve"> </w:t>
      </w:r>
      <w:r w:rsidRPr="0067737C">
        <w:rPr>
          <w:rFonts w:ascii="Arial" w:hAnsi="Arial" w:cs="Arial"/>
        </w:rPr>
        <w:t>wskazania jako formy korespondencji z inwestorem oraz jego potencjalnym pełnomocnikiem doręczeń elektronicznych.</w:t>
      </w:r>
      <w:r>
        <w:rPr>
          <w:rFonts w:ascii="Arial" w:hAnsi="Arial" w:cs="Arial"/>
        </w:rPr>
        <w:t xml:space="preserve"> </w:t>
      </w:r>
      <w:r w:rsidRPr="0067737C">
        <w:rPr>
          <w:rFonts w:ascii="Arial" w:hAnsi="Arial" w:cs="Arial"/>
        </w:rPr>
        <w:t xml:space="preserve">Wnioskodawca może jedynie wskazać adres skrzynki </w:t>
      </w:r>
      <w:proofErr w:type="spellStart"/>
      <w:r w:rsidRPr="0067737C">
        <w:rPr>
          <w:rFonts w:ascii="Arial" w:hAnsi="Arial" w:cs="Arial"/>
        </w:rPr>
        <w:t>ePUAP</w:t>
      </w:r>
      <w:proofErr w:type="spellEnd"/>
      <w:r>
        <w:rPr>
          <w:rFonts w:ascii="Arial" w:hAnsi="Arial" w:cs="Arial"/>
        </w:rPr>
        <w:t>.</w:t>
      </w:r>
    </w:p>
    <w:p w14:paraId="7913A29B" w14:textId="7AB65C51" w:rsidR="009B7BDF" w:rsidRPr="009B7BDF" w:rsidRDefault="009B7BDF" w:rsidP="009B7BDF">
      <w:pPr>
        <w:spacing w:after="0"/>
        <w:jc w:val="both"/>
        <w:rPr>
          <w:rFonts w:ascii="Arial" w:hAnsi="Arial" w:cs="Arial"/>
        </w:rPr>
      </w:pPr>
      <w:r w:rsidRPr="009B7BDF">
        <w:rPr>
          <w:rFonts w:ascii="Arial" w:hAnsi="Arial" w:cs="Arial"/>
        </w:rPr>
        <w:t>Wobec potrzeby dostosowania dotychczasowych rozwiązań do obecnych wymogów,</w:t>
      </w:r>
      <w:r>
        <w:rPr>
          <w:rFonts w:ascii="Arial" w:hAnsi="Arial" w:cs="Arial"/>
        </w:rPr>
        <w:t xml:space="preserve"> </w:t>
      </w:r>
      <w:r w:rsidRPr="009B7BDF">
        <w:rPr>
          <w:rFonts w:ascii="Arial" w:hAnsi="Arial" w:cs="Arial"/>
        </w:rPr>
        <w:t>konieczne jest wydanie rozporządzenia</w:t>
      </w:r>
      <w:r>
        <w:rPr>
          <w:rFonts w:ascii="Arial" w:hAnsi="Arial" w:cs="Arial"/>
        </w:rPr>
        <w:t xml:space="preserve"> </w:t>
      </w:r>
      <w:r w:rsidRPr="009B7BDF">
        <w:rPr>
          <w:rFonts w:ascii="Arial" w:hAnsi="Arial" w:cs="Arial"/>
        </w:rPr>
        <w:t>określającego nowe wzory formularzy zawiadomienia o zakończeniu budowy oraz wniosku o pozwolenie na użytkowanie wraz</w:t>
      </w:r>
      <w:r>
        <w:rPr>
          <w:rFonts w:ascii="Arial" w:hAnsi="Arial" w:cs="Arial"/>
        </w:rPr>
        <w:t xml:space="preserve"> </w:t>
      </w:r>
      <w:r w:rsidRPr="009B7BDF">
        <w:rPr>
          <w:rFonts w:ascii="Arial" w:hAnsi="Arial" w:cs="Arial"/>
        </w:rPr>
        <w:t>z nową, dodatkową formą kontaktu z inwestorem. Wzory przedmiotowych formularzy uzupełnione zostały o adres do doręczeń</w:t>
      </w:r>
      <w:r>
        <w:rPr>
          <w:rFonts w:ascii="Arial" w:hAnsi="Arial" w:cs="Arial"/>
        </w:rPr>
        <w:t xml:space="preserve"> </w:t>
      </w:r>
      <w:r w:rsidRPr="009B7BDF">
        <w:rPr>
          <w:rFonts w:ascii="Arial" w:hAnsi="Arial" w:cs="Arial"/>
        </w:rPr>
        <w:t>elektronicznych – jako jedną z form korespondencji z inwestorem lub jego pełnomocnikiem. Tym samym przedmiotowy projekt</w:t>
      </w:r>
      <w:r>
        <w:rPr>
          <w:rFonts w:ascii="Arial" w:hAnsi="Arial" w:cs="Arial"/>
        </w:rPr>
        <w:t xml:space="preserve"> </w:t>
      </w:r>
      <w:r w:rsidRPr="009B7BDF">
        <w:rPr>
          <w:rFonts w:ascii="Arial" w:hAnsi="Arial" w:cs="Arial"/>
        </w:rPr>
        <w:t>dostosowano do regulacji zawartych w ustawie z dnia 18 listopada 2020 r. o doręczeniach elektronicznych (Dz. U. z 2024 r.</w:t>
      </w:r>
      <w:r>
        <w:rPr>
          <w:rFonts w:ascii="Arial" w:hAnsi="Arial" w:cs="Arial"/>
        </w:rPr>
        <w:t xml:space="preserve"> </w:t>
      </w:r>
      <w:r w:rsidRPr="009B7BDF">
        <w:rPr>
          <w:rFonts w:ascii="Arial" w:hAnsi="Arial" w:cs="Arial"/>
        </w:rPr>
        <w:t>poz. 1045 i 1841).W pozostałym zakresie projekt rozporządzenia powtarza regulacje zawarte w aktualnie obowiązującym</w:t>
      </w:r>
      <w:r>
        <w:rPr>
          <w:rFonts w:ascii="Arial" w:hAnsi="Arial" w:cs="Arial"/>
        </w:rPr>
        <w:t xml:space="preserve"> </w:t>
      </w:r>
      <w:r w:rsidRPr="009B7BDF">
        <w:rPr>
          <w:rFonts w:ascii="Arial" w:hAnsi="Arial" w:cs="Arial"/>
        </w:rPr>
        <w:t>rozporządzeniu Ministra Rozwoju, Pracy i Technologii z dnia 31 marca 2022 r. w sprawie określenia wzoru formularza</w:t>
      </w:r>
      <w:r>
        <w:rPr>
          <w:rFonts w:ascii="Arial" w:hAnsi="Arial" w:cs="Arial"/>
        </w:rPr>
        <w:t xml:space="preserve"> </w:t>
      </w:r>
      <w:r w:rsidRPr="009B7BDF">
        <w:rPr>
          <w:rFonts w:ascii="Arial" w:hAnsi="Arial" w:cs="Arial"/>
        </w:rPr>
        <w:t>zawiadomienia o zakończeniu budowy oraz wniosku o pozwolenie na użytkowanie.</w:t>
      </w:r>
    </w:p>
    <w:p w14:paraId="48DE20CF" w14:textId="4AE6C404" w:rsidR="0067737C" w:rsidRDefault="009B7BDF" w:rsidP="009B7BDF">
      <w:pPr>
        <w:spacing w:after="0"/>
        <w:jc w:val="both"/>
        <w:rPr>
          <w:rFonts w:ascii="Arial" w:hAnsi="Arial" w:cs="Arial"/>
        </w:rPr>
      </w:pPr>
      <w:r w:rsidRPr="009B7BDF">
        <w:rPr>
          <w:rFonts w:ascii="Arial" w:hAnsi="Arial" w:cs="Arial"/>
        </w:rPr>
        <w:t>Nie jest możliwe osiągnięcie powyższych efektów za pomocą środków poza legislacyjnyc</w:t>
      </w:r>
      <w:r>
        <w:rPr>
          <w:rFonts w:ascii="Arial" w:hAnsi="Arial" w:cs="Arial"/>
        </w:rPr>
        <w:t>h.</w:t>
      </w:r>
    </w:p>
    <w:p w14:paraId="30D5CE72" w14:textId="77777777" w:rsidR="0067737C" w:rsidRDefault="0067737C" w:rsidP="009B7BDF">
      <w:pPr>
        <w:spacing w:after="0"/>
        <w:jc w:val="both"/>
        <w:rPr>
          <w:rFonts w:ascii="Arial" w:hAnsi="Arial" w:cs="Arial"/>
        </w:rPr>
      </w:pPr>
    </w:p>
    <w:p w14:paraId="0BEC77C8" w14:textId="11FCF87F" w:rsidR="0067737C" w:rsidRPr="0067737C" w:rsidRDefault="0067737C" w:rsidP="009B7BDF">
      <w:pPr>
        <w:spacing w:after="0"/>
        <w:jc w:val="both"/>
        <w:rPr>
          <w:rFonts w:ascii="Arial" w:hAnsi="Arial" w:cs="Arial"/>
        </w:rPr>
      </w:pPr>
      <w:r w:rsidRPr="0067737C">
        <w:rPr>
          <w:rFonts w:ascii="Arial" w:hAnsi="Arial" w:cs="Arial"/>
        </w:rPr>
        <w:t>Przedmiotowy projekt aktu prawnego dostępny jest na stronach Rządowego Centrum Legislacji pod adresem:</w:t>
      </w:r>
    </w:p>
    <w:p w14:paraId="5F7B550A" w14:textId="4472383E" w:rsidR="0067737C" w:rsidRDefault="0067737C" w:rsidP="009B7BDF">
      <w:pPr>
        <w:spacing w:after="0"/>
        <w:jc w:val="both"/>
        <w:rPr>
          <w:rFonts w:ascii="Arial" w:hAnsi="Arial" w:cs="Arial"/>
        </w:rPr>
      </w:pPr>
      <w:hyperlink r:id="rId14" w:history="1">
        <w:r w:rsidRPr="006A7CBC">
          <w:rPr>
            <w:rStyle w:val="Hipercze"/>
            <w:rFonts w:ascii="Arial" w:hAnsi="Arial" w:cs="Arial"/>
          </w:rPr>
          <w:t>https://legislacja.rcl.gov.pl/pro</w:t>
        </w:r>
        <w:r w:rsidRPr="006A7CBC">
          <w:rPr>
            <w:rStyle w:val="Hipercze"/>
            <w:rFonts w:ascii="Arial" w:hAnsi="Arial" w:cs="Arial"/>
          </w:rPr>
          <w:t>j</w:t>
        </w:r>
        <w:r w:rsidRPr="006A7CBC">
          <w:rPr>
            <w:rStyle w:val="Hipercze"/>
            <w:rFonts w:ascii="Arial" w:hAnsi="Arial" w:cs="Arial"/>
          </w:rPr>
          <w:t>ekt/12397808</w:t>
        </w:r>
      </w:hyperlink>
      <w:r>
        <w:rPr>
          <w:rFonts w:ascii="Arial" w:hAnsi="Arial" w:cs="Arial"/>
        </w:rPr>
        <w:t xml:space="preserve"> </w:t>
      </w:r>
    </w:p>
    <w:p w14:paraId="4CE77C7D" w14:textId="77777777" w:rsidR="0067737C" w:rsidRDefault="0067737C" w:rsidP="0067737C">
      <w:pPr>
        <w:spacing w:after="0"/>
        <w:rPr>
          <w:rFonts w:ascii="Arial" w:hAnsi="Arial" w:cs="Arial"/>
        </w:rPr>
      </w:pPr>
    </w:p>
    <w:p w14:paraId="566CAB60" w14:textId="632D374A" w:rsidR="009B7BDF" w:rsidRDefault="009B7BDF" w:rsidP="0067737C">
      <w:pPr>
        <w:spacing w:after="0"/>
        <w:rPr>
          <w:rFonts w:ascii="Arial" w:hAnsi="Arial" w:cs="Arial"/>
        </w:rPr>
      </w:pPr>
      <w:r w:rsidRPr="009B7BDF">
        <w:rPr>
          <w:rFonts w:ascii="Arial" w:hAnsi="Arial" w:cs="Arial"/>
        </w:rPr>
        <w:t>Projekt jest obecnie jednocześnie na etapie uzgodnień, konsultacji publicznych i opiniowania.</w:t>
      </w:r>
    </w:p>
    <w:p w14:paraId="2C57CCB1" w14:textId="77777777" w:rsidR="009B7BDF" w:rsidRPr="0067737C" w:rsidRDefault="009B7BDF" w:rsidP="0067737C">
      <w:pPr>
        <w:spacing w:after="0"/>
        <w:rPr>
          <w:rFonts w:ascii="Arial" w:hAnsi="Arial" w:cs="Arial"/>
        </w:rPr>
      </w:pPr>
    </w:p>
    <w:p w14:paraId="2B76038B" w14:textId="32455C9B" w:rsidR="00B04FED" w:rsidRPr="009B7BDF" w:rsidRDefault="0067737C" w:rsidP="00440124">
      <w:pPr>
        <w:pStyle w:val="Akapitzlist"/>
        <w:numPr>
          <w:ilvl w:val="0"/>
          <w:numId w:val="4"/>
        </w:numPr>
        <w:spacing w:after="0"/>
        <w:jc w:val="both"/>
        <w:rPr>
          <w:rFonts w:ascii="Arial" w:hAnsi="Arial" w:cs="Arial"/>
          <w:b/>
          <w:bCs/>
          <w:u w:val="single"/>
        </w:rPr>
      </w:pPr>
      <w:r w:rsidRPr="009B7BDF">
        <w:rPr>
          <w:rFonts w:ascii="Arial" w:hAnsi="Arial" w:cs="Arial"/>
          <w:b/>
          <w:bCs/>
          <w:u w:val="single"/>
        </w:rPr>
        <w:t>Projekt rozporządzenia</w:t>
      </w:r>
      <w:r w:rsidR="009B7BDF" w:rsidRPr="009B7BDF">
        <w:rPr>
          <w:b/>
          <w:bCs/>
          <w:u w:val="single"/>
        </w:rPr>
        <w:t xml:space="preserve"> </w:t>
      </w:r>
      <w:r w:rsidR="009B7BDF" w:rsidRPr="009B7BDF">
        <w:rPr>
          <w:rFonts w:ascii="Arial" w:hAnsi="Arial" w:cs="Arial"/>
          <w:b/>
          <w:bCs/>
          <w:u w:val="single"/>
        </w:rPr>
        <w:t>Ministra Rozwoju i Technologii w sprawie określenia wzoru formularza wniosku o wydanie decyzji o niezbędności wejścia do sąsiedniego budynku, lokalu lub na teren sąsiedniej nieruchomości (numer z wykazu 54).</w:t>
      </w:r>
    </w:p>
    <w:p w14:paraId="039AB085" w14:textId="77777777" w:rsidR="00440124" w:rsidRDefault="00440124" w:rsidP="00440124">
      <w:pPr>
        <w:spacing w:after="0"/>
        <w:jc w:val="both"/>
        <w:rPr>
          <w:rFonts w:ascii="Arial" w:hAnsi="Arial" w:cs="Arial"/>
        </w:rPr>
      </w:pPr>
    </w:p>
    <w:p w14:paraId="034E2230" w14:textId="2D1D9958" w:rsidR="009B7BDF" w:rsidRDefault="009B7BDF" w:rsidP="009B7BDF">
      <w:pPr>
        <w:spacing w:after="0"/>
        <w:jc w:val="both"/>
        <w:rPr>
          <w:rFonts w:ascii="Arial" w:hAnsi="Arial" w:cs="Arial"/>
        </w:rPr>
      </w:pPr>
      <w:r w:rsidRPr="009B7BDF">
        <w:rPr>
          <w:rFonts w:ascii="Arial" w:hAnsi="Arial" w:cs="Arial"/>
        </w:rPr>
        <w:t>Obowiązujący wzór formularza wniosku o wydanie decyzji o niezbędności wejścia do sąsiedniego budynku, lokalu lub na teren</w:t>
      </w:r>
      <w:r w:rsidR="00101228">
        <w:rPr>
          <w:rFonts w:ascii="Arial" w:hAnsi="Arial" w:cs="Arial"/>
        </w:rPr>
        <w:t xml:space="preserve"> </w:t>
      </w:r>
      <w:r w:rsidRPr="009B7BDF">
        <w:rPr>
          <w:rFonts w:ascii="Arial" w:hAnsi="Arial" w:cs="Arial"/>
        </w:rPr>
        <w:t>sąsiedniej nieruchomości, określony rozporządzeniem Ministra Rozwoju, Pracy i Technologii z dnia 12 lutego 2021 r. w sprawie</w:t>
      </w:r>
      <w:r w:rsidR="00101228">
        <w:rPr>
          <w:rFonts w:ascii="Arial" w:hAnsi="Arial" w:cs="Arial"/>
        </w:rPr>
        <w:t xml:space="preserve"> </w:t>
      </w:r>
      <w:r w:rsidRPr="009B7BDF">
        <w:rPr>
          <w:rFonts w:ascii="Arial" w:hAnsi="Arial" w:cs="Arial"/>
        </w:rPr>
        <w:t>określenia wzoru formularza wniosku o wydanie decyzji o niezbędności wejścia do sąsiedniego budynku, lokalu lub na teren</w:t>
      </w:r>
      <w:r w:rsidR="00101228">
        <w:rPr>
          <w:rFonts w:ascii="Arial" w:hAnsi="Arial" w:cs="Arial"/>
        </w:rPr>
        <w:t xml:space="preserve"> </w:t>
      </w:r>
      <w:r w:rsidRPr="009B7BDF">
        <w:rPr>
          <w:rFonts w:ascii="Arial" w:hAnsi="Arial" w:cs="Arial"/>
        </w:rPr>
        <w:t>sąsiedniej nieruchomości (Dz. U. poz. 296) nie przewiduje możliwości wskazania jako formy korespondencji z inwestorem oraz</w:t>
      </w:r>
      <w:r w:rsidR="00101228">
        <w:rPr>
          <w:rFonts w:ascii="Arial" w:hAnsi="Arial" w:cs="Arial"/>
        </w:rPr>
        <w:t xml:space="preserve"> </w:t>
      </w:r>
      <w:r w:rsidRPr="009B7BDF">
        <w:rPr>
          <w:rFonts w:ascii="Arial" w:hAnsi="Arial" w:cs="Arial"/>
        </w:rPr>
        <w:t xml:space="preserve">jego potencjalnym pełnomocnikiem doręczeń elektronicznych. Inwestor może jedynie wskazać adres skrzynki </w:t>
      </w:r>
      <w:proofErr w:type="spellStart"/>
      <w:r w:rsidRPr="009B7BDF">
        <w:rPr>
          <w:rFonts w:ascii="Arial" w:hAnsi="Arial" w:cs="Arial"/>
        </w:rPr>
        <w:t>ePUAP</w:t>
      </w:r>
      <w:proofErr w:type="spellEnd"/>
      <w:r w:rsidR="00101228">
        <w:rPr>
          <w:rFonts w:ascii="Arial" w:hAnsi="Arial" w:cs="Arial"/>
        </w:rPr>
        <w:t>.</w:t>
      </w:r>
    </w:p>
    <w:p w14:paraId="760D3902" w14:textId="5BA92F58" w:rsidR="00101228" w:rsidRPr="00101228" w:rsidRDefault="00101228" w:rsidP="00101228">
      <w:pPr>
        <w:spacing w:after="0"/>
        <w:jc w:val="both"/>
        <w:rPr>
          <w:rFonts w:ascii="Arial" w:hAnsi="Arial" w:cs="Arial"/>
        </w:rPr>
      </w:pPr>
      <w:r w:rsidRPr="00101228">
        <w:rPr>
          <w:rFonts w:ascii="Arial" w:hAnsi="Arial" w:cs="Arial"/>
        </w:rPr>
        <w:t>Wobec potrzeby dostosowania dotychczasowych rozwiązań do obecnych wymogów, konieczne jest wydanie rozporządzenia</w:t>
      </w:r>
      <w:r>
        <w:rPr>
          <w:rFonts w:ascii="Arial" w:hAnsi="Arial" w:cs="Arial"/>
        </w:rPr>
        <w:t xml:space="preserve"> </w:t>
      </w:r>
      <w:r w:rsidRPr="00101228">
        <w:rPr>
          <w:rFonts w:ascii="Arial" w:hAnsi="Arial" w:cs="Arial"/>
        </w:rPr>
        <w:t>określającego nowy wzór formularza wniosku o wydanie decyzji o niezbędności wejścia do sąsiedniego budynku, lokalu lub na</w:t>
      </w:r>
      <w:r>
        <w:rPr>
          <w:rFonts w:ascii="Arial" w:hAnsi="Arial" w:cs="Arial"/>
        </w:rPr>
        <w:t xml:space="preserve"> </w:t>
      </w:r>
      <w:r w:rsidRPr="00101228">
        <w:rPr>
          <w:rFonts w:ascii="Arial" w:hAnsi="Arial" w:cs="Arial"/>
        </w:rPr>
        <w:t>teren sąsiedniej nieruchomości wraz z nową, dodatkową formą kontaktu z inwestorem. Wzór formularza wniosku o wydanie</w:t>
      </w:r>
      <w:r>
        <w:rPr>
          <w:rFonts w:ascii="Arial" w:hAnsi="Arial" w:cs="Arial"/>
        </w:rPr>
        <w:t xml:space="preserve"> </w:t>
      </w:r>
      <w:r w:rsidRPr="00101228">
        <w:rPr>
          <w:rFonts w:ascii="Arial" w:hAnsi="Arial" w:cs="Arial"/>
        </w:rPr>
        <w:t>decyzji o niezbędności wejścia do sąsiedniego budynku, lokalu lub na teren sąsiedniej nieruchomości uzupełniony został o adres</w:t>
      </w:r>
      <w:r>
        <w:rPr>
          <w:rFonts w:ascii="Arial" w:hAnsi="Arial" w:cs="Arial"/>
        </w:rPr>
        <w:t xml:space="preserve"> </w:t>
      </w:r>
      <w:r w:rsidRPr="00101228">
        <w:rPr>
          <w:rFonts w:ascii="Arial" w:hAnsi="Arial" w:cs="Arial"/>
        </w:rPr>
        <w:t>do doręczeń elektronicznych – jako jedną z form korespondencji z inwestorem lub jego pełnomocnikiem. Tym samym</w:t>
      </w:r>
      <w:r>
        <w:rPr>
          <w:rFonts w:ascii="Arial" w:hAnsi="Arial" w:cs="Arial"/>
        </w:rPr>
        <w:t xml:space="preserve"> </w:t>
      </w:r>
      <w:r w:rsidRPr="00101228">
        <w:rPr>
          <w:rFonts w:ascii="Arial" w:hAnsi="Arial" w:cs="Arial"/>
        </w:rPr>
        <w:t>przedmiotowy projekt dostosowano do regulacji zawartych w ustawie z dnia 18 listopada 2020 r. o doręczeniach elektronicznych</w:t>
      </w:r>
      <w:r>
        <w:rPr>
          <w:rFonts w:ascii="Arial" w:hAnsi="Arial" w:cs="Arial"/>
        </w:rPr>
        <w:t xml:space="preserve"> </w:t>
      </w:r>
      <w:r w:rsidRPr="00101228">
        <w:rPr>
          <w:rFonts w:ascii="Arial" w:hAnsi="Arial" w:cs="Arial"/>
        </w:rPr>
        <w:t xml:space="preserve">(Dz. U. z 2024 r. poz. 1045 i 1841). W pozostałym zakresie </w:t>
      </w:r>
      <w:r w:rsidRPr="00101228">
        <w:rPr>
          <w:rFonts w:ascii="Arial" w:hAnsi="Arial" w:cs="Arial"/>
        </w:rPr>
        <w:lastRenderedPageBreak/>
        <w:t>projekt powtarza regulacje zawarte w aktualnie obowiązującym</w:t>
      </w:r>
      <w:r>
        <w:rPr>
          <w:rFonts w:ascii="Arial" w:hAnsi="Arial" w:cs="Arial"/>
        </w:rPr>
        <w:t xml:space="preserve"> </w:t>
      </w:r>
      <w:r w:rsidRPr="00101228">
        <w:rPr>
          <w:rFonts w:ascii="Arial" w:hAnsi="Arial" w:cs="Arial"/>
        </w:rPr>
        <w:t>rozporządzeniu Ministra Rozwoju, Pracy i Technologii z dnia 12 lutego 2021 r. w sprawie określenia wzoru formularza wniosku</w:t>
      </w:r>
      <w:r>
        <w:rPr>
          <w:rFonts w:ascii="Arial" w:hAnsi="Arial" w:cs="Arial"/>
        </w:rPr>
        <w:t xml:space="preserve"> </w:t>
      </w:r>
      <w:r w:rsidRPr="00101228">
        <w:rPr>
          <w:rFonts w:ascii="Arial" w:hAnsi="Arial" w:cs="Arial"/>
        </w:rPr>
        <w:t>o wydanie decyzji o niezbędności wejścia do sąsiedniego budynku, lokalu lub na teren sąsiedniej nieruchomości.</w:t>
      </w:r>
    </w:p>
    <w:p w14:paraId="3ECD1580" w14:textId="60CCCFC3" w:rsidR="00101228" w:rsidRDefault="00101228" w:rsidP="00101228">
      <w:pPr>
        <w:spacing w:after="0"/>
        <w:jc w:val="both"/>
        <w:rPr>
          <w:rFonts w:ascii="Arial" w:hAnsi="Arial" w:cs="Arial"/>
        </w:rPr>
      </w:pPr>
      <w:r w:rsidRPr="00101228">
        <w:rPr>
          <w:rFonts w:ascii="Arial" w:hAnsi="Arial" w:cs="Arial"/>
        </w:rPr>
        <w:t>Nie jest możliwe osiągnięcie powyższych efektów za pomocą środków poza legislacyjnych</w:t>
      </w:r>
    </w:p>
    <w:p w14:paraId="0BAB9D90" w14:textId="77777777" w:rsidR="009B7BDF" w:rsidRDefault="009B7BDF" w:rsidP="00440124">
      <w:pPr>
        <w:spacing w:after="0"/>
        <w:jc w:val="both"/>
        <w:rPr>
          <w:rFonts w:ascii="Arial" w:hAnsi="Arial" w:cs="Arial"/>
        </w:rPr>
      </w:pPr>
    </w:p>
    <w:p w14:paraId="0178B061" w14:textId="77777777" w:rsidR="009B7BDF" w:rsidRPr="009B7BDF" w:rsidRDefault="009B7BDF" w:rsidP="009B7BDF">
      <w:pPr>
        <w:spacing w:after="0"/>
        <w:jc w:val="both"/>
        <w:rPr>
          <w:rFonts w:ascii="Arial" w:hAnsi="Arial" w:cs="Arial"/>
        </w:rPr>
      </w:pPr>
      <w:r w:rsidRPr="009B7BDF">
        <w:rPr>
          <w:rFonts w:ascii="Arial" w:hAnsi="Arial" w:cs="Arial"/>
        </w:rPr>
        <w:t>Przedmiotowy projekt aktu prawnego dostępny jest na stronach Rządowego Centrum Legislacji pod adresem:</w:t>
      </w:r>
    </w:p>
    <w:p w14:paraId="0ED2AFE9" w14:textId="75984740" w:rsidR="009B7BDF" w:rsidRDefault="009B7BDF" w:rsidP="009B7BDF">
      <w:pPr>
        <w:spacing w:after="0"/>
        <w:jc w:val="both"/>
        <w:rPr>
          <w:rFonts w:ascii="Arial" w:hAnsi="Arial" w:cs="Arial"/>
        </w:rPr>
      </w:pPr>
      <w:hyperlink r:id="rId15" w:history="1">
        <w:r w:rsidRPr="006A7CBC">
          <w:rPr>
            <w:rStyle w:val="Hipercze"/>
            <w:rFonts w:ascii="Arial" w:hAnsi="Arial" w:cs="Arial"/>
          </w:rPr>
          <w:t>https://legislacja.rcl.gov.pl/projekt/1239</w:t>
        </w:r>
        <w:r w:rsidRPr="006A7CBC">
          <w:rPr>
            <w:rStyle w:val="Hipercze"/>
            <w:rFonts w:ascii="Arial" w:hAnsi="Arial" w:cs="Arial"/>
          </w:rPr>
          <w:t>7</w:t>
        </w:r>
        <w:r w:rsidRPr="006A7CBC">
          <w:rPr>
            <w:rStyle w:val="Hipercze"/>
            <w:rFonts w:ascii="Arial" w:hAnsi="Arial" w:cs="Arial"/>
          </w:rPr>
          <w:t>810</w:t>
        </w:r>
      </w:hyperlink>
      <w:r>
        <w:rPr>
          <w:rFonts w:ascii="Arial" w:hAnsi="Arial" w:cs="Arial"/>
        </w:rPr>
        <w:t xml:space="preserve"> </w:t>
      </w:r>
    </w:p>
    <w:p w14:paraId="4B0EB3D7" w14:textId="77777777" w:rsidR="009B7BDF" w:rsidRDefault="009B7BDF" w:rsidP="00440124">
      <w:pPr>
        <w:spacing w:after="0"/>
        <w:jc w:val="both"/>
        <w:rPr>
          <w:rFonts w:ascii="Arial" w:hAnsi="Arial" w:cs="Arial"/>
        </w:rPr>
      </w:pPr>
    </w:p>
    <w:p w14:paraId="462EACF1" w14:textId="4F8AF676" w:rsidR="00101228" w:rsidRDefault="00101228" w:rsidP="00440124">
      <w:pPr>
        <w:spacing w:after="0"/>
        <w:jc w:val="both"/>
        <w:rPr>
          <w:rFonts w:ascii="Arial" w:hAnsi="Arial" w:cs="Arial"/>
        </w:rPr>
      </w:pPr>
      <w:r w:rsidRPr="00101228">
        <w:rPr>
          <w:rFonts w:ascii="Arial" w:hAnsi="Arial" w:cs="Arial"/>
        </w:rPr>
        <w:t>Projekt jest obecnie jednocześnie na etapie uzgodnień, konsultacji publicznych i opiniowania.</w:t>
      </w:r>
    </w:p>
    <w:p w14:paraId="01EFE045" w14:textId="77777777" w:rsidR="009B7BDF" w:rsidRPr="00440124" w:rsidRDefault="009B7BDF" w:rsidP="00440124">
      <w:pPr>
        <w:spacing w:after="0"/>
        <w:jc w:val="both"/>
        <w:rPr>
          <w:rFonts w:ascii="Arial" w:hAnsi="Arial" w:cs="Arial"/>
        </w:rPr>
      </w:pPr>
    </w:p>
    <w:p w14:paraId="71545992" w14:textId="7A565396" w:rsidR="00B04FED" w:rsidRPr="00101228" w:rsidRDefault="0067737C" w:rsidP="009E464A">
      <w:pPr>
        <w:pStyle w:val="Akapitzlist"/>
        <w:numPr>
          <w:ilvl w:val="0"/>
          <w:numId w:val="4"/>
        </w:numPr>
        <w:spacing w:after="0"/>
        <w:jc w:val="both"/>
        <w:rPr>
          <w:rFonts w:ascii="Arial" w:hAnsi="Arial" w:cs="Arial"/>
          <w:b/>
          <w:bCs/>
          <w:u w:val="single"/>
        </w:rPr>
      </w:pPr>
      <w:r w:rsidRPr="00101228">
        <w:rPr>
          <w:rFonts w:ascii="Arial" w:hAnsi="Arial" w:cs="Arial"/>
          <w:b/>
          <w:bCs/>
          <w:u w:val="single"/>
        </w:rPr>
        <w:t>Projekt rozporządzenia</w:t>
      </w:r>
      <w:r w:rsidR="00101228" w:rsidRPr="00101228">
        <w:rPr>
          <w:b/>
          <w:bCs/>
          <w:u w:val="single"/>
        </w:rPr>
        <w:t xml:space="preserve"> </w:t>
      </w:r>
      <w:r w:rsidR="00101228" w:rsidRPr="00101228">
        <w:rPr>
          <w:rFonts w:ascii="Arial" w:hAnsi="Arial" w:cs="Arial"/>
          <w:b/>
          <w:bCs/>
          <w:u w:val="single"/>
        </w:rPr>
        <w:t>Ministra Rozwoju i Technologii w sprawie określenia wzoru formularza wniosku o wszczęcie uproszczonego postępowania legalizacyjnego (numer z wykazu 55).</w:t>
      </w:r>
    </w:p>
    <w:p w14:paraId="536A7BF6" w14:textId="77777777" w:rsidR="00440124" w:rsidRDefault="00440124" w:rsidP="009E464A">
      <w:pPr>
        <w:spacing w:after="0"/>
        <w:jc w:val="both"/>
        <w:rPr>
          <w:rFonts w:ascii="Arial" w:hAnsi="Arial" w:cs="Arial"/>
        </w:rPr>
      </w:pPr>
    </w:p>
    <w:p w14:paraId="08A61226" w14:textId="317432B8" w:rsidR="00101228" w:rsidRDefault="009E464A" w:rsidP="009E464A">
      <w:pPr>
        <w:spacing w:after="0"/>
        <w:jc w:val="both"/>
        <w:rPr>
          <w:rFonts w:ascii="Arial" w:hAnsi="Arial" w:cs="Arial"/>
        </w:rPr>
      </w:pPr>
      <w:r w:rsidRPr="009E464A">
        <w:rPr>
          <w:rFonts w:ascii="Arial" w:hAnsi="Arial" w:cs="Arial"/>
        </w:rPr>
        <w:t>Obowiązujący wzór formularza wniosku o wszczęcie uproszczonego postępowania</w:t>
      </w:r>
      <w:r>
        <w:rPr>
          <w:rFonts w:ascii="Arial" w:hAnsi="Arial" w:cs="Arial"/>
        </w:rPr>
        <w:t xml:space="preserve"> </w:t>
      </w:r>
      <w:r w:rsidRPr="009E464A">
        <w:rPr>
          <w:rFonts w:ascii="Arial" w:hAnsi="Arial" w:cs="Arial"/>
        </w:rPr>
        <w:t>legalizacyjnego, określony rozporządzeniem</w:t>
      </w:r>
      <w:r>
        <w:rPr>
          <w:rFonts w:ascii="Arial" w:hAnsi="Arial" w:cs="Arial"/>
        </w:rPr>
        <w:t xml:space="preserve"> </w:t>
      </w:r>
      <w:r w:rsidRPr="009E464A">
        <w:rPr>
          <w:rFonts w:ascii="Arial" w:hAnsi="Arial" w:cs="Arial"/>
        </w:rPr>
        <w:t>Ministra Rozwoju, Pracy i Technologii z dnia 16 lutego 2021 r. w sprawie określenia wzoru formularza wniosku o wszczęcie</w:t>
      </w:r>
      <w:r>
        <w:rPr>
          <w:rFonts w:ascii="Arial" w:hAnsi="Arial" w:cs="Arial"/>
        </w:rPr>
        <w:t xml:space="preserve"> </w:t>
      </w:r>
      <w:r w:rsidRPr="009E464A">
        <w:rPr>
          <w:rFonts w:ascii="Arial" w:hAnsi="Arial" w:cs="Arial"/>
        </w:rPr>
        <w:t>uproszczonego postępowania legalizacyjnego (Dz. U. poz. 338) nie przewiduje możliwości wskazania jako formy</w:t>
      </w:r>
      <w:r>
        <w:rPr>
          <w:rFonts w:ascii="Arial" w:hAnsi="Arial" w:cs="Arial"/>
        </w:rPr>
        <w:t xml:space="preserve"> </w:t>
      </w:r>
      <w:r w:rsidRPr="009E464A">
        <w:rPr>
          <w:rFonts w:ascii="Arial" w:hAnsi="Arial" w:cs="Arial"/>
        </w:rPr>
        <w:t>korespondencji z właścicielem lub zarządcą obiektu budowlanego oraz ich</w:t>
      </w:r>
      <w:r>
        <w:rPr>
          <w:rFonts w:ascii="Arial" w:hAnsi="Arial" w:cs="Arial"/>
        </w:rPr>
        <w:t xml:space="preserve"> </w:t>
      </w:r>
      <w:r w:rsidRPr="009E464A">
        <w:rPr>
          <w:rFonts w:ascii="Arial" w:hAnsi="Arial" w:cs="Arial"/>
        </w:rPr>
        <w:t>potencjalnym pełnomocnikiem doręczeń</w:t>
      </w:r>
      <w:r>
        <w:rPr>
          <w:rFonts w:ascii="Arial" w:hAnsi="Arial" w:cs="Arial"/>
        </w:rPr>
        <w:t xml:space="preserve"> </w:t>
      </w:r>
      <w:r w:rsidRPr="009E464A">
        <w:rPr>
          <w:rFonts w:ascii="Arial" w:hAnsi="Arial" w:cs="Arial"/>
        </w:rPr>
        <w:t xml:space="preserve">elektronicznych. Właściciel lub zarządca obiektu budowlanego może jedynie wskazać adres skrzynki </w:t>
      </w:r>
      <w:proofErr w:type="spellStart"/>
      <w:r w:rsidRPr="009E464A">
        <w:rPr>
          <w:rFonts w:ascii="Arial" w:hAnsi="Arial" w:cs="Arial"/>
        </w:rPr>
        <w:t>ePUA</w:t>
      </w:r>
      <w:r>
        <w:rPr>
          <w:rFonts w:ascii="Arial" w:hAnsi="Arial" w:cs="Arial"/>
        </w:rPr>
        <w:t>P</w:t>
      </w:r>
      <w:proofErr w:type="spellEnd"/>
      <w:r>
        <w:rPr>
          <w:rFonts w:ascii="Arial" w:hAnsi="Arial" w:cs="Arial"/>
        </w:rPr>
        <w:t>.</w:t>
      </w:r>
    </w:p>
    <w:p w14:paraId="3D72AB1A" w14:textId="25E6E98D" w:rsidR="009E464A" w:rsidRPr="009E464A" w:rsidRDefault="009E464A" w:rsidP="009E464A">
      <w:pPr>
        <w:spacing w:after="0"/>
        <w:jc w:val="both"/>
        <w:rPr>
          <w:rFonts w:ascii="Arial" w:hAnsi="Arial" w:cs="Arial"/>
        </w:rPr>
      </w:pPr>
      <w:r w:rsidRPr="009E464A">
        <w:rPr>
          <w:rFonts w:ascii="Arial" w:hAnsi="Arial" w:cs="Arial"/>
        </w:rPr>
        <w:t>Wobec potrzeby dostosowania dotychczasowych rozwiązań do obecnych wymogów, konieczne jest wydanie rozporządzenia</w:t>
      </w:r>
      <w:r>
        <w:rPr>
          <w:rFonts w:ascii="Arial" w:hAnsi="Arial" w:cs="Arial"/>
        </w:rPr>
        <w:t xml:space="preserve"> </w:t>
      </w:r>
      <w:r w:rsidRPr="009E464A">
        <w:rPr>
          <w:rFonts w:ascii="Arial" w:hAnsi="Arial" w:cs="Arial"/>
        </w:rPr>
        <w:t>określającego nowy wzór formularza wniosku o wszczęcie uproszczonego postępowania legalizacyjnego wraz z nową, dodatkową</w:t>
      </w:r>
      <w:r>
        <w:rPr>
          <w:rFonts w:ascii="Arial" w:hAnsi="Arial" w:cs="Arial"/>
        </w:rPr>
        <w:t xml:space="preserve"> </w:t>
      </w:r>
      <w:r w:rsidRPr="009E464A">
        <w:rPr>
          <w:rFonts w:ascii="Arial" w:hAnsi="Arial" w:cs="Arial"/>
        </w:rPr>
        <w:t>formą kontaktu z inwestorem. W tym celu wzór formularza wniosku o wszczęcie uproszczonego postępowania legalizacyjnego</w:t>
      </w:r>
      <w:r>
        <w:rPr>
          <w:rFonts w:ascii="Arial" w:hAnsi="Arial" w:cs="Arial"/>
        </w:rPr>
        <w:t xml:space="preserve"> </w:t>
      </w:r>
      <w:r w:rsidRPr="009E464A">
        <w:rPr>
          <w:rFonts w:ascii="Arial" w:hAnsi="Arial" w:cs="Arial"/>
        </w:rPr>
        <w:t>uzupełniony został o adres do doręczeń elektronicznych – jako jedną z form korespondencji z właścicielem lub zarządcą obiektu</w:t>
      </w:r>
      <w:r>
        <w:rPr>
          <w:rFonts w:ascii="Arial" w:hAnsi="Arial" w:cs="Arial"/>
        </w:rPr>
        <w:t xml:space="preserve"> </w:t>
      </w:r>
      <w:r w:rsidRPr="009E464A">
        <w:rPr>
          <w:rFonts w:ascii="Arial" w:hAnsi="Arial" w:cs="Arial"/>
        </w:rPr>
        <w:t>budowlanego. Tym samym przedmiotowy projekt dostosowano do regulacji zawartych w ustawie z dnia 18 listopada 2020 r.</w:t>
      </w:r>
      <w:r>
        <w:rPr>
          <w:rFonts w:ascii="Arial" w:hAnsi="Arial" w:cs="Arial"/>
        </w:rPr>
        <w:t xml:space="preserve"> </w:t>
      </w:r>
      <w:r w:rsidRPr="009E464A">
        <w:rPr>
          <w:rFonts w:ascii="Arial" w:hAnsi="Arial" w:cs="Arial"/>
        </w:rPr>
        <w:t>o doręczeniach elektronicznych (Dz. U. z 2024 r. poz. 1045 i 1841). W pozostałym zakresie projekt powtarza regulacje zawarte</w:t>
      </w:r>
      <w:r>
        <w:rPr>
          <w:rFonts w:ascii="Arial" w:hAnsi="Arial" w:cs="Arial"/>
        </w:rPr>
        <w:t xml:space="preserve"> </w:t>
      </w:r>
      <w:r w:rsidRPr="009E464A">
        <w:rPr>
          <w:rFonts w:ascii="Arial" w:hAnsi="Arial" w:cs="Arial"/>
        </w:rPr>
        <w:t>w aktualnie obowiązującym rozporządzeniu Ministra Rozwoju, Pracy i Technologii z dnia 16 lutego 2021 r. w sprawie określenia</w:t>
      </w:r>
      <w:r>
        <w:rPr>
          <w:rFonts w:ascii="Arial" w:hAnsi="Arial" w:cs="Arial"/>
        </w:rPr>
        <w:t xml:space="preserve"> </w:t>
      </w:r>
      <w:r w:rsidRPr="009E464A">
        <w:rPr>
          <w:rFonts w:ascii="Arial" w:hAnsi="Arial" w:cs="Arial"/>
        </w:rPr>
        <w:t>wzoru formularza wniosku o wszczęcie uproszczonego postępowania legalizacyjnego.</w:t>
      </w:r>
    </w:p>
    <w:p w14:paraId="640F08BA" w14:textId="148B3C88" w:rsidR="009E464A" w:rsidRDefault="009E464A" w:rsidP="009E464A">
      <w:pPr>
        <w:spacing w:after="0"/>
        <w:jc w:val="both"/>
        <w:rPr>
          <w:rFonts w:ascii="Arial" w:hAnsi="Arial" w:cs="Arial"/>
        </w:rPr>
      </w:pPr>
      <w:r w:rsidRPr="009E464A">
        <w:rPr>
          <w:rFonts w:ascii="Arial" w:hAnsi="Arial" w:cs="Arial"/>
        </w:rPr>
        <w:t>Nie jest możliwe osiągnięcie powyższych efektów za pomocą środków poza legislacyjnyc</w:t>
      </w:r>
      <w:r>
        <w:rPr>
          <w:rFonts w:ascii="Arial" w:hAnsi="Arial" w:cs="Arial"/>
        </w:rPr>
        <w:t>h.</w:t>
      </w:r>
    </w:p>
    <w:p w14:paraId="00D3FEED" w14:textId="77777777" w:rsidR="00101228" w:rsidRDefault="00101228" w:rsidP="009E464A">
      <w:pPr>
        <w:spacing w:after="0"/>
        <w:jc w:val="both"/>
        <w:rPr>
          <w:rFonts w:ascii="Arial" w:hAnsi="Arial" w:cs="Arial"/>
        </w:rPr>
      </w:pPr>
    </w:p>
    <w:p w14:paraId="61346820" w14:textId="77777777" w:rsidR="00101228" w:rsidRPr="00101228" w:rsidRDefault="00101228" w:rsidP="00101228">
      <w:pPr>
        <w:spacing w:after="0"/>
        <w:rPr>
          <w:rFonts w:ascii="Arial" w:hAnsi="Arial" w:cs="Arial"/>
        </w:rPr>
      </w:pPr>
      <w:r w:rsidRPr="00101228">
        <w:rPr>
          <w:rFonts w:ascii="Arial" w:hAnsi="Arial" w:cs="Arial"/>
        </w:rPr>
        <w:t>Przedmiotowy projekt aktu prawnego dostępny jest na stronach Rządowego Centrum Legislacji pod adresem:</w:t>
      </w:r>
    </w:p>
    <w:p w14:paraId="4D7EB0F3" w14:textId="3EBD9FD7" w:rsidR="00101228" w:rsidRPr="00101228" w:rsidRDefault="00101228" w:rsidP="00101228">
      <w:pPr>
        <w:spacing w:after="0"/>
        <w:rPr>
          <w:rFonts w:ascii="Arial" w:hAnsi="Arial" w:cs="Arial"/>
        </w:rPr>
      </w:pPr>
      <w:hyperlink r:id="rId16" w:history="1">
        <w:r w:rsidRPr="006A7CBC">
          <w:rPr>
            <w:rStyle w:val="Hipercze"/>
            <w:rFonts w:ascii="Arial" w:hAnsi="Arial" w:cs="Arial"/>
          </w:rPr>
          <w:t>https://legislacja.rcl.gov.pl/p</w:t>
        </w:r>
        <w:r w:rsidRPr="006A7CBC">
          <w:rPr>
            <w:rStyle w:val="Hipercze"/>
            <w:rFonts w:ascii="Arial" w:hAnsi="Arial" w:cs="Arial"/>
          </w:rPr>
          <w:t>r</w:t>
        </w:r>
        <w:r w:rsidRPr="006A7CBC">
          <w:rPr>
            <w:rStyle w:val="Hipercze"/>
            <w:rFonts w:ascii="Arial" w:hAnsi="Arial" w:cs="Arial"/>
          </w:rPr>
          <w:t>ojekt/12397809</w:t>
        </w:r>
      </w:hyperlink>
      <w:r>
        <w:rPr>
          <w:rFonts w:ascii="Arial" w:hAnsi="Arial" w:cs="Arial"/>
        </w:rPr>
        <w:t xml:space="preserve"> </w:t>
      </w:r>
    </w:p>
    <w:p w14:paraId="73E2808C" w14:textId="77777777" w:rsidR="00440124" w:rsidRDefault="00440124" w:rsidP="00440124">
      <w:pPr>
        <w:spacing w:after="0"/>
        <w:jc w:val="both"/>
        <w:rPr>
          <w:rFonts w:ascii="Arial" w:hAnsi="Arial" w:cs="Arial"/>
        </w:rPr>
      </w:pPr>
    </w:p>
    <w:p w14:paraId="10CEA402" w14:textId="09030DB9" w:rsidR="009E464A" w:rsidRDefault="009E464A" w:rsidP="00440124">
      <w:pPr>
        <w:spacing w:after="0"/>
        <w:jc w:val="both"/>
        <w:rPr>
          <w:rFonts w:ascii="Arial" w:hAnsi="Arial" w:cs="Arial"/>
        </w:rPr>
      </w:pPr>
      <w:r w:rsidRPr="009E464A">
        <w:rPr>
          <w:rFonts w:ascii="Arial" w:hAnsi="Arial" w:cs="Arial"/>
        </w:rPr>
        <w:t>Projekt jest obecnie jednocześnie na etapie uzgodnień, konsultacji publicznych i opiniowania.</w:t>
      </w:r>
    </w:p>
    <w:p w14:paraId="7B59B276" w14:textId="77777777" w:rsidR="009E464A" w:rsidRPr="00440124" w:rsidRDefault="009E464A" w:rsidP="00440124">
      <w:pPr>
        <w:spacing w:after="0"/>
        <w:jc w:val="both"/>
        <w:rPr>
          <w:rFonts w:ascii="Arial" w:hAnsi="Arial" w:cs="Arial"/>
        </w:rPr>
      </w:pPr>
    </w:p>
    <w:p w14:paraId="4828A789" w14:textId="5595060B" w:rsidR="00B04FED" w:rsidRPr="009E464A" w:rsidRDefault="0067737C" w:rsidP="00440124">
      <w:pPr>
        <w:pStyle w:val="Akapitzlist"/>
        <w:numPr>
          <w:ilvl w:val="0"/>
          <w:numId w:val="4"/>
        </w:numPr>
        <w:spacing w:after="0"/>
        <w:jc w:val="both"/>
        <w:rPr>
          <w:rFonts w:ascii="Arial" w:hAnsi="Arial" w:cs="Arial"/>
          <w:b/>
          <w:bCs/>
          <w:u w:val="single"/>
        </w:rPr>
      </w:pPr>
      <w:r w:rsidRPr="009E464A">
        <w:rPr>
          <w:rFonts w:ascii="Arial" w:hAnsi="Arial" w:cs="Arial"/>
          <w:b/>
          <w:bCs/>
          <w:u w:val="single"/>
        </w:rPr>
        <w:t>Projekt rozporządzenia</w:t>
      </w:r>
      <w:r w:rsidR="009E464A" w:rsidRPr="009E464A">
        <w:rPr>
          <w:b/>
          <w:bCs/>
          <w:u w:val="single"/>
        </w:rPr>
        <w:t xml:space="preserve"> </w:t>
      </w:r>
      <w:r w:rsidR="009E464A" w:rsidRPr="009E464A">
        <w:rPr>
          <w:rFonts w:ascii="Arial" w:hAnsi="Arial" w:cs="Arial"/>
          <w:b/>
          <w:bCs/>
          <w:u w:val="single"/>
        </w:rPr>
        <w:t>Ministra Rozwoju i Technologii w sprawie określenia wzoru formularza wniosku o pozwolenie na budowę (numer z wykazu 56)</w:t>
      </w:r>
      <w:r w:rsidR="009E464A">
        <w:rPr>
          <w:rFonts w:ascii="Arial" w:hAnsi="Arial" w:cs="Arial"/>
          <w:b/>
          <w:bCs/>
          <w:u w:val="single"/>
        </w:rPr>
        <w:t>.</w:t>
      </w:r>
    </w:p>
    <w:p w14:paraId="14AAFC24" w14:textId="77777777" w:rsidR="00440124" w:rsidRDefault="00440124" w:rsidP="00440124">
      <w:pPr>
        <w:spacing w:after="0"/>
        <w:jc w:val="both"/>
        <w:rPr>
          <w:rFonts w:ascii="Arial" w:hAnsi="Arial" w:cs="Arial"/>
        </w:rPr>
      </w:pPr>
    </w:p>
    <w:p w14:paraId="6C69F10F" w14:textId="7CF1B675" w:rsidR="009E464A" w:rsidRPr="009E464A" w:rsidRDefault="009E464A" w:rsidP="009E464A">
      <w:pPr>
        <w:spacing w:after="0"/>
        <w:jc w:val="both"/>
        <w:rPr>
          <w:rFonts w:ascii="Arial" w:hAnsi="Arial" w:cs="Arial"/>
        </w:rPr>
      </w:pPr>
      <w:r w:rsidRPr="009E464A">
        <w:rPr>
          <w:rFonts w:ascii="Arial" w:hAnsi="Arial" w:cs="Arial"/>
        </w:rPr>
        <w:t>Obowiązujący wzór formularza wniosku o pozwolenie na budowę, określony rozporządzeniem Ministra Rozwoju, Pracy</w:t>
      </w:r>
      <w:r>
        <w:rPr>
          <w:rFonts w:ascii="Arial" w:hAnsi="Arial" w:cs="Arial"/>
        </w:rPr>
        <w:t xml:space="preserve"> </w:t>
      </w:r>
      <w:r w:rsidRPr="009E464A">
        <w:rPr>
          <w:rFonts w:ascii="Arial" w:hAnsi="Arial" w:cs="Arial"/>
        </w:rPr>
        <w:t xml:space="preserve">i Technologii z dnia 26 lutego 2021 r. w sprawie określenia wzoru </w:t>
      </w:r>
      <w:r w:rsidRPr="009E464A">
        <w:rPr>
          <w:rFonts w:ascii="Arial" w:hAnsi="Arial" w:cs="Arial"/>
        </w:rPr>
        <w:lastRenderedPageBreak/>
        <w:t>formularza wniosku o pozwolenie na budowę (Dz. U. poz.</w:t>
      </w:r>
      <w:r>
        <w:rPr>
          <w:rFonts w:ascii="Arial" w:hAnsi="Arial" w:cs="Arial"/>
        </w:rPr>
        <w:t xml:space="preserve"> </w:t>
      </w:r>
      <w:r w:rsidRPr="009E464A">
        <w:rPr>
          <w:rFonts w:ascii="Arial" w:hAnsi="Arial" w:cs="Arial"/>
        </w:rPr>
        <w:t>410) nie przewiduje możliwości wskazania jako formy korespondencji z inwestorem oraz jego potencjalnym pełnomocnikiem</w:t>
      </w:r>
    </w:p>
    <w:p w14:paraId="4678CAE6" w14:textId="5FF1A342" w:rsidR="009E464A" w:rsidRDefault="009E464A" w:rsidP="009E464A">
      <w:pPr>
        <w:spacing w:after="0"/>
        <w:jc w:val="both"/>
        <w:rPr>
          <w:rFonts w:ascii="Arial" w:hAnsi="Arial" w:cs="Arial"/>
        </w:rPr>
      </w:pPr>
      <w:r w:rsidRPr="009E464A">
        <w:rPr>
          <w:rFonts w:ascii="Arial" w:hAnsi="Arial" w:cs="Arial"/>
        </w:rPr>
        <w:t xml:space="preserve">doręczeń elektronicznych. Inwestor może jedynie wskazać adres skrzynki </w:t>
      </w:r>
      <w:proofErr w:type="spellStart"/>
      <w:r w:rsidRPr="009E464A">
        <w:rPr>
          <w:rFonts w:ascii="Arial" w:hAnsi="Arial" w:cs="Arial"/>
        </w:rPr>
        <w:t>ePUAP</w:t>
      </w:r>
      <w:proofErr w:type="spellEnd"/>
      <w:r>
        <w:rPr>
          <w:rFonts w:ascii="Arial" w:hAnsi="Arial" w:cs="Arial"/>
        </w:rPr>
        <w:t>.</w:t>
      </w:r>
    </w:p>
    <w:p w14:paraId="4EB0B6A2" w14:textId="3AB85843" w:rsidR="009E464A" w:rsidRPr="009E464A" w:rsidRDefault="009E464A" w:rsidP="009E464A">
      <w:pPr>
        <w:spacing w:after="0"/>
        <w:jc w:val="both"/>
        <w:rPr>
          <w:rFonts w:ascii="Arial" w:hAnsi="Arial" w:cs="Arial"/>
        </w:rPr>
      </w:pPr>
      <w:r w:rsidRPr="009E464A">
        <w:rPr>
          <w:rFonts w:ascii="Arial" w:hAnsi="Arial" w:cs="Arial"/>
        </w:rPr>
        <w:t>Wobec potrzeby dostosowania dotychczasowych rozwiązań do obecnych wymogów, konieczne jest wydanie rozporządzenia</w:t>
      </w:r>
      <w:r>
        <w:rPr>
          <w:rFonts w:ascii="Arial" w:hAnsi="Arial" w:cs="Arial"/>
        </w:rPr>
        <w:t xml:space="preserve"> </w:t>
      </w:r>
      <w:r w:rsidRPr="009E464A">
        <w:rPr>
          <w:rFonts w:ascii="Arial" w:hAnsi="Arial" w:cs="Arial"/>
        </w:rPr>
        <w:t>określającego nowy wzór formularza wniosku o pozwolenie na budowę wraz z nową, dodatkową formą kontaktu z inwestorem.</w:t>
      </w:r>
      <w:r>
        <w:rPr>
          <w:rFonts w:ascii="Arial" w:hAnsi="Arial" w:cs="Arial"/>
        </w:rPr>
        <w:t xml:space="preserve"> </w:t>
      </w:r>
      <w:r w:rsidRPr="009E464A">
        <w:rPr>
          <w:rFonts w:ascii="Arial" w:hAnsi="Arial" w:cs="Arial"/>
        </w:rPr>
        <w:t>Wzór formularza wniosku o pozwolenie na budowę uzupełniony został o adres do doręczeń elektronicznych – jako jedną z form</w:t>
      </w:r>
      <w:r>
        <w:rPr>
          <w:rFonts w:ascii="Arial" w:hAnsi="Arial" w:cs="Arial"/>
        </w:rPr>
        <w:t xml:space="preserve"> </w:t>
      </w:r>
      <w:r w:rsidRPr="009E464A">
        <w:rPr>
          <w:rFonts w:ascii="Arial" w:hAnsi="Arial" w:cs="Arial"/>
        </w:rPr>
        <w:t>korespondencji z inwestorem lub jego pełnomocnikiem. Tym samym przedmiotowy projekt dostosowano do regulacji zawartych</w:t>
      </w:r>
      <w:r>
        <w:rPr>
          <w:rFonts w:ascii="Arial" w:hAnsi="Arial" w:cs="Arial"/>
        </w:rPr>
        <w:t xml:space="preserve"> </w:t>
      </w:r>
      <w:r w:rsidRPr="009E464A">
        <w:rPr>
          <w:rFonts w:ascii="Arial" w:hAnsi="Arial" w:cs="Arial"/>
        </w:rPr>
        <w:t>w ustawie z dnia 18 listopada 2020 r. o doręczeniach elektronicznych (Dz. U. z 2024 r. poz. 1045 i 1841).W pozostałym zakresie</w:t>
      </w:r>
      <w:r>
        <w:rPr>
          <w:rFonts w:ascii="Arial" w:hAnsi="Arial" w:cs="Arial"/>
        </w:rPr>
        <w:t xml:space="preserve"> </w:t>
      </w:r>
      <w:r w:rsidRPr="009E464A">
        <w:rPr>
          <w:rFonts w:ascii="Arial" w:hAnsi="Arial" w:cs="Arial"/>
        </w:rPr>
        <w:t>projekt powtarza regulacje zawarte w aktualnie obowiązującym rozporządzeniu Ministra Rozwoju, Pracy i Technologii</w:t>
      </w:r>
      <w:r>
        <w:rPr>
          <w:rFonts w:ascii="Arial" w:hAnsi="Arial" w:cs="Arial"/>
        </w:rPr>
        <w:t xml:space="preserve"> </w:t>
      </w:r>
      <w:r w:rsidRPr="009E464A">
        <w:rPr>
          <w:rFonts w:ascii="Arial" w:hAnsi="Arial" w:cs="Arial"/>
        </w:rPr>
        <w:t>z dnia 26 lutego 2021 r. w sprawie określenia wzoru formularza wniosku o pozwolenie na budowę.</w:t>
      </w:r>
    </w:p>
    <w:p w14:paraId="2C0AEAE4" w14:textId="1680E913" w:rsidR="009E464A" w:rsidRDefault="009E464A" w:rsidP="009E464A">
      <w:pPr>
        <w:spacing w:after="0"/>
        <w:jc w:val="both"/>
        <w:rPr>
          <w:rFonts w:ascii="Arial" w:hAnsi="Arial" w:cs="Arial"/>
        </w:rPr>
      </w:pPr>
      <w:r w:rsidRPr="009E464A">
        <w:rPr>
          <w:rFonts w:ascii="Arial" w:hAnsi="Arial" w:cs="Arial"/>
        </w:rPr>
        <w:t xml:space="preserve">Nie jest możliwe osiągnięcie powyższych efektów za pomocą środków </w:t>
      </w:r>
      <w:proofErr w:type="spellStart"/>
      <w:r w:rsidRPr="009E464A">
        <w:rPr>
          <w:rFonts w:ascii="Arial" w:hAnsi="Arial" w:cs="Arial"/>
        </w:rPr>
        <w:t>pozalegislacyjnyc</w:t>
      </w:r>
      <w:r>
        <w:rPr>
          <w:rFonts w:ascii="Arial" w:hAnsi="Arial" w:cs="Arial"/>
        </w:rPr>
        <w:t>h</w:t>
      </w:r>
      <w:proofErr w:type="spellEnd"/>
      <w:r>
        <w:rPr>
          <w:rFonts w:ascii="Arial" w:hAnsi="Arial" w:cs="Arial"/>
        </w:rPr>
        <w:t>.</w:t>
      </w:r>
    </w:p>
    <w:p w14:paraId="3967BA12" w14:textId="77777777" w:rsidR="009E464A" w:rsidRDefault="009E464A" w:rsidP="00440124">
      <w:pPr>
        <w:spacing w:after="0"/>
        <w:jc w:val="both"/>
        <w:rPr>
          <w:rFonts w:ascii="Arial" w:hAnsi="Arial" w:cs="Arial"/>
        </w:rPr>
      </w:pPr>
    </w:p>
    <w:p w14:paraId="679D43EE" w14:textId="77777777" w:rsidR="009E464A" w:rsidRPr="009E464A" w:rsidRDefault="009E464A" w:rsidP="009E464A">
      <w:pPr>
        <w:spacing w:after="0"/>
        <w:jc w:val="both"/>
        <w:rPr>
          <w:rFonts w:ascii="Arial" w:hAnsi="Arial" w:cs="Arial"/>
        </w:rPr>
      </w:pPr>
      <w:r w:rsidRPr="009E464A">
        <w:rPr>
          <w:rFonts w:ascii="Arial" w:hAnsi="Arial" w:cs="Arial"/>
        </w:rPr>
        <w:t>Przedmiotowy projekt aktu prawnego dostępny jest na stronach Rządowego Centrum Legislacji pod adresem:</w:t>
      </w:r>
    </w:p>
    <w:p w14:paraId="2ACDC69A" w14:textId="00D4D554" w:rsidR="009E464A" w:rsidRDefault="009E464A" w:rsidP="009E464A">
      <w:pPr>
        <w:spacing w:after="0"/>
        <w:jc w:val="both"/>
        <w:rPr>
          <w:rFonts w:ascii="Arial" w:hAnsi="Arial" w:cs="Arial"/>
        </w:rPr>
      </w:pPr>
      <w:hyperlink r:id="rId17" w:history="1">
        <w:r w:rsidRPr="006A7CBC">
          <w:rPr>
            <w:rStyle w:val="Hipercze"/>
            <w:rFonts w:ascii="Arial" w:hAnsi="Arial" w:cs="Arial"/>
          </w:rPr>
          <w:t>https://legislacja.rcl.gov.pl/proje</w:t>
        </w:r>
        <w:r w:rsidRPr="006A7CBC">
          <w:rPr>
            <w:rStyle w:val="Hipercze"/>
            <w:rFonts w:ascii="Arial" w:hAnsi="Arial" w:cs="Arial"/>
          </w:rPr>
          <w:t>k</w:t>
        </w:r>
        <w:r w:rsidRPr="006A7CBC">
          <w:rPr>
            <w:rStyle w:val="Hipercze"/>
            <w:rFonts w:ascii="Arial" w:hAnsi="Arial" w:cs="Arial"/>
          </w:rPr>
          <w:t>t/12397818</w:t>
        </w:r>
      </w:hyperlink>
      <w:r>
        <w:rPr>
          <w:rFonts w:ascii="Arial" w:hAnsi="Arial" w:cs="Arial"/>
        </w:rPr>
        <w:t xml:space="preserve"> </w:t>
      </w:r>
    </w:p>
    <w:p w14:paraId="0B80D294" w14:textId="77777777" w:rsidR="009E464A" w:rsidRDefault="009E464A" w:rsidP="00440124">
      <w:pPr>
        <w:spacing w:after="0"/>
        <w:jc w:val="both"/>
        <w:rPr>
          <w:rFonts w:ascii="Arial" w:hAnsi="Arial" w:cs="Arial"/>
        </w:rPr>
      </w:pPr>
    </w:p>
    <w:p w14:paraId="6BF91117" w14:textId="69756B75" w:rsidR="009E464A" w:rsidRDefault="009E464A" w:rsidP="00440124">
      <w:pPr>
        <w:spacing w:after="0"/>
        <w:jc w:val="both"/>
        <w:rPr>
          <w:rFonts w:ascii="Arial" w:hAnsi="Arial" w:cs="Arial"/>
        </w:rPr>
      </w:pPr>
      <w:r w:rsidRPr="009E464A">
        <w:rPr>
          <w:rFonts w:ascii="Arial" w:hAnsi="Arial" w:cs="Arial"/>
        </w:rPr>
        <w:t>Projekt jest obecnie jednocześnie na etapie uzgodnień, konsultacji publicznych i opiniowania.</w:t>
      </w:r>
    </w:p>
    <w:p w14:paraId="35ECBC40" w14:textId="77777777" w:rsidR="009E464A" w:rsidRPr="00440124" w:rsidRDefault="009E464A" w:rsidP="00440124">
      <w:pPr>
        <w:spacing w:after="0"/>
        <w:jc w:val="both"/>
        <w:rPr>
          <w:rFonts w:ascii="Arial" w:hAnsi="Arial" w:cs="Arial"/>
        </w:rPr>
      </w:pPr>
    </w:p>
    <w:p w14:paraId="2D8A7DBC" w14:textId="73A72FF2" w:rsidR="00B04FED" w:rsidRDefault="0067737C" w:rsidP="00440124">
      <w:pPr>
        <w:pStyle w:val="Akapitzlist"/>
        <w:numPr>
          <w:ilvl w:val="0"/>
          <w:numId w:val="4"/>
        </w:numPr>
        <w:spacing w:after="0"/>
        <w:jc w:val="both"/>
        <w:rPr>
          <w:rFonts w:ascii="Arial" w:hAnsi="Arial" w:cs="Arial"/>
          <w:b/>
          <w:bCs/>
          <w:u w:val="single"/>
        </w:rPr>
      </w:pPr>
      <w:r w:rsidRPr="009E464A">
        <w:rPr>
          <w:rFonts w:ascii="Arial" w:hAnsi="Arial" w:cs="Arial"/>
          <w:b/>
          <w:bCs/>
          <w:u w:val="single"/>
        </w:rPr>
        <w:t>Projekt rozporządzenia</w:t>
      </w:r>
      <w:r w:rsidR="009E464A" w:rsidRPr="009E464A">
        <w:rPr>
          <w:b/>
          <w:bCs/>
          <w:u w:val="single"/>
        </w:rPr>
        <w:t xml:space="preserve"> </w:t>
      </w:r>
      <w:r w:rsidR="009E464A" w:rsidRPr="009E464A">
        <w:rPr>
          <w:rFonts w:ascii="Arial" w:hAnsi="Arial" w:cs="Arial"/>
          <w:b/>
          <w:bCs/>
          <w:u w:val="single"/>
        </w:rPr>
        <w:t>Ministra Rozwoju i Technologii w sprawie określenia wzoru formularza zgłoszenia zmiany sposobu użytkowania obiektu budowlanego lub jego części (numer z wykazu 57).</w:t>
      </w:r>
    </w:p>
    <w:p w14:paraId="17931C68" w14:textId="77777777" w:rsidR="009E464A" w:rsidRPr="009E464A" w:rsidRDefault="009E464A" w:rsidP="009E464A">
      <w:pPr>
        <w:spacing w:after="0"/>
        <w:jc w:val="both"/>
        <w:rPr>
          <w:rFonts w:ascii="Arial" w:hAnsi="Arial" w:cs="Arial"/>
        </w:rPr>
      </w:pPr>
    </w:p>
    <w:p w14:paraId="7E82189C" w14:textId="7B31E31B" w:rsidR="009E464A" w:rsidRDefault="007E2CB7" w:rsidP="007E2CB7">
      <w:pPr>
        <w:spacing w:after="0"/>
        <w:jc w:val="both"/>
        <w:rPr>
          <w:rFonts w:ascii="Arial" w:hAnsi="Arial" w:cs="Arial"/>
        </w:rPr>
      </w:pPr>
      <w:r w:rsidRPr="007E2CB7">
        <w:rPr>
          <w:rFonts w:ascii="Arial" w:hAnsi="Arial" w:cs="Arial"/>
        </w:rPr>
        <w:t>Obowiązujący wzór formularza zgłoszenia zmiany sposobu użytkowania obiektu budowlanego lub jego części, określony</w:t>
      </w:r>
      <w:r>
        <w:rPr>
          <w:rFonts w:ascii="Arial" w:hAnsi="Arial" w:cs="Arial"/>
        </w:rPr>
        <w:t xml:space="preserve"> </w:t>
      </w:r>
      <w:r w:rsidRPr="007E2CB7">
        <w:rPr>
          <w:rFonts w:ascii="Arial" w:hAnsi="Arial" w:cs="Arial"/>
        </w:rPr>
        <w:t>rozporządzeniem Ministra Rozwoju, Pracy i Technologii z dnia 12 lutego 2021 r. w sprawie określenia wzoru formularza</w:t>
      </w:r>
      <w:r>
        <w:rPr>
          <w:rFonts w:ascii="Arial" w:hAnsi="Arial" w:cs="Arial"/>
        </w:rPr>
        <w:t xml:space="preserve"> </w:t>
      </w:r>
      <w:r w:rsidRPr="007E2CB7">
        <w:rPr>
          <w:rFonts w:ascii="Arial" w:hAnsi="Arial" w:cs="Arial"/>
        </w:rPr>
        <w:t>zgłoszenia zmiany sposobu użytkowania obiektu budowlanego lub jego części (Dz. U. poz. 298), nie przewiduje możliwości</w:t>
      </w:r>
      <w:r>
        <w:rPr>
          <w:rFonts w:ascii="Arial" w:hAnsi="Arial" w:cs="Arial"/>
        </w:rPr>
        <w:t xml:space="preserve"> </w:t>
      </w:r>
      <w:r w:rsidRPr="007E2CB7">
        <w:rPr>
          <w:rFonts w:ascii="Arial" w:hAnsi="Arial" w:cs="Arial"/>
        </w:rPr>
        <w:t>wskazania jako formy korespondencji z inwestorem oraz jego potencjalnym pełnomocnikiem doręczeń elektronicznych.</w:t>
      </w:r>
      <w:r>
        <w:rPr>
          <w:rFonts w:ascii="Arial" w:hAnsi="Arial" w:cs="Arial"/>
        </w:rPr>
        <w:t xml:space="preserve"> </w:t>
      </w:r>
      <w:r w:rsidRPr="007E2CB7">
        <w:rPr>
          <w:rFonts w:ascii="Arial" w:hAnsi="Arial" w:cs="Arial"/>
        </w:rPr>
        <w:t xml:space="preserve">Inwestor może jedynie wskazać adres skrzynki </w:t>
      </w:r>
      <w:proofErr w:type="spellStart"/>
      <w:r w:rsidRPr="007E2CB7">
        <w:rPr>
          <w:rFonts w:ascii="Arial" w:hAnsi="Arial" w:cs="Arial"/>
        </w:rPr>
        <w:t>ePUAP</w:t>
      </w:r>
      <w:proofErr w:type="spellEnd"/>
      <w:r>
        <w:rPr>
          <w:rFonts w:ascii="Arial" w:hAnsi="Arial" w:cs="Arial"/>
        </w:rPr>
        <w:t>.</w:t>
      </w:r>
    </w:p>
    <w:p w14:paraId="4F7FC421" w14:textId="5DD8A1F6" w:rsidR="007E2CB7" w:rsidRPr="007E2CB7" w:rsidRDefault="007E2CB7" w:rsidP="007E2CB7">
      <w:pPr>
        <w:spacing w:after="0"/>
        <w:jc w:val="both"/>
        <w:rPr>
          <w:rFonts w:ascii="Arial" w:hAnsi="Arial" w:cs="Arial"/>
        </w:rPr>
      </w:pPr>
      <w:r w:rsidRPr="007E2CB7">
        <w:rPr>
          <w:rFonts w:ascii="Arial" w:hAnsi="Arial" w:cs="Arial"/>
        </w:rPr>
        <w:t>Wobec potrzeby dostosowania dotychczasowych rozwiązań do obecnych wymogów, konieczne jest wydanie rozporządzenia</w:t>
      </w:r>
      <w:r>
        <w:rPr>
          <w:rFonts w:ascii="Arial" w:hAnsi="Arial" w:cs="Arial"/>
        </w:rPr>
        <w:t xml:space="preserve"> </w:t>
      </w:r>
      <w:r w:rsidRPr="007E2CB7">
        <w:rPr>
          <w:rFonts w:ascii="Arial" w:hAnsi="Arial" w:cs="Arial"/>
        </w:rPr>
        <w:t>określającego nowy wzór formularza zgłoszenia zmiany sposobu użytkowania obiektu budowlanego lub jego części wraz z nową,</w:t>
      </w:r>
      <w:r>
        <w:rPr>
          <w:rFonts w:ascii="Arial" w:hAnsi="Arial" w:cs="Arial"/>
        </w:rPr>
        <w:t xml:space="preserve"> </w:t>
      </w:r>
      <w:r w:rsidRPr="007E2CB7">
        <w:rPr>
          <w:rFonts w:ascii="Arial" w:hAnsi="Arial" w:cs="Arial"/>
        </w:rPr>
        <w:t>dodatkową formą kontaktu z inwestorem. Wzór formularza zgłoszenia zmiany sposobu użytkowania obiektu budowlanego lub</w:t>
      </w:r>
      <w:r>
        <w:rPr>
          <w:rFonts w:ascii="Arial" w:hAnsi="Arial" w:cs="Arial"/>
        </w:rPr>
        <w:t xml:space="preserve"> </w:t>
      </w:r>
      <w:r w:rsidRPr="007E2CB7">
        <w:rPr>
          <w:rFonts w:ascii="Arial" w:hAnsi="Arial" w:cs="Arial"/>
        </w:rPr>
        <w:t>jego części uzupełniony został o adres do doręczeń elektronicznych – jako jedną z form korespondencji z inwestorem lub jego</w:t>
      </w:r>
      <w:r>
        <w:rPr>
          <w:rFonts w:ascii="Arial" w:hAnsi="Arial" w:cs="Arial"/>
        </w:rPr>
        <w:t xml:space="preserve"> </w:t>
      </w:r>
      <w:r w:rsidRPr="007E2CB7">
        <w:rPr>
          <w:rFonts w:ascii="Arial" w:hAnsi="Arial" w:cs="Arial"/>
        </w:rPr>
        <w:t>pełnomocnikiem. Tym samym przedmiotowy projekt dostosowano do regulacji zawartych w ustawie z dnia 18 listopada 2020 r.</w:t>
      </w:r>
      <w:r>
        <w:rPr>
          <w:rFonts w:ascii="Arial" w:hAnsi="Arial" w:cs="Arial"/>
        </w:rPr>
        <w:t xml:space="preserve"> </w:t>
      </w:r>
      <w:r w:rsidRPr="007E2CB7">
        <w:rPr>
          <w:rFonts w:ascii="Arial" w:hAnsi="Arial" w:cs="Arial"/>
        </w:rPr>
        <w:t>o doręczeniach elektronicznych (Dz. U. z 2024 r. poz. 1045 i 1841). W pozostałym zakresie projekt rozporządzenia powtarza</w:t>
      </w:r>
      <w:r>
        <w:rPr>
          <w:rFonts w:ascii="Arial" w:hAnsi="Arial" w:cs="Arial"/>
        </w:rPr>
        <w:t xml:space="preserve"> </w:t>
      </w:r>
      <w:r w:rsidRPr="007E2CB7">
        <w:rPr>
          <w:rFonts w:ascii="Arial" w:hAnsi="Arial" w:cs="Arial"/>
        </w:rPr>
        <w:t>regulacje zawarte w aktualnie obowiązującym rozporządzeniu Ministra Rozwoju, Pracy i Technologii z dnia 12 lutego 2021 r.</w:t>
      </w:r>
      <w:r>
        <w:rPr>
          <w:rFonts w:ascii="Arial" w:hAnsi="Arial" w:cs="Arial"/>
        </w:rPr>
        <w:t xml:space="preserve"> </w:t>
      </w:r>
      <w:r w:rsidRPr="007E2CB7">
        <w:rPr>
          <w:rFonts w:ascii="Arial" w:hAnsi="Arial" w:cs="Arial"/>
        </w:rPr>
        <w:t>w sprawie określenia wzoru formularza zgłoszenia zmiany sposobu użytkowania obiektu budowlanego lub jego części.</w:t>
      </w:r>
    </w:p>
    <w:p w14:paraId="60732252" w14:textId="1051539D" w:rsidR="007E2CB7" w:rsidRPr="009E464A" w:rsidRDefault="007E2CB7" w:rsidP="007E2CB7">
      <w:pPr>
        <w:spacing w:after="0"/>
        <w:jc w:val="both"/>
        <w:rPr>
          <w:rFonts w:ascii="Arial" w:hAnsi="Arial" w:cs="Arial"/>
        </w:rPr>
      </w:pPr>
      <w:r w:rsidRPr="007E2CB7">
        <w:rPr>
          <w:rFonts w:ascii="Arial" w:hAnsi="Arial" w:cs="Arial"/>
        </w:rPr>
        <w:t>Nie jest możliwe osiągnięcie powyższych efektów za pomocą środków poza legislacyjnych.</w:t>
      </w:r>
    </w:p>
    <w:p w14:paraId="27650566" w14:textId="77777777" w:rsidR="009E464A" w:rsidRPr="009E464A" w:rsidRDefault="009E464A" w:rsidP="009E464A">
      <w:pPr>
        <w:spacing w:after="0"/>
        <w:jc w:val="both"/>
        <w:rPr>
          <w:rFonts w:ascii="Arial" w:hAnsi="Arial" w:cs="Arial"/>
        </w:rPr>
      </w:pPr>
    </w:p>
    <w:p w14:paraId="5E83C957" w14:textId="77777777" w:rsidR="009E464A" w:rsidRPr="009E464A" w:rsidRDefault="009E464A" w:rsidP="009E464A">
      <w:pPr>
        <w:spacing w:after="0"/>
        <w:jc w:val="both"/>
        <w:rPr>
          <w:rFonts w:ascii="Arial" w:hAnsi="Arial" w:cs="Arial"/>
        </w:rPr>
      </w:pPr>
      <w:r w:rsidRPr="009E464A">
        <w:rPr>
          <w:rFonts w:ascii="Arial" w:hAnsi="Arial" w:cs="Arial"/>
        </w:rPr>
        <w:t>Przedmiotowy projekt aktu prawnego dostępny jest na stronach Rządowego Centrum Legislacji pod adresem:</w:t>
      </w:r>
    </w:p>
    <w:p w14:paraId="5A6AC3EE" w14:textId="7E02BDD4" w:rsidR="009E464A" w:rsidRPr="009E464A" w:rsidRDefault="009E464A" w:rsidP="009E464A">
      <w:pPr>
        <w:spacing w:after="0"/>
        <w:jc w:val="both"/>
        <w:rPr>
          <w:rFonts w:ascii="Arial" w:hAnsi="Arial" w:cs="Arial"/>
        </w:rPr>
      </w:pPr>
      <w:hyperlink r:id="rId18" w:history="1">
        <w:r w:rsidRPr="006A7CBC">
          <w:rPr>
            <w:rStyle w:val="Hipercze"/>
            <w:rFonts w:ascii="Arial" w:hAnsi="Arial" w:cs="Arial"/>
          </w:rPr>
          <w:t>https://legislacja.rcl.gov.pl/p</w:t>
        </w:r>
        <w:r w:rsidRPr="006A7CBC">
          <w:rPr>
            <w:rStyle w:val="Hipercze"/>
            <w:rFonts w:ascii="Arial" w:hAnsi="Arial" w:cs="Arial"/>
          </w:rPr>
          <w:t>r</w:t>
        </w:r>
        <w:r w:rsidRPr="006A7CBC">
          <w:rPr>
            <w:rStyle w:val="Hipercze"/>
            <w:rFonts w:ascii="Arial" w:hAnsi="Arial" w:cs="Arial"/>
          </w:rPr>
          <w:t>ojekt/12397807</w:t>
        </w:r>
      </w:hyperlink>
      <w:r>
        <w:rPr>
          <w:rFonts w:ascii="Arial" w:hAnsi="Arial" w:cs="Arial"/>
        </w:rPr>
        <w:t xml:space="preserve"> </w:t>
      </w:r>
    </w:p>
    <w:p w14:paraId="7627E1F0" w14:textId="77D769FB" w:rsidR="00440124" w:rsidRDefault="007E2CB7" w:rsidP="00440124">
      <w:pPr>
        <w:spacing w:after="0"/>
        <w:jc w:val="both"/>
        <w:rPr>
          <w:rFonts w:ascii="Arial" w:hAnsi="Arial" w:cs="Arial"/>
        </w:rPr>
      </w:pPr>
      <w:r w:rsidRPr="007E2CB7">
        <w:rPr>
          <w:rFonts w:ascii="Arial" w:hAnsi="Arial" w:cs="Arial"/>
        </w:rPr>
        <w:lastRenderedPageBreak/>
        <w:t>Projekt jest obecnie jednocześnie na etapie uzgodnień, konsultacji publicznych i opiniowania.</w:t>
      </w:r>
    </w:p>
    <w:p w14:paraId="12A04024" w14:textId="77777777" w:rsidR="007E2CB7" w:rsidRPr="00440124" w:rsidRDefault="007E2CB7" w:rsidP="00440124">
      <w:pPr>
        <w:spacing w:after="0"/>
        <w:jc w:val="both"/>
        <w:rPr>
          <w:rFonts w:ascii="Arial" w:hAnsi="Arial" w:cs="Arial"/>
        </w:rPr>
      </w:pPr>
    </w:p>
    <w:p w14:paraId="51921284" w14:textId="142F3E6E" w:rsidR="00B04FED" w:rsidRPr="007E2CB7" w:rsidRDefault="0067737C" w:rsidP="00D4204D">
      <w:pPr>
        <w:pStyle w:val="Akapitzlist"/>
        <w:numPr>
          <w:ilvl w:val="0"/>
          <w:numId w:val="4"/>
        </w:numPr>
        <w:spacing w:after="0"/>
        <w:jc w:val="both"/>
        <w:rPr>
          <w:rFonts w:ascii="Arial" w:hAnsi="Arial" w:cs="Arial"/>
          <w:b/>
          <w:bCs/>
          <w:u w:val="single"/>
        </w:rPr>
      </w:pPr>
      <w:r w:rsidRPr="007E2CB7">
        <w:rPr>
          <w:rFonts w:ascii="Arial" w:hAnsi="Arial" w:cs="Arial"/>
          <w:b/>
          <w:bCs/>
          <w:u w:val="single"/>
        </w:rPr>
        <w:t>Projekt rozporządzenia</w:t>
      </w:r>
      <w:r w:rsidR="007E2CB7" w:rsidRPr="007E2CB7">
        <w:rPr>
          <w:b/>
          <w:bCs/>
          <w:u w:val="single"/>
        </w:rPr>
        <w:t xml:space="preserve"> </w:t>
      </w:r>
      <w:r w:rsidR="007E2CB7" w:rsidRPr="007E2CB7">
        <w:rPr>
          <w:rFonts w:ascii="Arial" w:hAnsi="Arial" w:cs="Arial"/>
          <w:b/>
          <w:bCs/>
          <w:u w:val="single"/>
        </w:rPr>
        <w:t>Ministra Rozwoju i Technologii w sprawie określenia wzoru formularza zawiadomienia o zamierzonym terminie rozpoczęcia robót budowlanych (numer z wykazu 58).</w:t>
      </w:r>
    </w:p>
    <w:p w14:paraId="6AE573A7" w14:textId="77777777" w:rsidR="00440124" w:rsidRPr="00440124" w:rsidRDefault="00440124" w:rsidP="00440124">
      <w:pPr>
        <w:pStyle w:val="Akapitzlist"/>
        <w:spacing w:after="0"/>
        <w:rPr>
          <w:rFonts w:ascii="Arial" w:hAnsi="Arial" w:cs="Arial"/>
        </w:rPr>
      </w:pPr>
    </w:p>
    <w:p w14:paraId="0DA81877" w14:textId="7E033892" w:rsidR="007E2CB7" w:rsidRDefault="007E2CB7" w:rsidP="007E2CB7">
      <w:pPr>
        <w:spacing w:after="0"/>
        <w:jc w:val="both"/>
        <w:rPr>
          <w:rFonts w:ascii="Arial" w:hAnsi="Arial" w:cs="Arial"/>
        </w:rPr>
      </w:pPr>
      <w:r w:rsidRPr="007E2CB7">
        <w:rPr>
          <w:rFonts w:ascii="Arial" w:hAnsi="Arial" w:cs="Arial"/>
        </w:rPr>
        <w:t>Obowiązujący wzór zawiadomienia o zamierzonym terminie rozpoczęcia robót budowlanych, określony rozporządzeniem</w:t>
      </w:r>
      <w:r>
        <w:rPr>
          <w:rFonts w:ascii="Arial" w:hAnsi="Arial" w:cs="Arial"/>
        </w:rPr>
        <w:t xml:space="preserve"> </w:t>
      </w:r>
      <w:r w:rsidRPr="007E2CB7">
        <w:rPr>
          <w:rFonts w:ascii="Arial" w:hAnsi="Arial" w:cs="Arial"/>
        </w:rPr>
        <w:t>Ministra Rozwoju, Pracy i Technologii z dnia 12 lutego 2021 r. w sprawie określenia wzoru formularza zawiadomienia</w:t>
      </w:r>
      <w:r>
        <w:rPr>
          <w:rFonts w:ascii="Arial" w:hAnsi="Arial" w:cs="Arial"/>
        </w:rPr>
        <w:t xml:space="preserve"> </w:t>
      </w:r>
      <w:r w:rsidRPr="007E2CB7">
        <w:rPr>
          <w:rFonts w:ascii="Arial" w:hAnsi="Arial" w:cs="Arial"/>
        </w:rPr>
        <w:t>o zamierzonym terminie rozpoczęcia robót budowlanych (Dz. U. poz. 297), nie przewiduje możliwości wskazania jako formy</w:t>
      </w:r>
      <w:r>
        <w:rPr>
          <w:rFonts w:ascii="Arial" w:hAnsi="Arial" w:cs="Arial"/>
        </w:rPr>
        <w:t xml:space="preserve"> </w:t>
      </w:r>
      <w:r w:rsidRPr="007E2CB7">
        <w:rPr>
          <w:rFonts w:ascii="Arial" w:hAnsi="Arial" w:cs="Arial"/>
        </w:rPr>
        <w:t>korespondencji z inwestorem oraz jego potencjalnym pełnomocnikiem doręczeń elektronicznych. Wnioskodawca może jedynie</w:t>
      </w:r>
      <w:r>
        <w:rPr>
          <w:rFonts w:ascii="Arial" w:hAnsi="Arial" w:cs="Arial"/>
        </w:rPr>
        <w:t xml:space="preserve"> </w:t>
      </w:r>
      <w:r w:rsidRPr="007E2CB7">
        <w:rPr>
          <w:rFonts w:ascii="Arial" w:hAnsi="Arial" w:cs="Arial"/>
        </w:rPr>
        <w:t xml:space="preserve">wskazać adres skrzynki </w:t>
      </w:r>
      <w:proofErr w:type="spellStart"/>
      <w:r w:rsidRPr="007E2CB7">
        <w:rPr>
          <w:rFonts w:ascii="Arial" w:hAnsi="Arial" w:cs="Arial"/>
        </w:rPr>
        <w:t>ePUAP</w:t>
      </w:r>
      <w:proofErr w:type="spellEnd"/>
      <w:r>
        <w:rPr>
          <w:rFonts w:ascii="Arial" w:hAnsi="Arial" w:cs="Arial"/>
        </w:rPr>
        <w:t>.</w:t>
      </w:r>
    </w:p>
    <w:p w14:paraId="37A57D2E" w14:textId="6C960E29" w:rsidR="007E2CB7" w:rsidRPr="007E2CB7" w:rsidRDefault="007E2CB7" w:rsidP="007E2CB7">
      <w:pPr>
        <w:spacing w:after="0"/>
        <w:jc w:val="both"/>
        <w:rPr>
          <w:rFonts w:ascii="Arial" w:hAnsi="Arial" w:cs="Arial"/>
        </w:rPr>
      </w:pPr>
      <w:r w:rsidRPr="007E2CB7">
        <w:rPr>
          <w:rFonts w:ascii="Arial" w:hAnsi="Arial" w:cs="Arial"/>
        </w:rPr>
        <w:t>Wobec potrzeby dostosowania dotychczasowych rozwiązań do obecnych wymogów, konieczne jest wydanie rozporządzenia</w:t>
      </w:r>
      <w:r>
        <w:rPr>
          <w:rFonts w:ascii="Arial" w:hAnsi="Arial" w:cs="Arial"/>
        </w:rPr>
        <w:t xml:space="preserve"> </w:t>
      </w:r>
      <w:r w:rsidRPr="007E2CB7">
        <w:rPr>
          <w:rFonts w:ascii="Arial" w:hAnsi="Arial" w:cs="Arial"/>
        </w:rPr>
        <w:t>określającego nowy wzór formularza zawiadomienia o zamierzonym terminie rozpoczęcia robót budowlanych wraz z nową,</w:t>
      </w:r>
      <w:r>
        <w:rPr>
          <w:rFonts w:ascii="Arial" w:hAnsi="Arial" w:cs="Arial"/>
        </w:rPr>
        <w:t xml:space="preserve"> </w:t>
      </w:r>
      <w:r w:rsidRPr="007E2CB7">
        <w:rPr>
          <w:rFonts w:ascii="Arial" w:hAnsi="Arial" w:cs="Arial"/>
        </w:rPr>
        <w:t>dodatkową formą korespondencji z inwestorem. W tym celu wzór formularza zawiadomienia o zamierzonym terminie rozpoczęcia</w:t>
      </w:r>
      <w:r>
        <w:rPr>
          <w:rFonts w:ascii="Arial" w:hAnsi="Arial" w:cs="Arial"/>
        </w:rPr>
        <w:t xml:space="preserve"> </w:t>
      </w:r>
      <w:r w:rsidRPr="007E2CB7">
        <w:rPr>
          <w:rFonts w:ascii="Arial" w:hAnsi="Arial" w:cs="Arial"/>
        </w:rPr>
        <w:t>robót budowlanych uzupełniony został o adres do doręczeń elektronicznych – jako jedną z form korespondencji z inwestorem</w:t>
      </w:r>
      <w:r>
        <w:rPr>
          <w:rFonts w:ascii="Arial" w:hAnsi="Arial" w:cs="Arial"/>
        </w:rPr>
        <w:t xml:space="preserve"> </w:t>
      </w:r>
      <w:r w:rsidRPr="007E2CB7">
        <w:rPr>
          <w:rFonts w:ascii="Arial" w:hAnsi="Arial" w:cs="Arial"/>
        </w:rPr>
        <w:t>lub jego pełnomocnikiem. Tym samym przedmiotowy projekt dostosowano do regulacji zawartych w ustawie z dnia 18 listopada</w:t>
      </w:r>
      <w:r>
        <w:rPr>
          <w:rFonts w:ascii="Arial" w:hAnsi="Arial" w:cs="Arial"/>
        </w:rPr>
        <w:t xml:space="preserve"> </w:t>
      </w:r>
      <w:r w:rsidRPr="007E2CB7">
        <w:rPr>
          <w:rFonts w:ascii="Arial" w:hAnsi="Arial" w:cs="Arial"/>
        </w:rPr>
        <w:t>2020 r. o doręczeniach elektronicznych (Dz. U. z 2024 r. poz. 1045 i 1841). W pozostałym zakresie projekt powtarza regulacje</w:t>
      </w:r>
      <w:r>
        <w:rPr>
          <w:rFonts w:ascii="Arial" w:hAnsi="Arial" w:cs="Arial"/>
        </w:rPr>
        <w:t xml:space="preserve"> </w:t>
      </w:r>
      <w:r w:rsidRPr="007E2CB7">
        <w:rPr>
          <w:rFonts w:ascii="Arial" w:hAnsi="Arial" w:cs="Arial"/>
        </w:rPr>
        <w:t>zawarte w aktualnie obowiązującym rozporządzeniu Ministra Rozwoju, Pracy i Technologii z dnia 12 lutego 2021 r. w sprawie</w:t>
      </w:r>
      <w:r>
        <w:rPr>
          <w:rFonts w:ascii="Arial" w:hAnsi="Arial" w:cs="Arial"/>
        </w:rPr>
        <w:t xml:space="preserve"> </w:t>
      </w:r>
      <w:r w:rsidRPr="007E2CB7">
        <w:rPr>
          <w:rFonts w:ascii="Arial" w:hAnsi="Arial" w:cs="Arial"/>
        </w:rPr>
        <w:t>określenia wzoru formularza zawiadomienia o zamierzonym terminie rozpoczęcia robót budowlanych.</w:t>
      </w:r>
    </w:p>
    <w:p w14:paraId="05FEACD1" w14:textId="00108587" w:rsidR="007E2CB7" w:rsidRDefault="007E2CB7" w:rsidP="007E2CB7">
      <w:pPr>
        <w:spacing w:after="0"/>
        <w:jc w:val="both"/>
        <w:rPr>
          <w:rFonts w:ascii="Arial" w:hAnsi="Arial" w:cs="Arial"/>
        </w:rPr>
      </w:pPr>
      <w:r w:rsidRPr="007E2CB7">
        <w:rPr>
          <w:rFonts w:ascii="Arial" w:hAnsi="Arial" w:cs="Arial"/>
        </w:rPr>
        <w:t>Nie jest możliwe osiągnięcie powyższych efektów za pomocą środków poza legislacyjnych</w:t>
      </w:r>
    </w:p>
    <w:p w14:paraId="112519F4" w14:textId="77777777" w:rsidR="007E2CB7" w:rsidRDefault="007E2CB7" w:rsidP="00440124">
      <w:pPr>
        <w:spacing w:after="0"/>
        <w:jc w:val="both"/>
        <w:rPr>
          <w:rFonts w:ascii="Arial" w:hAnsi="Arial" w:cs="Arial"/>
        </w:rPr>
      </w:pPr>
    </w:p>
    <w:p w14:paraId="29FC2978" w14:textId="77777777" w:rsidR="007E2CB7" w:rsidRPr="007E2CB7" w:rsidRDefault="007E2CB7" w:rsidP="007E2CB7">
      <w:pPr>
        <w:spacing w:after="0"/>
        <w:jc w:val="both"/>
        <w:rPr>
          <w:rFonts w:ascii="Arial" w:hAnsi="Arial" w:cs="Arial"/>
        </w:rPr>
      </w:pPr>
      <w:r w:rsidRPr="007E2CB7">
        <w:rPr>
          <w:rFonts w:ascii="Arial" w:hAnsi="Arial" w:cs="Arial"/>
        </w:rPr>
        <w:t>Przedmiotowy projekt aktu prawnego dostępny jest na stronach Rządowego Centrum Legislacji pod adresem:</w:t>
      </w:r>
    </w:p>
    <w:p w14:paraId="4FCF411A" w14:textId="53CA8BAE" w:rsidR="007E2CB7" w:rsidRDefault="007E2CB7" w:rsidP="007E2CB7">
      <w:pPr>
        <w:spacing w:after="0"/>
        <w:jc w:val="both"/>
        <w:rPr>
          <w:rFonts w:ascii="Arial" w:hAnsi="Arial" w:cs="Arial"/>
        </w:rPr>
      </w:pPr>
      <w:hyperlink r:id="rId19" w:history="1">
        <w:r w:rsidRPr="006A7CBC">
          <w:rPr>
            <w:rStyle w:val="Hipercze"/>
            <w:rFonts w:ascii="Arial" w:hAnsi="Arial" w:cs="Arial"/>
          </w:rPr>
          <w:t>https://legislacja.rcl.gov.pl</w:t>
        </w:r>
        <w:r w:rsidRPr="006A7CBC">
          <w:rPr>
            <w:rStyle w:val="Hipercze"/>
            <w:rFonts w:ascii="Arial" w:hAnsi="Arial" w:cs="Arial"/>
          </w:rPr>
          <w:t>/</w:t>
        </w:r>
        <w:r w:rsidRPr="006A7CBC">
          <w:rPr>
            <w:rStyle w:val="Hipercze"/>
            <w:rFonts w:ascii="Arial" w:hAnsi="Arial" w:cs="Arial"/>
          </w:rPr>
          <w:t>projekt/12397812</w:t>
        </w:r>
      </w:hyperlink>
      <w:r>
        <w:rPr>
          <w:rFonts w:ascii="Arial" w:hAnsi="Arial" w:cs="Arial"/>
        </w:rPr>
        <w:t xml:space="preserve"> </w:t>
      </w:r>
    </w:p>
    <w:p w14:paraId="3872ADCE" w14:textId="77777777" w:rsidR="007E2CB7" w:rsidRDefault="007E2CB7" w:rsidP="00440124">
      <w:pPr>
        <w:spacing w:after="0"/>
        <w:jc w:val="both"/>
        <w:rPr>
          <w:rFonts w:ascii="Arial" w:hAnsi="Arial" w:cs="Arial"/>
        </w:rPr>
      </w:pPr>
    </w:p>
    <w:p w14:paraId="44A9FFD4" w14:textId="1265149D" w:rsidR="007E2CB7" w:rsidRDefault="007E2CB7" w:rsidP="00440124">
      <w:pPr>
        <w:spacing w:after="0"/>
        <w:jc w:val="both"/>
        <w:rPr>
          <w:rFonts w:ascii="Arial" w:hAnsi="Arial" w:cs="Arial"/>
        </w:rPr>
      </w:pPr>
      <w:r w:rsidRPr="007E2CB7">
        <w:rPr>
          <w:rFonts w:ascii="Arial" w:hAnsi="Arial" w:cs="Arial"/>
        </w:rPr>
        <w:t>Projekt jest obecnie jednocześnie na etapie uzgodnień, konsultacji publicznych i opiniowania.</w:t>
      </w:r>
    </w:p>
    <w:p w14:paraId="468D54FB" w14:textId="77777777" w:rsidR="007E2CB7" w:rsidRPr="00440124" w:rsidRDefault="007E2CB7" w:rsidP="00440124">
      <w:pPr>
        <w:spacing w:after="0"/>
        <w:jc w:val="both"/>
        <w:rPr>
          <w:rFonts w:ascii="Arial" w:hAnsi="Arial" w:cs="Arial"/>
        </w:rPr>
      </w:pPr>
    </w:p>
    <w:p w14:paraId="22191790" w14:textId="4A6F5088" w:rsidR="00B04FED" w:rsidRPr="00D4204D" w:rsidRDefault="0067737C" w:rsidP="00440124">
      <w:pPr>
        <w:pStyle w:val="Akapitzlist"/>
        <w:numPr>
          <w:ilvl w:val="0"/>
          <w:numId w:val="4"/>
        </w:numPr>
        <w:spacing w:after="0"/>
        <w:jc w:val="both"/>
        <w:rPr>
          <w:rFonts w:ascii="Arial" w:hAnsi="Arial" w:cs="Arial"/>
          <w:b/>
          <w:bCs/>
          <w:u w:val="single"/>
        </w:rPr>
      </w:pPr>
      <w:r w:rsidRPr="00D4204D">
        <w:rPr>
          <w:rFonts w:ascii="Arial" w:hAnsi="Arial" w:cs="Arial"/>
          <w:b/>
          <w:bCs/>
          <w:u w:val="single"/>
        </w:rPr>
        <w:t>Projekt rozporządzenia</w:t>
      </w:r>
      <w:r w:rsidR="00D4204D" w:rsidRPr="00D4204D">
        <w:rPr>
          <w:b/>
          <w:bCs/>
          <w:u w:val="single"/>
        </w:rPr>
        <w:t xml:space="preserve"> </w:t>
      </w:r>
      <w:r w:rsidR="00D4204D" w:rsidRPr="00D4204D">
        <w:rPr>
          <w:rFonts w:ascii="Arial" w:hAnsi="Arial" w:cs="Arial"/>
          <w:b/>
          <w:bCs/>
          <w:u w:val="single"/>
        </w:rPr>
        <w:t>Ministra Rozwoju i Technologii w sprawie określenia wzorów formularzy wniosków o przeniesienie decyzji o pozwoleniu na budowę, decyzji o pozwoleniu na wznowienie robót budowlanych oraz praw i obowiązków wynikających ze zgłoszenia, wobec którego organ nie wniósł sprzeciwu (numer z wykazu 59).</w:t>
      </w:r>
    </w:p>
    <w:p w14:paraId="35569734" w14:textId="77777777" w:rsidR="00440124" w:rsidRDefault="00440124" w:rsidP="00440124">
      <w:pPr>
        <w:spacing w:after="0"/>
        <w:jc w:val="both"/>
        <w:rPr>
          <w:rFonts w:ascii="Arial" w:hAnsi="Arial" w:cs="Arial"/>
        </w:rPr>
      </w:pPr>
    </w:p>
    <w:p w14:paraId="738DCAD1" w14:textId="4CA645A1" w:rsidR="00D4204D" w:rsidRDefault="00D4204D" w:rsidP="00D4204D">
      <w:pPr>
        <w:spacing w:after="0"/>
        <w:jc w:val="both"/>
        <w:rPr>
          <w:rFonts w:ascii="Arial" w:hAnsi="Arial" w:cs="Arial"/>
        </w:rPr>
      </w:pPr>
      <w:r w:rsidRPr="00D4204D">
        <w:rPr>
          <w:rFonts w:ascii="Arial" w:hAnsi="Arial" w:cs="Arial"/>
        </w:rPr>
        <w:t>Obowiązujące wzory formularzy wniosków o przeniesienie decyzji o pozwoleniu na budowę, decyzji o pozwoleniu</w:t>
      </w:r>
      <w:r>
        <w:rPr>
          <w:rFonts w:ascii="Arial" w:hAnsi="Arial" w:cs="Arial"/>
        </w:rPr>
        <w:t xml:space="preserve"> </w:t>
      </w:r>
      <w:r w:rsidRPr="00D4204D">
        <w:rPr>
          <w:rFonts w:ascii="Arial" w:hAnsi="Arial" w:cs="Arial"/>
        </w:rPr>
        <w:t>na wznowienie robót budowlanych, o której mowa w art. 51 ust. 4 ustawy z dnia 7 lipca 1994 r. – Prawo budowlane, oraz praw</w:t>
      </w:r>
      <w:r>
        <w:rPr>
          <w:rFonts w:ascii="Arial" w:hAnsi="Arial" w:cs="Arial"/>
        </w:rPr>
        <w:t xml:space="preserve"> </w:t>
      </w:r>
      <w:r w:rsidRPr="00D4204D">
        <w:rPr>
          <w:rFonts w:ascii="Arial" w:hAnsi="Arial" w:cs="Arial"/>
        </w:rPr>
        <w:t>i obowiązków wynikających ze zgłoszenia, wobec którego organ nie wniósł sprzeciwu, określone rozporządzeniem Ministra</w:t>
      </w:r>
      <w:r>
        <w:rPr>
          <w:rFonts w:ascii="Arial" w:hAnsi="Arial" w:cs="Arial"/>
        </w:rPr>
        <w:t xml:space="preserve"> </w:t>
      </w:r>
      <w:r w:rsidRPr="00D4204D">
        <w:rPr>
          <w:rFonts w:ascii="Arial" w:hAnsi="Arial" w:cs="Arial"/>
        </w:rPr>
        <w:t>Rozwoju, Pracy i Technologii z dnia 16 lutego 2021 r. w sprawie określenia wzorów formularzy wniosków o przeniesienie</w:t>
      </w:r>
      <w:r>
        <w:rPr>
          <w:rFonts w:ascii="Arial" w:hAnsi="Arial" w:cs="Arial"/>
        </w:rPr>
        <w:t xml:space="preserve"> </w:t>
      </w:r>
      <w:r w:rsidRPr="00D4204D">
        <w:rPr>
          <w:rFonts w:ascii="Arial" w:hAnsi="Arial" w:cs="Arial"/>
        </w:rPr>
        <w:t>decyzji o pozwoleniu na budowę, decyzji o pozwoleniu na wznowienie robót budowlanych oraz praw i obowiązków</w:t>
      </w:r>
      <w:r>
        <w:rPr>
          <w:rFonts w:ascii="Arial" w:hAnsi="Arial" w:cs="Arial"/>
        </w:rPr>
        <w:t xml:space="preserve"> </w:t>
      </w:r>
      <w:r w:rsidRPr="00D4204D">
        <w:rPr>
          <w:rFonts w:ascii="Arial" w:hAnsi="Arial" w:cs="Arial"/>
        </w:rPr>
        <w:t>wynikających ze zgłoszenia, wobec którego organ nie wniósł sprzeciwu (Dz. U. poz. 322), nie przewidują możliwości wskazania</w:t>
      </w:r>
      <w:r>
        <w:rPr>
          <w:rFonts w:ascii="Arial" w:hAnsi="Arial" w:cs="Arial"/>
        </w:rPr>
        <w:t xml:space="preserve"> </w:t>
      </w:r>
      <w:r w:rsidRPr="00D4204D">
        <w:rPr>
          <w:rFonts w:ascii="Arial" w:hAnsi="Arial" w:cs="Arial"/>
        </w:rPr>
        <w:t>jako formy korespondencji z inwestorem oraz jego potencjalnym pełnomocnikiem doręczeń elektronicznych. Inwestor może</w:t>
      </w:r>
      <w:r>
        <w:rPr>
          <w:rFonts w:ascii="Arial" w:hAnsi="Arial" w:cs="Arial"/>
        </w:rPr>
        <w:t xml:space="preserve"> </w:t>
      </w:r>
      <w:r w:rsidRPr="00D4204D">
        <w:rPr>
          <w:rFonts w:ascii="Arial" w:hAnsi="Arial" w:cs="Arial"/>
        </w:rPr>
        <w:t xml:space="preserve">jedynie wskazać adres skrzynki </w:t>
      </w:r>
      <w:proofErr w:type="spellStart"/>
      <w:r w:rsidRPr="00D4204D">
        <w:rPr>
          <w:rFonts w:ascii="Arial" w:hAnsi="Arial" w:cs="Arial"/>
        </w:rPr>
        <w:t>ePUAP</w:t>
      </w:r>
      <w:proofErr w:type="spellEnd"/>
      <w:r>
        <w:rPr>
          <w:rFonts w:ascii="Arial" w:hAnsi="Arial" w:cs="Arial"/>
        </w:rPr>
        <w:t>.</w:t>
      </w:r>
    </w:p>
    <w:p w14:paraId="14B219EF" w14:textId="6B1BD085" w:rsidR="00D4204D" w:rsidRPr="00D4204D" w:rsidRDefault="00D4204D" w:rsidP="00D4204D">
      <w:pPr>
        <w:spacing w:after="0"/>
        <w:jc w:val="both"/>
        <w:rPr>
          <w:rFonts w:ascii="Arial" w:hAnsi="Arial" w:cs="Arial"/>
        </w:rPr>
      </w:pPr>
      <w:r w:rsidRPr="00D4204D">
        <w:rPr>
          <w:rFonts w:ascii="Arial" w:hAnsi="Arial" w:cs="Arial"/>
        </w:rPr>
        <w:lastRenderedPageBreak/>
        <w:t>Wobec potrzeby dostosowania dotychczasowych rozwiązań do regulacji zawartych w ustawie z dnia 18 listopada 2020 r.</w:t>
      </w:r>
      <w:r>
        <w:rPr>
          <w:rFonts w:ascii="Arial" w:hAnsi="Arial" w:cs="Arial"/>
        </w:rPr>
        <w:t xml:space="preserve"> </w:t>
      </w:r>
      <w:r w:rsidRPr="00D4204D">
        <w:rPr>
          <w:rFonts w:ascii="Arial" w:hAnsi="Arial" w:cs="Arial"/>
        </w:rPr>
        <w:t>o doręczeniach elektronicznych (Dz. U. z 2024 r. poz. 1045 i 1841), konieczne jest wydanie rozporządzenia określającego nowy</w:t>
      </w:r>
      <w:r>
        <w:rPr>
          <w:rFonts w:ascii="Arial" w:hAnsi="Arial" w:cs="Arial"/>
        </w:rPr>
        <w:t xml:space="preserve"> </w:t>
      </w:r>
      <w:r w:rsidRPr="00D4204D">
        <w:rPr>
          <w:rFonts w:ascii="Arial" w:hAnsi="Arial" w:cs="Arial"/>
        </w:rPr>
        <w:t>wzór formularzy wniosków o przeniesienie decyzji o pozwoleniu na budowę, decyzji o pozwoleniu na wznowienie robót</w:t>
      </w:r>
      <w:r>
        <w:rPr>
          <w:rFonts w:ascii="Arial" w:hAnsi="Arial" w:cs="Arial"/>
        </w:rPr>
        <w:t xml:space="preserve"> </w:t>
      </w:r>
      <w:r w:rsidRPr="00D4204D">
        <w:rPr>
          <w:rFonts w:ascii="Arial" w:hAnsi="Arial" w:cs="Arial"/>
        </w:rPr>
        <w:t>budowlanych, o której mowa w art. 51 ust. 4 ustawy z dnia 7 lipca 1994 r. – Prawo budowlane, oraz praw i obowiązków</w:t>
      </w:r>
      <w:r>
        <w:rPr>
          <w:rFonts w:ascii="Arial" w:hAnsi="Arial" w:cs="Arial"/>
        </w:rPr>
        <w:t xml:space="preserve"> </w:t>
      </w:r>
      <w:r w:rsidRPr="00D4204D">
        <w:rPr>
          <w:rFonts w:ascii="Arial" w:hAnsi="Arial" w:cs="Arial"/>
        </w:rPr>
        <w:t>wynikających ze zgłoszenia, wobec którego organ nie wniósł sprzeciwu, wraz z nową, dodatkową formą korespondencji</w:t>
      </w:r>
      <w:r>
        <w:rPr>
          <w:rFonts w:ascii="Arial" w:hAnsi="Arial" w:cs="Arial"/>
        </w:rPr>
        <w:t xml:space="preserve"> </w:t>
      </w:r>
      <w:r w:rsidRPr="00D4204D">
        <w:rPr>
          <w:rFonts w:ascii="Arial" w:hAnsi="Arial" w:cs="Arial"/>
        </w:rPr>
        <w:t>z inwestorem. W tym celu wzory formularzy tych wniosków uzupełnione zostały o adres do doręczeń elektronicznych – jako</w:t>
      </w:r>
      <w:r>
        <w:rPr>
          <w:rFonts w:ascii="Arial" w:hAnsi="Arial" w:cs="Arial"/>
        </w:rPr>
        <w:t xml:space="preserve"> </w:t>
      </w:r>
      <w:r w:rsidRPr="00D4204D">
        <w:rPr>
          <w:rFonts w:ascii="Arial" w:hAnsi="Arial" w:cs="Arial"/>
        </w:rPr>
        <w:t>jedną z form korespondencji z inwestorem lub jego pełnomocnikiem. W pozostałym zakresie projekt rozporządzenia powtarza</w:t>
      </w:r>
      <w:r>
        <w:rPr>
          <w:rFonts w:ascii="Arial" w:hAnsi="Arial" w:cs="Arial"/>
        </w:rPr>
        <w:t xml:space="preserve"> </w:t>
      </w:r>
      <w:r w:rsidRPr="00D4204D">
        <w:rPr>
          <w:rFonts w:ascii="Arial" w:hAnsi="Arial" w:cs="Arial"/>
        </w:rPr>
        <w:t>regulacje zawarte w aktualnie obowiązującym rozporządzeniu Ministra Rozwoju, Pracy i Technologii z dnia z dnia 16 lutego</w:t>
      </w:r>
      <w:r>
        <w:rPr>
          <w:rFonts w:ascii="Arial" w:hAnsi="Arial" w:cs="Arial"/>
        </w:rPr>
        <w:t xml:space="preserve"> </w:t>
      </w:r>
      <w:r w:rsidRPr="00D4204D">
        <w:rPr>
          <w:rFonts w:ascii="Arial" w:hAnsi="Arial" w:cs="Arial"/>
        </w:rPr>
        <w:t>2021 r. w sprawie określenia wzorów formularzy wniosków o przeniesienie decyzji o pozwoleniu na budowę, decyzji</w:t>
      </w:r>
      <w:r>
        <w:rPr>
          <w:rFonts w:ascii="Arial" w:hAnsi="Arial" w:cs="Arial"/>
        </w:rPr>
        <w:t xml:space="preserve"> </w:t>
      </w:r>
      <w:r w:rsidRPr="00D4204D">
        <w:rPr>
          <w:rFonts w:ascii="Arial" w:hAnsi="Arial" w:cs="Arial"/>
        </w:rPr>
        <w:t>o pozwoleniu na wznowienie robót budowlanych oraz praw i obowiązków wynikających ze zgłoszenia, wobec którego organ</w:t>
      </w:r>
      <w:r>
        <w:rPr>
          <w:rFonts w:ascii="Arial" w:hAnsi="Arial" w:cs="Arial"/>
        </w:rPr>
        <w:t xml:space="preserve"> </w:t>
      </w:r>
      <w:r w:rsidRPr="00D4204D">
        <w:rPr>
          <w:rFonts w:ascii="Arial" w:hAnsi="Arial" w:cs="Arial"/>
        </w:rPr>
        <w:t>nie wniósł sprzeciwu.</w:t>
      </w:r>
    </w:p>
    <w:p w14:paraId="2DCFDC19" w14:textId="251B6160" w:rsidR="00D4204D" w:rsidRDefault="00D4204D" w:rsidP="00D4204D">
      <w:pPr>
        <w:spacing w:after="0"/>
        <w:jc w:val="both"/>
        <w:rPr>
          <w:rFonts w:ascii="Arial" w:hAnsi="Arial" w:cs="Arial"/>
        </w:rPr>
      </w:pPr>
      <w:r w:rsidRPr="00D4204D">
        <w:rPr>
          <w:rFonts w:ascii="Arial" w:hAnsi="Arial" w:cs="Arial"/>
        </w:rPr>
        <w:t xml:space="preserve">Nie jest możliwe osiągnięcie powyższych efektów za pomocą środków </w:t>
      </w:r>
      <w:proofErr w:type="spellStart"/>
      <w:r w:rsidRPr="00D4204D">
        <w:rPr>
          <w:rFonts w:ascii="Arial" w:hAnsi="Arial" w:cs="Arial"/>
        </w:rPr>
        <w:t>pozalegislacyjnych</w:t>
      </w:r>
      <w:proofErr w:type="spellEnd"/>
      <w:r>
        <w:rPr>
          <w:rFonts w:ascii="Arial" w:hAnsi="Arial" w:cs="Arial"/>
        </w:rPr>
        <w:t>.</w:t>
      </w:r>
    </w:p>
    <w:p w14:paraId="2EAF50A8" w14:textId="77777777" w:rsidR="00D4204D" w:rsidRDefault="00D4204D" w:rsidP="00440124">
      <w:pPr>
        <w:spacing w:after="0"/>
        <w:jc w:val="both"/>
        <w:rPr>
          <w:rFonts w:ascii="Arial" w:hAnsi="Arial" w:cs="Arial"/>
        </w:rPr>
      </w:pPr>
    </w:p>
    <w:p w14:paraId="437B4141" w14:textId="77777777" w:rsidR="00D4204D" w:rsidRPr="00D4204D" w:rsidRDefault="00D4204D" w:rsidP="00D4204D">
      <w:pPr>
        <w:spacing w:after="0"/>
        <w:jc w:val="both"/>
        <w:rPr>
          <w:rFonts w:ascii="Arial" w:hAnsi="Arial" w:cs="Arial"/>
        </w:rPr>
      </w:pPr>
      <w:r w:rsidRPr="00D4204D">
        <w:rPr>
          <w:rFonts w:ascii="Arial" w:hAnsi="Arial" w:cs="Arial"/>
        </w:rPr>
        <w:t>Przedmiotowy projekt aktu prawnego dostępny jest na stronach Rządowego Centrum Legislacji pod adresem:</w:t>
      </w:r>
    </w:p>
    <w:p w14:paraId="5F2B8220" w14:textId="7B97354D" w:rsidR="00D4204D" w:rsidRDefault="00D4204D" w:rsidP="00D4204D">
      <w:pPr>
        <w:spacing w:after="0"/>
        <w:jc w:val="both"/>
        <w:rPr>
          <w:rFonts w:ascii="Arial" w:hAnsi="Arial" w:cs="Arial"/>
        </w:rPr>
      </w:pPr>
      <w:hyperlink r:id="rId20" w:history="1">
        <w:r w:rsidRPr="006A7CBC">
          <w:rPr>
            <w:rStyle w:val="Hipercze"/>
            <w:rFonts w:ascii="Arial" w:hAnsi="Arial" w:cs="Arial"/>
          </w:rPr>
          <w:t>https://legislacja.rcl.gov.pl/p</w:t>
        </w:r>
        <w:r w:rsidRPr="006A7CBC">
          <w:rPr>
            <w:rStyle w:val="Hipercze"/>
            <w:rFonts w:ascii="Arial" w:hAnsi="Arial" w:cs="Arial"/>
          </w:rPr>
          <w:t>r</w:t>
        </w:r>
        <w:r w:rsidRPr="006A7CBC">
          <w:rPr>
            <w:rStyle w:val="Hipercze"/>
            <w:rFonts w:ascii="Arial" w:hAnsi="Arial" w:cs="Arial"/>
          </w:rPr>
          <w:t>ojekt/12397813</w:t>
        </w:r>
      </w:hyperlink>
      <w:r>
        <w:rPr>
          <w:rFonts w:ascii="Arial" w:hAnsi="Arial" w:cs="Arial"/>
        </w:rPr>
        <w:t xml:space="preserve"> </w:t>
      </w:r>
    </w:p>
    <w:p w14:paraId="697B581C" w14:textId="77777777" w:rsidR="00D4204D" w:rsidRDefault="00D4204D" w:rsidP="00440124">
      <w:pPr>
        <w:spacing w:after="0"/>
        <w:jc w:val="both"/>
        <w:rPr>
          <w:rFonts w:ascii="Arial" w:hAnsi="Arial" w:cs="Arial"/>
        </w:rPr>
      </w:pPr>
    </w:p>
    <w:p w14:paraId="3214EC93" w14:textId="248D4DBF" w:rsidR="00D4204D" w:rsidRDefault="00D4204D" w:rsidP="00440124">
      <w:pPr>
        <w:spacing w:after="0"/>
        <w:jc w:val="both"/>
        <w:rPr>
          <w:rFonts w:ascii="Arial" w:hAnsi="Arial" w:cs="Arial"/>
        </w:rPr>
      </w:pPr>
      <w:r w:rsidRPr="00D4204D">
        <w:rPr>
          <w:rFonts w:ascii="Arial" w:hAnsi="Arial" w:cs="Arial"/>
        </w:rPr>
        <w:t>Projekt jest obecnie jednocześnie na etapie uzgodnień, konsultacji publicznych i opiniowania.</w:t>
      </w:r>
    </w:p>
    <w:p w14:paraId="7AFF7A25" w14:textId="77777777" w:rsidR="00D4204D" w:rsidRPr="00440124" w:rsidRDefault="00D4204D" w:rsidP="00440124">
      <w:pPr>
        <w:spacing w:after="0"/>
        <w:jc w:val="both"/>
        <w:rPr>
          <w:rFonts w:ascii="Arial" w:hAnsi="Arial" w:cs="Arial"/>
        </w:rPr>
      </w:pPr>
    </w:p>
    <w:p w14:paraId="1165607B" w14:textId="734A803A" w:rsidR="00B04FED" w:rsidRPr="00D4204D" w:rsidRDefault="0067737C" w:rsidP="00440124">
      <w:pPr>
        <w:pStyle w:val="Akapitzlist"/>
        <w:numPr>
          <w:ilvl w:val="0"/>
          <w:numId w:val="4"/>
        </w:numPr>
        <w:spacing w:after="0"/>
        <w:jc w:val="both"/>
        <w:rPr>
          <w:rFonts w:ascii="Arial" w:hAnsi="Arial" w:cs="Arial"/>
          <w:b/>
          <w:bCs/>
          <w:u w:val="single"/>
        </w:rPr>
      </w:pPr>
      <w:r w:rsidRPr="00D4204D">
        <w:rPr>
          <w:rFonts w:ascii="Arial" w:hAnsi="Arial" w:cs="Arial"/>
          <w:b/>
          <w:bCs/>
          <w:u w:val="single"/>
        </w:rPr>
        <w:t>Projekt rozporządzenia</w:t>
      </w:r>
      <w:r w:rsidR="00D4204D" w:rsidRPr="00D4204D">
        <w:rPr>
          <w:b/>
          <w:bCs/>
          <w:u w:val="single"/>
        </w:rPr>
        <w:t xml:space="preserve"> </w:t>
      </w:r>
      <w:r w:rsidR="00D4204D" w:rsidRPr="00D4204D">
        <w:rPr>
          <w:rFonts w:ascii="Arial" w:hAnsi="Arial" w:cs="Arial"/>
          <w:b/>
          <w:bCs/>
          <w:u w:val="single"/>
        </w:rPr>
        <w:t>Ministra Rozwoju i Technologii w sprawie określenia wzoru formularza wniosku o wydanie decyzji o wyłączeniu stosowania przepisów art. 45a ust. 1 ustawy – Prawo budowlane (numer z wykazu 60).</w:t>
      </w:r>
    </w:p>
    <w:p w14:paraId="2445508C" w14:textId="77777777" w:rsidR="00440124" w:rsidRPr="00440124" w:rsidRDefault="00440124" w:rsidP="00440124">
      <w:pPr>
        <w:pStyle w:val="Akapitzlist"/>
        <w:spacing w:after="0"/>
        <w:rPr>
          <w:rFonts w:ascii="Arial" w:hAnsi="Arial" w:cs="Arial"/>
        </w:rPr>
      </w:pPr>
    </w:p>
    <w:p w14:paraId="7AEE5524" w14:textId="4C350FD1" w:rsidR="00440124" w:rsidRDefault="001F64F9" w:rsidP="001F64F9">
      <w:pPr>
        <w:spacing w:after="0"/>
        <w:jc w:val="both"/>
        <w:rPr>
          <w:rFonts w:ascii="Arial" w:hAnsi="Arial" w:cs="Arial"/>
        </w:rPr>
      </w:pPr>
      <w:r w:rsidRPr="001F64F9">
        <w:rPr>
          <w:rFonts w:ascii="Arial" w:hAnsi="Arial" w:cs="Arial"/>
        </w:rPr>
        <w:t>Obowiązujący wzór formularza wniosku o wydanie decyzji o wyłączeniu stosowania przepisów art. 45a ust. 1 ustawy – Prawo</w:t>
      </w:r>
      <w:r>
        <w:rPr>
          <w:rFonts w:ascii="Arial" w:hAnsi="Arial" w:cs="Arial"/>
        </w:rPr>
        <w:t xml:space="preserve"> </w:t>
      </w:r>
      <w:r w:rsidRPr="001F64F9">
        <w:rPr>
          <w:rFonts w:ascii="Arial" w:hAnsi="Arial" w:cs="Arial"/>
        </w:rPr>
        <w:t>budowlane, określony rozporządzeniem Ministra Rozwoju, Pracy i Technologii z dnia 12 lutego 2021 r. w sprawie określenia</w:t>
      </w:r>
      <w:r>
        <w:rPr>
          <w:rFonts w:ascii="Arial" w:hAnsi="Arial" w:cs="Arial"/>
        </w:rPr>
        <w:t xml:space="preserve"> </w:t>
      </w:r>
      <w:r w:rsidRPr="001F64F9">
        <w:rPr>
          <w:rFonts w:ascii="Arial" w:hAnsi="Arial" w:cs="Arial"/>
        </w:rPr>
        <w:t>wzoru formularza wniosku o wydanie decyzji o wyłączeniu stosowania przepisów art. 45a ust. 1 ustawy – Prawo budowlane</w:t>
      </w:r>
      <w:r>
        <w:rPr>
          <w:rFonts w:ascii="Arial" w:hAnsi="Arial" w:cs="Arial"/>
        </w:rPr>
        <w:t xml:space="preserve"> </w:t>
      </w:r>
      <w:r w:rsidRPr="001F64F9">
        <w:rPr>
          <w:rFonts w:ascii="Arial" w:hAnsi="Arial" w:cs="Arial"/>
        </w:rPr>
        <w:t>(Dz. U. poz. 308), nie przewiduje możliwości wskazania jako formy korespondencji z inwestorem oraz jego potencjalnym</w:t>
      </w:r>
      <w:r>
        <w:rPr>
          <w:rFonts w:ascii="Arial" w:hAnsi="Arial" w:cs="Arial"/>
        </w:rPr>
        <w:t xml:space="preserve"> </w:t>
      </w:r>
      <w:r w:rsidRPr="001F64F9">
        <w:rPr>
          <w:rFonts w:ascii="Arial" w:hAnsi="Arial" w:cs="Arial"/>
        </w:rPr>
        <w:t xml:space="preserve">pełnomocnikiem doręczeń elektronicznych. Inwestor może jedynie wskazać adres skrzynki </w:t>
      </w:r>
      <w:proofErr w:type="spellStart"/>
      <w:r w:rsidRPr="001F64F9">
        <w:rPr>
          <w:rFonts w:ascii="Arial" w:hAnsi="Arial" w:cs="Arial"/>
        </w:rPr>
        <w:t>ePUAP</w:t>
      </w:r>
      <w:proofErr w:type="spellEnd"/>
      <w:r>
        <w:rPr>
          <w:rFonts w:ascii="Arial" w:hAnsi="Arial" w:cs="Arial"/>
        </w:rPr>
        <w:t>.</w:t>
      </w:r>
    </w:p>
    <w:p w14:paraId="0497CFC9" w14:textId="019EAE8D" w:rsidR="001F64F9" w:rsidRPr="001F64F9" w:rsidRDefault="001F64F9" w:rsidP="001F64F9">
      <w:pPr>
        <w:spacing w:after="0"/>
        <w:jc w:val="both"/>
        <w:rPr>
          <w:rFonts w:ascii="Arial" w:hAnsi="Arial" w:cs="Arial"/>
        </w:rPr>
      </w:pPr>
      <w:r w:rsidRPr="001F64F9">
        <w:rPr>
          <w:rFonts w:ascii="Arial" w:hAnsi="Arial" w:cs="Arial"/>
        </w:rPr>
        <w:t>Wobec potrzeby dostosowania dotychczasowych rozwiązań do obecnych wymogów, konieczne jest wydanie rozporządzenia</w:t>
      </w:r>
      <w:r>
        <w:rPr>
          <w:rFonts w:ascii="Arial" w:hAnsi="Arial" w:cs="Arial"/>
        </w:rPr>
        <w:t xml:space="preserve"> </w:t>
      </w:r>
      <w:r w:rsidRPr="001F64F9">
        <w:rPr>
          <w:rFonts w:ascii="Arial" w:hAnsi="Arial" w:cs="Arial"/>
        </w:rPr>
        <w:t>określającego nowy wzór formularza wniosku o wydanie decyzji o wyłączeniu stosowania przepisów art. 45a ust. 1 ustawy –</w:t>
      </w:r>
      <w:r>
        <w:rPr>
          <w:rFonts w:ascii="Arial" w:hAnsi="Arial" w:cs="Arial"/>
        </w:rPr>
        <w:t xml:space="preserve"> </w:t>
      </w:r>
      <w:r w:rsidRPr="001F64F9">
        <w:rPr>
          <w:rFonts w:ascii="Arial" w:hAnsi="Arial" w:cs="Arial"/>
        </w:rPr>
        <w:t>Prawo budowlane wraz z nową, dodatkową formą kontaktu z inwestorem. W tym celu wzór formularza wniosku o wydanie decyzji</w:t>
      </w:r>
      <w:r>
        <w:rPr>
          <w:rFonts w:ascii="Arial" w:hAnsi="Arial" w:cs="Arial"/>
        </w:rPr>
        <w:t xml:space="preserve"> </w:t>
      </w:r>
      <w:r w:rsidRPr="001F64F9">
        <w:rPr>
          <w:rFonts w:ascii="Arial" w:hAnsi="Arial" w:cs="Arial"/>
        </w:rPr>
        <w:t>o wyłączeniu stosowania przepisów art. 45a ust. 1 ustawy – Prawo budowlane uzupełniony został o adres do doręczeń</w:t>
      </w:r>
      <w:r>
        <w:rPr>
          <w:rFonts w:ascii="Arial" w:hAnsi="Arial" w:cs="Arial"/>
        </w:rPr>
        <w:t xml:space="preserve"> </w:t>
      </w:r>
      <w:r w:rsidRPr="001F64F9">
        <w:rPr>
          <w:rFonts w:ascii="Arial" w:hAnsi="Arial" w:cs="Arial"/>
        </w:rPr>
        <w:t>elektronicznych – jako jedną z form korespondencji z inwestorem lub jego pełnomocnikiem. Tym samym przedmiotowy projekt</w:t>
      </w:r>
      <w:r>
        <w:rPr>
          <w:rFonts w:ascii="Arial" w:hAnsi="Arial" w:cs="Arial"/>
        </w:rPr>
        <w:t xml:space="preserve"> </w:t>
      </w:r>
      <w:r w:rsidRPr="001F64F9">
        <w:rPr>
          <w:rFonts w:ascii="Arial" w:hAnsi="Arial" w:cs="Arial"/>
        </w:rPr>
        <w:t>dostosowano do regulacji zawartych w ustawie z dnia 18 listopada 2020 r. o doręczeniach elektronicznych (Dz. U. z 2024 r. poz.</w:t>
      </w:r>
      <w:r>
        <w:rPr>
          <w:rFonts w:ascii="Arial" w:hAnsi="Arial" w:cs="Arial"/>
        </w:rPr>
        <w:t xml:space="preserve"> </w:t>
      </w:r>
      <w:r w:rsidRPr="001F64F9">
        <w:rPr>
          <w:rFonts w:ascii="Arial" w:hAnsi="Arial" w:cs="Arial"/>
        </w:rPr>
        <w:t>1045 i 1841). W pozostałym zakresie projekt powtarza regulacje zawarte w aktualnie obowiązującym rozporządzeniu Ministra</w:t>
      </w:r>
      <w:r>
        <w:rPr>
          <w:rFonts w:ascii="Arial" w:hAnsi="Arial" w:cs="Arial"/>
        </w:rPr>
        <w:t xml:space="preserve"> </w:t>
      </w:r>
      <w:r w:rsidRPr="001F64F9">
        <w:rPr>
          <w:rFonts w:ascii="Arial" w:hAnsi="Arial" w:cs="Arial"/>
        </w:rPr>
        <w:t>Rozwoju, Pracy i Technologii z dnia 12 lutego 2021 r. w sprawie określenia wzoru formularza wniosku o wydanie decyzji o</w:t>
      </w:r>
      <w:r>
        <w:rPr>
          <w:rFonts w:ascii="Arial" w:hAnsi="Arial" w:cs="Arial"/>
        </w:rPr>
        <w:t xml:space="preserve"> </w:t>
      </w:r>
      <w:r w:rsidRPr="001F64F9">
        <w:rPr>
          <w:rFonts w:ascii="Arial" w:hAnsi="Arial" w:cs="Arial"/>
        </w:rPr>
        <w:t>wyłączeniu stosowania przepisów art. 45a ust. 1 ustawy – Prawo budowlane.</w:t>
      </w:r>
    </w:p>
    <w:p w14:paraId="3ABE1D9A" w14:textId="732F7E34" w:rsidR="001F64F9" w:rsidRDefault="001F64F9" w:rsidP="001F64F9">
      <w:pPr>
        <w:spacing w:after="0"/>
        <w:jc w:val="both"/>
        <w:rPr>
          <w:rFonts w:ascii="Arial" w:hAnsi="Arial" w:cs="Arial"/>
        </w:rPr>
      </w:pPr>
      <w:r w:rsidRPr="001F64F9">
        <w:rPr>
          <w:rFonts w:ascii="Arial" w:hAnsi="Arial" w:cs="Arial"/>
        </w:rPr>
        <w:t>Nie jest możliwe osiągnięcie powyższych efektów za pomocą środków poza legislacyjnych</w:t>
      </w:r>
    </w:p>
    <w:p w14:paraId="4669D188" w14:textId="77777777" w:rsidR="00D4204D" w:rsidRDefault="00D4204D" w:rsidP="00440124">
      <w:pPr>
        <w:spacing w:after="0"/>
        <w:jc w:val="both"/>
        <w:rPr>
          <w:rFonts w:ascii="Arial" w:hAnsi="Arial" w:cs="Arial"/>
        </w:rPr>
      </w:pPr>
    </w:p>
    <w:p w14:paraId="0F675AC5" w14:textId="77777777" w:rsidR="00D4204D" w:rsidRPr="00D4204D" w:rsidRDefault="00D4204D" w:rsidP="00D4204D">
      <w:pPr>
        <w:spacing w:after="0"/>
        <w:jc w:val="both"/>
        <w:rPr>
          <w:rFonts w:ascii="Arial" w:hAnsi="Arial" w:cs="Arial"/>
        </w:rPr>
      </w:pPr>
      <w:r w:rsidRPr="00D4204D">
        <w:rPr>
          <w:rFonts w:ascii="Arial" w:hAnsi="Arial" w:cs="Arial"/>
        </w:rPr>
        <w:lastRenderedPageBreak/>
        <w:t>Przedmiotowy projekt aktu prawnego dostępny jest na stronach Rządowego Centrum Legislacji pod adresem:</w:t>
      </w:r>
    </w:p>
    <w:p w14:paraId="3B4FD5F1" w14:textId="59FDFE7E" w:rsidR="00D4204D" w:rsidRDefault="00D4204D" w:rsidP="00D4204D">
      <w:pPr>
        <w:spacing w:after="0"/>
        <w:jc w:val="both"/>
        <w:rPr>
          <w:rFonts w:ascii="Arial" w:hAnsi="Arial" w:cs="Arial"/>
        </w:rPr>
      </w:pPr>
      <w:hyperlink r:id="rId21" w:history="1">
        <w:r w:rsidRPr="006A7CBC">
          <w:rPr>
            <w:rStyle w:val="Hipercze"/>
            <w:rFonts w:ascii="Arial" w:hAnsi="Arial" w:cs="Arial"/>
          </w:rPr>
          <w:t>https://legislacja.rcl.gov.pl/projekt</w:t>
        </w:r>
        <w:r w:rsidRPr="006A7CBC">
          <w:rPr>
            <w:rStyle w:val="Hipercze"/>
            <w:rFonts w:ascii="Arial" w:hAnsi="Arial" w:cs="Arial"/>
          </w:rPr>
          <w:t>/</w:t>
        </w:r>
        <w:r w:rsidRPr="006A7CBC">
          <w:rPr>
            <w:rStyle w:val="Hipercze"/>
            <w:rFonts w:ascii="Arial" w:hAnsi="Arial" w:cs="Arial"/>
          </w:rPr>
          <w:t>12397811</w:t>
        </w:r>
      </w:hyperlink>
      <w:r>
        <w:rPr>
          <w:rFonts w:ascii="Arial" w:hAnsi="Arial" w:cs="Arial"/>
        </w:rPr>
        <w:t xml:space="preserve"> </w:t>
      </w:r>
    </w:p>
    <w:p w14:paraId="2A48AAFD" w14:textId="77777777" w:rsidR="00D4204D" w:rsidRDefault="00D4204D" w:rsidP="00440124">
      <w:pPr>
        <w:spacing w:after="0"/>
        <w:jc w:val="both"/>
        <w:rPr>
          <w:rFonts w:ascii="Arial" w:hAnsi="Arial" w:cs="Arial"/>
        </w:rPr>
      </w:pPr>
    </w:p>
    <w:p w14:paraId="3BF5EFAE" w14:textId="27CD0F12" w:rsidR="001F64F9" w:rsidRDefault="001F64F9" w:rsidP="00440124">
      <w:pPr>
        <w:spacing w:after="0"/>
        <w:jc w:val="both"/>
        <w:rPr>
          <w:rFonts w:ascii="Arial" w:hAnsi="Arial" w:cs="Arial"/>
        </w:rPr>
      </w:pPr>
      <w:r w:rsidRPr="001F64F9">
        <w:rPr>
          <w:rFonts w:ascii="Arial" w:hAnsi="Arial" w:cs="Arial"/>
        </w:rPr>
        <w:t>Projekt jest obecnie jednocześnie na etapie uzgodnień, konsultacji publicznych i opiniowania.</w:t>
      </w:r>
    </w:p>
    <w:p w14:paraId="36E0D967" w14:textId="77777777" w:rsidR="001F64F9" w:rsidRPr="00440124" w:rsidRDefault="001F64F9" w:rsidP="00440124">
      <w:pPr>
        <w:spacing w:after="0"/>
        <w:jc w:val="both"/>
        <w:rPr>
          <w:rFonts w:ascii="Arial" w:hAnsi="Arial" w:cs="Arial"/>
        </w:rPr>
      </w:pPr>
    </w:p>
    <w:p w14:paraId="34F2300D" w14:textId="34C99A02" w:rsidR="00B04FED" w:rsidRPr="001F64F9" w:rsidRDefault="0067737C" w:rsidP="00440124">
      <w:pPr>
        <w:pStyle w:val="Akapitzlist"/>
        <w:numPr>
          <w:ilvl w:val="0"/>
          <w:numId w:val="4"/>
        </w:numPr>
        <w:spacing w:after="0"/>
        <w:jc w:val="both"/>
        <w:rPr>
          <w:rFonts w:ascii="Arial" w:hAnsi="Arial" w:cs="Arial"/>
          <w:b/>
          <w:bCs/>
          <w:u w:val="single"/>
        </w:rPr>
      </w:pPr>
      <w:r w:rsidRPr="001F64F9">
        <w:rPr>
          <w:rFonts w:ascii="Arial" w:hAnsi="Arial" w:cs="Arial"/>
          <w:b/>
          <w:bCs/>
          <w:u w:val="single"/>
        </w:rPr>
        <w:t>Projekt rozporządzenia</w:t>
      </w:r>
      <w:r w:rsidR="001F64F9" w:rsidRPr="001F64F9">
        <w:rPr>
          <w:b/>
          <w:bCs/>
          <w:u w:val="single"/>
        </w:rPr>
        <w:t xml:space="preserve"> </w:t>
      </w:r>
      <w:r w:rsidR="001F64F9" w:rsidRPr="001F64F9">
        <w:rPr>
          <w:rFonts w:ascii="Arial" w:hAnsi="Arial" w:cs="Arial"/>
          <w:b/>
          <w:bCs/>
          <w:u w:val="single"/>
        </w:rPr>
        <w:t>Ministra Rozwoju i Technologii w sprawie określenia wzoru formularza wniosku o wydanie pozwolenia na budowę tymczasowego obiektu budowlanego (numer z wykazu 61).</w:t>
      </w:r>
    </w:p>
    <w:p w14:paraId="5FD42BBA" w14:textId="77777777" w:rsidR="00440124" w:rsidRDefault="00440124" w:rsidP="00440124">
      <w:pPr>
        <w:spacing w:after="0"/>
        <w:jc w:val="both"/>
        <w:rPr>
          <w:rFonts w:ascii="Arial" w:hAnsi="Arial" w:cs="Arial"/>
        </w:rPr>
      </w:pPr>
    </w:p>
    <w:p w14:paraId="0EDEF979" w14:textId="36E01207" w:rsidR="001F64F9" w:rsidRDefault="00D12FD3" w:rsidP="00D12FD3">
      <w:pPr>
        <w:spacing w:after="0"/>
        <w:jc w:val="both"/>
        <w:rPr>
          <w:rFonts w:ascii="Arial" w:hAnsi="Arial" w:cs="Arial"/>
        </w:rPr>
      </w:pPr>
      <w:r w:rsidRPr="00D12FD3">
        <w:rPr>
          <w:rFonts w:ascii="Arial" w:hAnsi="Arial" w:cs="Arial"/>
        </w:rPr>
        <w:t>Obowiązujący wzór formularza wniosku o wydanie pozwolenia na budowę tymczasowego obiektu budowlanego, określony</w:t>
      </w:r>
      <w:r>
        <w:rPr>
          <w:rFonts w:ascii="Arial" w:hAnsi="Arial" w:cs="Arial"/>
        </w:rPr>
        <w:t xml:space="preserve"> </w:t>
      </w:r>
      <w:r w:rsidRPr="00D12FD3">
        <w:rPr>
          <w:rFonts w:ascii="Arial" w:hAnsi="Arial" w:cs="Arial"/>
        </w:rPr>
        <w:t>rozporządzeniem Ministra Rozwoju, Pracy i Technologii z dnia 12 lutego 2021 r. w sprawie określenia wzoru formularza</w:t>
      </w:r>
      <w:r>
        <w:rPr>
          <w:rFonts w:ascii="Arial" w:hAnsi="Arial" w:cs="Arial"/>
        </w:rPr>
        <w:t xml:space="preserve"> </w:t>
      </w:r>
      <w:r w:rsidRPr="00D12FD3">
        <w:rPr>
          <w:rFonts w:ascii="Arial" w:hAnsi="Arial" w:cs="Arial"/>
        </w:rPr>
        <w:t>wniosku o wydanie pozwolenia na budowę tymczasowego obiektu budowlanego (Dz. U. poz. 356), nie przewiduje możliwości</w:t>
      </w:r>
      <w:r>
        <w:rPr>
          <w:rFonts w:ascii="Arial" w:hAnsi="Arial" w:cs="Arial"/>
        </w:rPr>
        <w:t xml:space="preserve"> </w:t>
      </w:r>
      <w:r w:rsidRPr="00D12FD3">
        <w:rPr>
          <w:rFonts w:ascii="Arial" w:hAnsi="Arial" w:cs="Arial"/>
        </w:rPr>
        <w:t>wskazania jako formy korespondencji z inwestorem oraz jego potencjalnym pełnomocnikiem doręczeń elektronicznych.</w:t>
      </w:r>
      <w:r>
        <w:rPr>
          <w:rFonts w:ascii="Arial" w:hAnsi="Arial" w:cs="Arial"/>
        </w:rPr>
        <w:t xml:space="preserve"> </w:t>
      </w:r>
      <w:r w:rsidRPr="00D12FD3">
        <w:rPr>
          <w:rFonts w:ascii="Arial" w:hAnsi="Arial" w:cs="Arial"/>
        </w:rPr>
        <w:t xml:space="preserve">Inwestor może jedynie wskazać adres skrzynki </w:t>
      </w:r>
      <w:proofErr w:type="spellStart"/>
      <w:r w:rsidRPr="00D12FD3">
        <w:rPr>
          <w:rFonts w:ascii="Arial" w:hAnsi="Arial" w:cs="Arial"/>
        </w:rPr>
        <w:t>ePUAP</w:t>
      </w:r>
      <w:proofErr w:type="spellEnd"/>
      <w:r>
        <w:rPr>
          <w:rFonts w:ascii="Arial" w:hAnsi="Arial" w:cs="Arial"/>
        </w:rPr>
        <w:t>.</w:t>
      </w:r>
    </w:p>
    <w:p w14:paraId="0606FC9D" w14:textId="3EE60791" w:rsidR="00D12FD3" w:rsidRPr="00D12FD3" w:rsidRDefault="00D12FD3" w:rsidP="00D12FD3">
      <w:pPr>
        <w:spacing w:after="0"/>
        <w:jc w:val="both"/>
        <w:rPr>
          <w:rFonts w:ascii="Arial" w:hAnsi="Arial" w:cs="Arial"/>
        </w:rPr>
      </w:pPr>
      <w:r w:rsidRPr="00D12FD3">
        <w:rPr>
          <w:rFonts w:ascii="Arial" w:hAnsi="Arial" w:cs="Arial"/>
        </w:rPr>
        <w:t>Wobec potrzeby dostosowania dotychczasowych rozwiązań do obecnych wymogów konieczne jest wydanie rozporządzenia</w:t>
      </w:r>
      <w:r>
        <w:rPr>
          <w:rFonts w:ascii="Arial" w:hAnsi="Arial" w:cs="Arial"/>
        </w:rPr>
        <w:t xml:space="preserve"> </w:t>
      </w:r>
      <w:r w:rsidRPr="00D12FD3">
        <w:rPr>
          <w:rFonts w:ascii="Arial" w:hAnsi="Arial" w:cs="Arial"/>
        </w:rPr>
        <w:t>określającego nowy wzór formularza wniosku o wydanie pozwolenia na budowę tymczasowego obiektu budowlanego wraz z nową,</w:t>
      </w:r>
      <w:r>
        <w:rPr>
          <w:rFonts w:ascii="Arial" w:hAnsi="Arial" w:cs="Arial"/>
        </w:rPr>
        <w:t xml:space="preserve"> </w:t>
      </w:r>
      <w:r w:rsidRPr="00D12FD3">
        <w:rPr>
          <w:rFonts w:ascii="Arial" w:hAnsi="Arial" w:cs="Arial"/>
        </w:rPr>
        <w:t>dodatkową formą kontaktu z inwestorem. Wzór formularza wniosku o wydanie pozwolenia na budowę tymczasowego obiektu</w:t>
      </w:r>
      <w:r>
        <w:rPr>
          <w:rFonts w:ascii="Arial" w:hAnsi="Arial" w:cs="Arial"/>
        </w:rPr>
        <w:t xml:space="preserve"> </w:t>
      </w:r>
      <w:r w:rsidRPr="00D12FD3">
        <w:rPr>
          <w:rFonts w:ascii="Arial" w:hAnsi="Arial" w:cs="Arial"/>
        </w:rPr>
        <w:t>budowlanego uzupełniony został o adres do doręczeń elektronicznych – jako jedną z form korespondencji z inwestorem lub jego</w:t>
      </w:r>
      <w:r>
        <w:rPr>
          <w:rFonts w:ascii="Arial" w:hAnsi="Arial" w:cs="Arial"/>
        </w:rPr>
        <w:t xml:space="preserve"> </w:t>
      </w:r>
      <w:r w:rsidRPr="00D12FD3">
        <w:rPr>
          <w:rFonts w:ascii="Arial" w:hAnsi="Arial" w:cs="Arial"/>
        </w:rPr>
        <w:t>pełnomocnikiem. Tym samym przedmiotowy projekt dostosowano do regulacji zawartych w ustawie z dnia 18 listopada 2020 r.</w:t>
      </w:r>
      <w:r>
        <w:rPr>
          <w:rFonts w:ascii="Arial" w:hAnsi="Arial" w:cs="Arial"/>
        </w:rPr>
        <w:t xml:space="preserve"> </w:t>
      </w:r>
      <w:r w:rsidRPr="00D12FD3">
        <w:rPr>
          <w:rFonts w:ascii="Arial" w:hAnsi="Arial" w:cs="Arial"/>
        </w:rPr>
        <w:t>o doręczeniach elektronicznych (Dz. U. z 2024 r. poz. 1045 i 1841). W pozostałym zakresie projekt powtarza regulacje zawarte</w:t>
      </w:r>
      <w:r>
        <w:rPr>
          <w:rFonts w:ascii="Arial" w:hAnsi="Arial" w:cs="Arial"/>
        </w:rPr>
        <w:t xml:space="preserve"> </w:t>
      </w:r>
      <w:r w:rsidRPr="00D12FD3">
        <w:rPr>
          <w:rFonts w:ascii="Arial" w:hAnsi="Arial" w:cs="Arial"/>
        </w:rPr>
        <w:t>w aktualnie obowiązującym rozporządzeniu Ministra Rozwoju, Pracy i Technologii z dnia 12 lutego 2021 r. w sprawie określenia</w:t>
      </w:r>
      <w:r>
        <w:rPr>
          <w:rFonts w:ascii="Arial" w:hAnsi="Arial" w:cs="Arial"/>
        </w:rPr>
        <w:t xml:space="preserve"> </w:t>
      </w:r>
      <w:r w:rsidRPr="00D12FD3">
        <w:rPr>
          <w:rFonts w:ascii="Arial" w:hAnsi="Arial" w:cs="Arial"/>
        </w:rPr>
        <w:t>wzoru formularza wniosku o wydanie pozwolenia na budowę tymczasowego obiektu budowlanego.</w:t>
      </w:r>
    </w:p>
    <w:p w14:paraId="6DEF0F04" w14:textId="40E8D031" w:rsidR="00D12FD3" w:rsidRDefault="00D12FD3" w:rsidP="00D12FD3">
      <w:pPr>
        <w:spacing w:after="0"/>
        <w:jc w:val="both"/>
        <w:rPr>
          <w:rFonts w:ascii="Arial" w:hAnsi="Arial" w:cs="Arial"/>
        </w:rPr>
      </w:pPr>
      <w:r w:rsidRPr="00D12FD3">
        <w:rPr>
          <w:rFonts w:ascii="Arial" w:hAnsi="Arial" w:cs="Arial"/>
        </w:rPr>
        <w:t>Nie jest możliwe osiągnięcie powyższych efektów za pomocą środków poza legislacyjnych</w:t>
      </w:r>
    </w:p>
    <w:p w14:paraId="1CAFA0A9" w14:textId="77777777" w:rsidR="001F64F9" w:rsidRDefault="001F64F9" w:rsidP="00440124">
      <w:pPr>
        <w:spacing w:after="0"/>
        <w:jc w:val="both"/>
        <w:rPr>
          <w:rFonts w:ascii="Arial" w:hAnsi="Arial" w:cs="Arial"/>
        </w:rPr>
      </w:pPr>
    </w:p>
    <w:p w14:paraId="21A55224" w14:textId="77777777" w:rsidR="001F64F9" w:rsidRPr="001F64F9" w:rsidRDefault="001F64F9" w:rsidP="001F64F9">
      <w:pPr>
        <w:spacing w:after="0"/>
        <w:jc w:val="both"/>
        <w:rPr>
          <w:rFonts w:ascii="Arial" w:hAnsi="Arial" w:cs="Arial"/>
        </w:rPr>
      </w:pPr>
      <w:r w:rsidRPr="001F64F9">
        <w:rPr>
          <w:rFonts w:ascii="Arial" w:hAnsi="Arial" w:cs="Arial"/>
        </w:rPr>
        <w:t>Przedmiotowy projekt aktu prawnego dostępny jest na stronach Rządowego Centrum Legislacji pod adresem:</w:t>
      </w:r>
    </w:p>
    <w:p w14:paraId="746C7E04" w14:textId="22220EED" w:rsidR="001F64F9" w:rsidRDefault="001F64F9" w:rsidP="001F64F9">
      <w:pPr>
        <w:spacing w:after="0"/>
        <w:jc w:val="both"/>
        <w:rPr>
          <w:rFonts w:ascii="Arial" w:hAnsi="Arial" w:cs="Arial"/>
        </w:rPr>
      </w:pPr>
      <w:hyperlink r:id="rId22" w:history="1">
        <w:r w:rsidRPr="006A7CBC">
          <w:rPr>
            <w:rStyle w:val="Hipercze"/>
            <w:rFonts w:ascii="Arial" w:hAnsi="Arial" w:cs="Arial"/>
          </w:rPr>
          <w:t>https://legislacja.rcl.gov.pl/proje</w:t>
        </w:r>
        <w:r w:rsidRPr="006A7CBC">
          <w:rPr>
            <w:rStyle w:val="Hipercze"/>
            <w:rFonts w:ascii="Arial" w:hAnsi="Arial" w:cs="Arial"/>
          </w:rPr>
          <w:t>k</w:t>
        </w:r>
        <w:r w:rsidRPr="006A7CBC">
          <w:rPr>
            <w:rStyle w:val="Hipercze"/>
            <w:rFonts w:ascii="Arial" w:hAnsi="Arial" w:cs="Arial"/>
          </w:rPr>
          <w:t>t/12397814</w:t>
        </w:r>
      </w:hyperlink>
      <w:r>
        <w:rPr>
          <w:rFonts w:ascii="Arial" w:hAnsi="Arial" w:cs="Arial"/>
        </w:rPr>
        <w:t xml:space="preserve"> </w:t>
      </w:r>
    </w:p>
    <w:p w14:paraId="2D6B193A" w14:textId="77777777" w:rsidR="001F64F9" w:rsidRDefault="001F64F9" w:rsidP="00440124">
      <w:pPr>
        <w:spacing w:after="0"/>
        <w:jc w:val="both"/>
        <w:rPr>
          <w:rFonts w:ascii="Arial" w:hAnsi="Arial" w:cs="Arial"/>
        </w:rPr>
      </w:pPr>
    </w:p>
    <w:p w14:paraId="04B17C2F" w14:textId="43FCA620" w:rsidR="00D12FD3" w:rsidRDefault="00D12FD3" w:rsidP="00440124">
      <w:pPr>
        <w:spacing w:after="0"/>
        <w:jc w:val="both"/>
        <w:rPr>
          <w:rFonts w:ascii="Arial" w:hAnsi="Arial" w:cs="Arial"/>
        </w:rPr>
      </w:pPr>
      <w:r w:rsidRPr="00D12FD3">
        <w:rPr>
          <w:rFonts w:ascii="Arial" w:hAnsi="Arial" w:cs="Arial"/>
        </w:rPr>
        <w:t>Projekt jest obecnie jednocześnie na etapie uzgodnień, konsultacji publicznych i opiniowania.</w:t>
      </w:r>
    </w:p>
    <w:p w14:paraId="1C8D87B5" w14:textId="77777777" w:rsidR="00D12FD3" w:rsidRPr="00440124" w:rsidRDefault="00D12FD3" w:rsidP="00440124">
      <w:pPr>
        <w:spacing w:after="0"/>
        <w:jc w:val="both"/>
        <w:rPr>
          <w:rFonts w:ascii="Arial" w:hAnsi="Arial" w:cs="Arial"/>
        </w:rPr>
      </w:pPr>
    </w:p>
    <w:p w14:paraId="4EDE4EF4" w14:textId="1E6F2EBE" w:rsidR="00B04FED" w:rsidRPr="00D12FD3" w:rsidRDefault="0067737C" w:rsidP="00440124">
      <w:pPr>
        <w:pStyle w:val="Akapitzlist"/>
        <w:numPr>
          <w:ilvl w:val="0"/>
          <w:numId w:val="4"/>
        </w:numPr>
        <w:spacing w:after="0"/>
        <w:jc w:val="both"/>
        <w:rPr>
          <w:rFonts w:ascii="Arial" w:hAnsi="Arial" w:cs="Arial"/>
          <w:b/>
          <w:bCs/>
          <w:u w:val="single"/>
        </w:rPr>
      </w:pPr>
      <w:r w:rsidRPr="00D12FD3">
        <w:rPr>
          <w:rFonts w:ascii="Arial" w:hAnsi="Arial" w:cs="Arial"/>
          <w:b/>
          <w:bCs/>
          <w:u w:val="single"/>
        </w:rPr>
        <w:t>Projekt rozporządzenia</w:t>
      </w:r>
      <w:r w:rsidR="00D12FD3" w:rsidRPr="00D12FD3">
        <w:rPr>
          <w:b/>
          <w:bCs/>
          <w:u w:val="single"/>
        </w:rPr>
        <w:t xml:space="preserve"> </w:t>
      </w:r>
      <w:r w:rsidR="00D12FD3" w:rsidRPr="00D12FD3">
        <w:rPr>
          <w:rFonts w:ascii="Arial" w:hAnsi="Arial" w:cs="Arial"/>
          <w:b/>
          <w:bCs/>
          <w:u w:val="single"/>
        </w:rPr>
        <w:t>Ministra Rozwoju i Technologii w sprawie określenia wzoru formularza wniosku o zmianę pozwolenia na budowę (numer z wykazu 62).</w:t>
      </w:r>
    </w:p>
    <w:p w14:paraId="3B63FECC" w14:textId="77777777" w:rsidR="00440124" w:rsidRPr="00D12FD3" w:rsidRDefault="00440124" w:rsidP="00D12FD3">
      <w:pPr>
        <w:spacing w:after="0"/>
        <w:rPr>
          <w:rFonts w:ascii="Arial" w:hAnsi="Arial" w:cs="Arial"/>
        </w:rPr>
      </w:pPr>
    </w:p>
    <w:p w14:paraId="1B77DB2A" w14:textId="0AFB1AF4" w:rsidR="00D12FD3" w:rsidRDefault="00D12FD3" w:rsidP="00D12FD3">
      <w:pPr>
        <w:spacing w:after="0"/>
        <w:jc w:val="both"/>
        <w:rPr>
          <w:rFonts w:ascii="Arial" w:hAnsi="Arial" w:cs="Arial"/>
        </w:rPr>
      </w:pPr>
      <w:r w:rsidRPr="00D12FD3">
        <w:rPr>
          <w:rFonts w:ascii="Arial" w:hAnsi="Arial" w:cs="Arial"/>
        </w:rPr>
        <w:t>Obowiązujący wzór formularza wniosku o zmianę pozwolenia na budowę, określony rozporządzeniem Ministra Rozwoju, Pracy</w:t>
      </w:r>
      <w:r>
        <w:rPr>
          <w:rFonts w:ascii="Arial" w:hAnsi="Arial" w:cs="Arial"/>
        </w:rPr>
        <w:t xml:space="preserve"> </w:t>
      </w:r>
      <w:r w:rsidRPr="00D12FD3">
        <w:rPr>
          <w:rFonts w:ascii="Arial" w:hAnsi="Arial" w:cs="Arial"/>
        </w:rPr>
        <w:t>i Technologii z dnia 1 marca 2021 r. w sprawie określenia wzoru formularza wniosku o zmianę pozwolenia na budowę</w:t>
      </w:r>
      <w:r>
        <w:rPr>
          <w:rFonts w:ascii="Arial" w:hAnsi="Arial" w:cs="Arial"/>
        </w:rPr>
        <w:t xml:space="preserve"> </w:t>
      </w:r>
      <w:r w:rsidRPr="00D12FD3">
        <w:rPr>
          <w:rFonts w:ascii="Arial" w:hAnsi="Arial" w:cs="Arial"/>
        </w:rPr>
        <w:t>(Dz. U. poz. 440), nie przewiduje możliwości wskazania jako formy korespondencji z inwestorem oraz jego potencjalnym</w:t>
      </w:r>
      <w:r>
        <w:rPr>
          <w:rFonts w:ascii="Arial" w:hAnsi="Arial" w:cs="Arial"/>
        </w:rPr>
        <w:t xml:space="preserve"> </w:t>
      </w:r>
      <w:r w:rsidRPr="00D12FD3">
        <w:rPr>
          <w:rFonts w:ascii="Arial" w:hAnsi="Arial" w:cs="Arial"/>
        </w:rPr>
        <w:t xml:space="preserve">pełnomocnikiem doręczeń elektronicznych. Inwestor może jedynie wskazać adres skrzynki </w:t>
      </w:r>
      <w:proofErr w:type="spellStart"/>
      <w:r w:rsidRPr="00D12FD3">
        <w:rPr>
          <w:rFonts w:ascii="Arial" w:hAnsi="Arial" w:cs="Arial"/>
        </w:rPr>
        <w:t>ePUAP</w:t>
      </w:r>
      <w:proofErr w:type="spellEnd"/>
      <w:r>
        <w:rPr>
          <w:rFonts w:ascii="Arial" w:hAnsi="Arial" w:cs="Arial"/>
        </w:rPr>
        <w:t>.</w:t>
      </w:r>
    </w:p>
    <w:p w14:paraId="25DAC3EA" w14:textId="1034B4FB" w:rsidR="00D12FD3" w:rsidRPr="00D12FD3" w:rsidRDefault="00D12FD3" w:rsidP="00D12FD3">
      <w:pPr>
        <w:spacing w:after="0"/>
        <w:jc w:val="both"/>
        <w:rPr>
          <w:rFonts w:ascii="Arial" w:hAnsi="Arial" w:cs="Arial"/>
        </w:rPr>
      </w:pPr>
      <w:r w:rsidRPr="00D12FD3">
        <w:rPr>
          <w:rFonts w:ascii="Arial" w:hAnsi="Arial" w:cs="Arial"/>
        </w:rPr>
        <w:t>Wobec potrzeby dostosowania dotychczasowych rozwiązań do obecnych wymogów, konieczne jest wydanie rozporządzenia</w:t>
      </w:r>
      <w:r w:rsidR="008656CA">
        <w:rPr>
          <w:rFonts w:ascii="Arial" w:hAnsi="Arial" w:cs="Arial"/>
        </w:rPr>
        <w:t xml:space="preserve"> </w:t>
      </w:r>
      <w:r w:rsidRPr="00D12FD3">
        <w:rPr>
          <w:rFonts w:ascii="Arial" w:hAnsi="Arial" w:cs="Arial"/>
        </w:rPr>
        <w:t>określającego nowy wzór formularza wniosku o zmianę pozwolenia na budowę wraz z nową, dodatkową formą korespondencji</w:t>
      </w:r>
      <w:r w:rsidR="008656CA">
        <w:rPr>
          <w:rFonts w:ascii="Arial" w:hAnsi="Arial" w:cs="Arial"/>
        </w:rPr>
        <w:t xml:space="preserve"> </w:t>
      </w:r>
      <w:r w:rsidRPr="00D12FD3">
        <w:rPr>
          <w:rFonts w:ascii="Arial" w:hAnsi="Arial" w:cs="Arial"/>
        </w:rPr>
        <w:t>z inwestorem.</w:t>
      </w:r>
      <w:r w:rsidR="008656CA">
        <w:rPr>
          <w:rFonts w:ascii="Arial" w:hAnsi="Arial" w:cs="Arial"/>
        </w:rPr>
        <w:t xml:space="preserve"> </w:t>
      </w:r>
      <w:r w:rsidRPr="00D12FD3">
        <w:rPr>
          <w:rFonts w:ascii="Arial" w:hAnsi="Arial" w:cs="Arial"/>
        </w:rPr>
        <w:lastRenderedPageBreak/>
        <w:t>W tym celu wzór formularza wniosku o zmianę pozwolenia na budowę uzupełniony został o adres do doręczeń</w:t>
      </w:r>
      <w:r w:rsidR="008656CA">
        <w:rPr>
          <w:rFonts w:ascii="Arial" w:hAnsi="Arial" w:cs="Arial"/>
        </w:rPr>
        <w:t xml:space="preserve"> </w:t>
      </w:r>
      <w:r w:rsidRPr="00D12FD3">
        <w:rPr>
          <w:rFonts w:ascii="Arial" w:hAnsi="Arial" w:cs="Arial"/>
        </w:rPr>
        <w:t>elektronicznych – jako jedną z form korespondencji z inwestorem lub jego pełnomocnikiem. Tym samym przedmiotowy projekt</w:t>
      </w:r>
      <w:r w:rsidR="008656CA">
        <w:rPr>
          <w:rFonts w:ascii="Arial" w:hAnsi="Arial" w:cs="Arial"/>
        </w:rPr>
        <w:t xml:space="preserve"> </w:t>
      </w:r>
      <w:r w:rsidRPr="00D12FD3">
        <w:rPr>
          <w:rFonts w:ascii="Arial" w:hAnsi="Arial" w:cs="Arial"/>
        </w:rPr>
        <w:t>dostosowano do regulacji zawartych w ustawie z dnia 18 listopada 2020 r. o doręczeniach elektronicznych (Dz. U. z 2024 r. poz.</w:t>
      </w:r>
      <w:r w:rsidR="008656CA">
        <w:rPr>
          <w:rFonts w:ascii="Arial" w:hAnsi="Arial" w:cs="Arial"/>
        </w:rPr>
        <w:t xml:space="preserve"> </w:t>
      </w:r>
      <w:r w:rsidRPr="00D12FD3">
        <w:rPr>
          <w:rFonts w:ascii="Arial" w:hAnsi="Arial" w:cs="Arial"/>
        </w:rPr>
        <w:t>1045 i 1841).W pozostałym zakresie projekt powtarza regulacje zawarte w obowiązującym rozporządzeniu Ministra Rozwoju,</w:t>
      </w:r>
      <w:r w:rsidR="008656CA">
        <w:rPr>
          <w:rFonts w:ascii="Arial" w:hAnsi="Arial" w:cs="Arial"/>
        </w:rPr>
        <w:t xml:space="preserve"> </w:t>
      </w:r>
      <w:r w:rsidRPr="00D12FD3">
        <w:rPr>
          <w:rFonts w:ascii="Arial" w:hAnsi="Arial" w:cs="Arial"/>
        </w:rPr>
        <w:t>Pracy i Technologii z dnia 1 marca 2021 r. w sprawie</w:t>
      </w:r>
      <w:r w:rsidR="008656CA">
        <w:rPr>
          <w:rFonts w:ascii="Arial" w:hAnsi="Arial" w:cs="Arial"/>
        </w:rPr>
        <w:t xml:space="preserve"> </w:t>
      </w:r>
      <w:r w:rsidRPr="00D12FD3">
        <w:rPr>
          <w:rFonts w:ascii="Arial" w:hAnsi="Arial" w:cs="Arial"/>
        </w:rPr>
        <w:t>określenia wzoru formularza wniosku o zmianę pozwolenia na budowę.</w:t>
      </w:r>
    </w:p>
    <w:p w14:paraId="3539F1B9" w14:textId="4B1AAC68" w:rsidR="00D12FD3" w:rsidRDefault="00D12FD3" w:rsidP="00D12FD3">
      <w:pPr>
        <w:spacing w:after="0"/>
        <w:jc w:val="both"/>
        <w:rPr>
          <w:rFonts w:ascii="Arial" w:hAnsi="Arial" w:cs="Arial"/>
        </w:rPr>
      </w:pPr>
      <w:r w:rsidRPr="00D12FD3">
        <w:rPr>
          <w:rFonts w:ascii="Arial" w:hAnsi="Arial" w:cs="Arial"/>
        </w:rPr>
        <w:t>Nie jest możliwe osiągnięcie powyższych efektów za pomocą środków poza legislacyjnych.</w:t>
      </w:r>
    </w:p>
    <w:p w14:paraId="35E971BB" w14:textId="77777777" w:rsidR="00D12FD3" w:rsidRDefault="00D12FD3" w:rsidP="00D12FD3">
      <w:pPr>
        <w:spacing w:after="0"/>
        <w:jc w:val="both"/>
        <w:rPr>
          <w:rFonts w:ascii="Arial" w:hAnsi="Arial" w:cs="Arial"/>
        </w:rPr>
      </w:pPr>
    </w:p>
    <w:p w14:paraId="5399E56B" w14:textId="601F8B90" w:rsidR="00D12FD3" w:rsidRPr="00D12FD3" w:rsidRDefault="00D12FD3" w:rsidP="00D12FD3">
      <w:pPr>
        <w:spacing w:after="0"/>
        <w:jc w:val="both"/>
        <w:rPr>
          <w:rFonts w:ascii="Arial" w:hAnsi="Arial" w:cs="Arial"/>
        </w:rPr>
      </w:pPr>
      <w:r w:rsidRPr="00D12FD3">
        <w:rPr>
          <w:rFonts w:ascii="Arial" w:hAnsi="Arial" w:cs="Arial"/>
        </w:rPr>
        <w:t>Przedmiotowy projekt aktu prawnego dostępny jest na stronach Rządowego Centrum Legislacji pod adresem:</w:t>
      </w:r>
    </w:p>
    <w:p w14:paraId="415019AB" w14:textId="64DC8C68" w:rsidR="00D12FD3" w:rsidRPr="00D12FD3" w:rsidRDefault="00D12FD3" w:rsidP="00D12FD3">
      <w:pPr>
        <w:spacing w:after="0"/>
        <w:jc w:val="both"/>
        <w:rPr>
          <w:rFonts w:ascii="Arial" w:hAnsi="Arial" w:cs="Arial"/>
        </w:rPr>
      </w:pPr>
      <w:hyperlink r:id="rId23" w:history="1">
        <w:r w:rsidRPr="006A7CBC">
          <w:rPr>
            <w:rStyle w:val="Hipercze"/>
            <w:rFonts w:ascii="Arial" w:hAnsi="Arial" w:cs="Arial"/>
          </w:rPr>
          <w:t>https://legislacja.rcl.gov.pl/projekt</w:t>
        </w:r>
        <w:r w:rsidRPr="006A7CBC">
          <w:rPr>
            <w:rStyle w:val="Hipercze"/>
            <w:rFonts w:ascii="Arial" w:hAnsi="Arial" w:cs="Arial"/>
          </w:rPr>
          <w:t>/</w:t>
        </w:r>
        <w:r w:rsidRPr="006A7CBC">
          <w:rPr>
            <w:rStyle w:val="Hipercze"/>
            <w:rFonts w:ascii="Arial" w:hAnsi="Arial" w:cs="Arial"/>
          </w:rPr>
          <w:t>12397815</w:t>
        </w:r>
      </w:hyperlink>
      <w:r>
        <w:rPr>
          <w:rFonts w:ascii="Arial" w:hAnsi="Arial" w:cs="Arial"/>
        </w:rPr>
        <w:t xml:space="preserve"> </w:t>
      </w:r>
    </w:p>
    <w:p w14:paraId="45D5EFF9" w14:textId="77777777" w:rsidR="00440124" w:rsidRDefault="00440124" w:rsidP="00440124">
      <w:pPr>
        <w:spacing w:after="0"/>
        <w:jc w:val="both"/>
        <w:rPr>
          <w:rFonts w:ascii="Arial" w:hAnsi="Arial" w:cs="Arial"/>
        </w:rPr>
      </w:pPr>
    </w:p>
    <w:p w14:paraId="65ABE55F" w14:textId="3C18AFD0" w:rsidR="008656CA" w:rsidRDefault="008656CA" w:rsidP="00440124">
      <w:pPr>
        <w:spacing w:after="0"/>
        <w:jc w:val="both"/>
        <w:rPr>
          <w:rFonts w:ascii="Arial" w:hAnsi="Arial" w:cs="Arial"/>
        </w:rPr>
      </w:pPr>
      <w:r w:rsidRPr="008656CA">
        <w:rPr>
          <w:rFonts w:ascii="Arial" w:hAnsi="Arial" w:cs="Arial"/>
        </w:rPr>
        <w:t>Projekt jest obecnie jednocześnie na etapie uzgodnień, konsultacji publicznych i opiniowania.</w:t>
      </w:r>
    </w:p>
    <w:p w14:paraId="123142DE" w14:textId="77777777" w:rsidR="008656CA" w:rsidRPr="00D12FD3" w:rsidRDefault="008656CA" w:rsidP="00440124">
      <w:pPr>
        <w:spacing w:after="0"/>
        <w:jc w:val="both"/>
        <w:rPr>
          <w:rFonts w:ascii="Arial" w:hAnsi="Arial" w:cs="Arial"/>
        </w:rPr>
      </w:pPr>
    </w:p>
    <w:p w14:paraId="6B553B46" w14:textId="0B48A8D0" w:rsidR="00B04FED" w:rsidRPr="008656CA" w:rsidRDefault="00B04FED" w:rsidP="00440124">
      <w:pPr>
        <w:pStyle w:val="Akapitzlist"/>
        <w:numPr>
          <w:ilvl w:val="0"/>
          <w:numId w:val="4"/>
        </w:numPr>
        <w:spacing w:after="0"/>
        <w:jc w:val="both"/>
        <w:rPr>
          <w:rFonts w:ascii="Arial" w:hAnsi="Arial" w:cs="Arial"/>
          <w:b/>
          <w:bCs/>
          <w:u w:val="single"/>
        </w:rPr>
      </w:pPr>
      <w:r w:rsidRPr="008656CA">
        <w:rPr>
          <w:rFonts w:ascii="Arial" w:hAnsi="Arial" w:cs="Arial"/>
          <w:b/>
          <w:bCs/>
          <w:u w:val="single"/>
        </w:rPr>
        <w:t>P</w:t>
      </w:r>
      <w:r w:rsidR="0067737C" w:rsidRPr="008656CA">
        <w:rPr>
          <w:rFonts w:ascii="Arial" w:hAnsi="Arial" w:cs="Arial"/>
          <w:b/>
          <w:bCs/>
          <w:u w:val="single"/>
        </w:rPr>
        <w:t>rojekt rozporządzenia</w:t>
      </w:r>
      <w:r w:rsidR="008656CA" w:rsidRPr="008656CA">
        <w:rPr>
          <w:b/>
          <w:bCs/>
          <w:u w:val="single"/>
        </w:rPr>
        <w:t xml:space="preserve"> </w:t>
      </w:r>
      <w:r w:rsidR="008656CA" w:rsidRPr="008656CA">
        <w:rPr>
          <w:rFonts w:ascii="Arial" w:hAnsi="Arial" w:cs="Arial"/>
          <w:b/>
          <w:bCs/>
          <w:u w:val="single"/>
        </w:rPr>
        <w:t>Ministra Rozwoju i Technologii w sprawie określenia wzoru formularza wniosku o wydanie odrębnej decyzji o zatwierdzeniu projektu zagospodarowania działki lub terenu lub projektu architektoniczno-budowlanego (numer z wykazu 63).</w:t>
      </w:r>
    </w:p>
    <w:p w14:paraId="33A1FDBC" w14:textId="77777777" w:rsidR="00440124" w:rsidRDefault="00440124" w:rsidP="00440124">
      <w:pPr>
        <w:spacing w:after="0"/>
        <w:jc w:val="both"/>
        <w:rPr>
          <w:rFonts w:ascii="Arial" w:hAnsi="Arial" w:cs="Arial"/>
        </w:rPr>
      </w:pPr>
    </w:p>
    <w:p w14:paraId="70DEEAAE" w14:textId="58D76B95" w:rsidR="008656CA" w:rsidRDefault="0065384F" w:rsidP="0065384F">
      <w:pPr>
        <w:spacing w:after="0"/>
        <w:jc w:val="both"/>
        <w:rPr>
          <w:rFonts w:ascii="Arial" w:hAnsi="Arial" w:cs="Arial"/>
        </w:rPr>
      </w:pPr>
      <w:r w:rsidRPr="0065384F">
        <w:rPr>
          <w:rFonts w:ascii="Arial" w:hAnsi="Arial" w:cs="Arial"/>
        </w:rPr>
        <w:t>Obowiązujący wzór formularza wniosku o wydanie odrębnej decyzji o zatwierdzeniu projektu zagospodarowania działki</w:t>
      </w:r>
      <w:r>
        <w:rPr>
          <w:rFonts w:ascii="Arial" w:hAnsi="Arial" w:cs="Arial"/>
        </w:rPr>
        <w:t xml:space="preserve"> </w:t>
      </w:r>
      <w:r w:rsidRPr="0065384F">
        <w:rPr>
          <w:rFonts w:ascii="Arial" w:hAnsi="Arial" w:cs="Arial"/>
        </w:rPr>
        <w:t>lub terenu lub projektu architektoniczno-budowlanego, określony rozporządzeniem Ministra Rozwoju, Pracy i Technologii</w:t>
      </w:r>
      <w:r>
        <w:rPr>
          <w:rFonts w:ascii="Arial" w:hAnsi="Arial" w:cs="Arial"/>
        </w:rPr>
        <w:t xml:space="preserve"> </w:t>
      </w:r>
      <w:r w:rsidRPr="0065384F">
        <w:rPr>
          <w:rFonts w:ascii="Arial" w:hAnsi="Arial" w:cs="Arial"/>
        </w:rPr>
        <w:t>z dnia 19 lutego 2021 r. w sprawie określenia wzoru formularza wniosku o wydanie odrębnej decyzji o zatwierdzeniu</w:t>
      </w:r>
      <w:r>
        <w:rPr>
          <w:rFonts w:ascii="Arial" w:hAnsi="Arial" w:cs="Arial"/>
        </w:rPr>
        <w:t xml:space="preserve"> </w:t>
      </w:r>
      <w:r w:rsidRPr="0065384F">
        <w:rPr>
          <w:rFonts w:ascii="Arial" w:hAnsi="Arial" w:cs="Arial"/>
        </w:rPr>
        <w:t>projektu zagospodarowania działki lub terenu lub projektu architektoniczno-budowlanego (Dz. U. poz. 335), nie</w:t>
      </w:r>
      <w:r>
        <w:rPr>
          <w:rFonts w:ascii="Arial" w:hAnsi="Arial" w:cs="Arial"/>
        </w:rPr>
        <w:t xml:space="preserve"> </w:t>
      </w:r>
      <w:r w:rsidRPr="0065384F">
        <w:rPr>
          <w:rFonts w:ascii="Arial" w:hAnsi="Arial" w:cs="Arial"/>
        </w:rPr>
        <w:t>przewiduje możliwości wskazania jako formy korespondencji z inwestorem oraz jego potencjalnym pełnomocnikiem</w:t>
      </w:r>
      <w:r>
        <w:rPr>
          <w:rFonts w:ascii="Arial" w:hAnsi="Arial" w:cs="Arial"/>
        </w:rPr>
        <w:t xml:space="preserve"> </w:t>
      </w:r>
      <w:r w:rsidRPr="0065384F">
        <w:rPr>
          <w:rFonts w:ascii="Arial" w:hAnsi="Arial" w:cs="Arial"/>
        </w:rPr>
        <w:t xml:space="preserve">doręczeń elektronicznych. Inwestor może jedynie wskazać adres skrzynki </w:t>
      </w:r>
      <w:proofErr w:type="spellStart"/>
      <w:r w:rsidRPr="0065384F">
        <w:rPr>
          <w:rFonts w:ascii="Arial" w:hAnsi="Arial" w:cs="Arial"/>
        </w:rPr>
        <w:t>ePUAP</w:t>
      </w:r>
      <w:proofErr w:type="spellEnd"/>
      <w:r>
        <w:rPr>
          <w:rFonts w:ascii="Arial" w:hAnsi="Arial" w:cs="Arial"/>
        </w:rPr>
        <w:t>.</w:t>
      </w:r>
    </w:p>
    <w:p w14:paraId="0E9F9F57" w14:textId="0C2E2FA5" w:rsidR="0065384F" w:rsidRPr="0065384F" w:rsidRDefault="0065384F" w:rsidP="0065384F">
      <w:pPr>
        <w:spacing w:after="0"/>
        <w:jc w:val="both"/>
        <w:rPr>
          <w:rFonts w:ascii="Arial" w:hAnsi="Arial" w:cs="Arial"/>
        </w:rPr>
      </w:pPr>
      <w:r w:rsidRPr="0065384F">
        <w:rPr>
          <w:rFonts w:ascii="Arial" w:hAnsi="Arial" w:cs="Arial"/>
        </w:rPr>
        <w:t>Wobec potrzeby dostosowania dotychczasowych rozwiązań do obecnych wymogów, konieczne jest wydanie rozporządzenia</w:t>
      </w:r>
      <w:r>
        <w:rPr>
          <w:rFonts w:ascii="Arial" w:hAnsi="Arial" w:cs="Arial"/>
        </w:rPr>
        <w:t xml:space="preserve"> </w:t>
      </w:r>
      <w:r w:rsidRPr="0065384F">
        <w:rPr>
          <w:rFonts w:ascii="Arial" w:hAnsi="Arial" w:cs="Arial"/>
        </w:rPr>
        <w:t>określającego nowy wzór formularza wniosku o wydanie odrębnej decyzji o zatwierdzeniu projektu zagospodarowania</w:t>
      </w:r>
      <w:r>
        <w:rPr>
          <w:rFonts w:ascii="Arial" w:hAnsi="Arial" w:cs="Arial"/>
        </w:rPr>
        <w:t xml:space="preserve"> </w:t>
      </w:r>
      <w:r w:rsidRPr="0065384F">
        <w:rPr>
          <w:rFonts w:ascii="Arial" w:hAnsi="Arial" w:cs="Arial"/>
        </w:rPr>
        <w:t>działki lub terenu lub projektu architektoniczno-budowlanego wraz z nową, dodatkową formą kontaktu z inwestorem. W tym</w:t>
      </w:r>
      <w:r>
        <w:rPr>
          <w:rFonts w:ascii="Arial" w:hAnsi="Arial" w:cs="Arial"/>
        </w:rPr>
        <w:t xml:space="preserve"> </w:t>
      </w:r>
      <w:r w:rsidRPr="0065384F">
        <w:rPr>
          <w:rFonts w:ascii="Arial" w:hAnsi="Arial" w:cs="Arial"/>
        </w:rPr>
        <w:t>celu wzór przedmiotowego formularza uzupełniony został o adres do doręczeń elektronicznych – jako jedną z form</w:t>
      </w:r>
      <w:r>
        <w:rPr>
          <w:rFonts w:ascii="Arial" w:hAnsi="Arial" w:cs="Arial"/>
        </w:rPr>
        <w:t xml:space="preserve"> </w:t>
      </w:r>
      <w:r w:rsidRPr="0065384F">
        <w:rPr>
          <w:rFonts w:ascii="Arial" w:hAnsi="Arial" w:cs="Arial"/>
        </w:rPr>
        <w:t>korespondencji z inwestorem lub jego pełnomocnikiem. Tym samym przedmiotowy projekt dostosowano do regulacji</w:t>
      </w:r>
      <w:r>
        <w:rPr>
          <w:rFonts w:ascii="Arial" w:hAnsi="Arial" w:cs="Arial"/>
        </w:rPr>
        <w:t xml:space="preserve"> </w:t>
      </w:r>
      <w:r w:rsidRPr="0065384F">
        <w:rPr>
          <w:rFonts w:ascii="Arial" w:hAnsi="Arial" w:cs="Arial"/>
        </w:rPr>
        <w:t>zawartych w ustawie z dnia 18 listopada 2020 r. o doręczeniach elektronicznych (Dz. U. z 2024 r. poz. 1045 i 1841).</w:t>
      </w:r>
      <w:r>
        <w:rPr>
          <w:rFonts w:ascii="Arial" w:hAnsi="Arial" w:cs="Arial"/>
        </w:rPr>
        <w:t xml:space="preserve"> </w:t>
      </w:r>
      <w:r w:rsidRPr="0065384F">
        <w:rPr>
          <w:rFonts w:ascii="Arial" w:hAnsi="Arial" w:cs="Arial"/>
        </w:rPr>
        <w:t>W pozostałym zakresie projekt powtarza regulacje zawarte w aktualnie obowiązującym rozporządzeniu Ministra Rozwoju,</w:t>
      </w:r>
      <w:r>
        <w:rPr>
          <w:rFonts w:ascii="Arial" w:hAnsi="Arial" w:cs="Arial"/>
        </w:rPr>
        <w:t xml:space="preserve"> </w:t>
      </w:r>
      <w:r w:rsidRPr="0065384F">
        <w:rPr>
          <w:rFonts w:ascii="Arial" w:hAnsi="Arial" w:cs="Arial"/>
        </w:rPr>
        <w:t>Pracy i Technologii z dnia z dnia 19 lutego 2021 r. w sprawie określenia wzoru formularza wniosku o wydanie odrębnej</w:t>
      </w:r>
      <w:r>
        <w:rPr>
          <w:rFonts w:ascii="Arial" w:hAnsi="Arial" w:cs="Arial"/>
        </w:rPr>
        <w:t xml:space="preserve"> </w:t>
      </w:r>
      <w:r w:rsidRPr="0065384F">
        <w:rPr>
          <w:rFonts w:ascii="Arial" w:hAnsi="Arial" w:cs="Arial"/>
        </w:rPr>
        <w:t>decyzji o zatwierdzeniu projektu zagospodarowania działki lub terenu lub projektu architektoniczno-budowlanego.</w:t>
      </w:r>
    </w:p>
    <w:p w14:paraId="4F19FFA7" w14:textId="62E694F2" w:rsidR="0065384F" w:rsidRDefault="0065384F" w:rsidP="0065384F">
      <w:pPr>
        <w:spacing w:after="0"/>
        <w:jc w:val="both"/>
        <w:rPr>
          <w:rFonts w:ascii="Arial" w:hAnsi="Arial" w:cs="Arial"/>
        </w:rPr>
      </w:pPr>
      <w:r w:rsidRPr="0065384F">
        <w:rPr>
          <w:rFonts w:ascii="Arial" w:hAnsi="Arial" w:cs="Arial"/>
        </w:rPr>
        <w:t xml:space="preserve">Nie jest możliwe osiągnięcie powyższych efektów za pomocą środków </w:t>
      </w:r>
      <w:proofErr w:type="spellStart"/>
      <w:r w:rsidRPr="0065384F">
        <w:rPr>
          <w:rFonts w:ascii="Arial" w:hAnsi="Arial" w:cs="Arial"/>
        </w:rPr>
        <w:t>pozalegislacyjnych</w:t>
      </w:r>
      <w:proofErr w:type="spellEnd"/>
      <w:r>
        <w:rPr>
          <w:rFonts w:ascii="Arial" w:hAnsi="Arial" w:cs="Arial"/>
        </w:rPr>
        <w:t>.</w:t>
      </w:r>
    </w:p>
    <w:p w14:paraId="15FC51E8" w14:textId="77777777" w:rsidR="008656CA" w:rsidRDefault="008656CA" w:rsidP="00440124">
      <w:pPr>
        <w:spacing w:after="0"/>
        <w:jc w:val="both"/>
        <w:rPr>
          <w:rFonts w:ascii="Arial" w:hAnsi="Arial" w:cs="Arial"/>
        </w:rPr>
      </w:pPr>
    </w:p>
    <w:p w14:paraId="36554E2B" w14:textId="77777777" w:rsidR="008656CA" w:rsidRPr="008656CA" w:rsidRDefault="008656CA" w:rsidP="008656CA">
      <w:pPr>
        <w:spacing w:after="0"/>
        <w:jc w:val="both"/>
        <w:rPr>
          <w:rFonts w:ascii="Arial" w:hAnsi="Arial" w:cs="Arial"/>
        </w:rPr>
      </w:pPr>
      <w:r w:rsidRPr="008656CA">
        <w:rPr>
          <w:rFonts w:ascii="Arial" w:hAnsi="Arial" w:cs="Arial"/>
        </w:rPr>
        <w:t>Przedmiotowy projekt aktu prawnego dostępny jest na stronach Rządowego Centrum Legislacji pod adresem:</w:t>
      </w:r>
    </w:p>
    <w:p w14:paraId="0DABCC77" w14:textId="284C9F46" w:rsidR="008656CA" w:rsidRDefault="008656CA" w:rsidP="008656CA">
      <w:pPr>
        <w:spacing w:after="0"/>
        <w:jc w:val="both"/>
        <w:rPr>
          <w:rFonts w:ascii="Arial" w:hAnsi="Arial" w:cs="Arial"/>
        </w:rPr>
      </w:pPr>
      <w:hyperlink r:id="rId24" w:history="1">
        <w:r w:rsidRPr="006A7CBC">
          <w:rPr>
            <w:rStyle w:val="Hipercze"/>
            <w:rFonts w:ascii="Arial" w:hAnsi="Arial" w:cs="Arial"/>
          </w:rPr>
          <w:t>https://legislacja.rcl.gov.pl/p</w:t>
        </w:r>
        <w:r w:rsidRPr="006A7CBC">
          <w:rPr>
            <w:rStyle w:val="Hipercze"/>
            <w:rFonts w:ascii="Arial" w:hAnsi="Arial" w:cs="Arial"/>
          </w:rPr>
          <w:t>r</w:t>
        </w:r>
        <w:r w:rsidRPr="006A7CBC">
          <w:rPr>
            <w:rStyle w:val="Hipercze"/>
            <w:rFonts w:ascii="Arial" w:hAnsi="Arial" w:cs="Arial"/>
          </w:rPr>
          <w:t>ojekt/12397816</w:t>
        </w:r>
      </w:hyperlink>
      <w:r>
        <w:rPr>
          <w:rFonts w:ascii="Arial" w:hAnsi="Arial" w:cs="Arial"/>
        </w:rPr>
        <w:t xml:space="preserve"> </w:t>
      </w:r>
    </w:p>
    <w:p w14:paraId="42282E59" w14:textId="77777777" w:rsidR="008656CA" w:rsidRDefault="008656CA" w:rsidP="00440124">
      <w:pPr>
        <w:spacing w:after="0"/>
        <w:jc w:val="both"/>
        <w:rPr>
          <w:rFonts w:ascii="Arial" w:hAnsi="Arial" w:cs="Arial"/>
        </w:rPr>
      </w:pPr>
    </w:p>
    <w:p w14:paraId="17D0B5EE" w14:textId="0C43324E" w:rsidR="0065384F" w:rsidRDefault="0065384F" w:rsidP="00440124">
      <w:pPr>
        <w:spacing w:after="0"/>
        <w:jc w:val="both"/>
        <w:rPr>
          <w:rFonts w:ascii="Arial" w:hAnsi="Arial" w:cs="Arial"/>
        </w:rPr>
      </w:pPr>
      <w:r w:rsidRPr="0065384F">
        <w:rPr>
          <w:rFonts w:ascii="Arial" w:hAnsi="Arial" w:cs="Arial"/>
        </w:rPr>
        <w:t>Projekt jest obecnie jednocześnie na etapie uzgodnień, konsultacji publicznych i opiniowania.</w:t>
      </w:r>
    </w:p>
    <w:p w14:paraId="7F34B628" w14:textId="77777777" w:rsidR="0065384F" w:rsidRPr="00440124" w:rsidRDefault="0065384F" w:rsidP="00440124">
      <w:pPr>
        <w:spacing w:after="0"/>
        <w:jc w:val="both"/>
        <w:rPr>
          <w:rFonts w:ascii="Arial" w:hAnsi="Arial" w:cs="Arial"/>
        </w:rPr>
      </w:pPr>
    </w:p>
    <w:p w14:paraId="1CD6E664" w14:textId="244E1360" w:rsidR="00B04FED" w:rsidRPr="0065384F" w:rsidRDefault="0065384F" w:rsidP="00440124">
      <w:pPr>
        <w:pStyle w:val="Akapitzlist"/>
        <w:numPr>
          <w:ilvl w:val="0"/>
          <w:numId w:val="4"/>
        </w:numPr>
        <w:spacing w:after="0"/>
        <w:jc w:val="both"/>
        <w:rPr>
          <w:rFonts w:ascii="Arial" w:hAnsi="Arial" w:cs="Arial"/>
          <w:b/>
          <w:bCs/>
          <w:u w:val="single"/>
        </w:rPr>
      </w:pPr>
      <w:r w:rsidRPr="0065384F">
        <w:rPr>
          <w:rFonts w:ascii="Arial" w:hAnsi="Arial" w:cs="Arial"/>
          <w:b/>
          <w:bCs/>
          <w:u w:val="single"/>
        </w:rPr>
        <w:t>R</w:t>
      </w:r>
      <w:r w:rsidRPr="0065384F">
        <w:rPr>
          <w:rFonts w:ascii="Arial" w:hAnsi="Arial" w:cs="Arial"/>
          <w:b/>
          <w:bCs/>
          <w:u w:val="single"/>
        </w:rPr>
        <w:t>ozporządzeni</w:t>
      </w:r>
      <w:r w:rsidRPr="0065384F">
        <w:rPr>
          <w:rFonts w:ascii="Arial" w:hAnsi="Arial" w:cs="Arial"/>
          <w:b/>
          <w:bCs/>
          <w:u w:val="single"/>
        </w:rPr>
        <w:t>e</w:t>
      </w:r>
      <w:r w:rsidRPr="0065384F">
        <w:rPr>
          <w:rFonts w:ascii="Arial" w:hAnsi="Arial" w:cs="Arial"/>
          <w:b/>
          <w:bCs/>
          <w:u w:val="single"/>
        </w:rPr>
        <w:t xml:space="preserve"> Ministra Pracy i Polityki Socjalnej z dnia 18 grudnia 1998 r. w sprawie szczegółowych zasad ustalania podstawy wymiaru składek na ubezpieczenia emerytalne i rentowe</w:t>
      </w:r>
      <w:r>
        <w:rPr>
          <w:rFonts w:ascii="Arial" w:hAnsi="Arial" w:cs="Arial"/>
          <w:b/>
          <w:bCs/>
          <w:u w:val="single"/>
        </w:rPr>
        <w:t>.</w:t>
      </w:r>
    </w:p>
    <w:p w14:paraId="14A00776" w14:textId="77777777" w:rsidR="00440124" w:rsidRPr="0065384F" w:rsidRDefault="00440124" w:rsidP="0065384F">
      <w:pPr>
        <w:spacing w:after="0"/>
        <w:rPr>
          <w:rFonts w:ascii="Arial" w:hAnsi="Arial" w:cs="Arial"/>
        </w:rPr>
      </w:pPr>
    </w:p>
    <w:p w14:paraId="341588BF" w14:textId="03040DE7" w:rsidR="0065384F" w:rsidRPr="0065384F" w:rsidRDefault="0065384F" w:rsidP="0065384F">
      <w:pPr>
        <w:spacing w:after="0"/>
        <w:jc w:val="both"/>
        <w:rPr>
          <w:rFonts w:ascii="Arial" w:hAnsi="Arial" w:cs="Arial"/>
        </w:rPr>
      </w:pPr>
      <w:r w:rsidRPr="0065384F">
        <w:rPr>
          <w:rFonts w:ascii="Arial" w:hAnsi="Arial" w:cs="Arial"/>
        </w:rPr>
        <w:t>z uzyskanych informacji wynika, że w najbliższym czasie Ministerstwo Rodziny, Pracy i Polityki Społecznej prawdopodobnie podejmie inicjatywę kolejnej zmiany treści rozporządzenia Ministra Pracy i Polityki Socjalnej z dnia 18 grudnia 1998 r. w sprawie szczegółowych zasad ustalania podstawy wymiaru składek na ubezpieczenia emerytalne i rentowe (Dz.U. 2025 poz. 316).</w:t>
      </w:r>
    </w:p>
    <w:p w14:paraId="38A7B38D" w14:textId="392BD636" w:rsidR="00440124" w:rsidRDefault="0065384F" w:rsidP="0065384F">
      <w:pPr>
        <w:spacing w:after="0"/>
        <w:jc w:val="both"/>
        <w:rPr>
          <w:rFonts w:ascii="Arial" w:hAnsi="Arial" w:cs="Arial"/>
        </w:rPr>
      </w:pPr>
      <w:r w:rsidRPr="0065384F">
        <w:rPr>
          <w:rFonts w:ascii="Arial" w:hAnsi="Arial" w:cs="Arial"/>
        </w:rPr>
        <w:t>Nowelizacja rozporządzenia będzie dotyczyła § 2 ust. 1 pkt 26, który stanowi, że podstawy wymiaru składek nie stanowią korzyści materialne wynikające z układów zbiorowych pracy, regulaminów wynagradzania lub przepisów o wynagradzaniu, a polegające na uprawnieniu do zakupu po cenach niższych niż detaliczne niektórych artykułów, przedmiotów lub usług oraz korzystaniu z bezpłatnych lub częściowo odpłatnych przejazdów środkami lokomocji. Ministerstwo będzie dążyło do ograniczenia tego wyłączenia, ze względu na pojawiające się sygnały o stosowanych mechanizmach przyznawania i późniejszego odkupu praw do zakupu po obniżonych cenach przedmiotów lub usług, wykorzystywanych do wypłaty wynagrodzenia zwolnionego ze składek na ubezpieczenia społeczne.</w:t>
      </w:r>
    </w:p>
    <w:p w14:paraId="11D44274" w14:textId="783325DF" w:rsidR="0065384F" w:rsidRPr="00440124" w:rsidRDefault="0065384F" w:rsidP="0065384F">
      <w:pPr>
        <w:spacing w:after="0"/>
        <w:jc w:val="both"/>
        <w:rPr>
          <w:rFonts w:ascii="Arial" w:hAnsi="Arial" w:cs="Arial"/>
        </w:rPr>
      </w:pPr>
      <w:r>
        <w:rPr>
          <w:rFonts w:ascii="Arial" w:hAnsi="Arial" w:cs="Arial"/>
        </w:rPr>
        <w:t>Prace nad nowelizacją toczą się obecnie w Ministerstwie Rodziny, Pracy i Polityki Społecznej, projekt nie został jeszcze udostępniony na stronach Rządowego Centrum Legislacyjnego.</w:t>
      </w:r>
    </w:p>
    <w:p w14:paraId="48BA6412" w14:textId="77777777" w:rsidR="000A0C11" w:rsidRPr="00042C7F" w:rsidRDefault="000A0C11" w:rsidP="00E11A03">
      <w:pPr>
        <w:spacing w:after="0"/>
        <w:jc w:val="both"/>
        <w:rPr>
          <w:rFonts w:ascii="Arial" w:hAnsi="Arial" w:cs="Arial"/>
        </w:rPr>
      </w:pPr>
    </w:p>
    <w:p w14:paraId="319DD8BD" w14:textId="77777777" w:rsidR="000A0C11" w:rsidRDefault="000A0C11" w:rsidP="00E11A03">
      <w:pPr>
        <w:spacing w:after="0"/>
        <w:jc w:val="both"/>
        <w:rPr>
          <w:rFonts w:ascii="Arial" w:hAnsi="Arial" w:cs="Arial"/>
        </w:rPr>
      </w:pPr>
    </w:p>
    <w:p w14:paraId="037B0CC4" w14:textId="77777777" w:rsidR="00E11A03" w:rsidRPr="00E11A03" w:rsidRDefault="00E11A03" w:rsidP="00E11A03">
      <w:pPr>
        <w:spacing w:after="0"/>
        <w:jc w:val="both"/>
        <w:rPr>
          <w:rFonts w:ascii="Arial" w:hAnsi="Arial" w:cs="Arial"/>
          <w:b/>
          <w:bCs/>
        </w:rPr>
      </w:pPr>
      <w:r w:rsidRPr="00E11A03">
        <w:rPr>
          <w:rFonts w:ascii="Arial" w:hAnsi="Arial" w:cs="Arial"/>
          <w:b/>
          <w:bCs/>
        </w:rPr>
        <w:t>II. Stanowiska Związku Pracodawców Polska Miedź</w:t>
      </w:r>
    </w:p>
    <w:p w14:paraId="22A56E62" w14:textId="77777777" w:rsidR="00E11A03" w:rsidRPr="00E11A03" w:rsidRDefault="00E11A03" w:rsidP="00E11A03">
      <w:pPr>
        <w:spacing w:after="0"/>
        <w:jc w:val="both"/>
        <w:rPr>
          <w:rFonts w:ascii="Arial" w:hAnsi="Arial" w:cs="Arial"/>
        </w:rPr>
      </w:pPr>
    </w:p>
    <w:p w14:paraId="3F885B67" w14:textId="77777777" w:rsidR="00E11A03" w:rsidRPr="00E11A03" w:rsidRDefault="00E11A03" w:rsidP="00E11A03">
      <w:pPr>
        <w:spacing w:after="0"/>
        <w:jc w:val="both"/>
        <w:rPr>
          <w:rFonts w:ascii="Arial" w:hAnsi="Arial" w:cs="Arial"/>
        </w:rPr>
      </w:pPr>
      <w:r w:rsidRPr="00E11A03">
        <w:rPr>
          <w:rFonts w:ascii="Arial" w:hAnsi="Arial" w:cs="Arial"/>
        </w:rPr>
        <w:t>Na podstawie opinii i ekspertyz podmiotów członkowskich Związku Pracodawców Polska Miedź przygotowano jedno stanowisko do opublikowanych projektów aktów prawnych oraz dokumentów strategicznych.</w:t>
      </w:r>
    </w:p>
    <w:p w14:paraId="6D2741ED" w14:textId="77777777" w:rsidR="00E11A03" w:rsidRPr="00E11A03" w:rsidRDefault="00E11A03" w:rsidP="00E11A03">
      <w:pPr>
        <w:spacing w:after="0"/>
        <w:jc w:val="both"/>
        <w:rPr>
          <w:rFonts w:ascii="Arial" w:hAnsi="Arial" w:cs="Arial"/>
        </w:rPr>
      </w:pPr>
    </w:p>
    <w:p w14:paraId="16191431" w14:textId="62395452" w:rsidR="00E11A03" w:rsidRPr="00E11A03" w:rsidRDefault="00E11A03" w:rsidP="00E11A03">
      <w:pPr>
        <w:spacing w:after="0"/>
        <w:ind w:left="567"/>
        <w:jc w:val="both"/>
        <w:rPr>
          <w:rFonts w:ascii="Arial" w:hAnsi="Arial" w:cs="Arial"/>
          <w:b/>
          <w:bCs/>
          <w:u w:val="single"/>
        </w:rPr>
      </w:pPr>
      <w:r w:rsidRPr="00E11A03">
        <w:rPr>
          <w:rFonts w:ascii="Arial" w:hAnsi="Arial" w:cs="Arial"/>
          <w:b/>
          <w:bCs/>
          <w:u w:val="single"/>
        </w:rPr>
        <w:t xml:space="preserve">Stanowisko Związku Pracodawców Polska Miedź (uwagi Związku Pracodawców Polska Miedź) do projektu ustawy o zmianie niektórych ustaw w celu dokonania deregulacji w zakresie energetyki. </w:t>
      </w:r>
    </w:p>
    <w:p w14:paraId="5B284F46" w14:textId="77777777" w:rsidR="00E11A03" w:rsidRPr="00E11A03" w:rsidRDefault="00E11A03" w:rsidP="00E11A03">
      <w:pPr>
        <w:spacing w:after="0"/>
        <w:jc w:val="both"/>
        <w:rPr>
          <w:rFonts w:ascii="Arial" w:hAnsi="Arial" w:cs="Arial"/>
        </w:rPr>
      </w:pPr>
    </w:p>
    <w:p w14:paraId="34762877" w14:textId="4EA8AA6A" w:rsidR="00E11A03" w:rsidRPr="00E11A03" w:rsidRDefault="00E11A03" w:rsidP="00E11A03">
      <w:pPr>
        <w:spacing w:after="0"/>
        <w:jc w:val="both"/>
        <w:rPr>
          <w:rFonts w:ascii="Arial" w:hAnsi="Arial" w:cs="Arial"/>
        </w:rPr>
      </w:pPr>
      <w:r w:rsidRPr="00E11A03">
        <w:rPr>
          <w:rFonts w:ascii="Arial" w:hAnsi="Arial" w:cs="Arial"/>
        </w:rPr>
        <w:t xml:space="preserve">Projekt z dnia </w:t>
      </w:r>
      <w:r>
        <w:rPr>
          <w:rFonts w:ascii="Arial" w:hAnsi="Arial" w:cs="Arial"/>
        </w:rPr>
        <w:t>9</w:t>
      </w:r>
      <w:r w:rsidRPr="00E11A03">
        <w:rPr>
          <w:rFonts w:ascii="Arial" w:hAnsi="Arial" w:cs="Arial"/>
        </w:rPr>
        <w:t>.0</w:t>
      </w:r>
      <w:r>
        <w:rPr>
          <w:rFonts w:ascii="Arial" w:hAnsi="Arial" w:cs="Arial"/>
        </w:rPr>
        <w:t>5</w:t>
      </w:r>
      <w:r w:rsidRPr="00E11A03">
        <w:rPr>
          <w:rFonts w:ascii="Arial" w:hAnsi="Arial" w:cs="Arial"/>
        </w:rPr>
        <w:t>.2025 roku, opublikowany na stronie BIP Rządowego Centrum Legislacji w dniu</w:t>
      </w:r>
      <w:r>
        <w:rPr>
          <w:rFonts w:ascii="Arial" w:hAnsi="Arial" w:cs="Arial"/>
        </w:rPr>
        <w:t xml:space="preserve"> 9</w:t>
      </w:r>
      <w:r w:rsidRPr="00E11A03">
        <w:rPr>
          <w:rFonts w:ascii="Arial" w:hAnsi="Arial" w:cs="Arial"/>
        </w:rPr>
        <w:t>.05.2025 roku. (</w:t>
      </w:r>
      <w:r>
        <w:rPr>
          <w:rFonts w:ascii="Arial" w:hAnsi="Arial" w:cs="Arial"/>
        </w:rPr>
        <w:t>UDER29</w:t>
      </w:r>
      <w:r w:rsidRPr="00E11A03">
        <w:rPr>
          <w:rFonts w:ascii="Arial" w:hAnsi="Arial" w:cs="Arial"/>
        </w:rPr>
        <w:t xml:space="preserve"> w Wykazie prac legislacyjnych i programowych Rady Ministrów).</w:t>
      </w:r>
    </w:p>
    <w:p w14:paraId="33FB369F" w14:textId="77777777" w:rsidR="00E11A03" w:rsidRPr="00E11A03" w:rsidRDefault="00E11A03" w:rsidP="00E11A03">
      <w:pPr>
        <w:spacing w:after="0"/>
        <w:jc w:val="both"/>
        <w:rPr>
          <w:rFonts w:ascii="Arial" w:hAnsi="Arial" w:cs="Arial"/>
        </w:rPr>
      </w:pPr>
    </w:p>
    <w:p w14:paraId="61C6039F" w14:textId="476B3FFD" w:rsidR="000A0C11" w:rsidRPr="00042C7F" w:rsidRDefault="00E11A03" w:rsidP="00E11A03">
      <w:pPr>
        <w:spacing w:after="0"/>
        <w:jc w:val="both"/>
        <w:rPr>
          <w:rFonts w:ascii="Arial" w:hAnsi="Arial" w:cs="Arial"/>
        </w:rPr>
      </w:pPr>
      <w:r w:rsidRPr="00E11A03">
        <w:rPr>
          <w:rFonts w:ascii="Arial" w:hAnsi="Arial" w:cs="Arial"/>
        </w:rPr>
        <w:t>Przedmiotowe stanowisko zostało przesłane do Ministerstwa Klimatu i Środowiska oraz reprezentatywnych organizacji pracodawców, z którymi Związek Pracodawców Polska Miedź współpracuje.</w:t>
      </w:r>
    </w:p>
    <w:p w14:paraId="0485CEDF" w14:textId="77777777" w:rsidR="000A0C11" w:rsidRPr="00CC391D" w:rsidRDefault="000A0C11" w:rsidP="00E11A03">
      <w:pPr>
        <w:spacing w:after="0"/>
        <w:jc w:val="both"/>
        <w:rPr>
          <w:rFonts w:ascii="Arial" w:hAnsi="Arial" w:cs="Arial"/>
          <w:bCs/>
        </w:rPr>
      </w:pPr>
    </w:p>
    <w:p w14:paraId="1C5DE7E7" w14:textId="77777777" w:rsidR="000A0C11" w:rsidRPr="00CB4A6E" w:rsidRDefault="000A0C11" w:rsidP="00E11A03">
      <w:pPr>
        <w:spacing w:after="0"/>
        <w:jc w:val="both"/>
        <w:rPr>
          <w:rFonts w:ascii="Arial" w:hAnsi="Arial" w:cs="Arial"/>
        </w:rPr>
      </w:pPr>
    </w:p>
    <w:p w14:paraId="599646CF" w14:textId="23980472" w:rsidR="000A0C11" w:rsidRDefault="000A0C11" w:rsidP="000A0C11">
      <w:pPr>
        <w:spacing w:after="0"/>
        <w:jc w:val="both"/>
        <w:rPr>
          <w:rFonts w:ascii="Arial" w:hAnsi="Arial" w:cs="Arial"/>
          <w:b/>
        </w:rPr>
      </w:pPr>
      <w:r>
        <w:rPr>
          <w:rFonts w:ascii="Arial" w:hAnsi="Arial" w:cs="Arial"/>
          <w:b/>
        </w:rPr>
        <w:t>II</w:t>
      </w:r>
      <w:r w:rsidR="00E11A03">
        <w:rPr>
          <w:rFonts w:ascii="Arial" w:hAnsi="Arial" w:cs="Arial"/>
          <w:b/>
        </w:rPr>
        <w:t>I</w:t>
      </w:r>
      <w:r>
        <w:rPr>
          <w:rFonts w:ascii="Arial" w:hAnsi="Arial" w:cs="Arial"/>
          <w:b/>
        </w:rPr>
        <w:t>. Ogłoszone akty prawne (Dziennik Ustaw RP)</w:t>
      </w:r>
    </w:p>
    <w:p w14:paraId="75274E62" w14:textId="77777777" w:rsidR="000A0C11" w:rsidRDefault="000A0C11" w:rsidP="000A0C11">
      <w:pPr>
        <w:spacing w:after="0"/>
        <w:jc w:val="both"/>
        <w:rPr>
          <w:rFonts w:ascii="Arial" w:hAnsi="Arial" w:cs="Arial"/>
        </w:rPr>
      </w:pPr>
    </w:p>
    <w:p w14:paraId="7FF707F9" w14:textId="1EBFA560" w:rsidR="000A0C11" w:rsidRDefault="000A0C11" w:rsidP="000A0C11">
      <w:pPr>
        <w:spacing w:after="0"/>
        <w:jc w:val="both"/>
        <w:rPr>
          <w:rFonts w:ascii="Arial" w:hAnsi="Arial" w:cs="Arial"/>
        </w:rPr>
      </w:pPr>
      <w:r>
        <w:rPr>
          <w:rFonts w:ascii="Arial" w:hAnsi="Arial" w:cs="Arial"/>
        </w:rPr>
        <w:t xml:space="preserve">W analizowanym okresie opublikowano </w:t>
      </w:r>
      <w:r w:rsidR="00001830">
        <w:rPr>
          <w:rFonts w:ascii="Arial" w:hAnsi="Arial" w:cs="Arial"/>
        </w:rPr>
        <w:t>27</w:t>
      </w:r>
      <w:r>
        <w:rPr>
          <w:rFonts w:ascii="Arial" w:hAnsi="Arial" w:cs="Arial"/>
        </w:rPr>
        <w:t xml:space="preserve"> akt</w:t>
      </w:r>
      <w:r w:rsidR="00001830">
        <w:rPr>
          <w:rFonts w:ascii="Arial" w:hAnsi="Arial" w:cs="Arial"/>
        </w:rPr>
        <w:t>ów</w:t>
      </w:r>
      <w:r>
        <w:rPr>
          <w:rFonts w:ascii="Arial" w:hAnsi="Arial" w:cs="Arial"/>
        </w:rPr>
        <w:t xml:space="preserve"> prawn</w:t>
      </w:r>
      <w:r w:rsidR="00001830">
        <w:rPr>
          <w:rFonts w:ascii="Arial" w:hAnsi="Arial" w:cs="Arial"/>
        </w:rPr>
        <w:t>ych</w:t>
      </w:r>
      <w:r>
        <w:rPr>
          <w:rFonts w:ascii="Arial" w:hAnsi="Arial" w:cs="Arial"/>
        </w:rPr>
        <w:t>, tzn. ustaw, rozporządze</w:t>
      </w:r>
      <w:r w:rsidR="00001830">
        <w:rPr>
          <w:rFonts w:ascii="Arial" w:hAnsi="Arial" w:cs="Arial"/>
        </w:rPr>
        <w:t>ń</w:t>
      </w:r>
      <w:r>
        <w:rPr>
          <w:rFonts w:ascii="Arial" w:hAnsi="Arial" w:cs="Arial"/>
        </w:rPr>
        <w:t xml:space="preserve"> Rady Ministrów, Prezesa Rady Ministrów i poszczególnych ministrów, obwieszcze</w:t>
      </w:r>
      <w:r w:rsidR="00001830">
        <w:rPr>
          <w:rFonts w:ascii="Arial" w:hAnsi="Arial" w:cs="Arial"/>
        </w:rPr>
        <w:t>ń</w:t>
      </w:r>
      <w:r>
        <w:rPr>
          <w:rFonts w:ascii="Arial" w:hAnsi="Arial" w:cs="Arial"/>
        </w:rPr>
        <w:t xml:space="preserve"> w sprawie ogłoszenia tekstu jednolitego. Z powyższych publikacji w zainteresowaniu pracodawców i przedsiębiorców znaleźć się mogą następujące akty prawne:</w:t>
      </w:r>
    </w:p>
    <w:p w14:paraId="42F9DDC2" w14:textId="77777777" w:rsidR="000A0C11" w:rsidRDefault="000A0C11" w:rsidP="000A0C11">
      <w:pPr>
        <w:spacing w:after="0"/>
        <w:jc w:val="both"/>
        <w:rPr>
          <w:rFonts w:ascii="Arial" w:hAnsi="Arial" w:cs="Arial"/>
        </w:rPr>
      </w:pPr>
    </w:p>
    <w:p w14:paraId="06BD3086" w14:textId="29D6DE02" w:rsidR="000A0C11" w:rsidRPr="00001830" w:rsidRDefault="000A0C11" w:rsidP="000A0C11">
      <w:pPr>
        <w:pStyle w:val="Akapitzlist"/>
        <w:numPr>
          <w:ilvl w:val="0"/>
          <w:numId w:val="2"/>
        </w:numPr>
        <w:spacing w:after="0"/>
        <w:ind w:left="426" w:hanging="426"/>
        <w:jc w:val="both"/>
        <w:rPr>
          <w:rFonts w:ascii="Arial" w:hAnsi="Arial" w:cs="Arial"/>
          <w:b/>
          <w:bCs/>
          <w:u w:val="single"/>
        </w:rPr>
      </w:pPr>
      <w:r w:rsidRPr="00001830">
        <w:rPr>
          <w:rFonts w:ascii="Arial" w:hAnsi="Arial" w:cs="Arial"/>
          <w:b/>
          <w:bCs/>
          <w:u w:val="single"/>
        </w:rPr>
        <w:t>Ustawa</w:t>
      </w:r>
      <w:r w:rsidR="00001830" w:rsidRPr="00001830">
        <w:rPr>
          <w:rFonts w:ascii="Arial" w:hAnsi="Arial" w:cs="Arial"/>
          <w:b/>
          <w:bCs/>
          <w:u w:val="single"/>
        </w:rPr>
        <w:t xml:space="preserve"> z dnia 24 kwietnia 2025 r. o zmianie ustawy o cudzoziemcach oraz niektórych innych ustaw</w:t>
      </w:r>
      <w:r w:rsidR="00001830">
        <w:rPr>
          <w:rFonts w:ascii="Arial" w:hAnsi="Arial" w:cs="Arial"/>
          <w:b/>
          <w:bCs/>
          <w:u w:val="single"/>
        </w:rPr>
        <w:t>.</w:t>
      </w:r>
    </w:p>
    <w:p w14:paraId="03FA1462" w14:textId="77777777" w:rsidR="00001830" w:rsidRDefault="00001830" w:rsidP="00001830">
      <w:pPr>
        <w:spacing w:after="0"/>
        <w:jc w:val="both"/>
        <w:rPr>
          <w:rFonts w:ascii="Arial" w:eastAsia="Times New Roman" w:hAnsi="Arial" w:cs="Arial"/>
          <w:lang w:eastAsia="pl-PL"/>
        </w:rPr>
      </w:pPr>
    </w:p>
    <w:p w14:paraId="22FB3E60" w14:textId="3F780F94" w:rsidR="000A0C11" w:rsidRPr="00001830" w:rsidRDefault="000A0C11" w:rsidP="00001830">
      <w:pPr>
        <w:spacing w:after="0"/>
        <w:jc w:val="both"/>
        <w:rPr>
          <w:rFonts w:ascii="Arial" w:eastAsia="Times New Roman" w:hAnsi="Arial" w:cs="Arial"/>
          <w:lang w:eastAsia="pl-PL"/>
        </w:rPr>
      </w:pPr>
      <w:r w:rsidRPr="00001830">
        <w:rPr>
          <w:rFonts w:ascii="Arial" w:eastAsia="Times New Roman" w:hAnsi="Arial" w:cs="Arial"/>
          <w:lang w:eastAsia="pl-PL"/>
        </w:rPr>
        <w:t xml:space="preserve">Powyższy akt prawny opublikowany został </w:t>
      </w:r>
      <w:r w:rsidR="00001830">
        <w:rPr>
          <w:rFonts w:ascii="Arial" w:eastAsia="Times New Roman" w:hAnsi="Arial" w:cs="Arial"/>
          <w:lang w:eastAsia="pl-PL"/>
        </w:rPr>
        <w:t>12 maja</w:t>
      </w:r>
      <w:r w:rsidRPr="00001830">
        <w:rPr>
          <w:rFonts w:ascii="Arial" w:eastAsia="Times New Roman" w:hAnsi="Arial" w:cs="Arial"/>
          <w:lang w:eastAsia="pl-PL"/>
        </w:rPr>
        <w:t xml:space="preserve"> 20</w:t>
      </w:r>
      <w:r w:rsidR="00001830">
        <w:rPr>
          <w:rFonts w:ascii="Arial" w:eastAsia="Times New Roman" w:hAnsi="Arial" w:cs="Arial"/>
          <w:lang w:eastAsia="pl-PL"/>
        </w:rPr>
        <w:t>25</w:t>
      </w:r>
      <w:r w:rsidRPr="00001830">
        <w:rPr>
          <w:rFonts w:ascii="Arial" w:eastAsia="Times New Roman" w:hAnsi="Arial" w:cs="Arial"/>
          <w:lang w:eastAsia="pl-PL"/>
        </w:rPr>
        <w:t xml:space="preserve"> roku w Dzienniku Ustaw (Dz.U. z 202</w:t>
      </w:r>
      <w:r w:rsidR="00001830">
        <w:rPr>
          <w:rFonts w:ascii="Arial" w:eastAsia="Times New Roman" w:hAnsi="Arial" w:cs="Arial"/>
          <w:lang w:eastAsia="pl-PL"/>
        </w:rPr>
        <w:t>5</w:t>
      </w:r>
      <w:r w:rsidRPr="00001830">
        <w:rPr>
          <w:rFonts w:ascii="Arial" w:eastAsia="Times New Roman" w:hAnsi="Arial" w:cs="Arial"/>
          <w:lang w:eastAsia="pl-PL"/>
        </w:rPr>
        <w:t xml:space="preserve">, poz. </w:t>
      </w:r>
      <w:r w:rsidR="00001830">
        <w:rPr>
          <w:rFonts w:ascii="Arial" w:eastAsia="Times New Roman" w:hAnsi="Arial" w:cs="Arial"/>
          <w:lang w:eastAsia="pl-PL"/>
        </w:rPr>
        <w:t>619</w:t>
      </w:r>
      <w:r w:rsidRPr="00001830">
        <w:rPr>
          <w:rFonts w:ascii="Arial" w:eastAsia="Times New Roman" w:hAnsi="Arial" w:cs="Arial"/>
          <w:lang w:eastAsia="pl-PL"/>
        </w:rPr>
        <w:t>).</w:t>
      </w:r>
    </w:p>
    <w:p w14:paraId="3F84F1D6" w14:textId="77777777" w:rsidR="00001830" w:rsidRDefault="00001830" w:rsidP="00001830">
      <w:pPr>
        <w:spacing w:after="0"/>
        <w:jc w:val="both"/>
        <w:rPr>
          <w:rFonts w:ascii="Arial" w:eastAsia="Times New Roman" w:hAnsi="Arial" w:cs="Arial"/>
          <w:lang w:eastAsia="pl-PL"/>
        </w:rPr>
      </w:pPr>
    </w:p>
    <w:p w14:paraId="05F7D8C3" w14:textId="77BCE2EE" w:rsidR="00001830" w:rsidRPr="00001830" w:rsidRDefault="00001830" w:rsidP="00001830">
      <w:pPr>
        <w:spacing w:after="0"/>
        <w:jc w:val="both"/>
        <w:rPr>
          <w:rFonts w:ascii="Arial" w:eastAsia="Times New Roman" w:hAnsi="Arial" w:cs="Arial"/>
          <w:lang w:eastAsia="pl-PL"/>
        </w:rPr>
      </w:pPr>
      <w:r w:rsidRPr="00001830">
        <w:rPr>
          <w:rFonts w:ascii="Arial" w:eastAsia="Times New Roman" w:hAnsi="Arial" w:cs="Arial"/>
          <w:lang w:eastAsia="pl-PL"/>
        </w:rPr>
        <w:t>Ustawa z dnia 24 kwietnia 2025 r. o zmianie ustawy o cudzoziemcach oraz niektórych</w:t>
      </w:r>
      <w:r>
        <w:rPr>
          <w:rFonts w:ascii="Arial" w:eastAsia="Times New Roman" w:hAnsi="Arial" w:cs="Arial"/>
          <w:lang w:eastAsia="pl-PL"/>
        </w:rPr>
        <w:t xml:space="preserve"> </w:t>
      </w:r>
      <w:r w:rsidRPr="00001830">
        <w:rPr>
          <w:rFonts w:ascii="Arial" w:eastAsia="Times New Roman" w:hAnsi="Arial" w:cs="Arial"/>
          <w:lang w:eastAsia="pl-PL"/>
        </w:rPr>
        <w:t>innych ustaw ma na celu:</w:t>
      </w:r>
    </w:p>
    <w:p w14:paraId="4C643109" w14:textId="2731A10A" w:rsidR="00001830" w:rsidRPr="00001830" w:rsidRDefault="00001830" w:rsidP="00001830">
      <w:pPr>
        <w:spacing w:after="0"/>
        <w:jc w:val="both"/>
        <w:rPr>
          <w:rFonts w:ascii="Arial" w:eastAsia="Times New Roman" w:hAnsi="Arial" w:cs="Arial"/>
          <w:lang w:eastAsia="pl-PL"/>
        </w:rPr>
      </w:pPr>
      <w:r w:rsidRPr="00001830">
        <w:rPr>
          <w:rFonts w:ascii="Arial" w:eastAsia="Times New Roman" w:hAnsi="Arial" w:cs="Arial"/>
          <w:lang w:eastAsia="pl-PL"/>
        </w:rPr>
        <w:t>1) wdrożenie do polskiego prawa przepisów dyrektywy Parlamentu Europejskiego</w:t>
      </w:r>
      <w:r>
        <w:rPr>
          <w:rFonts w:ascii="Arial" w:eastAsia="Times New Roman" w:hAnsi="Arial" w:cs="Arial"/>
          <w:lang w:eastAsia="pl-PL"/>
        </w:rPr>
        <w:t xml:space="preserve"> </w:t>
      </w:r>
      <w:r w:rsidRPr="00001830">
        <w:rPr>
          <w:rFonts w:ascii="Arial" w:eastAsia="Times New Roman" w:hAnsi="Arial" w:cs="Arial"/>
          <w:lang w:eastAsia="pl-PL"/>
        </w:rPr>
        <w:t>i Rady (UE) 2021/1883 z dnia 20 października 2021 r. w sprawie warunków wjazdu i</w:t>
      </w:r>
      <w:r>
        <w:rPr>
          <w:rFonts w:ascii="Arial" w:eastAsia="Times New Roman" w:hAnsi="Arial" w:cs="Arial"/>
          <w:lang w:eastAsia="pl-PL"/>
        </w:rPr>
        <w:t xml:space="preserve"> </w:t>
      </w:r>
      <w:r w:rsidRPr="00001830">
        <w:rPr>
          <w:rFonts w:ascii="Arial" w:eastAsia="Times New Roman" w:hAnsi="Arial" w:cs="Arial"/>
          <w:lang w:eastAsia="pl-PL"/>
        </w:rPr>
        <w:t>pobytu obywateli państw trzecich w celu zatrudnienia w zawodzie wymagającym</w:t>
      </w:r>
      <w:r>
        <w:rPr>
          <w:rFonts w:ascii="Arial" w:eastAsia="Times New Roman" w:hAnsi="Arial" w:cs="Arial"/>
          <w:lang w:eastAsia="pl-PL"/>
        </w:rPr>
        <w:t xml:space="preserve"> </w:t>
      </w:r>
      <w:r w:rsidRPr="00001830">
        <w:rPr>
          <w:rFonts w:ascii="Arial" w:eastAsia="Times New Roman" w:hAnsi="Arial" w:cs="Arial"/>
          <w:lang w:eastAsia="pl-PL"/>
        </w:rPr>
        <w:t>wysokich kwalifikacji oraz uchylenia dyrektywy Rady 2009/50/WE (Dz. Urz. UE L</w:t>
      </w:r>
      <w:r>
        <w:rPr>
          <w:rFonts w:ascii="Arial" w:eastAsia="Times New Roman" w:hAnsi="Arial" w:cs="Arial"/>
          <w:lang w:eastAsia="pl-PL"/>
        </w:rPr>
        <w:t xml:space="preserve"> </w:t>
      </w:r>
      <w:r w:rsidRPr="00001830">
        <w:rPr>
          <w:rFonts w:ascii="Arial" w:eastAsia="Times New Roman" w:hAnsi="Arial" w:cs="Arial"/>
          <w:lang w:eastAsia="pl-PL"/>
        </w:rPr>
        <w:t>382/1 z 28.10.2021, str. 1), zwanej dalej „dyrektywą 2021/1883”;</w:t>
      </w:r>
    </w:p>
    <w:p w14:paraId="6AE78F71" w14:textId="71C8CB48" w:rsidR="00001830" w:rsidRPr="00001830" w:rsidRDefault="00001830" w:rsidP="00001830">
      <w:pPr>
        <w:spacing w:after="0"/>
        <w:jc w:val="both"/>
        <w:rPr>
          <w:rFonts w:ascii="Arial" w:eastAsia="Times New Roman" w:hAnsi="Arial" w:cs="Arial"/>
          <w:lang w:eastAsia="pl-PL"/>
        </w:rPr>
      </w:pPr>
      <w:r w:rsidRPr="00001830">
        <w:rPr>
          <w:rFonts w:ascii="Arial" w:eastAsia="Times New Roman" w:hAnsi="Arial" w:cs="Arial"/>
          <w:lang w:eastAsia="pl-PL"/>
        </w:rPr>
        <w:t>2) wdrożenie wyroków Trybunału Sprawiedliwości Unii Europejskiej z dnia 12 listopada</w:t>
      </w:r>
      <w:r>
        <w:rPr>
          <w:rFonts w:ascii="Arial" w:eastAsia="Times New Roman" w:hAnsi="Arial" w:cs="Arial"/>
          <w:lang w:eastAsia="pl-PL"/>
        </w:rPr>
        <w:t xml:space="preserve"> </w:t>
      </w:r>
      <w:r w:rsidRPr="00001830">
        <w:rPr>
          <w:rFonts w:ascii="Arial" w:eastAsia="Times New Roman" w:hAnsi="Arial" w:cs="Arial"/>
          <w:lang w:eastAsia="pl-PL"/>
        </w:rPr>
        <w:t xml:space="preserve">2018 r. w sprawie C-233/18 </w:t>
      </w:r>
      <w:proofErr w:type="spellStart"/>
      <w:r w:rsidRPr="00001830">
        <w:rPr>
          <w:rFonts w:ascii="Arial" w:eastAsia="Times New Roman" w:hAnsi="Arial" w:cs="Arial"/>
          <w:lang w:eastAsia="pl-PL"/>
        </w:rPr>
        <w:t>Zubair</w:t>
      </w:r>
      <w:proofErr w:type="spellEnd"/>
      <w:r w:rsidRPr="00001830">
        <w:rPr>
          <w:rFonts w:ascii="Arial" w:eastAsia="Times New Roman" w:hAnsi="Arial" w:cs="Arial"/>
          <w:lang w:eastAsia="pl-PL"/>
        </w:rPr>
        <w:t xml:space="preserve"> </w:t>
      </w:r>
      <w:proofErr w:type="spellStart"/>
      <w:r w:rsidRPr="00001830">
        <w:rPr>
          <w:rFonts w:ascii="Arial" w:eastAsia="Times New Roman" w:hAnsi="Arial" w:cs="Arial"/>
          <w:lang w:eastAsia="pl-PL"/>
        </w:rPr>
        <w:t>Haqbin</w:t>
      </w:r>
      <w:proofErr w:type="spellEnd"/>
      <w:r w:rsidRPr="00001830">
        <w:rPr>
          <w:rFonts w:ascii="Arial" w:eastAsia="Times New Roman" w:hAnsi="Arial" w:cs="Arial"/>
          <w:lang w:eastAsia="pl-PL"/>
        </w:rPr>
        <w:t xml:space="preserve"> przeciwko </w:t>
      </w:r>
      <w:proofErr w:type="spellStart"/>
      <w:r w:rsidRPr="00001830">
        <w:rPr>
          <w:rFonts w:ascii="Arial" w:eastAsia="Times New Roman" w:hAnsi="Arial" w:cs="Arial"/>
          <w:lang w:eastAsia="pl-PL"/>
        </w:rPr>
        <w:t>Federaal</w:t>
      </w:r>
      <w:proofErr w:type="spellEnd"/>
      <w:r w:rsidRPr="00001830">
        <w:rPr>
          <w:rFonts w:ascii="Arial" w:eastAsia="Times New Roman" w:hAnsi="Arial" w:cs="Arial"/>
          <w:lang w:eastAsia="pl-PL"/>
        </w:rPr>
        <w:t xml:space="preserve"> </w:t>
      </w:r>
      <w:proofErr w:type="spellStart"/>
      <w:r w:rsidRPr="00001830">
        <w:rPr>
          <w:rFonts w:ascii="Arial" w:eastAsia="Times New Roman" w:hAnsi="Arial" w:cs="Arial"/>
          <w:lang w:eastAsia="pl-PL"/>
        </w:rPr>
        <w:t>Agentschap</w:t>
      </w:r>
      <w:proofErr w:type="spellEnd"/>
      <w:r w:rsidRPr="00001830">
        <w:rPr>
          <w:rFonts w:ascii="Arial" w:eastAsia="Times New Roman" w:hAnsi="Arial" w:cs="Arial"/>
          <w:lang w:eastAsia="pl-PL"/>
        </w:rPr>
        <w:t xml:space="preserve"> </w:t>
      </w:r>
      <w:proofErr w:type="spellStart"/>
      <w:r w:rsidRPr="00001830">
        <w:rPr>
          <w:rFonts w:ascii="Arial" w:eastAsia="Times New Roman" w:hAnsi="Arial" w:cs="Arial"/>
          <w:lang w:eastAsia="pl-PL"/>
        </w:rPr>
        <w:t>voor</w:t>
      </w:r>
      <w:proofErr w:type="spellEnd"/>
      <w:r w:rsidRPr="00001830">
        <w:rPr>
          <w:rFonts w:ascii="Arial" w:eastAsia="Times New Roman" w:hAnsi="Arial" w:cs="Arial"/>
          <w:lang w:eastAsia="pl-PL"/>
        </w:rPr>
        <w:t xml:space="preserve"> de</w:t>
      </w:r>
      <w:r>
        <w:rPr>
          <w:rFonts w:ascii="Arial" w:eastAsia="Times New Roman" w:hAnsi="Arial" w:cs="Arial"/>
          <w:lang w:eastAsia="pl-PL"/>
        </w:rPr>
        <w:t xml:space="preserve"> </w:t>
      </w:r>
      <w:proofErr w:type="spellStart"/>
      <w:r w:rsidRPr="00001830">
        <w:rPr>
          <w:rFonts w:ascii="Arial" w:eastAsia="Times New Roman" w:hAnsi="Arial" w:cs="Arial"/>
          <w:lang w:eastAsia="pl-PL"/>
        </w:rPr>
        <w:t>opvang</w:t>
      </w:r>
      <w:proofErr w:type="spellEnd"/>
      <w:r w:rsidRPr="00001830">
        <w:rPr>
          <w:rFonts w:ascii="Arial" w:eastAsia="Times New Roman" w:hAnsi="Arial" w:cs="Arial"/>
          <w:lang w:eastAsia="pl-PL"/>
        </w:rPr>
        <w:t xml:space="preserve"> van </w:t>
      </w:r>
      <w:proofErr w:type="spellStart"/>
      <w:r w:rsidRPr="00001830">
        <w:rPr>
          <w:rFonts w:ascii="Arial" w:eastAsia="Times New Roman" w:hAnsi="Arial" w:cs="Arial"/>
          <w:lang w:eastAsia="pl-PL"/>
        </w:rPr>
        <w:t>asielzoekers</w:t>
      </w:r>
      <w:proofErr w:type="spellEnd"/>
      <w:r w:rsidRPr="00001830">
        <w:rPr>
          <w:rFonts w:ascii="Arial" w:eastAsia="Times New Roman" w:hAnsi="Arial" w:cs="Arial"/>
          <w:lang w:eastAsia="pl-PL"/>
        </w:rPr>
        <w:t xml:space="preserve">, z dnia 1 sierpnia 2022 r. w sprawie C-422/21 </w:t>
      </w:r>
      <w:proofErr w:type="spellStart"/>
      <w:r w:rsidRPr="00001830">
        <w:rPr>
          <w:rFonts w:ascii="Arial" w:eastAsia="Times New Roman" w:hAnsi="Arial" w:cs="Arial"/>
          <w:lang w:eastAsia="pl-PL"/>
        </w:rPr>
        <w:t>Ministero</w:t>
      </w:r>
      <w:proofErr w:type="spellEnd"/>
      <w:r>
        <w:rPr>
          <w:rFonts w:ascii="Arial" w:eastAsia="Times New Roman" w:hAnsi="Arial" w:cs="Arial"/>
          <w:lang w:eastAsia="pl-PL"/>
        </w:rPr>
        <w:t xml:space="preserve"> </w:t>
      </w:r>
      <w:proofErr w:type="spellStart"/>
      <w:r w:rsidRPr="00001830">
        <w:rPr>
          <w:rFonts w:ascii="Arial" w:eastAsia="Times New Roman" w:hAnsi="Arial" w:cs="Arial"/>
          <w:lang w:eastAsia="pl-PL"/>
        </w:rPr>
        <w:t>dell’Interno</w:t>
      </w:r>
      <w:proofErr w:type="spellEnd"/>
      <w:r w:rsidRPr="00001830">
        <w:rPr>
          <w:rFonts w:ascii="Arial" w:eastAsia="Times New Roman" w:hAnsi="Arial" w:cs="Arial"/>
          <w:lang w:eastAsia="pl-PL"/>
        </w:rPr>
        <w:t xml:space="preserve"> przeciwko T.O., z dnia 17 grudnia 2020 r. w sprawie C-710/19 G. M. A.</w:t>
      </w:r>
      <w:r>
        <w:rPr>
          <w:rFonts w:ascii="Arial" w:eastAsia="Times New Roman" w:hAnsi="Arial" w:cs="Arial"/>
          <w:lang w:eastAsia="pl-PL"/>
        </w:rPr>
        <w:t xml:space="preserve"> </w:t>
      </w:r>
      <w:r w:rsidRPr="00001830">
        <w:rPr>
          <w:rFonts w:ascii="Arial" w:eastAsia="Times New Roman" w:hAnsi="Arial" w:cs="Arial"/>
          <w:lang w:eastAsia="pl-PL"/>
        </w:rPr>
        <w:t xml:space="preserve">przeciwko </w:t>
      </w:r>
      <w:proofErr w:type="spellStart"/>
      <w:r w:rsidRPr="00001830">
        <w:rPr>
          <w:rFonts w:ascii="Arial" w:eastAsia="Times New Roman" w:hAnsi="Arial" w:cs="Arial"/>
          <w:lang w:eastAsia="pl-PL"/>
        </w:rPr>
        <w:t>État</w:t>
      </w:r>
      <w:proofErr w:type="spellEnd"/>
      <w:r w:rsidRPr="00001830">
        <w:rPr>
          <w:rFonts w:ascii="Arial" w:eastAsia="Times New Roman" w:hAnsi="Arial" w:cs="Arial"/>
          <w:lang w:eastAsia="pl-PL"/>
        </w:rPr>
        <w:t xml:space="preserve"> </w:t>
      </w:r>
      <w:proofErr w:type="spellStart"/>
      <w:r w:rsidRPr="00001830">
        <w:rPr>
          <w:rFonts w:ascii="Arial" w:eastAsia="Times New Roman" w:hAnsi="Arial" w:cs="Arial"/>
          <w:lang w:eastAsia="pl-PL"/>
        </w:rPr>
        <w:t>belge</w:t>
      </w:r>
      <w:proofErr w:type="spellEnd"/>
      <w:r w:rsidRPr="00001830">
        <w:rPr>
          <w:rFonts w:ascii="Arial" w:eastAsia="Times New Roman" w:hAnsi="Arial" w:cs="Arial"/>
          <w:lang w:eastAsia="pl-PL"/>
        </w:rPr>
        <w:t xml:space="preserve">, z dnia 1 sierpnia 2022 r. w sprawie C-279/20 </w:t>
      </w:r>
      <w:proofErr w:type="spellStart"/>
      <w:r w:rsidRPr="00001830">
        <w:rPr>
          <w:rFonts w:ascii="Arial" w:eastAsia="Times New Roman" w:hAnsi="Arial" w:cs="Arial"/>
          <w:lang w:eastAsia="pl-PL"/>
        </w:rPr>
        <w:t>Bundesrepublik</w:t>
      </w:r>
      <w:proofErr w:type="spellEnd"/>
      <w:r>
        <w:rPr>
          <w:rFonts w:ascii="Arial" w:eastAsia="Times New Roman" w:hAnsi="Arial" w:cs="Arial"/>
          <w:lang w:eastAsia="pl-PL"/>
        </w:rPr>
        <w:t xml:space="preserve"> </w:t>
      </w:r>
      <w:proofErr w:type="spellStart"/>
      <w:r w:rsidRPr="00001830">
        <w:rPr>
          <w:rFonts w:ascii="Arial" w:eastAsia="Times New Roman" w:hAnsi="Arial" w:cs="Arial"/>
          <w:lang w:eastAsia="pl-PL"/>
        </w:rPr>
        <w:t>Deutschland</w:t>
      </w:r>
      <w:proofErr w:type="spellEnd"/>
      <w:r w:rsidRPr="00001830">
        <w:rPr>
          <w:rFonts w:ascii="Arial" w:eastAsia="Times New Roman" w:hAnsi="Arial" w:cs="Arial"/>
          <w:lang w:eastAsia="pl-PL"/>
        </w:rPr>
        <w:t xml:space="preserve"> przeciwko X.C., z dnia 22 czerwca 2023 r. w sprawie C-459/20</w:t>
      </w:r>
      <w:r>
        <w:rPr>
          <w:rFonts w:ascii="Arial" w:eastAsia="Times New Roman" w:hAnsi="Arial" w:cs="Arial"/>
          <w:lang w:eastAsia="pl-PL"/>
        </w:rPr>
        <w:t xml:space="preserve"> </w:t>
      </w:r>
      <w:proofErr w:type="spellStart"/>
      <w:r w:rsidRPr="00001830">
        <w:rPr>
          <w:rFonts w:ascii="Arial" w:eastAsia="Times New Roman" w:hAnsi="Arial" w:cs="Arial"/>
          <w:lang w:eastAsia="pl-PL"/>
        </w:rPr>
        <w:t>Staatssecretaris</w:t>
      </w:r>
      <w:proofErr w:type="spellEnd"/>
      <w:r w:rsidRPr="00001830">
        <w:rPr>
          <w:rFonts w:ascii="Arial" w:eastAsia="Times New Roman" w:hAnsi="Arial" w:cs="Arial"/>
          <w:lang w:eastAsia="pl-PL"/>
        </w:rPr>
        <w:t xml:space="preserve"> van </w:t>
      </w:r>
      <w:proofErr w:type="spellStart"/>
      <w:r w:rsidRPr="00001830">
        <w:rPr>
          <w:rFonts w:ascii="Arial" w:eastAsia="Times New Roman" w:hAnsi="Arial" w:cs="Arial"/>
          <w:lang w:eastAsia="pl-PL"/>
        </w:rPr>
        <w:t>Justitie</w:t>
      </w:r>
      <w:proofErr w:type="spellEnd"/>
      <w:r w:rsidRPr="00001830">
        <w:rPr>
          <w:rFonts w:ascii="Arial" w:eastAsia="Times New Roman" w:hAnsi="Arial" w:cs="Arial"/>
          <w:lang w:eastAsia="pl-PL"/>
        </w:rPr>
        <w:t xml:space="preserve"> en </w:t>
      </w:r>
      <w:proofErr w:type="spellStart"/>
      <w:r w:rsidRPr="00001830">
        <w:rPr>
          <w:rFonts w:ascii="Arial" w:eastAsia="Times New Roman" w:hAnsi="Arial" w:cs="Arial"/>
          <w:lang w:eastAsia="pl-PL"/>
        </w:rPr>
        <w:t>Veiligheid</w:t>
      </w:r>
      <w:proofErr w:type="spellEnd"/>
      <w:r w:rsidRPr="00001830">
        <w:rPr>
          <w:rFonts w:ascii="Arial" w:eastAsia="Times New Roman" w:hAnsi="Arial" w:cs="Arial"/>
          <w:lang w:eastAsia="pl-PL"/>
        </w:rPr>
        <w:t xml:space="preserve"> oraz z dnia 30 stycznia 2024 r. w sprawie C560/20 </w:t>
      </w:r>
      <w:proofErr w:type="spellStart"/>
      <w:r w:rsidRPr="00001830">
        <w:rPr>
          <w:rFonts w:ascii="Arial" w:eastAsia="Times New Roman" w:hAnsi="Arial" w:cs="Arial"/>
          <w:lang w:eastAsia="pl-PL"/>
        </w:rPr>
        <w:t>Landeshauptmann</w:t>
      </w:r>
      <w:proofErr w:type="spellEnd"/>
      <w:r w:rsidRPr="00001830">
        <w:rPr>
          <w:rFonts w:ascii="Arial" w:eastAsia="Times New Roman" w:hAnsi="Arial" w:cs="Arial"/>
          <w:lang w:eastAsia="pl-PL"/>
        </w:rPr>
        <w:t xml:space="preserve"> von Wien.</w:t>
      </w:r>
    </w:p>
    <w:p w14:paraId="789A56A1" w14:textId="301BE5CA" w:rsidR="00001830" w:rsidRPr="00001830" w:rsidRDefault="00001830" w:rsidP="00001830">
      <w:pPr>
        <w:spacing w:after="0"/>
        <w:jc w:val="both"/>
        <w:rPr>
          <w:rFonts w:ascii="Arial" w:eastAsia="Times New Roman" w:hAnsi="Arial" w:cs="Arial"/>
          <w:lang w:eastAsia="pl-PL"/>
        </w:rPr>
      </w:pPr>
      <w:r w:rsidRPr="00001830">
        <w:rPr>
          <w:rFonts w:ascii="Arial" w:eastAsia="Times New Roman" w:hAnsi="Arial" w:cs="Arial"/>
          <w:lang w:eastAsia="pl-PL"/>
        </w:rPr>
        <w:t>Implementacja dyrektywy 2021/1883 do polskiego porządku prawnego polega na</w:t>
      </w:r>
      <w:r w:rsidR="006C0F31">
        <w:rPr>
          <w:rFonts w:ascii="Arial" w:eastAsia="Times New Roman" w:hAnsi="Arial" w:cs="Arial"/>
          <w:lang w:eastAsia="pl-PL"/>
        </w:rPr>
        <w:t xml:space="preserve"> </w:t>
      </w:r>
      <w:r w:rsidRPr="00001830">
        <w:rPr>
          <w:rFonts w:ascii="Arial" w:eastAsia="Times New Roman" w:hAnsi="Arial" w:cs="Arial"/>
          <w:lang w:eastAsia="pl-PL"/>
        </w:rPr>
        <w:t>przyjęciu rozwiązań prawnych regulujących kwestie wjazdu, praw oraz udzielania zezwoleń</w:t>
      </w:r>
      <w:r w:rsidR="006C0F31">
        <w:rPr>
          <w:rFonts w:ascii="Arial" w:eastAsia="Times New Roman" w:hAnsi="Arial" w:cs="Arial"/>
          <w:lang w:eastAsia="pl-PL"/>
        </w:rPr>
        <w:t xml:space="preserve"> </w:t>
      </w:r>
      <w:r w:rsidRPr="00001830">
        <w:rPr>
          <w:rFonts w:ascii="Arial" w:eastAsia="Times New Roman" w:hAnsi="Arial" w:cs="Arial"/>
          <w:lang w:eastAsia="pl-PL"/>
        </w:rPr>
        <w:t>pobytowych obywatelom państw trzecich do celów zatrudnienia w zawodzie wymagającym</w:t>
      </w:r>
      <w:r w:rsidR="006C0F31">
        <w:rPr>
          <w:rFonts w:ascii="Arial" w:eastAsia="Times New Roman" w:hAnsi="Arial" w:cs="Arial"/>
          <w:lang w:eastAsia="pl-PL"/>
        </w:rPr>
        <w:t xml:space="preserve"> </w:t>
      </w:r>
      <w:r w:rsidRPr="00001830">
        <w:rPr>
          <w:rFonts w:ascii="Arial" w:eastAsia="Times New Roman" w:hAnsi="Arial" w:cs="Arial"/>
          <w:lang w:eastAsia="pl-PL"/>
        </w:rPr>
        <w:t>wysokich kwalifikacji – Niebieskiej Karty UE, a także określeniu warunków wjazdu i pobytu</w:t>
      </w:r>
      <w:r w:rsidR="006C0F31">
        <w:rPr>
          <w:rFonts w:ascii="Arial" w:eastAsia="Times New Roman" w:hAnsi="Arial" w:cs="Arial"/>
          <w:lang w:eastAsia="pl-PL"/>
        </w:rPr>
        <w:t xml:space="preserve"> </w:t>
      </w:r>
      <w:r w:rsidRPr="00001830">
        <w:rPr>
          <w:rFonts w:ascii="Arial" w:eastAsia="Times New Roman" w:hAnsi="Arial" w:cs="Arial"/>
          <w:lang w:eastAsia="pl-PL"/>
        </w:rPr>
        <w:t>oraz prawa członków ich rodzin. Ponadto implementacja powyżej dyrektywy ma na celu</w:t>
      </w:r>
      <w:r w:rsidR="006C0F31">
        <w:rPr>
          <w:rFonts w:ascii="Arial" w:eastAsia="Times New Roman" w:hAnsi="Arial" w:cs="Arial"/>
          <w:lang w:eastAsia="pl-PL"/>
        </w:rPr>
        <w:t xml:space="preserve"> </w:t>
      </w:r>
      <w:r w:rsidRPr="00001830">
        <w:rPr>
          <w:rFonts w:ascii="Arial" w:eastAsia="Times New Roman" w:hAnsi="Arial" w:cs="Arial"/>
          <w:lang w:eastAsia="pl-PL"/>
        </w:rPr>
        <w:t>uregulowanie kwestii związanych z możliwością skorzystania przez posiadacza Niebieskiej</w:t>
      </w:r>
      <w:r w:rsidR="006C0F31">
        <w:rPr>
          <w:rFonts w:ascii="Arial" w:eastAsia="Times New Roman" w:hAnsi="Arial" w:cs="Arial"/>
          <w:lang w:eastAsia="pl-PL"/>
        </w:rPr>
        <w:t xml:space="preserve"> </w:t>
      </w:r>
      <w:r w:rsidRPr="00001830">
        <w:rPr>
          <w:rFonts w:ascii="Arial" w:eastAsia="Times New Roman" w:hAnsi="Arial" w:cs="Arial"/>
          <w:lang w:eastAsia="pl-PL"/>
        </w:rPr>
        <w:t>Karty UE z mobilności krótkoterminowej oraz mobilności długoterminowej w innym</w:t>
      </w:r>
      <w:r w:rsidR="006C0F31">
        <w:rPr>
          <w:rFonts w:ascii="Arial" w:eastAsia="Times New Roman" w:hAnsi="Arial" w:cs="Arial"/>
          <w:lang w:eastAsia="pl-PL"/>
        </w:rPr>
        <w:t xml:space="preserve"> </w:t>
      </w:r>
      <w:r w:rsidRPr="00001830">
        <w:rPr>
          <w:rFonts w:ascii="Arial" w:eastAsia="Times New Roman" w:hAnsi="Arial" w:cs="Arial"/>
          <w:lang w:eastAsia="pl-PL"/>
        </w:rPr>
        <w:t>państwie członkowskim UE niż państwo, które jako pierwsze przyznało Niebieską Kartę UE,</w:t>
      </w:r>
      <w:r w:rsidR="006C0F31">
        <w:rPr>
          <w:rFonts w:ascii="Arial" w:eastAsia="Times New Roman" w:hAnsi="Arial" w:cs="Arial"/>
          <w:lang w:eastAsia="pl-PL"/>
        </w:rPr>
        <w:t xml:space="preserve"> </w:t>
      </w:r>
      <w:r w:rsidRPr="00001830">
        <w:rPr>
          <w:rFonts w:ascii="Arial" w:eastAsia="Times New Roman" w:hAnsi="Arial" w:cs="Arial"/>
          <w:lang w:eastAsia="pl-PL"/>
        </w:rPr>
        <w:t>oraz kwestii pobytu w innym państwie członkowskim członków rodziny posiadaczy</w:t>
      </w:r>
      <w:r w:rsidR="006C0F31">
        <w:rPr>
          <w:rFonts w:ascii="Arial" w:eastAsia="Times New Roman" w:hAnsi="Arial" w:cs="Arial"/>
          <w:lang w:eastAsia="pl-PL"/>
        </w:rPr>
        <w:t xml:space="preserve"> </w:t>
      </w:r>
      <w:r w:rsidRPr="00001830">
        <w:rPr>
          <w:rFonts w:ascii="Arial" w:eastAsia="Times New Roman" w:hAnsi="Arial" w:cs="Arial"/>
          <w:lang w:eastAsia="pl-PL"/>
        </w:rPr>
        <w:t>Niebieskiej Karty UE korzystających z mobilności.</w:t>
      </w:r>
    </w:p>
    <w:p w14:paraId="53FA4417" w14:textId="77777777" w:rsidR="00001830" w:rsidRPr="00001830" w:rsidRDefault="00001830" w:rsidP="00001830">
      <w:pPr>
        <w:spacing w:after="0"/>
        <w:jc w:val="both"/>
        <w:rPr>
          <w:rFonts w:ascii="Arial" w:eastAsia="Times New Roman" w:hAnsi="Arial" w:cs="Arial"/>
          <w:lang w:eastAsia="pl-PL"/>
        </w:rPr>
      </w:pPr>
      <w:r w:rsidRPr="00001830">
        <w:rPr>
          <w:rFonts w:ascii="Arial" w:eastAsia="Times New Roman" w:hAnsi="Arial" w:cs="Arial"/>
          <w:lang w:eastAsia="pl-PL"/>
        </w:rPr>
        <w:t>W związku z powyższym w ustawie z dnia 12 grudnia 2013 r. o cudzoziemcach:</w:t>
      </w:r>
    </w:p>
    <w:p w14:paraId="51A3A3C1" w14:textId="0D6510D0" w:rsidR="00001830" w:rsidRPr="00001830" w:rsidRDefault="00001830" w:rsidP="00001830">
      <w:pPr>
        <w:spacing w:after="0"/>
        <w:jc w:val="both"/>
        <w:rPr>
          <w:rFonts w:ascii="Arial" w:eastAsia="Times New Roman" w:hAnsi="Arial" w:cs="Arial"/>
          <w:lang w:eastAsia="pl-PL"/>
        </w:rPr>
      </w:pPr>
      <w:r w:rsidRPr="00001830">
        <w:rPr>
          <w:rFonts w:ascii="Arial" w:eastAsia="Times New Roman" w:hAnsi="Arial" w:cs="Arial"/>
          <w:lang w:eastAsia="pl-PL"/>
        </w:rPr>
        <w:t>1) dodano nowe definicje oraz zmodyfikowano istniejące, tj. zmieniono definicję „wyższych</w:t>
      </w:r>
      <w:r w:rsidR="006C0F31">
        <w:rPr>
          <w:rFonts w:ascii="Arial" w:eastAsia="Times New Roman" w:hAnsi="Arial" w:cs="Arial"/>
          <w:lang w:eastAsia="pl-PL"/>
        </w:rPr>
        <w:t xml:space="preserve"> </w:t>
      </w:r>
      <w:r w:rsidRPr="00001830">
        <w:rPr>
          <w:rFonts w:ascii="Arial" w:eastAsia="Times New Roman" w:hAnsi="Arial" w:cs="Arial"/>
          <w:lang w:eastAsia="pl-PL"/>
        </w:rPr>
        <w:t>kwalifikacji zawodowych” tak, aby objęła ona zarówno kwalifikacje uzyskane w wyniku</w:t>
      </w:r>
      <w:r w:rsidR="006C0F31">
        <w:rPr>
          <w:rFonts w:ascii="Arial" w:eastAsia="Times New Roman" w:hAnsi="Arial" w:cs="Arial"/>
          <w:lang w:eastAsia="pl-PL"/>
        </w:rPr>
        <w:t xml:space="preserve"> </w:t>
      </w:r>
      <w:r w:rsidRPr="00001830">
        <w:rPr>
          <w:rFonts w:ascii="Arial" w:eastAsia="Times New Roman" w:hAnsi="Arial" w:cs="Arial"/>
          <w:lang w:eastAsia="pl-PL"/>
        </w:rPr>
        <w:t>ukończenia studiów wyższych (pojęcie używane jest już w obowiązujących przepisach</w:t>
      </w:r>
      <w:r w:rsidR="006C0F31">
        <w:rPr>
          <w:rFonts w:ascii="Arial" w:eastAsia="Times New Roman" w:hAnsi="Arial" w:cs="Arial"/>
          <w:lang w:eastAsia="pl-PL"/>
        </w:rPr>
        <w:t xml:space="preserve"> </w:t>
      </w:r>
      <w:r w:rsidRPr="00001830">
        <w:rPr>
          <w:rFonts w:ascii="Arial" w:eastAsia="Times New Roman" w:hAnsi="Arial" w:cs="Arial"/>
          <w:lang w:eastAsia="pl-PL"/>
        </w:rPr>
        <w:t>ustawy), jak również kwalifikacje uzyskane w wyniku doświadczenia zawodowego.</w:t>
      </w:r>
      <w:r w:rsidR="006C0F31">
        <w:rPr>
          <w:rFonts w:ascii="Arial" w:eastAsia="Times New Roman" w:hAnsi="Arial" w:cs="Arial"/>
          <w:lang w:eastAsia="pl-PL"/>
        </w:rPr>
        <w:t xml:space="preserve"> </w:t>
      </w:r>
      <w:r w:rsidRPr="00001830">
        <w:rPr>
          <w:rFonts w:ascii="Arial" w:eastAsia="Times New Roman" w:hAnsi="Arial" w:cs="Arial"/>
          <w:lang w:eastAsia="pl-PL"/>
        </w:rPr>
        <w:t>Jednocześnie zdefiniowano pojęcie „kwalifikacji uzyskanych w wyniku doświadczenia</w:t>
      </w:r>
      <w:r w:rsidR="006C0F31">
        <w:rPr>
          <w:rFonts w:ascii="Arial" w:eastAsia="Times New Roman" w:hAnsi="Arial" w:cs="Arial"/>
          <w:lang w:eastAsia="pl-PL"/>
        </w:rPr>
        <w:t xml:space="preserve"> </w:t>
      </w:r>
      <w:r w:rsidRPr="00001830">
        <w:rPr>
          <w:rFonts w:ascii="Arial" w:eastAsia="Times New Roman" w:hAnsi="Arial" w:cs="Arial"/>
          <w:lang w:eastAsia="pl-PL"/>
        </w:rPr>
        <w:t>zawodowego”, odnosząc je do doświadczenia zawodowego na poziomie porównywalnym</w:t>
      </w:r>
      <w:r w:rsidR="006C0F31">
        <w:rPr>
          <w:rFonts w:ascii="Arial" w:eastAsia="Times New Roman" w:hAnsi="Arial" w:cs="Arial"/>
          <w:lang w:eastAsia="pl-PL"/>
        </w:rPr>
        <w:t xml:space="preserve"> </w:t>
      </w:r>
      <w:r w:rsidRPr="00001830">
        <w:rPr>
          <w:rFonts w:ascii="Arial" w:eastAsia="Times New Roman" w:hAnsi="Arial" w:cs="Arial"/>
          <w:lang w:eastAsia="pl-PL"/>
        </w:rPr>
        <w:t>z poziomem kwalifikacji uzyskanych po ukończeniu studiów wyższych odpowiednio</w:t>
      </w:r>
      <w:r w:rsidR="006C0F31">
        <w:rPr>
          <w:rFonts w:ascii="Arial" w:eastAsia="Times New Roman" w:hAnsi="Arial" w:cs="Arial"/>
          <w:lang w:eastAsia="pl-PL"/>
        </w:rPr>
        <w:t xml:space="preserve"> </w:t>
      </w:r>
      <w:r w:rsidRPr="00001830">
        <w:rPr>
          <w:rFonts w:ascii="Arial" w:eastAsia="Times New Roman" w:hAnsi="Arial" w:cs="Arial"/>
          <w:lang w:eastAsia="pl-PL"/>
        </w:rPr>
        <w:t>przez okres 3 lat – gdy cudzoziemiec wykonuje zawód określony w obwieszczeniu,</w:t>
      </w:r>
      <w:r w:rsidR="006C0F31">
        <w:rPr>
          <w:rFonts w:ascii="Arial" w:eastAsia="Times New Roman" w:hAnsi="Arial" w:cs="Arial"/>
          <w:lang w:eastAsia="pl-PL"/>
        </w:rPr>
        <w:t xml:space="preserve"> </w:t>
      </w:r>
      <w:r w:rsidRPr="00001830">
        <w:rPr>
          <w:rFonts w:ascii="Arial" w:eastAsia="Times New Roman" w:hAnsi="Arial" w:cs="Arial"/>
          <w:lang w:eastAsia="pl-PL"/>
        </w:rPr>
        <w:t>o którym mowa w art. 138a ustawy albo 5 lat – gdy cudzoziemiec wykonuje inny zawód</w:t>
      </w:r>
      <w:r w:rsidR="006C0F31">
        <w:rPr>
          <w:rFonts w:ascii="Arial" w:eastAsia="Times New Roman" w:hAnsi="Arial" w:cs="Arial"/>
          <w:lang w:eastAsia="pl-PL"/>
        </w:rPr>
        <w:t xml:space="preserve"> </w:t>
      </w:r>
      <w:r w:rsidRPr="00001830">
        <w:rPr>
          <w:rFonts w:ascii="Arial" w:eastAsia="Times New Roman" w:hAnsi="Arial" w:cs="Arial"/>
          <w:lang w:eastAsia="pl-PL"/>
        </w:rPr>
        <w:t>niż określony we wskazanym rozporządzeniu. Wprowadzono również definicję</w:t>
      </w:r>
      <w:r w:rsidR="006C0F31">
        <w:rPr>
          <w:rFonts w:ascii="Arial" w:eastAsia="Times New Roman" w:hAnsi="Arial" w:cs="Arial"/>
          <w:lang w:eastAsia="pl-PL"/>
        </w:rPr>
        <w:t xml:space="preserve"> </w:t>
      </w:r>
      <w:r w:rsidRPr="00001830">
        <w:rPr>
          <w:rFonts w:ascii="Arial" w:eastAsia="Times New Roman" w:hAnsi="Arial" w:cs="Arial"/>
          <w:lang w:eastAsia="pl-PL"/>
        </w:rPr>
        <w:t>„mobilności długoterminowej posiadacza Niebieskiej Karty UE”, przez którą należy</w:t>
      </w:r>
      <w:r w:rsidR="006C0F31">
        <w:rPr>
          <w:rFonts w:ascii="Arial" w:eastAsia="Times New Roman" w:hAnsi="Arial" w:cs="Arial"/>
          <w:lang w:eastAsia="pl-PL"/>
        </w:rPr>
        <w:t xml:space="preserve"> </w:t>
      </w:r>
      <w:r w:rsidRPr="00001830">
        <w:rPr>
          <w:rFonts w:ascii="Arial" w:eastAsia="Times New Roman" w:hAnsi="Arial" w:cs="Arial"/>
          <w:lang w:eastAsia="pl-PL"/>
        </w:rPr>
        <w:t>rozumieć mobilność posiadacza dokumentu pobytowego, o którym mowa w art. 1 ust. 2</w:t>
      </w:r>
      <w:r w:rsidR="006C0F31">
        <w:rPr>
          <w:rFonts w:ascii="Arial" w:eastAsia="Times New Roman" w:hAnsi="Arial" w:cs="Arial"/>
          <w:lang w:eastAsia="pl-PL"/>
        </w:rPr>
        <w:t xml:space="preserve"> </w:t>
      </w:r>
      <w:r w:rsidRPr="00001830">
        <w:rPr>
          <w:rFonts w:ascii="Arial" w:eastAsia="Times New Roman" w:hAnsi="Arial" w:cs="Arial"/>
          <w:lang w:eastAsia="pl-PL"/>
        </w:rPr>
        <w:t>lit. a rozporządzenia nr 1030/2002, z adnotacją „Niebieska Karta UE”, przez okres</w:t>
      </w:r>
      <w:r w:rsidR="006C0F31">
        <w:rPr>
          <w:rFonts w:ascii="Arial" w:eastAsia="Times New Roman" w:hAnsi="Arial" w:cs="Arial"/>
          <w:lang w:eastAsia="pl-PL"/>
        </w:rPr>
        <w:t xml:space="preserve"> </w:t>
      </w:r>
      <w:r w:rsidRPr="00001830">
        <w:rPr>
          <w:rFonts w:ascii="Arial" w:eastAsia="Times New Roman" w:hAnsi="Arial" w:cs="Arial"/>
          <w:lang w:eastAsia="pl-PL"/>
        </w:rPr>
        <w:t>przekraczający 90 dni w danym państwie członkowskim Unii Europejskiej oraz definicję</w:t>
      </w:r>
      <w:r w:rsidR="006C0F31">
        <w:rPr>
          <w:rFonts w:ascii="Arial" w:eastAsia="Times New Roman" w:hAnsi="Arial" w:cs="Arial"/>
          <w:lang w:eastAsia="pl-PL"/>
        </w:rPr>
        <w:t xml:space="preserve"> </w:t>
      </w:r>
      <w:r w:rsidRPr="00001830">
        <w:rPr>
          <w:rFonts w:ascii="Arial" w:eastAsia="Times New Roman" w:hAnsi="Arial" w:cs="Arial"/>
          <w:lang w:eastAsia="pl-PL"/>
        </w:rPr>
        <w:t>„mobilności krótkoterminowej posiadacza Niebieskiej Karty UE” przez którą należy</w:t>
      </w:r>
      <w:r w:rsidR="006C0F31">
        <w:rPr>
          <w:rFonts w:ascii="Arial" w:eastAsia="Times New Roman" w:hAnsi="Arial" w:cs="Arial"/>
          <w:lang w:eastAsia="pl-PL"/>
        </w:rPr>
        <w:t xml:space="preserve"> </w:t>
      </w:r>
      <w:r w:rsidRPr="00001830">
        <w:rPr>
          <w:rFonts w:ascii="Arial" w:eastAsia="Times New Roman" w:hAnsi="Arial" w:cs="Arial"/>
          <w:lang w:eastAsia="pl-PL"/>
        </w:rPr>
        <w:t>rozumieć mobilność posiadacza dokumentu pobytowego, o którym mowa w art. 1 ust. 2</w:t>
      </w:r>
      <w:r w:rsidR="006C0F31">
        <w:rPr>
          <w:rFonts w:ascii="Arial" w:eastAsia="Times New Roman" w:hAnsi="Arial" w:cs="Arial"/>
          <w:lang w:eastAsia="pl-PL"/>
        </w:rPr>
        <w:t xml:space="preserve"> </w:t>
      </w:r>
      <w:r w:rsidRPr="00001830">
        <w:rPr>
          <w:rFonts w:ascii="Arial" w:eastAsia="Times New Roman" w:hAnsi="Arial" w:cs="Arial"/>
          <w:lang w:eastAsia="pl-PL"/>
        </w:rPr>
        <w:t xml:space="preserve">lit. a rozporządzenia nr 1030/2002, z adnotacją „Niebieska Karta UE” lub z </w:t>
      </w:r>
      <w:r w:rsidRPr="00001830">
        <w:rPr>
          <w:rFonts w:ascii="Arial" w:eastAsia="Times New Roman" w:hAnsi="Arial" w:cs="Arial"/>
          <w:lang w:eastAsia="pl-PL"/>
        </w:rPr>
        <w:lastRenderedPageBreak/>
        <w:t>adnotacją</w:t>
      </w:r>
      <w:r w:rsidR="006C0F31">
        <w:rPr>
          <w:rFonts w:ascii="Arial" w:eastAsia="Times New Roman" w:hAnsi="Arial" w:cs="Arial"/>
          <w:lang w:eastAsia="pl-PL"/>
        </w:rPr>
        <w:t xml:space="preserve"> </w:t>
      </w:r>
      <w:r w:rsidRPr="00001830">
        <w:rPr>
          <w:rFonts w:ascii="Arial" w:eastAsia="Times New Roman" w:hAnsi="Arial" w:cs="Arial"/>
          <w:lang w:eastAsia="pl-PL"/>
        </w:rPr>
        <w:t>„Były posiadacz Niebieskiej Karty UE”, przez okres nieprzekraczający 90 dni w</w:t>
      </w:r>
      <w:r w:rsidR="006C0F31">
        <w:rPr>
          <w:rFonts w:ascii="Arial" w:eastAsia="Times New Roman" w:hAnsi="Arial" w:cs="Arial"/>
          <w:lang w:eastAsia="pl-PL"/>
        </w:rPr>
        <w:t xml:space="preserve"> </w:t>
      </w:r>
      <w:r w:rsidRPr="00001830">
        <w:rPr>
          <w:rFonts w:ascii="Arial" w:eastAsia="Times New Roman" w:hAnsi="Arial" w:cs="Arial"/>
          <w:lang w:eastAsia="pl-PL"/>
        </w:rPr>
        <w:t>dowolnym okresie liczącym 180 dni w każdym państwie członkowskim Unii Europejskiej</w:t>
      </w:r>
      <w:r w:rsidR="006C0F31">
        <w:rPr>
          <w:rFonts w:ascii="Arial" w:eastAsia="Times New Roman" w:hAnsi="Arial" w:cs="Arial"/>
          <w:lang w:eastAsia="pl-PL"/>
        </w:rPr>
        <w:t xml:space="preserve"> </w:t>
      </w:r>
      <w:r w:rsidRPr="00001830">
        <w:rPr>
          <w:rFonts w:ascii="Arial" w:eastAsia="Times New Roman" w:hAnsi="Arial" w:cs="Arial"/>
          <w:lang w:eastAsia="pl-PL"/>
        </w:rPr>
        <w:t>w celu wykonywania działalności zawodowej;, a także zdefiniowano „działalność</w:t>
      </w:r>
      <w:r w:rsidR="006C0F31">
        <w:rPr>
          <w:rFonts w:ascii="Arial" w:eastAsia="Times New Roman" w:hAnsi="Arial" w:cs="Arial"/>
          <w:lang w:eastAsia="pl-PL"/>
        </w:rPr>
        <w:t xml:space="preserve"> </w:t>
      </w:r>
      <w:r w:rsidRPr="00001830">
        <w:rPr>
          <w:rFonts w:ascii="Arial" w:eastAsia="Times New Roman" w:hAnsi="Arial" w:cs="Arial"/>
          <w:lang w:eastAsia="pl-PL"/>
        </w:rPr>
        <w:t>zawodową” (dział I ustawy);</w:t>
      </w:r>
    </w:p>
    <w:p w14:paraId="20E6292D" w14:textId="4FBC66BE" w:rsidR="00001830" w:rsidRPr="00001830" w:rsidRDefault="00001830" w:rsidP="00001830">
      <w:pPr>
        <w:spacing w:after="0"/>
        <w:jc w:val="both"/>
        <w:rPr>
          <w:rFonts w:ascii="Arial" w:eastAsia="Times New Roman" w:hAnsi="Arial" w:cs="Arial"/>
          <w:lang w:eastAsia="pl-PL"/>
        </w:rPr>
      </w:pPr>
      <w:r w:rsidRPr="00001830">
        <w:rPr>
          <w:rFonts w:ascii="Arial" w:eastAsia="Times New Roman" w:hAnsi="Arial" w:cs="Arial"/>
          <w:lang w:eastAsia="pl-PL"/>
        </w:rPr>
        <w:t>2) dodano nowe zadania dla Szefa Urzędu do Spraw Cudzoziemców jako krajowego punktu</w:t>
      </w:r>
      <w:r w:rsidR="006C0F31">
        <w:rPr>
          <w:rFonts w:ascii="Arial" w:eastAsia="Times New Roman" w:hAnsi="Arial" w:cs="Arial"/>
          <w:lang w:eastAsia="pl-PL"/>
        </w:rPr>
        <w:t xml:space="preserve"> </w:t>
      </w:r>
      <w:r w:rsidRPr="00001830">
        <w:rPr>
          <w:rFonts w:ascii="Arial" w:eastAsia="Times New Roman" w:hAnsi="Arial" w:cs="Arial"/>
          <w:lang w:eastAsia="pl-PL"/>
        </w:rPr>
        <w:t>kontaktowego na potrzeby przyjmowania cudzoziemców w celu wykonywania pracy w</w:t>
      </w:r>
      <w:r w:rsidR="006C0F31">
        <w:rPr>
          <w:rFonts w:ascii="Arial" w:eastAsia="Times New Roman" w:hAnsi="Arial" w:cs="Arial"/>
          <w:lang w:eastAsia="pl-PL"/>
        </w:rPr>
        <w:t xml:space="preserve"> </w:t>
      </w:r>
      <w:r w:rsidRPr="00001830">
        <w:rPr>
          <w:rFonts w:ascii="Arial" w:eastAsia="Times New Roman" w:hAnsi="Arial" w:cs="Arial"/>
          <w:lang w:eastAsia="pl-PL"/>
        </w:rPr>
        <w:t>zawodzie wymagającym wysokich kwalifikacji; nowe uregulowania prawne będą</w:t>
      </w:r>
      <w:r w:rsidR="006C0F31">
        <w:rPr>
          <w:rFonts w:ascii="Arial" w:eastAsia="Times New Roman" w:hAnsi="Arial" w:cs="Arial"/>
          <w:lang w:eastAsia="pl-PL"/>
        </w:rPr>
        <w:t xml:space="preserve"> </w:t>
      </w:r>
      <w:r w:rsidRPr="00001830">
        <w:rPr>
          <w:rFonts w:ascii="Arial" w:eastAsia="Times New Roman" w:hAnsi="Arial" w:cs="Arial"/>
          <w:lang w:eastAsia="pl-PL"/>
        </w:rPr>
        <w:t>dotyczyły przede wszystkim kwestii korzystania przez posiadaczy Niebieskiej Karty UE z</w:t>
      </w:r>
      <w:r w:rsidR="006C0F31">
        <w:rPr>
          <w:rFonts w:ascii="Arial" w:eastAsia="Times New Roman" w:hAnsi="Arial" w:cs="Arial"/>
          <w:lang w:eastAsia="pl-PL"/>
        </w:rPr>
        <w:t xml:space="preserve"> </w:t>
      </w:r>
      <w:r w:rsidRPr="00001830">
        <w:rPr>
          <w:rFonts w:ascii="Arial" w:eastAsia="Times New Roman" w:hAnsi="Arial" w:cs="Arial"/>
          <w:lang w:eastAsia="pl-PL"/>
        </w:rPr>
        <w:t>mobilności długoterminowej oraz nowych obowiązków sprawozdawczych nałożonych na</w:t>
      </w:r>
      <w:r w:rsidR="006C0F31">
        <w:rPr>
          <w:rFonts w:ascii="Arial" w:eastAsia="Times New Roman" w:hAnsi="Arial" w:cs="Arial"/>
          <w:lang w:eastAsia="pl-PL"/>
        </w:rPr>
        <w:t xml:space="preserve"> </w:t>
      </w:r>
      <w:r w:rsidRPr="00001830">
        <w:rPr>
          <w:rFonts w:ascii="Arial" w:eastAsia="Times New Roman" w:hAnsi="Arial" w:cs="Arial"/>
          <w:lang w:eastAsia="pl-PL"/>
        </w:rPr>
        <w:t>Szefa Urzędu do Spraw Cudzoziemców na potrzeby Komisji Europejskiej (dział II</w:t>
      </w:r>
      <w:r w:rsidR="006C0F31">
        <w:rPr>
          <w:rFonts w:ascii="Arial" w:eastAsia="Times New Roman" w:hAnsi="Arial" w:cs="Arial"/>
          <w:lang w:eastAsia="pl-PL"/>
        </w:rPr>
        <w:t xml:space="preserve"> </w:t>
      </w:r>
      <w:r w:rsidRPr="00001830">
        <w:rPr>
          <w:rFonts w:ascii="Arial" w:eastAsia="Times New Roman" w:hAnsi="Arial" w:cs="Arial"/>
          <w:lang w:eastAsia="pl-PL"/>
        </w:rPr>
        <w:t>ustawy);</w:t>
      </w:r>
    </w:p>
    <w:p w14:paraId="6E98FF42" w14:textId="6E951E7A" w:rsidR="00001830" w:rsidRPr="00001830" w:rsidRDefault="00001830" w:rsidP="00001830">
      <w:pPr>
        <w:spacing w:after="0"/>
        <w:jc w:val="both"/>
        <w:rPr>
          <w:rFonts w:ascii="Arial" w:eastAsia="Times New Roman" w:hAnsi="Arial" w:cs="Arial"/>
          <w:lang w:eastAsia="pl-PL"/>
        </w:rPr>
      </w:pPr>
      <w:r w:rsidRPr="00001830">
        <w:rPr>
          <w:rFonts w:ascii="Arial" w:eastAsia="Times New Roman" w:hAnsi="Arial" w:cs="Arial"/>
          <w:lang w:eastAsia="pl-PL"/>
        </w:rPr>
        <w:t>3) wprowadzono rozwiązania pozwalające posiadaczom Niebieskiej Karty UE na</w:t>
      </w:r>
      <w:r w:rsidR="006C0F31">
        <w:rPr>
          <w:rFonts w:ascii="Arial" w:eastAsia="Times New Roman" w:hAnsi="Arial" w:cs="Arial"/>
          <w:lang w:eastAsia="pl-PL"/>
        </w:rPr>
        <w:t xml:space="preserve"> </w:t>
      </w:r>
      <w:r w:rsidRPr="00001830">
        <w:rPr>
          <w:rFonts w:ascii="Arial" w:eastAsia="Times New Roman" w:hAnsi="Arial" w:cs="Arial"/>
          <w:lang w:eastAsia="pl-PL"/>
        </w:rPr>
        <w:t>skorzystanie z mobilności krótkoterminowej przewidzianej przepisami dyrektywy</w:t>
      </w:r>
      <w:r w:rsidR="006C0F31">
        <w:rPr>
          <w:rFonts w:ascii="Arial" w:eastAsia="Times New Roman" w:hAnsi="Arial" w:cs="Arial"/>
          <w:lang w:eastAsia="pl-PL"/>
        </w:rPr>
        <w:t xml:space="preserve"> </w:t>
      </w:r>
      <w:r w:rsidRPr="00001830">
        <w:rPr>
          <w:rFonts w:ascii="Arial" w:eastAsia="Times New Roman" w:hAnsi="Arial" w:cs="Arial"/>
          <w:lang w:eastAsia="pl-PL"/>
        </w:rPr>
        <w:t>2021/1883 oraz powrót na terytorium Rzeczypospolitej Polskiej po skorzystaniu</w:t>
      </w:r>
      <w:r w:rsidR="006C0F31">
        <w:rPr>
          <w:rFonts w:ascii="Arial" w:eastAsia="Times New Roman" w:hAnsi="Arial" w:cs="Arial"/>
          <w:lang w:eastAsia="pl-PL"/>
        </w:rPr>
        <w:t xml:space="preserve"> </w:t>
      </w:r>
      <w:r w:rsidRPr="00001830">
        <w:rPr>
          <w:rFonts w:ascii="Arial" w:eastAsia="Times New Roman" w:hAnsi="Arial" w:cs="Arial"/>
          <w:lang w:eastAsia="pl-PL"/>
        </w:rPr>
        <w:t>z dopuszczalnych form mobilności posiadacza Niebieskiej Karty UE w innym państwie</w:t>
      </w:r>
      <w:r w:rsidR="006C0F31">
        <w:rPr>
          <w:rFonts w:ascii="Arial" w:eastAsia="Times New Roman" w:hAnsi="Arial" w:cs="Arial"/>
          <w:lang w:eastAsia="pl-PL"/>
        </w:rPr>
        <w:t xml:space="preserve"> </w:t>
      </w:r>
      <w:r w:rsidRPr="00001830">
        <w:rPr>
          <w:rFonts w:ascii="Arial" w:eastAsia="Times New Roman" w:hAnsi="Arial" w:cs="Arial"/>
          <w:lang w:eastAsia="pl-PL"/>
        </w:rPr>
        <w:t>członkowskim Unii Europejskiej (dział III ustawy);</w:t>
      </w:r>
    </w:p>
    <w:p w14:paraId="52C99A5A" w14:textId="12A42DB7" w:rsidR="00001830" w:rsidRPr="00001830" w:rsidRDefault="00001830" w:rsidP="00001830">
      <w:pPr>
        <w:spacing w:after="0"/>
        <w:jc w:val="both"/>
        <w:rPr>
          <w:rFonts w:ascii="Arial" w:eastAsia="Times New Roman" w:hAnsi="Arial" w:cs="Arial"/>
          <w:lang w:eastAsia="pl-PL"/>
        </w:rPr>
      </w:pPr>
      <w:r w:rsidRPr="00001830">
        <w:rPr>
          <w:rFonts w:ascii="Arial" w:eastAsia="Times New Roman" w:hAnsi="Arial" w:cs="Arial"/>
          <w:lang w:eastAsia="pl-PL"/>
        </w:rPr>
        <w:t>4) wprowadzono nowy rodzaj zezwolenia, tj. zezwolenie na pobyt czasowy w celu</w:t>
      </w:r>
      <w:r w:rsidR="006C0F31">
        <w:rPr>
          <w:rFonts w:ascii="Arial" w:eastAsia="Times New Roman" w:hAnsi="Arial" w:cs="Arial"/>
          <w:lang w:eastAsia="pl-PL"/>
        </w:rPr>
        <w:t xml:space="preserve"> </w:t>
      </w:r>
      <w:r w:rsidRPr="00001830">
        <w:rPr>
          <w:rFonts w:ascii="Arial" w:eastAsia="Times New Roman" w:hAnsi="Arial" w:cs="Arial"/>
          <w:lang w:eastAsia="pl-PL"/>
        </w:rPr>
        <w:t>mobilności długoterminowej posiadacza Niebieskiej Karty UE, uregulowano procedurę</w:t>
      </w:r>
      <w:r w:rsidR="006C0F31">
        <w:rPr>
          <w:rFonts w:ascii="Arial" w:eastAsia="Times New Roman" w:hAnsi="Arial" w:cs="Arial"/>
          <w:lang w:eastAsia="pl-PL"/>
        </w:rPr>
        <w:t xml:space="preserve"> </w:t>
      </w:r>
      <w:r w:rsidRPr="00001830">
        <w:rPr>
          <w:rFonts w:ascii="Arial" w:eastAsia="Times New Roman" w:hAnsi="Arial" w:cs="Arial"/>
          <w:lang w:eastAsia="pl-PL"/>
        </w:rPr>
        <w:t>jego udzielania oraz wskazano przesłanki odmowy jego udzielenia. Uprawnionym do</w:t>
      </w:r>
      <w:r w:rsidR="006C0F31">
        <w:rPr>
          <w:rFonts w:ascii="Arial" w:eastAsia="Times New Roman" w:hAnsi="Arial" w:cs="Arial"/>
          <w:lang w:eastAsia="pl-PL"/>
        </w:rPr>
        <w:t xml:space="preserve"> </w:t>
      </w:r>
      <w:r w:rsidRPr="00001830">
        <w:rPr>
          <w:rFonts w:ascii="Arial" w:eastAsia="Times New Roman" w:hAnsi="Arial" w:cs="Arial"/>
          <w:lang w:eastAsia="pl-PL"/>
        </w:rPr>
        <w:t>ubiegania się o zezwolenie jest cudzoziemiec, którego celem pobytu na terytorium RP</w:t>
      </w:r>
      <w:r w:rsidR="006C0F31">
        <w:rPr>
          <w:rFonts w:ascii="Arial" w:eastAsia="Times New Roman" w:hAnsi="Arial" w:cs="Arial"/>
          <w:lang w:eastAsia="pl-PL"/>
        </w:rPr>
        <w:t xml:space="preserve"> </w:t>
      </w:r>
      <w:r w:rsidRPr="00001830">
        <w:rPr>
          <w:rFonts w:ascii="Arial" w:eastAsia="Times New Roman" w:hAnsi="Arial" w:cs="Arial"/>
          <w:lang w:eastAsia="pl-PL"/>
        </w:rPr>
        <w:t>będzie wykonywanie pracy w zawodzie wymagającym wysokich kwalifikacji.</w:t>
      </w:r>
      <w:r w:rsidR="006C0F31">
        <w:rPr>
          <w:rFonts w:ascii="Arial" w:eastAsia="Times New Roman" w:hAnsi="Arial" w:cs="Arial"/>
          <w:lang w:eastAsia="pl-PL"/>
        </w:rPr>
        <w:t xml:space="preserve"> </w:t>
      </w:r>
      <w:r w:rsidRPr="00001830">
        <w:rPr>
          <w:rFonts w:ascii="Arial" w:eastAsia="Times New Roman" w:hAnsi="Arial" w:cs="Arial"/>
          <w:lang w:eastAsia="pl-PL"/>
        </w:rPr>
        <w:t>Cudzoziemiec będzie obowiązany wykazać, że zawarł na okres co najmniej 6 miesięcy</w:t>
      </w:r>
      <w:r w:rsidR="006C0F31">
        <w:rPr>
          <w:rFonts w:ascii="Arial" w:eastAsia="Times New Roman" w:hAnsi="Arial" w:cs="Arial"/>
          <w:lang w:eastAsia="pl-PL"/>
        </w:rPr>
        <w:t xml:space="preserve"> </w:t>
      </w:r>
      <w:r w:rsidRPr="00001830">
        <w:rPr>
          <w:rFonts w:ascii="Arial" w:eastAsia="Times New Roman" w:hAnsi="Arial" w:cs="Arial"/>
          <w:lang w:eastAsia="pl-PL"/>
        </w:rPr>
        <w:t>umowę o pracę, umowę o pracę nakładczą, umowę cywilnoprawną, na podstawie której</w:t>
      </w:r>
      <w:r w:rsidR="006C0F31">
        <w:rPr>
          <w:rFonts w:ascii="Arial" w:eastAsia="Times New Roman" w:hAnsi="Arial" w:cs="Arial"/>
          <w:lang w:eastAsia="pl-PL"/>
        </w:rPr>
        <w:t xml:space="preserve"> </w:t>
      </w:r>
      <w:r w:rsidRPr="00001830">
        <w:rPr>
          <w:rFonts w:ascii="Arial" w:eastAsia="Times New Roman" w:hAnsi="Arial" w:cs="Arial"/>
          <w:lang w:eastAsia="pl-PL"/>
        </w:rPr>
        <w:t>wykonuje pracę, świadczy usługi lub pozostaje w stosunku służbowym, posiada formalne</w:t>
      </w:r>
      <w:r w:rsidR="006C0F31">
        <w:rPr>
          <w:rFonts w:ascii="Arial" w:eastAsia="Times New Roman" w:hAnsi="Arial" w:cs="Arial"/>
          <w:lang w:eastAsia="pl-PL"/>
        </w:rPr>
        <w:t xml:space="preserve"> </w:t>
      </w:r>
      <w:r w:rsidRPr="00001830">
        <w:rPr>
          <w:rFonts w:ascii="Arial" w:eastAsia="Times New Roman" w:hAnsi="Arial" w:cs="Arial"/>
          <w:lang w:eastAsia="pl-PL"/>
        </w:rPr>
        <w:t>kwalifikacje w przypadku zamiaru wykonywania pracy w zawodzie regulowanym,</w:t>
      </w:r>
      <w:r w:rsidR="006C0F31">
        <w:rPr>
          <w:rFonts w:ascii="Arial" w:eastAsia="Times New Roman" w:hAnsi="Arial" w:cs="Arial"/>
          <w:lang w:eastAsia="pl-PL"/>
        </w:rPr>
        <w:t xml:space="preserve"> </w:t>
      </w:r>
      <w:r w:rsidRPr="00001830">
        <w:rPr>
          <w:rFonts w:ascii="Arial" w:eastAsia="Times New Roman" w:hAnsi="Arial" w:cs="Arial"/>
          <w:lang w:eastAsia="pl-PL"/>
        </w:rPr>
        <w:t>Niebieską Kartę UE wydaną przez inne państwo członkowskie Unii Europejskiej, a także</w:t>
      </w:r>
      <w:r w:rsidR="006C0F31">
        <w:rPr>
          <w:rFonts w:ascii="Arial" w:eastAsia="Times New Roman" w:hAnsi="Arial" w:cs="Arial"/>
          <w:lang w:eastAsia="pl-PL"/>
        </w:rPr>
        <w:t xml:space="preserve"> </w:t>
      </w:r>
      <w:r w:rsidRPr="00001830">
        <w:rPr>
          <w:rFonts w:ascii="Arial" w:eastAsia="Times New Roman" w:hAnsi="Arial" w:cs="Arial"/>
          <w:lang w:eastAsia="pl-PL"/>
        </w:rPr>
        <w:t>ubezpieczenie zdrowotne w rozumieniu ustawy z dnia 27 sierpnia 2004 r. o świadczeniach</w:t>
      </w:r>
      <w:r w:rsidR="006C0F31">
        <w:rPr>
          <w:rFonts w:ascii="Arial" w:eastAsia="Times New Roman" w:hAnsi="Arial" w:cs="Arial"/>
          <w:lang w:eastAsia="pl-PL"/>
        </w:rPr>
        <w:t xml:space="preserve"> </w:t>
      </w:r>
      <w:r w:rsidRPr="00001830">
        <w:rPr>
          <w:rFonts w:ascii="Arial" w:eastAsia="Times New Roman" w:hAnsi="Arial" w:cs="Arial"/>
          <w:lang w:eastAsia="pl-PL"/>
        </w:rPr>
        <w:t>opieki zdrowotnej finansowanych ze środków publicznych lub potwierdzenie pokrycia</w:t>
      </w:r>
      <w:r w:rsidR="006C0F31">
        <w:rPr>
          <w:rFonts w:ascii="Arial" w:eastAsia="Times New Roman" w:hAnsi="Arial" w:cs="Arial"/>
          <w:lang w:eastAsia="pl-PL"/>
        </w:rPr>
        <w:t xml:space="preserve"> </w:t>
      </w:r>
      <w:r w:rsidRPr="00001830">
        <w:rPr>
          <w:rFonts w:ascii="Arial" w:eastAsia="Times New Roman" w:hAnsi="Arial" w:cs="Arial"/>
          <w:lang w:eastAsia="pl-PL"/>
        </w:rPr>
        <w:t>przez ubezpieczyciela kosztów leczenia na terytorium Rzeczypospolitej Polskiej. Ponadto</w:t>
      </w:r>
      <w:r w:rsidR="006C0F31">
        <w:rPr>
          <w:rFonts w:ascii="Arial" w:eastAsia="Times New Roman" w:hAnsi="Arial" w:cs="Arial"/>
          <w:lang w:eastAsia="pl-PL"/>
        </w:rPr>
        <w:t xml:space="preserve"> </w:t>
      </w:r>
      <w:r w:rsidRPr="00001830">
        <w:rPr>
          <w:rFonts w:ascii="Arial" w:eastAsia="Times New Roman" w:hAnsi="Arial" w:cs="Arial"/>
          <w:lang w:eastAsia="pl-PL"/>
        </w:rPr>
        <w:t>warunkiem udzielenia tego zezwolenia jest uzyskiwanie wynagrodzenia na poziomie</w:t>
      </w:r>
      <w:r w:rsidR="006C0F31">
        <w:rPr>
          <w:rFonts w:ascii="Arial" w:eastAsia="Times New Roman" w:hAnsi="Arial" w:cs="Arial"/>
          <w:lang w:eastAsia="pl-PL"/>
        </w:rPr>
        <w:t xml:space="preserve"> </w:t>
      </w:r>
      <w:r w:rsidRPr="00001830">
        <w:rPr>
          <w:rFonts w:ascii="Arial" w:eastAsia="Times New Roman" w:hAnsi="Arial" w:cs="Arial"/>
          <w:lang w:eastAsia="pl-PL"/>
        </w:rPr>
        <w:t>analogicznym dla cudzoziemców ubiegających się o udzielenie zezwolenia na pobyt</w:t>
      </w:r>
      <w:r w:rsidR="006C0F31">
        <w:rPr>
          <w:rFonts w:ascii="Arial" w:eastAsia="Times New Roman" w:hAnsi="Arial" w:cs="Arial"/>
          <w:lang w:eastAsia="pl-PL"/>
        </w:rPr>
        <w:t xml:space="preserve"> </w:t>
      </w:r>
      <w:r w:rsidRPr="00001830">
        <w:rPr>
          <w:rFonts w:ascii="Arial" w:eastAsia="Times New Roman" w:hAnsi="Arial" w:cs="Arial"/>
          <w:lang w:eastAsia="pl-PL"/>
        </w:rPr>
        <w:t>czasowy w celu wykonywania pracy w zawodzie wymagającym wysokich kwalifikacji.</w:t>
      </w:r>
      <w:r w:rsidR="006C0F31">
        <w:rPr>
          <w:rFonts w:ascii="Arial" w:eastAsia="Times New Roman" w:hAnsi="Arial" w:cs="Arial"/>
          <w:lang w:eastAsia="pl-PL"/>
        </w:rPr>
        <w:t xml:space="preserve"> </w:t>
      </w:r>
      <w:r w:rsidRPr="00001830">
        <w:rPr>
          <w:rFonts w:ascii="Arial" w:eastAsia="Times New Roman" w:hAnsi="Arial" w:cs="Arial"/>
          <w:lang w:eastAsia="pl-PL"/>
        </w:rPr>
        <w:t>Zmianie ulega także zakres danych zamieszczanych w załączniku do wniosku w</w:t>
      </w:r>
      <w:r w:rsidR="006C0F31">
        <w:rPr>
          <w:rFonts w:ascii="Arial" w:eastAsia="Times New Roman" w:hAnsi="Arial" w:cs="Arial"/>
          <w:lang w:eastAsia="pl-PL"/>
        </w:rPr>
        <w:t xml:space="preserve"> </w:t>
      </w:r>
      <w:r w:rsidRPr="00001830">
        <w:rPr>
          <w:rFonts w:ascii="Arial" w:eastAsia="Times New Roman" w:hAnsi="Arial" w:cs="Arial"/>
          <w:lang w:eastAsia="pl-PL"/>
        </w:rPr>
        <w:t>przypadku ubiegania się o udzielenie zezwolenia na pobyt czasowy w celu wykonywania</w:t>
      </w:r>
      <w:r w:rsidR="006C0F31">
        <w:rPr>
          <w:rFonts w:ascii="Arial" w:eastAsia="Times New Roman" w:hAnsi="Arial" w:cs="Arial"/>
          <w:lang w:eastAsia="pl-PL"/>
        </w:rPr>
        <w:t xml:space="preserve"> </w:t>
      </w:r>
      <w:r w:rsidRPr="00001830">
        <w:rPr>
          <w:rFonts w:ascii="Arial" w:eastAsia="Times New Roman" w:hAnsi="Arial" w:cs="Arial"/>
          <w:lang w:eastAsia="pl-PL"/>
        </w:rPr>
        <w:t>pracy w zawodzie wymagającym wysokich kwalifikacji. Załącznik ten będzie składany</w:t>
      </w:r>
      <w:r w:rsidR="006C0F31">
        <w:rPr>
          <w:rFonts w:ascii="Arial" w:eastAsia="Times New Roman" w:hAnsi="Arial" w:cs="Arial"/>
          <w:lang w:eastAsia="pl-PL"/>
        </w:rPr>
        <w:t xml:space="preserve"> </w:t>
      </w:r>
      <w:r w:rsidRPr="00001830">
        <w:rPr>
          <w:rFonts w:ascii="Arial" w:eastAsia="Times New Roman" w:hAnsi="Arial" w:cs="Arial"/>
          <w:lang w:eastAsia="pl-PL"/>
        </w:rPr>
        <w:t>także w przypadku ubiegania z się o zezwolenie na pobyt czasowy w celu mobilności</w:t>
      </w:r>
      <w:r w:rsidR="006C0F31">
        <w:rPr>
          <w:rFonts w:ascii="Arial" w:eastAsia="Times New Roman" w:hAnsi="Arial" w:cs="Arial"/>
          <w:lang w:eastAsia="pl-PL"/>
        </w:rPr>
        <w:t xml:space="preserve"> </w:t>
      </w:r>
      <w:r w:rsidRPr="00001830">
        <w:rPr>
          <w:rFonts w:ascii="Arial" w:eastAsia="Times New Roman" w:hAnsi="Arial" w:cs="Arial"/>
          <w:lang w:eastAsia="pl-PL"/>
        </w:rPr>
        <w:t>długoterminowej posiadacza Niebieskiej Karty UE. Nowelizacją objęte zostały również</w:t>
      </w:r>
      <w:r w:rsidR="006C0F31">
        <w:rPr>
          <w:rFonts w:ascii="Arial" w:eastAsia="Times New Roman" w:hAnsi="Arial" w:cs="Arial"/>
          <w:lang w:eastAsia="pl-PL"/>
        </w:rPr>
        <w:t xml:space="preserve"> </w:t>
      </w:r>
      <w:r w:rsidRPr="00001830">
        <w:rPr>
          <w:rFonts w:ascii="Arial" w:eastAsia="Times New Roman" w:hAnsi="Arial" w:cs="Arial"/>
          <w:lang w:eastAsia="pl-PL"/>
        </w:rPr>
        <w:t>przepisy dotyczące zezwoleń na pobyt czasowy w celu połączenia z rodziną.</w:t>
      </w:r>
      <w:r w:rsidR="006C0F31">
        <w:rPr>
          <w:rFonts w:ascii="Arial" w:eastAsia="Times New Roman" w:hAnsi="Arial" w:cs="Arial"/>
          <w:lang w:eastAsia="pl-PL"/>
        </w:rPr>
        <w:t xml:space="preserve"> </w:t>
      </w:r>
      <w:r w:rsidRPr="00001830">
        <w:rPr>
          <w:rFonts w:ascii="Arial" w:eastAsia="Times New Roman" w:hAnsi="Arial" w:cs="Arial"/>
          <w:lang w:eastAsia="pl-PL"/>
        </w:rPr>
        <w:t>Przewidziano możliwość ubiegania się o zezwolenia na pobyt czasowy w celu połączenia</w:t>
      </w:r>
      <w:r w:rsidR="006C0F31">
        <w:rPr>
          <w:rFonts w:ascii="Arial" w:eastAsia="Times New Roman" w:hAnsi="Arial" w:cs="Arial"/>
          <w:lang w:eastAsia="pl-PL"/>
        </w:rPr>
        <w:t xml:space="preserve"> </w:t>
      </w:r>
      <w:r w:rsidRPr="00001830">
        <w:rPr>
          <w:rFonts w:ascii="Arial" w:eastAsia="Times New Roman" w:hAnsi="Arial" w:cs="Arial"/>
          <w:lang w:eastAsia="pl-PL"/>
        </w:rPr>
        <w:t>się z rodziną przez członków rodziny cudzoziemca zamieszkującego na terytorium</w:t>
      </w:r>
      <w:r w:rsidR="006C0F31">
        <w:rPr>
          <w:rFonts w:ascii="Arial" w:eastAsia="Times New Roman" w:hAnsi="Arial" w:cs="Arial"/>
          <w:lang w:eastAsia="pl-PL"/>
        </w:rPr>
        <w:t xml:space="preserve"> </w:t>
      </w:r>
      <w:r w:rsidRPr="00001830">
        <w:rPr>
          <w:rFonts w:ascii="Arial" w:eastAsia="Times New Roman" w:hAnsi="Arial" w:cs="Arial"/>
          <w:lang w:eastAsia="pl-PL"/>
        </w:rPr>
        <w:t>Rzeczypospolitej Polskiej na podstawie zezwolenia na pobyt czasowy w celu mobilności</w:t>
      </w:r>
      <w:r w:rsidR="006C0F31">
        <w:rPr>
          <w:rFonts w:ascii="Arial" w:eastAsia="Times New Roman" w:hAnsi="Arial" w:cs="Arial"/>
          <w:lang w:eastAsia="pl-PL"/>
        </w:rPr>
        <w:t xml:space="preserve"> </w:t>
      </w:r>
      <w:r w:rsidRPr="00001830">
        <w:rPr>
          <w:rFonts w:ascii="Arial" w:eastAsia="Times New Roman" w:hAnsi="Arial" w:cs="Arial"/>
          <w:lang w:eastAsia="pl-PL"/>
        </w:rPr>
        <w:t>długoterminowej posiadacza Niebieskiej Karty UE. Uzyskanie zezwolenia na pobyt</w:t>
      </w:r>
      <w:r w:rsidR="006C0F31">
        <w:rPr>
          <w:rFonts w:ascii="Arial" w:eastAsia="Times New Roman" w:hAnsi="Arial" w:cs="Arial"/>
          <w:lang w:eastAsia="pl-PL"/>
        </w:rPr>
        <w:t xml:space="preserve"> </w:t>
      </w:r>
      <w:r w:rsidRPr="00001830">
        <w:rPr>
          <w:rFonts w:ascii="Arial" w:eastAsia="Times New Roman" w:hAnsi="Arial" w:cs="Arial"/>
          <w:lang w:eastAsia="pl-PL"/>
        </w:rPr>
        <w:t>czasowy w celu połączenia z rodziną nie jest uzależnione w tym przypadku od posiadania</w:t>
      </w:r>
      <w:r w:rsidR="006C0F31">
        <w:rPr>
          <w:rFonts w:ascii="Arial" w:eastAsia="Times New Roman" w:hAnsi="Arial" w:cs="Arial"/>
          <w:lang w:eastAsia="pl-PL"/>
        </w:rPr>
        <w:t xml:space="preserve"> </w:t>
      </w:r>
      <w:r w:rsidRPr="00001830">
        <w:rPr>
          <w:rFonts w:ascii="Arial" w:eastAsia="Times New Roman" w:hAnsi="Arial" w:cs="Arial"/>
          <w:lang w:eastAsia="pl-PL"/>
        </w:rPr>
        <w:t>przez cudzoziemca źródła stabilnego i regularnego dochodu oraz zapewnionego miejsca</w:t>
      </w:r>
      <w:r w:rsidR="006C0F31">
        <w:rPr>
          <w:rFonts w:ascii="Arial" w:eastAsia="Times New Roman" w:hAnsi="Arial" w:cs="Arial"/>
          <w:lang w:eastAsia="pl-PL"/>
        </w:rPr>
        <w:t xml:space="preserve"> </w:t>
      </w:r>
      <w:r w:rsidRPr="00001830">
        <w:rPr>
          <w:rFonts w:ascii="Arial" w:eastAsia="Times New Roman" w:hAnsi="Arial" w:cs="Arial"/>
          <w:lang w:eastAsia="pl-PL"/>
        </w:rPr>
        <w:t>zamieszkania na terytorium RP; konieczne jest natomiast posiadanie ubezpieczenia</w:t>
      </w:r>
      <w:r w:rsidR="006C0F31">
        <w:rPr>
          <w:rFonts w:ascii="Arial" w:eastAsia="Times New Roman" w:hAnsi="Arial" w:cs="Arial"/>
          <w:lang w:eastAsia="pl-PL"/>
        </w:rPr>
        <w:t xml:space="preserve"> </w:t>
      </w:r>
      <w:r w:rsidRPr="00001830">
        <w:rPr>
          <w:rFonts w:ascii="Arial" w:eastAsia="Times New Roman" w:hAnsi="Arial" w:cs="Arial"/>
          <w:lang w:eastAsia="pl-PL"/>
        </w:rPr>
        <w:t>zdrowotnego (dział V ustawy);</w:t>
      </w:r>
    </w:p>
    <w:p w14:paraId="75E099DA" w14:textId="2C4CAA2E" w:rsidR="00001830" w:rsidRPr="00001830" w:rsidRDefault="00001830" w:rsidP="00001830">
      <w:pPr>
        <w:spacing w:after="0"/>
        <w:jc w:val="both"/>
        <w:rPr>
          <w:rFonts w:ascii="Arial" w:eastAsia="Times New Roman" w:hAnsi="Arial" w:cs="Arial"/>
          <w:lang w:eastAsia="pl-PL"/>
        </w:rPr>
      </w:pPr>
      <w:r w:rsidRPr="00001830">
        <w:rPr>
          <w:rFonts w:ascii="Arial" w:eastAsia="Times New Roman" w:hAnsi="Arial" w:cs="Arial"/>
          <w:lang w:eastAsia="pl-PL"/>
        </w:rPr>
        <w:t>5) wprowadzono specjalne rozwiązania pozwalające na udzielanie zezwolenia na pobyt stały</w:t>
      </w:r>
      <w:r w:rsidR="006C0F31">
        <w:rPr>
          <w:rFonts w:ascii="Arial" w:eastAsia="Times New Roman" w:hAnsi="Arial" w:cs="Arial"/>
          <w:lang w:eastAsia="pl-PL"/>
        </w:rPr>
        <w:t xml:space="preserve"> </w:t>
      </w:r>
      <w:r w:rsidRPr="00001830">
        <w:rPr>
          <w:rFonts w:ascii="Arial" w:eastAsia="Times New Roman" w:hAnsi="Arial" w:cs="Arial"/>
          <w:lang w:eastAsia="pl-PL"/>
        </w:rPr>
        <w:t>i zezwolenie na pobyt rezydenta długoterminowego UE na preferencyjnych zasadach</w:t>
      </w:r>
      <w:r w:rsidR="006C0F31">
        <w:rPr>
          <w:rFonts w:ascii="Arial" w:eastAsia="Times New Roman" w:hAnsi="Arial" w:cs="Arial"/>
          <w:lang w:eastAsia="pl-PL"/>
        </w:rPr>
        <w:t xml:space="preserve"> </w:t>
      </w:r>
      <w:r w:rsidRPr="00001830">
        <w:rPr>
          <w:rFonts w:ascii="Arial" w:eastAsia="Times New Roman" w:hAnsi="Arial" w:cs="Arial"/>
          <w:lang w:eastAsia="pl-PL"/>
        </w:rPr>
        <w:t>posiadaczom Niebieskiej Karty UE. Na potrzeby udzielenia zezwolenia na pobyt</w:t>
      </w:r>
      <w:r w:rsidR="006C0F31">
        <w:rPr>
          <w:rFonts w:ascii="Arial" w:eastAsia="Times New Roman" w:hAnsi="Arial" w:cs="Arial"/>
          <w:lang w:eastAsia="pl-PL"/>
        </w:rPr>
        <w:t xml:space="preserve"> </w:t>
      </w:r>
      <w:r w:rsidRPr="00001830">
        <w:rPr>
          <w:rFonts w:ascii="Arial" w:eastAsia="Times New Roman" w:hAnsi="Arial" w:cs="Arial"/>
          <w:lang w:eastAsia="pl-PL"/>
        </w:rPr>
        <w:t xml:space="preserve">rezydenta </w:t>
      </w:r>
      <w:r w:rsidRPr="00001830">
        <w:rPr>
          <w:rFonts w:ascii="Arial" w:eastAsia="Times New Roman" w:hAnsi="Arial" w:cs="Arial"/>
          <w:lang w:eastAsia="pl-PL"/>
        </w:rPr>
        <w:lastRenderedPageBreak/>
        <w:t>długoterminowego UE cudzoziemcowi zaliczany będzie pobyt w innym</w:t>
      </w:r>
      <w:r w:rsidR="006C0F31">
        <w:rPr>
          <w:rFonts w:ascii="Arial" w:eastAsia="Times New Roman" w:hAnsi="Arial" w:cs="Arial"/>
          <w:lang w:eastAsia="pl-PL"/>
        </w:rPr>
        <w:t xml:space="preserve"> </w:t>
      </w:r>
      <w:r w:rsidRPr="00001830">
        <w:rPr>
          <w:rFonts w:ascii="Arial" w:eastAsia="Times New Roman" w:hAnsi="Arial" w:cs="Arial"/>
          <w:lang w:eastAsia="pl-PL"/>
        </w:rPr>
        <w:t>państwie członkowskim</w:t>
      </w:r>
      <w:r w:rsidR="006C0F31">
        <w:rPr>
          <w:rFonts w:ascii="Arial" w:eastAsia="Times New Roman" w:hAnsi="Arial" w:cs="Arial"/>
          <w:lang w:eastAsia="pl-PL"/>
        </w:rPr>
        <w:t xml:space="preserve"> </w:t>
      </w:r>
      <w:r w:rsidRPr="00001830">
        <w:rPr>
          <w:rFonts w:ascii="Arial" w:eastAsia="Times New Roman" w:hAnsi="Arial" w:cs="Arial"/>
          <w:lang w:eastAsia="pl-PL"/>
        </w:rPr>
        <w:t>Unii Europejskiej na podstawie Niebieskiej Karty UE (dział VI</w:t>
      </w:r>
      <w:r w:rsidR="006C0F31">
        <w:rPr>
          <w:rFonts w:ascii="Arial" w:eastAsia="Times New Roman" w:hAnsi="Arial" w:cs="Arial"/>
          <w:lang w:eastAsia="pl-PL"/>
        </w:rPr>
        <w:t xml:space="preserve"> </w:t>
      </w:r>
      <w:r w:rsidRPr="00001830">
        <w:rPr>
          <w:rFonts w:ascii="Arial" w:eastAsia="Times New Roman" w:hAnsi="Arial" w:cs="Arial"/>
          <w:lang w:eastAsia="pl-PL"/>
        </w:rPr>
        <w:t>ustawy);</w:t>
      </w:r>
    </w:p>
    <w:p w14:paraId="6AAF2DDB" w14:textId="1CAE63DD" w:rsidR="00001830" w:rsidRPr="00001830" w:rsidRDefault="00001830" w:rsidP="00001830">
      <w:pPr>
        <w:spacing w:after="0"/>
        <w:jc w:val="both"/>
        <w:rPr>
          <w:rFonts w:ascii="Arial" w:eastAsia="Times New Roman" w:hAnsi="Arial" w:cs="Arial"/>
          <w:lang w:eastAsia="pl-PL"/>
        </w:rPr>
      </w:pPr>
      <w:r w:rsidRPr="00001830">
        <w:rPr>
          <w:rFonts w:ascii="Arial" w:eastAsia="Times New Roman" w:hAnsi="Arial" w:cs="Arial"/>
          <w:lang w:eastAsia="pl-PL"/>
        </w:rPr>
        <w:t>6) dodano podstawę prawną do zamieszczania na karcie pobytu adnotacji: „Niebieska Karta</w:t>
      </w:r>
      <w:r w:rsidR="006C0F31">
        <w:rPr>
          <w:rFonts w:ascii="Arial" w:eastAsia="Times New Roman" w:hAnsi="Arial" w:cs="Arial"/>
          <w:lang w:eastAsia="pl-PL"/>
        </w:rPr>
        <w:t xml:space="preserve"> </w:t>
      </w:r>
      <w:r w:rsidRPr="00001830">
        <w:rPr>
          <w:rFonts w:ascii="Arial" w:eastAsia="Times New Roman" w:hAnsi="Arial" w:cs="Arial"/>
          <w:lang w:eastAsia="pl-PL"/>
        </w:rPr>
        <w:t>UE”, „ochrona międzynarodowa” (ze wskazaniem państwa członkowskiego Unii</w:t>
      </w:r>
      <w:r w:rsidR="006C0F31">
        <w:rPr>
          <w:rFonts w:ascii="Arial" w:eastAsia="Times New Roman" w:hAnsi="Arial" w:cs="Arial"/>
          <w:lang w:eastAsia="pl-PL"/>
        </w:rPr>
        <w:t xml:space="preserve"> </w:t>
      </w:r>
      <w:r w:rsidRPr="00001830">
        <w:rPr>
          <w:rFonts w:ascii="Arial" w:eastAsia="Times New Roman" w:hAnsi="Arial" w:cs="Arial"/>
          <w:lang w:eastAsia="pl-PL"/>
        </w:rPr>
        <w:t>Europejskiej, które ją przyznało oraz daty jej przyznania), „Zawód niewymieniony w</w:t>
      </w:r>
      <w:r w:rsidR="006C0F31">
        <w:rPr>
          <w:rFonts w:ascii="Arial" w:eastAsia="Times New Roman" w:hAnsi="Arial" w:cs="Arial"/>
          <w:lang w:eastAsia="pl-PL"/>
        </w:rPr>
        <w:t xml:space="preserve"> </w:t>
      </w:r>
      <w:r w:rsidRPr="00001830">
        <w:rPr>
          <w:rFonts w:ascii="Arial" w:eastAsia="Times New Roman" w:hAnsi="Arial" w:cs="Arial"/>
          <w:lang w:eastAsia="pl-PL"/>
        </w:rPr>
        <w:t>załączniku I” (w przypadku wykonywania przez cudzoziemca zawodu, który nie został</w:t>
      </w:r>
      <w:r w:rsidR="006C0F31">
        <w:rPr>
          <w:rFonts w:ascii="Arial" w:eastAsia="Times New Roman" w:hAnsi="Arial" w:cs="Arial"/>
          <w:lang w:eastAsia="pl-PL"/>
        </w:rPr>
        <w:t xml:space="preserve"> </w:t>
      </w:r>
      <w:r w:rsidRPr="00001830">
        <w:rPr>
          <w:rFonts w:ascii="Arial" w:eastAsia="Times New Roman" w:hAnsi="Arial" w:cs="Arial"/>
          <w:lang w:eastAsia="pl-PL"/>
        </w:rPr>
        <w:t>ujęty w obwieszczeniu, o którym mowa w art. 138a) oraz „Były posiadacz Niebieskiej</w:t>
      </w:r>
      <w:r w:rsidR="006C0F31">
        <w:rPr>
          <w:rFonts w:ascii="Arial" w:eastAsia="Times New Roman" w:hAnsi="Arial" w:cs="Arial"/>
          <w:lang w:eastAsia="pl-PL"/>
        </w:rPr>
        <w:t xml:space="preserve"> </w:t>
      </w:r>
      <w:r w:rsidRPr="00001830">
        <w:rPr>
          <w:rFonts w:ascii="Arial" w:eastAsia="Times New Roman" w:hAnsi="Arial" w:cs="Arial"/>
          <w:lang w:eastAsia="pl-PL"/>
        </w:rPr>
        <w:t>Karty UE”. Ponadto uzupełniono przepisy o obowiązek konsultacji pomiędzy Polską a</w:t>
      </w:r>
      <w:r w:rsidR="006C0F31">
        <w:rPr>
          <w:rFonts w:ascii="Arial" w:eastAsia="Times New Roman" w:hAnsi="Arial" w:cs="Arial"/>
          <w:lang w:eastAsia="pl-PL"/>
        </w:rPr>
        <w:t xml:space="preserve"> </w:t>
      </w:r>
      <w:r w:rsidRPr="00001830">
        <w:rPr>
          <w:rFonts w:ascii="Arial" w:eastAsia="Times New Roman" w:hAnsi="Arial" w:cs="Arial"/>
          <w:lang w:eastAsia="pl-PL"/>
        </w:rPr>
        <w:t>innym państwem członkowskim UE w przypadku, gdy wydanie karty pobytu dotyczy</w:t>
      </w:r>
      <w:r w:rsidR="006C0F31">
        <w:rPr>
          <w:rFonts w:ascii="Arial" w:eastAsia="Times New Roman" w:hAnsi="Arial" w:cs="Arial"/>
          <w:lang w:eastAsia="pl-PL"/>
        </w:rPr>
        <w:t xml:space="preserve"> </w:t>
      </w:r>
      <w:r w:rsidRPr="00001830">
        <w:rPr>
          <w:rFonts w:ascii="Arial" w:eastAsia="Times New Roman" w:hAnsi="Arial" w:cs="Arial"/>
          <w:lang w:eastAsia="pl-PL"/>
        </w:rPr>
        <w:t>cudzoziemca, który uzyskał zezwolenie na pobyt czasowy w celu wykonywania pracy</w:t>
      </w:r>
      <w:r w:rsidR="006C0F31">
        <w:rPr>
          <w:rFonts w:ascii="Arial" w:eastAsia="Times New Roman" w:hAnsi="Arial" w:cs="Arial"/>
          <w:lang w:eastAsia="pl-PL"/>
        </w:rPr>
        <w:t xml:space="preserve"> </w:t>
      </w:r>
      <w:r w:rsidRPr="00001830">
        <w:rPr>
          <w:rFonts w:ascii="Arial" w:eastAsia="Times New Roman" w:hAnsi="Arial" w:cs="Arial"/>
          <w:lang w:eastAsia="pl-PL"/>
        </w:rPr>
        <w:t>w zawodzie wymagającym wysokich kwalifikacji albo zezwolenie na pobyt czasowy w</w:t>
      </w:r>
      <w:r w:rsidR="006C0F31">
        <w:rPr>
          <w:rFonts w:ascii="Arial" w:eastAsia="Times New Roman" w:hAnsi="Arial" w:cs="Arial"/>
          <w:lang w:eastAsia="pl-PL"/>
        </w:rPr>
        <w:t xml:space="preserve"> </w:t>
      </w:r>
      <w:r w:rsidRPr="00001830">
        <w:rPr>
          <w:rFonts w:ascii="Arial" w:eastAsia="Times New Roman" w:hAnsi="Arial" w:cs="Arial"/>
          <w:lang w:eastAsia="pl-PL"/>
        </w:rPr>
        <w:t>celu mobilności długoterminowej posiadacza Niebieskiej Karty UE, a jednocześnie jest</w:t>
      </w:r>
      <w:r w:rsidR="006C0F31">
        <w:rPr>
          <w:rFonts w:ascii="Arial" w:eastAsia="Times New Roman" w:hAnsi="Arial" w:cs="Arial"/>
          <w:lang w:eastAsia="pl-PL"/>
        </w:rPr>
        <w:t xml:space="preserve"> </w:t>
      </w:r>
      <w:r w:rsidRPr="00001830">
        <w:rPr>
          <w:rFonts w:ascii="Arial" w:eastAsia="Times New Roman" w:hAnsi="Arial" w:cs="Arial"/>
          <w:lang w:eastAsia="pl-PL"/>
        </w:rPr>
        <w:t>beneficjentem ochrony międzynarodowej (dział VII ustawy);</w:t>
      </w:r>
    </w:p>
    <w:p w14:paraId="1B94BD79" w14:textId="3A041373" w:rsidR="000A0C11" w:rsidRPr="00001830" w:rsidRDefault="00001830" w:rsidP="00001830">
      <w:pPr>
        <w:spacing w:after="0"/>
        <w:jc w:val="both"/>
        <w:rPr>
          <w:rFonts w:ascii="Arial" w:eastAsia="Times New Roman" w:hAnsi="Arial" w:cs="Arial"/>
          <w:lang w:eastAsia="pl-PL"/>
        </w:rPr>
      </w:pPr>
      <w:r w:rsidRPr="00001830">
        <w:rPr>
          <w:rFonts w:ascii="Arial" w:eastAsia="Times New Roman" w:hAnsi="Arial" w:cs="Arial"/>
          <w:lang w:eastAsia="pl-PL"/>
        </w:rPr>
        <w:t>7) wprowadzono zmiany, które zobowiązują do ustalenia, czy cudzoziemiec, któremu</w:t>
      </w:r>
      <w:r w:rsidR="006C0F31">
        <w:rPr>
          <w:rFonts w:ascii="Arial" w:eastAsia="Times New Roman" w:hAnsi="Arial" w:cs="Arial"/>
          <w:lang w:eastAsia="pl-PL"/>
        </w:rPr>
        <w:t xml:space="preserve"> </w:t>
      </w:r>
      <w:r w:rsidRPr="00001830">
        <w:rPr>
          <w:rFonts w:ascii="Arial" w:eastAsia="Times New Roman" w:hAnsi="Arial" w:cs="Arial"/>
          <w:lang w:eastAsia="pl-PL"/>
        </w:rPr>
        <w:t>odmówiono w Rzeczypospolitej Polskiej udzielenia zezwolenia na pobyt czasowy w celu</w:t>
      </w:r>
      <w:r w:rsidR="006C0F31">
        <w:rPr>
          <w:rFonts w:ascii="Arial" w:eastAsia="Times New Roman" w:hAnsi="Arial" w:cs="Arial"/>
          <w:lang w:eastAsia="pl-PL"/>
        </w:rPr>
        <w:t xml:space="preserve"> </w:t>
      </w:r>
      <w:r w:rsidRPr="00001830">
        <w:rPr>
          <w:rFonts w:ascii="Arial" w:eastAsia="Times New Roman" w:hAnsi="Arial" w:cs="Arial"/>
          <w:lang w:eastAsia="pl-PL"/>
        </w:rPr>
        <w:t>wykonywania pracy w zawodzie wymagającym wysokich kwalifikacji lub zezwolenia na</w:t>
      </w:r>
      <w:r w:rsidR="006C0F31">
        <w:rPr>
          <w:rFonts w:ascii="Arial" w:eastAsia="Times New Roman" w:hAnsi="Arial" w:cs="Arial"/>
          <w:lang w:eastAsia="pl-PL"/>
        </w:rPr>
        <w:t xml:space="preserve"> </w:t>
      </w:r>
      <w:r w:rsidRPr="00001830">
        <w:rPr>
          <w:rFonts w:ascii="Arial" w:eastAsia="Times New Roman" w:hAnsi="Arial" w:cs="Arial"/>
          <w:lang w:eastAsia="pl-PL"/>
        </w:rPr>
        <w:t>pobyt czasowy w celu mobilności długoterminowej posiadacza Niebieskiej Karty UE albo</w:t>
      </w:r>
      <w:r w:rsidR="006C0F31">
        <w:rPr>
          <w:rFonts w:ascii="Arial" w:eastAsia="Times New Roman" w:hAnsi="Arial" w:cs="Arial"/>
          <w:lang w:eastAsia="pl-PL"/>
        </w:rPr>
        <w:t xml:space="preserve"> </w:t>
      </w:r>
      <w:r w:rsidRPr="00001830">
        <w:rPr>
          <w:rFonts w:ascii="Arial" w:eastAsia="Times New Roman" w:hAnsi="Arial" w:cs="Arial"/>
          <w:lang w:eastAsia="pl-PL"/>
        </w:rPr>
        <w:t>cofnięto mu jedno z takich zezwoleń, jest nadal beneficjentem ochrony międzynarodowej</w:t>
      </w:r>
      <w:r w:rsidR="006C0F31">
        <w:rPr>
          <w:rFonts w:ascii="Arial" w:eastAsia="Times New Roman" w:hAnsi="Arial" w:cs="Arial"/>
          <w:lang w:eastAsia="pl-PL"/>
        </w:rPr>
        <w:t xml:space="preserve"> </w:t>
      </w:r>
      <w:r w:rsidRPr="00001830">
        <w:rPr>
          <w:rFonts w:ascii="Arial" w:eastAsia="Times New Roman" w:hAnsi="Arial" w:cs="Arial"/>
          <w:lang w:eastAsia="pl-PL"/>
        </w:rPr>
        <w:t>w państwie członkowskim, które ja przyznało. Ponadto zmiany uwzględniają sytuację</w:t>
      </w:r>
      <w:r w:rsidR="006C0F31">
        <w:rPr>
          <w:rFonts w:ascii="Arial" w:eastAsia="Times New Roman" w:hAnsi="Arial" w:cs="Arial"/>
          <w:lang w:eastAsia="pl-PL"/>
        </w:rPr>
        <w:t xml:space="preserve"> </w:t>
      </w:r>
      <w:r w:rsidRPr="00001830">
        <w:rPr>
          <w:rFonts w:ascii="Arial" w:eastAsia="Times New Roman" w:hAnsi="Arial" w:cs="Arial"/>
          <w:lang w:eastAsia="pl-PL"/>
        </w:rPr>
        <w:t>pobytową na terytorium RP cudzoziemca korzystającego na nim z mobilności</w:t>
      </w:r>
      <w:r w:rsidR="006C0F31">
        <w:rPr>
          <w:rFonts w:ascii="Arial" w:eastAsia="Times New Roman" w:hAnsi="Arial" w:cs="Arial"/>
          <w:lang w:eastAsia="pl-PL"/>
        </w:rPr>
        <w:t xml:space="preserve"> </w:t>
      </w:r>
      <w:r w:rsidRPr="00001830">
        <w:rPr>
          <w:rFonts w:ascii="Arial" w:eastAsia="Times New Roman" w:hAnsi="Arial" w:cs="Arial"/>
          <w:lang w:eastAsia="pl-PL"/>
        </w:rPr>
        <w:t>krótkoterminowej posiadacza Niebieskiej Karty UE. W stosunku do niego nie będzie</w:t>
      </w:r>
      <w:r w:rsidR="006C0F31">
        <w:rPr>
          <w:rFonts w:ascii="Arial" w:eastAsia="Times New Roman" w:hAnsi="Arial" w:cs="Arial"/>
          <w:lang w:eastAsia="pl-PL"/>
        </w:rPr>
        <w:t xml:space="preserve"> </w:t>
      </w:r>
      <w:r w:rsidRPr="00001830">
        <w:rPr>
          <w:rFonts w:ascii="Arial" w:eastAsia="Times New Roman" w:hAnsi="Arial" w:cs="Arial"/>
          <w:lang w:eastAsia="pl-PL"/>
        </w:rPr>
        <w:t>stosowany przepis przewidujący wydanie decyzji o zobowiązaniu cudzoziemca do</w:t>
      </w:r>
      <w:r w:rsidR="006C0F31">
        <w:rPr>
          <w:rFonts w:ascii="Arial" w:eastAsia="Times New Roman" w:hAnsi="Arial" w:cs="Arial"/>
          <w:lang w:eastAsia="pl-PL"/>
        </w:rPr>
        <w:t xml:space="preserve"> </w:t>
      </w:r>
      <w:r w:rsidRPr="00001830">
        <w:rPr>
          <w:rFonts w:ascii="Arial" w:eastAsia="Times New Roman" w:hAnsi="Arial" w:cs="Arial"/>
          <w:lang w:eastAsia="pl-PL"/>
        </w:rPr>
        <w:t>powrotu po wykorzystaniu dopuszczalnego okresu pobytu na terytorium państw obszaru</w:t>
      </w:r>
      <w:r w:rsidR="006C0F31">
        <w:rPr>
          <w:rFonts w:ascii="Arial" w:eastAsia="Times New Roman" w:hAnsi="Arial" w:cs="Arial"/>
          <w:lang w:eastAsia="pl-PL"/>
        </w:rPr>
        <w:t xml:space="preserve"> </w:t>
      </w:r>
      <w:proofErr w:type="spellStart"/>
      <w:r w:rsidRPr="00001830">
        <w:rPr>
          <w:rFonts w:ascii="Arial" w:eastAsia="Times New Roman" w:hAnsi="Arial" w:cs="Arial"/>
          <w:lang w:eastAsia="pl-PL"/>
        </w:rPr>
        <w:t>Schengen</w:t>
      </w:r>
      <w:proofErr w:type="spellEnd"/>
      <w:r w:rsidRPr="00001830">
        <w:rPr>
          <w:rFonts w:ascii="Arial" w:eastAsia="Times New Roman" w:hAnsi="Arial" w:cs="Arial"/>
          <w:lang w:eastAsia="pl-PL"/>
        </w:rPr>
        <w:t>, do którego był uprawniony bez konieczności posiadania wizy (dział VIII</w:t>
      </w:r>
      <w:r w:rsidR="006C0F31">
        <w:rPr>
          <w:rFonts w:ascii="Arial" w:eastAsia="Times New Roman" w:hAnsi="Arial" w:cs="Arial"/>
          <w:lang w:eastAsia="pl-PL"/>
        </w:rPr>
        <w:t xml:space="preserve"> </w:t>
      </w:r>
      <w:r w:rsidRPr="00001830">
        <w:rPr>
          <w:rFonts w:ascii="Arial" w:eastAsia="Times New Roman" w:hAnsi="Arial" w:cs="Arial"/>
          <w:lang w:eastAsia="pl-PL"/>
        </w:rPr>
        <w:t>ustawy).</w:t>
      </w:r>
      <w:r w:rsidR="006C0F31">
        <w:rPr>
          <w:rFonts w:ascii="Arial" w:eastAsia="Times New Roman" w:hAnsi="Arial" w:cs="Arial"/>
          <w:lang w:eastAsia="pl-PL"/>
        </w:rPr>
        <w:t xml:space="preserve"> </w:t>
      </w:r>
      <w:r w:rsidRPr="00001830">
        <w:rPr>
          <w:rFonts w:ascii="Arial" w:eastAsia="Times New Roman" w:hAnsi="Arial" w:cs="Arial"/>
          <w:lang w:eastAsia="pl-PL"/>
        </w:rPr>
        <w:t>Implementacja dyrektywy 2021/1883 do polskiego porządku prawnego wymagała</w:t>
      </w:r>
      <w:r w:rsidR="006C0F31">
        <w:rPr>
          <w:rFonts w:ascii="Arial" w:eastAsia="Times New Roman" w:hAnsi="Arial" w:cs="Arial"/>
          <w:lang w:eastAsia="pl-PL"/>
        </w:rPr>
        <w:t xml:space="preserve"> </w:t>
      </w:r>
      <w:r w:rsidRPr="00001830">
        <w:rPr>
          <w:rFonts w:ascii="Arial" w:eastAsia="Times New Roman" w:hAnsi="Arial" w:cs="Arial"/>
          <w:lang w:eastAsia="pl-PL"/>
        </w:rPr>
        <w:t xml:space="preserve">również dokonania odpowiednich zmian w </w:t>
      </w:r>
      <w:r w:rsidR="006C0F31">
        <w:rPr>
          <w:rFonts w:ascii="Arial" w:eastAsia="Times New Roman" w:hAnsi="Arial" w:cs="Arial"/>
          <w:lang w:eastAsia="pl-PL"/>
        </w:rPr>
        <w:t xml:space="preserve">szeregu </w:t>
      </w:r>
      <w:r w:rsidRPr="00001830">
        <w:rPr>
          <w:rFonts w:ascii="Arial" w:eastAsia="Times New Roman" w:hAnsi="Arial" w:cs="Arial"/>
          <w:lang w:eastAsia="pl-PL"/>
        </w:rPr>
        <w:t xml:space="preserve"> ustawach</w:t>
      </w:r>
      <w:r w:rsidR="006C0F31">
        <w:rPr>
          <w:rFonts w:ascii="Arial" w:eastAsia="Times New Roman" w:hAnsi="Arial" w:cs="Arial"/>
          <w:lang w:eastAsia="pl-PL"/>
        </w:rPr>
        <w:t>.</w:t>
      </w:r>
    </w:p>
    <w:p w14:paraId="5DDE940B" w14:textId="77777777" w:rsidR="00001830" w:rsidRDefault="00001830" w:rsidP="00001830">
      <w:pPr>
        <w:spacing w:after="0"/>
        <w:jc w:val="both"/>
        <w:rPr>
          <w:rStyle w:val="markedcontent"/>
          <w:rFonts w:ascii="Arial" w:hAnsi="Arial" w:cs="Arial"/>
        </w:rPr>
      </w:pPr>
    </w:p>
    <w:p w14:paraId="34358135" w14:textId="4ECAF912" w:rsidR="000A0C11" w:rsidRPr="006C0F31" w:rsidRDefault="000A0C11" w:rsidP="006C0F31">
      <w:pPr>
        <w:spacing w:after="0"/>
        <w:jc w:val="both"/>
        <w:rPr>
          <w:rFonts w:ascii="Arial" w:hAnsi="Arial" w:cs="Arial"/>
        </w:rPr>
      </w:pPr>
      <w:r w:rsidRPr="00001830">
        <w:rPr>
          <w:rStyle w:val="markedcontent"/>
          <w:rFonts w:ascii="Arial" w:hAnsi="Arial" w:cs="Arial"/>
        </w:rPr>
        <w:t>Ustawa</w:t>
      </w:r>
      <w:r w:rsidR="006C0F31" w:rsidRPr="006C0F31">
        <w:t xml:space="preserve"> </w:t>
      </w:r>
      <w:r w:rsidR="006C0F31" w:rsidRPr="006C0F31">
        <w:rPr>
          <w:rStyle w:val="markedcontent"/>
          <w:rFonts w:ascii="Arial" w:hAnsi="Arial" w:cs="Arial"/>
        </w:rPr>
        <w:t>wejdzie w życie</w:t>
      </w:r>
      <w:r w:rsidR="006C0F31">
        <w:rPr>
          <w:rStyle w:val="markedcontent"/>
          <w:rFonts w:ascii="Arial" w:hAnsi="Arial" w:cs="Arial"/>
        </w:rPr>
        <w:t xml:space="preserve"> </w:t>
      </w:r>
      <w:r w:rsidR="006C0F31" w:rsidRPr="006C0F31">
        <w:rPr>
          <w:rStyle w:val="markedcontent"/>
          <w:rFonts w:ascii="Arial" w:hAnsi="Arial" w:cs="Arial"/>
        </w:rPr>
        <w:t>pierwszego dnia miesiąca następującego po upływie 14 dni od dnia ogłoszenia</w:t>
      </w:r>
      <w:r w:rsidR="006C0F31">
        <w:rPr>
          <w:rStyle w:val="markedcontent"/>
          <w:rFonts w:ascii="Arial" w:hAnsi="Arial" w:cs="Arial"/>
        </w:rPr>
        <w:t xml:space="preserve">, tj. </w:t>
      </w:r>
      <w:r w:rsidR="00C9501A">
        <w:rPr>
          <w:rStyle w:val="markedcontent"/>
          <w:rFonts w:ascii="Arial" w:hAnsi="Arial" w:cs="Arial"/>
        </w:rPr>
        <w:t>1 czerwca</w:t>
      </w:r>
      <w:r w:rsidRPr="00001830">
        <w:rPr>
          <w:rStyle w:val="markedcontent"/>
          <w:rFonts w:ascii="Arial" w:hAnsi="Arial" w:cs="Arial"/>
        </w:rPr>
        <w:t xml:space="preserve"> 202</w:t>
      </w:r>
      <w:r w:rsidR="00C9501A">
        <w:rPr>
          <w:rStyle w:val="markedcontent"/>
          <w:rFonts w:ascii="Arial" w:hAnsi="Arial" w:cs="Arial"/>
        </w:rPr>
        <w:t>5</w:t>
      </w:r>
      <w:r w:rsidRPr="00001830">
        <w:rPr>
          <w:rStyle w:val="markedcontent"/>
          <w:rFonts w:ascii="Arial" w:hAnsi="Arial" w:cs="Arial"/>
        </w:rPr>
        <w:t xml:space="preserve"> roku.</w:t>
      </w:r>
    </w:p>
    <w:p w14:paraId="03AA9537" w14:textId="77777777" w:rsidR="000A0C11" w:rsidRDefault="000A0C11" w:rsidP="000A0C11">
      <w:pPr>
        <w:spacing w:after="0"/>
        <w:jc w:val="both"/>
        <w:rPr>
          <w:rFonts w:ascii="Arial" w:hAnsi="Arial" w:cs="Arial"/>
        </w:rPr>
      </w:pPr>
    </w:p>
    <w:p w14:paraId="422B12FB" w14:textId="7AE99280" w:rsidR="000A0C11" w:rsidRPr="00C9501A" w:rsidRDefault="00C9501A" w:rsidP="000A0C11">
      <w:pPr>
        <w:pStyle w:val="Akapitzlist"/>
        <w:numPr>
          <w:ilvl w:val="0"/>
          <w:numId w:val="2"/>
        </w:numPr>
        <w:spacing w:after="0"/>
        <w:ind w:left="426" w:hanging="426"/>
        <w:jc w:val="both"/>
        <w:rPr>
          <w:rFonts w:ascii="Arial" w:eastAsia="Times New Roman" w:hAnsi="Arial" w:cs="Arial"/>
          <w:b/>
          <w:bCs/>
          <w:u w:val="single"/>
          <w:lang w:eastAsia="pl-PL"/>
        </w:rPr>
      </w:pPr>
      <w:r w:rsidRPr="00C9501A">
        <w:rPr>
          <w:rFonts w:ascii="Arial" w:hAnsi="Arial" w:cs="Arial"/>
          <w:b/>
          <w:bCs/>
          <w:u w:val="single"/>
        </w:rPr>
        <w:t>Ustawa z dnia 20 marca 2025 r. o rynku pracy i służbach zatrudnienia</w:t>
      </w:r>
      <w:r w:rsidRPr="00C9501A">
        <w:rPr>
          <w:rFonts w:ascii="Arial" w:hAnsi="Arial" w:cs="Arial"/>
          <w:b/>
          <w:bCs/>
          <w:u w:val="single"/>
        </w:rPr>
        <w:t>.</w:t>
      </w:r>
    </w:p>
    <w:p w14:paraId="35A68446" w14:textId="77777777" w:rsidR="00C9501A" w:rsidRDefault="00C9501A" w:rsidP="00C9501A">
      <w:pPr>
        <w:spacing w:after="0"/>
        <w:jc w:val="both"/>
        <w:rPr>
          <w:rFonts w:ascii="Arial" w:eastAsia="Times New Roman" w:hAnsi="Arial" w:cs="Arial"/>
          <w:lang w:eastAsia="pl-PL"/>
        </w:rPr>
      </w:pPr>
    </w:p>
    <w:p w14:paraId="09840346" w14:textId="137A3AF4" w:rsidR="000A0C11" w:rsidRPr="00287656" w:rsidRDefault="000A0C11" w:rsidP="00C9501A">
      <w:pPr>
        <w:spacing w:after="0"/>
        <w:jc w:val="both"/>
        <w:rPr>
          <w:rFonts w:ascii="Arial" w:eastAsia="Times New Roman" w:hAnsi="Arial" w:cs="Arial"/>
          <w:lang w:eastAsia="pl-PL"/>
        </w:rPr>
      </w:pPr>
      <w:r w:rsidRPr="00287656">
        <w:rPr>
          <w:rFonts w:ascii="Arial" w:eastAsia="Times New Roman" w:hAnsi="Arial" w:cs="Arial"/>
          <w:lang w:eastAsia="pl-PL"/>
        </w:rPr>
        <w:t xml:space="preserve">Powyższy akt prawny opublikowany został </w:t>
      </w:r>
      <w:r w:rsidR="00C9501A">
        <w:rPr>
          <w:rFonts w:ascii="Arial" w:eastAsia="Times New Roman" w:hAnsi="Arial" w:cs="Arial"/>
          <w:lang w:eastAsia="pl-PL"/>
        </w:rPr>
        <w:t>12 maja</w:t>
      </w:r>
      <w:r w:rsidRPr="00287656">
        <w:rPr>
          <w:rFonts w:ascii="Arial" w:eastAsia="Times New Roman" w:hAnsi="Arial" w:cs="Arial"/>
          <w:lang w:eastAsia="pl-PL"/>
        </w:rPr>
        <w:t xml:space="preserve"> 20</w:t>
      </w:r>
      <w:r w:rsidR="00C9501A">
        <w:rPr>
          <w:rFonts w:ascii="Arial" w:eastAsia="Times New Roman" w:hAnsi="Arial" w:cs="Arial"/>
          <w:lang w:eastAsia="pl-PL"/>
        </w:rPr>
        <w:t>25</w:t>
      </w:r>
      <w:r w:rsidRPr="00287656">
        <w:rPr>
          <w:rFonts w:ascii="Arial" w:eastAsia="Times New Roman" w:hAnsi="Arial" w:cs="Arial"/>
          <w:lang w:eastAsia="pl-PL"/>
        </w:rPr>
        <w:t xml:space="preserve"> roku w Dzienniku Ustaw (Dz.U. z 202</w:t>
      </w:r>
      <w:r w:rsidR="00C9501A">
        <w:rPr>
          <w:rFonts w:ascii="Arial" w:eastAsia="Times New Roman" w:hAnsi="Arial" w:cs="Arial"/>
          <w:lang w:eastAsia="pl-PL"/>
        </w:rPr>
        <w:t>5</w:t>
      </w:r>
      <w:r w:rsidRPr="00287656">
        <w:rPr>
          <w:rFonts w:ascii="Arial" w:eastAsia="Times New Roman" w:hAnsi="Arial" w:cs="Arial"/>
          <w:lang w:eastAsia="pl-PL"/>
        </w:rPr>
        <w:t xml:space="preserve">, poz. </w:t>
      </w:r>
      <w:r w:rsidR="00C9501A">
        <w:rPr>
          <w:rFonts w:ascii="Arial" w:eastAsia="Times New Roman" w:hAnsi="Arial" w:cs="Arial"/>
          <w:lang w:eastAsia="pl-PL"/>
        </w:rPr>
        <w:t>620</w:t>
      </w:r>
      <w:r w:rsidRPr="00287656">
        <w:rPr>
          <w:rFonts w:ascii="Arial" w:eastAsia="Times New Roman" w:hAnsi="Arial" w:cs="Arial"/>
          <w:lang w:eastAsia="pl-PL"/>
        </w:rPr>
        <w:t>).</w:t>
      </w:r>
    </w:p>
    <w:p w14:paraId="72FE3B22" w14:textId="77777777" w:rsidR="00C9501A" w:rsidRDefault="00C9501A" w:rsidP="00C9501A">
      <w:pPr>
        <w:spacing w:after="0"/>
        <w:jc w:val="both"/>
        <w:rPr>
          <w:rFonts w:ascii="Arial" w:eastAsia="Times New Roman" w:hAnsi="Arial" w:cs="Arial"/>
          <w:lang w:eastAsia="pl-PL"/>
        </w:rPr>
      </w:pPr>
    </w:p>
    <w:p w14:paraId="0A7A4F07" w14:textId="77777777" w:rsidR="00C9501A" w:rsidRDefault="00C9501A" w:rsidP="00C9501A">
      <w:pPr>
        <w:spacing w:after="0"/>
        <w:jc w:val="both"/>
        <w:rPr>
          <w:rFonts w:ascii="Arial" w:eastAsia="Times New Roman" w:hAnsi="Arial" w:cs="Arial"/>
          <w:lang w:eastAsia="pl-PL"/>
        </w:rPr>
      </w:pPr>
      <w:r w:rsidRPr="00C9501A">
        <w:rPr>
          <w:rFonts w:ascii="Arial" w:eastAsia="Times New Roman" w:hAnsi="Arial" w:cs="Arial"/>
          <w:lang w:eastAsia="pl-PL"/>
        </w:rPr>
        <w:t xml:space="preserve">Celem reformy rynku pracy wdrażanej ustawą o rynku pracy i służbach zatrudnienia, jak wskazano w uzasadnieniu do projektu ustawy, jest kompleksowa modernizacja instytucji polskiego rynku pracy, poprzez udoskonalenie funkcjonowania publicznych służb zatrudnienia oraz form aktywizacji zawodowej i podnoszenia umiejętności kadr gospodarki. Celem wdrażanej reformy jest zwiększenie poziomu zatrudnienia w Polsce, przede wszystkim na miejscach pracy wysokiej jakości oraz dostosowanie potencjału kadrowego Polski do potrzeb gospodarki, przechodzącej zmiany strukturalne wynikające z postępu technologicznego i cyfrowego, transformacji energetycznej i procesów demograficznych. Ustawa wypełnia założenia Krajowego Planu Odbudowy i Zwiększania Odporności (KPO) i stanowi realizację części kamienia milowego „Efektywne instytucje na rzecz rynku pracy”. </w:t>
      </w:r>
    </w:p>
    <w:p w14:paraId="71321520" w14:textId="77777777" w:rsidR="00C9501A" w:rsidRDefault="00C9501A" w:rsidP="00C9501A">
      <w:pPr>
        <w:spacing w:after="0"/>
        <w:jc w:val="both"/>
        <w:rPr>
          <w:rFonts w:ascii="Arial" w:eastAsia="Times New Roman" w:hAnsi="Arial" w:cs="Arial"/>
          <w:lang w:eastAsia="pl-PL"/>
        </w:rPr>
      </w:pPr>
      <w:r w:rsidRPr="00C9501A">
        <w:rPr>
          <w:rFonts w:ascii="Arial" w:eastAsia="Times New Roman" w:hAnsi="Arial" w:cs="Arial"/>
          <w:lang w:eastAsia="pl-PL"/>
        </w:rPr>
        <w:t xml:space="preserve">Ustawa adaptuje, z mniejszymi lub większymi modyfikacjami, szereg dotychczasowych rozwiązań, jakie obowiązywały w ustawie z dnia 20 kwietnia 2004 r. o promocji zatrudnienia i instytucjach rynku pracy, porządkując je i wprowadzając jednocześnie szereg nowych rozwiązań.  </w:t>
      </w:r>
    </w:p>
    <w:p w14:paraId="14F8880C" w14:textId="77777777" w:rsidR="00C9501A" w:rsidRDefault="00C9501A" w:rsidP="00C9501A">
      <w:pPr>
        <w:spacing w:after="0"/>
        <w:jc w:val="both"/>
        <w:rPr>
          <w:rFonts w:ascii="Arial" w:eastAsia="Times New Roman" w:hAnsi="Arial" w:cs="Arial"/>
          <w:lang w:eastAsia="pl-PL"/>
        </w:rPr>
      </w:pPr>
      <w:r w:rsidRPr="00C9501A">
        <w:rPr>
          <w:rFonts w:ascii="Arial" w:eastAsia="Times New Roman" w:hAnsi="Arial" w:cs="Arial"/>
          <w:lang w:eastAsia="pl-PL"/>
        </w:rPr>
        <w:lastRenderedPageBreak/>
        <w:t xml:space="preserve">Przewidziane w ustawie nowe rozwiązania w zakresie usług i instrumentów rynku pracy zakładają m.in.: </w:t>
      </w:r>
    </w:p>
    <w:p w14:paraId="5B5DFAA2" w14:textId="77777777" w:rsidR="00C9501A" w:rsidRDefault="00C9501A" w:rsidP="00C9501A">
      <w:pPr>
        <w:spacing w:after="0"/>
        <w:jc w:val="both"/>
        <w:rPr>
          <w:rFonts w:ascii="Arial" w:eastAsia="Times New Roman" w:hAnsi="Arial" w:cs="Arial"/>
          <w:lang w:eastAsia="pl-PL"/>
        </w:rPr>
      </w:pPr>
      <w:r w:rsidRPr="00C9501A">
        <w:rPr>
          <w:rFonts w:ascii="Arial" w:eastAsia="Times New Roman" w:hAnsi="Arial" w:cs="Arial"/>
          <w:lang w:eastAsia="pl-PL"/>
        </w:rPr>
        <w:t xml:space="preserve">1. bardziej dopasowane do potrzeb rynku pracy kierunki działania:  </w:t>
      </w:r>
    </w:p>
    <w:p w14:paraId="044B5218" w14:textId="7E8C78AC" w:rsidR="00C9501A" w:rsidRPr="00C9501A" w:rsidRDefault="00C9501A" w:rsidP="00C9501A">
      <w:pPr>
        <w:pStyle w:val="Akapitzlist"/>
        <w:numPr>
          <w:ilvl w:val="0"/>
          <w:numId w:val="12"/>
        </w:numPr>
        <w:spacing w:after="0"/>
        <w:jc w:val="both"/>
        <w:rPr>
          <w:rFonts w:ascii="Arial" w:eastAsia="Times New Roman" w:hAnsi="Arial" w:cs="Arial"/>
          <w:lang w:eastAsia="pl-PL"/>
        </w:rPr>
      </w:pPr>
      <w:r w:rsidRPr="00C9501A">
        <w:rPr>
          <w:rFonts w:ascii="Arial" w:eastAsia="Times New Roman" w:hAnsi="Arial" w:cs="Arial"/>
          <w:lang w:eastAsia="pl-PL"/>
        </w:rPr>
        <w:t xml:space="preserve">aktywizację biernych zawodowo rolników chcących się przekwalifikować,  </w:t>
      </w:r>
    </w:p>
    <w:p w14:paraId="069E8F31" w14:textId="522FFB82" w:rsidR="00C9501A" w:rsidRPr="00C9501A" w:rsidRDefault="00C9501A" w:rsidP="00C9501A">
      <w:pPr>
        <w:pStyle w:val="Akapitzlist"/>
        <w:numPr>
          <w:ilvl w:val="0"/>
          <w:numId w:val="12"/>
        </w:numPr>
        <w:spacing w:after="0"/>
        <w:jc w:val="both"/>
        <w:rPr>
          <w:rFonts w:ascii="Arial" w:eastAsia="Times New Roman" w:hAnsi="Arial" w:cs="Arial"/>
          <w:lang w:eastAsia="pl-PL"/>
        </w:rPr>
      </w:pPr>
      <w:r w:rsidRPr="00C9501A">
        <w:rPr>
          <w:rFonts w:ascii="Arial" w:eastAsia="Times New Roman" w:hAnsi="Arial" w:cs="Arial"/>
          <w:lang w:eastAsia="pl-PL"/>
        </w:rPr>
        <w:t xml:space="preserve">wspieranie kierunkowe określonych grup, np. osób młodych, seniorów, osób z niepełnosprawnościami, kobiet z dziećmi chcących wrócić na rynek pracy, osób zainteresowanych własnym biznesem,  </w:t>
      </w:r>
    </w:p>
    <w:p w14:paraId="6CC126C4" w14:textId="7E1932CE" w:rsidR="00C9501A" w:rsidRPr="00C9501A" w:rsidRDefault="00C9501A" w:rsidP="00C9501A">
      <w:pPr>
        <w:pStyle w:val="Akapitzlist"/>
        <w:numPr>
          <w:ilvl w:val="0"/>
          <w:numId w:val="12"/>
        </w:numPr>
        <w:spacing w:after="0"/>
        <w:jc w:val="both"/>
        <w:rPr>
          <w:rFonts w:ascii="Arial" w:eastAsia="Times New Roman" w:hAnsi="Arial" w:cs="Arial"/>
          <w:lang w:eastAsia="pl-PL"/>
        </w:rPr>
      </w:pPr>
      <w:r w:rsidRPr="00C9501A">
        <w:rPr>
          <w:rFonts w:ascii="Arial" w:eastAsia="Times New Roman" w:hAnsi="Arial" w:cs="Arial"/>
          <w:lang w:eastAsia="pl-PL"/>
        </w:rPr>
        <w:t xml:space="preserve">rozwijanie potrzebnych na rynku instrumentów itp. celem zwiększenia współczynnika aktywności zawodowej, </w:t>
      </w:r>
    </w:p>
    <w:p w14:paraId="67FB48AB" w14:textId="77777777" w:rsidR="00C9501A" w:rsidRDefault="00C9501A" w:rsidP="00C9501A">
      <w:pPr>
        <w:spacing w:after="0"/>
        <w:jc w:val="both"/>
        <w:rPr>
          <w:rFonts w:ascii="Arial" w:eastAsia="Times New Roman" w:hAnsi="Arial" w:cs="Arial"/>
          <w:lang w:eastAsia="pl-PL"/>
        </w:rPr>
      </w:pPr>
      <w:r w:rsidRPr="00C9501A">
        <w:rPr>
          <w:rFonts w:ascii="Arial" w:eastAsia="Times New Roman" w:hAnsi="Arial" w:cs="Arial"/>
          <w:lang w:eastAsia="pl-PL"/>
        </w:rPr>
        <w:t xml:space="preserve">2. poprawę efektywności urzędów pracy i trwałości zatrudnienia osób wcześniej bezrobotnych, 3. zwiększenie mobilności osób szukających pracy, </w:t>
      </w:r>
    </w:p>
    <w:p w14:paraId="1315D82F" w14:textId="77777777" w:rsidR="00C9501A" w:rsidRDefault="00C9501A" w:rsidP="00C9501A">
      <w:pPr>
        <w:spacing w:after="0"/>
        <w:jc w:val="both"/>
        <w:rPr>
          <w:rFonts w:ascii="Arial" w:eastAsia="Times New Roman" w:hAnsi="Arial" w:cs="Arial"/>
          <w:lang w:eastAsia="pl-PL"/>
        </w:rPr>
      </w:pPr>
      <w:r w:rsidRPr="00C9501A">
        <w:rPr>
          <w:rFonts w:ascii="Arial" w:eastAsia="Times New Roman" w:hAnsi="Arial" w:cs="Arial"/>
          <w:lang w:eastAsia="pl-PL"/>
        </w:rPr>
        <w:t xml:space="preserve">4. skrócenie czasu poszukiwania pracy, </w:t>
      </w:r>
    </w:p>
    <w:p w14:paraId="239F36B7" w14:textId="77777777" w:rsidR="00C9501A" w:rsidRDefault="00C9501A" w:rsidP="00C9501A">
      <w:pPr>
        <w:spacing w:after="0"/>
        <w:jc w:val="both"/>
        <w:rPr>
          <w:rFonts w:ascii="Arial" w:eastAsia="Times New Roman" w:hAnsi="Arial" w:cs="Arial"/>
          <w:lang w:eastAsia="pl-PL"/>
        </w:rPr>
      </w:pPr>
      <w:r w:rsidRPr="00C9501A">
        <w:rPr>
          <w:rFonts w:ascii="Arial" w:eastAsia="Times New Roman" w:hAnsi="Arial" w:cs="Arial"/>
          <w:lang w:eastAsia="pl-PL"/>
        </w:rPr>
        <w:t xml:space="preserve">5. lepszą pomoc rodzinom, osobom powracającym na rynek pracy po urodzeniu dziecka, osobom opiekującym się osobami zależnymi (dzieci, starsi rodzice, chorzy itp.), </w:t>
      </w:r>
    </w:p>
    <w:p w14:paraId="3EF85B3B" w14:textId="77777777" w:rsidR="00C9501A" w:rsidRDefault="00C9501A" w:rsidP="00C9501A">
      <w:pPr>
        <w:spacing w:after="0"/>
        <w:jc w:val="both"/>
        <w:rPr>
          <w:rFonts w:ascii="Arial" w:eastAsia="Times New Roman" w:hAnsi="Arial" w:cs="Arial"/>
          <w:lang w:eastAsia="pl-PL"/>
        </w:rPr>
      </w:pPr>
      <w:r w:rsidRPr="00C9501A">
        <w:rPr>
          <w:rFonts w:ascii="Arial" w:eastAsia="Times New Roman" w:hAnsi="Arial" w:cs="Arial"/>
          <w:lang w:eastAsia="pl-PL"/>
        </w:rPr>
        <w:t xml:space="preserve">6. wsparcie pracodawców, zmniejszenie biurokracji i obowiązków sprawozdawczych dla przedsiębiorców, </w:t>
      </w:r>
    </w:p>
    <w:p w14:paraId="5A113EC0" w14:textId="77777777" w:rsidR="00C9501A" w:rsidRDefault="00C9501A" w:rsidP="00C9501A">
      <w:pPr>
        <w:spacing w:after="0"/>
        <w:jc w:val="both"/>
        <w:rPr>
          <w:rFonts w:ascii="Arial" w:eastAsia="Times New Roman" w:hAnsi="Arial" w:cs="Arial"/>
          <w:lang w:eastAsia="pl-PL"/>
        </w:rPr>
      </w:pPr>
      <w:r w:rsidRPr="00C9501A">
        <w:rPr>
          <w:rFonts w:ascii="Arial" w:eastAsia="Times New Roman" w:hAnsi="Arial" w:cs="Arial"/>
          <w:lang w:eastAsia="pl-PL"/>
        </w:rPr>
        <w:t xml:space="preserve">7. unowocześnienie i zautomatyzowanie usług urzędów pracy, </w:t>
      </w:r>
    </w:p>
    <w:p w14:paraId="5B17C46E" w14:textId="77777777" w:rsidR="00C9501A" w:rsidRDefault="00C9501A" w:rsidP="00C9501A">
      <w:pPr>
        <w:spacing w:after="0"/>
        <w:jc w:val="both"/>
        <w:rPr>
          <w:rFonts w:ascii="Arial" w:eastAsia="Times New Roman" w:hAnsi="Arial" w:cs="Arial"/>
          <w:lang w:eastAsia="pl-PL"/>
        </w:rPr>
      </w:pPr>
      <w:r w:rsidRPr="00C9501A">
        <w:rPr>
          <w:rFonts w:ascii="Arial" w:eastAsia="Times New Roman" w:hAnsi="Arial" w:cs="Arial"/>
          <w:lang w:eastAsia="pl-PL"/>
        </w:rPr>
        <w:t xml:space="preserve">8. zwiększenie dostępu do Krajowego Funduszu Szkoleniowego (KFS) osób prowadzących firmy jednoosobowe oraz osób pracujących na podstawie umów cywilnoprawnych, </w:t>
      </w:r>
    </w:p>
    <w:p w14:paraId="210FBE22" w14:textId="77777777" w:rsidR="00C9501A" w:rsidRDefault="00C9501A" w:rsidP="00C9501A">
      <w:pPr>
        <w:spacing w:after="0"/>
        <w:jc w:val="both"/>
        <w:rPr>
          <w:rFonts w:ascii="Arial" w:eastAsia="Times New Roman" w:hAnsi="Arial" w:cs="Arial"/>
          <w:lang w:eastAsia="pl-PL"/>
        </w:rPr>
      </w:pPr>
      <w:r w:rsidRPr="00C9501A">
        <w:rPr>
          <w:rFonts w:ascii="Arial" w:eastAsia="Times New Roman" w:hAnsi="Arial" w:cs="Arial"/>
          <w:lang w:eastAsia="pl-PL"/>
        </w:rPr>
        <w:t xml:space="preserve">9. uelastycznienie gospodarowania środkami Funduszu Pracy. </w:t>
      </w:r>
    </w:p>
    <w:p w14:paraId="6CFCD173" w14:textId="77777777" w:rsidR="00C9501A" w:rsidRDefault="00C9501A" w:rsidP="00C9501A">
      <w:pPr>
        <w:spacing w:after="0"/>
        <w:jc w:val="both"/>
        <w:rPr>
          <w:rFonts w:ascii="Arial" w:eastAsia="Times New Roman" w:hAnsi="Arial" w:cs="Arial"/>
          <w:lang w:eastAsia="pl-PL"/>
        </w:rPr>
      </w:pPr>
      <w:r w:rsidRPr="00C9501A">
        <w:rPr>
          <w:rFonts w:ascii="Arial" w:eastAsia="Times New Roman" w:hAnsi="Arial" w:cs="Arial"/>
          <w:lang w:eastAsia="pl-PL"/>
        </w:rPr>
        <w:t xml:space="preserve">Ustawa określa zadania państwa w zakresie aktywności zawodowej, wspierania zatrudnienia oraz rynku pracy, które są realizowane w celu: </w:t>
      </w:r>
    </w:p>
    <w:p w14:paraId="18D70147" w14:textId="77777777" w:rsidR="00C9501A" w:rsidRDefault="00C9501A" w:rsidP="00C9501A">
      <w:pPr>
        <w:spacing w:after="0"/>
        <w:jc w:val="both"/>
        <w:rPr>
          <w:rFonts w:ascii="Arial" w:eastAsia="Times New Roman" w:hAnsi="Arial" w:cs="Arial"/>
          <w:lang w:eastAsia="pl-PL"/>
        </w:rPr>
      </w:pPr>
      <w:r w:rsidRPr="00C9501A">
        <w:rPr>
          <w:rFonts w:ascii="Arial" w:eastAsia="Times New Roman" w:hAnsi="Arial" w:cs="Arial"/>
          <w:lang w:eastAsia="pl-PL"/>
        </w:rPr>
        <w:t xml:space="preserve">1) pełnego i produktywnego zatrudnienia; </w:t>
      </w:r>
    </w:p>
    <w:p w14:paraId="696C7A2B" w14:textId="77777777" w:rsidR="00C9501A" w:rsidRDefault="00C9501A" w:rsidP="00C9501A">
      <w:pPr>
        <w:spacing w:after="0"/>
        <w:jc w:val="both"/>
        <w:rPr>
          <w:rFonts w:ascii="Arial" w:eastAsia="Times New Roman" w:hAnsi="Arial" w:cs="Arial"/>
          <w:lang w:eastAsia="pl-PL"/>
        </w:rPr>
      </w:pPr>
      <w:r w:rsidRPr="00C9501A">
        <w:rPr>
          <w:rFonts w:ascii="Arial" w:eastAsia="Times New Roman" w:hAnsi="Arial" w:cs="Arial"/>
          <w:lang w:eastAsia="pl-PL"/>
        </w:rPr>
        <w:t xml:space="preserve">2) rozwoju zasobów ludzkich; </w:t>
      </w:r>
    </w:p>
    <w:p w14:paraId="362C283B" w14:textId="77777777" w:rsidR="00C9501A" w:rsidRDefault="00C9501A" w:rsidP="00C9501A">
      <w:pPr>
        <w:spacing w:after="0"/>
        <w:jc w:val="both"/>
        <w:rPr>
          <w:rFonts w:ascii="Arial" w:eastAsia="Times New Roman" w:hAnsi="Arial" w:cs="Arial"/>
          <w:lang w:eastAsia="pl-PL"/>
        </w:rPr>
      </w:pPr>
      <w:r w:rsidRPr="00C9501A">
        <w:rPr>
          <w:rFonts w:ascii="Arial" w:eastAsia="Times New Roman" w:hAnsi="Arial" w:cs="Arial"/>
          <w:lang w:eastAsia="pl-PL"/>
        </w:rPr>
        <w:t xml:space="preserve">3) wzmacniania integracji i solidarności społecznej; </w:t>
      </w:r>
    </w:p>
    <w:p w14:paraId="22F3C0C5" w14:textId="77777777" w:rsidR="00C9501A" w:rsidRDefault="00C9501A" w:rsidP="00C9501A">
      <w:pPr>
        <w:spacing w:after="0"/>
        <w:jc w:val="both"/>
        <w:rPr>
          <w:rFonts w:ascii="Arial" w:eastAsia="Times New Roman" w:hAnsi="Arial" w:cs="Arial"/>
          <w:lang w:eastAsia="pl-PL"/>
        </w:rPr>
      </w:pPr>
      <w:r w:rsidRPr="00C9501A">
        <w:rPr>
          <w:rFonts w:ascii="Arial" w:eastAsia="Times New Roman" w:hAnsi="Arial" w:cs="Arial"/>
          <w:lang w:eastAsia="pl-PL"/>
        </w:rPr>
        <w:t xml:space="preserve">4) zwiększania mobilności na rynku pracy. </w:t>
      </w:r>
    </w:p>
    <w:p w14:paraId="6E0457B5" w14:textId="77777777" w:rsidR="00C9501A" w:rsidRDefault="00C9501A" w:rsidP="00C9501A">
      <w:pPr>
        <w:spacing w:after="0"/>
        <w:jc w:val="both"/>
        <w:rPr>
          <w:rFonts w:ascii="Arial" w:eastAsia="Times New Roman" w:hAnsi="Arial" w:cs="Arial"/>
          <w:lang w:eastAsia="pl-PL"/>
        </w:rPr>
      </w:pPr>
      <w:r w:rsidRPr="00C9501A">
        <w:rPr>
          <w:rFonts w:ascii="Arial" w:eastAsia="Times New Roman" w:hAnsi="Arial" w:cs="Arial"/>
          <w:lang w:eastAsia="pl-PL"/>
        </w:rPr>
        <w:t>Ustawa zawiera szereg zmian do innych ustaw, które w zdecydowanej większości mają charakter głównie porządkujący i dostosowujący brzmienie innych ustaw do nowej ustawy.</w:t>
      </w:r>
      <w:r>
        <w:rPr>
          <w:rFonts w:ascii="Arial" w:eastAsia="Times New Roman" w:hAnsi="Arial" w:cs="Arial"/>
          <w:lang w:eastAsia="pl-PL"/>
        </w:rPr>
        <w:t xml:space="preserve"> </w:t>
      </w:r>
    </w:p>
    <w:p w14:paraId="69337B14" w14:textId="77777777" w:rsidR="00C9501A" w:rsidRDefault="00C9501A" w:rsidP="00C9501A">
      <w:pPr>
        <w:spacing w:after="0"/>
        <w:jc w:val="both"/>
        <w:rPr>
          <w:rFonts w:ascii="Arial" w:eastAsia="Times New Roman" w:hAnsi="Arial" w:cs="Arial"/>
          <w:lang w:eastAsia="pl-PL"/>
        </w:rPr>
      </w:pPr>
      <w:r w:rsidRPr="00C9501A">
        <w:rPr>
          <w:rFonts w:ascii="Arial" w:eastAsia="Times New Roman" w:hAnsi="Arial" w:cs="Arial"/>
          <w:lang w:eastAsia="pl-PL"/>
        </w:rPr>
        <w:t xml:space="preserve">Ustawa zawiera niezbędne przepisy przejściowe i dostosowujące, w których uregulowano kwestie dotyczące m.in. danych osobowych zgromadzonych i przetwarzanych w odpowiednich rejestrach; pracowników zatrudnianych w PUP, OHP i innych jednostkach; postępowań w sprawach indywidualnych, wszczętych i niezakończonych decyzją ostateczną do dnia wejścia w życie ustawy; form pomocy przyznanych, przed dniem wejścia w życie ustawy; nienależnie pobranych świadczeń przyznanych na podstawie uchylanej ustawy o promocji zatrudnienia i instytucjach rynku pracy.  </w:t>
      </w:r>
    </w:p>
    <w:p w14:paraId="30286196" w14:textId="77777777" w:rsidR="00C9501A" w:rsidRDefault="00C9501A" w:rsidP="00C9501A">
      <w:pPr>
        <w:spacing w:after="0"/>
        <w:jc w:val="both"/>
        <w:rPr>
          <w:rFonts w:ascii="Arial" w:eastAsia="Times New Roman" w:hAnsi="Arial" w:cs="Arial"/>
          <w:lang w:eastAsia="pl-PL"/>
        </w:rPr>
      </w:pPr>
      <w:r w:rsidRPr="00C9501A">
        <w:rPr>
          <w:rFonts w:ascii="Arial" w:eastAsia="Times New Roman" w:hAnsi="Arial" w:cs="Arial"/>
          <w:lang w:eastAsia="pl-PL"/>
        </w:rPr>
        <w:t xml:space="preserve">Z dniem wejścia w życie ustawy traci moc ustawa z dnia 20 kwietnia 2004 r. o promocji zatrudnienia i instytucjach rynku pracy. </w:t>
      </w:r>
    </w:p>
    <w:p w14:paraId="31625674" w14:textId="77777777" w:rsidR="00C9501A" w:rsidRDefault="00C9501A" w:rsidP="00C9501A">
      <w:pPr>
        <w:spacing w:after="0"/>
        <w:jc w:val="both"/>
        <w:rPr>
          <w:rFonts w:ascii="Arial" w:eastAsia="Times New Roman" w:hAnsi="Arial" w:cs="Arial"/>
          <w:lang w:eastAsia="pl-PL"/>
        </w:rPr>
      </w:pPr>
      <w:r w:rsidRPr="00C9501A">
        <w:rPr>
          <w:rFonts w:ascii="Arial" w:eastAsia="Times New Roman" w:hAnsi="Arial" w:cs="Arial"/>
          <w:lang w:eastAsia="pl-PL"/>
        </w:rPr>
        <w:t xml:space="preserve">W zmianie ustawy z dnia 12 marca 2004 r. o pomocy społecznej wyłączono z definicji dochodu do celów pomocy społecznej świadczeń z programy „Aktywny rodzic”. W wyniku wprowadzonej zmiany otrzymywanie tych świadczeń nie będzie mieć wpływu na prawo do uzależnionych od dochodu świadczeń z pomocy społecznej i innych świadczeń/form wsparcia bazujących na definicji dochodu z ustawy o pomocy społecznej. Natomiast w zmianie ustawy z dnia 30 kwietnia 2004 r. o świadczeniach przedemerytalnych wprowadzone zostało rozwiązanie, w wyniku którego umożliwiono zaliczenie okresu uprawniającego do nabycia prawa do świadczenia przedemerytalnego, okresu pobierania świadczenia pielęgnacyjnego, specjalnego zasiłku opiekuńczego lub zasiłku dla opiekuna, niezależnie od tego z jakiej przyczyny osoba utraciła do nich prawo. Zrezygnowano bowiem z warunku, aby utrata prawa do omawianych świadczeń spowodowana była śmiercią osoby, nad którą opieka była </w:t>
      </w:r>
      <w:r w:rsidRPr="00C9501A">
        <w:rPr>
          <w:rFonts w:ascii="Arial" w:eastAsia="Times New Roman" w:hAnsi="Arial" w:cs="Arial"/>
          <w:lang w:eastAsia="pl-PL"/>
        </w:rPr>
        <w:lastRenderedPageBreak/>
        <w:t xml:space="preserve">sprawowana lub przyznaniem osobie, nad którą była sprawowana opieka, prawa do świadczenia wspierającego. Z kolei, w ustawie z dnia 17 lipca 2009 r. o praktykach absolwenckich wprowadzone zostały zmiany dające możliwość, w przypadku niepełnoletniego praktykanta, który ukończył szkołę ponadpodstawową i spełnia obowiązek nauki przez uczęszczanie na praktykę zgodnie z art. 36 ust. 12 ustawy z dnia 14 grudnia 2016 r. – Prawo oświatowe, zawarcia umowy o praktyki absolwenckie na okres nie dłuższy niż do ukończenia przez niego 18. roku życia (obecne przepisy dają możliwość zawarcia umowy na okres nie dłuższy niż 3 miesiące).  </w:t>
      </w:r>
    </w:p>
    <w:p w14:paraId="5DF524DA" w14:textId="77777777" w:rsidR="005D48D6" w:rsidRDefault="005D48D6" w:rsidP="00C9501A">
      <w:pPr>
        <w:spacing w:after="0"/>
        <w:jc w:val="both"/>
        <w:rPr>
          <w:rFonts w:ascii="Arial" w:eastAsia="Times New Roman" w:hAnsi="Arial" w:cs="Arial"/>
          <w:lang w:eastAsia="pl-PL"/>
        </w:rPr>
      </w:pPr>
    </w:p>
    <w:p w14:paraId="59B8FC0F" w14:textId="77777777" w:rsidR="005D48D6" w:rsidRDefault="00C9501A" w:rsidP="00C9501A">
      <w:pPr>
        <w:spacing w:after="0"/>
        <w:jc w:val="both"/>
        <w:rPr>
          <w:rFonts w:ascii="Arial" w:eastAsia="Times New Roman" w:hAnsi="Arial" w:cs="Arial"/>
          <w:lang w:eastAsia="pl-PL"/>
        </w:rPr>
      </w:pPr>
      <w:r w:rsidRPr="00C9501A">
        <w:rPr>
          <w:rFonts w:ascii="Arial" w:eastAsia="Times New Roman" w:hAnsi="Arial" w:cs="Arial"/>
          <w:lang w:eastAsia="pl-PL"/>
        </w:rPr>
        <w:t xml:space="preserve">Ustawa wejdzie w życie pierwszego dnia miesiąca następującego po upływie 14 dni od dnia ogłoszenia, z wyjątkiem: </w:t>
      </w:r>
    </w:p>
    <w:p w14:paraId="39FAA6DC" w14:textId="77777777" w:rsidR="005D48D6" w:rsidRDefault="00C9501A" w:rsidP="00C9501A">
      <w:pPr>
        <w:spacing w:after="0"/>
        <w:jc w:val="both"/>
        <w:rPr>
          <w:rFonts w:ascii="Arial" w:eastAsia="Times New Roman" w:hAnsi="Arial" w:cs="Arial"/>
          <w:lang w:eastAsia="pl-PL"/>
        </w:rPr>
      </w:pPr>
      <w:r w:rsidRPr="00C9501A">
        <w:rPr>
          <w:rFonts w:ascii="Arial" w:eastAsia="Times New Roman" w:hAnsi="Arial" w:cs="Arial"/>
          <w:lang w:eastAsia="pl-PL"/>
        </w:rPr>
        <w:t xml:space="preserve">1) zmiany wprowadzanej do ustawy o pomocy społecznej, dotyczącej niewliczania świadczeń „Aktywny rodzic” do dochodu ustalanego na podstawie przepisów ustawy o pomocy społecznej oraz przepisu przejściowego odnoszącego się do ww. kwestii, które wejdą w życie z dniem następującym po dniu ogłoszenia; </w:t>
      </w:r>
    </w:p>
    <w:p w14:paraId="1B3C0683" w14:textId="28AAC2A9" w:rsidR="00C9501A" w:rsidRDefault="00C9501A" w:rsidP="00C9501A">
      <w:pPr>
        <w:spacing w:after="0"/>
        <w:jc w:val="both"/>
        <w:rPr>
          <w:rStyle w:val="markedcontent"/>
          <w:rFonts w:ascii="Arial" w:hAnsi="Arial" w:cs="Arial"/>
        </w:rPr>
      </w:pPr>
      <w:r w:rsidRPr="00C9501A">
        <w:rPr>
          <w:rFonts w:ascii="Arial" w:eastAsia="Times New Roman" w:hAnsi="Arial" w:cs="Arial"/>
          <w:lang w:eastAsia="pl-PL"/>
        </w:rPr>
        <w:t xml:space="preserve">2) art. 106, art. 128 ust. 2, art. 203 oraz art. 300 ust. 3 pkt 11, które wejdą w życie z dniem 1 stycznia 2026 r. (dotyczy to przepisów związanych wymogiem posiadania przez instytucje realizujące szkolenia dla bezrobotnych i w ramach KFS wpisu do Bazy Usług Rozwojowych oraz przepisów dotyczących utworzenia punktów obsługi osób młodych).  </w:t>
      </w:r>
    </w:p>
    <w:p w14:paraId="297156CD" w14:textId="77777777" w:rsidR="000A0C11" w:rsidRPr="00287656" w:rsidRDefault="000A0C11" w:rsidP="005D48D6">
      <w:pPr>
        <w:pStyle w:val="Akapitzlist"/>
        <w:spacing w:after="0"/>
        <w:ind w:left="426"/>
        <w:jc w:val="both"/>
        <w:rPr>
          <w:rStyle w:val="markedcontent"/>
          <w:rFonts w:ascii="Arial" w:eastAsia="Times New Roman" w:hAnsi="Arial" w:cs="Arial"/>
          <w:u w:val="single"/>
          <w:lang w:eastAsia="pl-PL"/>
        </w:rPr>
      </w:pPr>
    </w:p>
    <w:p w14:paraId="7C1BCBAA" w14:textId="52296DB7" w:rsidR="000A0C11" w:rsidRPr="005D48D6" w:rsidRDefault="005D48D6" w:rsidP="005D48D6">
      <w:pPr>
        <w:pStyle w:val="Akapitzlist"/>
        <w:numPr>
          <w:ilvl w:val="0"/>
          <w:numId w:val="2"/>
        </w:numPr>
        <w:spacing w:after="0"/>
        <w:ind w:left="426" w:hanging="426"/>
        <w:jc w:val="both"/>
        <w:rPr>
          <w:rStyle w:val="markedcontent"/>
          <w:rFonts w:ascii="Arial" w:eastAsia="Times New Roman" w:hAnsi="Arial" w:cs="Arial"/>
          <w:b/>
          <w:bCs/>
          <w:u w:val="single"/>
          <w:lang w:eastAsia="pl-PL"/>
        </w:rPr>
      </w:pPr>
      <w:r w:rsidRPr="005D48D6">
        <w:rPr>
          <w:rStyle w:val="markedcontent"/>
          <w:rFonts w:ascii="Arial" w:eastAsia="Times New Roman" w:hAnsi="Arial" w:cs="Arial"/>
          <w:b/>
          <w:bCs/>
          <w:u w:val="single"/>
          <w:lang w:eastAsia="pl-PL"/>
        </w:rPr>
        <w:t>Ustawa z dnia 20 marca 2025 r. o warunkach dopuszczalności powierzania pracy cudzoziemcom na terytorium Rzeczypospolitej Polskiej</w:t>
      </w:r>
      <w:r>
        <w:rPr>
          <w:rStyle w:val="markedcontent"/>
          <w:rFonts w:ascii="Arial" w:eastAsia="Times New Roman" w:hAnsi="Arial" w:cs="Arial"/>
          <w:b/>
          <w:bCs/>
          <w:u w:val="single"/>
          <w:lang w:eastAsia="pl-PL"/>
        </w:rPr>
        <w:t>.</w:t>
      </w:r>
    </w:p>
    <w:p w14:paraId="210B78F9" w14:textId="77777777" w:rsidR="005D48D6" w:rsidRDefault="005D48D6" w:rsidP="005D48D6">
      <w:pPr>
        <w:spacing w:after="0"/>
        <w:jc w:val="both"/>
        <w:rPr>
          <w:rStyle w:val="markedcontent"/>
          <w:rFonts w:ascii="Arial" w:eastAsia="Times New Roman" w:hAnsi="Arial" w:cs="Arial"/>
          <w:u w:val="single"/>
          <w:lang w:eastAsia="pl-PL"/>
        </w:rPr>
      </w:pPr>
    </w:p>
    <w:p w14:paraId="7EA7424A" w14:textId="7F0D89E2" w:rsidR="005D48D6" w:rsidRPr="00C9501A" w:rsidRDefault="005D48D6" w:rsidP="005D48D6">
      <w:pPr>
        <w:spacing w:after="0"/>
        <w:jc w:val="both"/>
        <w:rPr>
          <w:rFonts w:ascii="Arial" w:hAnsi="Arial" w:cs="Arial"/>
        </w:rPr>
      </w:pPr>
      <w:r w:rsidRPr="00C9501A">
        <w:rPr>
          <w:rFonts w:ascii="Arial" w:hAnsi="Arial" w:cs="Arial"/>
        </w:rPr>
        <w:t xml:space="preserve">Powyższy akt prawny opublikowany został </w:t>
      </w:r>
      <w:r>
        <w:rPr>
          <w:rFonts w:ascii="Arial" w:hAnsi="Arial" w:cs="Arial"/>
        </w:rPr>
        <w:t xml:space="preserve">12 maja </w:t>
      </w:r>
      <w:r w:rsidRPr="00C9501A">
        <w:rPr>
          <w:rFonts w:ascii="Arial" w:hAnsi="Arial" w:cs="Arial"/>
        </w:rPr>
        <w:t>20</w:t>
      </w:r>
      <w:r>
        <w:rPr>
          <w:rFonts w:ascii="Arial" w:hAnsi="Arial" w:cs="Arial"/>
        </w:rPr>
        <w:t>25</w:t>
      </w:r>
      <w:r w:rsidRPr="00C9501A">
        <w:rPr>
          <w:rFonts w:ascii="Arial" w:hAnsi="Arial" w:cs="Arial"/>
        </w:rPr>
        <w:t xml:space="preserve"> roku w Dzienniku Ustaw (Dz.U. z 202</w:t>
      </w:r>
      <w:r>
        <w:rPr>
          <w:rFonts w:ascii="Arial" w:hAnsi="Arial" w:cs="Arial"/>
        </w:rPr>
        <w:t>5</w:t>
      </w:r>
      <w:r w:rsidRPr="00C9501A">
        <w:rPr>
          <w:rFonts w:ascii="Arial" w:hAnsi="Arial" w:cs="Arial"/>
        </w:rPr>
        <w:t xml:space="preserve">, poz. </w:t>
      </w:r>
      <w:r>
        <w:rPr>
          <w:rFonts w:ascii="Arial" w:hAnsi="Arial" w:cs="Arial"/>
        </w:rPr>
        <w:t>621</w:t>
      </w:r>
      <w:r w:rsidRPr="00C9501A">
        <w:rPr>
          <w:rFonts w:ascii="Arial" w:hAnsi="Arial" w:cs="Arial"/>
        </w:rPr>
        <w:t>).</w:t>
      </w:r>
    </w:p>
    <w:p w14:paraId="71A714FB" w14:textId="77777777" w:rsidR="005D48D6" w:rsidRPr="00C9501A" w:rsidRDefault="005D48D6" w:rsidP="005D48D6">
      <w:pPr>
        <w:spacing w:after="0"/>
        <w:jc w:val="both"/>
        <w:rPr>
          <w:rFonts w:ascii="Arial" w:hAnsi="Arial" w:cs="Arial"/>
        </w:rPr>
      </w:pPr>
    </w:p>
    <w:p w14:paraId="6E24991D" w14:textId="77777777" w:rsidR="005D48D6" w:rsidRDefault="005D48D6" w:rsidP="005D48D6">
      <w:pPr>
        <w:spacing w:after="0"/>
        <w:jc w:val="both"/>
        <w:rPr>
          <w:rFonts w:ascii="Arial" w:hAnsi="Arial" w:cs="Arial"/>
        </w:rPr>
      </w:pPr>
      <w:r w:rsidRPr="005D48D6">
        <w:rPr>
          <w:rFonts w:ascii="Arial" w:hAnsi="Arial" w:cs="Arial"/>
        </w:rPr>
        <w:t xml:space="preserve">Celem ustawy o warunkach dopuszczalności powierzania pracy cudzoziemcom na terytorium Rzeczypospolitej Polskiej, jak wskazano w uzasadnieniu do projektu ustawy, jest ograniczenie występujących nadużyć, usprawnienie procedur dotyczących powierzania pracy cudzoziemcom, zmniejszenie zaległości załatwiania spraw przez urzędy oraz pełna elektronizacja postępowań.   </w:t>
      </w:r>
    </w:p>
    <w:p w14:paraId="27E4381B" w14:textId="77777777" w:rsidR="005D48D6" w:rsidRDefault="005D48D6" w:rsidP="005D48D6">
      <w:pPr>
        <w:spacing w:after="0"/>
        <w:jc w:val="both"/>
        <w:rPr>
          <w:rFonts w:ascii="Arial" w:hAnsi="Arial" w:cs="Arial"/>
        </w:rPr>
      </w:pPr>
      <w:r w:rsidRPr="005D48D6">
        <w:rPr>
          <w:rFonts w:ascii="Arial" w:hAnsi="Arial" w:cs="Arial"/>
        </w:rPr>
        <w:t xml:space="preserve">Warunki dostępu cudzoziemców do polskiego rynku pracy są uregulowane obecnie głównie przepisami ustawy z dnia 20 kwietnia 2004 r. o promocji zatrudnienia i instytucjach rynku pracy (Dz. U. z 2025 r. poz. 214). Przepisy określające warunki dostępu cudzoziemców do rynku pracy były przez lata wielokrotnie nowelizowane i uzupełniane, co w praktyce utrudnia ich stosowanie. Ponadto przepisy te były wprowadzane w zgoła odmiennych warunkach społecznych i ekonomicznych, gdy praca podejmowana w Polsce przez cudzoziemców nie miała charakteru masowego, jak ma to miejsce obecnie. W związku z powyższym, zaistniała potrzeba kompleksowego uregulowania zagadnienia dostępu cudzoziemców do rynku pracy w odrębnej ustawie.  </w:t>
      </w:r>
    </w:p>
    <w:p w14:paraId="4F767F80" w14:textId="77777777" w:rsidR="00D86B50" w:rsidRDefault="005D48D6" w:rsidP="005D48D6">
      <w:pPr>
        <w:spacing w:after="0"/>
        <w:jc w:val="both"/>
        <w:rPr>
          <w:rFonts w:ascii="Arial" w:hAnsi="Arial" w:cs="Arial"/>
        </w:rPr>
      </w:pPr>
      <w:r w:rsidRPr="005D48D6">
        <w:rPr>
          <w:rFonts w:ascii="Arial" w:hAnsi="Arial" w:cs="Arial"/>
        </w:rPr>
        <w:t xml:space="preserve">Ustawa o warunkach dopuszczalności powierzania pracy cudzoziemcom na terytorium Rzeczypospolitej Polskiej adaptuje, z mniejszymi lub większymi modyfikacjami, szereg dotychczasowych rozwiązań, jakie obowiązywały w ustawie z dnia 20 kwietnia 2004 r. o promocji zatrudnienia i instytucjach rynku pracy, porządkując je i wprowadzając jednocześnie szereg nowych rozwiązań. </w:t>
      </w:r>
    </w:p>
    <w:p w14:paraId="0559AE53" w14:textId="69111599" w:rsidR="005D48D6" w:rsidRDefault="005D48D6" w:rsidP="005D48D6">
      <w:pPr>
        <w:spacing w:after="0"/>
        <w:jc w:val="both"/>
        <w:rPr>
          <w:rFonts w:ascii="Arial" w:hAnsi="Arial" w:cs="Arial"/>
        </w:rPr>
      </w:pPr>
      <w:r w:rsidRPr="005D48D6">
        <w:rPr>
          <w:rFonts w:ascii="Arial" w:hAnsi="Arial" w:cs="Arial"/>
        </w:rPr>
        <w:t xml:space="preserve">Ustawa o warunkach dopuszczalności powierzania pracy cudzoziemcom na terytorium Rzeczypospolitej Polskiej określa warunki dostępu cudzoziemców do rynku pracy, organy właściwe oraz tryb postępowania w tych sprawach. W ustawie uregulowano szczególne </w:t>
      </w:r>
      <w:r w:rsidRPr="005D48D6">
        <w:rPr>
          <w:rFonts w:ascii="Arial" w:hAnsi="Arial" w:cs="Arial"/>
        </w:rPr>
        <w:lastRenderedPageBreak/>
        <w:t xml:space="preserve">działania w zakresie aktywizacji zawodowej i integracji społecznej cudzoziemców finansowane ze środków Funduszu Pracy.  </w:t>
      </w:r>
    </w:p>
    <w:p w14:paraId="04771FF1" w14:textId="77777777" w:rsidR="00D86B50" w:rsidRDefault="005D48D6" w:rsidP="005D48D6">
      <w:pPr>
        <w:spacing w:after="0"/>
        <w:jc w:val="both"/>
        <w:rPr>
          <w:rFonts w:ascii="Arial" w:hAnsi="Arial" w:cs="Arial"/>
        </w:rPr>
      </w:pPr>
      <w:r w:rsidRPr="005D48D6">
        <w:rPr>
          <w:rFonts w:ascii="Arial" w:hAnsi="Arial" w:cs="Arial"/>
        </w:rPr>
        <w:t xml:space="preserve">Ustawa wprowadza również szczegółowy, zamknięty katalog form aktywności ekonomicznej cudzoziemca oraz określone grupy cudzoziemców, do których nie należy stosować przepisów ustawy, ponieważ warunki podjęcia tej aktywności są określone odrębnymi przepisami prawa polskiego, bezpośrednio stosowanymi postanowieniami umów międzynarodowych lub powszechnie stosowanymi zwyczajami międzynarodowymi, bądź aktywność ta na terytorium Rzeczypospolitej Polskiej ma charakter incydentalny i nie ma żadnego związku z polskim rynkiem pracy. W tej grupie ustawa wymienia m.in. cudzoziemców, którzy: posiadają zezwolenie na pobyt stały w Rzeczypospolitej Polskiej; posiadają status uchodźcy nadany w Rzeczypospolitej Polskiej; posiadają zgodę na pobyt ze względów humanitarnych w Rzeczypospolitej Polskiej. </w:t>
      </w:r>
    </w:p>
    <w:p w14:paraId="562FABFE" w14:textId="77777777" w:rsidR="00D86B50" w:rsidRDefault="005D48D6" w:rsidP="005D48D6">
      <w:pPr>
        <w:spacing w:after="0"/>
        <w:jc w:val="both"/>
        <w:rPr>
          <w:rFonts w:ascii="Arial" w:hAnsi="Arial" w:cs="Arial"/>
        </w:rPr>
      </w:pPr>
      <w:r w:rsidRPr="005D48D6">
        <w:rPr>
          <w:rFonts w:ascii="Arial" w:hAnsi="Arial" w:cs="Arial"/>
        </w:rPr>
        <w:t xml:space="preserve">Ustawa została podzielona na 11 rozdziałów, w których w: </w:t>
      </w:r>
    </w:p>
    <w:p w14:paraId="01062086" w14:textId="77777777" w:rsidR="00D86B50" w:rsidRDefault="005D48D6" w:rsidP="005D48D6">
      <w:pPr>
        <w:spacing w:after="0"/>
        <w:jc w:val="both"/>
        <w:rPr>
          <w:rFonts w:ascii="Arial" w:hAnsi="Arial" w:cs="Arial"/>
        </w:rPr>
      </w:pPr>
      <w:r w:rsidRPr="005D48D6">
        <w:rPr>
          <w:rFonts w:ascii="Arial" w:hAnsi="Arial" w:cs="Arial"/>
        </w:rPr>
        <w:t xml:space="preserve">1) rozdziale 1 uregulowano: zakres przedmiotowy i podmiotowy ustawy; definicje ustawowe; wskazanie przypadków, gdy podmiot powierzający pracę cudzoziemcowi jest uprawniony do powierzenia pracy cudzoziemcowi; przesłanki wydania, odmowy wydania oraz uchylenia zezwolenia na pracę; </w:t>
      </w:r>
    </w:p>
    <w:p w14:paraId="08510A3E" w14:textId="77777777" w:rsidR="00D86B50" w:rsidRDefault="005D48D6" w:rsidP="005D48D6">
      <w:pPr>
        <w:spacing w:after="0"/>
        <w:jc w:val="both"/>
        <w:rPr>
          <w:rFonts w:ascii="Arial" w:hAnsi="Arial" w:cs="Arial"/>
        </w:rPr>
      </w:pPr>
      <w:r w:rsidRPr="005D48D6">
        <w:rPr>
          <w:rFonts w:ascii="Arial" w:hAnsi="Arial" w:cs="Arial"/>
        </w:rPr>
        <w:t xml:space="preserve">2) rozdziale 2 uregulowano wydanie zezwolenia na pracę cudzoziemca na rzecz polskiego podmiotu powierzającego pracę cudzoziemcowi; </w:t>
      </w:r>
    </w:p>
    <w:p w14:paraId="05F2267F" w14:textId="77777777" w:rsidR="00D86B50" w:rsidRDefault="005D48D6" w:rsidP="005D48D6">
      <w:pPr>
        <w:spacing w:after="0"/>
        <w:jc w:val="both"/>
        <w:rPr>
          <w:rFonts w:ascii="Arial" w:hAnsi="Arial" w:cs="Arial"/>
        </w:rPr>
      </w:pPr>
      <w:r w:rsidRPr="005D48D6">
        <w:rPr>
          <w:rFonts w:ascii="Arial" w:hAnsi="Arial" w:cs="Arial"/>
        </w:rPr>
        <w:t xml:space="preserve">3) rozdziale 3 uregulowano kwestie zezwolenia na pracę w związku z pełnieniem określonej funkcji, np. w przypadku powierzenia pracy cudzoziemcom pełniącym funkcję członków zarządu w spółkach kapitałowych, cudzoziemcom prowadzącym sprawy spółki komandytowej lub komandytowo-akcyjnej, cudzoziemcom pełniącym funkcję pełnomocnika przedsiębiorcy (prokurenta); </w:t>
      </w:r>
    </w:p>
    <w:p w14:paraId="783BEAF4" w14:textId="77777777" w:rsidR="00D86B50" w:rsidRDefault="005D48D6" w:rsidP="005D48D6">
      <w:pPr>
        <w:spacing w:after="0"/>
        <w:jc w:val="both"/>
        <w:rPr>
          <w:rFonts w:ascii="Arial" w:hAnsi="Arial" w:cs="Arial"/>
        </w:rPr>
      </w:pPr>
      <w:r w:rsidRPr="005D48D6">
        <w:rPr>
          <w:rFonts w:ascii="Arial" w:hAnsi="Arial" w:cs="Arial"/>
        </w:rPr>
        <w:t xml:space="preserve">4) rozdziale 4 uregulowano kwestie dotyczące wydania zezwolenia na pracę w celu delegowania cudzoziemca przez podmiot zagraniczny na terytorium Rzeczypospolitej Polskiej;  </w:t>
      </w:r>
    </w:p>
    <w:p w14:paraId="0CFA0139" w14:textId="77777777" w:rsidR="00D86B50" w:rsidRDefault="005D48D6" w:rsidP="005D48D6">
      <w:pPr>
        <w:spacing w:after="0"/>
        <w:jc w:val="both"/>
        <w:rPr>
          <w:rFonts w:ascii="Arial" w:hAnsi="Arial" w:cs="Arial"/>
        </w:rPr>
      </w:pPr>
      <w:r w:rsidRPr="005D48D6">
        <w:rPr>
          <w:rFonts w:ascii="Arial" w:hAnsi="Arial" w:cs="Arial"/>
        </w:rPr>
        <w:t xml:space="preserve">5) rozdziale 5 uregulowano przepisy dotyczące wydawania zezwoleń na pracę sezonową;  </w:t>
      </w:r>
    </w:p>
    <w:p w14:paraId="19386092" w14:textId="77777777" w:rsidR="00D86B50" w:rsidRDefault="005D48D6" w:rsidP="005D48D6">
      <w:pPr>
        <w:spacing w:after="0"/>
        <w:jc w:val="both"/>
        <w:rPr>
          <w:rFonts w:ascii="Arial" w:hAnsi="Arial" w:cs="Arial"/>
        </w:rPr>
      </w:pPr>
      <w:r w:rsidRPr="005D48D6">
        <w:rPr>
          <w:rFonts w:ascii="Arial" w:hAnsi="Arial" w:cs="Arial"/>
        </w:rPr>
        <w:t xml:space="preserve">6) rozdziale 6 uregulowano kwestie dotyczące instytucji oświadczenia o powierzeniu pracy cudzoziemcowi; </w:t>
      </w:r>
    </w:p>
    <w:p w14:paraId="266F6ABF" w14:textId="77777777" w:rsidR="00D86B50" w:rsidRDefault="005D48D6" w:rsidP="005D48D6">
      <w:pPr>
        <w:spacing w:after="0"/>
        <w:jc w:val="both"/>
        <w:rPr>
          <w:rFonts w:ascii="Arial" w:hAnsi="Arial" w:cs="Arial"/>
        </w:rPr>
      </w:pPr>
      <w:r w:rsidRPr="005D48D6">
        <w:rPr>
          <w:rFonts w:ascii="Arial" w:hAnsi="Arial" w:cs="Arial"/>
        </w:rPr>
        <w:t xml:space="preserve">7) rozdziale 7 uregulowano przepisy dotyczące indywidualnych kont i przetwarzania danych w systemach teleinformatycznych;  </w:t>
      </w:r>
    </w:p>
    <w:p w14:paraId="21D95FC9" w14:textId="77777777" w:rsidR="00D86B50" w:rsidRDefault="005D48D6" w:rsidP="005D48D6">
      <w:pPr>
        <w:spacing w:after="0"/>
        <w:jc w:val="both"/>
        <w:rPr>
          <w:rFonts w:ascii="Arial" w:hAnsi="Arial" w:cs="Arial"/>
        </w:rPr>
      </w:pPr>
      <w:r w:rsidRPr="005D48D6">
        <w:rPr>
          <w:rFonts w:ascii="Arial" w:hAnsi="Arial" w:cs="Arial"/>
        </w:rPr>
        <w:t xml:space="preserve">8) rozdziale 8 uregulowano przepisy dotyczące szczególnych działań dotyczących aktywizacji zawodowej i integracji społecznej cudzoziemców;  </w:t>
      </w:r>
    </w:p>
    <w:p w14:paraId="45FBEB8C" w14:textId="77777777" w:rsidR="00D86B50" w:rsidRDefault="005D48D6" w:rsidP="005D48D6">
      <w:pPr>
        <w:spacing w:after="0"/>
        <w:jc w:val="both"/>
        <w:rPr>
          <w:rFonts w:ascii="Arial" w:hAnsi="Arial" w:cs="Arial"/>
        </w:rPr>
      </w:pPr>
      <w:r w:rsidRPr="005D48D6">
        <w:rPr>
          <w:rFonts w:ascii="Arial" w:hAnsi="Arial" w:cs="Arial"/>
        </w:rPr>
        <w:t xml:space="preserve">9) rozdział 9 uregulowano przepisy karne;  </w:t>
      </w:r>
    </w:p>
    <w:p w14:paraId="42001702" w14:textId="77777777" w:rsidR="00D86B50" w:rsidRDefault="005D48D6" w:rsidP="005D48D6">
      <w:pPr>
        <w:spacing w:after="0"/>
        <w:jc w:val="both"/>
        <w:rPr>
          <w:rFonts w:ascii="Arial" w:hAnsi="Arial" w:cs="Arial"/>
        </w:rPr>
      </w:pPr>
      <w:r w:rsidRPr="005D48D6">
        <w:rPr>
          <w:rFonts w:ascii="Arial" w:hAnsi="Arial" w:cs="Arial"/>
        </w:rPr>
        <w:t xml:space="preserve">10) rozdziale 10 uregulowano przepisy zmieniające, a w rozdziale 11 przejściowe i końcowe.  </w:t>
      </w:r>
    </w:p>
    <w:p w14:paraId="6D7AF647" w14:textId="77777777" w:rsidR="00D86B50" w:rsidRDefault="00D86B50" w:rsidP="005D48D6">
      <w:pPr>
        <w:spacing w:after="0"/>
        <w:jc w:val="both"/>
        <w:rPr>
          <w:rFonts w:ascii="Arial" w:hAnsi="Arial" w:cs="Arial"/>
        </w:rPr>
      </w:pPr>
    </w:p>
    <w:p w14:paraId="4AB55556" w14:textId="2A9EB068" w:rsidR="005D48D6" w:rsidRPr="00C9501A" w:rsidRDefault="005D48D6" w:rsidP="005D48D6">
      <w:pPr>
        <w:spacing w:after="0"/>
        <w:jc w:val="both"/>
        <w:rPr>
          <w:rFonts w:ascii="Arial" w:hAnsi="Arial" w:cs="Arial"/>
        </w:rPr>
      </w:pPr>
      <w:r w:rsidRPr="005D48D6">
        <w:rPr>
          <w:rFonts w:ascii="Arial" w:hAnsi="Arial" w:cs="Arial"/>
        </w:rPr>
        <w:t>Ustawa wejdzie w życie pierwszego dnia miesiąca następującego po upływie 14 dni od dnia ogłoszenia</w:t>
      </w:r>
      <w:r w:rsidR="00D86B50">
        <w:rPr>
          <w:rFonts w:ascii="Arial" w:hAnsi="Arial" w:cs="Arial"/>
        </w:rPr>
        <w:t xml:space="preserve">, </w:t>
      </w:r>
      <w:proofErr w:type="spellStart"/>
      <w:r w:rsidR="00D86B50">
        <w:rPr>
          <w:rFonts w:ascii="Arial" w:hAnsi="Arial" w:cs="Arial"/>
        </w:rPr>
        <w:t>tj</w:t>
      </w:r>
      <w:proofErr w:type="spellEnd"/>
      <w:r w:rsidRPr="00C9501A">
        <w:rPr>
          <w:rFonts w:ascii="Arial" w:hAnsi="Arial" w:cs="Arial"/>
        </w:rPr>
        <w:t xml:space="preserve"> </w:t>
      </w:r>
      <w:r w:rsidR="00D86B50">
        <w:rPr>
          <w:rFonts w:ascii="Arial" w:hAnsi="Arial" w:cs="Arial"/>
        </w:rPr>
        <w:t>26 maja</w:t>
      </w:r>
      <w:r w:rsidRPr="00C9501A">
        <w:rPr>
          <w:rFonts w:ascii="Arial" w:hAnsi="Arial" w:cs="Arial"/>
        </w:rPr>
        <w:t xml:space="preserve"> 202</w:t>
      </w:r>
      <w:r w:rsidR="00D86B50">
        <w:rPr>
          <w:rFonts w:ascii="Arial" w:hAnsi="Arial" w:cs="Arial"/>
        </w:rPr>
        <w:t>5</w:t>
      </w:r>
      <w:r w:rsidRPr="00C9501A">
        <w:rPr>
          <w:rFonts w:ascii="Arial" w:hAnsi="Arial" w:cs="Arial"/>
        </w:rPr>
        <w:t xml:space="preserve"> roku.</w:t>
      </w:r>
    </w:p>
    <w:p w14:paraId="14D38528" w14:textId="77777777" w:rsidR="005D48D6" w:rsidRPr="005D48D6" w:rsidRDefault="005D48D6" w:rsidP="005D48D6">
      <w:pPr>
        <w:spacing w:after="0"/>
        <w:jc w:val="both"/>
        <w:rPr>
          <w:rStyle w:val="markedcontent"/>
          <w:rFonts w:ascii="Arial" w:eastAsia="Times New Roman" w:hAnsi="Arial" w:cs="Arial"/>
          <w:u w:val="single"/>
          <w:lang w:eastAsia="pl-PL"/>
        </w:rPr>
      </w:pPr>
    </w:p>
    <w:sectPr w:rsidR="005D48D6" w:rsidRPr="005D48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40539"/>
    <w:multiLevelType w:val="hybridMultilevel"/>
    <w:tmpl w:val="3A448B1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6C005F1"/>
    <w:multiLevelType w:val="hybridMultilevel"/>
    <w:tmpl w:val="6F92A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E64FCE"/>
    <w:multiLevelType w:val="hybridMultilevel"/>
    <w:tmpl w:val="ABB0EF4E"/>
    <w:lvl w:ilvl="0" w:tplc="7CDEB80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BF1987"/>
    <w:multiLevelType w:val="hybridMultilevel"/>
    <w:tmpl w:val="44B429F6"/>
    <w:lvl w:ilvl="0" w:tplc="885EE0F2">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02A4C98"/>
    <w:multiLevelType w:val="hybridMultilevel"/>
    <w:tmpl w:val="413E67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4EF548F"/>
    <w:multiLevelType w:val="hybridMultilevel"/>
    <w:tmpl w:val="9954A782"/>
    <w:lvl w:ilvl="0" w:tplc="7736C82A">
      <w:start w:val="3"/>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D3B0DF8"/>
    <w:multiLevelType w:val="hybridMultilevel"/>
    <w:tmpl w:val="B8A4FCD4"/>
    <w:lvl w:ilvl="0" w:tplc="C96E2F8E">
      <w:start w:val="3"/>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0E4088E"/>
    <w:multiLevelType w:val="hybridMultilevel"/>
    <w:tmpl w:val="CAF21E52"/>
    <w:lvl w:ilvl="0" w:tplc="43D8372A">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C980FD5"/>
    <w:multiLevelType w:val="hybridMultilevel"/>
    <w:tmpl w:val="52A4B3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1ED00C6"/>
    <w:multiLevelType w:val="hybridMultilevel"/>
    <w:tmpl w:val="82C2C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DC15653"/>
    <w:multiLevelType w:val="hybridMultilevel"/>
    <w:tmpl w:val="FA4240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3F709F7"/>
    <w:multiLevelType w:val="hybridMultilevel"/>
    <w:tmpl w:val="F50086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29027726">
    <w:abstractNumId w:val="2"/>
  </w:num>
  <w:num w:numId="2" w16cid:durableId="3118319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0761560">
    <w:abstractNumId w:val="1"/>
  </w:num>
  <w:num w:numId="4" w16cid:durableId="5788216">
    <w:abstractNumId w:val="8"/>
  </w:num>
  <w:num w:numId="5" w16cid:durableId="1820147117">
    <w:abstractNumId w:val="7"/>
  </w:num>
  <w:num w:numId="6" w16cid:durableId="480390526">
    <w:abstractNumId w:val="10"/>
  </w:num>
  <w:num w:numId="7" w16cid:durableId="966667808">
    <w:abstractNumId w:val="3"/>
  </w:num>
  <w:num w:numId="8" w16cid:durableId="658965266">
    <w:abstractNumId w:val="11"/>
  </w:num>
  <w:num w:numId="9" w16cid:durableId="236090818">
    <w:abstractNumId w:val="6"/>
  </w:num>
  <w:num w:numId="10" w16cid:durableId="1638340453">
    <w:abstractNumId w:val="4"/>
  </w:num>
  <w:num w:numId="11" w16cid:durableId="855189577">
    <w:abstractNumId w:val="5"/>
  </w:num>
  <w:num w:numId="12" w16cid:durableId="1651592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C11"/>
    <w:rsid w:val="00001830"/>
    <w:rsid w:val="000506C9"/>
    <w:rsid w:val="00085FE9"/>
    <w:rsid w:val="000A0C11"/>
    <w:rsid w:val="00101228"/>
    <w:rsid w:val="001F64F9"/>
    <w:rsid w:val="00257B0F"/>
    <w:rsid w:val="00440124"/>
    <w:rsid w:val="004A0CA6"/>
    <w:rsid w:val="00516DFD"/>
    <w:rsid w:val="005D48D6"/>
    <w:rsid w:val="0065384F"/>
    <w:rsid w:val="0067737C"/>
    <w:rsid w:val="006C0F31"/>
    <w:rsid w:val="007C3200"/>
    <w:rsid w:val="007E2CB7"/>
    <w:rsid w:val="00804C8A"/>
    <w:rsid w:val="008656CA"/>
    <w:rsid w:val="009A45C6"/>
    <w:rsid w:val="009B61D0"/>
    <w:rsid w:val="009B7BDF"/>
    <w:rsid w:val="009E464A"/>
    <w:rsid w:val="00B04FED"/>
    <w:rsid w:val="00C9501A"/>
    <w:rsid w:val="00D12FD3"/>
    <w:rsid w:val="00D4204D"/>
    <w:rsid w:val="00D86B50"/>
    <w:rsid w:val="00E11A03"/>
    <w:rsid w:val="00F007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164E0"/>
  <w15:chartTrackingRefBased/>
  <w15:docId w15:val="{9CF3A0EF-CF7A-4067-9AD4-70212B6B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0C11"/>
    <w:pPr>
      <w:spacing w:after="200" w:line="276" w:lineRule="auto"/>
    </w:pPr>
    <w:rPr>
      <w:kern w:val="0"/>
      <w:sz w:val="22"/>
      <w:szCs w:val="22"/>
      <w14:ligatures w14:val="none"/>
    </w:rPr>
  </w:style>
  <w:style w:type="paragraph" w:styleId="Nagwek1">
    <w:name w:val="heading 1"/>
    <w:basedOn w:val="Normalny"/>
    <w:next w:val="Normalny"/>
    <w:link w:val="Nagwek1Znak"/>
    <w:uiPriority w:val="9"/>
    <w:qFormat/>
    <w:rsid w:val="000A0C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A0C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A0C1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A0C1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A0C1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A0C1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A0C1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A0C1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A0C1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A0C1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A0C1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A0C1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A0C1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A0C1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A0C1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A0C1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A0C1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A0C11"/>
    <w:rPr>
      <w:rFonts w:eastAsiaTheme="majorEastAsia" w:cstheme="majorBidi"/>
      <w:color w:val="272727" w:themeColor="text1" w:themeTint="D8"/>
    </w:rPr>
  </w:style>
  <w:style w:type="paragraph" w:styleId="Tytu">
    <w:name w:val="Title"/>
    <w:basedOn w:val="Normalny"/>
    <w:next w:val="Normalny"/>
    <w:link w:val="TytuZnak"/>
    <w:uiPriority w:val="10"/>
    <w:qFormat/>
    <w:rsid w:val="000A0C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A0C1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A0C1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A0C1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A0C11"/>
    <w:pPr>
      <w:spacing w:before="160"/>
      <w:jc w:val="center"/>
    </w:pPr>
    <w:rPr>
      <w:i/>
      <w:iCs/>
      <w:color w:val="404040" w:themeColor="text1" w:themeTint="BF"/>
    </w:rPr>
  </w:style>
  <w:style w:type="character" w:customStyle="1" w:styleId="CytatZnak">
    <w:name w:val="Cytat Znak"/>
    <w:basedOn w:val="Domylnaczcionkaakapitu"/>
    <w:link w:val="Cytat"/>
    <w:uiPriority w:val="29"/>
    <w:rsid w:val="000A0C11"/>
    <w:rPr>
      <w:i/>
      <w:iCs/>
      <w:color w:val="404040" w:themeColor="text1" w:themeTint="BF"/>
    </w:rPr>
  </w:style>
  <w:style w:type="paragraph" w:styleId="Akapitzlist">
    <w:name w:val="List Paragraph"/>
    <w:basedOn w:val="Normalny"/>
    <w:uiPriority w:val="34"/>
    <w:qFormat/>
    <w:rsid w:val="000A0C11"/>
    <w:pPr>
      <w:ind w:left="720"/>
      <w:contextualSpacing/>
    </w:pPr>
  </w:style>
  <w:style w:type="character" w:styleId="Wyrnienieintensywne">
    <w:name w:val="Intense Emphasis"/>
    <w:basedOn w:val="Domylnaczcionkaakapitu"/>
    <w:uiPriority w:val="21"/>
    <w:qFormat/>
    <w:rsid w:val="000A0C11"/>
    <w:rPr>
      <w:i/>
      <w:iCs/>
      <w:color w:val="0F4761" w:themeColor="accent1" w:themeShade="BF"/>
    </w:rPr>
  </w:style>
  <w:style w:type="paragraph" w:styleId="Cytatintensywny">
    <w:name w:val="Intense Quote"/>
    <w:basedOn w:val="Normalny"/>
    <w:next w:val="Normalny"/>
    <w:link w:val="CytatintensywnyZnak"/>
    <w:uiPriority w:val="30"/>
    <w:qFormat/>
    <w:rsid w:val="000A0C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A0C11"/>
    <w:rPr>
      <w:i/>
      <w:iCs/>
      <w:color w:val="0F4761" w:themeColor="accent1" w:themeShade="BF"/>
    </w:rPr>
  </w:style>
  <w:style w:type="character" w:styleId="Odwoanieintensywne">
    <w:name w:val="Intense Reference"/>
    <w:basedOn w:val="Domylnaczcionkaakapitu"/>
    <w:uiPriority w:val="32"/>
    <w:qFormat/>
    <w:rsid w:val="000A0C11"/>
    <w:rPr>
      <w:b/>
      <w:bCs/>
      <w:smallCaps/>
      <w:color w:val="0F4761" w:themeColor="accent1" w:themeShade="BF"/>
      <w:spacing w:val="5"/>
    </w:rPr>
  </w:style>
  <w:style w:type="character" w:customStyle="1" w:styleId="markedcontent">
    <w:name w:val="markedcontent"/>
    <w:basedOn w:val="Domylnaczcionkaakapitu"/>
    <w:rsid w:val="000A0C11"/>
  </w:style>
  <w:style w:type="character" w:styleId="Hipercze">
    <w:name w:val="Hyperlink"/>
    <w:basedOn w:val="Domylnaczcionkaakapitu"/>
    <w:uiPriority w:val="99"/>
    <w:unhideWhenUsed/>
    <w:rsid w:val="00804C8A"/>
    <w:rPr>
      <w:color w:val="467886" w:themeColor="hyperlink"/>
      <w:u w:val="single"/>
    </w:rPr>
  </w:style>
  <w:style w:type="character" w:styleId="Nierozpoznanawzmianka">
    <w:name w:val="Unresolved Mention"/>
    <w:basedOn w:val="Domylnaczcionkaakapitu"/>
    <w:uiPriority w:val="99"/>
    <w:semiHidden/>
    <w:unhideWhenUsed/>
    <w:rsid w:val="00804C8A"/>
    <w:rPr>
      <w:color w:val="605E5C"/>
      <w:shd w:val="clear" w:color="auto" w:fill="E1DFDD"/>
    </w:rPr>
  </w:style>
  <w:style w:type="character" w:styleId="UyteHipercze">
    <w:name w:val="FollowedHyperlink"/>
    <w:basedOn w:val="Domylnaczcionkaakapitu"/>
    <w:uiPriority w:val="99"/>
    <w:semiHidden/>
    <w:unhideWhenUsed/>
    <w:rsid w:val="00804C8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cja.rcl.gov.pl/projekt/12397856/katalog/13128982#13128982" TargetMode="External"/><Relationship Id="rId13" Type="http://schemas.openxmlformats.org/officeDocument/2006/relationships/hyperlink" Target="https://legislacja.rcl.gov.pl/projekt/12397800/katalog/13127858#13127858" TargetMode="External"/><Relationship Id="rId18" Type="http://schemas.openxmlformats.org/officeDocument/2006/relationships/hyperlink" Target="https://legislacja.rcl.gov.pl/projekt/1239780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egislacja.rcl.gov.pl/projekt/12397811" TargetMode="External"/><Relationship Id="rId7" Type="http://schemas.openxmlformats.org/officeDocument/2006/relationships/hyperlink" Target="https://legislacja.rcl.gov.pl/projekt/12397701/katalog/13127501#13127501" TargetMode="External"/><Relationship Id="rId12" Type="http://schemas.openxmlformats.org/officeDocument/2006/relationships/hyperlink" Target="https://legislacja.rcl.gov.pl/projekt/12397801/katalog/13127901#13127901" TargetMode="External"/><Relationship Id="rId17" Type="http://schemas.openxmlformats.org/officeDocument/2006/relationships/hyperlink" Target="https://legislacja.rcl.gov.pl/projekt/1239781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egislacja.rcl.gov.pl/projekt/12397809" TargetMode="External"/><Relationship Id="rId20" Type="http://schemas.openxmlformats.org/officeDocument/2006/relationships/hyperlink" Target="https://legislacja.rcl.gov.pl/projekt/12397813" TargetMode="External"/><Relationship Id="rId1" Type="http://schemas.openxmlformats.org/officeDocument/2006/relationships/numbering" Target="numbering.xml"/><Relationship Id="rId6" Type="http://schemas.openxmlformats.org/officeDocument/2006/relationships/hyperlink" Target="https://legislacja.rcl.gov.pl/projekt/12397653/katalog/13127202#13127202" TargetMode="External"/><Relationship Id="rId11" Type="http://schemas.openxmlformats.org/officeDocument/2006/relationships/hyperlink" Target="https://legislacja.rcl.gov.pl/projekt/12397802/katalog/13127944#13127944" TargetMode="External"/><Relationship Id="rId24" Type="http://schemas.openxmlformats.org/officeDocument/2006/relationships/hyperlink" Target="https://legislacja.rcl.gov.pl/projekt/12397816" TargetMode="External"/><Relationship Id="rId5" Type="http://schemas.openxmlformats.org/officeDocument/2006/relationships/image" Target="media/image1.png"/><Relationship Id="rId15" Type="http://schemas.openxmlformats.org/officeDocument/2006/relationships/hyperlink" Target="https://legislacja.rcl.gov.pl/projekt/12397810" TargetMode="External"/><Relationship Id="rId23" Type="http://schemas.openxmlformats.org/officeDocument/2006/relationships/hyperlink" Target="https://legislacja.rcl.gov.pl/projekt/12397815" TargetMode="External"/><Relationship Id="rId10" Type="http://schemas.openxmlformats.org/officeDocument/2006/relationships/hyperlink" Target="https://legislacja.rcl.gov.pl/projekt/12397702/katalog/13127565#13127565" TargetMode="External"/><Relationship Id="rId19" Type="http://schemas.openxmlformats.org/officeDocument/2006/relationships/hyperlink" Target="https://legislacja.rcl.gov.pl/projekt/12397812" TargetMode="External"/><Relationship Id="rId4" Type="http://schemas.openxmlformats.org/officeDocument/2006/relationships/webSettings" Target="webSettings.xml"/><Relationship Id="rId9" Type="http://schemas.openxmlformats.org/officeDocument/2006/relationships/hyperlink" Target="https://legislacja.rcl.gov.pl/projekt/12397655/katalog/13127318#13127318" TargetMode="External"/><Relationship Id="rId14" Type="http://schemas.openxmlformats.org/officeDocument/2006/relationships/hyperlink" Target="https://legislacja.rcl.gov.pl/projekt/12397808" TargetMode="External"/><Relationship Id="rId22" Type="http://schemas.openxmlformats.org/officeDocument/2006/relationships/hyperlink" Target="https://legislacja.rcl.gov.pl/projekt/12397814"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253</TotalTime>
  <Pages>25</Pages>
  <Words>12026</Words>
  <Characters>72161</Characters>
  <Application>Microsoft Office Word</Application>
  <DocSecurity>0</DocSecurity>
  <Lines>601</Lines>
  <Paragraphs>168</Paragraphs>
  <ScaleCrop>false</ScaleCrop>
  <HeadingPairs>
    <vt:vector size="2" baseType="variant">
      <vt:variant>
        <vt:lpstr>Tytuł</vt:lpstr>
      </vt:variant>
      <vt:variant>
        <vt:i4>1</vt:i4>
      </vt:variant>
    </vt:vector>
  </HeadingPairs>
  <TitlesOfParts>
    <vt:vector size="1" baseType="lpstr">
      <vt:lpstr/>
    </vt:vector>
  </TitlesOfParts>
  <Company>Związek Pracodawców Polska Miedź</Company>
  <LinksUpToDate>false</LinksUpToDate>
  <CharactersWithSpaces>84019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Kudłak</dc:creator>
  <cp:keywords/>
  <dc:description/>
  <cp:lastModifiedBy>Alicja Kudłak</cp:lastModifiedBy>
  <cp:revision>1</cp:revision>
  <dcterms:created xsi:type="dcterms:W3CDTF">2025-05-20T07:44:00Z</dcterms:created>
  <dcterms:modified xsi:type="dcterms:W3CDTF">2025-05-20T12:57:00Z</dcterms:modified>
</cp:coreProperties>
</file>