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6F90" w14:textId="792B5D6C" w:rsidR="00261A16" w:rsidRDefault="00482823" w:rsidP="00482823">
      <w:pPr>
        <w:pStyle w:val="OZNPROJEKTUwskazaniedatylubwersjiprojektu"/>
      </w:pPr>
      <w:r>
        <w:t>Projekt z dnia 19 maja 2025 r.</w:t>
      </w:r>
    </w:p>
    <w:p w14:paraId="528F1C0F" w14:textId="0DCB723E" w:rsidR="00482823" w:rsidRDefault="00482823" w:rsidP="00482823">
      <w:pPr>
        <w:pStyle w:val="OZNRODZAKTUtznustawalubrozporzdzenieiorganwydajcy"/>
      </w:pPr>
      <w:r>
        <w:t>Ustawa</w:t>
      </w:r>
    </w:p>
    <w:p w14:paraId="4EE9140A" w14:textId="2B09800E" w:rsidR="00482823" w:rsidRDefault="00482823" w:rsidP="00482823">
      <w:pPr>
        <w:pStyle w:val="DATAAKTUdatauchwalenialubwydaniaaktu"/>
      </w:pPr>
      <w:r>
        <w:t>z dnia</w:t>
      </w:r>
    </w:p>
    <w:p w14:paraId="71E22969" w14:textId="47C1ADEF" w:rsidR="00482823" w:rsidRDefault="00482823" w:rsidP="00482823">
      <w:pPr>
        <w:pStyle w:val="TYTUAKTUprzedmiotregulacjiustawylubrozporzdzenia"/>
        <w:rPr>
          <w:rStyle w:val="IGindeksgrny"/>
        </w:rPr>
      </w:pPr>
      <w:commentRangeStart w:id="0"/>
      <w:r>
        <w:t>o zmianie ustawy - Prawo energetyczne oraz niektórych innych ustaw</w:t>
      </w:r>
      <w:commentRangeEnd w:id="0"/>
      <w:r w:rsidR="00BE4401">
        <w:rPr>
          <w:rStyle w:val="Odwoaniedokomentarza"/>
          <w:rFonts w:eastAsia="Times New Roman" w:cs="Times New Roman"/>
          <w:b w:val="0"/>
          <w:bCs w:val="0"/>
        </w:rPr>
        <w:commentReference w:id="0"/>
      </w:r>
      <w:r>
        <w:rPr>
          <w:rStyle w:val="Odwoanieprzypisudolnego"/>
        </w:rPr>
        <w:footnoteReference w:id="1"/>
      </w:r>
      <w:r w:rsidRPr="00B85E55">
        <w:rPr>
          <w:rStyle w:val="IGindeksgrny"/>
        </w:rPr>
        <w:t>)</w:t>
      </w:r>
    </w:p>
    <w:p w14:paraId="4EA0B2DE" w14:textId="598BC430" w:rsidR="00482823" w:rsidRDefault="00482823" w:rsidP="00482823">
      <w:pPr>
        <w:pStyle w:val="ARTartustawynprozporzdzenia"/>
      </w:pPr>
      <w:r w:rsidRPr="00482823">
        <w:rPr>
          <w:rStyle w:val="Ppogrubienie"/>
        </w:rPr>
        <w:t>Art. 1</w:t>
      </w:r>
      <w:r>
        <w:t xml:space="preserve">. W </w:t>
      </w:r>
      <w:r w:rsidRPr="00482823">
        <w:t>ustawie</w:t>
      </w:r>
      <w:r>
        <w:t xml:space="preserve"> z dnia 10 kwietnia 1997 r. – Prawo energetyczne (Dz. U. z 2024 r. poz. 266, 834, 859, 1847 i 1881 oraz z 2025 r. poz. 303) wprowadza się następujące zmiany:</w:t>
      </w:r>
    </w:p>
    <w:p w14:paraId="41D78865" w14:textId="05543976" w:rsidR="00D558CB" w:rsidRPr="00D558CB" w:rsidRDefault="00482823" w:rsidP="00D558CB">
      <w:pPr>
        <w:pStyle w:val="PKTpunkt"/>
      </w:pPr>
      <w:r>
        <w:t>1)</w:t>
      </w:r>
      <w:r>
        <w:tab/>
      </w:r>
      <w:r w:rsidR="00D558CB">
        <w:t xml:space="preserve">w </w:t>
      </w:r>
      <w:r w:rsidR="00D558CB" w:rsidRPr="00D558CB">
        <w:t xml:space="preserve">art. 7 </w:t>
      </w:r>
      <w:r w:rsidR="00615364">
        <w:t xml:space="preserve">w </w:t>
      </w:r>
      <w:r w:rsidR="00D558CB" w:rsidRPr="00D558CB">
        <w:t>ust. 8g pkt 5 otrzymuje brzmienie:</w:t>
      </w:r>
    </w:p>
    <w:p w14:paraId="04986B81" w14:textId="0D2A4788" w:rsidR="00D558CB" w:rsidRPr="00D558CB" w:rsidRDefault="00D558CB" w:rsidP="00323318">
      <w:pPr>
        <w:pStyle w:val="ZPKTzmpktartykuempunktem"/>
      </w:pPr>
      <w:r>
        <w:t>„</w:t>
      </w:r>
      <w:r w:rsidRPr="00D558CB">
        <w:t>5</w:t>
      </w:r>
      <w:r w:rsidR="00615364">
        <w:t>)</w:t>
      </w:r>
      <w:r w:rsidR="00615364">
        <w:tab/>
      </w:r>
      <w:r w:rsidR="002D39A8">
        <w:t>60</w:t>
      </w:r>
      <w:r w:rsidRPr="00D558CB">
        <w:t xml:space="preserve"> dni od złożenia wniosku przez wnioskodawcę zaliczonego do I lub II grupy </w:t>
      </w:r>
      <w:commentRangeStart w:id="1"/>
      <w:r w:rsidRPr="00D558CB">
        <w:t>sieciowej</w:t>
      </w:r>
      <w:commentRangeEnd w:id="1"/>
      <w:r w:rsidR="00BD5AD1">
        <w:rPr>
          <w:rStyle w:val="Odwoaniedokomentarza"/>
          <w:rFonts w:eastAsia="Times New Roman" w:cs="Times New Roman"/>
          <w:bCs w:val="0"/>
        </w:rPr>
        <w:commentReference w:id="1"/>
      </w:r>
      <w:r w:rsidRPr="00D558CB">
        <w:t>;”</w:t>
      </w:r>
    </w:p>
    <w:p w14:paraId="590CA064" w14:textId="5A5E6E3A" w:rsidR="00797358" w:rsidRDefault="00D558CB" w:rsidP="00323318">
      <w:pPr>
        <w:pStyle w:val="PKTpunkt"/>
      </w:pPr>
      <w:r>
        <w:t>2)</w:t>
      </w:r>
      <w:r>
        <w:tab/>
      </w:r>
      <w:r w:rsidR="00797358" w:rsidRPr="00797358">
        <w:t>art. 7</w:t>
      </w:r>
      <w:r w:rsidR="002D39A8">
        <w:t>aa</w:t>
      </w:r>
      <w:r w:rsidR="00797358" w:rsidRPr="00797358">
        <w:t xml:space="preserve"> </w:t>
      </w:r>
      <w:r w:rsidR="00615364">
        <w:t xml:space="preserve">w </w:t>
      </w:r>
      <w:r w:rsidR="00797358" w:rsidRPr="00797358">
        <w:t xml:space="preserve">ust. </w:t>
      </w:r>
      <w:r w:rsidR="00797358">
        <w:t xml:space="preserve">13 pkt 2 </w:t>
      </w:r>
      <w:r w:rsidR="00797358" w:rsidRPr="00797358">
        <w:t>otrzymuje brzmienie:</w:t>
      </w:r>
    </w:p>
    <w:p w14:paraId="6E46D1DE" w14:textId="2CA69A1B" w:rsidR="00797358" w:rsidRPr="00797358" w:rsidRDefault="00797358" w:rsidP="00615364">
      <w:pPr>
        <w:pStyle w:val="ZPKTzmpktartykuempunktem"/>
      </w:pPr>
      <w:r w:rsidRPr="00797358">
        <w:t>„2</w:t>
      </w:r>
      <w:r w:rsidR="00615364">
        <w:t>)</w:t>
      </w:r>
      <w:r w:rsidR="00615364">
        <w:tab/>
      </w:r>
      <w:r w:rsidRPr="00797358">
        <w:t>niezwłocznie, nie dłużej niż w terminie 7 dni, po dokonaniu wpisu linii bezpośredniej do wykazu, o którym mowa w ust. 9, wydaje zaświadczenie o wpisaniu linii bezpośredniej do tego wykazu.”</w:t>
      </w:r>
    </w:p>
    <w:p w14:paraId="2A76340B" w14:textId="7B2B9CEA" w:rsidR="00A70BC7" w:rsidRDefault="00797358" w:rsidP="00D558CB">
      <w:pPr>
        <w:pStyle w:val="PKTpunkt"/>
      </w:pPr>
      <w:r>
        <w:t>3)</w:t>
      </w:r>
      <w:r>
        <w:tab/>
      </w:r>
      <w:r w:rsidR="0077024C">
        <w:t>po art. 7aa dodaje się art. 7ab-7a</w:t>
      </w:r>
      <w:r w:rsidR="00D023F9">
        <w:t>e</w:t>
      </w:r>
      <w:r w:rsidR="0077024C">
        <w:t xml:space="preserve"> w brzmieniu:</w:t>
      </w:r>
    </w:p>
    <w:p w14:paraId="0E69192E" w14:textId="31D70F35" w:rsidR="00D6315E" w:rsidRDefault="00615364" w:rsidP="000A2E32">
      <w:pPr>
        <w:pStyle w:val="ZARTzmartartykuempunktem"/>
      </w:pPr>
      <w:r w:rsidRPr="00797358">
        <w:t>„</w:t>
      </w:r>
      <w:r w:rsidR="00A70BC7">
        <w:t>Art.</w:t>
      </w:r>
      <w:r w:rsidR="00320E3D">
        <w:t xml:space="preserve"> </w:t>
      </w:r>
      <w:r w:rsidR="0077024C">
        <w:t>7ab</w:t>
      </w:r>
      <w:r w:rsidR="00A70BC7">
        <w:t xml:space="preserve">. </w:t>
      </w:r>
      <w:r w:rsidR="007D3306">
        <w:t xml:space="preserve">1. </w:t>
      </w:r>
      <w:r w:rsidR="00320E3D">
        <w:t>Minister właściwy do spraw gospodarki surowcami energetycznymi</w:t>
      </w:r>
      <w:r w:rsidR="00D023F9">
        <w:t xml:space="preserve"> </w:t>
      </w:r>
      <w:r w:rsidR="00320E3D">
        <w:t xml:space="preserve">w </w:t>
      </w:r>
      <w:commentRangeStart w:id="2"/>
      <w:r w:rsidR="00320E3D">
        <w:t>obszar</w:t>
      </w:r>
      <w:r w:rsidR="000D2BDF">
        <w:t>ach</w:t>
      </w:r>
      <w:r w:rsidR="00320E3D">
        <w:t xml:space="preserve"> strategicznej interwencji</w:t>
      </w:r>
      <w:commentRangeEnd w:id="2"/>
      <w:r w:rsidR="009237A1">
        <w:rPr>
          <w:rStyle w:val="Odwoaniedokomentarza"/>
          <w:rFonts w:eastAsia="Times New Roman" w:cs="Times New Roman"/>
        </w:rPr>
        <w:commentReference w:id="2"/>
      </w:r>
      <w:r w:rsidR="00D6315E">
        <w:t xml:space="preserve"> </w:t>
      </w:r>
      <w:r w:rsidR="007D3306">
        <w:t>może ustanowić</w:t>
      </w:r>
      <w:r w:rsidR="00D6315E">
        <w:t xml:space="preserve"> </w:t>
      </w:r>
      <w:r w:rsidR="00717932">
        <w:t>S</w:t>
      </w:r>
      <w:r w:rsidR="00D6315E">
        <w:t xml:space="preserve">trefę </w:t>
      </w:r>
      <w:r w:rsidR="00717932">
        <w:t>R</w:t>
      </w:r>
      <w:r w:rsidR="00D6315E">
        <w:t xml:space="preserve">ozwoju </w:t>
      </w:r>
      <w:r w:rsidR="00717932">
        <w:t>Z</w:t>
      </w:r>
      <w:r w:rsidR="00D6315E">
        <w:t xml:space="preserve">równoważonego </w:t>
      </w:r>
      <w:r w:rsidR="00717932">
        <w:t>P</w:t>
      </w:r>
      <w:r w:rsidR="00D6315E">
        <w:t xml:space="preserve">rzemysłu. </w:t>
      </w:r>
    </w:p>
    <w:p w14:paraId="490ABEB4" w14:textId="46CAF6AA" w:rsidR="000D2BDF" w:rsidRPr="000D2BDF" w:rsidRDefault="000D2BDF" w:rsidP="000A2E32">
      <w:pPr>
        <w:pStyle w:val="ZUSTzmustartykuempunktem"/>
      </w:pPr>
      <w:r>
        <w:t xml:space="preserve">2. </w:t>
      </w:r>
      <w:r w:rsidRPr="000D2BDF">
        <w:t xml:space="preserve">Do </w:t>
      </w:r>
      <w:r w:rsidR="008C0B38">
        <w:t xml:space="preserve">decyzji </w:t>
      </w:r>
      <w:r w:rsidRPr="000D2BDF">
        <w:t xml:space="preserve">w sprawie </w:t>
      </w:r>
      <w:r>
        <w:t>ustanowienia strefy o której mowa w ust. 1</w:t>
      </w:r>
      <w:r w:rsidR="008C0B38">
        <w:t>,</w:t>
      </w:r>
      <w:r>
        <w:t xml:space="preserve"> </w:t>
      </w:r>
      <w:commentRangeStart w:id="3"/>
      <w:r>
        <w:t>nie</w:t>
      </w:r>
      <w:r w:rsidRPr="000D2BDF">
        <w:t xml:space="preserve"> stosuje się przepis</w:t>
      </w:r>
      <w:r w:rsidR="00FB10CC">
        <w:t>ów</w:t>
      </w:r>
      <w:r w:rsidRPr="000D2BDF">
        <w:t xml:space="preserve"> ustawy z dnia 14 czerwca 1960 r. – Kodeks postępowania administracyjnego</w:t>
      </w:r>
      <w:commentRangeEnd w:id="3"/>
      <w:r w:rsidR="001D3314">
        <w:rPr>
          <w:rStyle w:val="Odwoaniedokomentarza"/>
          <w:rFonts w:eastAsia="Times New Roman" w:cs="Times New Roman"/>
        </w:rPr>
        <w:commentReference w:id="3"/>
      </w:r>
      <w:r w:rsidRPr="000D2BDF">
        <w:t xml:space="preserve"> (Dz. U. </w:t>
      </w:r>
      <w:r w:rsidR="00D023F9">
        <w:t>z 2024 r. poz. 572</w:t>
      </w:r>
      <w:r w:rsidRPr="000D2BDF">
        <w:t>).</w:t>
      </w:r>
    </w:p>
    <w:p w14:paraId="5A1DDD23" w14:textId="38D8C3B8" w:rsidR="00A70BC7" w:rsidRDefault="000D2BDF" w:rsidP="00615364">
      <w:pPr>
        <w:pStyle w:val="ZARTzmartartykuempunktem"/>
      </w:pPr>
      <w:r>
        <w:t xml:space="preserve">Art. </w:t>
      </w:r>
      <w:r w:rsidR="00D43B60">
        <w:t>7ac</w:t>
      </w:r>
      <w:r w:rsidR="007D3306">
        <w:t xml:space="preserve">. </w:t>
      </w:r>
      <w:commentRangeStart w:id="4"/>
      <w:r>
        <w:t xml:space="preserve">Ustanowienie strefy </w:t>
      </w:r>
      <w:commentRangeEnd w:id="4"/>
      <w:r w:rsidR="001E51BA">
        <w:rPr>
          <w:rStyle w:val="Odwoaniedokomentarza"/>
          <w:rFonts w:eastAsia="Times New Roman" w:cs="Times New Roman"/>
        </w:rPr>
        <w:commentReference w:id="4"/>
      </w:r>
      <w:r w:rsidRPr="000D2BDF">
        <w:t>o któr</w:t>
      </w:r>
      <w:r>
        <w:t>ej</w:t>
      </w:r>
      <w:r w:rsidRPr="000D2BDF">
        <w:t xml:space="preserve"> mowa w art. </w:t>
      </w:r>
      <w:r w:rsidR="0077024C">
        <w:t>7ab</w:t>
      </w:r>
      <w:r w:rsidRPr="000D2BDF">
        <w:t xml:space="preserve"> ust. 1 </w:t>
      </w:r>
      <w:r>
        <w:t>przez m</w:t>
      </w:r>
      <w:r w:rsidR="007D3306">
        <w:t>inist</w:t>
      </w:r>
      <w:r>
        <w:t>ra</w:t>
      </w:r>
      <w:r w:rsidR="007D3306">
        <w:t xml:space="preserve"> </w:t>
      </w:r>
      <w:r>
        <w:t>właściwego do spraw gospodarki surowcami energetycznymi następuje</w:t>
      </w:r>
      <w:r w:rsidR="00285642">
        <w:t>,</w:t>
      </w:r>
      <w:r>
        <w:t xml:space="preserve"> </w:t>
      </w:r>
      <w:commentRangeStart w:id="5"/>
      <w:r w:rsidR="007D3306">
        <w:t xml:space="preserve">na wniosek </w:t>
      </w:r>
      <w:commentRangeEnd w:id="5"/>
      <w:r w:rsidR="005C1969">
        <w:rPr>
          <w:rStyle w:val="Odwoaniedokomentarza"/>
          <w:rFonts w:eastAsia="Times New Roman" w:cs="Times New Roman"/>
        </w:rPr>
        <w:commentReference w:id="5"/>
      </w:r>
      <w:r w:rsidR="00725A6F">
        <w:t xml:space="preserve">przedsiębiorcy w rozumieniu ustawy z dnia 6 marca 2018 r. – Prawo przedsiębiorców (Dz. U z 2024 r. poz. 236, 1222 i 1871, oraz z 2025 r. poz. 222, 621 i 622), </w:t>
      </w:r>
      <w:r w:rsidR="008C0B38">
        <w:t xml:space="preserve">działającego w </w:t>
      </w:r>
      <w:r w:rsidR="008C0B38" w:rsidRPr="008C0B38">
        <w:t>obszar</w:t>
      </w:r>
      <w:r w:rsidR="008C0B38">
        <w:t>ze</w:t>
      </w:r>
      <w:r w:rsidR="008C0B38" w:rsidRPr="008C0B38">
        <w:t xml:space="preserve"> strategicznej interwencji</w:t>
      </w:r>
      <w:r w:rsidR="00D43B60">
        <w:t xml:space="preserve"> w rozumieniu art. 5 ust</w:t>
      </w:r>
      <w:r w:rsidR="00C33DE1">
        <w:t>.</w:t>
      </w:r>
      <w:r w:rsidR="00D43B60">
        <w:t xml:space="preserve"> 6b ustawy</w:t>
      </w:r>
      <w:r w:rsidR="00C33DE1">
        <w:t xml:space="preserve"> o zasadach prowadzenia polityki rozwoju (Dz. U. z 2025 r. poz. 198)</w:t>
      </w:r>
      <w:r w:rsidR="00D43B60">
        <w:t xml:space="preserve"> </w:t>
      </w:r>
      <w:r w:rsidR="00C33DE1">
        <w:t>o</w:t>
      </w:r>
      <w:r w:rsidR="00D43B60">
        <w:t>kreślon</w:t>
      </w:r>
      <w:r w:rsidR="00AA6F05">
        <w:t xml:space="preserve">ych na podstawie </w:t>
      </w:r>
      <w:r w:rsidR="00D43B60">
        <w:t>średniookresowej strategii rozwoju kraju</w:t>
      </w:r>
      <w:r w:rsidR="00AA6F05">
        <w:t xml:space="preserve"> zgodnie z</w:t>
      </w:r>
      <w:r w:rsidR="00D43B60">
        <w:t xml:space="preserve"> art. 12a </w:t>
      </w:r>
      <w:r w:rsidR="00C33DE1">
        <w:t xml:space="preserve">ust. 1 pkt 5 </w:t>
      </w:r>
      <w:r w:rsidR="00AA6F05">
        <w:t xml:space="preserve">powołanej </w:t>
      </w:r>
      <w:r w:rsidR="00C33DE1">
        <w:t>ustawy</w:t>
      </w:r>
      <w:r w:rsidR="00985C07">
        <w:t>,</w:t>
      </w:r>
      <w:r w:rsidR="008C0B38">
        <w:t xml:space="preserve"> </w:t>
      </w:r>
      <w:r w:rsidR="00C33DE1">
        <w:t>który</w:t>
      </w:r>
      <w:r w:rsidR="00285642">
        <w:t>:</w:t>
      </w:r>
      <w:r w:rsidR="008C0B38">
        <w:t xml:space="preserve"> </w:t>
      </w:r>
    </w:p>
    <w:p w14:paraId="66BAF695" w14:textId="78F0FC45" w:rsidR="00285642" w:rsidRDefault="00D21ECA" w:rsidP="000A2E32">
      <w:pPr>
        <w:pStyle w:val="ZLITzmlitartykuempunktem"/>
      </w:pPr>
      <w:r>
        <w:lastRenderedPageBreak/>
        <w:t>a)</w:t>
      </w:r>
      <w:r>
        <w:tab/>
      </w:r>
      <w:commentRangeStart w:id="6"/>
      <w:r w:rsidR="008C0B38">
        <w:t>odbi</w:t>
      </w:r>
      <w:r w:rsidR="00285642">
        <w:t>era</w:t>
      </w:r>
      <w:r w:rsidR="008C0B38">
        <w:t xml:space="preserve"> energię elektryczną </w:t>
      </w:r>
      <w:commentRangeStart w:id="7"/>
      <w:r w:rsidR="008C0B38">
        <w:t>linią bezpośrednią</w:t>
      </w:r>
      <w:commentRangeEnd w:id="7"/>
      <w:r w:rsidR="00E04508">
        <w:rPr>
          <w:rStyle w:val="Odwoaniedokomentarza"/>
          <w:rFonts w:eastAsia="Times New Roman" w:cs="Times New Roman"/>
          <w:bCs w:val="0"/>
        </w:rPr>
        <w:commentReference w:id="7"/>
      </w:r>
      <w:r w:rsidR="00BB3584">
        <w:t>,</w:t>
      </w:r>
      <w:r w:rsidR="00BB3584" w:rsidRPr="007A48E9">
        <w:t xml:space="preserve"> o której mowa w art. </w:t>
      </w:r>
      <w:r w:rsidR="00BB3584">
        <w:t>3</w:t>
      </w:r>
      <w:r w:rsidR="00BB3584" w:rsidRPr="007A48E9">
        <w:t xml:space="preserve"> </w:t>
      </w:r>
      <w:r w:rsidR="00BB3584">
        <w:t>pkt 11f</w:t>
      </w:r>
      <w:r w:rsidR="007A48E9">
        <w:t>,</w:t>
      </w:r>
    </w:p>
    <w:p w14:paraId="451EECBD" w14:textId="46FF8F0F" w:rsidR="007A48E9" w:rsidRDefault="00285642" w:rsidP="000A2E32">
      <w:pPr>
        <w:pStyle w:val="ZLITzmlitartykuempunktem"/>
      </w:pPr>
      <w:r w:rsidRPr="00285642">
        <w:t>b)</w:t>
      </w:r>
      <w:r>
        <w:tab/>
      </w:r>
      <w:r w:rsidRPr="00285642">
        <w:t xml:space="preserve">zawarł </w:t>
      </w:r>
      <w:commentRangeStart w:id="8"/>
      <w:r w:rsidR="007A48E9" w:rsidRPr="007A48E9">
        <w:t>długoterminową przedwstępną umowę zakupu energii elektrycznej</w:t>
      </w:r>
      <w:commentRangeEnd w:id="8"/>
      <w:r w:rsidR="00BB3E22">
        <w:rPr>
          <w:rStyle w:val="Odwoaniedokomentarza"/>
          <w:rFonts w:eastAsia="Times New Roman" w:cs="Times New Roman"/>
          <w:bCs w:val="0"/>
        </w:rPr>
        <w:commentReference w:id="8"/>
      </w:r>
      <w:r w:rsidR="007A48E9">
        <w:t>,</w:t>
      </w:r>
      <w:r w:rsidR="007A48E9" w:rsidRPr="007A48E9">
        <w:t xml:space="preserve"> o której mowa w art. 5 ust. 2d,</w:t>
      </w:r>
      <w:commentRangeEnd w:id="6"/>
      <w:r w:rsidR="00BB3E22">
        <w:rPr>
          <w:rStyle w:val="Odwoaniedokomentarza"/>
          <w:rFonts w:eastAsia="Times New Roman" w:cs="Times New Roman"/>
          <w:bCs w:val="0"/>
        </w:rPr>
        <w:commentReference w:id="6"/>
      </w:r>
    </w:p>
    <w:p w14:paraId="67A35EEE" w14:textId="581A76C4" w:rsidR="007A48E9" w:rsidRDefault="007A48E9" w:rsidP="007A48E9">
      <w:pPr>
        <w:pStyle w:val="LITlitera"/>
      </w:pPr>
      <w:r>
        <w:t>c)</w:t>
      </w:r>
      <w:r>
        <w:tab/>
      </w:r>
      <w:r w:rsidR="00933E32">
        <w:t xml:space="preserve">jest </w:t>
      </w:r>
      <w:r w:rsidR="00F0461B">
        <w:t>odbiorc</w:t>
      </w:r>
      <w:r w:rsidR="00FB74E6">
        <w:t>ą</w:t>
      </w:r>
      <w:r w:rsidR="00F0461B">
        <w:t xml:space="preserve"> przemysłowy</w:t>
      </w:r>
      <w:r w:rsidR="00933E32">
        <w:t>m</w:t>
      </w:r>
      <w:r w:rsidR="00F0461B">
        <w:t xml:space="preserve"> w rozumieniu art. 52 ust. 6 ustawy z dnia 20 lutego 2015 r. o odnawialnych źródłach energii </w:t>
      </w:r>
      <w:r w:rsidR="00725A6F">
        <w:t>(</w:t>
      </w:r>
      <w:r w:rsidR="00F0461B">
        <w:t xml:space="preserve">Dz. U. </w:t>
      </w:r>
      <w:r w:rsidR="00A7625F">
        <w:t>z 2024 r. poz. 1361, 1847 i 1881 oraz z 2025 r. poz. 303</w:t>
      </w:r>
      <w:r w:rsidR="00D6315E">
        <w:t>)</w:t>
      </w:r>
      <w:r w:rsidR="00935161">
        <w:t xml:space="preserve">, który w roku poprzedzającym rok złożenia wniosku </w:t>
      </w:r>
      <w:r w:rsidR="00F0461B">
        <w:t>zuży</w:t>
      </w:r>
      <w:r w:rsidR="00933E32">
        <w:t>ł</w:t>
      </w:r>
      <w:r w:rsidR="00F0461B">
        <w:t xml:space="preserve"> </w:t>
      </w:r>
      <w:commentRangeStart w:id="9"/>
      <w:r w:rsidR="00F0461B">
        <w:t>nie mniej niż 100 GWH energii elektrycznej</w:t>
      </w:r>
      <w:commentRangeEnd w:id="9"/>
      <w:r w:rsidR="00707494">
        <w:rPr>
          <w:rStyle w:val="Odwoaniedokomentarza"/>
          <w:rFonts w:eastAsia="Times New Roman" w:cs="Times New Roman"/>
          <w:bCs w:val="0"/>
        </w:rPr>
        <w:commentReference w:id="9"/>
      </w:r>
      <w:r w:rsidR="005E197C">
        <w:t>.</w:t>
      </w:r>
    </w:p>
    <w:p w14:paraId="5B1446B7" w14:textId="683B81F4" w:rsidR="00AA6F05" w:rsidRDefault="005E197C" w:rsidP="00615364">
      <w:pPr>
        <w:pStyle w:val="ZARTzmartartykuempunktem"/>
      </w:pPr>
      <w:r w:rsidRPr="00615364">
        <w:t>Art</w:t>
      </w:r>
      <w:r w:rsidRPr="005E197C">
        <w:t>. 7ad.</w:t>
      </w:r>
      <w:r w:rsidR="00A7625F">
        <w:t xml:space="preserve"> </w:t>
      </w:r>
      <w:r w:rsidR="00BB3584">
        <w:t xml:space="preserve">1. </w:t>
      </w:r>
      <w:r w:rsidR="00AA6F05">
        <w:t xml:space="preserve">Przedsiębiorcy, nie spełniający wymagań o których mowa w art. 7ac, </w:t>
      </w:r>
      <w:commentRangeStart w:id="10"/>
      <w:r w:rsidR="00AA6F05">
        <w:t>którzy</w:t>
      </w:r>
      <w:r w:rsidR="00AA6F05" w:rsidRPr="00AA6F05">
        <w:t xml:space="preserve"> </w:t>
      </w:r>
      <w:r w:rsidR="00D6315E" w:rsidRPr="007A48E9">
        <w:t>planuj</w:t>
      </w:r>
      <w:r w:rsidR="007A48E9">
        <w:t>ą</w:t>
      </w:r>
      <w:commentRangeEnd w:id="10"/>
      <w:r w:rsidR="003234E9">
        <w:rPr>
          <w:rStyle w:val="Odwoaniedokomentarza"/>
          <w:rFonts w:eastAsia="Times New Roman" w:cs="Times New Roman"/>
        </w:rPr>
        <w:commentReference w:id="10"/>
      </w:r>
      <w:r w:rsidR="00AA6F05">
        <w:t>:</w:t>
      </w:r>
    </w:p>
    <w:p w14:paraId="63D941CF" w14:textId="4E58AD65" w:rsidR="00AA6F05" w:rsidRDefault="00AA6F05" w:rsidP="00AA6F05">
      <w:pPr>
        <w:pStyle w:val="LITlitera"/>
      </w:pPr>
      <w:r>
        <w:t>a)</w:t>
      </w:r>
      <w:r>
        <w:tab/>
        <w:t>budowę linii bezpośredniej,</w:t>
      </w:r>
      <w:r w:rsidR="00BB3584" w:rsidRPr="00BB3584">
        <w:t xml:space="preserve"> </w:t>
      </w:r>
      <w:r w:rsidR="00BB3584" w:rsidRPr="007A48E9">
        <w:t xml:space="preserve">o której mowa w art. </w:t>
      </w:r>
      <w:r w:rsidR="00BB3584">
        <w:t>3</w:t>
      </w:r>
      <w:r w:rsidR="00BB3584" w:rsidRPr="007A48E9">
        <w:t xml:space="preserve"> </w:t>
      </w:r>
      <w:r w:rsidR="00BB3584">
        <w:t>pkt 11f,</w:t>
      </w:r>
    </w:p>
    <w:p w14:paraId="03EE0490" w14:textId="500EA5C9" w:rsidR="00D6315E" w:rsidRDefault="00AA6F05" w:rsidP="00933E32">
      <w:pPr>
        <w:pStyle w:val="LITlitera"/>
      </w:pPr>
      <w:r>
        <w:t>b)</w:t>
      </w:r>
      <w:r w:rsidR="00933E32">
        <w:tab/>
      </w:r>
      <w:commentRangeStart w:id="11"/>
      <w:r w:rsidR="00D6315E" w:rsidRPr="007A48E9">
        <w:t xml:space="preserve">budowę </w:t>
      </w:r>
      <w:r w:rsidR="00F929F7" w:rsidRPr="00F929F7">
        <w:t>magazyn</w:t>
      </w:r>
      <w:r w:rsidR="00F929F7">
        <w:t>u</w:t>
      </w:r>
      <w:r w:rsidR="00F929F7" w:rsidRPr="00F929F7">
        <w:t xml:space="preserve"> energii elektrycznej</w:t>
      </w:r>
      <w:r w:rsidR="00F929F7">
        <w:t xml:space="preserve"> </w:t>
      </w:r>
      <w:commentRangeEnd w:id="11"/>
      <w:r w:rsidR="00387E75">
        <w:rPr>
          <w:rStyle w:val="Odwoaniedokomentarza"/>
          <w:rFonts w:eastAsia="Times New Roman" w:cs="Times New Roman"/>
          <w:bCs w:val="0"/>
        </w:rPr>
        <w:commentReference w:id="11"/>
      </w:r>
      <w:r w:rsidR="00F0461B">
        <w:t xml:space="preserve">o której mowa w </w:t>
      </w:r>
      <w:r w:rsidR="00F929F7">
        <w:t>art. 3 pkt 10k</w:t>
      </w:r>
    </w:p>
    <w:p w14:paraId="2272A444" w14:textId="171AF007" w:rsidR="00AA6F05" w:rsidRDefault="00BB3584" w:rsidP="00A7625F">
      <w:pPr>
        <w:pStyle w:val="ZCZWSPPKTzmczciwsppktartykuempunktem"/>
      </w:pPr>
      <w:r>
        <w:t>–</w:t>
      </w:r>
      <w:r w:rsidR="00AA6F05">
        <w:t xml:space="preserve"> mogą </w:t>
      </w:r>
      <w:r w:rsidR="00F868FE">
        <w:t>ubiegać się od ministra właściwego do spraw gospodarki surowc</w:t>
      </w:r>
      <w:r w:rsidR="00F868FE" w:rsidRPr="00F868FE">
        <w:t xml:space="preserve">ami energetycznymi </w:t>
      </w:r>
      <w:r w:rsidR="00F868FE">
        <w:t>o przyrzeczenie ustanowienia S</w:t>
      </w:r>
      <w:r w:rsidR="00F868FE" w:rsidRPr="00F868FE">
        <w:t>trefy Rozwoju Zrównoważonego Przemysłu</w:t>
      </w:r>
      <w:r w:rsidR="00F868FE">
        <w:t>, zwane dalej promesą.</w:t>
      </w:r>
    </w:p>
    <w:p w14:paraId="11167F2A" w14:textId="6C7FE348" w:rsidR="00F868FE" w:rsidRDefault="00BB3584" w:rsidP="00A7625F">
      <w:pPr>
        <w:pStyle w:val="ZUSTzmustartykuempunktem"/>
      </w:pPr>
      <w:r>
        <w:t xml:space="preserve">2. </w:t>
      </w:r>
      <w:r w:rsidR="00F868FE">
        <w:t>W promesie ustala się okres jej ważności, z tym że nie może on być krótszy niż 6 miesięcy.</w:t>
      </w:r>
    </w:p>
    <w:p w14:paraId="1FBD8345" w14:textId="4E8ADEB4" w:rsidR="00F868FE" w:rsidRDefault="00F868FE" w:rsidP="00A7625F">
      <w:pPr>
        <w:pStyle w:val="ZUSTzmustartykuempunktem"/>
      </w:pPr>
      <w:r>
        <w:t>3. W okresie ważności promesy m</w:t>
      </w:r>
      <w:r w:rsidRPr="00F868FE">
        <w:t xml:space="preserve">inister właściwy do spraw gospodarki surowcami energetycznymi </w:t>
      </w:r>
      <w:r>
        <w:t>nie może odmówić ustanowienia S</w:t>
      </w:r>
      <w:r w:rsidRPr="00F868FE">
        <w:t xml:space="preserve">trefy Rozwoju Zrównoważonego Przemysłu </w:t>
      </w:r>
      <w:r>
        <w:t>określonej w promesie, chyba że</w:t>
      </w:r>
      <w:r w:rsidR="00A7625F">
        <w:t xml:space="preserve"> </w:t>
      </w:r>
      <w:r>
        <w:t>wnioskodawca nie spełnił wszystkich warunków określonych w promesie</w:t>
      </w:r>
      <w:r w:rsidR="00A7625F">
        <w:t>.</w:t>
      </w:r>
    </w:p>
    <w:p w14:paraId="0D45F9C3" w14:textId="37D19ED1" w:rsidR="008B2427" w:rsidRDefault="00115D75" w:rsidP="00615364">
      <w:pPr>
        <w:pStyle w:val="ZARTzmartartykuempunktem"/>
      </w:pPr>
      <w:r>
        <w:t xml:space="preserve">Art. </w:t>
      </w:r>
      <w:r w:rsidR="0077024C">
        <w:t>7a</w:t>
      </w:r>
      <w:r w:rsidR="005E197C">
        <w:t>e</w:t>
      </w:r>
      <w:r w:rsidR="007D3306">
        <w:t xml:space="preserve">. </w:t>
      </w:r>
      <w:r w:rsidRPr="00115D75">
        <w:t>Ustan</w:t>
      </w:r>
      <w:r>
        <w:t>awiając</w:t>
      </w:r>
      <w:r w:rsidRPr="00115D75">
        <w:t xml:space="preserve"> stref</w:t>
      </w:r>
      <w:r>
        <w:t>ę</w:t>
      </w:r>
      <w:r w:rsidRPr="00115D75">
        <w:t xml:space="preserve"> o której mowa w art. </w:t>
      </w:r>
      <w:r w:rsidR="0077024C">
        <w:t>7ab</w:t>
      </w:r>
      <w:r w:rsidRPr="00115D75">
        <w:t xml:space="preserve"> ust. 1</w:t>
      </w:r>
      <w:r w:rsidR="0043600F">
        <w:t xml:space="preserve"> na wniosek podmiotów, o których mowa w ust. 7ac lit. a</w:t>
      </w:r>
      <w:r w:rsidRPr="00115D75">
        <w:t xml:space="preserve"> minist</w:t>
      </w:r>
      <w:r w:rsidR="0077024C">
        <w:t>er</w:t>
      </w:r>
      <w:r w:rsidRPr="00115D75">
        <w:t xml:space="preserve"> właściw</w:t>
      </w:r>
      <w:r w:rsidR="0077024C">
        <w:t>y</w:t>
      </w:r>
      <w:r w:rsidRPr="00115D75">
        <w:t xml:space="preserve"> do spraw gospodarki surowcami energetycznymi</w:t>
      </w:r>
      <w:r>
        <w:t xml:space="preserve"> </w:t>
      </w:r>
      <w:commentRangeStart w:id="12"/>
      <w:r>
        <w:t>zw</w:t>
      </w:r>
      <w:r w:rsidR="0043600F">
        <w:t>a</w:t>
      </w:r>
      <w:r>
        <w:t>lni</w:t>
      </w:r>
      <w:r w:rsidR="0043600F">
        <w:t>a</w:t>
      </w:r>
      <w:r>
        <w:t xml:space="preserve"> z opłaty solidarnościowej</w:t>
      </w:r>
      <w:commentRangeEnd w:id="12"/>
      <w:r w:rsidR="00C77732">
        <w:rPr>
          <w:rStyle w:val="Odwoaniedokomentarza"/>
          <w:rFonts w:eastAsia="Times New Roman" w:cs="Times New Roman"/>
        </w:rPr>
        <w:commentReference w:id="12"/>
      </w:r>
      <w:r w:rsidR="0043600F">
        <w:t>,</w:t>
      </w:r>
      <w:r>
        <w:t xml:space="preserve"> o której mowa w art. </w:t>
      </w:r>
      <w:r w:rsidR="008B2427">
        <w:t>7aa ust. 4</w:t>
      </w:r>
      <w:r w:rsidR="00717932">
        <w:t>.</w:t>
      </w:r>
      <w:r w:rsidR="00615364" w:rsidRPr="00615364">
        <w:t xml:space="preserve"> </w:t>
      </w:r>
      <w:r w:rsidR="00615364" w:rsidRPr="00797358">
        <w:t>”</w:t>
      </w:r>
    </w:p>
    <w:p w14:paraId="05DFF25E" w14:textId="18CF29E6" w:rsidR="00115D75" w:rsidRDefault="00797358" w:rsidP="000A2E32">
      <w:pPr>
        <w:pStyle w:val="ZPKTzmpktartykuempunktem"/>
      </w:pPr>
      <w:r>
        <w:t>4</w:t>
      </w:r>
      <w:r w:rsidR="00935161">
        <w:t>)</w:t>
      </w:r>
      <w:r w:rsidR="00935161">
        <w:tab/>
      </w:r>
      <w:r w:rsidR="00115D75">
        <w:t xml:space="preserve">w art. 46 </w:t>
      </w:r>
      <w:r w:rsidR="00D71FD4">
        <w:t xml:space="preserve">po ust. </w:t>
      </w:r>
      <w:r w:rsidR="00717932">
        <w:t>4</w:t>
      </w:r>
      <w:r w:rsidR="00D71FD4">
        <w:t xml:space="preserve"> dodaje się ust. ust. </w:t>
      </w:r>
      <w:r w:rsidR="00717932">
        <w:t>4</w:t>
      </w:r>
      <w:r w:rsidR="00D71FD4">
        <w:t xml:space="preserve">a </w:t>
      </w:r>
      <w:r w:rsidR="00115D75">
        <w:t>w brzmieniu:</w:t>
      </w:r>
    </w:p>
    <w:p w14:paraId="515D0CF3" w14:textId="729472C8" w:rsidR="00F0461B" w:rsidRDefault="00615364" w:rsidP="00615364">
      <w:pPr>
        <w:pStyle w:val="ZPKTzmpktartykuempunktem"/>
      </w:pPr>
      <w:r w:rsidRPr="00797358">
        <w:t>„</w:t>
      </w:r>
      <w:r w:rsidR="00717932">
        <w:t>4</w:t>
      </w:r>
      <w:r w:rsidR="00D71FD4">
        <w:t xml:space="preserve">a. </w:t>
      </w:r>
      <w:r w:rsidR="00D71FD4" w:rsidRPr="00D71FD4">
        <w:t>Minister właściwy do spraw</w:t>
      </w:r>
      <w:r w:rsidR="00D71FD4">
        <w:t xml:space="preserve"> gospodarki surowcami energetycznymi</w:t>
      </w:r>
      <w:r w:rsidR="00D71FD4" w:rsidRPr="00D71FD4">
        <w:t>, po zasięgnięciu opinii Prezesa U</w:t>
      </w:r>
      <w:r w:rsidR="00A7625F">
        <w:t xml:space="preserve">rzędu </w:t>
      </w:r>
      <w:r w:rsidR="00D71FD4" w:rsidRPr="00D71FD4">
        <w:t>R</w:t>
      </w:r>
      <w:r w:rsidR="00A7625F">
        <w:t xml:space="preserve">egulacji </w:t>
      </w:r>
      <w:r w:rsidR="00D71FD4" w:rsidRPr="00D71FD4">
        <w:t>E</w:t>
      </w:r>
      <w:r w:rsidR="00A7625F">
        <w:t>nergetyki</w:t>
      </w:r>
      <w:r w:rsidR="00D71FD4" w:rsidRPr="00D71FD4">
        <w:t>, określi, w drodze rozporządzenia</w:t>
      </w:r>
      <w:r w:rsidR="00D023F9">
        <w:t xml:space="preserve"> dla przedsiębiorców o których mowa w </w:t>
      </w:r>
      <w:r w:rsidR="00A7625F">
        <w:t xml:space="preserve">art. 7ac </w:t>
      </w:r>
      <w:r w:rsidR="00D023F9">
        <w:t>lit c</w:t>
      </w:r>
      <w:r w:rsidR="00D71FD4" w:rsidRPr="00D71FD4">
        <w:t xml:space="preserve">, sposób kształtowania i kalkulacji </w:t>
      </w:r>
      <w:commentRangeStart w:id="13"/>
      <w:r w:rsidR="00D71FD4" w:rsidRPr="00D71FD4">
        <w:t xml:space="preserve">taryf </w:t>
      </w:r>
      <w:r w:rsidR="00D71FD4">
        <w:t xml:space="preserve">preferencyjnych </w:t>
      </w:r>
      <w:r w:rsidR="00D71FD4" w:rsidRPr="00D71FD4">
        <w:t>dla energii elektrycznej</w:t>
      </w:r>
      <w:r w:rsidR="00D71FD4">
        <w:t xml:space="preserve"> </w:t>
      </w:r>
      <w:commentRangeEnd w:id="13"/>
      <w:r w:rsidR="003234E9">
        <w:rPr>
          <w:rStyle w:val="Odwoaniedokomentarza"/>
          <w:rFonts w:eastAsia="Times New Roman" w:cs="Times New Roman"/>
          <w:bCs w:val="0"/>
        </w:rPr>
        <w:commentReference w:id="13"/>
      </w:r>
      <w:r w:rsidR="00D71FD4">
        <w:t xml:space="preserve">w </w:t>
      </w:r>
      <w:commentRangeStart w:id="14"/>
      <w:r w:rsidR="00717932">
        <w:t>S</w:t>
      </w:r>
      <w:r w:rsidR="00D71FD4">
        <w:t>trefie</w:t>
      </w:r>
      <w:commentRangeEnd w:id="14"/>
      <w:r w:rsidR="00017025">
        <w:rPr>
          <w:rStyle w:val="Odwoaniedokomentarza"/>
          <w:rFonts w:eastAsia="Times New Roman" w:cs="Times New Roman"/>
          <w:bCs w:val="0"/>
        </w:rPr>
        <w:commentReference w:id="14"/>
      </w:r>
      <w:r w:rsidR="00D71FD4">
        <w:t xml:space="preserve"> o której mowa w art. 7ab ust. 1</w:t>
      </w:r>
      <w:r w:rsidR="00D71FD4" w:rsidRPr="00D71FD4">
        <w:t xml:space="preserve">, </w:t>
      </w:r>
      <w:commentRangeStart w:id="15"/>
      <w:r w:rsidR="00D71FD4" w:rsidRPr="00D71FD4">
        <w:t>biorąc pod uwagę</w:t>
      </w:r>
      <w:commentRangeEnd w:id="15"/>
      <w:r w:rsidR="003234E9">
        <w:rPr>
          <w:rStyle w:val="Odwoaniedokomentarza"/>
          <w:rFonts w:eastAsia="Times New Roman" w:cs="Times New Roman"/>
          <w:bCs w:val="0"/>
        </w:rPr>
        <w:commentReference w:id="15"/>
      </w:r>
      <w:r w:rsidR="00D71FD4" w:rsidRPr="00D71FD4">
        <w:t>: politykę energetyczną państwa, zapewnienie pokrycia uzasadnionych kosztów przedsiębiorstw energetycznych, równoprawne traktowanie odbiorców</w:t>
      </w:r>
      <w:r w:rsidR="00717932">
        <w:t>.</w:t>
      </w:r>
      <w:r w:rsidRPr="00615364">
        <w:t xml:space="preserve"> ”</w:t>
      </w:r>
    </w:p>
    <w:p w14:paraId="08A3E28F" w14:textId="27154A05" w:rsidR="00482823" w:rsidRDefault="00482823" w:rsidP="00482823">
      <w:pPr>
        <w:pStyle w:val="ARTartustawynprozporzdzenia"/>
      </w:pPr>
      <w:r w:rsidRPr="00482823">
        <w:rPr>
          <w:rStyle w:val="Ppogrubienie"/>
        </w:rPr>
        <w:t>Art. 2.</w:t>
      </w:r>
      <w:r>
        <w:t xml:space="preserve"> </w:t>
      </w:r>
      <w:r w:rsidRPr="00714A18">
        <w:t xml:space="preserve">W ustawie z dnia 7 lipca 1994 r. – Prawo budowlane </w:t>
      </w:r>
      <w:r w:rsidRPr="004528FD">
        <w:t>(Dz.U. z 2025 r. poz. 418)</w:t>
      </w:r>
      <w:r w:rsidRPr="004528FD" w:rsidDel="004528FD">
        <w:t xml:space="preserve"> </w:t>
      </w:r>
      <w:r w:rsidRPr="00714A18">
        <w:t>wprowadza się następujące zmiany:</w:t>
      </w:r>
    </w:p>
    <w:p w14:paraId="3E92F7F0" w14:textId="7F6F457A" w:rsidR="00482823" w:rsidRDefault="00482823" w:rsidP="00482823">
      <w:pPr>
        <w:pStyle w:val="PKTpunkt"/>
      </w:pPr>
      <w:r>
        <w:lastRenderedPageBreak/>
        <w:t>1)</w:t>
      </w:r>
      <w:r>
        <w:tab/>
      </w:r>
      <w:r w:rsidR="00924D4A">
        <w:t xml:space="preserve">w art. 35 </w:t>
      </w:r>
      <w:r w:rsidR="00865DFF">
        <w:t xml:space="preserve">w </w:t>
      </w:r>
      <w:r w:rsidR="00924D4A">
        <w:t xml:space="preserve">ust. </w:t>
      </w:r>
      <w:r w:rsidR="006744B1">
        <w:t>6 dodaje się pkt 4 w brzmieniu</w:t>
      </w:r>
      <w:r w:rsidR="00924D4A">
        <w:t>:</w:t>
      </w:r>
    </w:p>
    <w:p w14:paraId="27213BB0" w14:textId="182F3D3F" w:rsidR="00924D4A" w:rsidRDefault="00615364" w:rsidP="000A2E32">
      <w:pPr>
        <w:pStyle w:val="ZPKTzmpktartykuempunktem"/>
      </w:pPr>
      <w:r w:rsidRPr="00797358">
        <w:t>„</w:t>
      </w:r>
      <w:r w:rsidR="006744B1">
        <w:t>4)</w:t>
      </w:r>
      <w:r w:rsidR="00924D4A">
        <w:t>.</w:t>
      </w:r>
      <w:r w:rsidR="00924D4A">
        <w:tab/>
        <w:t xml:space="preserve">w terminie </w:t>
      </w:r>
      <w:r w:rsidR="006744B1">
        <w:t xml:space="preserve">45 </w:t>
      </w:r>
      <w:r w:rsidR="00924D4A">
        <w:t>od dnia złożenia wniosku o wydanie decyzji w</w:t>
      </w:r>
      <w:r w:rsidR="006744B1">
        <w:t xml:space="preserve"> sprawie pozwolenia na budowę instalacji </w:t>
      </w:r>
      <w:r w:rsidR="00865DFF">
        <w:t xml:space="preserve">odnawialnego źródła energii </w:t>
      </w:r>
      <w:r w:rsidR="00D023F9">
        <w:t xml:space="preserve">w </w:t>
      </w:r>
      <w:r w:rsidR="006744B1">
        <w:t xml:space="preserve">Strefie Zrównoważonego Rozwoju Przemysłu, której mowa w </w:t>
      </w:r>
      <w:commentRangeStart w:id="16"/>
      <w:r w:rsidR="006744B1">
        <w:t>art.</w:t>
      </w:r>
      <w:r w:rsidR="00D023F9">
        <w:t xml:space="preserve"> 7ab</w:t>
      </w:r>
      <w:commentRangeEnd w:id="16"/>
      <w:r w:rsidR="003234E9">
        <w:rPr>
          <w:rStyle w:val="Odwoaniedokomentarza"/>
          <w:rFonts w:eastAsia="Times New Roman" w:cs="Times New Roman"/>
          <w:bCs w:val="0"/>
        </w:rPr>
        <w:commentReference w:id="16"/>
      </w:r>
      <w:r w:rsidR="00D023F9">
        <w:t>.</w:t>
      </w:r>
      <w:r w:rsidRPr="00797358">
        <w:t>”</w:t>
      </w:r>
    </w:p>
    <w:p w14:paraId="18FEDEAD" w14:textId="6B0431BA" w:rsidR="00482823" w:rsidRPr="00482823" w:rsidRDefault="00482823" w:rsidP="000A2E32">
      <w:pPr>
        <w:pStyle w:val="ARTartustawynprozporzdzenia"/>
      </w:pPr>
      <w:r w:rsidRPr="00482823">
        <w:rPr>
          <w:rStyle w:val="Ppogrubienie"/>
        </w:rPr>
        <w:t>Art. 3.</w:t>
      </w:r>
      <w:r>
        <w:t xml:space="preserve"> Ustawa wchodzi w życie po upływie 14 dni od dnia ogłoszenia. </w:t>
      </w:r>
    </w:p>
    <w:sectPr w:rsidR="00482823" w:rsidRPr="00482823" w:rsidSect="001A7F15">
      <w:headerReference w:type="default" r:id="rId12"/>
      <w:footnotePr>
        <w:numRestart w:val="eachSect"/>
      </w:footnotePr>
      <w:pgSz w:w="11906" w:h="16838"/>
      <w:pgMar w:top="1560" w:right="1434" w:bottom="1560" w:left="1418" w:header="709" w:footer="709" w:gutter="0"/>
      <w:cols w:space="708"/>
      <w:titlePg/>
      <w:docGrid w:linePitch="2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245C44E3" w14:textId="77777777" w:rsidR="00BE4401" w:rsidRDefault="00BE4401" w:rsidP="00BE4401">
      <w:pPr>
        <w:pStyle w:val="Tekstkomentarza"/>
      </w:pPr>
      <w:r>
        <w:rPr>
          <w:rStyle w:val="Odwoaniedokomentarza"/>
        </w:rPr>
        <w:annotationRef/>
      </w:r>
      <w:r>
        <w:t>Uwaga ogólna:</w:t>
      </w:r>
    </w:p>
    <w:p w14:paraId="02CB7ED4" w14:textId="77777777" w:rsidR="00BE4401" w:rsidRDefault="00BE4401" w:rsidP="00BE4401">
      <w:pPr>
        <w:pStyle w:val="Tekstkomentarza"/>
      </w:pPr>
    </w:p>
    <w:p w14:paraId="53CD2DA2" w14:textId="77777777" w:rsidR="00BE4401" w:rsidRDefault="00BE4401" w:rsidP="00BE4401">
      <w:pPr>
        <w:pStyle w:val="Tekstkomentarza"/>
      </w:pPr>
      <w:r>
        <w:t>Projekt w obecny kształcie zdaje się koncentrować jedynie na wsparciu przemysłu w obszarze inwestycji realizowanych w formule linii bezpośredniej (co w praktyce może dotyczyć niewielkiej liczby podmiotów)</w:t>
      </w:r>
    </w:p>
    <w:p w14:paraId="015C768D" w14:textId="77777777" w:rsidR="00BE4401" w:rsidRDefault="00BE4401" w:rsidP="00BE4401">
      <w:pPr>
        <w:pStyle w:val="Tekstkomentarza"/>
      </w:pPr>
    </w:p>
    <w:p w14:paraId="533CA968" w14:textId="77777777" w:rsidR="00BE4401" w:rsidRDefault="00BE4401" w:rsidP="00BE4401">
      <w:pPr>
        <w:pStyle w:val="Tekstkomentarza"/>
      </w:pPr>
      <w:r>
        <w:t>Potrzeby przemysłu energochłonnego związane z koniecznością obniżenia kosztów dostępu do energii są jednak daleko szersze niż tylko związane z LB (zważywszy na fakt, iż wiele zakładów energochłonnych planuje zaspakajanie swoich potrzeb w zakresie energii w oparciu o produkcję z OZE przyłączonych do własnych sieci dystrybucyjnych czy też autoprodukcję).</w:t>
      </w:r>
    </w:p>
    <w:p w14:paraId="593BDEBC" w14:textId="77777777" w:rsidR="00BE4401" w:rsidRDefault="00BE4401" w:rsidP="00BE4401">
      <w:pPr>
        <w:pStyle w:val="Tekstkomentarza"/>
      </w:pPr>
    </w:p>
    <w:p w14:paraId="68DCC370" w14:textId="77777777" w:rsidR="00BE4401" w:rsidRDefault="00BE4401" w:rsidP="00BE4401">
      <w:pPr>
        <w:pStyle w:val="Tekstkomentarza"/>
      </w:pPr>
      <w:r>
        <w:t>SRZP powinno być zatem rozważane jako możliwa forma wsparcia zakładów przemysłowych nie tylko działających w oparciu o LB.</w:t>
      </w:r>
    </w:p>
    <w:p w14:paraId="7842842A" w14:textId="77777777" w:rsidR="00BE4401" w:rsidRDefault="00BE4401" w:rsidP="00BE4401">
      <w:pPr>
        <w:pStyle w:val="Tekstkomentarza"/>
      </w:pPr>
    </w:p>
    <w:p w14:paraId="2AD52F5A" w14:textId="77777777" w:rsidR="00BE4401" w:rsidRDefault="00BE4401" w:rsidP="00BE4401">
      <w:pPr>
        <w:pStyle w:val="Tekstkomentarza"/>
      </w:pPr>
      <w:r>
        <w:t>Wskazane byłoby aby obszarowe/strefowe podejście umożliwiało:</w:t>
      </w:r>
    </w:p>
    <w:p w14:paraId="4F865F58" w14:textId="77777777" w:rsidR="00BE4401" w:rsidRDefault="00BE4401" w:rsidP="00BE4401">
      <w:pPr>
        <w:pStyle w:val="Tekstkomentarza"/>
        <w:numPr>
          <w:ilvl w:val="0"/>
          <w:numId w:val="45"/>
        </w:numPr>
      </w:pPr>
      <w:r>
        <w:t>Łączone zamawianie i rozliczanie mocy umownej w ramach obiektów znajdujących się w strefie (wirtualny sumator);</w:t>
      </w:r>
    </w:p>
    <w:p w14:paraId="71049007" w14:textId="77777777" w:rsidR="00BE4401" w:rsidRDefault="00BE4401" w:rsidP="00BE4401">
      <w:pPr>
        <w:pStyle w:val="Tekstkomentarza"/>
        <w:numPr>
          <w:ilvl w:val="0"/>
          <w:numId w:val="45"/>
        </w:numPr>
      </w:pPr>
      <w:r>
        <w:t>Obniżenie/zniesienie opłat za przekroczenie mocy umownej w okresach obowiązywania ujemnych cen na RB (co sprzyja stablizacji KSE, a zakładom obniżyć koszty pozyskania energii)</w:t>
      </w:r>
    </w:p>
    <w:p w14:paraId="57164D4F" w14:textId="77777777" w:rsidR="00BE4401" w:rsidRDefault="00BE4401" w:rsidP="00BE4401">
      <w:pPr>
        <w:pStyle w:val="Tekstkomentarza"/>
        <w:numPr>
          <w:ilvl w:val="0"/>
          <w:numId w:val="45"/>
        </w:numPr>
      </w:pPr>
      <w:r>
        <w:t xml:space="preserve">Zniesienie opłat kogeneracyjnej, jakościowej, mocowej, OZE dla energii wytworzonej i zużytej w ramach OSDn znajdującego się w strefie (niewprowadzonej do sieci OSDp czy OSP). </w:t>
      </w:r>
    </w:p>
    <w:p w14:paraId="1DEE6E5D" w14:textId="77777777" w:rsidR="00BE4401" w:rsidRDefault="00BE4401" w:rsidP="00BE4401">
      <w:pPr>
        <w:pStyle w:val="Tekstkomentarza"/>
        <w:numPr>
          <w:ilvl w:val="0"/>
          <w:numId w:val="45"/>
        </w:numPr>
      </w:pPr>
      <w:r>
        <w:t>Ułatwienia inwestycyjne - takie jak zwolnienie RDOŚ z obowiązku weryfikacji zgodności planowanej inwestycji OZE z MPZP (w sytuacji gdy ta zgodność jest weryfikowana na etapie wydawania pozwolenia na budowę). Obecnie do czasu zmiany planu nie można przeprocedować decyzji środowiskowej - co bez uzasadnienia wydłuża proces inwestycyjny.</w:t>
      </w:r>
    </w:p>
  </w:comment>
  <w:comment w:id="1" w:author="Autor" w:initials="A">
    <w:p w14:paraId="2457CAB7" w14:textId="69B70C3B" w:rsidR="00BD5AD1" w:rsidRDefault="00BD5AD1" w:rsidP="00BD5AD1">
      <w:pPr>
        <w:pStyle w:val="Tekstkomentarza"/>
      </w:pPr>
      <w:r>
        <w:rPr>
          <w:rStyle w:val="Odwoaniedokomentarza"/>
        </w:rPr>
        <w:annotationRef/>
      </w:r>
      <w:r>
        <w:t xml:space="preserve">Zakładamy, że pomyłka i miało odnosić się do „grupy przyłączeniowej”. Jeśli jednak intencja jest inna i „grupa sieciowa” miałaby być odrębną kategorią, powiązaną z SRZP - należałoby to uregulować/zdefiniować. </w:t>
      </w:r>
    </w:p>
  </w:comment>
  <w:comment w:id="2" w:author="Autor" w:initials="A">
    <w:p w14:paraId="4FC20961" w14:textId="77777777" w:rsidR="009237A1" w:rsidRDefault="009237A1" w:rsidP="009237A1">
      <w:pPr>
        <w:pStyle w:val="Tekstkomentarza"/>
      </w:pPr>
      <w:r>
        <w:rPr>
          <w:rStyle w:val="Odwoaniedokomentarza"/>
        </w:rPr>
        <w:annotationRef/>
      </w:r>
      <w:r>
        <w:t>Przepis wprowadza nowe pojęcie do ustawy - Prawo energetyczne - „obszary strategicznej interwencji” pojawiają się w tym miejscu po raz pierwszy. Powinny zostać tu zdefiniowane poprzez odesłanie do ustawy o zasadach prowadzenia polityki rozwoju.</w:t>
      </w:r>
    </w:p>
  </w:comment>
  <w:comment w:id="3" w:author="Autor" w:initials="A">
    <w:p w14:paraId="3B348C0F" w14:textId="77777777" w:rsidR="001D3314" w:rsidRDefault="001D3314" w:rsidP="001D3314">
      <w:pPr>
        <w:pStyle w:val="Tekstkomentarza"/>
      </w:pPr>
      <w:r>
        <w:rPr>
          <w:rStyle w:val="Odwoaniedokomentarza"/>
        </w:rPr>
        <w:annotationRef/>
      </w:r>
      <w:r>
        <w:t xml:space="preserve">Projektowane przepisy nie regulują relacji pomiędzy wnioskiem uprawnionego przedsiębiorcy a decyzją ministra. W szczególności nie jest jasne, w jakich przypadkach minister może odmówić ustanowienia strefy i czy w ogóle może dokonać takiej odmowy, jeśli wniosek został złożony przez uprawnionego przedsiębiorcę. Nie jest również jasne, czy decyzja ministra ma charakter swobodny czy związany (tj. czy jest wydawana niejako „automatycznie” po złożeniu wniosku przez uprawniony podmiot). W takiej sytuacji wyłączenie stosowania k.p.a. tworzy niekorzystny dla wnioskodawcy brak możliwości poddania weryfikacji odmownej decyzji ministra. Jeśli decyzja ministra miałaby być w całości wyłączona spod reżimu k.p.a., to konieczne jest wprowadzenie w projekcie znacznie bardziej szczegółowej regulacji proceduralnej. </w:t>
      </w:r>
    </w:p>
  </w:comment>
  <w:comment w:id="4" w:author="Autor" w:initials="A">
    <w:p w14:paraId="30F710CA" w14:textId="50D80AC9" w:rsidR="00BB3E22" w:rsidRDefault="001E51BA" w:rsidP="00BB3E22">
      <w:pPr>
        <w:pStyle w:val="Tekstkomentarza"/>
      </w:pPr>
      <w:r>
        <w:rPr>
          <w:rStyle w:val="Odwoaniedokomentarza"/>
        </w:rPr>
        <w:annotationRef/>
      </w:r>
      <w:r w:rsidR="00BB3E22">
        <w:t>Nie jest jasne jaki obszar obejmie strefa. Projektowany przepis wskazuje jedynie, że SRZP jest ustanawiana na wniosek przedsiębiorcy działającego w OSI. Czy jednak oznacza to, że wszystkie zakłady przedsiębiorcy „działającego” w OSI będą w SRZP? Czy też tylko te zakłady, które są w OSI? Przepis nie precyzuje w jaki sposób będzie wyznaczana Strefa.</w:t>
      </w:r>
    </w:p>
    <w:p w14:paraId="114BE70F" w14:textId="77777777" w:rsidR="00BB3E22" w:rsidRDefault="00BB3E22" w:rsidP="00BB3E22">
      <w:pPr>
        <w:pStyle w:val="Tekstkomentarza"/>
      </w:pPr>
    </w:p>
    <w:p w14:paraId="27EBDD7A" w14:textId="77777777" w:rsidR="00BB3E22" w:rsidRDefault="00BB3E22" w:rsidP="00BB3E22">
      <w:pPr>
        <w:pStyle w:val="Tekstkomentarza"/>
      </w:pPr>
      <w:r>
        <w:t>Postuluje się aby obszar SRZP przedsiębiorcy działającego w OSI był wskazywany przez tego przedsiębiorcę we wniosku - jako obszar, na którym znajdują się instalacje urządzenia i sieci odbiorcy (przedsiębiorcy) powiązane funkcjonalnie z jego zakładem.</w:t>
      </w:r>
    </w:p>
    <w:p w14:paraId="1E9C5F8C" w14:textId="77777777" w:rsidR="00BB3E22" w:rsidRDefault="00BB3E22" w:rsidP="00BB3E22">
      <w:pPr>
        <w:pStyle w:val="Tekstkomentarza"/>
      </w:pPr>
    </w:p>
    <w:p w14:paraId="700A499C" w14:textId="77777777" w:rsidR="00BB3E22" w:rsidRDefault="00BB3E22" w:rsidP="00BB3E22">
      <w:pPr>
        <w:pStyle w:val="Tekstkomentarza"/>
      </w:pPr>
      <w:r>
        <w:t>Konieczne także dookreślenie zasad ustanawiania strefy:</w:t>
      </w:r>
    </w:p>
    <w:p w14:paraId="55B6D803" w14:textId="77777777" w:rsidR="00BB3E22" w:rsidRDefault="00BB3E22" w:rsidP="00BB3E22">
      <w:pPr>
        <w:pStyle w:val="Tekstkomentarza"/>
      </w:pPr>
    </w:p>
    <w:p w14:paraId="6289CC1F" w14:textId="77777777" w:rsidR="00BB3E22" w:rsidRDefault="00BB3E22" w:rsidP="00BB3E22">
      <w:pPr>
        <w:pStyle w:val="Tekstkomentarza"/>
        <w:ind w:left="300"/>
      </w:pPr>
      <w:r>
        <w:t>Okresu na jaki ma być ustanawiana, bądź wskazania że jest to bezterminowe,</w:t>
      </w:r>
    </w:p>
    <w:p w14:paraId="03E7EFCA" w14:textId="77777777" w:rsidR="00BB3E22" w:rsidRDefault="00BB3E22" w:rsidP="00BB3E22">
      <w:pPr>
        <w:pStyle w:val="Tekstkomentarza"/>
        <w:ind w:left="300"/>
      </w:pPr>
      <w:r>
        <w:t>Zasad „cofania” strefy.</w:t>
      </w:r>
    </w:p>
  </w:comment>
  <w:comment w:id="5" w:author="Autor" w:initials="A">
    <w:p w14:paraId="7BAAC8AE" w14:textId="77777777" w:rsidR="005C1969" w:rsidRDefault="005C1969" w:rsidP="005C1969">
      <w:pPr>
        <w:pStyle w:val="Tekstkomentarza"/>
      </w:pPr>
      <w:r>
        <w:rPr>
          <w:rStyle w:val="Odwoaniedokomentarza"/>
        </w:rPr>
        <w:annotationRef/>
      </w:r>
      <w:r>
        <w:t>Projekt w żaden sposób nie formułuje wymogów co do treści przedmiotowego wniosku. Nie wiadomo, w jaki sposób we wniosku miałby zostać określony obszar SZRP ani w jaki sposób wnioskodawca powinien wykazać, że jest podmiotem uprawionym do wnioskowania o ustanowienie strefy. Z uwagi odmienność statusów podmiotów uprawnionych projekt powinien określać odrębne wymogi dla każdej z tych grup. Rozważyć należy uzupełnienie regulacji w tym zakresie o uprawnienie dla właściwego ministra do wydania rozporządzenia określającego wzór wniosku oraz szczegółowe wymogi co do jego treści.</w:t>
      </w:r>
    </w:p>
  </w:comment>
  <w:comment w:id="7" w:author="Autor" w:initials="A">
    <w:p w14:paraId="73FBA214" w14:textId="77777777" w:rsidR="00E04508" w:rsidRDefault="00E04508" w:rsidP="00E04508">
      <w:pPr>
        <w:pStyle w:val="Tekstkomentarza"/>
      </w:pPr>
      <w:r>
        <w:rPr>
          <w:rStyle w:val="Odwoaniedokomentarza"/>
        </w:rPr>
        <w:annotationRef/>
      </w:r>
      <w:r>
        <w:t>Pojęcie linii bezpośredniej budzi dużo wątpliwości co do jego wykładni i zakresu stosowania, np. co do rozróżnienia linii bezpośredniej od instalacji wewnętrznej. Mimo dwóch lat funkcjonowania zmienionego brzmienia przepisów o linii bezpośredniej do wykazu wpisane zostały jedynie trzy linie, z czego jedna ma długość jednego metra. To pokazuje, że stosowanie tych przepisów jest dla uczestników rynku problematyczne. Uzależnianie kolejnych instrumentów prawnych od statusu linii bezpośredniej, który jest sam w sobie niejasny, powodować będzie spiętrzenie trudności w stosowaniu projektowanych przepisów.</w:t>
      </w:r>
    </w:p>
  </w:comment>
  <w:comment w:id="8" w:author="Autor" w:initials="A">
    <w:p w14:paraId="590C7FE8" w14:textId="6A26D2D6" w:rsidR="00BB3E22" w:rsidRDefault="00BB3E22" w:rsidP="00BB3E22">
      <w:pPr>
        <w:pStyle w:val="Tekstkomentarza"/>
      </w:pPr>
      <w:r>
        <w:rPr>
          <w:rStyle w:val="Odwoaniedokomentarza"/>
        </w:rPr>
        <w:annotationRef/>
      </w:r>
      <w:r>
        <w:t>Proponuje się rezygnacje z tej przesłanki. Jest ona niespójna. Jeśli odbiorca dla ustanowienia Strefy ma już mieć LB to dlaczego PPA ma być przedwstępny?</w:t>
      </w:r>
    </w:p>
    <w:p w14:paraId="4F93BA14" w14:textId="77777777" w:rsidR="00BB3E22" w:rsidRDefault="00BB3E22" w:rsidP="00BB3E22">
      <w:pPr>
        <w:pStyle w:val="Tekstkomentarza"/>
      </w:pPr>
    </w:p>
    <w:p w14:paraId="01999274" w14:textId="77777777" w:rsidR="00BB3E22" w:rsidRDefault="00BB3E22" w:rsidP="00BB3E22">
      <w:pPr>
        <w:pStyle w:val="Tekstkomentarza"/>
      </w:pPr>
      <w:r>
        <w:t>Poza tym problematyczną kwestią jest co oznacza PPA długoterminowy. Jaki wolumen ma obejmować?</w:t>
      </w:r>
    </w:p>
  </w:comment>
  <w:comment w:id="6" w:author="Autor" w:initials="A">
    <w:p w14:paraId="2744FD55" w14:textId="19B12F7E" w:rsidR="00BB3E22" w:rsidRDefault="00BB3E22" w:rsidP="00BB3E22">
      <w:pPr>
        <w:pStyle w:val="Tekstkomentarza"/>
      </w:pPr>
      <w:r>
        <w:rPr>
          <w:rStyle w:val="Odwoaniedokomentarza"/>
        </w:rPr>
        <w:annotationRef/>
      </w:r>
      <w:r>
        <w:t>Jeśli SRZP ma być instrumentem mającym na celu wsparcie przemysłu w zakresie obniżenia kosztów pozyskiwania energii - nie powinno się ograniczać możliwości objęcia strefą do tylko tych odbiorców, którzy zamierzają realizować inwestycję w formule linii bezpośredniej.</w:t>
      </w:r>
    </w:p>
    <w:p w14:paraId="1CB77049" w14:textId="77777777" w:rsidR="00BB3E22" w:rsidRDefault="00BB3E22" w:rsidP="00BB3E22">
      <w:pPr>
        <w:pStyle w:val="Tekstkomentarza"/>
      </w:pPr>
    </w:p>
    <w:p w14:paraId="445B6228" w14:textId="77777777" w:rsidR="00BB3E22" w:rsidRDefault="00BB3E22" w:rsidP="00BB3E22">
      <w:pPr>
        <w:pStyle w:val="Tekstkomentarza"/>
      </w:pPr>
      <w:r>
        <w:t>Duzi odbiorcy mający własne systemy dystrybucyjne mogą wydawać warunki przyłączenia dla deweloperów OZE w obrębie swojego OSDn. Takie podmioty także powinny zatem mieć możliwość korzystania z „dobrodziejstw” strefy (dedykowanych taryf).</w:t>
      </w:r>
    </w:p>
    <w:p w14:paraId="00D176DF" w14:textId="77777777" w:rsidR="00BB3E22" w:rsidRDefault="00BB3E22" w:rsidP="00BB3E22">
      <w:pPr>
        <w:pStyle w:val="Tekstkomentarza"/>
      </w:pPr>
    </w:p>
    <w:p w14:paraId="7EC9F06C" w14:textId="77777777" w:rsidR="00BB3E22" w:rsidRDefault="00BB3E22" w:rsidP="00BB3E22">
      <w:pPr>
        <w:pStyle w:val="Tekstkomentarza"/>
      </w:pPr>
      <w:r>
        <w:t>Postuluje się zatem dodanie alternatywnej przesłanki obejmującej operatorów systemu dystrybucyjnego elektroenergetycznego, do których sieci przyłączone są instalacje OZE.</w:t>
      </w:r>
    </w:p>
    <w:p w14:paraId="24194DE8" w14:textId="77777777" w:rsidR="00BB3E22" w:rsidRDefault="00BB3E22" w:rsidP="00BB3E22">
      <w:pPr>
        <w:pStyle w:val="Tekstkomentarza"/>
      </w:pPr>
    </w:p>
    <w:p w14:paraId="79CE873B" w14:textId="77777777" w:rsidR="00BB3E22" w:rsidRDefault="00BB3E22" w:rsidP="00BB3E22">
      <w:pPr>
        <w:pStyle w:val="Tekstkomentarza"/>
      </w:pPr>
      <w:r>
        <w:t>Energia elektryczna dostarczana takimi sieciami (niewprowadzana do sieci OSDp i OSP powinna być zwolniona z opłat mocowej, jakościowej, kogeneracyjnej i OZE.</w:t>
      </w:r>
    </w:p>
    <w:p w14:paraId="0326ED5B" w14:textId="77777777" w:rsidR="00BB3E22" w:rsidRDefault="00BB3E22" w:rsidP="00BB3E22">
      <w:pPr>
        <w:pStyle w:val="Tekstkomentarza"/>
      </w:pPr>
    </w:p>
    <w:p w14:paraId="076C668C" w14:textId="77777777" w:rsidR="00BB3E22" w:rsidRDefault="00BB3E22" w:rsidP="00BB3E22">
      <w:pPr>
        <w:pStyle w:val="Tekstkomentarza"/>
      </w:pPr>
    </w:p>
    <w:p w14:paraId="64A6BBF6" w14:textId="77777777" w:rsidR="00BB3E22" w:rsidRDefault="00BB3E22" w:rsidP="00BB3E22">
      <w:pPr>
        <w:pStyle w:val="Tekstkomentarza"/>
      </w:pPr>
    </w:p>
    <w:p w14:paraId="6B85B88D" w14:textId="77777777" w:rsidR="00BB3E22" w:rsidRDefault="00BB3E22" w:rsidP="00BB3E22">
      <w:pPr>
        <w:pStyle w:val="Tekstkomentarza"/>
      </w:pPr>
    </w:p>
    <w:p w14:paraId="5D67E4D3" w14:textId="77777777" w:rsidR="00BB3E22" w:rsidRDefault="00BB3E22" w:rsidP="00BB3E22">
      <w:pPr>
        <w:pStyle w:val="Tekstkomentarza"/>
      </w:pPr>
      <w:r>
        <w:t xml:space="preserve"> </w:t>
      </w:r>
    </w:p>
  </w:comment>
  <w:comment w:id="9" w:author="Autor" w:initials="A">
    <w:p w14:paraId="2A800707" w14:textId="77777777" w:rsidR="00707494" w:rsidRDefault="00707494" w:rsidP="00707494">
      <w:pPr>
        <w:pStyle w:val="Tekstkomentarza"/>
      </w:pPr>
      <w:r>
        <w:rPr>
          <w:rStyle w:val="Odwoaniedokomentarza"/>
        </w:rPr>
        <w:annotationRef/>
      </w:r>
      <w:r>
        <w:t>Wskazane kryterium zostało uznane przez Komisję za dyskryminacyjne na etapie wprowadzania pierwszych ulg dla odbiorców przemysłowych w zakresie kosztów systemów wsparcia OZE i CHP i zostało usunięte z ustawy. Istnieje wysokie ryzyko, że również w tym przypadku kryterium to może zostać uznane za dyskryminacyjne.</w:t>
      </w:r>
    </w:p>
    <w:p w14:paraId="0C9A6B04" w14:textId="77777777" w:rsidR="00707494" w:rsidRDefault="00707494" w:rsidP="00707494">
      <w:pPr>
        <w:pStyle w:val="Tekstkomentarza"/>
      </w:pPr>
    </w:p>
    <w:p w14:paraId="275A268E" w14:textId="77777777" w:rsidR="00707494" w:rsidRDefault="00707494" w:rsidP="00707494">
      <w:pPr>
        <w:pStyle w:val="Tekstkomentarza"/>
      </w:pPr>
      <w:r>
        <w:t>Prawidłowe oznaczenie jednostki to „GWh”.</w:t>
      </w:r>
    </w:p>
  </w:comment>
  <w:comment w:id="10" w:author="Autor" w:initials="A">
    <w:p w14:paraId="17A56B5D" w14:textId="77777777" w:rsidR="003234E9" w:rsidRDefault="003234E9" w:rsidP="003234E9">
      <w:pPr>
        <w:pStyle w:val="Tekstkomentarza"/>
      </w:pPr>
      <w:r>
        <w:rPr>
          <w:rStyle w:val="Odwoaniedokomentarza"/>
        </w:rPr>
        <w:annotationRef/>
      </w:r>
      <w:r>
        <w:t>Poniższy katalog jest zbyt wąski - powinien zostać konsekwentnie uzupełniony o odbiorców planujących budowę lub rozbudowę swojej instalacji albo inne działania modernizacyjne w sposób umożliwiający uzyskanie statusu odbiorcy przemysłowego.</w:t>
      </w:r>
    </w:p>
  </w:comment>
  <w:comment w:id="11" w:author="Autor" w:initials="A">
    <w:p w14:paraId="09BEF50F" w14:textId="77777777" w:rsidR="00731E61" w:rsidRDefault="00387E75" w:rsidP="00731E61">
      <w:pPr>
        <w:pStyle w:val="Tekstkomentarza"/>
      </w:pPr>
      <w:r>
        <w:rPr>
          <w:rStyle w:val="Odwoaniedokomentarza"/>
        </w:rPr>
        <w:annotationRef/>
      </w:r>
      <w:r w:rsidR="00731E61">
        <w:t>Duzi odbiorcy energochłonni posiadający własne systemy dystrybucyjne nie mają obecnie możliwości budowy i używania własnych magazynów energii - z uwagi na barierę regulacyjną - ograniczenie z art. 9d(1) PE.</w:t>
      </w:r>
    </w:p>
    <w:p w14:paraId="7DCBE888" w14:textId="77777777" w:rsidR="00731E61" w:rsidRDefault="00731E61" w:rsidP="00731E61">
      <w:pPr>
        <w:pStyle w:val="Tekstkomentarza"/>
      </w:pPr>
    </w:p>
    <w:p w14:paraId="22C292D0" w14:textId="77777777" w:rsidR="00731E61" w:rsidRDefault="00731E61" w:rsidP="00731E61">
      <w:pPr>
        <w:pStyle w:val="Tekstkomentarza"/>
      </w:pPr>
      <w:r>
        <w:t>Konieczna jest implementacja wyłączenia ww. ograniczenia dla Zamkniętych Systemów Dystrybucyjnych.</w:t>
      </w:r>
    </w:p>
  </w:comment>
  <w:comment w:id="12" w:author="Autor" w:initials="A">
    <w:p w14:paraId="47D991D8" w14:textId="77777777" w:rsidR="00731E61" w:rsidRDefault="00C77732" w:rsidP="00731E61">
      <w:pPr>
        <w:pStyle w:val="Tekstkomentarza"/>
      </w:pPr>
      <w:r>
        <w:rPr>
          <w:rStyle w:val="Odwoaniedokomentarza"/>
        </w:rPr>
        <w:annotationRef/>
      </w:r>
      <w:r w:rsidR="00731E61">
        <w:t xml:space="preserve">Czy każda decyzja będzie wymagała notyfikacji jako pomoc publiczna? </w:t>
      </w:r>
    </w:p>
    <w:p w14:paraId="00BCDEB8" w14:textId="77777777" w:rsidR="00731E61" w:rsidRDefault="00731E61" w:rsidP="00731E61">
      <w:pPr>
        <w:pStyle w:val="Tekstkomentarza"/>
      </w:pPr>
    </w:p>
    <w:p w14:paraId="68B8E4C0" w14:textId="77777777" w:rsidR="00731E61" w:rsidRDefault="00731E61" w:rsidP="00731E61">
      <w:pPr>
        <w:pStyle w:val="Tekstkomentarza"/>
      </w:pPr>
      <w:r>
        <w:t>Postulowane jest całkowite zawieszenie/zniesienie opłaty solidarnościowej (nie tylko dla SRZP), która obecnie jest podstawową barierą rozwoju LB. Dotychczasowy brak rozwoju LB wskazuje, że przy opłacie solidarnościowej i tak LB nie będą powstawały. Zwalnianie z opłaty, która i tak nie jest nigdzie indziej pobierana - generuje tylko niepotrzebne problemy z kwestią pomocy publicznej.</w:t>
      </w:r>
    </w:p>
    <w:p w14:paraId="182C8487" w14:textId="77777777" w:rsidR="00731E61" w:rsidRDefault="00731E61" w:rsidP="00731E61">
      <w:pPr>
        <w:pStyle w:val="Tekstkomentarza"/>
      </w:pPr>
    </w:p>
    <w:p w14:paraId="7EE4E7C3" w14:textId="77777777" w:rsidR="00731E61" w:rsidRDefault="00731E61" w:rsidP="00731E61">
      <w:pPr>
        <w:pStyle w:val="Tekstkomentarza"/>
      </w:pPr>
      <w:r>
        <w:t>SRZP powinna być wehikułem pozwalającym na obniżenie kosztów działania zakładów przemysłowych - z uwagi na energetyczny profil ich działalności - nie tylko podstawą do zwolnienia z opłaty solidarnościowej.</w:t>
      </w:r>
    </w:p>
    <w:p w14:paraId="2E9C10F0" w14:textId="77777777" w:rsidR="00731E61" w:rsidRDefault="00731E61" w:rsidP="00731E61">
      <w:pPr>
        <w:pStyle w:val="Tekstkomentarza"/>
      </w:pPr>
    </w:p>
    <w:p w14:paraId="34428CA6" w14:textId="77777777" w:rsidR="00731E61" w:rsidRDefault="00731E61" w:rsidP="00731E61">
      <w:pPr>
        <w:pStyle w:val="Tekstkomentarza"/>
      </w:pPr>
      <w:r>
        <w:t>Postuluje się:</w:t>
      </w:r>
    </w:p>
    <w:p w14:paraId="781A7E63" w14:textId="77777777" w:rsidR="00731E61" w:rsidRDefault="00731E61" w:rsidP="00731E61">
      <w:pPr>
        <w:pStyle w:val="Tekstkomentarza"/>
        <w:ind w:left="300"/>
      </w:pPr>
      <w:r>
        <w:t>Umożliwienie wspólnego zamawiania i rozliczania mocy umownej dla obiektów objętych strefą;</w:t>
      </w:r>
    </w:p>
    <w:p w14:paraId="09F51FA2" w14:textId="77777777" w:rsidR="00731E61" w:rsidRDefault="00731E61" w:rsidP="00731E61">
      <w:pPr>
        <w:pStyle w:val="Tekstkomentarza"/>
        <w:ind w:left="300"/>
      </w:pPr>
      <w:r>
        <w:t>Wyłączenie pobierania opłat mocowej, jakościowej, kogeneracyjnej i OZE dla energii elektrycznej wytworzonej i zużytej w ramach strefy (rozprowadzonej siecią zakładową - OSDn) - co ma uzasadnienie - w tym, że energia ta jest bialnsowana w ramach mikro systemu dystrybucyjnego i nie „obciąża” KSE.</w:t>
      </w:r>
    </w:p>
  </w:comment>
  <w:comment w:id="13" w:author="Autor" w:initials="A">
    <w:p w14:paraId="29F12DA7" w14:textId="74F7A1A8" w:rsidR="003234E9" w:rsidRDefault="003234E9" w:rsidP="003234E9">
      <w:pPr>
        <w:pStyle w:val="Tekstkomentarza"/>
      </w:pPr>
      <w:r>
        <w:rPr>
          <w:rStyle w:val="Odwoaniedokomentarza"/>
        </w:rPr>
        <w:annotationRef/>
      </w:r>
      <w:r>
        <w:t>Pojęcie „taryfy preferencyjnej” wymaga zdefiniowana na potrzeby projektu jako nowe pojęcie w ustawie - Prawo energetyczne.</w:t>
      </w:r>
    </w:p>
    <w:p w14:paraId="247138C2" w14:textId="77777777" w:rsidR="003234E9" w:rsidRDefault="003234E9" w:rsidP="003234E9">
      <w:pPr>
        <w:pStyle w:val="Tekstkomentarza"/>
      </w:pPr>
    </w:p>
    <w:p w14:paraId="76EDD47C" w14:textId="77777777" w:rsidR="003234E9" w:rsidRDefault="003234E9" w:rsidP="003234E9">
      <w:pPr>
        <w:pStyle w:val="Tekstkomentarza"/>
      </w:pPr>
      <w:r>
        <w:t xml:space="preserve">Wyjaśnienia wymaga również, na czym polega taryfa preferencyjna i w jaki sposób miałaby mieć zastosowanie do przedsiębiorców niekorzystających z taryf, np. nabywających energię po cenniku lub na giełdzie towarowej. </w:t>
      </w:r>
    </w:p>
  </w:comment>
  <w:comment w:id="14" w:author="Autor" w:initials="A">
    <w:p w14:paraId="09EC5277" w14:textId="77777777" w:rsidR="00017025" w:rsidRDefault="00017025" w:rsidP="00017025">
      <w:pPr>
        <w:pStyle w:val="Tekstkomentarza"/>
      </w:pPr>
      <w:r>
        <w:rPr>
          <w:rStyle w:val="Odwoaniedokomentarza"/>
        </w:rPr>
        <w:annotationRef/>
      </w:r>
      <w:r>
        <w:t>Nazewnictwo do ujednolicenia - powinno być konsekwentnie w całym projekcie albo „Strefa Rozwoju Zrównoważonego Przemysłu” albo „strefa, o której mowa w art. 7ab.</w:t>
      </w:r>
    </w:p>
  </w:comment>
  <w:comment w:id="15" w:author="Autor" w:initials="A">
    <w:p w14:paraId="0A79D349" w14:textId="280DE95E" w:rsidR="003234E9" w:rsidRDefault="003234E9" w:rsidP="003234E9">
      <w:pPr>
        <w:pStyle w:val="Tekstkomentarza"/>
      </w:pPr>
      <w:r>
        <w:rPr>
          <w:rStyle w:val="Odwoaniedokomentarza"/>
        </w:rPr>
        <w:annotationRef/>
      </w:r>
      <w:r>
        <w:t xml:space="preserve">Brak przesłanki związanej, jak się wydaje, z istotą taryf preferencyjnych, tj. utrzymania i rozwoju przemysłów energochłonnych. </w:t>
      </w:r>
    </w:p>
  </w:comment>
  <w:comment w:id="16" w:author="Autor" w:initials="A">
    <w:p w14:paraId="62165B28" w14:textId="77777777" w:rsidR="003234E9" w:rsidRDefault="003234E9" w:rsidP="003234E9">
      <w:pPr>
        <w:pStyle w:val="Tekstkomentarza"/>
      </w:pPr>
      <w:r>
        <w:rPr>
          <w:rStyle w:val="Odwoaniedokomentarza"/>
        </w:rPr>
        <w:annotationRef/>
      </w:r>
      <w:r>
        <w:t>Brak odesłania do ustawy - Prawo energetyczne.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EE6E5D" w15:done="0"/>
  <w15:commentEx w15:paraId="2457CAB7" w15:done="0"/>
  <w15:commentEx w15:paraId="4FC20961" w15:done="0"/>
  <w15:commentEx w15:paraId="3B348C0F" w15:done="0"/>
  <w15:commentEx w15:paraId="03E7EFCA" w15:done="0"/>
  <w15:commentEx w15:paraId="7BAAC8AE" w15:done="0"/>
  <w15:commentEx w15:paraId="73FBA214" w15:done="0"/>
  <w15:commentEx w15:paraId="01999274" w15:done="0"/>
  <w15:commentEx w15:paraId="5D67E4D3" w15:done="0"/>
  <w15:commentEx w15:paraId="275A268E" w15:done="0"/>
  <w15:commentEx w15:paraId="17A56B5D" w15:done="0"/>
  <w15:commentEx w15:paraId="22C292D0" w15:done="0"/>
  <w15:commentEx w15:paraId="09F51FA2" w15:done="0"/>
  <w15:commentEx w15:paraId="76EDD47C" w15:done="0"/>
  <w15:commentEx w15:paraId="09EC5277" w15:done="0"/>
  <w15:commentEx w15:paraId="0A79D349" w15:done="0"/>
  <w15:commentEx w15:paraId="62165B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E6E5D" w16cid:durableId="39908238"/>
  <w16cid:commentId w16cid:paraId="2457CAB7" w16cid:durableId="5EB14E5B"/>
  <w16cid:commentId w16cid:paraId="4FC20961" w16cid:durableId="1037A64B"/>
  <w16cid:commentId w16cid:paraId="3B348C0F" w16cid:durableId="380E34B6"/>
  <w16cid:commentId w16cid:paraId="03E7EFCA" w16cid:durableId="7E9ACED1"/>
  <w16cid:commentId w16cid:paraId="7BAAC8AE" w16cid:durableId="4A18A249"/>
  <w16cid:commentId w16cid:paraId="73FBA214" w16cid:durableId="67838E43"/>
  <w16cid:commentId w16cid:paraId="01999274" w16cid:durableId="2EC29623"/>
  <w16cid:commentId w16cid:paraId="5D67E4D3" w16cid:durableId="66AF933F"/>
  <w16cid:commentId w16cid:paraId="275A268E" w16cid:durableId="0B92EEC8"/>
  <w16cid:commentId w16cid:paraId="17A56B5D" w16cid:durableId="2CC45D61"/>
  <w16cid:commentId w16cid:paraId="22C292D0" w16cid:durableId="255F9FF3"/>
  <w16cid:commentId w16cid:paraId="09F51FA2" w16cid:durableId="38EE292A"/>
  <w16cid:commentId w16cid:paraId="76EDD47C" w16cid:durableId="4DF95F93"/>
  <w16cid:commentId w16cid:paraId="09EC5277" w16cid:durableId="19A0FCFE"/>
  <w16cid:commentId w16cid:paraId="0A79D349" w16cid:durableId="178865F7"/>
  <w16cid:commentId w16cid:paraId="62165B28" w16cid:durableId="578256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F8B3" w14:textId="77777777" w:rsidR="002E3A9E" w:rsidRDefault="002E3A9E">
      <w:r>
        <w:separator/>
      </w:r>
    </w:p>
  </w:endnote>
  <w:endnote w:type="continuationSeparator" w:id="0">
    <w:p w14:paraId="578752A7" w14:textId="77777777" w:rsidR="002E3A9E" w:rsidRDefault="002E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FB6B" w14:textId="77777777" w:rsidR="002E3A9E" w:rsidRDefault="002E3A9E">
      <w:r>
        <w:separator/>
      </w:r>
    </w:p>
  </w:footnote>
  <w:footnote w:type="continuationSeparator" w:id="0">
    <w:p w14:paraId="3E9340D7" w14:textId="77777777" w:rsidR="002E3A9E" w:rsidRDefault="002E3A9E">
      <w:r>
        <w:continuationSeparator/>
      </w:r>
    </w:p>
  </w:footnote>
  <w:footnote w:id="1">
    <w:p w14:paraId="6C3A877B" w14:textId="09432141" w:rsidR="00482823" w:rsidRDefault="00482823" w:rsidP="00323318">
      <w:pPr>
        <w:pStyle w:val="PKTpunkt"/>
      </w:pPr>
      <w:r>
        <w:rPr>
          <w:rStyle w:val="Odwoanieprzypisudolnego"/>
        </w:rPr>
        <w:footnoteRef/>
      </w:r>
      <w:r w:rsidRPr="00B85E55">
        <w:rPr>
          <w:rStyle w:val="IGindeksgrny"/>
        </w:rPr>
        <w:t>)</w:t>
      </w:r>
      <w:r>
        <w:tab/>
      </w:r>
      <w:r w:rsidRPr="00B85E55">
        <w:t xml:space="preserve">Niniejszą ustawą zmienia się ustawy: </w:t>
      </w:r>
      <w:r>
        <w:t xml:space="preserve">ustawę </w:t>
      </w:r>
      <w:r w:rsidRPr="00B85E55">
        <w:t>z dnia 10 kwietnia 1997 r. – Prawo energetyczne</w:t>
      </w:r>
      <w:r>
        <w:t xml:space="preserve">, ustawę </w:t>
      </w:r>
      <w:r w:rsidRPr="00961412">
        <w:t xml:space="preserve">z dnia </w:t>
      </w:r>
      <w:r>
        <w:t xml:space="preserve">7 lipca 1994 r. </w:t>
      </w:r>
      <w:r w:rsidR="00D023F9" w:rsidRPr="00714A18">
        <w:t>–</w:t>
      </w:r>
      <w:r>
        <w:t xml:space="preserve"> Prawo budowlane.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D241"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2E00C8"/>
    <w:multiLevelType w:val="hybridMultilevel"/>
    <w:tmpl w:val="72F6AC1C"/>
    <w:lvl w:ilvl="0" w:tplc="3F7AB11E">
      <w:start w:val="1"/>
      <w:numFmt w:val="bullet"/>
      <w:lvlText w:val=""/>
      <w:lvlJc w:val="left"/>
      <w:pPr>
        <w:ind w:left="1020" w:hanging="360"/>
      </w:pPr>
      <w:rPr>
        <w:rFonts w:ascii="Symbol" w:hAnsi="Symbol"/>
      </w:rPr>
    </w:lvl>
    <w:lvl w:ilvl="1" w:tplc="5C324338">
      <w:start w:val="1"/>
      <w:numFmt w:val="bullet"/>
      <w:lvlText w:val=""/>
      <w:lvlJc w:val="left"/>
      <w:pPr>
        <w:ind w:left="1020" w:hanging="360"/>
      </w:pPr>
      <w:rPr>
        <w:rFonts w:ascii="Symbol" w:hAnsi="Symbol"/>
      </w:rPr>
    </w:lvl>
    <w:lvl w:ilvl="2" w:tplc="1E5E7EE8">
      <w:start w:val="1"/>
      <w:numFmt w:val="bullet"/>
      <w:lvlText w:val=""/>
      <w:lvlJc w:val="left"/>
      <w:pPr>
        <w:ind w:left="1020" w:hanging="360"/>
      </w:pPr>
      <w:rPr>
        <w:rFonts w:ascii="Symbol" w:hAnsi="Symbol"/>
      </w:rPr>
    </w:lvl>
    <w:lvl w:ilvl="3" w:tplc="E9D41076">
      <w:start w:val="1"/>
      <w:numFmt w:val="bullet"/>
      <w:lvlText w:val=""/>
      <w:lvlJc w:val="left"/>
      <w:pPr>
        <w:ind w:left="1020" w:hanging="360"/>
      </w:pPr>
      <w:rPr>
        <w:rFonts w:ascii="Symbol" w:hAnsi="Symbol"/>
      </w:rPr>
    </w:lvl>
    <w:lvl w:ilvl="4" w:tplc="DF92A774">
      <w:start w:val="1"/>
      <w:numFmt w:val="bullet"/>
      <w:lvlText w:val=""/>
      <w:lvlJc w:val="left"/>
      <w:pPr>
        <w:ind w:left="1020" w:hanging="360"/>
      </w:pPr>
      <w:rPr>
        <w:rFonts w:ascii="Symbol" w:hAnsi="Symbol"/>
      </w:rPr>
    </w:lvl>
    <w:lvl w:ilvl="5" w:tplc="9634D0FC">
      <w:start w:val="1"/>
      <w:numFmt w:val="bullet"/>
      <w:lvlText w:val=""/>
      <w:lvlJc w:val="left"/>
      <w:pPr>
        <w:ind w:left="1020" w:hanging="360"/>
      </w:pPr>
      <w:rPr>
        <w:rFonts w:ascii="Symbol" w:hAnsi="Symbol"/>
      </w:rPr>
    </w:lvl>
    <w:lvl w:ilvl="6" w:tplc="F6E42EE6">
      <w:start w:val="1"/>
      <w:numFmt w:val="bullet"/>
      <w:lvlText w:val=""/>
      <w:lvlJc w:val="left"/>
      <w:pPr>
        <w:ind w:left="1020" w:hanging="360"/>
      </w:pPr>
      <w:rPr>
        <w:rFonts w:ascii="Symbol" w:hAnsi="Symbol"/>
      </w:rPr>
    </w:lvl>
    <w:lvl w:ilvl="7" w:tplc="76F4D1EA">
      <w:start w:val="1"/>
      <w:numFmt w:val="bullet"/>
      <w:lvlText w:val=""/>
      <w:lvlJc w:val="left"/>
      <w:pPr>
        <w:ind w:left="1020" w:hanging="360"/>
      </w:pPr>
      <w:rPr>
        <w:rFonts w:ascii="Symbol" w:hAnsi="Symbol"/>
      </w:rPr>
    </w:lvl>
    <w:lvl w:ilvl="8" w:tplc="78408BB6">
      <w:start w:val="1"/>
      <w:numFmt w:val="bullet"/>
      <w:lvlText w:val=""/>
      <w:lvlJc w:val="left"/>
      <w:pPr>
        <w:ind w:left="1020" w:hanging="360"/>
      </w:pPr>
      <w:rPr>
        <w:rFonts w:ascii="Symbol" w:hAnsi="Symbol"/>
      </w:rPr>
    </w:lvl>
  </w:abstractNum>
  <w:num w:numId="1" w16cid:durableId="1147209044">
    <w:abstractNumId w:val="23"/>
  </w:num>
  <w:num w:numId="2" w16cid:durableId="367922104">
    <w:abstractNumId w:val="23"/>
  </w:num>
  <w:num w:numId="3" w16cid:durableId="1866164282">
    <w:abstractNumId w:val="18"/>
  </w:num>
  <w:num w:numId="4" w16cid:durableId="691567687">
    <w:abstractNumId w:val="18"/>
  </w:num>
  <w:num w:numId="5" w16cid:durableId="939677601">
    <w:abstractNumId w:val="35"/>
  </w:num>
  <w:num w:numId="6" w16cid:durableId="132606985">
    <w:abstractNumId w:val="31"/>
  </w:num>
  <w:num w:numId="7" w16cid:durableId="901257170">
    <w:abstractNumId w:val="35"/>
  </w:num>
  <w:num w:numId="8" w16cid:durableId="583688019">
    <w:abstractNumId w:val="31"/>
  </w:num>
  <w:num w:numId="9" w16cid:durableId="1069116878">
    <w:abstractNumId w:val="35"/>
  </w:num>
  <w:num w:numId="10" w16cid:durableId="1212185091">
    <w:abstractNumId w:val="31"/>
  </w:num>
  <w:num w:numId="11" w16cid:durableId="1559778332">
    <w:abstractNumId w:val="14"/>
  </w:num>
  <w:num w:numId="12" w16cid:durableId="1638606977">
    <w:abstractNumId w:val="10"/>
  </w:num>
  <w:num w:numId="13" w16cid:durableId="13196460">
    <w:abstractNumId w:val="15"/>
  </w:num>
  <w:num w:numId="14" w16cid:durableId="632752169">
    <w:abstractNumId w:val="26"/>
  </w:num>
  <w:num w:numId="15" w16cid:durableId="1766339619">
    <w:abstractNumId w:val="14"/>
  </w:num>
  <w:num w:numId="16" w16cid:durableId="956133976">
    <w:abstractNumId w:val="16"/>
  </w:num>
  <w:num w:numId="17" w16cid:durableId="1915124483">
    <w:abstractNumId w:val="8"/>
  </w:num>
  <w:num w:numId="18" w16cid:durableId="1449550152">
    <w:abstractNumId w:val="3"/>
  </w:num>
  <w:num w:numId="19" w16cid:durableId="491608121">
    <w:abstractNumId w:val="2"/>
  </w:num>
  <w:num w:numId="20" w16cid:durableId="41559673">
    <w:abstractNumId w:val="1"/>
  </w:num>
  <w:num w:numId="21" w16cid:durableId="350381849">
    <w:abstractNumId w:val="0"/>
  </w:num>
  <w:num w:numId="22" w16cid:durableId="880900652">
    <w:abstractNumId w:val="9"/>
  </w:num>
  <w:num w:numId="23" w16cid:durableId="1843738207">
    <w:abstractNumId w:val="7"/>
  </w:num>
  <w:num w:numId="24" w16cid:durableId="1894661075">
    <w:abstractNumId w:val="6"/>
  </w:num>
  <w:num w:numId="25" w16cid:durableId="1996179963">
    <w:abstractNumId w:val="5"/>
  </w:num>
  <w:num w:numId="26" w16cid:durableId="83039010">
    <w:abstractNumId w:val="4"/>
  </w:num>
  <w:num w:numId="27" w16cid:durableId="1288775474">
    <w:abstractNumId w:val="33"/>
  </w:num>
  <w:num w:numId="28" w16cid:durableId="637222755">
    <w:abstractNumId w:val="25"/>
  </w:num>
  <w:num w:numId="29" w16cid:durableId="255788370">
    <w:abstractNumId w:val="36"/>
  </w:num>
  <w:num w:numId="30" w16cid:durableId="890076855">
    <w:abstractNumId w:val="32"/>
  </w:num>
  <w:num w:numId="31" w16cid:durableId="1811248827">
    <w:abstractNumId w:val="19"/>
  </w:num>
  <w:num w:numId="32" w16cid:durableId="2131319299">
    <w:abstractNumId w:val="11"/>
  </w:num>
  <w:num w:numId="33" w16cid:durableId="2084255658">
    <w:abstractNumId w:val="30"/>
  </w:num>
  <w:num w:numId="34" w16cid:durableId="342709204">
    <w:abstractNumId w:val="20"/>
  </w:num>
  <w:num w:numId="35" w16cid:durableId="2064058895">
    <w:abstractNumId w:val="17"/>
  </w:num>
  <w:num w:numId="36" w16cid:durableId="134881569">
    <w:abstractNumId w:val="22"/>
  </w:num>
  <w:num w:numId="37" w16cid:durableId="1139418611">
    <w:abstractNumId w:val="27"/>
  </w:num>
  <w:num w:numId="38" w16cid:durableId="2102212827">
    <w:abstractNumId w:val="24"/>
  </w:num>
  <w:num w:numId="39" w16cid:durableId="1262034463">
    <w:abstractNumId w:val="13"/>
  </w:num>
  <w:num w:numId="40" w16cid:durableId="1380400070">
    <w:abstractNumId w:val="29"/>
  </w:num>
  <w:num w:numId="41" w16cid:durableId="920720870">
    <w:abstractNumId w:val="28"/>
  </w:num>
  <w:num w:numId="42" w16cid:durableId="1499005784">
    <w:abstractNumId w:val="21"/>
  </w:num>
  <w:num w:numId="43" w16cid:durableId="953706087">
    <w:abstractNumId w:val="34"/>
  </w:num>
  <w:num w:numId="44" w16cid:durableId="928193656">
    <w:abstractNumId w:val="12"/>
  </w:num>
  <w:num w:numId="45" w16cid:durableId="51900399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23"/>
    <w:rsid w:val="000012DA"/>
    <w:rsid w:val="0000246E"/>
    <w:rsid w:val="00003862"/>
    <w:rsid w:val="00012A35"/>
    <w:rsid w:val="00016099"/>
    <w:rsid w:val="00017025"/>
    <w:rsid w:val="00017DC2"/>
    <w:rsid w:val="00021522"/>
    <w:rsid w:val="00023471"/>
    <w:rsid w:val="00023F13"/>
    <w:rsid w:val="00026DDD"/>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17A"/>
    <w:rsid w:val="00057AB3"/>
    <w:rsid w:val="00060076"/>
    <w:rsid w:val="00060432"/>
    <w:rsid w:val="00060D87"/>
    <w:rsid w:val="000615A5"/>
    <w:rsid w:val="000633FF"/>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2E32"/>
    <w:rsid w:val="000A323B"/>
    <w:rsid w:val="000B298D"/>
    <w:rsid w:val="000B5B2D"/>
    <w:rsid w:val="000B5DCE"/>
    <w:rsid w:val="000C05BA"/>
    <w:rsid w:val="000C0E8F"/>
    <w:rsid w:val="000C4BC4"/>
    <w:rsid w:val="000D0110"/>
    <w:rsid w:val="000D2468"/>
    <w:rsid w:val="000D2BDF"/>
    <w:rsid w:val="000D318A"/>
    <w:rsid w:val="000D6173"/>
    <w:rsid w:val="000D6F83"/>
    <w:rsid w:val="000E25CC"/>
    <w:rsid w:val="000E3694"/>
    <w:rsid w:val="000E490F"/>
    <w:rsid w:val="000E5C67"/>
    <w:rsid w:val="000E6241"/>
    <w:rsid w:val="000F2BE3"/>
    <w:rsid w:val="000F3D0D"/>
    <w:rsid w:val="000F3ED5"/>
    <w:rsid w:val="000F6ED4"/>
    <w:rsid w:val="000F7A6E"/>
    <w:rsid w:val="001042BA"/>
    <w:rsid w:val="00106D03"/>
    <w:rsid w:val="00110465"/>
    <w:rsid w:val="00110628"/>
    <w:rsid w:val="0011245A"/>
    <w:rsid w:val="0011493E"/>
    <w:rsid w:val="00115B72"/>
    <w:rsid w:val="00115D75"/>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77DC5"/>
    <w:rsid w:val="00180F2A"/>
    <w:rsid w:val="0018112D"/>
    <w:rsid w:val="00184B91"/>
    <w:rsid w:val="00184B92"/>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0D0"/>
    <w:rsid w:val="001D1783"/>
    <w:rsid w:val="001D3314"/>
    <w:rsid w:val="001D53CD"/>
    <w:rsid w:val="001D55A3"/>
    <w:rsid w:val="001D5AF5"/>
    <w:rsid w:val="001E1E73"/>
    <w:rsid w:val="001E4E0C"/>
    <w:rsid w:val="001E51BA"/>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85642"/>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39A8"/>
    <w:rsid w:val="002D4D30"/>
    <w:rsid w:val="002D5000"/>
    <w:rsid w:val="002D598D"/>
    <w:rsid w:val="002D7188"/>
    <w:rsid w:val="002E1DE3"/>
    <w:rsid w:val="002E2AB6"/>
    <w:rsid w:val="002E3A9E"/>
    <w:rsid w:val="002E3F34"/>
    <w:rsid w:val="002E5F79"/>
    <w:rsid w:val="002E64FA"/>
    <w:rsid w:val="002F0A00"/>
    <w:rsid w:val="002F0CFA"/>
    <w:rsid w:val="002F669F"/>
    <w:rsid w:val="00301C97"/>
    <w:rsid w:val="0031004C"/>
    <w:rsid w:val="003105F6"/>
    <w:rsid w:val="00311297"/>
    <w:rsid w:val="003113BE"/>
    <w:rsid w:val="003122CA"/>
    <w:rsid w:val="003148FD"/>
    <w:rsid w:val="00320E3D"/>
    <w:rsid w:val="00321080"/>
    <w:rsid w:val="00322D45"/>
    <w:rsid w:val="00323318"/>
    <w:rsid w:val="003234E9"/>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87E75"/>
    <w:rsid w:val="00390E89"/>
    <w:rsid w:val="00391B1A"/>
    <w:rsid w:val="00394423"/>
    <w:rsid w:val="00396942"/>
    <w:rsid w:val="00396B49"/>
    <w:rsid w:val="00396E3E"/>
    <w:rsid w:val="003A306E"/>
    <w:rsid w:val="003A5307"/>
    <w:rsid w:val="003A60DC"/>
    <w:rsid w:val="003A6A46"/>
    <w:rsid w:val="003A7A63"/>
    <w:rsid w:val="003B000C"/>
    <w:rsid w:val="003B0F1D"/>
    <w:rsid w:val="003B4A57"/>
    <w:rsid w:val="003C0AD9"/>
    <w:rsid w:val="003C0ED0"/>
    <w:rsid w:val="003C1D49"/>
    <w:rsid w:val="003C35C4"/>
    <w:rsid w:val="003D01B4"/>
    <w:rsid w:val="003D12C2"/>
    <w:rsid w:val="003D31B9"/>
    <w:rsid w:val="003D3867"/>
    <w:rsid w:val="003D7322"/>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3600F"/>
    <w:rsid w:val="00440C99"/>
    <w:rsid w:val="0044175C"/>
    <w:rsid w:val="00445F4D"/>
    <w:rsid w:val="004504C0"/>
    <w:rsid w:val="004550FB"/>
    <w:rsid w:val="00457AE0"/>
    <w:rsid w:val="0046111A"/>
    <w:rsid w:val="00462946"/>
    <w:rsid w:val="00463F43"/>
    <w:rsid w:val="00464B94"/>
    <w:rsid w:val="004653A8"/>
    <w:rsid w:val="00465A0B"/>
    <w:rsid w:val="0047077C"/>
    <w:rsid w:val="00470B05"/>
    <w:rsid w:val="0047207C"/>
    <w:rsid w:val="00472CD6"/>
    <w:rsid w:val="00474E3C"/>
    <w:rsid w:val="00480A58"/>
    <w:rsid w:val="00482151"/>
    <w:rsid w:val="00482823"/>
    <w:rsid w:val="00485FAD"/>
    <w:rsid w:val="00487AED"/>
    <w:rsid w:val="00491EDF"/>
    <w:rsid w:val="00492A3F"/>
    <w:rsid w:val="00494F62"/>
    <w:rsid w:val="004A2001"/>
    <w:rsid w:val="004A3590"/>
    <w:rsid w:val="004A6D73"/>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3655"/>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652E1"/>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3F4D"/>
    <w:rsid w:val="005A669D"/>
    <w:rsid w:val="005A75D8"/>
    <w:rsid w:val="005B713E"/>
    <w:rsid w:val="005C03B6"/>
    <w:rsid w:val="005C1969"/>
    <w:rsid w:val="005C348E"/>
    <w:rsid w:val="005C68E1"/>
    <w:rsid w:val="005D3763"/>
    <w:rsid w:val="005D55E1"/>
    <w:rsid w:val="005E197C"/>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4EB7"/>
    <w:rsid w:val="00615364"/>
    <w:rsid w:val="00615772"/>
    <w:rsid w:val="00621256"/>
    <w:rsid w:val="00621FCC"/>
    <w:rsid w:val="00622E4B"/>
    <w:rsid w:val="00623023"/>
    <w:rsid w:val="006333DA"/>
    <w:rsid w:val="00635134"/>
    <w:rsid w:val="006356E2"/>
    <w:rsid w:val="00642A65"/>
    <w:rsid w:val="00645DCE"/>
    <w:rsid w:val="006465AC"/>
    <w:rsid w:val="006465BF"/>
    <w:rsid w:val="00653B22"/>
    <w:rsid w:val="00656F87"/>
    <w:rsid w:val="00657BF4"/>
    <w:rsid w:val="006603FB"/>
    <w:rsid w:val="006608DF"/>
    <w:rsid w:val="006623AC"/>
    <w:rsid w:val="00665FBD"/>
    <w:rsid w:val="006678AF"/>
    <w:rsid w:val="006701EF"/>
    <w:rsid w:val="00673BA5"/>
    <w:rsid w:val="006744B1"/>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07494"/>
    <w:rsid w:val="00711221"/>
    <w:rsid w:val="00712675"/>
    <w:rsid w:val="00713808"/>
    <w:rsid w:val="007151B6"/>
    <w:rsid w:val="0071520D"/>
    <w:rsid w:val="00715EDB"/>
    <w:rsid w:val="007160D5"/>
    <w:rsid w:val="007163FB"/>
    <w:rsid w:val="00717932"/>
    <w:rsid w:val="00717C2E"/>
    <w:rsid w:val="007204FA"/>
    <w:rsid w:val="007213B3"/>
    <w:rsid w:val="0072457F"/>
    <w:rsid w:val="00725406"/>
    <w:rsid w:val="00725A6F"/>
    <w:rsid w:val="0072621B"/>
    <w:rsid w:val="00730555"/>
    <w:rsid w:val="007312CC"/>
    <w:rsid w:val="00731E61"/>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24C"/>
    <w:rsid w:val="00770F6B"/>
    <w:rsid w:val="00771883"/>
    <w:rsid w:val="00776DC2"/>
    <w:rsid w:val="00780122"/>
    <w:rsid w:val="0078214B"/>
    <w:rsid w:val="0078498A"/>
    <w:rsid w:val="007878FE"/>
    <w:rsid w:val="00792207"/>
    <w:rsid w:val="00792B64"/>
    <w:rsid w:val="00792E29"/>
    <w:rsid w:val="0079379A"/>
    <w:rsid w:val="00794953"/>
    <w:rsid w:val="00797358"/>
    <w:rsid w:val="007A1F2F"/>
    <w:rsid w:val="007A2A5C"/>
    <w:rsid w:val="007A48E9"/>
    <w:rsid w:val="007A5150"/>
    <w:rsid w:val="007A5373"/>
    <w:rsid w:val="007A789F"/>
    <w:rsid w:val="007B75BC"/>
    <w:rsid w:val="007C0BD6"/>
    <w:rsid w:val="007C3806"/>
    <w:rsid w:val="007C5BB7"/>
    <w:rsid w:val="007D07D5"/>
    <w:rsid w:val="007D1C64"/>
    <w:rsid w:val="007D32DD"/>
    <w:rsid w:val="007D3306"/>
    <w:rsid w:val="007D6DCE"/>
    <w:rsid w:val="007D72C4"/>
    <w:rsid w:val="007E2CFE"/>
    <w:rsid w:val="007E3BB9"/>
    <w:rsid w:val="007E59C9"/>
    <w:rsid w:val="007F0072"/>
    <w:rsid w:val="007F2EB6"/>
    <w:rsid w:val="007F54C3"/>
    <w:rsid w:val="00802949"/>
    <w:rsid w:val="0080301E"/>
    <w:rsid w:val="0080365F"/>
    <w:rsid w:val="00812BE5"/>
    <w:rsid w:val="00817429"/>
    <w:rsid w:val="00821514"/>
    <w:rsid w:val="00821E35"/>
    <w:rsid w:val="0082409B"/>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5DFF"/>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427"/>
    <w:rsid w:val="008B2866"/>
    <w:rsid w:val="008B3859"/>
    <w:rsid w:val="008B436D"/>
    <w:rsid w:val="008B4E17"/>
    <w:rsid w:val="008B4E49"/>
    <w:rsid w:val="008B7712"/>
    <w:rsid w:val="008B7B26"/>
    <w:rsid w:val="008C0B38"/>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37A1"/>
    <w:rsid w:val="00924D4A"/>
    <w:rsid w:val="00925241"/>
    <w:rsid w:val="00925CEC"/>
    <w:rsid w:val="00926A3F"/>
    <w:rsid w:val="0092794E"/>
    <w:rsid w:val="00930D30"/>
    <w:rsid w:val="009332A2"/>
    <w:rsid w:val="00933E32"/>
    <w:rsid w:val="00935161"/>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5C07"/>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0BC7"/>
    <w:rsid w:val="00A7436E"/>
    <w:rsid w:val="00A74E96"/>
    <w:rsid w:val="00A75A8E"/>
    <w:rsid w:val="00A7625F"/>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6F05"/>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1EFA"/>
    <w:rsid w:val="00AF4CAA"/>
    <w:rsid w:val="00AF571A"/>
    <w:rsid w:val="00AF60A0"/>
    <w:rsid w:val="00AF67FC"/>
    <w:rsid w:val="00AF7DF5"/>
    <w:rsid w:val="00B006E5"/>
    <w:rsid w:val="00B024C2"/>
    <w:rsid w:val="00B07700"/>
    <w:rsid w:val="00B13921"/>
    <w:rsid w:val="00B1528C"/>
    <w:rsid w:val="00B16ACD"/>
    <w:rsid w:val="00B21487"/>
    <w:rsid w:val="00B232D1"/>
    <w:rsid w:val="00B232EE"/>
    <w:rsid w:val="00B24DB5"/>
    <w:rsid w:val="00B31F9E"/>
    <w:rsid w:val="00B3268F"/>
    <w:rsid w:val="00B32C2C"/>
    <w:rsid w:val="00B33A1A"/>
    <w:rsid w:val="00B33E6C"/>
    <w:rsid w:val="00B355FF"/>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4E30"/>
    <w:rsid w:val="00BA561A"/>
    <w:rsid w:val="00BB0DC6"/>
    <w:rsid w:val="00BB15E4"/>
    <w:rsid w:val="00BB1E19"/>
    <w:rsid w:val="00BB21D1"/>
    <w:rsid w:val="00BB32F2"/>
    <w:rsid w:val="00BB3584"/>
    <w:rsid w:val="00BB3E22"/>
    <w:rsid w:val="00BB4338"/>
    <w:rsid w:val="00BB6C0E"/>
    <w:rsid w:val="00BB7B38"/>
    <w:rsid w:val="00BC11E5"/>
    <w:rsid w:val="00BC4BC6"/>
    <w:rsid w:val="00BC52FD"/>
    <w:rsid w:val="00BC6E62"/>
    <w:rsid w:val="00BC7443"/>
    <w:rsid w:val="00BD0648"/>
    <w:rsid w:val="00BD1040"/>
    <w:rsid w:val="00BD34AA"/>
    <w:rsid w:val="00BD5AD1"/>
    <w:rsid w:val="00BE0C44"/>
    <w:rsid w:val="00BE1B8B"/>
    <w:rsid w:val="00BE2A18"/>
    <w:rsid w:val="00BE2C01"/>
    <w:rsid w:val="00BE41EC"/>
    <w:rsid w:val="00BE4401"/>
    <w:rsid w:val="00BE56FB"/>
    <w:rsid w:val="00BF3DDE"/>
    <w:rsid w:val="00BF4241"/>
    <w:rsid w:val="00BF6589"/>
    <w:rsid w:val="00BF6F7F"/>
    <w:rsid w:val="00C00647"/>
    <w:rsid w:val="00C02764"/>
    <w:rsid w:val="00C04CEF"/>
    <w:rsid w:val="00C0662F"/>
    <w:rsid w:val="00C11943"/>
    <w:rsid w:val="00C12E96"/>
    <w:rsid w:val="00C14763"/>
    <w:rsid w:val="00C16141"/>
    <w:rsid w:val="00C21F2C"/>
    <w:rsid w:val="00C2363F"/>
    <w:rsid w:val="00C236C8"/>
    <w:rsid w:val="00C260B1"/>
    <w:rsid w:val="00C26E56"/>
    <w:rsid w:val="00C31406"/>
    <w:rsid w:val="00C33DE1"/>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77732"/>
    <w:rsid w:val="00C823DA"/>
    <w:rsid w:val="00C8259F"/>
    <w:rsid w:val="00C82746"/>
    <w:rsid w:val="00C8312F"/>
    <w:rsid w:val="00C84C47"/>
    <w:rsid w:val="00C858A4"/>
    <w:rsid w:val="00C86AFA"/>
    <w:rsid w:val="00CB18D0"/>
    <w:rsid w:val="00CB1C8A"/>
    <w:rsid w:val="00CB24F5"/>
    <w:rsid w:val="00CB2663"/>
    <w:rsid w:val="00CB3BBE"/>
    <w:rsid w:val="00CB59E9"/>
    <w:rsid w:val="00CC0BEF"/>
    <w:rsid w:val="00CC0D6A"/>
    <w:rsid w:val="00CC3831"/>
    <w:rsid w:val="00CC3E3D"/>
    <w:rsid w:val="00CC519B"/>
    <w:rsid w:val="00CD12C1"/>
    <w:rsid w:val="00CD214E"/>
    <w:rsid w:val="00CD46FA"/>
    <w:rsid w:val="00CD5973"/>
    <w:rsid w:val="00CE31A6"/>
    <w:rsid w:val="00CF09AA"/>
    <w:rsid w:val="00CF4813"/>
    <w:rsid w:val="00CF5233"/>
    <w:rsid w:val="00D023F9"/>
    <w:rsid w:val="00D029B8"/>
    <w:rsid w:val="00D02F60"/>
    <w:rsid w:val="00D0464E"/>
    <w:rsid w:val="00D04A96"/>
    <w:rsid w:val="00D07A7B"/>
    <w:rsid w:val="00D10E06"/>
    <w:rsid w:val="00D15197"/>
    <w:rsid w:val="00D16820"/>
    <w:rsid w:val="00D169C8"/>
    <w:rsid w:val="00D1793F"/>
    <w:rsid w:val="00D21ECA"/>
    <w:rsid w:val="00D22AF5"/>
    <w:rsid w:val="00D235EA"/>
    <w:rsid w:val="00D247A9"/>
    <w:rsid w:val="00D32721"/>
    <w:rsid w:val="00D328DC"/>
    <w:rsid w:val="00D33387"/>
    <w:rsid w:val="00D402FB"/>
    <w:rsid w:val="00D431F8"/>
    <w:rsid w:val="00D43B60"/>
    <w:rsid w:val="00D47D7A"/>
    <w:rsid w:val="00D50ABD"/>
    <w:rsid w:val="00D55290"/>
    <w:rsid w:val="00D558CB"/>
    <w:rsid w:val="00D57791"/>
    <w:rsid w:val="00D6046A"/>
    <w:rsid w:val="00D62870"/>
    <w:rsid w:val="00D6315E"/>
    <w:rsid w:val="00D655D9"/>
    <w:rsid w:val="00D65872"/>
    <w:rsid w:val="00D676F3"/>
    <w:rsid w:val="00D70EF5"/>
    <w:rsid w:val="00D71024"/>
    <w:rsid w:val="00D71A25"/>
    <w:rsid w:val="00D71FCF"/>
    <w:rsid w:val="00D71FD4"/>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2C80"/>
    <w:rsid w:val="00DC4AF0"/>
    <w:rsid w:val="00DC7886"/>
    <w:rsid w:val="00DD0CF2"/>
    <w:rsid w:val="00DE1554"/>
    <w:rsid w:val="00DE2901"/>
    <w:rsid w:val="00DE4E15"/>
    <w:rsid w:val="00DE590F"/>
    <w:rsid w:val="00DE7DC1"/>
    <w:rsid w:val="00DF3F7E"/>
    <w:rsid w:val="00DF7648"/>
    <w:rsid w:val="00E00E29"/>
    <w:rsid w:val="00E02BAB"/>
    <w:rsid w:val="00E04508"/>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0461B"/>
    <w:rsid w:val="00F115CA"/>
    <w:rsid w:val="00F14817"/>
    <w:rsid w:val="00F14EBA"/>
    <w:rsid w:val="00F1510F"/>
    <w:rsid w:val="00F1533A"/>
    <w:rsid w:val="00F15E5A"/>
    <w:rsid w:val="00F17F0A"/>
    <w:rsid w:val="00F242C1"/>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0FE"/>
    <w:rsid w:val="00F74C59"/>
    <w:rsid w:val="00F75C3A"/>
    <w:rsid w:val="00F82E30"/>
    <w:rsid w:val="00F831CB"/>
    <w:rsid w:val="00F848A3"/>
    <w:rsid w:val="00F84ACF"/>
    <w:rsid w:val="00F85742"/>
    <w:rsid w:val="00F85BF8"/>
    <w:rsid w:val="00F868FE"/>
    <w:rsid w:val="00F871CE"/>
    <w:rsid w:val="00F87802"/>
    <w:rsid w:val="00F929F7"/>
    <w:rsid w:val="00F92C0A"/>
    <w:rsid w:val="00F9415B"/>
    <w:rsid w:val="00FA13C2"/>
    <w:rsid w:val="00FA7F91"/>
    <w:rsid w:val="00FB10CC"/>
    <w:rsid w:val="00FB121C"/>
    <w:rsid w:val="00FB1CDD"/>
    <w:rsid w:val="00FB1FBF"/>
    <w:rsid w:val="00FB2C2F"/>
    <w:rsid w:val="00FB305C"/>
    <w:rsid w:val="00FB74E6"/>
    <w:rsid w:val="00FC2E3D"/>
    <w:rsid w:val="00FC3BDE"/>
    <w:rsid w:val="00FD1DBE"/>
    <w:rsid w:val="00FD25A7"/>
    <w:rsid w:val="00FD27B6"/>
    <w:rsid w:val="00FD3689"/>
    <w:rsid w:val="00FD42A3"/>
    <w:rsid w:val="00FD7468"/>
    <w:rsid w:val="00FD7CE0"/>
    <w:rsid w:val="00FE0B3B"/>
    <w:rsid w:val="00FE1BE2"/>
    <w:rsid w:val="00FE730A"/>
    <w:rsid w:val="00FF1DD7"/>
    <w:rsid w:val="00FF346A"/>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8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semiHidden/>
    <w:rsid w:val="000D2BDF"/>
    <w:rPr>
      <w:color w:val="0000FF" w:themeColor="hyperlink"/>
      <w:u w:val="single"/>
    </w:rPr>
  </w:style>
  <w:style w:type="character" w:styleId="Nierozpoznanawzmianka">
    <w:name w:val="Unresolved Mention"/>
    <w:basedOn w:val="Domylnaczcionkaakapitu"/>
    <w:uiPriority w:val="99"/>
    <w:semiHidden/>
    <w:unhideWhenUsed/>
    <w:rsid w:val="000D2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873">
      <w:bodyDiv w:val="1"/>
      <w:marLeft w:val="0"/>
      <w:marRight w:val="0"/>
      <w:marTop w:val="0"/>
      <w:marBottom w:val="0"/>
      <w:divBdr>
        <w:top w:val="none" w:sz="0" w:space="0" w:color="auto"/>
        <w:left w:val="none" w:sz="0" w:space="0" w:color="auto"/>
        <w:bottom w:val="none" w:sz="0" w:space="0" w:color="auto"/>
        <w:right w:val="none" w:sz="0" w:space="0" w:color="auto"/>
      </w:divBdr>
    </w:div>
    <w:div w:id="699891528">
      <w:bodyDiv w:val="1"/>
      <w:marLeft w:val="0"/>
      <w:marRight w:val="0"/>
      <w:marTop w:val="0"/>
      <w:marBottom w:val="0"/>
      <w:divBdr>
        <w:top w:val="none" w:sz="0" w:space="0" w:color="auto"/>
        <w:left w:val="none" w:sz="0" w:space="0" w:color="auto"/>
        <w:bottom w:val="none" w:sz="0" w:space="0" w:color="auto"/>
        <w:right w:val="none" w:sz="0" w:space="0" w:color="auto"/>
      </w:divBdr>
    </w:div>
    <w:div w:id="794712349">
      <w:bodyDiv w:val="1"/>
      <w:marLeft w:val="0"/>
      <w:marRight w:val="0"/>
      <w:marTop w:val="0"/>
      <w:marBottom w:val="0"/>
      <w:divBdr>
        <w:top w:val="none" w:sz="0" w:space="0" w:color="auto"/>
        <w:left w:val="none" w:sz="0" w:space="0" w:color="auto"/>
        <w:bottom w:val="none" w:sz="0" w:space="0" w:color="auto"/>
        <w:right w:val="none" w:sz="0" w:space="0" w:color="auto"/>
      </w:divBdr>
      <w:divsChild>
        <w:div w:id="165637926">
          <w:marLeft w:val="360"/>
          <w:marRight w:val="0"/>
          <w:marTop w:val="0"/>
          <w:marBottom w:val="72"/>
          <w:divBdr>
            <w:top w:val="none" w:sz="0" w:space="0" w:color="auto"/>
            <w:left w:val="none" w:sz="0" w:space="0" w:color="auto"/>
            <w:bottom w:val="none" w:sz="0" w:space="0" w:color="auto"/>
            <w:right w:val="none" w:sz="0" w:space="0" w:color="auto"/>
          </w:divBdr>
          <w:divsChild>
            <w:div w:id="1347556393">
              <w:marLeft w:val="0"/>
              <w:marRight w:val="0"/>
              <w:marTop w:val="0"/>
              <w:marBottom w:val="0"/>
              <w:divBdr>
                <w:top w:val="none" w:sz="0" w:space="0" w:color="auto"/>
                <w:left w:val="none" w:sz="0" w:space="0" w:color="auto"/>
                <w:bottom w:val="none" w:sz="0" w:space="0" w:color="auto"/>
                <w:right w:val="none" w:sz="0" w:space="0" w:color="auto"/>
              </w:divBdr>
            </w:div>
          </w:divsChild>
        </w:div>
        <w:div w:id="1510749627">
          <w:marLeft w:val="360"/>
          <w:marRight w:val="0"/>
          <w:marTop w:val="72"/>
          <w:marBottom w:val="72"/>
          <w:divBdr>
            <w:top w:val="none" w:sz="0" w:space="0" w:color="auto"/>
            <w:left w:val="none" w:sz="0" w:space="0" w:color="auto"/>
            <w:bottom w:val="none" w:sz="0" w:space="0" w:color="auto"/>
            <w:right w:val="none" w:sz="0" w:space="0" w:color="auto"/>
          </w:divBdr>
          <w:divsChild>
            <w:div w:id="5328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6854">
      <w:bodyDiv w:val="1"/>
      <w:marLeft w:val="0"/>
      <w:marRight w:val="0"/>
      <w:marTop w:val="0"/>
      <w:marBottom w:val="0"/>
      <w:divBdr>
        <w:top w:val="none" w:sz="0" w:space="0" w:color="auto"/>
        <w:left w:val="none" w:sz="0" w:space="0" w:color="auto"/>
        <w:bottom w:val="none" w:sz="0" w:space="0" w:color="auto"/>
        <w:right w:val="none" w:sz="0" w:space="0" w:color="auto"/>
      </w:divBdr>
      <w:divsChild>
        <w:div w:id="63071622">
          <w:marLeft w:val="360"/>
          <w:marRight w:val="0"/>
          <w:marTop w:val="0"/>
          <w:marBottom w:val="72"/>
          <w:divBdr>
            <w:top w:val="none" w:sz="0" w:space="0" w:color="auto"/>
            <w:left w:val="none" w:sz="0" w:space="0" w:color="auto"/>
            <w:bottom w:val="none" w:sz="0" w:space="0" w:color="auto"/>
            <w:right w:val="none" w:sz="0" w:space="0" w:color="auto"/>
          </w:divBdr>
          <w:divsChild>
            <w:div w:id="1185289231">
              <w:marLeft w:val="0"/>
              <w:marRight w:val="0"/>
              <w:marTop w:val="0"/>
              <w:marBottom w:val="0"/>
              <w:divBdr>
                <w:top w:val="none" w:sz="0" w:space="0" w:color="auto"/>
                <w:left w:val="none" w:sz="0" w:space="0" w:color="auto"/>
                <w:bottom w:val="none" w:sz="0" w:space="0" w:color="auto"/>
                <w:right w:val="none" w:sz="0" w:space="0" w:color="auto"/>
              </w:divBdr>
            </w:div>
          </w:divsChild>
        </w:div>
        <w:div w:id="1355881602">
          <w:marLeft w:val="360"/>
          <w:marRight w:val="0"/>
          <w:marTop w:val="72"/>
          <w:marBottom w:val="72"/>
          <w:divBdr>
            <w:top w:val="none" w:sz="0" w:space="0" w:color="auto"/>
            <w:left w:val="none" w:sz="0" w:space="0" w:color="auto"/>
            <w:bottom w:val="none" w:sz="0" w:space="0" w:color="auto"/>
            <w:right w:val="none" w:sz="0" w:space="0" w:color="auto"/>
          </w:divBdr>
          <w:divsChild>
            <w:div w:id="11863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3597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2025-05-21T17:13:00Z</dcterms:created>
  <dcterms:modified xsi:type="dcterms:W3CDTF">2025-05-23T11:42:00Z</dcterms:modified>
  <cp:category/>
</cp:coreProperties>
</file>