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8759C" w14:textId="77777777" w:rsidR="00C93278" w:rsidRPr="00803885" w:rsidRDefault="00CA2841" w:rsidP="00147D2B">
      <w:pPr>
        <w:spacing w:after="0" w:line="240" w:lineRule="auto"/>
        <w:jc w:val="center"/>
        <w:rPr>
          <w:rFonts w:ascii="Lato" w:hAnsi="Lato" w:cs="Times New Roman"/>
          <w:b/>
          <w:bCs/>
          <w:sz w:val="20"/>
          <w:szCs w:val="20"/>
        </w:rPr>
      </w:pPr>
      <w:bookmarkStart w:id="0" w:name="_Hlk107398740"/>
      <w:r w:rsidRPr="00803885">
        <w:rPr>
          <w:rFonts w:ascii="Lato" w:hAnsi="Lato" w:cs="Times New Roman"/>
          <w:b/>
          <w:bCs/>
          <w:sz w:val="20"/>
          <w:szCs w:val="20"/>
        </w:rPr>
        <w:t xml:space="preserve">Uwagi </w:t>
      </w:r>
    </w:p>
    <w:p w14:paraId="653DA768" w14:textId="1F3C7CA9" w:rsidR="00894E5C" w:rsidRPr="00803885" w:rsidRDefault="00CA2841" w:rsidP="00147D2B">
      <w:pPr>
        <w:spacing w:after="0" w:line="240" w:lineRule="auto"/>
        <w:jc w:val="center"/>
        <w:rPr>
          <w:rFonts w:ascii="Lato" w:hAnsi="Lato" w:cs="Times New Roman"/>
          <w:b/>
          <w:bCs/>
          <w:sz w:val="20"/>
          <w:szCs w:val="20"/>
        </w:rPr>
      </w:pPr>
      <w:r w:rsidRPr="00803885">
        <w:rPr>
          <w:rFonts w:ascii="Lato" w:hAnsi="Lato" w:cs="Times New Roman"/>
          <w:b/>
          <w:bCs/>
          <w:sz w:val="20"/>
          <w:szCs w:val="20"/>
        </w:rPr>
        <w:t>do projektu</w:t>
      </w:r>
      <w:bookmarkStart w:id="1" w:name="_Hlk163464623"/>
      <w:r w:rsidR="00894E5C" w:rsidRPr="00803885">
        <w:rPr>
          <w:rFonts w:ascii="Lato" w:hAnsi="Lato" w:cs="Times New Roman"/>
          <w:b/>
          <w:bCs/>
          <w:sz w:val="20"/>
          <w:szCs w:val="20"/>
        </w:rPr>
        <w:t xml:space="preserve"> ustawy</w:t>
      </w:r>
      <w:r w:rsidR="00894E5C" w:rsidRPr="00803885">
        <w:rPr>
          <w:rFonts w:ascii="Lato" w:eastAsia="Times New Roman" w:hAnsi="Lato" w:cs="Times New Roman"/>
          <w:b/>
          <w:color w:val="000000" w:themeColor="text1"/>
          <w:sz w:val="20"/>
          <w:szCs w:val="20"/>
          <w:lang w:eastAsia="pl-PL"/>
        </w:rPr>
        <w:t xml:space="preserve"> </w:t>
      </w:r>
      <w:r w:rsidR="00894E5C" w:rsidRPr="00803885">
        <w:rPr>
          <w:rFonts w:ascii="Lato" w:hAnsi="Lato" w:cs="Times New Roman"/>
          <w:b/>
          <w:bCs/>
          <w:sz w:val="20"/>
          <w:szCs w:val="20"/>
        </w:rPr>
        <w:t xml:space="preserve">o </w:t>
      </w:r>
      <w:r w:rsidR="00365B94" w:rsidRPr="00803885">
        <w:rPr>
          <w:rFonts w:ascii="Lato" w:hAnsi="Lato" w:cs="Times New Roman"/>
          <w:b/>
          <w:bCs/>
          <w:sz w:val="20"/>
          <w:szCs w:val="20"/>
        </w:rPr>
        <w:t>zmianie niektórych ustaw w celu dokonania deregulacji w zakresie energetyki</w:t>
      </w:r>
    </w:p>
    <w:bookmarkEnd w:id="1"/>
    <w:p w14:paraId="304455B3" w14:textId="51EC34CA" w:rsidR="00CA2841" w:rsidRPr="00803885" w:rsidRDefault="00B91BB7" w:rsidP="00147D2B">
      <w:pPr>
        <w:spacing w:after="0" w:line="240" w:lineRule="auto"/>
        <w:jc w:val="center"/>
        <w:rPr>
          <w:rFonts w:ascii="Lato" w:hAnsi="Lato" w:cs="Times New Roman"/>
          <w:b/>
          <w:bCs/>
          <w:sz w:val="20"/>
          <w:szCs w:val="20"/>
        </w:rPr>
      </w:pPr>
      <w:r w:rsidRPr="00803885">
        <w:rPr>
          <w:rFonts w:ascii="Lato" w:hAnsi="Lato" w:cs="Times New Roman"/>
          <w:b/>
          <w:bCs/>
          <w:sz w:val="20"/>
          <w:szCs w:val="20"/>
        </w:rPr>
        <w:t>(</w:t>
      </w:r>
      <w:r w:rsidR="00894E5C" w:rsidRPr="00803885">
        <w:rPr>
          <w:rFonts w:ascii="Lato" w:hAnsi="Lato" w:cs="Times New Roman"/>
          <w:b/>
          <w:bCs/>
          <w:sz w:val="20"/>
          <w:szCs w:val="20"/>
        </w:rPr>
        <w:t xml:space="preserve">nr </w:t>
      </w:r>
      <w:r w:rsidR="00365B94" w:rsidRPr="00803885">
        <w:rPr>
          <w:rFonts w:ascii="Lato" w:hAnsi="Lato" w:cs="Times New Roman"/>
          <w:b/>
          <w:bCs/>
          <w:sz w:val="20"/>
          <w:szCs w:val="20"/>
        </w:rPr>
        <w:t>UDER</w:t>
      </w:r>
      <w:r w:rsidR="007373E3" w:rsidRPr="00803885">
        <w:rPr>
          <w:rFonts w:ascii="Lato" w:hAnsi="Lato" w:cs="Times New Roman"/>
          <w:b/>
          <w:bCs/>
          <w:sz w:val="20"/>
          <w:szCs w:val="20"/>
        </w:rPr>
        <w:t>29</w:t>
      </w:r>
      <w:r w:rsidR="00894E5C" w:rsidRPr="00803885">
        <w:rPr>
          <w:rFonts w:ascii="Lato" w:hAnsi="Lato" w:cs="Times New Roman"/>
          <w:b/>
          <w:bCs/>
          <w:sz w:val="20"/>
          <w:szCs w:val="20"/>
        </w:rPr>
        <w:t xml:space="preserve"> w Wykazie prac legislacyjnych i programowych Rady Ministrów)</w:t>
      </w:r>
    </w:p>
    <w:p w14:paraId="711D6FEE" w14:textId="77777777" w:rsidR="00CA2841" w:rsidRPr="00803885" w:rsidRDefault="00CA2841" w:rsidP="00147D2B">
      <w:pPr>
        <w:spacing w:after="0" w:line="240" w:lineRule="auto"/>
        <w:rPr>
          <w:rFonts w:ascii="Lato" w:hAnsi="Lato" w:cs="Times New Roman"/>
          <w:sz w:val="20"/>
          <w:szCs w:val="20"/>
        </w:rPr>
      </w:pPr>
    </w:p>
    <w:tbl>
      <w:tblPr>
        <w:tblStyle w:val="Tabela-Siatka"/>
        <w:tblpPr w:leftFromText="142" w:rightFromText="142" w:vertAnchor="text" w:horzAnchor="margin" w:tblpXSpec="center" w:tblpY="58"/>
        <w:tblW w:w="15740" w:type="dxa"/>
        <w:tblLayout w:type="fixed"/>
        <w:tblLook w:val="04A0" w:firstRow="1" w:lastRow="0" w:firstColumn="1" w:lastColumn="0" w:noHBand="0" w:noVBand="1"/>
      </w:tblPr>
      <w:tblGrid>
        <w:gridCol w:w="562"/>
        <w:gridCol w:w="1134"/>
        <w:gridCol w:w="2268"/>
        <w:gridCol w:w="3686"/>
        <w:gridCol w:w="6662"/>
        <w:gridCol w:w="1428"/>
      </w:tblGrid>
      <w:tr w:rsidR="0090574C" w:rsidRPr="00803885" w14:paraId="47E9ED08" w14:textId="77777777" w:rsidTr="00414F87">
        <w:trPr>
          <w:trHeight w:val="551"/>
          <w:tblHeader/>
        </w:trPr>
        <w:tc>
          <w:tcPr>
            <w:tcW w:w="562" w:type="dxa"/>
          </w:tcPr>
          <w:p w14:paraId="115BF413" w14:textId="6257DDCF" w:rsidR="0090574C" w:rsidRPr="00803885" w:rsidRDefault="0090574C" w:rsidP="00147D2B">
            <w:pPr>
              <w:jc w:val="center"/>
              <w:rPr>
                <w:rFonts w:ascii="Lato" w:hAnsi="Lato" w:cs="Times New Roman"/>
                <w:b/>
                <w:bCs/>
                <w:sz w:val="20"/>
                <w:szCs w:val="20"/>
              </w:rPr>
            </w:pPr>
            <w:r w:rsidRPr="00803885">
              <w:rPr>
                <w:rFonts w:ascii="Lato" w:hAnsi="Lato" w:cs="Times New Roman"/>
                <w:b/>
                <w:bCs/>
                <w:sz w:val="20"/>
                <w:szCs w:val="20"/>
              </w:rPr>
              <w:t>Lp.</w:t>
            </w:r>
          </w:p>
        </w:tc>
        <w:tc>
          <w:tcPr>
            <w:tcW w:w="1134" w:type="dxa"/>
          </w:tcPr>
          <w:p w14:paraId="0FAF4510" w14:textId="4FD6EB74" w:rsidR="0090574C" w:rsidRPr="00803885" w:rsidRDefault="0090574C" w:rsidP="00147D2B">
            <w:pPr>
              <w:jc w:val="center"/>
              <w:rPr>
                <w:rFonts w:ascii="Lato" w:hAnsi="Lato" w:cs="Times New Roman"/>
                <w:b/>
                <w:bCs/>
                <w:sz w:val="20"/>
                <w:szCs w:val="20"/>
              </w:rPr>
            </w:pPr>
            <w:r w:rsidRPr="00803885">
              <w:rPr>
                <w:rFonts w:ascii="Lato" w:hAnsi="Lato" w:cs="Times New Roman"/>
                <w:b/>
                <w:bCs/>
                <w:sz w:val="20"/>
                <w:szCs w:val="20"/>
              </w:rPr>
              <w:t>Podmiot wnoszący uwag</w:t>
            </w:r>
            <w:r w:rsidR="00B91BB7" w:rsidRPr="00803885">
              <w:rPr>
                <w:rFonts w:ascii="Lato" w:hAnsi="Lato" w:cs="Times New Roman"/>
                <w:b/>
                <w:bCs/>
                <w:sz w:val="20"/>
                <w:szCs w:val="20"/>
              </w:rPr>
              <w:t>ę</w:t>
            </w:r>
          </w:p>
        </w:tc>
        <w:tc>
          <w:tcPr>
            <w:tcW w:w="2268" w:type="dxa"/>
          </w:tcPr>
          <w:p w14:paraId="51F92737" w14:textId="48E4A866" w:rsidR="0090574C" w:rsidRPr="00803885" w:rsidRDefault="0090574C" w:rsidP="00147D2B">
            <w:pPr>
              <w:jc w:val="center"/>
              <w:rPr>
                <w:rFonts w:ascii="Lato" w:hAnsi="Lato" w:cs="Times New Roman"/>
                <w:b/>
                <w:bCs/>
                <w:sz w:val="20"/>
                <w:szCs w:val="20"/>
              </w:rPr>
            </w:pPr>
            <w:r w:rsidRPr="00803885">
              <w:rPr>
                <w:rFonts w:ascii="Lato" w:hAnsi="Lato" w:cs="Times New Roman"/>
                <w:b/>
                <w:bCs/>
                <w:sz w:val="20"/>
                <w:szCs w:val="20"/>
              </w:rPr>
              <w:t>Jednostka redakcyjna, do której wnoszon</w:t>
            </w:r>
            <w:r w:rsidR="00B91BB7" w:rsidRPr="00803885">
              <w:rPr>
                <w:rFonts w:ascii="Lato" w:hAnsi="Lato" w:cs="Times New Roman"/>
                <w:b/>
                <w:bCs/>
                <w:sz w:val="20"/>
                <w:szCs w:val="20"/>
              </w:rPr>
              <w:t>a jest</w:t>
            </w:r>
            <w:r w:rsidRPr="00803885">
              <w:rPr>
                <w:rFonts w:ascii="Lato" w:hAnsi="Lato" w:cs="Times New Roman"/>
                <w:b/>
                <w:bCs/>
                <w:sz w:val="20"/>
                <w:szCs w:val="20"/>
              </w:rPr>
              <w:t xml:space="preserve"> uwag</w:t>
            </w:r>
            <w:r w:rsidR="00B91BB7" w:rsidRPr="00803885">
              <w:rPr>
                <w:rFonts w:ascii="Lato" w:hAnsi="Lato" w:cs="Times New Roman"/>
                <w:b/>
                <w:bCs/>
                <w:sz w:val="20"/>
                <w:szCs w:val="20"/>
              </w:rPr>
              <w:t>a</w:t>
            </w:r>
            <w:r w:rsidR="004F2D1D" w:rsidRPr="00803885">
              <w:rPr>
                <w:rStyle w:val="Odwoanieprzypisudolnego"/>
                <w:rFonts w:ascii="Lato" w:hAnsi="Lato" w:cs="Times New Roman"/>
                <w:b/>
                <w:bCs/>
                <w:sz w:val="20"/>
                <w:szCs w:val="20"/>
              </w:rPr>
              <w:footnoteReference w:customMarkFollows="1" w:id="1"/>
              <w:t>1)</w:t>
            </w:r>
          </w:p>
        </w:tc>
        <w:tc>
          <w:tcPr>
            <w:tcW w:w="3686" w:type="dxa"/>
          </w:tcPr>
          <w:p w14:paraId="74AACE5A" w14:textId="0BDDBBD7" w:rsidR="0090574C" w:rsidRPr="00803885" w:rsidRDefault="0090574C" w:rsidP="00147D2B">
            <w:pPr>
              <w:jc w:val="center"/>
              <w:rPr>
                <w:rFonts w:ascii="Lato" w:hAnsi="Lato" w:cs="Times New Roman"/>
                <w:b/>
                <w:bCs/>
                <w:sz w:val="20"/>
                <w:szCs w:val="20"/>
              </w:rPr>
            </w:pPr>
            <w:r w:rsidRPr="00803885">
              <w:rPr>
                <w:rFonts w:ascii="Lato" w:hAnsi="Lato" w:cs="Times New Roman"/>
                <w:b/>
                <w:bCs/>
                <w:sz w:val="20"/>
                <w:szCs w:val="20"/>
              </w:rPr>
              <w:t>Treść uwagi</w:t>
            </w:r>
          </w:p>
        </w:tc>
        <w:tc>
          <w:tcPr>
            <w:tcW w:w="6662" w:type="dxa"/>
          </w:tcPr>
          <w:p w14:paraId="7C9E6D74" w14:textId="597CDAA9" w:rsidR="0090574C" w:rsidRPr="00803885" w:rsidRDefault="0090574C" w:rsidP="00147D2B">
            <w:pPr>
              <w:jc w:val="center"/>
              <w:rPr>
                <w:rFonts w:ascii="Lato" w:hAnsi="Lato" w:cs="Times New Roman"/>
                <w:b/>
                <w:bCs/>
                <w:sz w:val="20"/>
                <w:szCs w:val="20"/>
              </w:rPr>
            </w:pPr>
            <w:r w:rsidRPr="00803885">
              <w:rPr>
                <w:rFonts w:ascii="Lato" w:hAnsi="Lato" w:cs="Times New Roman"/>
                <w:b/>
                <w:bCs/>
                <w:sz w:val="20"/>
                <w:szCs w:val="20"/>
              </w:rPr>
              <w:t xml:space="preserve">Propozycja </w:t>
            </w:r>
            <w:r w:rsidR="00773DAD" w:rsidRPr="00803885">
              <w:rPr>
                <w:rFonts w:ascii="Lato" w:hAnsi="Lato" w:cs="Times New Roman"/>
                <w:b/>
                <w:bCs/>
                <w:sz w:val="20"/>
                <w:szCs w:val="20"/>
              </w:rPr>
              <w:t>brzmienia</w:t>
            </w:r>
            <w:r w:rsidR="00C93278" w:rsidRPr="00803885">
              <w:rPr>
                <w:rFonts w:ascii="Lato" w:hAnsi="Lato" w:cs="Times New Roman"/>
                <w:b/>
                <w:bCs/>
                <w:sz w:val="20"/>
                <w:szCs w:val="20"/>
              </w:rPr>
              <w:t xml:space="preserve"> przepisu</w:t>
            </w:r>
          </w:p>
        </w:tc>
        <w:tc>
          <w:tcPr>
            <w:tcW w:w="1428" w:type="dxa"/>
          </w:tcPr>
          <w:p w14:paraId="2C049C38" w14:textId="382C7B91" w:rsidR="0090574C" w:rsidRPr="00803885" w:rsidRDefault="0090574C" w:rsidP="00147D2B">
            <w:pPr>
              <w:jc w:val="center"/>
              <w:rPr>
                <w:rFonts w:ascii="Lato" w:hAnsi="Lato" w:cs="Times New Roman"/>
                <w:b/>
                <w:bCs/>
                <w:sz w:val="20"/>
                <w:szCs w:val="20"/>
              </w:rPr>
            </w:pPr>
            <w:r w:rsidRPr="00803885">
              <w:rPr>
                <w:rFonts w:ascii="Lato" w:hAnsi="Lato" w:cs="Times New Roman"/>
                <w:b/>
                <w:bCs/>
                <w:sz w:val="20"/>
                <w:szCs w:val="20"/>
              </w:rPr>
              <w:t>Stanowisko do uwagi</w:t>
            </w:r>
          </w:p>
        </w:tc>
      </w:tr>
      <w:tr w:rsidR="00E12AD4" w:rsidRPr="00803885" w14:paraId="27D19DF6" w14:textId="77777777" w:rsidTr="00414F87">
        <w:tc>
          <w:tcPr>
            <w:tcW w:w="562" w:type="dxa"/>
          </w:tcPr>
          <w:p w14:paraId="743719D4" w14:textId="77777777" w:rsidR="00803885" w:rsidRPr="00803885" w:rsidRDefault="00803885" w:rsidP="00803885">
            <w:pPr>
              <w:jc w:val="center"/>
              <w:rPr>
                <w:rFonts w:ascii="Lato" w:hAnsi="Lato" w:cs="Times New Roman"/>
                <w:sz w:val="20"/>
                <w:szCs w:val="20"/>
              </w:rPr>
            </w:pPr>
            <w:r w:rsidRPr="00803885">
              <w:rPr>
                <w:rFonts w:ascii="Lato" w:hAnsi="Lato" w:cs="Times New Roman"/>
                <w:sz w:val="20"/>
                <w:szCs w:val="20"/>
              </w:rPr>
              <w:t>1</w:t>
            </w:r>
          </w:p>
        </w:tc>
        <w:tc>
          <w:tcPr>
            <w:tcW w:w="1134" w:type="dxa"/>
          </w:tcPr>
          <w:p w14:paraId="00E6D6A0" w14:textId="760F57D0" w:rsidR="00803885" w:rsidRPr="00803885" w:rsidRDefault="00602094" w:rsidP="00803885">
            <w:pPr>
              <w:jc w:val="both"/>
              <w:rPr>
                <w:rFonts w:ascii="Lato" w:hAnsi="Lato" w:cs="Times New Roman"/>
                <w:sz w:val="20"/>
                <w:szCs w:val="20"/>
              </w:rPr>
            </w:pPr>
            <w:r>
              <w:rPr>
                <w:rFonts w:ascii="Lato" w:hAnsi="Lato" w:cs="Times New Roman"/>
                <w:sz w:val="20"/>
                <w:szCs w:val="20"/>
              </w:rPr>
              <w:t>Związek Pracodawców Polska Miedź</w:t>
            </w:r>
          </w:p>
        </w:tc>
        <w:tc>
          <w:tcPr>
            <w:tcW w:w="2268" w:type="dxa"/>
            <w:tcBorders>
              <w:top w:val="single" w:sz="4" w:space="0" w:color="A5A5A5"/>
              <w:left w:val="single" w:sz="4" w:space="0" w:color="A5A5A5"/>
              <w:bottom w:val="single" w:sz="4" w:space="0" w:color="A5A5A5"/>
              <w:right w:val="single" w:sz="4" w:space="0" w:color="A5A5A5"/>
            </w:tcBorders>
            <w:shd w:val="clear" w:color="auto" w:fill="auto"/>
          </w:tcPr>
          <w:p w14:paraId="32C46E4D" w14:textId="047C213B" w:rsidR="00803885" w:rsidRPr="00803885" w:rsidRDefault="008C4AC6" w:rsidP="00803885">
            <w:pPr>
              <w:jc w:val="both"/>
              <w:rPr>
                <w:rFonts w:ascii="Lato" w:hAnsi="Lato" w:cs="Times New Roman"/>
                <w:sz w:val="20"/>
                <w:szCs w:val="20"/>
              </w:rPr>
            </w:pPr>
            <w:r>
              <w:rPr>
                <w:rFonts w:ascii="Lato" w:hAnsi="Lato" w:cs="Times New Roman"/>
                <w:sz w:val="20"/>
                <w:szCs w:val="20"/>
              </w:rPr>
              <w:t xml:space="preserve">Art. </w:t>
            </w:r>
            <w:r w:rsidR="004D07AE">
              <w:rPr>
                <w:rFonts w:ascii="Lato" w:hAnsi="Lato" w:cs="Times New Roman"/>
                <w:sz w:val="20"/>
                <w:szCs w:val="20"/>
              </w:rPr>
              <w:t>2 pkt 4</w:t>
            </w:r>
            <w:r>
              <w:rPr>
                <w:rFonts w:ascii="Lato" w:hAnsi="Lato" w:cs="Times New Roman"/>
                <w:sz w:val="20"/>
                <w:szCs w:val="20"/>
              </w:rPr>
              <w:t xml:space="preserve"> Projektu</w:t>
            </w:r>
            <w:r w:rsidR="00FC650E">
              <w:rPr>
                <w:rFonts w:ascii="Lato" w:hAnsi="Lato" w:cs="Times New Roman"/>
                <w:sz w:val="20"/>
                <w:szCs w:val="20"/>
              </w:rPr>
              <w:t xml:space="preserve"> (art. </w:t>
            </w:r>
            <w:r w:rsidR="00144A05">
              <w:rPr>
                <w:rFonts w:ascii="Lato" w:hAnsi="Lato" w:cs="Times New Roman"/>
                <w:sz w:val="20"/>
                <w:szCs w:val="20"/>
              </w:rPr>
              <w:t>32 ust. 1</w:t>
            </w:r>
            <w:r w:rsidR="00F22962">
              <w:rPr>
                <w:rFonts w:ascii="Lato" w:hAnsi="Lato" w:cs="Times New Roman"/>
                <w:sz w:val="20"/>
                <w:szCs w:val="20"/>
              </w:rPr>
              <w:t xml:space="preserve"> </w:t>
            </w:r>
            <w:r w:rsidR="009F5D1C">
              <w:rPr>
                <w:rFonts w:ascii="Lato" w:hAnsi="Lato" w:cs="Times New Roman"/>
                <w:sz w:val="20"/>
                <w:szCs w:val="20"/>
              </w:rPr>
              <w:t>pkt 1 lit. c ustawy Prawo energetyczne)</w:t>
            </w:r>
          </w:p>
        </w:tc>
        <w:tc>
          <w:tcPr>
            <w:tcW w:w="3686" w:type="dxa"/>
            <w:tcBorders>
              <w:top w:val="single" w:sz="4" w:space="0" w:color="A5A5A5"/>
              <w:left w:val="single" w:sz="4" w:space="0" w:color="A5A5A5"/>
              <w:bottom w:val="single" w:sz="4" w:space="0" w:color="A5A5A5"/>
              <w:right w:val="single" w:sz="4" w:space="0" w:color="A5A5A5"/>
            </w:tcBorders>
            <w:shd w:val="clear" w:color="auto" w:fill="auto"/>
          </w:tcPr>
          <w:p w14:paraId="473A40F5" w14:textId="7F9E2490" w:rsidR="00803885" w:rsidRPr="00803885" w:rsidRDefault="006645C8" w:rsidP="00803885">
            <w:pPr>
              <w:jc w:val="both"/>
              <w:rPr>
                <w:rFonts w:ascii="Lato" w:hAnsi="Lato" w:cs="Times New Roman"/>
                <w:sz w:val="20"/>
                <w:szCs w:val="20"/>
              </w:rPr>
            </w:pPr>
            <w:r>
              <w:rPr>
                <w:rFonts w:ascii="Lato" w:hAnsi="Lato" w:cs="Calibri"/>
                <w:color w:val="000000"/>
                <w:sz w:val="20"/>
                <w:szCs w:val="20"/>
              </w:rPr>
              <w:t>Proponowane w projekcie podniesienie progu</w:t>
            </w:r>
            <w:r w:rsidR="00405A12">
              <w:rPr>
                <w:rFonts w:ascii="Lato" w:hAnsi="Lato" w:cs="Calibri"/>
                <w:color w:val="000000"/>
                <w:sz w:val="20"/>
                <w:szCs w:val="20"/>
              </w:rPr>
              <w:t xml:space="preserve"> koncesyjnego dla źródeł OZE</w:t>
            </w:r>
            <w:r>
              <w:rPr>
                <w:rFonts w:ascii="Lato" w:hAnsi="Lato" w:cs="Calibri"/>
                <w:color w:val="000000"/>
                <w:sz w:val="20"/>
                <w:szCs w:val="20"/>
              </w:rPr>
              <w:t xml:space="preserve"> do 5 MW stanowi krok w dobrym kierunku</w:t>
            </w:r>
            <w:r w:rsidR="00405A12">
              <w:rPr>
                <w:rFonts w:ascii="Lato" w:hAnsi="Lato" w:cs="Calibri"/>
                <w:color w:val="000000"/>
                <w:sz w:val="20"/>
                <w:szCs w:val="20"/>
              </w:rPr>
              <w:t>.</w:t>
            </w:r>
            <w:r>
              <w:rPr>
                <w:rFonts w:ascii="Lato" w:hAnsi="Lato" w:cs="Calibri"/>
                <w:color w:val="000000"/>
                <w:sz w:val="20"/>
                <w:szCs w:val="20"/>
              </w:rPr>
              <w:t xml:space="preserve"> </w:t>
            </w:r>
            <w:r w:rsidR="00405A12">
              <w:rPr>
                <w:rFonts w:ascii="Lato" w:hAnsi="Lato" w:cs="Calibri"/>
                <w:color w:val="000000"/>
                <w:sz w:val="20"/>
                <w:szCs w:val="20"/>
              </w:rPr>
              <w:t>Nadal jednak nie jest jasn</w:t>
            </w:r>
            <w:r w:rsidR="002D55E9">
              <w:rPr>
                <w:rFonts w:ascii="Lato" w:hAnsi="Lato" w:cs="Calibri"/>
                <w:color w:val="000000"/>
                <w:sz w:val="20"/>
                <w:szCs w:val="20"/>
              </w:rPr>
              <w:t>a przyczyna</w:t>
            </w:r>
            <w:r w:rsidR="009A421D">
              <w:rPr>
                <w:rFonts w:ascii="Lato" w:hAnsi="Lato" w:cs="Calibri"/>
                <w:color w:val="000000"/>
                <w:sz w:val="20"/>
                <w:szCs w:val="20"/>
              </w:rPr>
              <w:t xml:space="preserve"> różnicowani</w:t>
            </w:r>
            <w:r w:rsidR="002D55E9">
              <w:rPr>
                <w:rFonts w:ascii="Lato" w:hAnsi="Lato" w:cs="Calibri"/>
                <w:color w:val="000000"/>
                <w:sz w:val="20"/>
                <w:szCs w:val="20"/>
              </w:rPr>
              <w:t>a</w:t>
            </w:r>
            <w:r w:rsidR="009A421D">
              <w:rPr>
                <w:rFonts w:ascii="Lato" w:hAnsi="Lato" w:cs="Calibri"/>
                <w:color w:val="000000"/>
                <w:sz w:val="20"/>
                <w:szCs w:val="20"/>
              </w:rPr>
              <w:t xml:space="preserve"> źródeł OZE i </w:t>
            </w:r>
            <w:r w:rsidR="009F5D1C">
              <w:rPr>
                <w:rFonts w:ascii="Lato" w:hAnsi="Lato" w:cs="Calibri"/>
                <w:color w:val="000000"/>
                <w:sz w:val="20"/>
                <w:szCs w:val="20"/>
              </w:rPr>
              <w:t xml:space="preserve">konwencjonalnych. </w:t>
            </w:r>
            <w:r w:rsidR="00513162">
              <w:rPr>
                <w:rFonts w:ascii="Lato" w:hAnsi="Lato" w:cs="Calibri"/>
                <w:color w:val="000000"/>
                <w:sz w:val="20"/>
                <w:szCs w:val="20"/>
              </w:rPr>
              <w:t>Postulowane</w:t>
            </w:r>
            <w:r>
              <w:rPr>
                <w:rFonts w:ascii="Lato" w:hAnsi="Lato" w:cs="Calibri"/>
                <w:color w:val="000000"/>
                <w:sz w:val="20"/>
                <w:szCs w:val="20"/>
              </w:rPr>
              <w:t xml:space="preserve"> jest z</w:t>
            </w:r>
            <w:r w:rsidRPr="00803885">
              <w:rPr>
                <w:rFonts w:ascii="Lato" w:hAnsi="Lato" w:cs="Calibri"/>
                <w:color w:val="000000"/>
                <w:sz w:val="20"/>
                <w:szCs w:val="20"/>
              </w:rPr>
              <w:t xml:space="preserve">równanie sytuacji prawnej źródeł OZE ze źródłami konwencjonalnymi w zakresie obowiązku koncesyjnego, tj. zwolnienie źródeł OZE </w:t>
            </w:r>
            <w:r w:rsidRPr="00F04585">
              <w:rPr>
                <w:rFonts w:ascii="Lato" w:hAnsi="Lato" w:cs="Calibri"/>
                <w:b/>
                <w:bCs/>
                <w:color w:val="000000"/>
                <w:sz w:val="20"/>
                <w:szCs w:val="20"/>
              </w:rPr>
              <w:t>o mocy do 50 MW</w:t>
            </w:r>
            <w:r w:rsidRPr="00803885">
              <w:rPr>
                <w:rFonts w:ascii="Lato" w:hAnsi="Lato" w:cs="Calibri"/>
                <w:color w:val="000000"/>
                <w:sz w:val="20"/>
                <w:szCs w:val="20"/>
              </w:rPr>
              <w:t xml:space="preserve"> mocy zainstalowanej z obowiązku koncesji </w:t>
            </w:r>
            <w:r>
              <w:rPr>
                <w:rFonts w:ascii="Lato" w:hAnsi="Lato" w:cs="Calibri"/>
                <w:color w:val="000000"/>
                <w:sz w:val="20"/>
                <w:szCs w:val="20"/>
              </w:rPr>
              <w:t xml:space="preserve">i </w:t>
            </w:r>
            <w:r w:rsidRPr="00803885">
              <w:rPr>
                <w:rFonts w:ascii="Lato" w:hAnsi="Lato" w:cs="Calibri"/>
                <w:color w:val="000000"/>
                <w:sz w:val="20"/>
                <w:szCs w:val="20"/>
              </w:rPr>
              <w:t>zastąpienie go wpisem do rejestru.</w:t>
            </w:r>
            <w:r w:rsidR="00513162">
              <w:rPr>
                <w:rFonts w:ascii="Lato" w:hAnsi="Lato" w:cs="Calibri"/>
                <w:color w:val="000000"/>
                <w:sz w:val="20"/>
                <w:szCs w:val="20"/>
              </w:rPr>
              <w:t xml:space="preserve"> </w:t>
            </w:r>
          </w:p>
        </w:tc>
        <w:tc>
          <w:tcPr>
            <w:tcW w:w="6662" w:type="dxa"/>
            <w:shd w:val="clear" w:color="auto" w:fill="auto"/>
          </w:tcPr>
          <w:p w14:paraId="592CEB27" w14:textId="77777777" w:rsidR="00803885" w:rsidRDefault="004C0D20" w:rsidP="00803885">
            <w:pPr>
              <w:jc w:val="both"/>
              <w:rPr>
                <w:rFonts w:ascii="Lato" w:hAnsi="Lato" w:cs="Times New Roman"/>
                <w:i/>
                <w:iCs/>
                <w:color w:val="FF0000"/>
                <w:sz w:val="20"/>
                <w:szCs w:val="20"/>
              </w:rPr>
            </w:pPr>
            <w:r w:rsidRPr="00414F87">
              <w:rPr>
                <w:rFonts w:ascii="Lato" w:hAnsi="Lato" w:cs="Times New Roman"/>
                <w:i/>
                <w:iCs/>
                <w:sz w:val="20"/>
                <w:szCs w:val="20"/>
              </w:rPr>
              <w:t xml:space="preserve">c) </w:t>
            </w:r>
            <w:r w:rsidR="00B1109E" w:rsidRPr="00414F87">
              <w:rPr>
                <w:rFonts w:ascii="Lato" w:hAnsi="Lato" w:cs="Times New Roman"/>
                <w:i/>
                <w:iCs/>
                <w:sz w:val="20"/>
                <w:szCs w:val="20"/>
              </w:rPr>
              <w:t>energii elektrycznej w mikroinstalacji, w małej instalacji lub w instalacji odnawialnego źródła energii o mocy zainstalowanej elektrycznej większej niż 1 MW i nie większej niż</w:t>
            </w:r>
            <w:r w:rsidR="00B1109E" w:rsidRPr="00414F87">
              <w:rPr>
                <w:rFonts w:ascii="Lato" w:hAnsi="Lato" w:cs="Times New Roman"/>
                <w:i/>
                <w:iCs/>
                <w:color w:val="FF0000"/>
                <w:sz w:val="20"/>
                <w:szCs w:val="20"/>
              </w:rPr>
              <w:t xml:space="preserve"> </w:t>
            </w:r>
            <w:r w:rsidR="00B1109E" w:rsidRPr="00414F87">
              <w:rPr>
                <w:rFonts w:ascii="Lato" w:hAnsi="Lato" w:cs="Times New Roman"/>
                <w:b/>
                <w:bCs/>
                <w:i/>
                <w:iCs/>
                <w:sz w:val="20"/>
                <w:szCs w:val="20"/>
              </w:rPr>
              <w:t>5</w:t>
            </w:r>
            <w:r w:rsidR="0020219E" w:rsidRPr="00414F87">
              <w:rPr>
                <w:rFonts w:ascii="Lato" w:hAnsi="Lato" w:cs="Times New Roman"/>
                <w:b/>
                <w:bCs/>
                <w:i/>
                <w:iCs/>
                <w:sz w:val="20"/>
                <w:szCs w:val="20"/>
              </w:rPr>
              <w:t>0</w:t>
            </w:r>
            <w:r w:rsidR="00B1109E" w:rsidRPr="00414F87">
              <w:rPr>
                <w:rFonts w:ascii="Lato" w:hAnsi="Lato" w:cs="Times New Roman"/>
                <w:b/>
                <w:bCs/>
                <w:i/>
                <w:iCs/>
                <w:sz w:val="20"/>
                <w:szCs w:val="20"/>
              </w:rPr>
              <w:t xml:space="preserve"> MW</w:t>
            </w:r>
          </w:p>
          <w:p w14:paraId="5017CC0D" w14:textId="77777777" w:rsidR="006C6256" w:rsidRDefault="006C6256" w:rsidP="00803885">
            <w:pPr>
              <w:jc w:val="both"/>
              <w:rPr>
                <w:rFonts w:ascii="Lato" w:hAnsi="Lato" w:cs="Times New Roman"/>
                <w:i/>
                <w:iCs/>
                <w:color w:val="FF0000"/>
                <w:sz w:val="20"/>
                <w:szCs w:val="20"/>
              </w:rPr>
            </w:pPr>
          </w:p>
          <w:p w14:paraId="18A6BA66" w14:textId="77777777" w:rsidR="006C6256" w:rsidRDefault="006C6256" w:rsidP="00803885">
            <w:pPr>
              <w:jc w:val="both"/>
              <w:rPr>
                <w:rFonts w:ascii="Lato" w:hAnsi="Lato" w:cs="Times New Roman"/>
                <w:i/>
                <w:iCs/>
                <w:color w:val="FF0000"/>
                <w:sz w:val="20"/>
                <w:szCs w:val="20"/>
              </w:rPr>
            </w:pPr>
          </w:p>
          <w:p w14:paraId="72530CAA" w14:textId="232A8E46" w:rsidR="006C6256" w:rsidRPr="00414F87" w:rsidRDefault="006C6256" w:rsidP="00803885">
            <w:pPr>
              <w:jc w:val="both"/>
              <w:rPr>
                <w:rFonts w:ascii="Lato" w:hAnsi="Lato" w:cs="Times New Roman"/>
                <w:color w:val="FF0000"/>
                <w:sz w:val="20"/>
                <w:szCs w:val="20"/>
              </w:rPr>
            </w:pPr>
            <w:r w:rsidRPr="00414F87">
              <w:rPr>
                <w:rFonts w:ascii="Lato" w:hAnsi="Lato" w:cs="Times New Roman"/>
                <w:sz w:val="20"/>
                <w:szCs w:val="20"/>
              </w:rPr>
              <w:t>Wprowadzenie zmiany wymaga wprowadzenia zmian w prze</w:t>
            </w:r>
            <w:r w:rsidR="00FB4CF8" w:rsidRPr="00414F87">
              <w:rPr>
                <w:rFonts w:ascii="Lato" w:hAnsi="Lato" w:cs="Times New Roman"/>
                <w:sz w:val="20"/>
                <w:szCs w:val="20"/>
              </w:rPr>
              <w:t>pisach powiązanych projektu z progiem mocy koncesyjnej.</w:t>
            </w:r>
          </w:p>
        </w:tc>
        <w:tc>
          <w:tcPr>
            <w:tcW w:w="1428" w:type="dxa"/>
          </w:tcPr>
          <w:p w14:paraId="330A28F2" w14:textId="77777777" w:rsidR="00803885" w:rsidRPr="00803885" w:rsidRDefault="00803885" w:rsidP="00803885">
            <w:pPr>
              <w:jc w:val="both"/>
              <w:rPr>
                <w:rFonts w:ascii="Lato" w:hAnsi="Lato" w:cs="Times New Roman"/>
                <w:sz w:val="20"/>
                <w:szCs w:val="20"/>
              </w:rPr>
            </w:pPr>
          </w:p>
        </w:tc>
      </w:tr>
      <w:tr w:rsidR="008C4AC6" w:rsidRPr="00803885" w14:paraId="3449436B" w14:textId="77777777" w:rsidTr="00414F87">
        <w:tc>
          <w:tcPr>
            <w:tcW w:w="562" w:type="dxa"/>
          </w:tcPr>
          <w:p w14:paraId="151752DE" w14:textId="7269679D" w:rsidR="008C4AC6" w:rsidRPr="00803885" w:rsidRDefault="0020219E" w:rsidP="00803885">
            <w:pPr>
              <w:jc w:val="center"/>
              <w:rPr>
                <w:rFonts w:ascii="Lato" w:hAnsi="Lato" w:cs="Times New Roman"/>
                <w:sz w:val="20"/>
                <w:szCs w:val="20"/>
              </w:rPr>
            </w:pPr>
            <w:r>
              <w:rPr>
                <w:rFonts w:ascii="Lato" w:hAnsi="Lato" w:cs="Times New Roman"/>
                <w:sz w:val="20"/>
                <w:szCs w:val="20"/>
              </w:rPr>
              <w:t>2</w:t>
            </w:r>
          </w:p>
        </w:tc>
        <w:tc>
          <w:tcPr>
            <w:tcW w:w="1134" w:type="dxa"/>
          </w:tcPr>
          <w:p w14:paraId="3AD2CFE9" w14:textId="2946FC34" w:rsidR="008C4AC6" w:rsidRPr="00803885" w:rsidRDefault="00602094" w:rsidP="00803885">
            <w:pPr>
              <w:jc w:val="both"/>
              <w:rPr>
                <w:rFonts w:ascii="Lato" w:hAnsi="Lato" w:cs="Times New Roman"/>
                <w:sz w:val="20"/>
                <w:szCs w:val="20"/>
              </w:rPr>
            </w:pPr>
            <w:r w:rsidRPr="00602094">
              <w:rPr>
                <w:rFonts w:ascii="Lato" w:hAnsi="Lato" w:cs="Times New Roman"/>
                <w:sz w:val="20"/>
                <w:szCs w:val="20"/>
              </w:rPr>
              <w:t>Związek Pracodawców Polska Miedź</w:t>
            </w:r>
          </w:p>
        </w:tc>
        <w:tc>
          <w:tcPr>
            <w:tcW w:w="2268" w:type="dxa"/>
            <w:tcBorders>
              <w:top w:val="single" w:sz="4" w:space="0" w:color="A5A5A5"/>
              <w:left w:val="single" w:sz="4" w:space="0" w:color="A5A5A5"/>
              <w:bottom w:val="single" w:sz="4" w:space="0" w:color="A5A5A5"/>
              <w:right w:val="single" w:sz="4" w:space="0" w:color="A5A5A5"/>
            </w:tcBorders>
            <w:shd w:val="clear" w:color="auto" w:fill="auto"/>
          </w:tcPr>
          <w:p w14:paraId="447EFF80" w14:textId="67BD5839" w:rsidR="008C4AC6" w:rsidRPr="00803885" w:rsidRDefault="008C4AC6" w:rsidP="00803885">
            <w:pPr>
              <w:jc w:val="both"/>
              <w:rPr>
                <w:rFonts w:ascii="Lato" w:hAnsi="Lato" w:cs="Calibri"/>
                <w:color w:val="000000"/>
                <w:sz w:val="20"/>
                <w:szCs w:val="20"/>
              </w:rPr>
            </w:pPr>
            <w:r>
              <w:rPr>
                <w:rFonts w:ascii="Lato" w:hAnsi="Lato" w:cs="Times New Roman"/>
                <w:sz w:val="20"/>
                <w:szCs w:val="20"/>
              </w:rPr>
              <w:t>Art. 10 ust. 1 Projektu</w:t>
            </w:r>
          </w:p>
        </w:tc>
        <w:tc>
          <w:tcPr>
            <w:tcW w:w="3686" w:type="dxa"/>
            <w:tcBorders>
              <w:top w:val="single" w:sz="4" w:space="0" w:color="A5A5A5"/>
              <w:left w:val="single" w:sz="4" w:space="0" w:color="A5A5A5"/>
              <w:bottom w:val="single" w:sz="4" w:space="0" w:color="A5A5A5"/>
              <w:right w:val="single" w:sz="4" w:space="0" w:color="A5A5A5"/>
            </w:tcBorders>
            <w:shd w:val="clear" w:color="auto" w:fill="auto"/>
          </w:tcPr>
          <w:p w14:paraId="571CB3E1" w14:textId="07C139B9" w:rsidR="008C4AC6" w:rsidRPr="00803885" w:rsidRDefault="008C4AC6" w:rsidP="00803885">
            <w:pPr>
              <w:jc w:val="both"/>
              <w:rPr>
                <w:rFonts w:ascii="Lato" w:hAnsi="Lato" w:cs="Calibri"/>
                <w:color w:val="000000"/>
                <w:sz w:val="20"/>
                <w:szCs w:val="20"/>
              </w:rPr>
            </w:pPr>
            <w:r>
              <w:rPr>
                <w:rFonts w:ascii="Lato" w:hAnsi="Lato" w:cs="Times New Roman"/>
                <w:sz w:val="20"/>
                <w:szCs w:val="20"/>
              </w:rPr>
              <w:t xml:space="preserve">Zmiana progu mocy zainstalowanej OZE, od którego wymagana jest koncesja wymaga uregulowania zmiany statusu akcyzowego, podmiotów, które obecnie posiadają koncesję na wytwarzanie energii elektrycznej w OZE. Podmioty takie obecnie, nie mając statusu nabywcy finalne, samodzielnie odpowiadają za rozliczenie akcyzy od energii elektrycznej nabywanej na potrzeby własne. Proponuje się pozostawienie takim podmiotom czasu na dokonanie wyboru, czy uzyskają one </w:t>
            </w:r>
            <w:r w:rsidR="00522857">
              <w:rPr>
                <w:rFonts w:ascii="Lato" w:hAnsi="Lato" w:cs="Times New Roman"/>
                <w:sz w:val="20"/>
                <w:szCs w:val="20"/>
              </w:rPr>
              <w:t xml:space="preserve">status nabywcy końcowego, czy też utrzymają możliwość samodzielnego rozliczania się z akcyzy. Zmiana </w:t>
            </w:r>
            <w:r w:rsidR="00A41376">
              <w:rPr>
                <w:rFonts w:ascii="Lato" w:hAnsi="Lato" w:cs="Times New Roman"/>
                <w:sz w:val="20"/>
                <w:szCs w:val="20"/>
              </w:rPr>
              <w:t>statusu</w:t>
            </w:r>
            <w:r w:rsidR="00522857">
              <w:rPr>
                <w:rFonts w:ascii="Lato" w:hAnsi="Lato" w:cs="Times New Roman"/>
                <w:sz w:val="20"/>
                <w:szCs w:val="20"/>
              </w:rPr>
              <w:t xml:space="preserve"> akcyzowego takich wytwórców wpłynie też na ich rozliczenia z dostawcami energii elektrycznej na potrzeby własne tych wytwórców. Wskazane jest by zmiana taka wchodziła nie wcześniej niż </w:t>
            </w:r>
            <w:r w:rsidR="00522857">
              <w:rPr>
                <w:rFonts w:ascii="Lato" w:hAnsi="Lato" w:cs="Times New Roman"/>
                <w:sz w:val="20"/>
                <w:szCs w:val="20"/>
              </w:rPr>
              <w:lastRenderedPageBreak/>
              <w:t>z początkiem miesiąca, który zwykle w kontraktach odpowiada okresowi rozliczeniowemu.</w:t>
            </w:r>
          </w:p>
        </w:tc>
        <w:tc>
          <w:tcPr>
            <w:tcW w:w="6662" w:type="dxa"/>
            <w:shd w:val="clear" w:color="auto" w:fill="auto"/>
          </w:tcPr>
          <w:p w14:paraId="032DAB8A" w14:textId="26E9ADE5" w:rsidR="008C4AC6" w:rsidRPr="00414F87" w:rsidRDefault="00A41376" w:rsidP="00803885">
            <w:pPr>
              <w:jc w:val="both"/>
              <w:rPr>
                <w:rFonts w:ascii="Lato" w:hAnsi="Lato" w:cs="Calibri"/>
                <w:b/>
                <w:bCs/>
                <w:i/>
                <w:iCs/>
                <w:color w:val="000000"/>
                <w:sz w:val="20"/>
                <w:szCs w:val="20"/>
              </w:rPr>
            </w:pPr>
            <w:r w:rsidRPr="00414F87">
              <w:rPr>
                <w:rFonts w:ascii="Lato" w:hAnsi="Lato" w:cs="Calibri"/>
                <w:b/>
                <w:bCs/>
                <w:i/>
                <w:iCs/>
                <w:sz w:val="20"/>
                <w:szCs w:val="20"/>
              </w:rPr>
              <w:lastRenderedPageBreak/>
              <w:t>1</w:t>
            </w:r>
            <w:r w:rsidRPr="00414F87">
              <w:rPr>
                <w:rFonts w:ascii="Lato" w:hAnsi="Lato" w:cs="Calibri"/>
                <w:b/>
                <w:bCs/>
                <w:i/>
                <w:iCs/>
                <w:sz w:val="20"/>
                <w:szCs w:val="20"/>
                <w:vertAlign w:val="superscript"/>
              </w:rPr>
              <w:t>1</w:t>
            </w:r>
            <w:r w:rsidRPr="00414F87">
              <w:rPr>
                <w:rFonts w:ascii="Lato" w:hAnsi="Lato" w:cs="Calibri"/>
                <w:b/>
                <w:bCs/>
                <w:i/>
                <w:iCs/>
                <w:sz w:val="20"/>
                <w:szCs w:val="20"/>
              </w:rPr>
              <w:t xml:space="preserve"> </w:t>
            </w:r>
            <w:r w:rsidR="008C4AC6" w:rsidRPr="00414F87">
              <w:rPr>
                <w:rFonts w:ascii="Lato" w:hAnsi="Lato" w:cs="Calibri"/>
                <w:b/>
                <w:bCs/>
                <w:i/>
                <w:iCs/>
                <w:sz w:val="20"/>
                <w:szCs w:val="20"/>
              </w:rPr>
              <w:t>Wytwórc</w:t>
            </w:r>
            <w:r w:rsidR="00522857" w:rsidRPr="00414F87">
              <w:rPr>
                <w:rFonts w:ascii="Lato" w:hAnsi="Lato" w:cs="Calibri"/>
                <w:b/>
                <w:bCs/>
                <w:i/>
                <w:iCs/>
                <w:sz w:val="20"/>
                <w:szCs w:val="20"/>
              </w:rPr>
              <w:t>y</w:t>
            </w:r>
            <w:r w:rsidR="008C4AC6" w:rsidRPr="00414F87">
              <w:rPr>
                <w:rFonts w:ascii="Lato" w:hAnsi="Lato" w:cs="Calibri"/>
                <w:b/>
                <w:bCs/>
                <w:i/>
                <w:iCs/>
                <w:sz w:val="20"/>
                <w:szCs w:val="20"/>
              </w:rPr>
              <w:t xml:space="preserve"> energii elektrycznej w instalacji odnawialnego źródła energii o mocy zainstalowanej elektrycznej większej niż 1 MW i nie większej niż 5 MW, którzy w dniu wejścia w życie niniejszej ustawy posiadają ważne koncesje na wykonywanie działalności gospodarczej w zakresie wytwarzania energii elektrycznej z odnawialnych źródeł energii, </w:t>
            </w:r>
            <w:r w:rsidR="00522857" w:rsidRPr="00414F87">
              <w:rPr>
                <w:rFonts w:ascii="Lato" w:hAnsi="Lato" w:cs="Calibri"/>
                <w:b/>
                <w:bCs/>
                <w:i/>
                <w:iCs/>
                <w:sz w:val="20"/>
                <w:szCs w:val="20"/>
              </w:rPr>
              <w:t xml:space="preserve">na gruncie ustawy o podatku akcyzowym traktowani są jak </w:t>
            </w:r>
            <w:r w:rsidR="00540CF5" w:rsidRPr="00414F87">
              <w:rPr>
                <w:rFonts w:ascii="Lato" w:hAnsi="Lato" w:cs="Calibri"/>
                <w:b/>
                <w:bCs/>
                <w:i/>
                <w:iCs/>
                <w:sz w:val="20"/>
                <w:szCs w:val="20"/>
              </w:rPr>
              <w:t>podmioty</w:t>
            </w:r>
            <w:r w:rsidR="00522857" w:rsidRPr="00414F87">
              <w:rPr>
                <w:rFonts w:ascii="Lato" w:hAnsi="Lato" w:cs="Calibri"/>
                <w:b/>
                <w:bCs/>
                <w:i/>
                <w:iCs/>
                <w:sz w:val="20"/>
                <w:szCs w:val="20"/>
              </w:rPr>
              <w:t xml:space="preserve"> posiadając</w:t>
            </w:r>
            <w:r w:rsidR="000A0BE2" w:rsidRPr="00414F87">
              <w:rPr>
                <w:rFonts w:ascii="Lato" w:hAnsi="Lato" w:cs="Calibri"/>
                <w:b/>
                <w:bCs/>
                <w:i/>
                <w:iCs/>
                <w:sz w:val="20"/>
                <w:szCs w:val="20"/>
              </w:rPr>
              <w:t>e</w:t>
            </w:r>
            <w:r w:rsidR="00522857" w:rsidRPr="00414F87">
              <w:rPr>
                <w:rFonts w:ascii="Lato" w:hAnsi="Lato" w:cs="Calibri"/>
                <w:b/>
                <w:bCs/>
                <w:i/>
                <w:iCs/>
                <w:sz w:val="20"/>
                <w:szCs w:val="20"/>
              </w:rPr>
              <w:t xml:space="preserve"> koncesj</w:t>
            </w:r>
            <w:r w:rsidR="000A0BE2" w:rsidRPr="00414F87">
              <w:rPr>
                <w:rFonts w:ascii="Lato" w:hAnsi="Lato" w:cs="Calibri"/>
                <w:b/>
                <w:bCs/>
                <w:i/>
                <w:iCs/>
                <w:sz w:val="20"/>
                <w:szCs w:val="20"/>
              </w:rPr>
              <w:t>e</w:t>
            </w:r>
            <w:r w:rsidR="00522857" w:rsidRPr="00414F87">
              <w:rPr>
                <w:rFonts w:ascii="Lato" w:hAnsi="Lato" w:cs="Calibri"/>
                <w:b/>
                <w:bCs/>
                <w:i/>
                <w:iCs/>
                <w:sz w:val="20"/>
                <w:szCs w:val="20"/>
              </w:rPr>
              <w:t xml:space="preserve"> na wytwarzanie energii elektrycznej do końca miesiąca</w:t>
            </w:r>
            <w:r w:rsidR="000A0BE2" w:rsidRPr="00414F87">
              <w:rPr>
                <w:rFonts w:ascii="Lato" w:hAnsi="Lato" w:cs="Calibri"/>
                <w:b/>
                <w:bCs/>
                <w:i/>
                <w:iCs/>
                <w:sz w:val="20"/>
                <w:szCs w:val="20"/>
              </w:rPr>
              <w:t>, w którym złożą</w:t>
            </w:r>
            <w:r w:rsidR="00B13771" w:rsidRPr="00414F87">
              <w:rPr>
                <w:rFonts w:ascii="Lato" w:hAnsi="Lato" w:cs="Calibri"/>
                <w:b/>
                <w:bCs/>
                <w:i/>
                <w:iCs/>
                <w:sz w:val="20"/>
                <w:szCs w:val="20"/>
              </w:rPr>
              <w:t xml:space="preserve"> właściwemu dyrektorowi izby skarbowej oświadczenie</w:t>
            </w:r>
            <w:r w:rsidR="003E7867" w:rsidRPr="00414F87">
              <w:rPr>
                <w:rFonts w:ascii="Lato" w:hAnsi="Lato" w:cs="Calibri"/>
                <w:b/>
                <w:bCs/>
                <w:i/>
                <w:iCs/>
                <w:sz w:val="20"/>
                <w:szCs w:val="20"/>
              </w:rPr>
              <w:t xml:space="preserve"> o </w:t>
            </w:r>
            <w:r w:rsidR="00D03E30" w:rsidRPr="00414F87">
              <w:rPr>
                <w:rFonts w:ascii="Lato" w:hAnsi="Lato" w:cs="Calibri"/>
                <w:b/>
                <w:bCs/>
                <w:i/>
                <w:iCs/>
                <w:sz w:val="20"/>
                <w:szCs w:val="20"/>
              </w:rPr>
              <w:t>uzyskaniu statusu nabywcy</w:t>
            </w:r>
            <w:r w:rsidR="00F44FCA" w:rsidRPr="00414F87">
              <w:rPr>
                <w:rFonts w:ascii="Lato" w:hAnsi="Lato" w:cs="Calibri"/>
                <w:b/>
                <w:bCs/>
                <w:i/>
                <w:iCs/>
                <w:sz w:val="20"/>
                <w:szCs w:val="20"/>
              </w:rPr>
              <w:t xml:space="preserve"> końcowego, w rozumieniu art. </w:t>
            </w:r>
            <w:r w:rsidR="008A13EB" w:rsidRPr="00414F87">
              <w:rPr>
                <w:rFonts w:ascii="Lato" w:hAnsi="Lato" w:cs="Calibri"/>
                <w:b/>
                <w:bCs/>
                <w:i/>
                <w:iCs/>
                <w:sz w:val="20"/>
                <w:szCs w:val="20"/>
              </w:rPr>
              <w:t>2 ust. 1 pkt 19 ustawy o podatku a</w:t>
            </w:r>
            <w:r w:rsidR="00F6132F" w:rsidRPr="00414F87">
              <w:rPr>
                <w:rFonts w:ascii="Lato" w:hAnsi="Lato" w:cs="Calibri"/>
                <w:b/>
                <w:bCs/>
                <w:i/>
                <w:iCs/>
                <w:sz w:val="20"/>
                <w:szCs w:val="20"/>
              </w:rPr>
              <w:t>k</w:t>
            </w:r>
            <w:r w:rsidR="008A13EB" w:rsidRPr="00414F87">
              <w:rPr>
                <w:rFonts w:ascii="Lato" w:hAnsi="Lato" w:cs="Calibri"/>
                <w:b/>
                <w:bCs/>
                <w:i/>
                <w:iCs/>
                <w:sz w:val="20"/>
                <w:szCs w:val="20"/>
              </w:rPr>
              <w:t>cyzowym.</w:t>
            </w:r>
          </w:p>
        </w:tc>
        <w:tc>
          <w:tcPr>
            <w:tcW w:w="1428" w:type="dxa"/>
          </w:tcPr>
          <w:p w14:paraId="0A1A76B9" w14:textId="77777777" w:rsidR="008C4AC6" w:rsidRPr="00803885" w:rsidRDefault="008C4AC6" w:rsidP="00803885">
            <w:pPr>
              <w:jc w:val="both"/>
              <w:rPr>
                <w:rFonts w:ascii="Lato" w:hAnsi="Lato" w:cs="Times New Roman"/>
                <w:sz w:val="20"/>
                <w:szCs w:val="20"/>
              </w:rPr>
            </w:pPr>
          </w:p>
        </w:tc>
      </w:tr>
      <w:tr w:rsidR="00E33C69" w:rsidRPr="00803885" w14:paraId="792F209E" w14:textId="77777777" w:rsidTr="00414F87">
        <w:tc>
          <w:tcPr>
            <w:tcW w:w="562" w:type="dxa"/>
          </w:tcPr>
          <w:p w14:paraId="01AD8460" w14:textId="0CFB5F11" w:rsidR="00E33C69" w:rsidRPr="00803885" w:rsidRDefault="00A41376" w:rsidP="00803885">
            <w:pPr>
              <w:jc w:val="center"/>
              <w:rPr>
                <w:rFonts w:ascii="Lato" w:hAnsi="Lato" w:cs="Times New Roman"/>
                <w:sz w:val="20"/>
                <w:szCs w:val="20"/>
              </w:rPr>
            </w:pPr>
            <w:r>
              <w:rPr>
                <w:rFonts w:ascii="Lato" w:hAnsi="Lato" w:cs="Times New Roman"/>
                <w:sz w:val="20"/>
                <w:szCs w:val="20"/>
              </w:rPr>
              <w:t>3.</w:t>
            </w:r>
          </w:p>
        </w:tc>
        <w:tc>
          <w:tcPr>
            <w:tcW w:w="1134" w:type="dxa"/>
          </w:tcPr>
          <w:p w14:paraId="78BC10F1" w14:textId="74EA4E43" w:rsidR="00E33C69" w:rsidRPr="00803885" w:rsidRDefault="00602094" w:rsidP="00803885">
            <w:pPr>
              <w:jc w:val="both"/>
              <w:rPr>
                <w:rFonts w:ascii="Lato" w:hAnsi="Lato" w:cs="Times New Roman"/>
                <w:sz w:val="20"/>
                <w:szCs w:val="20"/>
              </w:rPr>
            </w:pPr>
            <w:r w:rsidRPr="00602094">
              <w:rPr>
                <w:rFonts w:ascii="Lato" w:hAnsi="Lato" w:cs="Times New Roman"/>
                <w:sz w:val="20"/>
                <w:szCs w:val="20"/>
              </w:rPr>
              <w:t>Związek Pracodawców Polska Miedź</w:t>
            </w:r>
          </w:p>
        </w:tc>
        <w:tc>
          <w:tcPr>
            <w:tcW w:w="2268" w:type="dxa"/>
            <w:tcBorders>
              <w:top w:val="single" w:sz="4" w:space="0" w:color="A5A5A5"/>
              <w:left w:val="single" w:sz="4" w:space="0" w:color="A5A5A5"/>
              <w:bottom w:val="single" w:sz="4" w:space="0" w:color="A5A5A5"/>
              <w:right w:val="single" w:sz="4" w:space="0" w:color="A5A5A5"/>
            </w:tcBorders>
            <w:shd w:val="clear" w:color="auto" w:fill="auto"/>
          </w:tcPr>
          <w:p w14:paraId="61E2E4FD" w14:textId="6D6195EF" w:rsidR="00E33C69" w:rsidRDefault="00A02E3F" w:rsidP="00803885">
            <w:pPr>
              <w:jc w:val="both"/>
              <w:rPr>
                <w:rFonts w:ascii="Lato" w:hAnsi="Lato" w:cs="Times New Roman"/>
                <w:sz w:val="20"/>
                <w:szCs w:val="20"/>
              </w:rPr>
            </w:pPr>
            <w:r w:rsidRPr="00A02E3F">
              <w:rPr>
                <w:rFonts w:ascii="Lato" w:hAnsi="Lato" w:cs="Times New Roman"/>
                <w:sz w:val="20"/>
                <w:szCs w:val="20"/>
              </w:rPr>
              <w:t>Art. 11t ust.3PE</w:t>
            </w:r>
          </w:p>
        </w:tc>
        <w:tc>
          <w:tcPr>
            <w:tcW w:w="3686" w:type="dxa"/>
            <w:tcBorders>
              <w:top w:val="single" w:sz="4" w:space="0" w:color="A5A5A5"/>
              <w:left w:val="single" w:sz="4" w:space="0" w:color="A5A5A5"/>
              <w:bottom w:val="single" w:sz="4" w:space="0" w:color="A5A5A5"/>
              <w:right w:val="single" w:sz="4" w:space="0" w:color="A5A5A5"/>
            </w:tcBorders>
            <w:shd w:val="clear" w:color="auto" w:fill="auto"/>
          </w:tcPr>
          <w:p w14:paraId="58779CFE" w14:textId="5AA06499" w:rsidR="00E33C69" w:rsidRDefault="00E33C69" w:rsidP="00F6132F">
            <w:pPr>
              <w:jc w:val="both"/>
              <w:rPr>
                <w:rFonts w:ascii="Lato" w:hAnsi="Lato" w:cs="Times New Roman"/>
                <w:sz w:val="20"/>
                <w:szCs w:val="20"/>
              </w:rPr>
            </w:pPr>
            <w:r w:rsidRPr="00E33C69">
              <w:rPr>
                <w:rFonts w:ascii="Lato" w:hAnsi="Lato" w:cs="Times New Roman"/>
                <w:sz w:val="20"/>
                <w:szCs w:val="20"/>
              </w:rPr>
              <w:t>Art. 11t ust. 3 PE zobowiązuje OSD do zainstalowania  liczników zdalnego odczytu na wszystkich stacjach elektroenergetycznych SN/</w:t>
            </w:r>
            <w:proofErr w:type="spellStart"/>
            <w:r w:rsidRPr="00E33C69">
              <w:rPr>
                <w:rFonts w:ascii="Lato" w:hAnsi="Lato" w:cs="Times New Roman"/>
                <w:sz w:val="20"/>
                <w:szCs w:val="20"/>
              </w:rPr>
              <w:t>nN.</w:t>
            </w:r>
            <w:proofErr w:type="spellEnd"/>
            <w:r w:rsidRPr="00E33C69">
              <w:rPr>
                <w:rFonts w:ascii="Lato" w:hAnsi="Lato" w:cs="Times New Roman"/>
                <w:sz w:val="20"/>
                <w:szCs w:val="20"/>
              </w:rPr>
              <w:t xml:space="preserve"> O ile wymóg ten może mieć uzasadnienie w odniesieniu do zawodowych operatorów (zasadniczo nie zużywających energii na własny użytek), o tyle jest on zupełnie nieracjonalny w przypadku sieci zakładowych. Te ostatnie służą przede wszystkim potrzebom własnym zakładów przemysłowych. Jedynie niewielka część energii dostarczana jest do odbiorców zewnętrznych. Opomiarowanie na poziomie stacji w żaden sposób nie jest reprezentatywne dla poborów energii elektrycznej przez odbiorców przyłączonych do takiego systemu dystrybucyjnego. </w:t>
            </w:r>
            <w:r w:rsidRPr="00E33C69">
              <w:rPr>
                <w:rFonts w:ascii="Lato" w:hAnsi="Lato" w:cs="Times New Roman"/>
                <w:b/>
                <w:bCs/>
                <w:sz w:val="20"/>
                <w:szCs w:val="20"/>
              </w:rPr>
              <w:t>Większość pobieranej energii jest bowiem zużywana przez właściciela systemu, a nie jego odbiorców i jest już opomiarowana przez nadrzędnego operatora. Opomiarowanie to zwykle jest jednak na poziomie Stacji WN, do której przyłączone są sieci zakładów energochłonnych</w:t>
            </w:r>
            <w:r w:rsidRPr="00E33C69">
              <w:rPr>
                <w:rFonts w:ascii="Lato" w:hAnsi="Lato" w:cs="Times New Roman"/>
                <w:sz w:val="20"/>
                <w:szCs w:val="20"/>
              </w:rPr>
              <w:t>. Stacje SN/</w:t>
            </w:r>
            <w:proofErr w:type="spellStart"/>
            <w:r w:rsidRPr="00E33C69">
              <w:rPr>
                <w:rFonts w:ascii="Lato" w:hAnsi="Lato" w:cs="Times New Roman"/>
                <w:sz w:val="20"/>
                <w:szCs w:val="20"/>
              </w:rPr>
              <w:t>nN</w:t>
            </w:r>
            <w:proofErr w:type="spellEnd"/>
            <w:r w:rsidRPr="00E33C69">
              <w:rPr>
                <w:rFonts w:ascii="Lato" w:hAnsi="Lato" w:cs="Times New Roman"/>
                <w:sz w:val="20"/>
                <w:szCs w:val="20"/>
              </w:rPr>
              <w:t xml:space="preserve"> są już natomiast „za licznikiem” i w większości służą potrzebom własnym zakładu. Konieczność dostosowania się do wymogów art. 11t ust. 3 PE wygeneruje znaczące koszty. Opomiarowanie na poziomie stacji SN/</w:t>
            </w:r>
            <w:proofErr w:type="spellStart"/>
            <w:r w:rsidRPr="00E33C69">
              <w:rPr>
                <w:rFonts w:ascii="Lato" w:hAnsi="Lato" w:cs="Times New Roman"/>
                <w:sz w:val="20"/>
                <w:szCs w:val="20"/>
              </w:rPr>
              <w:t>nN</w:t>
            </w:r>
            <w:proofErr w:type="spellEnd"/>
            <w:r w:rsidRPr="00E33C69">
              <w:rPr>
                <w:rFonts w:ascii="Lato" w:hAnsi="Lato" w:cs="Times New Roman"/>
                <w:sz w:val="20"/>
                <w:szCs w:val="20"/>
              </w:rPr>
              <w:t xml:space="preserve"> może wymagać bowiem wykonania gruntownych modernizacji stacji w celu umożliwienia instalacji w nich liczników. </w:t>
            </w:r>
            <w:r w:rsidRPr="00E33C69">
              <w:rPr>
                <w:rFonts w:ascii="Lato" w:hAnsi="Lato" w:cs="Times New Roman"/>
                <w:b/>
                <w:bCs/>
                <w:sz w:val="20"/>
                <w:szCs w:val="20"/>
              </w:rPr>
              <w:t xml:space="preserve">To wszystko </w:t>
            </w:r>
            <w:r w:rsidRPr="00E33C69">
              <w:rPr>
                <w:rFonts w:ascii="Lato" w:hAnsi="Lato" w:cs="Times New Roman"/>
                <w:b/>
                <w:bCs/>
                <w:sz w:val="20"/>
                <w:szCs w:val="20"/>
              </w:rPr>
              <w:lastRenderedPageBreak/>
              <w:t>przy wątpliwym celu i efekcie takich działań.</w:t>
            </w:r>
            <w:r w:rsidRPr="00E33C69">
              <w:rPr>
                <w:rFonts w:ascii="Lato" w:hAnsi="Lato" w:cs="Times New Roman"/>
                <w:sz w:val="20"/>
                <w:szCs w:val="20"/>
              </w:rPr>
              <w:t xml:space="preserve"> Jednocześnie koszty takich działań powinny zostać przeniesione na odbiorców. W przypadku zakładowych sieci gdzie liczba odbiorców jest niewielka (koszt rozkłada się często na maksymalnie kilkunastu odbiorców) oznaczałoby to skokowy wzrost opłat dystrybucyjnych (art. 11t ust. 5 PE). Stąd wprowadzenie odstępstwa od przedmiotowego wymogu wymaga jak najszybszej interwencji legislacyjnej (mając na uwadze fakt iż instalacja liczników powinna nastąpić najpóźniej do końca 2025 roku).</w:t>
            </w:r>
          </w:p>
        </w:tc>
        <w:tc>
          <w:tcPr>
            <w:tcW w:w="6662" w:type="dxa"/>
            <w:shd w:val="clear" w:color="auto" w:fill="auto"/>
          </w:tcPr>
          <w:p w14:paraId="667C5070" w14:textId="0E4B4290" w:rsidR="00FA03D7" w:rsidRDefault="00FA03D7" w:rsidP="00FA03D7">
            <w:pPr>
              <w:pStyle w:val="ARTartustawynprozporzdzenia"/>
              <w:spacing w:before="0" w:line="240" w:lineRule="auto"/>
              <w:ind w:firstLine="0"/>
              <w:rPr>
                <w:rFonts w:ascii="Lato" w:hAnsi="Lato"/>
                <w:bCs/>
                <w:sz w:val="20"/>
                <w:lang w:eastAsia="en-US"/>
              </w:rPr>
            </w:pPr>
            <w:r>
              <w:rPr>
                <w:rFonts w:ascii="Lato" w:hAnsi="Lato"/>
                <w:bCs/>
                <w:sz w:val="20"/>
                <w:lang w:eastAsia="en-US"/>
              </w:rPr>
              <w:lastRenderedPageBreak/>
              <w:t>[Dodanie nowego przepisu</w:t>
            </w:r>
            <w:r w:rsidR="00A02E3F">
              <w:rPr>
                <w:rFonts w:ascii="Lato" w:hAnsi="Lato"/>
                <w:bCs/>
                <w:sz w:val="20"/>
                <w:lang w:eastAsia="en-US"/>
              </w:rPr>
              <w:t xml:space="preserve"> (</w:t>
            </w:r>
            <w:r w:rsidR="00A02E3F" w:rsidRPr="00A02E3F">
              <w:rPr>
                <w:rFonts w:ascii="Lato" w:hAnsi="Lato"/>
                <w:bCs/>
                <w:sz w:val="20"/>
                <w:lang w:eastAsia="en-US"/>
              </w:rPr>
              <w:t>ust.3</w:t>
            </w:r>
            <w:r w:rsidR="00A02E3F" w:rsidRPr="00A02E3F">
              <w:rPr>
                <w:rFonts w:ascii="Lato" w:hAnsi="Lato"/>
                <w:bCs/>
                <w:sz w:val="20"/>
                <w:vertAlign w:val="superscript"/>
                <w:lang w:eastAsia="en-US"/>
              </w:rPr>
              <w:t>1</w:t>
            </w:r>
            <w:r w:rsidR="003A2566">
              <w:rPr>
                <w:rFonts w:ascii="Lato" w:hAnsi="Lato"/>
                <w:bCs/>
                <w:sz w:val="20"/>
                <w:lang w:eastAsia="en-US"/>
              </w:rPr>
              <w:t>)</w:t>
            </w:r>
            <w:r w:rsidR="00A02E3F">
              <w:rPr>
                <w:rFonts w:ascii="Lato" w:hAnsi="Lato"/>
                <w:bCs/>
                <w:sz w:val="20"/>
                <w:lang w:eastAsia="en-US"/>
              </w:rPr>
              <w:t xml:space="preserve"> w art. 11t ustawy Prawo energetyczne</w:t>
            </w:r>
            <w:r>
              <w:rPr>
                <w:rFonts w:ascii="Lato" w:hAnsi="Lato"/>
                <w:bCs/>
                <w:sz w:val="20"/>
                <w:lang w:eastAsia="en-US"/>
              </w:rPr>
              <w:t>]</w:t>
            </w:r>
          </w:p>
          <w:p w14:paraId="4A26C75B" w14:textId="77777777" w:rsidR="00FA03D7" w:rsidRDefault="00FA03D7" w:rsidP="00FA03D7">
            <w:pPr>
              <w:pStyle w:val="ARTartustawynprozporzdzenia"/>
              <w:spacing w:before="0" w:line="240" w:lineRule="auto"/>
              <w:ind w:firstLine="0"/>
              <w:rPr>
                <w:rFonts w:ascii="Lato" w:hAnsi="Lato"/>
                <w:bCs/>
                <w:i/>
                <w:iCs/>
                <w:color w:val="FF0000"/>
                <w:sz w:val="20"/>
                <w:lang w:eastAsia="en-US"/>
              </w:rPr>
            </w:pPr>
          </w:p>
          <w:p w14:paraId="4CBAD2C3" w14:textId="77777777" w:rsidR="00FA03D7" w:rsidRPr="00414F87" w:rsidRDefault="00FA03D7" w:rsidP="00414F87">
            <w:pPr>
              <w:pStyle w:val="ARTartustawynprozporzdzenia"/>
              <w:ind w:firstLine="0"/>
              <w:rPr>
                <w:rFonts w:ascii="Lato" w:hAnsi="Lato"/>
                <w:b/>
                <w:i/>
                <w:iCs/>
              </w:rPr>
            </w:pPr>
            <w:r w:rsidRPr="00414F87">
              <w:rPr>
                <w:rFonts w:ascii="Lato" w:hAnsi="Lato"/>
                <w:b/>
                <w:i/>
                <w:iCs/>
                <w:sz w:val="20"/>
                <w:lang w:eastAsia="en-US"/>
              </w:rPr>
              <w:t>3</w:t>
            </w:r>
            <w:r w:rsidRPr="00414F87">
              <w:rPr>
                <w:rFonts w:ascii="Lato" w:hAnsi="Lato"/>
                <w:b/>
                <w:i/>
                <w:iCs/>
                <w:sz w:val="20"/>
                <w:vertAlign w:val="superscript"/>
                <w:lang w:eastAsia="en-US"/>
              </w:rPr>
              <w:t xml:space="preserve">1 </w:t>
            </w:r>
            <w:r w:rsidRPr="00414F87">
              <w:rPr>
                <w:rFonts w:ascii="Lato" w:hAnsi="Lato"/>
                <w:b/>
                <w:i/>
                <w:iCs/>
                <w:sz w:val="20"/>
                <w:lang w:eastAsia="en-US"/>
              </w:rPr>
              <w:t>Przepisu ust. 1 nie stosuje się do operatora systemu dystrybucyjnego będącego jednocześnie odbiorcą przemysłowym, znajdującym się w wykazie odbiorców przemysłowych, o którym mowa w art. 52 ust. 4 ustawy o odnawialnych źródłach energii.</w:t>
            </w:r>
            <w:r w:rsidRPr="00414F87">
              <w:rPr>
                <w:rFonts w:ascii="Lato" w:hAnsi="Lato"/>
                <w:b/>
                <w:i/>
                <w:iCs/>
                <w:sz w:val="20"/>
                <w:vertAlign w:val="superscript"/>
                <w:lang w:eastAsia="en-US"/>
              </w:rPr>
              <w:t xml:space="preserve"> </w:t>
            </w:r>
          </w:p>
          <w:p w14:paraId="7FCEA95E" w14:textId="77777777" w:rsidR="00E33C69" w:rsidRPr="00E33C69" w:rsidRDefault="00E33C69" w:rsidP="00803885">
            <w:pPr>
              <w:jc w:val="both"/>
              <w:rPr>
                <w:rFonts w:ascii="Lato" w:hAnsi="Lato" w:cs="Calibri"/>
                <w:i/>
                <w:iCs/>
                <w:color w:val="000000"/>
                <w:sz w:val="20"/>
                <w:szCs w:val="20"/>
              </w:rPr>
            </w:pPr>
          </w:p>
        </w:tc>
        <w:tc>
          <w:tcPr>
            <w:tcW w:w="1428" w:type="dxa"/>
          </w:tcPr>
          <w:p w14:paraId="364466F9" w14:textId="77777777" w:rsidR="00E33C69" w:rsidRPr="00803885" w:rsidRDefault="00E33C69" w:rsidP="00803885">
            <w:pPr>
              <w:jc w:val="both"/>
              <w:rPr>
                <w:rFonts w:ascii="Lato" w:hAnsi="Lato" w:cs="Times New Roman"/>
                <w:sz w:val="20"/>
                <w:szCs w:val="20"/>
              </w:rPr>
            </w:pPr>
          </w:p>
        </w:tc>
      </w:tr>
      <w:tr w:rsidR="008C4AC6" w:rsidRPr="00803885" w14:paraId="01120989" w14:textId="77777777" w:rsidTr="00414F87">
        <w:tc>
          <w:tcPr>
            <w:tcW w:w="562" w:type="dxa"/>
          </w:tcPr>
          <w:p w14:paraId="22406C07" w14:textId="2BD3CC2F" w:rsidR="008C4AC6" w:rsidRPr="00803885" w:rsidRDefault="00A41376" w:rsidP="008C4AC6">
            <w:pPr>
              <w:jc w:val="center"/>
              <w:rPr>
                <w:rFonts w:ascii="Lato" w:hAnsi="Lato" w:cs="Times New Roman"/>
                <w:sz w:val="20"/>
                <w:szCs w:val="20"/>
              </w:rPr>
            </w:pPr>
            <w:r>
              <w:rPr>
                <w:rFonts w:ascii="Lato" w:hAnsi="Lato" w:cs="Times New Roman"/>
                <w:sz w:val="20"/>
                <w:szCs w:val="20"/>
              </w:rPr>
              <w:t>4</w:t>
            </w:r>
          </w:p>
        </w:tc>
        <w:tc>
          <w:tcPr>
            <w:tcW w:w="1134" w:type="dxa"/>
          </w:tcPr>
          <w:p w14:paraId="1C7CFAAC" w14:textId="168604A4" w:rsidR="008C4AC6" w:rsidRPr="00803885" w:rsidRDefault="00602094" w:rsidP="008C4AC6">
            <w:pPr>
              <w:jc w:val="both"/>
              <w:rPr>
                <w:rFonts w:ascii="Lato" w:hAnsi="Lato" w:cs="Times New Roman"/>
                <w:sz w:val="20"/>
                <w:szCs w:val="20"/>
              </w:rPr>
            </w:pPr>
            <w:r w:rsidRPr="00602094">
              <w:rPr>
                <w:rFonts w:ascii="Lato" w:hAnsi="Lato" w:cs="Times New Roman"/>
                <w:sz w:val="20"/>
                <w:szCs w:val="20"/>
              </w:rPr>
              <w:t>Związek Pracodawców Polska Miedź</w:t>
            </w:r>
          </w:p>
        </w:tc>
        <w:tc>
          <w:tcPr>
            <w:tcW w:w="2268" w:type="dxa"/>
            <w:tcBorders>
              <w:top w:val="single" w:sz="4" w:space="0" w:color="A5A5A5"/>
              <w:left w:val="single" w:sz="4" w:space="0" w:color="A5A5A5"/>
              <w:bottom w:val="single" w:sz="4" w:space="0" w:color="A5A5A5"/>
              <w:right w:val="single" w:sz="4" w:space="0" w:color="A5A5A5"/>
            </w:tcBorders>
            <w:shd w:val="clear" w:color="auto" w:fill="auto"/>
          </w:tcPr>
          <w:p w14:paraId="01A95FD2" w14:textId="62C64917" w:rsidR="008C4AC6" w:rsidRPr="00803885" w:rsidRDefault="008C4AC6" w:rsidP="008C4AC6">
            <w:pPr>
              <w:jc w:val="both"/>
              <w:rPr>
                <w:rFonts w:ascii="Lato" w:hAnsi="Lato" w:cs="Calibri"/>
                <w:color w:val="000000"/>
                <w:sz w:val="20"/>
                <w:szCs w:val="20"/>
              </w:rPr>
            </w:pPr>
            <w:r w:rsidRPr="00803885">
              <w:rPr>
                <w:rFonts w:ascii="Lato" w:hAnsi="Lato" w:cs="Calibri"/>
                <w:color w:val="000000"/>
                <w:sz w:val="20"/>
                <w:szCs w:val="20"/>
              </w:rPr>
              <w:t>Ustawa z dnia 8 grudnia 2017 r. o rynku mocy (</w:t>
            </w:r>
            <w:proofErr w:type="spellStart"/>
            <w:r w:rsidRPr="00803885">
              <w:rPr>
                <w:rFonts w:ascii="Lato" w:hAnsi="Lato" w:cs="Calibri"/>
                <w:color w:val="000000"/>
                <w:sz w:val="20"/>
                <w:szCs w:val="20"/>
              </w:rPr>
              <w:t>t.j</w:t>
            </w:r>
            <w:proofErr w:type="spellEnd"/>
            <w:r w:rsidRPr="00803885">
              <w:rPr>
                <w:rFonts w:ascii="Lato" w:hAnsi="Lato" w:cs="Calibri"/>
                <w:color w:val="000000"/>
                <w:sz w:val="20"/>
                <w:szCs w:val="20"/>
              </w:rPr>
              <w:t>. Dz. U. z 2023 r. poz. 2131 z późn. zm.) - art. 70a ust. 3</w:t>
            </w:r>
          </w:p>
        </w:tc>
        <w:tc>
          <w:tcPr>
            <w:tcW w:w="3686" w:type="dxa"/>
            <w:tcBorders>
              <w:top w:val="single" w:sz="4" w:space="0" w:color="A5A5A5"/>
              <w:left w:val="single" w:sz="4" w:space="0" w:color="A5A5A5"/>
              <w:bottom w:val="single" w:sz="4" w:space="0" w:color="A5A5A5"/>
              <w:right w:val="single" w:sz="4" w:space="0" w:color="A5A5A5"/>
            </w:tcBorders>
            <w:shd w:val="clear" w:color="auto" w:fill="auto"/>
          </w:tcPr>
          <w:p w14:paraId="59CDABC4" w14:textId="6BEED8AF" w:rsidR="008C4AC6" w:rsidRPr="00803885" w:rsidRDefault="008C4AC6" w:rsidP="008C4AC6">
            <w:pPr>
              <w:jc w:val="both"/>
              <w:rPr>
                <w:rFonts w:ascii="Lato" w:hAnsi="Lato" w:cs="Calibri"/>
                <w:color w:val="000000"/>
                <w:sz w:val="20"/>
                <w:szCs w:val="20"/>
              </w:rPr>
            </w:pPr>
            <w:r w:rsidRPr="00803885">
              <w:rPr>
                <w:rFonts w:ascii="Lato" w:hAnsi="Lato" w:cs="Calibri"/>
                <w:color w:val="000000"/>
                <w:sz w:val="20"/>
                <w:szCs w:val="20"/>
              </w:rPr>
              <w:t>Wprowadzenie klasyfikacji opłaty mocowej w wymiarze miesięcznym dla Odbiorców zewnętrznych.</w:t>
            </w:r>
          </w:p>
        </w:tc>
        <w:tc>
          <w:tcPr>
            <w:tcW w:w="6662" w:type="dxa"/>
            <w:shd w:val="clear" w:color="auto" w:fill="auto"/>
          </w:tcPr>
          <w:p w14:paraId="42436C0D" w14:textId="44FBAFE7" w:rsidR="008C4AC6" w:rsidRPr="00803885" w:rsidRDefault="008C4AC6" w:rsidP="008C4AC6">
            <w:pPr>
              <w:jc w:val="both"/>
              <w:rPr>
                <w:rFonts w:ascii="Lato" w:hAnsi="Lato" w:cs="Calibri"/>
                <w:color w:val="000000"/>
                <w:sz w:val="20"/>
                <w:szCs w:val="20"/>
              </w:rPr>
            </w:pPr>
            <w:r w:rsidRPr="00803885">
              <w:rPr>
                <w:rFonts w:ascii="Lato" w:hAnsi="Lato" w:cs="Calibri"/>
                <w:color w:val="000000"/>
                <w:sz w:val="20"/>
                <w:szCs w:val="20"/>
              </w:rPr>
              <w:t>Dobowy okres kwalifikacji opłaty mocowej od mocy umownej 16kW dla Odbiorców Zewnętrznych, który obowiązuje od 01.01.2025r. to bardzo proces długi obarczony dużym błędem. Zmiana na wymiar miesięczny spowoduje mniejsze błędy w rozliczeniach oraz skrócenie procesu rozliczeniowego.</w:t>
            </w:r>
          </w:p>
        </w:tc>
        <w:tc>
          <w:tcPr>
            <w:tcW w:w="1428" w:type="dxa"/>
          </w:tcPr>
          <w:p w14:paraId="2F94F89A" w14:textId="77777777" w:rsidR="008C4AC6" w:rsidRPr="00803885" w:rsidRDefault="008C4AC6" w:rsidP="008C4AC6">
            <w:pPr>
              <w:jc w:val="both"/>
              <w:rPr>
                <w:rFonts w:ascii="Lato" w:hAnsi="Lato" w:cs="Times New Roman"/>
                <w:sz w:val="20"/>
                <w:szCs w:val="20"/>
              </w:rPr>
            </w:pPr>
          </w:p>
        </w:tc>
      </w:tr>
      <w:tr w:rsidR="008C4AC6" w:rsidRPr="00803885" w14:paraId="4AE66715" w14:textId="77777777" w:rsidTr="00414F87">
        <w:tc>
          <w:tcPr>
            <w:tcW w:w="562" w:type="dxa"/>
          </w:tcPr>
          <w:p w14:paraId="6AFC8947" w14:textId="774CE975" w:rsidR="008C4AC6" w:rsidRPr="00803885" w:rsidRDefault="00A41376" w:rsidP="008C4AC6">
            <w:pPr>
              <w:jc w:val="center"/>
              <w:rPr>
                <w:rFonts w:ascii="Lato" w:hAnsi="Lato" w:cs="Times New Roman"/>
                <w:sz w:val="20"/>
                <w:szCs w:val="20"/>
              </w:rPr>
            </w:pPr>
            <w:r>
              <w:rPr>
                <w:rFonts w:ascii="Lato" w:hAnsi="Lato" w:cs="Times New Roman"/>
                <w:sz w:val="20"/>
                <w:szCs w:val="20"/>
              </w:rPr>
              <w:t>5</w:t>
            </w:r>
          </w:p>
        </w:tc>
        <w:tc>
          <w:tcPr>
            <w:tcW w:w="1134" w:type="dxa"/>
          </w:tcPr>
          <w:p w14:paraId="752B4D6B" w14:textId="0BB20D26" w:rsidR="008C4AC6" w:rsidRPr="00803885" w:rsidRDefault="00602094" w:rsidP="008C4AC6">
            <w:pPr>
              <w:jc w:val="both"/>
              <w:rPr>
                <w:rFonts w:ascii="Lato" w:hAnsi="Lato" w:cs="Times New Roman"/>
                <w:sz w:val="20"/>
                <w:szCs w:val="20"/>
              </w:rPr>
            </w:pPr>
            <w:r w:rsidRPr="00602094">
              <w:rPr>
                <w:rFonts w:ascii="Lato" w:hAnsi="Lato" w:cs="Times New Roman"/>
                <w:sz w:val="20"/>
                <w:szCs w:val="20"/>
              </w:rPr>
              <w:t>Związek Pracodawców Polska Miedź</w:t>
            </w:r>
          </w:p>
        </w:tc>
        <w:tc>
          <w:tcPr>
            <w:tcW w:w="2268" w:type="dxa"/>
            <w:tcBorders>
              <w:top w:val="single" w:sz="4" w:space="0" w:color="A5A5A5"/>
              <w:left w:val="single" w:sz="4" w:space="0" w:color="A5A5A5"/>
              <w:bottom w:val="single" w:sz="4" w:space="0" w:color="A5A5A5"/>
              <w:right w:val="single" w:sz="4" w:space="0" w:color="A5A5A5"/>
            </w:tcBorders>
            <w:shd w:val="clear" w:color="auto" w:fill="auto"/>
          </w:tcPr>
          <w:p w14:paraId="1945FFFA" w14:textId="4C358918"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Ustawa z dnia 10 kwietnia 1997 r. - Prawo energetyczne (</w:t>
            </w:r>
            <w:proofErr w:type="spellStart"/>
            <w:r w:rsidRPr="00803885">
              <w:rPr>
                <w:rFonts w:ascii="Lato" w:hAnsi="Lato" w:cs="Calibri"/>
                <w:color w:val="000000"/>
                <w:sz w:val="20"/>
                <w:szCs w:val="20"/>
              </w:rPr>
              <w:t>t.j</w:t>
            </w:r>
            <w:proofErr w:type="spellEnd"/>
            <w:r w:rsidRPr="00803885">
              <w:rPr>
                <w:rFonts w:ascii="Lato" w:hAnsi="Lato" w:cs="Calibri"/>
                <w:color w:val="000000"/>
                <w:sz w:val="20"/>
                <w:szCs w:val="20"/>
              </w:rPr>
              <w:t>. Dz. U. z 2024 r. poz. 266 z późn. zm.) – art. 9dc</w:t>
            </w:r>
          </w:p>
        </w:tc>
        <w:tc>
          <w:tcPr>
            <w:tcW w:w="3686" w:type="dxa"/>
            <w:tcBorders>
              <w:top w:val="single" w:sz="4" w:space="0" w:color="A5A5A5"/>
              <w:left w:val="single" w:sz="4" w:space="0" w:color="A5A5A5"/>
              <w:bottom w:val="single" w:sz="4" w:space="0" w:color="A5A5A5"/>
              <w:right w:val="single" w:sz="4" w:space="0" w:color="A5A5A5"/>
            </w:tcBorders>
            <w:shd w:val="clear" w:color="auto" w:fill="auto"/>
          </w:tcPr>
          <w:p w14:paraId="50E5C451" w14:textId="77777777" w:rsidR="008C4AC6" w:rsidRDefault="008C4AC6" w:rsidP="008C4AC6">
            <w:pPr>
              <w:jc w:val="both"/>
              <w:rPr>
                <w:rFonts w:ascii="Lato" w:hAnsi="Lato" w:cs="Calibri"/>
                <w:color w:val="000000"/>
                <w:sz w:val="20"/>
                <w:szCs w:val="20"/>
              </w:rPr>
            </w:pPr>
            <w:r w:rsidRPr="00803885">
              <w:rPr>
                <w:rFonts w:ascii="Lato" w:hAnsi="Lato" w:cs="Calibri"/>
                <w:color w:val="000000"/>
                <w:sz w:val="20"/>
                <w:szCs w:val="20"/>
              </w:rPr>
              <w:t xml:space="preserve">Brak realnych ułatwień regulacyjnych dla Zamkniętych Systemów Dystrybucyjnych </w:t>
            </w:r>
          </w:p>
          <w:p w14:paraId="2D79E846" w14:textId="292D7B73"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(w porównaniu do „zawodowych” systemów dystrybucyjnych).</w:t>
            </w:r>
          </w:p>
        </w:tc>
        <w:tc>
          <w:tcPr>
            <w:tcW w:w="6662" w:type="dxa"/>
            <w:shd w:val="clear" w:color="auto" w:fill="auto"/>
          </w:tcPr>
          <w:p w14:paraId="7D2C1CE4" w14:textId="77777777" w:rsidR="008C4AC6" w:rsidRPr="00803885" w:rsidRDefault="008C4AC6" w:rsidP="008C4AC6">
            <w:pPr>
              <w:jc w:val="both"/>
              <w:rPr>
                <w:rFonts w:ascii="Lato" w:hAnsi="Lato" w:cs="Calibri"/>
                <w:color w:val="000000"/>
                <w:sz w:val="20"/>
                <w:szCs w:val="20"/>
              </w:rPr>
            </w:pPr>
            <w:r w:rsidRPr="00803885">
              <w:rPr>
                <w:rFonts w:ascii="Lato" w:hAnsi="Lato" w:cs="Calibri"/>
                <w:color w:val="000000"/>
                <w:sz w:val="20"/>
                <w:szCs w:val="20"/>
              </w:rPr>
              <w:t>Postuluje się zniesienie następujących obowiązków regulacyjnych dla Zamkniętych Systemów Dystrybucyjnych: przyłączania nowych podmiotów do sieci, jeżeli podmioty te znajdują się poza obszarem zamkniętego systemu dystrybucyjnego, sporządzania informacji, o których mowa w art. 7 ust. 8l pkt 1 i 2 ustawy Prawo energetyczne, przekazywanie Prezesowi Urzędu Regulacji Energetyki informacji, o których mowa w art. 9d ust. 8 ustawy Prawo energetyczne, ustalania opłaty za przyłączenie do ZSD zgodnie z zasadami określonymi w art. 7 ust.  8 ustawy (tj. na zasadach umownych, a nie wg. obligatoryjnych stawek przyłączeniowych).</w:t>
            </w:r>
          </w:p>
          <w:p w14:paraId="205D6532" w14:textId="77777777" w:rsidR="008C4AC6" w:rsidRPr="00803885" w:rsidRDefault="008C4AC6" w:rsidP="008C4AC6">
            <w:pPr>
              <w:jc w:val="both"/>
              <w:rPr>
                <w:rFonts w:ascii="Lato" w:hAnsi="Lato" w:cs="Calibri"/>
                <w:color w:val="000000"/>
                <w:sz w:val="20"/>
                <w:szCs w:val="20"/>
              </w:rPr>
            </w:pPr>
            <w:r w:rsidRPr="00803885">
              <w:rPr>
                <w:rFonts w:ascii="Lato" w:hAnsi="Lato" w:cs="Calibri"/>
                <w:color w:val="000000"/>
                <w:sz w:val="20"/>
                <w:szCs w:val="20"/>
              </w:rPr>
              <w:t xml:space="preserve">Duże zakłady przemysłowe zwykle posiadają elektroenergetyczne systemy dystrybucyjne mające jedynie pomocniczą funkcje wobec ich działalności podstawowej. Z prawnego punktu widzenia te niewielkie systemy są jednak traktowane niemal analogicznie jak systemy dystrybucyjne należące do podmiotów zajmujących się zawodową energetyką (ze większością obowiązków regulacyjnych). </w:t>
            </w:r>
          </w:p>
          <w:p w14:paraId="38D07FBA" w14:textId="39FFE723"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 xml:space="preserve">W konsekwencji obsługa tych systemów wiąże się z koniecznością angażowania dużych zasobów osobowych oraz z ponoszeniem kosztów obsługi takiej działalności nieproporcjonalnych do działalności podstawowej. M.in. operatorzy takich systemów narażeni są na prowadzeni długotrwałych sporów przyłączeniowych – jeśli jakikolwiek </w:t>
            </w:r>
            <w:r w:rsidRPr="00803885">
              <w:rPr>
                <w:rFonts w:ascii="Lato" w:hAnsi="Lato" w:cs="Calibri"/>
                <w:color w:val="000000"/>
                <w:sz w:val="20"/>
                <w:szCs w:val="20"/>
              </w:rPr>
              <w:lastRenderedPageBreak/>
              <w:t>zewnętrzny podmiot wniesienie nawet bezzasadny wniosek o przyłączenie.</w:t>
            </w:r>
          </w:p>
        </w:tc>
        <w:tc>
          <w:tcPr>
            <w:tcW w:w="1428" w:type="dxa"/>
          </w:tcPr>
          <w:p w14:paraId="31C0C230" w14:textId="77777777" w:rsidR="008C4AC6" w:rsidRPr="00803885" w:rsidRDefault="008C4AC6" w:rsidP="008C4AC6">
            <w:pPr>
              <w:jc w:val="both"/>
              <w:rPr>
                <w:rFonts w:ascii="Lato" w:hAnsi="Lato" w:cs="Times New Roman"/>
                <w:sz w:val="20"/>
                <w:szCs w:val="20"/>
              </w:rPr>
            </w:pPr>
          </w:p>
        </w:tc>
      </w:tr>
      <w:tr w:rsidR="008C4AC6" w:rsidRPr="00803885" w14:paraId="574FF95B" w14:textId="77777777" w:rsidTr="00414F87">
        <w:tc>
          <w:tcPr>
            <w:tcW w:w="562" w:type="dxa"/>
          </w:tcPr>
          <w:p w14:paraId="590D690B" w14:textId="5CA52B28" w:rsidR="008C4AC6" w:rsidRPr="00803885" w:rsidRDefault="00A41376" w:rsidP="008C4AC6">
            <w:pPr>
              <w:jc w:val="center"/>
              <w:rPr>
                <w:rFonts w:ascii="Lato" w:hAnsi="Lato" w:cs="Times New Roman"/>
                <w:sz w:val="20"/>
                <w:szCs w:val="20"/>
              </w:rPr>
            </w:pPr>
            <w:r>
              <w:rPr>
                <w:rFonts w:ascii="Lato" w:hAnsi="Lato" w:cs="Times New Roman"/>
                <w:sz w:val="20"/>
                <w:szCs w:val="20"/>
              </w:rPr>
              <w:t>6</w:t>
            </w:r>
          </w:p>
        </w:tc>
        <w:tc>
          <w:tcPr>
            <w:tcW w:w="1134" w:type="dxa"/>
          </w:tcPr>
          <w:p w14:paraId="7283C367" w14:textId="082666BE" w:rsidR="008C4AC6" w:rsidRPr="00803885" w:rsidRDefault="00602094" w:rsidP="008C4AC6">
            <w:pPr>
              <w:jc w:val="both"/>
              <w:rPr>
                <w:rFonts w:ascii="Lato" w:hAnsi="Lato" w:cs="Times New Roman"/>
                <w:sz w:val="20"/>
                <w:szCs w:val="20"/>
              </w:rPr>
            </w:pPr>
            <w:r w:rsidRPr="00602094">
              <w:rPr>
                <w:rFonts w:ascii="Lato" w:hAnsi="Lato" w:cs="Times New Roman"/>
                <w:sz w:val="20"/>
                <w:szCs w:val="20"/>
              </w:rPr>
              <w:t>Związek Pracodawców Polska Miedź</w:t>
            </w:r>
          </w:p>
        </w:tc>
        <w:tc>
          <w:tcPr>
            <w:tcW w:w="2268" w:type="dxa"/>
            <w:tcBorders>
              <w:top w:val="single" w:sz="4" w:space="0" w:color="A5A5A5"/>
              <w:left w:val="single" w:sz="4" w:space="0" w:color="A5A5A5"/>
              <w:bottom w:val="single" w:sz="4" w:space="0" w:color="A5A5A5"/>
              <w:right w:val="single" w:sz="4" w:space="0" w:color="A5A5A5"/>
            </w:tcBorders>
            <w:shd w:val="clear" w:color="auto" w:fill="auto"/>
          </w:tcPr>
          <w:p w14:paraId="43EC42A6" w14:textId="3CD944AC"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Ustawa z dnia 10 kwietnia 1997 r. - Prawo energetyczne (</w:t>
            </w:r>
            <w:proofErr w:type="spellStart"/>
            <w:r w:rsidRPr="00803885">
              <w:rPr>
                <w:rFonts w:ascii="Lato" w:hAnsi="Lato" w:cs="Calibri"/>
                <w:color w:val="000000"/>
                <w:sz w:val="20"/>
                <w:szCs w:val="20"/>
              </w:rPr>
              <w:t>t.j</w:t>
            </w:r>
            <w:proofErr w:type="spellEnd"/>
            <w:r w:rsidRPr="00803885">
              <w:rPr>
                <w:rFonts w:ascii="Lato" w:hAnsi="Lato" w:cs="Calibri"/>
                <w:color w:val="000000"/>
                <w:sz w:val="20"/>
                <w:szCs w:val="20"/>
              </w:rPr>
              <w:t>. Dz. U. z 2024 r. poz. 266 z późn. zm.) - art. 9d1</w:t>
            </w:r>
          </w:p>
        </w:tc>
        <w:tc>
          <w:tcPr>
            <w:tcW w:w="3686" w:type="dxa"/>
            <w:tcBorders>
              <w:top w:val="single" w:sz="4" w:space="0" w:color="A5A5A5"/>
              <w:left w:val="single" w:sz="4" w:space="0" w:color="A5A5A5"/>
              <w:bottom w:val="single" w:sz="4" w:space="0" w:color="A5A5A5"/>
              <w:right w:val="single" w:sz="4" w:space="0" w:color="A5A5A5"/>
            </w:tcBorders>
            <w:shd w:val="clear" w:color="auto" w:fill="auto"/>
          </w:tcPr>
          <w:p w14:paraId="6ED9BA6E" w14:textId="77777777" w:rsidR="008C4AC6" w:rsidRDefault="008C4AC6" w:rsidP="008C4AC6">
            <w:pPr>
              <w:jc w:val="both"/>
              <w:rPr>
                <w:rFonts w:ascii="Lato" w:hAnsi="Lato" w:cs="Calibri"/>
                <w:color w:val="000000"/>
                <w:sz w:val="20"/>
                <w:szCs w:val="20"/>
              </w:rPr>
            </w:pPr>
            <w:r w:rsidRPr="00803885">
              <w:rPr>
                <w:rFonts w:ascii="Lato" w:hAnsi="Lato" w:cs="Calibri"/>
                <w:color w:val="000000"/>
                <w:sz w:val="20"/>
                <w:szCs w:val="20"/>
              </w:rPr>
              <w:t>Ograniczenia dot. posiadania magazynu energii przez podmioty mające status OSD.</w:t>
            </w:r>
          </w:p>
          <w:p w14:paraId="6A5508A2" w14:textId="77777777" w:rsidR="008C4AC6" w:rsidRDefault="008C4AC6" w:rsidP="008C4AC6">
            <w:pPr>
              <w:jc w:val="both"/>
              <w:rPr>
                <w:rFonts w:ascii="Lato" w:hAnsi="Lato" w:cs="Calibri"/>
                <w:color w:val="000000"/>
                <w:sz w:val="20"/>
                <w:szCs w:val="20"/>
              </w:rPr>
            </w:pPr>
            <w:r w:rsidRPr="00803885">
              <w:rPr>
                <w:rFonts w:ascii="Lato" w:hAnsi="Lato" w:cs="Calibri"/>
                <w:color w:val="000000"/>
                <w:sz w:val="20"/>
                <w:szCs w:val="20"/>
              </w:rPr>
              <w:t>Podmioty mający status operatora co do zasady nie mogą posiadać magazynu energii, nawet jeśli działalność operatorska stanowi tylko uboczną część ich działalności podstawowej.</w:t>
            </w:r>
          </w:p>
          <w:p w14:paraId="6040EF31" w14:textId="77777777" w:rsidR="003A491F" w:rsidRDefault="003A491F" w:rsidP="008C4AC6">
            <w:pPr>
              <w:jc w:val="both"/>
              <w:rPr>
                <w:rFonts w:ascii="Lato" w:hAnsi="Lato" w:cs="Calibri"/>
                <w:color w:val="000000"/>
                <w:sz w:val="20"/>
                <w:szCs w:val="20"/>
              </w:rPr>
            </w:pPr>
          </w:p>
          <w:p w14:paraId="33DCE2FE" w14:textId="77777777" w:rsidR="003A491F" w:rsidRDefault="00DE597F" w:rsidP="008C4AC6">
            <w:pPr>
              <w:jc w:val="both"/>
              <w:rPr>
                <w:rFonts w:ascii="Lato" w:hAnsi="Lato" w:cs="Times New Roman"/>
                <w:sz w:val="20"/>
                <w:szCs w:val="20"/>
              </w:rPr>
            </w:pPr>
            <w:r w:rsidRPr="00DE597F">
              <w:rPr>
                <w:rFonts w:ascii="Lato" w:hAnsi="Lato" w:cs="Times New Roman"/>
                <w:sz w:val="20"/>
                <w:szCs w:val="20"/>
              </w:rPr>
              <w:t>Ustawodawca dodając w 2021 roku  w treści Prawa energetycznego przepis art. 9da istotnie ograniczył operatorom systemów dystrybucyjnych możliwość korzystania z magazynów energii. Zmiana ta podyktowana była koniecznością dostosowania krajowych przepisów do wymogu dyrektywy 2019/944</w:t>
            </w:r>
            <w:r>
              <w:rPr>
                <w:rFonts w:ascii="Lato" w:hAnsi="Lato" w:cs="Times New Roman"/>
                <w:sz w:val="20"/>
                <w:szCs w:val="20"/>
              </w:rPr>
              <w:t xml:space="preserve">. </w:t>
            </w:r>
          </w:p>
          <w:p w14:paraId="503360AA" w14:textId="77777777" w:rsidR="00BB5E8A" w:rsidRDefault="00BB5E8A" w:rsidP="008C4AC6">
            <w:pPr>
              <w:jc w:val="both"/>
              <w:rPr>
                <w:rFonts w:ascii="Lato" w:hAnsi="Lato" w:cs="Times New Roman"/>
                <w:sz w:val="20"/>
                <w:szCs w:val="20"/>
              </w:rPr>
            </w:pPr>
          </w:p>
          <w:p w14:paraId="60E486CB" w14:textId="5A5528B4" w:rsidR="00BB5E8A" w:rsidRPr="00BB5E8A" w:rsidRDefault="00786D82">
            <w:pPr>
              <w:jc w:val="both"/>
              <w:rPr>
                <w:rFonts w:ascii="Lato" w:hAnsi="Lato" w:cs="Times New Roman"/>
                <w:sz w:val="20"/>
                <w:szCs w:val="20"/>
              </w:rPr>
            </w:pPr>
            <w:r w:rsidRPr="00786D82">
              <w:rPr>
                <w:rFonts w:ascii="Lato" w:hAnsi="Lato" w:cs="Times New Roman"/>
                <w:sz w:val="20"/>
                <w:szCs w:val="20"/>
              </w:rPr>
              <w:t xml:space="preserve">Nie dokonano jednak pełnej implementacji przepisów dyrektywy. Spod ograniczeń dotyczących możliwości posiadania magazynów energii przez OSD nie zostali wyłączeni operatorzy zamkniętych systemów dystrybucyjnych, </w:t>
            </w:r>
            <w:r w:rsidRPr="00786D82">
              <w:rPr>
                <w:rFonts w:ascii="Lato" w:hAnsi="Lato" w:cs="Times New Roman"/>
                <w:b/>
                <w:bCs/>
                <w:sz w:val="20"/>
                <w:szCs w:val="20"/>
                <w:u w:val="single"/>
              </w:rPr>
              <w:t>mimo iż taką możliwość dopuszcza dyrektywa (art. 38 ust. 2 lit. e).</w:t>
            </w:r>
            <w:r w:rsidR="000624FA">
              <w:rPr>
                <w:rFonts w:ascii="Lato" w:hAnsi="Lato" w:cs="Times New Roman"/>
                <w:b/>
                <w:bCs/>
                <w:sz w:val="20"/>
                <w:szCs w:val="20"/>
                <w:u w:val="single"/>
              </w:rPr>
              <w:t xml:space="preserve"> </w:t>
            </w:r>
            <w:r w:rsidR="00BB5E8A" w:rsidRPr="00BB5E8A">
              <w:rPr>
                <w:rFonts w:ascii="Lato" w:hAnsi="Lato" w:cs="Times New Roman"/>
                <w:b/>
                <w:bCs/>
                <w:sz w:val="20"/>
                <w:szCs w:val="20"/>
              </w:rPr>
              <w:t>W konsekwencji wielu operatorów, którzy działalność dystrybucyjną prowadzą jedynie ubocznie wobec swojej podstawowej działalności, zostało bardzo mocno ograniczonych w zakresie możliwości korzystania z magazynów energii</w:t>
            </w:r>
            <w:r w:rsidR="00BB5E8A" w:rsidRPr="00BB5E8A">
              <w:rPr>
                <w:rFonts w:ascii="Lato" w:hAnsi="Lato" w:cs="Times New Roman"/>
                <w:sz w:val="20"/>
                <w:szCs w:val="20"/>
              </w:rPr>
              <w:t xml:space="preserve">. </w:t>
            </w:r>
            <w:r w:rsidR="00BB5E8A" w:rsidRPr="00BB5E8A">
              <w:rPr>
                <w:rFonts w:ascii="Lato" w:hAnsi="Lato" w:cs="Times New Roman"/>
                <w:b/>
                <w:bCs/>
                <w:sz w:val="20"/>
                <w:szCs w:val="20"/>
              </w:rPr>
              <w:t xml:space="preserve">Do tej grupy podmiotów należą m.in. zakłady energochłonne posiadające własne sieci dystrybucyjne. </w:t>
            </w:r>
            <w:r w:rsidR="00BB5E8A" w:rsidRPr="00BB5E8A">
              <w:rPr>
                <w:rFonts w:ascii="Lato" w:hAnsi="Lato" w:cs="Times New Roman"/>
                <w:sz w:val="20"/>
                <w:szCs w:val="20"/>
              </w:rPr>
              <w:t xml:space="preserve">Mimo iż podmioty te mają ogromny potencjał w </w:t>
            </w:r>
            <w:r w:rsidR="00BB5E8A" w:rsidRPr="00BB5E8A">
              <w:rPr>
                <w:rFonts w:ascii="Lato" w:hAnsi="Lato" w:cs="Times New Roman"/>
                <w:sz w:val="20"/>
                <w:szCs w:val="20"/>
              </w:rPr>
              <w:lastRenderedPageBreak/>
              <w:t xml:space="preserve">zakresie inwestowania w wielkoskalowe magazyny energii są one przez obecne regulacje w tym zakresie mocno ograniczone. Nie ma to zaś w zasadzie żadnego racjonalnego uzasadnienia. </w:t>
            </w:r>
          </w:p>
          <w:p w14:paraId="3A13FB01" w14:textId="77777777" w:rsidR="00BB5E8A" w:rsidRPr="00BB5E8A" w:rsidRDefault="00BB5E8A" w:rsidP="00BB5E8A">
            <w:pPr>
              <w:jc w:val="both"/>
              <w:rPr>
                <w:rFonts w:ascii="Lato" w:hAnsi="Lato" w:cs="Times New Roman"/>
                <w:sz w:val="20"/>
                <w:szCs w:val="20"/>
              </w:rPr>
            </w:pPr>
          </w:p>
          <w:p w14:paraId="2B91265D" w14:textId="77777777" w:rsidR="00BB5E8A" w:rsidRPr="00BB5E8A" w:rsidRDefault="00BB5E8A" w:rsidP="00BB5E8A">
            <w:pPr>
              <w:jc w:val="both"/>
              <w:rPr>
                <w:rFonts w:ascii="Lato" w:hAnsi="Lato" w:cs="Times New Roman"/>
                <w:sz w:val="20"/>
                <w:szCs w:val="20"/>
              </w:rPr>
            </w:pPr>
            <w:r w:rsidRPr="00BB5E8A">
              <w:rPr>
                <w:rFonts w:ascii="Lato" w:hAnsi="Lato" w:cs="Times New Roman"/>
                <w:sz w:val="20"/>
                <w:szCs w:val="20"/>
              </w:rPr>
              <w:t xml:space="preserve">Mając na uwadze, że magazyny energii mają odegrać istotną rolę w transformacji energetycznej państwa, w tym przez stabilizację KSE - </w:t>
            </w:r>
            <w:r w:rsidRPr="00BB5E8A">
              <w:rPr>
                <w:rFonts w:ascii="Lato" w:hAnsi="Lato" w:cs="Times New Roman"/>
                <w:b/>
                <w:bCs/>
                <w:sz w:val="20"/>
                <w:szCs w:val="20"/>
              </w:rPr>
              <w:t>zniesienie barier regulacyjnych dla wykorzystania magazynów energii</w:t>
            </w:r>
            <w:r w:rsidRPr="00BB5E8A">
              <w:rPr>
                <w:rFonts w:ascii="Lato" w:hAnsi="Lato" w:cs="Times New Roman"/>
                <w:sz w:val="20"/>
                <w:szCs w:val="20"/>
              </w:rPr>
              <w:t xml:space="preserve"> </w:t>
            </w:r>
            <w:r w:rsidRPr="00BB5E8A">
              <w:rPr>
                <w:rFonts w:ascii="Lato" w:hAnsi="Lato" w:cs="Times New Roman"/>
                <w:b/>
                <w:bCs/>
                <w:sz w:val="20"/>
                <w:szCs w:val="20"/>
              </w:rPr>
              <w:t>przez duże zakłady powinno być absolutnym priorytetem legislacyjnym.</w:t>
            </w:r>
          </w:p>
          <w:p w14:paraId="7A797ED2" w14:textId="77777777" w:rsidR="00BB5E8A" w:rsidRPr="00BB5E8A" w:rsidRDefault="00BB5E8A" w:rsidP="00BB5E8A">
            <w:pPr>
              <w:jc w:val="both"/>
              <w:rPr>
                <w:rFonts w:ascii="Lato" w:hAnsi="Lato" w:cs="Times New Roman"/>
                <w:sz w:val="20"/>
                <w:szCs w:val="20"/>
              </w:rPr>
            </w:pPr>
          </w:p>
          <w:p w14:paraId="59C5BA70" w14:textId="44638440" w:rsidR="00BB5E8A" w:rsidRPr="00803885" w:rsidRDefault="00BB5E8A" w:rsidP="00BB5E8A">
            <w:pPr>
              <w:jc w:val="both"/>
              <w:rPr>
                <w:rFonts w:ascii="Lato" w:hAnsi="Lato" w:cs="Times New Roman"/>
                <w:sz w:val="20"/>
                <w:szCs w:val="20"/>
              </w:rPr>
            </w:pPr>
            <w:r w:rsidRPr="00BB5E8A">
              <w:rPr>
                <w:rFonts w:ascii="Lato" w:hAnsi="Lato" w:cs="Times New Roman"/>
                <w:sz w:val="20"/>
                <w:szCs w:val="20"/>
              </w:rPr>
              <w:t>Wyłączenie spod ograniczenia przewidzianego w art. 9da PE zamkniętych systemów dystrybucyjnych może dać impuls dla dużych zakładów do uzyskania takiego statusu. Przyczyni się to też zwiększenia praktycznego znaczenia instytucji ZSD.</w:t>
            </w:r>
          </w:p>
        </w:tc>
        <w:tc>
          <w:tcPr>
            <w:tcW w:w="6662" w:type="dxa"/>
            <w:shd w:val="clear" w:color="auto" w:fill="auto"/>
          </w:tcPr>
          <w:p w14:paraId="5688914C" w14:textId="77777777" w:rsidR="008C4AC6" w:rsidRDefault="008C4AC6" w:rsidP="008C4AC6">
            <w:pPr>
              <w:jc w:val="both"/>
              <w:rPr>
                <w:rFonts w:ascii="Lato" w:hAnsi="Lato" w:cs="Calibri"/>
                <w:color w:val="000000"/>
                <w:sz w:val="20"/>
                <w:szCs w:val="20"/>
              </w:rPr>
            </w:pPr>
            <w:r w:rsidRPr="00803885">
              <w:rPr>
                <w:rFonts w:ascii="Lato" w:hAnsi="Lato" w:cs="Calibri"/>
                <w:color w:val="000000"/>
                <w:sz w:val="20"/>
                <w:szCs w:val="20"/>
              </w:rPr>
              <w:lastRenderedPageBreak/>
              <w:t>Proponuje się wyłączenie spod ograniczeń podmiotów, dla których działalność w zakresie dystrybucji energii elektrycznej nie jest przeważającą działalnością (mierzona przychodowo).</w:t>
            </w:r>
          </w:p>
          <w:p w14:paraId="0794F683" w14:textId="77777777" w:rsidR="008A13EB" w:rsidRDefault="008A13EB" w:rsidP="008C4AC6">
            <w:pPr>
              <w:jc w:val="both"/>
              <w:rPr>
                <w:rFonts w:ascii="Lato" w:hAnsi="Lato" w:cs="Calibri"/>
                <w:color w:val="000000"/>
                <w:sz w:val="20"/>
                <w:szCs w:val="20"/>
              </w:rPr>
            </w:pPr>
          </w:p>
          <w:p w14:paraId="18F07237" w14:textId="2868CABA" w:rsidR="004A5A9C" w:rsidRPr="004A5A9C" w:rsidRDefault="004A5A9C" w:rsidP="004A5A9C">
            <w:pPr>
              <w:jc w:val="both"/>
              <w:rPr>
                <w:rFonts w:ascii="Lato" w:hAnsi="Lato" w:cs="Times New Roman"/>
                <w:bCs/>
                <w:sz w:val="20"/>
                <w:szCs w:val="20"/>
              </w:rPr>
            </w:pPr>
            <w:r w:rsidRPr="004A5A9C">
              <w:rPr>
                <w:rFonts w:ascii="Lato" w:hAnsi="Lato" w:cs="Times New Roman"/>
                <w:bCs/>
                <w:sz w:val="20"/>
                <w:szCs w:val="20"/>
              </w:rPr>
              <w:t>[Dodanie nowego przepisu</w:t>
            </w:r>
            <w:r w:rsidR="000624FA">
              <w:rPr>
                <w:rFonts w:ascii="Lato" w:hAnsi="Lato" w:cs="Times New Roman"/>
                <w:bCs/>
                <w:sz w:val="20"/>
                <w:szCs w:val="20"/>
              </w:rPr>
              <w:t xml:space="preserve"> w art.</w:t>
            </w:r>
            <w:r w:rsidR="00C01684" w:rsidRPr="00C01684">
              <w:rPr>
                <w:rFonts w:ascii="Lato" w:hAnsi="Lato" w:cs="Times New Roman"/>
                <w:bCs/>
                <w:sz w:val="20"/>
                <w:szCs w:val="20"/>
              </w:rPr>
              <w:t xml:space="preserve"> 9d</w:t>
            </w:r>
            <w:r w:rsidR="00C01684" w:rsidRPr="00C01684">
              <w:rPr>
                <w:rFonts w:ascii="Lato" w:hAnsi="Lato" w:cs="Times New Roman"/>
                <w:bCs/>
                <w:sz w:val="20"/>
                <w:szCs w:val="20"/>
                <w:vertAlign w:val="superscript"/>
              </w:rPr>
              <w:t>1</w:t>
            </w:r>
            <w:r w:rsidR="00C01684">
              <w:rPr>
                <w:rFonts w:ascii="Lato" w:hAnsi="Lato" w:cs="Times New Roman"/>
                <w:bCs/>
                <w:sz w:val="20"/>
                <w:szCs w:val="20"/>
                <w:vertAlign w:val="superscript"/>
              </w:rPr>
              <w:t xml:space="preserve"> </w:t>
            </w:r>
            <w:r w:rsidR="00956206">
              <w:rPr>
                <w:rFonts w:ascii="Lato" w:hAnsi="Lato" w:cs="Times New Roman"/>
                <w:bCs/>
                <w:sz w:val="20"/>
                <w:szCs w:val="20"/>
              </w:rPr>
              <w:t>(u</w:t>
            </w:r>
            <w:r w:rsidR="00C01684" w:rsidRPr="00C01684">
              <w:rPr>
                <w:rFonts w:ascii="Lato" w:hAnsi="Lato" w:cs="Times New Roman"/>
                <w:bCs/>
                <w:sz w:val="20"/>
                <w:szCs w:val="20"/>
              </w:rPr>
              <w:t>st. 8</w:t>
            </w:r>
            <w:r w:rsidR="00956206">
              <w:rPr>
                <w:rFonts w:ascii="Lato" w:hAnsi="Lato" w:cs="Times New Roman"/>
                <w:bCs/>
                <w:sz w:val="20"/>
                <w:szCs w:val="20"/>
              </w:rPr>
              <w:t>)</w:t>
            </w:r>
            <w:r w:rsidR="00414F87">
              <w:rPr>
                <w:rFonts w:ascii="Lato" w:hAnsi="Lato" w:cs="Times New Roman"/>
                <w:bCs/>
                <w:sz w:val="20"/>
                <w:szCs w:val="20"/>
              </w:rPr>
              <w:t xml:space="preserve"> PE</w:t>
            </w:r>
            <w:r w:rsidRPr="004A5A9C">
              <w:rPr>
                <w:rFonts w:ascii="Lato" w:hAnsi="Lato" w:cs="Times New Roman"/>
                <w:bCs/>
                <w:sz w:val="20"/>
                <w:szCs w:val="20"/>
              </w:rPr>
              <w:t>]</w:t>
            </w:r>
          </w:p>
          <w:p w14:paraId="5B5A65DF" w14:textId="77777777" w:rsidR="004A5A9C" w:rsidRPr="004A5A9C" w:rsidRDefault="004A5A9C" w:rsidP="004A5A9C">
            <w:pPr>
              <w:jc w:val="both"/>
              <w:rPr>
                <w:rFonts w:ascii="Lato" w:hAnsi="Lato" w:cs="Times New Roman"/>
                <w:bCs/>
                <w:sz w:val="20"/>
                <w:szCs w:val="20"/>
              </w:rPr>
            </w:pPr>
          </w:p>
          <w:p w14:paraId="118E3641" w14:textId="3602F733" w:rsidR="008A13EB" w:rsidRPr="00414F87" w:rsidRDefault="004A5A9C" w:rsidP="004A5A9C">
            <w:pPr>
              <w:jc w:val="both"/>
              <w:rPr>
                <w:rFonts w:ascii="Lato" w:hAnsi="Lato" w:cs="Times New Roman"/>
                <w:b/>
                <w:sz w:val="20"/>
                <w:szCs w:val="20"/>
              </w:rPr>
            </w:pPr>
            <w:r w:rsidRPr="00414F87">
              <w:rPr>
                <w:rFonts w:ascii="Lato" w:hAnsi="Lato" w:cs="Times New Roman"/>
                <w:b/>
                <w:i/>
                <w:iCs/>
                <w:sz w:val="20"/>
                <w:szCs w:val="20"/>
              </w:rPr>
              <w:t>8. Przepisów ust. 1-7 nie stosuje się do operatorów zamkniętych systemów dystrybucyjnych.</w:t>
            </w:r>
          </w:p>
        </w:tc>
        <w:tc>
          <w:tcPr>
            <w:tcW w:w="1428" w:type="dxa"/>
          </w:tcPr>
          <w:p w14:paraId="17C40DBE" w14:textId="77777777" w:rsidR="008C4AC6" w:rsidRPr="00803885" w:rsidRDefault="008C4AC6" w:rsidP="008C4AC6">
            <w:pPr>
              <w:jc w:val="both"/>
              <w:rPr>
                <w:rFonts w:ascii="Lato" w:hAnsi="Lato" w:cs="Times New Roman"/>
                <w:sz w:val="20"/>
                <w:szCs w:val="20"/>
              </w:rPr>
            </w:pPr>
          </w:p>
        </w:tc>
      </w:tr>
      <w:tr w:rsidR="008C4AC6" w:rsidRPr="00803885" w14:paraId="597EDC07" w14:textId="77777777" w:rsidTr="00414F87">
        <w:tc>
          <w:tcPr>
            <w:tcW w:w="562" w:type="dxa"/>
          </w:tcPr>
          <w:p w14:paraId="513652BE" w14:textId="47758EE6" w:rsidR="008C4AC6" w:rsidRPr="00803885" w:rsidRDefault="00A41376" w:rsidP="008C4AC6">
            <w:pPr>
              <w:jc w:val="center"/>
              <w:rPr>
                <w:rFonts w:ascii="Lato" w:hAnsi="Lato" w:cs="Times New Roman"/>
                <w:sz w:val="20"/>
                <w:szCs w:val="20"/>
              </w:rPr>
            </w:pPr>
            <w:r>
              <w:rPr>
                <w:rFonts w:ascii="Lato" w:hAnsi="Lato" w:cs="Times New Roman"/>
                <w:sz w:val="20"/>
                <w:szCs w:val="20"/>
              </w:rPr>
              <w:t>7</w:t>
            </w:r>
          </w:p>
        </w:tc>
        <w:tc>
          <w:tcPr>
            <w:tcW w:w="1134" w:type="dxa"/>
          </w:tcPr>
          <w:p w14:paraId="2C112C99" w14:textId="4D5F378E" w:rsidR="008C4AC6" w:rsidRPr="00803885" w:rsidRDefault="00602094" w:rsidP="008C4AC6">
            <w:pPr>
              <w:jc w:val="both"/>
              <w:rPr>
                <w:rFonts w:ascii="Lato" w:hAnsi="Lato" w:cs="Times New Roman"/>
                <w:sz w:val="20"/>
                <w:szCs w:val="20"/>
              </w:rPr>
            </w:pPr>
            <w:r w:rsidRPr="00602094">
              <w:rPr>
                <w:rFonts w:ascii="Lato" w:hAnsi="Lato" w:cs="Times New Roman"/>
                <w:sz w:val="20"/>
                <w:szCs w:val="20"/>
              </w:rPr>
              <w:t>Związek Pracodawców Polska Miedź</w:t>
            </w:r>
          </w:p>
        </w:tc>
        <w:tc>
          <w:tcPr>
            <w:tcW w:w="2268" w:type="dxa"/>
            <w:tcBorders>
              <w:top w:val="single" w:sz="4" w:space="0" w:color="A5A5A5"/>
              <w:left w:val="single" w:sz="4" w:space="0" w:color="A5A5A5"/>
              <w:bottom w:val="single" w:sz="4" w:space="0" w:color="A5A5A5"/>
              <w:right w:val="single" w:sz="4" w:space="0" w:color="A5A5A5"/>
            </w:tcBorders>
            <w:shd w:val="clear" w:color="auto" w:fill="auto"/>
          </w:tcPr>
          <w:p w14:paraId="38733BF5" w14:textId="77777777" w:rsidR="008C4AC6" w:rsidRPr="00803885" w:rsidRDefault="008C4AC6" w:rsidP="008C4AC6">
            <w:pPr>
              <w:jc w:val="both"/>
              <w:rPr>
                <w:rFonts w:ascii="Lato" w:hAnsi="Lato" w:cs="Calibri"/>
                <w:color w:val="000000"/>
                <w:sz w:val="20"/>
                <w:szCs w:val="20"/>
              </w:rPr>
            </w:pPr>
            <w:r w:rsidRPr="00803885">
              <w:rPr>
                <w:rFonts w:ascii="Lato" w:hAnsi="Lato" w:cs="Calibri"/>
                <w:color w:val="000000"/>
                <w:sz w:val="20"/>
                <w:szCs w:val="20"/>
              </w:rPr>
              <w:t>Ustawa z dnia 10 kwietnia 1997 r. - Prawo energetyczne (</w:t>
            </w:r>
            <w:proofErr w:type="spellStart"/>
            <w:r w:rsidRPr="00803885">
              <w:rPr>
                <w:rFonts w:ascii="Lato" w:hAnsi="Lato" w:cs="Calibri"/>
                <w:color w:val="000000"/>
                <w:sz w:val="20"/>
                <w:szCs w:val="20"/>
              </w:rPr>
              <w:t>t.j</w:t>
            </w:r>
            <w:proofErr w:type="spellEnd"/>
            <w:r w:rsidRPr="00803885">
              <w:rPr>
                <w:rFonts w:ascii="Lato" w:hAnsi="Lato" w:cs="Calibri"/>
                <w:color w:val="000000"/>
                <w:sz w:val="20"/>
                <w:szCs w:val="20"/>
              </w:rPr>
              <w:t>. Dz. U. z 2024 r. poz. 266 z późn. zm.) - art. 7</w:t>
            </w:r>
          </w:p>
          <w:p w14:paraId="403822EB" w14:textId="77777777" w:rsidR="008C4AC6" w:rsidRPr="00803885" w:rsidRDefault="008C4AC6" w:rsidP="008C4AC6">
            <w:pPr>
              <w:jc w:val="both"/>
              <w:rPr>
                <w:rFonts w:ascii="Lato" w:hAnsi="Lato" w:cs="Calibri"/>
                <w:color w:val="000000"/>
                <w:sz w:val="20"/>
                <w:szCs w:val="20"/>
              </w:rPr>
            </w:pPr>
          </w:p>
          <w:p w14:paraId="29E8C0CD" w14:textId="37CFF6B4"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Rozporządzenie Ministra Klimatu i Środowiska z dnia 22 marca 2023 r. w sprawie szczegółowych warunków funkcjonowania systemu elektroenergetycznego (Dz. U. poz. 819 z późn. zm.) - § 4 ust. 3</w:t>
            </w:r>
          </w:p>
        </w:tc>
        <w:tc>
          <w:tcPr>
            <w:tcW w:w="3686" w:type="dxa"/>
            <w:tcBorders>
              <w:top w:val="single" w:sz="4" w:space="0" w:color="A5A5A5"/>
              <w:left w:val="single" w:sz="4" w:space="0" w:color="A5A5A5"/>
              <w:bottom w:val="single" w:sz="4" w:space="0" w:color="A5A5A5"/>
              <w:right w:val="single" w:sz="4" w:space="0" w:color="A5A5A5"/>
            </w:tcBorders>
            <w:shd w:val="clear" w:color="auto" w:fill="auto"/>
          </w:tcPr>
          <w:p w14:paraId="61393C6E" w14:textId="4A6FDC16"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Utrudnienia proceduralne związane z przyłączaniem przez OSDn źródeł OZE do własnej sieci dystrybucyjnej.</w:t>
            </w:r>
          </w:p>
        </w:tc>
        <w:tc>
          <w:tcPr>
            <w:tcW w:w="6662" w:type="dxa"/>
            <w:shd w:val="clear" w:color="auto" w:fill="auto"/>
          </w:tcPr>
          <w:p w14:paraId="6EED6514" w14:textId="77777777" w:rsidR="008C4AC6" w:rsidRPr="00803885" w:rsidRDefault="008C4AC6" w:rsidP="008C4AC6">
            <w:pPr>
              <w:jc w:val="both"/>
              <w:rPr>
                <w:rFonts w:ascii="Lato" w:hAnsi="Lato" w:cs="Calibri"/>
                <w:color w:val="000000"/>
                <w:sz w:val="20"/>
                <w:szCs w:val="20"/>
              </w:rPr>
            </w:pPr>
            <w:r w:rsidRPr="00803885">
              <w:rPr>
                <w:rFonts w:ascii="Lato" w:hAnsi="Lato" w:cs="Calibri"/>
                <w:color w:val="000000"/>
                <w:sz w:val="20"/>
                <w:szCs w:val="20"/>
              </w:rPr>
              <w:t>Postuluje się jasne rozstrzygnięcie na poziomie ustawy/rozporządzenia, że zawarcie umowy o przyłączenie istniejącej sieci OSDn do siec OSDp nie stanowi znaczącej modyfikacji w rozumieniu art. 4 ust. 1 NC DC (tj. istniejąca sieć nie jest obejmowana wymogami NC DC) jeżeli w ramach tej umowy nie jest zmieniana moc przyłączeniowa i przesądzenie, że w takim wypadku nie jest wymagane uzyskanie stanowisko Prezesa URE.</w:t>
            </w:r>
          </w:p>
          <w:p w14:paraId="244B94F9" w14:textId="4CD3F73F" w:rsidR="008C4AC6" w:rsidRPr="00803885" w:rsidRDefault="008C4AC6" w:rsidP="008C4AC6">
            <w:pPr>
              <w:jc w:val="both"/>
              <w:rPr>
                <w:rFonts w:ascii="Lato" w:hAnsi="Lato" w:cs="Calibri"/>
                <w:color w:val="000000"/>
                <w:sz w:val="20"/>
                <w:szCs w:val="20"/>
              </w:rPr>
            </w:pPr>
            <w:r w:rsidRPr="00803885">
              <w:rPr>
                <w:rFonts w:ascii="Lato" w:hAnsi="Lato" w:cs="Calibri"/>
                <w:color w:val="000000"/>
                <w:sz w:val="20"/>
                <w:szCs w:val="20"/>
              </w:rPr>
              <w:t>Uproszczenie procedur na wydawanie warunków przyłączenia w obrębie Operatora Systemu Dystrybucyjnego typu OSDn bez konieczności uzgadniania z OSDp w sytuacji założeniu braku wypływu mocy z przyłączanych źródeł do sieci operatora.</w:t>
            </w:r>
            <w:r>
              <w:rPr>
                <w:rFonts w:ascii="Lato" w:hAnsi="Lato" w:cs="Calibri"/>
                <w:color w:val="000000"/>
                <w:sz w:val="20"/>
                <w:szCs w:val="20"/>
              </w:rPr>
              <w:t xml:space="preserve"> </w:t>
            </w:r>
            <w:r w:rsidRPr="00803885">
              <w:rPr>
                <w:rFonts w:ascii="Lato" w:hAnsi="Lato" w:cs="Calibri"/>
                <w:color w:val="000000"/>
                <w:sz w:val="20"/>
                <w:szCs w:val="20"/>
              </w:rPr>
              <w:t xml:space="preserve">Zgodnie z obowiązującymi przepisami każde przyłączenie nowego źródła do sieci OSDn jest rozpatrywane przez OSDp jako zdarzenie wymagające uzyskania przez OSDn warunków przyłączenia do sieci OSDp. Wynika to z ogólnej regulacji zawartej w § 4 ust. 3 rozporządzenia Ministra Klimatu i Środowiska z dnia 22 marca 2023 r. w sprawie szczegółowych warunków funkcjonowania systemu elektroenergetycznego. Wymóg uzyskania przez OSDn  warunków przyłączenia do sieci OSDp wiąże się obecnie z koniecznością </w:t>
            </w:r>
            <w:r w:rsidRPr="00803885">
              <w:rPr>
                <w:rFonts w:ascii="Lato" w:hAnsi="Lato" w:cs="Calibri"/>
                <w:color w:val="000000"/>
                <w:sz w:val="20"/>
                <w:szCs w:val="20"/>
              </w:rPr>
              <w:lastRenderedPageBreak/>
              <w:t xml:space="preserve">przeprowadzenia procedury objęcia istniejącego systemu dystrybucyjnego przyłączonego do systemu innego niż system przesyłowy wymogami NC DC (art. 4 ust. 1 tego kodeksu sieciowego) i dokonania oceny istotności modyfikacji w sieci OSDn. </w:t>
            </w:r>
          </w:p>
          <w:p w14:paraId="6BD03E7F" w14:textId="029ECCBB"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Z uwagi na krajowe uwarunkowania prawne z zasadzie każdy przypadek wydania warunków przyłączenia związany jest z zawarciem umowy o przyłączenie – nawet jeśli w praktyce nie zmieniają się parametry współpracy sieci OSDp z siecią OSDn (np. w zakresie mocy wyprowadzanej z sieci OSDn). To z kolei oznacza, że w ocenę istotności modyfikacji zaangażowany musi zostać Prezes URE (zgodnie z art. 4 ust. 1 lit. a pkt ii NC DC). W praktyce wydłuża to proces przyłączeniowy o kilka miesięcy. Dzieje się tak również w przypadku przyłączeń, w których nie występuje istotne oddziaływanie sieci OSDn na sieć OSDp (np. brak wyprowadzania mocy z sieci OSDn).</w:t>
            </w:r>
          </w:p>
        </w:tc>
        <w:tc>
          <w:tcPr>
            <w:tcW w:w="1428" w:type="dxa"/>
          </w:tcPr>
          <w:p w14:paraId="2EFA759D" w14:textId="77777777" w:rsidR="008C4AC6" w:rsidRPr="00803885" w:rsidRDefault="008C4AC6" w:rsidP="008C4AC6">
            <w:pPr>
              <w:jc w:val="both"/>
              <w:rPr>
                <w:rFonts w:ascii="Lato" w:hAnsi="Lato" w:cs="Times New Roman"/>
                <w:sz w:val="20"/>
                <w:szCs w:val="20"/>
              </w:rPr>
            </w:pPr>
          </w:p>
        </w:tc>
      </w:tr>
      <w:tr w:rsidR="008C4AC6" w:rsidRPr="00803885" w14:paraId="50E6FC26" w14:textId="77777777" w:rsidTr="00414F87">
        <w:tc>
          <w:tcPr>
            <w:tcW w:w="562" w:type="dxa"/>
          </w:tcPr>
          <w:p w14:paraId="72CBEA22" w14:textId="03F7E094" w:rsidR="008C4AC6" w:rsidRPr="00803885" w:rsidRDefault="00A41376" w:rsidP="008C4AC6">
            <w:pPr>
              <w:jc w:val="center"/>
              <w:rPr>
                <w:rFonts w:ascii="Lato" w:hAnsi="Lato" w:cs="Times New Roman"/>
                <w:sz w:val="20"/>
                <w:szCs w:val="20"/>
              </w:rPr>
            </w:pPr>
            <w:r>
              <w:rPr>
                <w:rFonts w:ascii="Lato" w:hAnsi="Lato" w:cs="Times New Roman"/>
                <w:sz w:val="20"/>
                <w:szCs w:val="20"/>
              </w:rPr>
              <w:t>8</w:t>
            </w:r>
          </w:p>
        </w:tc>
        <w:tc>
          <w:tcPr>
            <w:tcW w:w="1134" w:type="dxa"/>
          </w:tcPr>
          <w:p w14:paraId="13E20248" w14:textId="6C09CE32" w:rsidR="008C4AC6" w:rsidRPr="00803885" w:rsidRDefault="00602094" w:rsidP="008C4AC6">
            <w:pPr>
              <w:jc w:val="both"/>
              <w:rPr>
                <w:rFonts w:ascii="Lato" w:hAnsi="Lato" w:cs="Times New Roman"/>
                <w:sz w:val="20"/>
                <w:szCs w:val="20"/>
              </w:rPr>
            </w:pPr>
            <w:r w:rsidRPr="00602094">
              <w:rPr>
                <w:rFonts w:ascii="Lato" w:hAnsi="Lato" w:cs="Times New Roman"/>
                <w:sz w:val="20"/>
                <w:szCs w:val="20"/>
              </w:rPr>
              <w:t>Związek Pracodawców Polska Miedź</w:t>
            </w:r>
          </w:p>
        </w:tc>
        <w:tc>
          <w:tcPr>
            <w:tcW w:w="2268" w:type="dxa"/>
            <w:tcBorders>
              <w:top w:val="single" w:sz="4" w:space="0" w:color="A5A5A5"/>
              <w:left w:val="single" w:sz="4" w:space="0" w:color="A5A5A5"/>
              <w:bottom w:val="single" w:sz="4" w:space="0" w:color="A5A5A5"/>
              <w:right w:val="single" w:sz="4" w:space="0" w:color="A5A5A5"/>
            </w:tcBorders>
            <w:shd w:val="clear" w:color="auto" w:fill="auto"/>
          </w:tcPr>
          <w:p w14:paraId="607E353C" w14:textId="1B392205"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Ustawa z dnia 10 kwietnia 1997 r. - Prawo energetyczne (</w:t>
            </w:r>
            <w:proofErr w:type="spellStart"/>
            <w:r w:rsidRPr="00803885">
              <w:rPr>
                <w:rFonts w:ascii="Lato" w:hAnsi="Lato" w:cs="Calibri"/>
                <w:color w:val="000000"/>
                <w:sz w:val="20"/>
                <w:szCs w:val="20"/>
              </w:rPr>
              <w:t>t.j</w:t>
            </w:r>
            <w:proofErr w:type="spellEnd"/>
            <w:r w:rsidRPr="00803885">
              <w:rPr>
                <w:rFonts w:ascii="Lato" w:hAnsi="Lato" w:cs="Calibri"/>
                <w:color w:val="000000"/>
                <w:sz w:val="20"/>
                <w:szCs w:val="20"/>
              </w:rPr>
              <w:t>. Dz. U. z 2024 r. poz. 266 z późn. zm.) - art. 49aa</w:t>
            </w:r>
          </w:p>
        </w:tc>
        <w:tc>
          <w:tcPr>
            <w:tcW w:w="3686" w:type="dxa"/>
            <w:tcBorders>
              <w:top w:val="single" w:sz="4" w:space="0" w:color="A5A5A5"/>
              <w:left w:val="single" w:sz="4" w:space="0" w:color="A5A5A5"/>
              <w:bottom w:val="single" w:sz="4" w:space="0" w:color="A5A5A5"/>
              <w:right w:val="single" w:sz="4" w:space="0" w:color="A5A5A5"/>
            </w:tcBorders>
            <w:shd w:val="clear" w:color="auto" w:fill="auto"/>
          </w:tcPr>
          <w:p w14:paraId="64CD17A9" w14:textId="405B1461"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Sprawozdawanie do URE każdej umowy sprzedaży energii elektrycznej zawartej w ramach grupy kapitałowej.</w:t>
            </w:r>
          </w:p>
        </w:tc>
        <w:tc>
          <w:tcPr>
            <w:tcW w:w="6662" w:type="dxa"/>
            <w:shd w:val="clear" w:color="auto" w:fill="auto"/>
          </w:tcPr>
          <w:p w14:paraId="2120E539" w14:textId="77777777" w:rsidR="008C4AC6" w:rsidRPr="00803885" w:rsidRDefault="008C4AC6" w:rsidP="008C4AC6">
            <w:pPr>
              <w:jc w:val="both"/>
              <w:rPr>
                <w:rFonts w:ascii="Lato" w:hAnsi="Lato" w:cs="Calibri"/>
                <w:color w:val="000000"/>
                <w:sz w:val="20"/>
                <w:szCs w:val="20"/>
              </w:rPr>
            </w:pPr>
            <w:r w:rsidRPr="00803885">
              <w:rPr>
                <w:rFonts w:ascii="Lato" w:hAnsi="Lato" w:cs="Calibri"/>
                <w:color w:val="000000"/>
                <w:sz w:val="20"/>
                <w:szCs w:val="20"/>
              </w:rPr>
              <w:t>Proponuje się ograniczenie obowiązku wyłącznie do raportowania umów, których przedmiotem jest sprzedaż energii w ramach grupy co najmniej 50 GWh/rocznie albo tylko do raportowania takich umów w grupach, których przeważającą działalnością gospodarczą jest działalność w zakresie wytwarzania energii elektrycznej.</w:t>
            </w:r>
          </w:p>
          <w:p w14:paraId="2B119892" w14:textId="06067389"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Obecne regulacje zobowiązują do zgłaszania do URE, każde przedsiębiorstwo energetyczne, które zajmuje się wytwarzaniem energii elektrycznej, pod groźbą kary, każdej umowy na podstawie na podstawie której takie przedsiębiorstwo sprzedaje, kupuje lub rozlicza energię elektryczną. W efekcie raportowaniu podlega formalnie nawet umowa zakupu energii elektrycznej z mikro czy małych instalacji OZE.</w:t>
            </w:r>
          </w:p>
        </w:tc>
        <w:tc>
          <w:tcPr>
            <w:tcW w:w="1428" w:type="dxa"/>
          </w:tcPr>
          <w:p w14:paraId="5D16DB46" w14:textId="77777777" w:rsidR="008C4AC6" w:rsidRPr="00803885" w:rsidRDefault="008C4AC6" w:rsidP="008C4AC6">
            <w:pPr>
              <w:jc w:val="both"/>
              <w:rPr>
                <w:rFonts w:ascii="Lato" w:hAnsi="Lato" w:cs="Times New Roman"/>
                <w:sz w:val="20"/>
                <w:szCs w:val="20"/>
              </w:rPr>
            </w:pPr>
          </w:p>
        </w:tc>
      </w:tr>
      <w:tr w:rsidR="008C4AC6" w:rsidRPr="00803885" w14:paraId="0B5199B1" w14:textId="77777777" w:rsidTr="00414F87">
        <w:tc>
          <w:tcPr>
            <w:tcW w:w="562" w:type="dxa"/>
          </w:tcPr>
          <w:p w14:paraId="486410FA" w14:textId="576F4B21" w:rsidR="008C4AC6" w:rsidRPr="00803885" w:rsidRDefault="00A41376" w:rsidP="008C4AC6">
            <w:pPr>
              <w:jc w:val="center"/>
              <w:rPr>
                <w:rFonts w:ascii="Lato" w:hAnsi="Lato" w:cs="Times New Roman"/>
                <w:sz w:val="20"/>
                <w:szCs w:val="20"/>
              </w:rPr>
            </w:pPr>
            <w:r>
              <w:rPr>
                <w:rFonts w:ascii="Lato" w:hAnsi="Lato" w:cs="Times New Roman"/>
                <w:sz w:val="20"/>
                <w:szCs w:val="20"/>
              </w:rPr>
              <w:t>9</w:t>
            </w:r>
          </w:p>
        </w:tc>
        <w:tc>
          <w:tcPr>
            <w:tcW w:w="1134" w:type="dxa"/>
          </w:tcPr>
          <w:p w14:paraId="41EC1220" w14:textId="1A6310E7" w:rsidR="008C4AC6" w:rsidRPr="00803885" w:rsidRDefault="00602094" w:rsidP="008C4AC6">
            <w:pPr>
              <w:jc w:val="both"/>
              <w:rPr>
                <w:rFonts w:ascii="Lato" w:hAnsi="Lato" w:cs="Times New Roman"/>
                <w:sz w:val="20"/>
                <w:szCs w:val="20"/>
              </w:rPr>
            </w:pPr>
            <w:r w:rsidRPr="00602094">
              <w:rPr>
                <w:rFonts w:ascii="Lato" w:hAnsi="Lato" w:cs="Times New Roman"/>
                <w:sz w:val="20"/>
                <w:szCs w:val="20"/>
              </w:rPr>
              <w:t>Związek Pracodawców Polska Miedź</w:t>
            </w:r>
          </w:p>
        </w:tc>
        <w:tc>
          <w:tcPr>
            <w:tcW w:w="2268" w:type="dxa"/>
            <w:tcBorders>
              <w:top w:val="single" w:sz="4" w:space="0" w:color="A5A5A5"/>
              <w:left w:val="single" w:sz="4" w:space="0" w:color="A5A5A5"/>
              <w:bottom w:val="single" w:sz="4" w:space="0" w:color="A5A5A5"/>
              <w:right w:val="single" w:sz="4" w:space="0" w:color="A5A5A5"/>
            </w:tcBorders>
            <w:shd w:val="clear" w:color="auto" w:fill="auto"/>
          </w:tcPr>
          <w:p w14:paraId="18801E29" w14:textId="79DADCE0"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Ustawa z dnia 10 kwietnia 1997 r. - Prawo energetyczne (</w:t>
            </w:r>
            <w:proofErr w:type="spellStart"/>
            <w:r w:rsidRPr="00803885">
              <w:rPr>
                <w:rFonts w:ascii="Lato" w:hAnsi="Lato" w:cs="Calibri"/>
                <w:color w:val="000000"/>
                <w:sz w:val="20"/>
                <w:szCs w:val="20"/>
              </w:rPr>
              <w:t>t.j</w:t>
            </w:r>
            <w:proofErr w:type="spellEnd"/>
            <w:r w:rsidRPr="00803885">
              <w:rPr>
                <w:rFonts w:ascii="Lato" w:hAnsi="Lato" w:cs="Calibri"/>
                <w:color w:val="000000"/>
                <w:sz w:val="20"/>
                <w:szCs w:val="20"/>
              </w:rPr>
              <w:t>. Dz. U. z 2024 r. poz. 266 z późn. zm.) - art. 5 ust. 11a</w:t>
            </w:r>
          </w:p>
        </w:tc>
        <w:tc>
          <w:tcPr>
            <w:tcW w:w="3686" w:type="dxa"/>
            <w:tcBorders>
              <w:top w:val="single" w:sz="4" w:space="0" w:color="A5A5A5"/>
              <w:left w:val="single" w:sz="4" w:space="0" w:color="A5A5A5"/>
              <w:bottom w:val="single" w:sz="4" w:space="0" w:color="A5A5A5"/>
              <w:right w:val="single" w:sz="4" w:space="0" w:color="A5A5A5"/>
            </w:tcBorders>
            <w:shd w:val="clear" w:color="auto" w:fill="auto"/>
          </w:tcPr>
          <w:p w14:paraId="0611B7C8" w14:textId="0129A5A8"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Sprawozdawanie do URE każdej umowy PPA.</w:t>
            </w:r>
          </w:p>
        </w:tc>
        <w:tc>
          <w:tcPr>
            <w:tcW w:w="6662" w:type="dxa"/>
            <w:shd w:val="clear" w:color="auto" w:fill="auto"/>
          </w:tcPr>
          <w:p w14:paraId="408AFF40" w14:textId="77777777" w:rsidR="008C4AC6" w:rsidRPr="00803885" w:rsidRDefault="008C4AC6" w:rsidP="008C4AC6">
            <w:pPr>
              <w:jc w:val="both"/>
              <w:rPr>
                <w:rFonts w:ascii="Lato" w:hAnsi="Lato" w:cs="Calibri"/>
                <w:color w:val="000000"/>
                <w:sz w:val="20"/>
                <w:szCs w:val="20"/>
              </w:rPr>
            </w:pPr>
            <w:r w:rsidRPr="00803885">
              <w:rPr>
                <w:rFonts w:ascii="Lato" w:hAnsi="Lato" w:cs="Calibri"/>
                <w:color w:val="000000"/>
                <w:sz w:val="20"/>
                <w:szCs w:val="20"/>
              </w:rPr>
              <w:t>Proponuje się całkowite zniesienie obowiązku lub ograniczenie raportowania tylko do umów PPA zawartych z odbiorcami końcowymi (niepowiązanymi kapitałowo z wytwórcą) oraz których przedmiotem jest sprzedaż co najmniej 50 GWh/rocznie.</w:t>
            </w:r>
          </w:p>
          <w:p w14:paraId="70C41F90" w14:textId="2F6F01BC"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Obecnie obowiązkowi zgłoszenia do URE podlega formalnie każda umowa sprzedaży energii elektrycznej wytworzonej w OZE (PPA), bez względu na ilość energii sprzedawanej.</w:t>
            </w:r>
          </w:p>
        </w:tc>
        <w:tc>
          <w:tcPr>
            <w:tcW w:w="1428" w:type="dxa"/>
          </w:tcPr>
          <w:p w14:paraId="2EFBC216" w14:textId="77777777" w:rsidR="008C4AC6" w:rsidRPr="00803885" w:rsidRDefault="008C4AC6" w:rsidP="008C4AC6">
            <w:pPr>
              <w:jc w:val="both"/>
              <w:rPr>
                <w:rFonts w:ascii="Lato" w:hAnsi="Lato" w:cs="Times New Roman"/>
                <w:sz w:val="20"/>
                <w:szCs w:val="20"/>
              </w:rPr>
            </w:pPr>
          </w:p>
        </w:tc>
      </w:tr>
      <w:tr w:rsidR="008C4AC6" w:rsidRPr="00803885" w14:paraId="332B7BF2" w14:textId="77777777" w:rsidTr="00414F87">
        <w:tc>
          <w:tcPr>
            <w:tcW w:w="562" w:type="dxa"/>
          </w:tcPr>
          <w:p w14:paraId="52DD7B66" w14:textId="63A2281F" w:rsidR="008C4AC6" w:rsidRPr="00803885" w:rsidRDefault="00A41376" w:rsidP="008C4AC6">
            <w:pPr>
              <w:jc w:val="center"/>
              <w:rPr>
                <w:rFonts w:ascii="Lato" w:hAnsi="Lato" w:cs="Times New Roman"/>
                <w:sz w:val="20"/>
                <w:szCs w:val="20"/>
              </w:rPr>
            </w:pPr>
            <w:r>
              <w:rPr>
                <w:rFonts w:ascii="Lato" w:hAnsi="Lato" w:cs="Times New Roman"/>
                <w:sz w:val="20"/>
                <w:szCs w:val="20"/>
              </w:rPr>
              <w:t>10</w:t>
            </w:r>
          </w:p>
        </w:tc>
        <w:tc>
          <w:tcPr>
            <w:tcW w:w="1134" w:type="dxa"/>
          </w:tcPr>
          <w:p w14:paraId="15D3CCF4" w14:textId="645F4A73" w:rsidR="008C4AC6" w:rsidRPr="00803885" w:rsidRDefault="00602094" w:rsidP="008C4AC6">
            <w:pPr>
              <w:jc w:val="both"/>
              <w:rPr>
                <w:rFonts w:ascii="Lato" w:hAnsi="Lato" w:cs="Times New Roman"/>
                <w:sz w:val="20"/>
                <w:szCs w:val="20"/>
              </w:rPr>
            </w:pPr>
            <w:r w:rsidRPr="00602094">
              <w:rPr>
                <w:rFonts w:ascii="Lato" w:hAnsi="Lato" w:cs="Times New Roman"/>
                <w:sz w:val="20"/>
                <w:szCs w:val="20"/>
              </w:rPr>
              <w:t>Związek Pracodawców Polska Miedź</w:t>
            </w:r>
          </w:p>
        </w:tc>
        <w:tc>
          <w:tcPr>
            <w:tcW w:w="2268" w:type="dxa"/>
            <w:tcBorders>
              <w:top w:val="single" w:sz="4" w:space="0" w:color="A5A5A5"/>
              <w:left w:val="single" w:sz="4" w:space="0" w:color="A5A5A5"/>
              <w:bottom w:val="single" w:sz="4" w:space="0" w:color="A5A5A5"/>
              <w:right w:val="single" w:sz="4" w:space="0" w:color="A5A5A5"/>
            </w:tcBorders>
            <w:shd w:val="clear" w:color="auto" w:fill="auto"/>
          </w:tcPr>
          <w:p w14:paraId="796A5865" w14:textId="5C586D04"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Ustawa z dnia 10 kwietnia 1997 r. - Prawo energetyczne (</w:t>
            </w:r>
            <w:proofErr w:type="spellStart"/>
            <w:r w:rsidRPr="00803885">
              <w:rPr>
                <w:rFonts w:ascii="Lato" w:hAnsi="Lato" w:cs="Calibri"/>
                <w:color w:val="000000"/>
                <w:sz w:val="20"/>
                <w:szCs w:val="20"/>
              </w:rPr>
              <w:t>t.j</w:t>
            </w:r>
            <w:proofErr w:type="spellEnd"/>
            <w:r w:rsidRPr="00803885">
              <w:rPr>
                <w:rFonts w:ascii="Lato" w:hAnsi="Lato" w:cs="Calibri"/>
                <w:color w:val="000000"/>
                <w:sz w:val="20"/>
                <w:szCs w:val="20"/>
              </w:rPr>
              <w:t>. Dz. U. z 2024 r. poz. 266 z późn. zm.) - art. 31g</w:t>
            </w:r>
          </w:p>
        </w:tc>
        <w:tc>
          <w:tcPr>
            <w:tcW w:w="3686" w:type="dxa"/>
            <w:tcBorders>
              <w:top w:val="single" w:sz="4" w:space="0" w:color="A5A5A5"/>
              <w:left w:val="single" w:sz="4" w:space="0" w:color="A5A5A5"/>
              <w:bottom w:val="single" w:sz="4" w:space="0" w:color="A5A5A5"/>
              <w:right w:val="single" w:sz="4" w:space="0" w:color="A5A5A5"/>
            </w:tcBorders>
            <w:shd w:val="clear" w:color="auto" w:fill="auto"/>
          </w:tcPr>
          <w:p w14:paraId="7FCE1DE3" w14:textId="35C4DE65"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Obowiązek przekazywania Prezesowi URE informacji o każdej zmianie oferty sprzedaży energii elektrycznej skierowanej do odbiorców energii elektrycznej w gospodarstwie domowym i mikroprzedsiębiorców o przewidywanym rocznym zużyciu poniżej 100 000 kWh.</w:t>
            </w:r>
          </w:p>
        </w:tc>
        <w:tc>
          <w:tcPr>
            <w:tcW w:w="6662" w:type="dxa"/>
            <w:shd w:val="clear" w:color="auto" w:fill="auto"/>
          </w:tcPr>
          <w:p w14:paraId="215D8FC4" w14:textId="50A247B6"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Zwolnienie z obowiązku przekazywania do porównywarki ofert – w odniesieniu do sprzedawców energii elektrycznej – przedsiębiorstw zintegrowanych pionowo – jeżeli liczba ich odbiorców nie przekracza 500.</w:t>
            </w:r>
          </w:p>
        </w:tc>
        <w:tc>
          <w:tcPr>
            <w:tcW w:w="1428" w:type="dxa"/>
          </w:tcPr>
          <w:p w14:paraId="1D612740" w14:textId="77777777" w:rsidR="008C4AC6" w:rsidRPr="00803885" w:rsidRDefault="008C4AC6" w:rsidP="008C4AC6">
            <w:pPr>
              <w:jc w:val="both"/>
              <w:rPr>
                <w:rFonts w:ascii="Lato" w:hAnsi="Lato" w:cs="Times New Roman"/>
                <w:sz w:val="20"/>
                <w:szCs w:val="20"/>
              </w:rPr>
            </w:pPr>
          </w:p>
        </w:tc>
      </w:tr>
      <w:tr w:rsidR="008C4AC6" w:rsidRPr="00803885" w14:paraId="3AE3D849" w14:textId="77777777" w:rsidTr="00414F87">
        <w:tc>
          <w:tcPr>
            <w:tcW w:w="562" w:type="dxa"/>
          </w:tcPr>
          <w:p w14:paraId="72EA4C47" w14:textId="5EEA261F" w:rsidR="008C4AC6" w:rsidRPr="00803885" w:rsidRDefault="00A41376" w:rsidP="008C4AC6">
            <w:pPr>
              <w:jc w:val="center"/>
              <w:rPr>
                <w:rFonts w:ascii="Lato" w:hAnsi="Lato" w:cs="Times New Roman"/>
                <w:sz w:val="20"/>
                <w:szCs w:val="20"/>
              </w:rPr>
            </w:pPr>
            <w:r>
              <w:rPr>
                <w:rFonts w:ascii="Lato" w:hAnsi="Lato" w:cs="Times New Roman"/>
                <w:sz w:val="20"/>
                <w:szCs w:val="20"/>
              </w:rPr>
              <w:lastRenderedPageBreak/>
              <w:t>11</w:t>
            </w:r>
          </w:p>
        </w:tc>
        <w:tc>
          <w:tcPr>
            <w:tcW w:w="1134" w:type="dxa"/>
          </w:tcPr>
          <w:p w14:paraId="217D3F9F" w14:textId="09FAE61C" w:rsidR="008C4AC6" w:rsidRPr="00803885" w:rsidRDefault="00602094" w:rsidP="008C4AC6">
            <w:pPr>
              <w:jc w:val="both"/>
              <w:rPr>
                <w:rFonts w:ascii="Lato" w:hAnsi="Lato" w:cs="Times New Roman"/>
                <w:sz w:val="20"/>
                <w:szCs w:val="20"/>
              </w:rPr>
            </w:pPr>
            <w:r w:rsidRPr="00602094">
              <w:rPr>
                <w:rFonts w:ascii="Lato" w:hAnsi="Lato" w:cs="Times New Roman"/>
                <w:sz w:val="20"/>
                <w:szCs w:val="20"/>
              </w:rPr>
              <w:t>Związek Pracodawców Polska Miedź</w:t>
            </w:r>
          </w:p>
        </w:tc>
        <w:tc>
          <w:tcPr>
            <w:tcW w:w="2268" w:type="dxa"/>
            <w:tcBorders>
              <w:top w:val="single" w:sz="4" w:space="0" w:color="A5A5A5"/>
              <w:left w:val="single" w:sz="4" w:space="0" w:color="A5A5A5"/>
              <w:bottom w:val="single" w:sz="4" w:space="0" w:color="A5A5A5"/>
              <w:right w:val="single" w:sz="4" w:space="0" w:color="A5A5A5"/>
            </w:tcBorders>
            <w:shd w:val="clear" w:color="auto" w:fill="auto"/>
          </w:tcPr>
          <w:p w14:paraId="5CFE8C1B" w14:textId="475B252B"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Ustawa z dnia 10 kwietnia 1997 r. - Prawo energetyczne (</w:t>
            </w:r>
            <w:proofErr w:type="spellStart"/>
            <w:r w:rsidRPr="00803885">
              <w:rPr>
                <w:rFonts w:ascii="Lato" w:hAnsi="Lato" w:cs="Calibri"/>
                <w:color w:val="000000"/>
                <w:sz w:val="20"/>
                <w:szCs w:val="20"/>
              </w:rPr>
              <w:t>t.j</w:t>
            </w:r>
            <w:proofErr w:type="spellEnd"/>
            <w:r w:rsidRPr="00803885">
              <w:rPr>
                <w:rFonts w:ascii="Lato" w:hAnsi="Lato" w:cs="Calibri"/>
                <w:color w:val="000000"/>
                <w:sz w:val="20"/>
                <w:szCs w:val="20"/>
              </w:rPr>
              <w:t>. Dz. U. z 2024 r. poz. 266 z późn. zm.) - art. 7aa ust. 4</w:t>
            </w:r>
          </w:p>
        </w:tc>
        <w:tc>
          <w:tcPr>
            <w:tcW w:w="3686" w:type="dxa"/>
            <w:tcBorders>
              <w:top w:val="single" w:sz="4" w:space="0" w:color="A5A5A5"/>
              <w:left w:val="single" w:sz="4" w:space="0" w:color="A5A5A5"/>
              <w:bottom w:val="single" w:sz="4" w:space="0" w:color="A5A5A5"/>
              <w:right w:val="single" w:sz="4" w:space="0" w:color="A5A5A5"/>
            </w:tcBorders>
            <w:shd w:val="clear" w:color="auto" w:fill="auto"/>
          </w:tcPr>
          <w:p w14:paraId="2C51BD61" w14:textId="5C94A3A7"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Obciążenie energii dostarczanej linią bezpośrednią opłatą solidarnościową.</w:t>
            </w:r>
          </w:p>
        </w:tc>
        <w:tc>
          <w:tcPr>
            <w:tcW w:w="6662" w:type="dxa"/>
            <w:shd w:val="clear" w:color="auto" w:fill="auto"/>
          </w:tcPr>
          <w:p w14:paraId="7CA5F6B7" w14:textId="77777777" w:rsidR="008C4AC6" w:rsidRPr="00803885" w:rsidRDefault="008C4AC6" w:rsidP="008C4AC6">
            <w:pPr>
              <w:jc w:val="both"/>
              <w:rPr>
                <w:rFonts w:ascii="Lato" w:hAnsi="Lato" w:cs="Calibri"/>
                <w:color w:val="000000"/>
                <w:sz w:val="20"/>
                <w:szCs w:val="20"/>
              </w:rPr>
            </w:pPr>
            <w:r w:rsidRPr="00803885">
              <w:rPr>
                <w:rFonts w:ascii="Lato" w:hAnsi="Lato" w:cs="Calibri"/>
                <w:color w:val="000000"/>
                <w:sz w:val="20"/>
                <w:szCs w:val="20"/>
              </w:rPr>
              <w:t>Wskazane jest zniesienie opłaty solidarnościowej, ewentualnie ograniczenie naliczania składnika zmiennego stawki sieciowej tylko do sytuacji gdy odbiorca w związku z realizacją linii bezpośredniej obniży moc zamawianą u operatora systemu dystrybucyjnego, do którego sieci jest przyłączony w stosunku do średniej mocy obowiązującej tego odbiorcę w ostatnich 36 miesiącach.</w:t>
            </w:r>
          </w:p>
          <w:p w14:paraId="56DAF659" w14:textId="05F6D660"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Zmiana definicji linii bezpośredniej w Prawie energetycznym - otworzyła prawnie tę „instytucję” dla dużych odbiorców energochłonnych. Umożliwia ona obecnie zawieranie korporacyjnych PPA w formule on-</w:t>
            </w:r>
            <w:proofErr w:type="spellStart"/>
            <w:r w:rsidRPr="00803885">
              <w:rPr>
                <w:rFonts w:ascii="Lato" w:hAnsi="Lato" w:cs="Calibri"/>
                <w:color w:val="000000"/>
                <w:sz w:val="20"/>
                <w:szCs w:val="20"/>
              </w:rPr>
              <w:t>site</w:t>
            </w:r>
            <w:proofErr w:type="spellEnd"/>
            <w:r w:rsidRPr="00803885">
              <w:rPr>
                <w:rFonts w:ascii="Lato" w:hAnsi="Lato" w:cs="Calibri"/>
                <w:color w:val="000000"/>
                <w:sz w:val="20"/>
                <w:szCs w:val="20"/>
              </w:rPr>
              <w:t xml:space="preserve"> – bez konieczności wykorzystania do przyłączenia sieci dystrybucyjnej. Opłacalność zawierania takich kontraktów znacząco jest jednak ograniczona przez tzw. opłatę solidarnościową . Opłata ta aktualnie odpowiada stawce jakościowej oraz połowie wysokości składnika zmiennego stawki sieciowej – operatora, do którego sieci przyłączony jest odbiorca korzystający z linii bezpośredniej.</w:t>
            </w:r>
          </w:p>
        </w:tc>
        <w:tc>
          <w:tcPr>
            <w:tcW w:w="1428" w:type="dxa"/>
          </w:tcPr>
          <w:p w14:paraId="29299272" w14:textId="77777777" w:rsidR="008C4AC6" w:rsidRPr="00803885" w:rsidRDefault="008C4AC6" w:rsidP="008C4AC6">
            <w:pPr>
              <w:jc w:val="both"/>
              <w:rPr>
                <w:rFonts w:ascii="Lato" w:hAnsi="Lato" w:cs="Times New Roman"/>
                <w:sz w:val="20"/>
                <w:szCs w:val="20"/>
              </w:rPr>
            </w:pPr>
          </w:p>
        </w:tc>
      </w:tr>
      <w:tr w:rsidR="008C4AC6" w:rsidRPr="00803885" w14:paraId="5A546201" w14:textId="77777777" w:rsidTr="00414F87">
        <w:tc>
          <w:tcPr>
            <w:tcW w:w="562" w:type="dxa"/>
          </w:tcPr>
          <w:p w14:paraId="0F1D7893" w14:textId="57C54C93" w:rsidR="008C4AC6" w:rsidRPr="00803885" w:rsidRDefault="00A41376" w:rsidP="008C4AC6">
            <w:pPr>
              <w:jc w:val="center"/>
              <w:rPr>
                <w:rFonts w:ascii="Lato" w:hAnsi="Lato" w:cs="Times New Roman"/>
                <w:sz w:val="20"/>
                <w:szCs w:val="20"/>
              </w:rPr>
            </w:pPr>
            <w:r>
              <w:rPr>
                <w:rFonts w:ascii="Lato" w:hAnsi="Lato" w:cs="Times New Roman"/>
                <w:sz w:val="20"/>
                <w:szCs w:val="20"/>
              </w:rPr>
              <w:t>12</w:t>
            </w:r>
          </w:p>
        </w:tc>
        <w:tc>
          <w:tcPr>
            <w:tcW w:w="1134" w:type="dxa"/>
          </w:tcPr>
          <w:p w14:paraId="78A76741" w14:textId="727684AA" w:rsidR="008C4AC6" w:rsidRPr="00803885" w:rsidRDefault="00602094" w:rsidP="008C4AC6">
            <w:pPr>
              <w:jc w:val="both"/>
              <w:rPr>
                <w:rFonts w:ascii="Lato" w:hAnsi="Lato" w:cs="Times New Roman"/>
                <w:sz w:val="20"/>
                <w:szCs w:val="20"/>
              </w:rPr>
            </w:pPr>
            <w:r w:rsidRPr="00602094">
              <w:rPr>
                <w:rFonts w:ascii="Lato" w:hAnsi="Lato" w:cs="Times New Roman"/>
                <w:sz w:val="20"/>
                <w:szCs w:val="20"/>
              </w:rPr>
              <w:t>Związek Pracodawców Polska Miedź</w:t>
            </w:r>
          </w:p>
        </w:tc>
        <w:tc>
          <w:tcPr>
            <w:tcW w:w="2268" w:type="dxa"/>
            <w:tcBorders>
              <w:top w:val="single" w:sz="4" w:space="0" w:color="A5A5A5"/>
              <w:left w:val="single" w:sz="4" w:space="0" w:color="A5A5A5"/>
              <w:bottom w:val="single" w:sz="4" w:space="0" w:color="A5A5A5"/>
              <w:right w:val="single" w:sz="4" w:space="0" w:color="A5A5A5"/>
            </w:tcBorders>
            <w:shd w:val="clear" w:color="auto" w:fill="auto"/>
          </w:tcPr>
          <w:p w14:paraId="4931303C" w14:textId="0EADBFFC"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Ustawa z dnia 20 maja 2016 r. o efektywności energetycznej (</w:t>
            </w:r>
            <w:proofErr w:type="spellStart"/>
            <w:r w:rsidRPr="00803885">
              <w:rPr>
                <w:rFonts w:ascii="Lato" w:hAnsi="Lato" w:cs="Calibri"/>
                <w:color w:val="000000"/>
                <w:sz w:val="20"/>
                <w:szCs w:val="20"/>
              </w:rPr>
              <w:t>t.j</w:t>
            </w:r>
            <w:proofErr w:type="spellEnd"/>
            <w:r w:rsidRPr="00803885">
              <w:rPr>
                <w:rFonts w:ascii="Lato" w:hAnsi="Lato" w:cs="Calibri"/>
                <w:color w:val="000000"/>
                <w:sz w:val="20"/>
                <w:szCs w:val="20"/>
              </w:rPr>
              <w:t>. Dz. U. z 2021 r. poz. 2166 z późn. zm.) - art. 10 ust. 1</w:t>
            </w:r>
          </w:p>
        </w:tc>
        <w:tc>
          <w:tcPr>
            <w:tcW w:w="3686" w:type="dxa"/>
            <w:tcBorders>
              <w:top w:val="single" w:sz="4" w:space="0" w:color="A5A5A5"/>
              <w:left w:val="single" w:sz="4" w:space="0" w:color="A5A5A5"/>
              <w:bottom w:val="single" w:sz="4" w:space="0" w:color="A5A5A5"/>
              <w:right w:val="single" w:sz="4" w:space="0" w:color="A5A5A5"/>
            </w:tcBorders>
            <w:shd w:val="clear" w:color="auto" w:fill="auto"/>
          </w:tcPr>
          <w:p w14:paraId="7F143EF1" w14:textId="25D6923B"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Brak możliwości umarzania białych certyfikatów przez odbiorcę przemysłowego.</w:t>
            </w:r>
          </w:p>
        </w:tc>
        <w:tc>
          <w:tcPr>
            <w:tcW w:w="6662" w:type="dxa"/>
            <w:tcBorders>
              <w:top w:val="single" w:sz="4" w:space="0" w:color="A5A5A5"/>
              <w:left w:val="single" w:sz="4" w:space="0" w:color="A5A5A5"/>
              <w:bottom w:val="single" w:sz="4" w:space="0" w:color="A5A5A5"/>
              <w:right w:val="single" w:sz="4" w:space="0" w:color="A5A5A5"/>
            </w:tcBorders>
            <w:shd w:val="clear" w:color="auto" w:fill="auto"/>
          </w:tcPr>
          <w:p w14:paraId="1148E584" w14:textId="77777777" w:rsidR="00B66CE8" w:rsidRDefault="008C4AC6" w:rsidP="008C4AC6">
            <w:pPr>
              <w:jc w:val="both"/>
              <w:rPr>
                <w:rFonts w:ascii="Lato" w:hAnsi="Lato" w:cs="Calibri"/>
                <w:color w:val="000000"/>
                <w:sz w:val="20"/>
                <w:szCs w:val="20"/>
              </w:rPr>
            </w:pPr>
            <w:r w:rsidRPr="00803885">
              <w:rPr>
                <w:rFonts w:ascii="Lato" w:hAnsi="Lato" w:cs="Calibri"/>
                <w:color w:val="000000"/>
                <w:sz w:val="20"/>
                <w:szCs w:val="20"/>
              </w:rPr>
              <w:t xml:space="preserve">Umożliwienie odbiorcom przemysłowym, o których mowa w art. 52 ust. 1 pkt 1 ustawy o OZE samodzielne rozliczanie obowiązku wynikającego z art. 10 ust. 1 ustawy o efektywności energetycznej, w odniesieniu do energii nabywanej na użytek własny (świadectw efektywności energetycznej). </w:t>
            </w:r>
          </w:p>
          <w:p w14:paraId="46BF98E3" w14:textId="50A2D16B"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 xml:space="preserve">Uprości to kontraktowanie energii w ramach fizycznych </w:t>
            </w:r>
            <w:proofErr w:type="spellStart"/>
            <w:r w:rsidRPr="00803885">
              <w:rPr>
                <w:rFonts w:ascii="Lato" w:hAnsi="Lato" w:cs="Calibri"/>
                <w:color w:val="000000"/>
                <w:sz w:val="20"/>
                <w:szCs w:val="20"/>
              </w:rPr>
              <w:t>cPPA</w:t>
            </w:r>
            <w:proofErr w:type="spellEnd"/>
            <w:r w:rsidRPr="00803885">
              <w:rPr>
                <w:rFonts w:ascii="Lato" w:hAnsi="Lato" w:cs="Calibri"/>
                <w:color w:val="000000"/>
                <w:sz w:val="20"/>
                <w:szCs w:val="20"/>
              </w:rPr>
              <w:t>, poprzez umożliwienie ustalania w takim kontrakcie wyłącznie ceny energii konwencjonalnej (tzw. energii czarnej).</w:t>
            </w:r>
            <w:r w:rsidR="00B66CE8">
              <w:rPr>
                <w:rFonts w:ascii="Lato" w:hAnsi="Lato" w:cs="Calibri"/>
                <w:color w:val="000000"/>
                <w:sz w:val="20"/>
                <w:szCs w:val="20"/>
              </w:rPr>
              <w:t xml:space="preserve"> </w:t>
            </w:r>
            <w:r w:rsidRPr="00803885">
              <w:rPr>
                <w:rFonts w:ascii="Lato" w:hAnsi="Lato" w:cs="Calibri"/>
                <w:color w:val="000000"/>
                <w:sz w:val="20"/>
                <w:szCs w:val="20"/>
              </w:rPr>
              <w:t xml:space="preserve">W aktualnym stanie prawnym na wytwórcy energii elektrycznej spoczywa obowiązek umarzania świadectw efektywności energetycznej powiązany ze sprzedażą energii elektrycznej do odbiorcy końcowego. Jest to jedyny obowiązek regulacyjny obciążający sprzedaż energii elektrycznej, którego wykonanie nie może zostać przeniesione (ze sprzedawcy-wytwórcy) na odbiorcę przemysłowego. W przypadku obowiązku umarzania świadectw pochodzenia energii z OZE oraz z biogazu, odbiorca przemysłowy ma możliwość samodzielnego rozliczenia tego obowiązku. Odbiorcy przemysłowi posiadający koncesję, mają także możliwość samodzielnego rozliczania akcyzy od energii nabywanej na użytek własny. Tylko zatem obowiązek umarzania tzw. białych certyfikatów pozostaje bezwzględnie przy sprzedawcy. Jest to realne utrudnienie w kontraktowaniu energii w formule </w:t>
            </w:r>
            <w:proofErr w:type="spellStart"/>
            <w:r w:rsidRPr="00803885">
              <w:rPr>
                <w:rFonts w:ascii="Lato" w:hAnsi="Lato" w:cs="Calibri"/>
                <w:color w:val="000000"/>
                <w:sz w:val="20"/>
                <w:szCs w:val="20"/>
              </w:rPr>
              <w:t>cPPA</w:t>
            </w:r>
            <w:proofErr w:type="spellEnd"/>
            <w:r w:rsidRPr="00803885">
              <w:rPr>
                <w:rFonts w:ascii="Lato" w:hAnsi="Lato" w:cs="Calibri"/>
                <w:color w:val="000000"/>
                <w:sz w:val="20"/>
                <w:szCs w:val="20"/>
              </w:rPr>
              <w:t>.</w:t>
            </w:r>
          </w:p>
        </w:tc>
        <w:tc>
          <w:tcPr>
            <w:tcW w:w="1428" w:type="dxa"/>
          </w:tcPr>
          <w:p w14:paraId="3F5927B0" w14:textId="77777777" w:rsidR="008C4AC6" w:rsidRPr="00803885" w:rsidRDefault="008C4AC6" w:rsidP="008C4AC6">
            <w:pPr>
              <w:jc w:val="both"/>
              <w:rPr>
                <w:rFonts w:ascii="Lato" w:hAnsi="Lato" w:cs="Times New Roman"/>
                <w:sz w:val="20"/>
                <w:szCs w:val="20"/>
              </w:rPr>
            </w:pPr>
          </w:p>
        </w:tc>
      </w:tr>
      <w:tr w:rsidR="008C4AC6" w:rsidRPr="00803885" w14:paraId="536D2777" w14:textId="77777777" w:rsidTr="00414F87">
        <w:tc>
          <w:tcPr>
            <w:tcW w:w="562" w:type="dxa"/>
          </w:tcPr>
          <w:p w14:paraId="13BEC75A" w14:textId="05BBF316" w:rsidR="008C4AC6" w:rsidRPr="00803885" w:rsidRDefault="008C4AC6" w:rsidP="008C4AC6">
            <w:pPr>
              <w:jc w:val="center"/>
              <w:rPr>
                <w:rFonts w:ascii="Lato" w:hAnsi="Lato" w:cs="Times New Roman"/>
                <w:sz w:val="20"/>
                <w:szCs w:val="20"/>
              </w:rPr>
            </w:pPr>
            <w:r>
              <w:rPr>
                <w:rFonts w:ascii="Lato" w:hAnsi="Lato" w:cs="Times New Roman"/>
                <w:sz w:val="20"/>
                <w:szCs w:val="20"/>
              </w:rPr>
              <w:t>1</w:t>
            </w:r>
            <w:r w:rsidR="006C6256">
              <w:rPr>
                <w:rFonts w:ascii="Lato" w:hAnsi="Lato" w:cs="Times New Roman"/>
                <w:sz w:val="20"/>
                <w:szCs w:val="20"/>
              </w:rPr>
              <w:t>3</w:t>
            </w:r>
          </w:p>
        </w:tc>
        <w:tc>
          <w:tcPr>
            <w:tcW w:w="1134" w:type="dxa"/>
          </w:tcPr>
          <w:p w14:paraId="18F293CA" w14:textId="63A1AC3A" w:rsidR="008C4AC6" w:rsidRPr="00803885" w:rsidRDefault="00602094" w:rsidP="008C4AC6">
            <w:pPr>
              <w:jc w:val="both"/>
              <w:rPr>
                <w:rFonts w:ascii="Lato" w:hAnsi="Lato" w:cs="Times New Roman"/>
                <w:sz w:val="20"/>
                <w:szCs w:val="20"/>
              </w:rPr>
            </w:pPr>
            <w:r w:rsidRPr="00602094">
              <w:rPr>
                <w:rFonts w:ascii="Lato" w:hAnsi="Lato" w:cs="Times New Roman"/>
                <w:sz w:val="20"/>
                <w:szCs w:val="20"/>
              </w:rPr>
              <w:t>Związek Pracodawców Polska Miedź</w:t>
            </w:r>
          </w:p>
        </w:tc>
        <w:tc>
          <w:tcPr>
            <w:tcW w:w="2268" w:type="dxa"/>
            <w:tcBorders>
              <w:top w:val="single" w:sz="4" w:space="0" w:color="A5A5A5"/>
              <w:left w:val="single" w:sz="4" w:space="0" w:color="A5A5A5"/>
              <w:bottom w:val="single" w:sz="4" w:space="0" w:color="A5A5A5"/>
              <w:right w:val="single" w:sz="4" w:space="0" w:color="A5A5A5"/>
            </w:tcBorders>
            <w:shd w:val="clear" w:color="auto" w:fill="auto"/>
          </w:tcPr>
          <w:p w14:paraId="2D1C5E2D" w14:textId="3AAAE676"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t>Ustawa z dnia 20 lutego 2015 r. o odnawialnych źródłach energii (</w:t>
            </w:r>
            <w:proofErr w:type="spellStart"/>
            <w:r w:rsidRPr="00803885">
              <w:rPr>
                <w:rFonts w:ascii="Lato" w:hAnsi="Lato" w:cs="Calibri"/>
                <w:color w:val="000000"/>
                <w:sz w:val="20"/>
                <w:szCs w:val="20"/>
              </w:rPr>
              <w:t>t.j</w:t>
            </w:r>
            <w:proofErr w:type="spellEnd"/>
            <w:r w:rsidRPr="00803885">
              <w:rPr>
                <w:rFonts w:ascii="Lato" w:hAnsi="Lato" w:cs="Calibri"/>
                <w:color w:val="000000"/>
                <w:sz w:val="20"/>
                <w:szCs w:val="20"/>
              </w:rPr>
              <w:t xml:space="preserve">. Dz. U. z </w:t>
            </w:r>
            <w:r w:rsidRPr="00803885">
              <w:rPr>
                <w:rFonts w:ascii="Lato" w:hAnsi="Lato" w:cs="Calibri"/>
                <w:color w:val="000000"/>
                <w:sz w:val="20"/>
                <w:szCs w:val="20"/>
              </w:rPr>
              <w:lastRenderedPageBreak/>
              <w:t>2024 r. poz. 1361 z późn. zm.) – art. 3</w:t>
            </w:r>
          </w:p>
        </w:tc>
        <w:tc>
          <w:tcPr>
            <w:tcW w:w="3686" w:type="dxa"/>
            <w:tcBorders>
              <w:top w:val="single" w:sz="4" w:space="0" w:color="A5A5A5"/>
              <w:left w:val="single" w:sz="4" w:space="0" w:color="A5A5A5"/>
              <w:bottom w:val="single" w:sz="4" w:space="0" w:color="A5A5A5"/>
              <w:right w:val="single" w:sz="4" w:space="0" w:color="A5A5A5"/>
            </w:tcBorders>
            <w:shd w:val="clear" w:color="auto" w:fill="auto"/>
          </w:tcPr>
          <w:p w14:paraId="34559F81" w14:textId="341A454A" w:rsidR="008C4AC6" w:rsidRPr="00803885" w:rsidRDefault="008C4AC6" w:rsidP="008C4AC6">
            <w:pPr>
              <w:jc w:val="both"/>
              <w:rPr>
                <w:rFonts w:ascii="Lato" w:hAnsi="Lato" w:cs="Times New Roman"/>
                <w:sz w:val="20"/>
                <w:szCs w:val="20"/>
              </w:rPr>
            </w:pPr>
            <w:r w:rsidRPr="00803885">
              <w:rPr>
                <w:rFonts w:ascii="Lato" w:hAnsi="Lato" w:cs="Calibri"/>
                <w:color w:val="000000"/>
                <w:sz w:val="20"/>
                <w:szCs w:val="20"/>
              </w:rPr>
              <w:lastRenderedPageBreak/>
              <w:t>Brak możliwości dokonywania komercyjnych rozliczeń energii elektrycznej w okresie rozruchu technologicznego źródła wytwarzania energii.</w:t>
            </w:r>
          </w:p>
        </w:tc>
        <w:tc>
          <w:tcPr>
            <w:tcW w:w="6662" w:type="dxa"/>
            <w:tcBorders>
              <w:top w:val="single" w:sz="4" w:space="0" w:color="A5A5A5"/>
              <w:left w:val="single" w:sz="4" w:space="0" w:color="A5A5A5"/>
              <w:bottom w:val="single" w:sz="4" w:space="0" w:color="A5A5A5"/>
              <w:right w:val="single" w:sz="4" w:space="0" w:color="A5A5A5"/>
            </w:tcBorders>
            <w:shd w:val="clear" w:color="auto" w:fill="auto"/>
          </w:tcPr>
          <w:p w14:paraId="1D376499" w14:textId="77777777" w:rsidR="00F51DBF" w:rsidRDefault="00F51DBF" w:rsidP="008C4AC6">
            <w:pPr>
              <w:jc w:val="both"/>
              <w:rPr>
                <w:rFonts w:ascii="Lato" w:hAnsi="Lato" w:cs="Calibri"/>
                <w:color w:val="000000"/>
                <w:sz w:val="20"/>
                <w:szCs w:val="20"/>
              </w:rPr>
            </w:pPr>
            <w:r>
              <w:rPr>
                <w:rFonts w:ascii="Lato" w:hAnsi="Lato" w:cs="Calibri"/>
                <w:color w:val="000000"/>
                <w:sz w:val="20"/>
                <w:szCs w:val="20"/>
              </w:rPr>
              <w:t>Postulowane jest u</w:t>
            </w:r>
            <w:r w:rsidR="008C4AC6" w:rsidRPr="00803885">
              <w:rPr>
                <w:rFonts w:ascii="Lato" w:hAnsi="Lato" w:cs="Calibri"/>
                <w:color w:val="000000"/>
                <w:sz w:val="20"/>
                <w:szCs w:val="20"/>
              </w:rPr>
              <w:t>możliwienie wytwórcom i odbiorcom końcowym</w:t>
            </w:r>
            <w:r>
              <w:rPr>
                <w:rFonts w:ascii="Lato" w:hAnsi="Lato" w:cs="Calibri"/>
                <w:color w:val="000000"/>
                <w:sz w:val="20"/>
                <w:szCs w:val="20"/>
              </w:rPr>
              <w:t>,</w:t>
            </w:r>
            <w:r w:rsidR="008C4AC6" w:rsidRPr="00803885">
              <w:rPr>
                <w:rFonts w:ascii="Lato" w:hAnsi="Lato" w:cs="Calibri"/>
                <w:color w:val="000000"/>
                <w:sz w:val="20"/>
                <w:szCs w:val="20"/>
              </w:rPr>
              <w:t xml:space="preserve"> którzy zawarli </w:t>
            </w:r>
            <w:proofErr w:type="spellStart"/>
            <w:r w:rsidR="008C4AC6" w:rsidRPr="00803885">
              <w:rPr>
                <w:rFonts w:ascii="Lato" w:hAnsi="Lato" w:cs="Calibri"/>
                <w:color w:val="000000"/>
                <w:sz w:val="20"/>
                <w:szCs w:val="20"/>
              </w:rPr>
              <w:t>cPPA</w:t>
            </w:r>
            <w:proofErr w:type="spellEnd"/>
            <w:r>
              <w:rPr>
                <w:rFonts w:ascii="Lato" w:hAnsi="Lato" w:cs="Calibri"/>
                <w:color w:val="000000"/>
                <w:sz w:val="20"/>
                <w:szCs w:val="20"/>
              </w:rPr>
              <w:t>,</w:t>
            </w:r>
            <w:r w:rsidR="008C4AC6" w:rsidRPr="00803885">
              <w:rPr>
                <w:rFonts w:ascii="Lato" w:hAnsi="Lato" w:cs="Calibri"/>
                <w:color w:val="000000"/>
                <w:sz w:val="20"/>
                <w:szCs w:val="20"/>
              </w:rPr>
              <w:t xml:space="preserve"> rozliczanie sprzedanej energii elektrycznej na warunkach określonych w tej umowie w okresie rozruchu technologicznego oraz przed uzyskaniem przez wytwórcę koncesji, pod </w:t>
            </w:r>
            <w:r w:rsidR="008C4AC6" w:rsidRPr="00803885">
              <w:rPr>
                <w:rFonts w:ascii="Lato" w:hAnsi="Lato" w:cs="Calibri"/>
                <w:color w:val="000000"/>
                <w:sz w:val="20"/>
                <w:szCs w:val="20"/>
              </w:rPr>
              <w:lastRenderedPageBreak/>
              <w:t>warunkiem złożenia przez wytwórcę wniosku o uzyskanie koncesji oraz nie dłużej niż przez okres 12 miesięcy.</w:t>
            </w:r>
            <w:r w:rsidR="008C4AC6">
              <w:rPr>
                <w:rFonts w:ascii="Lato" w:hAnsi="Lato" w:cs="Calibri"/>
                <w:color w:val="000000"/>
                <w:sz w:val="20"/>
                <w:szCs w:val="20"/>
              </w:rPr>
              <w:t xml:space="preserve"> </w:t>
            </w:r>
          </w:p>
          <w:p w14:paraId="53D4EE11" w14:textId="1C2A48CB" w:rsidR="008C4AC6" w:rsidRPr="00B17E33" w:rsidRDefault="008C4AC6" w:rsidP="008C4AC6">
            <w:pPr>
              <w:jc w:val="both"/>
              <w:rPr>
                <w:rFonts w:ascii="Lato" w:hAnsi="Lato" w:cs="Calibri"/>
                <w:color w:val="000000"/>
                <w:sz w:val="20"/>
                <w:szCs w:val="20"/>
              </w:rPr>
            </w:pPr>
            <w:r w:rsidRPr="00803885">
              <w:rPr>
                <w:rFonts w:ascii="Lato" w:hAnsi="Lato" w:cs="Calibri"/>
                <w:color w:val="000000"/>
                <w:sz w:val="20"/>
                <w:szCs w:val="20"/>
              </w:rPr>
              <w:t xml:space="preserve">Wytwórcy energii z OZE w instalacjach o mocy zainstalowanej większej niż 1 MW mają obowiązek uzyskania koncesji. Jednocześnie w praktyce uzyskanie koncesji jest możliwe dopiero po uruchomieniu i odebraniu instalacji OZE, to jest po wprowadzeniu przez nią energii do sieci. Proces koncesyjny potrafi trwać nawet kilka miesięcy. Odbiorcę kontraktującego energię w formule </w:t>
            </w:r>
            <w:proofErr w:type="spellStart"/>
            <w:r w:rsidRPr="00803885">
              <w:rPr>
                <w:rFonts w:ascii="Lato" w:hAnsi="Lato" w:cs="Calibri"/>
                <w:color w:val="000000"/>
                <w:sz w:val="20"/>
                <w:szCs w:val="20"/>
              </w:rPr>
              <w:t>cPPA</w:t>
            </w:r>
            <w:proofErr w:type="spellEnd"/>
            <w:r w:rsidRPr="00803885">
              <w:rPr>
                <w:rFonts w:ascii="Lato" w:hAnsi="Lato" w:cs="Calibri"/>
                <w:color w:val="000000"/>
                <w:sz w:val="20"/>
                <w:szCs w:val="20"/>
              </w:rPr>
              <w:t xml:space="preserve"> (fizyczny) z nowopowstałego źródła OZE taka sytuacja stawia w niepewności co do legalności nabywania energii od wytwórcy, który nie uzyskał jeszcze koncesji.</w:t>
            </w:r>
          </w:p>
        </w:tc>
        <w:tc>
          <w:tcPr>
            <w:tcW w:w="1428" w:type="dxa"/>
          </w:tcPr>
          <w:p w14:paraId="2ABDEE56" w14:textId="77777777" w:rsidR="008C4AC6" w:rsidRPr="00803885" w:rsidRDefault="008C4AC6" w:rsidP="008C4AC6">
            <w:pPr>
              <w:jc w:val="both"/>
              <w:rPr>
                <w:rFonts w:ascii="Lato" w:hAnsi="Lato" w:cs="Times New Roman"/>
                <w:sz w:val="20"/>
                <w:szCs w:val="20"/>
              </w:rPr>
            </w:pPr>
          </w:p>
        </w:tc>
      </w:tr>
      <w:bookmarkEnd w:id="0"/>
    </w:tbl>
    <w:p w14:paraId="4A485AB3" w14:textId="77777777" w:rsidR="00CA2841" w:rsidRPr="00803885" w:rsidRDefault="00CA2841" w:rsidP="00147D2B">
      <w:pPr>
        <w:spacing w:after="0" w:line="240" w:lineRule="auto"/>
        <w:rPr>
          <w:rFonts w:ascii="Lato" w:hAnsi="Lato" w:cs="Times New Roman"/>
          <w:sz w:val="20"/>
          <w:szCs w:val="20"/>
        </w:rPr>
      </w:pPr>
    </w:p>
    <w:sectPr w:rsidR="00CA2841" w:rsidRPr="00803885" w:rsidSect="00B91BB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CAF5A" w14:textId="77777777" w:rsidR="00C65F3C" w:rsidRDefault="00C65F3C" w:rsidP="00CA2841">
      <w:pPr>
        <w:spacing w:after="0" w:line="240" w:lineRule="auto"/>
      </w:pPr>
      <w:r>
        <w:separator/>
      </w:r>
    </w:p>
  </w:endnote>
  <w:endnote w:type="continuationSeparator" w:id="0">
    <w:p w14:paraId="25E1219F" w14:textId="77777777" w:rsidR="00C65F3C" w:rsidRDefault="00C65F3C" w:rsidP="00CA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4B935" w14:textId="77777777" w:rsidR="00C65F3C" w:rsidRDefault="00C65F3C" w:rsidP="00CA2841">
      <w:pPr>
        <w:spacing w:after="0" w:line="240" w:lineRule="auto"/>
      </w:pPr>
      <w:r>
        <w:separator/>
      </w:r>
    </w:p>
  </w:footnote>
  <w:footnote w:type="continuationSeparator" w:id="0">
    <w:p w14:paraId="58851CA0" w14:textId="77777777" w:rsidR="00C65F3C" w:rsidRDefault="00C65F3C" w:rsidP="00CA2841">
      <w:pPr>
        <w:spacing w:after="0" w:line="240" w:lineRule="auto"/>
      </w:pPr>
      <w:r>
        <w:continuationSeparator/>
      </w:r>
    </w:p>
  </w:footnote>
  <w:footnote w:id="1">
    <w:p w14:paraId="722C9D04" w14:textId="76DFC1E6" w:rsidR="004F2D1D" w:rsidRPr="00EF494C" w:rsidRDefault="004F2D1D">
      <w:pPr>
        <w:pStyle w:val="Tekstprzypisudolnego"/>
        <w:rPr>
          <w:rFonts w:ascii="Lato" w:hAnsi="Lato" w:cs="Times New Roman"/>
          <w:sz w:val="22"/>
          <w:szCs w:val="22"/>
        </w:rPr>
      </w:pPr>
      <w:r w:rsidRPr="00EF494C">
        <w:rPr>
          <w:rStyle w:val="Odwoanieprzypisudolnego"/>
          <w:rFonts w:ascii="Lato" w:hAnsi="Lato" w:cs="Times New Roman"/>
        </w:rPr>
        <w:t>1)</w:t>
      </w:r>
      <w:r w:rsidRPr="00EF494C">
        <w:rPr>
          <w:rFonts w:ascii="Lato" w:hAnsi="Lato" w:cs="Times New Roman"/>
        </w:rPr>
        <w:t xml:space="preserve"> </w:t>
      </w:r>
      <w:r w:rsidR="00B91BB7" w:rsidRPr="00EF494C">
        <w:rPr>
          <w:rFonts w:ascii="Lato" w:hAnsi="Lato" w:cs="Times New Roman"/>
        </w:rPr>
        <w:t>W przypadku aktu nowelizującego n</w:t>
      </w:r>
      <w:r w:rsidRPr="00EF494C">
        <w:rPr>
          <w:rFonts w:ascii="Lato" w:hAnsi="Lato" w:cs="Times New Roman"/>
        </w:rPr>
        <w:t xml:space="preserve">ależy wskazać jednostkę redakcyjną projektu </w:t>
      </w:r>
      <w:r w:rsidR="00EB31B4" w:rsidRPr="00EF494C">
        <w:rPr>
          <w:rFonts w:ascii="Lato" w:hAnsi="Lato" w:cs="Times New Roman"/>
        </w:rPr>
        <w:t>oraz jednostkę redakcyjną zmienianego aktu prawnego.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41"/>
    <w:rsid w:val="000263A8"/>
    <w:rsid w:val="000624FA"/>
    <w:rsid w:val="000A0BE2"/>
    <w:rsid w:val="00105730"/>
    <w:rsid w:val="00144A05"/>
    <w:rsid w:val="00147D2B"/>
    <w:rsid w:val="001711AC"/>
    <w:rsid w:val="0019568F"/>
    <w:rsid w:val="001B734F"/>
    <w:rsid w:val="001E4824"/>
    <w:rsid w:val="0020219E"/>
    <w:rsid w:val="002D55E9"/>
    <w:rsid w:val="00340880"/>
    <w:rsid w:val="00356841"/>
    <w:rsid w:val="00365B94"/>
    <w:rsid w:val="003A2566"/>
    <w:rsid w:val="003A491F"/>
    <w:rsid w:val="003E7867"/>
    <w:rsid w:val="003F5ED6"/>
    <w:rsid w:val="00405A12"/>
    <w:rsid w:val="00414F87"/>
    <w:rsid w:val="00435D45"/>
    <w:rsid w:val="00444AA3"/>
    <w:rsid w:val="0045306F"/>
    <w:rsid w:val="004A5A9C"/>
    <w:rsid w:val="004C0D20"/>
    <w:rsid w:val="004D07AE"/>
    <w:rsid w:val="004E427B"/>
    <w:rsid w:val="004F2009"/>
    <w:rsid w:val="004F2D1D"/>
    <w:rsid w:val="00513162"/>
    <w:rsid w:val="00522857"/>
    <w:rsid w:val="00523852"/>
    <w:rsid w:val="00540CF5"/>
    <w:rsid w:val="0057512D"/>
    <w:rsid w:val="005F6479"/>
    <w:rsid w:val="00602094"/>
    <w:rsid w:val="0065784C"/>
    <w:rsid w:val="006645C8"/>
    <w:rsid w:val="006C6256"/>
    <w:rsid w:val="006C6D6B"/>
    <w:rsid w:val="007373E3"/>
    <w:rsid w:val="00773DAD"/>
    <w:rsid w:val="00786D82"/>
    <w:rsid w:val="00803885"/>
    <w:rsid w:val="00894E5C"/>
    <w:rsid w:val="008A13EB"/>
    <w:rsid w:val="008B1756"/>
    <w:rsid w:val="008B766F"/>
    <w:rsid w:val="008C4AC6"/>
    <w:rsid w:val="0090574C"/>
    <w:rsid w:val="00956206"/>
    <w:rsid w:val="009A421D"/>
    <w:rsid w:val="009B5AD6"/>
    <w:rsid w:val="009E504D"/>
    <w:rsid w:val="009F5D1C"/>
    <w:rsid w:val="00A02E3F"/>
    <w:rsid w:val="00A35B7E"/>
    <w:rsid w:val="00A41376"/>
    <w:rsid w:val="00B1109E"/>
    <w:rsid w:val="00B13771"/>
    <w:rsid w:val="00B17E33"/>
    <w:rsid w:val="00B66CE8"/>
    <w:rsid w:val="00B829F8"/>
    <w:rsid w:val="00B83BC0"/>
    <w:rsid w:val="00B91BB7"/>
    <w:rsid w:val="00BB5E8A"/>
    <w:rsid w:val="00C01684"/>
    <w:rsid w:val="00C65F3C"/>
    <w:rsid w:val="00C93278"/>
    <w:rsid w:val="00CA2841"/>
    <w:rsid w:val="00CB7E36"/>
    <w:rsid w:val="00CC3F67"/>
    <w:rsid w:val="00CD3075"/>
    <w:rsid w:val="00CD7B4E"/>
    <w:rsid w:val="00D03E30"/>
    <w:rsid w:val="00D3265F"/>
    <w:rsid w:val="00D35962"/>
    <w:rsid w:val="00D71D6E"/>
    <w:rsid w:val="00D93C10"/>
    <w:rsid w:val="00DE597F"/>
    <w:rsid w:val="00E12AD4"/>
    <w:rsid w:val="00E33C69"/>
    <w:rsid w:val="00E40E3D"/>
    <w:rsid w:val="00EB31B4"/>
    <w:rsid w:val="00EC4C43"/>
    <w:rsid w:val="00EF494C"/>
    <w:rsid w:val="00F04585"/>
    <w:rsid w:val="00F14451"/>
    <w:rsid w:val="00F22962"/>
    <w:rsid w:val="00F44FCA"/>
    <w:rsid w:val="00F51DBF"/>
    <w:rsid w:val="00F6132F"/>
    <w:rsid w:val="00FA03D7"/>
    <w:rsid w:val="00FA0886"/>
    <w:rsid w:val="00FB4CF8"/>
    <w:rsid w:val="00FC6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3F60"/>
  <w15:chartTrackingRefBased/>
  <w15:docId w15:val="{6BE2EF6E-7A57-45BA-8729-04A92DBE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A28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2841"/>
    <w:rPr>
      <w:sz w:val="20"/>
      <w:szCs w:val="20"/>
    </w:rPr>
  </w:style>
  <w:style w:type="character" w:styleId="Odwoanieprzypisudolnego">
    <w:name w:val="footnote reference"/>
    <w:basedOn w:val="Domylnaczcionkaakapitu"/>
    <w:uiPriority w:val="99"/>
    <w:semiHidden/>
    <w:unhideWhenUsed/>
    <w:rsid w:val="00CA2841"/>
    <w:rPr>
      <w:vertAlign w:val="superscript"/>
    </w:rPr>
  </w:style>
  <w:style w:type="table" w:styleId="Tabela-Siatka">
    <w:name w:val="Table Grid"/>
    <w:basedOn w:val="Standardowy"/>
    <w:uiPriority w:val="39"/>
    <w:rsid w:val="00CA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F2D1D"/>
    <w:rPr>
      <w:sz w:val="16"/>
      <w:szCs w:val="16"/>
    </w:rPr>
  </w:style>
  <w:style w:type="paragraph" w:styleId="Tekstkomentarza">
    <w:name w:val="annotation text"/>
    <w:basedOn w:val="Normalny"/>
    <w:link w:val="TekstkomentarzaZnak"/>
    <w:uiPriority w:val="99"/>
    <w:unhideWhenUsed/>
    <w:rsid w:val="004F2D1D"/>
    <w:pPr>
      <w:spacing w:line="240" w:lineRule="auto"/>
    </w:pPr>
    <w:rPr>
      <w:sz w:val="20"/>
      <w:szCs w:val="20"/>
    </w:rPr>
  </w:style>
  <w:style w:type="character" w:customStyle="1" w:styleId="TekstkomentarzaZnak">
    <w:name w:val="Tekst komentarza Znak"/>
    <w:basedOn w:val="Domylnaczcionkaakapitu"/>
    <w:link w:val="Tekstkomentarza"/>
    <w:uiPriority w:val="99"/>
    <w:rsid w:val="004F2D1D"/>
    <w:rPr>
      <w:sz w:val="20"/>
      <w:szCs w:val="20"/>
    </w:rPr>
  </w:style>
  <w:style w:type="paragraph" w:styleId="Tematkomentarza">
    <w:name w:val="annotation subject"/>
    <w:basedOn w:val="Tekstkomentarza"/>
    <w:next w:val="Tekstkomentarza"/>
    <w:link w:val="TematkomentarzaZnak"/>
    <w:uiPriority w:val="99"/>
    <w:semiHidden/>
    <w:unhideWhenUsed/>
    <w:rsid w:val="004F2D1D"/>
    <w:rPr>
      <w:b/>
      <w:bCs/>
    </w:rPr>
  </w:style>
  <w:style w:type="character" w:customStyle="1" w:styleId="TematkomentarzaZnak">
    <w:name w:val="Temat komentarza Znak"/>
    <w:basedOn w:val="TekstkomentarzaZnak"/>
    <w:link w:val="Tematkomentarza"/>
    <w:uiPriority w:val="99"/>
    <w:semiHidden/>
    <w:rsid w:val="004F2D1D"/>
    <w:rPr>
      <w:b/>
      <w:bCs/>
      <w:sz w:val="20"/>
      <w:szCs w:val="20"/>
    </w:rPr>
  </w:style>
  <w:style w:type="paragraph" w:styleId="Poprawka">
    <w:name w:val="Revision"/>
    <w:hidden/>
    <w:uiPriority w:val="99"/>
    <w:semiHidden/>
    <w:rsid w:val="008C4AC6"/>
    <w:pPr>
      <w:spacing w:after="0" w:line="240" w:lineRule="auto"/>
    </w:pPr>
  </w:style>
  <w:style w:type="paragraph" w:customStyle="1" w:styleId="ARTartustawynprozporzdzenia">
    <w:name w:val="ART(§) – art. ustawy (§ np. rozporządzenia)"/>
    <w:uiPriority w:val="11"/>
    <w:qFormat/>
    <w:rsid w:val="00FA03D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171365">
      <w:bodyDiv w:val="1"/>
      <w:marLeft w:val="0"/>
      <w:marRight w:val="0"/>
      <w:marTop w:val="0"/>
      <w:marBottom w:val="0"/>
      <w:divBdr>
        <w:top w:val="none" w:sz="0" w:space="0" w:color="auto"/>
        <w:left w:val="none" w:sz="0" w:space="0" w:color="auto"/>
        <w:bottom w:val="none" w:sz="0" w:space="0" w:color="auto"/>
        <w:right w:val="none" w:sz="0" w:space="0" w:color="auto"/>
      </w:divBdr>
    </w:div>
    <w:div w:id="799149782">
      <w:bodyDiv w:val="1"/>
      <w:marLeft w:val="0"/>
      <w:marRight w:val="0"/>
      <w:marTop w:val="0"/>
      <w:marBottom w:val="0"/>
      <w:divBdr>
        <w:top w:val="none" w:sz="0" w:space="0" w:color="auto"/>
        <w:left w:val="none" w:sz="0" w:space="0" w:color="auto"/>
        <w:bottom w:val="none" w:sz="0" w:space="0" w:color="auto"/>
        <w:right w:val="none" w:sz="0" w:space="0" w:color="auto"/>
      </w:divBdr>
    </w:div>
    <w:div w:id="915214421">
      <w:bodyDiv w:val="1"/>
      <w:marLeft w:val="0"/>
      <w:marRight w:val="0"/>
      <w:marTop w:val="0"/>
      <w:marBottom w:val="0"/>
      <w:divBdr>
        <w:top w:val="none" w:sz="0" w:space="0" w:color="auto"/>
        <w:left w:val="none" w:sz="0" w:space="0" w:color="auto"/>
        <w:bottom w:val="none" w:sz="0" w:space="0" w:color="auto"/>
        <w:right w:val="none" w:sz="0" w:space="0" w:color="auto"/>
      </w:divBdr>
    </w:div>
    <w:div w:id="1405375158">
      <w:bodyDiv w:val="1"/>
      <w:marLeft w:val="0"/>
      <w:marRight w:val="0"/>
      <w:marTop w:val="0"/>
      <w:marBottom w:val="0"/>
      <w:divBdr>
        <w:top w:val="none" w:sz="0" w:space="0" w:color="auto"/>
        <w:left w:val="none" w:sz="0" w:space="0" w:color="auto"/>
        <w:bottom w:val="none" w:sz="0" w:space="0" w:color="auto"/>
        <w:right w:val="none" w:sz="0" w:space="0" w:color="auto"/>
      </w:divBdr>
    </w:div>
    <w:div w:id="1539007238">
      <w:bodyDiv w:val="1"/>
      <w:marLeft w:val="0"/>
      <w:marRight w:val="0"/>
      <w:marTop w:val="0"/>
      <w:marBottom w:val="0"/>
      <w:divBdr>
        <w:top w:val="none" w:sz="0" w:space="0" w:color="auto"/>
        <w:left w:val="none" w:sz="0" w:space="0" w:color="auto"/>
        <w:bottom w:val="none" w:sz="0" w:space="0" w:color="auto"/>
        <w:right w:val="none" w:sz="0" w:space="0" w:color="auto"/>
      </w:divBdr>
    </w:div>
    <w:div w:id="1638291082">
      <w:bodyDiv w:val="1"/>
      <w:marLeft w:val="0"/>
      <w:marRight w:val="0"/>
      <w:marTop w:val="0"/>
      <w:marBottom w:val="0"/>
      <w:divBdr>
        <w:top w:val="none" w:sz="0" w:space="0" w:color="auto"/>
        <w:left w:val="none" w:sz="0" w:space="0" w:color="auto"/>
        <w:bottom w:val="none" w:sz="0" w:space="0" w:color="auto"/>
        <w:right w:val="none" w:sz="0" w:space="0" w:color="auto"/>
      </w:divBdr>
    </w:div>
    <w:div w:id="1669551072">
      <w:bodyDiv w:val="1"/>
      <w:marLeft w:val="0"/>
      <w:marRight w:val="0"/>
      <w:marTop w:val="0"/>
      <w:marBottom w:val="0"/>
      <w:divBdr>
        <w:top w:val="none" w:sz="0" w:space="0" w:color="auto"/>
        <w:left w:val="none" w:sz="0" w:space="0" w:color="auto"/>
        <w:bottom w:val="none" w:sz="0" w:space="0" w:color="auto"/>
        <w:right w:val="none" w:sz="0" w:space="0" w:color="auto"/>
      </w:divBdr>
    </w:div>
    <w:div w:id="1731340539">
      <w:bodyDiv w:val="1"/>
      <w:marLeft w:val="0"/>
      <w:marRight w:val="0"/>
      <w:marTop w:val="0"/>
      <w:marBottom w:val="0"/>
      <w:divBdr>
        <w:top w:val="none" w:sz="0" w:space="0" w:color="auto"/>
        <w:left w:val="none" w:sz="0" w:space="0" w:color="auto"/>
        <w:bottom w:val="none" w:sz="0" w:space="0" w:color="auto"/>
        <w:right w:val="none" w:sz="0" w:space="0" w:color="auto"/>
      </w:divBdr>
    </w:div>
    <w:div w:id="1810055167">
      <w:bodyDiv w:val="1"/>
      <w:marLeft w:val="0"/>
      <w:marRight w:val="0"/>
      <w:marTop w:val="0"/>
      <w:marBottom w:val="0"/>
      <w:divBdr>
        <w:top w:val="none" w:sz="0" w:space="0" w:color="auto"/>
        <w:left w:val="none" w:sz="0" w:space="0" w:color="auto"/>
        <w:bottom w:val="none" w:sz="0" w:space="0" w:color="auto"/>
        <w:right w:val="none" w:sz="0" w:space="0" w:color="auto"/>
      </w:divBdr>
    </w:div>
    <w:div w:id="1901551581">
      <w:bodyDiv w:val="1"/>
      <w:marLeft w:val="0"/>
      <w:marRight w:val="0"/>
      <w:marTop w:val="0"/>
      <w:marBottom w:val="0"/>
      <w:divBdr>
        <w:top w:val="none" w:sz="0" w:space="0" w:color="auto"/>
        <w:left w:val="none" w:sz="0" w:space="0" w:color="auto"/>
        <w:bottom w:val="none" w:sz="0" w:space="0" w:color="auto"/>
        <w:right w:val="none" w:sz="0" w:space="0" w:color="auto"/>
      </w:divBdr>
    </w:div>
    <w:div w:id="1951082208">
      <w:bodyDiv w:val="1"/>
      <w:marLeft w:val="0"/>
      <w:marRight w:val="0"/>
      <w:marTop w:val="0"/>
      <w:marBottom w:val="0"/>
      <w:divBdr>
        <w:top w:val="none" w:sz="0" w:space="0" w:color="auto"/>
        <w:left w:val="none" w:sz="0" w:space="0" w:color="auto"/>
        <w:bottom w:val="none" w:sz="0" w:space="0" w:color="auto"/>
        <w:right w:val="none" w:sz="0" w:space="0" w:color="auto"/>
      </w:divBdr>
    </w:div>
    <w:div w:id="19590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8A9B-02CF-49B8-B19D-07AFA93A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2559</Words>
  <Characters>15357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Wójcikiewicz-Kawa Agata</dc:creator>
  <cp:keywords/>
  <dc:description/>
  <cp:lastModifiedBy>Alicja Kudłak</cp:lastModifiedBy>
  <cp:revision>6</cp:revision>
  <dcterms:created xsi:type="dcterms:W3CDTF">2025-05-12T07:36:00Z</dcterms:created>
  <dcterms:modified xsi:type="dcterms:W3CDTF">2025-05-12T09:55:00Z</dcterms:modified>
</cp:coreProperties>
</file>