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B865" w14:textId="77777777" w:rsidR="009372FA" w:rsidRPr="00586923" w:rsidRDefault="009372FA" w:rsidP="009372FA">
      <w:pPr>
        <w:rPr>
          <w:rFonts w:ascii="Arial" w:hAnsi="Arial" w:cs="Arial"/>
        </w:rPr>
      </w:pPr>
      <w:r w:rsidRPr="00586923">
        <w:rPr>
          <w:rFonts w:ascii="Arial" w:hAnsi="Arial" w:cs="Arial"/>
          <w:noProof/>
          <w:lang w:eastAsia="pl-PL"/>
        </w:rPr>
        <w:drawing>
          <wp:inline distT="0" distB="0" distL="0" distR="0" wp14:anchorId="1A3C238D" wp14:editId="363B32ED">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349BC732" w14:textId="77777777" w:rsidR="009372FA" w:rsidRDefault="009372FA" w:rsidP="009372FA">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57358E19" w14:textId="77777777" w:rsidR="009372FA" w:rsidRPr="00586923" w:rsidRDefault="009372FA" w:rsidP="009372FA">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3C99331E" w14:textId="6AF06B84" w:rsidR="009372FA" w:rsidRPr="00586923" w:rsidRDefault="009372FA" w:rsidP="009372FA">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26</w:t>
      </w:r>
      <w:r>
        <w:rPr>
          <w:rFonts w:ascii="Arial" w:hAnsi="Arial" w:cs="Arial"/>
          <w:b/>
        </w:rPr>
        <w:t xml:space="preserve"> </w:t>
      </w:r>
      <w:r>
        <w:rPr>
          <w:rFonts w:ascii="Arial" w:hAnsi="Arial" w:cs="Arial"/>
          <w:b/>
        </w:rPr>
        <w:t xml:space="preserve">maja </w:t>
      </w:r>
      <w:r w:rsidRPr="00586923">
        <w:rPr>
          <w:rFonts w:ascii="Arial" w:hAnsi="Arial" w:cs="Arial"/>
          <w:b/>
        </w:rPr>
        <w:t xml:space="preserve">do </w:t>
      </w:r>
      <w:r>
        <w:rPr>
          <w:rFonts w:ascii="Arial" w:hAnsi="Arial" w:cs="Arial"/>
          <w:b/>
        </w:rPr>
        <w:t>1</w:t>
      </w:r>
      <w:r>
        <w:rPr>
          <w:rFonts w:ascii="Arial" w:hAnsi="Arial" w:cs="Arial"/>
          <w:b/>
        </w:rPr>
        <w:t xml:space="preserve"> </w:t>
      </w:r>
      <w:r>
        <w:rPr>
          <w:rFonts w:ascii="Arial" w:hAnsi="Arial" w:cs="Arial"/>
          <w:b/>
        </w:rPr>
        <w:t>czerwca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5C4ADE2A" w14:textId="16D8AAC0" w:rsidR="009372FA" w:rsidRPr="00AC3187" w:rsidRDefault="009372FA" w:rsidP="009372FA">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4 czerwca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3F39CA0C" w14:textId="77777777" w:rsidR="009372FA" w:rsidRPr="00586923" w:rsidRDefault="009372FA" w:rsidP="009372FA">
      <w:pPr>
        <w:spacing w:after="0" w:line="240" w:lineRule="auto"/>
        <w:jc w:val="both"/>
        <w:rPr>
          <w:rFonts w:ascii="Arial" w:hAnsi="Arial" w:cs="Arial"/>
        </w:rPr>
      </w:pPr>
    </w:p>
    <w:p w14:paraId="27091191" w14:textId="77777777" w:rsidR="009372FA" w:rsidRPr="000B65D1" w:rsidRDefault="009372FA" w:rsidP="009372FA">
      <w:pPr>
        <w:pStyle w:val="Akapitzlist"/>
        <w:numPr>
          <w:ilvl w:val="0"/>
          <w:numId w:val="1"/>
        </w:numPr>
        <w:spacing w:after="0"/>
        <w:ind w:left="284" w:hanging="284"/>
        <w:jc w:val="both"/>
        <w:rPr>
          <w:rFonts w:ascii="Arial" w:hAnsi="Arial" w:cs="Arial"/>
          <w:b/>
        </w:rPr>
      </w:pPr>
      <w:r w:rsidRPr="000B65D1">
        <w:rPr>
          <w:rFonts w:ascii="Arial" w:hAnsi="Arial" w:cs="Arial"/>
          <w:b/>
        </w:rPr>
        <w:t>Projekty aktów prawnych</w:t>
      </w:r>
    </w:p>
    <w:p w14:paraId="21F3AE09" w14:textId="77777777" w:rsidR="009372FA" w:rsidRDefault="009372FA" w:rsidP="009372FA">
      <w:pPr>
        <w:spacing w:after="0"/>
        <w:jc w:val="both"/>
        <w:rPr>
          <w:rFonts w:ascii="Arial" w:hAnsi="Arial" w:cs="Arial"/>
        </w:rPr>
      </w:pPr>
    </w:p>
    <w:p w14:paraId="1C685841" w14:textId="0AD495E3" w:rsidR="009372FA" w:rsidRPr="00C70674" w:rsidRDefault="009372FA" w:rsidP="009372FA">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3</w:t>
      </w:r>
      <w:r w:rsidRPr="00C70674">
        <w:rPr>
          <w:rFonts w:ascii="Arial" w:eastAsia="Calibri" w:hAnsi="Arial" w:cs="Arial"/>
          <w:bCs/>
        </w:rPr>
        <w:t xml:space="preserve"> projekt</w:t>
      </w:r>
      <w:r>
        <w:rPr>
          <w:rFonts w:ascii="Arial" w:eastAsia="Calibri" w:hAnsi="Arial" w:cs="Arial"/>
          <w:bCs/>
        </w:rPr>
        <w:t>y</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23</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14:paraId="6A0E65F1" w14:textId="77777777" w:rsidR="009372FA" w:rsidRPr="00C70674" w:rsidRDefault="009372FA" w:rsidP="009372FA">
      <w:pPr>
        <w:spacing w:after="0"/>
        <w:jc w:val="both"/>
        <w:rPr>
          <w:rFonts w:ascii="Arial" w:hAnsi="Arial" w:cs="Arial"/>
        </w:rPr>
      </w:pPr>
    </w:p>
    <w:p w14:paraId="4569AE76" w14:textId="0976E3AB" w:rsidR="009372FA" w:rsidRDefault="009372FA" w:rsidP="009372FA">
      <w:pPr>
        <w:spacing w:after="0"/>
        <w:jc w:val="both"/>
        <w:rPr>
          <w:rFonts w:ascii="Arial" w:hAnsi="Arial" w:cs="Arial"/>
        </w:rPr>
      </w:pPr>
      <w:r>
        <w:rPr>
          <w:rFonts w:ascii="Arial" w:hAnsi="Arial" w:cs="Arial"/>
        </w:rPr>
        <w:t xml:space="preserve">Przeprowadzono konsultacje </w:t>
      </w:r>
      <w:r>
        <w:rPr>
          <w:rFonts w:ascii="Arial" w:hAnsi="Arial" w:cs="Arial"/>
        </w:rPr>
        <w:t>jednego</w:t>
      </w:r>
      <w:r>
        <w:rPr>
          <w:rFonts w:ascii="Arial" w:hAnsi="Arial" w:cs="Arial"/>
        </w:rPr>
        <w:t xml:space="preserve"> projekt</w:t>
      </w:r>
      <w:r>
        <w:rPr>
          <w:rFonts w:ascii="Arial" w:hAnsi="Arial" w:cs="Arial"/>
        </w:rPr>
        <w:t>u</w:t>
      </w:r>
      <w:r>
        <w:rPr>
          <w:rFonts w:ascii="Arial" w:hAnsi="Arial" w:cs="Arial"/>
        </w:rPr>
        <w:t xml:space="preserve"> ustawy i </w:t>
      </w:r>
      <w:r>
        <w:rPr>
          <w:rFonts w:ascii="Arial" w:hAnsi="Arial" w:cs="Arial"/>
        </w:rPr>
        <w:t>czterech</w:t>
      </w:r>
      <w:r>
        <w:rPr>
          <w:rFonts w:ascii="Arial" w:hAnsi="Arial" w:cs="Arial"/>
        </w:rPr>
        <w:t xml:space="preserve"> projekt</w:t>
      </w:r>
      <w:r>
        <w:rPr>
          <w:rFonts w:ascii="Arial" w:hAnsi="Arial" w:cs="Arial"/>
        </w:rPr>
        <w:t>ów</w:t>
      </w:r>
      <w:r>
        <w:rPr>
          <w:rFonts w:ascii="Arial" w:hAnsi="Arial" w:cs="Arial"/>
        </w:rPr>
        <w:t xml:space="preserve"> rozporządzeń dotyczących podmiotów członkowskich (pracodawcy, przedsiębiorcy, JST) zrzeszonych w Związku. </w:t>
      </w:r>
    </w:p>
    <w:p w14:paraId="0256AB87" w14:textId="77777777" w:rsidR="009372FA" w:rsidRDefault="009372FA" w:rsidP="009372FA">
      <w:pPr>
        <w:spacing w:after="0"/>
        <w:jc w:val="both"/>
        <w:rPr>
          <w:rFonts w:ascii="Arial" w:hAnsi="Arial" w:cs="Arial"/>
        </w:rPr>
      </w:pPr>
      <w:r>
        <w:rPr>
          <w:rFonts w:ascii="Arial" w:hAnsi="Arial" w:cs="Arial"/>
        </w:rPr>
        <w:t>Do konsultacji przekazane zostały następujące projekty:</w:t>
      </w:r>
    </w:p>
    <w:p w14:paraId="51FF1888" w14:textId="77777777" w:rsidR="009372FA" w:rsidRDefault="009372FA" w:rsidP="009372FA">
      <w:pPr>
        <w:spacing w:after="0"/>
        <w:jc w:val="both"/>
        <w:rPr>
          <w:rFonts w:ascii="Arial" w:hAnsi="Arial" w:cs="Arial"/>
        </w:rPr>
      </w:pPr>
    </w:p>
    <w:p w14:paraId="425D05FB" w14:textId="77777777" w:rsidR="009372FA" w:rsidRDefault="009372FA" w:rsidP="009372FA">
      <w:pPr>
        <w:spacing w:after="0"/>
        <w:jc w:val="both"/>
        <w:rPr>
          <w:rFonts w:ascii="Arial" w:hAnsi="Arial" w:cs="Arial"/>
        </w:rPr>
      </w:pPr>
      <w:r>
        <w:rPr>
          <w:rFonts w:ascii="Arial" w:hAnsi="Arial" w:cs="Arial"/>
        </w:rPr>
        <w:t>Projekty ustaw:</w:t>
      </w:r>
    </w:p>
    <w:p w14:paraId="3B25AC2D" w14:textId="77777777" w:rsidR="009372FA" w:rsidRDefault="009372FA" w:rsidP="009372FA">
      <w:pPr>
        <w:spacing w:after="0"/>
        <w:jc w:val="both"/>
        <w:rPr>
          <w:rFonts w:ascii="Arial" w:hAnsi="Arial" w:cs="Arial"/>
        </w:rPr>
      </w:pPr>
    </w:p>
    <w:p w14:paraId="0B35F135" w14:textId="71FA94E4" w:rsidR="009372FA" w:rsidRPr="009372FA" w:rsidRDefault="009372FA" w:rsidP="009372FA">
      <w:pPr>
        <w:pStyle w:val="Akapitzlist"/>
        <w:spacing w:after="0"/>
        <w:jc w:val="both"/>
        <w:rPr>
          <w:rFonts w:ascii="Arial" w:hAnsi="Arial" w:cs="Arial"/>
          <w:b/>
          <w:bCs/>
          <w:u w:val="single"/>
        </w:rPr>
      </w:pPr>
      <w:r w:rsidRPr="009372FA">
        <w:rPr>
          <w:rFonts w:ascii="Arial" w:hAnsi="Arial" w:cs="Arial"/>
          <w:b/>
          <w:bCs/>
          <w:u w:val="single"/>
        </w:rPr>
        <w:t>P</w:t>
      </w:r>
      <w:r w:rsidRPr="009372FA">
        <w:rPr>
          <w:rFonts w:ascii="Arial" w:hAnsi="Arial" w:cs="Arial"/>
          <w:b/>
          <w:bCs/>
          <w:u w:val="single"/>
        </w:rPr>
        <w:t>rojekt ustawy o zmianie ustawy o systemie teleinformatycznym do obsługi niektórych umów (numer z wykazu UDER4)</w:t>
      </w:r>
      <w:r>
        <w:rPr>
          <w:rFonts w:ascii="Arial" w:hAnsi="Arial" w:cs="Arial"/>
          <w:b/>
          <w:bCs/>
          <w:u w:val="single"/>
        </w:rPr>
        <w:t>.</w:t>
      </w:r>
    </w:p>
    <w:p w14:paraId="029ED3E9" w14:textId="77777777" w:rsidR="009372FA" w:rsidRDefault="009372FA" w:rsidP="009372FA">
      <w:pPr>
        <w:spacing w:after="0"/>
        <w:jc w:val="both"/>
        <w:rPr>
          <w:rFonts w:ascii="Arial" w:hAnsi="Arial" w:cs="Arial"/>
        </w:rPr>
      </w:pPr>
    </w:p>
    <w:p w14:paraId="7BBF2A98" w14:textId="77777777" w:rsidR="009372FA" w:rsidRPr="009372FA" w:rsidRDefault="009372FA" w:rsidP="009372FA">
      <w:pPr>
        <w:spacing w:after="0"/>
        <w:jc w:val="both"/>
        <w:rPr>
          <w:rFonts w:ascii="Arial" w:hAnsi="Arial" w:cs="Arial"/>
        </w:rPr>
      </w:pPr>
      <w:r w:rsidRPr="009372FA">
        <w:rPr>
          <w:rFonts w:ascii="Arial" w:hAnsi="Arial" w:cs="Arial"/>
        </w:rPr>
        <w:t xml:space="preserve">Ustawa z dnia 16 listopada 2022 r. o systemie teleinformatycznym do obsługi niektórych umów (Dz. U. z 2024 r. poz. 1661) przewiduje utworzenie systemu teleinformatycznego (System), obsługującego proces zawierania i przechowywania powszechnych, prostych umów zawieranych w codziennym życiu, takich jak umowa o pracę, umowa zlecenia, umowa o świadczenie usług, czy umowa uaktywniająca. Adresatami regulacji zawartych w ustawie są pracodawcy, którzy są osobami fizycznymi, rolnikami, </w:t>
      </w:r>
      <w:proofErr w:type="spellStart"/>
      <w:r w:rsidRPr="009372FA">
        <w:rPr>
          <w:rFonts w:ascii="Arial" w:hAnsi="Arial" w:cs="Arial"/>
        </w:rPr>
        <w:t>mikroprzedsiebiorcami</w:t>
      </w:r>
      <w:proofErr w:type="spellEnd"/>
      <w:r w:rsidRPr="009372FA">
        <w:rPr>
          <w:rFonts w:ascii="Arial" w:hAnsi="Arial" w:cs="Arial"/>
        </w:rPr>
        <w:t xml:space="preserve"> lub podmiotami zatrudniającymi do 9 osób. Korzystanie z Systemu jest dobrowolne, a dostęp do niego jest zapewniony po zalogowaniu się za pomocą profilu zaufanego na indywidualnym koncie lub na koncie </w:t>
      </w:r>
      <w:proofErr w:type="spellStart"/>
      <w:r w:rsidRPr="009372FA">
        <w:rPr>
          <w:rFonts w:ascii="Arial" w:hAnsi="Arial" w:cs="Arial"/>
        </w:rPr>
        <w:t>mikroprzedsiębiorcy</w:t>
      </w:r>
      <w:proofErr w:type="spellEnd"/>
      <w:r w:rsidRPr="009372FA">
        <w:rPr>
          <w:rFonts w:ascii="Arial" w:hAnsi="Arial" w:cs="Arial"/>
        </w:rPr>
        <w:t xml:space="preserve"> na portalu www.praca.gov.pl. </w:t>
      </w:r>
      <w:proofErr w:type="spellStart"/>
      <w:r w:rsidRPr="009372FA">
        <w:rPr>
          <w:rFonts w:ascii="Arial" w:hAnsi="Arial" w:cs="Arial"/>
        </w:rPr>
        <w:t>Mikroprzedsiębiorcy</w:t>
      </w:r>
      <w:proofErr w:type="spellEnd"/>
      <w:r w:rsidRPr="009372FA">
        <w:rPr>
          <w:rFonts w:ascii="Arial" w:hAnsi="Arial" w:cs="Arial"/>
        </w:rPr>
        <w:t xml:space="preserve"> będą mogli korzystać również z analogicznej funkcjonalności na portalu www.biznes.gov.pl. Jedną z głównych zalet zawarcia umowy za pośrednictwem Systemu jest to, że umowy zawierane za pośrednictwem Systemu mogą być podpisywane nie tylko kwalifikowanym podpisem elektronicznym, ale również podpisem osobistym albo podpisem zaufanym. Ponadto, cała dokumentacja związana z zawarciem umowy jest przechowywana w Systemie, co również umożliwia elektroniczną archiwizację umowy oraz towarzyszących jej dokumentów pracowniczych. Tym samym obowiązki pracodawcy, zleceniodawcy czy rodzica dotyczące przechowywania ww. dokumentacji są realizowane w ramach Systemu. </w:t>
      </w:r>
    </w:p>
    <w:p w14:paraId="6FD20586" w14:textId="77777777" w:rsidR="009372FA" w:rsidRPr="009372FA" w:rsidRDefault="009372FA" w:rsidP="009372FA">
      <w:pPr>
        <w:spacing w:after="0"/>
        <w:jc w:val="both"/>
        <w:rPr>
          <w:rFonts w:ascii="Arial" w:hAnsi="Arial" w:cs="Arial"/>
        </w:rPr>
      </w:pPr>
      <w:r w:rsidRPr="009372FA">
        <w:rPr>
          <w:rFonts w:ascii="Arial" w:hAnsi="Arial" w:cs="Arial"/>
        </w:rPr>
        <w:t xml:space="preserve">Problemem niepozwalającym w pełni wykorzystać potencjału tego rozwiązania są ograniczenia w zakresie statusu użytkowników Systemu. Obecnie katalog podmiotów, które </w:t>
      </w:r>
      <w:r w:rsidRPr="009372FA">
        <w:rPr>
          <w:rFonts w:ascii="Arial" w:hAnsi="Arial" w:cs="Arial"/>
        </w:rPr>
        <w:lastRenderedPageBreak/>
        <w:t xml:space="preserve">mogą zwierać umowy w Systemie jest zamknięty. Umowa może być zawierana jedynie przez osoby fizyczne, rolników, </w:t>
      </w:r>
      <w:proofErr w:type="spellStart"/>
      <w:r w:rsidRPr="009372FA">
        <w:rPr>
          <w:rFonts w:ascii="Arial" w:hAnsi="Arial" w:cs="Arial"/>
        </w:rPr>
        <w:t>mikroprzedsiebiorców</w:t>
      </w:r>
      <w:proofErr w:type="spellEnd"/>
      <w:r w:rsidRPr="009372FA">
        <w:rPr>
          <w:rFonts w:ascii="Arial" w:hAnsi="Arial" w:cs="Arial"/>
        </w:rPr>
        <w:t xml:space="preserve"> lub podmioty zatrudniające do 9 osób. Brak jest podstaw prawnych umożliwiających zawieranie umów przez inne podmioty niż wyżej wymienione. Po zmianie ustawy, umowy będą mogły być zawierane przez każdy zainteresowany podmiot, który tylko wyrazi taką wolę, niezależnie od posiadanego statusu czy wielkości podmiotu.</w:t>
      </w:r>
    </w:p>
    <w:p w14:paraId="672ACCB4" w14:textId="77777777" w:rsidR="009372FA" w:rsidRPr="009372FA" w:rsidRDefault="009372FA" w:rsidP="009372FA">
      <w:pPr>
        <w:spacing w:after="0"/>
        <w:jc w:val="both"/>
        <w:rPr>
          <w:rFonts w:ascii="Arial" w:hAnsi="Arial" w:cs="Arial"/>
        </w:rPr>
      </w:pPr>
      <w:r w:rsidRPr="009372FA">
        <w:rPr>
          <w:rFonts w:ascii="Arial" w:hAnsi="Arial" w:cs="Arial"/>
        </w:rPr>
        <w:t>Ponadto, ograniczeniem obecnych przepisów jest brak możliwości zawierania za pośrednictwem Systemu umów innych niż umowa o pracę, umowa zlecenia czy umowa uaktywniająca. Dzięki nowelizacji ustawy katalog umów możliwych do zawarcia za pośrednictwem Systemu zostanie rozszerzony. Po zmianie za pośrednictwem Systemu będzie możliwe zawieranie takich umów, jak na przykład umowa o wolontariacie, czy umów towarzyszących zatrudnieniu, tj. umowy o zakazie konkurencji, umowy szkoleniowej czy umowy o współodpowiedzialności materialnej. Ponadto zakłada się zwiększenie funkcjonalności Systemu poprzez umożliwienie potwierdzania w Systemie obecności pracownika lub zgłoszenia rozpoczęcia pracy zdalnej. Umowy zawierane za pośrednictwem Systemu będą podpisywane nie tylko podpisem kwalifikowanym, ale także podpisem osobistym i zaufanym.</w:t>
      </w:r>
    </w:p>
    <w:p w14:paraId="6FFC0C4D" w14:textId="77777777" w:rsidR="009372FA" w:rsidRPr="009372FA" w:rsidRDefault="009372FA" w:rsidP="009372FA">
      <w:pPr>
        <w:spacing w:after="0"/>
        <w:jc w:val="both"/>
        <w:rPr>
          <w:rFonts w:ascii="Arial" w:hAnsi="Arial" w:cs="Arial"/>
        </w:rPr>
      </w:pPr>
      <w:r w:rsidRPr="009372FA">
        <w:rPr>
          <w:rFonts w:ascii="Arial" w:hAnsi="Arial" w:cs="Arial"/>
        </w:rPr>
        <w:t>Cały proces związany z zawarciem umowy zostanie przeprowadzony w sposób elektroniczny, co znacznie uprości i przyspieszy zawieranie umów. W celu zapewnienia automatyzacji obsługi umów przewiduje się zwiększenie zakresu danych pozyskiwanych i wysyłanych za pośrednictwem Systemu. Nowelizacja ustawy wprowadzi, w szczególności zwiększenie zakresu danych pozyskiwanych i wysyłanych do Zakładu Ubezpieczeń Społecznych (ZUS) oraz pozyskiwanie danych z Krajowego Rejestru Sądowego i Centralnej Ewidencji i Informacji o Działalności Gospodarczej i Punkcie Informacji (</w:t>
      </w:r>
      <w:proofErr w:type="spellStart"/>
      <w:r w:rsidRPr="009372FA">
        <w:rPr>
          <w:rFonts w:ascii="Arial" w:hAnsi="Arial" w:cs="Arial"/>
        </w:rPr>
        <w:t>CEiDG</w:t>
      </w:r>
      <w:proofErr w:type="spellEnd"/>
      <w:r w:rsidRPr="009372FA">
        <w:rPr>
          <w:rFonts w:ascii="Arial" w:hAnsi="Arial" w:cs="Arial"/>
        </w:rPr>
        <w:t xml:space="preserve">). Projekt zakłada, że System będzie wymieniał się danymi z powiązanymi z nim systemami teleinformatycznymi. Mając na uwadze ułatwienie pracodawcom realizacji obowiązku wynikającego z art. 17 ust. 1 pkt 2 ustawy z dnia 20 marca 2025 r. o warunkach dopuszczalności powierzania pracy cudzoziemcom na terytorium Rzeczpospolitej Polskiej w Systemie zostanie uruchomiona funkcjonalność, która w przypadku zawierania umowy z cudzoziemcem, pozwoli na realizację ww. obowiązku. </w:t>
      </w:r>
    </w:p>
    <w:p w14:paraId="3370C9EE" w14:textId="77777777" w:rsidR="009372FA" w:rsidRPr="009372FA" w:rsidRDefault="009372FA" w:rsidP="009372FA">
      <w:pPr>
        <w:spacing w:after="0"/>
        <w:jc w:val="both"/>
        <w:rPr>
          <w:rFonts w:ascii="Arial" w:hAnsi="Arial" w:cs="Arial"/>
        </w:rPr>
      </w:pPr>
      <w:r w:rsidRPr="009372FA">
        <w:rPr>
          <w:rFonts w:ascii="Arial" w:hAnsi="Arial" w:cs="Arial"/>
        </w:rPr>
        <w:t>W konsekwencji wprowadzanych zmian przewiduje się zmianę tytułu ustawy na tytuł „ustawa o e-umowach”, oraz podział ustawy na jednostki systematyzacyjne i nadaniu im tytułów.</w:t>
      </w:r>
    </w:p>
    <w:p w14:paraId="08FF6EEE" w14:textId="77777777" w:rsidR="009372FA" w:rsidRPr="009372FA" w:rsidRDefault="009372FA" w:rsidP="009372FA">
      <w:pPr>
        <w:spacing w:after="0"/>
        <w:jc w:val="both"/>
        <w:rPr>
          <w:rFonts w:ascii="Arial" w:hAnsi="Arial" w:cs="Arial"/>
        </w:rPr>
      </w:pPr>
      <w:r w:rsidRPr="009372FA">
        <w:rPr>
          <w:rFonts w:ascii="Arial" w:hAnsi="Arial" w:cs="Arial"/>
        </w:rPr>
        <w:t>Niewątpliwie realizacja obowiązków pracowniczych z uwagi na zmieniające się przepisy jest czasochłonna i wymaga śledzenia aktualnego stanu prawnego. Projektowana ustawa przyczyni się do znacznego zmniejszenia obciążeń przedsiębiorców. Projekt odpowiadając na oczekiwania przedsiębiorców rozszerza katalog osób, które będą mogły korzystać z Systemu. Dzięki temu zawarcie umowy o pracę czy zlecenia oraz prowadzenie całej dokumentacji pracowniczej w sposób elektroniczny stanie się powszechnie dostępne.</w:t>
      </w:r>
    </w:p>
    <w:p w14:paraId="4A4F4E2B" w14:textId="77777777" w:rsidR="009372FA" w:rsidRPr="009372FA" w:rsidRDefault="009372FA" w:rsidP="009372FA">
      <w:pPr>
        <w:spacing w:after="0"/>
        <w:jc w:val="both"/>
        <w:rPr>
          <w:rFonts w:ascii="Arial" w:hAnsi="Arial" w:cs="Arial"/>
        </w:rPr>
      </w:pPr>
      <w:r w:rsidRPr="009372FA">
        <w:rPr>
          <w:rFonts w:ascii="Arial" w:hAnsi="Arial" w:cs="Arial"/>
        </w:rPr>
        <w:t xml:space="preserve">Należy podkreślić, że dzięki szerokiemu katalogowi podpisów, których można będzie użyć do zawarcia umów obsługiwanych w Systemie, korzystanie z Systemu nie będzie wiązało się z dodatkowymi kosztami. Podpis zaufany jest nieodpłatny i łatwo dostępny, gdyż do jego złożenia wystarczy posiadanie profilu zaufanego. Aby potwierdzić profil zaufany, poza umiejętnością korzystania z Internetu trzeba posiadać nadany nr PESEL oraz pozostające we własnej dyspozycji adres poczty elektronicznej i numer telefonu komórkowego. Żeby skorzystać z podpisu zaufanego nie trzeba żadnych dodatkowych narzędzi elektronicznych, takich jak specjalne karty elektroniczne, czytniki kart, itd. Wystarczy telefon komórkowy i dostęp do Internetu. Natomiast podpis osobisty to zaawansowany podpis elektroniczny weryfikowany certyfikatem wydawanym nieopłatnie wraz z dowodem osobistym. Aby certyfikat </w:t>
      </w:r>
      <w:r w:rsidRPr="009372FA">
        <w:rPr>
          <w:rFonts w:ascii="Arial" w:hAnsi="Arial" w:cs="Arial"/>
        </w:rPr>
        <w:lastRenderedPageBreak/>
        <w:t xml:space="preserve">podpisu osobistego znalazł się w dowodzie osobistym, wystarczy zaznaczyć zgodę podczas składania wniosku o nowy dowód osobisty. </w:t>
      </w:r>
    </w:p>
    <w:p w14:paraId="5F7699D1" w14:textId="77777777" w:rsidR="009372FA" w:rsidRPr="009372FA" w:rsidRDefault="009372FA" w:rsidP="009372FA">
      <w:pPr>
        <w:spacing w:after="0"/>
        <w:jc w:val="both"/>
        <w:rPr>
          <w:rFonts w:ascii="Arial" w:hAnsi="Arial" w:cs="Arial"/>
        </w:rPr>
      </w:pPr>
      <w:r w:rsidRPr="009372FA">
        <w:rPr>
          <w:rFonts w:ascii="Arial" w:hAnsi="Arial" w:cs="Arial"/>
        </w:rPr>
        <w:t>Niniejszy projekt przewiduje możliwość zawarcia poprzez System również innych umów związanych z zatrudnieniem, takich jak np. umowa o zakazie konkurencji, umowa szkoleniowa, umowa o współodpowiedzialności materialnej. System umożliwi także zawarcie innych umów w tym np. umowy o wolontariacie. System będzie również dawał możliwość załączania dokumentów, wytworzonych poza Systemem, a związanych z zawartymi umowami. Niektóre rodzaje umów wymagają formy pisemnej pod rygorem nieważności, System uprości zawieranie także tych umów. Przyjęte rozwiązanie wynika z coraz powszechniejszej cyfryzacji usług i rozpowszechniania różnych nowych rodzajów podpisów elektronicznych.</w:t>
      </w:r>
    </w:p>
    <w:p w14:paraId="63F7CABA" w14:textId="77777777" w:rsidR="009372FA" w:rsidRPr="009372FA" w:rsidRDefault="009372FA" w:rsidP="009372FA">
      <w:pPr>
        <w:spacing w:after="0"/>
        <w:jc w:val="both"/>
        <w:rPr>
          <w:rFonts w:ascii="Arial" w:hAnsi="Arial" w:cs="Arial"/>
        </w:rPr>
      </w:pPr>
      <w:r w:rsidRPr="009372FA">
        <w:rPr>
          <w:rFonts w:ascii="Arial" w:hAnsi="Arial" w:cs="Arial"/>
        </w:rPr>
        <w:t xml:space="preserve">Przewiduje się, że System poprzez dostępne kalkulatory, będzie wspomagać podmiot zatrudniający, m.in. w obliczaniu należnego wynagrodzenia, czy wymiaru urlopu wypoczynkowego przysługujących pracownikowi. </w:t>
      </w:r>
    </w:p>
    <w:p w14:paraId="34293FAD" w14:textId="77777777" w:rsidR="009372FA" w:rsidRPr="009372FA" w:rsidRDefault="009372FA" w:rsidP="009372FA">
      <w:pPr>
        <w:spacing w:after="0"/>
        <w:jc w:val="both"/>
        <w:rPr>
          <w:rFonts w:ascii="Arial" w:hAnsi="Arial" w:cs="Arial"/>
        </w:rPr>
      </w:pPr>
      <w:r w:rsidRPr="009372FA">
        <w:rPr>
          <w:rFonts w:ascii="Arial" w:hAnsi="Arial" w:cs="Arial"/>
        </w:rPr>
        <w:t>Zakłada się, że dzięki proponowanym zmianom nastąpi:</w:t>
      </w:r>
    </w:p>
    <w:p w14:paraId="2D7C9E39" w14:textId="716B420C" w:rsidR="009372FA" w:rsidRPr="009372FA" w:rsidRDefault="009372FA" w:rsidP="009372FA">
      <w:pPr>
        <w:pStyle w:val="Akapitzlist"/>
        <w:numPr>
          <w:ilvl w:val="0"/>
          <w:numId w:val="6"/>
        </w:numPr>
        <w:spacing w:after="0"/>
        <w:jc w:val="both"/>
        <w:rPr>
          <w:rFonts w:ascii="Arial" w:hAnsi="Arial" w:cs="Arial"/>
        </w:rPr>
      </w:pPr>
      <w:r w:rsidRPr="009372FA">
        <w:rPr>
          <w:rFonts w:ascii="Arial" w:hAnsi="Arial" w:cs="Arial"/>
        </w:rPr>
        <w:t>zmniejszenie obciążenia dla przedsiębiorców, w szczególności małych i średnich przedsiębiorstw, poprzez min. wprowadzenie kalkulatorów ułatwiających wyliczanie wynagrodzenia oraz składek na ubezpieczenia społeczne i zaliczek na podatek, ułatwienie potwierdzania obecności pracownika oraz prowadzenie i przechowywania dokumentacji w sposób elektroniczny;</w:t>
      </w:r>
    </w:p>
    <w:p w14:paraId="20CECA66" w14:textId="1917FDF7" w:rsidR="009372FA" w:rsidRPr="009372FA" w:rsidRDefault="009372FA" w:rsidP="009372FA">
      <w:pPr>
        <w:pStyle w:val="Akapitzlist"/>
        <w:numPr>
          <w:ilvl w:val="0"/>
          <w:numId w:val="6"/>
        </w:numPr>
        <w:spacing w:after="0"/>
        <w:jc w:val="both"/>
        <w:rPr>
          <w:rFonts w:ascii="Arial" w:hAnsi="Arial" w:cs="Arial"/>
        </w:rPr>
      </w:pPr>
      <w:r w:rsidRPr="009372FA">
        <w:rPr>
          <w:rFonts w:ascii="Arial" w:hAnsi="Arial" w:cs="Arial"/>
        </w:rPr>
        <w:t>zmniejszenie szarej strefy i odsetka umów niepodlegających ubezpieczeniom społecznym z uwagi na prostotę zawierania umów i dodatkowe funkcjonalności usprawniające obsługę kadrową;</w:t>
      </w:r>
    </w:p>
    <w:p w14:paraId="38376ECA" w14:textId="09C7849C" w:rsidR="009372FA" w:rsidRPr="009372FA" w:rsidRDefault="009372FA" w:rsidP="009372FA">
      <w:pPr>
        <w:pStyle w:val="Akapitzlist"/>
        <w:numPr>
          <w:ilvl w:val="0"/>
          <w:numId w:val="6"/>
        </w:numPr>
        <w:spacing w:after="0"/>
        <w:jc w:val="both"/>
        <w:rPr>
          <w:rFonts w:ascii="Arial" w:hAnsi="Arial" w:cs="Arial"/>
        </w:rPr>
      </w:pPr>
      <w:r w:rsidRPr="009372FA">
        <w:rPr>
          <w:rFonts w:ascii="Arial" w:hAnsi="Arial" w:cs="Arial"/>
        </w:rPr>
        <w:t xml:space="preserve">podniesienie standardów na rynku pracy oraz zwiększenie świadomości prawnej osób zawierających umowy za pośrednictwem Systemu; </w:t>
      </w:r>
    </w:p>
    <w:p w14:paraId="41A21D04" w14:textId="4A76B200" w:rsidR="009372FA" w:rsidRPr="009372FA" w:rsidRDefault="009372FA" w:rsidP="009372FA">
      <w:pPr>
        <w:pStyle w:val="Akapitzlist"/>
        <w:numPr>
          <w:ilvl w:val="0"/>
          <w:numId w:val="6"/>
        </w:numPr>
        <w:spacing w:after="0"/>
        <w:jc w:val="both"/>
        <w:rPr>
          <w:rFonts w:ascii="Arial" w:hAnsi="Arial" w:cs="Arial"/>
        </w:rPr>
      </w:pPr>
      <w:r w:rsidRPr="009372FA">
        <w:rPr>
          <w:rFonts w:ascii="Arial" w:hAnsi="Arial" w:cs="Arial"/>
        </w:rPr>
        <w:t>ułatwienie przeprowadzania kontroli dla organów kontroli w zakresie przestrzegania przepisów prawa pracy, ubezpieczeń społecznych itp.</w:t>
      </w:r>
    </w:p>
    <w:p w14:paraId="033FEFEF" w14:textId="77777777" w:rsidR="009372FA" w:rsidRPr="009372FA" w:rsidRDefault="009372FA" w:rsidP="009372FA">
      <w:pPr>
        <w:spacing w:after="0"/>
        <w:jc w:val="both"/>
        <w:rPr>
          <w:rFonts w:ascii="Arial" w:hAnsi="Arial" w:cs="Arial"/>
        </w:rPr>
      </w:pPr>
      <w:r w:rsidRPr="009372FA">
        <w:rPr>
          <w:rFonts w:ascii="Arial" w:hAnsi="Arial" w:cs="Arial"/>
        </w:rPr>
        <w:t>Przyjęte rozwiązanie zwiększy elastyczność procesu zawierania umów oraz bezpieczeństwo pracowników i pracodawców.</w:t>
      </w:r>
    </w:p>
    <w:p w14:paraId="46E45042" w14:textId="77777777" w:rsidR="009372FA" w:rsidRPr="009372FA" w:rsidRDefault="009372FA" w:rsidP="009372FA">
      <w:pPr>
        <w:spacing w:after="0"/>
        <w:jc w:val="both"/>
        <w:rPr>
          <w:rFonts w:ascii="Arial" w:hAnsi="Arial" w:cs="Arial"/>
        </w:rPr>
      </w:pPr>
      <w:r w:rsidRPr="009372FA">
        <w:rPr>
          <w:rFonts w:ascii="Arial" w:hAnsi="Arial" w:cs="Arial"/>
        </w:rPr>
        <w:t>Dodatkowo przewiduje się rozszerzenie funkcjonalności Systemu o możliwość dołączania dokumentów dotyczących realizacji obowiązków pracodawcy w zakresie zarządzania bezpieczeństwem i higieną pracy, np. prowadzenie wymaganych przez przepisy prawa wykazów prac lub pracowników czy też innych dokumentów jak: oświadczenia o zapoznaniu się z kartą oceną ryzyka zawodowego czy instrukcjami stanowiskowymi, a także zaświadczeń o odbyciu obowiązkowych szkoleń okresowych w zakresie BHP oraz zaświadczeń o odbyciu innych specjalistycznych szkoleń w zakresie BHP, o których mowa w odrębnych przepisach dla poszczególnych branż.</w:t>
      </w:r>
    </w:p>
    <w:p w14:paraId="3FE7C2CE" w14:textId="77777777" w:rsidR="009372FA" w:rsidRPr="009372FA" w:rsidRDefault="009372FA" w:rsidP="009372FA">
      <w:pPr>
        <w:spacing w:after="0"/>
        <w:jc w:val="both"/>
        <w:rPr>
          <w:rFonts w:ascii="Arial" w:hAnsi="Arial" w:cs="Arial"/>
        </w:rPr>
      </w:pPr>
      <w:r w:rsidRPr="009372FA">
        <w:rPr>
          <w:rFonts w:ascii="Arial" w:hAnsi="Arial" w:cs="Arial"/>
        </w:rPr>
        <w:t xml:space="preserve">Obok powyższych rozwiązań funkcjonalność Systemu zostanie rozwinięta o możliwość dołączenia w Systemie przez pracodawcę dokumentacji dotyczącej zagadnień istotnych dla większych przedsiębiorców, od których ze względu na liczbę zatrudnionych pracowników, a także sektor gospodarki czy branżę, w której działają wymagane jest prowadzenie dodatkowej dokumentacji. </w:t>
      </w:r>
    </w:p>
    <w:p w14:paraId="3929269D" w14:textId="77777777" w:rsidR="009372FA" w:rsidRPr="009372FA" w:rsidRDefault="009372FA" w:rsidP="009372FA">
      <w:pPr>
        <w:spacing w:after="0"/>
        <w:jc w:val="both"/>
        <w:rPr>
          <w:rFonts w:ascii="Arial" w:hAnsi="Arial" w:cs="Arial"/>
        </w:rPr>
      </w:pPr>
      <w:r w:rsidRPr="009372FA">
        <w:rPr>
          <w:rFonts w:ascii="Arial" w:hAnsi="Arial" w:cs="Arial"/>
        </w:rPr>
        <w:t>W celu usprawnienia procesu zawierania i obsługi umów za pośrednictwem Systemu przewiduje się w szczególności:</w:t>
      </w:r>
    </w:p>
    <w:p w14:paraId="7ABB1D56" w14:textId="06C63B0D" w:rsidR="009372FA" w:rsidRPr="009372FA" w:rsidRDefault="009372FA" w:rsidP="009372FA">
      <w:pPr>
        <w:pStyle w:val="Akapitzlist"/>
        <w:numPr>
          <w:ilvl w:val="0"/>
          <w:numId w:val="7"/>
        </w:numPr>
        <w:spacing w:after="0"/>
        <w:jc w:val="both"/>
        <w:rPr>
          <w:rFonts w:ascii="Arial" w:hAnsi="Arial" w:cs="Arial"/>
        </w:rPr>
      </w:pPr>
      <w:r w:rsidRPr="009372FA">
        <w:rPr>
          <w:rFonts w:ascii="Arial" w:hAnsi="Arial" w:cs="Arial"/>
        </w:rPr>
        <w:t xml:space="preserve">rozszerzenie zakresu danych pozyskiwanych z Zakładu Ubezpieczeń Społecznych. Na ZUS będzie nałożony obowiązek przekazywania do Systemu danych niezbędnych do prawidłowego rozliczenia umowy. W szczególności chodzi o przekazywanie do Systemu danych dotyczących m.in. zwolnień lekarskich, opieki nad dzieckiem, </w:t>
      </w:r>
      <w:r w:rsidRPr="009372FA">
        <w:rPr>
          <w:rFonts w:ascii="Arial" w:hAnsi="Arial" w:cs="Arial"/>
        </w:rPr>
        <w:lastRenderedPageBreak/>
        <w:t>pobierania świadczenia rehabilitacyjnego, stażu pracy. Docelowo zakłada się, że ZUS będzie przekazywał do Systemu dane, które obecnie przekazuje pracodawcy na PUE ZUS. Analogiczne rozwiązania przewiduje się w odniesieniu do rozszerzenia zakresu danych pozyskiwanych z Kasy Rolniczego Ubezpieczenia Społecznego;</w:t>
      </w:r>
    </w:p>
    <w:p w14:paraId="7761774E" w14:textId="5621D565" w:rsidR="009372FA" w:rsidRPr="009372FA" w:rsidRDefault="009372FA" w:rsidP="009372FA">
      <w:pPr>
        <w:pStyle w:val="Akapitzlist"/>
        <w:numPr>
          <w:ilvl w:val="0"/>
          <w:numId w:val="7"/>
        </w:numPr>
        <w:spacing w:after="0"/>
        <w:jc w:val="both"/>
        <w:rPr>
          <w:rFonts w:ascii="Arial" w:hAnsi="Arial" w:cs="Arial"/>
        </w:rPr>
      </w:pPr>
      <w:r w:rsidRPr="009372FA">
        <w:rPr>
          <w:rFonts w:ascii="Arial" w:hAnsi="Arial" w:cs="Arial"/>
        </w:rPr>
        <w:t xml:space="preserve">rozszerzenie zakresu danych pozyskiwanych w sposób elektroniczny z takich rejestrów jak KRS i </w:t>
      </w:r>
      <w:proofErr w:type="spellStart"/>
      <w:r w:rsidRPr="009372FA">
        <w:rPr>
          <w:rFonts w:ascii="Arial" w:hAnsi="Arial" w:cs="Arial"/>
        </w:rPr>
        <w:t>CEiDG</w:t>
      </w:r>
      <w:proofErr w:type="spellEnd"/>
      <w:r w:rsidRPr="009372FA">
        <w:rPr>
          <w:rFonts w:ascii="Arial" w:hAnsi="Arial" w:cs="Arial"/>
        </w:rPr>
        <w:t>. W tym zakresie przewiduje się rozszerzenie zakresu pobieranych danych identyfikacyjnych o takie dane jak:  (nazwa, NIP i REGON), danych adresowych, kontaktowych, dotyczących prowadzonej działalności, osób prawnych lub osób fizycznych prowadzących działalność gospodarczą oraz danych identyfikacyjnych (w tym: imiona, nazwiska, PESEL) osób uprawnionych do reprezentowania ww. podmiotów (tj. osób fizycznych prowadzących działalność gospodarczą, członków zarządu, prokurentów, pełnomocników, zarządców sukcesyjnych, zarządców, syndyków, kuratorów, itp.). Celem pozyskiwania tych danych będzie zapewnienie weryfikacji uprawnień osób korzystających z Systemu (zawierających umowy) oraz osób fizycznych reprezentujących dany podmiot, w tym w szczególności weryfikacji poprawności i aktualności danych wprowadzanych przez klientów w procesie zawierania w Systemie i obsługi umów;</w:t>
      </w:r>
    </w:p>
    <w:p w14:paraId="712AF055" w14:textId="3FBA5F57" w:rsidR="009372FA" w:rsidRPr="009372FA" w:rsidRDefault="009372FA" w:rsidP="009372FA">
      <w:pPr>
        <w:pStyle w:val="Akapitzlist"/>
        <w:numPr>
          <w:ilvl w:val="0"/>
          <w:numId w:val="7"/>
        </w:numPr>
        <w:spacing w:after="0"/>
        <w:jc w:val="both"/>
        <w:rPr>
          <w:rFonts w:ascii="Arial" w:hAnsi="Arial" w:cs="Arial"/>
        </w:rPr>
      </w:pPr>
      <w:r w:rsidRPr="009372FA">
        <w:rPr>
          <w:rFonts w:ascii="Arial" w:hAnsi="Arial" w:cs="Arial"/>
        </w:rPr>
        <w:t xml:space="preserve">wprowadzenie kalkulatorów wynagrodzeń i ubezpieczeń (tj. narzędzi, które ułatwią pracodawcom czy zleceniodawcom wyliczanie wynagrodzenia, urlopu wypoczynkowego, składek z tytułu zatrudnienia czy należności podatkowych). </w:t>
      </w:r>
    </w:p>
    <w:p w14:paraId="1752D69B" w14:textId="77777777" w:rsidR="009372FA" w:rsidRPr="009372FA" w:rsidRDefault="009372FA" w:rsidP="009372FA">
      <w:pPr>
        <w:spacing w:after="0"/>
        <w:jc w:val="both"/>
        <w:rPr>
          <w:rFonts w:ascii="Arial" w:hAnsi="Arial" w:cs="Arial"/>
        </w:rPr>
      </w:pPr>
      <w:r w:rsidRPr="009372FA">
        <w:rPr>
          <w:rFonts w:ascii="Arial" w:hAnsi="Arial" w:cs="Arial"/>
        </w:rPr>
        <w:t>Rozszerzenie zakresu danych możliwych do przetwarzania w Systemie, w celu zwiększenia jego funkcjonalności, obejmie co najmniej:</w:t>
      </w:r>
    </w:p>
    <w:p w14:paraId="5FFFB72C" w14:textId="34B7D836" w:rsidR="009372FA" w:rsidRPr="009372FA" w:rsidRDefault="009372FA" w:rsidP="009372FA">
      <w:pPr>
        <w:pStyle w:val="Akapitzlist"/>
        <w:numPr>
          <w:ilvl w:val="0"/>
          <w:numId w:val="9"/>
        </w:numPr>
        <w:spacing w:after="0"/>
        <w:jc w:val="both"/>
        <w:rPr>
          <w:rFonts w:ascii="Arial" w:hAnsi="Arial" w:cs="Arial"/>
        </w:rPr>
      </w:pPr>
      <w:r w:rsidRPr="009372FA">
        <w:rPr>
          <w:rFonts w:ascii="Arial" w:hAnsi="Arial" w:cs="Arial"/>
        </w:rPr>
        <w:t>dodanie pola NIP do danych wszystkich podmiotów będących pracodawcami i zleceniodawcami (z wyjątkiem osób fizycznych nieprowadzących działalności gospodarczej);</w:t>
      </w:r>
    </w:p>
    <w:p w14:paraId="7022FC08" w14:textId="209A3184" w:rsidR="009372FA" w:rsidRPr="009372FA" w:rsidRDefault="009372FA" w:rsidP="009372FA">
      <w:pPr>
        <w:pStyle w:val="Akapitzlist"/>
        <w:numPr>
          <w:ilvl w:val="0"/>
          <w:numId w:val="9"/>
        </w:numPr>
        <w:spacing w:after="0"/>
        <w:jc w:val="both"/>
        <w:rPr>
          <w:rFonts w:ascii="Arial" w:hAnsi="Arial" w:cs="Arial"/>
        </w:rPr>
      </w:pPr>
      <w:r w:rsidRPr="009372FA">
        <w:rPr>
          <w:rFonts w:ascii="Arial" w:hAnsi="Arial" w:cs="Arial"/>
        </w:rPr>
        <w:t>umożliwienie przetwarzania danych dotyczących cudzoziemców (przy utrzymaniu założenia, że posiadają możliwość uwierzytelnienia się profilem zaufanym lub kwalifikowanym podpisem elektronicznym z numerem PNO);</w:t>
      </w:r>
    </w:p>
    <w:p w14:paraId="092BB213" w14:textId="570F8F40" w:rsidR="009372FA" w:rsidRPr="009372FA" w:rsidRDefault="009372FA" w:rsidP="009372FA">
      <w:pPr>
        <w:pStyle w:val="Akapitzlist"/>
        <w:numPr>
          <w:ilvl w:val="0"/>
          <w:numId w:val="9"/>
        </w:numPr>
        <w:spacing w:after="0"/>
        <w:jc w:val="both"/>
        <w:rPr>
          <w:rFonts w:ascii="Arial" w:hAnsi="Arial" w:cs="Arial"/>
        </w:rPr>
      </w:pPr>
      <w:r w:rsidRPr="009372FA">
        <w:rPr>
          <w:rFonts w:ascii="Arial" w:hAnsi="Arial" w:cs="Arial"/>
        </w:rPr>
        <w:t>zapewnienie podstaw prawnych dla przetwarzania danych innych osób fizycznych uprawnionych do reprezentacji osób prawnych lub osób fizycznych prowadzących działalność gospodarczą, które korzystają z Systemu;</w:t>
      </w:r>
    </w:p>
    <w:p w14:paraId="6C5B3D6B" w14:textId="349419D5" w:rsidR="009372FA" w:rsidRPr="009372FA" w:rsidRDefault="009372FA" w:rsidP="009372FA">
      <w:pPr>
        <w:pStyle w:val="Akapitzlist"/>
        <w:numPr>
          <w:ilvl w:val="0"/>
          <w:numId w:val="9"/>
        </w:numPr>
        <w:spacing w:after="0"/>
        <w:jc w:val="both"/>
        <w:rPr>
          <w:rFonts w:ascii="Arial" w:hAnsi="Arial" w:cs="Arial"/>
        </w:rPr>
      </w:pPr>
      <w:r w:rsidRPr="009372FA">
        <w:rPr>
          <w:rFonts w:ascii="Arial" w:hAnsi="Arial" w:cs="Arial"/>
        </w:rPr>
        <w:t>przetwarzanie danych zleceniobiorców będących osobami fizycznymi prowadzącymi działalność gospodarczą/ osobami prawnymi (umowy B2B).</w:t>
      </w:r>
    </w:p>
    <w:p w14:paraId="03502CC2" w14:textId="77777777" w:rsidR="009372FA" w:rsidRPr="009372FA" w:rsidRDefault="009372FA" w:rsidP="009372FA">
      <w:pPr>
        <w:spacing w:after="0"/>
        <w:jc w:val="both"/>
        <w:rPr>
          <w:rFonts w:ascii="Arial" w:hAnsi="Arial" w:cs="Arial"/>
        </w:rPr>
      </w:pPr>
      <w:r w:rsidRPr="009372FA">
        <w:rPr>
          <w:rFonts w:ascii="Arial" w:hAnsi="Arial" w:cs="Arial"/>
        </w:rPr>
        <w:t xml:space="preserve">Mając na uwadze podniesienie standardów na rynku pracy oraz zwiększenie świadomości prawnej osób zawierających umowy, za pośrednictwem Systemu, strony umowy będą informowane o obowiązujących przepisach prawa (np. prawa pracy czy prawa ubezpieczeń społecznych). </w:t>
      </w:r>
    </w:p>
    <w:p w14:paraId="35D1BDC2" w14:textId="77777777" w:rsidR="009372FA" w:rsidRPr="009372FA" w:rsidRDefault="009372FA" w:rsidP="009372FA">
      <w:pPr>
        <w:spacing w:after="0"/>
        <w:jc w:val="both"/>
        <w:rPr>
          <w:rFonts w:ascii="Arial" w:hAnsi="Arial" w:cs="Arial"/>
        </w:rPr>
      </w:pPr>
      <w:r w:rsidRPr="009372FA">
        <w:rPr>
          <w:rFonts w:ascii="Arial" w:hAnsi="Arial" w:cs="Arial"/>
        </w:rPr>
        <w:t xml:space="preserve">Mając na uwadze ułatwienie pracodawcom realizacji obowiązku wynikającego z art. 17 ust. 1 pkt 2 ustawy z dnia 20 marca 2025 r. o warunkach dopuszczalności powierzania pracy cudzoziemcom na terytorium Rzeczpospolitej Polskiej w Systemie zostanie uruchomiona funkcjonalność, która w przypadku zawierania umowy z cudzoziemcem, pozwoli na realizację ww. obowiązku. </w:t>
      </w:r>
    </w:p>
    <w:p w14:paraId="4A69868F" w14:textId="77777777" w:rsidR="009372FA" w:rsidRPr="009372FA" w:rsidRDefault="009372FA" w:rsidP="009372FA">
      <w:pPr>
        <w:spacing w:after="0"/>
        <w:jc w:val="both"/>
        <w:rPr>
          <w:rFonts w:ascii="Arial" w:hAnsi="Arial" w:cs="Arial"/>
        </w:rPr>
      </w:pPr>
      <w:r w:rsidRPr="009372FA">
        <w:rPr>
          <w:rFonts w:ascii="Arial" w:hAnsi="Arial" w:cs="Arial"/>
        </w:rPr>
        <w:t>Dzięki nowelizacji ustawy nastąpi rozwinięcie funkcjonalności Systemu w postaci możliwości potwierdzania za pomocą Systemu obecności pracownika w pracy, dzięki czemu System będzie ułatwiał prowadzenie ewidencji czasu pracy pracownika do celów prawidłowego ustalenia jego wynagrodzenia i innych świadczeń związanych z pracą.</w:t>
      </w:r>
    </w:p>
    <w:p w14:paraId="4BED552F" w14:textId="71070443" w:rsidR="009372FA" w:rsidRDefault="009372FA" w:rsidP="009372FA">
      <w:pPr>
        <w:spacing w:after="0"/>
        <w:jc w:val="both"/>
        <w:rPr>
          <w:rFonts w:ascii="Arial" w:hAnsi="Arial" w:cs="Arial"/>
        </w:rPr>
      </w:pPr>
      <w:r w:rsidRPr="009372FA">
        <w:rPr>
          <w:rFonts w:ascii="Arial" w:hAnsi="Arial" w:cs="Arial"/>
        </w:rPr>
        <w:t xml:space="preserve">W Systemie ujęte będą również informacje o prawach pracowniczych, w tym o prawie pracowników do zrzeszania się, jak również informacje o możliwości zgłoszenia do </w:t>
      </w:r>
      <w:r w:rsidRPr="009372FA">
        <w:rPr>
          <w:rFonts w:ascii="Arial" w:hAnsi="Arial" w:cs="Arial"/>
        </w:rPr>
        <w:lastRenderedPageBreak/>
        <w:t>Państwowej Inspekcji Pracy naruszenia praw pracowniczych przez pracodawcę lub uzyskania przez pracowników bezpłatnej porady</w:t>
      </w:r>
      <w:r>
        <w:rPr>
          <w:rFonts w:ascii="Arial" w:hAnsi="Arial" w:cs="Arial"/>
        </w:rPr>
        <w:t>.</w:t>
      </w:r>
    </w:p>
    <w:p w14:paraId="3B04CA63" w14:textId="77777777" w:rsidR="009372FA" w:rsidRDefault="009372FA" w:rsidP="009372FA">
      <w:pPr>
        <w:spacing w:after="0"/>
        <w:jc w:val="both"/>
        <w:rPr>
          <w:rFonts w:ascii="Arial" w:hAnsi="Arial" w:cs="Arial"/>
        </w:rPr>
      </w:pPr>
    </w:p>
    <w:p w14:paraId="0D2088D7" w14:textId="77777777" w:rsidR="009372FA" w:rsidRPr="009372FA" w:rsidRDefault="009372FA" w:rsidP="009372FA">
      <w:pPr>
        <w:spacing w:after="0"/>
        <w:jc w:val="both"/>
        <w:rPr>
          <w:rFonts w:ascii="Arial" w:hAnsi="Arial" w:cs="Arial"/>
        </w:rPr>
      </w:pPr>
      <w:r w:rsidRPr="009372FA">
        <w:rPr>
          <w:rFonts w:ascii="Arial" w:hAnsi="Arial" w:cs="Arial"/>
        </w:rPr>
        <w:t>Przedmiotowy projekt aktu prawnego wraz z Uzasadnieniem oraz Oceną Skutków Regulacji dostępny jest na stronach Rządowego Centrum Legislacji pod adresem:</w:t>
      </w:r>
    </w:p>
    <w:p w14:paraId="256BB2E8" w14:textId="13ED8627" w:rsidR="009372FA" w:rsidRDefault="009372FA" w:rsidP="009372FA">
      <w:pPr>
        <w:spacing w:after="0"/>
        <w:jc w:val="both"/>
        <w:rPr>
          <w:rFonts w:ascii="Arial" w:hAnsi="Arial" w:cs="Arial"/>
        </w:rPr>
      </w:pPr>
      <w:hyperlink r:id="rId6" w:history="1">
        <w:r w:rsidRPr="00DC4861">
          <w:rPr>
            <w:rStyle w:val="Hipercze"/>
            <w:rFonts w:ascii="Arial" w:hAnsi="Arial" w:cs="Arial"/>
          </w:rPr>
          <w:t>https://legislacja.rcl.gov.pl/projekt/12398262</w:t>
        </w:r>
        <w:r w:rsidRPr="00DC4861">
          <w:rPr>
            <w:rStyle w:val="Hipercze"/>
            <w:rFonts w:ascii="Arial" w:hAnsi="Arial" w:cs="Arial"/>
          </w:rPr>
          <w:t>/</w:t>
        </w:r>
        <w:r w:rsidRPr="00DC4861">
          <w:rPr>
            <w:rStyle w:val="Hipercze"/>
            <w:rFonts w:ascii="Arial" w:hAnsi="Arial" w:cs="Arial"/>
          </w:rPr>
          <w:t>katalog/13131629#13131629</w:t>
        </w:r>
      </w:hyperlink>
      <w:r>
        <w:rPr>
          <w:rFonts w:ascii="Arial" w:hAnsi="Arial" w:cs="Arial"/>
        </w:rPr>
        <w:t xml:space="preserve"> </w:t>
      </w:r>
    </w:p>
    <w:p w14:paraId="26919814" w14:textId="77777777" w:rsidR="009372FA" w:rsidRDefault="009372FA" w:rsidP="009372FA">
      <w:pPr>
        <w:spacing w:after="0"/>
        <w:jc w:val="both"/>
        <w:rPr>
          <w:rFonts w:ascii="Arial" w:hAnsi="Arial" w:cs="Arial"/>
        </w:rPr>
      </w:pPr>
    </w:p>
    <w:p w14:paraId="05BB403C" w14:textId="0026FAB0" w:rsidR="009372FA" w:rsidRPr="009372FA" w:rsidRDefault="009372FA" w:rsidP="009372FA">
      <w:pPr>
        <w:spacing w:after="0"/>
        <w:jc w:val="both"/>
        <w:rPr>
          <w:rFonts w:ascii="Arial" w:hAnsi="Arial" w:cs="Arial"/>
        </w:rPr>
      </w:pPr>
      <w:r w:rsidRPr="009372FA">
        <w:rPr>
          <w:rFonts w:ascii="Arial" w:hAnsi="Arial" w:cs="Arial"/>
        </w:rPr>
        <w:t>Projekt jest obecnie jednocześnie na etapie uzgodnień, konsultacji publicznych i opiniowania</w:t>
      </w:r>
      <w:r>
        <w:rPr>
          <w:rFonts w:ascii="Arial" w:hAnsi="Arial" w:cs="Arial"/>
        </w:rPr>
        <w:t>.</w:t>
      </w:r>
    </w:p>
    <w:p w14:paraId="7B9BED4C" w14:textId="77777777" w:rsidR="009372FA" w:rsidRDefault="009372FA" w:rsidP="009372FA">
      <w:pPr>
        <w:spacing w:after="0"/>
        <w:jc w:val="both"/>
        <w:rPr>
          <w:rFonts w:ascii="Arial" w:hAnsi="Arial" w:cs="Arial"/>
        </w:rPr>
      </w:pPr>
    </w:p>
    <w:p w14:paraId="27EB82F5" w14:textId="77777777" w:rsidR="009372FA" w:rsidRDefault="009372FA" w:rsidP="009372FA">
      <w:pPr>
        <w:spacing w:after="0"/>
        <w:jc w:val="both"/>
        <w:rPr>
          <w:rFonts w:ascii="Arial" w:hAnsi="Arial" w:cs="Arial"/>
        </w:rPr>
      </w:pPr>
      <w:r>
        <w:rPr>
          <w:rFonts w:ascii="Arial" w:hAnsi="Arial" w:cs="Arial"/>
        </w:rPr>
        <w:t>Projekty rozporządzeń:</w:t>
      </w:r>
    </w:p>
    <w:p w14:paraId="32666D00" w14:textId="77777777" w:rsidR="009372FA" w:rsidRDefault="009372FA" w:rsidP="009372FA">
      <w:pPr>
        <w:spacing w:after="0"/>
        <w:jc w:val="both"/>
        <w:rPr>
          <w:rFonts w:ascii="Arial" w:hAnsi="Arial" w:cs="Arial"/>
        </w:rPr>
      </w:pPr>
    </w:p>
    <w:p w14:paraId="110BBEB5" w14:textId="408C4985" w:rsidR="009372FA" w:rsidRPr="00924AB8" w:rsidRDefault="00924AB8" w:rsidP="009372FA">
      <w:pPr>
        <w:pStyle w:val="Akapitzlist"/>
        <w:numPr>
          <w:ilvl w:val="0"/>
          <w:numId w:val="4"/>
        </w:numPr>
        <w:spacing w:after="0"/>
        <w:jc w:val="both"/>
        <w:rPr>
          <w:rFonts w:ascii="Arial" w:hAnsi="Arial" w:cs="Arial"/>
          <w:b/>
          <w:bCs/>
          <w:u w:val="single"/>
        </w:rPr>
      </w:pPr>
      <w:r w:rsidRPr="00924AB8">
        <w:rPr>
          <w:rFonts w:ascii="Arial" w:hAnsi="Arial" w:cs="Arial"/>
          <w:b/>
          <w:bCs/>
          <w:u w:val="single"/>
        </w:rPr>
        <w:t>P</w:t>
      </w:r>
      <w:r w:rsidRPr="00924AB8">
        <w:rPr>
          <w:rFonts w:ascii="Arial" w:hAnsi="Arial" w:cs="Arial"/>
          <w:b/>
          <w:bCs/>
          <w:u w:val="single"/>
        </w:rPr>
        <w:t>rojekt rozporządzenia Ministra Finansów zmieniającego rozporządzenie w sprawie zakresu informacji wykazywanych w sprawozdaniach finansowych i skonsolidowanych sprawozdaniach finansowych wymaganych w prospekcie dla emitentów z siedzibą na terytorium Rzeczypospolitej Polskiej, dla których właściwe są polskie zasady rachunkowości (numer z wykazu 991).</w:t>
      </w:r>
    </w:p>
    <w:p w14:paraId="0DD303E1" w14:textId="77777777" w:rsidR="009372FA" w:rsidRDefault="009372FA" w:rsidP="009372FA">
      <w:pPr>
        <w:spacing w:after="0"/>
        <w:jc w:val="both"/>
        <w:rPr>
          <w:rFonts w:ascii="Arial" w:hAnsi="Arial" w:cs="Arial"/>
        </w:rPr>
      </w:pPr>
    </w:p>
    <w:p w14:paraId="10D760B7" w14:textId="77777777" w:rsidR="00924AB8" w:rsidRPr="00924AB8" w:rsidRDefault="00924AB8" w:rsidP="00924AB8">
      <w:pPr>
        <w:spacing w:after="0"/>
        <w:jc w:val="both"/>
        <w:rPr>
          <w:rFonts w:ascii="Arial" w:hAnsi="Arial" w:cs="Arial"/>
        </w:rPr>
      </w:pPr>
      <w:r w:rsidRPr="00924AB8">
        <w:rPr>
          <w:rFonts w:ascii="Arial" w:hAnsi="Arial" w:cs="Arial"/>
        </w:rPr>
        <w:t xml:space="preserve">Celem projektu rozporządzenia jest dostosowanie rozporządzenia Ministra Finansów z dnia 5 października 2020 r. w sprawie zakresu informacji wykazywanych w sprawozdaniach finansowych i skonsolidowanych sprawozdaniach finansowych wymaganych w prospekcie dla emitentów z siedzibą na terytorium Rzeczypospolitej Polskiej, dla których właściwe są polskie zasady rachunkowości (Dz. U. poz. 2000) do zmian w ustawie z dnia 29 września 1994 r. o rachunkowości (Dz. U. z 2023 r. poz. 120, z </w:t>
      </w:r>
      <w:proofErr w:type="spellStart"/>
      <w:r w:rsidRPr="00924AB8">
        <w:rPr>
          <w:rFonts w:ascii="Arial" w:hAnsi="Arial" w:cs="Arial"/>
        </w:rPr>
        <w:t>późn</w:t>
      </w:r>
      <w:proofErr w:type="spellEnd"/>
      <w:r w:rsidRPr="00924AB8">
        <w:rPr>
          <w:rFonts w:ascii="Arial" w:hAnsi="Arial" w:cs="Arial"/>
        </w:rPr>
        <w:t>. zm.) wprowadzonych ustawą z dnia 6 grudnia 2024 r. o zmianie ustawy o rachunkowości, ustawy o biegłych rewidentach, firmach audytorskich oraz nadzorze publicznym oraz niektórych innych ustaw (Dz. U. poz. 1863), które wprowadziły nową definicję przychodów netto ze sprzedaży towarów i produktów.</w:t>
      </w:r>
    </w:p>
    <w:p w14:paraId="2EFF9F03" w14:textId="31A5FF48" w:rsidR="009372FA" w:rsidRDefault="00924AB8" w:rsidP="00924AB8">
      <w:pPr>
        <w:spacing w:after="0"/>
        <w:jc w:val="both"/>
        <w:rPr>
          <w:rFonts w:ascii="Arial" w:hAnsi="Arial" w:cs="Arial"/>
        </w:rPr>
      </w:pPr>
      <w:r w:rsidRPr="00924AB8">
        <w:rPr>
          <w:rFonts w:ascii="Arial" w:hAnsi="Arial" w:cs="Arial"/>
        </w:rPr>
        <w:t>W odniesieniu do jednostek określonych w art. 3 pkt 30a lit. a ustawy o rachunkowości przez przychody netto ze sprzedaży towarów i produktów rozumie się przychody netto ze sprzedaży towarów i produktów, z uwzględnieniem dotacji, opustów, rabatów i innych zwiększeń lub zmniejszeń, bez podatku od towarów i usług oraz innych podatków bezpośrednio związanych z obrotem. Zgodnie z art. 3 ust. 1 pkt 19 ustawy o rachunkowości, materiały stanowią rzeczowe aktywa obrotowe, które jednostka nabywa w celu zużycia na własne potrzeby. Oznacza to, że materiały są przeznaczone do wykorzystania w procesach wewnętrznych przedsiębiorstwa, np. w produkcji, świadczeniu usług lub funkcjonowaniu administracyjnym, a nie do dalszej odsprzedaży klientom. Zatem sprzedaż materiałów nie stanowi elementu przychodów z podstawowej działalności operacyjnej. Z uwagi na usunięcie z kategorii przychodów netto ze sprzedaży przychodów ze sprzedaży materiałów, konieczna jest korekta w tym zakresie i skreślenie w załączniku nr 1 do rozporządzenia, w części rachunku zysków i strat/skonsolidowanym rachunku zysków i strat oraz w nocie 28 - do poz. I.2. (wariant kalkulacyjny)/poz. 1.4. (wariant porównawczy) – wyrazów „i materiałów”.</w:t>
      </w:r>
    </w:p>
    <w:p w14:paraId="24591DB1" w14:textId="77777777" w:rsidR="009372FA" w:rsidRDefault="009372FA" w:rsidP="009372FA">
      <w:pPr>
        <w:spacing w:after="0"/>
        <w:jc w:val="both"/>
        <w:rPr>
          <w:rFonts w:ascii="Arial" w:hAnsi="Arial" w:cs="Arial"/>
        </w:rPr>
      </w:pPr>
    </w:p>
    <w:p w14:paraId="1645F933" w14:textId="77777777" w:rsidR="00924AB8" w:rsidRPr="00924AB8" w:rsidRDefault="00924AB8" w:rsidP="00924AB8">
      <w:pPr>
        <w:spacing w:after="0"/>
        <w:jc w:val="both"/>
        <w:rPr>
          <w:rFonts w:ascii="Arial" w:hAnsi="Arial" w:cs="Arial"/>
        </w:rPr>
      </w:pPr>
      <w:r w:rsidRPr="00924AB8">
        <w:rPr>
          <w:rFonts w:ascii="Arial" w:hAnsi="Arial" w:cs="Arial"/>
        </w:rPr>
        <w:t>Przedmiotowy projekt aktu prawnego wraz z Uzasadnieniem oraz Oceną Skutków Regulacji dostępny jest na stronach Rządowego Centrum Legislacji pod adresem:</w:t>
      </w:r>
    </w:p>
    <w:p w14:paraId="460CB241" w14:textId="27D06A9A" w:rsidR="009372FA" w:rsidRDefault="00924AB8" w:rsidP="00924AB8">
      <w:pPr>
        <w:spacing w:after="0"/>
        <w:jc w:val="both"/>
        <w:rPr>
          <w:rFonts w:ascii="Arial" w:hAnsi="Arial" w:cs="Arial"/>
        </w:rPr>
      </w:pPr>
      <w:hyperlink r:id="rId7" w:history="1">
        <w:r w:rsidRPr="00DC4861">
          <w:rPr>
            <w:rStyle w:val="Hipercze"/>
            <w:rFonts w:ascii="Arial" w:hAnsi="Arial" w:cs="Arial"/>
          </w:rPr>
          <w:t>https://legislacja.rcl.gov.pl/projekt/12398253/kat</w:t>
        </w:r>
        <w:r w:rsidRPr="00DC4861">
          <w:rPr>
            <w:rStyle w:val="Hipercze"/>
            <w:rFonts w:ascii="Arial" w:hAnsi="Arial" w:cs="Arial"/>
          </w:rPr>
          <w:t>a</w:t>
        </w:r>
        <w:r w:rsidRPr="00DC4861">
          <w:rPr>
            <w:rStyle w:val="Hipercze"/>
            <w:rFonts w:ascii="Arial" w:hAnsi="Arial" w:cs="Arial"/>
          </w:rPr>
          <w:t>log/13131242#13131242</w:t>
        </w:r>
      </w:hyperlink>
      <w:r>
        <w:rPr>
          <w:rFonts w:ascii="Arial" w:hAnsi="Arial" w:cs="Arial"/>
        </w:rPr>
        <w:t xml:space="preserve"> </w:t>
      </w:r>
    </w:p>
    <w:p w14:paraId="6262ACAA" w14:textId="77777777" w:rsidR="00924AB8" w:rsidRDefault="00924AB8" w:rsidP="00924AB8">
      <w:pPr>
        <w:spacing w:after="0"/>
        <w:jc w:val="both"/>
        <w:rPr>
          <w:rFonts w:ascii="Arial" w:hAnsi="Arial" w:cs="Arial"/>
        </w:rPr>
      </w:pPr>
    </w:p>
    <w:p w14:paraId="16C55C03" w14:textId="6775959C" w:rsidR="00924AB8" w:rsidRDefault="00924AB8" w:rsidP="00924AB8">
      <w:pPr>
        <w:spacing w:after="0"/>
        <w:jc w:val="both"/>
        <w:rPr>
          <w:rFonts w:ascii="Arial" w:hAnsi="Arial" w:cs="Arial"/>
        </w:rPr>
      </w:pPr>
      <w:r w:rsidRPr="00924AB8">
        <w:rPr>
          <w:rFonts w:ascii="Arial" w:hAnsi="Arial" w:cs="Arial"/>
        </w:rPr>
        <w:t>Projekt jest obecnie jednocześnie na etapie uzgodnień, konsultacji publicznych i opiniowania</w:t>
      </w:r>
      <w:r>
        <w:rPr>
          <w:rFonts w:ascii="Arial" w:hAnsi="Arial" w:cs="Arial"/>
        </w:rPr>
        <w:t>.</w:t>
      </w:r>
    </w:p>
    <w:p w14:paraId="78476605" w14:textId="77777777" w:rsidR="009372FA" w:rsidRPr="009372FA" w:rsidRDefault="009372FA" w:rsidP="009372FA">
      <w:pPr>
        <w:spacing w:after="0"/>
        <w:jc w:val="both"/>
        <w:rPr>
          <w:rFonts w:ascii="Arial" w:hAnsi="Arial" w:cs="Arial"/>
        </w:rPr>
      </w:pPr>
    </w:p>
    <w:p w14:paraId="56CAE3A0" w14:textId="2B105CC1" w:rsidR="009372FA" w:rsidRPr="00924AB8" w:rsidRDefault="00924AB8" w:rsidP="009372FA">
      <w:pPr>
        <w:pStyle w:val="Akapitzlist"/>
        <w:numPr>
          <w:ilvl w:val="0"/>
          <w:numId w:val="4"/>
        </w:numPr>
        <w:spacing w:after="0"/>
        <w:jc w:val="both"/>
        <w:rPr>
          <w:rFonts w:ascii="Arial" w:hAnsi="Arial" w:cs="Arial"/>
          <w:b/>
          <w:bCs/>
          <w:u w:val="single"/>
        </w:rPr>
      </w:pPr>
      <w:r w:rsidRPr="00924AB8">
        <w:rPr>
          <w:rFonts w:ascii="Arial" w:hAnsi="Arial" w:cs="Arial"/>
          <w:b/>
          <w:bCs/>
          <w:u w:val="single"/>
        </w:rPr>
        <w:lastRenderedPageBreak/>
        <w:t>P</w:t>
      </w:r>
      <w:r w:rsidRPr="00924AB8">
        <w:rPr>
          <w:rFonts w:ascii="Arial" w:hAnsi="Arial" w:cs="Arial"/>
          <w:b/>
          <w:bCs/>
          <w:u w:val="single"/>
        </w:rPr>
        <w:t>rojekt rozporządzenia Ministra Funduszy i Polityki Regionalnej zmieniające rozporządzenie w sprawie udzielania pomocy inwestycyjnej na propagowanie energii ze źródeł odnawialnych, propagowanie wodoru odnawialnego i wysokosprawnej kogeneracji w ramach regionalnych programów na lata 2021–2027 (numer z wykazu 121).</w:t>
      </w:r>
    </w:p>
    <w:p w14:paraId="19C0CCFC" w14:textId="77777777" w:rsidR="00924AB8" w:rsidRDefault="00924AB8" w:rsidP="00924AB8">
      <w:pPr>
        <w:spacing w:after="0"/>
        <w:jc w:val="both"/>
        <w:rPr>
          <w:rFonts w:ascii="Arial" w:hAnsi="Arial" w:cs="Arial"/>
        </w:rPr>
      </w:pPr>
    </w:p>
    <w:p w14:paraId="2BD05DBE" w14:textId="77777777" w:rsidR="00924AB8" w:rsidRPr="00924AB8" w:rsidRDefault="00924AB8" w:rsidP="00924AB8">
      <w:pPr>
        <w:spacing w:after="0"/>
        <w:jc w:val="both"/>
        <w:rPr>
          <w:rFonts w:ascii="Arial" w:hAnsi="Arial" w:cs="Arial"/>
        </w:rPr>
      </w:pPr>
      <w:r w:rsidRPr="00924AB8">
        <w:rPr>
          <w:rFonts w:ascii="Arial" w:hAnsi="Arial" w:cs="Arial"/>
        </w:rPr>
        <w:t xml:space="preserve">W związku z dopuszczeniem przez Komisję Europejską możliwości finansowania samodzielnych projektów jednostek magazynowania energii elektrycznej lub energii cieplnej, samodzielnych projektów magazynowania biopaliw, </w:t>
      </w:r>
      <w:proofErr w:type="spellStart"/>
      <w:r w:rsidRPr="00924AB8">
        <w:rPr>
          <w:rFonts w:ascii="Arial" w:hAnsi="Arial" w:cs="Arial"/>
        </w:rPr>
        <w:t>biopłynów</w:t>
      </w:r>
      <w:proofErr w:type="spellEnd"/>
      <w:r w:rsidRPr="00924AB8">
        <w:rPr>
          <w:rFonts w:ascii="Arial" w:hAnsi="Arial" w:cs="Arial"/>
        </w:rPr>
        <w:t xml:space="preserve">, biogazu (w tym </w:t>
      </w:r>
      <w:proofErr w:type="spellStart"/>
      <w:r w:rsidRPr="00924AB8">
        <w:rPr>
          <w:rFonts w:ascii="Arial" w:hAnsi="Arial" w:cs="Arial"/>
        </w:rPr>
        <w:t>biometanu</w:t>
      </w:r>
      <w:proofErr w:type="spellEnd"/>
      <w:r w:rsidRPr="00924AB8">
        <w:rPr>
          <w:rFonts w:ascii="Arial" w:hAnsi="Arial" w:cs="Arial"/>
        </w:rPr>
        <w:t xml:space="preserve">) i paliw z biomasy oraz samodzielnych projektów </w:t>
      </w:r>
      <w:proofErr w:type="spellStart"/>
      <w:r w:rsidRPr="00924AB8">
        <w:rPr>
          <w:rFonts w:ascii="Arial" w:hAnsi="Arial" w:cs="Arial"/>
        </w:rPr>
        <w:t>przesyłu</w:t>
      </w:r>
      <w:proofErr w:type="spellEnd"/>
      <w:r w:rsidRPr="00924AB8">
        <w:rPr>
          <w:rFonts w:ascii="Arial" w:hAnsi="Arial" w:cs="Arial"/>
        </w:rPr>
        <w:t xml:space="preserve">, dystrybucji oraz magazynowania wodoru odnawialnego, niezbędna jest nowelizacja rozporządzenia Ministra Funduszy i Polityki Regionalnej z dnia 11 grudnia 2022 r. w sprawie udzielania pomocy inwestycyjnej na propagowanie energii ze źródeł odnawialnych, propagowanie wodoru odnawialnego i wysokosprawnej kogeneracji w ramach regionalnych programów na lata 2021–2027 (Dz. U. z 2025 r. poz. 150), zwanego dalej „rozporządzeniem z dnia 11 grudnia 2022 r.”. Dodatkowo chęć wspierania samodzielnych projektów magazynowych (bez konieczności łączenia ich z nowoutworzoną jednostką wytwórczą) wyraziła większość Instytucji Zarządzających Regionalnymi Programami na lata 2021-2027. </w:t>
      </w:r>
    </w:p>
    <w:p w14:paraId="73A91065" w14:textId="77777777" w:rsidR="00924AB8" w:rsidRPr="00924AB8" w:rsidRDefault="00924AB8" w:rsidP="00924AB8">
      <w:pPr>
        <w:spacing w:after="0"/>
        <w:jc w:val="both"/>
        <w:rPr>
          <w:rFonts w:ascii="Arial" w:hAnsi="Arial" w:cs="Arial"/>
        </w:rPr>
      </w:pPr>
      <w:r w:rsidRPr="00924AB8">
        <w:rPr>
          <w:rFonts w:ascii="Arial" w:hAnsi="Arial" w:cs="Arial"/>
        </w:rPr>
        <w:t xml:space="preserve">Do tej pory na podstawie rozporządzenia z dnia 11 grudnia 2022 r. istniała jedynie możliwość wsparcia projektów polegających na utworzeniu samodzielnej jednostki produkcyjnej lub na utworzeniu jednostki magazynowej, ale w połączeniu z nową jednostką produkcyjną. Projektowane rozporządzenie poszerzy możliwy katalog wsparcia projektów o samodzielne projekty magazynowania energii ze źródeł odnawialnych (oraz samodzielne projekty </w:t>
      </w:r>
      <w:proofErr w:type="spellStart"/>
      <w:r w:rsidRPr="00924AB8">
        <w:rPr>
          <w:rFonts w:ascii="Arial" w:hAnsi="Arial" w:cs="Arial"/>
        </w:rPr>
        <w:t>przesyłu</w:t>
      </w:r>
      <w:proofErr w:type="spellEnd"/>
      <w:r w:rsidRPr="00924AB8">
        <w:rPr>
          <w:rFonts w:ascii="Arial" w:hAnsi="Arial" w:cs="Arial"/>
        </w:rPr>
        <w:t>, dystrybucji i magazynowania wodoru odnawianego) bez konieczności łączenia tych jednostek magazynowych z nowoutworzoną jednostką produkcyjną.</w:t>
      </w:r>
    </w:p>
    <w:p w14:paraId="37E6F2BF" w14:textId="77777777" w:rsidR="00924AB8" w:rsidRPr="00924AB8" w:rsidRDefault="00924AB8" w:rsidP="00924AB8">
      <w:pPr>
        <w:spacing w:after="0"/>
        <w:jc w:val="both"/>
        <w:rPr>
          <w:rFonts w:ascii="Arial" w:hAnsi="Arial" w:cs="Arial"/>
        </w:rPr>
      </w:pPr>
      <w:r w:rsidRPr="00924AB8">
        <w:rPr>
          <w:rFonts w:ascii="Arial" w:hAnsi="Arial" w:cs="Arial"/>
        </w:rPr>
        <w:t xml:space="preserve">Poszerzenie katalogu projektów możliwych do objęcia wsparciem w ramach rozporządzenia nr 651/2014 umożliwiającego udzielanie pomocy inwestycyjnej na propagowanie energii ze źródeł odnawialnych, propagowanie wodoru odnawialnego i wysokosprawnej kogeneracji w ramach regionalnych programów na lata 2021–2027 nie jest możliwe w wyniku podjęcia działań innych niż legislacyjne. </w:t>
      </w:r>
    </w:p>
    <w:p w14:paraId="5146B637" w14:textId="31FB4D33" w:rsidR="00924AB8" w:rsidRDefault="00924AB8" w:rsidP="00924AB8">
      <w:pPr>
        <w:spacing w:after="0"/>
        <w:jc w:val="both"/>
        <w:rPr>
          <w:rFonts w:ascii="Arial" w:hAnsi="Arial" w:cs="Arial"/>
        </w:rPr>
      </w:pPr>
      <w:r w:rsidRPr="00924AB8">
        <w:rPr>
          <w:rFonts w:ascii="Arial" w:hAnsi="Arial" w:cs="Arial"/>
        </w:rPr>
        <w:t>Poszerzenie katalogu projektów możliwych do objęcia wsparciem w wyniku przyjętej regulacji umożliwi efektywne wykorzystanie środków przeznaczonych na cele rozwojowe w regionach do dnia 30 czerwca 2027 r.</w:t>
      </w:r>
    </w:p>
    <w:p w14:paraId="643EF2A5" w14:textId="77777777" w:rsidR="00924AB8" w:rsidRDefault="00924AB8" w:rsidP="00924AB8">
      <w:pPr>
        <w:spacing w:after="0"/>
        <w:jc w:val="both"/>
        <w:rPr>
          <w:rFonts w:ascii="Arial" w:hAnsi="Arial" w:cs="Arial"/>
        </w:rPr>
      </w:pPr>
    </w:p>
    <w:p w14:paraId="65771765" w14:textId="77777777" w:rsidR="00924AB8" w:rsidRPr="00924AB8" w:rsidRDefault="00924AB8" w:rsidP="00924AB8">
      <w:pPr>
        <w:spacing w:after="0"/>
        <w:jc w:val="both"/>
        <w:rPr>
          <w:rFonts w:ascii="Arial" w:hAnsi="Arial" w:cs="Arial"/>
        </w:rPr>
      </w:pPr>
      <w:r w:rsidRPr="00924AB8">
        <w:rPr>
          <w:rFonts w:ascii="Arial" w:hAnsi="Arial" w:cs="Arial"/>
        </w:rPr>
        <w:t>Przedmiotowy projekt aktu prawnego wraz z Uzasadnieniem oraz Oceną Skutków Regulacji dostępny jest na stronach Rządowego Centrum Legislacji pod adresem:</w:t>
      </w:r>
    </w:p>
    <w:p w14:paraId="4C483ED2" w14:textId="0AE2B914" w:rsidR="00924AB8" w:rsidRDefault="00924AB8" w:rsidP="00924AB8">
      <w:pPr>
        <w:spacing w:after="0"/>
        <w:jc w:val="both"/>
        <w:rPr>
          <w:rFonts w:ascii="Arial" w:hAnsi="Arial" w:cs="Arial"/>
        </w:rPr>
      </w:pPr>
      <w:hyperlink r:id="rId8" w:history="1">
        <w:r w:rsidRPr="00DC4861">
          <w:rPr>
            <w:rStyle w:val="Hipercze"/>
            <w:rFonts w:ascii="Arial" w:hAnsi="Arial" w:cs="Arial"/>
          </w:rPr>
          <w:t>https://legislacja.rcl.gov.pl/projekt/12398251/katalo</w:t>
        </w:r>
        <w:r w:rsidRPr="00DC4861">
          <w:rPr>
            <w:rStyle w:val="Hipercze"/>
            <w:rFonts w:ascii="Arial" w:hAnsi="Arial" w:cs="Arial"/>
          </w:rPr>
          <w:t>g</w:t>
        </w:r>
        <w:r w:rsidRPr="00DC4861">
          <w:rPr>
            <w:rStyle w:val="Hipercze"/>
            <w:rFonts w:ascii="Arial" w:hAnsi="Arial" w:cs="Arial"/>
          </w:rPr>
          <w:t>/13131156#13131156</w:t>
        </w:r>
      </w:hyperlink>
      <w:r>
        <w:rPr>
          <w:rFonts w:ascii="Arial" w:hAnsi="Arial" w:cs="Arial"/>
        </w:rPr>
        <w:t xml:space="preserve"> </w:t>
      </w:r>
    </w:p>
    <w:p w14:paraId="3B833C9F" w14:textId="77777777" w:rsidR="00924AB8" w:rsidRDefault="00924AB8" w:rsidP="00924AB8">
      <w:pPr>
        <w:spacing w:after="0"/>
        <w:jc w:val="both"/>
        <w:rPr>
          <w:rFonts w:ascii="Arial" w:hAnsi="Arial" w:cs="Arial"/>
        </w:rPr>
      </w:pPr>
    </w:p>
    <w:p w14:paraId="47E5B85D" w14:textId="70FB58DB" w:rsidR="00924AB8" w:rsidRDefault="00924AB8" w:rsidP="00924AB8">
      <w:pPr>
        <w:spacing w:after="0"/>
        <w:jc w:val="both"/>
        <w:rPr>
          <w:rFonts w:ascii="Arial" w:hAnsi="Arial" w:cs="Arial"/>
        </w:rPr>
      </w:pPr>
      <w:r w:rsidRPr="00924AB8">
        <w:rPr>
          <w:rFonts w:ascii="Arial" w:hAnsi="Arial" w:cs="Arial"/>
        </w:rPr>
        <w:t>Projekt jest obecnie jednocześnie na etapie uzgodnień, konsultacji publicznych i opiniowania</w:t>
      </w:r>
      <w:r>
        <w:rPr>
          <w:rFonts w:ascii="Arial" w:hAnsi="Arial" w:cs="Arial"/>
        </w:rPr>
        <w:t>.</w:t>
      </w:r>
    </w:p>
    <w:p w14:paraId="0CFE22D5" w14:textId="77777777" w:rsidR="00924AB8" w:rsidRPr="00924AB8" w:rsidRDefault="00924AB8" w:rsidP="00924AB8">
      <w:pPr>
        <w:spacing w:after="0"/>
        <w:jc w:val="both"/>
        <w:rPr>
          <w:rFonts w:ascii="Arial" w:hAnsi="Arial" w:cs="Arial"/>
        </w:rPr>
      </w:pPr>
    </w:p>
    <w:p w14:paraId="442F1591" w14:textId="1CF8A26B" w:rsidR="00924AB8" w:rsidRDefault="00924AB8" w:rsidP="009372FA">
      <w:pPr>
        <w:pStyle w:val="Akapitzlist"/>
        <w:numPr>
          <w:ilvl w:val="0"/>
          <w:numId w:val="4"/>
        </w:numPr>
        <w:spacing w:after="0"/>
        <w:jc w:val="both"/>
        <w:rPr>
          <w:rFonts w:ascii="Arial" w:hAnsi="Arial" w:cs="Arial"/>
          <w:b/>
          <w:bCs/>
          <w:u w:val="single"/>
        </w:rPr>
      </w:pPr>
      <w:r w:rsidRPr="00924AB8">
        <w:rPr>
          <w:rFonts w:ascii="Arial" w:hAnsi="Arial" w:cs="Arial"/>
          <w:b/>
          <w:bCs/>
          <w:u w:val="single"/>
        </w:rPr>
        <w:t>P</w:t>
      </w:r>
      <w:r w:rsidRPr="00924AB8">
        <w:rPr>
          <w:rFonts w:ascii="Arial" w:hAnsi="Arial" w:cs="Arial"/>
          <w:b/>
          <w:bCs/>
          <w:u w:val="single"/>
        </w:rPr>
        <w:t>rojekt rozporządzenia Ministra Rodziny, Pracy i Polityki Społecznej zmieniające rozporządzenie w sprawie zakresu informacji o okolicznościach mających wpływ na prawo do zasiłków z ubezpieczenia społecznego w razie choroby i macierzyństwa lub ich wysokość oraz dokumentów niezbędnych do przyznania i wypłaty zasiłków (numer z wykazu 67).</w:t>
      </w:r>
    </w:p>
    <w:p w14:paraId="4569447A" w14:textId="77777777" w:rsidR="00924AB8" w:rsidRPr="00924AB8" w:rsidRDefault="00924AB8" w:rsidP="00924AB8">
      <w:pPr>
        <w:spacing w:after="0"/>
        <w:jc w:val="both"/>
        <w:rPr>
          <w:rFonts w:ascii="Arial" w:hAnsi="Arial" w:cs="Arial"/>
        </w:rPr>
      </w:pPr>
    </w:p>
    <w:p w14:paraId="03A2E7BE" w14:textId="77777777" w:rsidR="00924AB8" w:rsidRPr="00924AB8" w:rsidRDefault="00924AB8" w:rsidP="00924AB8">
      <w:pPr>
        <w:spacing w:after="0"/>
        <w:jc w:val="both"/>
        <w:rPr>
          <w:rFonts w:ascii="Arial" w:hAnsi="Arial" w:cs="Arial"/>
        </w:rPr>
      </w:pPr>
      <w:r w:rsidRPr="00924AB8">
        <w:rPr>
          <w:rFonts w:ascii="Arial" w:hAnsi="Arial" w:cs="Arial"/>
        </w:rPr>
        <w:t xml:space="preserve">Zgodnie z brzmieniem § 9 pkt 2 Ministra Rodziny, Pracy i Polityki Społecznej z dnia 8 grudnia 2015 r. w sprawie zakresu informacji o okolicznościach mających wpływ na prawo do zasiłków </w:t>
      </w:r>
      <w:r w:rsidRPr="00924AB8">
        <w:rPr>
          <w:rFonts w:ascii="Arial" w:hAnsi="Arial" w:cs="Arial"/>
        </w:rPr>
        <w:lastRenderedPageBreak/>
        <w:t xml:space="preserve">z ubezpieczenia społecznego w razie choroby i macierzyństwa lub ich wysokość oraz dokumentów niezbędnych do przyznania i wypłaty zasiłków (Dz. U. z 2025 r. poz. 616, z </w:t>
      </w:r>
      <w:proofErr w:type="spellStart"/>
      <w:r w:rsidRPr="00924AB8">
        <w:rPr>
          <w:rFonts w:ascii="Arial" w:hAnsi="Arial" w:cs="Arial"/>
        </w:rPr>
        <w:t>późn</w:t>
      </w:r>
      <w:proofErr w:type="spellEnd"/>
      <w:r w:rsidRPr="00924AB8">
        <w:rPr>
          <w:rFonts w:ascii="Arial" w:hAnsi="Arial" w:cs="Arial"/>
        </w:rPr>
        <w:t xml:space="preserve">. zm.) przy ustalaniu prawa do zasiłku macierzyńskiego, który przysługuje przez okres ustalony przepisami Kodeksu pracy jako okres urlopu macierzyńskiego, dokumentem uprawniającym do jego otrzymania jest skrócony odpis aktu urodzenia dziecka. Z kolei art. 1801 § 1 ustawy z dnia 26 czerwca 1974 r. – Kodeks pracy (Dz. U. z 2025 r. poz. 277) stanowi, że w razie urodzenia martwego dziecka lub zgonu dziecka przed upływem 8 tygodni życia, pracownicy przysługuje urlop macierzyński w wymiarze 8 tygodni po porodzie, nie krócej jednak niż przez okres 7 dni od dnia zgonu dziecka. </w:t>
      </w:r>
    </w:p>
    <w:p w14:paraId="1BA117E0" w14:textId="77777777" w:rsidR="00924AB8" w:rsidRPr="00924AB8" w:rsidRDefault="00924AB8" w:rsidP="00924AB8">
      <w:pPr>
        <w:spacing w:after="0"/>
        <w:jc w:val="both"/>
        <w:rPr>
          <w:rFonts w:ascii="Arial" w:hAnsi="Arial" w:cs="Arial"/>
        </w:rPr>
      </w:pPr>
      <w:r w:rsidRPr="00924AB8">
        <w:rPr>
          <w:rFonts w:ascii="Arial" w:hAnsi="Arial" w:cs="Arial"/>
        </w:rPr>
        <w:t xml:space="preserve">Natomiast zgodnie z art. 52 ust. 2 ustawy z dnia 28 listopada 2014 r. – Prawo o aktach stanu cywilnego (Dz. U. z 2025 r. poz. 594), jeżeli dziecko urodziło się martwe, nie sporządza się aktu zgonu, a sporządza się akt urodzenia z adnotacją, że dziecko urodziło się martwe. Z powyższego wynika, że akt urodzenia z adnotacją, że dziecko urodziło się martwe stanowi podstawę do przyznania urlopu macierzyńskiego na podstawie art. 1801 § 1 Kodeksu pracy oraz zasiłku macierzyńskiego. Akt urodzenia dziecka sporządza się na podstawie karty urodzenia lub karty martwego urodzenia przekazanej przez podmiot wykonujący działalność leczniczą oraz protokołu zgłoszenia urodzenia albo zgłoszenia urodzenia dokonanego w postaci elektronicznej. </w:t>
      </w:r>
    </w:p>
    <w:p w14:paraId="0E1DBA87" w14:textId="77777777" w:rsidR="00924AB8" w:rsidRPr="00924AB8" w:rsidRDefault="00924AB8" w:rsidP="00924AB8">
      <w:pPr>
        <w:spacing w:after="0"/>
        <w:jc w:val="both"/>
        <w:rPr>
          <w:rFonts w:ascii="Arial" w:hAnsi="Arial" w:cs="Arial"/>
        </w:rPr>
      </w:pPr>
      <w:r w:rsidRPr="00924AB8">
        <w:rPr>
          <w:rFonts w:ascii="Arial" w:hAnsi="Arial" w:cs="Arial"/>
        </w:rPr>
        <w:t xml:space="preserve">W związku z powyższym, jeżeli martwe urodzenie następuje z chwilą, gdy możliwe jest określenie płci dziecka i zostanie stwierdzone w karcie martwego urodzenia, a następnie w sporządzonym akcie urodzenia, wówczas przyjmuje się, że pracownica ma prawo do urlopu macierzyńskiego oraz zasiłku macierzyńskiego w wysokości 100% podstawy wymiaru zasiłku. Przepisy dotyczące prawa do prawa do zasiłku macierzyńskiego kierowane są do wszystkich ubezpieczonych (nie tylko pracownic), które w okresie ubezpieczenia chorobowego urodziły dziecko.  </w:t>
      </w:r>
    </w:p>
    <w:p w14:paraId="258991D4" w14:textId="77777777" w:rsidR="00924AB8" w:rsidRPr="00924AB8" w:rsidRDefault="00924AB8" w:rsidP="00924AB8">
      <w:pPr>
        <w:spacing w:after="0"/>
        <w:jc w:val="both"/>
        <w:rPr>
          <w:rFonts w:ascii="Arial" w:hAnsi="Arial" w:cs="Arial"/>
        </w:rPr>
      </w:pPr>
      <w:r w:rsidRPr="00924AB8">
        <w:rPr>
          <w:rFonts w:ascii="Arial" w:hAnsi="Arial" w:cs="Arial"/>
        </w:rPr>
        <w:t xml:space="preserve">Problem pojawia się w zakresie braku dostępu do urlopu macierzyńskiego w skróconym wymiarze 8 tygodni oraz zasiłku macierzyńskiego w przypadku urodzenia martwego dziecka, którego płci nie da się określić. W związku z brakiem możliwości sporządzenia aktu urodzenia dziecka z adnotacją „dziecko martwo urodzone”, w celu uzyskania świadczeń zdarza się, że rodzice decydują się na wykonanie badań genetycznych ustalających płeć dziecka. Badania te wykonuje się jedynie na życzenie i koszt osób uprawnionych, wnioskujących o wystawienie karty martwego urodzenia. Wykonanie badań genetycznych dla celów rejestracji martwego urodzenia w urzędzie stanu cywilnego nie jest świadczeniem zdrowotnym i w związku z tym nie jest finansowane przez Narodowy Fundusz Zdrowia, mogą też nie dać jednoznacznego wyniku. </w:t>
      </w:r>
    </w:p>
    <w:p w14:paraId="63610D3E" w14:textId="29AC421E" w:rsidR="00924AB8" w:rsidRPr="00924AB8" w:rsidRDefault="00924AB8" w:rsidP="00924AB8">
      <w:pPr>
        <w:spacing w:after="0"/>
        <w:jc w:val="both"/>
        <w:rPr>
          <w:rFonts w:ascii="Arial" w:hAnsi="Arial" w:cs="Arial"/>
        </w:rPr>
      </w:pPr>
      <w:r w:rsidRPr="00924AB8">
        <w:rPr>
          <w:rFonts w:ascii="Arial" w:hAnsi="Arial" w:cs="Arial"/>
        </w:rPr>
        <w:t>Obecnie w przypadku urodzenia martwego dziecka, którego płeć nie została określona, kobietom, które stały się niezdolne do pracy w związku z tym, przysługuje prawo do zasiłku chorobowego w wysokości 80% podstawy wymiaru zasiłku przez cały okres, jaki lekarz uzna za niezbędny dla jej powrotu do zdrowia, nie dłuższy jednak niż 182 dni, jak również prawo do świadczenia rehabilitacyjnego.</w:t>
      </w:r>
    </w:p>
    <w:p w14:paraId="3C4C39F6" w14:textId="77777777" w:rsidR="00924AB8" w:rsidRDefault="00924AB8" w:rsidP="00924AB8">
      <w:pPr>
        <w:spacing w:after="0"/>
        <w:jc w:val="both"/>
        <w:rPr>
          <w:rFonts w:ascii="Arial" w:hAnsi="Arial" w:cs="Arial"/>
        </w:rPr>
      </w:pPr>
    </w:p>
    <w:p w14:paraId="380006DD" w14:textId="77777777" w:rsidR="00924AB8" w:rsidRPr="00924AB8" w:rsidRDefault="00924AB8" w:rsidP="00924AB8">
      <w:pPr>
        <w:spacing w:after="0"/>
        <w:jc w:val="both"/>
        <w:rPr>
          <w:rFonts w:ascii="Arial" w:hAnsi="Arial" w:cs="Arial"/>
        </w:rPr>
      </w:pPr>
      <w:r w:rsidRPr="00924AB8">
        <w:rPr>
          <w:rFonts w:ascii="Arial" w:hAnsi="Arial" w:cs="Arial"/>
        </w:rPr>
        <w:t>Przedmiotowy projekt aktu prawnego wraz z Uzasadnieniem oraz Oceną Skutków Regulacji dostępny jest na stronach Rządowego Centrum Legislacji pod adresem:</w:t>
      </w:r>
    </w:p>
    <w:p w14:paraId="3A6F4A47" w14:textId="10386DEC" w:rsidR="00924AB8" w:rsidRDefault="00924AB8" w:rsidP="00924AB8">
      <w:pPr>
        <w:spacing w:after="0"/>
        <w:jc w:val="both"/>
        <w:rPr>
          <w:rFonts w:ascii="Arial" w:hAnsi="Arial" w:cs="Arial"/>
        </w:rPr>
      </w:pPr>
      <w:hyperlink r:id="rId9" w:history="1">
        <w:r w:rsidRPr="00DC4861">
          <w:rPr>
            <w:rStyle w:val="Hipercze"/>
            <w:rFonts w:ascii="Arial" w:hAnsi="Arial" w:cs="Arial"/>
          </w:rPr>
          <w:t>https://legislacja.rcl.gov.pl/projekt/12398252/</w:t>
        </w:r>
        <w:r w:rsidRPr="00DC4861">
          <w:rPr>
            <w:rStyle w:val="Hipercze"/>
            <w:rFonts w:ascii="Arial" w:hAnsi="Arial" w:cs="Arial"/>
          </w:rPr>
          <w:t>k</w:t>
        </w:r>
        <w:r w:rsidRPr="00DC4861">
          <w:rPr>
            <w:rStyle w:val="Hipercze"/>
            <w:rFonts w:ascii="Arial" w:hAnsi="Arial" w:cs="Arial"/>
          </w:rPr>
          <w:t>atalog/13131199#13131199</w:t>
        </w:r>
      </w:hyperlink>
      <w:r>
        <w:rPr>
          <w:rFonts w:ascii="Arial" w:hAnsi="Arial" w:cs="Arial"/>
        </w:rPr>
        <w:t xml:space="preserve"> </w:t>
      </w:r>
    </w:p>
    <w:p w14:paraId="2DAF3903" w14:textId="77777777" w:rsidR="00924AB8" w:rsidRDefault="00924AB8" w:rsidP="00924AB8">
      <w:pPr>
        <w:spacing w:after="0"/>
        <w:jc w:val="both"/>
        <w:rPr>
          <w:rFonts w:ascii="Arial" w:hAnsi="Arial" w:cs="Arial"/>
        </w:rPr>
      </w:pPr>
    </w:p>
    <w:p w14:paraId="27F93B89" w14:textId="2770F7D0" w:rsidR="00924AB8" w:rsidRDefault="00924AB8" w:rsidP="00924AB8">
      <w:pPr>
        <w:spacing w:after="0"/>
        <w:jc w:val="both"/>
        <w:rPr>
          <w:rFonts w:ascii="Arial" w:hAnsi="Arial" w:cs="Arial"/>
        </w:rPr>
      </w:pPr>
      <w:r w:rsidRPr="00924AB8">
        <w:rPr>
          <w:rFonts w:ascii="Arial" w:hAnsi="Arial" w:cs="Arial"/>
        </w:rPr>
        <w:t>Projekt jest obecnie jednocześnie na etapie uzgodnień, konsultacji publicznych i opiniowania</w:t>
      </w:r>
      <w:r>
        <w:rPr>
          <w:rFonts w:ascii="Arial" w:hAnsi="Arial" w:cs="Arial"/>
        </w:rPr>
        <w:t>.</w:t>
      </w:r>
    </w:p>
    <w:p w14:paraId="5064DF50" w14:textId="77777777" w:rsidR="00924AB8" w:rsidRPr="00924AB8" w:rsidRDefault="00924AB8" w:rsidP="00924AB8">
      <w:pPr>
        <w:spacing w:after="0"/>
        <w:jc w:val="both"/>
        <w:rPr>
          <w:rFonts w:ascii="Arial" w:hAnsi="Arial" w:cs="Arial"/>
        </w:rPr>
      </w:pPr>
    </w:p>
    <w:p w14:paraId="4C90632D" w14:textId="5DA785DE" w:rsidR="00924AB8" w:rsidRPr="00924AB8" w:rsidRDefault="00924AB8" w:rsidP="009372FA">
      <w:pPr>
        <w:pStyle w:val="Akapitzlist"/>
        <w:numPr>
          <w:ilvl w:val="0"/>
          <w:numId w:val="4"/>
        </w:numPr>
        <w:spacing w:after="0"/>
        <w:jc w:val="both"/>
        <w:rPr>
          <w:rFonts w:ascii="Arial" w:hAnsi="Arial" w:cs="Arial"/>
          <w:b/>
          <w:bCs/>
          <w:u w:val="single"/>
        </w:rPr>
      </w:pPr>
      <w:r w:rsidRPr="00924AB8">
        <w:rPr>
          <w:rFonts w:ascii="Arial" w:hAnsi="Arial" w:cs="Arial"/>
          <w:b/>
          <w:bCs/>
          <w:u w:val="single"/>
        </w:rPr>
        <w:lastRenderedPageBreak/>
        <w:t>P</w:t>
      </w:r>
      <w:r w:rsidRPr="00924AB8">
        <w:rPr>
          <w:rFonts w:ascii="Arial" w:hAnsi="Arial" w:cs="Arial"/>
          <w:b/>
          <w:bCs/>
          <w:u w:val="single"/>
        </w:rPr>
        <w:t>rojekt rozporządzenia Ministra Klimatu i Środowiska w sprawie sposobu i częstotliwości aktualizacji informacji o środowisku (numer z wykazu 1252).</w:t>
      </w:r>
    </w:p>
    <w:p w14:paraId="0A9FE718" w14:textId="77777777" w:rsidR="009372FA" w:rsidRDefault="009372FA" w:rsidP="009372FA">
      <w:pPr>
        <w:spacing w:after="0"/>
        <w:jc w:val="both"/>
        <w:rPr>
          <w:rFonts w:ascii="Arial" w:hAnsi="Arial" w:cs="Arial"/>
        </w:rPr>
      </w:pPr>
    </w:p>
    <w:p w14:paraId="1DC24437" w14:textId="77777777" w:rsidR="003F5170" w:rsidRPr="003F5170" w:rsidRDefault="003F5170" w:rsidP="003F5170">
      <w:pPr>
        <w:spacing w:after="0"/>
        <w:jc w:val="both"/>
        <w:rPr>
          <w:rFonts w:ascii="Arial" w:hAnsi="Arial" w:cs="Arial"/>
        </w:rPr>
      </w:pPr>
      <w:r w:rsidRPr="003F5170">
        <w:rPr>
          <w:rFonts w:ascii="Arial" w:hAnsi="Arial" w:cs="Arial"/>
        </w:rPr>
        <w:t>Projekt rozporządzenia Ministra Klimatu i Środowiska w sprawie sposobu i częstotliwości aktualizacji informacji o środowisku stanowi wykonanie upoważnienia ustawowego, określonego w art. 24 ust. 5 ustawy z dnia 3 października 2008 r. o udostępnianiu informacji o środowisku i jego ochronie, udziale społeczeństwa w ochronie środowiska oraz o ocenach oddziaływania na środowisko (Dz. U. z 2024 r. poz. 1112, 1881 i 1940), zwanej dalej „ustawą OOŚ”. Zgodnie z art. 24 ust. 5 tej ustawy minister właściwy do spraw klimatu, określi, w drodze rozporządzenia:</w:t>
      </w:r>
    </w:p>
    <w:p w14:paraId="40BFB62A" w14:textId="77777777" w:rsidR="003F5170" w:rsidRPr="003F5170" w:rsidRDefault="003F5170" w:rsidP="003F5170">
      <w:pPr>
        <w:spacing w:after="0"/>
        <w:jc w:val="both"/>
        <w:rPr>
          <w:rFonts w:ascii="Arial" w:hAnsi="Arial" w:cs="Arial"/>
        </w:rPr>
      </w:pPr>
      <w:r w:rsidRPr="003F5170">
        <w:rPr>
          <w:rFonts w:ascii="Arial" w:hAnsi="Arial" w:cs="Arial"/>
        </w:rPr>
        <w:t xml:space="preserve"> 1) sposób udostępniania informacji;</w:t>
      </w:r>
    </w:p>
    <w:p w14:paraId="15BC4E57" w14:textId="77777777" w:rsidR="003F5170" w:rsidRPr="003F5170" w:rsidRDefault="003F5170" w:rsidP="003F5170">
      <w:pPr>
        <w:spacing w:after="0"/>
        <w:jc w:val="both"/>
        <w:rPr>
          <w:rFonts w:ascii="Arial" w:hAnsi="Arial" w:cs="Arial"/>
        </w:rPr>
      </w:pPr>
      <w:r w:rsidRPr="003F5170">
        <w:rPr>
          <w:rFonts w:ascii="Arial" w:hAnsi="Arial" w:cs="Arial"/>
        </w:rPr>
        <w:t xml:space="preserve"> 2) minimalny zakres udostępnianych informacji;</w:t>
      </w:r>
    </w:p>
    <w:p w14:paraId="7416145A" w14:textId="77777777" w:rsidR="003F5170" w:rsidRPr="003F5170" w:rsidRDefault="003F5170" w:rsidP="003F5170">
      <w:pPr>
        <w:spacing w:after="0"/>
        <w:jc w:val="both"/>
        <w:rPr>
          <w:rFonts w:ascii="Arial" w:hAnsi="Arial" w:cs="Arial"/>
        </w:rPr>
      </w:pPr>
      <w:r w:rsidRPr="003F5170">
        <w:rPr>
          <w:rFonts w:ascii="Arial" w:hAnsi="Arial" w:cs="Arial"/>
        </w:rPr>
        <w:t xml:space="preserve"> 3) formę udostępniania informacji;</w:t>
      </w:r>
    </w:p>
    <w:p w14:paraId="0E17BC1B" w14:textId="77777777" w:rsidR="003F5170" w:rsidRPr="003F5170" w:rsidRDefault="003F5170" w:rsidP="003F5170">
      <w:pPr>
        <w:spacing w:after="0"/>
        <w:jc w:val="both"/>
        <w:rPr>
          <w:rFonts w:ascii="Arial" w:hAnsi="Arial" w:cs="Arial"/>
        </w:rPr>
      </w:pPr>
      <w:r w:rsidRPr="003F5170">
        <w:rPr>
          <w:rFonts w:ascii="Arial" w:hAnsi="Arial" w:cs="Arial"/>
        </w:rPr>
        <w:t xml:space="preserve"> 4) częstotliwość aktualizacji udostępnianych informacji;</w:t>
      </w:r>
    </w:p>
    <w:p w14:paraId="3F981194" w14:textId="77777777" w:rsidR="003F5170" w:rsidRPr="003F5170" w:rsidRDefault="003F5170" w:rsidP="003F5170">
      <w:pPr>
        <w:spacing w:after="0"/>
        <w:jc w:val="both"/>
        <w:rPr>
          <w:rFonts w:ascii="Arial" w:hAnsi="Arial" w:cs="Arial"/>
        </w:rPr>
      </w:pPr>
      <w:r w:rsidRPr="003F5170">
        <w:rPr>
          <w:rFonts w:ascii="Arial" w:hAnsi="Arial" w:cs="Arial"/>
        </w:rPr>
        <w:t xml:space="preserve">biorąc pod uwagę konieczność zapewnienia dostępu do informacji, o których mowa w ust. 1. </w:t>
      </w:r>
    </w:p>
    <w:p w14:paraId="47E73654" w14:textId="77777777" w:rsidR="003F5170" w:rsidRPr="003F5170" w:rsidRDefault="003F5170" w:rsidP="003F5170">
      <w:pPr>
        <w:spacing w:after="0"/>
        <w:jc w:val="both"/>
        <w:rPr>
          <w:rFonts w:ascii="Arial" w:hAnsi="Arial" w:cs="Arial"/>
        </w:rPr>
      </w:pPr>
      <w:r w:rsidRPr="003F5170">
        <w:rPr>
          <w:rFonts w:ascii="Arial" w:hAnsi="Arial" w:cs="Arial"/>
        </w:rPr>
        <w:t>Zgodnie z art. 8 ustawy z dnia 9 czerwca 2022 r. o zmianie ustawy – Prawo ochrony środowiska oraz niektórych innych ustaw (Dz. U. poz.1260) dotychczasowe przepisy wydane na podstawie art. 24 ust. 5 ustawy OOŚ pozostają w mocy do 29 czerwca 2025 r. Stąd zachodzi konieczność wydania nowego rozporządzeni.</w:t>
      </w:r>
    </w:p>
    <w:p w14:paraId="0C1C0D02" w14:textId="77777777" w:rsidR="003F5170" w:rsidRPr="003F5170" w:rsidRDefault="003F5170" w:rsidP="003F5170">
      <w:pPr>
        <w:spacing w:after="0"/>
        <w:jc w:val="both"/>
        <w:rPr>
          <w:rFonts w:ascii="Arial" w:hAnsi="Arial" w:cs="Arial"/>
        </w:rPr>
      </w:pPr>
      <w:r w:rsidRPr="003F5170">
        <w:rPr>
          <w:rFonts w:ascii="Arial" w:hAnsi="Arial" w:cs="Arial"/>
        </w:rPr>
        <w:t xml:space="preserve">Projekt rozporządzenia dostosowuje przepisy do znowelizowanych przepisów ustawy OOŚ oraz ustawy z dnia 27 kwietnia 2001 r. – Prawo ochrony środowiska (Dz. U z 2024 r. poz. 54, poz. 834, 1089, 1222, 1847, 1853, 1881, 1914, 1940 i 1946), zwanej dalej „ustawą </w:t>
      </w:r>
      <w:proofErr w:type="spellStart"/>
      <w:r w:rsidRPr="003F5170">
        <w:rPr>
          <w:rFonts w:ascii="Arial" w:hAnsi="Arial" w:cs="Arial"/>
        </w:rPr>
        <w:t>Poś</w:t>
      </w:r>
      <w:proofErr w:type="spellEnd"/>
      <w:r w:rsidRPr="003F5170">
        <w:rPr>
          <w:rFonts w:ascii="Arial" w:hAnsi="Arial" w:cs="Arial"/>
        </w:rPr>
        <w:t>”, a także do bieżącej praktyki i możliwości udostępniania danych i informacji.</w:t>
      </w:r>
    </w:p>
    <w:p w14:paraId="2B2BCD0F" w14:textId="77777777" w:rsidR="003F5170" w:rsidRPr="003F5170" w:rsidRDefault="003F5170" w:rsidP="003F5170">
      <w:pPr>
        <w:spacing w:after="0"/>
        <w:jc w:val="both"/>
        <w:rPr>
          <w:rFonts w:ascii="Arial" w:hAnsi="Arial" w:cs="Arial"/>
        </w:rPr>
      </w:pPr>
      <w:r w:rsidRPr="003F5170">
        <w:rPr>
          <w:rFonts w:ascii="Arial" w:hAnsi="Arial" w:cs="Arial"/>
        </w:rPr>
        <w:t>Przepis § 2 określa formę udostępnienia informacji wskazanych w art. 24 ust. 1 ustawy OOŚ w postaci elektronicznej za pośrednictwem systemu teleinformatycznego w rozumieniu ustawy z dnia z dnia 17 lutego 2005 r. o informatyzacji działalności podmiotów realizujących zadania publiczne (Dz. U. z 2024 r. poz. 1557 i 1717).</w:t>
      </w:r>
    </w:p>
    <w:p w14:paraId="4A668F4A" w14:textId="77777777" w:rsidR="003F5170" w:rsidRPr="003F5170" w:rsidRDefault="003F5170" w:rsidP="003F5170">
      <w:pPr>
        <w:spacing w:after="0"/>
        <w:jc w:val="both"/>
        <w:rPr>
          <w:rFonts w:ascii="Arial" w:hAnsi="Arial" w:cs="Arial"/>
        </w:rPr>
      </w:pPr>
      <w:r w:rsidRPr="003F5170">
        <w:rPr>
          <w:rFonts w:ascii="Arial" w:hAnsi="Arial" w:cs="Arial"/>
        </w:rPr>
        <w:t>Przepis § 3 odsyła do załącznika nr 1 do rozporządzenia, w którym został określony minimalny zakres udostępnianych informacji.</w:t>
      </w:r>
    </w:p>
    <w:p w14:paraId="5B93F7BA" w14:textId="77777777" w:rsidR="003F5170" w:rsidRPr="003F5170" w:rsidRDefault="003F5170" w:rsidP="003F5170">
      <w:pPr>
        <w:spacing w:after="0"/>
        <w:jc w:val="both"/>
        <w:rPr>
          <w:rFonts w:ascii="Arial" w:hAnsi="Arial" w:cs="Arial"/>
        </w:rPr>
      </w:pPr>
      <w:r w:rsidRPr="003F5170">
        <w:rPr>
          <w:rFonts w:ascii="Arial" w:hAnsi="Arial" w:cs="Arial"/>
        </w:rPr>
        <w:t>Przepis § 5 ust. 1 określa częstotliwość aktualizacji raz w miesiącu informacji, o których mowa w art. 24 ust. 1 pkt 1 lit. c - l ustawy OOŚ, dotyczących:</w:t>
      </w:r>
    </w:p>
    <w:p w14:paraId="56937F59" w14:textId="77777777" w:rsidR="003F5170" w:rsidRPr="003F5170" w:rsidRDefault="003F5170" w:rsidP="003F5170">
      <w:pPr>
        <w:spacing w:after="0"/>
        <w:jc w:val="both"/>
        <w:rPr>
          <w:rFonts w:ascii="Arial" w:hAnsi="Arial" w:cs="Arial"/>
        </w:rPr>
      </w:pPr>
      <w:r w:rsidRPr="003F5170">
        <w:rPr>
          <w:rFonts w:ascii="Arial" w:hAnsi="Arial" w:cs="Arial"/>
        </w:rPr>
        <w:t xml:space="preserve"> 1) programów ochrony powietrza, o których mowa w art. 91 ust. 3 i 5 ustawy </w:t>
      </w:r>
      <w:proofErr w:type="spellStart"/>
      <w:r w:rsidRPr="003F5170">
        <w:rPr>
          <w:rFonts w:ascii="Arial" w:hAnsi="Arial" w:cs="Arial"/>
        </w:rPr>
        <w:t>Poś</w:t>
      </w:r>
      <w:proofErr w:type="spellEnd"/>
      <w:r w:rsidRPr="003F5170">
        <w:rPr>
          <w:rFonts w:ascii="Arial" w:hAnsi="Arial" w:cs="Arial"/>
        </w:rPr>
        <w:t>;</w:t>
      </w:r>
    </w:p>
    <w:p w14:paraId="73895EEF" w14:textId="77777777" w:rsidR="003F5170" w:rsidRPr="003F5170" w:rsidRDefault="003F5170" w:rsidP="003F5170">
      <w:pPr>
        <w:spacing w:after="0"/>
        <w:jc w:val="both"/>
        <w:rPr>
          <w:rFonts w:ascii="Arial" w:hAnsi="Arial" w:cs="Arial"/>
        </w:rPr>
      </w:pPr>
      <w:r w:rsidRPr="003F5170">
        <w:rPr>
          <w:rFonts w:ascii="Arial" w:hAnsi="Arial" w:cs="Arial"/>
        </w:rPr>
        <w:t xml:space="preserve"> 2) planów działań krótkoterminowych, o których mowa w art. 92 ust. 1 ustawy </w:t>
      </w:r>
      <w:proofErr w:type="spellStart"/>
      <w:r w:rsidRPr="003F5170">
        <w:rPr>
          <w:rFonts w:ascii="Arial" w:hAnsi="Arial" w:cs="Arial"/>
        </w:rPr>
        <w:t>Poś</w:t>
      </w:r>
      <w:proofErr w:type="spellEnd"/>
      <w:r w:rsidRPr="003F5170">
        <w:rPr>
          <w:rFonts w:ascii="Arial" w:hAnsi="Arial" w:cs="Arial"/>
        </w:rPr>
        <w:t>;</w:t>
      </w:r>
    </w:p>
    <w:p w14:paraId="780BDC59" w14:textId="77777777" w:rsidR="003F5170" w:rsidRPr="003F5170" w:rsidRDefault="003F5170" w:rsidP="003F5170">
      <w:pPr>
        <w:spacing w:after="0"/>
        <w:jc w:val="both"/>
        <w:rPr>
          <w:rFonts w:ascii="Arial" w:hAnsi="Arial" w:cs="Arial"/>
        </w:rPr>
      </w:pPr>
      <w:r w:rsidRPr="003F5170">
        <w:rPr>
          <w:rFonts w:ascii="Arial" w:hAnsi="Arial" w:cs="Arial"/>
        </w:rPr>
        <w:t xml:space="preserve"> 3) terenów, o których mowa w art. 110a ust. 1 ustawy </w:t>
      </w:r>
      <w:proofErr w:type="spellStart"/>
      <w:r w:rsidRPr="003F5170">
        <w:rPr>
          <w:rFonts w:ascii="Arial" w:hAnsi="Arial" w:cs="Arial"/>
        </w:rPr>
        <w:t>Poś</w:t>
      </w:r>
      <w:proofErr w:type="spellEnd"/>
      <w:r w:rsidRPr="003F5170">
        <w:rPr>
          <w:rFonts w:ascii="Arial" w:hAnsi="Arial" w:cs="Arial"/>
        </w:rPr>
        <w:t>;</w:t>
      </w:r>
    </w:p>
    <w:p w14:paraId="7A114754" w14:textId="77777777" w:rsidR="003F5170" w:rsidRPr="003F5170" w:rsidRDefault="003F5170" w:rsidP="003F5170">
      <w:pPr>
        <w:spacing w:after="0"/>
        <w:jc w:val="both"/>
        <w:rPr>
          <w:rFonts w:ascii="Arial" w:hAnsi="Arial" w:cs="Arial"/>
        </w:rPr>
      </w:pPr>
      <w:r w:rsidRPr="003F5170">
        <w:rPr>
          <w:rFonts w:ascii="Arial" w:hAnsi="Arial" w:cs="Arial"/>
        </w:rPr>
        <w:t xml:space="preserve"> 4) strategicznych map hałasu, o których mowa w art. 118 ust. 1 ustawy </w:t>
      </w:r>
      <w:proofErr w:type="spellStart"/>
      <w:r w:rsidRPr="003F5170">
        <w:rPr>
          <w:rFonts w:ascii="Arial" w:hAnsi="Arial" w:cs="Arial"/>
        </w:rPr>
        <w:t>Poś</w:t>
      </w:r>
      <w:proofErr w:type="spellEnd"/>
      <w:r w:rsidRPr="003F5170">
        <w:rPr>
          <w:rFonts w:ascii="Arial" w:hAnsi="Arial" w:cs="Arial"/>
        </w:rPr>
        <w:t>;</w:t>
      </w:r>
    </w:p>
    <w:p w14:paraId="03EA4B3E" w14:textId="77777777" w:rsidR="003F5170" w:rsidRPr="003F5170" w:rsidRDefault="003F5170" w:rsidP="003F5170">
      <w:pPr>
        <w:spacing w:after="0"/>
        <w:jc w:val="both"/>
        <w:rPr>
          <w:rFonts w:ascii="Arial" w:hAnsi="Arial" w:cs="Arial"/>
        </w:rPr>
      </w:pPr>
      <w:r w:rsidRPr="003F5170">
        <w:rPr>
          <w:rFonts w:ascii="Arial" w:hAnsi="Arial" w:cs="Arial"/>
        </w:rPr>
        <w:t xml:space="preserve"> 5) terenów, o których mowa w art. 118 ust. 7 pkt 3 ustawy </w:t>
      </w:r>
      <w:proofErr w:type="spellStart"/>
      <w:r w:rsidRPr="003F5170">
        <w:rPr>
          <w:rFonts w:ascii="Arial" w:hAnsi="Arial" w:cs="Arial"/>
        </w:rPr>
        <w:t>Poś</w:t>
      </w:r>
      <w:proofErr w:type="spellEnd"/>
      <w:r w:rsidRPr="003F5170">
        <w:rPr>
          <w:rFonts w:ascii="Arial" w:hAnsi="Arial" w:cs="Arial"/>
        </w:rPr>
        <w:t>;</w:t>
      </w:r>
    </w:p>
    <w:p w14:paraId="4E554863" w14:textId="77777777" w:rsidR="003F5170" w:rsidRPr="003F5170" w:rsidRDefault="003F5170" w:rsidP="003F5170">
      <w:pPr>
        <w:spacing w:after="0"/>
        <w:jc w:val="both"/>
        <w:rPr>
          <w:rFonts w:ascii="Arial" w:hAnsi="Arial" w:cs="Arial"/>
        </w:rPr>
      </w:pPr>
      <w:r w:rsidRPr="003F5170">
        <w:rPr>
          <w:rFonts w:ascii="Arial" w:hAnsi="Arial" w:cs="Arial"/>
        </w:rPr>
        <w:t xml:space="preserve"> 6) programów ochrony środowiska przed hałasem, o których mowa w art. 119a ust. 1 ustawy </w:t>
      </w:r>
      <w:proofErr w:type="spellStart"/>
      <w:r w:rsidRPr="003F5170">
        <w:rPr>
          <w:rFonts w:ascii="Arial" w:hAnsi="Arial" w:cs="Arial"/>
        </w:rPr>
        <w:t>Poś</w:t>
      </w:r>
      <w:proofErr w:type="spellEnd"/>
      <w:r w:rsidRPr="003F5170">
        <w:rPr>
          <w:rFonts w:ascii="Arial" w:hAnsi="Arial" w:cs="Arial"/>
        </w:rPr>
        <w:t>;</w:t>
      </w:r>
    </w:p>
    <w:p w14:paraId="38C6E704" w14:textId="77777777" w:rsidR="003F5170" w:rsidRPr="003F5170" w:rsidRDefault="003F5170" w:rsidP="003F5170">
      <w:pPr>
        <w:spacing w:after="0"/>
        <w:jc w:val="both"/>
        <w:rPr>
          <w:rFonts w:ascii="Arial" w:hAnsi="Arial" w:cs="Arial"/>
        </w:rPr>
      </w:pPr>
      <w:r w:rsidRPr="003F5170">
        <w:rPr>
          <w:rFonts w:ascii="Arial" w:hAnsi="Arial" w:cs="Arial"/>
        </w:rPr>
        <w:t xml:space="preserve"> 7) wyników badań, o których mowa w art. 123 ust. 2 ustawy </w:t>
      </w:r>
      <w:proofErr w:type="spellStart"/>
      <w:r w:rsidRPr="003F5170">
        <w:rPr>
          <w:rFonts w:ascii="Arial" w:hAnsi="Arial" w:cs="Arial"/>
        </w:rPr>
        <w:t>Poś</w:t>
      </w:r>
      <w:proofErr w:type="spellEnd"/>
      <w:r w:rsidRPr="003F5170">
        <w:rPr>
          <w:rFonts w:ascii="Arial" w:hAnsi="Arial" w:cs="Arial"/>
        </w:rPr>
        <w:t>;</w:t>
      </w:r>
    </w:p>
    <w:p w14:paraId="41995141" w14:textId="77777777" w:rsidR="003F5170" w:rsidRPr="003F5170" w:rsidRDefault="003F5170" w:rsidP="003F5170">
      <w:pPr>
        <w:spacing w:after="0"/>
        <w:jc w:val="both"/>
        <w:rPr>
          <w:rFonts w:ascii="Arial" w:hAnsi="Arial" w:cs="Arial"/>
        </w:rPr>
      </w:pPr>
      <w:r w:rsidRPr="003F5170">
        <w:rPr>
          <w:rFonts w:ascii="Arial" w:hAnsi="Arial" w:cs="Arial"/>
        </w:rPr>
        <w:t xml:space="preserve"> 8) terenów, o których mowa w art. 124 ustawy </w:t>
      </w:r>
      <w:proofErr w:type="spellStart"/>
      <w:r w:rsidRPr="003F5170">
        <w:rPr>
          <w:rFonts w:ascii="Arial" w:hAnsi="Arial" w:cs="Arial"/>
        </w:rPr>
        <w:t>Poś</w:t>
      </w:r>
      <w:proofErr w:type="spellEnd"/>
      <w:r w:rsidRPr="003F5170">
        <w:rPr>
          <w:rFonts w:ascii="Arial" w:hAnsi="Arial" w:cs="Arial"/>
        </w:rPr>
        <w:t>;</w:t>
      </w:r>
    </w:p>
    <w:p w14:paraId="31CF0B6C" w14:textId="77777777" w:rsidR="003F5170" w:rsidRPr="003F5170" w:rsidRDefault="003F5170" w:rsidP="003F5170">
      <w:pPr>
        <w:spacing w:after="0"/>
        <w:jc w:val="both"/>
        <w:rPr>
          <w:rFonts w:ascii="Arial" w:hAnsi="Arial" w:cs="Arial"/>
        </w:rPr>
      </w:pPr>
      <w:r w:rsidRPr="003F5170">
        <w:rPr>
          <w:rFonts w:ascii="Arial" w:hAnsi="Arial" w:cs="Arial"/>
        </w:rPr>
        <w:t xml:space="preserve"> 9) wyników pomiarów, o których mowa w art. 175 ust. 1–3 ustawy </w:t>
      </w:r>
      <w:proofErr w:type="spellStart"/>
      <w:r w:rsidRPr="003F5170">
        <w:rPr>
          <w:rFonts w:ascii="Arial" w:hAnsi="Arial" w:cs="Arial"/>
        </w:rPr>
        <w:t>Poś</w:t>
      </w:r>
      <w:proofErr w:type="spellEnd"/>
      <w:r w:rsidRPr="003F5170">
        <w:rPr>
          <w:rFonts w:ascii="Arial" w:hAnsi="Arial" w:cs="Arial"/>
        </w:rPr>
        <w:t>.</w:t>
      </w:r>
    </w:p>
    <w:p w14:paraId="6EF5FBC8" w14:textId="77777777" w:rsidR="003F5170" w:rsidRPr="003F5170" w:rsidRDefault="003F5170" w:rsidP="003F5170">
      <w:pPr>
        <w:spacing w:after="0"/>
        <w:jc w:val="both"/>
        <w:rPr>
          <w:rFonts w:ascii="Arial" w:hAnsi="Arial" w:cs="Arial"/>
        </w:rPr>
      </w:pPr>
      <w:r w:rsidRPr="003F5170">
        <w:rPr>
          <w:rFonts w:ascii="Arial" w:hAnsi="Arial" w:cs="Arial"/>
        </w:rPr>
        <w:t xml:space="preserve">Przepis § 5 ust. 2 określa częstotliwość aktualizacji informacji dotyczących klasyfikacji stref, o której mowa w art. 88 ust. 2 i art. 89 ust. 1 ustawy </w:t>
      </w:r>
      <w:proofErr w:type="spellStart"/>
      <w:r w:rsidRPr="003F5170">
        <w:rPr>
          <w:rFonts w:ascii="Arial" w:hAnsi="Arial" w:cs="Arial"/>
        </w:rPr>
        <w:t>Poś</w:t>
      </w:r>
      <w:proofErr w:type="spellEnd"/>
      <w:r w:rsidRPr="003F5170">
        <w:rPr>
          <w:rFonts w:ascii="Arial" w:hAnsi="Arial" w:cs="Arial"/>
        </w:rPr>
        <w:t>.</w:t>
      </w:r>
    </w:p>
    <w:p w14:paraId="6DC927C8" w14:textId="77777777" w:rsidR="003F5170" w:rsidRPr="003F5170" w:rsidRDefault="003F5170" w:rsidP="003F5170">
      <w:pPr>
        <w:spacing w:after="0"/>
        <w:jc w:val="both"/>
        <w:rPr>
          <w:rFonts w:ascii="Arial" w:hAnsi="Arial" w:cs="Arial"/>
        </w:rPr>
      </w:pPr>
      <w:r w:rsidRPr="003F5170">
        <w:rPr>
          <w:rFonts w:ascii="Arial" w:hAnsi="Arial" w:cs="Arial"/>
        </w:rPr>
        <w:t xml:space="preserve">Przepis § 5 ust. 3 odsyła do załącznika nr 2 określającego częstotliwości aktualizacji udostępniania danych i informacji o jakości powietrza. </w:t>
      </w:r>
    </w:p>
    <w:p w14:paraId="590814DF" w14:textId="77777777" w:rsidR="003F5170" w:rsidRPr="003F5170" w:rsidRDefault="003F5170" w:rsidP="003F5170">
      <w:pPr>
        <w:spacing w:after="0"/>
        <w:jc w:val="both"/>
        <w:rPr>
          <w:rFonts w:ascii="Arial" w:hAnsi="Arial" w:cs="Arial"/>
        </w:rPr>
      </w:pPr>
      <w:r w:rsidRPr="003F5170">
        <w:rPr>
          <w:rFonts w:ascii="Arial" w:hAnsi="Arial" w:cs="Arial"/>
        </w:rPr>
        <w:t xml:space="preserve">Przepis § 5 ust.4 został dostosowany do obowiązującego brzmienia art. 24 ust. 1 pkt 2 ustawy OOŚ, który odwołuje się do Bazy danych o produktach i opakowaniach oraz o gospodarce </w:t>
      </w:r>
      <w:r w:rsidRPr="003F5170">
        <w:rPr>
          <w:rFonts w:ascii="Arial" w:hAnsi="Arial" w:cs="Arial"/>
        </w:rPr>
        <w:lastRenderedPageBreak/>
        <w:t>odpadami (BDO), a nie wojewódzkich baz danych. Dane w Bazie danych o produktach i opakowaniach oraz o gospodarce odpadami są aktualizowane w przypadku:</w:t>
      </w:r>
    </w:p>
    <w:p w14:paraId="26159A89" w14:textId="77777777" w:rsidR="003F5170" w:rsidRPr="003F5170" w:rsidRDefault="003F5170" w:rsidP="003F5170">
      <w:pPr>
        <w:spacing w:after="0"/>
        <w:jc w:val="both"/>
        <w:rPr>
          <w:rFonts w:ascii="Arial" w:hAnsi="Arial" w:cs="Arial"/>
        </w:rPr>
      </w:pPr>
      <w:r w:rsidRPr="003F5170">
        <w:rPr>
          <w:rFonts w:ascii="Arial" w:hAnsi="Arial" w:cs="Arial"/>
        </w:rPr>
        <w:t xml:space="preserve"> 1) danych, o których mowa w art. 79 ust. 2 pkt 1-4, pkt 5, z wyłączeniem danych o wytwórcach odpadów, pkt 6 i 7, pkt 10 i 16 - z częstotliwością raz na rok, a w przypadku korekt sprawozdań - na bieżąco;</w:t>
      </w:r>
    </w:p>
    <w:p w14:paraId="25D64659" w14:textId="77777777" w:rsidR="003F5170" w:rsidRPr="003F5170" w:rsidRDefault="003F5170" w:rsidP="003F5170">
      <w:pPr>
        <w:spacing w:after="0"/>
        <w:jc w:val="both"/>
        <w:rPr>
          <w:rFonts w:ascii="Arial" w:hAnsi="Arial" w:cs="Arial"/>
        </w:rPr>
      </w:pPr>
      <w:r w:rsidRPr="003F5170">
        <w:rPr>
          <w:rFonts w:ascii="Arial" w:hAnsi="Arial" w:cs="Arial"/>
        </w:rPr>
        <w:t xml:space="preserve"> 2) danych, o których mowa w art. 79 ust. 2 pkt 13-15 - na bieżąco.</w:t>
      </w:r>
    </w:p>
    <w:p w14:paraId="2855903C" w14:textId="77777777" w:rsidR="003F5170" w:rsidRPr="003F5170" w:rsidRDefault="003F5170" w:rsidP="003F5170">
      <w:pPr>
        <w:spacing w:after="0"/>
        <w:jc w:val="both"/>
        <w:rPr>
          <w:rFonts w:ascii="Arial" w:hAnsi="Arial" w:cs="Arial"/>
        </w:rPr>
      </w:pPr>
      <w:r w:rsidRPr="003F5170">
        <w:rPr>
          <w:rFonts w:ascii="Arial" w:hAnsi="Arial" w:cs="Arial"/>
        </w:rPr>
        <w:t>Przepis § 5 ust. 5 określa częstotliwość aktualizacji informacji dotyczących wyników monitoringu wód powierzchniowych i podziemnych. Częstotliwość ta jest zgodna z:</w:t>
      </w:r>
    </w:p>
    <w:p w14:paraId="758B27B5" w14:textId="77777777" w:rsidR="003F5170" w:rsidRPr="003F5170" w:rsidRDefault="003F5170" w:rsidP="003F5170">
      <w:pPr>
        <w:spacing w:after="0"/>
        <w:jc w:val="both"/>
        <w:rPr>
          <w:rFonts w:ascii="Arial" w:hAnsi="Arial" w:cs="Arial"/>
        </w:rPr>
      </w:pPr>
      <w:r w:rsidRPr="003F5170">
        <w:rPr>
          <w:rFonts w:ascii="Arial" w:hAnsi="Arial" w:cs="Arial"/>
        </w:rPr>
        <w:t xml:space="preserve"> 1) rozporządzeniem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wydanym na podstawie art. 53 ust. 4 ustawy z dnia 20 lipca 2017 r. – Prawo wodne; na mocy tego rozporządzenia klasyfikacji elementów </w:t>
      </w:r>
    </w:p>
    <w:p w14:paraId="767F49C1" w14:textId="77777777" w:rsidR="003F5170" w:rsidRPr="003F5170" w:rsidRDefault="003F5170" w:rsidP="003F5170">
      <w:pPr>
        <w:spacing w:after="0"/>
        <w:jc w:val="both"/>
        <w:rPr>
          <w:rFonts w:ascii="Arial" w:hAnsi="Arial" w:cs="Arial"/>
        </w:rPr>
      </w:pPr>
      <w:r w:rsidRPr="003F5170">
        <w:rPr>
          <w:rFonts w:ascii="Arial" w:hAnsi="Arial" w:cs="Arial"/>
        </w:rPr>
        <w:t xml:space="preserve">fizykochemicznych, biologicznych i </w:t>
      </w:r>
      <w:proofErr w:type="spellStart"/>
      <w:r w:rsidRPr="003F5170">
        <w:rPr>
          <w:rFonts w:ascii="Arial" w:hAnsi="Arial" w:cs="Arial"/>
        </w:rPr>
        <w:t>hydromorfologicznych</w:t>
      </w:r>
      <w:proofErr w:type="spellEnd"/>
      <w:r w:rsidRPr="003F5170">
        <w:rPr>
          <w:rFonts w:ascii="Arial" w:hAnsi="Arial" w:cs="Arial"/>
        </w:rPr>
        <w:t xml:space="preserve"> oraz klasyfikacji wskaźników stanu chemicznego jednolitych części wód powierzchniowych dokonuje się co 1 rok, zaś klasyfikacji stanu ekologicznego, potencjału ekologicznego i stanu chemicznego jednolitych części wód powierzchniowych oraz oceny stanu jednolitych części wód powierzchniowych dokonuje się nie rzadziej niż raz na 3 lata;</w:t>
      </w:r>
    </w:p>
    <w:p w14:paraId="0C3D6CD3" w14:textId="77777777" w:rsidR="003F5170" w:rsidRPr="003F5170" w:rsidRDefault="003F5170" w:rsidP="003F5170">
      <w:pPr>
        <w:spacing w:after="0"/>
        <w:jc w:val="both"/>
        <w:rPr>
          <w:rFonts w:ascii="Arial" w:hAnsi="Arial" w:cs="Arial"/>
        </w:rPr>
      </w:pPr>
      <w:r w:rsidRPr="003F5170">
        <w:rPr>
          <w:rFonts w:ascii="Arial" w:hAnsi="Arial" w:cs="Arial"/>
        </w:rPr>
        <w:t xml:space="preserve"> 2) rozporządzeniem Ministra Gospodarki Morskiej i Żeglugi Śródlądowej z dnia 11 października 2019 r. w sprawie kryteriów i sposobu oceny stanu jednolitych części wód podziemnych, wydanym na podstawie art. 53 ust. 1 ustawy z dnia 20 lipca 2017 r. – Prawo wodne; na mocy tego rozporządzenia oceny stanu jednolitych części wód </w:t>
      </w:r>
    </w:p>
    <w:p w14:paraId="2B8489EF" w14:textId="77777777" w:rsidR="003F5170" w:rsidRPr="003F5170" w:rsidRDefault="003F5170" w:rsidP="003F5170">
      <w:pPr>
        <w:spacing w:after="0"/>
        <w:jc w:val="both"/>
        <w:rPr>
          <w:rFonts w:ascii="Arial" w:hAnsi="Arial" w:cs="Arial"/>
        </w:rPr>
      </w:pPr>
      <w:r w:rsidRPr="003F5170">
        <w:rPr>
          <w:rFonts w:ascii="Arial" w:hAnsi="Arial" w:cs="Arial"/>
        </w:rPr>
        <w:t>podziemnych dokonuje się przynajmniej raz na 6 lat.</w:t>
      </w:r>
    </w:p>
    <w:p w14:paraId="16AC60E8" w14:textId="77777777" w:rsidR="003F5170" w:rsidRPr="003F5170" w:rsidRDefault="003F5170" w:rsidP="003F5170">
      <w:pPr>
        <w:spacing w:after="0"/>
        <w:jc w:val="both"/>
        <w:rPr>
          <w:rFonts w:ascii="Arial" w:hAnsi="Arial" w:cs="Arial"/>
        </w:rPr>
      </w:pPr>
      <w:r w:rsidRPr="003F5170">
        <w:rPr>
          <w:rFonts w:ascii="Arial" w:hAnsi="Arial" w:cs="Arial"/>
        </w:rPr>
        <w:t xml:space="preserve">W stosunku do dotychczasowego stanu prawnego w załączniku nr 1 zaktualizowano zakres udostępnianych informacji dotyczących: jakości gleby lub ziemi, ochrony przed hałasem, ochrony przed polami elektromagnetycznymi, produktów, opakowań i gospodarki odpadami, zgromadzonych w Bazie danych o produktach i opakowaniach oraz o gospodarce odpadami, wyników monitoringu wód powierzchniowych oraz wód podziemnych, dostosowując do obowiązujących przepisów. </w:t>
      </w:r>
    </w:p>
    <w:p w14:paraId="6E0E57E8" w14:textId="77777777" w:rsidR="003F5170" w:rsidRPr="003F5170" w:rsidRDefault="003F5170" w:rsidP="003F5170">
      <w:pPr>
        <w:spacing w:after="0"/>
        <w:jc w:val="both"/>
        <w:rPr>
          <w:rFonts w:ascii="Arial" w:hAnsi="Arial" w:cs="Arial"/>
        </w:rPr>
      </w:pPr>
      <w:r w:rsidRPr="003F5170">
        <w:rPr>
          <w:rFonts w:ascii="Arial" w:hAnsi="Arial" w:cs="Arial"/>
        </w:rPr>
        <w:t xml:space="preserve">W pkt 1 załącznika określono minimalny zakres udostępnianych informacji dotyczących jakości powietrza obejmujący: </w:t>
      </w:r>
    </w:p>
    <w:p w14:paraId="374F3EE4" w14:textId="77777777" w:rsidR="003F5170" w:rsidRPr="003F5170" w:rsidRDefault="003F5170" w:rsidP="003F5170">
      <w:pPr>
        <w:spacing w:after="0"/>
        <w:jc w:val="both"/>
        <w:rPr>
          <w:rFonts w:ascii="Arial" w:hAnsi="Arial" w:cs="Arial"/>
        </w:rPr>
      </w:pPr>
      <w:r w:rsidRPr="003F5170">
        <w:rPr>
          <w:rFonts w:ascii="Arial" w:hAnsi="Arial" w:cs="Arial"/>
        </w:rPr>
        <w:t xml:space="preserve"> 1) wykazy stref, uzyskany w wyniku klasyfikacji prowadzonej odrębnie dla każdej substancji;</w:t>
      </w:r>
    </w:p>
    <w:p w14:paraId="762C81F9" w14:textId="77777777" w:rsidR="003F5170" w:rsidRPr="003F5170" w:rsidRDefault="003F5170" w:rsidP="003F5170">
      <w:pPr>
        <w:spacing w:after="0"/>
        <w:jc w:val="both"/>
        <w:rPr>
          <w:rFonts w:ascii="Arial" w:hAnsi="Arial" w:cs="Arial"/>
        </w:rPr>
      </w:pPr>
      <w:r w:rsidRPr="003F5170">
        <w:rPr>
          <w:rFonts w:ascii="Arial" w:hAnsi="Arial" w:cs="Arial"/>
        </w:rPr>
        <w:t xml:space="preserve"> 2) wyniki pomiarów poziomu substancji w powietrzu;</w:t>
      </w:r>
    </w:p>
    <w:p w14:paraId="248322CC" w14:textId="77777777" w:rsidR="003F5170" w:rsidRPr="003F5170" w:rsidRDefault="003F5170" w:rsidP="003F5170">
      <w:pPr>
        <w:spacing w:after="0"/>
        <w:jc w:val="both"/>
        <w:rPr>
          <w:rFonts w:ascii="Arial" w:hAnsi="Arial" w:cs="Arial"/>
        </w:rPr>
      </w:pPr>
      <w:r w:rsidRPr="003F5170">
        <w:rPr>
          <w:rFonts w:ascii="Arial" w:hAnsi="Arial" w:cs="Arial"/>
        </w:rPr>
        <w:t xml:space="preserve"> 3) programy ochrony powietrza, o których mowa w art. 91 ust. 3 i 5 ustawy </w:t>
      </w:r>
      <w:proofErr w:type="spellStart"/>
      <w:r w:rsidRPr="003F5170">
        <w:rPr>
          <w:rFonts w:ascii="Arial" w:hAnsi="Arial" w:cs="Arial"/>
        </w:rPr>
        <w:t>Poś</w:t>
      </w:r>
      <w:proofErr w:type="spellEnd"/>
      <w:r w:rsidRPr="003F5170">
        <w:rPr>
          <w:rFonts w:ascii="Arial" w:hAnsi="Arial" w:cs="Arial"/>
        </w:rPr>
        <w:t>;</w:t>
      </w:r>
    </w:p>
    <w:p w14:paraId="55DAB0F8" w14:textId="77777777" w:rsidR="003F5170" w:rsidRPr="003F5170" w:rsidRDefault="003F5170" w:rsidP="003F5170">
      <w:pPr>
        <w:spacing w:after="0"/>
        <w:jc w:val="both"/>
        <w:rPr>
          <w:rFonts w:ascii="Arial" w:hAnsi="Arial" w:cs="Arial"/>
        </w:rPr>
      </w:pPr>
      <w:r w:rsidRPr="003F5170">
        <w:rPr>
          <w:rFonts w:ascii="Arial" w:hAnsi="Arial" w:cs="Arial"/>
        </w:rPr>
        <w:t xml:space="preserve"> 4) wykaz obszarów, na których występują ograniczenia wynikające z planu działań krótkoterminowych, o którym mowa w art. 92 ust. 1 ustawy z dnia 27 kwietnia 2001 r. — Prawo ochrony środowiska</w:t>
      </w:r>
    </w:p>
    <w:p w14:paraId="41C3F129" w14:textId="77777777" w:rsidR="003F5170" w:rsidRPr="003F5170" w:rsidRDefault="003F5170" w:rsidP="003F5170">
      <w:pPr>
        <w:spacing w:after="0"/>
        <w:jc w:val="both"/>
        <w:rPr>
          <w:rFonts w:ascii="Arial" w:hAnsi="Arial" w:cs="Arial"/>
        </w:rPr>
      </w:pPr>
      <w:r w:rsidRPr="003F5170">
        <w:rPr>
          <w:rFonts w:ascii="Arial" w:hAnsi="Arial" w:cs="Arial"/>
        </w:rPr>
        <w:t>W pkt 2 załącznika określono minimalny zakres udostępnianych informacji dotyczących jakości gleby lub ziemi obejmujący rejestr terenów zagrożonych ruchami masowymi.</w:t>
      </w:r>
    </w:p>
    <w:p w14:paraId="15078E49" w14:textId="77777777" w:rsidR="003F5170" w:rsidRPr="003F5170" w:rsidRDefault="003F5170" w:rsidP="003F5170">
      <w:pPr>
        <w:spacing w:after="0"/>
        <w:jc w:val="both"/>
        <w:rPr>
          <w:rFonts w:ascii="Arial" w:hAnsi="Arial" w:cs="Arial"/>
        </w:rPr>
      </w:pPr>
      <w:r w:rsidRPr="003F5170">
        <w:rPr>
          <w:rFonts w:ascii="Arial" w:hAnsi="Arial" w:cs="Arial"/>
        </w:rPr>
        <w:t>W pkt 3 załącznika określono minimalny zakres udostępnianych informacji dotyczących ochrony przed hałasem.</w:t>
      </w:r>
    </w:p>
    <w:p w14:paraId="5DEA3892" w14:textId="77777777" w:rsidR="003F5170" w:rsidRPr="003F5170" w:rsidRDefault="003F5170" w:rsidP="003F5170">
      <w:pPr>
        <w:spacing w:after="0"/>
        <w:jc w:val="both"/>
        <w:rPr>
          <w:rFonts w:ascii="Arial" w:hAnsi="Arial" w:cs="Arial"/>
        </w:rPr>
      </w:pPr>
      <w:r w:rsidRPr="003F5170">
        <w:rPr>
          <w:rFonts w:ascii="Arial" w:hAnsi="Arial" w:cs="Arial"/>
        </w:rPr>
        <w:t>W pkt 4 określono minimalny zakres udostępnianych informacji dotyczących ochrony przed polami elektromagnetycznymi.</w:t>
      </w:r>
    </w:p>
    <w:p w14:paraId="7D891FC3" w14:textId="77777777" w:rsidR="003F5170" w:rsidRPr="003F5170" w:rsidRDefault="003F5170" w:rsidP="003F5170">
      <w:pPr>
        <w:spacing w:after="0"/>
        <w:jc w:val="both"/>
        <w:rPr>
          <w:rFonts w:ascii="Arial" w:hAnsi="Arial" w:cs="Arial"/>
        </w:rPr>
      </w:pPr>
      <w:r w:rsidRPr="003F5170">
        <w:rPr>
          <w:rFonts w:ascii="Arial" w:hAnsi="Arial" w:cs="Arial"/>
        </w:rPr>
        <w:t xml:space="preserve">W pkt 5 tego załącznika określono minimalny zakres udostępnianych informacji dotyczących produktów, opakowań i gospodarki odpadami, zgromadzonych w Bazie danych o produktach i opakowaniach oraz o gospodarce odpadami, poprzez odesłanie do art. 79 ust. 2 pkt 1-4, 6, 7, 10, 13-16 ustawy o odpadach. Mając na uwadze brzmienie przepisu art. 24 ust. 1 pkt 2 ustawy OOŚ: „Informacje dotyczące produktów, opakowań i gospodarki odpadami, </w:t>
      </w:r>
      <w:r w:rsidRPr="003F5170">
        <w:rPr>
          <w:rFonts w:ascii="Arial" w:hAnsi="Arial" w:cs="Arial"/>
        </w:rPr>
        <w:lastRenderedPageBreak/>
        <w:t xml:space="preserve">zgromadzone w Bazie danych o produktach i opakowaniach oraz o gospodarce odpadami, o której mowa w ustawie z dnia 14 grudnia 2012 r. o odpadach, niezawierające danych jednostkowych, są udostępniane za pośrednictwem systemów teleinformatycznych, w szczególności przy wykorzystaniu elektronicznych baz danych.”, projektodawca w odniesieniu do art. 79 ust. 2 pkt 5 ustawy o odpadach wyłączył informacje o wytwórcach odpadów. </w:t>
      </w:r>
    </w:p>
    <w:p w14:paraId="10947D2B" w14:textId="77777777" w:rsidR="003F5170" w:rsidRPr="003F5170" w:rsidRDefault="003F5170" w:rsidP="003F5170">
      <w:pPr>
        <w:spacing w:after="0"/>
        <w:jc w:val="both"/>
        <w:rPr>
          <w:rFonts w:ascii="Arial" w:hAnsi="Arial" w:cs="Arial"/>
        </w:rPr>
      </w:pPr>
      <w:r w:rsidRPr="003F5170">
        <w:rPr>
          <w:rFonts w:ascii="Arial" w:hAnsi="Arial" w:cs="Arial"/>
        </w:rPr>
        <w:t>W pkt 6 i 7 tego załącznika określono minimalny zakres udostępnianych informacji dotyczących wyników monitoringu wód powierzchniowych i wód podziemnych, obejmujący:</w:t>
      </w:r>
    </w:p>
    <w:p w14:paraId="2B92A1E1" w14:textId="77777777" w:rsidR="003F5170" w:rsidRPr="003F5170" w:rsidRDefault="003F5170" w:rsidP="003F5170">
      <w:pPr>
        <w:spacing w:after="0"/>
        <w:jc w:val="both"/>
        <w:rPr>
          <w:rFonts w:ascii="Arial" w:hAnsi="Arial" w:cs="Arial"/>
        </w:rPr>
      </w:pPr>
      <w:r w:rsidRPr="003F5170">
        <w:rPr>
          <w:rFonts w:ascii="Arial" w:hAnsi="Arial" w:cs="Arial"/>
        </w:rPr>
        <w:t xml:space="preserve"> 1) wyniki klasyfikacji elementów fizykochemicznych, biologicznych i </w:t>
      </w:r>
      <w:proofErr w:type="spellStart"/>
      <w:r w:rsidRPr="003F5170">
        <w:rPr>
          <w:rFonts w:ascii="Arial" w:hAnsi="Arial" w:cs="Arial"/>
        </w:rPr>
        <w:t>hydromorfologicznych</w:t>
      </w:r>
      <w:proofErr w:type="spellEnd"/>
      <w:r w:rsidRPr="003F5170">
        <w:rPr>
          <w:rFonts w:ascii="Arial" w:hAnsi="Arial" w:cs="Arial"/>
        </w:rPr>
        <w:t xml:space="preserve"> oraz klasyfikacji wskaźników stanu chemicznego jednolitych części wód powierzchniowych;</w:t>
      </w:r>
    </w:p>
    <w:p w14:paraId="3359049D" w14:textId="77777777" w:rsidR="003F5170" w:rsidRPr="003F5170" w:rsidRDefault="003F5170" w:rsidP="003F5170">
      <w:pPr>
        <w:spacing w:after="0"/>
        <w:jc w:val="both"/>
        <w:rPr>
          <w:rFonts w:ascii="Arial" w:hAnsi="Arial" w:cs="Arial"/>
        </w:rPr>
      </w:pPr>
      <w:r w:rsidRPr="003F5170">
        <w:rPr>
          <w:rFonts w:ascii="Arial" w:hAnsi="Arial" w:cs="Arial"/>
        </w:rPr>
        <w:t xml:space="preserve"> 2) wyniki klasyfikacji stanu ekologicznego, potencjału ekologicznego i stanu chemicznego jednolitych części wód powierzchniowych oraz oceny stanu jednolitych części wód powierzchniowych;</w:t>
      </w:r>
    </w:p>
    <w:p w14:paraId="7912C6A2" w14:textId="77777777" w:rsidR="003F5170" w:rsidRPr="003F5170" w:rsidRDefault="003F5170" w:rsidP="003F5170">
      <w:pPr>
        <w:spacing w:after="0"/>
        <w:jc w:val="both"/>
        <w:rPr>
          <w:rFonts w:ascii="Arial" w:hAnsi="Arial" w:cs="Arial"/>
        </w:rPr>
      </w:pPr>
      <w:r w:rsidRPr="003F5170">
        <w:rPr>
          <w:rFonts w:ascii="Arial" w:hAnsi="Arial" w:cs="Arial"/>
        </w:rPr>
        <w:t xml:space="preserve"> 3) wyniki klasyfikacji jakości wód podziemnych w punktach pomiarowych;</w:t>
      </w:r>
    </w:p>
    <w:p w14:paraId="605B3F9E" w14:textId="77777777" w:rsidR="003F5170" w:rsidRPr="003F5170" w:rsidRDefault="003F5170" w:rsidP="003F5170">
      <w:pPr>
        <w:spacing w:after="0"/>
        <w:jc w:val="both"/>
        <w:rPr>
          <w:rFonts w:ascii="Arial" w:hAnsi="Arial" w:cs="Arial"/>
        </w:rPr>
      </w:pPr>
      <w:r w:rsidRPr="003F5170">
        <w:rPr>
          <w:rFonts w:ascii="Arial" w:hAnsi="Arial" w:cs="Arial"/>
        </w:rPr>
        <w:t xml:space="preserve"> 4) wyniki oceny stanu jednolitych części wód podziemnych.</w:t>
      </w:r>
    </w:p>
    <w:p w14:paraId="27A47986" w14:textId="77777777" w:rsidR="003F5170" w:rsidRPr="003F5170" w:rsidRDefault="003F5170" w:rsidP="003F5170">
      <w:pPr>
        <w:spacing w:after="0"/>
        <w:jc w:val="both"/>
        <w:rPr>
          <w:rFonts w:ascii="Arial" w:hAnsi="Arial" w:cs="Arial"/>
        </w:rPr>
      </w:pPr>
      <w:r w:rsidRPr="003F5170">
        <w:rPr>
          <w:rFonts w:ascii="Arial" w:hAnsi="Arial" w:cs="Arial"/>
        </w:rPr>
        <w:t xml:space="preserve">Załącznik nr 2 określa częstotliwość aktualizacji udostępniania wyników pomiarów i ocen poziomów substancji w powietrzu z uwzględnieniem metod pomiarowych oraz czasu uśredniania. </w:t>
      </w:r>
    </w:p>
    <w:p w14:paraId="6BD6DD72" w14:textId="77777777" w:rsidR="003F5170" w:rsidRPr="003F5170" w:rsidRDefault="003F5170" w:rsidP="003F5170">
      <w:pPr>
        <w:spacing w:after="0"/>
        <w:jc w:val="both"/>
        <w:rPr>
          <w:rFonts w:ascii="Arial" w:hAnsi="Arial" w:cs="Arial"/>
        </w:rPr>
      </w:pPr>
      <w:r w:rsidRPr="003F5170">
        <w:rPr>
          <w:rFonts w:ascii="Arial" w:hAnsi="Arial" w:cs="Arial"/>
        </w:rPr>
        <w:t>W stosunku do poprzedniego stanu prawnego dostosowano treść objaśnień do wymagań rozporządzenia Ministra Klimatu i Środowiska z dnia 21 grudnia 2020 r. w sprawie systemu informatycznego Inspekcji Ochrony Środowiska „</w:t>
      </w:r>
      <w:proofErr w:type="spellStart"/>
      <w:r w:rsidRPr="003F5170">
        <w:rPr>
          <w:rFonts w:ascii="Arial" w:hAnsi="Arial" w:cs="Arial"/>
        </w:rPr>
        <w:t>Ekoinfonet</w:t>
      </w:r>
      <w:proofErr w:type="spellEnd"/>
      <w:r w:rsidRPr="003F5170">
        <w:rPr>
          <w:rFonts w:ascii="Arial" w:hAnsi="Arial" w:cs="Arial"/>
        </w:rPr>
        <w:t>” (Dz. U. poz. 2386). Wynika to też z potrzeby bieżącego informowania o wystąpieniu przekroczenia wartości poziomu określonego w rozporządzeniu Ministra Środowiska z dnia 24 sierpnia 2012 r. w sprawie poziomów niektórych substancji w powietrzu (Dz. U. z 2021 r. poz. 845) oraz z konieczności szybkiego informowania o przekroczeniu poziomu informowania i poziomów alarmowych dla zanieczyszczeń gazowych (poziomy te zostały określone w rozporządzeniu Ministra Środowiska z dnia 24 sierpnia 2012 r. w sprawie poziomów niektórych substancji w powietrzu (Dz. U. z 2021 r. poz. 845) jako średnie jednogodzinne)).</w:t>
      </w:r>
    </w:p>
    <w:p w14:paraId="04A7C4CD" w14:textId="11D45B18" w:rsidR="00924AB8" w:rsidRDefault="003F5170" w:rsidP="003F5170">
      <w:pPr>
        <w:spacing w:after="0"/>
        <w:jc w:val="both"/>
        <w:rPr>
          <w:rFonts w:ascii="Arial" w:hAnsi="Arial" w:cs="Arial"/>
        </w:rPr>
      </w:pPr>
      <w:r w:rsidRPr="003F5170">
        <w:rPr>
          <w:rFonts w:ascii="Arial" w:hAnsi="Arial" w:cs="Arial"/>
        </w:rPr>
        <w:t>Należy wskazać, że nie ma możliwości podjęcia alternatywnych w stosunku do interwencji legislacyjnej środków umożliwiających osiągnięcie zamierzonego celu</w:t>
      </w:r>
      <w:r>
        <w:rPr>
          <w:rFonts w:ascii="Arial" w:hAnsi="Arial" w:cs="Arial"/>
        </w:rPr>
        <w:t>.</w:t>
      </w:r>
    </w:p>
    <w:p w14:paraId="2940963B" w14:textId="77777777" w:rsidR="00924AB8" w:rsidRDefault="00924AB8" w:rsidP="009372FA">
      <w:pPr>
        <w:spacing w:after="0"/>
        <w:jc w:val="both"/>
        <w:rPr>
          <w:rFonts w:ascii="Arial" w:hAnsi="Arial" w:cs="Arial"/>
        </w:rPr>
      </w:pPr>
    </w:p>
    <w:p w14:paraId="1A4C143A" w14:textId="77777777" w:rsidR="003F5170" w:rsidRPr="003F5170" w:rsidRDefault="003F5170" w:rsidP="003F5170">
      <w:pPr>
        <w:spacing w:after="0"/>
        <w:jc w:val="both"/>
        <w:rPr>
          <w:rFonts w:ascii="Arial" w:hAnsi="Arial" w:cs="Arial"/>
        </w:rPr>
      </w:pPr>
      <w:r w:rsidRPr="003F5170">
        <w:rPr>
          <w:rFonts w:ascii="Arial" w:hAnsi="Arial" w:cs="Arial"/>
        </w:rPr>
        <w:t>Przedmiotowy projekt aktu prawnego wraz z Uzasadnieniem oraz Oceną Skutków Regulacji dostępny jest na stronach Rządowego Centrum Legislacji pod adresem:</w:t>
      </w:r>
    </w:p>
    <w:p w14:paraId="06B967EB" w14:textId="6BD89ED4" w:rsidR="003F5170" w:rsidRDefault="003F5170" w:rsidP="003F5170">
      <w:pPr>
        <w:spacing w:after="0"/>
        <w:jc w:val="both"/>
        <w:rPr>
          <w:rFonts w:ascii="Arial" w:hAnsi="Arial" w:cs="Arial"/>
        </w:rPr>
      </w:pPr>
      <w:hyperlink r:id="rId10" w:history="1">
        <w:r w:rsidRPr="00DC4861">
          <w:rPr>
            <w:rStyle w:val="Hipercze"/>
            <w:rFonts w:ascii="Arial" w:hAnsi="Arial" w:cs="Arial"/>
          </w:rPr>
          <w:t>https://legislacja.rcl.gov.pl/projekt/12398351/katalog/1</w:t>
        </w:r>
        <w:r w:rsidRPr="00DC4861">
          <w:rPr>
            <w:rStyle w:val="Hipercze"/>
            <w:rFonts w:ascii="Arial" w:hAnsi="Arial" w:cs="Arial"/>
          </w:rPr>
          <w:t>3</w:t>
        </w:r>
        <w:r w:rsidRPr="00DC4861">
          <w:rPr>
            <w:rStyle w:val="Hipercze"/>
            <w:rFonts w:ascii="Arial" w:hAnsi="Arial" w:cs="Arial"/>
          </w:rPr>
          <w:t>131916#13131916</w:t>
        </w:r>
      </w:hyperlink>
      <w:r>
        <w:rPr>
          <w:rFonts w:ascii="Arial" w:hAnsi="Arial" w:cs="Arial"/>
        </w:rPr>
        <w:t xml:space="preserve"> </w:t>
      </w:r>
    </w:p>
    <w:p w14:paraId="22CFCEDA" w14:textId="77777777" w:rsidR="00924AB8" w:rsidRDefault="00924AB8" w:rsidP="009372FA">
      <w:pPr>
        <w:spacing w:after="0"/>
        <w:jc w:val="both"/>
        <w:rPr>
          <w:rFonts w:ascii="Arial" w:hAnsi="Arial" w:cs="Arial"/>
        </w:rPr>
      </w:pPr>
    </w:p>
    <w:p w14:paraId="62F81FD6" w14:textId="591C910C" w:rsidR="003F5170" w:rsidRPr="00042C7F" w:rsidRDefault="003F5170" w:rsidP="009372FA">
      <w:pPr>
        <w:spacing w:after="0"/>
        <w:jc w:val="both"/>
        <w:rPr>
          <w:rFonts w:ascii="Arial" w:hAnsi="Arial" w:cs="Arial"/>
        </w:rPr>
      </w:pPr>
      <w:r w:rsidRPr="003F5170">
        <w:rPr>
          <w:rFonts w:ascii="Arial" w:hAnsi="Arial" w:cs="Arial"/>
        </w:rPr>
        <w:t>Projekt jest obecnie jednocześnie na etapie uzgodnień, konsultacji publicznych i opiniowania</w:t>
      </w:r>
      <w:r>
        <w:rPr>
          <w:rFonts w:ascii="Arial" w:hAnsi="Arial" w:cs="Arial"/>
        </w:rPr>
        <w:t>.</w:t>
      </w:r>
    </w:p>
    <w:p w14:paraId="3371462E" w14:textId="77777777" w:rsidR="009372FA" w:rsidRDefault="009372FA" w:rsidP="009372FA">
      <w:pPr>
        <w:spacing w:after="0"/>
        <w:jc w:val="both"/>
        <w:rPr>
          <w:rFonts w:ascii="Arial" w:hAnsi="Arial" w:cs="Arial"/>
        </w:rPr>
      </w:pPr>
    </w:p>
    <w:p w14:paraId="1C5AEB1C" w14:textId="77777777" w:rsidR="009372FA" w:rsidRPr="00CB4A6E" w:rsidRDefault="009372FA" w:rsidP="009372FA">
      <w:pPr>
        <w:spacing w:after="0"/>
        <w:rPr>
          <w:rFonts w:ascii="Arial" w:hAnsi="Arial" w:cs="Arial"/>
        </w:rPr>
      </w:pPr>
    </w:p>
    <w:p w14:paraId="66FA4851" w14:textId="77777777" w:rsidR="009372FA" w:rsidRDefault="009372FA" w:rsidP="009372FA">
      <w:pPr>
        <w:spacing w:after="0"/>
        <w:jc w:val="both"/>
        <w:rPr>
          <w:rFonts w:ascii="Arial" w:hAnsi="Arial" w:cs="Arial"/>
          <w:b/>
        </w:rPr>
      </w:pPr>
      <w:r>
        <w:rPr>
          <w:rFonts w:ascii="Arial" w:hAnsi="Arial" w:cs="Arial"/>
          <w:b/>
        </w:rPr>
        <w:t>II. Ogłoszone akty prawne (Dziennik Ustaw RP)</w:t>
      </w:r>
    </w:p>
    <w:p w14:paraId="2AB53FA4" w14:textId="77777777" w:rsidR="009372FA" w:rsidRDefault="009372FA" w:rsidP="009372FA">
      <w:pPr>
        <w:spacing w:after="0"/>
        <w:jc w:val="both"/>
        <w:rPr>
          <w:rFonts w:ascii="Arial" w:hAnsi="Arial" w:cs="Arial"/>
        </w:rPr>
      </w:pPr>
    </w:p>
    <w:p w14:paraId="50564FB1" w14:textId="053C47F8" w:rsidR="009372FA" w:rsidRDefault="009372FA" w:rsidP="00270031">
      <w:pPr>
        <w:spacing w:after="0"/>
        <w:jc w:val="both"/>
        <w:rPr>
          <w:rFonts w:ascii="Arial" w:hAnsi="Arial" w:cs="Arial"/>
        </w:rPr>
      </w:pPr>
      <w:r>
        <w:rPr>
          <w:rFonts w:ascii="Arial" w:hAnsi="Arial" w:cs="Arial"/>
        </w:rPr>
        <w:t xml:space="preserve">W analizowanym okresie opublikowano </w:t>
      </w:r>
      <w:r w:rsidR="003F5170">
        <w:rPr>
          <w:rFonts w:ascii="Arial" w:hAnsi="Arial" w:cs="Arial"/>
        </w:rPr>
        <w:t>30</w:t>
      </w:r>
      <w:r>
        <w:rPr>
          <w:rFonts w:ascii="Arial" w:hAnsi="Arial" w:cs="Arial"/>
        </w:rPr>
        <w:t xml:space="preserve"> akt</w:t>
      </w:r>
      <w:r w:rsidR="003F5170">
        <w:rPr>
          <w:rFonts w:ascii="Arial" w:hAnsi="Arial" w:cs="Arial"/>
        </w:rPr>
        <w:t xml:space="preserve">ów </w:t>
      </w:r>
      <w:r>
        <w:rPr>
          <w:rFonts w:ascii="Arial" w:hAnsi="Arial" w:cs="Arial"/>
        </w:rPr>
        <w:t>prawn</w:t>
      </w:r>
      <w:r w:rsidR="003F5170">
        <w:rPr>
          <w:rFonts w:ascii="Arial" w:hAnsi="Arial" w:cs="Arial"/>
        </w:rPr>
        <w:t>ych</w:t>
      </w:r>
      <w:r>
        <w:rPr>
          <w:rFonts w:ascii="Arial" w:hAnsi="Arial" w:cs="Arial"/>
        </w:rPr>
        <w:t>, tzn. ustaw, rozporządze</w:t>
      </w:r>
      <w:r w:rsidR="003F5170">
        <w:rPr>
          <w:rFonts w:ascii="Arial" w:hAnsi="Arial" w:cs="Arial"/>
        </w:rPr>
        <w:t>ń</w:t>
      </w:r>
      <w:r>
        <w:rPr>
          <w:rFonts w:ascii="Arial" w:hAnsi="Arial" w:cs="Arial"/>
        </w:rPr>
        <w:t xml:space="preserve"> Rady Ministrów, Prezesa Rady Ministrów i poszczególnych ministrów, obwieszcze</w:t>
      </w:r>
      <w:r w:rsidR="003F5170">
        <w:rPr>
          <w:rFonts w:ascii="Arial" w:hAnsi="Arial" w:cs="Arial"/>
        </w:rPr>
        <w:t>ń</w:t>
      </w:r>
      <w:r>
        <w:rPr>
          <w:rFonts w:ascii="Arial" w:hAnsi="Arial" w:cs="Arial"/>
        </w:rPr>
        <w:t xml:space="preserve"> w sprawie ogłoszenia tekstu jednolitego. </w:t>
      </w:r>
    </w:p>
    <w:p w14:paraId="703583E9" w14:textId="77777777" w:rsidR="00516DFD" w:rsidRDefault="00516DFD" w:rsidP="009372FA">
      <w:pPr>
        <w:spacing w:after="0"/>
      </w:pPr>
    </w:p>
    <w:sectPr w:rsidR="0051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5B1112"/>
    <w:multiLevelType w:val="hybridMultilevel"/>
    <w:tmpl w:val="82C89E8C"/>
    <w:lvl w:ilvl="0" w:tplc="F51A957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E4BEC"/>
    <w:multiLevelType w:val="hybridMultilevel"/>
    <w:tmpl w:val="B73E5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695D5C"/>
    <w:multiLevelType w:val="hybridMultilevel"/>
    <w:tmpl w:val="D1F8C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E41785"/>
    <w:multiLevelType w:val="hybridMultilevel"/>
    <w:tmpl w:val="6A909C98"/>
    <w:lvl w:ilvl="0" w:tplc="53AC666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F430039"/>
    <w:multiLevelType w:val="hybridMultilevel"/>
    <w:tmpl w:val="6994BB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9027726">
    <w:abstractNumId w:val="3"/>
  </w:num>
  <w:num w:numId="2" w16cid:durableId="311831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0"/>
  </w:num>
  <w:num w:numId="4" w16cid:durableId="5788216">
    <w:abstractNumId w:val="7"/>
  </w:num>
  <w:num w:numId="5" w16cid:durableId="1820147117">
    <w:abstractNumId w:val="6"/>
  </w:num>
  <w:num w:numId="6" w16cid:durableId="376317129">
    <w:abstractNumId w:val="9"/>
  </w:num>
  <w:num w:numId="7" w16cid:durableId="522322311">
    <w:abstractNumId w:val="4"/>
  </w:num>
  <w:num w:numId="8" w16cid:durableId="1527526560">
    <w:abstractNumId w:val="5"/>
  </w:num>
  <w:num w:numId="9" w16cid:durableId="178004701">
    <w:abstractNumId w:val="2"/>
  </w:num>
  <w:num w:numId="10" w16cid:durableId="210888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FA"/>
    <w:rsid w:val="0013432D"/>
    <w:rsid w:val="00270031"/>
    <w:rsid w:val="003F5170"/>
    <w:rsid w:val="00516DFD"/>
    <w:rsid w:val="00924AB8"/>
    <w:rsid w:val="009372FA"/>
    <w:rsid w:val="009A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9FFA"/>
  <w15:chartTrackingRefBased/>
  <w15:docId w15:val="{45D9871D-A85D-470B-9B14-19D9092B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2FA"/>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937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7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72F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72F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72F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72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72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72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72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72F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72F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72F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72F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72F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72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72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72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72FA"/>
    <w:rPr>
      <w:rFonts w:eastAsiaTheme="majorEastAsia" w:cstheme="majorBidi"/>
      <w:color w:val="272727" w:themeColor="text1" w:themeTint="D8"/>
    </w:rPr>
  </w:style>
  <w:style w:type="paragraph" w:styleId="Tytu">
    <w:name w:val="Title"/>
    <w:basedOn w:val="Normalny"/>
    <w:next w:val="Normalny"/>
    <w:link w:val="TytuZnak"/>
    <w:uiPriority w:val="10"/>
    <w:qFormat/>
    <w:rsid w:val="00937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72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72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72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72FA"/>
    <w:pPr>
      <w:spacing w:before="160"/>
      <w:jc w:val="center"/>
    </w:pPr>
    <w:rPr>
      <w:i/>
      <w:iCs/>
      <w:color w:val="404040" w:themeColor="text1" w:themeTint="BF"/>
    </w:rPr>
  </w:style>
  <w:style w:type="character" w:customStyle="1" w:styleId="CytatZnak">
    <w:name w:val="Cytat Znak"/>
    <w:basedOn w:val="Domylnaczcionkaakapitu"/>
    <w:link w:val="Cytat"/>
    <w:uiPriority w:val="29"/>
    <w:rsid w:val="009372FA"/>
    <w:rPr>
      <w:i/>
      <w:iCs/>
      <w:color w:val="404040" w:themeColor="text1" w:themeTint="BF"/>
    </w:rPr>
  </w:style>
  <w:style w:type="paragraph" w:styleId="Akapitzlist">
    <w:name w:val="List Paragraph"/>
    <w:basedOn w:val="Normalny"/>
    <w:uiPriority w:val="34"/>
    <w:qFormat/>
    <w:rsid w:val="009372FA"/>
    <w:pPr>
      <w:ind w:left="720"/>
      <w:contextualSpacing/>
    </w:pPr>
  </w:style>
  <w:style w:type="character" w:styleId="Wyrnienieintensywne">
    <w:name w:val="Intense Emphasis"/>
    <w:basedOn w:val="Domylnaczcionkaakapitu"/>
    <w:uiPriority w:val="21"/>
    <w:qFormat/>
    <w:rsid w:val="009372FA"/>
    <w:rPr>
      <w:i/>
      <w:iCs/>
      <w:color w:val="0F4761" w:themeColor="accent1" w:themeShade="BF"/>
    </w:rPr>
  </w:style>
  <w:style w:type="paragraph" w:styleId="Cytatintensywny">
    <w:name w:val="Intense Quote"/>
    <w:basedOn w:val="Normalny"/>
    <w:next w:val="Normalny"/>
    <w:link w:val="CytatintensywnyZnak"/>
    <w:uiPriority w:val="30"/>
    <w:qFormat/>
    <w:rsid w:val="00937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72FA"/>
    <w:rPr>
      <w:i/>
      <w:iCs/>
      <w:color w:val="0F4761" w:themeColor="accent1" w:themeShade="BF"/>
    </w:rPr>
  </w:style>
  <w:style w:type="character" w:styleId="Odwoanieintensywne">
    <w:name w:val="Intense Reference"/>
    <w:basedOn w:val="Domylnaczcionkaakapitu"/>
    <w:uiPriority w:val="32"/>
    <w:qFormat/>
    <w:rsid w:val="009372FA"/>
    <w:rPr>
      <w:b/>
      <w:bCs/>
      <w:smallCaps/>
      <w:color w:val="0F4761" w:themeColor="accent1" w:themeShade="BF"/>
      <w:spacing w:val="5"/>
    </w:rPr>
  </w:style>
  <w:style w:type="character" w:customStyle="1" w:styleId="markedcontent">
    <w:name w:val="markedcontent"/>
    <w:basedOn w:val="Domylnaczcionkaakapitu"/>
    <w:rsid w:val="009372FA"/>
  </w:style>
  <w:style w:type="character" w:styleId="Hipercze">
    <w:name w:val="Hyperlink"/>
    <w:basedOn w:val="Domylnaczcionkaakapitu"/>
    <w:uiPriority w:val="99"/>
    <w:unhideWhenUsed/>
    <w:rsid w:val="009372FA"/>
    <w:rPr>
      <w:color w:val="467886" w:themeColor="hyperlink"/>
      <w:u w:val="single"/>
    </w:rPr>
  </w:style>
  <w:style w:type="character" w:styleId="Nierozpoznanawzmianka">
    <w:name w:val="Unresolved Mention"/>
    <w:basedOn w:val="Domylnaczcionkaakapitu"/>
    <w:uiPriority w:val="99"/>
    <w:semiHidden/>
    <w:unhideWhenUsed/>
    <w:rsid w:val="009372FA"/>
    <w:rPr>
      <w:color w:val="605E5C"/>
      <w:shd w:val="clear" w:color="auto" w:fill="E1DFDD"/>
    </w:rPr>
  </w:style>
  <w:style w:type="character" w:styleId="UyteHipercze">
    <w:name w:val="FollowedHyperlink"/>
    <w:basedOn w:val="Domylnaczcionkaakapitu"/>
    <w:uiPriority w:val="99"/>
    <w:semiHidden/>
    <w:unhideWhenUsed/>
    <w:rsid w:val="009372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8251/katalog/13131156#13131156" TargetMode="External"/><Relationship Id="rId3" Type="http://schemas.openxmlformats.org/officeDocument/2006/relationships/settings" Target="settings.xml"/><Relationship Id="rId7" Type="http://schemas.openxmlformats.org/officeDocument/2006/relationships/hyperlink" Target="https://legislacja.rcl.gov.pl/projekt/12398253/katalog/13131242#131312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398262/katalog/13131629#1313162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gislacja.rcl.gov.pl/projekt/12398351/katalog/13131916#13131916" TargetMode="External"/><Relationship Id="rId4" Type="http://schemas.openxmlformats.org/officeDocument/2006/relationships/webSettings" Target="webSettings.xml"/><Relationship Id="rId9" Type="http://schemas.openxmlformats.org/officeDocument/2006/relationships/hyperlink" Target="https://legislacja.rcl.gov.pl/projekt/12398252/katalog/13131199#1313119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4745</Words>
  <Characters>28474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2025-06-05T08:42:00Z</dcterms:created>
  <dcterms:modified xsi:type="dcterms:W3CDTF">2025-06-05T09:34:00Z</dcterms:modified>
</cp:coreProperties>
</file>