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D066" w14:textId="77777777" w:rsidR="00E944E6" w:rsidRPr="00586923" w:rsidRDefault="00E944E6" w:rsidP="00E944E6">
      <w:pPr>
        <w:rPr>
          <w:rFonts w:ascii="Arial" w:hAnsi="Arial" w:cs="Arial"/>
        </w:rPr>
      </w:pPr>
      <w:r w:rsidRPr="00586923">
        <w:rPr>
          <w:rFonts w:ascii="Arial" w:hAnsi="Arial" w:cs="Arial"/>
          <w:noProof/>
          <w:lang w:eastAsia="pl-PL"/>
        </w:rPr>
        <w:drawing>
          <wp:inline distT="0" distB="0" distL="0" distR="0" wp14:anchorId="50D14D52" wp14:editId="602F352E">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5C7BA3C2" w14:textId="77777777" w:rsidR="00E944E6" w:rsidRDefault="00E944E6" w:rsidP="00E944E6">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0E4626FE" w14:textId="77777777" w:rsidR="00E944E6" w:rsidRPr="00586923" w:rsidRDefault="00E944E6" w:rsidP="00E944E6">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345285C3" w14:textId="7E111EE8" w:rsidR="00E944E6" w:rsidRPr="00586923" w:rsidRDefault="00E944E6" w:rsidP="00E944E6">
      <w:pPr>
        <w:spacing w:after="0" w:line="300" w:lineRule="auto"/>
        <w:jc w:val="center"/>
        <w:rPr>
          <w:rFonts w:ascii="Arial" w:hAnsi="Arial" w:cs="Arial"/>
        </w:rPr>
      </w:pPr>
      <w:r w:rsidRPr="00586923">
        <w:rPr>
          <w:rFonts w:ascii="Arial" w:hAnsi="Arial" w:cs="Arial"/>
          <w:b/>
        </w:rPr>
        <w:t xml:space="preserve">w okresie od </w:t>
      </w:r>
      <w:r w:rsidR="00773842">
        <w:rPr>
          <w:rFonts w:ascii="Arial" w:hAnsi="Arial" w:cs="Arial"/>
          <w:b/>
        </w:rPr>
        <w:t>9</w:t>
      </w:r>
      <w:r>
        <w:rPr>
          <w:rFonts w:ascii="Arial" w:hAnsi="Arial" w:cs="Arial"/>
          <w:b/>
        </w:rPr>
        <w:t xml:space="preserve"> </w:t>
      </w:r>
      <w:r w:rsidRPr="00586923">
        <w:rPr>
          <w:rFonts w:ascii="Arial" w:hAnsi="Arial" w:cs="Arial"/>
          <w:b/>
        </w:rPr>
        <w:t xml:space="preserve">do </w:t>
      </w:r>
      <w:r w:rsidR="00773842">
        <w:rPr>
          <w:rFonts w:ascii="Arial" w:hAnsi="Arial" w:cs="Arial"/>
          <w:b/>
        </w:rPr>
        <w:t>15 czerwca</w:t>
      </w:r>
      <w:r w:rsidRPr="00586923">
        <w:rPr>
          <w:rFonts w:ascii="Arial" w:hAnsi="Arial" w:cs="Arial"/>
          <w:b/>
        </w:rPr>
        <w:t xml:space="preserve"> 202</w:t>
      </w:r>
      <w:r w:rsidR="00773842">
        <w:rPr>
          <w:rFonts w:ascii="Arial" w:hAnsi="Arial" w:cs="Arial"/>
          <w:b/>
        </w:rPr>
        <w:t>5</w:t>
      </w:r>
      <w:r w:rsidRPr="00586923">
        <w:rPr>
          <w:rFonts w:ascii="Arial" w:hAnsi="Arial" w:cs="Arial"/>
          <w:b/>
        </w:rPr>
        <w:t xml:space="preserve"> roku</w:t>
      </w:r>
    </w:p>
    <w:p w14:paraId="5CE2591D" w14:textId="57B35828" w:rsidR="00E944E6" w:rsidRPr="00AC3187" w:rsidRDefault="00E944E6" w:rsidP="00E944E6">
      <w:pPr>
        <w:spacing w:after="0" w:line="300" w:lineRule="auto"/>
        <w:jc w:val="center"/>
        <w:rPr>
          <w:rFonts w:ascii="Arial" w:hAnsi="Arial" w:cs="Arial"/>
        </w:rPr>
      </w:pPr>
      <w:r w:rsidRPr="00AC3187">
        <w:rPr>
          <w:rFonts w:ascii="Arial" w:hAnsi="Arial" w:cs="Arial"/>
        </w:rPr>
        <w:t xml:space="preserve">Raport na dzień </w:t>
      </w:r>
      <w:r w:rsidR="00773842">
        <w:rPr>
          <w:rFonts w:ascii="Arial" w:hAnsi="Arial" w:cs="Arial"/>
        </w:rPr>
        <w:t>17 czerwca</w:t>
      </w:r>
      <w:r w:rsidRPr="00AC3187">
        <w:rPr>
          <w:rFonts w:ascii="Arial" w:hAnsi="Arial" w:cs="Arial"/>
        </w:rPr>
        <w:t xml:space="preserve"> 202</w:t>
      </w:r>
      <w:r w:rsidR="00773842">
        <w:rPr>
          <w:rFonts w:ascii="Arial" w:hAnsi="Arial" w:cs="Arial"/>
        </w:rPr>
        <w:t>5</w:t>
      </w:r>
      <w:r w:rsidRPr="00AC3187">
        <w:rPr>
          <w:rFonts w:ascii="Arial" w:hAnsi="Arial" w:cs="Arial"/>
        </w:rPr>
        <w:t xml:space="preserve"> roku</w:t>
      </w:r>
    </w:p>
    <w:p w14:paraId="72818E1D" w14:textId="77777777" w:rsidR="00E944E6" w:rsidRPr="00586923" w:rsidRDefault="00E944E6" w:rsidP="00E944E6">
      <w:pPr>
        <w:spacing w:after="0" w:line="240" w:lineRule="auto"/>
        <w:jc w:val="both"/>
        <w:rPr>
          <w:rFonts w:ascii="Arial" w:hAnsi="Arial" w:cs="Arial"/>
        </w:rPr>
      </w:pPr>
    </w:p>
    <w:p w14:paraId="6F35F3E8" w14:textId="77777777" w:rsidR="00E944E6" w:rsidRPr="000B65D1" w:rsidRDefault="00E944E6" w:rsidP="00E944E6">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03DAF16A" w14:textId="77777777" w:rsidR="00E944E6" w:rsidRDefault="00E944E6" w:rsidP="00E944E6">
      <w:pPr>
        <w:spacing w:after="0"/>
        <w:jc w:val="both"/>
        <w:rPr>
          <w:rFonts w:ascii="Arial" w:hAnsi="Arial" w:cs="Arial"/>
        </w:rPr>
      </w:pPr>
    </w:p>
    <w:p w14:paraId="016C12CE" w14:textId="2E0270DD" w:rsidR="00E944E6" w:rsidRPr="00C70674" w:rsidRDefault="00E944E6" w:rsidP="00E944E6">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sidR="00773842">
        <w:rPr>
          <w:rFonts w:ascii="Arial" w:eastAsia="Calibri" w:hAnsi="Arial" w:cs="Arial"/>
          <w:bCs/>
        </w:rPr>
        <w:t>12</w:t>
      </w:r>
      <w:r w:rsidRPr="00C70674">
        <w:rPr>
          <w:rFonts w:ascii="Arial" w:eastAsia="Calibri" w:hAnsi="Arial" w:cs="Arial"/>
          <w:bCs/>
        </w:rPr>
        <w:t xml:space="preserve"> projekt</w:t>
      </w:r>
      <w:r w:rsidR="00773842">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sidR="00773842">
        <w:rPr>
          <w:rFonts w:ascii="Arial" w:hAnsi="Arial" w:cs="Arial"/>
        </w:rPr>
        <w:t>24</w:t>
      </w:r>
      <w:r w:rsidRPr="00C70674">
        <w:rPr>
          <w:rFonts w:ascii="Arial" w:hAnsi="Arial" w:cs="Arial"/>
        </w:rPr>
        <w:t xml:space="preserve"> projekt</w:t>
      </w:r>
      <w:r w:rsidR="00773842">
        <w:rPr>
          <w:rFonts w:ascii="Arial" w:hAnsi="Arial" w:cs="Arial"/>
        </w:rPr>
        <w:t>y</w:t>
      </w:r>
      <w:r w:rsidRPr="00C70674">
        <w:rPr>
          <w:rFonts w:ascii="Arial" w:hAnsi="Arial" w:cs="Arial"/>
        </w:rPr>
        <w:t xml:space="preserve"> rozporządzeń Rady Ministrów, Prezesa Rady Ministrów oraz poszczególnych Ministrów.</w:t>
      </w:r>
    </w:p>
    <w:p w14:paraId="2A1A0B28" w14:textId="77777777" w:rsidR="00E944E6" w:rsidRPr="00C70674" w:rsidRDefault="00E944E6" w:rsidP="00E944E6">
      <w:pPr>
        <w:spacing w:after="0"/>
        <w:jc w:val="both"/>
        <w:rPr>
          <w:rFonts w:ascii="Arial" w:hAnsi="Arial" w:cs="Arial"/>
        </w:rPr>
      </w:pPr>
    </w:p>
    <w:p w14:paraId="442AB85A" w14:textId="147B61C7" w:rsidR="00E944E6" w:rsidRDefault="00E944E6" w:rsidP="00E944E6">
      <w:pPr>
        <w:spacing w:after="0"/>
        <w:jc w:val="both"/>
        <w:rPr>
          <w:rFonts w:ascii="Arial" w:hAnsi="Arial" w:cs="Arial"/>
        </w:rPr>
      </w:pPr>
      <w:r>
        <w:rPr>
          <w:rFonts w:ascii="Arial" w:hAnsi="Arial" w:cs="Arial"/>
        </w:rPr>
        <w:t xml:space="preserve">Przeprowadzono konsultacje </w:t>
      </w:r>
      <w:r w:rsidR="00700C7C">
        <w:rPr>
          <w:rFonts w:ascii="Arial" w:hAnsi="Arial" w:cs="Arial"/>
        </w:rPr>
        <w:t>2</w:t>
      </w:r>
      <w:r>
        <w:rPr>
          <w:rFonts w:ascii="Arial" w:hAnsi="Arial" w:cs="Arial"/>
        </w:rPr>
        <w:t xml:space="preserve"> projekt</w:t>
      </w:r>
      <w:r w:rsidR="00700C7C">
        <w:rPr>
          <w:rFonts w:ascii="Arial" w:hAnsi="Arial" w:cs="Arial"/>
        </w:rPr>
        <w:t>ów</w:t>
      </w:r>
      <w:r>
        <w:rPr>
          <w:rFonts w:ascii="Arial" w:hAnsi="Arial" w:cs="Arial"/>
        </w:rPr>
        <w:t xml:space="preserve"> ustaw i </w:t>
      </w:r>
      <w:r w:rsidR="00700C7C">
        <w:rPr>
          <w:rFonts w:ascii="Arial" w:hAnsi="Arial" w:cs="Arial"/>
        </w:rPr>
        <w:t>5</w:t>
      </w:r>
      <w:r>
        <w:rPr>
          <w:rFonts w:ascii="Arial" w:hAnsi="Arial" w:cs="Arial"/>
        </w:rPr>
        <w:t xml:space="preserve"> projekt</w:t>
      </w:r>
      <w:r w:rsidR="00700C7C">
        <w:rPr>
          <w:rFonts w:ascii="Arial" w:hAnsi="Arial" w:cs="Arial"/>
        </w:rPr>
        <w:t>ów</w:t>
      </w:r>
      <w:r>
        <w:rPr>
          <w:rFonts w:ascii="Arial" w:hAnsi="Arial" w:cs="Arial"/>
        </w:rPr>
        <w:t xml:space="preserve"> rozporządzeń dotyczących podmiotów członkowskich (pracodawcy, przedsiębiorcy, JST) zrzeszonych w Związku. </w:t>
      </w:r>
    </w:p>
    <w:p w14:paraId="35EF2A3A" w14:textId="77777777" w:rsidR="00E944E6" w:rsidRDefault="00E944E6" w:rsidP="00E944E6">
      <w:pPr>
        <w:spacing w:after="0"/>
        <w:jc w:val="both"/>
        <w:rPr>
          <w:rFonts w:ascii="Arial" w:hAnsi="Arial" w:cs="Arial"/>
        </w:rPr>
      </w:pPr>
      <w:r>
        <w:rPr>
          <w:rFonts w:ascii="Arial" w:hAnsi="Arial" w:cs="Arial"/>
        </w:rPr>
        <w:t>Do konsultacji przekazane zostały następujące projekty:</w:t>
      </w:r>
    </w:p>
    <w:p w14:paraId="3333C6D7" w14:textId="77777777" w:rsidR="00E944E6" w:rsidRDefault="00E944E6" w:rsidP="00E944E6">
      <w:pPr>
        <w:spacing w:after="0"/>
        <w:jc w:val="both"/>
        <w:rPr>
          <w:rFonts w:ascii="Arial" w:hAnsi="Arial" w:cs="Arial"/>
        </w:rPr>
      </w:pPr>
    </w:p>
    <w:p w14:paraId="646002CA" w14:textId="77777777" w:rsidR="00E944E6" w:rsidRDefault="00E944E6" w:rsidP="00E944E6">
      <w:pPr>
        <w:spacing w:after="0"/>
        <w:jc w:val="both"/>
        <w:rPr>
          <w:rFonts w:ascii="Arial" w:hAnsi="Arial" w:cs="Arial"/>
        </w:rPr>
      </w:pPr>
      <w:r>
        <w:rPr>
          <w:rFonts w:ascii="Arial" w:hAnsi="Arial" w:cs="Arial"/>
        </w:rPr>
        <w:t>Projekty ustaw:</w:t>
      </w:r>
    </w:p>
    <w:p w14:paraId="64672BBA" w14:textId="77777777" w:rsidR="00700C7C" w:rsidRDefault="00700C7C" w:rsidP="00E944E6">
      <w:pPr>
        <w:spacing w:after="0"/>
        <w:jc w:val="both"/>
        <w:rPr>
          <w:rFonts w:ascii="Arial" w:hAnsi="Arial" w:cs="Arial"/>
        </w:rPr>
      </w:pPr>
    </w:p>
    <w:p w14:paraId="1A5DA965" w14:textId="3C708342" w:rsidR="00700C7C" w:rsidRPr="00700C7C" w:rsidRDefault="00700C7C" w:rsidP="00E944E6">
      <w:pPr>
        <w:pStyle w:val="Akapitzlist"/>
        <w:numPr>
          <w:ilvl w:val="0"/>
          <w:numId w:val="3"/>
        </w:numPr>
        <w:spacing w:after="0"/>
        <w:jc w:val="both"/>
        <w:rPr>
          <w:rFonts w:ascii="Arial" w:hAnsi="Arial" w:cs="Arial"/>
          <w:b/>
          <w:bCs/>
          <w:u w:val="single"/>
        </w:rPr>
      </w:pPr>
      <w:r w:rsidRPr="00700C7C">
        <w:rPr>
          <w:rFonts w:ascii="Arial" w:hAnsi="Arial" w:cs="Arial"/>
          <w:b/>
          <w:bCs/>
          <w:u w:val="single"/>
        </w:rPr>
        <w:t>P</w:t>
      </w:r>
      <w:r w:rsidRPr="00700C7C">
        <w:rPr>
          <w:rFonts w:ascii="Arial" w:hAnsi="Arial" w:cs="Arial"/>
          <w:b/>
          <w:bCs/>
          <w:u w:val="single"/>
        </w:rPr>
        <w:t>rojekt ustawy o zmianie ustawy o Centralnej Ewidencji i Informacji o Działalności Gospodarczej i Punkcie Informacji dla Przedsiębiorcy oraz ustawy o podatku od towarów i usług (numer z wykazu UDER48).</w:t>
      </w:r>
    </w:p>
    <w:p w14:paraId="4FC7FC41" w14:textId="77777777" w:rsidR="00700C7C" w:rsidRDefault="00700C7C" w:rsidP="00700C7C">
      <w:pPr>
        <w:spacing w:after="0"/>
        <w:jc w:val="both"/>
        <w:rPr>
          <w:rFonts w:ascii="Arial" w:hAnsi="Arial" w:cs="Arial"/>
        </w:rPr>
      </w:pPr>
    </w:p>
    <w:p w14:paraId="27CA221E" w14:textId="77777777" w:rsidR="00700C7C" w:rsidRPr="00700C7C" w:rsidRDefault="00700C7C" w:rsidP="00700C7C">
      <w:pPr>
        <w:spacing w:after="0"/>
        <w:jc w:val="both"/>
        <w:rPr>
          <w:rFonts w:ascii="Arial" w:hAnsi="Arial" w:cs="Arial"/>
        </w:rPr>
      </w:pPr>
      <w:r w:rsidRPr="00700C7C">
        <w:rPr>
          <w:rFonts w:ascii="Arial" w:hAnsi="Arial" w:cs="Arial"/>
        </w:rPr>
        <w:t xml:space="preserve">Przedsiębiorcy weryfikują dane kontrahentów, korzystając z kilku odrębnych rejestrów (KRS, CEIDG, wykaz VAT). </w:t>
      </w:r>
    </w:p>
    <w:p w14:paraId="108BA1E2" w14:textId="77777777" w:rsidR="00700C7C" w:rsidRPr="00700C7C" w:rsidRDefault="00700C7C" w:rsidP="00700C7C">
      <w:pPr>
        <w:spacing w:after="0"/>
        <w:jc w:val="both"/>
        <w:rPr>
          <w:rFonts w:ascii="Arial" w:hAnsi="Arial" w:cs="Arial"/>
        </w:rPr>
      </w:pPr>
      <w:r w:rsidRPr="00700C7C">
        <w:rPr>
          <w:rFonts w:ascii="Arial" w:hAnsi="Arial" w:cs="Arial"/>
        </w:rPr>
        <w:t xml:space="preserve">Brak scentralizowanej bazy danych powoduje rozproszenie informacji, co wydłuża proces i zwiększa ryzyko błędów. </w:t>
      </w:r>
    </w:p>
    <w:p w14:paraId="57CE0B6E" w14:textId="77777777" w:rsidR="00700C7C" w:rsidRPr="00700C7C" w:rsidRDefault="00700C7C" w:rsidP="00700C7C">
      <w:pPr>
        <w:spacing w:after="0"/>
        <w:jc w:val="both"/>
        <w:rPr>
          <w:rFonts w:ascii="Arial" w:hAnsi="Arial" w:cs="Arial"/>
        </w:rPr>
      </w:pPr>
      <w:r w:rsidRPr="00700C7C">
        <w:rPr>
          <w:rFonts w:ascii="Arial" w:hAnsi="Arial" w:cs="Arial"/>
        </w:rPr>
        <w:t xml:space="preserve">Konieczność wielokrotnego sprawdzania tych samych danych w różnych źródłach generuje dodatkową pracochłonność procesu, opóźnienia i może prowadzić do niedokładnej oceny wiarygodności kontrahenta.  </w:t>
      </w:r>
    </w:p>
    <w:p w14:paraId="16995ADF" w14:textId="77777777" w:rsidR="00700C7C" w:rsidRPr="00700C7C" w:rsidRDefault="00700C7C" w:rsidP="00700C7C">
      <w:pPr>
        <w:spacing w:after="0"/>
        <w:jc w:val="both"/>
        <w:rPr>
          <w:rFonts w:ascii="Arial" w:hAnsi="Arial" w:cs="Arial"/>
        </w:rPr>
      </w:pPr>
      <w:r w:rsidRPr="00700C7C">
        <w:rPr>
          <w:rFonts w:ascii="Arial" w:hAnsi="Arial" w:cs="Arial"/>
        </w:rPr>
        <w:t xml:space="preserve">Propozycja ta pojawia się w ramach prac tzw. zespołu </w:t>
      </w:r>
      <w:proofErr w:type="spellStart"/>
      <w:r w:rsidRPr="00700C7C">
        <w:rPr>
          <w:rFonts w:ascii="Arial" w:hAnsi="Arial" w:cs="Arial"/>
        </w:rPr>
        <w:t>deregulacyjnego</w:t>
      </w:r>
      <w:proofErr w:type="spellEnd"/>
      <w:r w:rsidRPr="00700C7C">
        <w:rPr>
          <w:rFonts w:ascii="Arial" w:hAnsi="Arial" w:cs="Arial"/>
        </w:rPr>
        <w:t>.</w:t>
      </w:r>
    </w:p>
    <w:p w14:paraId="143FE3AC" w14:textId="77777777" w:rsidR="00700C7C" w:rsidRPr="00700C7C" w:rsidRDefault="00700C7C" w:rsidP="00700C7C">
      <w:pPr>
        <w:spacing w:after="0"/>
        <w:jc w:val="both"/>
        <w:rPr>
          <w:rFonts w:ascii="Arial" w:hAnsi="Arial" w:cs="Arial"/>
        </w:rPr>
      </w:pPr>
      <w:r w:rsidRPr="00700C7C">
        <w:rPr>
          <w:rFonts w:ascii="Arial" w:hAnsi="Arial" w:cs="Arial"/>
        </w:rPr>
        <w:t>Rekomendowane rozwiązania.</w:t>
      </w:r>
    </w:p>
    <w:p w14:paraId="720DFBF9" w14:textId="7B9C931F" w:rsidR="00700C7C" w:rsidRPr="00700C7C" w:rsidRDefault="00700C7C" w:rsidP="00700C7C">
      <w:pPr>
        <w:spacing w:after="0"/>
        <w:jc w:val="both"/>
        <w:rPr>
          <w:rFonts w:ascii="Arial" w:hAnsi="Arial" w:cs="Arial"/>
        </w:rPr>
      </w:pPr>
      <w:r w:rsidRPr="00700C7C">
        <w:rPr>
          <w:rFonts w:ascii="Arial" w:hAnsi="Arial" w:cs="Arial"/>
        </w:rPr>
        <w:t xml:space="preserve">Realizacja postulatu będzie polegać na prezentowaniu danych z wykazu podatników VAT </w:t>
      </w:r>
      <w:r>
        <w:rPr>
          <w:rFonts w:ascii="Arial" w:hAnsi="Arial" w:cs="Arial"/>
        </w:rPr>
        <w:br/>
      </w:r>
      <w:r w:rsidRPr="00700C7C">
        <w:rPr>
          <w:rFonts w:ascii="Arial" w:hAnsi="Arial" w:cs="Arial"/>
        </w:rPr>
        <w:t>w ramach istniejącej wyszukiwarki firm dostępnej na portalu biznes.gov.pl.</w:t>
      </w:r>
      <w:r>
        <w:rPr>
          <w:rFonts w:ascii="Arial" w:hAnsi="Arial" w:cs="Arial"/>
        </w:rPr>
        <w:t xml:space="preserve"> </w:t>
      </w:r>
      <w:r w:rsidRPr="00700C7C">
        <w:rPr>
          <w:rFonts w:ascii="Arial" w:hAnsi="Arial" w:cs="Arial"/>
        </w:rPr>
        <w:t>(</w:t>
      </w:r>
      <w:hyperlink r:id="rId6" w:history="1">
        <w:r w:rsidRPr="001D775C">
          <w:rPr>
            <w:rStyle w:val="Hipercze"/>
            <w:rFonts w:ascii="Arial" w:hAnsi="Arial" w:cs="Arial"/>
          </w:rPr>
          <w:t>https://www.biznes.gov.pl/pl/wyszukiwarka-firm/</w:t>
        </w:r>
      </w:hyperlink>
      <w:r w:rsidRPr="00700C7C">
        <w:rPr>
          <w:rFonts w:ascii="Arial" w:hAnsi="Arial" w:cs="Arial"/>
        </w:rPr>
        <w:t xml:space="preserve">). </w:t>
      </w:r>
    </w:p>
    <w:p w14:paraId="15A52A07" w14:textId="12C097E9" w:rsidR="00700C7C" w:rsidRPr="00700C7C" w:rsidRDefault="00700C7C" w:rsidP="00700C7C">
      <w:pPr>
        <w:spacing w:after="0"/>
        <w:jc w:val="both"/>
        <w:rPr>
          <w:rFonts w:ascii="Arial" w:hAnsi="Arial" w:cs="Arial"/>
        </w:rPr>
      </w:pPr>
      <w:r w:rsidRPr="00700C7C">
        <w:rPr>
          <w:rFonts w:ascii="Arial" w:hAnsi="Arial" w:cs="Arial"/>
        </w:rPr>
        <w:t xml:space="preserve">Portal biznes.gov.pl obecnie stanowi podstawowe źródło informacji dla podmiotów wykonujących działalność gospodarczą. Na portalu jest aktywnych prawie 3 mln kont użytkowników. W 2024 r. odnotowano prawie 17,5 mln odsłon oraz zrealizowano za jego pomocą ponad 2 mln usług elektronicznych. </w:t>
      </w:r>
    </w:p>
    <w:p w14:paraId="7C4A0E14" w14:textId="77777777" w:rsidR="00700C7C" w:rsidRPr="00700C7C" w:rsidRDefault="00700C7C" w:rsidP="00700C7C">
      <w:pPr>
        <w:spacing w:after="0"/>
        <w:jc w:val="both"/>
        <w:rPr>
          <w:rFonts w:ascii="Arial" w:hAnsi="Arial" w:cs="Arial"/>
        </w:rPr>
      </w:pPr>
      <w:r w:rsidRPr="00700C7C">
        <w:rPr>
          <w:rFonts w:ascii="Arial" w:hAnsi="Arial" w:cs="Arial"/>
        </w:rPr>
        <w:t xml:space="preserve">Propozycja publikacji informacji z wykazu podatników VAT wraz z danymi przedsiębiorcy wpisanego w CEIDG i KRS, które są możliwe do wyszukania w bazie przedsiębiorców na stronie biznes.gov.pl, wychodzi naprzeciw oczekiwaniom przedsiębiorców. Stanowi przy tym </w:t>
      </w:r>
      <w:r w:rsidRPr="00700C7C">
        <w:rPr>
          <w:rFonts w:ascii="Arial" w:hAnsi="Arial" w:cs="Arial"/>
        </w:rPr>
        <w:lastRenderedPageBreak/>
        <w:t xml:space="preserve">istotne ułatwienie w prowadzeniu działalności gospodarczej oraz służy zapewnieniu bezpieczeństwa gospodarczego. </w:t>
      </w:r>
    </w:p>
    <w:p w14:paraId="400B16AB" w14:textId="77777777" w:rsidR="00700C7C" w:rsidRPr="00700C7C" w:rsidRDefault="00700C7C" w:rsidP="00700C7C">
      <w:pPr>
        <w:spacing w:after="0"/>
        <w:jc w:val="both"/>
        <w:rPr>
          <w:rFonts w:ascii="Arial" w:hAnsi="Arial" w:cs="Arial"/>
        </w:rPr>
      </w:pPr>
      <w:r w:rsidRPr="00700C7C">
        <w:rPr>
          <w:rFonts w:ascii="Arial" w:hAnsi="Arial" w:cs="Arial"/>
        </w:rPr>
        <w:t xml:space="preserve">Projekt zakłada współpracę i wymianę informacji pomiędzy systemami PIP i KAS (MF) w zakresie informacji zawartych w wykazie podatników VAT. Ma pełnić funkcję informacyjną (dostęp z jednego miejsca do takiego samego zakresu danych), przy zachowaniu odrębności tych baz.  </w:t>
      </w:r>
    </w:p>
    <w:p w14:paraId="5AA28E3D" w14:textId="1C044498" w:rsidR="00700C7C" w:rsidRDefault="00700C7C" w:rsidP="00700C7C">
      <w:pPr>
        <w:spacing w:after="0"/>
        <w:jc w:val="both"/>
        <w:rPr>
          <w:rFonts w:ascii="Arial" w:hAnsi="Arial" w:cs="Arial"/>
        </w:rPr>
      </w:pPr>
      <w:r w:rsidRPr="00700C7C">
        <w:rPr>
          <w:rFonts w:ascii="Arial" w:hAnsi="Arial" w:cs="Arial"/>
        </w:rPr>
        <w:t>Uzyskanie zakładanego efektu wymaga zmian legislacyjnych</w:t>
      </w:r>
      <w:r>
        <w:rPr>
          <w:rFonts w:ascii="Arial" w:hAnsi="Arial" w:cs="Arial"/>
        </w:rPr>
        <w:t>.</w:t>
      </w:r>
    </w:p>
    <w:p w14:paraId="1FB691AE" w14:textId="77777777" w:rsidR="00700C7C" w:rsidRDefault="00700C7C" w:rsidP="00700C7C">
      <w:pPr>
        <w:spacing w:after="0"/>
        <w:jc w:val="both"/>
        <w:rPr>
          <w:rFonts w:ascii="Arial" w:hAnsi="Arial" w:cs="Arial"/>
        </w:rPr>
      </w:pPr>
    </w:p>
    <w:p w14:paraId="70AA5D55" w14:textId="77777777" w:rsidR="00700C7C" w:rsidRPr="00700C7C" w:rsidRDefault="00700C7C" w:rsidP="00700C7C">
      <w:pPr>
        <w:spacing w:after="0"/>
        <w:jc w:val="both"/>
        <w:rPr>
          <w:rFonts w:ascii="Arial" w:hAnsi="Arial" w:cs="Arial"/>
        </w:rPr>
      </w:pPr>
      <w:r w:rsidRPr="00700C7C">
        <w:rPr>
          <w:rFonts w:ascii="Arial" w:hAnsi="Arial" w:cs="Arial"/>
        </w:rPr>
        <w:t>Przedmiotowy projekt aktu prawnego wraz z Uzasadnieniem oraz Oceną Skutków Regulacji dostępny jest na stronach Rządowego Centrum Legislacji pod adresem:</w:t>
      </w:r>
    </w:p>
    <w:p w14:paraId="1930EB2A" w14:textId="34383EFD" w:rsidR="00700C7C" w:rsidRDefault="00700C7C" w:rsidP="00700C7C">
      <w:pPr>
        <w:spacing w:after="0"/>
        <w:jc w:val="both"/>
        <w:rPr>
          <w:rFonts w:ascii="Arial" w:hAnsi="Arial" w:cs="Arial"/>
        </w:rPr>
      </w:pPr>
      <w:hyperlink r:id="rId7" w:history="1">
        <w:r w:rsidRPr="001D775C">
          <w:rPr>
            <w:rStyle w:val="Hipercze"/>
            <w:rFonts w:ascii="Arial" w:hAnsi="Arial" w:cs="Arial"/>
          </w:rPr>
          <w:t>https://legislacja.rcl.gov.pl/projekt/12398704/k</w:t>
        </w:r>
        <w:r w:rsidRPr="001D775C">
          <w:rPr>
            <w:rStyle w:val="Hipercze"/>
            <w:rFonts w:ascii="Arial" w:hAnsi="Arial" w:cs="Arial"/>
          </w:rPr>
          <w:t>a</w:t>
        </w:r>
        <w:r w:rsidRPr="001D775C">
          <w:rPr>
            <w:rStyle w:val="Hipercze"/>
            <w:rFonts w:ascii="Arial" w:hAnsi="Arial" w:cs="Arial"/>
          </w:rPr>
          <w:t>talog/13134180#13134180</w:t>
        </w:r>
      </w:hyperlink>
      <w:r>
        <w:rPr>
          <w:rFonts w:ascii="Arial" w:hAnsi="Arial" w:cs="Arial"/>
        </w:rPr>
        <w:t xml:space="preserve"> </w:t>
      </w:r>
    </w:p>
    <w:p w14:paraId="7F0ED8A6" w14:textId="77777777" w:rsidR="00700C7C" w:rsidRDefault="00700C7C" w:rsidP="00700C7C">
      <w:pPr>
        <w:spacing w:after="0"/>
        <w:jc w:val="both"/>
        <w:rPr>
          <w:rFonts w:ascii="Arial" w:hAnsi="Arial" w:cs="Arial"/>
        </w:rPr>
      </w:pPr>
    </w:p>
    <w:p w14:paraId="74EF3FAA" w14:textId="3F8BEE7A" w:rsidR="00700C7C" w:rsidRDefault="00700C7C" w:rsidP="00700C7C">
      <w:pPr>
        <w:spacing w:after="0"/>
        <w:jc w:val="both"/>
        <w:rPr>
          <w:rFonts w:ascii="Arial" w:hAnsi="Arial" w:cs="Arial"/>
        </w:rPr>
      </w:pPr>
      <w:r w:rsidRPr="00700C7C">
        <w:rPr>
          <w:rFonts w:ascii="Arial" w:hAnsi="Arial" w:cs="Arial"/>
        </w:rPr>
        <w:t>Projekt jest obecnie jednocześnie na etapie uzgodnień, konsultacji publicznych i opiniowania</w:t>
      </w:r>
      <w:r>
        <w:rPr>
          <w:rFonts w:ascii="Arial" w:hAnsi="Arial" w:cs="Arial"/>
        </w:rPr>
        <w:t>.</w:t>
      </w:r>
    </w:p>
    <w:p w14:paraId="55242AF0" w14:textId="77777777" w:rsidR="00700C7C" w:rsidRPr="00700C7C" w:rsidRDefault="00700C7C" w:rsidP="00700C7C">
      <w:pPr>
        <w:spacing w:after="0"/>
        <w:jc w:val="both"/>
        <w:rPr>
          <w:rFonts w:ascii="Arial" w:hAnsi="Arial" w:cs="Arial"/>
        </w:rPr>
      </w:pPr>
    </w:p>
    <w:p w14:paraId="560D17C3" w14:textId="21766CEF" w:rsidR="00700C7C" w:rsidRPr="00700C7C" w:rsidRDefault="00700C7C" w:rsidP="00700C7C">
      <w:pPr>
        <w:pStyle w:val="Akapitzlist"/>
        <w:numPr>
          <w:ilvl w:val="0"/>
          <w:numId w:val="3"/>
        </w:numPr>
        <w:spacing w:after="0"/>
        <w:jc w:val="both"/>
        <w:rPr>
          <w:rFonts w:ascii="Arial" w:hAnsi="Arial" w:cs="Arial"/>
          <w:b/>
          <w:bCs/>
          <w:u w:val="single"/>
        </w:rPr>
      </w:pPr>
      <w:r w:rsidRPr="00700C7C">
        <w:rPr>
          <w:rFonts w:ascii="Arial" w:hAnsi="Arial" w:cs="Arial"/>
          <w:b/>
          <w:bCs/>
          <w:u w:val="single"/>
        </w:rPr>
        <w:t>P</w:t>
      </w:r>
      <w:r w:rsidRPr="00700C7C">
        <w:rPr>
          <w:rFonts w:ascii="Arial" w:hAnsi="Arial" w:cs="Arial"/>
          <w:b/>
          <w:bCs/>
          <w:u w:val="single"/>
        </w:rPr>
        <w:t>rojekt ustawy o zmianie ustawy – Kodeks pracy oraz ustawy o zakładowym funduszu świadczeń socjalnych (numer z wykazu UDER52).</w:t>
      </w:r>
    </w:p>
    <w:p w14:paraId="132BE3BB" w14:textId="77777777" w:rsidR="00E944E6" w:rsidRDefault="00E944E6" w:rsidP="00E944E6">
      <w:pPr>
        <w:spacing w:after="0"/>
        <w:jc w:val="both"/>
        <w:rPr>
          <w:rFonts w:ascii="Arial" w:hAnsi="Arial" w:cs="Arial"/>
        </w:rPr>
      </w:pPr>
    </w:p>
    <w:p w14:paraId="4EE70027" w14:textId="77777777" w:rsidR="00700C7C" w:rsidRPr="00700C7C" w:rsidRDefault="00700C7C" w:rsidP="00700C7C">
      <w:pPr>
        <w:spacing w:after="0"/>
        <w:jc w:val="both"/>
        <w:rPr>
          <w:rFonts w:ascii="Arial" w:hAnsi="Arial" w:cs="Arial"/>
        </w:rPr>
      </w:pPr>
      <w:r w:rsidRPr="00700C7C">
        <w:rPr>
          <w:rFonts w:ascii="Arial" w:hAnsi="Arial" w:cs="Arial"/>
        </w:rPr>
        <w:t>Według obecnie obowiązujących przepisów prawa pracy, roszczenie o wypłatę ekwiwalentu za urlop staje się wymagalne w dniu rozwiązania umowy o pracę. Powoduje to konieczność generowania przez pracodawców dodatkowych list płac i przelewów, poza comiesięcznymi listami wynagrodzeń oraz może prowadzić do nieprawidłowego wyliczenia wysokości ekwiwalentu przed ustaniem stosunku pracy.</w:t>
      </w:r>
    </w:p>
    <w:p w14:paraId="0EFDB322" w14:textId="77777777" w:rsidR="00700C7C" w:rsidRPr="00700C7C" w:rsidRDefault="00700C7C" w:rsidP="00700C7C">
      <w:pPr>
        <w:spacing w:after="0"/>
        <w:jc w:val="both"/>
        <w:rPr>
          <w:rFonts w:ascii="Arial" w:hAnsi="Arial" w:cs="Arial"/>
        </w:rPr>
      </w:pPr>
      <w:r w:rsidRPr="00700C7C">
        <w:rPr>
          <w:rFonts w:ascii="Arial" w:hAnsi="Arial" w:cs="Arial"/>
        </w:rPr>
        <w:t>Kolejnym problemem rozwiązywanym w niniejszym projekcie jest niejednolita reprezentacja pracowników w różnych sprawach z zakresu prawa pracy. Regulacje prawa pracy dotyczące pracy zdalnej czy porozumień dotyczących czasu pracy wymagają minimum dwóch reprezentantów pracowników, podczas gdy ustawa o zakładowym funduszu świadczeń socjalnych przewiduje udział tylko jednego reprezentanta pracowników w procesie uzgodnień regulaminu zakładowego funduszu świadczeń socjalnych.</w:t>
      </w:r>
    </w:p>
    <w:p w14:paraId="35CDE676" w14:textId="77777777" w:rsidR="00700C7C" w:rsidRPr="00700C7C" w:rsidRDefault="00700C7C" w:rsidP="00700C7C">
      <w:pPr>
        <w:spacing w:after="0"/>
        <w:jc w:val="both"/>
        <w:rPr>
          <w:rFonts w:ascii="Arial" w:hAnsi="Arial" w:cs="Arial"/>
        </w:rPr>
      </w:pPr>
      <w:r w:rsidRPr="00700C7C">
        <w:rPr>
          <w:rFonts w:ascii="Arial" w:hAnsi="Arial" w:cs="Arial"/>
        </w:rPr>
        <w:t xml:space="preserve">Istnieje również potrzeba umożliwienia załatwiania szeregu spraw z zakresu prawa pracy między pracodawcą a pracownikami i związkami zawodowymi w postaci elektronicznej. Zgodnie z obecnie obowiązującymi przepisami, mimo dobrze funkcjonujących technologii i elektronicznego obiegu dokumentacji, nadal nie wszystkie sprawy można załatwiać elektronicznie. </w:t>
      </w:r>
    </w:p>
    <w:p w14:paraId="370EFECE" w14:textId="77777777" w:rsidR="00700C7C" w:rsidRPr="00700C7C" w:rsidRDefault="00700C7C" w:rsidP="00700C7C">
      <w:pPr>
        <w:spacing w:after="0"/>
        <w:jc w:val="both"/>
        <w:rPr>
          <w:rFonts w:ascii="Arial" w:hAnsi="Arial" w:cs="Arial"/>
        </w:rPr>
      </w:pPr>
      <w:r w:rsidRPr="00700C7C">
        <w:rPr>
          <w:rFonts w:ascii="Arial" w:hAnsi="Arial" w:cs="Arial"/>
        </w:rPr>
        <w:t xml:space="preserve">Projektowane przepisy są odpowiedzią na postulaty </w:t>
      </w:r>
      <w:proofErr w:type="spellStart"/>
      <w:r w:rsidRPr="00700C7C">
        <w:rPr>
          <w:rFonts w:ascii="Arial" w:hAnsi="Arial" w:cs="Arial"/>
        </w:rPr>
        <w:t>deregulacyjne</w:t>
      </w:r>
      <w:proofErr w:type="spellEnd"/>
      <w:r w:rsidRPr="00700C7C">
        <w:rPr>
          <w:rFonts w:ascii="Arial" w:hAnsi="Arial" w:cs="Arial"/>
        </w:rPr>
        <w:t xml:space="preserve"> wypracowane przez Rządowy Zespół do spraw Deregulacji powołany przez Radę Ministrów w marcu 2025 r.</w:t>
      </w:r>
    </w:p>
    <w:p w14:paraId="5551F8AE" w14:textId="77777777" w:rsidR="00700C7C" w:rsidRPr="00700C7C" w:rsidRDefault="00700C7C" w:rsidP="00700C7C">
      <w:pPr>
        <w:spacing w:after="0"/>
        <w:jc w:val="both"/>
        <w:rPr>
          <w:rFonts w:ascii="Arial" w:hAnsi="Arial" w:cs="Arial"/>
        </w:rPr>
      </w:pPr>
      <w:r w:rsidRPr="00700C7C">
        <w:rPr>
          <w:rFonts w:ascii="Arial" w:hAnsi="Arial" w:cs="Arial"/>
        </w:rPr>
        <w:t>Rozwiązaniem wskazanego problemu może być powiązanie terminu wypłaty ekwiwalentu za urlop z terminem wypłaty wynagrodzenia za pracę. Zmiana terminu wypłaty ekwiwalentu umożliwi też pracodawcom uniknięcie ewentualnych błędów przy wyliczaniu wysokości ekwiwalentu, którą będą mogli wyliczyć po dniu ustania stosunku pracy oraz zmniejszy obciążanie pracodawców poprzez zmniejszenie liczby wypłat z tytułu wypłaty wynagrodzenia lub wypłaty ekwiwalentu za urlop.</w:t>
      </w:r>
    </w:p>
    <w:p w14:paraId="44BE0EDE" w14:textId="77777777" w:rsidR="00700C7C" w:rsidRPr="00700C7C" w:rsidRDefault="00700C7C" w:rsidP="00700C7C">
      <w:pPr>
        <w:spacing w:after="0"/>
        <w:jc w:val="both"/>
        <w:rPr>
          <w:rFonts w:ascii="Arial" w:hAnsi="Arial" w:cs="Arial"/>
        </w:rPr>
      </w:pPr>
      <w:r w:rsidRPr="00700C7C">
        <w:rPr>
          <w:rFonts w:ascii="Arial" w:hAnsi="Arial" w:cs="Arial"/>
        </w:rPr>
        <w:t>Powyższe zmiany spowodują uproszczenie procesu rozliczeń przy rozwiązaniu umowy, zmniejszenie kosztów obsługi płacowej, ograniczenie liczby błędów wynikających z braku pełnych danych w dniu zakończenia pracy, mniejsze ryzyko naruszeń przepisów i sankcji ze strony Państwowej Inspekcji Pracy, a także odciążenie działów kadrowo-płacowych.</w:t>
      </w:r>
    </w:p>
    <w:p w14:paraId="4A4D2474" w14:textId="77777777" w:rsidR="00700C7C" w:rsidRPr="00700C7C" w:rsidRDefault="00700C7C" w:rsidP="00700C7C">
      <w:pPr>
        <w:spacing w:after="0"/>
        <w:jc w:val="both"/>
        <w:rPr>
          <w:rFonts w:ascii="Arial" w:hAnsi="Arial" w:cs="Arial"/>
        </w:rPr>
      </w:pPr>
      <w:r w:rsidRPr="00700C7C">
        <w:rPr>
          <w:rFonts w:ascii="Arial" w:hAnsi="Arial" w:cs="Arial"/>
        </w:rPr>
        <w:t xml:space="preserve">W zakresie kolejnego problemu, tj. niejednolitej reprezentacji pracowników w różnych sprawach z zakresu prawa pracy, proponuje się wprowadzenie u pracodawców, u których nie działają zakładowe organizacje związkowe, co najmniej dwuosobowej reprezentacji </w:t>
      </w:r>
      <w:r w:rsidRPr="00700C7C">
        <w:rPr>
          <w:rFonts w:ascii="Arial" w:hAnsi="Arial" w:cs="Arial"/>
        </w:rPr>
        <w:lastRenderedPageBreak/>
        <w:t>pracowników w sprawach, które dotyczą zakładowego funduszu świadczeń socjalnych, a które wymagają uzgodnienia. Wprowadzenie jednolitych zasad zapewni spójność regulacji i umożliwi bardziej demokratyczny proces ustalania regulaminu funduszu.</w:t>
      </w:r>
    </w:p>
    <w:p w14:paraId="0C7C4CC3" w14:textId="77777777" w:rsidR="00700C7C" w:rsidRPr="00700C7C" w:rsidRDefault="00700C7C" w:rsidP="00700C7C">
      <w:pPr>
        <w:spacing w:after="0"/>
        <w:jc w:val="both"/>
        <w:rPr>
          <w:rFonts w:ascii="Arial" w:hAnsi="Arial" w:cs="Arial"/>
        </w:rPr>
      </w:pPr>
      <w:r w:rsidRPr="00700C7C">
        <w:rPr>
          <w:rFonts w:ascii="Arial" w:hAnsi="Arial" w:cs="Arial"/>
        </w:rPr>
        <w:t xml:space="preserve">Planuje się też wprowadzenie do Kodeksu pracy możliwości załatwiania szeregu spraw w postaci elektronicznej. Dotyczyć to będzie przekazania informacji o monitoringu, przekazania informacji o warunkach przejścia zakładu pracy na innego pracodawcę, konsultacji zamiaru wypowiedzenia umowy o pracę z zakładową organizacją związkową, rozkładu czasu pracy, wniosku o ustalenie indywidualnego rozkładu czasu pracy, wniosku o zastosowanie systemu skróconego tygodnia pracy, wniosku o zastosowanie systemu pracy weekendowej, wniosku o zastosowanie rozkładu czasu pracy, o którym mowa w art. 1401 </w:t>
      </w:r>
      <w:proofErr w:type="spellStart"/>
      <w:r w:rsidRPr="00700C7C">
        <w:rPr>
          <w:rFonts w:ascii="Arial" w:hAnsi="Arial" w:cs="Arial"/>
        </w:rPr>
        <w:t>k.p</w:t>
      </w:r>
      <w:proofErr w:type="spellEnd"/>
      <w:r w:rsidRPr="00700C7C">
        <w:rPr>
          <w:rFonts w:ascii="Arial" w:hAnsi="Arial" w:cs="Arial"/>
        </w:rPr>
        <w:t>., czyli ruchomego czasu pracy, wniosku u udzielenie czasu wolnego w celu załatwienia spraw osobistych, wniosku o udzielenie czasu wolnego za czas przepracowany w godzinach nadliczbowych, wniosku  o poinformowanie właściwego okręgowego inspektora pracy o zatrudnianiu pracowników pracujących w nocy, wniosku o udzielenie urlopu bezpłatnego, wniosku o udzielenie urlopu bezpłatnego na czas pracy u innego pracodawcy, czy instrukcji i wskazówek pracodawcy w zakresie zaznajomienia pracowników z przepisami i zasadami bezpieczeństwa i higieny pracy.</w:t>
      </w:r>
    </w:p>
    <w:p w14:paraId="1799876B" w14:textId="77777777" w:rsidR="00700C7C" w:rsidRPr="00700C7C" w:rsidRDefault="00700C7C" w:rsidP="00700C7C">
      <w:pPr>
        <w:spacing w:after="0"/>
        <w:jc w:val="both"/>
        <w:rPr>
          <w:rFonts w:ascii="Arial" w:hAnsi="Arial" w:cs="Arial"/>
        </w:rPr>
      </w:pPr>
      <w:r w:rsidRPr="00700C7C">
        <w:rPr>
          <w:rFonts w:ascii="Arial" w:hAnsi="Arial" w:cs="Arial"/>
        </w:rPr>
        <w:t>Proponowana zmiana przepisów Kodeksu pracy w zakresie formy czynności z zakresu prawa pracy po pierwsze dotyczy powszechnych czy codziennych zjawisk w komunikacji pracownik – pracodawca, jak np. złożenie wniosku o zawiadomienie właściwego okręgowego inspektora pracy o zatrudnianiu pracowników pracujących w nocy, po drugie polegać będzie na zmianie dozwolonej formy tych czynności z pisemnej na bardziej elastyczną i swobodą postać papierową lub elektroniczną.</w:t>
      </w:r>
    </w:p>
    <w:p w14:paraId="55266AC8" w14:textId="0190900D" w:rsidR="00700C7C" w:rsidRPr="00700C7C" w:rsidRDefault="00700C7C" w:rsidP="00700C7C">
      <w:pPr>
        <w:spacing w:after="0"/>
        <w:jc w:val="both"/>
        <w:rPr>
          <w:rFonts w:ascii="Arial" w:hAnsi="Arial" w:cs="Arial"/>
        </w:rPr>
      </w:pPr>
      <w:r w:rsidRPr="00700C7C">
        <w:rPr>
          <w:rFonts w:ascii="Arial" w:hAnsi="Arial" w:cs="Arial"/>
        </w:rPr>
        <w:t xml:space="preserve">Tym samym propozycja uelastycznienia czy też stworzenia bardziej swobodnych, co nie znaczy mniej doniosłych, sposobów dokonywania czynności z zakresu prawa pracy nie będzie stanowiła zagrożenia dla interesów pracowników, a jedynie ma na celu zmniejszenie niekoniecznych barier w komunikacji przede wszystkim między pracownikiem a pracodawcą, będącej podstawą wykonywania czynności z zakresu prawa pracy. </w:t>
      </w:r>
    </w:p>
    <w:p w14:paraId="3DDB6AD3" w14:textId="77777777" w:rsidR="00700C7C" w:rsidRPr="00700C7C" w:rsidRDefault="00700C7C" w:rsidP="00700C7C">
      <w:pPr>
        <w:spacing w:after="0"/>
        <w:jc w:val="both"/>
        <w:rPr>
          <w:rFonts w:ascii="Arial" w:hAnsi="Arial" w:cs="Arial"/>
        </w:rPr>
      </w:pPr>
      <w:r w:rsidRPr="00700C7C">
        <w:rPr>
          <w:rFonts w:ascii="Arial" w:hAnsi="Arial" w:cs="Arial"/>
        </w:rPr>
        <w:t>Zastrzec przy tym należy, że przedmiotowy projekt nie zawiera zmian mogących nieść za sobą ryzyko utarty poczucia pewności czy bezpieczeństwa obrotu prawnego zarówno przez pracodawców jak również przez pracowników. Zmiany te w zamierzeniu projektodawcy mają ułatwić i uelastycznić codzienny i powszechny sposób komunikacji, wychodząc naprzeciw realiom współczesnego, w wielu już wymiarach cyfrowego, świata.</w:t>
      </w:r>
    </w:p>
    <w:p w14:paraId="5A39BC6C" w14:textId="3823EB02" w:rsidR="00700C7C" w:rsidRDefault="00700C7C" w:rsidP="00700C7C">
      <w:pPr>
        <w:spacing w:after="0"/>
        <w:jc w:val="both"/>
        <w:rPr>
          <w:rFonts w:ascii="Arial" w:hAnsi="Arial" w:cs="Arial"/>
        </w:rPr>
      </w:pPr>
      <w:r w:rsidRPr="00700C7C">
        <w:rPr>
          <w:rFonts w:ascii="Arial" w:hAnsi="Arial" w:cs="Arial"/>
        </w:rPr>
        <w:t>Proponuje się wprowadzenie powyższych zmian w drodze nowelizacji ustawy z dnia 26 czerwca 1974 r. – Kodeks pracy (Dz. U. z 2025 r. poz. 277) i ustawy z dnia 4 marca 1994 r. o zakładowym funduszu świadczeń socjalnych (Dz. U. z 2024 r. poz. 288), w których znajdują się przepisy z zakresu wskazanych wyżej problemów. Rozwiązanie alternatywne nie jest możliwe</w:t>
      </w:r>
      <w:r>
        <w:rPr>
          <w:rFonts w:ascii="Arial" w:hAnsi="Arial" w:cs="Arial"/>
        </w:rPr>
        <w:t>.</w:t>
      </w:r>
    </w:p>
    <w:p w14:paraId="4DFE1757" w14:textId="77777777" w:rsidR="00700C7C" w:rsidRDefault="00700C7C" w:rsidP="00700C7C">
      <w:pPr>
        <w:spacing w:after="0"/>
        <w:jc w:val="both"/>
        <w:rPr>
          <w:rFonts w:ascii="Arial" w:hAnsi="Arial" w:cs="Arial"/>
        </w:rPr>
      </w:pPr>
    </w:p>
    <w:p w14:paraId="09397AE6" w14:textId="77777777" w:rsidR="00700C7C" w:rsidRPr="00700C7C" w:rsidRDefault="00700C7C" w:rsidP="00700C7C">
      <w:pPr>
        <w:spacing w:after="0"/>
        <w:jc w:val="both"/>
        <w:rPr>
          <w:rFonts w:ascii="Arial" w:hAnsi="Arial" w:cs="Arial"/>
        </w:rPr>
      </w:pPr>
      <w:r w:rsidRPr="00700C7C">
        <w:rPr>
          <w:rFonts w:ascii="Arial" w:hAnsi="Arial" w:cs="Arial"/>
        </w:rPr>
        <w:t>Przedmiotowy projekt aktu prawnego wraz z Uzasadnieniem oraz Oceną Skutków Regulacji dostępny jest na stronach Rządowego Centrum Legislacji pod adresem:</w:t>
      </w:r>
    </w:p>
    <w:p w14:paraId="4B0826AD" w14:textId="2B53AE9F" w:rsidR="00700C7C" w:rsidRDefault="00700C7C" w:rsidP="00700C7C">
      <w:pPr>
        <w:spacing w:after="0"/>
        <w:jc w:val="both"/>
        <w:rPr>
          <w:rFonts w:ascii="Arial" w:hAnsi="Arial" w:cs="Arial"/>
        </w:rPr>
      </w:pPr>
      <w:hyperlink r:id="rId8" w:history="1">
        <w:r w:rsidRPr="001D775C">
          <w:rPr>
            <w:rStyle w:val="Hipercze"/>
            <w:rFonts w:ascii="Arial" w:hAnsi="Arial" w:cs="Arial"/>
          </w:rPr>
          <w:t>https://legislacja.rcl.gov.pl/projekt/12398802/</w:t>
        </w:r>
        <w:r w:rsidRPr="001D775C">
          <w:rPr>
            <w:rStyle w:val="Hipercze"/>
            <w:rFonts w:ascii="Arial" w:hAnsi="Arial" w:cs="Arial"/>
          </w:rPr>
          <w:t>k</w:t>
        </w:r>
        <w:r w:rsidRPr="001D775C">
          <w:rPr>
            <w:rStyle w:val="Hipercze"/>
            <w:rFonts w:ascii="Arial" w:hAnsi="Arial" w:cs="Arial"/>
          </w:rPr>
          <w:t>atalog/13134659#13134659</w:t>
        </w:r>
      </w:hyperlink>
      <w:r>
        <w:rPr>
          <w:rFonts w:ascii="Arial" w:hAnsi="Arial" w:cs="Arial"/>
        </w:rPr>
        <w:t xml:space="preserve"> </w:t>
      </w:r>
    </w:p>
    <w:p w14:paraId="01A7ADD5" w14:textId="77777777" w:rsidR="00700C7C" w:rsidRDefault="00700C7C" w:rsidP="00E944E6">
      <w:pPr>
        <w:spacing w:after="0"/>
        <w:jc w:val="both"/>
        <w:rPr>
          <w:rFonts w:ascii="Arial" w:hAnsi="Arial" w:cs="Arial"/>
        </w:rPr>
      </w:pPr>
    </w:p>
    <w:p w14:paraId="2519C65A" w14:textId="042BF6AD" w:rsidR="00700C7C" w:rsidRDefault="00724480" w:rsidP="00E944E6">
      <w:pPr>
        <w:spacing w:after="0"/>
        <w:jc w:val="both"/>
        <w:rPr>
          <w:rFonts w:ascii="Arial" w:hAnsi="Arial" w:cs="Arial"/>
        </w:rPr>
      </w:pPr>
      <w:r w:rsidRPr="00724480">
        <w:rPr>
          <w:rFonts w:ascii="Arial" w:hAnsi="Arial" w:cs="Arial"/>
        </w:rPr>
        <w:t>Projekt jest obecnie jednocześnie na etapie uzgodnień, konsultacji publicznych i opiniowania</w:t>
      </w:r>
      <w:r>
        <w:rPr>
          <w:rFonts w:ascii="Arial" w:hAnsi="Arial" w:cs="Arial"/>
        </w:rPr>
        <w:t xml:space="preserve">. </w:t>
      </w:r>
    </w:p>
    <w:p w14:paraId="3BEFEF53" w14:textId="77777777" w:rsidR="00700C7C" w:rsidRDefault="00700C7C" w:rsidP="00E944E6">
      <w:pPr>
        <w:spacing w:after="0"/>
        <w:jc w:val="both"/>
        <w:rPr>
          <w:rFonts w:ascii="Arial" w:hAnsi="Arial" w:cs="Arial"/>
        </w:rPr>
      </w:pPr>
    </w:p>
    <w:p w14:paraId="02C1CC0D" w14:textId="77777777" w:rsidR="00724480" w:rsidRDefault="00724480" w:rsidP="00E944E6">
      <w:pPr>
        <w:spacing w:after="0"/>
        <w:jc w:val="both"/>
        <w:rPr>
          <w:rFonts w:ascii="Arial" w:hAnsi="Arial" w:cs="Arial"/>
        </w:rPr>
      </w:pPr>
    </w:p>
    <w:p w14:paraId="0E65697B" w14:textId="77777777" w:rsidR="00724480" w:rsidRDefault="00724480" w:rsidP="00E944E6">
      <w:pPr>
        <w:spacing w:after="0"/>
        <w:jc w:val="both"/>
        <w:rPr>
          <w:rFonts w:ascii="Arial" w:hAnsi="Arial" w:cs="Arial"/>
        </w:rPr>
      </w:pPr>
    </w:p>
    <w:p w14:paraId="1795A171" w14:textId="77777777" w:rsidR="00724480" w:rsidRDefault="00724480" w:rsidP="00E944E6">
      <w:pPr>
        <w:spacing w:after="0"/>
        <w:jc w:val="both"/>
        <w:rPr>
          <w:rFonts w:ascii="Arial" w:hAnsi="Arial" w:cs="Arial"/>
        </w:rPr>
      </w:pPr>
    </w:p>
    <w:p w14:paraId="7599F79A" w14:textId="77777777" w:rsidR="00724480" w:rsidRDefault="00724480" w:rsidP="00E944E6">
      <w:pPr>
        <w:spacing w:after="0"/>
        <w:jc w:val="both"/>
        <w:rPr>
          <w:rFonts w:ascii="Arial" w:hAnsi="Arial" w:cs="Arial"/>
        </w:rPr>
      </w:pPr>
    </w:p>
    <w:p w14:paraId="15CC3309" w14:textId="77777777" w:rsidR="00E944E6" w:rsidRDefault="00E944E6" w:rsidP="00E944E6">
      <w:pPr>
        <w:spacing w:after="0"/>
        <w:jc w:val="both"/>
        <w:rPr>
          <w:rFonts w:ascii="Arial" w:hAnsi="Arial" w:cs="Arial"/>
        </w:rPr>
      </w:pPr>
      <w:r>
        <w:rPr>
          <w:rFonts w:ascii="Arial" w:hAnsi="Arial" w:cs="Arial"/>
        </w:rPr>
        <w:lastRenderedPageBreak/>
        <w:t>Projekty rozporządzeń:</w:t>
      </w:r>
    </w:p>
    <w:p w14:paraId="45D4CB9C" w14:textId="77777777" w:rsidR="00700C7C" w:rsidRDefault="00700C7C" w:rsidP="00E944E6">
      <w:pPr>
        <w:spacing w:after="0"/>
        <w:jc w:val="both"/>
        <w:rPr>
          <w:rFonts w:ascii="Arial" w:hAnsi="Arial" w:cs="Arial"/>
        </w:rPr>
      </w:pPr>
    </w:p>
    <w:p w14:paraId="1DA1206F" w14:textId="3ED08576" w:rsidR="00700C7C" w:rsidRPr="00724480" w:rsidRDefault="00724480" w:rsidP="00E944E6">
      <w:pPr>
        <w:pStyle w:val="Akapitzlist"/>
        <w:numPr>
          <w:ilvl w:val="0"/>
          <w:numId w:val="4"/>
        </w:numPr>
        <w:spacing w:after="0"/>
        <w:jc w:val="both"/>
        <w:rPr>
          <w:rFonts w:ascii="Arial" w:hAnsi="Arial" w:cs="Arial"/>
          <w:b/>
          <w:bCs/>
          <w:u w:val="single"/>
        </w:rPr>
      </w:pPr>
      <w:r w:rsidRPr="00724480">
        <w:rPr>
          <w:rFonts w:ascii="Arial" w:hAnsi="Arial" w:cs="Arial"/>
          <w:b/>
          <w:bCs/>
          <w:u w:val="single"/>
        </w:rPr>
        <w:t>P</w:t>
      </w:r>
      <w:r w:rsidRPr="00724480">
        <w:rPr>
          <w:rFonts w:ascii="Arial" w:hAnsi="Arial" w:cs="Arial"/>
          <w:b/>
          <w:bCs/>
          <w:u w:val="single"/>
        </w:rPr>
        <w:t>rojekt rozporządzenia Ministra Klimatu i Środowiska w sprawie przekazywania informacji z bieżącego dokumentowania przebiegu prac geologicznych (numer z wykazu 1222).</w:t>
      </w:r>
    </w:p>
    <w:p w14:paraId="67A7AA3D" w14:textId="77777777" w:rsidR="00700C7C" w:rsidRDefault="00700C7C" w:rsidP="00700C7C">
      <w:pPr>
        <w:spacing w:after="0"/>
        <w:jc w:val="both"/>
        <w:rPr>
          <w:rFonts w:ascii="Arial" w:hAnsi="Arial" w:cs="Arial"/>
        </w:rPr>
      </w:pPr>
    </w:p>
    <w:p w14:paraId="68DBED7B" w14:textId="77777777" w:rsidR="00724480" w:rsidRPr="00724480" w:rsidRDefault="00724480" w:rsidP="00724480">
      <w:pPr>
        <w:spacing w:after="0"/>
        <w:jc w:val="both"/>
        <w:rPr>
          <w:rFonts w:ascii="Arial" w:hAnsi="Arial" w:cs="Arial"/>
        </w:rPr>
      </w:pPr>
      <w:r w:rsidRPr="00724480">
        <w:rPr>
          <w:rFonts w:ascii="Arial" w:hAnsi="Arial" w:cs="Arial"/>
        </w:rPr>
        <w:t>Przepis art. 82a ust. 1 ustawy z dnia 9 czerwca 2011 r. Prawo geologiczne i górnicze (Dz.U. z 2024 r. poz. 1290), dalej jako „</w:t>
      </w:r>
      <w:proofErr w:type="spellStart"/>
      <w:r w:rsidRPr="00724480">
        <w:rPr>
          <w:rFonts w:ascii="Arial" w:hAnsi="Arial" w:cs="Arial"/>
        </w:rPr>
        <w:t>P.g.g</w:t>
      </w:r>
      <w:proofErr w:type="spellEnd"/>
      <w:r w:rsidRPr="00724480">
        <w:rPr>
          <w:rFonts w:ascii="Arial" w:hAnsi="Arial" w:cs="Arial"/>
        </w:rPr>
        <w:t>.”, przewiduje obowiązek wydania przez ministra właściwego ds. środowiska rozporządzenia, w którym określone zostaną: zakres, forma i tryb przekazywania próbek geologicznych, danych geologicznych oraz bieżących parametrów wydobywania węglowodorów ze złoża.</w:t>
      </w:r>
    </w:p>
    <w:p w14:paraId="58327E98" w14:textId="77777777" w:rsidR="00724480" w:rsidRPr="00724480" w:rsidRDefault="00724480" w:rsidP="00724480">
      <w:pPr>
        <w:spacing w:after="0"/>
        <w:jc w:val="both"/>
        <w:rPr>
          <w:rFonts w:ascii="Arial" w:hAnsi="Arial" w:cs="Arial"/>
        </w:rPr>
      </w:pPr>
      <w:r w:rsidRPr="00724480">
        <w:rPr>
          <w:rFonts w:ascii="Arial" w:hAnsi="Arial" w:cs="Arial"/>
        </w:rPr>
        <w:t xml:space="preserve">Zgodnie z art. 75 ust. 1 ustawy z dnia z dnia 16 czerwca 2023 r. o zmianie ustawy - Prawo geologiczne i górnicze oraz niektórych innych ustaw (Dz.U. poz. 2029), zwanej dalej „Nowelizacją </w:t>
      </w:r>
      <w:proofErr w:type="spellStart"/>
      <w:r w:rsidRPr="00724480">
        <w:rPr>
          <w:rFonts w:ascii="Arial" w:hAnsi="Arial" w:cs="Arial"/>
        </w:rPr>
        <w:t>P.g.g</w:t>
      </w:r>
      <w:proofErr w:type="spellEnd"/>
      <w:r w:rsidRPr="00724480">
        <w:rPr>
          <w:rFonts w:ascii="Arial" w:hAnsi="Arial" w:cs="Arial"/>
        </w:rPr>
        <w:t xml:space="preserve">.”, poprzednie rozporządzenie Ministra Środowiska z dnia 9 czerwca 2015 r. w sprawie przekazywania informacji z bieżącego dokumentowania przebiegu prac geologicznych zachowuje moc tylko do wydania nowego rozporządzenia, nie dłużej niż przez 36 miesięcy (do 27 października 2026 r.). Oznacza to konieczność wydania nowego aktu wykonawczego, który jest niezbędny do tego, aby uregulować ww. zagadnienia niezbędne przy prowadzeniu działalności na podstawie </w:t>
      </w:r>
      <w:proofErr w:type="spellStart"/>
      <w:r w:rsidRPr="00724480">
        <w:rPr>
          <w:rFonts w:ascii="Arial" w:hAnsi="Arial" w:cs="Arial"/>
        </w:rPr>
        <w:t>P.g.g</w:t>
      </w:r>
      <w:proofErr w:type="spellEnd"/>
      <w:r w:rsidRPr="00724480">
        <w:rPr>
          <w:rFonts w:ascii="Arial" w:hAnsi="Arial" w:cs="Arial"/>
        </w:rPr>
        <w:t>.</w:t>
      </w:r>
    </w:p>
    <w:p w14:paraId="242F712D" w14:textId="77777777" w:rsidR="00724480" w:rsidRPr="00724480" w:rsidRDefault="00724480" w:rsidP="00724480">
      <w:pPr>
        <w:spacing w:after="0"/>
        <w:jc w:val="both"/>
        <w:rPr>
          <w:rFonts w:ascii="Arial" w:hAnsi="Arial" w:cs="Arial"/>
        </w:rPr>
      </w:pPr>
      <w:r w:rsidRPr="00724480">
        <w:rPr>
          <w:rFonts w:ascii="Arial" w:hAnsi="Arial" w:cs="Arial"/>
        </w:rPr>
        <w:t>Wśród szczegółowych problemów, które powinny zostać uwzględnione w nowym rozporządzeniu, należy wskazać na:</w:t>
      </w:r>
    </w:p>
    <w:p w14:paraId="4B158AA9" w14:textId="76220DF5" w:rsidR="00724480" w:rsidRPr="00E66C38" w:rsidRDefault="00724480" w:rsidP="00E66C38">
      <w:pPr>
        <w:pStyle w:val="Akapitzlist"/>
        <w:numPr>
          <w:ilvl w:val="0"/>
          <w:numId w:val="8"/>
        </w:numPr>
        <w:spacing w:after="0"/>
        <w:ind w:left="284" w:hanging="284"/>
        <w:jc w:val="both"/>
        <w:rPr>
          <w:rFonts w:ascii="Arial" w:hAnsi="Arial" w:cs="Arial"/>
        </w:rPr>
      </w:pPr>
      <w:r w:rsidRPr="00E66C38">
        <w:rPr>
          <w:rFonts w:ascii="Arial" w:hAnsi="Arial" w:cs="Arial"/>
        </w:rPr>
        <w:t xml:space="preserve">nieuwzględnienie w obowiązujących przepisach zmiany przepisu art. 49 </w:t>
      </w:r>
      <w:proofErr w:type="spellStart"/>
      <w:r w:rsidRPr="00E66C38">
        <w:rPr>
          <w:rFonts w:ascii="Arial" w:hAnsi="Arial" w:cs="Arial"/>
        </w:rPr>
        <w:t>zc</w:t>
      </w:r>
      <w:proofErr w:type="spellEnd"/>
      <w:r w:rsidRPr="00E66C38">
        <w:rPr>
          <w:rFonts w:ascii="Arial" w:hAnsi="Arial" w:cs="Arial"/>
        </w:rPr>
        <w:t xml:space="preserve"> </w:t>
      </w:r>
      <w:proofErr w:type="spellStart"/>
      <w:r w:rsidRPr="00E66C38">
        <w:rPr>
          <w:rFonts w:ascii="Arial" w:hAnsi="Arial" w:cs="Arial"/>
        </w:rPr>
        <w:t>P.g.g</w:t>
      </w:r>
      <w:proofErr w:type="spellEnd"/>
      <w:r w:rsidRPr="00E66C38">
        <w:rPr>
          <w:rFonts w:ascii="Arial" w:hAnsi="Arial" w:cs="Arial"/>
        </w:rPr>
        <w:t xml:space="preserve">. wynikającej z Nowelizacji </w:t>
      </w:r>
      <w:proofErr w:type="spellStart"/>
      <w:r w:rsidRPr="00E66C38">
        <w:rPr>
          <w:rFonts w:ascii="Arial" w:hAnsi="Arial" w:cs="Arial"/>
        </w:rPr>
        <w:t>P.g.g</w:t>
      </w:r>
      <w:proofErr w:type="spellEnd"/>
      <w:r w:rsidRPr="00E66C38">
        <w:rPr>
          <w:rFonts w:ascii="Arial" w:hAnsi="Arial" w:cs="Arial"/>
        </w:rPr>
        <w:t>. w zakresie określenia częstotliwości i sposobu przekazywania parametrów wydobywania węglowodorów ze złoża;</w:t>
      </w:r>
    </w:p>
    <w:p w14:paraId="147561E5" w14:textId="1E8EA4D6" w:rsidR="00724480" w:rsidRPr="00E66C38" w:rsidRDefault="00724480" w:rsidP="00E66C38">
      <w:pPr>
        <w:pStyle w:val="Akapitzlist"/>
        <w:numPr>
          <w:ilvl w:val="0"/>
          <w:numId w:val="8"/>
        </w:numPr>
        <w:spacing w:after="0"/>
        <w:ind w:left="284" w:hanging="284"/>
        <w:jc w:val="both"/>
        <w:rPr>
          <w:rFonts w:ascii="Arial" w:hAnsi="Arial" w:cs="Arial"/>
        </w:rPr>
      </w:pPr>
      <w:r w:rsidRPr="00E66C38">
        <w:rPr>
          <w:rFonts w:ascii="Arial" w:hAnsi="Arial" w:cs="Arial"/>
        </w:rPr>
        <w:t>niedostateczne określenie kwestii dotyczących:</w:t>
      </w:r>
    </w:p>
    <w:p w14:paraId="76394243" w14:textId="23C45FA8" w:rsidR="00724480" w:rsidRPr="00E66C38" w:rsidRDefault="00724480" w:rsidP="00E66C38">
      <w:pPr>
        <w:pStyle w:val="Akapitzlist"/>
        <w:numPr>
          <w:ilvl w:val="1"/>
          <w:numId w:val="8"/>
        </w:numPr>
        <w:spacing w:after="0"/>
        <w:ind w:left="567" w:hanging="284"/>
        <w:jc w:val="both"/>
        <w:rPr>
          <w:rFonts w:ascii="Arial" w:hAnsi="Arial" w:cs="Arial"/>
        </w:rPr>
      </w:pPr>
      <w:r w:rsidRPr="00E66C38">
        <w:rPr>
          <w:rFonts w:ascii="Arial" w:hAnsi="Arial" w:cs="Arial"/>
        </w:rPr>
        <w:t>przekazywania próbek (wielkości próbek okruchowych, procedury przekazywania próbek, kwestii technicznych przekazywania próbek),</w:t>
      </w:r>
    </w:p>
    <w:p w14:paraId="0DB00DC3" w14:textId="42A274CA" w:rsidR="00724480" w:rsidRPr="00E66C38" w:rsidRDefault="00724480" w:rsidP="00E66C38">
      <w:pPr>
        <w:pStyle w:val="Akapitzlist"/>
        <w:numPr>
          <w:ilvl w:val="1"/>
          <w:numId w:val="8"/>
        </w:numPr>
        <w:spacing w:after="0"/>
        <w:ind w:left="567" w:hanging="284"/>
        <w:jc w:val="both"/>
        <w:rPr>
          <w:rFonts w:ascii="Arial" w:hAnsi="Arial" w:cs="Arial"/>
        </w:rPr>
      </w:pPr>
      <w:r w:rsidRPr="00E66C38">
        <w:rPr>
          <w:rFonts w:ascii="Arial" w:hAnsi="Arial" w:cs="Arial"/>
        </w:rPr>
        <w:t>przekazywania parametrów wydobywania węglowodorów ze złoża,</w:t>
      </w:r>
    </w:p>
    <w:p w14:paraId="360CAA69" w14:textId="75547AF1" w:rsidR="00724480" w:rsidRPr="00E66C38" w:rsidRDefault="00724480" w:rsidP="00E66C38">
      <w:pPr>
        <w:pStyle w:val="Akapitzlist"/>
        <w:numPr>
          <w:ilvl w:val="1"/>
          <w:numId w:val="8"/>
        </w:numPr>
        <w:spacing w:after="0"/>
        <w:ind w:left="567" w:hanging="284"/>
        <w:jc w:val="both"/>
        <w:rPr>
          <w:rFonts w:ascii="Arial" w:hAnsi="Arial" w:cs="Arial"/>
        </w:rPr>
      </w:pPr>
      <w:r w:rsidRPr="00E66C38">
        <w:rPr>
          <w:rFonts w:ascii="Arial" w:hAnsi="Arial" w:cs="Arial"/>
        </w:rPr>
        <w:t>przekazywania informacji geologicznej pozyskiwanej na bieżąco w trakcie prowadzenia prac geologicznych związanych z poszukiwaniem oraz rozpoznawaniem kopalin (zakresu przekazywanych badań geofizycznych);</w:t>
      </w:r>
    </w:p>
    <w:p w14:paraId="1EF25D4E" w14:textId="4D72989F" w:rsidR="00724480" w:rsidRPr="00E66C38" w:rsidRDefault="00724480" w:rsidP="00E66C38">
      <w:pPr>
        <w:pStyle w:val="Akapitzlist"/>
        <w:numPr>
          <w:ilvl w:val="0"/>
          <w:numId w:val="8"/>
        </w:numPr>
        <w:spacing w:after="0"/>
        <w:ind w:left="284" w:hanging="284"/>
        <w:jc w:val="both"/>
        <w:rPr>
          <w:rFonts w:ascii="Arial" w:hAnsi="Arial" w:cs="Arial"/>
        </w:rPr>
      </w:pPr>
      <w:r w:rsidRPr="00E66C38">
        <w:rPr>
          <w:rFonts w:ascii="Arial" w:hAnsi="Arial" w:cs="Arial"/>
        </w:rPr>
        <w:t>niejednoznaczność w przepisach dotyczących przekazywania informacji z bieżącego dokumentowania przebiegu prac geologicznych od podmiotów gospodarczych prowadzących działalność poszukiwawczą;</w:t>
      </w:r>
    </w:p>
    <w:p w14:paraId="52F24709" w14:textId="2758D5F6" w:rsidR="00724480" w:rsidRPr="00E66C38" w:rsidRDefault="00724480" w:rsidP="00E66C38">
      <w:pPr>
        <w:pStyle w:val="Akapitzlist"/>
        <w:numPr>
          <w:ilvl w:val="0"/>
          <w:numId w:val="8"/>
        </w:numPr>
        <w:spacing w:after="0"/>
        <w:ind w:left="284" w:hanging="284"/>
        <w:jc w:val="both"/>
        <w:rPr>
          <w:rFonts w:ascii="Arial" w:hAnsi="Arial" w:cs="Arial"/>
        </w:rPr>
      </w:pPr>
      <w:r w:rsidRPr="00E66C38">
        <w:rPr>
          <w:rFonts w:ascii="Arial" w:hAnsi="Arial" w:cs="Arial"/>
        </w:rPr>
        <w:t>dezaktualizacja formatów danych i informacji opracowanych w postaci elektronicznej przekazywanych do archiwów geologicznych uwzględnionych w dotychczasowym rozporządzeniu z uwagi na postęp w rozwoju badań geologicznych oraz w oprogramowaniu do przetwarzania i interpretacji wyników badań geologicznych.</w:t>
      </w:r>
    </w:p>
    <w:p w14:paraId="339C0BF9" w14:textId="77777777" w:rsidR="00724480" w:rsidRPr="00724480" w:rsidRDefault="00724480" w:rsidP="00724480">
      <w:pPr>
        <w:spacing w:after="0"/>
        <w:jc w:val="both"/>
        <w:rPr>
          <w:rFonts w:ascii="Arial" w:hAnsi="Arial" w:cs="Arial"/>
        </w:rPr>
      </w:pPr>
      <w:r w:rsidRPr="00724480">
        <w:rPr>
          <w:rFonts w:ascii="Arial" w:hAnsi="Arial" w:cs="Arial"/>
        </w:rPr>
        <w:t>Rekomendowane rozwiązania:</w:t>
      </w:r>
    </w:p>
    <w:p w14:paraId="048411EC" w14:textId="037E3990" w:rsidR="00724480" w:rsidRPr="00CA446C" w:rsidRDefault="00724480" w:rsidP="00CA446C">
      <w:pPr>
        <w:pStyle w:val="Akapitzlist"/>
        <w:numPr>
          <w:ilvl w:val="0"/>
          <w:numId w:val="10"/>
        </w:numPr>
        <w:spacing w:after="0"/>
        <w:ind w:left="284" w:hanging="284"/>
        <w:jc w:val="both"/>
        <w:rPr>
          <w:rFonts w:ascii="Arial" w:hAnsi="Arial" w:cs="Arial"/>
        </w:rPr>
      </w:pPr>
      <w:r w:rsidRPr="00CA446C">
        <w:rPr>
          <w:rFonts w:ascii="Arial" w:hAnsi="Arial" w:cs="Arial"/>
        </w:rPr>
        <w:t xml:space="preserve">uwzględnienie zmian wprowadzonych Nowelizacją </w:t>
      </w:r>
      <w:proofErr w:type="spellStart"/>
      <w:r w:rsidRPr="00CA446C">
        <w:rPr>
          <w:rFonts w:ascii="Arial" w:hAnsi="Arial" w:cs="Arial"/>
        </w:rPr>
        <w:t>P.g.g</w:t>
      </w:r>
      <w:proofErr w:type="spellEnd"/>
      <w:r w:rsidRPr="00CA446C">
        <w:rPr>
          <w:rFonts w:ascii="Arial" w:hAnsi="Arial" w:cs="Arial"/>
        </w:rPr>
        <w:t>. dotyczących częstotliwości przekazywania państwowej służbie geologicznej parametrów wydobycia węglowodorów ze złoża (zmiana z raportów miesięcznych na półroczne);</w:t>
      </w:r>
    </w:p>
    <w:p w14:paraId="59B042A1" w14:textId="04131C20" w:rsidR="00724480" w:rsidRPr="00CA446C" w:rsidRDefault="00724480" w:rsidP="00CA446C">
      <w:pPr>
        <w:pStyle w:val="Akapitzlist"/>
        <w:numPr>
          <w:ilvl w:val="0"/>
          <w:numId w:val="10"/>
        </w:numPr>
        <w:spacing w:after="0"/>
        <w:ind w:left="284" w:hanging="284"/>
        <w:jc w:val="both"/>
        <w:rPr>
          <w:rFonts w:ascii="Arial" w:hAnsi="Arial" w:cs="Arial"/>
        </w:rPr>
      </w:pPr>
      <w:r w:rsidRPr="00CA446C">
        <w:rPr>
          <w:rFonts w:ascii="Arial" w:hAnsi="Arial" w:cs="Arial"/>
        </w:rPr>
        <w:t>jednoznacznie określenie jednomiesięcznego terminu na przekazanie parametrów wydobycia węglowodorów ze złoża (zachowane zostanie w raportach półrocznych określenie poszczególnych parametrów według stanu na koniec każdego miesiąca kalendarzowego),</w:t>
      </w:r>
    </w:p>
    <w:p w14:paraId="59F907A8" w14:textId="5197D947" w:rsidR="00724480" w:rsidRPr="00CA446C" w:rsidRDefault="00724480" w:rsidP="00CA446C">
      <w:pPr>
        <w:pStyle w:val="Akapitzlist"/>
        <w:numPr>
          <w:ilvl w:val="0"/>
          <w:numId w:val="10"/>
        </w:numPr>
        <w:spacing w:after="0"/>
        <w:ind w:left="284" w:hanging="284"/>
        <w:jc w:val="both"/>
        <w:rPr>
          <w:rFonts w:ascii="Arial" w:hAnsi="Arial" w:cs="Arial"/>
        </w:rPr>
      </w:pPr>
      <w:r w:rsidRPr="00CA446C">
        <w:rPr>
          <w:rFonts w:ascii="Arial" w:hAnsi="Arial" w:cs="Arial"/>
        </w:rPr>
        <w:t>ograniczenie obowiązków oraz doprecyzowanie przepisów poprzez wprowadzenie następujących zmian:</w:t>
      </w:r>
    </w:p>
    <w:p w14:paraId="41A7AAD2" w14:textId="646045DE" w:rsidR="00724480" w:rsidRPr="00CA446C" w:rsidRDefault="00724480" w:rsidP="00CA446C">
      <w:pPr>
        <w:pStyle w:val="Akapitzlist"/>
        <w:numPr>
          <w:ilvl w:val="1"/>
          <w:numId w:val="10"/>
        </w:numPr>
        <w:spacing w:after="0"/>
        <w:ind w:left="567" w:hanging="283"/>
        <w:jc w:val="both"/>
        <w:rPr>
          <w:rFonts w:ascii="Arial" w:hAnsi="Arial" w:cs="Arial"/>
        </w:rPr>
      </w:pPr>
      <w:r w:rsidRPr="00CA446C">
        <w:rPr>
          <w:rFonts w:ascii="Arial" w:hAnsi="Arial" w:cs="Arial"/>
        </w:rPr>
        <w:lastRenderedPageBreak/>
        <w:t>w zakresie przekazywania próbek:</w:t>
      </w:r>
    </w:p>
    <w:p w14:paraId="58511E9E" w14:textId="7DFCE14E"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zmiana wielkości próbek okruchowych z „1/2 objętości próby” na konkretną wielkość tj. „nie mniejszą niż 200 ml”,</w:t>
      </w:r>
    </w:p>
    <w:p w14:paraId="3B10758E" w14:textId="17735505"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rezygnacja z przekazywania zawiadomienia o uzyskaniu kompletu próbek i gotowości jego przekazania w formie papierowej na rzecz formy elektronicznej,</w:t>
      </w:r>
    </w:p>
    <w:p w14:paraId="017AA07B" w14:textId="6C2A0713"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precyzyjne określenie budowy skrzynek na rdzenie (rodzaj dopuszczalnych materiałów i ich wielkość),</w:t>
      </w:r>
    </w:p>
    <w:p w14:paraId="586B44A1" w14:textId="74BDADCD"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rezygnacja ze skrzynek podwójnych dla rdzeni o średnicy poniżej 6,5 cm,</w:t>
      </w:r>
    </w:p>
    <w:p w14:paraId="2634CC4D" w14:textId="3932ABDF"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 xml:space="preserve">precyzyjne określenie pojemników na próbki okruchowe i </w:t>
      </w:r>
      <w:proofErr w:type="spellStart"/>
      <w:r w:rsidRPr="00E66C38">
        <w:rPr>
          <w:rFonts w:ascii="Arial" w:hAnsi="Arial" w:cs="Arial"/>
        </w:rPr>
        <w:t>rdzeniki</w:t>
      </w:r>
      <w:proofErr w:type="spellEnd"/>
      <w:r w:rsidRPr="00E66C38">
        <w:rPr>
          <w:rFonts w:ascii="Arial" w:hAnsi="Arial" w:cs="Arial"/>
        </w:rPr>
        <w:t xml:space="preserve"> boczne,</w:t>
      </w:r>
    </w:p>
    <w:p w14:paraId="528E75EC" w14:textId="3FAE0D46"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zdefiniowanie sposobu opisywania pojemników i skrzynek na rdzenie,</w:t>
      </w:r>
    </w:p>
    <w:p w14:paraId="3E4EB14E" w14:textId="18EB7934" w:rsidR="00724480" w:rsidRPr="00E66C38" w:rsidRDefault="00724480" w:rsidP="00CA446C">
      <w:pPr>
        <w:pStyle w:val="Akapitzlist"/>
        <w:numPr>
          <w:ilvl w:val="0"/>
          <w:numId w:val="12"/>
        </w:numPr>
        <w:spacing w:after="0"/>
        <w:jc w:val="both"/>
        <w:rPr>
          <w:rFonts w:ascii="Arial" w:hAnsi="Arial" w:cs="Arial"/>
        </w:rPr>
      </w:pPr>
      <w:r w:rsidRPr="00E66C38">
        <w:rPr>
          <w:rFonts w:ascii="Arial" w:hAnsi="Arial" w:cs="Arial"/>
        </w:rPr>
        <w:t>doprecyzowanie sposobu przekazywania rdzeni w przypadku, gdy w wyniku badań zniszczeniu podlega cały odcinek rdzenia,</w:t>
      </w:r>
    </w:p>
    <w:p w14:paraId="6BF4DD9E" w14:textId="18CD0718" w:rsidR="00724480" w:rsidRPr="00CA446C" w:rsidRDefault="00724480" w:rsidP="00CA446C">
      <w:pPr>
        <w:pStyle w:val="Akapitzlist"/>
        <w:numPr>
          <w:ilvl w:val="1"/>
          <w:numId w:val="10"/>
        </w:numPr>
        <w:spacing w:after="0"/>
        <w:ind w:left="567" w:hanging="283"/>
        <w:jc w:val="both"/>
        <w:rPr>
          <w:rFonts w:ascii="Arial" w:hAnsi="Arial" w:cs="Arial"/>
        </w:rPr>
      </w:pPr>
      <w:r w:rsidRPr="00CA446C">
        <w:rPr>
          <w:rFonts w:ascii="Arial" w:hAnsi="Arial" w:cs="Arial"/>
        </w:rPr>
        <w:t>w zakresie przekazywania danych uzyskanych w wyniku bieżącego dokumentowania przebiegu prac geologicznych:</w:t>
      </w:r>
    </w:p>
    <w:p w14:paraId="2BE6DFE6" w14:textId="38BB5720" w:rsidR="00724480" w:rsidRPr="00E66C38" w:rsidRDefault="00724480" w:rsidP="00CA446C">
      <w:pPr>
        <w:pStyle w:val="Akapitzlist"/>
        <w:numPr>
          <w:ilvl w:val="0"/>
          <w:numId w:val="13"/>
        </w:numPr>
        <w:spacing w:after="0"/>
        <w:jc w:val="both"/>
        <w:rPr>
          <w:rFonts w:ascii="Arial" w:hAnsi="Arial" w:cs="Arial"/>
        </w:rPr>
      </w:pPr>
      <w:r w:rsidRPr="00E66C38">
        <w:rPr>
          <w:rFonts w:ascii="Arial" w:hAnsi="Arial" w:cs="Arial"/>
        </w:rPr>
        <w:t>uzupełnienie zakresu przekazywanych parametrów wykonanych badań specjalistycznych oraz wyników pomiarów i obserwacji uzyskanych z otworów wiertniczych lub wyrobisk rozpoznawczych,</w:t>
      </w:r>
    </w:p>
    <w:p w14:paraId="53284ACD" w14:textId="505DFDAA" w:rsidR="00724480" w:rsidRPr="00E66C38" w:rsidRDefault="00724480" w:rsidP="00CA446C">
      <w:pPr>
        <w:pStyle w:val="Akapitzlist"/>
        <w:numPr>
          <w:ilvl w:val="0"/>
          <w:numId w:val="13"/>
        </w:numPr>
        <w:spacing w:after="0"/>
        <w:jc w:val="both"/>
        <w:rPr>
          <w:rFonts w:ascii="Arial" w:hAnsi="Arial" w:cs="Arial"/>
        </w:rPr>
      </w:pPr>
      <w:r w:rsidRPr="00E66C38">
        <w:rPr>
          <w:rFonts w:ascii="Arial" w:hAnsi="Arial" w:cs="Arial"/>
        </w:rPr>
        <w:t>uzupełnienie i doprecyzowanie zakresu przekazywanych parametrów wykonanych badań geofizycznych,</w:t>
      </w:r>
    </w:p>
    <w:p w14:paraId="4BCA88EB" w14:textId="685B523C" w:rsidR="00724480" w:rsidRPr="00E66C38" w:rsidRDefault="00724480" w:rsidP="00CA446C">
      <w:pPr>
        <w:pStyle w:val="Akapitzlist"/>
        <w:numPr>
          <w:ilvl w:val="0"/>
          <w:numId w:val="13"/>
        </w:numPr>
        <w:spacing w:after="0"/>
        <w:jc w:val="both"/>
        <w:rPr>
          <w:rFonts w:ascii="Arial" w:hAnsi="Arial" w:cs="Arial"/>
        </w:rPr>
      </w:pPr>
      <w:r w:rsidRPr="00E66C38">
        <w:rPr>
          <w:rFonts w:ascii="Arial" w:hAnsi="Arial" w:cs="Arial"/>
        </w:rPr>
        <w:t>wskazanie, że przekazaniu podlegają wszystkie uzyskane wyniki badań, nie zaś tylko te, które zostały literalnie wymienione w treści rozporządzenia;</w:t>
      </w:r>
    </w:p>
    <w:p w14:paraId="33F36F2C" w14:textId="180E0EC1" w:rsidR="00724480" w:rsidRPr="00CA446C" w:rsidRDefault="00724480" w:rsidP="00CA446C">
      <w:pPr>
        <w:pStyle w:val="Akapitzlist"/>
        <w:numPr>
          <w:ilvl w:val="0"/>
          <w:numId w:val="10"/>
        </w:numPr>
        <w:spacing w:after="0"/>
        <w:ind w:left="284" w:hanging="284"/>
        <w:jc w:val="both"/>
        <w:rPr>
          <w:rFonts w:ascii="Arial" w:hAnsi="Arial" w:cs="Arial"/>
        </w:rPr>
      </w:pPr>
      <w:r w:rsidRPr="00CA446C">
        <w:rPr>
          <w:rFonts w:ascii="Arial" w:hAnsi="Arial" w:cs="Arial"/>
        </w:rPr>
        <w:t>aktualizacja załączników do rozporządzenia, tzn. wzorów spisów zdawczo – odbiorczych;</w:t>
      </w:r>
    </w:p>
    <w:p w14:paraId="1CFCAF9F" w14:textId="39DBAA72" w:rsidR="00724480" w:rsidRPr="00CA446C" w:rsidRDefault="00724480" w:rsidP="00CA446C">
      <w:pPr>
        <w:pStyle w:val="Akapitzlist"/>
        <w:numPr>
          <w:ilvl w:val="0"/>
          <w:numId w:val="10"/>
        </w:numPr>
        <w:spacing w:after="0"/>
        <w:ind w:left="284" w:hanging="284"/>
        <w:jc w:val="both"/>
        <w:rPr>
          <w:rFonts w:ascii="Arial" w:hAnsi="Arial" w:cs="Arial"/>
        </w:rPr>
      </w:pPr>
      <w:r w:rsidRPr="00CA446C">
        <w:rPr>
          <w:rFonts w:ascii="Arial" w:hAnsi="Arial" w:cs="Arial"/>
        </w:rPr>
        <w:t>aktualizacja listy formatów danych i informacji opracowanych w postaci elektronicznej do współcześnie stosowanych technologii wykorzystywanych w badaniach geologicznych.</w:t>
      </w:r>
    </w:p>
    <w:p w14:paraId="37720376" w14:textId="4515AEA4" w:rsidR="00724480" w:rsidRDefault="00724480" w:rsidP="00724480">
      <w:pPr>
        <w:spacing w:after="0"/>
        <w:jc w:val="both"/>
        <w:rPr>
          <w:rFonts w:ascii="Arial" w:hAnsi="Arial" w:cs="Arial"/>
        </w:rPr>
      </w:pPr>
      <w:r w:rsidRPr="00724480">
        <w:rPr>
          <w:rFonts w:ascii="Arial" w:hAnsi="Arial" w:cs="Arial"/>
        </w:rPr>
        <w:t>Oczekuje się, że wprowadzona regulacja przyczyni się do poprawy stopnia uzyskiwania od przedsiębiorców prowadzących badania geologiczne informacji geologicznej z bieżącego dokumentowania i tym samym zapewni możliwie kompletny zakres archiwizowanej aktualnie pozyskanej informacji geologicznej</w:t>
      </w:r>
      <w:r w:rsidR="00E66C38">
        <w:rPr>
          <w:rFonts w:ascii="Arial" w:hAnsi="Arial" w:cs="Arial"/>
        </w:rPr>
        <w:t>.</w:t>
      </w:r>
    </w:p>
    <w:p w14:paraId="503B499C" w14:textId="77777777" w:rsidR="00CA446C" w:rsidRDefault="00CA446C" w:rsidP="00724480">
      <w:pPr>
        <w:spacing w:after="0"/>
        <w:jc w:val="both"/>
        <w:rPr>
          <w:rFonts w:ascii="Arial" w:hAnsi="Arial" w:cs="Arial"/>
        </w:rPr>
      </w:pPr>
    </w:p>
    <w:p w14:paraId="6788AFCC" w14:textId="77777777" w:rsidR="00CA446C" w:rsidRPr="00CA446C" w:rsidRDefault="00CA446C" w:rsidP="00CA446C">
      <w:pPr>
        <w:spacing w:after="0"/>
        <w:jc w:val="both"/>
        <w:rPr>
          <w:rFonts w:ascii="Arial" w:hAnsi="Arial" w:cs="Arial"/>
        </w:rPr>
      </w:pPr>
      <w:r w:rsidRPr="00CA446C">
        <w:rPr>
          <w:rFonts w:ascii="Arial" w:hAnsi="Arial" w:cs="Arial"/>
        </w:rPr>
        <w:t>Przedmiotowy projekt aktu prawnego wraz z Załącznikami, Uzasadnieniem oraz Oceną Skutków Regulacji dostępny jest na stronach Rządowego Centrum Legislacji pod adresem:</w:t>
      </w:r>
    </w:p>
    <w:p w14:paraId="14733DF4" w14:textId="649BB3AA" w:rsidR="00CA446C" w:rsidRDefault="00CA446C" w:rsidP="00CA446C">
      <w:pPr>
        <w:spacing w:after="0"/>
        <w:jc w:val="both"/>
        <w:rPr>
          <w:rFonts w:ascii="Arial" w:hAnsi="Arial" w:cs="Arial"/>
        </w:rPr>
      </w:pPr>
      <w:hyperlink r:id="rId9" w:history="1">
        <w:r w:rsidRPr="001D775C">
          <w:rPr>
            <w:rStyle w:val="Hipercze"/>
            <w:rFonts w:ascii="Arial" w:hAnsi="Arial" w:cs="Arial"/>
          </w:rPr>
          <w:t>https://legislacja.rcl.gov.pl/projekt/1</w:t>
        </w:r>
        <w:r w:rsidRPr="001D775C">
          <w:rPr>
            <w:rStyle w:val="Hipercze"/>
            <w:rFonts w:ascii="Arial" w:hAnsi="Arial" w:cs="Arial"/>
          </w:rPr>
          <w:t>2</w:t>
        </w:r>
        <w:r w:rsidRPr="001D775C">
          <w:rPr>
            <w:rStyle w:val="Hipercze"/>
            <w:rFonts w:ascii="Arial" w:hAnsi="Arial" w:cs="Arial"/>
          </w:rPr>
          <w:t>398703/katalog/13134131#13134131</w:t>
        </w:r>
      </w:hyperlink>
      <w:r>
        <w:rPr>
          <w:rFonts w:ascii="Arial" w:hAnsi="Arial" w:cs="Arial"/>
        </w:rPr>
        <w:t xml:space="preserve"> </w:t>
      </w:r>
    </w:p>
    <w:p w14:paraId="4EE621F6" w14:textId="77777777" w:rsidR="00700C7C" w:rsidRDefault="00700C7C" w:rsidP="00700C7C">
      <w:pPr>
        <w:spacing w:after="0"/>
        <w:jc w:val="both"/>
        <w:rPr>
          <w:rFonts w:ascii="Arial" w:hAnsi="Arial" w:cs="Arial"/>
        </w:rPr>
      </w:pPr>
    </w:p>
    <w:p w14:paraId="70BBDA8B" w14:textId="47F9E9D5" w:rsidR="00CA446C" w:rsidRDefault="00CA446C" w:rsidP="00700C7C">
      <w:pPr>
        <w:spacing w:after="0"/>
        <w:jc w:val="both"/>
        <w:rPr>
          <w:rFonts w:ascii="Arial" w:hAnsi="Arial" w:cs="Arial"/>
        </w:rPr>
      </w:pPr>
      <w:r w:rsidRPr="00CA446C">
        <w:rPr>
          <w:rFonts w:ascii="Arial" w:hAnsi="Arial" w:cs="Arial"/>
        </w:rPr>
        <w:t>Projekt jest obecnie jednocześnie na etapie uzgodnień, konsultacji publicznych i opiniowania</w:t>
      </w:r>
      <w:r>
        <w:rPr>
          <w:rFonts w:ascii="Arial" w:hAnsi="Arial" w:cs="Arial"/>
        </w:rPr>
        <w:t>.</w:t>
      </w:r>
    </w:p>
    <w:p w14:paraId="56411C94" w14:textId="77777777" w:rsidR="00700C7C" w:rsidRPr="00700C7C" w:rsidRDefault="00700C7C" w:rsidP="00700C7C">
      <w:pPr>
        <w:spacing w:after="0"/>
        <w:jc w:val="both"/>
        <w:rPr>
          <w:rFonts w:ascii="Arial" w:hAnsi="Arial" w:cs="Arial"/>
        </w:rPr>
      </w:pPr>
    </w:p>
    <w:p w14:paraId="5AFCF899" w14:textId="105882EB" w:rsidR="00700C7C" w:rsidRPr="00F02730" w:rsidRDefault="00F02730" w:rsidP="00E944E6">
      <w:pPr>
        <w:pStyle w:val="Akapitzlist"/>
        <w:numPr>
          <w:ilvl w:val="0"/>
          <w:numId w:val="4"/>
        </w:numPr>
        <w:spacing w:after="0"/>
        <w:jc w:val="both"/>
        <w:rPr>
          <w:rFonts w:ascii="Arial" w:hAnsi="Arial" w:cs="Arial"/>
          <w:b/>
          <w:bCs/>
          <w:u w:val="single"/>
        </w:rPr>
      </w:pPr>
      <w:r w:rsidRPr="00F02730">
        <w:rPr>
          <w:rFonts w:ascii="Arial" w:hAnsi="Arial" w:cs="Arial"/>
          <w:b/>
          <w:bCs/>
          <w:u w:val="single"/>
        </w:rPr>
        <w:t>P</w:t>
      </w:r>
      <w:r w:rsidRPr="00F02730">
        <w:rPr>
          <w:rFonts w:ascii="Arial" w:hAnsi="Arial" w:cs="Arial"/>
          <w:b/>
          <w:bCs/>
          <w:u w:val="single"/>
        </w:rPr>
        <w:t>rojekt rozporządzenia Ministra Funduszy i Polityki Regionalnej zmieniające rozporządzenie w sprawie udzielania pomocy na zieloną transformacje miast w obszarze ochrony środowiska w ramach Krajowego Planu Odbudowy i Zwiększania Odporności (numer z wykazu 122).</w:t>
      </w:r>
    </w:p>
    <w:p w14:paraId="02CA3EFF" w14:textId="77777777" w:rsidR="00700C7C" w:rsidRDefault="00700C7C" w:rsidP="00700C7C">
      <w:pPr>
        <w:spacing w:after="0"/>
        <w:jc w:val="both"/>
        <w:rPr>
          <w:rFonts w:ascii="Arial" w:hAnsi="Arial" w:cs="Arial"/>
        </w:rPr>
      </w:pPr>
    </w:p>
    <w:p w14:paraId="1B96BDFB" w14:textId="77777777" w:rsidR="00F02730" w:rsidRPr="00F02730" w:rsidRDefault="00F02730" w:rsidP="00F02730">
      <w:pPr>
        <w:spacing w:after="0"/>
        <w:jc w:val="both"/>
        <w:rPr>
          <w:rFonts w:ascii="Arial" w:hAnsi="Arial" w:cs="Arial"/>
        </w:rPr>
      </w:pPr>
      <w:r w:rsidRPr="00F02730">
        <w:rPr>
          <w:rFonts w:ascii="Arial" w:hAnsi="Arial" w:cs="Arial"/>
        </w:rPr>
        <w:t xml:space="preserve">W związku z dopuszczeniem przez Komisję Europejską możliwości finansowania samodzielnych projektów jednostek magazynowania energii elektrycznej lub energii cieplnej, samodzielnych projektów magazynowania biopaliw, </w:t>
      </w:r>
      <w:proofErr w:type="spellStart"/>
      <w:r w:rsidRPr="00F02730">
        <w:rPr>
          <w:rFonts w:ascii="Arial" w:hAnsi="Arial" w:cs="Arial"/>
        </w:rPr>
        <w:t>biopłynów</w:t>
      </w:r>
      <w:proofErr w:type="spellEnd"/>
      <w:r w:rsidRPr="00F02730">
        <w:rPr>
          <w:rFonts w:ascii="Arial" w:hAnsi="Arial" w:cs="Arial"/>
        </w:rPr>
        <w:t xml:space="preserve">, biogazu (w tym </w:t>
      </w:r>
      <w:proofErr w:type="spellStart"/>
      <w:r w:rsidRPr="00F02730">
        <w:rPr>
          <w:rFonts w:ascii="Arial" w:hAnsi="Arial" w:cs="Arial"/>
        </w:rPr>
        <w:t>biometanu</w:t>
      </w:r>
      <w:proofErr w:type="spellEnd"/>
      <w:r w:rsidRPr="00F02730">
        <w:rPr>
          <w:rFonts w:ascii="Arial" w:hAnsi="Arial" w:cs="Arial"/>
        </w:rPr>
        <w:t xml:space="preserve">) i paliw z biomasy oraz samodzielnych projektów </w:t>
      </w:r>
      <w:proofErr w:type="spellStart"/>
      <w:r w:rsidRPr="00F02730">
        <w:rPr>
          <w:rFonts w:ascii="Arial" w:hAnsi="Arial" w:cs="Arial"/>
        </w:rPr>
        <w:t>przesyłu</w:t>
      </w:r>
      <w:proofErr w:type="spellEnd"/>
      <w:r w:rsidRPr="00F02730">
        <w:rPr>
          <w:rFonts w:ascii="Arial" w:hAnsi="Arial" w:cs="Arial"/>
        </w:rPr>
        <w:t xml:space="preserve">, dystrybucji oraz magazynowania wodoru odnawialnego, niezbędna jest nowelizacja rozporządzenia Ministra Funduszy i Polityki Regionalnej z dnia 12 czerwca 2024 r. w sprawie udzielania pomocy na zieloną transformację miast w obszarze ochrony środowiska w ramach Krajowego Planu Odbudowy i Zwiększania Odporności (Dz. U. poz. 901), zwanego dalej „rozporządzeniem z dnia 12 czerwca 2024 r.”. </w:t>
      </w:r>
      <w:r w:rsidRPr="00F02730">
        <w:rPr>
          <w:rFonts w:ascii="Arial" w:hAnsi="Arial" w:cs="Arial"/>
        </w:rPr>
        <w:lastRenderedPageBreak/>
        <w:t xml:space="preserve">Dodatkowo chęć wpierania samodzielnych projektów magazynowych (bez konieczności łączenia ich z nowoutworzoną jednostką wytwórczą) wyraziła instytucja odpowiedzialna za realizację inwestycji B3.4.1. – Inwestycje na rzecz zielonej transformacji miast Krajowego Planu Odbudowy i Zwiększania Odporności. </w:t>
      </w:r>
    </w:p>
    <w:p w14:paraId="0103117E" w14:textId="77777777" w:rsidR="00F02730" w:rsidRPr="00F02730" w:rsidRDefault="00F02730" w:rsidP="00F02730">
      <w:pPr>
        <w:spacing w:after="0"/>
        <w:jc w:val="both"/>
        <w:rPr>
          <w:rFonts w:ascii="Arial" w:hAnsi="Arial" w:cs="Arial"/>
        </w:rPr>
      </w:pPr>
      <w:r w:rsidRPr="00F02730">
        <w:rPr>
          <w:rFonts w:ascii="Arial" w:hAnsi="Arial" w:cs="Arial"/>
        </w:rPr>
        <w:t xml:space="preserve">Do tej pory na podstawie rozporządzenia z dnia 12 czerwca 2024 r. w ramach udzielania pomocy inwestycyjnej na propagowanie energii ze źródeł odnawialnych, propagowanie wodoru odnawialnego i wysokosprawnej kogeneracji istniała jedynie możliwość wsparcia projektów polegających na utworzeniu samodzielnej jednostki produkcyjnej lub na utworzeniu jednostki magazynowej, ale w połączeniu z nową jednostką produkcyjną. Projektowane rozporządzenie poszerzy możliwy katalog wsparcia projektów o samodzielne projekty magazynowania energii ze źródeł odnawialnych (oraz samodzielne projekty </w:t>
      </w:r>
      <w:proofErr w:type="spellStart"/>
      <w:r w:rsidRPr="00F02730">
        <w:rPr>
          <w:rFonts w:ascii="Arial" w:hAnsi="Arial" w:cs="Arial"/>
        </w:rPr>
        <w:t>przesyłu</w:t>
      </w:r>
      <w:proofErr w:type="spellEnd"/>
      <w:r w:rsidRPr="00F02730">
        <w:rPr>
          <w:rFonts w:ascii="Arial" w:hAnsi="Arial" w:cs="Arial"/>
        </w:rPr>
        <w:t>, dystrybucji i magazynowania wodoru odnawianego) bez konieczności łączenia tych jednostek magazynowych z nowoutworzoną jednostką produkcyjną.</w:t>
      </w:r>
    </w:p>
    <w:p w14:paraId="6DC2B0F0" w14:textId="77777777" w:rsidR="00F02730" w:rsidRPr="00F02730" w:rsidRDefault="00F02730" w:rsidP="00F02730">
      <w:pPr>
        <w:spacing w:after="0"/>
        <w:jc w:val="both"/>
        <w:rPr>
          <w:rFonts w:ascii="Arial" w:hAnsi="Arial" w:cs="Arial"/>
        </w:rPr>
      </w:pPr>
      <w:r w:rsidRPr="00F02730">
        <w:rPr>
          <w:rFonts w:ascii="Arial" w:hAnsi="Arial" w:cs="Arial"/>
        </w:rPr>
        <w:t>Rekomendowane rozwiązania.</w:t>
      </w:r>
    </w:p>
    <w:p w14:paraId="610AE0CC" w14:textId="77777777" w:rsidR="00F02730" w:rsidRPr="00F02730" w:rsidRDefault="00F02730" w:rsidP="00F02730">
      <w:pPr>
        <w:spacing w:after="0"/>
        <w:jc w:val="both"/>
        <w:rPr>
          <w:rFonts w:ascii="Arial" w:hAnsi="Arial" w:cs="Arial"/>
        </w:rPr>
      </w:pPr>
      <w:r w:rsidRPr="00F02730">
        <w:rPr>
          <w:rFonts w:ascii="Arial" w:hAnsi="Arial" w:cs="Arial"/>
        </w:rPr>
        <w:t xml:space="preserve">Poszerzenie katalogu projektów możliwych do objęcia wsparciem na podstawie rozporządzenia z dnia 12 czerwca 2024 r. nie jest możliwe w wyniku podjęcia działań innych niż legislacyjne. </w:t>
      </w:r>
    </w:p>
    <w:p w14:paraId="1055EF28" w14:textId="455E33F7" w:rsidR="00700C7C" w:rsidRDefault="00F02730" w:rsidP="00F02730">
      <w:pPr>
        <w:spacing w:after="0"/>
        <w:jc w:val="both"/>
        <w:rPr>
          <w:rFonts w:ascii="Arial" w:hAnsi="Arial" w:cs="Arial"/>
        </w:rPr>
      </w:pPr>
      <w:r w:rsidRPr="00F02730">
        <w:rPr>
          <w:rFonts w:ascii="Arial" w:hAnsi="Arial" w:cs="Arial"/>
        </w:rPr>
        <w:t>Poszerzenie katalogu projektów możliwych do objęcia wsparciem w wyniku przyjętej regulacji umożliwi efektywne wykorzystanie środków przeznaczonych na inwestycję B3.4.1. – Inwestycje na rzecz zielonej transformacji miast w ramach Krajowego Planu Odbudowy i Zwiększania Odporności w okresie kwalifikowalności, tj. do dnia 30 czerwca 2026 r</w:t>
      </w:r>
      <w:r>
        <w:rPr>
          <w:rFonts w:ascii="Arial" w:hAnsi="Arial" w:cs="Arial"/>
        </w:rPr>
        <w:t>.</w:t>
      </w:r>
    </w:p>
    <w:p w14:paraId="73BEFA4B" w14:textId="77777777" w:rsidR="00F02730" w:rsidRDefault="00F02730" w:rsidP="00F02730">
      <w:pPr>
        <w:spacing w:after="0"/>
        <w:jc w:val="both"/>
        <w:rPr>
          <w:rFonts w:ascii="Arial" w:hAnsi="Arial" w:cs="Arial"/>
        </w:rPr>
      </w:pPr>
    </w:p>
    <w:p w14:paraId="287C7560" w14:textId="77777777" w:rsidR="00F02730" w:rsidRPr="00F02730" w:rsidRDefault="00F02730" w:rsidP="00F02730">
      <w:pPr>
        <w:spacing w:after="0"/>
        <w:jc w:val="both"/>
        <w:rPr>
          <w:rFonts w:ascii="Arial" w:hAnsi="Arial" w:cs="Arial"/>
        </w:rPr>
      </w:pPr>
      <w:r w:rsidRPr="00F02730">
        <w:rPr>
          <w:rFonts w:ascii="Arial" w:hAnsi="Arial" w:cs="Arial"/>
        </w:rPr>
        <w:t>Przedmiotowy projekt aktu prawnego wraz z Uzasadnieniem oraz Oceną Skutków Regulacji dostępny jest na stronach Rządowego Centrum Legislacji pod adresem:</w:t>
      </w:r>
    </w:p>
    <w:p w14:paraId="6FA155FD" w14:textId="4B47FCCF" w:rsidR="00F02730" w:rsidRDefault="00F02730" w:rsidP="00F02730">
      <w:pPr>
        <w:spacing w:after="0"/>
        <w:jc w:val="both"/>
        <w:rPr>
          <w:rFonts w:ascii="Arial" w:hAnsi="Arial" w:cs="Arial"/>
        </w:rPr>
      </w:pPr>
      <w:hyperlink r:id="rId10" w:history="1">
        <w:r w:rsidRPr="001D775C">
          <w:rPr>
            <w:rStyle w:val="Hipercze"/>
            <w:rFonts w:ascii="Arial" w:hAnsi="Arial" w:cs="Arial"/>
          </w:rPr>
          <w:t>https://legislacja.rcl.gov.pl/projekt/1239</w:t>
        </w:r>
        <w:r w:rsidRPr="001D775C">
          <w:rPr>
            <w:rStyle w:val="Hipercze"/>
            <w:rFonts w:ascii="Arial" w:hAnsi="Arial" w:cs="Arial"/>
          </w:rPr>
          <w:t>8</w:t>
        </w:r>
        <w:r w:rsidRPr="001D775C">
          <w:rPr>
            <w:rStyle w:val="Hipercze"/>
            <w:rFonts w:ascii="Arial" w:hAnsi="Arial" w:cs="Arial"/>
          </w:rPr>
          <w:t>7</w:t>
        </w:r>
        <w:r w:rsidRPr="001D775C">
          <w:rPr>
            <w:rStyle w:val="Hipercze"/>
            <w:rFonts w:ascii="Arial" w:hAnsi="Arial" w:cs="Arial"/>
          </w:rPr>
          <w:t>5</w:t>
        </w:r>
        <w:r w:rsidRPr="001D775C">
          <w:rPr>
            <w:rStyle w:val="Hipercze"/>
            <w:rFonts w:ascii="Arial" w:hAnsi="Arial" w:cs="Arial"/>
          </w:rPr>
          <w:t>0/katalog/13134258#13134258</w:t>
        </w:r>
      </w:hyperlink>
      <w:r>
        <w:rPr>
          <w:rFonts w:ascii="Arial" w:hAnsi="Arial" w:cs="Arial"/>
        </w:rPr>
        <w:t xml:space="preserve"> </w:t>
      </w:r>
    </w:p>
    <w:p w14:paraId="01E280C8" w14:textId="77777777" w:rsidR="00F02730" w:rsidRDefault="00F02730" w:rsidP="00F02730">
      <w:pPr>
        <w:spacing w:after="0"/>
        <w:jc w:val="both"/>
        <w:rPr>
          <w:rFonts w:ascii="Arial" w:hAnsi="Arial" w:cs="Arial"/>
        </w:rPr>
      </w:pPr>
    </w:p>
    <w:p w14:paraId="03511BF1" w14:textId="3A58014E" w:rsidR="00F02730" w:rsidRDefault="007C3216" w:rsidP="00F02730">
      <w:pPr>
        <w:spacing w:after="0"/>
        <w:jc w:val="both"/>
        <w:rPr>
          <w:rFonts w:ascii="Arial" w:hAnsi="Arial" w:cs="Arial"/>
        </w:rPr>
      </w:pPr>
      <w:r w:rsidRPr="007C3216">
        <w:rPr>
          <w:rFonts w:ascii="Arial" w:hAnsi="Arial" w:cs="Arial"/>
        </w:rPr>
        <w:t>Projekt jest obecnie jednocześnie na etapie uzgodnień, konsultacji publicznych i opiniowania</w:t>
      </w:r>
      <w:r>
        <w:rPr>
          <w:rFonts w:ascii="Arial" w:hAnsi="Arial" w:cs="Arial"/>
        </w:rPr>
        <w:t>.</w:t>
      </w:r>
    </w:p>
    <w:p w14:paraId="4FC77186" w14:textId="77777777" w:rsidR="00700C7C" w:rsidRPr="00700C7C" w:rsidRDefault="00700C7C" w:rsidP="00700C7C">
      <w:pPr>
        <w:spacing w:after="0"/>
        <w:jc w:val="both"/>
        <w:rPr>
          <w:rFonts w:ascii="Arial" w:hAnsi="Arial" w:cs="Arial"/>
        </w:rPr>
      </w:pPr>
    </w:p>
    <w:p w14:paraId="0B6FC37B" w14:textId="56F3191C" w:rsidR="00700C7C" w:rsidRPr="007C3216" w:rsidRDefault="007C3216" w:rsidP="00E944E6">
      <w:pPr>
        <w:pStyle w:val="Akapitzlist"/>
        <w:numPr>
          <w:ilvl w:val="0"/>
          <w:numId w:val="4"/>
        </w:numPr>
        <w:spacing w:after="0"/>
        <w:jc w:val="both"/>
        <w:rPr>
          <w:rFonts w:ascii="Arial" w:hAnsi="Arial" w:cs="Arial"/>
          <w:b/>
          <w:bCs/>
          <w:u w:val="single"/>
        </w:rPr>
      </w:pPr>
      <w:r w:rsidRPr="007C3216">
        <w:rPr>
          <w:rFonts w:ascii="Arial" w:hAnsi="Arial" w:cs="Arial"/>
          <w:b/>
          <w:bCs/>
          <w:u w:val="single"/>
        </w:rPr>
        <w:t>P</w:t>
      </w:r>
      <w:r w:rsidRPr="007C3216">
        <w:rPr>
          <w:rFonts w:ascii="Arial" w:hAnsi="Arial" w:cs="Arial"/>
          <w:b/>
          <w:bCs/>
          <w:u w:val="single"/>
        </w:rPr>
        <w:t>rojekt rozporządzenia Ministra Klimatu i Środowiska zmieniającego rozporządzenie w sprawie wymagań w zakresie prowadzenia pomiarów poziomów substancji lub energii w środowisku przez zarządzającego drogą, linią kolejową, linią tramwajową, lotniskiem lub portem (numer z wykazu 1085).</w:t>
      </w:r>
    </w:p>
    <w:p w14:paraId="119AEF3F" w14:textId="77777777" w:rsidR="00700C7C" w:rsidRDefault="00700C7C" w:rsidP="00700C7C">
      <w:pPr>
        <w:spacing w:after="0"/>
        <w:jc w:val="both"/>
        <w:rPr>
          <w:rFonts w:ascii="Arial" w:hAnsi="Arial" w:cs="Arial"/>
        </w:rPr>
      </w:pPr>
    </w:p>
    <w:p w14:paraId="14CE0A4F" w14:textId="77777777" w:rsidR="007C3216" w:rsidRPr="007C3216" w:rsidRDefault="007C3216" w:rsidP="007C3216">
      <w:pPr>
        <w:spacing w:after="0"/>
        <w:jc w:val="both"/>
        <w:rPr>
          <w:rFonts w:ascii="Arial" w:hAnsi="Arial" w:cs="Arial"/>
        </w:rPr>
      </w:pPr>
      <w:r w:rsidRPr="007C3216">
        <w:rPr>
          <w:rFonts w:ascii="Arial" w:hAnsi="Arial" w:cs="Arial"/>
        </w:rPr>
        <w:t xml:space="preserve">Projekt rozporządzenia stanowi wykonanie upoważnienia zawartego w art. 176 ust. 1 ustawy z dnia 27 kwietnia 2001 r. – Prawo ochrony środowiska (Dz. U. z 2024 r. poz. 54, z </w:t>
      </w:r>
      <w:proofErr w:type="spellStart"/>
      <w:r w:rsidRPr="007C3216">
        <w:rPr>
          <w:rFonts w:ascii="Arial" w:hAnsi="Arial" w:cs="Arial"/>
        </w:rPr>
        <w:t>późn</w:t>
      </w:r>
      <w:proofErr w:type="spellEnd"/>
      <w:r w:rsidRPr="007C3216">
        <w:rPr>
          <w:rFonts w:ascii="Arial" w:hAnsi="Arial" w:cs="Arial"/>
        </w:rPr>
        <w:t>. zm.), zwanej dalej „</w:t>
      </w:r>
      <w:proofErr w:type="spellStart"/>
      <w:r w:rsidRPr="007C3216">
        <w:rPr>
          <w:rFonts w:ascii="Arial" w:hAnsi="Arial" w:cs="Arial"/>
        </w:rPr>
        <w:t>Poś</w:t>
      </w:r>
      <w:proofErr w:type="spellEnd"/>
      <w:r w:rsidRPr="007C3216">
        <w:rPr>
          <w:rFonts w:ascii="Arial" w:hAnsi="Arial" w:cs="Arial"/>
        </w:rPr>
        <w:t>”. Potrzeba nowelizacji rozporządzenia Ministra Środowiska z dnia 16 czerwca 2011 r. w sprawie wymagań w zakresie prowadzenia pomiarów poziomów substancji lub energii w środowisku przez zarządzającego drogą, linią kolejową, linią tramwajową, lotniskiem lub portem (Dz. U. poz. 824 i 1697) wynika z: konieczności doprecyzowania istniejących przepisów w związku z problemami interpretacyjnymi, które ujawniły się na etapie ich stosowania, dostosowania wymagań dotyczących sprzętu pomiarowego do  postępu technicznego. Problemy interpretacyjne związane były m.in. z zastosowaniem niepewności pomiarowej, sposobem wyliczania średniego poziomu ekspozycyjnego oraz wyborem metodyki pomiarowej dla dróg publicznych. Dotyczyły laboratoriów wykonujących pomiary hałasu.</w:t>
      </w:r>
    </w:p>
    <w:p w14:paraId="3F6E2595" w14:textId="77777777" w:rsidR="007C3216" w:rsidRPr="007C3216" w:rsidRDefault="007C3216" w:rsidP="007C3216">
      <w:pPr>
        <w:spacing w:after="0"/>
        <w:jc w:val="both"/>
        <w:rPr>
          <w:rFonts w:ascii="Arial" w:hAnsi="Arial" w:cs="Arial"/>
        </w:rPr>
      </w:pPr>
      <w:r w:rsidRPr="007C3216">
        <w:rPr>
          <w:rFonts w:ascii="Arial" w:hAnsi="Arial" w:cs="Arial"/>
        </w:rPr>
        <w:t xml:space="preserve">Rekomendowanym rozwiązaniem jest zamiana w załącznikach nr 1, 2 i 3 do rozporządzenia Ministra Środowiska </w:t>
      </w:r>
    </w:p>
    <w:p w14:paraId="68510ED3" w14:textId="7D8150C9" w:rsidR="007C3216" w:rsidRPr="007C3216" w:rsidRDefault="007C3216" w:rsidP="007C3216">
      <w:pPr>
        <w:spacing w:after="0"/>
        <w:jc w:val="both"/>
        <w:rPr>
          <w:rFonts w:ascii="Arial" w:hAnsi="Arial" w:cs="Arial"/>
        </w:rPr>
      </w:pPr>
      <w:r w:rsidRPr="007C3216">
        <w:rPr>
          <w:rFonts w:ascii="Arial" w:hAnsi="Arial" w:cs="Arial"/>
        </w:rPr>
        <w:lastRenderedPageBreak/>
        <w:t xml:space="preserve">z dnia 16 czerwca 2011 r. w sprawie wymagań w zakresie prowadzenia pomiarów poziomów substancji lub energii w środowisku przez zarządzającego drogą, linią kolejową, linią tramwajową, lotniskiem lub portem. </w:t>
      </w:r>
    </w:p>
    <w:p w14:paraId="08B2AEB7" w14:textId="77777777" w:rsidR="007C3216" w:rsidRPr="007C3216" w:rsidRDefault="007C3216" w:rsidP="007C3216">
      <w:pPr>
        <w:spacing w:after="0"/>
        <w:jc w:val="both"/>
        <w:rPr>
          <w:rFonts w:ascii="Arial" w:hAnsi="Arial" w:cs="Arial"/>
        </w:rPr>
      </w:pPr>
      <w:r w:rsidRPr="007C3216">
        <w:rPr>
          <w:rFonts w:ascii="Arial" w:hAnsi="Arial" w:cs="Arial"/>
        </w:rPr>
        <w:t xml:space="preserve">Celem projektu jest doprecyzowanie istniejących przepisów w związku z problemami interpretacyjnymi, które ujawniły się na etapie ich stosowania, w zakresie wykonywania pomiarów hałasu oraz dostosowanie wymagań dotyczących sprzętu pomiarowego do postępu technicznego, jaki nastąpił od wprowadzenia rozporządzenia będącego przedmiotem zmiany. </w:t>
      </w:r>
    </w:p>
    <w:p w14:paraId="319F4C27" w14:textId="49E551D6" w:rsidR="00700C7C" w:rsidRDefault="007C3216" w:rsidP="007C3216">
      <w:pPr>
        <w:spacing w:after="0"/>
        <w:jc w:val="both"/>
        <w:rPr>
          <w:rFonts w:ascii="Arial" w:hAnsi="Arial" w:cs="Arial"/>
        </w:rPr>
      </w:pPr>
      <w:r w:rsidRPr="007C3216">
        <w:rPr>
          <w:rFonts w:ascii="Arial" w:hAnsi="Arial" w:cs="Arial"/>
        </w:rPr>
        <w:t>Należy wskazać, że nie ma możliwości podjęcia alternatywnych w stosunku do interwencji legislacyjnej środków umożliwiających osiągnięcie zamierzonego celu.</w:t>
      </w:r>
    </w:p>
    <w:p w14:paraId="12591663" w14:textId="77777777" w:rsidR="007C3216" w:rsidRDefault="007C3216" w:rsidP="007C3216">
      <w:pPr>
        <w:spacing w:after="0"/>
        <w:jc w:val="both"/>
        <w:rPr>
          <w:rFonts w:ascii="Arial" w:hAnsi="Arial" w:cs="Arial"/>
        </w:rPr>
      </w:pPr>
    </w:p>
    <w:p w14:paraId="6A48C087" w14:textId="77777777" w:rsidR="007C3216" w:rsidRPr="007C3216" w:rsidRDefault="007C3216" w:rsidP="007C3216">
      <w:pPr>
        <w:spacing w:after="0"/>
        <w:jc w:val="both"/>
        <w:rPr>
          <w:rFonts w:ascii="Arial" w:hAnsi="Arial" w:cs="Arial"/>
        </w:rPr>
      </w:pPr>
      <w:r w:rsidRPr="007C3216">
        <w:rPr>
          <w:rFonts w:ascii="Arial" w:hAnsi="Arial" w:cs="Arial"/>
        </w:rPr>
        <w:t>Przedmiotowy projekt aktu prawnego wraz z Uzasadnieniem oraz Oceną Skutków Regulacji dostępny jest na stronach Rządowego Centrum Legislacji pod adresem:</w:t>
      </w:r>
    </w:p>
    <w:p w14:paraId="21E6E8C0" w14:textId="6BA51346" w:rsidR="007C3216" w:rsidRDefault="007C3216" w:rsidP="007C3216">
      <w:pPr>
        <w:spacing w:after="0"/>
        <w:jc w:val="both"/>
        <w:rPr>
          <w:rFonts w:ascii="Arial" w:hAnsi="Arial" w:cs="Arial"/>
        </w:rPr>
      </w:pPr>
      <w:hyperlink r:id="rId11" w:history="1">
        <w:r w:rsidRPr="001D775C">
          <w:rPr>
            <w:rStyle w:val="Hipercze"/>
            <w:rFonts w:ascii="Arial" w:hAnsi="Arial" w:cs="Arial"/>
          </w:rPr>
          <w:t>https://legislacja.rcl.gov.pl/proje</w:t>
        </w:r>
        <w:r w:rsidRPr="001D775C">
          <w:rPr>
            <w:rStyle w:val="Hipercze"/>
            <w:rFonts w:ascii="Arial" w:hAnsi="Arial" w:cs="Arial"/>
          </w:rPr>
          <w:t>k</w:t>
        </w:r>
        <w:r w:rsidRPr="001D775C">
          <w:rPr>
            <w:rStyle w:val="Hipercze"/>
            <w:rFonts w:ascii="Arial" w:hAnsi="Arial" w:cs="Arial"/>
          </w:rPr>
          <w:t>t/12398800/katalog/13134558#13134558</w:t>
        </w:r>
      </w:hyperlink>
      <w:r>
        <w:rPr>
          <w:rFonts w:ascii="Arial" w:hAnsi="Arial" w:cs="Arial"/>
        </w:rPr>
        <w:t xml:space="preserve"> </w:t>
      </w:r>
    </w:p>
    <w:p w14:paraId="0CB5D183" w14:textId="77777777" w:rsidR="007C3216" w:rsidRDefault="007C3216" w:rsidP="007C3216">
      <w:pPr>
        <w:spacing w:after="0"/>
        <w:jc w:val="both"/>
        <w:rPr>
          <w:rFonts w:ascii="Arial" w:hAnsi="Arial" w:cs="Arial"/>
        </w:rPr>
      </w:pPr>
    </w:p>
    <w:p w14:paraId="67DC1373" w14:textId="45A235AC" w:rsidR="007C3216" w:rsidRDefault="00623A80" w:rsidP="007C3216">
      <w:pPr>
        <w:spacing w:after="0"/>
        <w:jc w:val="both"/>
        <w:rPr>
          <w:rFonts w:ascii="Arial" w:hAnsi="Arial" w:cs="Arial"/>
        </w:rPr>
      </w:pPr>
      <w:r w:rsidRPr="00623A80">
        <w:rPr>
          <w:rFonts w:ascii="Arial" w:hAnsi="Arial" w:cs="Arial"/>
        </w:rPr>
        <w:t>Projekt jest obecnie jednocześnie na etapie uzgodnień, konsultacji publicznych i opiniowania</w:t>
      </w:r>
      <w:r>
        <w:rPr>
          <w:rFonts w:ascii="Arial" w:hAnsi="Arial" w:cs="Arial"/>
        </w:rPr>
        <w:t>.</w:t>
      </w:r>
    </w:p>
    <w:p w14:paraId="7C8C533B" w14:textId="77777777" w:rsidR="00700C7C" w:rsidRPr="00700C7C" w:rsidRDefault="00700C7C" w:rsidP="00700C7C">
      <w:pPr>
        <w:spacing w:after="0"/>
        <w:jc w:val="both"/>
        <w:rPr>
          <w:rFonts w:ascii="Arial" w:hAnsi="Arial" w:cs="Arial"/>
        </w:rPr>
      </w:pPr>
    </w:p>
    <w:p w14:paraId="0092239E" w14:textId="6D90C303" w:rsidR="00700C7C" w:rsidRPr="00623A80" w:rsidRDefault="00623A80" w:rsidP="00E944E6">
      <w:pPr>
        <w:pStyle w:val="Akapitzlist"/>
        <w:numPr>
          <w:ilvl w:val="0"/>
          <w:numId w:val="4"/>
        </w:numPr>
        <w:spacing w:after="0"/>
        <w:jc w:val="both"/>
        <w:rPr>
          <w:rFonts w:ascii="Arial" w:hAnsi="Arial" w:cs="Arial"/>
          <w:b/>
          <w:bCs/>
          <w:u w:val="single"/>
        </w:rPr>
      </w:pPr>
      <w:r w:rsidRPr="00623A80">
        <w:rPr>
          <w:rFonts w:ascii="Arial" w:hAnsi="Arial" w:cs="Arial"/>
          <w:b/>
          <w:bCs/>
          <w:u w:val="single"/>
        </w:rPr>
        <w:t>P</w:t>
      </w:r>
      <w:r w:rsidRPr="00623A80">
        <w:rPr>
          <w:rFonts w:ascii="Arial" w:hAnsi="Arial" w:cs="Arial"/>
          <w:b/>
          <w:bCs/>
          <w:u w:val="single"/>
        </w:rPr>
        <w:t>rojekt rozporządzenia Ministra Klimatu i Środowiska w sprawie parametrów aukcji głównej dla roku dostaw 2030 oraz parametrów aukcji dodatkowych dla roku dostaw 2027, a także parametrów aukcji wstępnych do tych aukcji (numer z wykazu 1256).</w:t>
      </w:r>
    </w:p>
    <w:p w14:paraId="5233D2CC" w14:textId="77777777" w:rsidR="00700C7C" w:rsidRDefault="00700C7C" w:rsidP="00700C7C">
      <w:pPr>
        <w:spacing w:after="0"/>
        <w:jc w:val="both"/>
        <w:rPr>
          <w:rFonts w:ascii="Arial" w:hAnsi="Arial" w:cs="Arial"/>
        </w:rPr>
      </w:pPr>
    </w:p>
    <w:p w14:paraId="503DBE80" w14:textId="77777777" w:rsidR="00623A80" w:rsidRPr="00623A80" w:rsidRDefault="00623A80" w:rsidP="00623A80">
      <w:pPr>
        <w:spacing w:after="0"/>
        <w:jc w:val="both"/>
        <w:rPr>
          <w:rFonts w:ascii="Arial" w:hAnsi="Arial" w:cs="Arial"/>
        </w:rPr>
      </w:pPr>
      <w:r w:rsidRPr="00623A80">
        <w:rPr>
          <w:rFonts w:ascii="Arial" w:hAnsi="Arial" w:cs="Arial"/>
        </w:rPr>
        <w:t>Zgodnie z upoważnieniem ustawowym zawartym w art. 34 ust. 1 ustawy z dnia 8 grudnia 2017 r. o rynku mocy (Dz. U. z 2025 r. poz. 610), zwanej dalej „ustawą”, minister właściwy do spraw energii określa w drodze rozporządzenia parametry najbliższej aukcji głównej i najbliższych aukcji dodatkowych oraz aukcji wstępnych do tych aukcji. Oznacza to każdorazową konieczność wskazania parametrów aukcji, które nie są zawarte bezpośrednio w ustawie ani innych aktach wykonawczych czy regulaminie rynku mocy. Rozporządzenie musi być wydawane corocznie w zakresie: parametrów aukcji głównych – na 5 lat przed okresem dostaw, parametrów aukcji dodatkowych – na 2 lata przed okresem dostaw (w tym parametrów aukcji wstępnych do tych aukcji). Bez publikacji parametrów niemożliwe jest przeprowadzenie najbliższych aukcji mocy, co może skutkować przerwami w dostawach do wszystkich odbiorców energii.</w:t>
      </w:r>
    </w:p>
    <w:p w14:paraId="6BC217DA" w14:textId="77777777" w:rsidR="00623A80" w:rsidRPr="00623A80" w:rsidRDefault="00623A80" w:rsidP="00623A80">
      <w:pPr>
        <w:spacing w:after="0"/>
        <w:jc w:val="both"/>
        <w:rPr>
          <w:rFonts w:ascii="Arial" w:hAnsi="Arial" w:cs="Arial"/>
        </w:rPr>
      </w:pPr>
      <w:r w:rsidRPr="00623A80">
        <w:rPr>
          <w:rFonts w:ascii="Arial" w:hAnsi="Arial" w:cs="Arial"/>
        </w:rPr>
        <w:t>Projektowane rozporządzenie dotyczy określenia parametrów aukcji głównej dla roku dostaw 2030, przeprowadzanej w 2025 r., oraz parametrów aukcji dodatkowych dla wszystkich kwartałów roku dostaw 2027, przeprowadzanych w 2026 r., a także parametrów aukcji wstępnych do tych aukcji.</w:t>
      </w:r>
    </w:p>
    <w:p w14:paraId="101A00DB" w14:textId="77777777" w:rsidR="00623A80" w:rsidRPr="00623A80" w:rsidRDefault="00623A80" w:rsidP="00623A80">
      <w:pPr>
        <w:spacing w:after="0"/>
        <w:jc w:val="both"/>
        <w:rPr>
          <w:rFonts w:ascii="Arial" w:hAnsi="Arial" w:cs="Arial"/>
        </w:rPr>
      </w:pPr>
      <w:r w:rsidRPr="00623A80">
        <w:rPr>
          <w:rFonts w:ascii="Arial" w:hAnsi="Arial" w:cs="Arial"/>
        </w:rPr>
        <w:t>Zgodnie z art. 32 ust. 1 ustawy parametrami aukcji głównej, które zostaną określone w rozporządzeniu, są:</w:t>
      </w:r>
    </w:p>
    <w:p w14:paraId="509F925F" w14:textId="01973E00" w:rsidR="00623A80" w:rsidRPr="00CC6717"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wielkości wyznaczające popyt w aukcji, tj. zapotrzebowanie na moc, cena wejścia na rynek nowej jednostki wytwórczej, współczynnik zwiększający tę cenę, parametr wyznaczający wielkość mocy poniżej zapotrzebowania na moc, dla której cena osiąga wartość maksymalną oraz parametr wyznaczający wielkość mocy ponad zapotrzebowanie na moc, dla której cena osiąga wartość minimalną;</w:t>
      </w:r>
    </w:p>
    <w:p w14:paraId="14BF24ED" w14:textId="2951FB7B" w:rsidR="00623A80" w:rsidRPr="00CC6717"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 xml:space="preserve">cena maksymalna określona dla </w:t>
      </w:r>
      <w:proofErr w:type="spellStart"/>
      <w:r w:rsidRPr="00CC6717">
        <w:rPr>
          <w:rFonts w:ascii="Arial" w:hAnsi="Arial" w:cs="Arial"/>
        </w:rPr>
        <w:t>cenobiorcy</w:t>
      </w:r>
      <w:proofErr w:type="spellEnd"/>
      <w:r w:rsidRPr="00CC6717">
        <w:rPr>
          <w:rFonts w:ascii="Arial" w:hAnsi="Arial" w:cs="Arial"/>
        </w:rPr>
        <w:t>, wyznaczona na podstawie kapitałowych i operacyjnych kosztów stałych;</w:t>
      </w:r>
    </w:p>
    <w:p w14:paraId="03F8467B" w14:textId="0D19C917" w:rsidR="00623A80" w:rsidRPr="00CC6717"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maksymalna liczba rund aukcji;</w:t>
      </w:r>
    </w:p>
    <w:p w14:paraId="66B4A0DE" w14:textId="4F356E58" w:rsidR="00623A80" w:rsidRPr="00CC6717"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jednostkowe poziomy nakładów inwestycyjnych odniesione do mocy osiągalnej netto, warunkujące kwalifikację jednostki rynku mocy jako:</w:t>
      </w:r>
    </w:p>
    <w:p w14:paraId="3A8C49BA" w14:textId="4462AF64" w:rsidR="00623A80" w:rsidRPr="00CC6717" w:rsidRDefault="00623A80" w:rsidP="00CC6717">
      <w:pPr>
        <w:pStyle w:val="Akapitzlist"/>
        <w:numPr>
          <w:ilvl w:val="1"/>
          <w:numId w:val="14"/>
        </w:numPr>
        <w:spacing w:after="0"/>
        <w:ind w:left="851" w:hanging="284"/>
        <w:jc w:val="both"/>
        <w:rPr>
          <w:rFonts w:ascii="Arial" w:hAnsi="Arial" w:cs="Arial"/>
        </w:rPr>
      </w:pPr>
      <w:r w:rsidRPr="00CC6717">
        <w:rPr>
          <w:rFonts w:ascii="Arial" w:hAnsi="Arial" w:cs="Arial"/>
        </w:rPr>
        <w:lastRenderedPageBreak/>
        <w:t xml:space="preserve">nowej jednostki rynku mocy wytwórczą – uprawnionej do oferowania obowiązków </w:t>
      </w:r>
      <w:proofErr w:type="spellStart"/>
      <w:r w:rsidRPr="00CC6717">
        <w:rPr>
          <w:rFonts w:ascii="Arial" w:hAnsi="Arial" w:cs="Arial"/>
        </w:rPr>
        <w:t>mocowych</w:t>
      </w:r>
      <w:proofErr w:type="spellEnd"/>
      <w:r w:rsidRPr="00CC6717">
        <w:rPr>
          <w:rFonts w:ascii="Arial" w:hAnsi="Arial" w:cs="Arial"/>
        </w:rPr>
        <w:t xml:space="preserve"> na nie więcej niż 15 okresów dostaw w aukcji głównej,</w:t>
      </w:r>
    </w:p>
    <w:p w14:paraId="32F53FAF" w14:textId="3836C5A3" w:rsidR="00623A80" w:rsidRPr="00CC6717" w:rsidRDefault="00623A80" w:rsidP="00CC6717">
      <w:pPr>
        <w:pStyle w:val="Akapitzlist"/>
        <w:numPr>
          <w:ilvl w:val="1"/>
          <w:numId w:val="14"/>
        </w:numPr>
        <w:spacing w:after="0"/>
        <w:ind w:left="851" w:hanging="284"/>
        <w:jc w:val="both"/>
        <w:rPr>
          <w:rFonts w:ascii="Arial" w:hAnsi="Arial" w:cs="Arial"/>
        </w:rPr>
      </w:pPr>
      <w:r w:rsidRPr="00CC6717">
        <w:rPr>
          <w:rFonts w:ascii="Arial" w:hAnsi="Arial" w:cs="Arial"/>
        </w:rPr>
        <w:t xml:space="preserve">nowej jednostki rynku mocy wytwórczą, modernizowanej jednostki rynku mocy wytwórczą albo jednostki rynku mocy redukcji zapotrzebowania – uprawnionej do oferowania obowiązków </w:t>
      </w:r>
      <w:proofErr w:type="spellStart"/>
      <w:r w:rsidRPr="00CC6717">
        <w:rPr>
          <w:rFonts w:ascii="Arial" w:hAnsi="Arial" w:cs="Arial"/>
        </w:rPr>
        <w:t>mocowych</w:t>
      </w:r>
      <w:proofErr w:type="spellEnd"/>
      <w:r w:rsidRPr="00CC6717">
        <w:rPr>
          <w:rFonts w:ascii="Arial" w:hAnsi="Arial" w:cs="Arial"/>
        </w:rPr>
        <w:t xml:space="preserve"> na nie więcej niż 5 okresów dostaw w aukcji głównej;</w:t>
      </w:r>
    </w:p>
    <w:p w14:paraId="0598F19F" w14:textId="073C31D7" w:rsidR="00623A80"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 xml:space="preserve">minimalne wielkości obowiązków </w:t>
      </w:r>
      <w:proofErr w:type="spellStart"/>
      <w:r w:rsidRPr="00CC6717">
        <w:rPr>
          <w:rFonts w:ascii="Arial" w:hAnsi="Arial" w:cs="Arial"/>
        </w:rPr>
        <w:t>mocowych</w:t>
      </w:r>
      <w:proofErr w:type="spellEnd"/>
      <w:r w:rsidRPr="00CC6717">
        <w:rPr>
          <w:rFonts w:ascii="Arial" w:hAnsi="Arial" w:cs="Arial"/>
        </w:rPr>
        <w:t xml:space="preserve"> planowanych do pozyskania w wyniku aukcji dodatkowych na poszczególne kwartały roku dostaw, którego dotyczy aukcja główna;</w:t>
      </w:r>
    </w:p>
    <w:p w14:paraId="577A1A75" w14:textId="49A9B21F" w:rsidR="00623A80"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korekcyjne współczynniki dyspozycyjności dla poszczególnych grup technologii;</w:t>
      </w:r>
    </w:p>
    <w:p w14:paraId="0255CF1A" w14:textId="7DA534FC" w:rsidR="00623A80" w:rsidRPr="00CC6717" w:rsidRDefault="00623A80" w:rsidP="00CC6717">
      <w:pPr>
        <w:pStyle w:val="Akapitzlist"/>
        <w:numPr>
          <w:ilvl w:val="0"/>
          <w:numId w:val="15"/>
        </w:numPr>
        <w:spacing w:after="0"/>
        <w:ind w:left="709" w:hanging="142"/>
        <w:jc w:val="both"/>
        <w:rPr>
          <w:rFonts w:ascii="Arial" w:hAnsi="Arial" w:cs="Arial"/>
        </w:rPr>
      </w:pPr>
      <w:r w:rsidRPr="00CC6717">
        <w:rPr>
          <w:rFonts w:ascii="Arial" w:hAnsi="Arial" w:cs="Arial"/>
        </w:rPr>
        <w:t xml:space="preserve">maksymalne wolumeny obowiązków </w:t>
      </w:r>
      <w:proofErr w:type="spellStart"/>
      <w:r w:rsidRPr="00CC6717">
        <w:rPr>
          <w:rFonts w:ascii="Arial" w:hAnsi="Arial" w:cs="Arial"/>
        </w:rPr>
        <w:t>mocowych</w:t>
      </w:r>
      <w:proofErr w:type="spellEnd"/>
      <w:r w:rsidRPr="00CC6717">
        <w:rPr>
          <w:rFonts w:ascii="Arial" w:hAnsi="Arial" w:cs="Arial"/>
        </w:rPr>
        <w:t xml:space="preserve"> dla stref, o których mowa w art. 6 ust. 6 ustawy.</w:t>
      </w:r>
    </w:p>
    <w:p w14:paraId="30F6CEB2" w14:textId="77777777" w:rsidR="00623A80" w:rsidRPr="00623A80" w:rsidRDefault="00623A80" w:rsidP="00623A80">
      <w:pPr>
        <w:spacing w:after="0"/>
        <w:jc w:val="both"/>
        <w:rPr>
          <w:rFonts w:ascii="Arial" w:hAnsi="Arial" w:cs="Arial"/>
        </w:rPr>
      </w:pPr>
      <w:r w:rsidRPr="00623A80">
        <w:rPr>
          <w:rFonts w:ascii="Arial" w:hAnsi="Arial" w:cs="Arial"/>
        </w:rPr>
        <w:t>Zgodnie z art. 34 ust. 1 ustawy minister właściwy do spraw energii, określa, w drodze rozporządzenia, parametry najbliższej aukcji wstępnej, parametry najbliższej aukcji głównej i najbliższych aukcji dodatkowych, po zasięgnięciu opinii Prezesa Urzędu Regulacji Energetyki, a także mając na względzie politykę energetyczną państwa, adekwatność stosowanych parametrów do potrzeb systemu, zapewnienie bezpieczeństwa systemu, równoprawne i niedyskryminacyjne traktowanie dostawców mocy oraz mając na względzie przewidywaną dostępność zdolności przesyłowych oraz ich udział w zapewnieniu bezpieczeństwa dostaw energii elektrycznej.</w:t>
      </w:r>
    </w:p>
    <w:p w14:paraId="06BF98AD" w14:textId="076449A1" w:rsidR="00700C7C" w:rsidRDefault="00623A80" w:rsidP="00623A80">
      <w:pPr>
        <w:spacing w:after="0"/>
        <w:jc w:val="both"/>
        <w:rPr>
          <w:rFonts w:ascii="Arial" w:hAnsi="Arial" w:cs="Arial"/>
        </w:rPr>
      </w:pPr>
      <w:r w:rsidRPr="00623A80">
        <w:rPr>
          <w:rFonts w:ascii="Arial" w:hAnsi="Arial" w:cs="Arial"/>
        </w:rPr>
        <w:t>W związku z faktem, że ustawa nakłada obowiązek uregulowania materii parametrów aukcji mocy w drodze rozporządzenia ministra właściwego do spraw energii, regulacja wynika wprost z przepisów ustawy. Stosowanie alternatywnych rozwiązań byłoby niezgodne z ustawą. Rekomendowanym rozwiązaniem jest wydanie rozporządzenia w zakresie i na podstawie upoważnienia przewidzianego w ustawie. Oczekiwanym efektem jest wyznaczenie parametrów dla aukcji głównej dla roku dostaw 2030 oraz parametrów aukcji dodatkowych dla wszystkich kwartałów roku dostaw 2027 w celu umożliwienia ich przeprowadzenia. Termin do wydania rozporządzenia wynika wprost z art. 34 ust. 2 ustawy, który wskazuje, że minister właściwy do spraw energii wydaje ww. rozporządzenie nie później niż 18 tygodni przed rozpoczęciem każdej aukcji głównej. Terminy aukcji głównej i aukcji dodatkowych zostały już opublikowane na stronie Polskich Sieci Elektroenergetycznych S.A.</w:t>
      </w:r>
    </w:p>
    <w:p w14:paraId="5ACA025C" w14:textId="77777777" w:rsidR="00700C7C" w:rsidRDefault="00700C7C" w:rsidP="00700C7C">
      <w:pPr>
        <w:spacing w:after="0"/>
        <w:jc w:val="both"/>
        <w:rPr>
          <w:rFonts w:ascii="Arial" w:hAnsi="Arial" w:cs="Arial"/>
        </w:rPr>
      </w:pPr>
    </w:p>
    <w:p w14:paraId="6BF71934" w14:textId="77777777" w:rsidR="00CC6717" w:rsidRPr="00CC6717" w:rsidRDefault="00CC6717" w:rsidP="00CC6717">
      <w:pPr>
        <w:spacing w:after="0"/>
        <w:jc w:val="both"/>
        <w:rPr>
          <w:rFonts w:ascii="Arial" w:hAnsi="Arial" w:cs="Arial"/>
        </w:rPr>
      </w:pPr>
      <w:r w:rsidRPr="00CC6717">
        <w:rPr>
          <w:rFonts w:ascii="Arial" w:hAnsi="Arial" w:cs="Arial"/>
        </w:rPr>
        <w:t>Przedmiotowy projekt aktu prawnego wraz z Uzasadnieniem oraz Oceną Skutków Regulacji dostępny jest na stronach Rządowego Centrum Legislacji pod adresem:</w:t>
      </w:r>
    </w:p>
    <w:p w14:paraId="4B8AB4B7" w14:textId="56EC3A8B" w:rsidR="00CC6717" w:rsidRDefault="00CC6717" w:rsidP="00CC6717">
      <w:pPr>
        <w:spacing w:after="0"/>
        <w:jc w:val="both"/>
        <w:rPr>
          <w:rFonts w:ascii="Arial" w:hAnsi="Arial" w:cs="Arial"/>
        </w:rPr>
      </w:pPr>
      <w:hyperlink r:id="rId12" w:history="1">
        <w:r w:rsidRPr="001D775C">
          <w:rPr>
            <w:rStyle w:val="Hipercze"/>
            <w:rFonts w:ascii="Arial" w:hAnsi="Arial" w:cs="Arial"/>
          </w:rPr>
          <w:t>https://legislacja.rcl.gov.pl/projekt/1</w:t>
        </w:r>
        <w:r w:rsidRPr="001D775C">
          <w:rPr>
            <w:rStyle w:val="Hipercze"/>
            <w:rFonts w:ascii="Arial" w:hAnsi="Arial" w:cs="Arial"/>
          </w:rPr>
          <w:t>2</w:t>
        </w:r>
        <w:r w:rsidRPr="001D775C">
          <w:rPr>
            <w:rStyle w:val="Hipercze"/>
            <w:rFonts w:ascii="Arial" w:hAnsi="Arial" w:cs="Arial"/>
          </w:rPr>
          <w:t>398907/katalog/13135835#13135835</w:t>
        </w:r>
      </w:hyperlink>
      <w:r>
        <w:rPr>
          <w:rFonts w:ascii="Arial" w:hAnsi="Arial" w:cs="Arial"/>
        </w:rPr>
        <w:t xml:space="preserve"> </w:t>
      </w:r>
    </w:p>
    <w:p w14:paraId="6C3A24BE" w14:textId="77777777" w:rsidR="00CC6717" w:rsidRDefault="00CC6717" w:rsidP="00CC6717">
      <w:pPr>
        <w:spacing w:after="0"/>
        <w:jc w:val="both"/>
        <w:rPr>
          <w:rFonts w:ascii="Arial" w:hAnsi="Arial" w:cs="Arial"/>
        </w:rPr>
      </w:pPr>
    </w:p>
    <w:p w14:paraId="61CA0DAA" w14:textId="70E340CD" w:rsidR="00CC6717" w:rsidRDefault="00CC6717" w:rsidP="00CC6717">
      <w:pPr>
        <w:spacing w:after="0"/>
        <w:jc w:val="both"/>
        <w:rPr>
          <w:rFonts w:ascii="Arial" w:hAnsi="Arial" w:cs="Arial"/>
        </w:rPr>
      </w:pPr>
      <w:r w:rsidRPr="00CC6717">
        <w:rPr>
          <w:rFonts w:ascii="Arial" w:hAnsi="Arial" w:cs="Arial"/>
        </w:rPr>
        <w:t>Projekt jest obecnie jednocześnie na etapie uzgodnień, konsultacji publicznych i opiniowania</w:t>
      </w:r>
      <w:r>
        <w:rPr>
          <w:rFonts w:ascii="Arial" w:hAnsi="Arial" w:cs="Arial"/>
        </w:rPr>
        <w:t>.</w:t>
      </w:r>
    </w:p>
    <w:p w14:paraId="7E365DB5" w14:textId="77777777" w:rsidR="00CC6717" w:rsidRPr="00700C7C" w:rsidRDefault="00CC6717" w:rsidP="00700C7C">
      <w:pPr>
        <w:spacing w:after="0"/>
        <w:jc w:val="both"/>
        <w:rPr>
          <w:rFonts w:ascii="Arial" w:hAnsi="Arial" w:cs="Arial"/>
        </w:rPr>
      </w:pPr>
    </w:p>
    <w:p w14:paraId="55CE994A" w14:textId="4996FB63" w:rsidR="00E944E6" w:rsidRPr="00CC6717" w:rsidRDefault="00CC6717" w:rsidP="00E944E6">
      <w:pPr>
        <w:pStyle w:val="Akapitzlist"/>
        <w:numPr>
          <w:ilvl w:val="0"/>
          <w:numId w:val="4"/>
        </w:numPr>
        <w:spacing w:after="0"/>
        <w:jc w:val="both"/>
        <w:rPr>
          <w:rFonts w:ascii="Arial" w:hAnsi="Arial" w:cs="Arial"/>
          <w:b/>
          <w:bCs/>
          <w:u w:val="single"/>
        </w:rPr>
      </w:pPr>
      <w:r w:rsidRPr="00CC6717">
        <w:rPr>
          <w:rFonts w:ascii="Arial" w:hAnsi="Arial" w:cs="Arial"/>
          <w:b/>
          <w:bCs/>
          <w:u w:val="single"/>
        </w:rPr>
        <w:t>P</w:t>
      </w:r>
      <w:r w:rsidRPr="00CC6717">
        <w:rPr>
          <w:rFonts w:ascii="Arial" w:hAnsi="Arial" w:cs="Arial"/>
          <w:b/>
          <w:bCs/>
          <w:u w:val="single"/>
        </w:rPr>
        <w:t>rojekt rozporządzenia Ministra Rozwoju i Technologii w sprawie warunków technicznych, jakim powinny odpowiadać budynki i ich usytuowanie (numer z wykazu 68)</w:t>
      </w:r>
      <w:r>
        <w:rPr>
          <w:rFonts w:ascii="Arial" w:hAnsi="Arial" w:cs="Arial"/>
          <w:b/>
          <w:bCs/>
          <w:u w:val="single"/>
        </w:rPr>
        <w:t>.</w:t>
      </w:r>
    </w:p>
    <w:p w14:paraId="71DB8E7C" w14:textId="77777777" w:rsidR="00E944E6" w:rsidRDefault="00E944E6" w:rsidP="00E944E6">
      <w:pPr>
        <w:spacing w:after="0"/>
        <w:jc w:val="both"/>
        <w:rPr>
          <w:rFonts w:ascii="Arial" w:hAnsi="Arial" w:cs="Arial"/>
        </w:rPr>
      </w:pPr>
    </w:p>
    <w:p w14:paraId="1C96C9CC" w14:textId="15402E78" w:rsidR="003035E9" w:rsidRPr="003035E9" w:rsidRDefault="003035E9" w:rsidP="003035E9">
      <w:pPr>
        <w:spacing w:after="0"/>
        <w:jc w:val="both"/>
        <w:rPr>
          <w:rFonts w:ascii="Arial" w:hAnsi="Arial" w:cs="Arial"/>
        </w:rPr>
      </w:pPr>
      <w:r w:rsidRPr="003035E9">
        <w:rPr>
          <w:rFonts w:ascii="Arial" w:hAnsi="Arial" w:cs="Arial"/>
        </w:rPr>
        <w:t xml:space="preserve">Obecnie obowiązujące rozporządzenie z dnia 12 kwietnia 2002 r. w sprawie warunków technicznych, jakim powinny odpowiadać budynki i ich usytuowanie (Dz. U. z 2022 r. poz. 1225, z </w:t>
      </w:r>
      <w:proofErr w:type="spellStart"/>
      <w:r w:rsidRPr="003035E9">
        <w:rPr>
          <w:rFonts w:ascii="Arial" w:hAnsi="Arial" w:cs="Arial"/>
        </w:rPr>
        <w:t>późn</w:t>
      </w:r>
      <w:proofErr w:type="spellEnd"/>
      <w:r w:rsidRPr="003035E9">
        <w:rPr>
          <w:rFonts w:ascii="Arial" w:hAnsi="Arial" w:cs="Arial"/>
        </w:rPr>
        <w:t xml:space="preserve">. zm.), zwane dalej „rozporządzeniem </w:t>
      </w:r>
      <w:proofErr w:type="spellStart"/>
      <w:r w:rsidRPr="003035E9">
        <w:rPr>
          <w:rFonts w:ascii="Arial" w:hAnsi="Arial" w:cs="Arial"/>
        </w:rPr>
        <w:t>Wt</w:t>
      </w:r>
      <w:proofErr w:type="spellEnd"/>
      <w:r w:rsidRPr="003035E9">
        <w:rPr>
          <w:rFonts w:ascii="Arial" w:hAnsi="Arial" w:cs="Arial"/>
        </w:rPr>
        <w:t xml:space="preserve">”, jest podstawowym aktem prawa regulującym obszerną materię warunków technicznych, jakie są stawiane budynkom.  </w:t>
      </w:r>
    </w:p>
    <w:p w14:paraId="22D6832C" w14:textId="5A4367B1" w:rsidR="003035E9" w:rsidRPr="003035E9" w:rsidRDefault="003035E9" w:rsidP="003035E9">
      <w:pPr>
        <w:spacing w:after="0"/>
        <w:jc w:val="both"/>
        <w:rPr>
          <w:rFonts w:ascii="Arial" w:hAnsi="Arial" w:cs="Arial"/>
        </w:rPr>
      </w:pPr>
      <w:r w:rsidRPr="003035E9">
        <w:rPr>
          <w:rFonts w:ascii="Arial" w:hAnsi="Arial" w:cs="Arial"/>
        </w:rPr>
        <w:t xml:space="preserve">W wyniku dokonania zmian w obowiązujących przepisach, w tym wprowadzenia nowych wymogów dotyczących zapewnienia dostępności architektonicznej osobom ze szczególnymi </w:t>
      </w:r>
      <w:r w:rsidRPr="003035E9">
        <w:rPr>
          <w:rFonts w:ascii="Arial" w:hAnsi="Arial" w:cs="Arial"/>
        </w:rPr>
        <w:lastRenderedPageBreak/>
        <w:t xml:space="preserve">potrzebami, wprowadzonych przepisami ustawy z dnia 5 lipca 2018 r. o ułatwieniach w przygotowaniu i realizacji inwestycji mieszkaniowych oraz inwestycji towarzyszących (Dz. U. z 2024 r. poz. 195) oraz przepisami ustawy z dnia 19 lipca 2019 r. o zapewnianiu dostępności osobom ze szczególnymi potrzebami (Dz. U. z 2024 r. poz. 1411) – zachodzi konieczność wydania nowego rozporządzenia w sprawie warunków technicznych, jakim powinny odpowiadać budynki i ich usytuowanie regulującego na nowo materię warunków technicznych. Nowe przepisy powinny zostać wydane do 20 września 2026 r. </w:t>
      </w:r>
    </w:p>
    <w:p w14:paraId="1A73035B" w14:textId="77777777" w:rsidR="003035E9" w:rsidRPr="003035E9" w:rsidRDefault="003035E9" w:rsidP="003035E9">
      <w:pPr>
        <w:spacing w:after="0"/>
        <w:jc w:val="both"/>
        <w:rPr>
          <w:rFonts w:ascii="Arial" w:hAnsi="Arial" w:cs="Arial"/>
        </w:rPr>
      </w:pPr>
      <w:r w:rsidRPr="003035E9">
        <w:rPr>
          <w:rFonts w:ascii="Arial" w:hAnsi="Arial" w:cs="Arial"/>
        </w:rPr>
        <w:t xml:space="preserve">Celem wydania nowego rozporządzenia jest m.in. przyjęcie rozwiązań, które będą odpowiadały aktualnym technologiom występującym w budownictwie, jak również przyspieszą i ułatwią proces realizacji inwestycji, będąc jednocześnie przejrzyste i zrozumiałe dla odbiorcy. Dlatego też planuje się wprowadzenie zmian mających na celu m.in. uaktualnienie warunków technicznych, ich ulepszenie i uproszczenie, a także doprecyzowanie przepisów, które aktualnie budzą wątpliwości interpretacyjne. </w:t>
      </w:r>
    </w:p>
    <w:p w14:paraId="495481C4" w14:textId="77777777" w:rsidR="003035E9" w:rsidRPr="003035E9" w:rsidRDefault="003035E9" w:rsidP="003035E9">
      <w:pPr>
        <w:spacing w:after="0"/>
        <w:jc w:val="both"/>
        <w:rPr>
          <w:rFonts w:ascii="Arial" w:hAnsi="Arial" w:cs="Arial"/>
        </w:rPr>
      </w:pPr>
      <w:r w:rsidRPr="003035E9">
        <w:rPr>
          <w:rFonts w:ascii="Arial" w:hAnsi="Arial" w:cs="Arial"/>
        </w:rPr>
        <w:t xml:space="preserve">Rozwój technologii </w:t>
      </w:r>
    </w:p>
    <w:p w14:paraId="4A030F86" w14:textId="77777777" w:rsidR="003035E9" w:rsidRPr="003035E9" w:rsidRDefault="003035E9" w:rsidP="003035E9">
      <w:pPr>
        <w:spacing w:after="0"/>
        <w:jc w:val="both"/>
        <w:rPr>
          <w:rFonts w:ascii="Arial" w:hAnsi="Arial" w:cs="Arial"/>
        </w:rPr>
      </w:pPr>
      <w:r w:rsidRPr="003035E9">
        <w:rPr>
          <w:rFonts w:ascii="Arial" w:hAnsi="Arial" w:cs="Arial"/>
        </w:rPr>
        <w:t xml:space="preserve">W związku z rozwojem nowych technologii w budownictwie, niektóre przepisy obowiązującego rozporządzenia stały się nieaktualne i przestarzałe, na przykład dotyczące niektórych instalacji. Pojawiła się również konieczność uregulowania kwestii, które do tej pory nie stanowiły przedmiotu rozporządzenia, na przykład instalacji punktów ładowania samochodów i rowerów elektrycznych, urządzeń fotowoltaicznych czy magazynów energii, a także wykorzystania energii słonecznej.  </w:t>
      </w:r>
    </w:p>
    <w:p w14:paraId="727760EB" w14:textId="77777777" w:rsidR="003035E9" w:rsidRPr="003035E9" w:rsidRDefault="003035E9" w:rsidP="003035E9">
      <w:pPr>
        <w:spacing w:after="0"/>
        <w:jc w:val="both"/>
        <w:rPr>
          <w:rFonts w:ascii="Arial" w:hAnsi="Arial" w:cs="Arial"/>
        </w:rPr>
      </w:pPr>
      <w:r w:rsidRPr="003035E9">
        <w:rPr>
          <w:rFonts w:ascii="Arial" w:hAnsi="Arial" w:cs="Arial"/>
        </w:rPr>
        <w:t xml:space="preserve">Ułatwienie procesu inwestycyjnego </w:t>
      </w:r>
    </w:p>
    <w:p w14:paraId="68CDFE05" w14:textId="77777777" w:rsidR="003035E9" w:rsidRPr="003035E9" w:rsidRDefault="003035E9" w:rsidP="003035E9">
      <w:pPr>
        <w:spacing w:after="0"/>
        <w:jc w:val="both"/>
        <w:rPr>
          <w:rFonts w:ascii="Arial" w:hAnsi="Arial" w:cs="Arial"/>
        </w:rPr>
      </w:pPr>
      <w:r w:rsidRPr="003035E9">
        <w:rPr>
          <w:rFonts w:ascii="Arial" w:hAnsi="Arial" w:cs="Arial"/>
        </w:rPr>
        <w:t xml:space="preserve">Do resortu wpływały również uwagi dotyczące utrudnień w prowadzeniu procesu inwestycyjnego spowodowanych m.in. niejednoznacznością przepisów, która prowadziła do różnej interpretacji przez projektantów i organy administracji architektoniczno-budowlanej. Za niewłaściwe uznano również funkcjonowanie w rozporządzeniu przepisów, które uzależniały możliwość ich spełnienia od uzyskania zgody lub opinii właściwego, wskazanego w przepisie, podmiotu. Jest to materia, która powinna być uregulowana przepisami rangi ustawowej. </w:t>
      </w:r>
    </w:p>
    <w:p w14:paraId="41970053" w14:textId="77777777" w:rsidR="003035E9" w:rsidRPr="003035E9" w:rsidRDefault="003035E9" w:rsidP="003035E9">
      <w:pPr>
        <w:spacing w:after="0"/>
        <w:jc w:val="both"/>
        <w:rPr>
          <w:rFonts w:ascii="Arial" w:hAnsi="Arial" w:cs="Arial"/>
        </w:rPr>
      </w:pPr>
      <w:r w:rsidRPr="003035E9">
        <w:rPr>
          <w:rFonts w:ascii="Arial" w:hAnsi="Arial" w:cs="Arial"/>
        </w:rPr>
        <w:t xml:space="preserve">Wyeliminowanie wątpliwości interpretacyjnych i uproszczenie przepisów </w:t>
      </w:r>
    </w:p>
    <w:p w14:paraId="58F44951" w14:textId="77777777" w:rsidR="003035E9" w:rsidRPr="003035E9" w:rsidRDefault="003035E9" w:rsidP="003035E9">
      <w:pPr>
        <w:spacing w:after="0"/>
        <w:jc w:val="both"/>
        <w:rPr>
          <w:rFonts w:ascii="Arial" w:hAnsi="Arial" w:cs="Arial"/>
        </w:rPr>
      </w:pPr>
      <w:r w:rsidRPr="003035E9">
        <w:rPr>
          <w:rFonts w:ascii="Arial" w:hAnsi="Arial" w:cs="Arial"/>
        </w:rPr>
        <w:t xml:space="preserve">Wątpliwości interpretacyjne związane z przepisami dotychczasowego rozporządzenia dotyczyły m.in. warstwy lingwistycznej, w zakresie np. stosowania pojęcia „powinno”, które część osób odbierała jako wskazujące na fakultatywność przepisu. Niejasności budziło również zamienne stosowanie liczy pojedynczej i mnogiej w przepisach. Inne wątpliwości dotyczyły m. in. definicji kondygnacji podziemnej, szerokości dojścia i dojazdu do działki budowlanej oraz do budynku, usytuowania miejsc postojowych dla samochodów oraz ich zgrupowań, stosowania przepisów w odniesieniu do budynków zabytkowych. Wątpliwości budziła również kwestia zakresu stosowania przepisów rozporządzenia w przypadku przebudowy, rozbudowy, nadbudowy i zmiany sposoby użytkowania budynku. Czy np. jeśli przebudowa obejmuje jedynie np. pomieszczenia higieniczno-sanitarne, to należy cały budynek w każdym aspekcie przystosować do przepisów projektu rozporządzenia, przykładowo w zakresie obowiązku wyposażenia w dźwig osobowy? </w:t>
      </w:r>
    </w:p>
    <w:p w14:paraId="2EAD881C" w14:textId="77777777" w:rsidR="003035E9" w:rsidRPr="003035E9" w:rsidRDefault="003035E9" w:rsidP="003035E9">
      <w:pPr>
        <w:spacing w:after="0"/>
        <w:jc w:val="both"/>
        <w:rPr>
          <w:rFonts w:ascii="Arial" w:hAnsi="Arial" w:cs="Arial"/>
        </w:rPr>
      </w:pPr>
      <w:r w:rsidRPr="003035E9">
        <w:rPr>
          <w:rFonts w:ascii="Arial" w:hAnsi="Arial" w:cs="Arial"/>
        </w:rPr>
        <w:t xml:space="preserve">Celem zmiany niektórych przepisów było również ułatwienie projektowania oraz rozwiązania zgłaszanych do resortu problemów, które powodują przepisy dotyczące m.in. nasłonecznienia i przesłaniania.  </w:t>
      </w:r>
    </w:p>
    <w:p w14:paraId="524B7249" w14:textId="77777777" w:rsidR="003035E9" w:rsidRPr="003035E9" w:rsidRDefault="003035E9" w:rsidP="003035E9">
      <w:pPr>
        <w:spacing w:after="0"/>
        <w:jc w:val="both"/>
        <w:rPr>
          <w:rFonts w:ascii="Arial" w:hAnsi="Arial" w:cs="Arial"/>
        </w:rPr>
      </w:pPr>
      <w:r w:rsidRPr="003035E9">
        <w:rPr>
          <w:rFonts w:ascii="Arial" w:hAnsi="Arial" w:cs="Arial"/>
        </w:rPr>
        <w:t xml:space="preserve">Dostępność dla osób ze szczególnymi potrzebami </w:t>
      </w:r>
    </w:p>
    <w:p w14:paraId="336C4BBD" w14:textId="77777777" w:rsidR="003035E9" w:rsidRPr="003035E9" w:rsidRDefault="003035E9" w:rsidP="003035E9">
      <w:pPr>
        <w:spacing w:after="0"/>
        <w:jc w:val="both"/>
        <w:rPr>
          <w:rFonts w:ascii="Arial" w:hAnsi="Arial" w:cs="Arial"/>
        </w:rPr>
      </w:pPr>
      <w:r w:rsidRPr="003035E9">
        <w:rPr>
          <w:rFonts w:ascii="Arial" w:hAnsi="Arial" w:cs="Arial"/>
        </w:rPr>
        <w:t xml:space="preserve">Celem projektu rozporządzenia jest również spełnienie wymagań, które zostały wprowadzone przepisami ustawy z dnia 19 lipca 2019 r. o zapewnianiu dostępności osobom ze szczególnymi potrzebami (Dz. U. z 2024 r., poz. 1411), dalej „ustawa o dostępności”. W szczególności chodzi tutaj o zapewnienie dostępności architektonicznej, o której mowa w art. 6 ust. 1 ustawy o </w:t>
      </w:r>
      <w:r w:rsidRPr="003035E9">
        <w:rPr>
          <w:rFonts w:ascii="Arial" w:hAnsi="Arial" w:cs="Arial"/>
        </w:rPr>
        <w:lastRenderedPageBreak/>
        <w:t xml:space="preserve">dostępności.  Jednym z największych problemów zgłaszanych do resortu w zakresie dostępności były niewystarczające regulacje dotyczące wyposażania budynków w dźwigi osobowe lub towarowo-osobowe. Prowadziło to do wykluczenia dużej grupy społeczeństwa, np. tzw. „więźniów czwartego piętra”. </w:t>
      </w:r>
    </w:p>
    <w:p w14:paraId="5CA256BE" w14:textId="77777777" w:rsidR="003035E9" w:rsidRPr="003035E9" w:rsidRDefault="003035E9" w:rsidP="003035E9">
      <w:pPr>
        <w:spacing w:after="0"/>
        <w:jc w:val="both"/>
        <w:rPr>
          <w:rFonts w:ascii="Arial" w:hAnsi="Arial" w:cs="Arial"/>
        </w:rPr>
      </w:pPr>
      <w:r w:rsidRPr="003035E9">
        <w:rPr>
          <w:rFonts w:ascii="Arial" w:hAnsi="Arial" w:cs="Arial"/>
        </w:rPr>
        <w:t xml:space="preserve">Należy wskazać, iż niektóre z projektowanych regulacji w zakresie dostępności mogą przyczynić się do wzrostu cen inwestycji w porównaniu z obecnymi regulacjami w tym zakresie, co wpłynie na finanse wspólnot mieszkaniowych oraz spółdzielni mieszkaniowych.  </w:t>
      </w:r>
    </w:p>
    <w:p w14:paraId="5AE6A2FE" w14:textId="77777777" w:rsidR="003035E9" w:rsidRPr="003035E9" w:rsidRDefault="003035E9" w:rsidP="003035E9">
      <w:pPr>
        <w:spacing w:after="0"/>
        <w:jc w:val="both"/>
        <w:rPr>
          <w:rFonts w:ascii="Arial" w:hAnsi="Arial" w:cs="Arial"/>
        </w:rPr>
      </w:pPr>
      <w:r w:rsidRPr="003035E9">
        <w:rPr>
          <w:rFonts w:ascii="Arial" w:hAnsi="Arial" w:cs="Arial"/>
        </w:rPr>
        <w:t xml:space="preserve">Ochrona przeciwpożarowa  </w:t>
      </w:r>
    </w:p>
    <w:p w14:paraId="5D07E0A9" w14:textId="77777777" w:rsidR="003035E9" w:rsidRPr="003035E9" w:rsidRDefault="003035E9" w:rsidP="003035E9">
      <w:pPr>
        <w:spacing w:after="0"/>
        <w:jc w:val="both"/>
        <w:rPr>
          <w:rFonts w:ascii="Arial" w:hAnsi="Arial" w:cs="Arial"/>
        </w:rPr>
      </w:pPr>
      <w:r w:rsidRPr="003035E9">
        <w:rPr>
          <w:rFonts w:ascii="Arial" w:hAnsi="Arial" w:cs="Arial"/>
        </w:rPr>
        <w:t xml:space="preserve">Na podstawie informacji uzyskanych od Państwowej Straży Pożarnej, wynikających z zebranych doświadczeń z działań ratowniczo-gaśniczych, w rozpatrywanych obiektach zidentyfikowano główne czynniki techniczno-budowlane sprzyjające niekontrolowanemu rozprzestrzenianiu się pożarów, w związku z powyższym, celem wydania nowego rozporządzenia jest m. in. ograniczenie możliwości wystąpienia pożarów dużych i bardzo dużych, wymagających prowadzenia długotrwałych działań ratowniczo-gaśniczych, a także związanych z nimi nieakceptowalnych społecznie skutków (duże straty materialne i całkowite zniszczenia budynków, ryzyko znacznego zanieczyszczenia środowiska, utrata wielu miejsc pracy, etc.). </w:t>
      </w:r>
    </w:p>
    <w:p w14:paraId="12428CF0" w14:textId="77777777" w:rsidR="003035E9" w:rsidRPr="003035E9" w:rsidRDefault="003035E9" w:rsidP="003035E9">
      <w:pPr>
        <w:spacing w:after="0"/>
        <w:jc w:val="both"/>
        <w:rPr>
          <w:rFonts w:ascii="Arial" w:hAnsi="Arial" w:cs="Arial"/>
        </w:rPr>
      </w:pPr>
      <w:r w:rsidRPr="003035E9">
        <w:rPr>
          <w:rFonts w:ascii="Arial" w:hAnsi="Arial" w:cs="Arial"/>
        </w:rPr>
        <w:t xml:space="preserve">Efektywność energetyczna budynków </w:t>
      </w:r>
    </w:p>
    <w:p w14:paraId="1E2588FD" w14:textId="77777777" w:rsidR="003035E9" w:rsidRPr="003035E9" w:rsidRDefault="003035E9" w:rsidP="003035E9">
      <w:pPr>
        <w:spacing w:after="0"/>
        <w:jc w:val="both"/>
        <w:rPr>
          <w:rFonts w:ascii="Arial" w:hAnsi="Arial" w:cs="Arial"/>
        </w:rPr>
      </w:pPr>
      <w:r w:rsidRPr="003035E9">
        <w:rPr>
          <w:rFonts w:ascii="Arial" w:hAnsi="Arial" w:cs="Arial"/>
        </w:rPr>
        <w:t xml:space="preserve">Ze względu na wejście w życie dyrektywy Parlamentu Europejskiego i Rady (UE) 2024/1275 z dnia 24 kwietnia 2024 r. w sprawie charakterystyki energetycznej budynków (Dz. Urz. UE L 2024/1275 z 08.05.2024) konieczna jest jej implementacja do prawa krajowego oraz zmiana przepisów rozporządzenia w tym zakresie.  </w:t>
      </w:r>
    </w:p>
    <w:p w14:paraId="2105156C" w14:textId="77777777" w:rsidR="003035E9" w:rsidRPr="003035E9" w:rsidRDefault="003035E9" w:rsidP="003035E9">
      <w:pPr>
        <w:spacing w:after="0"/>
        <w:jc w:val="both"/>
        <w:rPr>
          <w:rFonts w:ascii="Arial" w:hAnsi="Arial" w:cs="Arial"/>
        </w:rPr>
      </w:pPr>
      <w:r w:rsidRPr="003035E9">
        <w:rPr>
          <w:rFonts w:ascii="Arial" w:hAnsi="Arial" w:cs="Arial"/>
        </w:rPr>
        <w:t xml:space="preserve">Użytkowanie budynków mieszkalnych </w:t>
      </w:r>
    </w:p>
    <w:p w14:paraId="5B139CF6" w14:textId="77777777" w:rsidR="003035E9" w:rsidRPr="003035E9" w:rsidRDefault="003035E9" w:rsidP="003035E9">
      <w:pPr>
        <w:spacing w:after="0"/>
        <w:jc w:val="both"/>
        <w:rPr>
          <w:rFonts w:ascii="Arial" w:hAnsi="Arial" w:cs="Arial"/>
        </w:rPr>
      </w:pPr>
      <w:r w:rsidRPr="003035E9">
        <w:rPr>
          <w:rFonts w:ascii="Arial" w:hAnsi="Arial" w:cs="Arial"/>
        </w:rPr>
        <w:t xml:space="preserve">Przewiduje się włączenie do projektu rozporządzenia regulacji dotychczas zawartych w rozporządzeniu Ministra Spraw Wewnętrznych i Administracji z dnia 16 sierpnia 1999 r. w sprawie warunków technicznych użytkowania budynków mieszkalnych (Dz. U. poz. 836, z </w:t>
      </w:r>
      <w:proofErr w:type="spellStart"/>
      <w:r w:rsidRPr="003035E9">
        <w:rPr>
          <w:rFonts w:ascii="Arial" w:hAnsi="Arial" w:cs="Arial"/>
        </w:rPr>
        <w:t>późn</w:t>
      </w:r>
      <w:proofErr w:type="spellEnd"/>
      <w:r w:rsidRPr="003035E9">
        <w:rPr>
          <w:rFonts w:ascii="Arial" w:hAnsi="Arial" w:cs="Arial"/>
        </w:rPr>
        <w:t xml:space="preserve">. zm.). </w:t>
      </w:r>
    </w:p>
    <w:p w14:paraId="3DDFB9ED" w14:textId="2D4965D1" w:rsidR="003035E9" w:rsidRPr="003035E9" w:rsidRDefault="003035E9" w:rsidP="003035E9">
      <w:pPr>
        <w:spacing w:after="0"/>
        <w:jc w:val="both"/>
        <w:rPr>
          <w:rFonts w:ascii="Arial" w:hAnsi="Arial" w:cs="Arial"/>
        </w:rPr>
      </w:pPr>
      <w:r w:rsidRPr="003035E9">
        <w:rPr>
          <w:rFonts w:ascii="Arial" w:hAnsi="Arial" w:cs="Arial"/>
        </w:rPr>
        <w:t xml:space="preserve">Upoważnienie do wydania rozporządzenia określającego warunki techniczne użytkowania budynków mieszkalnych zawarte w art. 7 ust. 3 pkt 1 ustawy z dnia 7 lipca 1994 r. –  Prawo budowlane ma charakter fakultatywny, a to oznacza, że jego wydanie nie jest obowiązkowe nawet w przypadku utraty mocy przez aktualnie obowiązujące rozporządzenie. Biorąc jednak pod uwagę, że regulowana materia jest szczególnie istotna dla znaczącej części społeczeństwa, a w szczególności dla osób mieszkających w budynkach mieszkalnych wielorodzinnych (gdzie np. nadzór nad sprawnością poszczególnych instalacji czy właściwego utrzymania części wspólnych sprawowany może być przez podmioty trzecie), zasadne i celowe jest zamieszczenie przepisów dotyczących warunków technicznych użytkowania jako odrębny dział projektowanego rozporządzenia. </w:t>
      </w:r>
    </w:p>
    <w:p w14:paraId="4AEC927D" w14:textId="77777777" w:rsidR="003035E9" w:rsidRPr="003035E9" w:rsidRDefault="003035E9" w:rsidP="003035E9">
      <w:pPr>
        <w:spacing w:after="0"/>
        <w:jc w:val="both"/>
        <w:rPr>
          <w:rFonts w:ascii="Arial" w:hAnsi="Arial" w:cs="Arial"/>
        </w:rPr>
      </w:pPr>
      <w:r w:rsidRPr="003035E9">
        <w:rPr>
          <w:rFonts w:ascii="Arial" w:hAnsi="Arial" w:cs="Arial"/>
        </w:rPr>
        <w:t xml:space="preserve">Zawarcie przepisów dotyczących warunków technicznych użytkowania budynków mieszkalnych jest korzystne ze </w:t>
      </w:r>
    </w:p>
    <w:p w14:paraId="70BC93A2" w14:textId="77777777" w:rsidR="003035E9" w:rsidRPr="003035E9" w:rsidRDefault="003035E9" w:rsidP="003035E9">
      <w:pPr>
        <w:spacing w:after="0"/>
        <w:jc w:val="both"/>
        <w:rPr>
          <w:rFonts w:ascii="Arial" w:hAnsi="Arial" w:cs="Arial"/>
        </w:rPr>
      </w:pPr>
      <w:r w:rsidRPr="003035E9">
        <w:rPr>
          <w:rFonts w:ascii="Arial" w:hAnsi="Arial" w:cs="Arial"/>
        </w:rPr>
        <w:t>względu na brak konieczności przeprowadzenia kolejnego procesu legislacyjnego, zmniejszenie liczby przepisów oraz ich uproszczenie i doprecyzowanie, a także ułatwi korzystanie z nich bez konieczności przeszukiwania wielu aktów prawnych. Ma na celu również upowszechnienie regulacji zawartych do tej pory w rozporządzeniu o użytkowaniu budynków mieszkalnych, które, jak wynikało z rozeznania przeprowadzonego przez resort, nie były znane wielu podmiotom z branży architektoniczno-budowlanej.</w:t>
      </w:r>
    </w:p>
    <w:p w14:paraId="0D789FF9" w14:textId="77777777" w:rsidR="003035E9" w:rsidRPr="003035E9" w:rsidRDefault="003035E9" w:rsidP="003035E9">
      <w:pPr>
        <w:spacing w:after="0"/>
        <w:jc w:val="both"/>
        <w:rPr>
          <w:rFonts w:ascii="Arial" w:hAnsi="Arial" w:cs="Arial"/>
        </w:rPr>
      </w:pPr>
      <w:r w:rsidRPr="003035E9">
        <w:rPr>
          <w:rFonts w:ascii="Arial" w:hAnsi="Arial" w:cs="Arial"/>
        </w:rPr>
        <w:t xml:space="preserve">Projekt rozporządzenia określa warunki techniczne, jakim powinny odpowiadać budynki i ich usytuowanie. Celem określenia wymienionych warunków jest zapewnienie, że budynek będzie </w:t>
      </w:r>
      <w:r w:rsidRPr="003035E9">
        <w:rPr>
          <w:rFonts w:ascii="Arial" w:hAnsi="Arial" w:cs="Arial"/>
        </w:rPr>
        <w:lastRenderedPageBreak/>
        <w:t xml:space="preserve">– stosownie do art. 5 ust. 1 ustawy z dnia 7 lipca 1994 r. Prawo budowlane – zaprojektowany i wykonany zgodnie z zasadami wiedzy technicznej, jednocześnie zapewniając:  </w:t>
      </w:r>
    </w:p>
    <w:p w14:paraId="679DB925" w14:textId="77777777" w:rsidR="003035E9" w:rsidRPr="003035E9" w:rsidRDefault="003035E9" w:rsidP="003035E9">
      <w:pPr>
        <w:spacing w:after="0"/>
        <w:jc w:val="both"/>
        <w:rPr>
          <w:rFonts w:ascii="Arial" w:hAnsi="Arial" w:cs="Arial"/>
        </w:rPr>
      </w:pPr>
      <w:r w:rsidRPr="003035E9">
        <w:rPr>
          <w:rFonts w:ascii="Arial" w:hAnsi="Arial" w:cs="Arial"/>
        </w:rPr>
        <w:t xml:space="preserve">1) spełnienie podstawowych wymagań dotyczących obiektów budowlanych określonych w załączniku I do rozporządzenia Parlamentu Europejskiego i Rady (UE) nr 305/2011 z dnia 9 marca 2011 r. ustanawiającego zharmonizowane warunki wprowadzania do obrotu wyrobów budowlanych i uchylającego dyrektywę Rady 89/106/EWG (Dz. Urz. UEL 88 z 04.04.2011, str. 5, z </w:t>
      </w:r>
      <w:proofErr w:type="spellStart"/>
      <w:r w:rsidRPr="003035E9">
        <w:rPr>
          <w:rFonts w:ascii="Arial" w:hAnsi="Arial" w:cs="Arial"/>
        </w:rPr>
        <w:t>późn</w:t>
      </w:r>
      <w:proofErr w:type="spellEnd"/>
      <w:r w:rsidRPr="003035E9">
        <w:rPr>
          <w:rFonts w:ascii="Arial" w:hAnsi="Arial" w:cs="Arial"/>
        </w:rPr>
        <w:t xml:space="preserve">. zm.), dotyczących: nośności i stateczności konstrukcji, bezpieczeństwa pożarowego, higieny, zdrowia i środowiska, bezpieczeństwa użytkowania i dostępności obiektów, ochrony przed hałasem, oszczędności energii i izolacyjności cieplnej, zrównoważonego wykorzystania zasobów naturalnych; </w:t>
      </w:r>
    </w:p>
    <w:p w14:paraId="28D4A84B" w14:textId="77777777" w:rsidR="003035E9" w:rsidRPr="003035E9" w:rsidRDefault="003035E9" w:rsidP="003035E9">
      <w:pPr>
        <w:spacing w:after="0"/>
        <w:jc w:val="both"/>
        <w:rPr>
          <w:rFonts w:ascii="Arial" w:hAnsi="Arial" w:cs="Arial"/>
        </w:rPr>
      </w:pPr>
      <w:r w:rsidRPr="003035E9">
        <w:rPr>
          <w:rFonts w:ascii="Arial" w:hAnsi="Arial" w:cs="Arial"/>
        </w:rPr>
        <w:t xml:space="preserve">2) warunki użytkowe zgodne z przeznaczeniem obiektu, w szczególności w zakresie: zaopatrzenia w wodę i energię elektryczną oraz, odpowiednio do potrzeb, w energię cieplną i paliwa, przy założeniu efektywnego wykorzystania tych czynników, usuwania ścieków, wody opadowej i odpadów; </w:t>
      </w:r>
    </w:p>
    <w:p w14:paraId="014915A6" w14:textId="77777777" w:rsidR="003035E9" w:rsidRPr="003035E9" w:rsidRDefault="003035E9" w:rsidP="003035E9">
      <w:pPr>
        <w:spacing w:after="0"/>
        <w:jc w:val="both"/>
        <w:rPr>
          <w:rFonts w:ascii="Arial" w:hAnsi="Arial" w:cs="Arial"/>
        </w:rPr>
      </w:pPr>
      <w:r w:rsidRPr="003035E9">
        <w:rPr>
          <w:rFonts w:ascii="Arial" w:hAnsi="Arial" w:cs="Arial"/>
        </w:rPr>
        <w:t xml:space="preserve">3) możliwość dostępu do usług telekomunikacyjnych, w szczególności w zakresie szerokopasmowego dostępu do Internetu; </w:t>
      </w:r>
    </w:p>
    <w:p w14:paraId="6BD030F5" w14:textId="77777777" w:rsidR="003035E9" w:rsidRPr="003035E9" w:rsidRDefault="003035E9" w:rsidP="003035E9">
      <w:pPr>
        <w:spacing w:after="0"/>
        <w:jc w:val="both"/>
        <w:rPr>
          <w:rFonts w:ascii="Arial" w:hAnsi="Arial" w:cs="Arial"/>
        </w:rPr>
      </w:pPr>
      <w:r w:rsidRPr="003035E9">
        <w:rPr>
          <w:rFonts w:ascii="Arial" w:hAnsi="Arial" w:cs="Arial"/>
        </w:rPr>
        <w:t xml:space="preserve">4) możliwość utrzymania właściwego stanu technicznego budynku; </w:t>
      </w:r>
    </w:p>
    <w:p w14:paraId="2CF314ED" w14:textId="77777777" w:rsidR="003035E9" w:rsidRPr="003035E9" w:rsidRDefault="003035E9" w:rsidP="003035E9">
      <w:pPr>
        <w:spacing w:after="0"/>
        <w:jc w:val="both"/>
        <w:rPr>
          <w:rFonts w:ascii="Arial" w:hAnsi="Arial" w:cs="Arial"/>
        </w:rPr>
      </w:pPr>
      <w:r w:rsidRPr="003035E9">
        <w:rPr>
          <w:rFonts w:ascii="Arial" w:hAnsi="Arial" w:cs="Arial"/>
        </w:rPr>
        <w:t xml:space="preserve">5) niezbędne warunki do korzystania z obiektów użyteczności publicznej i mieszkaniowego budownictwa wielorodzinnego przez osoby niepełnosprawne, o których mowa w art. 1 Konwencji o prawach osób niepełnosprawnych, sporządzonej w Nowym Jorku dnia 13 grudnia 2006 r. (Dz. U. z 2012 r. poz. 1169, z </w:t>
      </w:r>
      <w:proofErr w:type="spellStart"/>
      <w:r w:rsidRPr="003035E9">
        <w:rPr>
          <w:rFonts w:ascii="Arial" w:hAnsi="Arial" w:cs="Arial"/>
        </w:rPr>
        <w:t>późn</w:t>
      </w:r>
      <w:proofErr w:type="spellEnd"/>
      <w:r w:rsidRPr="003035E9">
        <w:rPr>
          <w:rFonts w:ascii="Arial" w:hAnsi="Arial" w:cs="Arial"/>
        </w:rPr>
        <w:t xml:space="preserve">. zm.), w tym osoby starsze; </w:t>
      </w:r>
    </w:p>
    <w:p w14:paraId="04769919" w14:textId="77777777" w:rsidR="003035E9" w:rsidRPr="003035E9" w:rsidRDefault="003035E9" w:rsidP="003035E9">
      <w:pPr>
        <w:spacing w:after="0"/>
        <w:jc w:val="both"/>
        <w:rPr>
          <w:rFonts w:ascii="Arial" w:hAnsi="Arial" w:cs="Arial"/>
        </w:rPr>
      </w:pPr>
      <w:r w:rsidRPr="003035E9">
        <w:rPr>
          <w:rFonts w:ascii="Arial" w:hAnsi="Arial" w:cs="Arial"/>
        </w:rPr>
        <w:t xml:space="preserve">6) minimalny udział lokali mieszkalnych dostępnych dla osób niepełnosprawnych, o których mowa w art. 1 Konwencji o prawach osób niepełnosprawnych, sporządzonej w Nowym Jorku dnia 13 grudnia 2006 r., w tym osób </w:t>
      </w:r>
    </w:p>
    <w:p w14:paraId="54DC151E" w14:textId="77777777" w:rsidR="003035E9" w:rsidRPr="003035E9" w:rsidRDefault="003035E9" w:rsidP="003035E9">
      <w:pPr>
        <w:spacing w:after="0"/>
        <w:jc w:val="both"/>
        <w:rPr>
          <w:rFonts w:ascii="Arial" w:hAnsi="Arial" w:cs="Arial"/>
        </w:rPr>
      </w:pPr>
      <w:r w:rsidRPr="003035E9">
        <w:rPr>
          <w:rFonts w:ascii="Arial" w:hAnsi="Arial" w:cs="Arial"/>
        </w:rPr>
        <w:t xml:space="preserve">starszych, w ogólnej liczbie lokali mieszkalnych w budynku wielorodzinnym; </w:t>
      </w:r>
    </w:p>
    <w:p w14:paraId="1A231337" w14:textId="77777777" w:rsidR="003035E9" w:rsidRPr="003035E9" w:rsidRDefault="003035E9" w:rsidP="003035E9">
      <w:pPr>
        <w:spacing w:after="0"/>
        <w:jc w:val="both"/>
        <w:rPr>
          <w:rFonts w:ascii="Arial" w:hAnsi="Arial" w:cs="Arial"/>
        </w:rPr>
      </w:pPr>
      <w:r w:rsidRPr="003035E9">
        <w:rPr>
          <w:rFonts w:ascii="Arial" w:hAnsi="Arial" w:cs="Arial"/>
        </w:rPr>
        <w:t xml:space="preserve">7) warunki bezpieczeństwa i higieny pracy; </w:t>
      </w:r>
    </w:p>
    <w:p w14:paraId="4EA4ED5C" w14:textId="77777777" w:rsidR="003035E9" w:rsidRPr="003035E9" w:rsidRDefault="003035E9" w:rsidP="003035E9">
      <w:pPr>
        <w:spacing w:after="0"/>
        <w:jc w:val="both"/>
        <w:rPr>
          <w:rFonts w:ascii="Arial" w:hAnsi="Arial" w:cs="Arial"/>
        </w:rPr>
      </w:pPr>
      <w:r w:rsidRPr="003035E9">
        <w:rPr>
          <w:rFonts w:ascii="Arial" w:hAnsi="Arial" w:cs="Arial"/>
        </w:rPr>
        <w:t xml:space="preserve">8) ochronę obiektów wpisanych do rejestru zabytków oraz obiektów objętych ochroną konserwatorską;  </w:t>
      </w:r>
    </w:p>
    <w:p w14:paraId="2832CE18" w14:textId="77777777" w:rsidR="003035E9" w:rsidRPr="003035E9" w:rsidRDefault="003035E9" w:rsidP="003035E9">
      <w:pPr>
        <w:spacing w:after="0"/>
        <w:jc w:val="both"/>
        <w:rPr>
          <w:rFonts w:ascii="Arial" w:hAnsi="Arial" w:cs="Arial"/>
        </w:rPr>
      </w:pPr>
      <w:r w:rsidRPr="003035E9">
        <w:rPr>
          <w:rFonts w:ascii="Arial" w:hAnsi="Arial" w:cs="Arial"/>
        </w:rPr>
        <w:t xml:space="preserve">9) odpowiednie usytuowanie na działce budowlanej; </w:t>
      </w:r>
    </w:p>
    <w:p w14:paraId="4019493C" w14:textId="77777777" w:rsidR="003035E9" w:rsidRPr="003035E9" w:rsidRDefault="003035E9" w:rsidP="003035E9">
      <w:pPr>
        <w:spacing w:after="0"/>
        <w:jc w:val="both"/>
        <w:rPr>
          <w:rFonts w:ascii="Arial" w:hAnsi="Arial" w:cs="Arial"/>
        </w:rPr>
      </w:pPr>
      <w:r w:rsidRPr="003035E9">
        <w:rPr>
          <w:rFonts w:ascii="Arial" w:hAnsi="Arial" w:cs="Arial"/>
        </w:rPr>
        <w:t xml:space="preserve">10) poszanowanie występujących w obszarze oddziaływania obiektu, uzasadnionych interesów osób trzecich, w tym zapewnienie dostępu do drogi publicznej; </w:t>
      </w:r>
    </w:p>
    <w:p w14:paraId="251B4676" w14:textId="77777777" w:rsidR="003035E9" w:rsidRPr="003035E9" w:rsidRDefault="003035E9" w:rsidP="003035E9">
      <w:pPr>
        <w:spacing w:after="0"/>
        <w:jc w:val="both"/>
        <w:rPr>
          <w:rFonts w:ascii="Arial" w:hAnsi="Arial" w:cs="Arial"/>
        </w:rPr>
      </w:pPr>
      <w:r w:rsidRPr="003035E9">
        <w:rPr>
          <w:rFonts w:ascii="Arial" w:hAnsi="Arial" w:cs="Arial"/>
        </w:rPr>
        <w:t xml:space="preserve">11) warunki bezpieczeństwa i ochrony zdrowia osób przebywających na terenie budowy. </w:t>
      </w:r>
    </w:p>
    <w:p w14:paraId="226AD12B" w14:textId="77777777" w:rsidR="003035E9" w:rsidRPr="003035E9" w:rsidRDefault="003035E9" w:rsidP="003035E9">
      <w:pPr>
        <w:spacing w:after="0"/>
        <w:jc w:val="both"/>
        <w:rPr>
          <w:rFonts w:ascii="Arial" w:hAnsi="Arial" w:cs="Arial"/>
        </w:rPr>
      </w:pPr>
      <w:r w:rsidRPr="003035E9">
        <w:rPr>
          <w:rFonts w:ascii="Arial" w:hAnsi="Arial" w:cs="Arial"/>
        </w:rPr>
        <w:t xml:space="preserve">Rozwój technologii, ułatwienie procesu inwestycyjnego, wyeliminowanie wątpliwości interpretacyjnych i uproszczenie przepisów Zmiany w projekcie rozporządzenia obejmują m. in: </w:t>
      </w:r>
    </w:p>
    <w:p w14:paraId="76E73037" w14:textId="77777777" w:rsidR="003035E9" w:rsidRPr="003035E9" w:rsidRDefault="003035E9" w:rsidP="003035E9">
      <w:pPr>
        <w:spacing w:after="0"/>
        <w:jc w:val="both"/>
        <w:rPr>
          <w:rFonts w:ascii="Arial" w:hAnsi="Arial" w:cs="Arial"/>
        </w:rPr>
      </w:pPr>
      <w:r w:rsidRPr="003035E9">
        <w:rPr>
          <w:rFonts w:ascii="Arial" w:hAnsi="Arial" w:cs="Arial"/>
        </w:rPr>
        <w:t xml:space="preserve">1) przyjęcie rozwiązań, które będą odpowiadały aktualnym technologiom występującym w budownictwie m. in: </w:t>
      </w:r>
    </w:p>
    <w:p w14:paraId="1E31A6C4" w14:textId="77777777" w:rsidR="003035E9" w:rsidRPr="003035E9" w:rsidRDefault="003035E9" w:rsidP="003035E9">
      <w:pPr>
        <w:spacing w:after="0"/>
        <w:jc w:val="both"/>
        <w:rPr>
          <w:rFonts w:ascii="Arial" w:hAnsi="Arial" w:cs="Arial"/>
        </w:rPr>
      </w:pPr>
      <w:r w:rsidRPr="003035E9">
        <w:rPr>
          <w:rFonts w:ascii="Arial" w:hAnsi="Arial" w:cs="Arial"/>
        </w:rPr>
        <w:t xml:space="preserve">a) aktualizację przepisów, m.in. dotyczących niektórych instalacji, które były nieaktualne i przestarzałe, aby odpowiadały obecnie stosowanym technologiom, </w:t>
      </w:r>
    </w:p>
    <w:p w14:paraId="71D77F8C" w14:textId="77777777" w:rsidR="003035E9" w:rsidRPr="003035E9" w:rsidRDefault="003035E9" w:rsidP="003035E9">
      <w:pPr>
        <w:spacing w:after="0"/>
        <w:jc w:val="both"/>
        <w:rPr>
          <w:rFonts w:ascii="Arial" w:hAnsi="Arial" w:cs="Arial"/>
        </w:rPr>
      </w:pPr>
      <w:r w:rsidRPr="003035E9">
        <w:rPr>
          <w:rFonts w:ascii="Arial" w:hAnsi="Arial" w:cs="Arial"/>
        </w:rPr>
        <w:t xml:space="preserve">b) zapewnienie instalacji punktów ładowania oraz niezbędne okablowanie wraz z infrastrukturą kanałową na stanowiskach postojowych dla samochodów oraz miejscach dla rowerów, zgodnie z art. 12a ustawy z dnia 11 stycznia 2018 r. o </w:t>
      </w:r>
      <w:proofErr w:type="spellStart"/>
      <w:r w:rsidRPr="003035E9">
        <w:rPr>
          <w:rFonts w:ascii="Arial" w:hAnsi="Arial" w:cs="Arial"/>
        </w:rPr>
        <w:t>elektromobilności</w:t>
      </w:r>
      <w:proofErr w:type="spellEnd"/>
      <w:r w:rsidRPr="003035E9">
        <w:rPr>
          <w:rFonts w:ascii="Arial" w:hAnsi="Arial" w:cs="Arial"/>
        </w:rPr>
        <w:t xml:space="preserve"> i paliwach alternatywnych (Dz. U. z 2024 r. poz. 1289, z </w:t>
      </w:r>
      <w:proofErr w:type="spellStart"/>
      <w:r w:rsidRPr="003035E9">
        <w:rPr>
          <w:rFonts w:ascii="Arial" w:hAnsi="Arial" w:cs="Arial"/>
        </w:rPr>
        <w:t>późn</w:t>
      </w:r>
      <w:proofErr w:type="spellEnd"/>
      <w:r w:rsidRPr="003035E9">
        <w:rPr>
          <w:rFonts w:ascii="Arial" w:hAnsi="Arial" w:cs="Arial"/>
        </w:rPr>
        <w:t xml:space="preserve">. zm.), </w:t>
      </w:r>
    </w:p>
    <w:p w14:paraId="73450F99" w14:textId="77777777" w:rsidR="003035E9" w:rsidRPr="003035E9" w:rsidRDefault="003035E9" w:rsidP="003035E9">
      <w:pPr>
        <w:spacing w:after="0"/>
        <w:jc w:val="both"/>
        <w:rPr>
          <w:rFonts w:ascii="Arial" w:hAnsi="Arial" w:cs="Arial"/>
        </w:rPr>
      </w:pPr>
      <w:r w:rsidRPr="003035E9">
        <w:rPr>
          <w:rFonts w:ascii="Arial" w:hAnsi="Arial" w:cs="Arial"/>
        </w:rPr>
        <w:t xml:space="preserve">c) zapewnienie możliwości przyłączenia uzbrojenia działki lub bezpośrednio budynku do publicznej światłowodowej sieci telekomunikacyjnej dla działki budowlanej przewidzianej pod zabudowę budynkiem  zamieszkania zbiorowego, użyteczności publicznej lub mieszkalnym wielorodzinnym, </w:t>
      </w:r>
    </w:p>
    <w:p w14:paraId="3B745698" w14:textId="77777777" w:rsidR="003035E9" w:rsidRPr="003035E9" w:rsidRDefault="003035E9" w:rsidP="003035E9">
      <w:pPr>
        <w:spacing w:after="0"/>
        <w:jc w:val="both"/>
        <w:rPr>
          <w:rFonts w:ascii="Arial" w:hAnsi="Arial" w:cs="Arial"/>
        </w:rPr>
      </w:pPr>
      <w:r w:rsidRPr="003035E9">
        <w:rPr>
          <w:rFonts w:ascii="Arial" w:hAnsi="Arial" w:cs="Arial"/>
        </w:rPr>
        <w:lastRenderedPageBreak/>
        <w:t xml:space="preserve">d) zmiany w zakresie warunków minimalnych dotyczących charakterystyki energetycznej nowych i przebudowywanych budynków, </w:t>
      </w:r>
    </w:p>
    <w:p w14:paraId="792AE25A" w14:textId="77777777" w:rsidR="003035E9" w:rsidRPr="003035E9" w:rsidRDefault="003035E9" w:rsidP="003035E9">
      <w:pPr>
        <w:spacing w:after="0"/>
        <w:jc w:val="both"/>
        <w:rPr>
          <w:rFonts w:ascii="Arial" w:hAnsi="Arial" w:cs="Arial"/>
        </w:rPr>
      </w:pPr>
      <w:r w:rsidRPr="003035E9">
        <w:rPr>
          <w:rFonts w:ascii="Arial" w:hAnsi="Arial" w:cs="Arial"/>
        </w:rPr>
        <w:t xml:space="preserve">e) dodanie rozdziału dotyczącego warunków instalowania urządzeń fotowoltaicznych, </w:t>
      </w:r>
    </w:p>
    <w:p w14:paraId="7D3A8E6D" w14:textId="77777777" w:rsidR="003035E9" w:rsidRPr="003035E9" w:rsidRDefault="003035E9" w:rsidP="003035E9">
      <w:pPr>
        <w:spacing w:after="0"/>
        <w:jc w:val="both"/>
        <w:rPr>
          <w:rFonts w:ascii="Arial" w:hAnsi="Arial" w:cs="Arial"/>
        </w:rPr>
      </w:pPr>
      <w:r w:rsidRPr="003035E9">
        <w:rPr>
          <w:rFonts w:ascii="Arial" w:hAnsi="Arial" w:cs="Arial"/>
        </w:rPr>
        <w:t xml:space="preserve">f) dodanie rozdziału dotyczącego warunków instalowania magazynów energii, </w:t>
      </w:r>
    </w:p>
    <w:p w14:paraId="4A76F5FD" w14:textId="77777777" w:rsidR="003035E9" w:rsidRPr="003035E9" w:rsidRDefault="003035E9" w:rsidP="003035E9">
      <w:pPr>
        <w:spacing w:after="0"/>
        <w:jc w:val="both"/>
        <w:rPr>
          <w:rFonts w:ascii="Arial" w:hAnsi="Arial" w:cs="Arial"/>
        </w:rPr>
      </w:pPr>
      <w:r w:rsidRPr="003035E9">
        <w:rPr>
          <w:rFonts w:ascii="Arial" w:hAnsi="Arial" w:cs="Arial"/>
        </w:rPr>
        <w:t xml:space="preserve">g) dodanie rozdziału dotyczącego wykorzystania energii słonecznej.  </w:t>
      </w:r>
    </w:p>
    <w:p w14:paraId="50C7D7A1" w14:textId="77777777" w:rsidR="003035E9" w:rsidRPr="003035E9" w:rsidRDefault="003035E9" w:rsidP="003035E9">
      <w:pPr>
        <w:spacing w:after="0"/>
        <w:jc w:val="both"/>
        <w:rPr>
          <w:rFonts w:ascii="Arial" w:hAnsi="Arial" w:cs="Arial"/>
        </w:rPr>
      </w:pPr>
      <w:r w:rsidRPr="003035E9">
        <w:rPr>
          <w:rFonts w:ascii="Arial" w:hAnsi="Arial" w:cs="Arial"/>
        </w:rPr>
        <w:t xml:space="preserve">2) przyspieszenie i ułatwienie procesu realizacji inwestycji: </w:t>
      </w:r>
    </w:p>
    <w:p w14:paraId="1DA82AD6" w14:textId="77777777" w:rsidR="003035E9" w:rsidRPr="003035E9" w:rsidRDefault="003035E9" w:rsidP="003035E9">
      <w:pPr>
        <w:spacing w:after="0"/>
        <w:jc w:val="both"/>
        <w:rPr>
          <w:rFonts w:ascii="Arial" w:hAnsi="Arial" w:cs="Arial"/>
        </w:rPr>
      </w:pPr>
      <w:r w:rsidRPr="003035E9">
        <w:rPr>
          <w:rFonts w:ascii="Arial" w:hAnsi="Arial" w:cs="Arial"/>
        </w:rPr>
        <w:t xml:space="preserve">a) do projektu rozporządzenia nie wprowadzono przepisów zawartych w dotychczasowym rozporządzeniu zawierających dopuszczenie, dla wymienionych przypadków, spełnienia wymagań rozporządzenia w inny sposób, po uzyskaniu zgody wskazanego podmiotu lub stosownie do wskazań ekspertyzy, określonej w przepisie, uzgodnionej ze wskazanymi podmiotami.: m. in. przepisów dotyczących budynków zabytkowych, </w:t>
      </w:r>
    </w:p>
    <w:p w14:paraId="57800412" w14:textId="77777777" w:rsidR="003035E9" w:rsidRPr="003035E9" w:rsidRDefault="003035E9" w:rsidP="003035E9">
      <w:pPr>
        <w:spacing w:after="0"/>
        <w:jc w:val="both"/>
        <w:rPr>
          <w:rFonts w:ascii="Arial" w:hAnsi="Arial" w:cs="Arial"/>
        </w:rPr>
      </w:pPr>
      <w:r w:rsidRPr="003035E9">
        <w:rPr>
          <w:rFonts w:ascii="Arial" w:hAnsi="Arial" w:cs="Arial"/>
        </w:rPr>
        <w:t xml:space="preserve">b) zmiana przepisów będących problematyczne przy projektowaniu, np. dotyczących nasłonecznienia i przesłaniania, a także innych przepisów, które były różnie interpretowane przez projektantów i organy administracji architektoniczno-budowlanej, </w:t>
      </w:r>
    </w:p>
    <w:p w14:paraId="65290672" w14:textId="77777777" w:rsidR="003035E9" w:rsidRPr="003035E9" w:rsidRDefault="003035E9" w:rsidP="003035E9">
      <w:pPr>
        <w:spacing w:after="0"/>
        <w:jc w:val="both"/>
        <w:rPr>
          <w:rFonts w:ascii="Arial" w:hAnsi="Arial" w:cs="Arial"/>
        </w:rPr>
      </w:pPr>
      <w:r w:rsidRPr="003035E9">
        <w:rPr>
          <w:rFonts w:ascii="Arial" w:hAnsi="Arial" w:cs="Arial"/>
        </w:rPr>
        <w:t xml:space="preserve">3) ulepszenie i uproszczenie przepisów, aby były przejrzyste i zrozumiałe dla odbiorcy oraz doprecyzowanie przepisów, które aktualnie budzą wątpliwości interpretacyjne, </w:t>
      </w:r>
    </w:p>
    <w:p w14:paraId="71E9306F" w14:textId="77777777" w:rsidR="003035E9" w:rsidRPr="003035E9" w:rsidRDefault="003035E9" w:rsidP="003035E9">
      <w:pPr>
        <w:spacing w:after="0"/>
        <w:jc w:val="both"/>
        <w:rPr>
          <w:rFonts w:ascii="Arial" w:hAnsi="Arial" w:cs="Arial"/>
        </w:rPr>
      </w:pPr>
      <w:r w:rsidRPr="003035E9">
        <w:rPr>
          <w:rFonts w:ascii="Arial" w:hAnsi="Arial" w:cs="Arial"/>
        </w:rPr>
        <w:t xml:space="preserve">a) ujednolicenie i uproszczenie tekstu poprzez zmianę słownictwa i redakcji przepisów, </w:t>
      </w:r>
    </w:p>
    <w:p w14:paraId="19F3F72E" w14:textId="77777777" w:rsidR="003035E9" w:rsidRPr="003035E9" w:rsidRDefault="003035E9" w:rsidP="003035E9">
      <w:pPr>
        <w:spacing w:after="0"/>
        <w:jc w:val="both"/>
        <w:rPr>
          <w:rFonts w:ascii="Arial" w:hAnsi="Arial" w:cs="Arial"/>
        </w:rPr>
      </w:pPr>
      <w:r w:rsidRPr="003035E9">
        <w:rPr>
          <w:rFonts w:ascii="Arial" w:hAnsi="Arial" w:cs="Arial"/>
        </w:rPr>
        <w:t xml:space="preserve">b) dodanie załączników zawierających rysunki,  </w:t>
      </w:r>
    </w:p>
    <w:p w14:paraId="3F5E6612" w14:textId="77777777" w:rsidR="003035E9" w:rsidRPr="003035E9" w:rsidRDefault="003035E9" w:rsidP="003035E9">
      <w:pPr>
        <w:spacing w:after="0"/>
        <w:jc w:val="both"/>
        <w:rPr>
          <w:rFonts w:ascii="Arial" w:hAnsi="Arial" w:cs="Arial"/>
        </w:rPr>
      </w:pPr>
      <w:r w:rsidRPr="003035E9">
        <w:rPr>
          <w:rFonts w:ascii="Arial" w:hAnsi="Arial" w:cs="Arial"/>
        </w:rPr>
        <w:t xml:space="preserve">c) przeniesienie części definicji do ustawy z dnia 7 lipca 1994 r. Prawo budowlane,  </w:t>
      </w:r>
    </w:p>
    <w:p w14:paraId="237E8985" w14:textId="77777777" w:rsidR="003035E9" w:rsidRPr="003035E9" w:rsidRDefault="003035E9" w:rsidP="003035E9">
      <w:pPr>
        <w:spacing w:after="0"/>
        <w:jc w:val="both"/>
        <w:rPr>
          <w:rFonts w:ascii="Arial" w:hAnsi="Arial" w:cs="Arial"/>
        </w:rPr>
      </w:pPr>
      <w:r w:rsidRPr="003035E9">
        <w:rPr>
          <w:rFonts w:ascii="Arial" w:hAnsi="Arial" w:cs="Arial"/>
        </w:rPr>
        <w:t xml:space="preserve">d) doprecyzowanie zakresu stosowania przepisów rozporządzenia przy przebudowie, nadbudowie i zmianie sposobu użytkowania budynku,  </w:t>
      </w:r>
    </w:p>
    <w:p w14:paraId="486E8A02" w14:textId="77777777" w:rsidR="003035E9" w:rsidRPr="003035E9" w:rsidRDefault="003035E9" w:rsidP="003035E9">
      <w:pPr>
        <w:spacing w:after="0"/>
        <w:jc w:val="both"/>
        <w:rPr>
          <w:rFonts w:ascii="Arial" w:hAnsi="Arial" w:cs="Arial"/>
        </w:rPr>
      </w:pPr>
      <w:r w:rsidRPr="003035E9">
        <w:rPr>
          <w:rFonts w:ascii="Arial" w:hAnsi="Arial" w:cs="Arial"/>
        </w:rPr>
        <w:t xml:space="preserve">e) doprecyzowanie definicji kondygnacji podziemnej,  </w:t>
      </w:r>
    </w:p>
    <w:p w14:paraId="53B14EA2" w14:textId="77777777" w:rsidR="003035E9" w:rsidRPr="003035E9" w:rsidRDefault="003035E9" w:rsidP="003035E9">
      <w:pPr>
        <w:spacing w:after="0"/>
        <w:jc w:val="both"/>
        <w:rPr>
          <w:rFonts w:ascii="Arial" w:hAnsi="Arial" w:cs="Arial"/>
        </w:rPr>
      </w:pPr>
      <w:r w:rsidRPr="003035E9">
        <w:rPr>
          <w:rFonts w:ascii="Arial" w:hAnsi="Arial" w:cs="Arial"/>
        </w:rPr>
        <w:t xml:space="preserve">f) dodanie definicji elementu doświetlającego, </w:t>
      </w:r>
    </w:p>
    <w:p w14:paraId="542289DF" w14:textId="77777777" w:rsidR="003035E9" w:rsidRPr="003035E9" w:rsidRDefault="003035E9" w:rsidP="003035E9">
      <w:pPr>
        <w:spacing w:after="0"/>
        <w:jc w:val="both"/>
        <w:rPr>
          <w:rFonts w:ascii="Arial" w:hAnsi="Arial" w:cs="Arial"/>
        </w:rPr>
      </w:pPr>
      <w:r w:rsidRPr="003035E9">
        <w:rPr>
          <w:rFonts w:ascii="Arial" w:hAnsi="Arial" w:cs="Arial"/>
        </w:rPr>
        <w:t xml:space="preserve">g) zmiana przepisów dotyczących szerokości dojścia i dojazdu do działki budowlanej oraz do budynków,  </w:t>
      </w:r>
    </w:p>
    <w:p w14:paraId="4C1014DD" w14:textId="77777777" w:rsidR="003035E9" w:rsidRPr="003035E9" w:rsidRDefault="003035E9" w:rsidP="003035E9">
      <w:pPr>
        <w:spacing w:after="0"/>
        <w:jc w:val="both"/>
        <w:rPr>
          <w:rFonts w:ascii="Arial" w:hAnsi="Arial" w:cs="Arial"/>
        </w:rPr>
      </w:pPr>
      <w:r w:rsidRPr="003035E9">
        <w:rPr>
          <w:rFonts w:ascii="Arial" w:hAnsi="Arial" w:cs="Arial"/>
        </w:rPr>
        <w:t xml:space="preserve">h) zmiana przepisów dotyczących usytuowania stanowisk postojowych dla samochodów i ich zgrupowania,  </w:t>
      </w:r>
    </w:p>
    <w:p w14:paraId="1FFD4EDC" w14:textId="77777777" w:rsidR="003035E9" w:rsidRPr="003035E9" w:rsidRDefault="003035E9" w:rsidP="003035E9">
      <w:pPr>
        <w:spacing w:after="0"/>
        <w:jc w:val="both"/>
        <w:rPr>
          <w:rFonts w:ascii="Arial" w:hAnsi="Arial" w:cs="Arial"/>
        </w:rPr>
      </w:pPr>
      <w:r w:rsidRPr="003035E9">
        <w:rPr>
          <w:rFonts w:ascii="Arial" w:hAnsi="Arial" w:cs="Arial"/>
        </w:rPr>
        <w:t xml:space="preserve">i) zmiana przepisów dotyczących sytuowania zbiorników na nieczystości, </w:t>
      </w:r>
    </w:p>
    <w:p w14:paraId="53C708F7" w14:textId="77777777" w:rsidR="003035E9" w:rsidRPr="003035E9" w:rsidRDefault="003035E9" w:rsidP="003035E9">
      <w:pPr>
        <w:spacing w:after="0"/>
        <w:jc w:val="both"/>
        <w:rPr>
          <w:rFonts w:ascii="Arial" w:hAnsi="Arial" w:cs="Arial"/>
        </w:rPr>
      </w:pPr>
      <w:r w:rsidRPr="003035E9">
        <w:rPr>
          <w:rFonts w:ascii="Arial" w:hAnsi="Arial" w:cs="Arial"/>
        </w:rPr>
        <w:t xml:space="preserve">j) doprecyzowanie przepisów dotyczących placów zabaw dla dzieci, </w:t>
      </w:r>
    </w:p>
    <w:p w14:paraId="15AFCAAB" w14:textId="77777777" w:rsidR="003035E9" w:rsidRPr="003035E9" w:rsidRDefault="003035E9" w:rsidP="003035E9">
      <w:pPr>
        <w:spacing w:after="0"/>
        <w:jc w:val="both"/>
        <w:rPr>
          <w:rFonts w:ascii="Arial" w:hAnsi="Arial" w:cs="Arial"/>
        </w:rPr>
      </w:pPr>
      <w:r w:rsidRPr="003035E9">
        <w:rPr>
          <w:rFonts w:ascii="Arial" w:hAnsi="Arial" w:cs="Arial"/>
        </w:rPr>
        <w:t xml:space="preserve">k) zmiana przepisów dotyczących nasłonecznienie poprzez ich złagodzenie i doprecyzowanie, </w:t>
      </w:r>
    </w:p>
    <w:p w14:paraId="13FEBAEB" w14:textId="77777777" w:rsidR="003035E9" w:rsidRPr="003035E9" w:rsidRDefault="003035E9" w:rsidP="003035E9">
      <w:pPr>
        <w:spacing w:after="0"/>
        <w:jc w:val="both"/>
        <w:rPr>
          <w:rFonts w:ascii="Arial" w:hAnsi="Arial" w:cs="Arial"/>
        </w:rPr>
      </w:pPr>
      <w:r w:rsidRPr="003035E9">
        <w:rPr>
          <w:rFonts w:ascii="Arial" w:hAnsi="Arial" w:cs="Arial"/>
        </w:rPr>
        <w:t xml:space="preserve">l) uproszczenie i zmiana przepisów w zakresie akustyki budynków,  </w:t>
      </w:r>
    </w:p>
    <w:p w14:paraId="2E559713" w14:textId="77777777" w:rsidR="003035E9" w:rsidRPr="003035E9" w:rsidRDefault="003035E9" w:rsidP="003035E9">
      <w:pPr>
        <w:spacing w:after="0"/>
        <w:jc w:val="both"/>
        <w:rPr>
          <w:rFonts w:ascii="Arial" w:hAnsi="Arial" w:cs="Arial"/>
        </w:rPr>
      </w:pPr>
      <w:r w:rsidRPr="003035E9">
        <w:rPr>
          <w:rFonts w:ascii="Arial" w:hAnsi="Arial" w:cs="Arial"/>
        </w:rPr>
        <w:t xml:space="preserve">m) zawarcie przepisów dotyczących warunków technicznych użytkowania budynków mieszkalnych,  </w:t>
      </w:r>
    </w:p>
    <w:p w14:paraId="2491753E" w14:textId="77777777" w:rsidR="003035E9" w:rsidRPr="003035E9" w:rsidRDefault="003035E9" w:rsidP="003035E9">
      <w:pPr>
        <w:spacing w:after="0"/>
        <w:jc w:val="both"/>
        <w:rPr>
          <w:rFonts w:ascii="Arial" w:hAnsi="Arial" w:cs="Arial"/>
        </w:rPr>
      </w:pPr>
      <w:r w:rsidRPr="003035E9">
        <w:rPr>
          <w:rFonts w:ascii="Arial" w:hAnsi="Arial" w:cs="Arial"/>
        </w:rPr>
        <w:t xml:space="preserve">n) zmiany w zakresie dostępności oraz bezpieczeństwa pożarowego (opisane poniżej).  </w:t>
      </w:r>
    </w:p>
    <w:p w14:paraId="7B4B8DFB" w14:textId="77777777" w:rsidR="003035E9" w:rsidRPr="003035E9" w:rsidRDefault="003035E9" w:rsidP="003035E9">
      <w:pPr>
        <w:spacing w:after="0"/>
        <w:jc w:val="both"/>
        <w:rPr>
          <w:rFonts w:ascii="Arial" w:hAnsi="Arial" w:cs="Arial"/>
        </w:rPr>
      </w:pPr>
      <w:r w:rsidRPr="003035E9">
        <w:rPr>
          <w:rFonts w:ascii="Arial" w:hAnsi="Arial" w:cs="Arial"/>
        </w:rPr>
        <w:t xml:space="preserve">Dostępność dla osób ze szczególnymi potrzebami </w:t>
      </w:r>
    </w:p>
    <w:p w14:paraId="1C92DACF" w14:textId="77777777" w:rsidR="003035E9" w:rsidRPr="003035E9" w:rsidRDefault="003035E9" w:rsidP="003035E9">
      <w:pPr>
        <w:spacing w:after="0"/>
        <w:jc w:val="both"/>
        <w:rPr>
          <w:rFonts w:ascii="Arial" w:hAnsi="Arial" w:cs="Arial"/>
        </w:rPr>
      </w:pPr>
      <w:r w:rsidRPr="003035E9">
        <w:rPr>
          <w:rFonts w:ascii="Arial" w:hAnsi="Arial" w:cs="Arial"/>
        </w:rPr>
        <w:t xml:space="preserve">W zakresie dostępności dla osób ze szczególnymi potrzebami projekt rozporządzenia przewiduje regulacje dotyczące m.in.: </w:t>
      </w:r>
    </w:p>
    <w:p w14:paraId="48E0FE28" w14:textId="77777777" w:rsidR="003035E9" w:rsidRPr="003035E9" w:rsidRDefault="003035E9" w:rsidP="003035E9">
      <w:pPr>
        <w:spacing w:after="0"/>
        <w:jc w:val="both"/>
        <w:rPr>
          <w:rFonts w:ascii="Arial" w:hAnsi="Arial" w:cs="Arial"/>
        </w:rPr>
      </w:pPr>
      <w:r w:rsidRPr="003035E9">
        <w:rPr>
          <w:rFonts w:ascii="Arial" w:hAnsi="Arial" w:cs="Arial"/>
        </w:rPr>
        <w:t xml:space="preserve">1) doprowadzenia dojścia o odpowiedniej nawierzchni i wymiarach do wejścia do budynku mieszkalnego wielorodzinnego, zamieszkania zbiorowego i budynku użyteczności publicznej, </w:t>
      </w:r>
    </w:p>
    <w:p w14:paraId="7A831EE4" w14:textId="77777777" w:rsidR="003035E9" w:rsidRPr="003035E9" w:rsidRDefault="003035E9" w:rsidP="003035E9">
      <w:pPr>
        <w:spacing w:after="0"/>
        <w:jc w:val="both"/>
        <w:rPr>
          <w:rFonts w:ascii="Arial" w:hAnsi="Arial" w:cs="Arial"/>
        </w:rPr>
      </w:pPr>
      <w:r w:rsidRPr="003035E9">
        <w:rPr>
          <w:rFonts w:ascii="Arial" w:hAnsi="Arial" w:cs="Arial"/>
        </w:rPr>
        <w:t xml:space="preserve">2) zapewnienia swobodnego dostępu do chodnika ze stanowiska postojowego użytkowanego przez osoby niepełnosprawne, </w:t>
      </w:r>
    </w:p>
    <w:p w14:paraId="13451348" w14:textId="77777777" w:rsidR="003035E9" w:rsidRPr="003035E9" w:rsidRDefault="003035E9" w:rsidP="003035E9">
      <w:pPr>
        <w:spacing w:after="0"/>
        <w:jc w:val="both"/>
        <w:rPr>
          <w:rFonts w:ascii="Arial" w:hAnsi="Arial" w:cs="Arial"/>
        </w:rPr>
      </w:pPr>
      <w:r w:rsidRPr="003035E9">
        <w:rPr>
          <w:rFonts w:ascii="Arial" w:hAnsi="Arial" w:cs="Arial"/>
        </w:rPr>
        <w:t xml:space="preserve">3) projektowania furtek nieutrudniających ruchu osobom niepełnosprawnym, </w:t>
      </w:r>
    </w:p>
    <w:p w14:paraId="5C016DC6" w14:textId="77777777" w:rsidR="003035E9" w:rsidRPr="003035E9" w:rsidRDefault="003035E9" w:rsidP="003035E9">
      <w:pPr>
        <w:spacing w:after="0"/>
        <w:jc w:val="both"/>
        <w:rPr>
          <w:rFonts w:ascii="Arial" w:hAnsi="Arial" w:cs="Arial"/>
        </w:rPr>
      </w:pPr>
      <w:r w:rsidRPr="003035E9">
        <w:rPr>
          <w:rFonts w:ascii="Arial" w:hAnsi="Arial" w:cs="Arial"/>
        </w:rPr>
        <w:t xml:space="preserve">4) wprowadzenia obowiązku wyposażenia w dostępny dźwig osobowy lub osobowo-towarowy budynków: </w:t>
      </w:r>
    </w:p>
    <w:p w14:paraId="3DDD1CBF" w14:textId="77777777" w:rsidR="003035E9" w:rsidRPr="003035E9" w:rsidRDefault="003035E9" w:rsidP="003035E9">
      <w:pPr>
        <w:spacing w:after="0"/>
        <w:jc w:val="both"/>
        <w:rPr>
          <w:rFonts w:ascii="Arial" w:hAnsi="Arial" w:cs="Arial"/>
        </w:rPr>
      </w:pPr>
      <w:r w:rsidRPr="003035E9">
        <w:rPr>
          <w:rFonts w:ascii="Arial" w:hAnsi="Arial" w:cs="Arial"/>
        </w:rPr>
        <w:t xml:space="preserve">a) użyteczności publicznej mających dwie i więcej kondygnacji, </w:t>
      </w:r>
    </w:p>
    <w:p w14:paraId="66A4A0BA" w14:textId="77777777" w:rsidR="003035E9" w:rsidRPr="003035E9" w:rsidRDefault="003035E9" w:rsidP="003035E9">
      <w:pPr>
        <w:spacing w:after="0"/>
        <w:jc w:val="both"/>
        <w:rPr>
          <w:rFonts w:ascii="Arial" w:hAnsi="Arial" w:cs="Arial"/>
        </w:rPr>
      </w:pPr>
      <w:r w:rsidRPr="003035E9">
        <w:rPr>
          <w:rFonts w:ascii="Arial" w:hAnsi="Arial" w:cs="Arial"/>
        </w:rPr>
        <w:t xml:space="preserve">b) zamieszkania zbiorowego (z wyłączeniem budynków zamieszkania zbiorowego na terenach zamkniętych) mających dwie i więcej kondygnacji, </w:t>
      </w:r>
    </w:p>
    <w:p w14:paraId="54B6FB80" w14:textId="77777777" w:rsidR="003035E9" w:rsidRPr="003035E9" w:rsidRDefault="003035E9" w:rsidP="003035E9">
      <w:pPr>
        <w:spacing w:after="0"/>
        <w:jc w:val="both"/>
        <w:rPr>
          <w:rFonts w:ascii="Arial" w:hAnsi="Arial" w:cs="Arial"/>
        </w:rPr>
      </w:pPr>
      <w:r w:rsidRPr="003035E9">
        <w:rPr>
          <w:rFonts w:ascii="Arial" w:hAnsi="Arial" w:cs="Arial"/>
        </w:rPr>
        <w:t xml:space="preserve">c) mieszkalnych wielorodzinnych, mających trzy lub więcej kondygnacji, </w:t>
      </w:r>
    </w:p>
    <w:p w14:paraId="0ADB47FA" w14:textId="77777777" w:rsidR="003035E9" w:rsidRPr="003035E9" w:rsidRDefault="003035E9" w:rsidP="003035E9">
      <w:pPr>
        <w:spacing w:after="0"/>
        <w:jc w:val="both"/>
        <w:rPr>
          <w:rFonts w:ascii="Arial" w:hAnsi="Arial" w:cs="Arial"/>
        </w:rPr>
      </w:pPr>
      <w:r w:rsidRPr="003035E9">
        <w:rPr>
          <w:rFonts w:ascii="Arial" w:hAnsi="Arial" w:cs="Arial"/>
        </w:rPr>
        <w:lastRenderedPageBreak/>
        <w:t xml:space="preserve">5) zapewnienia dostępności placów zabaw dla dzieci i ich wyposażenia, </w:t>
      </w:r>
    </w:p>
    <w:p w14:paraId="1964F992" w14:textId="77777777" w:rsidR="003035E9" w:rsidRPr="003035E9" w:rsidRDefault="003035E9" w:rsidP="003035E9">
      <w:pPr>
        <w:spacing w:after="0"/>
        <w:jc w:val="both"/>
        <w:rPr>
          <w:rFonts w:ascii="Arial" w:hAnsi="Arial" w:cs="Arial"/>
        </w:rPr>
      </w:pPr>
      <w:r w:rsidRPr="003035E9">
        <w:rPr>
          <w:rFonts w:ascii="Arial" w:hAnsi="Arial" w:cs="Arial"/>
        </w:rPr>
        <w:t xml:space="preserve">6) zapewnienia przestrzeni manewrowej przed i za wejściem do budynku, o odpowiednich wymiarach, </w:t>
      </w:r>
    </w:p>
    <w:p w14:paraId="51C70EE9" w14:textId="77777777" w:rsidR="003035E9" w:rsidRPr="003035E9" w:rsidRDefault="003035E9" w:rsidP="003035E9">
      <w:pPr>
        <w:spacing w:after="0"/>
        <w:jc w:val="both"/>
        <w:rPr>
          <w:rFonts w:ascii="Arial" w:hAnsi="Arial" w:cs="Arial"/>
        </w:rPr>
      </w:pPr>
      <w:r w:rsidRPr="003035E9">
        <w:rPr>
          <w:rFonts w:ascii="Arial" w:hAnsi="Arial" w:cs="Arial"/>
        </w:rPr>
        <w:t xml:space="preserve">7) zapewnienia dostępu na wszystkie kondygnacje (z wyjątkiem kondygnacji, na której znajdują się wyłącznie pomieszczenia techniczne) poprzez wykonanie pochylni lub wyposażenie budynku w trwale zainstalowane urządzenie podnoszące - w budynku mieszkalnym wielorodzinnym niewyposażanym w dźwig osobowy lub osobowo-towarowy, </w:t>
      </w:r>
    </w:p>
    <w:p w14:paraId="5C93D550" w14:textId="77777777" w:rsidR="003035E9" w:rsidRPr="003035E9" w:rsidRDefault="003035E9" w:rsidP="003035E9">
      <w:pPr>
        <w:spacing w:after="0"/>
        <w:jc w:val="both"/>
        <w:rPr>
          <w:rFonts w:ascii="Arial" w:hAnsi="Arial" w:cs="Arial"/>
        </w:rPr>
      </w:pPr>
      <w:r w:rsidRPr="003035E9">
        <w:rPr>
          <w:rFonts w:ascii="Arial" w:hAnsi="Arial" w:cs="Arial"/>
        </w:rPr>
        <w:t xml:space="preserve">8) dodatkowych wymagań dla domofonu i wideofonu (w przypadku jego zastosowania) w zakresie wysokości montażu oraz przycisków umożliwiających jego obsługę przez osoby niewidome i niedowidzące - budynkach zamieszkania zbiorowego, budynkach użyteczności publicznej i budynkach mieszkalnych wielorodzinnych,   </w:t>
      </w:r>
    </w:p>
    <w:p w14:paraId="2E6B41A5" w14:textId="77777777" w:rsidR="003035E9" w:rsidRPr="003035E9" w:rsidRDefault="003035E9" w:rsidP="003035E9">
      <w:pPr>
        <w:spacing w:after="0"/>
        <w:jc w:val="both"/>
        <w:rPr>
          <w:rFonts w:ascii="Arial" w:hAnsi="Arial" w:cs="Arial"/>
        </w:rPr>
      </w:pPr>
      <w:r w:rsidRPr="003035E9">
        <w:rPr>
          <w:rFonts w:ascii="Arial" w:hAnsi="Arial" w:cs="Arial"/>
        </w:rPr>
        <w:t xml:space="preserve">9) odpowiedniego wykonania i wykończenia schodów w budynkach użyteczności publicznej i budynkach zamieszkania zbiorowego przeznaczonych dla osób starszych i niepełnosprawnych, </w:t>
      </w:r>
    </w:p>
    <w:p w14:paraId="63C219C7" w14:textId="77777777" w:rsidR="003035E9" w:rsidRPr="003035E9" w:rsidRDefault="003035E9" w:rsidP="003035E9">
      <w:pPr>
        <w:spacing w:after="0"/>
        <w:jc w:val="both"/>
        <w:rPr>
          <w:rFonts w:ascii="Arial" w:hAnsi="Arial" w:cs="Arial"/>
        </w:rPr>
      </w:pPr>
      <w:r w:rsidRPr="003035E9">
        <w:rPr>
          <w:rFonts w:ascii="Arial" w:hAnsi="Arial" w:cs="Arial"/>
        </w:rPr>
        <w:t xml:space="preserve">10) oznakowania schodów i pochylni w budynkach mieszkalnych wielorodzinnych, budynkach użyteczności publicznej oraz budynkach zamieszkania zbiorowego,  </w:t>
      </w:r>
    </w:p>
    <w:p w14:paraId="2863C208" w14:textId="77777777" w:rsidR="003035E9" w:rsidRPr="003035E9" w:rsidRDefault="003035E9" w:rsidP="003035E9">
      <w:pPr>
        <w:spacing w:after="0"/>
        <w:jc w:val="both"/>
        <w:rPr>
          <w:rFonts w:ascii="Arial" w:hAnsi="Arial" w:cs="Arial"/>
        </w:rPr>
      </w:pPr>
      <w:r w:rsidRPr="003035E9">
        <w:rPr>
          <w:rFonts w:ascii="Arial" w:hAnsi="Arial" w:cs="Arial"/>
        </w:rPr>
        <w:t xml:space="preserve">11) minimalnego udziału lokali mieszkalnych dostępnych dla osób niepełnosprawnych, w ogólnej liczbie lokali mieszkalnych w budynku wielorodzinnym posiadającym więcej niż 4 lokale mieszkalne,  </w:t>
      </w:r>
    </w:p>
    <w:p w14:paraId="16178579" w14:textId="77777777" w:rsidR="003035E9" w:rsidRPr="003035E9" w:rsidRDefault="003035E9" w:rsidP="003035E9">
      <w:pPr>
        <w:spacing w:after="0"/>
        <w:jc w:val="both"/>
        <w:rPr>
          <w:rFonts w:ascii="Arial" w:hAnsi="Arial" w:cs="Arial"/>
        </w:rPr>
      </w:pPr>
      <w:r w:rsidRPr="003035E9">
        <w:rPr>
          <w:rFonts w:ascii="Arial" w:hAnsi="Arial" w:cs="Arial"/>
        </w:rPr>
        <w:t xml:space="preserve">12) dodatkowych wymagań (oprócz tych, które wynikają z obowiązujących przepisów), które należy stosować przy projektowaniu lokali mieszkalnych dostosowanych do potrzeb osób niepełnosprawnych,  </w:t>
      </w:r>
    </w:p>
    <w:p w14:paraId="1F684142" w14:textId="77777777" w:rsidR="003035E9" w:rsidRPr="003035E9" w:rsidRDefault="003035E9" w:rsidP="003035E9">
      <w:pPr>
        <w:spacing w:after="0"/>
        <w:jc w:val="both"/>
        <w:rPr>
          <w:rFonts w:ascii="Arial" w:hAnsi="Arial" w:cs="Arial"/>
        </w:rPr>
      </w:pPr>
      <w:r w:rsidRPr="003035E9">
        <w:rPr>
          <w:rFonts w:ascii="Arial" w:hAnsi="Arial" w:cs="Arial"/>
        </w:rPr>
        <w:t xml:space="preserve">13) warunków dla ogólnodostępnych pomieszczeń higienicznosanitarnych,  </w:t>
      </w:r>
    </w:p>
    <w:p w14:paraId="7D9C53B2" w14:textId="77777777" w:rsidR="003035E9" w:rsidRPr="003035E9" w:rsidRDefault="003035E9" w:rsidP="003035E9">
      <w:pPr>
        <w:spacing w:after="0"/>
        <w:jc w:val="both"/>
        <w:rPr>
          <w:rFonts w:ascii="Arial" w:hAnsi="Arial" w:cs="Arial"/>
        </w:rPr>
      </w:pPr>
      <w:r w:rsidRPr="003035E9">
        <w:rPr>
          <w:rFonts w:ascii="Arial" w:hAnsi="Arial" w:cs="Arial"/>
        </w:rPr>
        <w:t xml:space="preserve">14) wymagań dla progu w drzwiach wejściowe do lokalu mieszkalnego,  </w:t>
      </w:r>
    </w:p>
    <w:p w14:paraId="7143C1E2" w14:textId="77777777" w:rsidR="003035E9" w:rsidRPr="003035E9" w:rsidRDefault="003035E9" w:rsidP="003035E9">
      <w:pPr>
        <w:spacing w:after="0"/>
        <w:jc w:val="both"/>
        <w:rPr>
          <w:rFonts w:ascii="Arial" w:hAnsi="Arial" w:cs="Arial"/>
        </w:rPr>
      </w:pPr>
      <w:r w:rsidRPr="003035E9">
        <w:rPr>
          <w:rFonts w:ascii="Arial" w:hAnsi="Arial" w:cs="Arial"/>
        </w:rPr>
        <w:t xml:space="preserve">15) dostępu do miejsca do czasowego gromadzenia odpadów stałych przy budynku mieszkalnym wielorodzinnym, </w:t>
      </w:r>
    </w:p>
    <w:p w14:paraId="4F71DC6F" w14:textId="77777777" w:rsidR="003035E9" w:rsidRPr="003035E9" w:rsidRDefault="003035E9" w:rsidP="003035E9">
      <w:pPr>
        <w:spacing w:after="0"/>
        <w:jc w:val="both"/>
        <w:rPr>
          <w:rFonts w:ascii="Arial" w:hAnsi="Arial" w:cs="Arial"/>
        </w:rPr>
      </w:pPr>
      <w:r w:rsidRPr="003035E9">
        <w:rPr>
          <w:rFonts w:ascii="Arial" w:hAnsi="Arial" w:cs="Arial"/>
        </w:rPr>
        <w:t xml:space="preserve">16) uwzględnienia bezpieczeństwa przeciwpożarowego dla ewakuacji osób ze szczególnymi potrzebami, w tym osób niepełnosprawnych, poprzez projektowanie miejsc tymczasowego schronienia. </w:t>
      </w:r>
    </w:p>
    <w:p w14:paraId="5E22665D" w14:textId="77777777" w:rsidR="003035E9" w:rsidRPr="003035E9" w:rsidRDefault="003035E9" w:rsidP="003035E9">
      <w:pPr>
        <w:spacing w:after="0"/>
        <w:jc w:val="both"/>
        <w:rPr>
          <w:rFonts w:ascii="Arial" w:hAnsi="Arial" w:cs="Arial"/>
        </w:rPr>
      </w:pPr>
      <w:r w:rsidRPr="003035E9">
        <w:rPr>
          <w:rFonts w:ascii="Arial" w:hAnsi="Arial" w:cs="Arial"/>
        </w:rPr>
        <w:t xml:space="preserve">Zauważyć należy, iż zaproponowane regulacje mają na celu m.in. ułatwienie dostępu do budynków i urządzeń z nimi związanych osobom z różnym rodzajem niepełnosprawności, co z pewnością będzie miało pozytywny wpływ również na inne grupy społeczne jak osoby starsze, opiekunowie z małymi dziećmi, czy osoby z czasowymi dysfunkcjami ruchowymi. </w:t>
      </w:r>
    </w:p>
    <w:p w14:paraId="68BDE808" w14:textId="77777777" w:rsidR="003035E9" w:rsidRPr="003035E9" w:rsidRDefault="003035E9" w:rsidP="003035E9">
      <w:pPr>
        <w:spacing w:after="0"/>
        <w:jc w:val="both"/>
        <w:rPr>
          <w:rFonts w:ascii="Arial" w:hAnsi="Arial" w:cs="Arial"/>
        </w:rPr>
      </w:pPr>
      <w:r w:rsidRPr="003035E9">
        <w:rPr>
          <w:rFonts w:ascii="Arial" w:hAnsi="Arial" w:cs="Arial"/>
        </w:rPr>
        <w:t xml:space="preserve">Ochrona przeciwpożarowa </w:t>
      </w:r>
    </w:p>
    <w:p w14:paraId="587B6A79" w14:textId="77777777" w:rsidR="003035E9" w:rsidRPr="003035E9" w:rsidRDefault="003035E9" w:rsidP="003035E9">
      <w:pPr>
        <w:spacing w:after="0"/>
        <w:jc w:val="both"/>
        <w:rPr>
          <w:rFonts w:ascii="Arial" w:hAnsi="Arial" w:cs="Arial"/>
        </w:rPr>
      </w:pPr>
      <w:r w:rsidRPr="003035E9">
        <w:rPr>
          <w:rFonts w:ascii="Arial" w:hAnsi="Arial" w:cs="Arial"/>
        </w:rPr>
        <w:t xml:space="preserve">W odniesieniu do kwestii dotyczących bezpieczeństwa pożarowego m.in.: </w:t>
      </w:r>
    </w:p>
    <w:p w14:paraId="11B08F8F" w14:textId="77777777" w:rsidR="003035E9" w:rsidRPr="003035E9" w:rsidRDefault="003035E9" w:rsidP="003035E9">
      <w:pPr>
        <w:spacing w:after="0"/>
        <w:jc w:val="both"/>
        <w:rPr>
          <w:rFonts w:ascii="Arial" w:hAnsi="Arial" w:cs="Arial"/>
        </w:rPr>
      </w:pPr>
      <w:r w:rsidRPr="003035E9">
        <w:rPr>
          <w:rFonts w:ascii="Arial" w:hAnsi="Arial" w:cs="Arial"/>
        </w:rPr>
        <w:t xml:space="preserve">1) zaproponowano zmiany, które mają na celu ograniczenie zagrożenia związanego ze stosowaniem w budynkach palnych izolacji cieplnych o coraz większych grubościach, co stwarza realne niebezpieczeństwo szybkiego rozprzestrzeniania się pożaru w sposób uniemożliwiający jego sprawne ugaszenie przez ekipy straży pożarnej, </w:t>
      </w:r>
    </w:p>
    <w:p w14:paraId="3D800E22" w14:textId="77777777" w:rsidR="003035E9" w:rsidRPr="003035E9" w:rsidRDefault="003035E9" w:rsidP="003035E9">
      <w:pPr>
        <w:spacing w:after="0"/>
        <w:jc w:val="both"/>
        <w:rPr>
          <w:rFonts w:ascii="Arial" w:hAnsi="Arial" w:cs="Arial"/>
        </w:rPr>
      </w:pPr>
      <w:r w:rsidRPr="003035E9">
        <w:rPr>
          <w:rFonts w:ascii="Arial" w:hAnsi="Arial" w:cs="Arial"/>
        </w:rPr>
        <w:t xml:space="preserve">2) dodano nowe wymagania w celu zapewnienia ograniczenia rozprzestrzeniania się ognia przez palną izolację cieplną w </w:t>
      </w:r>
      <w:proofErr w:type="spellStart"/>
      <w:r w:rsidRPr="003035E9">
        <w:rPr>
          <w:rFonts w:ascii="Arial" w:hAnsi="Arial" w:cs="Arial"/>
        </w:rPr>
        <w:t>przekryciach</w:t>
      </w:r>
      <w:proofErr w:type="spellEnd"/>
      <w:r w:rsidRPr="003035E9">
        <w:rPr>
          <w:rFonts w:ascii="Arial" w:hAnsi="Arial" w:cs="Arial"/>
        </w:rPr>
        <w:t xml:space="preserve"> dachów w budynkach wielkopowierzchniowych, </w:t>
      </w:r>
    </w:p>
    <w:p w14:paraId="74AAF621" w14:textId="77777777" w:rsidR="003035E9" w:rsidRPr="003035E9" w:rsidRDefault="003035E9" w:rsidP="003035E9">
      <w:pPr>
        <w:spacing w:after="0"/>
        <w:jc w:val="both"/>
        <w:rPr>
          <w:rFonts w:ascii="Arial" w:hAnsi="Arial" w:cs="Arial"/>
        </w:rPr>
      </w:pPr>
      <w:r w:rsidRPr="003035E9">
        <w:rPr>
          <w:rFonts w:ascii="Arial" w:hAnsi="Arial" w:cs="Arial"/>
        </w:rPr>
        <w:t xml:space="preserve">3) doprecyzowano wymagania w zakresie stosowania pasów </w:t>
      </w:r>
      <w:proofErr w:type="spellStart"/>
      <w:r w:rsidRPr="003035E9">
        <w:rPr>
          <w:rFonts w:ascii="Arial" w:hAnsi="Arial" w:cs="Arial"/>
        </w:rPr>
        <w:t>międzykondygnacyjnych</w:t>
      </w:r>
      <w:proofErr w:type="spellEnd"/>
      <w:r w:rsidRPr="003035E9">
        <w:rPr>
          <w:rFonts w:ascii="Arial" w:hAnsi="Arial" w:cs="Arial"/>
        </w:rPr>
        <w:t xml:space="preserve"> w ścianach wydzielających </w:t>
      </w:r>
      <w:proofErr w:type="spellStart"/>
      <w:r w:rsidRPr="003035E9">
        <w:rPr>
          <w:rFonts w:ascii="Arial" w:hAnsi="Arial" w:cs="Arial"/>
        </w:rPr>
        <w:t>przekryty</w:t>
      </w:r>
      <w:proofErr w:type="spellEnd"/>
      <w:r w:rsidRPr="003035E9">
        <w:rPr>
          <w:rFonts w:ascii="Arial" w:hAnsi="Arial" w:cs="Arial"/>
        </w:rPr>
        <w:t xml:space="preserve"> dziedziniec oraz uszczegółowiono wymagania dla rozwiązań równorzędnych dla pasa </w:t>
      </w:r>
      <w:proofErr w:type="spellStart"/>
      <w:r w:rsidRPr="003035E9">
        <w:rPr>
          <w:rFonts w:ascii="Arial" w:hAnsi="Arial" w:cs="Arial"/>
        </w:rPr>
        <w:t>międzykondygnacyjnego</w:t>
      </w:r>
      <w:proofErr w:type="spellEnd"/>
      <w:r w:rsidRPr="003035E9">
        <w:rPr>
          <w:rFonts w:ascii="Arial" w:hAnsi="Arial" w:cs="Arial"/>
        </w:rPr>
        <w:t xml:space="preserve">, </w:t>
      </w:r>
    </w:p>
    <w:p w14:paraId="5DB150A4" w14:textId="77777777" w:rsidR="003035E9" w:rsidRPr="003035E9" w:rsidRDefault="003035E9" w:rsidP="003035E9">
      <w:pPr>
        <w:spacing w:after="0"/>
        <w:jc w:val="both"/>
        <w:rPr>
          <w:rFonts w:ascii="Arial" w:hAnsi="Arial" w:cs="Arial"/>
        </w:rPr>
      </w:pPr>
      <w:r w:rsidRPr="003035E9">
        <w:rPr>
          <w:rFonts w:ascii="Arial" w:hAnsi="Arial" w:cs="Arial"/>
        </w:rPr>
        <w:t xml:space="preserve">4) określono wymagania, jakie powinien spełniać pas </w:t>
      </w:r>
      <w:proofErr w:type="spellStart"/>
      <w:r w:rsidRPr="003035E9">
        <w:rPr>
          <w:rFonts w:ascii="Arial" w:hAnsi="Arial" w:cs="Arial"/>
        </w:rPr>
        <w:t>międzykondygnacyjny</w:t>
      </w:r>
      <w:proofErr w:type="spellEnd"/>
      <w:r w:rsidRPr="003035E9">
        <w:rPr>
          <w:rFonts w:ascii="Arial" w:hAnsi="Arial" w:cs="Arial"/>
        </w:rPr>
        <w:t xml:space="preserve"> na granicy strefy pożarowej w celu ograniczenia rozprzestrzeniania się pożaru pomiędzy strefami pożarowymi, </w:t>
      </w:r>
    </w:p>
    <w:p w14:paraId="766F78C5" w14:textId="77777777" w:rsidR="003035E9" w:rsidRPr="003035E9" w:rsidRDefault="003035E9" w:rsidP="003035E9">
      <w:pPr>
        <w:spacing w:after="0"/>
        <w:jc w:val="both"/>
        <w:rPr>
          <w:rFonts w:ascii="Arial" w:hAnsi="Arial" w:cs="Arial"/>
        </w:rPr>
      </w:pPr>
      <w:r w:rsidRPr="003035E9">
        <w:rPr>
          <w:rFonts w:ascii="Arial" w:hAnsi="Arial" w:cs="Arial"/>
        </w:rPr>
        <w:t xml:space="preserve">5) zmieniono wymagania dotyczące określania dopuszczalnej wielkości stref pożarowych w budynkach ZL o jednej kondygnacji nadziemnej, </w:t>
      </w:r>
    </w:p>
    <w:p w14:paraId="2D790B90" w14:textId="77777777" w:rsidR="003035E9" w:rsidRPr="003035E9" w:rsidRDefault="003035E9" w:rsidP="003035E9">
      <w:pPr>
        <w:spacing w:after="0"/>
        <w:jc w:val="both"/>
        <w:rPr>
          <w:rFonts w:ascii="Arial" w:hAnsi="Arial" w:cs="Arial"/>
        </w:rPr>
      </w:pPr>
      <w:r w:rsidRPr="003035E9">
        <w:rPr>
          <w:rFonts w:ascii="Arial" w:hAnsi="Arial" w:cs="Arial"/>
        </w:rPr>
        <w:lastRenderedPageBreak/>
        <w:t xml:space="preserve">6) wprowadzono zmniejszone dopuszczalne wielkości stref pożarowych PM, w szczególności w budynkach o jednej kondygnacji nadziemnej (bez ograniczenia wysokości), </w:t>
      </w:r>
    </w:p>
    <w:p w14:paraId="17BD5FAB" w14:textId="77777777" w:rsidR="003035E9" w:rsidRPr="003035E9" w:rsidRDefault="003035E9" w:rsidP="003035E9">
      <w:pPr>
        <w:spacing w:after="0"/>
        <w:jc w:val="both"/>
        <w:rPr>
          <w:rFonts w:ascii="Arial" w:hAnsi="Arial" w:cs="Arial"/>
        </w:rPr>
      </w:pPr>
      <w:r w:rsidRPr="003035E9">
        <w:rPr>
          <w:rFonts w:ascii="Arial" w:hAnsi="Arial" w:cs="Arial"/>
        </w:rPr>
        <w:t xml:space="preserve">7) wprowadzono rozróżnienie wymagań w zakresie dopuszczalnego powiększenia powierzchni stref pożarowych PM w przypadku budynku lub jego części o jednej kondygnacji oraz w budynku wielokondygnacyjnym, </w:t>
      </w:r>
    </w:p>
    <w:p w14:paraId="570BDA1E" w14:textId="77777777" w:rsidR="003035E9" w:rsidRPr="003035E9" w:rsidRDefault="003035E9" w:rsidP="003035E9">
      <w:pPr>
        <w:spacing w:after="0"/>
        <w:jc w:val="both"/>
        <w:rPr>
          <w:rFonts w:ascii="Arial" w:hAnsi="Arial" w:cs="Arial"/>
        </w:rPr>
      </w:pPr>
      <w:r w:rsidRPr="003035E9">
        <w:rPr>
          <w:rFonts w:ascii="Arial" w:hAnsi="Arial" w:cs="Arial"/>
        </w:rPr>
        <w:t xml:space="preserve">8) wyeliminowano możliwość stosowania nieograniczonej wielkości strefy pożarowej PM w budynku jednokondygnacyjnym z samoczynnymi urządzeniami gaśniczymi wodnymi i samoczynnymi urządzeniami oddymiającymi, </w:t>
      </w:r>
    </w:p>
    <w:p w14:paraId="7CBB972C" w14:textId="77777777" w:rsidR="003035E9" w:rsidRPr="003035E9" w:rsidRDefault="003035E9" w:rsidP="003035E9">
      <w:pPr>
        <w:spacing w:after="0"/>
        <w:jc w:val="both"/>
        <w:rPr>
          <w:rFonts w:ascii="Arial" w:hAnsi="Arial" w:cs="Arial"/>
        </w:rPr>
      </w:pPr>
      <w:r w:rsidRPr="003035E9">
        <w:rPr>
          <w:rFonts w:ascii="Arial" w:hAnsi="Arial" w:cs="Arial"/>
        </w:rPr>
        <w:t xml:space="preserve">9) wyeliminowano, podobnie jak w przypadku stref pożarowych PM, możliwość stosowania nieograniczonej wielkości strefy pożarowej IN w budynku jednokondygnacyjnym przy hodowli bezściółkowej i określono, że dopuszczalna wielkość takiej strefy pożarowej wynosi 10 000 m2, </w:t>
      </w:r>
    </w:p>
    <w:p w14:paraId="43A370DD" w14:textId="77777777" w:rsidR="003035E9" w:rsidRPr="003035E9" w:rsidRDefault="003035E9" w:rsidP="003035E9">
      <w:pPr>
        <w:spacing w:after="0"/>
        <w:jc w:val="both"/>
        <w:rPr>
          <w:rFonts w:ascii="Arial" w:hAnsi="Arial" w:cs="Arial"/>
        </w:rPr>
      </w:pPr>
      <w:r w:rsidRPr="003035E9">
        <w:rPr>
          <w:rFonts w:ascii="Arial" w:hAnsi="Arial" w:cs="Arial"/>
        </w:rPr>
        <w:t xml:space="preserve">10) zmieniono dotychczasowe i wprowadzono nowe wymagania dotyczące sposobu dokonywania podziału budynków na strefy pożarowe, </w:t>
      </w:r>
    </w:p>
    <w:p w14:paraId="702DAE1E" w14:textId="77777777" w:rsidR="003035E9" w:rsidRPr="003035E9" w:rsidRDefault="003035E9" w:rsidP="003035E9">
      <w:pPr>
        <w:spacing w:after="0"/>
        <w:jc w:val="both"/>
        <w:rPr>
          <w:rFonts w:ascii="Arial" w:hAnsi="Arial" w:cs="Arial"/>
        </w:rPr>
      </w:pPr>
      <w:r w:rsidRPr="003035E9">
        <w:rPr>
          <w:rFonts w:ascii="Arial" w:hAnsi="Arial" w:cs="Arial"/>
        </w:rPr>
        <w:t xml:space="preserve">11) zmieniono niektóre przepisy, które stanowiły barierę dla budownictwa drewnianego, łagodząc je. </w:t>
      </w:r>
    </w:p>
    <w:p w14:paraId="237D9AF4" w14:textId="77777777" w:rsidR="003035E9" w:rsidRPr="003035E9" w:rsidRDefault="003035E9" w:rsidP="003035E9">
      <w:pPr>
        <w:spacing w:after="0"/>
        <w:jc w:val="both"/>
        <w:rPr>
          <w:rFonts w:ascii="Arial" w:hAnsi="Arial" w:cs="Arial"/>
        </w:rPr>
      </w:pPr>
      <w:r w:rsidRPr="003035E9">
        <w:rPr>
          <w:rFonts w:ascii="Arial" w:hAnsi="Arial" w:cs="Arial"/>
        </w:rPr>
        <w:t xml:space="preserve">Wprowadzenie w przepisach warunków technicznych proponowanych rozwiązań wyeliminuje występowanie części czynników techniczno-budowlanych, które sprzyjają niekontrolowanemu rozprzestrzenianiu się pożarów, prowadzących do osiągania przez nie dużych i bardzo dużych rozmiarów, a także obniżą ich wpływ na szybkie rozprzestrzenianie się pożaru na duże powierzchnie. </w:t>
      </w:r>
    </w:p>
    <w:p w14:paraId="24AE4567" w14:textId="77777777" w:rsidR="003035E9" w:rsidRPr="003035E9" w:rsidRDefault="003035E9" w:rsidP="003035E9">
      <w:pPr>
        <w:spacing w:after="0"/>
        <w:jc w:val="both"/>
        <w:rPr>
          <w:rFonts w:ascii="Arial" w:hAnsi="Arial" w:cs="Arial"/>
        </w:rPr>
      </w:pPr>
      <w:r w:rsidRPr="003035E9">
        <w:rPr>
          <w:rFonts w:ascii="Arial" w:hAnsi="Arial" w:cs="Arial"/>
        </w:rPr>
        <w:t xml:space="preserve">Efektywność energetyczna budynków </w:t>
      </w:r>
    </w:p>
    <w:p w14:paraId="4CA95430" w14:textId="77777777" w:rsidR="003035E9" w:rsidRPr="003035E9" w:rsidRDefault="003035E9" w:rsidP="003035E9">
      <w:pPr>
        <w:spacing w:after="0"/>
        <w:jc w:val="both"/>
        <w:rPr>
          <w:rFonts w:ascii="Arial" w:hAnsi="Arial" w:cs="Arial"/>
        </w:rPr>
      </w:pPr>
      <w:r w:rsidRPr="003035E9">
        <w:rPr>
          <w:rFonts w:ascii="Arial" w:hAnsi="Arial" w:cs="Arial"/>
        </w:rPr>
        <w:t xml:space="preserve">Ze względu na wejście w życie dyrektywy Parlamentu Europejskiego i Rady (UE) 2024/1275 z dnia 24 kwietnia 2024 r. w sprawie charakterystyki energetycznej budynków (Dz. Urz. UE L 2024/1275 z 08.05.2024) oraz konieczność jej implementacji do prawa krajowego nowy projekt rozporządzenia zakłada zmiany w zakresie warunków minimalnych dotyczących charakterystyki energetycznej nowych i przebudowywanych budynków. Warunki te są zawarte w rozporządzeniu </w:t>
      </w:r>
      <w:proofErr w:type="spellStart"/>
      <w:r w:rsidRPr="003035E9">
        <w:rPr>
          <w:rFonts w:ascii="Arial" w:hAnsi="Arial" w:cs="Arial"/>
        </w:rPr>
        <w:t>Wt</w:t>
      </w:r>
      <w:proofErr w:type="spellEnd"/>
      <w:r w:rsidRPr="003035E9">
        <w:rPr>
          <w:rFonts w:ascii="Arial" w:hAnsi="Arial" w:cs="Arial"/>
        </w:rPr>
        <w:t>, niemniej zostaną zaktualizowane w związku z wymaganiami ww. dyrektywy. Dotyczą one przede wszystkim wprowadzenia standardu „</w:t>
      </w:r>
      <w:proofErr w:type="spellStart"/>
      <w:r w:rsidRPr="003035E9">
        <w:rPr>
          <w:rFonts w:ascii="Arial" w:hAnsi="Arial" w:cs="Arial"/>
        </w:rPr>
        <w:t>bezemisyjnego</w:t>
      </w:r>
      <w:proofErr w:type="spellEnd"/>
      <w:r w:rsidRPr="003035E9">
        <w:rPr>
          <w:rFonts w:ascii="Arial" w:hAnsi="Arial" w:cs="Arial"/>
        </w:rPr>
        <w:t xml:space="preserve">” dla nowych budynków począwszy od roku 2028, poprawy charakterystyki energetycznej dla budynków podlegających ważniejszej renowacji, wymogu stosowania systemów wykorzystujących energię słoneczną w nowych budynkach począwszy od 2027 r., wymogu wyposażania systemów technicznych w nowych budynkach w urządzenia zapewniające automatyczne sterowanie, regulację i monitorowanie, o ile będzie to wykonalne pod względem technicznym i ekonomicznym. </w:t>
      </w:r>
    </w:p>
    <w:p w14:paraId="170F9220" w14:textId="77777777" w:rsidR="003035E9" w:rsidRPr="003035E9" w:rsidRDefault="003035E9" w:rsidP="003035E9">
      <w:pPr>
        <w:spacing w:after="0"/>
        <w:jc w:val="both"/>
        <w:rPr>
          <w:rFonts w:ascii="Arial" w:hAnsi="Arial" w:cs="Arial"/>
        </w:rPr>
      </w:pPr>
      <w:r w:rsidRPr="003035E9">
        <w:rPr>
          <w:rFonts w:ascii="Arial" w:hAnsi="Arial" w:cs="Arial"/>
        </w:rPr>
        <w:t xml:space="preserve">Użytkowanie budynków mieszkalnych </w:t>
      </w:r>
    </w:p>
    <w:p w14:paraId="145BF305" w14:textId="4B65A38D" w:rsidR="00CC6717" w:rsidRPr="00042C7F" w:rsidRDefault="003035E9" w:rsidP="003035E9">
      <w:pPr>
        <w:spacing w:after="0"/>
        <w:jc w:val="both"/>
        <w:rPr>
          <w:rFonts w:ascii="Arial" w:hAnsi="Arial" w:cs="Arial"/>
        </w:rPr>
      </w:pPr>
      <w:r w:rsidRPr="003035E9">
        <w:rPr>
          <w:rFonts w:ascii="Arial" w:hAnsi="Arial" w:cs="Arial"/>
        </w:rPr>
        <w:t xml:space="preserve">W nowym dziale XII ujęto przepisy zawarte dotychczas w rozporządzeniu Ministra Spraw Wewnętrznych i Administracji z dnia 16 sierpnia 1999 r. w sprawie warunków technicznych użytkowania budynków mieszkalnych (Dz. U. poz. 836, z </w:t>
      </w:r>
      <w:proofErr w:type="spellStart"/>
      <w:r w:rsidRPr="003035E9">
        <w:rPr>
          <w:rFonts w:ascii="Arial" w:hAnsi="Arial" w:cs="Arial"/>
        </w:rPr>
        <w:t>późn</w:t>
      </w:r>
      <w:proofErr w:type="spellEnd"/>
      <w:r w:rsidRPr="003035E9">
        <w:rPr>
          <w:rFonts w:ascii="Arial" w:hAnsi="Arial" w:cs="Arial"/>
        </w:rPr>
        <w:t>. zm.). Dodatkowo uproszczono je, przeredagowano, a także dodano nowe regulacje, które mają poprawić bezpieczeństwo i komfort użytkowania budynków mieszkalnych.</w:t>
      </w:r>
    </w:p>
    <w:p w14:paraId="0EF62CC0" w14:textId="77777777" w:rsidR="00E944E6" w:rsidRDefault="00E944E6" w:rsidP="00E944E6">
      <w:pPr>
        <w:spacing w:after="0"/>
        <w:jc w:val="both"/>
        <w:rPr>
          <w:rFonts w:ascii="Arial" w:hAnsi="Arial" w:cs="Arial"/>
        </w:rPr>
      </w:pPr>
    </w:p>
    <w:p w14:paraId="6727D2BF" w14:textId="77777777" w:rsidR="00157BE1" w:rsidRPr="00157BE1" w:rsidRDefault="00157BE1" w:rsidP="00157BE1">
      <w:pPr>
        <w:spacing w:after="0"/>
        <w:jc w:val="both"/>
        <w:rPr>
          <w:rFonts w:ascii="Arial" w:hAnsi="Arial" w:cs="Arial"/>
        </w:rPr>
      </w:pPr>
      <w:r w:rsidRPr="00157BE1">
        <w:rPr>
          <w:rFonts w:ascii="Arial" w:hAnsi="Arial" w:cs="Arial"/>
        </w:rPr>
        <w:t>Przedmiotowy projekt aktu prawnego wraz z załącznikami (szt. 12), Uzasadnieniem oraz Oceną Skutków Regulacji dostępny jest na stronach Rządowego Centrum Legislacji pod adresem:</w:t>
      </w:r>
    </w:p>
    <w:p w14:paraId="21112527" w14:textId="6C3D126B" w:rsidR="00157BE1" w:rsidRDefault="00157BE1" w:rsidP="00157BE1">
      <w:pPr>
        <w:spacing w:after="0"/>
        <w:jc w:val="both"/>
        <w:rPr>
          <w:rFonts w:ascii="Arial" w:hAnsi="Arial" w:cs="Arial"/>
        </w:rPr>
      </w:pPr>
      <w:hyperlink r:id="rId13" w:history="1">
        <w:r w:rsidRPr="001D775C">
          <w:rPr>
            <w:rStyle w:val="Hipercze"/>
            <w:rFonts w:ascii="Arial" w:hAnsi="Arial" w:cs="Arial"/>
          </w:rPr>
          <w:t>https://legislacja.rcl.gov.pl/projekt/12</w:t>
        </w:r>
        <w:r w:rsidRPr="001D775C">
          <w:rPr>
            <w:rStyle w:val="Hipercze"/>
            <w:rFonts w:ascii="Arial" w:hAnsi="Arial" w:cs="Arial"/>
          </w:rPr>
          <w:t>3</w:t>
        </w:r>
        <w:r w:rsidRPr="001D775C">
          <w:rPr>
            <w:rStyle w:val="Hipercze"/>
            <w:rFonts w:ascii="Arial" w:hAnsi="Arial" w:cs="Arial"/>
          </w:rPr>
          <w:t>98903/katalog/13135632#13135632</w:t>
        </w:r>
      </w:hyperlink>
      <w:r>
        <w:rPr>
          <w:rFonts w:ascii="Arial" w:hAnsi="Arial" w:cs="Arial"/>
        </w:rPr>
        <w:t xml:space="preserve"> </w:t>
      </w:r>
    </w:p>
    <w:p w14:paraId="70475E31" w14:textId="77777777" w:rsidR="00157BE1" w:rsidRDefault="00157BE1" w:rsidP="00E944E6">
      <w:pPr>
        <w:spacing w:after="0"/>
        <w:jc w:val="both"/>
        <w:rPr>
          <w:rFonts w:ascii="Arial" w:hAnsi="Arial" w:cs="Arial"/>
        </w:rPr>
      </w:pPr>
    </w:p>
    <w:p w14:paraId="6CDF2CEC" w14:textId="189A6321" w:rsidR="00157BE1" w:rsidRDefault="00157BE1" w:rsidP="00E944E6">
      <w:pPr>
        <w:spacing w:after="0"/>
        <w:jc w:val="both"/>
        <w:rPr>
          <w:rFonts w:ascii="Arial" w:hAnsi="Arial" w:cs="Arial"/>
        </w:rPr>
      </w:pPr>
      <w:r w:rsidRPr="00157BE1">
        <w:rPr>
          <w:rFonts w:ascii="Arial" w:hAnsi="Arial" w:cs="Arial"/>
        </w:rPr>
        <w:t>Projekt jest obecnie jednocześnie na etapie uzgodnień, konsultacji publicznych i opiniowania</w:t>
      </w:r>
      <w:r>
        <w:rPr>
          <w:rFonts w:ascii="Arial" w:hAnsi="Arial" w:cs="Arial"/>
        </w:rPr>
        <w:t>.</w:t>
      </w:r>
    </w:p>
    <w:p w14:paraId="3C9C5A0E" w14:textId="77777777" w:rsidR="00157BE1" w:rsidRDefault="00157BE1" w:rsidP="00E944E6">
      <w:pPr>
        <w:spacing w:after="0"/>
        <w:jc w:val="both"/>
        <w:rPr>
          <w:rFonts w:ascii="Arial" w:hAnsi="Arial" w:cs="Arial"/>
        </w:rPr>
      </w:pPr>
    </w:p>
    <w:p w14:paraId="583BD448" w14:textId="77777777" w:rsidR="00E944E6" w:rsidRPr="00CB4A6E" w:rsidRDefault="00E944E6" w:rsidP="00E944E6">
      <w:pPr>
        <w:spacing w:after="0"/>
        <w:rPr>
          <w:rFonts w:ascii="Arial" w:hAnsi="Arial" w:cs="Arial"/>
        </w:rPr>
      </w:pPr>
    </w:p>
    <w:p w14:paraId="0A4BA3CE" w14:textId="77777777" w:rsidR="00E944E6" w:rsidRDefault="00E944E6" w:rsidP="00E944E6">
      <w:pPr>
        <w:spacing w:after="0"/>
        <w:jc w:val="both"/>
        <w:rPr>
          <w:rFonts w:ascii="Arial" w:hAnsi="Arial" w:cs="Arial"/>
          <w:b/>
        </w:rPr>
      </w:pPr>
      <w:r>
        <w:rPr>
          <w:rFonts w:ascii="Arial" w:hAnsi="Arial" w:cs="Arial"/>
          <w:b/>
        </w:rPr>
        <w:t>II. Ogłoszone akty prawne (Dziennik Ustaw RP)</w:t>
      </w:r>
    </w:p>
    <w:p w14:paraId="12D7BA8E" w14:textId="77777777" w:rsidR="00E944E6" w:rsidRDefault="00E944E6" w:rsidP="00E944E6">
      <w:pPr>
        <w:spacing w:after="0"/>
        <w:jc w:val="both"/>
        <w:rPr>
          <w:rFonts w:ascii="Arial" w:hAnsi="Arial" w:cs="Arial"/>
        </w:rPr>
      </w:pPr>
    </w:p>
    <w:p w14:paraId="791C8D35" w14:textId="55CABB25" w:rsidR="00E944E6" w:rsidRDefault="00E944E6" w:rsidP="00E944E6">
      <w:pPr>
        <w:spacing w:after="0"/>
        <w:jc w:val="both"/>
        <w:rPr>
          <w:rFonts w:ascii="Arial" w:hAnsi="Arial" w:cs="Arial"/>
        </w:rPr>
      </w:pPr>
      <w:r>
        <w:rPr>
          <w:rFonts w:ascii="Arial" w:hAnsi="Arial" w:cs="Arial"/>
        </w:rPr>
        <w:t xml:space="preserve">W analizowanym okresie opublikowano </w:t>
      </w:r>
      <w:r w:rsidR="00D7490C">
        <w:rPr>
          <w:rFonts w:ascii="Arial" w:hAnsi="Arial" w:cs="Arial"/>
        </w:rPr>
        <w:t>20</w:t>
      </w:r>
      <w:r>
        <w:rPr>
          <w:rFonts w:ascii="Arial" w:hAnsi="Arial" w:cs="Arial"/>
        </w:rPr>
        <w:t xml:space="preserve"> akt</w:t>
      </w:r>
      <w:r w:rsidR="00D7490C">
        <w:rPr>
          <w:rFonts w:ascii="Arial" w:hAnsi="Arial" w:cs="Arial"/>
        </w:rPr>
        <w:t>ów</w:t>
      </w:r>
      <w:r>
        <w:rPr>
          <w:rFonts w:ascii="Arial" w:hAnsi="Arial" w:cs="Arial"/>
        </w:rPr>
        <w:t xml:space="preserve"> prawn</w:t>
      </w:r>
      <w:r w:rsidR="00D7490C">
        <w:rPr>
          <w:rFonts w:ascii="Arial" w:hAnsi="Arial" w:cs="Arial"/>
        </w:rPr>
        <w:t>ych</w:t>
      </w:r>
      <w:r>
        <w:rPr>
          <w:rFonts w:ascii="Arial" w:hAnsi="Arial" w:cs="Arial"/>
        </w:rPr>
        <w:t>, tzn. ustaw, rozporządze</w:t>
      </w:r>
      <w:r w:rsidR="00D7490C">
        <w:rPr>
          <w:rFonts w:ascii="Arial" w:hAnsi="Arial" w:cs="Arial"/>
        </w:rPr>
        <w:t>ń</w:t>
      </w:r>
      <w:r>
        <w:rPr>
          <w:rFonts w:ascii="Arial" w:hAnsi="Arial" w:cs="Arial"/>
        </w:rPr>
        <w:t xml:space="preserve"> Rady Ministrów, Prezesa Rady Ministrów i poszczególnych ministrów, obwieszcze</w:t>
      </w:r>
      <w:r w:rsidR="00D7490C">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14:paraId="57623039" w14:textId="77777777" w:rsidR="00E944E6" w:rsidRDefault="00E944E6" w:rsidP="00E944E6">
      <w:pPr>
        <w:spacing w:after="0"/>
        <w:jc w:val="both"/>
        <w:rPr>
          <w:rFonts w:ascii="Arial" w:hAnsi="Arial" w:cs="Arial"/>
        </w:rPr>
      </w:pPr>
    </w:p>
    <w:p w14:paraId="6CE0F237" w14:textId="102ACFCF" w:rsidR="00E944E6" w:rsidRDefault="00E944E6" w:rsidP="00E944E6">
      <w:pPr>
        <w:pStyle w:val="Akapitzlist"/>
        <w:numPr>
          <w:ilvl w:val="0"/>
          <w:numId w:val="2"/>
        </w:numPr>
        <w:spacing w:after="0"/>
        <w:ind w:left="426" w:hanging="426"/>
        <w:jc w:val="both"/>
        <w:rPr>
          <w:rFonts w:ascii="Arial" w:hAnsi="Arial" w:cs="Arial"/>
          <w:u w:val="single"/>
        </w:rPr>
      </w:pPr>
      <w:r>
        <w:rPr>
          <w:rFonts w:ascii="Arial" w:hAnsi="Arial" w:cs="Arial"/>
          <w:u w:val="single"/>
        </w:rPr>
        <w:t xml:space="preserve">Ustawa </w:t>
      </w:r>
      <w:r w:rsidR="00817E96" w:rsidRPr="00817E96">
        <w:rPr>
          <w:rFonts w:ascii="Arial" w:hAnsi="Arial" w:cs="Arial"/>
          <w:u w:val="single"/>
        </w:rPr>
        <w:t>z dnia 21 maja 2025 r. o zmianie niektórych ustaw w związku z wprowadzaniem centralnego systemu informacji rynku energii i innych ustaw</w:t>
      </w:r>
    </w:p>
    <w:p w14:paraId="0DA5C849" w14:textId="77777777" w:rsidR="00817E96" w:rsidRDefault="00817E96" w:rsidP="00817E96">
      <w:pPr>
        <w:spacing w:after="0"/>
        <w:jc w:val="both"/>
        <w:rPr>
          <w:rFonts w:ascii="Arial" w:eastAsia="Times New Roman" w:hAnsi="Arial" w:cs="Arial"/>
          <w:lang w:eastAsia="pl-PL"/>
        </w:rPr>
      </w:pPr>
    </w:p>
    <w:p w14:paraId="0CB91D52" w14:textId="19990708" w:rsidR="00E944E6" w:rsidRPr="00817E96" w:rsidRDefault="00E944E6" w:rsidP="00817E96">
      <w:pPr>
        <w:spacing w:after="0"/>
        <w:jc w:val="both"/>
        <w:rPr>
          <w:rFonts w:ascii="Arial" w:eastAsia="Times New Roman" w:hAnsi="Arial" w:cs="Arial"/>
          <w:lang w:eastAsia="pl-PL"/>
        </w:rPr>
      </w:pPr>
      <w:r w:rsidRPr="00817E96">
        <w:rPr>
          <w:rFonts w:ascii="Arial" w:eastAsia="Times New Roman" w:hAnsi="Arial" w:cs="Arial"/>
          <w:lang w:eastAsia="pl-PL"/>
        </w:rPr>
        <w:t xml:space="preserve">Powyższy akt prawny opublikowany został </w:t>
      </w:r>
      <w:r w:rsidR="00817E96">
        <w:rPr>
          <w:rFonts w:ascii="Arial" w:eastAsia="Times New Roman" w:hAnsi="Arial" w:cs="Arial"/>
          <w:lang w:eastAsia="pl-PL"/>
        </w:rPr>
        <w:t>10 czerwca</w:t>
      </w:r>
      <w:r w:rsidRPr="00817E96">
        <w:rPr>
          <w:rFonts w:ascii="Arial" w:eastAsia="Times New Roman" w:hAnsi="Arial" w:cs="Arial"/>
          <w:lang w:eastAsia="pl-PL"/>
        </w:rPr>
        <w:t xml:space="preserve"> 20</w:t>
      </w:r>
      <w:r w:rsidR="00817E96">
        <w:rPr>
          <w:rFonts w:ascii="Arial" w:eastAsia="Times New Roman" w:hAnsi="Arial" w:cs="Arial"/>
          <w:lang w:eastAsia="pl-PL"/>
        </w:rPr>
        <w:t>25</w:t>
      </w:r>
      <w:r w:rsidRPr="00817E96">
        <w:rPr>
          <w:rFonts w:ascii="Arial" w:eastAsia="Times New Roman" w:hAnsi="Arial" w:cs="Arial"/>
          <w:lang w:eastAsia="pl-PL"/>
        </w:rPr>
        <w:t xml:space="preserve"> roku w Dzienniku Ustaw (Dz.U. z 202</w:t>
      </w:r>
      <w:r w:rsidR="00817E96">
        <w:rPr>
          <w:rFonts w:ascii="Arial" w:eastAsia="Times New Roman" w:hAnsi="Arial" w:cs="Arial"/>
          <w:lang w:eastAsia="pl-PL"/>
        </w:rPr>
        <w:t>5</w:t>
      </w:r>
      <w:r w:rsidRPr="00817E96">
        <w:rPr>
          <w:rFonts w:ascii="Arial" w:eastAsia="Times New Roman" w:hAnsi="Arial" w:cs="Arial"/>
          <w:lang w:eastAsia="pl-PL"/>
        </w:rPr>
        <w:t xml:space="preserve">, poz. </w:t>
      </w:r>
      <w:r w:rsidR="000C3FF4">
        <w:rPr>
          <w:rFonts w:ascii="Arial" w:eastAsia="Times New Roman" w:hAnsi="Arial" w:cs="Arial"/>
          <w:lang w:eastAsia="pl-PL"/>
        </w:rPr>
        <w:t>759</w:t>
      </w:r>
      <w:r w:rsidRPr="00817E96">
        <w:rPr>
          <w:rFonts w:ascii="Arial" w:eastAsia="Times New Roman" w:hAnsi="Arial" w:cs="Arial"/>
          <w:lang w:eastAsia="pl-PL"/>
        </w:rPr>
        <w:t>).</w:t>
      </w:r>
    </w:p>
    <w:p w14:paraId="291B3414" w14:textId="77777777" w:rsidR="00817E96" w:rsidRDefault="00817E96" w:rsidP="00817E96">
      <w:pPr>
        <w:spacing w:after="0"/>
        <w:jc w:val="both"/>
        <w:rPr>
          <w:rFonts w:ascii="Arial" w:eastAsia="Times New Roman" w:hAnsi="Arial" w:cs="Arial"/>
          <w:lang w:eastAsia="pl-PL"/>
        </w:rPr>
      </w:pPr>
    </w:p>
    <w:p w14:paraId="0091ADAE" w14:textId="77777777" w:rsidR="000C3FF4"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Celem ustawy o zmianie niektórych ustaw w związku z wprowadzaniem centralnego systemu informacji rynku energii i innych ustaw – jest wprowadzenie zmiany doprecyzowującej terminy rozpoczęcia realizacji zadań przez uczestników rynku energii za pośrednictwem centralnego systemu informacji rynku energii, zwanego dalej ,,CSIRE”, wraz z niezbędnymi zmianami towarzyszącymi służącymi zachowaniu spójności przepisów prawa. </w:t>
      </w:r>
    </w:p>
    <w:p w14:paraId="369A0AA2"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Centralny system informacji rynku energii (CSIRE) to system informacyjny do przetwarzania informacji rynku energii na potrzeby realizacji jego procesów oraz wymiany informacji między użytkownikami systemu elektroenergetycznego. Termin uruchomienia systemu wyznaczono na dzień 1 lipca 2025 r. Powołano także operatora informacji rynku energii (OIRE) odpowiedzialnego za budowę, uruchomienie i zarządzanie CSIRE. Funkcję tę powierzono spółce Polskie Sieci Elektroenergetyczne S.A.  </w:t>
      </w:r>
    </w:p>
    <w:p w14:paraId="09B4C698"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Przyjęte rozwiązania umożliwią etapowe przystępowanie poszczególnych kategorii użytkowników rynku energii do realizacji zadań za pośrednictwem CSIRE. Proces ten ma się odbywać w zależności od wielkości podmiotu – począwszy od lipca 2025 r. do października 2026 r. Przystępowanie do CSIRE będzie następować zgodnie z następującym harmonogramem:  </w:t>
      </w:r>
    </w:p>
    <w:p w14:paraId="5D93BFEA"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1) 1 lipca 2025 r. – uruchomienie CSIRE, okno 1 opcjonalne dla użytkowników uprawnionych;</w:t>
      </w:r>
    </w:p>
    <w:p w14:paraId="0D57E2E7" w14:textId="251CD13C"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2) 1 marca 2026 r. – okno 2 opcjonalne dla użytkowników uprawnionych;  </w:t>
      </w:r>
    </w:p>
    <w:p w14:paraId="284F38BF"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3) 1 lipca 2026 r. – okno 3 opcjonalne dla użytkowników uprawnionych; </w:t>
      </w:r>
    </w:p>
    <w:p w14:paraId="06606C87"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4) 19 października 2026 r. – ostateczny termin przystąpienia do CSIRE dla wszystkich użytkowników, w tym dla użytkowników uprawnionych, którzy nie skorzystali z wcześniejszych okien opcjonalnych.  </w:t>
      </w:r>
    </w:p>
    <w:p w14:paraId="2199796E"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Użytkownikami uprawnionymi, uzyskującymi możliwość wyboru terminu, są podmioty o liczbie punktów poboru energii przyłączonych do ich sieci nie większej niż 100 000, tj. operatorzy systemu dystrybucyjnego niepodłączeni do sieci przesyłowej (</w:t>
      </w:r>
      <w:proofErr w:type="spellStart"/>
      <w:r w:rsidRPr="000C3FF4">
        <w:rPr>
          <w:rFonts w:ascii="Arial" w:eastAsia="Times New Roman" w:hAnsi="Arial" w:cs="Arial"/>
          <w:lang w:eastAsia="pl-PL"/>
        </w:rPr>
        <w:t>OSDn</w:t>
      </w:r>
      <w:proofErr w:type="spellEnd"/>
      <w:r w:rsidRPr="000C3FF4">
        <w:rPr>
          <w:rFonts w:ascii="Arial" w:eastAsia="Times New Roman" w:hAnsi="Arial" w:cs="Arial"/>
          <w:lang w:eastAsia="pl-PL"/>
        </w:rPr>
        <w:t xml:space="preserve">), przy czym jest to wybór pozostawiony do ich decyzji opartej na analizie biznesowej oraz ocenie stopnia gotowości danego podmiotu do funkcjonowania z wykorzystaniem CSIRE.  </w:t>
      </w:r>
    </w:p>
    <w:p w14:paraId="415884EB" w14:textId="42DC509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Dzień 19 października 2026 r. jest natomiast ostatecznym terminem rozpoczęcia realizacji zadań za pośrednictwem CSIRE przez wszystkie podmioty, niezależnie od liczby posiadanych przez nie punktów poboru energii.  </w:t>
      </w:r>
    </w:p>
    <w:p w14:paraId="10CFE4BC"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W ustawie uregulowano również związane z wprowadzeniem CSIRE kwestie skrócenia czasu przeprowadzenia zmiany sprzedawcy energii elektrycznej do 24 godzin oraz przejścia na nowy, korzystniejszy dla odbiorcy, model sprzedaży rezerwowej energii elektrycznej, </w:t>
      </w:r>
      <w:r w:rsidRPr="000C3FF4">
        <w:rPr>
          <w:rFonts w:ascii="Arial" w:eastAsia="Times New Roman" w:hAnsi="Arial" w:cs="Arial"/>
          <w:lang w:eastAsia="pl-PL"/>
        </w:rPr>
        <w:lastRenderedPageBreak/>
        <w:t xml:space="preserve">umożliwiając odbiorcy końcowemu skorzystanie z tych rozwiązań od chwili przystąpienia poszczególnych kategorii użytkowników uprawnionych rynku energii do realizacji zadań za pośrednictwem CSIRE. </w:t>
      </w:r>
    </w:p>
    <w:p w14:paraId="585A5A2E"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Zmiany obejmują także nowe zasady rozliczeń dla prosumentów wirtualnych. Do 19 października 2026 r. będą oni mogli funkcjonować tylko na terenie jednego operatora systemu dystrybucyjnego. Oznacza to, że instalacja i miejsce zużycia energii będą musiały być na terenie tego samego operatora. Ograniczenie to wynika z początkowego braku pełnego wdrożenia CSIRE. Po tej dacie wejdzie w życie ujednolicony mechanizm rozliczeń, oparty o dane z CSIRE. </w:t>
      </w:r>
    </w:p>
    <w:p w14:paraId="1D3A30FA"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Ustawa przesuwa termin związany z obowiązkiem zaoferowania przez inwestorów farm wiatrowych energii z co najmniej 10 proc. mocy zainstalowanej mieszkańcom gminy na zasadach prosumenta wirtualnego po cenie wynikającej z kosztów budowy. Obecnie obowiązek ten dotyczy inwestorów, którzy pozwolenie na budowę farmy dostaną po 2 lipca 2025 r. W nowelizacji przesunięto go na 20 października 2026 r. </w:t>
      </w:r>
    </w:p>
    <w:p w14:paraId="29AF84A0"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Ustawa wprowadziła również zmiany do ustawy z dnia 19 lipca 2019 r. o systemie rekompensat dla sektorów i podsektorów energochłonnych wprowadzające możliwość wypłaty zaliczek na poczet rekompensat. Wartość rekompensaty ma wynosić 60 proc. rekompensaty wypłaconej za poprzedni rok kalendarzowy, a wartość będzie dodatkowo korygowana o współczynnik uwzględniający zmianę cen uprawnień do emisji między rokiem wypłaty zaliczki, a poprzednim rokiem kalendarzowym. </w:t>
      </w:r>
    </w:p>
    <w:p w14:paraId="358C956D" w14:textId="77777777" w:rsidR="0066077A"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Zmianie ulega również ustawa z dnia 17 sierpnia 2023 r. o osłonach socjalnych dla pracowników sektora elektroenergetycznego i branży górnictwa węgla brunatnego. Nowe brzmienie przepisów ma zlikwidować wątpliwości interpretacyjne co do kręgu pracowników uprawnionych do skorzystania z osłon. Doprecyzowano przepisy dotyczące osłon socjalnych wprowadzając przesłankę, zgodnie z którą warunkiem nabycia odpowiednio prawa do urlopu energetycznego i górniczego lub jednorazowej odprawy pieniężnej jest również rozwiązanie przez pracownika wszystkich innych umów na podstawie których wykonywał pracę w podmiocie, o którym mowa w art. 3 powołanej ustawy lub w podmiotach z nimi kooperującymi. Fakt ten będzie weryfikowany za pomocą oświadczenia składanego pracodawcy przez pracownika pod rygorem odpowiedzialności karnej.  </w:t>
      </w:r>
    </w:p>
    <w:p w14:paraId="20A210C7" w14:textId="77777777" w:rsidR="0066077A" w:rsidRDefault="0066077A" w:rsidP="00817E96">
      <w:pPr>
        <w:spacing w:after="0"/>
        <w:jc w:val="both"/>
        <w:rPr>
          <w:rFonts w:ascii="Arial" w:eastAsia="Times New Roman" w:hAnsi="Arial" w:cs="Arial"/>
          <w:lang w:eastAsia="pl-PL"/>
        </w:rPr>
      </w:pPr>
    </w:p>
    <w:p w14:paraId="34A697A6" w14:textId="7E1E7B99" w:rsidR="00E944E6" w:rsidRPr="00817E96" w:rsidRDefault="000C3FF4" w:rsidP="00817E96">
      <w:pPr>
        <w:spacing w:after="0"/>
        <w:jc w:val="both"/>
        <w:rPr>
          <w:rFonts w:ascii="Arial" w:eastAsia="Times New Roman" w:hAnsi="Arial" w:cs="Arial"/>
          <w:lang w:eastAsia="pl-PL"/>
        </w:rPr>
      </w:pPr>
      <w:r w:rsidRPr="000C3FF4">
        <w:rPr>
          <w:rFonts w:ascii="Arial" w:eastAsia="Times New Roman" w:hAnsi="Arial" w:cs="Arial"/>
          <w:lang w:eastAsia="pl-PL"/>
        </w:rPr>
        <w:t xml:space="preserve">Ustawa wejdzie w życie z dniem następującym po dniu ogłoszenia, z wyjątkiem niektórych przepisów dla których ustawa przewiduje inny termin wejścia w życie. </w:t>
      </w:r>
    </w:p>
    <w:p w14:paraId="506F9223" w14:textId="77777777" w:rsidR="00817E96" w:rsidRDefault="00817E96" w:rsidP="00817E96">
      <w:pPr>
        <w:spacing w:after="0"/>
        <w:jc w:val="both"/>
        <w:rPr>
          <w:rStyle w:val="markedcontent"/>
          <w:rFonts w:ascii="Arial" w:hAnsi="Arial" w:cs="Arial"/>
        </w:rPr>
      </w:pPr>
    </w:p>
    <w:p w14:paraId="4D87AA0B" w14:textId="343849A1" w:rsidR="00E944E6" w:rsidRPr="00287656" w:rsidRDefault="00E944E6" w:rsidP="00E944E6">
      <w:pPr>
        <w:pStyle w:val="Akapitzlist"/>
        <w:numPr>
          <w:ilvl w:val="0"/>
          <w:numId w:val="2"/>
        </w:numPr>
        <w:spacing w:after="0"/>
        <w:ind w:left="426" w:hanging="426"/>
        <w:jc w:val="both"/>
        <w:rPr>
          <w:rFonts w:ascii="Arial" w:eastAsia="Times New Roman" w:hAnsi="Arial" w:cs="Arial"/>
          <w:u w:val="single"/>
          <w:lang w:eastAsia="pl-PL"/>
        </w:rPr>
      </w:pPr>
      <w:r>
        <w:rPr>
          <w:rFonts w:ascii="Arial" w:hAnsi="Arial" w:cs="Arial"/>
          <w:u w:val="single"/>
        </w:rPr>
        <w:t>Ustawa</w:t>
      </w:r>
      <w:r w:rsidR="0066077A" w:rsidRPr="0066077A">
        <w:rPr>
          <w:rFonts w:ascii="Arial" w:hAnsi="Arial" w:cs="Arial"/>
          <w:u w:val="single"/>
        </w:rPr>
        <w:t xml:space="preserve"> z dnia 21 maja 2025 r. o zmianie niektórych ustaw w celu deregulacji prawa gospodarczego i administracyjnego oraz doskonalenia zasad opracowywania prawa gospodarczego</w:t>
      </w:r>
      <w:r w:rsidR="0066077A">
        <w:rPr>
          <w:rFonts w:ascii="Arial" w:hAnsi="Arial" w:cs="Arial"/>
          <w:u w:val="single"/>
        </w:rPr>
        <w:t>.</w:t>
      </w:r>
      <w:r>
        <w:rPr>
          <w:rFonts w:ascii="Arial" w:hAnsi="Arial" w:cs="Arial"/>
          <w:u w:val="single"/>
        </w:rPr>
        <w:t xml:space="preserve"> </w:t>
      </w:r>
    </w:p>
    <w:p w14:paraId="405E9D55" w14:textId="77777777" w:rsidR="0066077A" w:rsidRDefault="0066077A" w:rsidP="0066077A">
      <w:pPr>
        <w:spacing w:after="0"/>
        <w:jc w:val="both"/>
        <w:rPr>
          <w:rFonts w:ascii="Arial" w:eastAsia="Times New Roman" w:hAnsi="Arial" w:cs="Arial"/>
          <w:lang w:eastAsia="pl-PL"/>
        </w:rPr>
      </w:pPr>
    </w:p>
    <w:p w14:paraId="689355B0" w14:textId="53BB51FD" w:rsidR="00E944E6" w:rsidRPr="00287656" w:rsidRDefault="00E944E6" w:rsidP="0066077A">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66077A">
        <w:rPr>
          <w:rFonts w:ascii="Arial" w:eastAsia="Times New Roman" w:hAnsi="Arial" w:cs="Arial"/>
          <w:lang w:eastAsia="pl-PL"/>
        </w:rPr>
        <w:t>12 czerwca</w:t>
      </w:r>
      <w:r w:rsidRPr="00287656">
        <w:rPr>
          <w:rFonts w:ascii="Arial" w:eastAsia="Times New Roman" w:hAnsi="Arial" w:cs="Arial"/>
          <w:lang w:eastAsia="pl-PL"/>
        </w:rPr>
        <w:t xml:space="preserve"> 20</w:t>
      </w:r>
      <w:r w:rsidR="0066077A">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66077A">
        <w:rPr>
          <w:rFonts w:ascii="Arial" w:eastAsia="Times New Roman" w:hAnsi="Arial" w:cs="Arial"/>
          <w:lang w:eastAsia="pl-PL"/>
        </w:rPr>
        <w:t>5</w:t>
      </w:r>
      <w:r w:rsidRPr="00287656">
        <w:rPr>
          <w:rFonts w:ascii="Arial" w:eastAsia="Times New Roman" w:hAnsi="Arial" w:cs="Arial"/>
          <w:lang w:eastAsia="pl-PL"/>
        </w:rPr>
        <w:t xml:space="preserve">, poz. </w:t>
      </w:r>
      <w:r w:rsidR="0066077A">
        <w:rPr>
          <w:rFonts w:ascii="Arial" w:eastAsia="Times New Roman" w:hAnsi="Arial" w:cs="Arial"/>
          <w:lang w:eastAsia="pl-PL"/>
        </w:rPr>
        <w:t>269</w:t>
      </w:r>
      <w:r w:rsidRPr="00287656">
        <w:rPr>
          <w:rFonts w:ascii="Arial" w:eastAsia="Times New Roman" w:hAnsi="Arial" w:cs="Arial"/>
          <w:lang w:eastAsia="pl-PL"/>
        </w:rPr>
        <w:t>).</w:t>
      </w:r>
    </w:p>
    <w:p w14:paraId="4582D7AE" w14:textId="77777777" w:rsidR="0066077A" w:rsidRDefault="0066077A" w:rsidP="0066077A">
      <w:pPr>
        <w:spacing w:after="0"/>
        <w:jc w:val="both"/>
        <w:rPr>
          <w:rFonts w:ascii="Arial" w:eastAsia="Times New Roman" w:hAnsi="Arial" w:cs="Arial"/>
          <w:lang w:eastAsia="pl-PL"/>
        </w:rPr>
      </w:pPr>
    </w:p>
    <w:p w14:paraId="1703299C"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Ustawa nowelizuje: </w:t>
      </w:r>
    </w:p>
    <w:p w14:paraId="519DC4B0"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Ustawę z dnia 14 czerwca 1960 r. – Kodeks postępowania administracyjnego </w:t>
      </w:r>
    </w:p>
    <w:p w14:paraId="18A3983D"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1) Doręczenie zastępcze  </w:t>
      </w:r>
    </w:p>
    <w:p w14:paraId="3A6BD213"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Wprowadzony art. 45a Kpa przewiduje doręczenie pism jednostkom organizacyjnym lub organizacjom społecznym przez wprowadzenie instytucji tzw. wtórnego adresata pisma oraz wykorzystanie fikcji prawnej doręczenia. Przepisy te będą miały zastosowanie jedynie w przypadkach, gdy adres siedziby tych jednostek nie istnieje, został wykreślony z rejestru lub </w:t>
      </w:r>
      <w:r w:rsidRPr="0066077A">
        <w:rPr>
          <w:rFonts w:ascii="Arial" w:eastAsia="Times New Roman" w:hAnsi="Arial" w:cs="Arial"/>
          <w:lang w:eastAsia="pl-PL"/>
        </w:rPr>
        <w:lastRenderedPageBreak/>
        <w:t xml:space="preserve">jest niezgodny z odpowiednim rejestrem i nie można ustalić adresu siedziby - wprowadza się możliwość doręczenia pisma osobie fizycznej upoważnionej do reprezentowania adresata, będącego jednostką organizacyjną, także wtedy, gdy reprezentacja ma charakter łączny z innymi osobami (tożsame rozwiązanie uregulowane jest aktualnie w art. 151a Ordynacji podatkowej). </w:t>
      </w:r>
    </w:p>
    <w:p w14:paraId="6876F3AA"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2) Zmiany w zakresie mediacji </w:t>
      </w:r>
    </w:p>
    <w:p w14:paraId="4C786DE4"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Zgodnie z uzasadnieniem projektodawcy, wprowadzona w 2017 r. do Kpa mediacja przyczynia się do budowania zaufania obywateli do organów administracji publicznej oraz profesjonalizacji załatwiania spraw. Mediacja, mimo jej zalet, nie stała się szeroko stosowanym narzędziem w sprawach administracyjnych. Organy często pomijają istotę mediacji w sprawach administracyjnych, a strony postępowania mają niewielką wiedzę o możliwości korzystania z mediacji w ramach postępowania administracyjnego oraz o zaletach tego instrumentu. Dlatego w art. 96a Kpa doprecyzowano katalog spraw, które w szczególności nadają się do prowadzenia mediacji administracyjnej.  </w:t>
      </w:r>
    </w:p>
    <w:p w14:paraId="3CF8EDDC"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Organy administracji publicznej zostaną obowiązane sporządzić i dołączyć do akt adnotację zawierającą informację, czy charakter sprawy pozwala na przeprowadzenie mediacji, a jeśli tak, czy zachodzą okoliczności odstąpienia od zawiadomienia o możliwości przeprowadzenia mediacji. Niecelowość mediacji administracyjnej zachodzi, gdy sprawę należy załatwić niezwłocznie, np. ze względu na ważny interes publiczny lub gdy mediacja administracyjna przedłużałaby jedynie postępowanie.  </w:t>
      </w:r>
    </w:p>
    <w:p w14:paraId="42AA3C37"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Ponadto art. 96b Kpa uzupełniono o wyraźne wskazanie, że zawiadomienie o możliwości mediacji może być ponawiane w toku sprawy, niezależnie od etapu postępowania. W pouczeniu o mediacji należy także poinformować o możliwości ponawiania zawiadomienia oraz o korzyściach mediacji administracyjnej. Ma to na celu zwiększenie świadomości prawnej wśród stron o mediacji w postępowaniu administracyjnym. </w:t>
      </w:r>
    </w:p>
    <w:p w14:paraId="5FCFA2F5"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3) Umarzanie zawieszonych postępowań </w:t>
      </w:r>
    </w:p>
    <w:p w14:paraId="3A906DBF" w14:textId="77777777" w:rsidR="00FA6747" w:rsidRDefault="0066077A" w:rsidP="0066077A">
      <w:pPr>
        <w:spacing w:after="0"/>
        <w:jc w:val="both"/>
        <w:rPr>
          <w:rFonts w:ascii="Arial" w:eastAsia="Times New Roman" w:hAnsi="Arial" w:cs="Arial"/>
          <w:lang w:eastAsia="pl-PL"/>
        </w:rPr>
      </w:pPr>
      <w:r w:rsidRPr="0066077A">
        <w:rPr>
          <w:rFonts w:ascii="Arial" w:eastAsia="Times New Roman" w:hAnsi="Arial" w:cs="Arial"/>
          <w:lang w:eastAsia="pl-PL"/>
        </w:rPr>
        <w:t xml:space="preserve">W Kpa wprowadza się przepis określający termin, po upływie którego postępowanie zawieszone z przyczyn obligatoryjnych, w oparciu o podstawy wymienione w art. 97 § 1 Kpa, będzie mogło ulec umorzeniu, o ile nie będą sprzeciwiać się temu pozostałe strony oraz nie będzie zagrażało to interesowi społecznemu. </w:t>
      </w:r>
    </w:p>
    <w:p w14:paraId="0C29B8B7" w14:textId="79FDC132" w:rsidR="00FA6747" w:rsidRPr="00FA6747" w:rsidRDefault="00FA6747" w:rsidP="00FA6747">
      <w:pPr>
        <w:spacing w:after="0"/>
        <w:jc w:val="both"/>
        <w:rPr>
          <w:rFonts w:ascii="Arial" w:eastAsia="Times New Roman" w:hAnsi="Arial" w:cs="Arial"/>
          <w:lang w:eastAsia="pl-PL"/>
        </w:rPr>
      </w:pPr>
      <w:r>
        <w:rPr>
          <w:rFonts w:ascii="Arial" w:eastAsia="Times New Roman" w:hAnsi="Arial" w:cs="Arial"/>
          <w:lang w:eastAsia="pl-PL"/>
        </w:rPr>
        <w:t xml:space="preserve">4) </w:t>
      </w:r>
      <w:r w:rsidR="0066077A" w:rsidRPr="00FA6747">
        <w:rPr>
          <w:rFonts w:ascii="Arial" w:eastAsia="Times New Roman" w:hAnsi="Arial" w:cs="Arial"/>
          <w:lang w:eastAsia="pl-PL"/>
        </w:rPr>
        <w:t xml:space="preserve">Decyzje hybrydowe </w:t>
      </w:r>
    </w:p>
    <w:p w14:paraId="10D801F5" w14:textId="77777777" w:rsidR="00FA6747" w:rsidRDefault="0066077A" w:rsidP="00FA6747">
      <w:pPr>
        <w:spacing w:after="0"/>
        <w:jc w:val="both"/>
        <w:rPr>
          <w:rFonts w:ascii="Arial" w:eastAsia="Times New Roman" w:hAnsi="Arial" w:cs="Arial"/>
          <w:lang w:eastAsia="pl-PL"/>
        </w:rPr>
      </w:pPr>
      <w:r w:rsidRPr="00FA6747">
        <w:rPr>
          <w:rFonts w:ascii="Arial" w:eastAsia="Times New Roman" w:hAnsi="Arial" w:cs="Arial"/>
          <w:lang w:eastAsia="pl-PL"/>
        </w:rPr>
        <w:t xml:space="preserve">Wprowadzono art. 109 § 3 Kpa, zgodnie z którym załączniki do decyzji wydanej w postaci papierowej mogą być doręczone na innym trwałym nośniku informacji, za zgodą strony wyrażoną na piśmie albo ustnie do protokołu. Za trwały nośnik informacji rozumieć każdy nośnik informacji umożliwiający przechowywanie przez czas niezbędny, wynikający z charakteru informacji oraz celu ich sporządzenia lub przekazania, zawartych na nim informacji w sposób uniemożliwiający ich zmianę lub pozwalający na odtworzenie informacji w wersji i formie, w jakiej zostały sporządzone lub przekazane.  </w:t>
      </w:r>
    </w:p>
    <w:p w14:paraId="442FDF54" w14:textId="3988A5C3" w:rsidR="00FA6747" w:rsidRPr="00FA6747" w:rsidRDefault="00FA6747" w:rsidP="008C0E18">
      <w:pPr>
        <w:spacing w:after="0"/>
        <w:jc w:val="both"/>
        <w:rPr>
          <w:rFonts w:ascii="Arial" w:eastAsia="Times New Roman" w:hAnsi="Arial" w:cs="Arial"/>
          <w:lang w:eastAsia="pl-PL"/>
        </w:rPr>
      </w:pPr>
      <w:r w:rsidRPr="00FA6747">
        <w:rPr>
          <w:rFonts w:ascii="Arial" w:eastAsia="Times New Roman" w:hAnsi="Arial" w:cs="Arial"/>
          <w:lang w:eastAsia="pl-PL"/>
        </w:rPr>
        <w:t>5)</w:t>
      </w:r>
      <w:r>
        <w:rPr>
          <w:rFonts w:ascii="Arial" w:eastAsia="Times New Roman" w:hAnsi="Arial" w:cs="Arial"/>
          <w:lang w:eastAsia="pl-PL"/>
        </w:rPr>
        <w:t xml:space="preserve"> </w:t>
      </w:r>
      <w:r w:rsidR="0066077A" w:rsidRPr="00FA6747">
        <w:rPr>
          <w:rFonts w:ascii="Arial" w:eastAsia="Times New Roman" w:hAnsi="Arial" w:cs="Arial"/>
          <w:lang w:eastAsia="pl-PL"/>
        </w:rPr>
        <w:t xml:space="preserve">Zmiany w zakresie pouczeń do postanowień </w:t>
      </w:r>
    </w:p>
    <w:p w14:paraId="704D6949" w14:textId="77777777" w:rsidR="00FA6747" w:rsidRPr="00B03E57" w:rsidRDefault="0066077A" w:rsidP="00B03E57">
      <w:pPr>
        <w:spacing w:after="0"/>
        <w:jc w:val="both"/>
        <w:rPr>
          <w:rFonts w:ascii="Arial" w:hAnsi="Arial" w:cs="Arial"/>
          <w:lang w:eastAsia="pl-PL"/>
        </w:rPr>
      </w:pPr>
      <w:r w:rsidRPr="00FA6747">
        <w:rPr>
          <w:lang w:eastAsia="pl-PL"/>
        </w:rPr>
        <w:t xml:space="preserve">W związku ze zmianami przepisów ustawy – Prawo o postępowaniu przed sądami administracyjnymi wprowadzona została zmiana art. 124 § 1 i § 2, art. 125 § 1 i § 3 Kpa przez </w:t>
      </w:r>
      <w:r w:rsidRPr="00B03E57">
        <w:rPr>
          <w:rFonts w:ascii="Arial" w:hAnsi="Arial" w:cs="Arial"/>
          <w:lang w:eastAsia="pl-PL"/>
        </w:rPr>
        <w:t xml:space="preserve">dodanie w tych regulacjach instytucji sprzeciwu od postanowienia. </w:t>
      </w:r>
    </w:p>
    <w:p w14:paraId="70AE35A1" w14:textId="2F7ACD63" w:rsidR="008C0E18" w:rsidRPr="00B03E57" w:rsidRDefault="008C0E18" w:rsidP="00B03E57">
      <w:pPr>
        <w:spacing w:after="0"/>
        <w:jc w:val="both"/>
        <w:rPr>
          <w:rFonts w:ascii="Arial" w:hAnsi="Arial" w:cs="Arial"/>
          <w:lang w:eastAsia="pl-PL"/>
        </w:rPr>
      </w:pPr>
      <w:r w:rsidRPr="00B03E57">
        <w:rPr>
          <w:rFonts w:ascii="Arial" w:hAnsi="Arial" w:cs="Arial"/>
          <w:lang w:eastAsia="pl-PL"/>
        </w:rPr>
        <w:t xml:space="preserve">6) </w:t>
      </w:r>
      <w:r w:rsidR="0066077A" w:rsidRPr="00B03E57">
        <w:rPr>
          <w:rFonts w:ascii="Arial" w:hAnsi="Arial" w:cs="Arial"/>
          <w:lang w:eastAsia="pl-PL"/>
        </w:rPr>
        <w:t xml:space="preserve">Zmiany w zakresie decyzji autokontroli organu </w:t>
      </w:r>
    </w:p>
    <w:p w14:paraId="1DF8FC7B"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W art. 132 § 1 Kpa rozszerzono/doprecyzowano możliwość postępowania organu w trybie autokontroli po wniesieniu odwołania przez stronę/strony. Zmiana przepisu polega na umożliwieniu organowi administracji publicznej uchylenia zaskarżonej decyzji w całości lub w części albo uchylenia decyzji i umorzenia postępowania w całości lub w części. W części uchylonej organ orzeka na nowo.  </w:t>
      </w:r>
    </w:p>
    <w:p w14:paraId="75D24BB7" w14:textId="2E31268C" w:rsidR="008C0E18" w:rsidRPr="00B03E57" w:rsidRDefault="008C0E18" w:rsidP="00B03E57">
      <w:pPr>
        <w:spacing w:after="0"/>
        <w:jc w:val="both"/>
        <w:rPr>
          <w:rFonts w:ascii="Arial" w:hAnsi="Arial" w:cs="Arial"/>
          <w:lang w:eastAsia="pl-PL"/>
        </w:rPr>
      </w:pPr>
      <w:r w:rsidRPr="00B03E57">
        <w:rPr>
          <w:rFonts w:ascii="Arial" w:hAnsi="Arial" w:cs="Arial"/>
          <w:lang w:eastAsia="pl-PL"/>
        </w:rPr>
        <w:lastRenderedPageBreak/>
        <w:t xml:space="preserve">7) </w:t>
      </w:r>
      <w:r w:rsidR="0066077A" w:rsidRPr="00B03E57">
        <w:rPr>
          <w:rFonts w:ascii="Arial" w:hAnsi="Arial" w:cs="Arial"/>
          <w:lang w:eastAsia="pl-PL"/>
        </w:rPr>
        <w:t xml:space="preserve">Związanie organu pierwszego stopnia wskazaniami organu odwoławczego </w:t>
      </w:r>
    </w:p>
    <w:p w14:paraId="2F89D78F"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W art. 139a Kpa wprowadza się instrument, który będzie prowadził do stanowczego obowiązku organu I instancji zastosowania się do treści decyzji organu odwoławczego.  </w:t>
      </w:r>
    </w:p>
    <w:p w14:paraId="0C4BDA80"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Zarządzenie przez organ odwoławczy ustalenia przyczyn naruszenia obowiązku wynikającego z art. 138 § 2 lub 2a Kpa będzie toczyło się obok (niezależnie od) prowadzonego postępowania odwoławczego – sprawa ta będzie wyjaśniana wyłącznie pomiędzy organem pierwszej i drugiej instancji.  </w:t>
      </w:r>
    </w:p>
    <w:p w14:paraId="7DB31ABD"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8) Zmiany dotyczące biegu terminu przedawnienia nałożenia administracyjnej kary pieniężnej </w:t>
      </w:r>
    </w:p>
    <w:p w14:paraId="6F19ADFD"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W katalogu przyczyn przerwania i zawieszenia biegu terminu przedawnienia nałożenia administracyjnej kary pieniężnej uzupełniony został o okres obligatoryjnego zawieszenia postępowania.   </w:t>
      </w:r>
    </w:p>
    <w:p w14:paraId="4E142285"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9) Zmiany w zakresie definicji zaległej administracyjnej kary pieniężnej </w:t>
      </w:r>
    </w:p>
    <w:p w14:paraId="5E68B51F"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W art. 189i § 1 Kpa wskazano, że zaległą administracyjną karą pieniężna jest kara niezapłacona w terminie 14 dni od dnia, w którym decyzja w sprawie administracyjnej kary pieniężnej stała się ostateczna, a jeżeli przepisy szczególne wskazują inny termin zapłaty administracyjnej kary pieniężnej – zaległą administracyjną karą pieniężną jest kara niezapłacona w tym terminie.  </w:t>
      </w:r>
    </w:p>
    <w:p w14:paraId="04E0174F"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10) Zmiany w zakresie wykonania kar administracyjnych oraz zaległych kar administracyjnych: </w:t>
      </w:r>
    </w:p>
    <w:p w14:paraId="02E2DDFE"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a) art. 189k § 1 pkt 2 Kpa mówiący o odroczeniu terminu wykonania zaległej administracyjnej kary pieniężnej lub rozłożeniu jej na raty, uzupełniono przez dodanie wyrazów „wraz z odsetkami za zwłokę”, analogicznie jak ma to miejsce w art. 67a § 1 pkt 2 Ordynacji podatkowej, na którym regulacja dotycząca ulg w spłacie administracyjnych kar pieniężnych była wzorowana, </w:t>
      </w:r>
    </w:p>
    <w:p w14:paraId="2A1FB010"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b) uregulowano kwestię naliczania odsetek za zwłokę w przypadku odroczenia lub rozłożenia na raty zapłaty zaległej administracyjnej kary pieniężnej - odsetki za zwłokę będzie naliczać się do dnia złożenia wniosku przez stronę o zastosowanie ww. ulgi, włącznie z tym dniem.   Jednocześnie odsetki za zwłokę będą naliczane począwszy od dnia następującego po upływie terminu płatności administracyjnej kary pieniężnej, gdy decyzja o odmowie odroczenia terminu płatności lub rozłożenia na raty administracyjnej kary pieniężnej została doręczona stronie przed upływem dwóch miesięcy od dnia wniesienia wniosku strony o udzielenie ww. ulgi (art. 189k § 2b pkt 1 Kpa). Natomiast po w przypadku, gdy ww. decyzja zostanie doręczona stronie po upływie dwóch miesięcy, wówczas odsetki będą naliczane z wyłączaniem okresu od dnia następującego po dniu wniesienia wniosku do dnia doręczenia ww. decyzji (art. 189k § 2b pkt 2 Kpa).  </w:t>
      </w:r>
    </w:p>
    <w:p w14:paraId="79AD18EA"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Dodawany natomiast art. 189k § 2c–2e Kpa ma na celu uregulowanie zasad postępowania w przypadku opóźnień w zapłacie odroczonej lub rozłożonej na raty administracyjnej kary pieniężnej. Przepisy te będą miały odpowiednie zastosowanie do odroczonej lub rozłożonej na raty zaległej administracyjnej kary pieniężnej (art. 189k § 2f Kpa).  </w:t>
      </w:r>
    </w:p>
    <w:p w14:paraId="5B3ABC92"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11) Udzielanie ulg z urzędu w zakresie administracyjnych kar pieniężnych. </w:t>
      </w:r>
    </w:p>
    <w:p w14:paraId="61E150E5"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Wprowadzono możliwość wszczęcia postępowania o udzielenie ulgi w wykonaniu administracyjnej kary pieniężnej z urzędu (przesłanki wskazane w tego typu sprawach mają na celu wyeliminowanie tych administracyjnych kar pieniężnych m.in., w stosunku do których zachodzi uzasadnione przypuszczenie, że egzekucja administracyjna będzie bezskuteczna z powodu braku majątku lub źródła dochodu zobowiązanego, z których jest możliwe wyegzekwowanie środków pieniężnych przewyższających koszty egzekucyjne). Wprowadzana instytucja jest wzorowana – zgodnie z uzasadnieniem - na regulacji art. 67d Ordynacji podatkowej oraz art. 64 ustawy z dnia 27 sierpnia 2009 r. o finansach publicznych. </w:t>
      </w:r>
    </w:p>
    <w:p w14:paraId="626FBB31"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Ustawę z dnia 23 kwietnia 1964 r. – Kodeks cywilny </w:t>
      </w:r>
    </w:p>
    <w:p w14:paraId="3D6A3B2A"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lastRenderedPageBreak/>
        <w:t xml:space="preserve">Dokonano zmiany polegającej na zastąpieniu formy pisemnej umowy leasingu, formą dokumentową. Umowę leasingu będzie można zawrzeć w formie dokumentowej, bez konieczności posiadania kwalifikowanego certyfikatu.   podpisu elektronicznego weryfikowanego za pomocą </w:t>
      </w:r>
    </w:p>
    <w:p w14:paraId="713B6E9E"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Dodatkowo, w związku z powyższą zmianą, przewidziano, że również upomnienie oraz  wyznaczenia dodatkowego terminu przez finansującego korzystającemu będzie dokonywane w formie dokumentowej.   </w:t>
      </w:r>
    </w:p>
    <w:p w14:paraId="3FFBFF9C" w14:textId="77777777" w:rsidR="008C0E18" w:rsidRPr="00B03E57" w:rsidRDefault="0066077A" w:rsidP="00B03E57">
      <w:pPr>
        <w:spacing w:after="0"/>
        <w:jc w:val="both"/>
        <w:rPr>
          <w:rFonts w:ascii="Arial" w:hAnsi="Arial" w:cs="Arial"/>
          <w:lang w:eastAsia="pl-PL"/>
        </w:rPr>
      </w:pPr>
      <w:r w:rsidRPr="00B03E57">
        <w:rPr>
          <w:rFonts w:ascii="Arial" w:hAnsi="Arial" w:cs="Arial"/>
          <w:lang w:eastAsia="pl-PL"/>
        </w:rPr>
        <w:t xml:space="preserve">Ustawę z dnia 9 kwietnia 1968 r. o dokonywaniu w księgach wieczystych wpisów na rzecz Skarbu Państwa w oparciu o międzynarodowe umowy o uregulowaniu roszczeń finansowych </w:t>
      </w:r>
    </w:p>
    <w:p w14:paraId="31B28BB1"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Na gruncie postępowań prowadzonych na podstawie przepisów odstąpiono od zasady dwuinstancyjności (w uzasadnieniu wskazano, że  decyzje mają charakter deklaratoryjny i potwierdzają przejście w przeszłości nieruchomości na rzecz Skarbu Państwa w związku z zawarciem z państwami obcymi układów indemnizacyjnych. Nie zmieniają one istniejącego stosunku prawnego lecz potwierdzają przejście praw rzeczowych w dacie zastosowania przepisów nacjonalizacyjnych lub podobnych, w konsekwencji których nieruchomości zostały przejęte przez Skarb Państwa). W postępowaniu prowadzonym przez Ministra Finansów mamy do czynienia z wnioskiem o ponowne rozpatrzenie sprawy, który rozpatrywany jest przez ten sam organ. Jak pokazują statystyki, zgodnie z uzasadnienie projektodawcy, decyzje te w zdecydowanej większości nie prowadzą do zmiany rozstrzygnięć wydawanych w pierwszej instancji, lecz do ponownej polemiki z twierdzeniami przywoływanymi w toku postępowania </w:t>
      </w:r>
      <w:proofErr w:type="spellStart"/>
      <w:r w:rsidRPr="00B03E57">
        <w:rPr>
          <w:rFonts w:ascii="Arial" w:hAnsi="Arial" w:cs="Arial"/>
          <w:lang w:eastAsia="pl-PL"/>
        </w:rPr>
        <w:t>pierwszoinstancyjnego</w:t>
      </w:r>
      <w:proofErr w:type="spellEnd"/>
      <w:r w:rsidRPr="00B03E57">
        <w:rPr>
          <w:rFonts w:ascii="Arial" w:hAnsi="Arial" w:cs="Arial"/>
          <w:lang w:eastAsia="pl-PL"/>
        </w:rPr>
        <w:t xml:space="preserve">. Rozstrzygnięcia wydawane przez Ministra Finansów podlegają zaskarżeniu do sądu administracyjnego, a skargi w tych sprawach będą podlegały dwuinstancyjnemu postępowaniu sądowo-administracyjnemu. Powyższe oznacza, że prawa stron postępowania przed Ministrem Finansów, do wnikliwego rozpatrzenia sprawy i sądowej kontroli rozstrzygnięć administracji zostaną zapewnione. </w:t>
      </w:r>
    </w:p>
    <w:p w14:paraId="56C82F4A"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Jednocześnie, po wprowadzeniu zasady, że od decyzji wydanych przez Ministra Finansów nie będzie przysługiwał wniosek o ponowne rozpatrzenie sprawy, podobne rozwiązanie powinno dotyczyć zaskarżalnych w toku postępowania administracyjnego postanowień. W tym zakresie proponuje się dodać art. 2b do ustawy z dnia 9 kwietnia 1968 r. o dokonywaniu w księgach wieczystych wpisów na rzecz Skarbu Państwa w oparciu o międzynarodowe umowy o uregulowaniu roszczeń finansowych. </w:t>
      </w:r>
    </w:p>
    <w:p w14:paraId="0201035D"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Ustawę z dnia 28 lipca 1983 r. o podatku od spadków i darowizn  </w:t>
      </w:r>
    </w:p>
    <w:p w14:paraId="74E1C611"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Zgodnie z art. 19 ust. 6 ww. ustawy, jeżeli przedmiotem aktu notarialnego, który ma być sporządzony, lub dokumentu, co do którego notariusz ma uwierzytelnić podpis, ma być zbycie praw do spadku albo zbycie lub obciążenie rzeczy lub praw majątkowych uzyskanych tytułem, określonym w art. 1, notariusz może dokonać tych czynności tylko za uprzednią pisemną zgodą naczelnika urzędu skarbowego albo po przedstawieniu zaświadczenia wydanego przez naczelnika urzędu skarbowego potwierdzającego, że nabycie jest zwolnione od podatku, że należny podatek został zapłacony albo zobowiązanie podatkowe wygasło wskutek przedawnienia. Zgodnie z przyjętą regulacją, powyższego przepisu nie będzie się stosować w sytuacji, gdy zbywane lub obciążane rzeczy lub prawa majątkowe zostały nabyte na podstawie umowy zawartej w formie aktu notarialnego.   </w:t>
      </w:r>
    </w:p>
    <w:p w14:paraId="6A83496F"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Ustawę z dnia 22 marca 1989 r. o rzemiośle </w:t>
      </w:r>
    </w:p>
    <w:p w14:paraId="5EC7E4C6" w14:textId="77777777" w:rsidR="00B03E57" w:rsidRPr="00B03E57" w:rsidRDefault="0066077A" w:rsidP="00B03E57">
      <w:pPr>
        <w:spacing w:after="0"/>
        <w:jc w:val="both"/>
        <w:rPr>
          <w:rFonts w:ascii="Arial" w:hAnsi="Arial" w:cs="Arial"/>
          <w:lang w:eastAsia="pl-PL"/>
        </w:rPr>
      </w:pPr>
      <w:r w:rsidRPr="00B03E57">
        <w:rPr>
          <w:rFonts w:ascii="Arial" w:hAnsi="Arial" w:cs="Arial"/>
          <w:lang w:eastAsia="pl-PL"/>
        </w:rPr>
        <w:t xml:space="preserve">Jak wskazano w uzasadnieniu do projektu ustawy celem zmian dokonywanych w ustawie z dnia 22 marca 1989 r. o rzemiośle jest dostosowanie definicji rzemiosła i rzemieślnika do obecnych realiów społeczno-gospodarczych.  </w:t>
      </w:r>
    </w:p>
    <w:p w14:paraId="6871D4C1" w14:textId="77777777" w:rsidR="00B03E57" w:rsidRPr="00AD6E0A" w:rsidRDefault="0066077A" w:rsidP="00AD6E0A">
      <w:pPr>
        <w:spacing w:after="0"/>
        <w:jc w:val="both"/>
        <w:rPr>
          <w:rFonts w:ascii="Arial" w:hAnsi="Arial" w:cs="Arial"/>
          <w:lang w:eastAsia="pl-PL"/>
        </w:rPr>
      </w:pPr>
      <w:r w:rsidRPr="00B03E57">
        <w:rPr>
          <w:rFonts w:ascii="Arial" w:hAnsi="Arial" w:cs="Arial"/>
          <w:lang w:eastAsia="pl-PL"/>
        </w:rPr>
        <w:t xml:space="preserve">Wprowadzona do ustawy zmiana definicji rzemiosła i rzemieślnika polega na rozszerzeniu katalogu prawnie dopuszczalnej formy prowadzenia działalności gospodarczej w zakresie </w:t>
      </w:r>
      <w:r w:rsidRPr="00B03E57">
        <w:rPr>
          <w:rFonts w:ascii="Arial" w:hAnsi="Arial" w:cs="Arial"/>
          <w:lang w:eastAsia="pl-PL"/>
        </w:rPr>
        <w:lastRenderedPageBreak/>
        <w:t xml:space="preserve">rzemiosła. Nowa definicja rzemieślnika obejmie dodatkowo spółki kapitałowe (inne niż jednoosobowe spółki kapitałowe powstałe w wyniku przekształcenia przedsiębiorcy będącego osobą fizyczną wykonującego we własnym imieniu działalność gospodarczą z wykorzystaniem zawodowych kwalifikacji i pracy własnej). W odniesieniu do spółki cywilnej, komandytowej i komandytowo-akcyjnej zrezygnowano z wymogu, aby wspólnikami takiej spółki mogły być wyłącznie osoby fizyczne. Zrezygnowano także z wymogu, aby co do zasady wszyscy wspólnicy spółek musieli posiadać i wykorzystywać w ramach wspólnie prowadzonej działalności gospodarczej kwalifikacje zawodowe w rzemiośle, a do tego wyłącznie potwierdzone dowodami kwalifikacji zawodowych w rzemiośle w postaci dyplomu mistrza, świadectwa czeladniczego lub robotnika wykwalifikowanego w zawodzie odpowiadającym danemu rodzajowi rzemiosła. spółki Ww. wymogi zastąpiono wymogiem wykorzystywania we wspólnie prowadzonej działalności gospodarczej (osobowej czy kapitałowej, z wyłączeniem spółki partnerskiej) kwalifikacji zawodowych w rzemiośle potwierdzonych którymikolwiek dowodami kwalifikacji zawodowych w rzemiośle, o których mowa w art. 3 ust. 1 ustawy, co najmniej jednego wspólnika będącego osobą fizyczną oraz jego pracy własnej. Wymóg ten będzie uważany za spełniony także w sytuacji, gdy w ramach działalności gospodarczej prowadzonej przed przedsiębiorcę, którego jednym ze wspólników jest spółka, będzie wykorzystywana praca własna oraz kwalifikacje zawodowe w rzemiośle potwierdzone dowodami kwalifikacji zawodowych w rzemiośle, co najmniej jednej osoby fizycznej będącej </w:t>
      </w:r>
      <w:r w:rsidRPr="00AD6E0A">
        <w:rPr>
          <w:rFonts w:ascii="Arial" w:hAnsi="Arial" w:cs="Arial"/>
          <w:lang w:eastAsia="pl-PL"/>
        </w:rPr>
        <w:t xml:space="preserve">wspólnikiem tej spółki.  </w:t>
      </w:r>
    </w:p>
    <w:p w14:paraId="68B24B6F"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Status rzemieślnika będzie mogła również posiadać spółka kapitałowa, o ile działalność gospodarcza tej spółki będzie prowadzona z wykorzystaniem kwalifikacji zawodowych w rzemiośle co najmniej jednego wspólnika albo akcjonariusza potwierdzonych dowodami kwalifikacji zawodowych w rzemiośle i jego pracy własnej – jeżeli jest ona </w:t>
      </w:r>
      <w:proofErr w:type="spellStart"/>
      <w:r w:rsidRPr="00AD6E0A">
        <w:rPr>
          <w:rFonts w:ascii="Arial" w:hAnsi="Arial" w:cs="Arial"/>
          <w:lang w:eastAsia="pl-PL"/>
        </w:rPr>
        <w:t>mikroprzedsiębiorcą</w:t>
      </w:r>
      <w:proofErr w:type="spellEnd"/>
      <w:r w:rsidRPr="00AD6E0A">
        <w:rPr>
          <w:rFonts w:ascii="Arial" w:hAnsi="Arial" w:cs="Arial"/>
          <w:lang w:eastAsia="pl-PL"/>
        </w:rPr>
        <w:t xml:space="preserve">, małym przedsiębiorcą albo średnim przedsiębiorcą w rozumieniu ustawy z dnia 6 marca 2018 r. – Prawo przedsiębiorców.  </w:t>
      </w:r>
    </w:p>
    <w:p w14:paraId="2102BB1F"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Zmodyfikowano obowiązujący aktualnie katalog działalności i usług, których nie zalicza się do rzemiosła, przez wyłączenie usług optyków okularowych i protetyków słuchu. W uzasadnieniu do ustawy wskazano, że zawody optyka okularowego oraz protetyka słuchu są zawodami rzemieślniczymi. W obu zawodach prowadzona jest zarówno szkolna, jak i praktyczna nauka zawodu oraz przeprowadzane są egzaminy czeladnicze i mistrzowskie.  </w:t>
      </w:r>
    </w:p>
    <w:p w14:paraId="77DC6DC7"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12 października 1990 r. o Straży Granicznej </w:t>
      </w:r>
    </w:p>
    <w:p w14:paraId="7EAA1856"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 tej ustawy polegają na wyłączeniu stosowania do kontroli legalności wykonywania pracy przez cudzoziemców, prowadzenia działalności gospodarczej przez cudzoziemców, powierzania wykonywania pracy cudzoziemcom dodawanych w ustawie z dnia 6 marca 2018 r. – Prawo przedsiębiorców przepisów regulujących obowiązek publikacji okresowych analiz ryzyka oraz ograniczenia częstotliwości kontroli planowych. </w:t>
      </w:r>
    </w:p>
    <w:p w14:paraId="38AD6B0F"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13 października 1995 r. o zasadach ewidencji i identyfikacji podatników i płatników  </w:t>
      </w:r>
    </w:p>
    <w:p w14:paraId="0869B7F7"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dotyczy wprowadzenia zasady, w myśl której osoby fizyczne wykonujące działalność nierejestrową będą identyfikowały się numerem PESEL, a nie numerem NIP. Natomiast w przypadku, gdy osoba fizyczna wykonująca działalność nierejestrową będzie zarejestrowanym podatnikiem podatku od towarów i usług lub będzie prowadziła ewidencję sprzedaży przy zastosowaniu kas rejestrujących to wówczas identyfikatorem podatkowym będzie NIP. Powyższa zmiana znajdzie zastosowanie również do podatników będących osobami fizycznymi wykonującymi działalność nierejestrową, którym przed dniem wejścia w życie niniejszej ustawy został nadany numer identyfikacji podatkowej. </w:t>
      </w:r>
    </w:p>
    <w:p w14:paraId="4650D214"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5 grudnia 1996 r. o zawodach lekarza i lekarza dentysty  </w:t>
      </w:r>
    </w:p>
    <w:p w14:paraId="55D5B385"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lastRenderedPageBreak/>
        <w:t xml:space="preserve">Zmiana dotyczy odstąpienia od zasady dwuinstancyjności. W ww. ustawie art. 16o </w:t>
      </w:r>
      <w:r w:rsidR="00B03E57" w:rsidRPr="00AD6E0A">
        <w:rPr>
          <w:rFonts w:ascii="Arial" w:hAnsi="Arial" w:cs="Arial"/>
          <w:lang w:eastAsia="pl-PL"/>
        </w:rPr>
        <w:t>ust. 4</w:t>
      </w:r>
      <w:r w:rsidR="00B03E57" w:rsidRPr="00AD6E0A">
        <w:rPr>
          <w:rFonts w:ascii="Arial" w:hAnsi="Arial" w:cs="Arial"/>
          <w:lang w:eastAsia="pl-PL"/>
        </w:rPr>
        <w:t xml:space="preserve"> </w:t>
      </w:r>
      <w:r w:rsidRPr="00AD6E0A">
        <w:rPr>
          <w:rFonts w:ascii="Arial" w:hAnsi="Arial" w:cs="Arial"/>
          <w:lang w:eastAsia="pl-PL"/>
        </w:rPr>
        <w:t xml:space="preserve">reguluje skreślenie lekarza pełniącego służbę lub zatrudnionego w podmiocie leczniczym utworzonym przez ministra właściwego do spraw wewnętrznych z rejestru lekarzy odbywających szkolenie specjalizacyjne prowadzone przez Centrum Medyczne Kształcenia Podyplomowego. Katalog przyczyn uniemożliwiających realizację lub kontynuowanie szkolenia specjalizacyjnego ma charakter zamknięty. Skreślenie lekarza z rejestru lekarzy odbywających szkolenie specjalizacyjne następuje w drodze decyzji, do której zastosowanie mają przepisy Kpa.  </w:t>
      </w:r>
    </w:p>
    <w:p w14:paraId="0948D278"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29 sierpnia 1997 r. – Ordynacja podatkowa </w:t>
      </w:r>
    </w:p>
    <w:p w14:paraId="3C77A673" w14:textId="72DB7B79" w:rsidR="00B03E57" w:rsidRPr="00AD6E0A" w:rsidRDefault="00B03E57" w:rsidP="00AD6E0A">
      <w:pPr>
        <w:spacing w:after="0"/>
        <w:jc w:val="both"/>
        <w:rPr>
          <w:rFonts w:ascii="Arial" w:hAnsi="Arial" w:cs="Arial"/>
          <w:lang w:eastAsia="pl-PL"/>
        </w:rPr>
      </w:pPr>
      <w:r w:rsidRPr="00AD6E0A">
        <w:rPr>
          <w:rFonts w:ascii="Arial" w:hAnsi="Arial" w:cs="Arial"/>
          <w:lang w:eastAsia="pl-PL"/>
        </w:rPr>
        <w:t xml:space="preserve">1) </w:t>
      </w:r>
      <w:r w:rsidR="0066077A" w:rsidRPr="00AD6E0A">
        <w:rPr>
          <w:rFonts w:ascii="Arial" w:hAnsi="Arial" w:cs="Arial"/>
          <w:lang w:eastAsia="pl-PL"/>
        </w:rPr>
        <w:t xml:space="preserve">Umarzanie zawieszonych postępowań </w:t>
      </w:r>
    </w:p>
    <w:p w14:paraId="59B485A4"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W art. 201 § 5 ww. ustawy wprowadza się przepis określający termin, po upływie którego postępowanie zawieszone z przyczyn obligatoryjnych, w oparciu o podstawy wymienione w art. 201 § 1 pkt 1, 1a, 3 i 4 Ordynacji podatkowej, będzie mogło ulec umorzeniu, o ile nie będą sprzeciwiać się temu pozostałe strony oraz nie będzie zagrażało to interesowi publicznemu.</w:t>
      </w:r>
      <w:r w:rsidR="00B03E57" w:rsidRPr="00AD6E0A">
        <w:rPr>
          <w:rFonts w:ascii="Arial" w:hAnsi="Arial" w:cs="Arial"/>
          <w:lang w:eastAsia="pl-PL"/>
        </w:rPr>
        <w:t xml:space="preserve"> </w:t>
      </w:r>
    </w:p>
    <w:p w14:paraId="7C4990EF"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Przyjęto, że umorzenie zawieszonego postępowania nastąpi, gdy zaistniałe przeszkody do kontynuowania postępowania nie zostaną usunięte w terminie trzech lat od daty zawieszenia postępowania. Przepis odnosi się do zawieszenia postępowania m.in. w przypadku śmierci strony, przedstawiciela ustawowego strony bądź utraty przez stronę lub przez jej ustawowego przedstawiciela zdolności do czynności prawnych, a więc brak jest możliwości wskazania, kto jest obecnie stroną po śmierci dotychczasowej strony, brak jest możliwości wskazania przedstawiciela ustawowego strony bądź zachodzi niemożność działania strony w postępowaniu ze względu utratę przez stronę lub przez jej ustawowego przedstawiciela zdolności do czynności prawnych. Pozostałe strony, o ile występują, powinny zgodzić się na umorzenie postępowania. W związku z tym, umorzenie postępowania uzależniono od braku wniesienia sprzeciwu pozostałych stron postępowania.   </w:t>
      </w:r>
    </w:p>
    <w:p w14:paraId="0F12E49B"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2) Nowe elementy treści zawiadomienia o zamiarze wszczęcia kontroli podatkowej </w:t>
      </w:r>
    </w:p>
    <w:p w14:paraId="30023408"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W związku z uzupełnieniem w art. 48 ust. 3 ustawy – Prawo przedsiębiorców elementów treści zawiadomienia o zamiarze wszczęcia kontroli, konieczna jest zmiana dostosowawcza w art. 282b § 4 Ordynacji podatkowej dotyczącym zawiadomienia o zamiarze wszczęcia kontroli podatkowej. </w:t>
      </w:r>
    </w:p>
    <w:p w14:paraId="1EDDB298" w14:textId="77777777" w:rsidR="00B03E57"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29 sierpnia 1997 r. – Prawo bankowe </w:t>
      </w:r>
    </w:p>
    <w:p w14:paraId="79002AFB"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umożliwia prowadzenie rachunku wspólnego, z wyjątkiem rachunku rodzinnego, dla kilku osób fizycznych, kilku jednostek samorządu terytorialnego, stron umowy o współpracy w rozumieniu ustawy z dnia 9 czerwca 2011 r. – Prawo geologiczne i górnicze, kilku dobrowolnych funduszy emerytalnych będących funduszami zdefiniowanej daty w rozumieniu ustawy z dnia 4 października 2018 r. o pracowniczych planach kapitałowych zarządzanych przez jedno powszechne towarzystwo emerytalne albo kilku funduszy inwestycyjnych w rozumieniu ustawy o funduszach inwestycyjnych zarządzanych przez jedno towarzystwo funduszy inwestycyjnych, których jednostki uczestnictwa będą mogą być nabywane w ramach jednego produktu finansowego oferowanego przez to towarzystwo – rachunek wspólny.  </w:t>
      </w:r>
    </w:p>
    <w:p w14:paraId="759F2E54"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13 października 1998 r. o systemie ubezpieczeń społecznych  </w:t>
      </w:r>
    </w:p>
    <w:p w14:paraId="71AE94E5"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 zgodnie z uzasadnieniem projektodawców - ma na celu doprecyzowanie przepisów odnoszących się do tzw. Małego ZUS Plus i umożliwienie realizacji pierwotnych intencji projektodawców tego rozwiązania. Zgodnie bowiem z założeniami Małego ZUS Plus, po korzystaniu z obniżonych składek na ubezpieczenia społeczne przez 36 miesięcy, następuje okres swoistej „karencji” o długości 24 miesięcy prowadzenia działalności gospodarczej, w trakcie której przedsiębiorca jest oskładkowany zgodnie z zasadami ogólnymi, określonymi w art. 18 ustawy o systemie ubezpieczeń społecznych. Uchylany art. 18c ust. 11 pkt 6, </w:t>
      </w:r>
      <w:r w:rsidRPr="00AD6E0A">
        <w:rPr>
          <w:rFonts w:ascii="Arial" w:hAnsi="Arial" w:cs="Arial"/>
          <w:lang w:eastAsia="pl-PL"/>
        </w:rPr>
        <w:lastRenderedPageBreak/>
        <w:t xml:space="preserve">stanowiący przesłankę negatywną do korzystania z Małego ZUS Plus, posługuje się pojęciem „ostatnich 60 miesięcy”. Tym samym, w przypadku gdy ustalenie prawa danego przedsiębiorcy do przedmiotowego rozwiązania następuje np. w styczniu 2025 r., przy przyjęciu okresu od stycznia 2020 r. do grudnia 2024 r. (zakładając oczywiście, że wykorzystał on w ich trakcie pełnych 36 miesięcy ulgi) jako okresu referencyjnego, może powstać wątpliwość, czy przesłanka ta nie została spełniona. Przy takiej interpretacji, okres oczekiwania na ponowne skorzystanie z Małego ZUS Plus wydłużałby się de facto o rok. Zaproponowana redakcja eliminuje ten problem, umożliwiając zainteresowanym, o ile spełniają oni pozostałe warunki ustawowe, powrót do rozwiązania po 24 miesiącach oczekiwania. Dlatego dodano ust. 11a–11c w art. 18c ustawy o systemie ubezpieczeń społecznych. </w:t>
      </w:r>
    </w:p>
    <w:p w14:paraId="5AE54CAA"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Ustawę z dnia 17 grudnia 1998 r. o emeryturach i rentach z Funduszu Ubezpieczeń Społecznych</w:t>
      </w:r>
    </w:p>
    <w:p w14:paraId="063B5317"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Wprowadzono jednoinstancyjność postępowania wszczętego na podstawie art. 82 ust. 1 ww. ustawy, (tj. stanowiącego, że Prezes Rady Ministrów w szczególnie uzasadnionych przypadkach może przyznać emeryturę lub rentę na warunkach i w wysokości innej niż określone w ustawie). Zgodnie z uzasadnieniem, w praktyce nie zdarza się, aby strona, po otrzymaniu decyzji w pierwszej instancji, występując do Prezesa Rady Ministrów z wnioskiem o ponowne rozpatrzenie sprawy, wskazała nowe, istotne okoliczności mogące spowodować zmianę podjętej już decyzji w pierwszej instancji. Pomimo odstąpienia od zasady dwuinstancyjności postępowania administracyjnego strona nie zostanie pozbawiona możliwości weryfikacji zgodności z prawem decyzji, gdyż w dalszym ciągu będzie miała możliwość wniesienia, na zasadach ogólnych, skargi na decyzję do sądu administracyjnego. </w:t>
      </w:r>
    </w:p>
    <w:p w14:paraId="73F5F274"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 marca 2001 r. o wyrobie alkoholu etylowego oraz wytwarzaniu wyrobów tytoniowych </w:t>
      </w:r>
    </w:p>
    <w:p w14:paraId="22A31E1A"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 ustawie dotyczą odstąpienia od zasady dwuinstancyjności. Wykreślenie przedsiębiorcy z rejestru podmiotów wykonujących działalność w zakresie wyrobu i przetwarzania alkoholu etylowego lub rejestru producentów wyrobów tytoniowych na jego wniosek – zgodnie z uzasadnieniem – powinno być jednoinstancyjne i odbywać się w drodze czynności materialno-technicznej, gdyż ma ono na celu spełnienie w całości żądania przedsiębiorcy (art. 7c ust. 2 ww. ustawy).   </w:t>
      </w:r>
    </w:p>
    <w:p w14:paraId="6D77D66C"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3 lipca 2002 r. – Prawo lotnicze </w:t>
      </w:r>
    </w:p>
    <w:p w14:paraId="5DE6A8F5"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 ww. ustawie dotyczą odstąpienia od zasady dwuinstancyjności (art. 186b, 186c, 186d oraz 186e). W przypadku art. 186b ust. 20 związanego z wydaniem certyfikatu operatora kontroli bezpieczeństwa wydanie certyfikatu operatora kontroli bezpieczeństwa w drodze decyzji administracyjnej stanowi potwierdzenie pozytywnego wyniku egzaminu certyfikacyjnego. Egzamin może być powtarzany. Niezaliczenie egzaminu certyfikacyjnego blokuje możliwość uzyskania certyfikatu.  </w:t>
      </w:r>
    </w:p>
    <w:p w14:paraId="33460CED"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Art. 186c, 186d oraz 186e ustawy – Prawo lotnicze dotyczą odpowiednio wyznaczenia zarejestrowanego agenta, są jednoznacznie.  dostawcy oraz nadawcy. Przesłanki wydania decyzji </w:t>
      </w:r>
    </w:p>
    <w:p w14:paraId="16384031"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30 sierpnia 2002 r. – Prawo o postępowaniu przed sądami administracyjnymi </w:t>
      </w:r>
    </w:p>
    <w:p w14:paraId="23F8B9A4"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1) Zmiana art. 52 § 3 ww. ustawy ma na celu uzupełnienie tej regulacji o możliwość wniesienie skargi do wojewódzkiego sądu administracyjnego bez składania wniosku o ponowne rozpatrzenie sprawy także postanowień.  </w:t>
      </w:r>
    </w:p>
    <w:p w14:paraId="27F8557B"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t xml:space="preserve">2) Zaproponowano dodanie do ww. ustawy art. 64f, który umożliwia wniesienie sprzeciwu także od postanowień wydanych na podstawie art. 144 w związku z art. 138 § 2 Kpa (postanowień </w:t>
      </w:r>
      <w:proofErr w:type="spellStart"/>
      <w:r w:rsidRPr="00AD6E0A">
        <w:rPr>
          <w:rFonts w:ascii="Arial" w:hAnsi="Arial" w:cs="Arial"/>
          <w:lang w:eastAsia="pl-PL"/>
        </w:rPr>
        <w:t>kasatoryjnych</w:t>
      </w:r>
      <w:proofErr w:type="spellEnd"/>
      <w:r w:rsidRPr="00AD6E0A">
        <w:rPr>
          <w:rFonts w:ascii="Arial" w:hAnsi="Arial" w:cs="Arial"/>
          <w:lang w:eastAsia="pl-PL"/>
        </w:rPr>
        <w:t>) – analogicznie jak w przypadku decyzji na podstawie art. 64a ww. ustawy.</w:t>
      </w:r>
    </w:p>
    <w:p w14:paraId="397D3E4F" w14:textId="77777777" w:rsidR="00E7419A" w:rsidRPr="00AD6E0A" w:rsidRDefault="0066077A" w:rsidP="00AD6E0A">
      <w:pPr>
        <w:spacing w:after="0"/>
        <w:jc w:val="both"/>
        <w:rPr>
          <w:rFonts w:ascii="Arial" w:hAnsi="Arial" w:cs="Arial"/>
          <w:lang w:eastAsia="pl-PL"/>
        </w:rPr>
      </w:pPr>
      <w:r w:rsidRPr="00AD6E0A">
        <w:rPr>
          <w:rFonts w:ascii="Arial" w:hAnsi="Arial" w:cs="Arial"/>
          <w:lang w:eastAsia="pl-PL"/>
        </w:rPr>
        <w:lastRenderedPageBreak/>
        <w:t xml:space="preserve">Ustawę z dnia 28 lipca 2005 r. o kosztach sądowych w sprawach cywilnych  </w:t>
      </w:r>
    </w:p>
    <w:p w14:paraId="003A8CEB"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w art. 96 ust. 1 pkt 6 ww. ustawy zwalnia z obowiązku uiszczania kosztów sądowych także Rzecznika Małych i Średnich </w:t>
      </w:r>
      <w:r w:rsidR="00370A6A" w:rsidRPr="00AD6E0A">
        <w:rPr>
          <w:rFonts w:ascii="Arial" w:hAnsi="Arial" w:cs="Arial"/>
          <w:lang w:eastAsia="pl-PL"/>
        </w:rPr>
        <w:t>Przedsiębiorców</w:t>
      </w:r>
      <w:r w:rsidRPr="00AD6E0A">
        <w:rPr>
          <w:rFonts w:ascii="Arial" w:hAnsi="Arial" w:cs="Arial"/>
          <w:lang w:eastAsia="pl-PL"/>
        </w:rPr>
        <w:t xml:space="preserve">.   </w:t>
      </w:r>
    </w:p>
    <w:p w14:paraId="71AB5B44"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18 października 2006 r. o wyrobie napojów spirytusowych  </w:t>
      </w:r>
    </w:p>
    <w:p w14:paraId="06426966"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w ww. ustawie dotyczy odstąpienia od zasady dwuinstancyjności. Art. 9a tej ustawy reguluje postępowanie w sprawie wykreślenia przedsiębiorcy z rejestru działalności w zakresie wyrobu lub rozlewu napojów spirytusowych na jego wniosek. Postępowanie to ma na celu spełnienie w całości żądania przedsiębiorcy.  </w:t>
      </w:r>
    </w:p>
    <w:p w14:paraId="6659F92F"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13 kwietnia 2007 r. o Państwowej Inspekcji Pracy </w:t>
      </w:r>
    </w:p>
    <w:p w14:paraId="7B559725"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 ww. ustawie polegają na wyłączeniu stosowania do kontroli legalności zatrudnienia, innej pracy zarobkowej oraz wykonywania pracy przez cudzoziemców dodawanych w Prawie przedsiębiorców przepisów regulujących obowiązek publikacji okresowych analiz ryzyka oraz ograniczenia częstotliwości kontroli planowych. </w:t>
      </w:r>
    </w:p>
    <w:p w14:paraId="5DA92259"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25 czerwca 2010 r. o sporcie </w:t>
      </w:r>
    </w:p>
    <w:p w14:paraId="215C74F4"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umożliwia wpisanie do Krajowego Rejestru Sądowego uczniowskiego klubu sportowego oraz klubu sportowego, o którym mowa w art. 4 ust. 7 (czyli klubu sportowego innego niż uczniowski klub sportowy, działającego w formie stowarzyszenia, którego statut nie przewiduje prowadzenia działalności gospodarczej). Złożenie wniosku o wpis uczniowskiego klubu sportowego oraz klubu sportowego, o którym mowa w art. 4 ust. 7, do Krajowego Rejestru Sądowego będzie wymagać zgody wyrażonej w trybie przewidzianym dla zmiany statutu podmiotu zamierzającego złożyć wniosek o ten wpis. Zmiana statutu dokonana w związku z wyrażeniem zgody nie będzie wymagała zatwierdzenia przez starostę. Ustawa zobowiązuje sąd rejestrowy do niezwłocznego przesłania właściwemu staroście odpisu postanowienia o wpisie do Krajowego Rejestru Sądowego uczniowskiego klubu sportowego lub klubu sportowego, o którym mowa w art. 4 ust. 7. Natomiast właściwy starosta z urzędu dokona wykreślenia uczniowskiego klubu sportowego lub klubu sportowego, o którym mowa w art. 4 ust. 7, z ewidencji, zaznaczając, że przyczyną wykreślenia jest wpis podmiotu do Krajowego Rejestru Sądowego. Po uzyskaniu wpisu do Krajowego Rejestru Sądowego, klub zachowa wszystkie dotychczasowe prawa i obowiązki oraz będzie mógł podejmować działalność gospodarczą w zakresie przewidzianym w statucie. </w:t>
      </w:r>
    </w:p>
    <w:p w14:paraId="4E71D43B"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5 stycznia 2011 r. o kierujących pojazdami  </w:t>
      </w:r>
    </w:p>
    <w:p w14:paraId="76029D08"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 ww. ustawie dotyczą odstąpienia od zasady dwuinstancyjności. W art. 33 ustawy wprowadzono zmiany dotyczące odpowiednio wpisu do ewidencji instruktorów jazdy oraz odmowy takiego wpisu. Zarówno pierwszy, jak i drugi jest dokonywany po spełnieniu przesłanek określonych w przepisach ustawy.  Jeżeli osoba spełnia wymagania, wówczas jest wpisywana do ewidencji, jeżeli ich nie spełnia, to nie zostanie wpisana. Kolejna propozycja zmiany dotyczy decyzji, o których mowa w art. 38 ust. 2 pkt 1 i 4 (odwołanie nie będzie przysługiwało w przypadku decyzji administracyjnej o wpisie do ewidencji i odmowy wpisu do ewidencji wykładowców), oraz decyzji, o których mowa w art. 58 ust. 2 pkt 1 i 3 ww. ustawy (wpis i odmowa wpisu do ewidencji egzaminatorów). Wpisy te również uwarunkowane są od spełnienia określonych przesłanek. Art. 109 ust. 1, 3, 4 oraz 5 ustawy o kierujących pojazdami regulują odpowiednio wydanie, przedłużenie oraz rozszerzenie zezwolenia na kierowanie pojazdem uprzywilejowanym. Decyzje te są wydawane na podstawie konkretnych dokumentów, których nieprzedstawienie stanowi podstawę do wydania decyzji odmownej.  </w:t>
      </w:r>
    </w:p>
    <w:p w14:paraId="423AE182"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Podobnie jest w przypadku art. 110 oraz 117 ust. 3 pkt 1 i 4 tej ustawy. Pierwszy z nich dotyczy wydania zezwolenia na kierowanie pojazdem przewożącym wartości pieniężne, natomiast drugi wpisu do ewidencji instruktorów techniki jazdy oraz odmowy wpisu do ewidencji </w:t>
      </w:r>
      <w:r w:rsidRPr="00AD6E0A">
        <w:rPr>
          <w:rFonts w:ascii="Arial" w:hAnsi="Arial" w:cs="Arial"/>
          <w:lang w:eastAsia="pl-PL"/>
        </w:rPr>
        <w:lastRenderedPageBreak/>
        <w:t xml:space="preserve">instruktorów techniki jazdy. Decyzje te także wydawane są na podstawie konkretnych dokumentów.  </w:t>
      </w:r>
    </w:p>
    <w:p w14:paraId="187F1677"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20 stycznia 2011 r. o odpowiedzialności majątkowej funkcjonariuszy publicznych za rażące naruszenie prawa  </w:t>
      </w:r>
    </w:p>
    <w:p w14:paraId="77307704"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W przepisie tym dokonana została zmiana redakcyjna z obecnie obowiązującego art. 37 § 2 Kpa na art. 37 § 6 pkt 1 Kpa. </w:t>
      </w:r>
    </w:p>
    <w:p w14:paraId="19BDA278"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9 czerwca 2011 r. – Prawo geologiczne i górnicze </w:t>
      </w:r>
    </w:p>
    <w:p w14:paraId="17D86746" w14:textId="490DCBE1"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wprowadzona do ww. ustawy ma związek ze zmianami wprowadzonymi w ustawie z dnia 6 marca 2018 r. – Prawo przedsiębiorców i polega wyłączeniu stosowania nowych ograniczeń częstotliwości kontroli planowych do kontroli przeprowadzanych przez organy nadzoru górniczego. Uzasadniając tę zmianę wskazano, że w przypadku działalności gospodarczej prowadzonej na podstawie ustawy Prawo geologiczne i górnicze jeden przedsiębiorca niejednokrotnie posiada kilkadziesiąt, a nawet kilkaset koncesji. Wprowadzenie ograniczenia możliwości przeprowadzania przez organ kontroli planowych w przypadku takiego przedsiębiorcy, posiadającego znaczną liczbę koncesji, którego nie przypisano do kategorii ryzyka „wysokiego”, mogłoby w dużym stopniu utrudnić organowi koncesyjnemu przeprowadzenie </w:t>
      </w:r>
      <w:r w:rsidR="00370A6A" w:rsidRPr="00AD6E0A">
        <w:rPr>
          <w:rFonts w:ascii="Arial" w:hAnsi="Arial" w:cs="Arial"/>
          <w:lang w:eastAsia="pl-PL"/>
        </w:rPr>
        <w:t xml:space="preserve">regularnych planowanych </w:t>
      </w:r>
      <w:r w:rsidR="00370A6A" w:rsidRPr="00AD6E0A">
        <w:rPr>
          <w:rFonts w:ascii="Arial" w:hAnsi="Arial" w:cs="Arial"/>
          <w:lang w:eastAsia="pl-PL"/>
        </w:rPr>
        <w:t xml:space="preserve">kontroli </w:t>
      </w:r>
      <w:r w:rsidR="00370A6A" w:rsidRPr="00AD6E0A">
        <w:rPr>
          <w:rFonts w:ascii="Arial" w:hAnsi="Arial" w:cs="Arial"/>
          <w:lang w:eastAsia="pl-PL"/>
        </w:rPr>
        <w:t xml:space="preserve">w odniesieniu </w:t>
      </w:r>
      <w:r w:rsidRPr="00AD6E0A">
        <w:rPr>
          <w:rFonts w:ascii="Arial" w:hAnsi="Arial" w:cs="Arial"/>
          <w:lang w:eastAsia="pl-PL"/>
        </w:rPr>
        <w:t xml:space="preserve">do poszczególnych koncesji. </w:t>
      </w:r>
    </w:p>
    <w:p w14:paraId="62EB3F16"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14 grudnia 2016 r. – Prawo oświatowe </w:t>
      </w:r>
    </w:p>
    <w:p w14:paraId="2EAB85F5"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polega na modyfikacji zasad dofinansowywania kosztów kształcenia ze środków Funduszu Pracy. Kwota dofinansowania kosztów kształcenia jednego młodocianego pracownika za okres kształcenia wynoszący 36 miesięcy, potwierdzony świadectwem pracy lub zaświadczeniem potwierdzającym okres zatrudnienia, i za przystąpienie do egzaminu zawodowego lub czeladniczego – będzie wynosiła 100% wysokości kwoty dofinansowania, przy czym jeżeli okres kształcenia będzie krótszy niż 36 miesięcy, kwota dofinansowania będzie wypłacana proporcjonalnie do okresu kształcenia.  </w:t>
      </w:r>
    </w:p>
    <w:p w14:paraId="56EF7E36"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6 marca 2018 r. – Prawo przedsiębiorców </w:t>
      </w:r>
    </w:p>
    <w:p w14:paraId="6A832A52"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Dodano przepis na podstawie, którego bez wszczynania postępowania, organ będzie mógł zwrócić się w zakresie swojej właściwości do przedsiębiorcy o przedstawienie stanowiska w sprawach związanych z wykonywaną przez niego działalnością gospodarczą. Przedsiębiorca, do którego zostało skierowane wystąpienie będzie mógł, w terminie określonym przez organ, nie krótszym niż 14 dni od dnia otrzymania wystąpienia, przekazać stanowisko w sprawie.</w:t>
      </w:r>
    </w:p>
    <w:p w14:paraId="7FB53245"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Wyeliminowano obowiązek przedkładania w urzędzie dokumentu prokury lub pełnomocnictwa, jeżeli umocowanie da się wykazać w oparciu o dostępne publicznie rejestry.  </w:t>
      </w:r>
    </w:p>
    <w:p w14:paraId="226E7B95"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Dodano przepis, zgodnie z którym brak pieczątki nie stanowi braku formalnego pisma lub wniosku ani nie jest powodem, aby stwierdzić, że są one niekompletne. Jednocześnie wprowadzono wyjątek od tej zasady, jeżeli przepisy odrębne nakazują stosowanie pieczątki.</w:t>
      </w:r>
    </w:p>
    <w:p w14:paraId="0C353ECA"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Wprowadzono obowiązek publikacji przez organ kontroli informacji o zasadach umożliwiających przypisanie przedsiębiorców do właściwej dla nich kategorii ryzyka zawartych w okresowej analizie prawdopodobieństwa naruszenia prawa w ramach wykonywania działalności gospodarczej. Obowiązek ten nie znajdzie zastosowania do kontroli działalności gospodarczej podlegającej koncesjonowaniu, do kontroli i analiz będących we właściwości organów Krajowej Administracji Skarbowej, do kontroli prowadzonej na podstawie ustawy z dnia 6 września 2001 r. o transporcie drogowym, jak również do kontroli działalności gospodarczej w obszarach, w których udostępnienie powyższej informacji mogłoby stwarzać zagrożenie dla bezpieczeństwa, porządku publicznego, życia lub zdrowia ludzkiego. W oparciu o wyniki okresowej analizy prawdopodobieństwa naruszenia prawa w ramach wykonywania działalności gospodarczej, określone zostaną zasady umożliwiające przypisanie </w:t>
      </w:r>
      <w:r w:rsidRPr="00AD6E0A">
        <w:rPr>
          <w:rFonts w:ascii="Arial" w:hAnsi="Arial" w:cs="Arial"/>
          <w:lang w:eastAsia="pl-PL"/>
        </w:rPr>
        <w:lastRenderedPageBreak/>
        <w:t xml:space="preserve">przedsiębiorców do właściwej dla nich kategorii ryzyka. Zidentyfikowane ryzyko będzie niskie, średnie albo wysokie. Zaszeregowania kontrolowanych do ww. grup (kategorii) ryzyka związane jest z określeniem dla każdej grupy (kategorii) maksymalnej częstotliwości przeprowadzania kontroli planowych. W przypadku niskiego ryzyka kontrola będzie przeprowadzana nie częściej niż raz na 5 lat, w przypadku średniego ryzyka – nie częściej niż raz na 3 lata. W przypadku wysokiego ryzyka nie przewidziano maksymalnej liczby kontroli planowych – będą one przeprowadzane tak często, jak to jest konieczne dla zapewnienia skutecznego stosowania odpowiednich przepisów prawnych, z uwzględnieniem wysokiego ryzyka wystąpienia nieprawidłowości oraz środków niezbędnych do jego ograniczania. </w:t>
      </w:r>
    </w:p>
    <w:p w14:paraId="01CE885B"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Wprowadzono obowiązek doręczenia przedsiębiorcy, przed wszczęciem kontroli, wstępnej listy informacji i dokumentów w zawiadomieniu o zamiarze wszczęcia kontroli.  </w:t>
      </w:r>
    </w:p>
    <w:p w14:paraId="39E4E0FF" w14:textId="77777777" w:rsidR="00370A6A" w:rsidRPr="00AD6E0A" w:rsidRDefault="0066077A" w:rsidP="00AD6E0A">
      <w:pPr>
        <w:spacing w:after="0"/>
        <w:jc w:val="both"/>
        <w:rPr>
          <w:rFonts w:ascii="Arial" w:hAnsi="Arial" w:cs="Arial"/>
          <w:lang w:eastAsia="pl-PL"/>
        </w:rPr>
      </w:pPr>
      <w:r w:rsidRPr="00AD6E0A">
        <w:rPr>
          <w:rFonts w:ascii="Arial" w:hAnsi="Arial" w:cs="Arial"/>
          <w:lang w:eastAsia="pl-PL"/>
        </w:rPr>
        <w:t xml:space="preserve">Skrócono, co do zasady, maksymalny czas kontroli </w:t>
      </w:r>
      <w:proofErr w:type="spellStart"/>
      <w:r w:rsidRPr="00AD6E0A">
        <w:rPr>
          <w:rFonts w:ascii="Arial" w:hAnsi="Arial" w:cs="Arial"/>
          <w:lang w:eastAsia="pl-PL"/>
        </w:rPr>
        <w:t>mikroprzedsiębiorców</w:t>
      </w:r>
      <w:proofErr w:type="spellEnd"/>
      <w:r w:rsidRPr="00AD6E0A">
        <w:rPr>
          <w:rFonts w:ascii="Arial" w:hAnsi="Arial" w:cs="Arial"/>
          <w:lang w:eastAsia="pl-PL"/>
        </w:rPr>
        <w:t xml:space="preserve"> z 12 do 6 dni. </w:t>
      </w:r>
    </w:p>
    <w:p w14:paraId="6A8780AB"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W ustawie wprowadzono również zmiany mające na celu wprowadzenie ogólnych zasad stanowienia prawa przyjaznego przedsiębiorcom. W tym zakresie nowelizacja ustawy przewiduje wprowadzenie:  </w:t>
      </w:r>
    </w:p>
    <w:p w14:paraId="5CB47C26"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1) zasady równoważenia obowiązków administracyjnych (opartej na tzw. koncepcji „one in, one out”); </w:t>
      </w:r>
    </w:p>
    <w:p w14:paraId="414949A5"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2) zasady projektowania oceny funkcjonowania aktu normatywnego (OSR ex post) w stosunku do aktów normatywnych z zakresu prawa gospodarczego; </w:t>
      </w:r>
    </w:p>
    <w:p w14:paraId="5FA5473E"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3) zasady oceny projektu pod kątem notyfikacji usługowej; </w:t>
      </w:r>
    </w:p>
    <w:p w14:paraId="53150FCD"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4) zasady obowiązkowej oceny funkcjonowania aktu normatywnego (OSR ex post) w sytuacji, gdy dany akt normatywny został przyjęty w wyniku procesu legislacyjnego, w którym odstąpiono od przeprowadzenia konsultacji publicznych; </w:t>
      </w:r>
    </w:p>
    <w:p w14:paraId="6A11EFFF"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5) zasady odpowiedniej vacatio legis projektów ustaw, nie krótszej niż po upływie 6 miesięcy od dnia ogłoszenia; </w:t>
      </w:r>
    </w:p>
    <w:p w14:paraId="6C3F5B31"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6) usprawnień w zakresie bieżącego przeglądu prawa gospodarczego; </w:t>
      </w:r>
    </w:p>
    <w:p w14:paraId="1B695169"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7) programu regulacyjnego, który określał będzie priorytetowe działania Rady Ministrów w zakresie kształtowania otoczenia prawnego wykonywania działalności gospodarczej. Ma być on przyjmowany przez Radę Ministrów w drodze uchwały co trzy lata.  </w:t>
      </w:r>
    </w:p>
    <w:p w14:paraId="660B47EB"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6 marca 2018 r. o Centralnej Ewidencji i Informacji o Działalności Gospodarczej i Punkcie Informacji dla Przedsiębiorcy </w:t>
      </w:r>
    </w:p>
    <w:p w14:paraId="0C3F53CC" w14:textId="77777777" w:rsidR="001964F0" w:rsidRPr="00AD6E0A" w:rsidRDefault="0066077A" w:rsidP="00AD6E0A">
      <w:pPr>
        <w:spacing w:after="0"/>
        <w:jc w:val="both"/>
        <w:rPr>
          <w:rFonts w:ascii="Arial" w:hAnsi="Arial" w:cs="Arial"/>
          <w:lang w:eastAsia="pl-PL"/>
        </w:rPr>
      </w:pPr>
      <w:r w:rsidRPr="00AD6E0A">
        <w:rPr>
          <w:rFonts w:ascii="Arial" w:hAnsi="Arial" w:cs="Arial"/>
          <w:lang w:eastAsia="pl-PL"/>
        </w:rPr>
        <w:t xml:space="preserve">W związku ze zmianą polegającą na dodaniu do ustawy z dnia 6 marca 2018 r. – Prawo przedsiębiorców, przepisu w którym wyeliminowano obowiązek przedkładania w urzędzie dokumentu prokury lub pełnomocnictwa, jeżeli umocowanie da się wykazać w oparciu o dostępne publicznie rejestry, uchylono art. 41 ustawy z dnia 6 marca 2018 r. o Centralnej Ewidencji i Informacji o Działalności Gospodarczej i Punkcie Informacji dla Przedsiębiorcy jako bezprzedmiotowy.  </w:t>
      </w:r>
    </w:p>
    <w:p w14:paraId="6D76CBE8"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6 marca 2018 r. o Rzeczniku Małych i Średnich Przedsiębiorców  </w:t>
      </w:r>
    </w:p>
    <w:p w14:paraId="2DA79E84"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Zmodyfikowano zasady procesowe odnoszące się do uczestnictwa Rzecznika Małych i Średnich Przedsiębiorców w postępowaniach przed Sądem Najwyższym, w ramach których Rzecznik realizuje swoje ustawowe zadania – wskazano, że koszty procesu w takich sprawach podlegają wzajemnemu zniesieniu.  </w:t>
      </w:r>
    </w:p>
    <w:p w14:paraId="4788FB4A"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4 lipca 2019 r. o systemie instytucji rozwoju  </w:t>
      </w:r>
    </w:p>
    <w:p w14:paraId="53A44877"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wprowadzone do tej ustawy polegają na zmianie poziomu finansowania Agencji Rozwoju Przemysłu S.A., realizującej zadanie powierzone przez Ministra Rozwoju i Technologii.  W ustawie dodano przepis zgodnie z którym, minister właściwy do spraw budżetu, na uzasadniony wniosek ministra właściwego do spraw aktywów państwowych, może </w:t>
      </w:r>
      <w:r w:rsidRPr="00AD6E0A">
        <w:rPr>
          <w:rFonts w:ascii="Arial" w:hAnsi="Arial" w:cs="Arial"/>
          <w:lang w:eastAsia="pl-PL"/>
        </w:rPr>
        <w:lastRenderedPageBreak/>
        <w:t xml:space="preserve">przekazać skarbowe papiery wartościowe na podwyższenie kapitału zakładowego Agencji Rozwoju Przemysłu S. A. </w:t>
      </w:r>
    </w:p>
    <w:p w14:paraId="32E8C178"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W uzasadnieniu do powyższej zmiany wskazano, że środki uzyskane dzięki skarbowym papierom wartościowym wykorzystaną na realizację zadań w zakresie wspierania polskich przedsiębiorców w sposób kapitałowy i dłużny. Umożliwią prowadzenie skomplikowanych strategicznych projektów istotnych dla polskiej gospodarki, bezpieczeństwa i obronności kraju oraz tworzenia specjalistycznych miejsc pracy, co przełoży się na szybszy wzrost gospodarczy oraz dalszy rozwój krajowej bazy przemysłowej.    </w:t>
      </w:r>
    </w:p>
    <w:p w14:paraId="53098D96"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11 września 2019 r. – Prawo zamówień publicznych </w:t>
      </w:r>
    </w:p>
    <w:p w14:paraId="2AFC6527"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Zmiany mają na celu umożliwienie stronom oraz uczestnikom postępowania odwoławczego przed Krajową Izbą Odwoławczą udziału w rozprawach i posiedzeniach za pośrednictwem środków informatycznych pozwalających na komunikowanie się na odległość. Przepisy regulują organizację zdalnych rozpraw i zdalnych posiedzeń. Jawne rozprawy lub jawne posiedzenia będą mogły być przeprowadzane przy użyciu urządzeń technicznych umożliwiających ich przeprowadzenie na odległość (zdalne rozprawy, zdalne posiedzenia), jeżeli nie będzie stał temu na przeszkodzie charakter czynności, które mają być dokonane na rozprawie lub posiedzeniu oraz nie będą występowały inne okoliczności utrudniające przeprowadzenie zdalnej rozprawy lub zdalnego posiedzenia i zostanie zagwarantowana pełna ochrona praw procesowych stron i uczestników postępowania odwoławczego oraz prawidłowy tok tego postępowania. Prezes Urzędu Zamówień Publicznych został zobowiązany do podania, w drodze obwieszczenia, w Biuletynie Informacji Publicznej, na stronie podmiotowej Urzędu, informacji o standardach technicznych oprogramowania i wymaganiach sprzętowych niezbędnych do uczestniczenia w zdalnej rozprawie lub zdalnym posiedzeniu. Należy zaznaczyć, że w celu utrzymania terminowego rozpatrywania odwołań, w ustawie przyjęto rozwiązania sprzyjające uzyskaniu koncentracji materiału procesowego na wcześniejszym niż rozprawa i posiedzenie etapie postępowania odwoławczego. Natomiast aby zapewnić sprawny przebieg zdalnej rozprawy i zdalnego posiedzenia dopuszczona została możliwość udzielenia pełnomocnictwa w drodze ustnego i wciągniętego do protokołu oświadczenia strony lub uczestnika postępowania odwoławczego. Wykorzystanie urządzeń technicznych umożliwiających uczestniczenie w rozprawie lub posiedzeniu na odległość powinno odbywać się w warunkach, które są odpowiednie do sytuacji. Jeżeli warunki w miejscu pobytu osoby biorącej udział w zdalnej rozprawie lub zdalnym posiedzeniu nie będą licowały z powagą Krajowej Izby Odwoławczej lub będą stanowiły przeszkodę do dokonania czynności procesowych lub, jeżeli zachowanie osoby uczestniczącej w rozprawie lub posiedzeniu na odległość będzie budziło uzasadnione wątpliwości co do prawidłowego przebiegu czynności dokonanych zdalnie z jej udziałem, Izba będzie mogła odmówić, w drodze postanowienia, zdalnego udziału tej osoby w posiedzeniu lub rozprawie. W takim wypadku uznane zostanie, że osoba ta nie stawiła się na zdalnej rozprawie lub zdalnym posiedzeniu. Na postanowienie nie będzie przysługiwała skarga do sądu.  </w:t>
      </w:r>
    </w:p>
    <w:p w14:paraId="25A1BC33"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16 lipca 2020 r. o udzielaniu pomocy publicznej w celu ratowania lub restrukturyzacji przedsiębiorców </w:t>
      </w:r>
    </w:p>
    <w:p w14:paraId="2F85BDD0"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Ustawa dokonuje zmiany limitów wysokości środków budżetu państwa przeznaczonych na udzielanie pomocy publicznej przedsiębiorcom znajdującym się w trudnej sytuacji ekonomicznej. Nadal jednak wysokość środków przeznaczonych na ten cel w budżecie państwa nie będzie mogła przekroczyć kwoty 120 000 000 zł w każdym roku. Natomiast w każdym roku wysokość środków przeznaczonych na pomoc w formach, o których mowa w art. 39 ust. 1 pkt 2 i 3 będzie wynosiła 24 % przeznaczonej kwoty (dotychczas wynosiła 26 %), wysokość środków przeznaczonych na pożyczki, o których mowa w art. 16 ust. 1, art. 28 i art. </w:t>
      </w:r>
      <w:r w:rsidRPr="00AD6E0A">
        <w:rPr>
          <w:rFonts w:ascii="Arial" w:hAnsi="Arial" w:cs="Arial"/>
          <w:lang w:eastAsia="pl-PL"/>
        </w:rPr>
        <w:lastRenderedPageBreak/>
        <w:t xml:space="preserve">39 ust. 1 pkt 1 będzie wynosi 69 % (bez zmian, gdyż dotychczas też wynosiła 69%), natomiast ma koszty udzielenia pomocy będzie można przeznaczyć do 8% kwoty (dotychczas obowiązywał limit do 5 %). Powyższa zmiana będzie miała zastosowanie do wysokości środków przeznaczonych na pomoc począwszy od 2025 r. </w:t>
      </w:r>
    </w:p>
    <w:p w14:paraId="0D9FADED"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Ustawę z dnia 2 grudnia 2021 r. o wyrobach winiarskich  </w:t>
      </w:r>
    </w:p>
    <w:p w14:paraId="4EFC45A3" w14:textId="77777777" w:rsidR="00AD6E0A" w:rsidRPr="00AD6E0A" w:rsidRDefault="0066077A" w:rsidP="00AD6E0A">
      <w:pPr>
        <w:spacing w:after="0"/>
        <w:jc w:val="both"/>
        <w:rPr>
          <w:rFonts w:ascii="Arial" w:hAnsi="Arial" w:cs="Arial"/>
          <w:lang w:eastAsia="pl-PL"/>
        </w:rPr>
      </w:pPr>
      <w:r w:rsidRPr="00AD6E0A">
        <w:rPr>
          <w:rFonts w:ascii="Arial" w:hAnsi="Arial" w:cs="Arial"/>
          <w:lang w:eastAsia="pl-PL"/>
        </w:rPr>
        <w:t xml:space="preserve">Zmiana przepisów ustawy o wyrobach winiarskich ma na celu ujednolicenie przepisów w zakresie wykreślenia przedsiębiorcy z rejestru na jego wniosek analogicznie do zawartych w art. 7c ustawy z dnia 2 marca 2001 r. o wyrobie alkoholu etylowego oraz wytwarzaniu wyrobów tytoniowych jak i art. 9a ustawy z dnia 18 października 2006 r. o wyrobie napojów spirytusowych.  </w:t>
      </w:r>
    </w:p>
    <w:p w14:paraId="41573E08" w14:textId="77777777" w:rsidR="00AD6E0A" w:rsidRPr="00AD6E0A" w:rsidRDefault="00AD6E0A" w:rsidP="00AD6E0A">
      <w:pPr>
        <w:spacing w:after="0"/>
        <w:jc w:val="both"/>
        <w:rPr>
          <w:rFonts w:ascii="Arial" w:hAnsi="Arial" w:cs="Arial"/>
          <w:lang w:eastAsia="pl-PL"/>
        </w:rPr>
      </w:pPr>
    </w:p>
    <w:p w14:paraId="774B3E24" w14:textId="3F086D55" w:rsidR="00E944E6" w:rsidRPr="00AD6E0A" w:rsidRDefault="0066077A" w:rsidP="00AD6E0A">
      <w:pPr>
        <w:spacing w:after="0"/>
        <w:jc w:val="both"/>
        <w:rPr>
          <w:rFonts w:ascii="Arial" w:hAnsi="Arial" w:cs="Arial"/>
          <w:lang w:eastAsia="pl-PL"/>
        </w:rPr>
      </w:pPr>
      <w:r w:rsidRPr="00AD6E0A">
        <w:rPr>
          <w:rFonts w:ascii="Arial" w:hAnsi="Arial" w:cs="Arial"/>
          <w:lang w:eastAsia="pl-PL"/>
        </w:rPr>
        <w:t>Ustawa wejdzie w życie po upływie 30 dni od dnia ogłoszenia z wyjątkiem przepisów, art. 6, art. 11, art. 18, art. 22, art. 24 pkt 4, 7 i 9, art. 38 oraz art. 40 ust. 1 i 2, które wejdą w życie z dniem 1 stycznia 2026 r. oraz art. 28 i art. 44, które wejdą w życie po upływie 9 miesięcy od dnia ogłoszenia</w:t>
      </w:r>
    </w:p>
    <w:p w14:paraId="32F3DF7B" w14:textId="77777777" w:rsidR="00E944E6" w:rsidRDefault="00E944E6" w:rsidP="00E944E6">
      <w:pPr>
        <w:spacing w:after="0"/>
        <w:jc w:val="both"/>
        <w:rPr>
          <w:rFonts w:ascii="Arial" w:hAnsi="Arial" w:cs="Arial"/>
        </w:rPr>
      </w:pPr>
    </w:p>
    <w:p w14:paraId="1191A990" w14:textId="77777777" w:rsidR="00516DFD" w:rsidRDefault="00516DFD" w:rsidP="00E944E6">
      <w:pPr>
        <w:spacing w:after="0"/>
      </w:pPr>
    </w:p>
    <w:sectPr w:rsidR="0051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E98"/>
    <w:multiLevelType w:val="hybridMultilevel"/>
    <w:tmpl w:val="22C8C8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345CF8"/>
    <w:multiLevelType w:val="hybridMultilevel"/>
    <w:tmpl w:val="D6FAD4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634C9"/>
    <w:multiLevelType w:val="hybridMultilevel"/>
    <w:tmpl w:val="84A2E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2A47E8"/>
    <w:multiLevelType w:val="hybridMultilevel"/>
    <w:tmpl w:val="D48C990E"/>
    <w:lvl w:ilvl="0" w:tplc="04150011">
      <w:start w:val="1"/>
      <w:numFmt w:val="decimal"/>
      <w:lvlText w:val="%1)"/>
      <w:lvlJc w:val="left"/>
      <w:pPr>
        <w:ind w:left="720" w:hanging="360"/>
      </w:pPr>
      <w:rPr>
        <w:rFonts w:hint="default"/>
      </w:rPr>
    </w:lvl>
    <w:lvl w:ilvl="1" w:tplc="420E69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4A774E"/>
    <w:multiLevelType w:val="hybridMultilevel"/>
    <w:tmpl w:val="CA36FBE8"/>
    <w:lvl w:ilvl="0" w:tplc="8B8E6F9C">
      <w:start w:val="1"/>
      <w:numFmt w:val="decimal"/>
      <w:lvlText w:val="%1."/>
      <w:lvlJc w:val="right"/>
      <w:pPr>
        <w:ind w:left="2340" w:hanging="360"/>
      </w:pPr>
      <w:rPr>
        <w:rFonts w:ascii="Arial" w:eastAsiaTheme="minorHAnsi" w:hAnsi="Arial" w:cs="Arial"/>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 w15:restartNumberingAfterBreak="0">
    <w:nsid w:val="4D0D2834"/>
    <w:multiLevelType w:val="hybridMultilevel"/>
    <w:tmpl w:val="CDA2354A"/>
    <w:lvl w:ilvl="0" w:tplc="0415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CA0A45"/>
    <w:multiLevelType w:val="hybridMultilevel"/>
    <w:tmpl w:val="CBD42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65158C"/>
    <w:multiLevelType w:val="hybridMultilevel"/>
    <w:tmpl w:val="B1DAA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DD7257"/>
    <w:multiLevelType w:val="hybridMultilevel"/>
    <w:tmpl w:val="F5520112"/>
    <w:lvl w:ilvl="0" w:tplc="0415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7D301074">
      <w:start w:val="1"/>
      <w:numFmt w:val="decimal"/>
      <w:lvlText w:val="%3)"/>
      <w:lvlJc w:val="left"/>
      <w:pPr>
        <w:ind w:left="2690" w:hanging="71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4858FF"/>
    <w:multiLevelType w:val="hybridMultilevel"/>
    <w:tmpl w:val="681690A2"/>
    <w:lvl w:ilvl="0" w:tplc="04150011">
      <w:start w:val="1"/>
      <w:numFmt w:val="decimal"/>
      <w:lvlText w:val="%1)"/>
      <w:lvlJc w:val="left"/>
      <w:pPr>
        <w:ind w:left="720" w:hanging="360"/>
      </w:pPr>
      <w:rPr>
        <w:rFonts w:hint="default"/>
      </w:rPr>
    </w:lvl>
    <w:lvl w:ilvl="1" w:tplc="332CA5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2"/>
  </w:num>
  <w:num w:numId="2" w16cid:durableId="311831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1"/>
  </w:num>
  <w:num w:numId="4" w16cid:durableId="5788216">
    <w:abstractNumId w:val="9"/>
  </w:num>
  <w:num w:numId="5" w16cid:durableId="1820147117">
    <w:abstractNumId w:val="8"/>
  </w:num>
  <w:num w:numId="6" w16cid:durableId="447118790">
    <w:abstractNumId w:val="12"/>
  </w:num>
  <w:num w:numId="7" w16cid:durableId="412356498">
    <w:abstractNumId w:val="0"/>
  </w:num>
  <w:num w:numId="8" w16cid:durableId="2017341200">
    <w:abstractNumId w:val="3"/>
  </w:num>
  <w:num w:numId="9" w16cid:durableId="111562945">
    <w:abstractNumId w:val="5"/>
  </w:num>
  <w:num w:numId="10" w16cid:durableId="861868965">
    <w:abstractNumId w:val="4"/>
  </w:num>
  <w:num w:numId="11" w16cid:durableId="1164199058">
    <w:abstractNumId w:val="14"/>
  </w:num>
  <w:num w:numId="12" w16cid:durableId="397559261">
    <w:abstractNumId w:val="7"/>
  </w:num>
  <w:num w:numId="13" w16cid:durableId="1349329992">
    <w:abstractNumId w:val="13"/>
  </w:num>
  <w:num w:numId="14" w16cid:durableId="1410466027">
    <w:abstractNumId w:val="10"/>
  </w:num>
  <w:num w:numId="15" w16cid:durableId="606934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E6"/>
    <w:rsid w:val="000C3FF4"/>
    <w:rsid w:val="00157BE1"/>
    <w:rsid w:val="001964F0"/>
    <w:rsid w:val="003035E9"/>
    <w:rsid w:val="00370A6A"/>
    <w:rsid w:val="00516DFD"/>
    <w:rsid w:val="00623A80"/>
    <w:rsid w:val="0066077A"/>
    <w:rsid w:val="00700C7C"/>
    <w:rsid w:val="00724480"/>
    <w:rsid w:val="00773842"/>
    <w:rsid w:val="007C3216"/>
    <w:rsid w:val="00817E96"/>
    <w:rsid w:val="008C0E18"/>
    <w:rsid w:val="009A45C6"/>
    <w:rsid w:val="00A97C42"/>
    <w:rsid w:val="00AD6E0A"/>
    <w:rsid w:val="00B03E57"/>
    <w:rsid w:val="00CA446C"/>
    <w:rsid w:val="00CC6717"/>
    <w:rsid w:val="00D7490C"/>
    <w:rsid w:val="00E66C38"/>
    <w:rsid w:val="00E7419A"/>
    <w:rsid w:val="00E944E6"/>
    <w:rsid w:val="00F02730"/>
    <w:rsid w:val="00FA6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6861"/>
  <w15:chartTrackingRefBased/>
  <w15:docId w15:val="{E7D1ACF5-C735-43E6-9545-2A0309E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4E6"/>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E94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4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44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44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44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44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44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44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44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44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44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44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44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44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44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44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44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44E6"/>
    <w:rPr>
      <w:rFonts w:eastAsiaTheme="majorEastAsia" w:cstheme="majorBidi"/>
      <w:color w:val="272727" w:themeColor="text1" w:themeTint="D8"/>
    </w:rPr>
  </w:style>
  <w:style w:type="paragraph" w:styleId="Tytu">
    <w:name w:val="Title"/>
    <w:basedOn w:val="Normalny"/>
    <w:next w:val="Normalny"/>
    <w:link w:val="TytuZnak"/>
    <w:uiPriority w:val="10"/>
    <w:qFormat/>
    <w:rsid w:val="00E94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44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44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44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44E6"/>
    <w:pPr>
      <w:spacing w:before="160"/>
      <w:jc w:val="center"/>
    </w:pPr>
    <w:rPr>
      <w:i/>
      <w:iCs/>
      <w:color w:val="404040" w:themeColor="text1" w:themeTint="BF"/>
    </w:rPr>
  </w:style>
  <w:style w:type="character" w:customStyle="1" w:styleId="CytatZnak">
    <w:name w:val="Cytat Znak"/>
    <w:basedOn w:val="Domylnaczcionkaakapitu"/>
    <w:link w:val="Cytat"/>
    <w:uiPriority w:val="29"/>
    <w:rsid w:val="00E944E6"/>
    <w:rPr>
      <w:i/>
      <w:iCs/>
      <w:color w:val="404040" w:themeColor="text1" w:themeTint="BF"/>
    </w:rPr>
  </w:style>
  <w:style w:type="paragraph" w:styleId="Akapitzlist">
    <w:name w:val="List Paragraph"/>
    <w:basedOn w:val="Normalny"/>
    <w:uiPriority w:val="34"/>
    <w:qFormat/>
    <w:rsid w:val="00E944E6"/>
    <w:pPr>
      <w:ind w:left="720"/>
      <w:contextualSpacing/>
    </w:pPr>
  </w:style>
  <w:style w:type="character" w:styleId="Wyrnienieintensywne">
    <w:name w:val="Intense Emphasis"/>
    <w:basedOn w:val="Domylnaczcionkaakapitu"/>
    <w:uiPriority w:val="21"/>
    <w:qFormat/>
    <w:rsid w:val="00E944E6"/>
    <w:rPr>
      <w:i/>
      <w:iCs/>
      <w:color w:val="0F4761" w:themeColor="accent1" w:themeShade="BF"/>
    </w:rPr>
  </w:style>
  <w:style w:type="paragraph" w:styleId="Cytatintensywny">
    <w:name w:val="Intense Quote"/>
    <w:basedOn w:val="Normalny"/>
    <w:next w:val="Normalny"/>
    <w:link w:val="CytatintensywnyZnak"/>
    <w:uiPriority w:val="30"/>
    <w:qFormat/>
    <w:rsid w:val="00E94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44E6"/>
    <w:rPr>
      <w:i/>
      <w:iCs/>
      <w:color w:val="0F4761" w:themeColor="accent1" w:themeShade="BF"/>
    </w:rPr>
  </w:style>
  <w:style w:type="character" w:styleId="Odwoanieintensywne">
    <w:name w:val="Intense Reference"/>
    <w:basedOn w:val="Domylnaczcionkaakapitu"/>
    <w:uiPriority w:val="32"/>
    <w:qFormat/>
    <w:rsid w:val="00E944E6"/>
    <w:rPr>
      <w:b/>
      <w:bCs/>
      <w:smallCaps/>
      <w:color w:val="0F4761" w:themeColor="accent1" w:themeShade="BF"/>
      <w:spacing w:val="5"/>
    </w:rPr>
  </w:style>
  <w:style w:type="character" w:customStyle="1" w:styleId="markedcontent">
    <w:name w:val="markedcontent"/>
    <w:basedOn w:val="Domylnaczcionkaakapitu"/>
    <w:rsid w:val="00E944E6"/>
  </w:style>
  <w:style w:type="character" w:styleId="Hipercze">
    <w:name w:val="Hyperlink"/>
    <w:basedOn w:val="Domylnaczcionkaakapitu"/>
    <w:uiPriority w:val="99"/>
    <w:unhideWhenUsed/>
    <w:rsid w:val="00700C7C"/>
    <w:rPr>
      <w:color w:val="467886" w:themeColor="hyperlink"/>
      <w:u w:val="single"/>
    </w:rPr>
  </w:style>
  <w:style w:type="character" w:styleId="Nierozpoznanawzmianka">
    <w:name w:val="Unresolved Mention"/>
    <w:basedOn w:val="Domylnaczcionkaakapitu"/>
    <w:uiPriority w:val="99"/>
    <w:semiHidden/>
    <w:unhideWhenUsed/>
    <w:rsid w:val="00700C7C"/>
    <w:rPr>
      <w:color w:val="605E5C"/>
      <w:shd w:val="clear" w:color="auto" w:fill="E1DFDD"/>
    </w:rPr>
  </w:style>
  <w:style w:type="character" w:styleId="UyteHipercze">
    <w:name w:val="FollowedHyperlink"/>
    <w:basedOn w:val="Domylnaczcionkaakapitu"/>
    <w:uiPriority w:val="99"/>
    <w:semiHidden/>
    <w:unhideWhenUsed/>
    <w:rsid w:val="00700C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8802/katalog/13134659#13134659" TargetMode="External"/><Relationship Id="rId13" Type="http://schemas.openxmlformats.org/officeDocument/2006/relationships/hyperlink" Target="https://legislacja.rcl.gov.pl/projekt/12398903/katalog/13135632#13135632" TargetMode="External"/><Relationship Id="rId3" Type="http://schemas.openxmlformats.org/officeDocument/2006/relationships/settings" Target="settings.xml"/><Relationship Id="rId7" Type="http://schemas.openxmlformats.org/officeDocument/2006/relationships/hyperlink" Target="https://legislacja.rcl.gov.pl/projekt/12398704/katalog/13134180#13134180" TargetMode="External"/><Relationship Id="rId12" Type="http://schemas.openxmlformats.org/officeDocument/2006/relationships/hyperlink" Target="https://legislacja.rcl.gov.pl/projekt/12398907/katalog/13135835#13135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znes.gov.pl/pl/wyszukiwarka-firm/" TargetMode="External"/><Relationship Id="rId11" Type="http://schemas.openxmlformats.org/officeDocument/2006/relationships/hyperlink" Target="https://legislacja.rcl.gov.pl/projekt/12398800/katalog/13134558#1313455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egislacja.rcl.gov.pl/projekt/12398750/katalog/13134258#13134258" TargetMode="External"/><Relationship Id="rId4" Type="http://schemas.openxmlformats.org/officeDocument/2006/relationships/webSettings" Target="webSettings.xml"/><Relationship Id="rId9" Type="http://schemas.openxmlformats.org/officeDocument/2006/relationships/hyperlink" Target="https://legislacja.rcl.gov.pl/projekt/12398703/katalog/13134131#1313413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TotalTime>
  <Pages>27</Pages>
  <Words>12971</Words>
  <Characters>77832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90622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2025-06-18T07:08:00Z</dcterms:created>
  <dcterms:modified xsi:type="dcterms:W3CDTF">2025-06-18T12:16:00Z</dcterms:modified>
</cp:coreProperties>
</file>