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90BE" w14:textId="77777777" w:rsidR="00E46C04" w:rsidRPr="009607BA" w:rsidRDefault="00E46C04" w:rsidP="00E46C04">
      <w:pPr>
        <w:rPr>
          <w:rFonts w:ascii="Arial" w:hAnsi="Arial" w:cs="Arial"/>
          <w:sz w:val="24"/>
          <w:szCs w:val="24"/>
        </w:rPr>
      </w:pPr>
      <w:r w:rsidRPr="009607BA">
        <w:rPr>
          <w:rFonts w:ascii="Arial" w:hAnsi="Arial" w:cs="Arial"/>
          <w:noProof/>
          <w:sz w:val="24"/>
          <w:szCs w:val="24"/>
          <w:lang w:eastAsia="pl-PL"/>
        </w:rPr>
        <w:drawing>
          <wp:inline distT="0" distB="0" distL="0" distR="0" wp14:anchorId="7970F0E5" wp14:editId="3F0CA0E7">
            <wp:extent cx="5683910" cy="943559"/>
            <wp:effectExtent l="0" t="0" r="0" b="9525"/>
            <wp:docPr id="2" name="Obraz 2" descr="Obraz zawierający tekst, Czcionka, zrzut ekranu,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AI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0EC2E572" w14:textId="77777777" w:rsidR="00740612" w:rsidRDefault="00740612" w:rsidP="00E46C04">
      <w:pPr>
        <w:spacing w:after="0" w:line="300" w:lineRule="auto"/>
        <w:jc w:val="center"/>
        <w:rPr>
          <w:rFonts w:ascii="Arial" w:hAnsi="Arial" w:cs="Arial"/>
          <w:b/>
          <w:sz w:val="24"/>
          <w:szCs w:val="24"/>
        </w:rPr>
      </w:pPr>
    </w:p>
    <w:p w14:paraId="4718B286" w14:textId="22B18187" w:rsidR="00E46C04" w:rsidRPr="009607BA" w:rsidRDefault="00E46C04" w:rsidP="00E46C04">
      <w:pPr>
        <w:spacing w:after="0" w:line="300" w:lineRule="auto"/>
        <w:jc w:val="center"/>
        <w:rPr>
          <w:rFonts w:ascii="Arial" w:hAnsi="Arial" w:cs="Arial"/>
          <w:b/>
          <w:sz w:val="24"/>
          <w:szCs w:val="24"/>
        </w:rPr>
      </w:pPr>
      <w:r w:rsidRPr="009607BA">
        <w:rPr>
          <w:rFonts w:ascii="Arial" w:hAnsi="Arial" w:cs="Arial"/>
          <w:b/>
          <w:sz w:val="24"/>
          <w:szCs w:val="24"/>
        </w:rPr>
        <w:t xml:space="preserve">Konsultacje projektów krajowych aktów prawnych i ogłoszone akty prawne </w:t>
      </w:r>
      <w:r w:rsidRPr="009607BA">
        <w:rPr>
          <w:rFonts w:ascii="Arial" w:hAnsi="Arial" w:cs="Arial"/>
          <w:b/>
          <w:sz w:val="24"/>
          <w:szCs w:val="24"/>
        </w:rPr>
        <w:br/>
        <w:t>w Dzienniku Ustaw</w:t>
      </w:r>
    </w:p>
    <w:p w14:paraId="19858EEE" w14:textId="77777777" w:rsidR="00E46C04" w:rsidRPr="009607BA" w:rsidRDefault="00E46C04" w:rsidP="00E46C04">
      <w:pPr>
        <w:spacing w:after="0" w:line="300" w:lineRule="auto"/>
        <w:jc w:val="center"/>
        <w:rPr>
          <w:rFonts w:ascii="Arial" w:hAnsi="Arial" w:cs="Arial"/>
          <w:b/>
          <w:sz w:val="24"/>
          <w:szCs w:val="24"/>
        </w:rPr>
      </w:pPr>
      <w:r w:rsidRPr="009607BA">
        <w:rPr>
          <w:rFonts w:ascii="Arial" w:hAnsi="Arial" w:cs="Arial"/>
          <w:b/>
          <w:sz w:val="24"/>
          <w:szCs w:val="24"/>
        </w:rPr>
        <w:t>(monitoring legislacji krajowej ZPPM)</w:t>
      </w:r>
    </w:p>
    <w:p w14:paraId="33C9088B" w14:textId="6923F6A2" w:rsidR="00E46C04" w:rsidRPr="009607BA" w:rsidRDefault="00E46C04" w:rsidP="00E46C04">
      <w:pPr>
        <w:spacing w:after="0" w:line="300" w:lineRule="auto"/>
        <w:jc w:val="center"/>
        <w:rPr>
          <w:rFonts w:ascii="Arial" w:hAnsi="Arial" w:cs="Arial"/>
          <w:sz w:val="24"/>
          <w:szCs w:val="24"/>
        </w:rPr>
      </w:pPr>
      <w:r w:rsidRPr="009607BA">
        <w:rPr>
          <w:rFonts w:ascii="Arial" w:hAnsi="Arial" w:cs="Arial"/>
          <w:b/>
          <w:sz w:val="24"/>
          <w:szCs w:val="24"/>
        </w:rPr>
        <w:t xml:space="preserve">w okresie od </w:t>
      </w:r>
      <w:r w:rsidR="00AB2C50">
        <w:rPr>
          <w:rFonts w:ascii="Arial" w:hAnsi="Arial" w:cs="Arial"/>
          <w:b/>
          <w:sz w:val="24"/>
          <w:szCs w:val="24"/>
        </w:rPr>
        <w:t>14</w:t>
      </w:r>
      <w:r w:rsidRPr="009607BA">
        <w:rPr>
          <w:rFonts w:ascii="Arial" w:hAnsi="Arial" w:cs="Arial"/>
          <w:b/>
          <w:sz w:val="24"/>
          <w:szCs w:val="24"/>
        </w:rPr>
        <w:t xml:space="preserve"> do </w:t>
      </w:r>
      <w:r w:rsidR="009A2E8C">
        <w:rPr>
          <w:rFonts w:ascii="Arial" w:hAnsi="Arial" w:cs="Arial"/>
          <w:b/>
          <w:sz w:val="24"/>
          <w:szCs w:val="24"/>
        </w:rPr>
        <w:t>20</w:t>
      </w:r>
      <w:r w:rsidRPr="009607BA">
        <w:rPr>
          <w:rFonts w:ascii="Arial" w:hAnsi="Arial" w:cs="Arial"/>
          <w:b/>
          <w:sz w:val="24"/>
          <w:szCs w:val="24"/>
        </w:rPr>
        <w:t xml:space="preserve"> </w:t>
      </w:r>
      <w:r w:rsidR="008672CF" w:rsidRPr="009607BA">
        <w:rPr>
          <w:rFonts w:ascii="Arial" w:hAnsi="Arial" w:cs="Arial"/>
          <w:b/>
          <w:sz w:val="24"/>
          <w:szCs w:val="24"/>
        </w:rPr>
        <w:t>lipca</w:t>
      </w:r>
      <w:r w:rsidRPr="009607BA">
        <w:rPr>
          <w:rFonts w:ascii="Arial" w:hAnsi="Arial" w:cs="Arial"/>
          <w:b/>
          <w:sz w:val="24"/>
          <w:szCs w:val="24"/>
        </w:rPr>
        <w:t xml:space="preserve"> 2025 roku</w:t>
      </w:r>
    </w:p>
    <w:p w14:paraId="42598C4B" w14:textId="46F67D2B" w:rsidR="00E46C04" w:rsidRPr="009607BA" w:rsidRDefault="00E46C04" w:rsidP="00E46C04">
      <w:pPr>
        <w:spacing w:after="0" w:line="300" w:lineRule="auto"/>
        <w:jc w:val="center"/>
        <w:rPr>
          <w:rFonts w:ascii="Arial" w:hAnsi="Arial" w:cs="Arial"/>
          <w:sz w:val="24"/>
          <w:szCs w:val="24"/>
        </w:rPr>
      </w:pPr>
      <w:r w:rsidRPr="009607BA">
        <w:rPr>
          <w:rFonts w:ascii="Arial" w:hAnsi="Arial" w:cs="Arial"/>
          <w:sz w:val="24"/>
          <w:szCs w:val="24"/>
        </w:rPr>
        <w:t xml:space="preserve">Raport na dzień </w:t>
      </w:r>
      <w:r w:rsidR="009A2E8C">
        <w:rPr>
          <w:rFonts w:ascii="Arial" w:hAnsi="Arial" w:cs="Arial"/>
          <w:sz w:val="24"/>
          <w:szCs w:val="24"/>
        </w:rPr>
        <w:t>22</w:t>
      </w:r>
      <w:r w:rsidRPr="009607BA">
        <w:rPr>
          <w:rFonts w:ascii="Arial" w:hAnsi="Arial" w:cs="Arial"/>
          <w:sz w:val="24"/>
          <w:szCs w:val="24"/>
        </w:rPr>
        <w:t xml:space="preserve"> lipca 2025 roku</w:t>
      </w:r>
    </w:p>
    <w:p w14:paraId="0068043F" w14:textId="77777777" w:rsidR="00E46C04" w:rsidRDefault="00E46C04" w:rsidP="008672CF">
      <w:pPr>
        <w:spacing w:after="0"/>
        <w:jc w:val="both"/>
        <w:rPr>
          <w:rFonts w:ascii="Arial" w:hAnsi="Arial" w:cs="Arial"/>
          <w:sz w:val="24"/>
          <w:szCs w:val="24"/>
        </w:rPr>
      </w:pPr>
    </w:p>
    <w:p w14:paraId="396DA778" w14:textId="77777777" w:rsidR="00740612" w:rsidRDefault="00740612" w:rsidP="008672CF">
      <w:pPr>
        <w:spacing w:after="0"/>
        <w:jc w:val="both"/>
        <w:rPr>
          <w:rFonts w:ascii="Arial" w:hAnsi="Arial" w:cs="Arial"/>
          <w:sz w:val="24"/>
          <w:szCs w:val="24"/>
        </w:rPr>
      </w:pPr>
    </w:p>
    <w:p w14:paraId="3177A70D" w14:textId="77777777" w:rsidR="00E46C04" w:rsidRPr="009607BA" w:rsidRDefault="00E46C04" w:rsidP="00740612">
      <w:pPr>
        <w:pStyle w:val="Akapitzlist"/>
        <w:numPr>
          <w:ilvl w:val="0"/>
          <w:numId w:val="1"/>
        </w:numPr>
        <w:spacing w:after="0" w:line="283" w:lineRule="auto"/>
        <w:ind w:left="284" w:hanging="284"/>
        <w:jc w:val="both"/>
        <w:rPr>
          <w:rFonts w:ascii="Arial" w:hAnsi="Arial" w:cs="Arial"/>
          <w:b/>
          <w:sz w:val="24"/>
          <w:szCs w:val="24"/>
        </w:rPr>
      </w:pPr>
      <w:r w:rsidRPr="009607BA">
        <w:rPr>
          <w:rFonts w:ascii="Arial" w:hAnsi="Arial" w:cs="Arial"/>
          <w:b/>
          <w:sz w:val="24"/>
          <w:szCs w:val="24"/>
        </w:rPr>
        <w:t>Projekty aktów prawnych</w:t>
      </w:r>
    </w:p>
    <w:p w14:paraId="5650601C" w14:textId="77777777" w:rsidR="00E46C04" w:rsidRPr="009607BA" w:rsidRDefault="00E46C04" w:rsidP="00740612">
      <w:pPr>
        <w:spacing w:after="0" w:line="283" w:lineRule="auto"/>
        <w:jc w:val="both"/>
        <w:rPr>
          <w:rFonts w:ascii="Arial" w:hAnsi="Arial" w:cs="Arial"/>
          <w:sz w:val="24"/>
          <w:szCs w:val="24"/>
        </w:rPr>
      </w:pPr>
    </w:p>
    <w:p w14:paraId="6483F7D9" w14:textId="7D1674BD" w:rsidR="00E46C04" w:rsidRPr="009607BA" w:rsidRDefault="00E46C04" w:rsidP="00740612">
      <w:pPr>
        <w:spacing w:after="0" w:line="283" w:lineRule="auto"/>
        <w:jc w:val="both"/>
        <w:rPr>
          <w:rFonts w:ascii="Arial" w:hAnsi="Arial" w:cs="Arial"/>
          <w:sz w:val="24"/>
          <w:szCs w:val="24"/>
        </w:rPr>
      </w:pPr>
      <w:r w:rsidRPr="009607BA">
        <w:rPr>
          <w:rFonts w:ascii="Arial" w:hAnsi="Arial" w:cs="Arial"/>
          <w:sz w:val="24"/>
          <w:szCs w:val="24"/>
        </w:rPr>
        <w:t xml:space="preserve">W omawianym okresie </w:t>
      </w:r>
      <w:r w:rsidRPr="009607BA">
        <w:rPr>
          <w:rFonts w:ascii="Arial" w:eastAsia="Calibri" w:hAnsi="Arial" w:cs="Arial"/>
          <w:bCs/>
          <w:sz w:val="24"/>
          <w:szCs w:val="24"/>
        </w:rPr>
        <w:t xml:space="preserve">Rządowe Centrum Legislacji opublikowało </w:t>
      </w:r>
      <w:r w:rsidR="009A2E8C">
        <w:rPr>
          <w:rFonts w:ascii="Arial" w:eastAsia="Calibri" w:hAnsi="Arial" w:cs="Arial"/>
          <w:bCs/>
          <w:sz w:val="24"/>
          <w:szCs w:val="24"/>
        </w:rPr>
        <w:t>3</w:t>
      </w:r>
      <w:r w:rsidRPr="009607BA">
        <w:rPr>
          <w:rFonts w:ascii="Arial" w:eastAsia="Calibri" w:hAnsi="Arial" w:cs="Arial"/>
          <w:bCs/>
          <w:sz w:val="24"/>
          <w:szCs w:val="24"/>
        </w:rPr>
        <w:t xml:space="preserve"> projekt</w:t>
      </w:r>
      <w:r w:rsidR="009A2E8C">
        <w:rPr>
          <w:rFonts w:ascii="Arial" w:eastAsia="Calibri" w:hAnsi="Arial" w:cs="Arial"/>
          <w:bCs/>
          <w:sz w:val="24"/>
          <w:szCs w:val="24"/>
        </w:rPr>
        <w:t>y</w:t>
      </w:r>
      <w:r w:rsidRPr="009607BA">
        <w:rPr>
          <w:rFonts w:ascii="Arial" w:eastAsia="Calibri" w:hAnsi="Arial" w:cs="Arial"/>
          <w:bCs/>
          <w:sz w:val="24"/>
          <w:szCs w:val="24"/>
        </w:rPr>
        <w:t xml:space="preserve"> ustaw oraz</w:t>
      </w:r>
      <w:r w:rsidRPr="009607BA">
        <w:rPr>
          <w:rFonts w:ascii="Arial" w:hAnsi="Arial" w:cs="Arial"/>
          <w:sz w:val="24"/>
          <w:szCs w:val="24"/>
        </w:rPr>
        <w:t xml:space="preserve"> </w:t>
      </w:r>
      <w:r w:rsidR="009A2E8C">
        <w:rPr>
          <w:rFonts w:ascii="Arial" w:hAnsi="Arial" w:cs="Arial"/>
          <w:sz w:val="24"/>
          <w:szCs w:val="24"/>
        </w:rPr>
        <w:t>16</w:t>
      </w:r>
      <w:r w:rsidRPr="009607BA">
        <w:rPr>
          <w:rFonts w:ascii="Arial" w:hAnsi="Arial" w:cs="Arial"/>
          <w:sz w:val="24"/>
          <w:szCs w:val="24"/>
        </w:rPr>
        <w:t xml:space="preserve"> projektów rozporządzeń Rady Ministrów, Prezesa Rady Ministrów oraz poszczególnych Ministrów.</w:t>
      </w:r>
    </w:p>
    <w:p w14:paraId="35C82C54" w14:textId="05FEF4A8" w:rsidR="00E46C04" w:rsidRPr="009607BA" w:rsidRDefault="00E46C04" w:rsidP="00740612">
      <w:pPr>
        <w:spacing w:after="0" w:line="283" w:lineRule="auto"/>
        <w:jc w:val="both"/>
        <w:rPr>
          <w:rFonts w:ascii="Arial" w:hAnsi="Arial" w:cs="Arial"/>
          <w:sz w:val="24"/>
          <w:szCs w:val="24"/>
        </w:rPr>
      </w:pPr>
    </w:p>
    <w:p w14:paraId="5B596CF4" w14:textId="62EA7C22" w:rsidR="00E46C04" w:rsidRPr="009607BA" w:rsidRDefault="00E46C04" w:rsidP="00740612">
      <w:pPr>
        <w:spacing w:after="0" w:line="283" w:lineRule="auto"/>
        <w:jc w:val="both"/>
        <w:rPr>
          <w:rFonts w:ascii="Arial" w:hAnsi="Arial" w:cs="Arial"/>
          <w:sz w:val="24"/>
          <w:szCs w:val="24"/>
        </w:rPr>
      </w:pPr>
      <w:r w:rsidRPr="009607BA">
        <w:rPr>
          <w:rFonts w:ascii="Arial" w:hAnsi="Arial" w:cs="Arial"/>
          <w:sz w:val="24"/>
          <w:szCs w:val="24"/>
        </w:rPr>
        <w:t xml:space="preserve">Przeprowadzono konsultacje </w:t>
      </w:r>
      <w:r w:rsidR="005B3A51">
        <w:rPr>
          <w:rFonts w:ascii="Arial" w:hAnsi="Arial" w:cs="Arial"/>
          <w:sz w:val="24"/>
          <w:szCs w:val="24"/>
        </w:rPr>
        <w:t>1</w:t>
      </w:r>
      <w:r w:rsidRPr="009607BA">
        <w:rPr>
          <w:rFonts w:ascii="Arial" w:hAnsi="Arial" w:cs="Arial"/>
          <w:sz w:val="24"/>
          <w:szCs w:val="24"/>
        </w:rPr>
        <w:t xml:space="preserve"> projekt</w:t>
      </w:r>
      <w:r w:rsidR="005B3A51">
        <w:rPr>
          <w:rFonts w:ascii="Arial" w:hAnsi="Arial" w:cs="Arial"/>
          <w:sz w:val="24"/>
          <w:szCs w:val="24"/>
        </w:rPr>
        <w:t>u</w:t>
      </w:r>
      <w:r w:rsidRPr="009607BA">
        <w:rPr>
          <w:rFonts w:ascii="Arial" w:hAnsi="Arial" w:cs="Arial"/>
          <w:sz w:val="24"/>
          <w:szCs w:val="24"/>
        </w:rPr>
        <w:t xml:space="preserve"> ustaw</w:t>
      </w:r>
      <w:r w:rsidR="009A2E8C">
        <w:rPr>
          <w:rFonts w:ascii="Arial" w:hAnsi="Arial" w:cs="Arial"/>
          <w:sz w:val="24"/>
          <w:szCs w:val="24"/>
        </w:rPr>
        <w:t>y</w:t>
      </w:r>
      <w:r w:rsidRPr="009607BA">
        <w:rPr>
          <w:rFonts w:ascii="Arial" w:hAnsi="Arial" w:cs="Arial"/>
          <w:sz w:val="24"/>
          <w:szCs w:val="24"/>
        </w:rPr>
        <w:t xml:space="preserve"> i </w:t>
      </w:r>
      <w:r w:rsidR="009A2E8C">
        <w:rPr>
          <w:rFonts w:ascii="Arial" w:hAnsi="Arial" w:cs="Arial"/>
          <w:sz w:val="24"/>
          <w:szCs w:val="24"/>
        </w:rPr>
        <w:t>6</w:t>
      </w:r>
      <w:r w:rsidRPr="009607BA">
        <w:rPr>
          <w:rFonts w:ascii="Arial" w:hAnsi="Arial" w:cs="Arial"/>
          <w:sz w:val="24"/>
          <w:szCs w:val="24"/>
        </w:rPr>
        <w:t xml:space="preserve"> projektów rozporządzeń dotyczących podmiotów członkowskich (pracodawcy, przedsiębiorcy, JST) zrzeszonych w Związku. </w:t>
      </w:r>
    </w:p>
    <w:p w14:paraId="10B5AFB3" w14:textId="1C70EDE3" w:rsidR="00E46C04" w:rsidRPr="009607BA" w:rsidRDefault="00E46C04" w:rsidP="00740612">
      <w:pPr>
        <w:spacing w:after="0" w:line="283" w:lineRule="auto"/>
        <w:jc w:val="both"/>
        <w:rPr>
          <w:rFonts w:ascii="Arial" w:hAnsi="Arial" w:cs="Arial"/>
          <w:sz w:val="24"/>
          <w:szCs w:val="24"/>
        </w:rPr>
      </w:pPr>
      <w:r w:rsidRPr="009607BA">
        <w:rPr>
          <w:rFonts w:ascii="Arial" w:hAnsi="Arial" w:cs="Arial"/>
          <w:sz w:val="24"/>
          <w:szCs w:val="24"/>
        </w:rPr>
        <w:t>Do konsultacji przekazane zostały następujące projekty:</w:t>
      </w:r>
    </w:p>
    <w:p w14:paraId="25221E73" w14:textId="77777777" w:rsidR="00E46C04" w:rsidRPr="00AB2C50" w:rsidRDefault="00E46C04" w:rsidP="00740612">
      <w:pPr>
        <w:spacing w:after="0" w:line="283" w:lineRule="auto"/>
        <w:jc w:val="both"/>
        <w:rPr>
          <w:rFonts w:ascii="Arial" w:hAnsi="Arial" w:cs="Arial"/>
          <w:sz w:val="24"/>
          <w:szCs w:val="24"/>
        </w:rPr>
      </w:pPr>
    </w:p>
    <w:p w14:paraId="28F6F300" w14:textId="77777777" w:rsidR="00E46C04" w:rsidRPr="00AB2C50" w:rsidRDefault="00E46C04" w:rsidP="00740612">
      <w:pPr>
        <w:spacing w:after="0" w:line="283" w:lineRule="auto"/>
        <w:jc w:val="both"/>
        <w:rPr>
          <w:rFonts w:ascii="Arial" w:hAnsi="Arial" w:cs="Arial"/>
          <w:sz w:val="24"/>
          <w:szCs w:val="24"/>
        </w:rPr>
      </w:pPr>
      <w:r w:rsidRPr="00AB2C50">
        <w:rPr>
          <w:rFonts w:ascii="Arial" w:hAnsi="Arial" w:cs="Arial"/>
          <w:sz w:val="24"/>
          <w:szCs w:val="24"/>
        </w:rPr>
        <w:t>Projekty ustaw:</w:t>
      </w:r>
    </w:p>
    <w:p w14:paraId="5FDC85AD" w14:textId="77777777" w:rsidR="00097965" w:rsidRPr="00AB2C50" w:rsidRDefault="00097965" w:rsidP="00740612">
      <w:pPr>
        <w:spacing w:after="0" w:line="283" w:lineRule="auto"/>
        <w:jc w:val="both"/>
        <w:rPr>
          <w:rFonts w:ascii="Arial" w:hAnsi="Arial" w:cs="Arial"/>
          <w:sz w:val="24"/>
          <w:szCs w:val="24"/>
        </w:rPr>
      </w:pPr>
    </w:p>
    <w:p w14:paraId="68F3E37E" w14:textId="73455056" w:rsidR="00097965" w:rsidRPr="00AB2C50" w:rsidRDefault="00F42313" w:rsidP="00740612">
      <w:pPr>
        <w:pStyle w:val="Akapitzlist"/>
        <w:spacing w:after="0" w:line="283" w:lineRule="auto"/>
        <w:ind w:left="714"/>
        <w:jc w:val="both"/>
        <w:rPr>
          <w:rFonts w:ascii="Arial" w:hAnsi="Arial" w:cs="Arial"/>
          <w:b/>
          <w:bCs/>
          <w:sz w:val="24"/>
          <w:szCs w:val="24"/>
          <w:u w:val="single"/>
        </w:rPr>
      </w:pPr>
      <w:r w:rsidRPr="00AB2C50">
        <w:rPr>
          <w:rFonts w:ascii="Arial" w:hAnsi="Arial" w:cs="Arial"/>
          <w:b/>
          <w:bCs/>
          <w:sz w:val="24"/>
          <w:szCs w:val="24"/>
          <w:u w:val="single"/>
        </w:rPr>
        <w:t xml:space="preserve">Projekt </w:t>
      </w:r>
      <w:r w:rsidR="00AB2C50" w:rsidRPr="00AB2C50">
        <w:rPr>
          <w:rFonts w:ascii="Arial" w:hAnsi="Arial" w:cs="Arial"/>
          <w:b/>
          <w:bCs/>
          <w:sz w:val="24"/>
          <w:szCs w:val="24"/>
          <w:u w:val="single"/>
        </w:rPr>
        <w:t>ustawy o zmianie ustawy – Prawo oświatowe oraz niektórych innych ustaw (numer z wykazu UD244)</w:t>
      </w:r>
      <w:r w:rsidR="00097965" w:rsidRPr="00AB2C50">
        <w:rPr>
          <w:rFonts w:ascii="Arial" w:hAnsi="Arial" w:cs="Arial"/>
          <w:b/>
          <w:bCs/>
          <w:sz w:val="24"/>
          <w:szCs w:val="24"/>
          <w:u w:val="single"/>
        </w:rPr>
        <w:t>.</w:t>
      </w:r>
    </w:p>
    <w:p w14:paraId="29A71545" w14:textId="1BA9EE5F" w:rsidR="00503BC1" w:rsidRPr="00AB2C50" w:rsidRDefault="00503BC1" w:rsidP="00740612">
      <w:pPr>
        <w:spacing w:after="0" w:line="283" w:lineRule="auto"/>
        <w:jc w:val="both"/>
        <w:rPr>
          <w:rFonts w:ascii="Arial" w:hAnsi="Arial" w:cs="Arial"/>
          <w:sz w:val="24"/>
          <w:szCs w:val="24"/>
        </w:rPr>
      </w:pPr>
    </w:p>
    <w:p w14:paraId="5ACF64F3" w14:textId="77777777" w:rsidR="00AB2C50" w:rsidRPr="00AB2C50" w:rsidRDefault="00AB2C50" w:rsidP="00740612">
      <w:pPr>
        <w:spacing w:after="0" w:line="283" w:lineRule="auto"/>
        <w:jc w:val="both"/>
        <w:rPr>
          <w:rFonts w:ascii="Arial" w:hAnsi="Arial" w:cs="Arial"/>
          <w:sz w:val="24"/>
          <w:szCs w:val="24"/>
        </w:rPr>
      </w:pPr>
      <w:r w:rsidRPr="00AB2C50">
        <w:rPr>
          <w:rFonts w:ascii="Arial" w:hAnsi="Arial" w:cs="Arial"/>
          <w:sz w:val="24"/>
          <w:szCs w:val="24"/>
        </w:rPr>
        <w:t xml:space="preserve">Projekt ustawy o zmianie ustawy – Prawo oświatowe oraz niektórych innych ustaw, zwany dalej „projektem ustawy”, ma na celu wprowadzenie do porządku prawnego regulacji przede wszystkim pozwalających na dostosowanie edukacji na poziomie szkół podstawowych do zmian demograficznych, chroniąc przy tym – tam, gdzie jest to możliwe – usytuowane blisko domu rodzinnego, bezpieczne miejsca edukacji dzieci – szkoły podstawowe. Zgodnie z założeniami projektu ustawy miejsca te, głównie po zakończeniu obowiązkowych zajęć edukacyjnych, mogą być wykorzystywane do zaspokajania, innych niż potrzeby edukacyjne dzieci, potrzeb lokalnej społeczności. Szkoły podstawowe, zwłaszcza te na terenach wiejskich, od wielu pokoleń są postrzegane jako ośrodki życia społeczno-kulturalnego. Projekt ustawy pozwala na wzmocnienie tej, dotąd nie uregulowanej ustawowo, roli szkoły, dając jednocześnie możliwość poszerzenia przez jednostki samorządu terytorialnego, zwane dalej „JST”, oferty wsparcia skierowanej do swoich mieszkańców. Infrastruktura, pustoszejącej </w:t>
      </w:r>
      <w:r w:rsidRPr="00AB2C50">
        <w:rPr>
          <w:rFonts w:ascii="Arial" w:hAnsi="Arial" w:cs="Arial"/>
          <w:sz w:val="24"/>
          <w:szCs w:val="24"/>
        </w:rPr>
        <w:lastRenderedPageBreak/>
        <w:t>z powodu zmian demograficznych, szkoły (przedszkola i placówki) może więc być szansą na zaspokojenie potrzeb rodziców powracających na rynek pracy, przez zapewnienie w siedzibie szkoły opieki żłobkowej (np. w formie punktu opieki dziennej) oraz umożliwienie korzystania z wychowania przedszkolnego. Budynek szkoły, oczywiście przy przestrzeganiu wszelkich zasad związanych z bezpieczeństwem uczniów, może być również miejscem realizacji polityki senioralnej przez organ prowadzący szkołę oraz pobudzania i rozwijania aktywności obywatelskiej.</w:t>
      </w:r>
    </w:p>
    <w:p w14:paraId="524B21F9" w14:textId="77777777" w:rsidR="00AB2C50" w:rsidRPr="00AB2C50" w:rsidRDefault="00AB2C50" w:rsidP="00740612">
      <w:pPr>
        <w:spacing w:after="0" w:line="283" w:lineRule="auto"/>
        <w:jc w:val="both"/>
        <w:rPr>
          <w:rFonts w:ascii="Arial" w:hAnsi="Arial" w:cs="Arial"/>
          <w:sz w:val="24"/>
          <w:szCs w:val="24"/>
        </w:rPr>
      </w:pPr>
      <w:r w:rsidRPr="00AB2C50">
        <w:rPr>
          <w:rFonts w:ascii="Arial" w:hAnsi="Arial" w:cs="Arial"/>
          <w:sz w:val="24"/>
          <w:szCs w:val="24"/>
        </w:rPr>
        <w:t>Celem projektu ustawy jest wprowadzenie szeregu regulacji stanowiących alternatywę w stosunku do likwidacji małej szkoły podstawowej. Regulacje te umożliwią gminom z jednej strony zagwarantowanie młodszym dzieciom edukacji w klasach I–III w szkole jak najbliżej rodzinnego domu, nawet w sytuacji niskiej liczby uczniów, z drugiej zaś strony pozwolą na zapewnienie uczniom klas IV–VIII szkoły podstawowej odpowiedniej jakości edukacji, w szkole zatrudniającej wykwalifikowanych nauczycieli nauczających w dobrze wyposażonych pracowniach przedmiotowych. Proponowane rozwiązania są też korzystne dla grupy nauczycieli, którzy obecnie są zatrudniani w wielu szkołach, prowadzących po kilka zajęć tygodniowo w każdej z nich. Zatrudnienie nauczyciela na pełen etat w jednej szkole nie tylko pozwala na pełniejsze wykorzystanie jego potencjału dla dobra uczniów, ale daje także szanse na pełne korzystanie z przywilejów, takich jak: zatrudnienie na podstawie mianowania, skorzystanie z urlopu dla poratowania zdrowia lub płatnego urlopu dla dalszego kształcenia albo bezpłatnego urlopu dla celów naukowych, oświatowych, artystycznych albo z innych ważnych przyczyn. W grupie zmian dotyczących struktury organizacyjnej szkół podstawowych znalazły się również przepisy projakościowe wprowadzające rozwiązania wspierające uczniów, którzy chcieliby pobierać naukę w dwóch językach – polskim i obcym nowożytnym. W projekcie ustawy przewiduje się możliwość powołania zespołu składającego się ze szkoły podstawowej dwujęzycznej obejmującej swą strukturą organizacyjną klasy VII i VIII oraz szkoły ponadpodstawowej realizującej kształcenie dwujęzyczne (liceum ogólnokształcącego albo technikum) będące kontynuacją realizacji programu nauczania rozpoczętego w szkole podstawowej dwujęzycznej.</w:t>
      </w:r>
    </w:p>
    <w:p w14:paraId="24D59E87" w14:textId="77777777" w:rsidR="00AB2C50" w:rsidRPr="00AB2C50" w:rsidRDefault="00AB2C50" w:rsidP="00740612">
      <w:pPr>
        <w:spacing w:after="0" w:line="283" w:lineRule="auto"/>
        <w:jc w:val="both"/>
        <w:rPr>
          <w:rFonts w:ascii="Arial" w:hAnsi="Arial" w:cs="Arial"/>
          <w:spacing w:val="-2"/>
          <w:sz w:val="24"/>
          <w:szCs w:val="24"/>
        </w:rPr>
      </w:pPr>
      <w:r w:rsidRPr="00AB2C50">
        <w:rPr>
          <w:rFonts w:ascii="Arial" w:hAnsi="Arial" w:cs="Arial"/>
          <w:spacing w:val="-2"/>
          <w:sz w:val="24"/>
          <w:szCs w:val="24"/>
        </w:rPr>
        <w:t>W projekcie ustawy proponuje się przede wszystkim następujące rozwiązania (m.in):</w:t>
      </w:r>
    </w:p>
    <w:p w14:paraId="322F7903" w14:textId="77777777" w:rsidR="00AB2C50" w:rsidRPr="00AB2C50" w:rsidRDefault="00AB2C50" w:rsidP="00740612">
      <w:pPr>
        <w:numPr>
          <w:ilvl w:val="0"/>
          <w:numId w:val="29"/>
        </w:numPr>
        <w:spacing w:after="0" w:line="283" w:lineRule="auto"/>
        <w:jc w:val="both"/>
        <w:rPr>
          <w:rFonts w:ascii="Arial" w:eastAsia="Times New Roman" w:hAnsi="Arial" w:cs="Arial"/>
          <w:spacing w:val="-2"/>
          <w:sz w:val="24"/>
          <w:szCs w:val="24"/>
          <w14:ligatures w14:val="standardContextual"/>
        </w:rPr>
      </w:pPr>
      <w:r w:rsidRPr="00AB2C50">
        <w:rPr>
          <w:rFonts w:ascii="Arial" w:eastAsia="Times New Roman" w:hAnsi="Arial" w:cs="Arial"/>
          <w:spacing w:val="-2"/>
          <w:sz w:val="24"/>
          <w:szCs w:val="24"/>
        </w:rPr>
        <w:t>wprowadzenie możliwości zaspokajania potrzeb lokalnej społeczności w niewykorzystywanej części budynku oświatowego (nowy przepis w ustawie z dnia 14 grudnia 2016 r. – Prawo oświatowe (Dz. U. z 2024 r. poz. 737, z późn. zm.), zwanej dalej „UPO”)</w:t>
      </w:r>
    </w:p>
    <w:p w14:paraId="62422501" w14:textId="77777777" w:rsidR="00AB2C50" w:rsidRPr="00AB2C50" w:rsidRDefault="00AB2C50" w:rsidP="00740612">
      <w:pPr>
        <w:spacing w:after="0" w:line="283" w:lineRule="auto"/>
        <w:jc w:val="both"/>
        <w:rPr>
          <w:rFonts w:ascii="Arial" w:hAnsi="Arial" w:cs="Arial"/>
          <w:spacing w:val="-2"/>
          <w:sz w:val="24"/>
          <w:szCs w:val="24"/>
        </w:rPr>
      </w:pPr>
      <w:r w:rsidRPr="00AB2C50">
        <w:rPr>
          <w:rFonts w:ascii="Arial" w:hAnsi="Arial" w:cs="Arial"/>
          <w:spacing w:val="-2"/>
          <w:sz w:val="24"/>
          <w:szCs w:val="24"/>
        </w:rPr>
        <w:t>Przewiduje się możliwość realizacji w budynkach przedszkoli, szkół lub placówek innych niż edukacyjne zadań własnych JST, w szczególności związanych z opieką nad dziećmi do lat 3, polityką senioralną, ochroną zdrowia i kulturą. Rozwiązanie to będzie sprzyjać uniknięciu likwidacji szkół podstawowych i uwzględnieniu zaspokojenia różnorodnych potrzeb edukacyjnych i społecznych lokalnych wspólnot. Będzie to jednak obwarowane zastrzeżeniem, że realizowanie ww. zadań nie może negatywnie wpływać na zapewnienie odpowiednich warunków funkcjonowania przedszkola, szkoły lub placówki, w tym bezpiecznych i higienicznych warunków nauki, wychowania i opieki.</w:t>
      </w:r>
    </w:p>
    <w:p w14:paraId="1E928B0E" w14:textId="77777777" w:rsidR="00AB2C50" w:rsidRPr="00AB2C50" w:rsidRDefault="00AB2C50" w:rsidP="00740612">
      <w:pPr>
        <w:numPr>
          <w:ilvl w:val="0"/>
          <w:numId w:val="29"/>
        </w:numPr>
        <w:spacing w:after="0" w:line="283" w:lineRule="auto"/>
        <w:jc w:val="both"/>
        <w:rPr>
          <w:rFonts w:ascii="Arial" w:eastAsia="Times New Roman" w:hAnsi="Arial" w:cs="Arial"/>
          <w:spacing w:val="-2"/>
          <w:sz w:val="24"/>
          <w:szCs w:val="24"/>
        </w:rPr>
      </w:pPr>
      <w:r w:rsidRPr="00AB2C50">
        <w:rPr>
          <w:rFonts w:ascii="Arial" w:eastAsia="Times New Roman" w:hAnsi="Arial" w:cs="Arial"/>
          <w:spacing w:val="-2"/>
          <w:sz w:val="24"/>
          <w:szCs w:val="24"/>
        </w:rPr>
        <w:lastRenderedPageBreak/>
        <w:t>uelastycznianie funkcjonowania szkół podstawowych, w tym uproszczenie warunków tworzenia filialnej szkoły podstawowej (zmiany w art. 95 i 89 UPO)</w:t>
      </w:r>
    </w:p>
    <w:p w14:paraId="76ED5CF1" w14:textId="77777777" w:rsidR="00AB2C50" w:rsidRPr="00AB2C50" w:rsidRDefault="00AB2C50" w:rsidP="00740612">
      <w:pPr>
        <w:spacing w:after="0" w:line="283" w:lineRule="auto"/>
        <w:jc w:val="both"/>
        <w:rPr>
          <w:rFonts w:ascii="Arial" w:hAnsi="Arial" w:cs="Arial"/>
          <w:spacing w:val="-2"/>
          <w:sz w:val="24"/>
          <w:szCs w:val="24"/>
        </w:rPr>
      </w:pPr>
      <w:r w:rsidRPr="00AB2C50">
        <w:rPr>
          <w:rFonts w:ascii="Arial" w:hAnsi="Arial" w:cs="Arial"/>
          <w:spacing w:val="-2"/>
          <w:sz w:val="24"/>
          <w:szCs w:val="24"/>
        </w:rPr>
        <w:t>W kontekście procesów demograficznych przewiduje się zmianę przepisów dotyczących struktury organizacyjnej publicznej szkoły podstawowej. Uelastycznienie tych przepisów pozwoli – tam gdzie jest to możliwe i oczekiwane przez lokalną społeczność – zorganizowanie kształcenia w zakresie szkoły podstawowej w sposób inny niż dotychczas. Projekt ustawy przewiduje, w przypadkach uzasadnionych trudnymi warunkami demograficznymi lub geograficznymi, możliwość funkcjonowania szkoły podstawowej obejmującej strukturą organizacyjną klasy I–III, I–IV albo IV–VIII oraz szkoły podstawowej filialnej obejmującej klasy I–III albo I–IV (obecnie w przypadkach uzasadnionych miejscowymi warunkami mogą funkcjonować szkoły podstawowe i szkoły podstawowe filialne obejmujące klasy I–III albo I–IV). Utworzenie szkoły filialnej, w miejsce innej szkoły podstawowej, będzie mogło nastąpić m.in. w drodze przekształcenia tej szkoły w szkołę filialną podporządkowaną organizacyjnie szkole podstawowej obejmującej strukturą organizacyjną klasy I–VIII albo IV–VIII. Zagwarantuje to instytucjonalną ciągłość i bezpieczeństwo procesu kształcenia. W efekcie w gminie będzie mogła powstać szkoła, w której w dobrze wyposażonych pracowniach przedmiotowych będą kształcić się głównie uczniowie klas IV–VIII, nauczani przez wykwalifikowanych i zatrudnianych na pełne etaty nauczycieli. Natomiast uczniowie klas I–III nadal będą pobierać naukę w szkole usytuowanej blisko domu rodzinnego.</w:t>
      </w:r>
    </w:p>
    <w:p w14:paraId="0B1386FC" w14:textId="77777777" w:rsidR="00AB2C50" w:rsidRPr="00AB2C50" w:rsidRDefault="00AB2C50" w:rsidP="00740612">
      <w:pPr>
        <w:numPr>
          <w:ilvl w:val="0"/>
          <w:numId w:val="29"/>
        </w:numPr>
        <w:spacing w:after="0" w:line="283" w:lineRule="auto"/>
        <w:jc w:val="both"/>
        <w:rPr>
          <w:rFonts w:ascii="Arial" w:eastAsia="Times New Roman" w:hAnsi="Arial" w:cs="Arial"/>
          <w:spacing w:val="-2"/>
          <w:sz w:val="24"/>
          <w:szCs w:val="24"/>
        </w:rPr>
      </w:pPr>
      <w:r w:rsidRPr="00AB2C50">
        <w:rPr>
          <w:rFonts w:ascii="Arial" w:eastAsia="Times New Roman" w:hAnsi="Arial" w:cs="Arial"/>
          <w:spacing w:val="-2"/>
          <w:sz w:val="24"/>
          <w:szCs w:val="24"/>
        </w:rPr>
        <w:t xml:space="preserve">uelastycznienie organizowania nauczania na I etapie edukacyjnym w klasach łączonych, w szczególnie trudnych warunkach demograficznych (zmiany w art. 96 UPO) </w:t>
      </w:r>
    </w:p>
    <w:p w14:paraId="072E27B9" w14:textId="77777777" w:rsidR="00AB2C50" w:rsidRPr="00AB2C50" w:rsidRDefault="00AB2C50" w:rsidP="00740612">
      <w:pPr>
        <w:spacing w:after="0" w:line="283" w:lineRule="auto"/>
        <w:jc w:val="both"/>
        <w:rPr>
          <w:rFonts w:ascii="Arial" w:hAnsi="Arial" w:cs="Arial"/>
          <w:b/>
          <w:bCs/>
          <w:spacing w:val="-2"/>
          <w:sz w:val="24"/>
          <w:szCs w:val="24"/>
        </w:rPr>
      </w:pPr>
      <w:r w:rsidRPr="00AB2C50">
        <w:rPr>
          <w:rFonts w:ascii="Arial" w:hAnsi="Arial" w:cs="Arial"/>
          <w:spacing w:val="-2"/>
          <w:sz w:val="24"/>
          <w:szCs w:val="24"/>
        </w:rPr>
        <w:t xml:space="preserve">W ramach szeregu rozwiązań mających zróżnicować możliwości organizacyjne publicznej edukacji proponuje się doprecyzowanie już istniejącej możliwości prowadzenia zajęć w klasach łączonych w szkołach podstawowych. Nowa regulacja będzie dopuszczać łączenie wszystkich obowiązkowych zajęć edukacyjnych prowadzonych w klasach I, II lub III w sytuacji, w której do szkoły łącznie w klasach I–III uczęszcza nie więcej niż 12 uczniów. Wprowadzane rozwiązanie, mające charakter fakultatywny, będzie mogło być wykorzystywane w szczególnych sytuacjach demograficzno-geograficznych, a skorzystanie z niego powinno być alternatywą dla likwidacji małej szkoły w sytuacji konsensusu nauczycieli, rodziców i gminy. </w:t>
      </w:r>
    </w:p>
    <w:p w14:paraId="10B6A433" w14:textId="77777777" w:rsidR="00AB2C50" w:rsidRPr="00AB2C50" w:rsidRDefault="00AB2C50" w:rsidP="00740612">
      <w:pPr>
        <w:numPr>
          <w:ilvl w:val="0"/>
          <w:numId w:val="29"/>
        </w:numPr>
        <w:spacing w:after="0" w:line="283" w:lineRule="auto"/>
        <w:jc w:val="both"/>
        <w:rPr>
          <w:rFonts w:ascii="Arial" w:eastAsia="Times New Roman" w:hAnsi="Arial" w:cs="Arial"/>
          <w:spacing w:val="-2"/>
          <w:sz w:val="24"/>
          <w:szCs w:val="24"/>
        </w:rPr>
      </w:pPr>
      <w:r w:rsidRPr="00AB2C50">
        <w:rPr>
          <w:rFonts w:ascii="Arial" w:eastAsia="Times New Roman" w:hAnsi="Arial" w:cs="Arial"/>
          <w:spacing w:val="-2"/>
          <w:sz w:val="24"/>
          <w:szCs w:val="24"/>
        </w:rPr>
        <w:t xml:space="preserve">zmiany zasad tworzenia zespołów publicznych szkół i placówek (zmiany w art. 91 UPO) </w:t>
      </w:r>
    </w:p>
    <w:p w14:paraId="49C5F0A6" w14:textId="77777777" w:rsidR="00AB2C50" w:rsidRPr="00AB2C50" w:rsidRDefault="00AB2C50" w:rsidP="00740612">
      <w:pPr>
        <w:spacing w:after="0" w:line="283" w:lineRule="auto"/>
        <w:jc w:val="both"/>
        <w:rPr>
          <w:rFonts w:ascii="Arial" w:hAnsi="Arial" w:cs="Arial"/>
          <w:spacing w:val="-2"/>
          <w:sz w:val="24"/>
          <w:szCs w:val="24"/>
        </w:rPr>
      </w:pPr>
      <w:r w:rsidRPr="00AB2C50">
        <w:rPr>
          <w:rFonts w:ascii="Arial" w:hAnsi="Arial" w:cs="Arial"/>
          <w:spacing w:val="-2"/>
          <w:sz w:val="24"/>
          <w:szCs w:val="24"/>
        </w:rPr>
        <w:t xml:space="preserve">W ramach uelastycznienia rozwiązań organizacyjnych zaproponowano możliwość tworzenia zespołów, w skład których będą wchodziły szkoły podstawowe. Taka konsolidacja umożliwia wyrównanie poziomu edukacji w poszczególnych szkołach podstawowych połączonych w zespół. Wyłonienie w drodze konkursu na dyrektora zespołu osoby o wysokich kwalifikacjach i zdolnościach organizacyjnych oraz zatrudnienie w zespole na pełne etaty nauczycieli z odpowiednim przygotowaniem (zamiast zatrudniania ich w poszczególnych szkołach na część etatu) daje większą gwarancję osiągnięcia wysokiej jakości nauczania. Proponuje się również, aby możliwe </w:t>
      </w:r>
      <w:r w:rsidRPr="00AB2C50">
        <w:rPr>
          <w:rFonts w:ascii="Arial" w:hAnsi="Arial" w:cs="Arial"/>
          <w:spacing w:val="-2"/>
          <w:sz w:val="24"/>
          <w:szCs w:val="24"/>
        </w:rPr>
        <w:lastRenderedPageBreak/>
        <w:t>było połączenie w zespół szkół artystycznych tego samego typu. Zakłada się także uproszczenie przepisów dotyczących włączania w zespół nowotworzonej szkoły.</w:t>
      </w:r>
    </w:p>
    <w:p w14:paraId="49ADEC04" w14:textId="77777777" w:rsidR="00AB2C50" w:rsidRPr="00AB2C50" w:rsidRDefault="00AB2C50" w:rsidP="00740612">
      <w:pPr>
        <w:numPr>
          <w:ilvl w:val="0"/>
          <w:numId w:val="29"/>
        </w:numPr>
        <w:spacing w:after="0" w:line="283" w:lineRule="auto"/>
        <w:jc w:val="both"/>
        <w:rPr>
          <w:rFonts w:ascii="Arial" w:eastAsia="Times New Roman" w:hAnsi="Arial" w:cs="Arial"/>
          <w:spacing w:val="-2"/>
          <w:sz w:val="24"/>
          <w:szCs w:val="24"/>
        </w:rPr>
      </w:pPr>
      <w:r w:rsidRPr="00AB2C50">
        <w:rPr>
          <w:rFonts w:ascii="Arial" w:eastAsia="Times New Roman" w:hAnsi="Arial" w:cs="Arial"/>
          <w:spacing w:val="-2"/>
          <w:sz w:val="24"/>
          <w:szCs w:val="24"/>
        </w:rPr>
        <w:t>zmiany przepisów regulujących funkcję opiekuńczą szkoły w zakresie świetlicy i żywienia (zmiany w art. 105 i 106a UPO)</w:t>
      </w:r>
    </w:p>
    <w:p w14:paraId="30443BE2" w14:textId="77777777" w:rsidR="00AB2C50" w:rsidRPr="00AB2C50" w:rsidRDefault="00AB2C50" w:rsidP="00740612">
      <w:pPr>
        <w:spacing w:after="0" w:line="283" w:lineRule="auto"/>
        <w:jc w:val="both"/>
        <w:rPr>
          <w:rFonts w:ascii="Arial" w:hAnsi="Arial" w:cs="Arial"/>
          <w:spacing w:val="-2"/>
          <w:sz w:val="24"/>
          <w:szCs w:val="24"/>
        </w:rPr>
      </w:pPr>
      <w:r w:rsidRPr="00AB2C50">
        <w:rPr>
          <w:rFonts w:ascii="Arial" w:hAnsi="Arial" w:cs="Arial"/>
          <w:spacing w:val="-2"/>
          <w:sz w:val="24"/>
          <w:szCs w:val="24"/>
        </w:rPr>
        <w:t>Źródłem zmian są wnioski rodziców. Proponuje się, aby szkoła podstawowa licząca nie więcej niż 70 uczniów mogła zapewnić zajęcia świetlicowe dzieciom objętym wychowaniem przedszkolnym w oddziale przedszkolnym zorganizowanym w tej szkole. Ponadto, zaproponowano rozwiązania ułatwiające rodzicom ubieganie się o miejsce dla dziecka w świetlicy przez wprowadzenie obowiązku ustalenia przez dyrektora szkoły wzoru wniosku o objęcie dziecka zajęciami świetlicowymi i wskazanie terminu składania tego wniosku. Mając na uwadze potrzeby rozwojowe dzieci korzystających ze świetlicy, zaproponowano możliwość zapewnienia im podwieczorku w szkole. Odpowiedni bilans żywieniowy jest kluczowy w dobie borykania się społeczeństwa z chorobami wynikającymi z błędów żywieniowych (otyłość, cukrzyca typu II).</w:t>
      </w:r>
    </w:p>
    <w:p w14:paraId="44BA0C31" w14:textId="77777777" w:rsidR="00AB2C50" w:rsidRPr="00AB2C50" w:rsidRDefault="00AB2C50" w:rsidP="00740612">
      <w:pPr>
        <w:numPr>
          <w:ilvl w:val="0"/>
          <w:numId w:val="29"/>
        </w:numPr>
        <w:spacing w:after="0" w:line="283" w:lineRule="auto"/>
        <w:jc w:val="both"/>
        <w:rPr>
          <w:rFonts w:ascii="Arial" w:eastAsia="Times New Roman" w:hAnsi="Arial" w:cs="Arial"/>
          <w:spacing w:val="-2"/>
          <w:sz w:val="24"/>
          <w:szCs w:val="24"/>
        </w:rPr>
      </w:pPr>
      <w:r w:rsidRPr="00AB2C50">
        <w:rPr>
          <w:rFonts w:ascii="Arial" w:eastAsia="Times New Roman" w:hAnsi="Arial" w:cs="Arial"/>
          <w:spacing w:val="-2"/>
          <w:sz w:val="24"/>
          <w:szCs w:val="24"/>
        </w:rPr>
        <w:t xml:space="preserve">uporządkowanie przepisów dotyczących obwodu szkoły podstawowej (zmiany w art. 39 i 88 UPO) </w:t>
      </w:r>
    </w:p>
    <w:p w14:paraId="30728B65" w14:textId="77777777" w:rsidR="00AB2C50" w:rsidRPr="00AB2C50" w:rsidRDefault="00AB2C50" w:rsidP="00740612">
      <w:pPr>
        <w:spacing w:after="0" w:line="283" w:lineRule="auto"/>
        <w:jc w:val="both"/>
        <w:rPr>
          <w:rFonts w:ascii="Arial" w:hAnsi="Arial" w:cs="Arial"/>
          <w:spacing w:val="-2"/>
          <w:sz w:val="24"/>
          <w:szCs w:val="24"/>
        </w:rPr>
      </w:pPr>
      <w:r w:rsidRPr="00AB2C50">
        <w:rPr>
          <w:rFonts w:ascii="Arial" w:hAnsi="Arial" w:cs="Arial"/>
          <w:spacing w:val="-2"/>
          <w:sz w:val="24"/>
          <w:szCs w:val="24"/>
        </w:rPr>
        <w:t>Obecnie obwód szkoły podstawowej ustala się w jej akcie założycielskim. Obwód tej szkoły jest ustalany także w gminnej uchwale w sprawie planu sieci publicznych szkół podstawowych. W projekcie ustawy zaproponowano, aby obwód szkoły był ustalany tylko w jednym akcie prawa miejscowego, w tzw. uchwale sieciowej, po uzyskaniu, tak jak dotychczas, wiążącej opinii KO. Aby nie generować dodatkowych zadań przesądzono, że nowe brzmienie art. 88 UPO nie będzie miało zastosowania do aktów założycielskich wydanych na podstawie dotychczasowych przepisów. Ponadto, w sposób jednoznaczny określono możliwość tworzenia innych lokalizacji prowadzenia zajęć dydaktycznych, wychowawczych i opiekuńczych także w przypadku szkół prowadzonych przez powiat, objętych uchwałą sieciową powiatu.</w:t>
      </w:r>
    </w:p>
    <w:p w14:paraId="355A6221" w14:textId="77777777" w:rsidR="00AB2C50" w:rsidRPr="00AB2C50" w:rsidRDefault="00AB2C50" w:rsidP="00740612">
      <w:pPr>
        <w:numPr>
          <w:ilvl w:val="0"/>
          <w:numId w:val="29"/>
        </w:numPr>
        <w:spacing w:after="0" w:line="283" w:lineRule="auto"/>
        <w:jc w:val="both"/>
        <w:rPr>
          <w:rFonts w:ascii="Arial" w:eastAsia="Times New Roman" w:hAnsi="Arial" w:cs="Arial"/>
          <w:spacing w:val="-2"/>
          <w:sz w:val="24"/>
          <w:szCs w:val="24"/>
        </w:rPr>
      </w:pPr>
      <w:r w:rsidRPr="00AB2C50">
        <w:rPr>
          <w:rFonts w:ascii="Arial" w:eastAsia="Times New Roman" w:hAnsi="Arial" w:cs="Arial"/>
          <w:spacing w:val="-2"/>
          <w:sz w:val="24"/>
          <w:szCs w:val="24"/>
        </w:rPr>
        <w:t>zapewnienia kształcenia, wychowania i opieki w szkole lub szkołach prowadzonych przez ościenną gminę dzieciom zamieszkałym na terenie gminy likwidującej ostatnią gminną szkołę, w przypadku szczególnie trudnych warunków demograficznych (nowy przepis w UPO)</w:t>
      </w:r>
    </w:p>
    <w:p w14:paraId="67736DEB" w14:textId="77777777" w:rsidR="00AB2C50" w:rsidRPr="00AB2C50" w:rsidRDefault="00AB2C50" w:rsidP="00740612">
      <w:pPr>
        <w:spacing w:after="0" w:line="283" w:lineRule="auto"/>
        <w:jc w:val="both"/>
        <w:rPr>
          <w:rFonts w:ascii="Arial" w:hAnsi="Arial" w:cs="Arial"/>
          <w:spacing w:val="-2"/>
          <w:sz w:val="24"/>
          <w:szCs w:val="24"/>
        </w:rPr>
      </w:pPr>
      <w:r w:rsidRPr="00AB2C50">
        <w:rPr>
          <w:rFonts w:ascii="Arial" w:hAnsi="Arial" w:cs="Arial"/>
          <w:spacing w:val="-2"/>
          <w:sz w:val="24"/>
          <w:szCs w:val="24"/>
        </w:rPr>
        <w:t>Analizy demograficzne GUS oraz dane systemu informacji oświatowej (SIO) wskazują na potrzebę zaproponowania możliwości zapewnienia - na podstawie porozumienie - kształcenia, wychowania i opieki w szkole lub szkołach prowadzonych przez ościenną gminę dzieciom zamieszkałym na terenie gminy likwidującej ostatnią gminną szkołę, w przypadku szczególnie trudnych warunków demograficznych. Porozumienie będzie gwarantowało wszystkim uczniom miejsce realizacji obowiązku szkolnego w samorządowej szkole, bezpłatny transport do szkoły obwodowej oraz określi rozliczenia finansowe między JST. Przepisy będą miały zastosowanie w przypadku likwidacji ostatniej szkoły (szkoła nie może liczyć więcej niż 70 uczniów) w gminie o niekorzystnych prognozach demograficznych w 5 kolejnych latach. Działanie takie będzie mogło nastąpić po uzyskaniu pozytywnej opinii KO. Z danych SIO wynika, że obecnie te regulacje mogłyby stosować się do 4 szkół.</w:t>
      </w:r>
    </w:p>
    <w:p w14:paraId="524CB9B8" w14:textId="77777777" w:rsidR="00AB2C50" w:rsidRPr="00AB2C50" w:rsidRDefault="00AB2C50" w:rsidP="00740612">
      <w:pPr>
        <w:numPr>
          <w:ilvl w:val="0"/>
          <w:numId w:val="29"/>
        </w:numPr>
        <w:spacing w:after="0" w:line="283" w:lineRule="auto"/>
        <w:jc w:val="both"/>
        <w:rPr>
          <w:rFonts w:ascii="Arial" w:eastAsia="Times New Roman" w:hAnsi="Arial" w:cs="Arial"/>
          <w:spacing w:val="-2"/>
          <w:sz w:val="24"/>
          <w:szCs w:val="24"/>
        </w:rPr>
      </w:pPr>
      <w:r w:rsidRPr="00AB2C50">
        <w:rPr>
          <w:rFonts w:ascii="Arial" w:eastAsia="Times New Roman" w:hAnsi="Arial" w:cs="Arial"/>
          <w:spacing w:val="-2"/>
          <w:sz w:val="24"/>
          <w:szCs w:val="24"/>
        </w:rPr>
        <w:lastRenderedPageBreak/>
        <w:t xml:space="preserve">zmniejszenie obciążeń biurokratycznych w zakresie oświaty (zmiany w art. 8, 9, 32, 39, 62 i 91 UPO) </w:t>
      </w:r>
    </w:p>
    <w:p w14:paraId="03A8DF9C" w14:textId="647DB084" w:rsidR="00DC2C5B" w:rsidRPr="00AB2C50" w:rsidRDefault="00AB2C50" w:rsidP="00740612">
      <w:pPr>
        <w:pStyle w:val="NormalnyWeb"/>
        <w:spacing w:before="0" w:beforeAutospacing="0" w:after="0" w:afterAutospacing="0" w:line="283" w:lineRule="auto"/>
        <w:jc w:val="both"/>
        <w:rPr>
          <w:rFonts w:ascii="Arial" w:hAnsi="Arial" w:cs="Arial"/>
        </w:rPr>
      </w:pPr>
      <w:r w:rsidRPr="00AB2C50">
        <w:rPr>
          <w:rFonts w:ascii="Arial" w:hAnsi="Arial" w:cs="Arial"/>
          <w:spacing w:val="-2"/>
        </w:rPr>
        <w:t>Obecny wymóg posiadania pozytywnej opinii KO przy zakładaniu biblioteki pedagogicznej i placówki doskonalenia nauczycieli jest niezasadny. Założenie przez gminę lub powiat biblioteki pedagogicznej ma korzystny wpływ na lokalną społeczność. Wystarczająca w tym przypadku jest zatem opinia KO o charakterze doradczym, a nie wiążącym. Argumentem przemawiającym za zniesieniem wiążącego charakteru opinii KO jest też fakt, że zgodnie z przepisami art. 184–188 UPO, warunkiem koniecznym działania placówki</w:t>
      </w:r>
      <w:r w:rsidRPr="00AB2C50">
        <w:rPr>
          <w:rFonts w:ascii="Arial" w:hAnsi="Arial" w:cs="Arial"/>
        </w:rPr>
        <w:t xml:space="preserve"> </w:t>
      </w:r>
      <w:r w:rsidRPr="00AB2C50">
        <w:rPr>
          <w:rFonts w:ascii="Arial" w:hAnsi="Arial" w:cs="Arial"/>
          <w:spacing w:val="-2"/>
        </w:rPr>
        <w:t>doskonalenia nauczycieli jest uzyskanie akredytacji, a warunkiem niezbędnym do utworzenia nowej placówki jest uzyskanie wstępnej akredytacji. Akredytacje te przyznaje KO w drodze decyzji administracyjnej.</w:t>
      </w:r>
    </w:p>
    <w:p w14:paraId="22A3FBE3" w14:textId="77777777" w:rsidR="00097965" w:rsidRPr="00AB2C50" w:rsidRDefault="00097965" w:rsidP="00740612">
      <w:pPr>
        <w:spacing w:after="0" w:line="283" w:lineRule="auto"/>
        <w:jc w:val="both"/>
        <w:rPr>
          <w:rFonts w:ascii="Arial" w:hAnsi="Arial" w:cs="Arial"/>
          <w:sz w:val="24"/>
          <w:szCs w:val="24"/>
        </w:rPr>
      </w:pPr>
    </w:p>
    <w:p w14:paraId="541CE4BA" w14:textId="77777777" w:rsidR="00AB2C50" w:rsidRPr="00AB2C50" w:rsidRDefault="00AB2C50" w:rsidP="00740612">
      <w:pPr>
        <w:spacing w:after="0" w:line="283" w:lineRule="auto"/>
        <w:rPr>
          <w:rFonts w:ascii="Arial" w:hAnsi="Arial" w:cs="Arial"/>
          <w:sz w:val="24"/>
          <w:szCs w:val="24"/>
        </w:rPr>
      </w:pPr>
      <w:r w:rsidRPr="00AB2C50">
        <w:rPr>
          <w:rFonts w:ascii="Arial" w:hAnsi="Arial" w:cs="Arial"/>
          <w:sz w:val="24"/>
          <w:szCs w:val="24"/>
        </w:rPr>
        <w:t>Przedmiotowy projekt aktu prawnego wraz z Uzasadnieniem oraz Oceną Skutków Regulacji dostępny jest na stronach Rządowego Centrum Legislacji pod adresem:</w:t>
      </w:r>
    </w:p>
    <w:p w14:paraId="504FF31E" w14:textId="737F8CBB" w:rsidR="004D47A6" w:rsidRPr="00AB2C50" w:rsidRDefault="00AB2C50" w:rsidP="00740612">
      <w:pPr>
        <w:spacing w:after="0" w:line="283" w:lineRule="auto"/>
        <w:jc w:val="both"/>
        <w:rPr>
          <w:rFonts w:ascii="Arial" w:hAnsi="Arial" w:cs="Arial"/>
          <w:sz w:val="24"/>
          <w:szCs w:val="24"/>
        </w:rPr>
      </w:pPr>
      <w:hyperlink r:id="rId6" w:anchor="13142796" w:history="1">
        <w:r w:rsidRPr="00AB2C50">
          <w:rPr>
            <w:rStyle w:val="Hipercze"/>
            <w:rFonts w:ascii="Arial" w:hAnsi="Arial" w:cs="Arial"/>
            <w:sz w:val="24"/>
            <w:szCs w:val="24"/>
          </w:rPr>
          <w:t>https://legislacja.rcl.gov.pl/projekt/12399954/katalog/13142796#13142796</w:t>
        </w:r>
      </w:hyperlink>
    </w:p>
    <w:p w14:paraId="2BD5B078" w14:textId="77777777" w:rsidR="00097965" w:rsidRPr="00AB2C50" w:rsidRDefault="00097965" w:rsidP="00740612">
      <w:pPr>
        <w:spacing w:after="0" w:line="283" w:lineRule="auto"/>
        <w:jc w:val="both"/>
        <w:rPr>
          <w:rFonts w:ascii="Arial" w:hAnsi="Arial" w:cs="Arial"/>
          <w:sz w:val="24"/>
          <w:szCs w:val="24"/>
        </w:rPr>
      </w:pPr>
    </w:p>
    <w:p w14:paraId="042221F8" w14:textId="075E2478" w:rsidR="00097965" w:rsidRPr="00AB2C50" w:rsidRDefault="000C04C5" w:rsidP="00740612">
      <w:pPr>
        <w:spacing w:after="0" w:line="283" w:lineRule="auto"/>
        <w:jc w:val="both"/>
        <w:rPr>
          <w:rFonts w:ascii="Arial" w:hAnsi="Arial" w:cs="Arial"/>
          <w:sz w:val="24"/>
          <w:szCs w:val="24"/>
        </w:rPr>
      </w:pPr>
      <w:r w:rsidRPr="00AB2C50">
        <w:rPr>
          <w:rFonts w:ascii="Arial" w:hAnsi="Arial" w:cs="Arial"/>
          <w:sz w:val="24"/>
          <w:szCs w:val="24"/>
        </w:rPr>
        <w:t>Projekt jest obecnie jednocześnie na etapie uzgodnień, konsultacji publicznych i opiniowania.</w:t>
      </w:r>
    </w:p>
    <w:p w14:paraId="17E51041" w14:textId="77777777" w:rsidR="00503BC1" w:rsidRPr="00AB2C50" w:rsidRDefault="00503BC1" w:rsidP="00740612">
      <w:pPr>
        <w:spacing w:after="0" w:line="283" w:lineRule="auto"/>
        <w:jc w:val="both"/>
        <w:rPr>
          <w:rFonts w:ascii="Arial" w:hAnsi="Arial" w:cs="Arial"/>
          <w:sz w:val="24"/>
          <w:szCs w:val="24"/>
        </w:rPr>
      </w:pPr>
    </w:p>
    <w:p w14:paraId="67858E5E" w14:textId="77777777" w:rsidR="00E46C04" w:rsidRPr="00AB2C50" w:rsidRDefault="00E46C04" w:rsidP="00740612">
      <w:pPr>
        <w:spacing w:after="0" w:line="283" w:lineRule="auto"/>
        <w:jc w:val="both"/>
        <w:rPr>
          <w:rFonts w:ascii="Arial" w:hAnsi="Arial" w:cs="Arial"/>
          <w:sz w:val="24"/>
          <w:szCs w:val="24"/>
        </w:rPr>
      </w:pPr>
      <w:r w:rsidRPr="00AB2C50">
        <w:rPr>
          <w:rFonts w:ascii="Arial" w:hAnsi="Arial" w:cs="Arial"/>
          <w:sz w:val="24"/>
          <w:szCs w:val="24"/>
        </w:rPr>
        <w:t>Projekty rozporządzeń:</w:t>
      </w:r>
    </w:p>
    <w:p w14:paraId="5B1B2E2F" w14:textId="77777777" w:rsidR="005C627A" w:rsidRPr="00AB2C50" w:rsidRDefault="005C627A" w:rsidP="00740612">
      <w:pPr>
        <w:spacing w:after="0" w:line="283" w:lineRule="auto"/>
        <w:jc w:val="both"/>
        <w:rPr>
          <w:rFonts w:ascii="Arial" w:hAnsi="Arial" w:cs="Arial"/>
          <w:sz w:val="24"/>
          <w:szCs w:val="24"/>
        </w:rPr>
      </w:pPr>
    </w:p>
    <w:p w14:paraId="54F881DB" w14:textId="299174ED" w:rsidR="005C627A" w:rsidRPr="00AB2C50" w:rsidRDefault="000172B6" w:rsidP="00740612">
      <w:pPr>
        <w:pStyle w:val="Akapitzlist"/>
        <w:numPr>
          <w:ilvl w:val="0"/>
          <w:numId w:val="4"/>
        </w:numPr>
        <w:spacing w:after="0" w:line="283" w:lineRule="auto"/>
        <w:ind w:left="714" w:hanging="357"/>
        <w:jc w:val="both"/>
        <w:rPr>
          <w:rFonts w:ascii="Arial" w:hAnsi="Arial" w:cs="Arial"/>
          <w:b/>
          <w:bCs/>
          <w:sz w:val="24"/>
          <w:szCs w:val="24"/>
          <w:u w:val="single"/>
        </w:rPr>
      </w:pPr>
      <w:r w:rsidRPr="00AB2C50">
        <w:rPr>
          <w:rFonts w:ascii="Arial" w:hAnsi="Arial" w:cs="Arial"/>
          <w:b/>
          <w:bCs/>
          <w:sz w:val="24"/>
          <w:szCs w:val="24"/>
          <w:u w:val="single"/>
        </w:rPr>
        <w:t>Projekt rozporządzenia Rady Ministrów zmieniającego rozporządzenie w sprawie wynagradzania pracowników samorządowych (numer z wykazu RD209)</w:t>
      </w:r>
      <w:r w:rsidR="005C627A" w:rsidRPr="00AB2C50">
        <w:rPr>
          <w:rFonts w:ascii="Arial" w:hAnsi="Arial" w:cs="Arial"/>
          <w:b/>
          <w:bCs/>
          <w:sz w:val="24"/>
          <w:szCs w:val="24"/>
          <w:u w:val="single"/>
        </w:rPr>
        <w:t>.</w:t>
      </w:r>
    </w:p>
    <w:p w14:paraId="6028E36E" w14:textId="77777777" w:rsidR="00F42313" w:rsidRPr="009607BA" w:rsidRDefault="00F42313" w:rsidP="00740612">
      <w:pPr>
        <w:spacing w:after="0" w:line="283" w:lineRule="auto"/>
        <w:jc w:val="both"/>
        <w:rPr>
          <w:rFonts w:ascii="Arial" w:hAnsi="Arial" w:cs="Arial"/>
          <w:sz w:val="24"/>
          <w:szCs w:val="24"/>
        </w:rPr>
      </w:pPr>
    </w:p>
    <w:p w14:paraId="1E329FF7" w14:textId="77777777" w:rsidR="000172B6" w:rsidRPr="009607BA" w:rsidRDefault="000172B6" w:rsidP="00740612">
      <w:pPr>
        <w:pStyle w:val="ARTartustawynprozporzdzenia"/>
        <w:spacing w:before="0" w:line="283" w:lineRule="auto"/>
        <w:ind w:firstLine="0"/>
        <w:rPr>
          <w:rFonts w:ascii="Arial" w:hAnsi="Arial" w:cs="Arial"/>
        </w:rPr>
      </w:pPr>
      <w:r w:rsidRPr="009607BA">
        <w:rPr>
          <w:rFonts w:ascii="Arial" w:hAnsi="Arial" w:cs="Arial"/>
        </w:rPr>
        <w:t xml:space="preserve">Projekt rozporządzenia Rady Ministrów zmieniającego rozporządzenie w sprawie wynagradzania pracowników samorządowych został opracowany w celu podwyższenia kwot </w:t>
      </w:r>
      <w:r w:rsidRPr="009607BA">
        <w:rPr>
          <w:rFonts w:ascii="Arial" w:hAnsi="Arial" w:cs="Arial"/>
          <w:color w:val="000000"/>
          <w:shd w:val="clear" w:color="auto" w:fill="FFFFFF"/>
        </w:rPr>
        <w:t xml:space="preserve">maksymalnego poziomu wynagrodzenia zasadniczego oraz maksymalnego poziom dodatku funkcyjnego pracowników samorządowych zatrudnionych na podstawie wyboru oraz powołania. </w:t>
      </w:r>
      <w:r w:rsidRPr="009607BA">
        <w:rPr>
          <w:rFonts w:ascii="Arial" w:hAnsi="Arial" w:cs="Arial"/>
        </w:rPr>
        <w:t>W myśl art. 9 ust. 1 pkt 2 lit. a ustawy budżetowej na 2025 r. z dnia 9 stycznia 2025 r. (Dz. U. poz. 63) ustala się kwotę bazową dla osób zajmujących kierownicze stanowiska państwowe w wysokości 1 878,89 zł. Ustawa budżetowa na rok 2025 zakłada podwyższenie o 5% kwoty bazowej dla osób zajmujących kierownicze stanowiska państwowe (dotychczasowa kwota bazowa wynosiła 1789,42 zł), to oznacza, że wzrósł limit maksymalnego wynagrodzenia dla osób zatrudnionych na podstawie wyboru do kwoty 21 043,57 zł. Zostały wzięte pod uwagę zgłaszane postulaty, aby także grupę pracowników zatrudnionych na podstawie powołania i wyboru objąć podwyżkami.</w:t>
      </w:r>
    </w:p>
    <w:p w14:paraId="172F85E6" w14:textId="77777777" w:rsidR="000172B6" w:rsidRPr="009607BA" w:rsidRDefault="000172B6" w:rsidP="00740612">
      <w:pPr>
        <w:pStyle w:val="ARTartustawynprozporzdzenia"/>
        <w:spacing w:before="0" w:line="283" w:lineRule="auto"/>
        <w:ind w:firstLine="0"/>
        <w:rPr>
          <w:rFonts w:ascii="Arial" w:hAnsi="Arial" w:cs="Arial"/>
        </w:rPr>
      </w:pPr>
      <w:r w:rsidRPr="009607BA">
        <w:rPr>
          <w:rFonts w:ascii="Arial" w:hAnsi="Arial" w:cs="Arial"/>
        </w:rPr>
        <w:t>Projekt na wniosek Strony samorządowej zakłada wyodrębnienie nowej podgrupy stanowisk w ramach stanowiska marszałka województwa – marszałka województwa w województwie powyżej 3 mln mieszkańców, a także porządkuje pozostałe stanowiska określone w załącznikach nr 1 i 2 do rozporządzenia.  </w:t>
      </w:r>
    </w:p>
    <w:p w14:paraId="153080C1" w14:textId="77777777" w:rsidR="000172B6" w:rsidRPr="009607BA" w:rsidRDefault="000172B6" w:rsidP="00740612">
      <w:pPr>
        <w:pStyle w:val="ARTartustawynprozporzdzenia"/>
        <w:spacing w:before="0" w:line="283" w:lineRule="auto"/>
        <w:ind w:firstLine="0"/>
        <w:rPr>
          <w:rFonts w:ascii="Arial" w:hAnsi="Arial" w:cs="Arial"/>
        </w:rPr>
      </w:pPr>
      <w:r w:rsidRPr="009607BA">
        <w:rPr>
          <w:rFonts w:ascii="Arial" w:hAnsi="Arial" w:cs="Arial"/>
        </w:rPr>
        <w:lastRenderedPageBreak/>
        <w:t xml:space="preserve">Projekt rozporządzenia przewiduje podwyższenie kwot </w:t>
      </w:r>
      <w:r w:rsidRPr="009607BA">
        <w:rPr>
          <w:rFonts w:ascii="Arial" w:hAnsi="Arial" w:cs="Arial"/>
          <w:color w:val="000000"/>
          <w:shd w:val="clear" w:color="auto" w:fill="FFFFFF"/>
        </w:rPr>
        <w:t xml:space="preserve">maksymalnego poziomu wynagrodzenia zasadniczego oraz maksymalnego poziomu dodatku funkcyjnego pracowników samorządowych zatrudnionych na podstawie wyboru </w:t>
      </w:r>
      <w:r w:rsidRPr="009607BA">
        <w:rPr>
          <w:rFonts w:ascii="Arial" w:hAnsi="Arial" w:cs="Arial"/>
        </w:rPr>
        <w:t>określonych w załączniku nr 1 do rozporządzenia</w:t>
      </w:r>
      <w:r w:rsidRPr="009607BA">
        <w:rPr>
          <w:rFonts w:ascii="Arial" w:hAnsi="Arial" w:cs="Arial"/>
          <w:color w:val="000000"/>
          <w:shd w:val="clear" w:color="auto" w:fill="FFFFFF"/>
        </w:rPr>
        <w:t xml:space="preserve">. </w:t>
      </w:r>
      <w:r w:rsidRPr="009607BA">
        <w:rPr>
          <w:rFonts w:ascii="Arial" w:hAnsi="Arial" w:cs="Arial"/>
        </w:rPr>
        <w:t xml:space="preserve">Projekt rozporządzenia przewiduje także podwyższenie kwot </w:t>
      </w:r>
      <w:r w:rsidRPr="009607BA">
        <w:rPr>
          <w:rFonts w:ascii="Arial" w:hAnsi="Arial" w:cs="Arial"/>
          <w:color w:val="000000"/>
          <w:shd w:val="clear" w:color="auto" w:fill="FFFFFF"/>
        </w:rPr>
        <w:t xml:space="preserve">maksymalnego poziomu wynagrodzenia zasadniczego pracowników samorządowych zatrudnionych na podstawie powołania oraz maksymalnego poziomu dodatku funkcyjnego </w:t>
      </w:r>
      <w:r w:rsidRPr="009607BA">
        <w:rPr>
          <w:rFonts w:ascii="Arial" w:hAnsi="Arial" w:cs="Arial"/>
        </w:rPr>
        <w:t>określonych w załączniku nr 2 do rozporządzenia</w:t>
      </w:r>
      <w:r w:rsidRPr="009607BA">
        <w:rPr>
          <w:rFonts w:ascii="Arial" w:hAnsi="Arial" w:cs="Arial"/>
          <w:color w:val="000000"/>
          <w:shd w:val="clear" w:color="auto" w:fill="FFFFFF"/>
        </w:rPr>
        <w:t>. W</w:t>
      </w:r>
      <w:r w:rsidRPr="009607BA">
        <w:rPr>
          <w:rFonts w:ascii="Arial" w:hAnsi="Arial" w:cs="Arial"/>
        </w:rPr>
        <w:t>raz z dokonaniem zmian wysokości wynagrodzenia  dla pracowników samorządowych zatrudnionych na podstawie wyboru konieczne jest dokonanie zmian w wysokości wynagrodzenia pracowników zatrudnionych na podstawie powołania. Określone w niniejszym projekcie rozporządzenia maksymalne poziomy wynagrodzenia zasadniczego oraz dodatku funkcyjnego pracowników zatrudnionych na podstawie powołania są ustalone odpowiednio w relacji do maksymalnych poziomów wynagrodzenia zasadniczego oraz dodatku funkcyjnego pracowników zatrudnionych na podstawie wyboru i łączny wzrost ww. wynagrodzenia wraz z dodatkiem funkcyjnym także wynosi co do zasady ok. 5%.</w:t>
      </w:r>
    </w:p>
    <w:p w14:paraId="00C8286F" w14:textId="77777777" w:rsidR="000172B6" w:rsidRPr="009607BA" w:rsidRDefault="000172B6" w:rsidP="00740612">
      <w:pPr>
        <w:spacing w:after="0" w:line="283" w:lineRule="auto"/>
        <w:rPr>
          <w:rFonts w:ascii="Arial" w:hAnsi="Arial" w:cs="Arial"/>
          <w:sz w:val="24"/>
          <w:szCs w:val="24"/>
        </w:rPr>
      </w:pPr>
    </w:p>
    <w:p w14:paraId="665905AF" w14:textId="19C3E645" w:rsidR="00547DC5" w:rsidRPr="009607BA" w:rsidRDefault="000172B6" w:rsidP="00740612">
      <w:pPr>
        <w:spacing w:after="0" w:line="283" w:lineRule="auto"/>
        <w:jc w:val="both"/>
        <w:rPr>
          <w:rFonts w:ascii="Arial" w:eastAsia="Times New Roman" w:hAnsi="Arial" w:cs="Arial"/>
          <w:sz w:val="24"/>
          <w:szCs w:val="24"/>
          <w:lang w:eastAsia="pl-PL"/>
        </w:rPr>
      </w:pPr>
      <w:r w:rsidRPr="009607BA">
        <w:rPr>
          <w:rFonts w:ascii="Arial" w:hAnsi="Arial" w:cs="Arial"/>
          <w:sz w:val="24"/>
          <w:szCs w:val="24"/>
        </w:rPr>
        <w:t>Projekt przewiduje także zmiany w zakresie korekty katalogu stanowisk w załączniku nr 3 do rozporządzenia w II. Tabeli w części D. „Stanowiska w urzędach i samorządowych jednostkach organizacyjnych” w części IV. „Jednostki organizacyjne pomocy społecznej, centra integracji społecznej, jednostki organizacyjne wspierania rodziny i systemu pieczy zastępczej oraz centra usług społecznych” w grupie stanowisk „Stanowiska pomocnicze i obsługi” dotyczące stanowisk: opiekun/młodszy opiekun w ośrodku pomocy społecznej, opiekun/młodszy opiekun.</w:t>
      </w:r>
    </w:p>
    <w:p w14:paraId="2D974A5C" w14:textId="77777777" w:rsidR="005C627A" w:rsidRPr="009607BA" w:rsidRDefault="005C627A" w:rsidP="00740612">
      <w:pPr>
        <w:spacing w:after="0" w:line="283" w:lineRule="auto"/>
        <w:jc w:val="both"/>
        <w:rPr>
          <w:rFonts w:ascii="Arial" w:hAnsi="Arial" w:cs="Arial"/>
          <w:sz w:val="24"/>
          <w:szCs w:val="24"/>
        </w:rPr>
      </w:pPr>
    </w:p>
    <w:p w14:paraId="13331B60" w14:textId="2742B0EB" w:rsidR="005C627A" w:rsidRPr="009607BA" w:rsidRDefault="008672CF" w:rsidP="00740612">
      <w:pPr>
        <w:spacing w:after="0" w:line="283" w:lineRule="auto"/>
        <w:jc w:val="both"/>
        <w:rPr>
          <w:rFonts w:ascii="Arial" w:hAnsi="Arial" w:cs="Arial"/>
          <w:sz w:val="24"/>
          <w:szCs w:val="24"/>
        </w:rPr>
      </w:pPr>
      <w:r w:rsidRPr="009607BA">
        <w:rPr>
          <w:rFonts w:ascii="Arial" w:hAnsi="Arial" w:cs="Arial"/>
          <w:sz w:val="24"/>
          <w:szCs w:val="24"/>
        </w:rPr>
        <w:t>Przedmiotowy projekt aktu prawnego wraz z Uzasadnieniem oraz Oceną Skutków Regulacji dostępny jest na stronach Rządowego Centrum Legislacji pod adresem</w:t>
      </w:r>
      <w:r w:rsidR="005C627A" w:rsidRPr="009607BA">
        <w:rPr>
          <w:rFonts w:ascii="Arial" w:hAnsi="Arial" w:cs="Arial"/>
          <w:sz w:val="24"/>
          <w:szCs w:val="24"/>
        </w:rPr>
        <w:t>:</w:t>
      </w:r>
    </w:p>
    <w:p w14:paraId="160A2FF0" w14:textId="77777777" w:rsidR="000172B6" w:rsidRPr="009607BA" w:rsidRDefault="000172B6" w:rsidP="00740612">
      <w:pPr>
        <w:spacing w:after="0" w:line="283" w:lineRule="auto"/>
        <w:rPr>
          <w:rFonts w:ascii="Arial" w:hAnsi="Arial" w:cs="Arial"/>
          <w:sz w:val="24"/>
          <w:szCs w:val="24"/>
        </w:rPr>
      </w:pPr>
      <w:hyperlink r:id="rId7" w:anchor="13142458" w:history="1">
        <w:r w:rsidRPr="009607BA">
          <w:rPr>
            <w:rStyle w:val="Hipercze"/>
            <w:rFonts w:ascii="Arial" w:hAnsi="Arial" w:cs="Arial"/>
            <w:sz w:val="24"/>
            <w:szCs w:val="24"/>
          </w:rPr>
          <w:t>https://legislacja.rcl.gov.pl/projekt/12399900/katalog/13142458#13142458</w:t>
        </w:r>
      </w:hyperlink>
    </w:p>
    <w:p w14:paraId="22EA6CA7" w14:textId="77777777" w:rsidR="005C627A" w:rsidRPr="009607BA" w:rsidRDefault="005C627A" w:rsidP="00740612">
      <w:pPr>
        <w:spacing w:after="0" w:line="283" w:lineRule="auto"/>
        <w:jc w:val="both"/>
        <w:rPr>
          <w:rFonts w:ascii="Arial" w:hAnsi="Arial" w:cs="Arial"/>
          <w:sz w:val="24"/>
          <w:szCs w:val="24"/>
        </w:rPr>
      </w:pPr>
    </w:p>
    <w:p w14:paraId="0ED865C1" w14:textId="77777777" w:rsidR="000172B6" w:rsidRPr="009607BA" w:rsidRDefault="000172B6" w:rsidP="00740612">
      <w:pPr>
        <w:spacing w:after="0" w:line="283" w:lineRule="auto"/>
        <w:jc w:val="both"/>
        <w:rPr>
          <w:rFonts w:ascii="Arial" w:hAnsi="Arial" w:cs="Arial"/>
          <w:sz w:val="24"/>
          <w:szCs w:val="24"/>
        </w:rPr>
      </w:pPr>
      <w:r w:rsidRPr="009607BA">
        <w:rPr>
          <w:rFonts w:ascii="Arial" w:hAnsi="Arial" w:cs="Arial"/>
          <w:sz w:val="24"/>
          <w:szCs w:val="24"/>
        </w:rPr>
        <w:t>Projekt jest obecnie jednocześnie na etapie uzgodnień, konsultacji publicznych i opiniowania.</w:t>
      </w:r>
    </w:p>
    <w:p w14:paraId="15802D8E" w14:textId="77777777" w:rsidR="00903A3F" w:rsidRPr="009607BA" w:rsidRDefault="00903A3F" w:rsidP="00740612">
      <w:pPr>
        <w:spacing w:after="0" w:line="283" w:lineRule="auto"/>
        <w:jc w:val="both"/>
        <w:rPr>
          <w:rFonts w:ascii="Arial" w:hAnsi="Arial" w:cs="Arial"/>
          <w:sz w:val="24"/>
          <w:szCs w:val="24"/>
        </w:rPr>
      </w:pPr>
    </w:p>
    <w:p w14:paraId="5A58A61B" w14:textId="4B66DEA6" w:rsidR="00524087" w:rsidRPr="009607BA" w:rsidRDefault="007C3B3E" w:rsidP="00740612">
      <w:pPr>
        <w:pStyle w:val="Akapitzlist"/>
        <w:numPr>
          <w:ilvl w:val="0"/>
          <w:numId w:val="4"/>
        </w:numPr>
        <w:spacing w:after="0" w:line="283" w:lineRule="auto"/>
        <w:jc w:val="both"/>
        <w:rPr>
          <w:rFonts w:ascii="Arial" w:hAnsi="Arial" w:cs="Arial"/>
          <w:b/>
          <w:bCs/>
          <w:sz w:val="24"/>
          <w:szCs w:val="24"/>
          <w:u w:val="single"/>
        </w:rPr>
      </w:pPr>
      <w:r w:rsidRPr="009607BA">
        <w:rPr>
          <w:rFonts w:ascii="Arial" w:hAnsi="Arial" w:cs="Arial"/>
          <w:b/>
          <w:bCs/>
          <w:sz w:val="24"/>
          <w:szCs w:val="24"/>
          <w:u w:val="single"/>
        </w:rPr>
        <w:t>Projekt rozporządzenia Ministra Rodziny, Pracy i Polityki Społecznej w sprawie klasyfikacji zawodów i specjalności na potrzeby rynku pracy</w:t>
      </w:r>
      <w:r w:rsidR="00524087" w:rsidRPr="009607BA">
        <w:rPr>
          <w:rStyle w:val="Pogrubienie"/>
          <w:rFonts w:ascii="Arial" w:hAnsi="Arial" w:cs="Arial"/>
          <w:b w:val="0"/>
          <w:bCs w:val="0"/>
          <w:sz w:val="24"/>
          <w:szCs w:val="24"/>
          <w:u w:val="single"/>
        </w:rPr>
        <w:t xml:space="preserve"> (</w:t>
      </w:r>
      <w:r w:rsidR="00524087" w:rsidRPr="009607BA">
        <w:rPr>
          <w:rStyle w:val="Pogrubienie"/>
          <w:rFonts w:ascii="Arial" w:hAnsi="Arial" w:cs="Arial"/>
          <w:sz w:val="24"/>
          <w:szCs w:val="24"/>
          <w:u w:val="single"/>
        </w:rPr>
        <w:t>numer z wykazu</w:t>
      </w:r>
      <w:r w:rsidR="00524087" w:rsidRPr="009607BA">
        <w:rPr>
          <w:rStyle w:val="Pogrubienie"/>
          <w:rFonts w:ascii="Arial" w:hAnsi="Arial" w:cs="Arial"/>
          <w:b w:val="0"/>
          <w:bCs w:val="0"/>
          <w:sz w:val="24"/>
          <w:szCs w:val="24"/>
          <w:u w:val="single"/>
        </w:rPr>
        <w:t xml:space="preserve"> </w:t>
      </w:r>
      <w:r w:rsidRPr="009607BA">
        <w:rPr>
          <w:rFonts w:ascii="Arial" w:hAnsi="Arial" w:cs="Arial"/>
          <w:b/>
          <w:bCs/>
          <w:sz w:val="24"/>
          <w:szCs w:val="24"/>
          <w:u w:val="single"/>
        </w:rPr>
        <w:t>66</w:t>
      </w:r>
      <w:r w:rsidR="00E434A1" w:rsidRPr="009607BA">
        <w:rPr>
          <w:rFonts w:ascii="Arial" w:hAnsi="Arial" w:cs="Arial"/>
          <w:b/>
          <w:bCs/>
          <w:sz w:val="24"/>
          <w:szCs w:val="24"/>
          <w:u w:val="single"/>
        </w:rPr>
        <w:t xml:space="preserve"> w Wykazie prac legislacyjnych Ministra Rodziny, Pracy i Polityki Społecznej</w:t>
      </w:r>
      <w:r w:rsidR="00524087" w:rsidRPr="009607BA">
        <w:rPr>
          <w:rStyle w:val="Pogrubienie"/>
          <w:rFonts w:ascii="Arial" w:hAnsi="Arial" w:cs="Arial"/>
          <w:b w:val="0"/>
          <w:bCs w:val="0"/>
          <w:sz w:val="24"/>
          <w:szCs w:val="24"/>
          <w:u w:val="single"/>
        </w:rPr>
        <w:t>)</w:t>
      </w:r>
      <w:r w:rsidR="00524087" w:rsidRPr="009607BA">
        <w:rPr>
          <w:rFonts w:ascii="Arial" w:hAnsi="Arial" w:cs="Arial"/>
          <w:b/>
          <w:bCs/>
          <w:sz w:val="24"/>
          <w:szCs w:val="24"/>
          <w:u w:val="single"/>
        </w:rPr>
        <w:t>.</w:t>
      </w:r>
    </w:p>
    <w:p w14:paraId="4685AE60" w14:textId="0B5F2735" w:rsidR="00524087" w:rsidRPr="009607BA" w:rsidRDefault="00524087" w:rsidP="00740612">
      <w:pPr>
        <w:spacing w:after="0" w:line="283" w:lineRule="auto"/>
        <w:jc w:val="both"/>
        <w:rPr>
          <w:rFonts w:ascii="Arial" w:hAnsi="Arial" w:cs="Arial"/>
          <w:sz w:val="24"/>
          <w:szCs w:val="24"/>
        </w:rPr>
      </w:pPr>
    </w:p>
    <w:p w14:paraId="564F00BD" w14:textId="77777777" w:rsidR="007C3B3E" w:rsidRPr="009607BA" w:rsidRDefault="007C3B3E" w:rsidP="00740612">
      <w:pPr>
        <w:pStyle w:val="NIEARTTEKSTtekstnieartykuowanynppodstprawnarozplubpreambua"/>
        <w:spacing w:before="0" w:line="283" w:lineRule="auto"/>
        <w:ind w:firstLine="0"/>
        <w:rPr>
          <w:rFonts w:ascii="Arial" w:hAnsi="Arial" w:cs="Arial"/>
        </w:rPr>
      </w:pPr>
      <w:r w:rsidRPr="009607BA">
        <w:rPr>
          <w:rFonts w:ascii="Arial" w:hAnsi="Arial" w:cs="Arial"/>
        </w:rPr>
        <w:t xml:space="preserve">Projektowane rozporządzenie stanowi wykonanie upoważnienia ustawowego zawartego w art. 29 ust. 3 ustawy z dnia 20 marca 2025 r. o rynku pracy i służbach zatrudnienia (Dz. U. z 2025 poz. 620), nakładającego na ministra właściwego do spraw pracy obowiązek określenia, klasyfikacji zawodów i specjalności na potrzeby rynku pracy oraz zakresu danych niezbędnych do wnioskowania o wprowadzenie zmian w klasyfikacji zawodów i specjalności na potrzeby rynku pracy – mając na względzie </w:t>
      </w:r>
      <w:r w:rsidRPr="009607BA">
        <w:rPr>
          <w:rFonts w:ascii="Arial" w:hAnsi="Arial" w:cs="Arial"/>
        </w:rPr>
        <w:lastRenderedPageBreak/>
        <w:t>potrzeby badań statystycznych i form pomocy określonych w ustawie świadczonych przez publiczne służby zatrudnienia oraz sprawne rozpatrywanie wniosków o wprowadzenie zmian w klasyfikacji zawodów i specjalności na potrzeby rynku pracy.</w:t>
      </w:r>
    </w:p>
    <w:p w14:paraId="2FDC4082" w14:textId="77777777" w:rsidR="007C3B3E" w:rsidRPr="009607BA" w:rsidRDefault="007C3B3E" w:rsidP="00740612">
      <w:pPr>
        <w:spacing w:after="0" w:line="283" w:lineRule="auto"/>
        <w:rPr>
          <w:rFonts w:ascii="Arial" w:hAnsi="Arial" w:cs="Arial"/>
          <w:sz w:val="24"/>
          <w:szCs w:val="24"/>
        </w:rPr>
      </w:pPr>
      <w:r w:rsidRPr="009607BA">
        <w:rPr>
          <w:rFonts w:ascii="Arial" w:hAnsi="Arial" w:cs="Arial"/>
          <w:sz w:val="24"/>
          <w:szCs w:val="24"/>
        </w:rPr>
        <w:t>Projektowane rozporządzenie zastąpi obecnie obowiązujące rozporządzenie Ministra Pracy i Polityki Społecznej z dnia 7 sierpnia 2014 r. w sprawie klasyfikacji zawodów i specjalności na potrzeby rynku pracy oraz zakresu jej stosowania (Dz. U. z 2018 r. poz. 227, z 2021 r. poz. 2285, z 2022 r. poz. 853 oraz z 2024 r. poz. 1372).</w:t>
      </w:r>
    </w:p>
    <w:p w14:paraId="2FA379A5" w14:textId="77777777" w:rsidR="007C3B3E" w:rsidRPr="009607BA" w:rsidRDefault="007C3B3E" w:rsidP="00740612">
      <w:pPr>
        <w:spacing w:after="0" w:line="283" w:lineRule="auto"/>
        <w:rPr>
          <w:rFonts w:ascii="Arial" w:hAnsi="Arial" w:cs="Arial"/>
          <w:sz w:val="24"/>
          <w:szCs w:val="24"/>
        </w:rPr>
      </w:pPr>
    </w:p>
    <w:p w14:paraId="7245C7B8" w14:textId="2D7E6E2F" w:rsidR="00B31FF6" w:rsidRPr="009607BA" w:rsidRDefault="007C3B3E" w:rsidP="00740612">
      <w:pPr>
        <w:pStyle w:val="NormalnyWeb"/>
        <w:spacing w:before="0" w:beforeAutospacing="0" w:after="0" w:afterAutospacing="0" w:line="283" w:lineRule="auto"/>
        <w:jc w:val="both"/>
        <w:rPr>
          <w:rFonts w:ascii="Arial" w:hAnsi="Arial" w:cs="Arial"/>
        </w:rPr>
      </w:pPr>
      <w:r w:rsidRPr="009607BA">
        <w:rPr>
          <w:rFonts w:ascii="Arial" w:hAnsi="Arial" w:cs="Arial"/>
        </w:rPr>
        <w:t>Projektowane rozporządzenie określa klasyfikację zawodów i specjalności na potrzeby rynku pracy. Ponadto w projektowanym rozporządzeniu określono zakres danych niezbędnych do wnioskowania o wprowadzenie zmian w klasyfikacji zawodów i specjalności na potrzeby rynku pracy – mając na względzie potrzeby badań statystycznych i form pomocy określonych w ustawie z dnia 20 marca 2025 r. o rynku pracy i służbach zatrudnienia świadczonych przez publiczne służby zatrudnienia oraz sprawne rozpatrywanie wniosków o wprowadzenie zmian w klasyfikacji zawodów i specjalności na potrzeby rynku pracy.</w:t>
      </w:r>
    </w:p>
    <w:p w14:paraId="25B2F381" w14:textId="77777777" w:rsidR="00524087" w:rsidRPr="009607BA" w:rsidRDefault="00524087" w:rsidP="00740612">
      <w:pPr>
        <w:spacing w:after="0" w:line="283" w:lineRule="auto"/>
        <w:jc w:val="both"/>
        <w:rPr>
          <w:rFonts w:ascii="Arial" w:hAnsi="Arial" w:cs="Arial"/>
          <w:sz w:val="24"/>
          <w:szCs w:val="24"/>
        </w:rPr>
      </w:pPr>
    </w:p>
    <w:p w14:paraId="43DE16FB" w14:textId="77777777" w:rsidR="007C3B3E" w:rsidRPr="009607BA" w:rsidRDefault="007C3B3E" w:rsidP="00740612">
      <w:pPr>
        <w:spacing w:after="0" w:line="283" w:lineRule="auto"/>
        <w:rPr>
          <w:rFonts w:ascii="Arial" w:hAnsi="Arial" w:cs="Arial"/>
          <w:sz w:val="24"/>
          <w:szCs w:val="24"/>
        </w:rPr>
      </w:pPr>
      <w:r w:rsidRPr="009607BA">
        <w:rPr>
          <w:rFonts w:ascii="Arial" w:hAnsi="Arial" w:cs="Arial"/>
          <w:sz w:val="24"/>
          <w:szCs w:val="24"/>
        </w:rPr>
        <w:t>Przedmiotowy projekt aktu prawnego wraz z Uzasadnieniem oraz Oceną Skutków Regulacji dostępny jest na stronach Rządowego Centrum Legislacji pod adresem:</w:t>
      </w:r>
    </w:p>
    <w:p w14:paraId="3CA35975" w14:textId="3A247E9D" w:rsidR="00524087" w:rsidRPr="009607BA" w:rsidRDefault="007C3B3E" w:rsidP="00740612">
      <w:pPr>
        <w:spacing w:after="0" w:line="283" w:lineRule="auto"/>
        <w:jc w:val="both"/>
        <w:rPr>
          <w:rFonts w:ascii="Arial" w:hAnsi="Arial" w:cs="Arial"/>
          <w:sz w:val="24"/>
          <w:szCs w:val="24"/>
        </w:rPr>
      </w:pPr>
      <w:hyperlink r:id="rId8" w:anchor="13142517" w:history="1">
        <w:r w:rsidRPr="009607BA">
          <w:rPr>
            <w:rStyle w:val="Hipercze"/>
            <w:rFonts w:ascii="Arial" w:hAnsi="Arial" w:cs="Arial"/>
            <w:sz w:val="24"/>
            <w:szCs w:val="24"/>
          </w:rPr>
          <w:t>https://legislacja.rcl.gov.pl/projekt/12399901/katalog/13142517#13142517</w:t>
        </w:r>
      </w:hyperlink>
    </w:p>
    <w:p w14:paraId="61ABAB94" w14:textId="77777777" w:rsidR="00524087" w:rsidRPr="009607BA" w:rsidRDefault="00524087" w:rsidP="00740612">
      <w:pPr>
        <w:spacing w:after="0" w:line="283" w:lineRule="auto"/>
        <w:jc w:val="both"/>
        <w:rPr>
          <w:rFonts w:ascii="Arial" w:hAnsi="Arial" w:cs="Arial"/>
          <w:sz w:val="24"/>
          <w:szCs w:val="24"/>
        </w:rPr>
      </w:pPr>
    </w:p>
    <w:p w14:paraId="5F20D776" w14:textId="77777777" w:rsidR="00E434A1" w:rsidRPr="009607BA" w:rsidRDefault="00E434A1" w:rsidP="00740612">
      <w:pPr>
        <w:spacing w:after="0" w:line="283" w:lineRule="auto"/>
        <w:jc w:val="both"/>
        <w:rPr>
          <w:rFonts w:ascii="Arial" w:hAnsi="Arial" w:cs="Arial"/>
          <w:sz w:val="24"/>
          <w:szCs w:val="24"/>
        </w:rPr>
      </w:pPr>
      <w:r w:rsidRPr="009607BA">
        <w:rPr>
          <w:rFonts w:ascii="Arial" w:hAnsi="Arial" w:cs="Arial"/>
          <w:sz w:val="24"/>
          <w:szCs w:val="24"/>
        </w:rPr>
        <w:t>Projekt jest obecnie jednocześnie na etapie uzgodnień, konsultacji publicznych i opiniowania.</w:t>
      </w:r>
    </w:p>
    <w:p w14:paraId="3F21C8EB" w14:textId="1143A401" w:rsidR="00524087" w:rsidRPr="009607BA" w:rsidRDefault="00524087" w:rsidP="00740612">
      <w:pPr>
        <w:spacing w:after="0" w:line="283" w:lineRule="auto"/>
        <w:jc w:val="both"/>
        <w:rPr>
          <w:rFonts w:ascii="Arial" w:hAnsi="Arial" w:cs="Arial"/>
          <w:sz w:val="24"/>
          <w:szCs w:val="24"/>
        </w:rPr>
      </w:pPr>
    </w:p>
    <w:p w14:paraId="26C546AD" w14:textId="6F95951D" w:rsidR="00D90EDD" w:rsidRPr="009607BA" w:rsidRDefault="009607BA" w:rsidP="00740612">
      <w:pPr>
        <w:pStyle w:val="Akapitzlist"/>
        <w:numPr>
          <w:ilvl w:val="0"/>
          <w:numId w:val="20"/>
        </w:numPr>
        <w:spacing w:after="0" w:line="283" w:lineRule="auto"/>
        <w:jc w:val="both"/>
        <w:rPr>
          <w:rFonts w:ascii="Arial" w:hAnsi="Arial" w:cs="Arial"/>
          <w:b/>
          <w:bCs/>
          <w:sz w:val="24"/>
          <w:szCs w:val="24"/>
          <w:u w:val="single"/>
        </w:rPr>
      </w:pPr>
      <w:r w:rsidRPr="009607BA">
        <w:rPr>
          <w:rFonts w:ascii="Arial" w:hAnsi="Arial" w:cs="Arial"/>
          <w:b/>
          <w:bCs/>
          <w:sz w:val="24"/>
          <w:szCs w:val="24"/>
          <w:u w:val="single"/>
        </w:rPr>
        <w:t>Projekt rozporządzenia Ministra Zdrowia zmieniającego rozporządzenie w sprawie świadczeń gwarantowanych z zakresu leczenia szpitalnego</w:t>
      </w:r>
      <w:r w:rsidR="00D90EDD" w:rsidRPr="009607BA">
        <w:rPr>
          <w:rStyle w:val="Pogrubienie"/>
          <w:rFonts w:ascii="Arial" w:hAnsi="Arial" w:cs="Arial"/>
          <w:b w:val="0"/>
          <w:bCs w:val="0"/>
          <w:sz w:val="24"/>
          <w:szCs w:val="24"/>
          <w:u w:val="single"/>
        </w:rPr>
        <w:t xml:space="preserve"> (</w:t>
      </w:r>
      <w:r w:rsidR="00D90EDD" w:rsidRPr="009607BA">
        <w:rPr>
          <w:rStyle w:val="Pogrubienie"/>
          <w:rFonts w:ascii="Arial" w:hAnsi="Arial" w:cs="Arial"/>
          <w:sz w:val="24"/>
          <w:szCs w:val="24"/>
          <w:u w:val="single"/>
        </w:rPr>
        <w:t>numer z wykazu</w:t>
      </w:r>
      <w:r w:rsidR="00D90EDD" w:rsidRPr="009607BA">
        <w:rPr>
          <w:rStyle w:val="Pogrubienie"/>
          <w:rFonts w:ascii="Arial" w:hAnsi="Arial" w:cs="Arial"/>
          <w:b w:val="0"/>
          <w:bCs w:val="0"/>
          <w:sz w:val="24"/>
          <w:szCs w:val="24"/>
          <w:u w:val="single"/>
        </w:rPr>
        <w:t xml:space="preserve"> </w:t>
      </w:r>
      <w:r w:rsidR="002138D5" w:rsidRPr="009607BA">
        <w:rPr>
          <w:rFonts w:ascii="Arial" w:hAnsi="Arial" w:cs="Arial"/>
          <w:b/>
          <w:bCs/>
          <w:sz w:val="24"/>
          <w:szCs w:val="24"/>
          <w:u w:val="single"/>
        </w:rPr>
        <w:t>MZ1716</w:t>
      </w:r>
      <w:r w:rsidR="00D90EDD" w:rsidRPr="009607BA">
        <w:rPr>
          <w:rStyle w:val="Pogrubienie"/>
          <w:rFonts w:ascii="Arial" w:hAnsi="Arial" w:cs="Arial"/>
          <w:b w:val="0"/>
          <w:bCs w:val="0"/>
          <w:sz w:val="24"/>
          <w:szCs w:val="24"/>
          <w:u w:val="single"/>
        </w:rPr>
        <w:t>)</w:t>
      </w:r>
      <w:r w:rsidR="00D90EDD" w:rsidRPr="009607BA">
        <w:rPr>
          <w:rFonts w:ascii="Arial" w:hAnsi="Arial" w:cs="Arial"/>
          <w:b/>
          <w:bCs/>
          <w:sz w:val="24"/>
          <w:szCs w:val="24"/>
          <w:u w:val="single"/>
        </w:rPr>
        <w:t>.</w:t>
      </w:r>
    </w:p>
    <w:p w14:paraId="79352D31" w14:textId="2CB49A92" w:rsidR="00D90EDD" w:rsidRPr="009607BA" w:rsidRDefault="00D90EDD" w:rsidP="00740612">
      <w:pPr>
        <w:spacing w:after="0" w:line="283" w:lineRule="auto"/>
        <w:jc w:val="both"/>
        <w:rPr>
          <w:rFonts w:ascii="Arial" w:hAnsi="Arial" w:cs="Arial"/>
          <w:sz w:val="24"/>
          <w:szCs w:val="24"/>
        </w:rPr>
      </w:pPr>
    </w:p>
    <w:p w14:paraId="6A9612B8" w14:textId="7D42625F" w:rsidR="009607BA" w:rsidRPr="009607BA" w:rsidRDefault="009607BA" w:rsidP="00740612">
      <w:pPr>
        <w:pStyle w:val="NormalnyWeb"/>
        <w:spacing w:before="0" w:beforeAutospacing="0" w:after="0" w:afterAutospacing="0" w:line="283" w:lineRule="auto"/>
        <w:jc w:val="both"/>
        <w:rPr>
          <w:rFonts w:ascii="Arial" w:hAnsi="Arial" w:cs="Arial"/>
          <w:color w:val="000000"/>
        </w:rPr>
      </w:pPr>
      <w:r w:rsidRPr="009607BA">
        <w:rPr>
          <w:rFonts w:ascii="Arial" w:hAnsi="Arial" w:cs="Arial"/>
          <w:color w:val="000000"/>
        </w:rPr>
        <w:t xml:space="preserve">Projekt rozporządzenia wprowadza zmiany w załącznikach nr 1 i nr 4 do rozporządzenia Ministra Zdrowia z dnia 22 listopada 2013 r. w sprawie świadczeń gwarantowanych z zakresu leczenia </w:t>
      </w:r>
      <w:r w:rsidRPr="009607BA">
        <w:rPr>
          <w:rFonts w:ascii="Arial" w:hAnsi="Arial" w:cs="Arial"/>
        </w:rPr>
        <w:t>szpitalnego (</w:t>
      </w:r>
      <w:r w:rsidRPr="0079003B">
        <w:rPr>
          <w:rFonts w:ascii="Arial" w:hAnsi="Arial" w:cs="Arial"/>
        </w:rPr>
        <w:t>Dz.U. z 2023 r. poz. 870, z późn zm.</w:t>
      </w:r>
      <w:r w:rsidRPr="009607BA">
        <w:rPr>
          <w:rFonts w:ascii="Arial" w:hAnsi="Arial" w:cs="Arial"/>
        </w:rPr>
        <w:t xml:space="preserve">) przez </w:t>
      </w:r>
      <w:r w:rsidRPr="009607BA">
        <w:rPr>
          <w:rFonts w:ascii="Arial" w:hAnsi="Arial" w:cs="Arial"/>
          <w:color w:val="000000"/>
        </w:rPr>
        <w:t>dodanie do wykazu świadczeń gwarantowanych z zakresu leczenia szpitalnego</w:t>
      </w:r>
      <w:r w:rsidR="00A372ED">
        <w:rPr>
          <w:rFonts w:ascii="Arial" w:hAnsi="Arial" w:cs="Arial"/>
          <w:color w:val="000000"/>
        </w:rPr>
        <w:t xml:space="preserve"> </w:t>
      </w:r>
      <w:r w:rsidRPr="009607BA">
        <w:rPr>
          <w:rFonts w:ascii="Arial" w:hAnsi="Arial" w:cs="Arial"/>
          <w:color w:val="000000"/>
        </w:rPr>
        <w:t xml:space="preserve">nowych świadczeń obejmujących leczenie nowotworów jelita grubego z wykorzystaniem endoskopowej </w:t>
      </w:r>
      <w:proofErr w:type="spellStart"/>
      <w:r w:rsidRPr="009607BA">
        <w:rPr>
          <w:rFonts w:ascii="Arial" w:hAnsi="Arial" w:cs="Arial"/>
          <w:color w:val="000000"/>
        </w:rPr>
        <w:t>dyssekcji</w:t>
      </w:r>
      <w:proofErr w:type="spellEnd"/>
      <w:r w:rsidRPr="009607BA">
        <w:rPr>
          <w:rFonts w:ascii="Arial" w:hAnsi="Arial" w:cs="Arial"/>
          <w:color w:val="000000"/>
        </w:rPr>
        <w:t xml:space="preserve"> </w:t>
      </w:r>
      <w:proofErr w:type="spellStart"/>
      <w:r w:rsidRPr="009607BA">
        <w:rPr>
          <w:rFonts w:ascii="Arial" w:hAnsi="Arial" w:cs="Arial"/>
          <w:color w:val="000000"/>
        </w:rPr>
        <w:t>podśluzowkowej</w:t>
      </w:r>
      <w:proofErr w:type="spellEnd"/>
      <w:r w:rsidRPr="009607BA">
        <w:rPr>
          <w:rFonts w:ascii="Arial" w:hAnsi="Arial" w:cs="Arial"/>
          <w:color w:val="000000"/>
        </w:rPr>
        <w:t xml:space="preserve"> oraz </w:t>
      </w:r>
      <w:proofErr w:type="spellStart"/>
      <w:r w:rsidRPr="009607BA">
        <w:rPr>
          <w:rFonts w:ascii="Arial" w:hAnsi="Arial" w:cs="Arial"/>
          <w:color w:val="000000"/>
        </w:rPr>
        <w:t>przezodbytniczej</w:t>
      </w:r>
      <w:proofErr w:type="spellEnd"/>
      <w:r w:rsidRPr="009607BA">
        <w:rPr>
          <w:rFonts w:ascii="Arial" w:hAnsi="Arial" w:cs="Arial"/>
          <w:color w:val="000000"/>
        </w:rPr>
        <w:t xml:space="preserve"> mikrochirurgii endoskopowej.</w:t>
      </w:r>
    </w:p>
    <w:p w14:paraId="64FBE6B7" w14:textId="77777777" w:rsidR="009607BA" w:rsidRPr="009607BA" w:rsidRDefault="009607BA" w:rsidP="00740612">
      <w:pPr>
        <w:pStyle w:val="NormalnyWeb"/>
        <w:spacing w:before="0" w:beforeAutospacing="0" w:after="0" w:afterAutospacing="0" w:line="283" w:lineRule="auto"/>
        <w:jc w:val="both"/>
        <w:rPr>
          <w:rFonts w:ascii="Arial" w:hAnsi="Arial" w:cs="Arial"/>
          <w:color w:val="000000"/>
        </w:rPr>
      </w:pPr>
    </w:p>
    <w:p w14:paraId="0851E602" w14:textId="1A590AB1" w:rsidR="002138D5" w:rsidRPr="009607BA" w:rsidRDefault="009607BA" w:rsidP="00740612">
      <w:pPr>
        <w:pStyle w:val="NormalnyWeb"/>
        <w:spacing w:before="0" w:beforeAutospacing="0" w:after="0" w:afterAutospacing="0" w:line="283" w:lineRule="auto"/>
        <w:jc w:val="both"/>
        <w:rPr>
          <w:rFonts w:ascii="Arial" w:hAnsi="Arial" w:cs="Arial"/>
          <w:color w:val="000000"/>
        </w:rPr>
      </w:pPr>
      <w:r w:rsidRPr="009607BA">
        <w:rPr>
          <w:rFonts w:ascii="Arial" w:hAnsi="Arial" w:cs="Arial"/>
          <w:color w:val="000000"/>
        </w:rPr>
        <w:t xml:space="preserve">Endoskopowa </w:t>
      </w:r>
      <w:proofErr w:type="spellStart"/>
      <w:r w:rsidRPr="009607BA">
        <w:rPr>
          <w:rFonts w:ascii="Arial" w:hAnsi="Arial" w:cs="Arial"/>
          <w:color w:val="000000"/>
        </w:rPr>
        <w:t>dyssekcja</w:t>
      </w:r>
      <w:proofErr w:type="spellEnd"/>
      <w:r w:rsidRPr="009607BA">
        <w:rPr>
          <w:rFonts w:ascii="Arial" w:hAnsi="Arial" w:cs="Arial"/>
          <w:color w:val="000000"/>
        </w:rPr>
        <w:t xml:space="preserve"> </w:t>
      </w:r>
      <w:proofErr w:type="spellStart"/>
      <w:r w:rsidRPr="009607BA">
        <w:rPr>
          <w:rFonts w:ascii="Arial" w:hAnsi="Arial" w:cs="Arial"/>
          <w:color w:val="000000"/>
        </w:rPr>
        <w:t>podśluzówkowa</w:t>
      </w:r>
      <w:proofErr w:type="spellEnd"/>
      <w:r w:rsidRPr="009607BA">
        <w:rPr>
          <w:rFonts w:ascii="Arial" w:hAnsi="Arial" w:cs="Arial"/>
          <w:color w:val="000000"/>
        </w:rPr>
        <w:t xml:space="preserve"> jest zaawansowaną metoda endoskopową stosowaną w leczeniu powierzchownych zmian nowotworowych o niskim stopniu zaawansowania. Ze względu na małą inwazyjność endoskopowej </w:t>
      </w:r>
      <w:proofErr w:type="spellStart"/>
      <w:r w:rsidRPr="009607BA">
        <w:rPr>
          <w:rFonts w:ascii="Arial" w:hAnsi="Arial" w:cs="Arial"/>
          <w:color w:val="000000"/>
        </w:rPr>
        <w:t>dyssekcji</w:t>
      </w:r>
      <w:proofErr w:type="spellEnd"/>
      <w:r w:rsidRPr="009607BA">
        <w:rPr>
          <w:rFonts w:ascii="Arial" w:hAnsi="Arial" w:cs="Arial"/>
          <w:color w:val="000000"/>
        </w:rPr>
        <w:t xml:space="preserve"> </w:t>
      </w:r>
      <w:proofErr w:type="spellStart"/>
      <w:r w:rsidRPr="009607BA">
        <w:rPr>
          <w:rFonts w:ascii="Arial" w:hAnsi="Arial" w:cs="Arial"/>
          <w:color w:val="000000"/>
        </w:rPr>
        <w:t>podśluzowkowej</w:t>
      </w:r>
      <w:proofErr w:type="spellEnd"/>
      <w:r w:rsidRPr="009607BA">
        <w:rPr>
          <w:rFonts w:ascii="Arial" w:hAnsi="Arial" w:cs="Arial"/>
          <w:color w:val="000000"/>
        </w:rPr>
        <w:t xml:space="preserve"> (ESD) pozwala na precyzyjne usunięcie zmian ograniczonych do warstwy </w:t>
      </w:r>
      <w:proofErr w:type="spellStart"/>
      <w:r w:rsidRPr="009607BA">
        <w:rPr>
          <w:rFonts w:ascii="Arial" w:hAnsi="Arial" w:cs="Arial"/>
          <w:color w:val="000000"/>
        </w:rPr>
        <w:t>podśluzówkowej</w:t>
      </w:r>
      <w:proofErr w:type="spellEnd"/>
      <w:r w:rsidRPr="009607BA">
        <w:rPr>
          <w:rFonts w:ascii="Arial" w:hAnsi="Arial" w:cs="Arial"/>
          <w:color w:val="000000"/>
        </w:rPr>
        <w:t xml:space="preserve">. Technologiami alternatywnymi w stosunku do endoskopowej </w:t>
      </w:r>
      <w:proofErr w:type="spellStart"/>
      <w:r w:rsidRPr="009607BA">
        <w:rPr>
          <w:rFonts w:ascii="Arial" w:hAnsi="Arial" w:cs="Arial"/>
          <w:color w:val="000000"/>
        </w:rPr>
        <w:t>dyssekcji</w:t>
      </w:r>
      <w:proofErr w:type="spellEnd"/>
      <w:r w:rsidRPr="009607BA">
        <w:rPr>
          <w:rFonts w:ascii="Arial" w:hAnsi="Arial" w:cs="Arial"/>
          <w:color w:val="000000"/>
        </w:rPr>
        <w:t xml:space="preserve"> </w:t>
      </w:r>
      <w:proofErr w:type="spellStart"/>
      <w:r w:rsidRPr="009607BA">
        <w:rPr>
          <w:rFonts w:ascii="Arial" w:hAnsi="Arial" w:cs="Arial"/>
          <w:color w:val="000000"/>
        </w:rPr>
        <w:t>podśluzówkowej</w:t>
      </w:r>
      <w:proofErr w:type="spellEnd"/>
      <w:r w:rsidRPr="009607BA">
        <w:rPr>
          <w:rFonts w:ascii="Arial" w:hAnsi="Arial" w:cs="Arial"/>
          <w:color w:val="000000"/>
        </w:rPr>
        <w:t xml:space="preserve"> są inne metody endoskopowe, obejmujące </w:t>
      </w:r>
      <w:proofErr w:type="spellStart"/>
      <w:r w:rsidRPr="009607BA">
        <w:rPr>
          <w:rFonts w:ascii="Arial" w:hAnsi="Arial" w:cs="Arial"/>
          <w:color w:val="000000"/>
        </w:rPr>
        <w:t>mukozektomię</w:t>
      </w:r>
      <w:proofErr w:type="spellEnd"/>
      <w:r w:rsidRPr="009607BA">
        <w:rPr>
          <w:rFonts w:ascii="Arial" w:hAnsi="Arial" w:cs="Arial"/>
          <w:color w:val="000000"/>
        </w:rPr>
        <w:t xml:space="preserve"> i </w:t>
      </w:r>
      <w:proofErr w:type="spellStart"/>
      <w:r w:rsidRPr="009607BA">
        <w:rPr>
          <w:rFonts w:ascii="Arial" w:hAnsi="Arial" w:cs="Arial"/>
          <w:color w:val="000000"/>
        </w:rPr>
        <w:t>polipektomię</w:t>
      </w:r>
      <w:proofErr w:type="spellEnd"/>
      <w:r w:rsidRPr="009607BA">
        <w:rPr>
          <w:rFonts w:ascii="Arial" w:hAnsi="Arial" w:cs="Arial"/>
          <w:color w:val="000000"/>
        </w:rPr>
        <w:t xml:space="preserve"> oraz bardziej inwazyjne leczenie chirurgiczne z użyciem </w:t>
      </w:r>
      <w:r w:rsidRPr="009607BA">
        <w:rPr>
          <w:rFonts w:ascii="Arial" w:hAnsi="Arial" w:cs="Arial"/>
          <w:color w:val="000000"/>
        </w:rPr>
        <w:lastRenderedPageBreak/>
        <w:t xml:space="preserve">metod laparoskopowych lub otwartych. Warto zaznaczyć, że endoskopowa </w:t>
      </w:r>
      <w:proofErr w:type="spellStart"/>
      <w:r w:rsidRPr="009607BA">
        <w:rPr>
          <w:rFonts w:ascii="Arial" w:hAnsi="Arial" w:cs="Arial"/>
          <w:color w:val="000000"/>
        </w:rPr>
        <w:t>dyssekcja</w:t>
      </w:r>
      <w:proofErr w:type="spellEnd"/>
      <w:r w:rsidRPr="009607BA">
        <w:rPr>
          <w:rFonts w:ascii="Arial" w:hAnsi="Arial" w:cs="Arial"/>
          <w:color w:val="000000"/>
        </w:rPr>
        <w:t xml:space="preserve"> jest zabiegiem stosowanym w przypadku zmian bardziej rozległych o charakterze płaskim, w przypadku których zastosowanie innych metod endoskopowych ogranicza możliwość wykonania radykalnego usunięcia zmiany. </w:t>
      </w:r>
      <w:proofErr w:type="spellStart"/>
      <w:r w:rsidRPr="009607BA">
        <w:rPr>
          <w:rFonts w:ascii="Arial" w:hAnsi="Arial" w:cs="Arial"/>
          <w:color w:val="000000"/>
        </w:rPr>
        <w:t>Przezodbytnicza</w:t>
      </w:r>
      <w:proofErr w:type="spellEnd"/>
      <w:r w:rsidRPr="009607BA">
        <w:rPr>
          <w:rFonts w:ascii="Arial" w:hAnsi="Arial" w:cs="Arial"/>
          <w:color w:val="000000"/>
        </w:rPr>
        <w:t xml:space="preserve"> mikrochirurgia endoskopowa jest minimalnie inwazyjną techniką operacyjną, która umożliwia wycięcie zmian nowotworowych zlokalizowanych w obrębie odbytnicy ograniczonych do warstwy błony śluzowej, podśluzowej lub warstw głębszych. W przypadku </w:t>
      </w:r>
      <w:proofErr w:type="spellStart"/>
      <w:r w:rsidRPr="009607BA">
        <w:rPr>
          <w:rFonts w:ascii="Arial" w:hAnsi="Arial" w:cs="Arial"/>
          <w:color w:val="000000"/>
        </w:rPr>
        <w:t>przezodbytniczej</w:t>
      </w:r>
      <w:proofErr w:type="spellEnd"/>
      <w:r w:rsidRPr="009607BA">
        <w:rPr>
          <w:rFonts w:ascii="Arial" w:hAnsi="Arial" w:cs="Arial"/>
          <w:color w:val="000000"/>
        </w:rPr>
        <w:t xml:space="preserve"> mikrochirurgii endoskopowej alternatywą są również zabiegi endoskopowe lub resekcja metodą otwartą, bądź laparoskopową w zależności od stopnia zaawansowania zmiany nowotworowej. Przy leczeniu chirurgicznym metodami otwartymi istnieje ryzyko konieczności wyłonienia </w:t>
      </w:r>
      <w:proofErr w:type="spellStart"/>
      <w:r w:rsidRPr="009607BA">
        <w:rPr>
          <w:rFonts w:ascii="Arial" w:hAnsi="Arial" w:cs="Arial"/>
          <w:color w:val="000000"/>
        </w:rPr>
        <w:t>stomii</w:t>
      </w:r>
      <w:proofErr w:type="spellEnd"/>
      <w:r w:rsidRPr="009607BA">
        <w:rPr>
          <w:rFonts w:ascii="Arial" w:hAnsi="Arial" w:cs="Arial"/>
          <w:color w:val="000000"/>
        </w:rPr>
        <w:t xml:space="preserve"> jelitowej czasowej lub definitywnej.</w:t>
      </w:r>
    </w:p>
    <w:p w14:paraId="332B754A" w14:textId="77777777" w:rsidR="009607BA" w:rsidRPr="009607BA" w:rsidRDefault="009607BA" w:rsidP="00740612">
      <w:pPr>
        <w:pStyle w:val="NormalnyWeb"/>
        <w:spacing w:before="0" w:beforeAutospacing="0" w:after="0" w:afterAutospacing="0" w:line="283" w:lineRule="auto"/>
        <w:jc w:val="both"/>
        <w:rPr>
          <w:rFonts w:ascii="Arial" w:hAnsi="Arial" w:cs="Arial"/>
          <w:color w:val="000000"/>
        </w:rPr>
      </w:pPr>
    </w:p>
    <w:p w14:paraId="3FA59318" w14:textId="62C929E0" w:rsidR="009607BA" w:rsidRPr="009607BA" w:rsidRDefault="009607BA" w:rsidP="00740612">
      <w:pPr>
        <w:pStyle w:val="NormalnyWeb"/>
        <w:spacing w:before="0" w:beforeAutospacing="0" w:after="0" w:afterAutospacing="0" w:line="283" w:lineRule="auto"/>
        <w:jc w:val="both"/>
        <w:rPr>
          <w:rFonts w:ascii="Arial" w:hAnsi="Arial" w:cs="Arial"/>
        </w:rPr>
      </w:pPr>
      <w:r w:rsidRPr="009607BA">
        <w:rPr>
          <w:rFonts w:ascii="Arial" w:hAnsi="Arial" w:cs="Arial"/>
          <w:color w:val="000000"/>
        </w:rPr>
        <w:t>Obecnie, w analizowanej populacji, ww. procedury medyczne nie znajduje się w wykazie świadczeń gwarantowanych, gdyż brak jest świadczeń opieki zdrowotnej oraz kodów ICD-9 odpowiadającym przedmiotowym procedurom.</w:t>
      </w:r>
    </w:p>
    <w:p w14:paraId="28A72E81" w14:textId="77777777" w:rsidR="00D90EDD" w:rsidRPr="009607BA" w:rsidRDefault="00D90EDD" w:rsidP="00740612">
      <w:pPr>
        <w:spacing w:after="0" w:line="283" w:lineRule="auto"/>
        <w:jc w:val="both"/>
        <w:rPr>
          <w:rFonts w:ascii="Arial" w:hAnsi="Arial" w:cs="Arial"/>
          <w:sz w:val="24"/>
          <w:szCs w:val="24"/>
        </w:rPr>
      </w:pPr>
    </w:p>
    <w:p w14:paraId="30AFD56B" w14:textId="77777777" w:rsidR="00D90EDD" w:rsidRPr="009607BA" w:rsidRDefault="00D90EDD" w:rsidP="00740612">
      <w:pPr>
        <w:spacing w:after="0" w:line="283" w:lineRule="auto"/>
        <w:jc w:val="both"/>
        <w:rPr>
          <w:rFonts w:ascii="Arial" w:hAnsi="Arial" w:cs="Arial"/>
          <w:sz w:val="24"/>
          <w:szCs w:val="24"/>
        </w:rPr>
      </w:pPr>
      <w:r w:rsidRPr="009607BA">
        <w:rPr>
          <w:rFonts w:ascii="Arial" w:hAnsi="Arial" w:cs="Arial"/>
          <w:sz w:val="24"/>
          <w:szCs w:val="24"/>
        </w:rPr>
        <w:t>Przedmiotowy projekt aktu prawnego wraz z Uzasadnieniem oraz Oceną Skutków Regulacji dostępny jest na stronach Rządowego Centrum Legislacji pod adresem:</w:t>
      </w:r>
    </w:p>
    <w:p w14:paraId="1DAE4454" w14:textId="3DCB70F5" w:rsidR="009607BA" w:rsidRPr="009607BA" w:rsidRDefault="009607BA" w:rsidP="00740612">
      <w:pPr>
        <w:spacing w:after="0" w:line="283" w:lineRule="auto"/>
        <w:jc w:val="both"/>
        <w:rPr>
          <w:rFonts w:ascii="Arial" w:hAnsi="Arial" w:cs="Arial"/>
          <w:sz w:val="24"/>
          <w:szCs w:val="24"/>
        </w:rPr>
      </w:pPr>
      <w:hyperlink r:id="rId9" w:anchor="13142608" w:history="1">
        <w:r w:rsidRPr="009607BA">
          <w:rPr>
            <w:rStyle w:val="Hipercze"/>
            <w:rFonts w:ascii="Arial" w:hAnsi="Arial" w:cs="Arial"/>
            <w:sz w:val="24"/>
            <w:szCs w:val="24"/>
          </w:rPr>
          <w:t>https://legislacja.rcl.gov.pl/projekt/12399950/katalog/13142608#13142608</w:t>
        </w:r>
      </w:hyperlink>
    </w:p>
    <w:p w14:paraId="31F7A082" w14:textId="77777777" w:rsidR="00D90EDD" w:rsidRPr="009607BA" w:rsidRDefault="00D90EDD" w:rsidP="00740612">
      <w:pPr>
        <w:spacing w:after="0" w:line="283" w:lineRule="auto"/>
        <w:jc w:val="both"/>
        <w:rPr>
          <w:rFonts w:ascii="Arial" w:hAnsi="Arial" w:cs="Arial"/>
          <w:sz w:val="24"/>
          <w:szCs w:val="24"/>
        </w:rPr>
      </w:pPr>
    </w:p>
    <w:p w14:paraId="5948F38E" w14:textId="77777777" w:rsidR="002138D5" w:rsidRPr="009607BA" w:rsidRDefault="002138D5" w:rsidP="00740612">
      <w:pPr>
        <w:spacing w:after="0" w:line="283" w:lineRule="auto"/>
        <w:jc w:val="both"/>
        <w:rPr>
          <w:rFonts w:ascii="Arial" w:hAnsi="Arial" w:cs="Arial"/>
          <w:sz w:val="24"/>
          <w:szCs w:val="24"/>
        </w:rPr>
      </w:pPr>
      <w:r w:rsidRPr="009607BA">
        <w:rPr>
          <w:rFonts w:ascii="Arial" w:hAnsi="Arial" w:cs="Arial"/>
          <w:sz w:val="24"/>
          <w:szCs w:val="24"/>
        </w:rPr>
        <w:t>Projekt jest obecnie jednocześnie na etapie uzgodnień i konsultacji publicznych.</w:t>
      </w:r>
    </w:p>
    <w:p w14:paraId="2B772C83" w14:textId="12FED133" w:rsidR="00384F0C" w:rsidRPr="00F8041F" w:rsidRDefault="00384F0C" w:rsidP="00740612">
      <w:pPr>
        <w:spacing w:after="0" w:line="283" w:lineRule="auto"/>
        <w:rPr>
          <w:rFonts w:ascii="Arial" w:hAnsi="Arial" w:cs="Arial"/>
          <w:sz w:val="24"/>
          <w:szCs w:val="24"/>
        </w:rPr>
      </w:pPr>
    </w:p>
    <w:p w14:paraId="1FA6CBB1" w14:textId="3C743CE3" w:rsidR="00F351DF" w:rsidRDefault="00F8041F" w:rsidP="00740612">
      <w:pPr>
        <w:pStyle w:val="Akapitzlist"/>
        <w:numPr>
          <w:ilvl w:val="0"/>
          <w:numId w:val="30"/>
        </w:numPr>
        <w:spacing w:after="0" w:line="283" w:lineRule="auto"/>
        <w:jc w:val="both"/>
        <w:rPr>
          <w:rFonts w:ascii="Arial" w:hAnsi="Arial" w:cs="Arial"/>
          <w:b/>
          <w:bCs/>
          <w:sz w:val="24"/>
          <w:szCs w:val="24"/>
          <w:u w:val="single"/>
        </w:rPr>
      </w:pPr>
      <w:r w:rsidRPr="00F8041F">
        <w:rPr>
          <w:rFonts w:ascii="Arial" w:hAnsi="Arial" w:cs="Arial"/>
          <w:b/>
          <w:bCs/>
          <w:sz w:val="24"/>
          <w:szCs w:val="24"/>
          <w:u w:val="single"/>
        </w:rPr>
        <w:t>Projekt rozporządzenia Ministra Finansów w sprawie zmiany rozporządzenia w sprawie korzystania z e-Urzędu Skarbowego</w:t>
      </w:r>
      <w:r w:rsidRPr="00F8041F">
        <w:rPr>
          <w:rStyle w:val="Pogrubienie"/>
          <w:rFonts w:ascii="Arial" w:hAnsi="Arial" w:cs="Arial"/>
          <w:b w:val="0"/>
          <w:bCs w:val="0"/>
          <w:sz w:val="24"/>
          <w:szCs w:val="24"/>
          <w:u w:val="single"/>
        </w:rPr>
        <w:t xml:space="preserve"> </w:t>
      </w:r>
      <w:r w:rsidRPr="00F8041F">
        <w:rPr>
          <w:rStyle w:val="Pogrubienie"/>
          <w:rFonts w:ascii="Arial" w:hAnsi="Arial" w:cs="Arial"/>
          <w:sz w:val="24"/>
          <w:szCs w:val="24"/>
          <w:u w:val="single"/>
        </w:rPr>
        <w:t xml:space="preserve">(numer </w:t>
      </w:r>
      <w:r w:rsidRPr="00F8041F">
        <w:rPr>
          <w:rFonts w:ascii="Arial" w:hAnsi="Arial" w:cs="Arial"/>
          <w:b/>
          <w:bCs/>
          <w:color w:val="000000"/>
          <w:sz w:val="24"/>
          <w:szCs w:val="24"/>
          <w:u w:val="single"/>
        </w:rPr>
        <w:t>w wykazie prac legislacyjnych Ministra Finansów</w:t>
      </w:r>
      <w:r w:rsidRPr="00F8041F">
        <w:rPr>
          <w:rStyle w:val="Pogrubienie"/>
          <w:rFonts w:ascii="Arial" w:hAnsi="Arial" w:cs="Arial"/>
          <w:b w:val="0"/>
          <w:bCs w:val="0"/>
          <w:sz w:val="24"/>
          <w:szCs w:val="24"/>
          <w:u w:val="single"/>
        </w:rPr>
        <w:t xml:space="preserve"> </w:t>
      </w:r>
      <w:r w:rsidRPr="00F8041F">
        <w:rPr>
          <w:rFonts w:ascii="Arial" w:hAnsi="Arial" w:cs="Arial"/>
          <w:b/>
          <w:bCs/>
          <w:sz w:val="24"/>
          <w:szCs w:val="24"/>
          <w:u w:val="single"/>
        </w:rPr>
        <w:t>1007</w:t>
      </w:r>
      <w:r w:rsidRPr="00F8041F">
        <w:rPr>
          <w:rStyle w:val="Pogrubienie"/>
          <w:rFonts w:ascii="Arial" w:hAnsi="Arial" w:cs="Arial"/>
          <w:sz w:val="24"/>
          <w:szCs w:val="24"/>
          <w:u w:val="single"/>
        </w:rPr>
        <w:t>)</w:t>
      </w:r>
      <w:r w:rsidR="00F351DF" w:rsidRPr="00F8041F">
        <w:rPr>
          <w:rFonts w:ascii="Arial" w:hAnsi="Arial" w:cs="Arial"/>
          <w:b/>
          <w:bCs/>
          <w:sz w:val="24"/>
          <w:szCs w:val="24"/>
          <w:u w:val="single"/>
        </w:rPr>
        <w:t>.</w:t>
      </w:r>
    </w:p>
    <w:p w14:paraId="1B387DCE" w14:textId="77777777" w:rsidR="009A2E8C" w:rsidRPr="009A2E8C" w:rsidRDefault="009A2E8C" w:rsidP="00740612">
      <w:pPr>
        <w:spacing w:after="0" w:line="283" w:lineRule="auto"/>
        <w:jc w:val="both"/>
        <w:rPr>
          <w:rFonts w:ascii="Arial" w:hAnsi="Arial" w:cs="Arial"/>
          <w:sz w:val="24"/>
          <w:szCs w:val="24"/>
        </w:rPr>
      </w:pPr>
    </w:p>
    <w:p w14:paraId="469B46E3" w14:textId="0F9FA40F" w:rsidR="009A2E8C" w:rsidRPr="00F8041F" w:rsidRDefault="009A2E8C" w:rsidP="00740612">
      <w:pPr>
        <w:pStyle w:val="NormalnyWeb"/>
        <w:spacing w:before="0" w:beforeAutospacing="0" w:after="0" w:afterAutospacing="0" w:line="283" w:lineRule="auto"/>
        <w:jc w:val="both"/>
        <w:rPr>
          <w:rFonts w:ascii="Arial" w:hAnsi="Arial" w:cs="Arial"/>
          <w:color w:val="000000"/>
        </w:rPr>
      </w:pPr>
      <w:r w:rsidRPr="009A2E8C">
        <w:rPr>
          <w:rFonts w:ascii="Arial" w:hAnsi="Arial" w:cs="Arial"/>
        </w:rPr>
        <w:t>P</w:t>
      </w:r>
      <w:r w:rsidRPr="00F8041F">
        <w:rPr>
          <w:rFonts w:ascii="Arial" w:hAnsi="Arial" w:cs="Arial"/>
          <w:color w:val="000000"/>
        </w:rPr>
        <w:t>rojektowane rozporządzenie rozwiązuje problem niejednolitej interpretacji przepisów dotyczących udostępniania kont jednostek organizacyjnych w e-Urzędzie Skarbowym w odniesieniu do jednostek samorządu terytorialnego. Obecne regulacje prowadzą do niepewności co do kwalifikacji jednostek jako uprawnionych do posiadania konta jednostki organizacyjnej w systemie e-Urząd Skarbowy.</w:t>
      </w:r>
    </w:p>
    <w:p w14:paraId="4DFB5CF0" w14:textId="77777777" w:rsidR="009A2E8C" w:rsidRPr="00F8041F" w:rsidRDefault="009A2E8C" w:rsidP="00740612">
      <w:pPr>
        <w:pStyle w:val="NormalnyWeb"/>
        <w:spacing w:before="0" w:beforeAutospacing="0" w:after="0" w:afterAutospacing="0" w:line="283" w:lineRule="auto"/>
        <w:jc w:val="both"/>
        <w:rPr>
          <w:rFonts w:ascii="Arial" w:hAnsi="Arial" w:cs="Arial"/>
        </w:rPr>
      </w:pPr>
    </w:p>
    <w:p w14:paraId="3F29414C" w14:textId="77777777" w:rsidR="009A2E8C" w:rsidRPr="00F8041F" w:rsidRDefault="009A2E8C" w:rsidP="00740612">
      <w:pPr>
        <w:spacing w:after="0" w:line="283" w:lineRule="auto"/>
        <w:jc w:val="both"/>
        <w:rPr>
          <w:rFonts w:ascii="Arial" w:eastAsia="Times New Roman" w:hAnsi="Arial" w:cs="Arial"/>
          <w:sz w:val="24"/>
          <w:szCs w:val="24"/>
          <w:lang w:eastAsia="pl-PL"/>
        </w:rPr>
      </w:pPr>
      <w:r w:rsidRPr="00F8041F">
        <w:rPr>
          <w:rFonts w:ascii="Arial" w:hAnsi="Arial" w:cs="Arial"/>
          <w:color w:val="000000"/>
          <w:spacing w:val="-2"/>
          <w:sz w:val="24"/>
          <w:szCs w:val="24"/>
        </w:rPr>
        <w:t xml:space="preserve">Projekt przewiduje doprecyzowanie, że jednostki samorządu terytorialnego mogą korzystać z kont jednostki organizacyjnej, o których mowa w art. 35b ust. 2 pkt 2 ustawy z dnia 16 listopada 2016 r. o Krajowej Administracji Skarbowej (Dz.U. z  2023  r., poz. 615, z późn. zm.). Jednocześnie projekt przewiduje doprecyzowanie zakresu korzystania z konta osoby fizycznej i konta jednostki organizacyjnej poprzez dodanie ust. 2a w § 6 zmienianego rozporządzenia, zgodnie z którym użytkownik konta osoby fizycznej i konta jednostki organizacyjnej nie jest uprawniony do wnoszenia za pośrednictwem tych kont pism związanych z wykonywaniem władzy publicznej przez tego użytkownika lub jednostkę organizacyjną, w imieniu której działa. Rozwiązanie to </w:t>
      </w:r>
      <w:r w:rsidRPr="00F8041F">
        <w:rPr>
          <w:rFonts w:ascii="Arial" w:hAnsi="Arial" w:cs="Arial"/>
          <w:color w:val="000000"/>
          <w:spacing w:val="-2"/>
          <w:sz w:val="24"/>
          <w:szCs w:val="24"/>
        </w:rPr>
        <w:lastRenderedPageBreak/>
        <w:t>zapewni jednolitą praktykę stosowania przepisów przez organy Krajowej Administracji Skarbowej (KAS) oraz uprości obsługę podatkową tych jednostek.</w:t>
      </w:r>
    </w:p>
    <w:p w14:paraId="2CBADFD8" w14:textId="77777777" w:rsidR="009A2E8C" w:rsidRPr="00F8041F" w:rsidRDefault="009A2E8C" w:rsidP="00740612">
      <w:pPr>
        <w:spacing w:after="0" w:line="283" w:lineRule="auto"/>
        <w:jc w:val="both"/>
        <w:rPr>
          <w:rFonts w:ascii="Arial" w:hAnsi="Arial" w:cs="Arial"/>
          <w:sz w:val="24"/>
          <w:szCs w:val="24"/>
        </w:rPr>
      </w:pPr>
    </w:p>
    <w:p w14:paraId="182A3624" w14:textId="77777777" w:rsidR="009A2E8C" w:rsidRPr="00F8041F" w:rsidRDefault="009A2E8C" w:rsidP="00740612">
      <w:pPr>
        <w:spacing w:after="0" w:line="283" w:lineRule="auto"/>
        <w:jc w:val="both"/>
        <w:rPr>
          <w:rFonts w:ascii="Arial" w:hAnsi="Arial" w:cs="Arial"/>
          <w:sz w:val="24"/>
          <w:szCs w:val="24"/>
        </w:rPr>
      </w:pPr>
      <w:r w:rsidRPr="00F8041F">
        <w:rPr>
          <w:rFonts w:ascii="Arial" w:hAnsi="Arial" w:cs="Arial"/>
          <w:sz w:val="24"/>
          <w:szCs w:val="24"/>
        </w:rPr>
        <w:t>Przedmiotowy projekt aktu prawnego wraz z Uzasadnieniem oraz Oceną Skutków Regulacji dostępny jest na stronach Rządowego Centrum Legislacji pod adresem:</w:t>
      </w:r>
    </w:p>
    <w:p w14:paraId="266BC04C" w14:textId="77777777" w:rsidR="009A2E8C" w:rsidRPr="00F8041F" w:rsidRDefault="009A2E8C" w:rsidP="00740612">
      <w:pPr>
        <w:spacing w:after="0" w:line="283" w:lineRule="auto"/>
        <w:rPr>
          <w:rFonts w:ascii="Arial" w:hAnsi="Arial" w:cs="Arial"/>
          <w:sz w:val="24"/>
          <w:szCs w:val="24"/>
        </w:rPr>
      </w:pPr>
      <w:hyperlink r:id="rId10" w:anchor="13142651" w:history="1">
        <w:r w:rsidRPr="00F8041F">
          <w:rPr>
            <w:rStyle w:val="Hipercze"/>
            <w:rFonts w:ascii="Arial" w:hAnsi="Arial" w:cs="Arial"/>
            <w:sz w:val="24"/>
            <w:szCs w:val="24"/>
          </w:rPr>
          <w:t>https://legislacja.rcl.gov.pl/projekt/12399951/katalog/13142651#13142651</w:t>
        </w:r>
      </w:hyperlink>
    </w:p>
    <w:p w14:paraId="0EBCE673" w14:textId="77777777" w:rsidR="009A2E8C" w:rsidRPr="00F8041F" w:rsidRDefault="009A2E8C" w:rsidP="00740612">
      <w:pPr>
        <w:spacing w:after="0" w:line="283" w:lineRule="auto"/>
        <w:jc w:val="both"/>
        <w:rPr>
          <w:rFonts w:ascii="Arial" w:hAnsi="Arial" w:cs="Arial"/>
          <w:sz w:val="24"/>
          <w:szCs w:val="24"/>
        </w:rPr>
      </w:pPr>
    </w:p>
    <w:p w14:paraId="7FE17E26" w14:textId="77777777" w:rsidR="009A2E8C" w:rsidRPr="00F8041F" w:rsidRDefault="009A2E8C" w:rsidP="00740612">
      <w:pPr>
        <w:spacing w:after="0" w:line="283" w:lineRule="auto"/>
        <w:jc w:val="both"/>
        <w:rPr>
          <w:rFonts w:ascii="Arial" w:hAnsi="Arial" w:cs="Arial"/>
          <w:sz w:val="24"/>
          <w:szCs w:val="24"/>
        </w:rPr>
      </w:pPr>
      <w:bookmarkStart w:id="0" w:name="_Hlk204067654"/>
      <w:r w:rsidRPr="00F8041F">
        <w:rPr>
          <w:rFonts w:ascii="Arial" w:hAnsi="Arial" w:cs="Arial"/>
          <w:sz w:val="24"/>
          <w:szCs w:val="24"/>
        </w:rPr>
        <w:t>Projekt jest obecnie jednocześnie na etapie uzgodnień, konsultacji publicznych i opiniowania.</w:t>
      </w:r>
    </w:p>
    <w:bookmarkEnd w:id="0"/>
    <w:p w14:paraId="4C5E832A" w14:textId="08B176BD" w:rsidR="009A2E8C" w:rsidRPr="009A2E8C" w:rsidRDefault="009A2E8C" w:rsidP="00740612">
      <w:pPr>
        <w:spacing w:after="0" w:line="283" w:lineRule="auto"/>
        <w:jc w:val="both"/>
        <w:rPr>
          <w:rFonts w:ascii="Arial" w:hAnsi="Arial" w:cs="Arial"/>
          <w:sz w:val="24"/>
          <w:szCs w:val="24"/>
        </w:rPr>
      </w:pPr>
    </w:p>
    <w:p w14:paraId="43B68E03" w14:textId="77777777" w:rsidR="009A2E8C" w:rsidRPr="009A2E8C" w:rsidRDefault="009A2E8C" w:rsidP="00740612">
      <w:pPr>
        <w:spacing w:after="0" w:line="283" w:lineRule="auto"/>
        <w:jc w:val="both"/>
        <w:rPr>
          <w:rFonts w:ascii="Arial" w:hAnsi="Arial" w:cs="Arial"/>
          <w:sz w:val="24"/>
          <w:szCs w:val="24"/>
        </w:rPr>
      </w:pPr>
    </w:p>
    <w:p w14:paraId="665A6D67" w14:textId="6A22325B" w:rsidR="009A2E8C" w:rsidRDefault="009A2E8C" w:rsidP="00740612">
      <w:pPr>
        <w:pStyle w:val="Akapitzlist"/>
        <w:numPr>
          <w:ilvl w:val="0"/>
          <w:numId w:val="30"/>
        </w:numPr>
        <w:spacing w:after="0" w:line="283" w:lineRule="auto"/>
        <w:jc w:val="both"/>
        <w:rPr>
          <w:rFonts w:ascii="Arial" w:hAnsi="Arial" w:cs="Arial"/>
          <w:b/>
          <w:bCs/>
          <w:sz w:val="24"/>
          <w:szCs w:val="24"/>
          <w:u w:val="single"/>
        </w:rPr>
      </w:pPr>
      <w:r>
        <w:rPr>
          <w:rFonts w:ascii="Arial" w:hAnsi="Arial" w:cs="Arial"/>
          <w:b/>
          <w:bCs/>
          <w:sz w:val="24"/>
          <w:szCs w:val="24"/>
          <w:u w:val="single"/>
        </w:rPr>
        <w:t>P</w:t>
      </w:r>
      <w:r w:rsidRPr="009A2E8C">
        <w:rPr>
          <w:rFonts w:ascii="Arial" w:hAnsi="Arial" w:cs="Arial"/>
          <w:b/>
          <w:bCs/>
          <w:sz w:val="24"/>
          <w:szCs w:val="24"/>
          <w:u w:val="single"/>
        </w:rPr>
        <w:t>rojekt rozporządzenia Ministra Klimatu i Środowiska w sprawie kwalifikacji w zakresie geologii (numer z wykazu 1260)</w:t>
      </w:r>
      <w:r>
        <w:rPr>
          <w:rFonts w:ascii="Arial" w:hAnsi="Arial" w:cs="Arial"/>
          <w:b/>
          <w:bCs/>
          <w:sz w:val="24"/>
          <w:szCs w:val="24"/>
          <w:u w:val="single"/>
        </w:rPr>
        <w:t>.</w:t>
      </w:r>
    </w:p>
    <w:p w14:paraId="1754E34A" w14:textId="77777777" w:rsidR="009A2E8C" w:rsidRPr="009A2E8C" w:rsidRDefault="009A2E8C" w:rsidP="00740612">
      <w:pPr>
        <w:spacing w:after="0" w:line="283" w:lineRule="auto"/>
        <w:jc w:val="both"/>
        <w:rPr>
          <w:rFonts w:ascii="Arial" w:hAnsi="Arial" w:cs="Arial"/>
          <w:sz w:val="24"/>
          <w:szCs w:val="24"/>
        </w:rPr>
      </w:pPr>
    </w:p>
    <w:p w14:paraId="76D6A276" w14:textId="77777777" w:rsidR="009A2E8C" w:rsidRPr="009A2E8C" w:rsidRDefault="009A2E8C" w:rsidP="00740612">
      <w:pPr>
        <w:spacing w:after="0" w:line="283" w:lineRule="auto"/>
        <w:jc w:val="both"/>
        <w:rPr>
          <w:rFonts w:ascii="Arial" w:hAnsi="Arial" w:cs="Arial"/>
          <w:sz w:val="24"/>
          <w:szCs w:val="24"/>
        </w:rPr>
      </w:pPr>
      <w:r w:rsidRPr="009A2E8C">
        <w:rPr>
          <w:rFonts w:ascii="Arial" w:hAnsi="Arial" w:cs="Arial"/>
          <w:sz w:val="24"/>
          <w:szCs w:val="24"/>
        </w:rPr>
        <w:t>Przepis art. 69 ust. 1 ustawy z dnia 9 czerwca 2011 r. – Prawo geologiczne i górnicze (Dz. U. z 2024 r. poz. 1290) dalej: „</w:t>
      </w:r>
      <w:proofErr w:type="spellStart"/>
      <w:r w:rsidRPr="009A2E8C">
        <w:rPr>
          <w:rFonts w:ascii="Arial" w:hAnsi="Arial" w:cs="Arial"/>
          <w:sz w:val="24"/>
          <w:szCs w:val="24"/>
        </w:rPr>
        <w:t>P.g.g</w:t>
      </w:r>
      <w:proofErr w:type="spellEnd"/>
      <w:r w:rsidRPr="009A2E8C">
        <w:rPr>
          <w:rFonts w:ascii="Arial" w:hAnsi="Arial" w:cs="Arial"/>
          <w:sz w:val="24"/>
          <w:szCs w:val="24"/>
        </w:rPr>
        <w:t>.” zawiera upoważnienie do wydania przez ministra właściwego do spraw środowiska rozporządzenia w sprawie kwalifikacji w zakresie geologii.</w:t>
      </w:r>
    </w:p>
    <w:p w14:paraId="232383D4" w14:textId="77777777" w:rsidR="009A2E8C" w:rsidRPr="009A2E8C" w:rsidRDefault="009A2E8C" w:rsidP="00740612">
      <w:pPr>
        <w:spacing w:after="0" w:line="283" w:lineRule="auto"/>
        <w:jc w:val="both"/>
        <w:rPr>
          <w:rFonts w:ascii="Arial" w:hAnsi="Arial" w:cs="Arial"/>
          <w:sz w:val="24"/>
          <w:szCs w:val="24"/>
        </w:rPr>
      </w:pPr>
      <w:r w:rsidRPr="009A2E8C">
        <w:rPr>
          <w:rFonts w:ascii="Arial" w:hAnsi="Arial" w:cs="Arial"/>
          <w:sz w:val="24"/>
          <w:szCs w:val="24"/>
        </w:rPr>
        <w:t>Zgodnie z art. 75 ust. 1 ustawy z dnia 16 czerwca 2023 r. o zmianie ustawy - Prawo geologiczne i górnicze oraz niektórych innych ustaw (Dz. U. poz. 2029), poprzednie rozporządzenie Ministra Klimatu i Środowiska z dnia 23 sierpnia 2023 r. w sprawie kwalifikacji w zakresie geologii (Dz. U. poz. 1756) zachowuje moc tylko do wydania nowego rozporządzenia, nie dłużej niż przez 36 miesięcy (do 27 października 2026 r.).</w:t>
      </w:r>
    </w:p>
    <w:p w14:paraId="24851257" w14:textId="77777777" w:rsidR="009A2E8C" w:rsidRPr="009A2E8C" w:rsidRDefault="009A2E8C" w:rsidP="00740612">
      <w:pPr>
        <w:spacing w:after="0" w:line="283" w:lineRule="auto"/>
        <w:jc w:val="both"/>
        <w:rPr>
          <w:rFonts w:ascii="Arial" w:hAnsi="Arial" w:cs="Arial"/>
          <w:sz w:val="24"/>
          <w:szCs w:val="24"/>
        </w:rPr>
      </w:pPr>
      <w:r w:rsidRPr="009A2E8C">
        <w:rPr>
          <w:rFonts w:ascii="Arial" w:hAnsi="Arial" w:cs="Arial"/>
          <w:sz w:val="24"/>
          <w:szCs w:val="24"/>
        </w:rPr>
        <w:t xml:space="preserve">Oznacza to konieczność wydania nowego aktu wykonawczego, który jest niezbędny do tego, aby uregulować ww. zagadnienia niezbędne przy prowadzeniu działalności na podstawie </w:t>
      </w:r>
      <w:proofErr w:type="spellStart"/>
      <w:r w:rsidRPr="009A2E8C">
        <w:rPr>
          <w:rFonts w:ascii="Arial" w:hAnsi="Arial" w:cs="Arial"/>
          <w:sz w:val="24"/>
          <w:szCs w:val="24"/>
        </w:rPr>
        <w:t>P.g.g</w:t>
      </w:r>
      <w:proofErr w:type="spellEnd"/>
      <w:r w:rsidRPr="009A2E8C">
        <w:rPr>
          <w:rFonts w:ascii="Arial" w:hAnsi="Arial" w:cs="Arial"/>
          <w:sz w:val="24"/>
          <w:szCs w:val="24"/>
        </w:rPr>
        <w:t>.</w:t>
      </w:r>
    </w:p>
    <w:p w14:paraId="201D6188" w14:textId="77777777" w:rsidR="009A2E8C" w:rsidRPr="009A2E8C" w:rsidRDefault="009A2E8C" w:rsidP="00740612">
      <w:pPr>
        <w:spacing w:after="0" w:line="283" w:lineRule="auto"/>
        <w:jc w:val="both"/>
        <w:rPr>
          <w:rFonts w:ascii="Arial" w:hAnsi="Arial" w:cs="Arial"/>
          <w:sz w:val="24"/>
          <w:szCs w:val="24"/>
        </w:rPr>
      </w:pPr>
      <w:r w:rsidRPr="009A2E8C">
        <w:rPr>
          <w:rFonts w:ascii="Arial" w:hAnsi="Arial" w:cs="Arial"/>
          <w:sz w:val="24"/>
          <w:szCs w:val="24"/>
        </w:rPr>
        <w:t>Wśród szczegółowych problemów, które powinny zostać uwzględnione w nowym rozporządzeniu, należy wskazać na:</w:t>
      </w:r>
    </w:p>
    <w:p w14:paraId="223374A7" w14:textId="000EFFDB" w:rsidR="009A2E8C" w:rsidRPr="009A2E8C" w:rsidRDefault="009A2E8C" w:rsidP="00740612">
      <w:pPr>
        <w:pStyle w:val="Akapitzlist"/>
        <w:numPr>
          <w:ilvl w:val="0"/>
          <w:numId w:val="31"/>
        </w:numPr>
        <w:spacing w:after="0" w:line="283" w:lineRule="auto"/>
        <w:jc w:val="both"/>
        <w:rPr>
          <w:rFonts w:ascii="Arial" w:hAnsi="Arial" w:cs="Arial"/>
          <w:sz w:val="24"/>
          <w:szCs w:val="24"/>
        </w:rPr>
      </w:pPr>
      <w:r w:rsidRPr="009A2E8C">
        <w:rPr>
          <w:rFonts w:ascii="Arial" w:hAnsi="Arial" w:cs="Arial"/>
          <w:sz w:val="24"/>
          <w:szCs w:val="24"/>
        </w:rPr>
        <w:t>konieczność uregulowania kwestii praktyki osób zatrudnionych w podmiocie pełniącym państwową służbę geologiczną przy sprawdzaniu dokumentacji geologicznych przed ich zatwierdzeniem – na podstawie powierzenia realizacji tego zadania przez ministra właściwego do spraw środowiska;</w:t>
      </w:r>
    </w:p>
    <w:p w14:paraId="2B0EE0C5" w14:textId="26AF8B54" w:rsidR="009A2E8C" w:rsidRPr="009A2E8C" w:rsidRDefault="009A2E8C" w:rsidP="00740612">
      <w:pPr>
        <w:pStyle w:val="Akapitzlist"/>
        <w:numPr>
          <w:ilvl w:val="0"/>
          <w:numId w:val="31"/>
        </w:numPr>
        <w:spacing w:after="0" w:line="283" w:lineRule="auto"/>
        <w:jc w:val="both"/>
        <w:rPr>
          <w:rFonts w:ascii="Arial" w:hAnsi="Arial" w:cs="Arial"/>
          <w:sz w:val="24"/>
          <w:szCs w:val="24"/>
        </w:rPr>
      </w:pPr>
      <w:r w:rsidRPr="009A2E8C">
        <w:rPr>
          <w:rFonts w:ascii="Arial" w:hAnsi="Arial" w:cs="Arial"/>
          <w:sz w:val="24"/>
          <w:szCs w:val="24"/>
        </w:rPr>
        <w:t>dostosowanie nazewnictwa stosowanego przy określaniu kierunku studiów, wymaganych przy ubieganiu się o stwierdzenie kwalifikacji geologicznych;</w:t>
      </w:r>
    </w:p>
    <w:p w14:paraId="74D19E95" w14:textId="34CBDF35" w:rsidR="009A2E8C" w:rsidRPr="009A2E8C" w:rsidRDefault="009A2E8C" w:rsidP="00740612">
      <w:pPr>
        <w:pStyle w:val="Akapitzlist"/>
        <w:numPr>
          <w:ilvl w:val="0"/>
          <w:numId w:val="31"/>
        </w:numPr>
        <w:spacing w:after="0" w:line="283" w:lineRule="auto"/>
        <w:jc w:val="both"/>
        <w:rPr>
          <w:rFonts w:ascii="Arial" w:hAnsi="Arial" w:cs="Arial"/>
          <w:sz w:val="24"/>
          <w:szCs w:val="24"/>
        </w:rPr>
      </w:pPr>
      <w:r w:rsidRPr="009A2E8C">
        <w:rPr>
          <w:rFonts w:ascii="Arial" w:hAnsi="Arial" w:cs="Arial"/>
          <w:sz w:val="24"/>
          <w:szCs w:val="24"/>
        </w:rPr>
        <w:t>konieczność uwzględnienia inflacji w ustaleniu stawek wynagrodzenia dla członków zespołu egzaminacyjnego.</w:t>
      </w:r>
    </w:p>
    <w:p w14:paraId="28BDC319" w14:textId="77777777" w:rsidR="009A2E8C" w:rsidRPr="009A2E8C" w:rsidRDefault="009A2E8C" w:rsidP="00740612">
      <w:pPr>
        <w:spacing w:after="0" w:line="283" w:lineRule="auto"/>
        <w:jc w:val="both"/>
        <w:rPr>
          <w:rFonts w:ascii="Arial" w:hAnsi="Arial" w:cs="Arial"/>
          <w:sz w:val="24"/>
          <w:szCs w:val="24"/>
        </w:rPr>
      </w:pPr>
      <w:r w:rsidRPr="009A2E8C">
        <w:rPr>
          <w:rFonts w:ascii="Arial" w:hAnsi="Arial" w:cs="Arial"/>
          <w:sz w:val="24"/>
          <w:szCs w:val="24"/>
        </w:rPr>
        <w:t>Rekomendowane rozwiązania:</w:t>
      </w:r>
    </w:p>
    <w:p w14:paraId="12F2716C" w14:textId="004F08F6" w:rsidR="009A2E8C" w:rsidRPr="009A2E8C" w:rsidRDefault="009A2E8C" w:rsidP="00740612">
      <w:pPr>
        <w:pStyle w:val="Akapitzlist"/>
        <w:numPr>
          <w:ilvl w:val="0"/>
          <w:numId w:val="33"/>
        </w:numPr>
        <w:spacing w:after="0" w:line="283" w:lineRule="auto"/>
        <w:jc w:val="both"/>
        <w:rPr>
          <w:rFonts w:ascii="Arial" w:hAnsi="Arial" w:cs="Arial"/>
          <w:sz w:val="24"/>
          <w:szCs w:val="24"/>
        </w:rPr>
      </w:pPr>
      <w:r w:rsidRPr="009A2E8C">
        <w:rPr>
          <w:rFonts w:ascii="Arial" w:hAnsi="Arial" w:cs="Arial"/>
          <w:sz w:val="24"/>
          <w:szCs w:val="24"/>
        </w:rPr>
        <w:t>uwzględnienie praktyki osób zatrudnionych w podmiocie pełniącym państwową służbę geologiczną przy sprawdzaniu dokumentacji geologicznych przed ich zatwierdzeniem – na podstawie powierzenia realizacji tego zadania przez ministra właściwego do spraw środowiska;</w:t>
      </w:r>
    </w:p>
    <w:p w14:paraId="79F5FFD1" w14:textId="185BEE51" w:rsidR="009A2E8C" w:rsidRPr="009A2E8C" w:rsidRDefault="009A2E8C" w:rsidP="00740612">
      <w:pPr>
        <w:pStyle w:val="Akapitzlist"/>
        <w:numPr>
          <w:ilvl w:val="0"/>
          <w:numId w:val="33"/>
        </w:numPr>
        <w:spacing w:after="0" w:line="283" w:lineRule="auto"/>
        <w:jc w:val="both"/>
        <w:rPr>
          <w:rFonts w:ascii="Arial" w:hAnsi="Arial" w:cs="Arial"/>
          <w:sz w:val="24"/>
          <w:szCs w:val="24"/>
        </w:rPr>
      </w:pPr>
      <w:r w:rsidRPr="009A2E8C">
        <w:rPr>
          <w:rFonts w:ascii="Arial" w:hAnsi="Arial" w:cs="Arial"/>
          <w:sz w:val="24"/>
          <w:szCs w:val="24"/>
        </w:rPr>
        <w:t xml:space="preserve">zastosowanie właściwego nazewnictwa przy określaniu kierunku studiów, wymaganych przy ubieganiu się o stwierdzenie kwalifikacji geologicznych (w </w:t>
      </w:r>
      <w:r w:rsidRPr="009A2E8C">
        <w:rPr>
          <w:rFonts w:ascii="Arial" w:hAnsi="Arial" w:cs="Arial"/>
          <w:sz w:val="24"/>
          <w:szCs w:val="24"/>
        </w:rPr>
        <w:lastRenderedPageBreak/>
        <w:t>przepisach dotyczących wymaganego wykształcenia wyrazy: w miejsce „nauki geologiczne” - wyraz „przedmioty”);</w:t>
      </w:r>
    </w:p>
    <w:p w14:paraId="6D63EEFB" w14:textId="2E51B3C9" w:rsidR="009A2E8C" w:rsidRPr="009A2E8C" w:rsidRDefault="009A2E8C" w:rsidP="00740612">
      <w:pPr>
        <w:pStyle w:val="Akapitzlist"/>
        <w:numPr>
          <w:ilvl w:val="0"/>
          <w:numId w:val="33"/>
        </w:numPr>
        <w:spacing w:after="0" w:line="283" w:lineRule="auto"/>
        <w:jc w:val="both"/>
        <w:rPr>
          <w:rFonts w:ascii="Arial" w:hAnsi="Arial" w:cs="Arial"/>
          <w:sz w:val="24"/>
          <w:szCs w:val="24"/>
        </w:rPr>
      </w:pPr>
      <w:r w:rsidRPr="009A2E8C">
        <w:rPr>
          <w:rFonts w:ascii="Arial" w:hAnsi="Arial" w:cs="Arial"/>
          <w:sz w:val="24"/>
          <w:szCs w:val="24"/>
        </w:rPr>
        <w:t>ustalenie nowych stawek wynagrodzenia dla członków zespołu egzaminacyjnego.</w:t>
      </w:r>
    </w:p>
    <w:p w14:paraId="2DD40F57" w14:textId="77777777" w:rsidR="009A2E8C" w:rsidRPr="009A2E8C" w:rsidRDefault="009A2E8C" w:rsidP="00740612">
      <w:pPr>
        <w:spacing w:after="0" w:line="283" w:lineRule="auto"/>
        <w:jc w:val="both"/>
        <w:rPr>
          <w:rFonts w:ascii="Arial" w:hAnsi="Arial" w:cs="Arial"/>
          <w:sz w:val="24"/>
          <w:szCs w:val="24"/>
        </w:rPr>
      </w:pPr>
      <w:r w:rsidRPr="009A2E8C">
        <w:rPr>
          <w:rFonts w:ascii="Arial" w:hAnsi="Arial" w:cs="Arial"/>
          <w:sz w:val="24"/>
          <w:szCs w:val="24"/>
        </w:rPr>
        <w:t>Do określenia ww. stawek uwzględniono wskaźniki cen ogółem przyjęte w ustawach budżetowych w latach 2021-2025. Zastosowano następujący sposób przeliczenia:</w:t>
      </w:r>
    </w:p>
    <w:p w14:paraId="3B5D55B2" w14:textId="0DE19DAB" w:rsidR="009A2E8C" w:rsidRPr="00415484" w:rsidRDefault="009A2E8C" w:rsidP="00740612">
      <w:pPr>
        <w:pStyle w:val="Akapitzlist"/>
        <w:numPr>
          <w:ilvl w:val="1"/>
          <w:numId w:val="36"/>
        </w:numPr>
        <w:spacing w:after="0" w:line="283" w:lineRule="auto"/>
        <w:ind w:left="709" w:hanging="425"/>
        <w:jc w:val="both"/>
        <w:rPr>
          <w:rFonts w:ascii="Arial" w:hAnsi="Arial" w:cs="Arial"/>
          <w:sz w:val="24"/>
          <w:szCs w:val="24"/>
        </w:rPr>
      </w:pPr>
      <w:r w:rsidRPr="00415484">
        <w:rPr>
          <w:rFonts w:ascii="Arial" w:hAnsi="Arial" w:cs="Arial"/>
          <w:sz w:val="24"/>
          <w:szCs w:val="24"/>
        </w:rPr>
        <w:t>dotychczasowe stawki wynagrodzenia członków komisji egzaminacyjnej ustalone w rozporządzeniu Ministra Klimatu i Środowiska z dnia 23 sierpnia 2023 r. w sprawie kwalifikacji w zakresie geologii wynoszą 120 zł dla przewodniczącego i 100 zł dla członka komisji. Stawki te zostały ustalone w roku 2021, gdy stawki opłaty egzaminacyjnej i opłaty za wydanie świadectwa określone w art. 66 ust. 1 ustawy – Prawo geologiczne i górnicze wynosiły odpowiednio 317,78 zł i 38,17 zł,</w:t>
      </w:r>
    </w:p>
    <w:p w14:paraId="06AD6662" w14:textId="11D43848" w:rsidR="009A2E8C" w:rsidRPr="00415484" w:rsidRDefault="009A2E8C" w:rsidP="00740612">
      <w:pPr>
        <w:pStyle w:val="Akapitzlist"/>
        <w:numPr>
          <w:ilvl w:val="1"/>
          <w:numId w:val="36"/>
        </w:numPr>
        <w:spacing w:after="0" w:line="283" w:lineRule="auto"/>
        <w:ind w:left="709" w:hanging="425"/>
        <w:jc w:val="both"/>
        <w:rPr>
          <w:rFonts w:ascii="Arial" w:hAnsi="Arial" w:cs="Arial"/>
          <w:sz w:val="24"/>
          <w:szCs w:val="24"/>
        </w:rPr>
      </w:pPr>
      <w:r w:rsidRPr="00415484">
        <w:rPr>
          <w:rFonts w:ascii="Arial" w:hAnsi="Arial" w:cs="Arial"/>
          <w:sz w:val="24"/>
          <w:szCs w:val="24"/>
        </w:rPr>
        <w:t xml:space="preserve">zgodnie z art. 66 ust. 4 i 5 </w:t>
      </w:r>
      <w:proofErr w:type="spellStart"/>
      <w:r w:rsidRPr="00415484">
        <w:rPr>
          <w:rFonts w:ascii="Arial" w:hAnsi="Arial" w:cs="Arial"/>
          <w:sz w:val="24"/>
          <w:szCs w:val="24"/>
        </w:rPr>
        <w:t>P.g.g</w:t>
      </w:r>
      <w:proofErr w:type="spellEnd"/>
      <w:r w:rsidRPr="00415484">
        <w:rPr>
          <w:rFonts w:ascii="Arial" w:hAnsi="Arial" w:cs="Arial"/>
          <w:sz w:val="24"/>
          <w:szCs w:val="24"/>
        </w:rPr>
        <w:t>. opłaty związane z egzaminami były corocznie zmieniane stosownie do średniorocznego wskaźnika cen towarów i usług konsumpcyjnych ogółem, planowanych w ustawie budżetowej na danych rok kalendarzowy i ogłaszane w drodze obwieszczenia w Dzienniku Urzędowym Rzeczypospolitej Polskiej „Monitor Polski. W obwieszczeniu Ministra Klimatu i Środowiska w sprawie stawek opłaty egzaminacyjnej na rok 2025 stawki te zostały określone na odpowiednio 391,94 zł i 47,09 zł;</w:t>
      </w:r>
    </w:p>
    <w:p w14:paraId="453D737A" w14:textId="63B8F60A" w:rsidR="009A2E8C" w:rsidRPr="00415484" w:rsidRDefault="009A2E8C" w:rsidP="00740612">
      <w:pPr>
        <w:pStyle w:val="Akapitzlist"/>
        <w:numPr>
          <w:ilvl w:val="1"/>
          <w:numId w:val="36"/>
        </w:numPr>
        <w:spacing w:after="0" w:line="283" w:lineRule="auto"/>
        <w:ind w:left="709" w:hanging="425"/>
        <w:jc w:val="both"/>
        <w:rPr>
          <w:rFonts w:ascii="Arial" w:hAnsi="Arial" w:cs="Arial"/>
          <w:sz w:val="24"/>
          <w:szCs w:val="24"/>
        </w:rPr>
      </w:pPr>
      <w:r w:rsidRPr="00415484">
        <w:rPr>
          <w:rFonts w:ascii="Arial" w:hAnsi="Arial" w:cs="Arial"/>
          <w:sz w:val="24"/>
          <w:szCs w:val="24"/>
        </w:rPr>
        <w:t>dzieląc wartości opłaty za egzamin z 2025 r. (391,94 zł) przez wartość opłaty w 2021 r. (317,78zł) uzyskano skumulowany za lata 2021-2025 wskaźnik zmian cen towarów i usług w wysokości 1,23;</w:t>
      </w:r>
    </w:p>
    <w:p w14:paraId="6183D9CC" w14:textId="4313308D" w:rsidR="009A2E8C" w:rsidRPr="00415484" w:rsidRDefault="009A2E8C" w:rsidP="00740612">
      <w:pPr>
        <w:pStyle w:val="Akapitzlist"/>
        <w:numPr>
          <w:ilvl w:val="1"/>
          <w:numId w:val="36"/>
        </w:numPr>
        <w:spacing w:after="0" w:line="283" w:lineRule="auto"/>
        <w:ind w:left="709" w:hanging="425"/>
        <w:jc w:val="both"/>
        <w:rPr>
          <w:rFonts w:ascii="Arial" w:hAnsi="Arial" w:cs="Arial"/>
          <w:sz w:val="24"/>
          <w:szCs w:val="24"/>
        </w:rPr>
      </w:pPr>
      <w:r w:rsidRPr="00415484">
        <w:rPr>
          <w:rFonts w:ascii="Arial" w:hAnsi="Arial" w:cs="Arial"/>
          <w:sz w:val="24"/>
          <w:szCs w:val="24"/>
        </w:rPr>
        <w:t xml:space="preserve">po przemnożeniu przez ten wskaźnik dotychczasowych stawek (tj. 120 i 100 zł) uzyskano następujące wartości (po zaokrągleniu): wynagrodzenie dla przewodniczącego – 150 zł, dla członka komisji i sekretarza – 130 zł. Stawki te uwzględniono w projekcie rozporządzenia. </w:t>
      </w:r>
    </w:p>
    <w:p w14:paraId="1CFD65E4" w14:textId="7DC3847B" w:rsidR="009A2E8C" w:rsidRDefault="009A2E8C" w:rsidP="00740612">
      <w:pPr>
        <w:spacing w:after="0" w:line="283" w:lineRule="auto"/>
        <w:jc w:val="both"/>
        <w:rPr>
          <w:rFonts w:ascii="Arial" w:hAnsi="Arial" w:cs="Arial"/>
          <w:sz w:val="24"/>
          <w:szCs w:val="24"/>
        </w:rPr>
      </w:pPr>
      <w:r w:rsidRPr="009A2E8C">
        <w:rPr>
          <w:rFonts w:ascii="Arial" w:hAnsi="Arial" w:cs="Arial"/>
          <w:sz w:val="24"/>
          <w:szCs w:val="24"/>
        </w:rPr>
        <w:t>Oczekuje się, że wprowadzona regulacja umożliwi szerszemu gronu osób ubieganie się o stwierdzenie kwalifikacji geologicznych, a także przyczyni się do podniesienia jakości dokumentacji geologicznych zatwierdzanych przez ministra właściwego do spraw środowiska. Ponadto uaktualni wysokość wynagrodzenia członków zespołu egzaminacyjnego. Planuje się, że ustalone wynagrodzenie będzie obowiązywało przez kilka kolejnych lat</w:t>
      </w:r>
      <w:r w:rsidR="00415484">
        <w:rPr>
          <w:rFonts w:ascii="Arial" w:hAnsi="Arial" w:cs="Arial"/>
          <w:sz w:val="24"/>
          <w:szCs w:val="24"/>
        </w:rPr>
        <w:t>.</w:t>
      </w:r>
    </w:p>
    <w:p w14:paraId="310745AE" w14:textId="77777777" w:rsidR="00415484" w:rsidRDefault="00415484" w:rsidP="00740612">
      <w:pPr>
        <w:spacing w:after="0" w:line="283" w:lineRule="auto"/>
        <w:jc w:val="both"/>
        <w:rPr>
          <w:rFonts w:ascii="Arial" w:hAnsi="Arial" w:cs="Arial"/>
          <w:sz w:val="24"/>
          <w:szCs w:val="24"/>
        </w:rPr>
      </w:pPr>
    </w:p>
    <w:p w14:paraId="29AED387" w14:textId="77777777" w:rsidR="00415484" w:rsidRPr="00415484" w:rsidRDefault="00415484" w:rsidP="00740612">
      <w:pPr>
        <w:spacing w:after="0" w:line="283" w:lineRule="auto"/>
        <w:jc w:val="both"/>
        <w:rPr>
          <w:rFonts w:ascii="Arial" w:hAnsi="Arial" w:cs="Arial"/>
          <w:sz w:val="24"/>
          <w:szCs w:val="24"/>
        </w:rPr>
      </w:pPr>
      <w:r w:rsidRPr="00415484">
        <w:rPr>
          <w:rFonts w:ascii="Arial" w:hAnsi="Arial" w:cs="Arial"/>
          <w:sz w:val="24"/>
          <w:szCs w:val="24"/>
        </w:rPr>
        <w:t>Przedmiotowy projekt aktu prawnego wraz z Załącznikiem, Uzasadnieniem oraz Oceną Skutków Regulacji dostępny jest na stronach Rządowego Centrum Legislacji pod adresem:</w:t>
      </w:r>
    </w:p>
    <w:p w14:paraId="1709EA45" w14:textId="30530DF2" w:rsidR="00415484" w:rsidRPr="009A2E8C" w:rsidRDefault="00415484" w:rsidP="00740612">
      <w:pPr>
        <w:spacing w:after="0" w:line="283" w:lineRule="auto"/>
        <w:jc w:val="both"/>
        <w:rPr>
          <w:rFonts w:ascii="Arial" w:hAnsi="Arial" w:cs="Arial"/>
          <w:sz w:val="24"/>
          <w:szCs w:val="24"/>
        </w:rPr>
      </w:pPr>
      <w:hyperlink r:id="rId11" w:history="1">
        <w:r w:rsidRPr="003768BA">
          <w:rPr>
            <w:rStyle w:val="Hipercze"/>
            <w:rFonts w:ascii="Arial" w:hAnsi="Arial" w:cs="Arial"/>
            <w:sz w:val="24"/>
            <w:szCs w:val="24"/>
          </w:rPr>
          <w:t>https://legislacja.rcl.gov.pl/proj</w:t>
        </w:r>
        <w:r w:rsidRPr="003768BA">
          <w:rPr>
            <w:rStyle w:val="Hipercze"/>
            <w:rFonts w:ascii="Arial" w:hAnsi="Arial" w:cs="Arial"/>
            <w:sz w:val="24"/>
            <w:szCs w:val="24"/>
          </w:rPr>
          <w:t>e</w:t>
        </w:r>
        <w:r w:rsidRPr="003768BA">
          <w:rPr>
            <w:rStyle w:val="Hipercze"/>
            <w:rFonts w:ascii="Arial" w:hAnsi="Arial" w:cs="Arial"/>
            <w:sz w:val="24"/>
            <w:szCs w:val="24"/>
          </w:rPr>
          <w:t>kt/12400051/katalog/13143066#13143066</w:t>
        </w:r>
      </w:hyperlink>
      <w:r>
        <w:rPr>
          <w:rFonts w:ascii="Arial" w:hAnsi="Arial" w:cs="Arial"/>
          <w:sz w:val="24"/>
          <w:szCs w:val="24"/>
        </w:rPr>
        <w:t xml:space="preserve"> </w:t>
      </w:r>
    </w:p>
    <w:p w14:paraId="2480F384" w14:textId="77777777" w:rsidR="009A2E8C" w:rsidRPr="009A2E8C" w:rsidRDefault="009A2E8C" w:rsidP="00740612">
      <w:pPr>
        <w:spacing w:after="0" w:line="283" w:lineRule="auto"/>
        <w:jc w:val="both"/>
        <w:rPr>
          <w:rFonts w:ascii="Arial" w:hAnsi="Arial" w:cs="Arial"/>
          <w:sz w:val="24"/>
          <w:szCs w:val="24"/>
        </w:rPr>
      </w:pPr>
    </w:p>
    <w:p w14:paraId="72C61CA3" w14:textId="2AD1BF2E" w:rsidR="009A2E8C" w:rsidRPr="009A2E8C" w:rsidRDefault="00415484" w:rsidP="00740612">
      <w:pPr>
        <w:spacing w:after="0" w:line="283" w:lineRule="auto"/>
        <w:jc w:val="both"/>
        <w:rPr>
          <w:rFonts w:ascii="Arial" w:hAnsi="Arial" w:cs="Arial"/>
          <w:sz w:val="24"/>
          <w:szCs w:val="24"/>
        </w:rPr>
      </w:pPr>
      <w:bookmarkStart w:id="1" w:name="_Hlk204067869"/>
      <w:r w:rsidRPr="00415484">
        <w:rPr>
          <w:rFonts w:ascii="Arial" w:hAnsi="Arial" w:cs="Arial"/>
          <w:sz w:val="24"/>
          <w:szCs w:val="24"/>
        </w:rPr>
        <w:t>Projekt jest obecnie jednocześnie na etapie uzgodnień, konsultacji publicznych i opiniowania.</w:t>
      </w:r>
    </w:p>
    <w:bookmarkEnd w:id="1"/>
    <w:p w14:paraId="4949B010" w14:textId="77777777" w:rsidR="009A2E8C" w:rsidRPr="009A2E8C" w:rsidRDefault="009A2E8C" w:rsidP="00740612">
      <w:pPr>
        <w:spacing w:after="0" w:line="283" w:lineRule="auto"/>
        <w:jc w:val="both"/>
        <w:rPr>
          <w:rFonts w:ascii="Arial" w:hAnsi="Arial" w:cs="Arial"/>
          <w:sz w:val="24"/>
          <w:szCs w:val="24"/>
        </w:rPr>
      </w:pPr>
    </w:p>
    <w:p w14:paraId="182FDC7D" w14:textId="48F7C308" w:rsidR="009A2E8C" w:rsidRPr="00F8041F" w:rsidRDefault="00415484" w:rsidP="00740612">
      <w:pPr>
        <w:pStyle w:val="Akapitzlist"/>
        <w:numPr>
          <w:ilvl w:val="0"/>
          <w:numId w:val="30"/>
        </w:numPr>
        <w:spacing w:after="0" w:line="283" w:lineRule="auto"/>
        <w:jc w:val="both"/>
        <w:rPr>
          <w:rFonts w:ascii="Arial" w:hAnsi="Arial" w:cs="Arial"/>
          <w:b/>
          <w:bCs/>
          <w:sz w:val="24"/>
          <w:szCs w:val="24"/>
          <w:u w:val="single"/>
        </w:rPr>
      </w:pPr>
      <w:r>
        <w:rPr>
          <w:rFonts w:ascii="Arial" w:hAnsi="Arial" w:cs="Arial"/>
          <w:b/>
          <w:bCs/>
          <w:sz w:val="24"/>
          <w:szCs w:val="24"/>
          <w:u w:val="single"/>
        </w:rPr>
        <w:lastRenderedPageBreak/>
        <w:t>P</w:t>
      </w:r>
      <w:r w:rsidRPr="00415484">
        <w:rPr>
          <w:rFonts w:ascii="Arial" w:hAnsi="Arial" w:cs="Arial"/>
          <w:b/>
          <w:bCs/>
          <w:sz w:val="24"/>
          <w:szCs w:val="24"/>
          <w:u w:val="single"/>
        </w:rPr>
        <w:t>rojekt rozporządzenia Ministra Klimatu i Środowiska w sprawie szczegółowego zakresu sprawozdania z monitorowania wdrażania działań adaptacyjnych do zmian klimatu oraz mierników monitorowania i wskaźników monitorowania zawartych w miejskich planach adaptacji (numer z wykazu 1253).</w:t>
      </w:r>
    </w:p>
    <w:p w14:paraId="7B315185" w14:textId="3834DE31" w:rsidR="00F8041F" w:rsidRPr="00F8041F" w:rsidRDefault="00F8041F" w:rsidP="00740612">
      <w:pPr>
        <w:spacing w:after="0" w:line="283" w:lineRule="auto"/>
        <w:jc w:val="both"/>
        <w:rPr>
          <w:rFonts w:ascii="Arial" w:hAnsi="Arial" w:cs="Arial"/>
          <w:sz w:val="24"/>
          <w:szCs w:val="24"/>
        </w:rPr>
      </w:pPr>
    </w:p>
    <w:p w14:paraId="392B93FC" w14:textId="77777777" w:rsidR="00415484" w:rsidRPr="00415484" w:rsidRDefault="00415484" w:rsidP="00740612">
      <w:pPr>
        <w:spacing w:after="0" w:line="283" w:lineRule="auto"/>
        <w:jc w:val="both"/>
        <w:rPr>
          <w:rFonts w:ascii="Arial" w:hAnsi="Arial" w:cs="Arial"/>
          <w:sz w:val="24"/>
          <w:szCs w:val="24"/>
        </w:rPr>
      </w:pPr>
      <w:r w:rsidRPr="00415484">
        <w:rPr>
          <w:rFonts w:ascii="Arial" w:hAnsi="Arial" w:cs="Arial"/>
          <w:sz w:val="24"/>
          <w:szCs w:val="24"/>
        </w:rPr>
        <w:t xml:space="preserve">Zgodnie z art. 18a ustawy z dnia 27 kwietnia 2001 r. – Prawo ochrony środowiska (Dz. U. z 2025 r. poz. 647), zwanej dalej „ustawą </w:t>
      </w:r>
      <w:proofErr w:type="spellStart"/>
      <w:r w:rsidRPr="00415484">
        <w:rPr>
          <w:rFonts w:ascii="Arial" w:hAnsi="Arial" w:cs="Arial"/>
          <w:sz w:val="24"/>
          <w:szCs w:val="24"/>
        </w:rPr>
        <w:t>Poś</w:t>
      </w:r>
      <w:proofErr w:type="spellEnd"/>
      <w:r w:rsidRPr="00415484">
        <w:rPr>
          <w:rFonts w:ascii="Arial" w:hAnsi="Arial" w:cs="Arial"/>
          <w:sz w:val="24"/>
          <w:szCs w:val="24"/>
        </w:rPr>
        <w:t xml:space="preserve">”, miasta o liczbie mieszkańców równej 20 tys. lub większej mają obowiązek opracowania miejskich planów adaptacji (MPA). Burmistrzowie lub prezydenci tych miast są obowiązani sporządzać co dwa lata sprawozdania z monitorowania wdrażania działań adaptacyjnych zapisanych w MPA i przekazywać je w roku parzystym Instytutowi Ochrony Środowiska – Państwowemu Instytutowi Badawczemu (IOŚ-PIB) w terminie do dnia 30 czerwca roku następującego po okresie, którego ono dotyczy. </w:t>
      </w:r>
    </w:p>
    <w:p w14:paraId="57D8F001" w14:textId="77777777" w:rsidR="00415484" w:rsidRPr="00415484" w:rsidRDefault="00415484" w:rsidP="00740612">
      <w:pPr>
        <w:spacing w:after="0" w:line="283" w:lineRule="auto"/>
        <w:jc w:val="both"/>
        <w:rPr>
          <w:rFonts w:ascii="Arial" w:hAnsi="Arial" w:cs="Arial"/>
          <w:sz w:val="24"/>
          <w:szCs w:val="24"/>
        </w:rPr>
      </w:pPr>
      <w:r w:rsidRPr="00415484">
        <w:rPr>
          <w:rFonts w:ascii="Arial" w:hAnsi="Arial" w:cs="Arial"/>
          <w:sz w:val="24"/>
          <w:szCs w:val="24"/>
        </w:rPr>
        <w:t>Pierwsze sprawozdanie sporządza się za okres od dnia przyjęcia planu do dnia 31 grudnia roku poprzedzającego rok składania sprawozdania. Pierwszym rokiem sprawozdawczym będzie rok 2026.</w:t>
      </w:r>
    </w:p>
    <w:p w14:paraId="387C3ED0" w14:textId="77777777" w:rsidR="00415484" w:rsidRPr="00415484" w:rsidRDefault="00415484" w:rsidP="00740612">
      <w:pPr>
        <w:spacing w:after="0" w:line="283" w:lineRule="auto"/>
        <w:jc w:val="both"/>
        <w:rPr>
          <w:rFonts w:ascii="Arial" w:hAnsi="Arial" w:cs="Arial"/>
          <w:sz w:val="24"/>
          <w:szCs w:val="24"/>
        </w:rPr>
      </w:pPr>
      <w:r w:rsidRPr="00415484">
        <w:rPr>
          <w:rFonts w:ascii="Arial" w:hAnsi="Arial" w:cs="Arial"/>
          <w:sz w:val="24"/>
          <w:szCs w:val="24"/>
        </w:rPr>
        <w:t>Wskazane sprawozdanie będzie przekazywane za pośrednictwem systemu elektronicznego, udostępnianego przez IOŚ-PIB.</w:t>
      </w:r>
    </w:p>
    <w:p w14:paraId="11829359" w14:textId="77777777" w:rsidR="00415484" w:rsidRPr="00415484" w:rsidRDefault="00415484" w:rsidP="00740612">
      <w:pPr>
        <w:spacing w:after="0" w:line="283" w:lineRule="auto"/>
        <w:jc w:val="both"/>
        <w:rPr>
          <w:rFonts w:ascii="Arial" w:hAnsi="Arial" w:cs="Arial"/>
          <w:sz w:val="24"/>
          <w:szCs w:val="24"/>
        </w:rPr>
      </w:pPr>
      <w:r w:rsidRPr="00415484">
        <w:rPr>
          <w:rFonts w:ascii="Arial" w:hAnsi="Arial" w:cs="Arial"/>
          <w:sz w:val="24"/>
          <w:szCs w:val="24"/>
        </w:rPr>
        <w:t xml:space="preserve">Zgodnie z art. 18c ust. 3 ustawy </w:t>
      </w:r>
      <w:proofErr w:type="spellStart"/>
      <w:r w:rsidRPr="00415484">
        <w:rPr>
          <w:rFonts w:ascii="Arial" w:hAnsi="Arial" w:cs="Arial"/>
          <w:sz w:val="24"/>
          <w:szCs w:val="24"/>
        </w:rPr>
        <w:t>Poś</w:t>
      </w:r>
      <w:proofErr w:type="spellEnd"/>
      <w:r w:rsidRPr="00415484">
        <w:rPr>
          <w:rFonts w:ascii="Arial" w:hAnsi="Arial" w:cs="Arial"/>
          <w:sz w:val="24"/>
          <w:szCs w:val="24"/>
        </w:rPr>
        <w:t xml:space="preserve"> sprawozdanie z monitorowania zawiera:</w:t>
      </w:r>
    </w:p>
    <w:p w14:paraId="595B7261" w14:textId="558AA8DE" w:rsidR="00415484" w:rsidRPr="00415484" w:rsidRDefault="00415484" w:rsidP="00740612">
      <w:pPr>
        <w:pStyle w:val="Akapitzlist"/>
        <w:numPr>
          <w:ilvl w:val="0"/>
          <w:numId w:val="37"/>
        </w:numPr>
        <w:spacing w:after="0" w:line="283" w:lineRule="auto"/>
        <w:jc w:val="both"/>
        <w:rPr>
          <w:rFonts w:ascii="Arial" w:hAnsi="Arial" w:cs="Arial"/>
          <w:sz w:val="24"/>
          <w:szCs w:val="24"/>
        </w:rPr>
      </w:pPr>
      <w:r w:rsidRPr="00415484">
        <w:rPr>
          <w:rFonts w:ascii="Arial" w:hAnsi="Arial" w:cs="Arial"/>
          <w:sz w:val="24"/>
          <w:szCs w:val="24"/>
        </w:rPr>
        <w:t>dane dotyczące miasta, dla którego jest sporządzane sprawozdanie;</w:t>
      </w:r>
    </w:p>
    <w:p w14:paraId="243FE428" w14:textId="38ED2F59" w:rsidR="00415484" w:rsidRPr="00415484" w:rsidRDefault="00415484" w:rsidP="00740612">
      <w:pPr>
        <w:pStyle w:val="Akapitzlist"/>
        <w:numPr>
          <w:ilvl w:val="0"/>
          <w:numId w:val="37"/>
        </w:numPr>
        <w:spacing w:after="0" w:line="283" w:lineRule="auto"/>
        <w:jc w:val="both"/>
        <w:rPr>
          <w:rFonts w:ascii="Arial" w:hAnsi="Arial" w:cs="Arial"/>
          <w:sz w:val="24"/>
          <w:szCs w:val="24"/>
        </w:rPr>
      </w:pPr>
      <w:r w:rsidRPr="00415484">
        <w:rPr>
          <w:rFonts w:ascii="Arial" w:hAnsi="Arial" w:cs="Arial"/>
          <w:sz w:val="24"/>
          <w:szCs w:val="24"/>
        </w:rPr>
        <w:t>informacje o celach i działaniach adaptacyjnych do zmian klimatu;</w:t>
      </w:r>
    </w:p>
    <w:p w14:paraId="4220A21B" w14:textId="4BF89894" w:rsidR="00415484" w:rsidRPr="00415484" w:rsidRDefault="00415484" w:rsidP="00740612">
      <w:pPr>
        <w:pStyle w:val="Akapitzlist"/>
        <w:numPr>
          <w:ilvl w:val="0"/>
          <w:numId w:val="37"/>
        </w:numPr>
        <w:spacing w:after="0" w:line="283" w:lineRule="auto"/>
        <w:jc w:val="both"/>
        <w:rPr>
          <w:rFonts w:ascii="Arial" w:hAnsi="Arial" w:cs="Arial"/>
          <w:sz w:val="24"/>
          <w:szCs w:val="24"/>
        </w:rPr>
      </w:pPr>
      <w:r w:rsidRPr="00415484">
        <w:rPr>
          <w:rFonts w:ascii="Arial" w:hAnsi="Arial" w:cs="Arial"/>
          <w:sz w:val="24"/>
          <w:szCs w:val="24"/>
        </w:rPr>
        <w:t>informacje o osiągniętych wartościach mierników monitorowania i wskaźników monitorowania;</w:t>
      </w:r>
    </w:p>
    <w:p w14:paraId="78F7BBE6" w14:textId="333A875A" w:rsidR="00415484" w:rsidRPr="00415484" w:rsidRDefault="00415484" w:rsidP="00740612">
      <w:pPr>
        <w:pStyle w:val="Akapitzlist"/>
        <w:numPr>
          <w:ilvl w:val="0"/>
          <w:numId w:val="37"/>
        </w:numPr>
        <w:spacing w:after="0" w:line="283" w:lineRule="auto"/>
        <w:jc w:val="both"/>
        <w:rPr>
          <w:rFonts w:ascii="Arial" w:hAnsi="Arial" w:cs="Arial"/>
          <w:sz w:val="24"/>
          <w:szCs w:val="24"/>
        </w:rPr>
      </w:pPr>
      <w:r w:rsidRPr="00415484">
        <w:rPr>
          <w:rFonts w:ascii="Arial" w:hAnsi="Arial" w:cs="Arial"/>
          <w:sz w:val="24"/>
          <w:szCs w:val="24"/>
        </w:rPr>
        <w:t>wnioski i rekomendacje wynikające z monitorowania.</w:t>
      </w:r>
    </w:p>
    <w:p w14:paraId="52F05B71" w14:textId="77777777" w:rsidR="00415484" w:rsidRPr="00415484" w:rsidRDefault="00415484" w:rsidP="00740612">
      <w:pPr>
        <w:spacing w:after="0" w:line="283" w:lineRule="auto"/>
        <w:jc w:val="both"/>
        <w:rPr>
          <w:rFonts w:ascii="Arial" w:hAnsi="Arial" w:cs="Arial"/>
          <w:sz w:val="24"/>
          <w:szCs w:val="24"/>
        </w:rPr>
      </w:pPr>
      <w:r w:rsidRPr="00415484">
        <w:rPr>
          <w:rFonts w:ascii="Arial" w:hAnsi="Arial" w:cs="Arial"/>
          <w:sz w:val="24"/>
          <w:szCs w:val="24"/>
        </w:rPr>
        <w:t xml:space="preserve">W art. 18c ust. 7 ustawy </w:t>
      </w:r>
      <w:proofErr w:type="spellStart"/>
      <w:r w:rsidRPr="00415484">
        <w:rPr>
          <w:rFonts w:ascii="Arial" w:hAnsi="Arial" w:cs="Arial"/>
          <w:sz w:val="24"/>
          <w:szCs w:val="24"/>
        </w:rPr>
        <w:t>Poś</w:t>
      </w:r>
      <w:proofErr w:type="spellEnd"/>
      <w:r w:rsidRPr="00415484">
        <w:rPr>
          <w:rFonts w:ascii="Arial" w:hAnsi="Arial" w:cs="Arial"/>
          <w:sz w:val="24"/>
          <w:szCs w:val="24"/>
        </w:rPr>
        <w:t xml:space="preserve"> wprowadzono upoważnienie dla ministra właściwego do spraw klimatu do określenia, w drodze rozporządzenia, szczegółowego zakresu sprawozdania z monitorowania oraz mierników monitorowania i wskaźników monitorowania, mając na uwadze potrzebę ujednolicenia zakresu informacji przekazywanych przez burmistrzów albo prezydentów miast.</w:t>
      </w:r>
    </w:p>
    <w:p w14:paraId="69F0E5AD" w14:textId="77777777" w:rsidR="00415484" w:rsidRPr="00415484" w:rsidRDefault="00415484" w:rsidP="00740612">
      <w:pPr>
        <w:spacing w:after="0" w:line="283" w:lineRule="auto"/>
        <w:jc w:val="both"/>
        <w:rPr>
          <w:rFonts w:ascii="Arial" w:hAnsi="Arial" w:cs="Arial"/>
          <w:sz w:val="24"/>
          <w:szCs w:val="24"/>
        </w:rPr>
      </w:pPr>
      <w:r w:rsidRPr="00415484">
        <w:rPr>
          <w:rFonts w:ascii="Arial" w:hAnsi="Arial" w:cs="Arial"/>
          <w:sz w:val="24"/>
          <w:szCs w:val="24"/>
        </w:rPr>
        <w:t xml:space="preserve">Analiza uchwalonych przed wejściem w życie ustawy </w:t>
      </w:r>
      <w:proofErr w:type="spellStart"/>
      <w:r w:rsidRPr="00415484">
        <w:rPr>
          <w:rFonts w:ascii="Arial" w:hAnsi="Arial" w:cs="Arial"/>
          <w:sz w:val="24"/>
          <w:szCs w:val="24"/>
        </w:rPr>
        <w:t>Poś</w:t>
      </w:r>
      <w:proofErr w:type="spellEnd"/>
      <w:r w:rsidRPr="00415484">
        <w:rPr>
          <w:rFonts w:ascii="Arial" w:hAnsi="Arial" w:cs="Arial"/>
          <w:sz w:val="24"/>
          <w:szCs w:val="24"/>
        </w:rPr>
        <w:t xml:space="preserve"> miejskich planów adaptacji pokazała, jak różnie miasta interpretują monitorowanie i jak odmienne wskaźniki i mierniki uwzględniają w swoich planach. Mierniki do mierzenia celów były rzadko stosowane przez miasta, natomiast niektóre wskaźniki były mierzone w skali nominalnej (tak/nie), czasami były to tylko nazwy wskaźników bez wyznaczanych wartości docelowych – ewentualnie wskazywany był wyłącznie trend (spadek/wzrost). W celu oceny i zmierzenia postępu miast w adaptacji do zmian klimatu oraz zwiększenia odporności miasta na niekorzystane zjawiska klimatyczne ustawodawca zaproponował listę obligatoryjnych mierników i wskaźników.</w:t>
      </w:r>
    </w:p>
    <w:p w14:paraId="59A7FFB4" w14:textId="77777777" w:rsidR="00415484" w:rsidRPr="00415484" w:rsidRDefault="00415484" w:rsidP="00740612">
      <w:pPr>
        <w:spacing w:after="0" w:line="283" w:lineRule="auto"/>
        <w:jc w:val="both"/>
        <w:rPr>
          <w:rFonts w:ascii="Arial" w:hAnsi="Arial" w:cs="Arial"/>
          <w:sz w:val="24"/>
          <w:szCs w:val="24"/>
        </w:rPr>
      </w:pPr>
      <w:r w:rsidRPr="00415484">
        <w:rPr>
          <w:rFonts w:ascii="Arial" w:hAnsi="Arial" w:cs="Arial"/>
          <w:sz w:val="24"/>
          <w:szCs w:val="24"/>
        </w:rPr>
        <w:t>Rekomendowane rozwiązania:</w:t>
      </w:r>
    </w:p>
    <w:p w14:paraId="1D097EC6" w14:textId="77777777" w:rsidR="00415484" w:rsidRPr="00415484" w:rsidRDefault="00415484" w:rsidP="00740612">
      <w:pPr>
        <w:spacing w:after="0" w:line="283" w:lineRule="auto"/>
        <w:jc w:val="both"/>
        <w:rPr>
          <w:rFonts w:ascii="Arial" w:hAnsi="Arial" w:cs="Arial"/>
          <w:sz w:val="24"/>
          <w:szCs w:val="24"/>
        </w:rPr>
      </w:pPr>
      <w:r w:rsidRPr="00415484">
        <w:rPr>
          <w:rFonts w:ascii="Arial" w:hAnsi="Arial" w:cs="Arial"/>
          <w:sz w:val="24"/>
          <w:szCs w:val="24"/>
        </w:rPr>
        <w:t xml:space="preserve">Projekt rozporządzenia określi szczegółowy zakres sprawozdania z monitorowania, mierniki monitorowania i wskaźniki monitorowania. Monitorowanie wdrażania działań </w:t>
      </w:r>
      <w:r w:rsidRPr="00415484">
        <w:rPr>
          <w:rFonts w:ascii="Arial" w:hAnsi="Arial" w:cs="Arial"/>
          <w:sz w:val="24"/>
          <w:szCs w:val="24"/>
        </w:rPr>
        <w:lastRenderedPageBreak/>
        <w:t>adaptacyjnych będzie dotyczyło przede wszystkim stanu realizacji zadań oraz poniesionych kosztów, a także wartości osiągniętych wskaźników i mierników.</w:t>
      </w:r>
    </w:p>
    <w:p w14:paraId="1051385E" w14:textId="77777777" w:rsidR="00415484" w:rsidRPr="00415484" w:rsidRDefault="00415484" w:rsidP="00740612">
      <w:pPr>
        <w:spacing w:after="0" w:line="283" w:lineRule="auto"/>
        <w:jc w:val="both"/>
        <w:rPr>
          <w:rFonts w:ascii="Arial" w:hAnsi="Arial" w:cs="Arial"/>
          <w:sz w:val="24"/>
          <w:szCs w:val="24"/>
        </w:rPr>
      </w:pPr>
      <w:r w:rsidRPr="00415484">
        <w:rPr>
          <w:rFonts w:ascii="Arial" w:hAnsi="Arial" w:cs="Arial"/>
          <w:sz w:val="24"/>
          <w:szCs w:val="24"/>
        </w:rPr>
        <w:t>Na podstawie dostarczonych przez miasta danych i informacji IOŚ-PIB przygotuje podsumowanie dla ministra klimatu i środowiska, dzięki czemu będzie możliwe rzetelne monitorowanie wdrażania miejskich planów adaptacji, wydatkowania unijnych środków finansowych na dofinansowanie działań adaptacyjnych, a przede wszystkim analizowania zwiększenia odporności miast na zmiany klimatu.</w:t>
      </w:r>
    </w:p>
    <w:p w14:paraId="562DB82A" w14:textId="7A5759DD" w:rsidR="00F351DF" w:rsidRDefault="00415484" w:rsidP="00740612">
      <w:pPr>
        <w:spacing w:after="0" w:line="283" w:lineRule="auto"/>
        <w:jc w:val="both"/>
        <w:rPr>
          <w:rFonts w:ascii="Arial" w:hAnsi="Arial" w:cs="Arial"/>
          <w:sz w:val="24"/>
          <w:szCs w:val="24"/>
        </w:rPr>
      </w:pPr>
      <w:r w:rsidRPr="00415484">
        <w:rPr>
          <w:rFonts w:ascii="Arial" w:hAnsi="Arial" w:cs="Arial"/>
          <w:sz w:val="24"/>
          <w:szCs w:val="24"/>
        </w:rPr>
        <w:t>Informacje zawarte w sprawozdaniach będą istotne ze względu na ocenę postępu miast w realizacji działań adaptacyjnych. Zostaną też uwzględnione w sprawozdaniu do Komisji Europejskiej (KE) – zgodnie z art. 19 ust. 1 rozporządzenia (UE) nr 2018/1999). Polska ma obowiązek przekazywać co dwa lata do KE informacje na temat krajowych planów i strategii przystosowania się do zmian klimatu, w których przedstawia wdrożone i planowane działania mające ułatwiać przystosowanie się do zmian klimatu</w:t>
      </w:r>
      <w:r>
        <w:rPr>
          <w:rFonts w:ascii="Arial" w:hAnsi="Arial" w:cs="Arial"/>
          <w:sz w:val="24"/>
          <w:szCs w:val="24"/>
        </w:rPr>
        <w:t>.</w:t>
      </w:r>
    </w:p>
    <w:p w14:paraId="5A8E0080" w14:textId="77777777" w:rsidR="00415484" w:rsidRDefault="00415484" w:rsidP="00740612">
      <w:pPr>
        <w:spacing w:after="0" w:line="283" w:lineRule="auto"/>
        <w:jc w:val="both"/>
        <w:rPr>
          <w:rFonts w:ascii="Arial" w:hAnsi="Arial" w:cs="Arial"/>
          <w:sz w:val="24"/>
          <w:szCs w:val="24"/>
        </w:rPr>
      </w:pPr>
    </w:p>
    <w:p w14:paraId="12B4AE10" w14:textId="77777777" w:rsidR="00415484" w:rsidRPr="00415484" w:rsidRDefault="00415484" w:rsidP="00740612">
      <w:pPr>
        <w:spacing w:after="0" w:line="283" w:lineRule="auto"/>
        <w:jc w:val="both"/>
        <w:rPr>
          <w:rFonts w:ascii="Arial" w:hAnsi="Arial" w:cs="Arial"/>
          <w:sz w:val="24"/>
          <w:szCs w:val="24"/>
        </w:rPr>
      </w:pPr>
      <w:r w:rsidRPr="00415484">
        <w:rPr>
          <w:rFonts w:ascii="Arial" w:hAnsi="Arial" w:cs="Arial"/>
          <w:sz w:val="24"/>
          <w:szCs w:val="24"/>
        </w:rPr>
        <w:t>Przedmiotowy projekt aktu prawnego wraz z Załącznikiem, Uzasadnieniem oraz Oceną Skutków Regulacji dostępny jest na stronach Rządowego Centrum Legislacji pod adresem:</w:t>
      </w:r>
    </w:p>
    <w:p w14:paraId="2A0859A3" w14:textId="13F9A5B2" w:rsidR="00415484" w:rsidRPr="00F8041F" w:rsidRDefault="00415484" w:rsidP="00740612">
      <w:pPr>
        <w:spacing w:after="0" w:line="283" w:lineRule="auto"/>
        <w:jc w:val="both"/>
        <w:rPr>
          <w:rFonts w:ascii="Arial" w:hAnsi="Arial" w:cs="Arial"/>
          <w:sz w:val="24"/>
          <w:szCs w:val="24"/>
        </w:rPr>
      </w:pPr>
      <w:hyperlink r:id="rId12" w:history="1">
        <w:r w:rsidRPr="003768BA">
          <w:rPr>
            <w:rStyle w:val="Hipercze"/>
            <w:rFonts w:ascii="Arial" w:hAnsi="Arial" w:cs="Arial"/>
            <w:sz w:val="24"/>
            <w:szCs w:val="24"/>
          </w:rPr>
          <w:t>https://legislacja.rcl.gov.pl/projekt/12400102/kat</w:t>
        </w:r>
        <w:r w:rsidRPr="003768BA">
          <w:rPr>
            <w:rStyle w:val="Hipercze"/>
            <w:rFonts w:ascii="Arial" w:hAnsi="Arial" w:cs="Arial"/>
            <w:sz w:val="24"/>
            <w:szCs w:val="24"/>
          </w:rPr>
          <w:t>a</w:t>
        </w:r>
        <w:r w:rsidRPr="003768BA">
          <w:rPr>
            <w:rStyle w:val="Hipercze"/>
            <w:rFonts w:ascii="Arial" w:hAnsi="Arial" w:cs="Arial"/>
            <w:sz w:val="24"/>
            <w:szCs w:val="24"/>
          </w:rPr>
          <w:t>log/13143421#13143421</w:t>
        </w:r>
      </w:hyperlink>
      <w:r>
        <w:rPr>
          <w:rFonts w:ascii="Arial" w:hAnsi="Arial" w:cs="Arial"/>
          <w:sz w:val="24"/>
          <w:szCs w:val="24"/>
        </w:rPr>
        <w:t xml:space="preserve"> </w:t>
      </w:r>
    </w:p>
    <w:p w14:paraId="075ED9D0" w14:textId="5CD6A6B3" w:rsidR="009607BA" w:rsidRDefault="009607BA" w:rsidP="00740612">
      <w:pPr>
        <w:spacing w:after="0" w:line="283" w:lineRule="auto"/>
        <w:rPr>
          <w:rFonts w:ascii="Arial" w:hAnsi="Arial" w:cs="Arial"/>
          <w:sz w:val="24"/>
          <w:szCs w:val="24"/>
        </w:rPr>
      </w:pPr>
    </w:p>
    <w:p w14:paraId="3C66C9E8" w14:textId="5BB6A918" w:rsidR="00415484" w:rsidRDefault="00415484" w:rsidP="00740612">
      <w:pPr>
        <w:spacing w:after="0" w:line="283" w:lineRule="auto"/>
        <w:jc w:val="both"/>
        <w:rPr>
          <w:rFonts w:ascii="Arial" w:hAnsi="Arial" w:cs="Arial"/>
          <w:sz w:val="24"/>
          <w:szCs w:val="24"/>
        </w:rPr>
      </w:pPr>
      <w:r w:rsidRPr="00415484">
        <w:rPr>
          <w:rFonts w:ascii="Arial" w:hAnsi="Arial" w:cs="Arial"/>
          <w:sz w:val="24"/>
          <w:szCs w:val="24"/>
        </w:rPr>
        <w:t>Projekt jest obecnie jednocześnie na etapie uzgodnień, konsultacji publicznych i opiniowania.</w:t>
      </w:r>
    </w:p>
    <w:p w14:paraId="31C60C53" w14:textId="77777777" w:rsidR="009607BA" w:rsidRDefault="009607BA" w:rsidP="00740612">
      <w:pPr>
        <w:spacing w:after="0" w:line="283" w:lineRule="auto"/>
        <w:rPr>
          <w:rFonts w:ascii="Arial" w:hAnsi="Arial" w:cs="Arial"/>
          <w:sz w:val="24"/>
          <w:szCs w:val="24"/>
        </w:rPr>
      </w:pPr>
    </w:p>
    <w:p w14:paraId="21275EEA" w14:textId="77777777" w:rsidR="00740612" w:rsidRPr="009607BA" w:rsidRDefault="00740612" w:rsidP="00740612">
      <w:pPr>
        <w:spacing w:after="0" w:line="283" w:lineRule="auto"/>
        <w:rPr>
          <w:rFonts w:ascii="Arial" w:hAnsi="Arial" w:cs="Arial"/>
          <w:sz w:val="24"/>
          <w:szCs w:val="24"/>
        </w:rPr>
      </w:pPr>
    </w:p>
    <w:p w14:paraId="45F5E803" w14:textId="77777777" w:rsidR="00E46C04" w:rsidRPr="009607BA" w:rsidRDefault="00E46C04" w:rsidP="00740612">
      <w:pPr>
        <w:spacing w:after="0" w:line="283" w:lineRule="auto"/>
        <w:jc w:val="both"/>
        <w:rPr>
          <w:rFonts w:ascii="Arial" w:hAnsi="Arial" w:cs="Arial"/>
          <w:b/>
          <w:sz w:val="24"/>
          <w:szCs w:val="24"/>
        </w:rPr>
      </w:pPr>
      <w:r w:rsidRPr="009607BA">
        <w:rPr>
          <w:rFonts w:ascii="Arial" w:hAnsi="Arial" w:cs="Arial"/>
          <w:b/>
          <w:sz w:val="24"/>
          <w:szCs w:val="24"/>
        </w:rPr>
        <w:t>II. Ogłoszone akty prawne (Dziennik Ustaw RP)</w:t>
      </w:r>
    </w:p>
    <w:p w14:paraId="05D29442" w14:textId="77777777" w:rsidR="00E46C04" w:rsidRPr="009607BA" w:rsidRDefault="00E46C04" w:rsidP="00740612">
      <w:pPr>
        <w:spacing w:after="0" w:line="283" w:lineRule="auto"/>
        <w:jc w:val="both"/>
        <w:rPr>
          <w:rFonts w:ascii="Arial" w:hAnsi="Arial" w:cs="Arial"/>
          <w:sz w:val="24"/>
          <w:szCs w:val="24"/>
        </w:rPr>
      </w:pPr>
    </w:p>
    <w:p w14:paraId="7A8E614B" w14:textId="317EE821" w:rsidR="00E46C04" w:rsidRPr="009607BA" w:rsidRDefault="00E46C04" w:rsidP="00740612">
      <w:pPr>
        <w:spacing w:after="0" w:line="283" w:lineRule="auto"/>
        <w:jc w:val="both"/>
        <w:rPr>
          <w:rFonts w:ascii="Arial" w:hAnsi="Arial" w:cs="Arial"/>
          <w:sz w:val="24"/>
          <w:szCs w:val="24"/>
        </w:rPr>
      </w:pPr>
      <w:r w:rsidRPr="009607BA">
        <w:rPr>
          <w:rFonts w:ascii="Arial" w:hAnsi="Arial" w:cs="Arial"/>
          <w:sz w:val="24"/>
          <w:szCs w:val="24"/>
        </w:rPr>
        <w:t xml:space="preserve">W analizowanym okresie opublikowano </w:t>
      </w:r>
      <w:r w:rsidR="00415484">
        <w:rPr>
          <w:rFonts w:ascii="Arial" w:hAnsi="Arial" w:cs="Arial"/>
          <w:sz w:val="24"/>
          <w:szCs w:val="24"/>
        </w:rPr>
        <w:t>35</w:t>
      </w:r>
      <w:r w:rsidRPr="009607BA">
        <w:rPr>
          <w:rFonts w:ascii="Arial" w:hAnsi="Arial" w:cs="Arial"/>
          <w:sz w:val="24"/>
          <w:szCs w:val="24"/>
        </w:rPr>
        <w:t xml:space="preserve"> akt</w:t>
      </w:r>
      <w:r w:rsidR="00756620" w:rsidRPr="009607BA">
        <w:rPr>
          <w:rFonts w:ascii="Arial" w:hAnsi="Arial" w:cs="Arial"/>
          <w:sz w:val="24"/>
          <w:szCs w:val="24"/>
        </w:rPr>
        <w:t>ów</w:t>
      </w:r>
      <w:r w:rsidRPr="009607BA">
        <w:rPr>
          <w:rFonts w:ascii="Arial" w:hAnsi="Arial" w:cs="Arial"/>
          <w:sz w:val="24"/>
          <w:szCs w:val="24"/>
        </w:rPr>
        <w:t xml:space="preserve"> prawn</w:t>
      </w:r>
      <w:r w:rsidR="00756620" w:rsidRPr="009607BA">
        <w:rPr>
          <w:rFonts w:ascii="Arial" w:hAnsi="Arial" w:cs="Arial"/>
          <w:sz w:val="24"/>
          <w:szCs w:val="24"/>
        </w:rPr>
        <w:t>ych</w:t>
      </w:r>
      <w:r w:rsidRPr="009607BA">
        <w:rPr>
          <w:rFonts w:ascii="Arial" w:hAnsi="Arial" w:cs="Arial"/>
          <w:sz w:val="24"/>
          <w:szCs w:val="24"/>
        </w:rPr>
        <w:t>, tzn. ustaw, rozporządze</w:t>
      </w:r>
      <w:r w:rsidR="00756620" w:rsidRPr="009607BA">
        <w:rPr>
          <w:rFonts w:ascii="Arial" w:hAnsi="Arial" w:cs="Arial"/>
          <w:sz w:val="24"/>
          <w:szCs w:val="24"/>
        </w:rPr>
        <w:t>ń</w:t>
      </w:r>
      <w:r w:rsidRPr="009607BA">
        <w:rPr>
          <w:rFonts w:ascii="Arial" w:hAnsi="Arial" w:cs="Arial"/>
          <w:sz w:val="24"/>
          <w:szCs w:val="24"/>
        </w:rPr>
        <w:t xml:space="preserve"> Rady Ministrów, Prezesa Rady Ministrów i poszczególnych ministrów, obwieszcze</w:t>
      </w:r>
      <w:r w:rsidR="00756620" w:rsidRPr="009607BA">
        <w:rPr>
          <w:rFonts w:ascii="Arial" w:hAnsi="Arial" w:cs="Arial"/>
          <w:sz w:val="24"/>
          <w:szCs w:val="24"/>
        </w:rPr>
        <w:t>ń</w:t>
      </w:r>
      <w:r w:rsidRPr="009607BA">
        <w:rPr>
          <w:rFonts w:ascii="Arial" w:hAnsi="Arial" w:cs="Arial"/>
          <w:sz w:val="24"/>
          <w:szCs w:val="24"/>
        </w:rPr>
        <w:t xml:space="preserve"> w sprawie ogłoszenia tekstu jednolitego. Z powyższych publikacji w zainteresowaniu pracodawców i przedsiębiorców znaleźć się mogą następujące akty prawne:</w:t>
      </w:r>
    </w:p>
    <w:p w14:paraId="0A971EB3" w14:textId="77777777" w:rsidR="00F351DF" w:rsidRPr="009607BA" w:rsidRDefault="00F351DF" w:rsidP="00740612">
      <w:pPr>
        <w:spacing w:after="0" w:line="283" w:lineRule="auto"/>
        <w:jc w:val="both"/>
        <w:rPr>
          <w:rFonts w:ascii="Arial" w:hAnsi="Arial" w:cs="Arial"/>
          <w:sz w:val="24"/>
          <w:szCs w:val="24"/>
        </w:rPr>
      </w:pPr>
    </w:p>
    <w:p w14:paraId="1641F9BB" w14:textId="6C87CFD7" w:rsidR="00382C75" w:rsidRDefault="00F309C1" w:rsidP="00740612">
      <w:pPr>
        <w:pStyle w:val="Akapitzlist"/>
        <w:numPr>
          <w:ilvl w:val="0"/>
          <w:numId w:val="2"/>
        </w:numPr>
        <w:spacing w:after="0" w:line="283" w:lineRule="auto"/>
        <w:ind w:left="426" w:hanging="426"/>
        <w:jc w:val="both"/>
        <w:rPr>
          <w:rFonts w:ascii="Arial" w:hAnsi="Arial" w:cs="Arial"/>
          <w:sz w:val="24"/>
          <w:szCs w:val="24"/>
          <w:u w:val="single"/>
        </w:rPr>
      </w:pPr>
      <w:r w:rsidRPr="00F309C1">
        <w:rPr>
          <w:rFonts w:ascii="Arial" w:hAnsi="Arial" w:cs="Arial"/>
          <w:sz w:val="24"/>
          <w:szCs w:val="24"/>
          <w:u w:val="single"/>
        </w:rPr>
        <w:t>Ustawa z dnia 24 czerwca 2025 r. o zmianie ustawy o funduszach inwestycyjnych i zarządzaniu alternatywnymi funduszami inwestycyjnymi</w:t>
      </w:r>
      <w:r w:rsidR="00382C75" w:rsidRPr="009607BA">
        <w:rPr>
          <w:rFonts w:ascii="Arial" w:hAnsi="Arial" w:cs="Arial"/>
          <w:sz w:val="24"/>
          <w:szCs w:val="24"/>
          <w:u w:val="single"/>
        </w:rPr>
        <w:t>.</w:t>
      </w:r>
    </w:p>
    <w:p w14:paraId="503E170D" w14:textId="77777777" w:rsidR="004A0328" w:rsidRPr="004A0328" w:rsidRDefault="004A0328" w:rsidP="00740612">
      <w:pPr>
        <w:spacing w:after="0" w:line="283" w:lineRule="auto"/>
        <w:jc w:val="both"/>
        <w:rPr>
          <w:rFonts w:ascii="Arial" w:hAnsi="Arial" w:cs="Arial"/>
          <w:sz w:val="24"/>
          <w:szCs w:val="24"/>
        </w:rPr>
      </w:pPr>
    </w:p>
    <w:p w14:paraId="5E5BFD3B" w14:textId="77777777" w:rsidR="004A0328" w:rsidRPr="009607BA" w:rsidRDefault="004A0328" w:rsidP="00740612">
      <w:pPr>
        <w:spacing w:after="0" w:line="283" w:lineRule="auto"/>
        <w:jc w:val="both"/>
        <w:rPr>
          <w:rFonts w:ascii="Arial" w:eastAsia="Times New Roman" w:hAnsi="Arial" w:cs="Arial"/>
          <w:sz w:val="24"/>
          <w:szCs w:val="24"/>
          <w:lang w:eastAsia="pl-PL"/>
        </w:rPr>
      </w:pPr>
      <w:bookmarkStart w:id="2" w:name="_Hlk204069085"/>
      <w:r w:rsidRPr="009607BA">
        <w:rPr>
          <w:rFonts w:ascii="Arial" w:eastAsia="Times New Roman" w:hAnsi="Arial" w:cs="Arial"/>
          <w:sz w:val="24"/>
          <w:szCs w:val="24"/>
          <w:lang w:eastAsia="pl-PL"/>
        </w:rPr>
        <w:t xml:space="preserve">Powyższy akt prawny opublikowany został </w:t>
      </w:r>
      <w:r>
        <w:rPr>
          <w:rFonts w:ascii="Arial" w:eastAsia="Times New Roman" w:hAnsi="Arial" w:cs="Arial"/>
          <w:sz w:val="24"/>
          <w:szCs w:val="24"/>
          <w:lang w:eastAsia="pl-PL"/>
        </w:rPr>
        <w:t>14</w:t>
      </w:r>
      <w:r w:rsidRPr="009607BA">
        <w:rPr>
          <w:rFonts w:ascii="Arial" w:eastAsia="Times New Roman" w:hAnsi="Arial" w:cs="Arial"/>
          <w:sz w:val="24"/>
          <w:szCs w:val="24"/>
          <w:lang w:eastAsia="pl-PL"/>
        </w:rPr>
        <w:t xml:space="preserve"> lipca 2025 roku w Dzienniku Ustaw (Dz.U. z 2025, poz. </w:t>
      </w:r>
      <w:r>
        <w:rPr>
          <w:rFonts w:ascii="Arial" w:eastAsia="Times New Roman" w:hAnsi="Arial" w:cs="Arial"/>
          <w:sz w:val="24"/>
          <w:szCs w:val="24"/>
          <w:lang w:eastAsia="pl-PL"/>
        </w:rPr>
        <w:t>935</w:t>
      </w:r>
      <w:r w:rsidRPr="009607BA">
        <w:rPr>
          <w:rFonts w:ascii="Arial" w:eastAsia="Times New Roman" w:hAnsi="Arial" w:cs="Arial"/>
          <w:sz w:val="24"/>
          <w:szCs w:val="24"/>
          <w:lang w:eastAsia="pl-PL"/>
        </w:rPr>
        <w:t>).</w:t>
      </w:r>
      <w:bookmarkEnd w:id="2"/>
    </w:p>
    <w:p w14:paraId="0A0EAEA8" w14:textId="77777777" w:rsidR="004A0328" w:rsidRPr="009607BA" w:rsidRDefault="004A0328" w:rsidP="00740612">
      <w:pPr>
        <w:spacing w:after="0" w:line="283" w:lineRule="auto"/>
        <w:jc w:val="both"/>
        <w:rPr>
          <w:rFonts w:ascii="Arial" w:eastAsia="Times New Roman" w:hAnsi="Arial" w:cs="Arial"/>
          <w:sz w:val="24"/>
          <w:szCs w:val="24"/>
          <w:lang w:eastAsia="pl-PL"/>
        </w:rPr>
      </w:pPr>
    </w:p>
    <w:p w14:paraId="704F1DEC" w14:textId="77777777" w:rsidR="004A0328" w:rsidRPr="00D11FF0" w:rsidRDefault="004A0328" w:rsidP="00740612">
      <w:pPr>
        <w:spacing w:after="0" w:line="283" w:lineRule="auto"/>
        <w:jc w:val="both"/>
        <w:rPr>
          <w:rFonts w:ascii="Arial" w:hAnsi="Arial" w:cs="Arial"/>
          <w:sz w:val="24"/>
          <w:szCs w:val="24"/>
        </w:rPr>
      </w:pPr>
      <w:r w:rsidRPr="00D11FF0">
        <w:rPr>
          <w:rFonts w:ascii="Arial" w:hAnsi="Arial" w:cs="Arial"/>
          <w:sz w:val="24"/>
          <w:szCs w:val="24"/>
        </w:rPr>
        <w:t>Ustawa zakłada uchylenie pkt 10 w art. 72 w ust. 1 oraz pkt 10 w art. 81c w ust. 1</w:t>
      </w:r>
      <w:r>
        <w:rPr>
          <w:rFonts w:ascii="Arial" w:hAnsi="Arial" w:cs="Arial"/>
          <w:sz w:val="24"/>
          <w:szCs w:val="24"/>
        </w:rPr>
        <w:t xml:space="preserve"> </w:t>
      </w:r>
      <w:r w:rsidRPr="00D11FF0">
        <w:rPr>
          <w:rFonts w:ascii="Arial" w:hAnsi="Arial" w:cs="Arial"/>
          <w:sz w:val="24"/>
          <w:szCs w:val="24"/>
        </w:rPr>
        <w:t>ustawy z dnia 27 maja 2004 r. o funduszach inwestycyjnych i zarządzaniu alternatywnymi</w:t>
      </w:r>
      <w:r>
        <w:rPr>
          <w:rFonts w:ascii="Arial" w:hAnsi="Arial" w:cs="Arial"/>
          <w:sz w:val="24"/>
          <w:szCs w:val="24"/>
        </w:rPr>
        <w:t xml:space="preserve"> </w:t>
      </w:r>
      <w:r w:rsidRPr="00D11FF0">
        <w:rPr>
          <w:rFonts w:ascii="Arial" w:hAnsi="Arial" w:cs="Arial"/>
          <w:sz w:val="24"/>
          <w:szCs w:val="24"/>
        </w:rPr>
        <w:t>funduszami inwestycyjnymi. Uchylane przepisy nakładają:</w:t>
      </w:r>
    </w:p>
    <w:p w14:paraId="263BDE19" w14:textId="77777777" w:rsidR="004A0328" w:rsidRPr="00D11FF0" w:rsidRDefault="004A0328" w:rsidP="00740612">
      <w:pPr>
        <w:spacing w:after="0" w:line="283" w:lineRule="auto"/>
        <w:jc w:val="both"/>
        <w:rPr>
          <w:rFonts w:ascii="Arial" w:hAnsi="Arial" w:cs="Arial"/>
          <w:sz w:val="24"/>
          <w:szCs w:val="24"/>
        </w:rPr>
      </w:pPr>
      <w:r w:rsidRPr="00D11FF0">
        <w:rPr>
          <w:rFonts w:ascii="Arial" w:hAnsi="Arial" w:cs="Arial"/>
          <w:sz w:val="24"/>
          <w:szCs w:val="24"/>
        </w:rPr>
        <w:t>1) na depozytariusza funduszu inwestycyjnego obowiązek weryfikowania zgodności</w:t>
      </w:r>
      <w:r>
        <w:rPr>
          <w:rFonts w:ascii="Arial" w:hAnsi="Arial" w:cs="Arial"/>
          <w:sz w:val="24"/>
          <w:szCs w:val="24"/>
        </w:rPr>
        <w:t xml:space="preserve"> </w:t>
      </w:r>
      <w:r w:rsidRPr="00D11FF0">
        <w:rPr>
          <w:rFonts w:ascii="Arial" w:hAnsi="Arial" w:cs="Arial"/>
          <w:sz w:val="24"/>
          <w:szCs w:val="24"/>
        </w:rPr>
        <w:t>działania funduszu inwestycyjnego z przepisami prawa regulującymi działalność</w:t>
      </w:r>
      <w:r>
        <w:rPr>
          <w:rFonts w:ascii="Arial" w:hAnsi="Arial" w:cs="Arial"/>
          <w:sz w:val="24"/>
          <w:szCs w:val="24"/>
        </w:rPr>
        <w:t xml:space="preserve"> </w:t>
      </w:r>
      <w:r w:rsidRPr="00D11FF0">
        <w:rPr>
          <w:rFonts w:ascii="Arial" w:hAnsi="Arial" w:cs="Arial"/>
          <w:sz w:val="24"/>
          <w:szCs w:val="24"/>
        </w:rPr>
        <w:t>funduszy inwestycyjnych lub ze statutem oraz z uwzględnieniem interesu</w:t>
      </w:r>
      <w:r>
        <w:rPr>
          <w:rFonts w:ascii="Arial" w:hAnsi="Arial" w:cs="Arial"/>
          <w:sz w:val="24"/>
          <w:szCs w:val="24"/>
        </w:rPr>
        <w:t xml:space="preserve"> </w:t>
      </w:r>
      <w:r w:rsidRPr="00D11FF0">
        <w:rPr>
          <w:rFonts w:ascii="Arial" w:hAnsi="Arial" w:cs="Arial"/>
          <w:sz w:val="24"/>
          <w:szCs w:val="24"/>
        </w:rPr>
        <w:t>uczestników,</w:t>
      </w:r>
    </w:p>
    <w:p w14:paraId="61C42631" w14:textId="77777777" w:rsidR="004A0328" w:rsidRPr="00D11FF0" w:rsidRDefault="004A0328" w:rsidP="00740612">
      <w:pPr>
        <w:spacing w:after="0" w:line="283" w:lineRule="auto"/>
        <w:jc w:val="both"/>
        <w:rPr>
          <w:rFonts w:ascii="Arial" w:hAnsi="Arial" w:cs="Arial"/>
          <w:sz w:val="24"/>
          <w:szCs w:val="24"/>
        </w:rPr>
      </w:pPr>
      <w:r w:rsidRPr="00D11FF0">
        <w:rPr>
          <w:rFonts w:ascii="Arial" w:hAnsi="Arial" w:cs="Arial"/>
          <w:sz w:val="24"/>
          <w:szCs w:val="24"/>
        </w:rPr>
        <w:lastRenderedPageBreak/>
        <w:t>2) na depozytariusza alternatywnej spółki inwestycyjnej obowiązek weryfikacji</w:t>
      </w:r>
      <w:r>
        <w:rPr>
          <w:rFonts w:ascii="Arial" w:hAnsi="Arial" w:cs="Arial"/>
          <w:sz w:val="24"/>
          <w:szCs w:val="24"/>
        </w:rPr>
        <w:t xml:space="preserve"> </w:t>
      </w:r>
      <w:r w:rsidRPr="00D11FF0">
        <w:rPr>
          <w:rFonts w:ascii="Arial" w:hAnsi="Arial" w:cs="Arial"/>
          <w:sz w:val="24"/>
          <w:szCs w:val="24"/>
        </w:rPr>
        <w:t>zgodności działania alternatywnej spółki inwestycyjnej z przepisami prawa lub</w:t>
      </w:r>
      <w:r>
        <w:rPr>
          <w:rFonts w:ascii="Arial" w:hAnsi="Arial" w:cs="Arial"/>
          <w:sz w:val="24"/>
          <w:szCs w:val="24"/>
        </w:rPr>
        <w:t xml:space="preserve"> </w:t>
      </w:r>
      <w:r w:rsidRPr="00D11FF0">
        <w:rPr>
          <w:rFonts w:ascii="Arial" w:hAnsi="Arial" w:cs="Arial"/>
          <w:sz w:val="24"/>
          <w:szCs w:val="24"/>
        </w:rPr>
        <w:t>regulacjami wewnętrznymi ASI oraz z uwzględnieniem interesu inwestorów.</w:t>
      </w:r>
    </w:p>
    <w:p w14:paraId="3CFA2016" w14:textId="77777777" w:rsidR="004A0328" w:rsidRPr="009607BA" w:rsidRDefault="004A0328" w:rsidP="00740612">
      <w:pPr>
        <w:spacing w:after="0" w:line="283" w:lineRule="auto"/>
        <w:jc w:val="both"/>
        <w:rPr>
          <w:rFonts w:ascii="Arial" w:hAnsi="Arial" w:cs="Arial"/>
          <w:sz w:val="24"/>
          <w:szCs w:val="24"/>
        </w:rPr>
      </w:pPr>
    </w:p>
    <w:p w14:paraId="62ADB040" w14:textId="77777777" w:rsidR="004A0328" w:rsidRPr="009607BA" w:rsidRDefault="004A0328" w:rsidP="00740612">
      <w:pPr>
        <w:spacing w:after="0" w:line="283" w:lineRule="auto"/>
        <w:jc w:val="both"/>
        <w:rPr>
          <w:rStyle w:val="markedcontent"/>
          <w:rFonts w:ascii="Arial" w:hAnsi="Arial" w:cs="Arial"/>
          <w:sz w:val="24"/>
          <w:szCs w:val="24"/>
        </w:rPr>
      </w:pPr>
      <w:r w:rsidRPr="009607BA">
        <w:rPr>
          <w:rFonts w:ascii="Arial" w:eastAsia="Times New Roman" w:hAnsi="Arial" w:cs="Arial"/>
          <w:sz w:val="24"/>
          <w:szCs w:val="24"/>
          <w:lang w:eastAsia="pl-PL"/>
        </w:rPr>
        <w:t xml:space="preserve">Ustawa wejdzie w życie </w:t>
      </w:r>
      <w:r>
        <w:rPr>
          <w:rFonts w:ascii="Arial" w:eastAsia="Times New Roman" w:hAnsi="Arial" w:cs="Arial"/>
          <w:sz w:val="24"/>
          <w:szCs w:val="24"/>
          <w:lang w:eastAsia="pl-PL"/>
        </w:rPr>
        <w:t>29 lipca</w:t>
      </w:r>
      <w:r w:rsidRPr="009607BA">
        <w:rPr>
          <w:rFonts w:ascii="Arial" w:eastAsia="Times New Roman" w:hAnsi="Arial" w:cs="Arial"/>
          <w:sz w:val="24"/>
          <w:szCs w:val="24"/>
          <w:lang w:eastAsia="pl-PL"/>
        </w:rPr>
        <w:t xml:space="preserve"> 2025 r.</w:t>
      </w:r>
    </w:p>
    <w:p w14:paraId="569B54B0" w14:textId="77777777" w:rsidR="004A0328" w:rsidRPr="004A0328" w:rsidRDefault="004A0328" w:rsidP="00740612">
      <w:pPr>
        <w:spacing w:after="0" w:line="283" w:lineRule="auto"/>
        <w:jc w:val="both"/>
        <w:rPr>
          <w:rFonts w:ascii="Arial" w:hAnsi="Arial" w:cs="Arial"/>
          <w:sz w:val="24"/>
          <w:szCs w:val="24"/>
        </w:rPr>
      </w:pPr>
    </w:p>
    <w:p w14:paraId="105E5318" w14:textId="45E4550D" w:rsidR="004A0328" w:rsidRDefault="004A0328" w:rsidP="00740612">
      <w:pPr>
        <w:pStyle w:val="Akapitzlist"/>
        <w:numPr>
          <w:ilvl w:val="0"/>
          <w:numId w:val="2"/>
        </w:numPr>
        <w:spacing w:after="0" w:line="283" w:lineRule="auto"/>
        <w:ind w:left="426" w:hanging="426"/>
        <w:jc w:val="both"/>
        <w:rPr>
          <w:rFonts w:ascii="Arial" w:hAnsi="Arial" w:cs="Arial"/>
          <w:sz w:val="24"/>
          <w:szCs w:val="24"/>
          <w:u w:val="single"/>
        </w:rPr>
      </w:pPr>
      <w:r w:rsidRPr="004A0328">
        <w:rPr>
          <w:rFonts w:ascii="Arial" w:hAnsi="Arial" w:cs="Arial"/>
          <w:sz w:val="24"/>
          <w:szCs w:val="24"/>
          <w:u w:val="single"/>
        </w:rPr>
        <w:t>Rozporządzenie Prezesa Rady Ministrów z dnia 8 lipca 2025 r. w sprawie warunków i trybu prowadzenia, koordynacji i wdrażania systemu wczesnego ostrzegania o zagrożeniach występujących w sieci Internet</w:t>
      </w:r>
      <w:r>
        <w:rPr>
          <w:rFonts w:ascii="Arial" w:hAnsi="Arial" w:cs="Arial"/>
          <w:sz w:val="24"/>
          <w:szCs w:val="24"/>
          <w:u w:val="single"/>
        </w:rPr>
        <w:t>.</w:t>
      </w:r>
    </w:p>
    <w:p w14:paraId="0BD93D91" w14:textId="77777777" w:rsidR="004A0328" w:rsidRPr="004A0328" w:rsidRDefault="004A0328" w:rsidP="00740612">
      <w:pPr>
        <w:spacing w:after="0" w:line="283" w:lineRule="auto"/>
        <w:jc w:val="both"/>
        <w:rPr>
          <w:rFonts w:ascii="Arial" w:hAnsi="Arial" w:cs="Arial"/>
          <w:sz w:val="24"/>
          <w:szCs w:val="24"/>
        </w:rPr>
      </w:pPr>
    </w:p>
    <w:p w14:paraId="48A38619" w14:textId="5E2C4A1B" w:rsidR="004A0328" w:rsidRDefault="004A0328" w:rsidP="00740612">
      <w:pPr>
        <w:spacing w:after="0" w:line="283" w:lineRule="auto"/>
        <w:jc w:val="both"/>
        <w:rPr>
          <w:rFonts w:ascii="Arial" w:hAnsi="Arial" w:cs="Arial"/>
          <w:sz w:val="24"/>
          <w:szCs w:val="24"/>
        </w:rPr>
      </w:pPr>
      <w:bookmarkStart w:id="3" w:name="_Hlk204069958"/>
      <w:r w:rsidRPr="004A0328">
        <w:rPr>
          <w:rFonts w:ascii="Arial" w:hAnsi="Arial" w:cs="Arial"/>
          <w:sz w:val="24"/>
          <w:szCs w:val="24"/>
        </w:rPr>
        <w:t>Powyższy akt prawny opublikowany został 1</w:t>
      </w:r>
      <w:r w:rsidR="00494720">
        <w:rPr>
          <w:rFonts w:ascii="Arial" w:hAnsi="Arial" w:cs="Arial"/>
          <w:sz w:val="24"/>
          <w:szCs w:val="24"/>
        </w:rPr>
        <w:t>6</w:t>
      </w:r>
      <w:r w:rsidRPr="004A0328">
        <w:rPr>
          <w:rFonts w:ascii="Arial" w:hAnsi="Arial" w:cs="Arial"/>
          <w:sz w:val="24"/>
          <w:szCs w:val="24"/>
        </w:rPr>
        <w:t xml:space="preserve"> lipca 2025 roku w Dzienniku Ustaw (Dz.U. z 2025, poz. 9</w:t>
      </w:r>
      <w:r w:rsidR="00494720">
        <w:rPr>
          <w:rFonts w:ascii="Arial" w:hAnsi="Arial" w:cs="Arial"/>
          <w:sz w:val="24"/>
          <w:szCs w:val="24"/>
        </w:rPr>
        <w:t>50</w:t>
      </w:r>
      <w:r w:rsidRPr="004A0328">
        <w:rPr>
          <w:rFonts w:ascii="Arial" w:hAnsi="Arial" w:cs="Arial"/>
          <w:sz w:val="24"/>
          <w:szCs w:val="24"/>
        </w:rPr>
        <w:t>).</w:t>
      </w:r>
    </w:p>
    <w:bookmarkEnd w:id="3"/>
    <w:p w14:paraId="7C73AB54" w14:textId="77777777" w:rsidR="004A0328" w:rsidRDefault="004A0328" w:rsidP="00740612">
      <w:pPr>
        <w:spacing w:after="0" w:line="283" w:lineRule="auto"/>
        <w:jc w:val="both"/>
        <w:rPr>
          <w:rFonts w:ascii="Arial" w:hAnsi="Arial" w:cs="Arial"/>
          <w:sz w:val="24"/>
          <w:szCs w:val="24"/>
        </w:rPr>
      </w:pPr>
    </w:p>
    <w:p w14:paraId="4B61FCC8" w14:textId="77777777" w:rsidR="004A0328" w:rsidRDefault="004A0328" w:rsidP="00740612">
      <w:pPr>
        <w:spacing w:after="0" w:line="283" w:lineRule="auto"/>
        <w:jc w:val="both"/>
        <w:rPr>
          <w:rFonts w:ascii="Arial" w:hAnsi="Arial" w:cs="Arial"/>
          <w:sz w:val="24"/>
          <w:szCs w:val="24"/>
        </w:rPr>
      </w:pPr>
      <w:r w:rsidRPr="004A0328">
        <w:rPr>
          <w:rFonts w:ascii="Arial" w:hAnsi="Arial" w:cs="Arial"/>
          <w:sz w:val="24"/>
          <w:szCs w:val="24"/>
        </w:rPr>
        <w:t xml:space="preserve">Rozporządzenie określa: </w:t>
      </w:r>
    </w:p>
    <w:p w14:paraId="6128308C" w14:textId="360C30C8" w:rsidR="004A0328" w:rsidRDefault="004A0328" w:rsidP="00740612">
      <w:pPr>
        <w:spacing w:after="0" w:line="283" w:lineRule="auto"/>
        <w:jc w:val="both"/>
        <w:rPr>
          <w:rFonts w:ascii="Arial" w:hAnsi="Arial" w:cs="Arial"/>
          <w:sz w:val="24"/>
          <w:szCs w:val="24"/>
        </w:rPr>
      </w:pPr>
      <w:r w:rsidRPr="004A0328">
        <w:rPr>
          <w:rFonts w:ascii="Arial" w:hAnsi="Arial" w:cs="Arial"/>
          <w:sz w:val="24"/>
          <w:szCs w:val="24"/>
        </w:rPr>
        <w:t xml:space="preserve">1) warunki i tryb: </w:t>
      </w:r>
    </w:p>
    <w:p w14:paraId="0DCEA0D7" w14:textId="77777777" w:rsidR="004A0328" w:rsidRDefault="004A0328" w:rsidP="00740612">
      <w:pPr>
        <w:spacing w:after="0" w:line="283" w:lineRule="auto"/>
        <w:jc w:val="both"/>
        <w:rPr>
          <w:rFonts w:ascii="Arial" w:hAnsi="Arial" w:cs="Arial"/>
          <w:sz w:val="24"/>
          <w:szCs w:val="24"/>
        </w:rPr>
      </w:pPr>
      <w:r w:rsidRPr="004A0328">
        <w:rPr>
          <w:rFonts w:ascii="Arial" w:hAnsi="Arial" w:cs="Arial"/>
          <w:sz w:val="24"/>
          <w:szCs w:val="24"/>
        </w:rPr>
        <w:t xml:space="preserve">a) wdrażania systemu wczesnego ostrzegania o zagrożeniach występujących w sieci Internet, zwanego „systemem ostrzegania”, w tym czynności niezbędne do uruchomienia systemu ostrzegania w infrastrukturze podmiotu, o którym mowa w art. 32aa ust. 1 ustawy z dnia 24 maja 2002 r. o Agencji Bezpieczeństwa Wewnętrznego oraz Agencji Wywiadu, zwanego „Uczestnikiem”, </w:t>
      </w:r>
    </w:p>
    <w:p w14:paraId="5A6F6A2E" w14:textId="77777777" w:rsidR="00494720" w:rsidRDefault="004A0328" w:rsidP="00740612">
      <w:pPr>
        <w:spacing w:after="0" w:line="283" w:lineRule="auto"/>
        <w:jc w:val="both"/>
        <w:rPr>
          <w:rFonts w:ascii="Arial" w:hAnsi="Arial" w:cs="Arial"/>
          <w:sz w:val="24"/>
          <w:szCs w:val="24"/>
        </w:rPr>
      </w:pPr>
      <w:r w:rsidRPr="004A0328">
        <w:rPr>
          <w:rFonts w:ascii="Arial" w:hAnsi="Arial" w:cs="Arial"/>
          <w:sz w:val="24"/>
          <w:szCs w:val="24"/>
        </w:rPr>
        <w:t xml:space="preserve">b) prowadzenia, w tym utrzymania, systemu ostrzegania, </w:t>
      </w:r>
    </w:p>
    <w:p w14:paraId="3AF2F3BA" w14:textId="77777777" w:rsidR="00494720" w:rsidRDefault="004A0328" w:rsidP="00740612">
      <w:pPr>
        <w:spacing w:after="0" w:line="283" w:lineRule="auto"/>
        <w:jc w:val="both"/>
        <w:rPr>
          <w:rFonts w:ascii="Arial" w:hAnsi="Arial" w:cs="Arial"/>
          <w:sz w:val="24"/>
          <w:szCs w:val="24"/>
        </w:rPr>
      </w:pPr>
      <w:r w:rsidRPr="004A0328">
        <w:rPr>
          <w:rFonts w:ascii="Arial" w:hAnsi="Arial" w:cs="Arial"/>
          <w:sz w:val="24"/>
          <w:szCs w:val="24"/>
        </w:rPr>
        <w:t xml:space="preserve">c) koordynacji systemu ostrzegania; </w:t>
      </w:r>
    </w:p>
    <w:p w14:paraId="6F1EB8BA" w14:textId="4C37ED92" w:rsidR="004A0328" w:rsidRDefault="00494720" w:rsidP="00740612">
      <w:pPr>
        <w:spacing w:after="0" w:line="283" w:lineRule="auto"/>
        <w:jc w:val="both"/>
        <w:rPr>
          <w:rFonts w:ascii="Arial" w:hAnsi="Arial" w:cs="Arial"/>
          <w:sz w:val="24"/>
          <w:szCs w:val="24"/>
        </w:rPr>
      </w:pPr>
      <w:r w:rsidRPr="004A0328">
        <w:rPr>
          <w:rFonts w:ascii="Arial" w:hAnsi="Arial" w:cs="Arial"/>
          <w:sz w:val="24"/>
          <w:szCs w:val="24"/>
        </w:rPr>
        <w:t xml:space="preserve">2) </w:t>
      </w:r>
      <w:r w:rsidR="004A0328" w:rsidRPr="004A0328">
        <w:rPr>
          <w:rFonts w:ascii="Arial" w:hAnsi="Arial" w:cs="Arial"/>
          <w:sz w:val="24"/>
          <w:szCs w:val="24"/>
        </w:rPr>
        <w:t>wzór porozumienia w sprawie technicznych aspektów uczestnictwa w systemie ostrzegania oraz modelu konfiguracji system</w:t>
      </w:r>
      <w:r>
        <w:rPr>
          <w:rFonts w:ascii="Arial" w:hAnsi="Arial" w:cs="Arial"/>
          <w:sz w:val="24"/>
          <w:szCs w:val="24"/>
        </w:rPr>
        <w:t>u</w:t>
      </w:r>
      <w:r w:rsidR="004A0328" w:rsidRPr="004A0328">
        <w:rPr>
          <w:rFonts w:ascii="Arial" w:hAnsi="Arial" w:cs="Arial"/>
          <w:sz w:val="24"/>
          <w:szCs w:val="24"/>
        </w:rPr>
        <w:t>.</w:t>
      </w:r>
      <w:r>
        <w:rPr>
          <w:rFonts w:ascii="Arial" w:hAnsi="Arial" w:cs="Arial"/>
          <w:sz w:val="24"/>
          <w:szCs w:val="24"/>
        </w:rPr>
        <w:t xml:space="preserve"> </w:t>
      </w:r>
    </w:p>
    <w:p w14:paraId="13896D91" w14:textId="77777777" w:rsidR="00494720" w:rsidRDefault="00494720" w:rsidP="00740612">
      <w:pPr>
        <w:spacing w:after="0" w:line="283" w:lineRule="auto"/>
        <w:jc w:val="both"/>
        <w:rPr>
          <w:rFonts w:ascii="Arial" w:hAnsi="Arial" w:cs="Arial"/>
          <w:sz w:val="24"/>
          <w:szCs w:val="24"/>
        </w:rPr>
      </w:pPr>
    </w:p>
    <w:p w14:paraId="35E00B75" w14:textId="39CCF423" w:rsidR="00494720" w:rsidRPr="004A0328" w:rsidRDefault="00494720" w:rsidP="00740612">
      <w:pPr>
        <w:spacing w:after="0" w:line="283" w:lineRule="auto"/>
        <w:jc w:val="both"/>
        <w:rPr>
          <w:rFonts w:ascii="Arial" w:hAnsi="Arial" w:cs="Arial"/>
          <w:sz w:val="24"/>
          <w:szCs w:val="24"/>
        </w:rPr>
      </w:pPr>
      <w:r w:rsidRPr="00494720">
        <w:rPr>
          <w:rFonts w:ascii="Arial" w:hAnsi="Arial" w:cs="Arial"/>
          <w:sz w:val="24"/>
          <w:szCs w:val="24"/>
        </w:rPr>
        <w:t>Rozporządzenie wchodzi w życie po upływie 14 dni od dnia ogłoszeni</w:t>
      </w:r>
      <w:r>
        <w:rPr>
          <w:rFonts w:ascii="Arial" w:hAnsi="Arial" w:cs="Arial"/>
          <w:sz w:val="24"/>
          <w:szCs w:val="24"/>
        </w:rPr>
        <w:t>, tj. 30 lipca 2025 roku.</w:t>
      </w:r>
    </w:p>
    <w:p w14:paraId="6A22900D" w14:textId="77777777" w:rsidR="004A0328" w:rsidRPr="004A0328" w:rsidRDefault="004A0328" w:rsidP="00740612">
      <w:pPr>
        <w:spacing w:after="0" w:line="283" w:lineRule="auto"/>
        <w:jc w:val="both"/>
        <w:rPr>
          <w:rFonts w:ascii="Arial" w:hAnsi="Arial" w:cs="Arial"/>
          <w:sz w:val="24"/>
          <w:szCs w:val="24"/>
        </w:rPr>
      </w:pPr>
    </w:p>
    <w:p w14:paraId="108DD5A2" w14:textId="314ADA3F" w:rsidR="00494720" w:rsidRDefault="00494720" w:rsidP="00740612">
      <w:pPr>
        <w:pStyle w:val="Akapitzlist"/>
        <w:numPr>
          <w:ilvl w:val="0"/>
          <w:numId w:val="2"/>
        </w:numPr>
        <w:spacing w:after="0" w:line="283" w:lineRule="auto"/>
        <w:ind w:left="426" w:hanging="426"/>
        <w:jc w:val="both"/>
        <w:rPr>
          <w:rFonts w:ascii="Arial" w:hAnsi="Arial" w:cs="Arial"/>
          <w:sz w:val="24"/>
          <w:szCs w:val="24"/>
          <w:u w:val="single"/>
        </w:rPr>
      </w:pPr>
      <w:r w:rsidRPr="00494720">
        <w:rPr>
          <w:rFonts w:ascii="Arial" w:hAnsi="Arial" w:cs="Arial"/>
          <w:sz w:val="24"/>
          <w:szCs w:val="24"/>
          <w:u w:val="single"/>
        </w:rPr>
        <w:t>Rozporządzenie Ministra Funduszy i Polityki Regionalnej z dnia 10 lipca 2025 r. zmieniające rozporządzenie w sprawie udzielania pomocy inwestycyjnej na propagowanie energii ze źródeł odnawialnych, propagowanie wodoru odnawialnego i wysokosprawnej kogeneracji w ramach regionalnych programów na lata 2021‒2027</w:t>
      </w:r>
      <w:r w:rsidR="003E1FA5">
        <w:rPr>
          <w:rFonts w:ascii="Arial" w:hAnsi="Arial" w:cs="Arial"/>
          <w:sz w:val="24"/>
          <w:szCs w:val="24"/>
          <w:u w:val="single"/>
        </w:rPr>
        <w:t>.</w:t>
      </w:r>
    </w:p>
    <w:p w14:paraId="0725A0FC" w14:textId="77777777" w:rsidR="00494720" w:rsidRPr="00494720" w:rsidRDefault="00494720" w:rsidP="00740612">
      <w:pPr>
        <w:spacing w:after="0" w:line="283" w:lineRule="auto"/>
        <w:jc w:val="both"/>
        <w:rPr>
          <w:rFonts w:ascii="Arial" w:hAnsi="Arial" w:cs="Arial"/>
          <w:sz w:val="24"/>
          <w:szCs w:val="24"/>
        </w:rPr>
      </w:pPr>
    </w:p>
    <w:p w14:paraId="70B39B39" w14:textId="6D6A46F0" w:rsidR="00494720" w:rsidRDefault="00494720" w:rsidP="00740612">
      <w:pPr>
        <w:spacing w:after="0" w:line="283" w:lineRule="auto"/>
        <w:jc w:val="both"/>
        <w:rPr>
          <w:rFonts w:ascii="Arial" w:hAnsi="Arial" w:cs="Arial"/>
          <w:sz w:val="24"/>
          <w:szCs w:val="24"/>
        </w:rPr>
      </w:pPr>
      <w:bookmarkStart w:id="4" w:name="_Hlk204071007"/>
      <w:r w:rsidRPr="00494720">
        <w:rPr>
          <w:rFonts w:ascii="Arial" w:hAnsi="Arial" w:cs="Arial"/>
          <w:sz w:val="24"/>
          <w:szCs w:val="24"/>
        </w:rPr>
        <w:t>Powyższy akt prawny opublikowany został 1</w:t>
      </w:r>
      <w:r>
        <w:rPr>
          <w:rFonts w:ascii="Arial" w:hAnsi="Arial" w:cs="Arial"/>
          <w:sz w:val="24"/>
          <w:szCs w:val="24"/>
        </w:rPr>
        <w:t>7</w:t>
      </w:r>
      <w:r w:rsidRPr="00494720">
        <w:rPr>
          <w:rFonts w:ascii="Arial" w:hAnsi="Arial" w:cs="Arial"/>
          <w:sz w:val="24"/>
          <w:szCs w:val="24"/>
        </w:rPr>
        <w:t xml:space="preserve"> lipca 2025 roku w Dzienniku Ustaw (Dz.U. z 2025, poz. 95</w:t>
      </w:r>
      <w:r>
        <w:rPr>
          <w:rFonts w:ascii="Arial" w:hAnsi="Arial" w:cs="Arial"/>
          <w:sz w:val="24"/>
          <w:szCs w:val="24"/>
        </w:rPr>
        <w:t>1</w:t>
      </w:r>
      <w:r w:rsidRPr="00494720">
        <w:rPr>
          <w:rFonts w:ascii="Arial" w:hAnsi="Arial" w:cs="Arial"/>
          <w:sz w:val="24"/>
          <w:szCs w:val="24"/>
        </w:rPr>
        <w:t>).</w:t>
      </w:r>
    </w:p>
    <w:bookmarkEnd w:id="4"/>
    <w:p w14:paraId="1967E629" w14:textId="77777777" w:rsidR="00494720" w:rsidRPr="00494720" w:rsidRDefault="00494720" w:rsidP="00740612">
      <w:pPr>
        <w:spacing w:after="0" w:line="283" w:lineRule="auto"/>
        <w:jc w:val="both"/>
        <w:rPr>
          <w:rFonts w:ascii="Arial" w:hAnsi="Arial" w:cs="Arial"/>
          <w:sz w:val="24"/>
          <w:szCs w:val="24"/>
        </w:rPr>
      </w:pPr>
    </w:p>
    <w:p w14:paraId="2E150125" w14:textId="77777777" w:rsidR="00494720" w:rsidRDefault="00494720" w:rsidP="00740612">
      <w:pPr>
        <w:spacing w:after="0" w:line="283" w:lineRule="auto"/>
        <w:jc w:val="both"/>
        <w:rPr>
          <w:rFonts w:ascii="Arial" w:hAnsi="Arial" w:cs="Arial"/>
          <w:sz w:val="24"/>
          <w:szCs w:val="24"/>
        </w:rPr>
      </w:pPr>
      <w:r w:rsidRPr="00494720">
        <w:rPr>
          <w:rFonts w:ascii="Arial" w:hAnsi="Arial" w:cs="Arial"/>
          <w:sz w:val="24"/>
          <w:szCs w:val="24"/>
        </w:rPr>
        <w:t xml:space="preserve">W rozporządzeniu Ministra Funduszy i Polityki Regionalnej z dnia 11 grudnia 2022 r. w sprawie udzielania pomocy inwestycyjnej na propagowanie energii ze źródeł odnawialnych, propagowanie wodoru odnawialnego i wysokosprawnej kogeneracji w ramach regionalnych programów na lata 2021–2027 (Dz. U. z 2025 r. poz. 150) w § 6 w ust. 2 pkt 1–3 otrzymują brzmienie: </w:t>
      </w:r>
    </w:p>
    <w:p w14:paraId="1A610872" w14:textId="77777777" w:rsidR="00494720" w:rsidRDefault="00494720" w:rsidP="00740612">
      <w:pPr>
        <w:spacing w:after="0" w:line="283" w:lineRule="auto"/>
        <w:jc w:val="both"/>
        <w:rPr>
          <w:rFonts w:ascii="Arial" w:hAnsi="Arial" w:cs="Arial"/>
          <w:sz w:val="24"/>
          <w:szCs w:val="24"/>
        </w:rPr>
      </w:pPr>
      <w:r w:rsidRPr="00494720">
        <w:rPr>
          <w:rFonts w:ascii="Arial" w:hAnsi="Arial" w:cs="Arial"/>
          <w:sz w:val="24"/>
          <w:szCs w:val="24"/>
        </w:rPr>
        <w:lastRenderedPageBreak/>
        <w:t xml:space="preserve">„1) produkcji lub magazynowania energii elektrycznej lub energii cieplnej ze źródeł odnawialnych, jeżeli są spełnione warunki, o których mowa w art. 41 ust. 1a rozporządzenia nr 651/2014; </w:t>
      </w:r>
    </w:p>
    <w:p w14:paraId="3365D9E1" w14:textId="748CA1D9" w:rsidR="00494720" w:rsidRDefault="00494720" w:rsidP="00740612">
      <w:pPr>
        <w:spacing w:after="0" w:line="283" w:lineRule="auto"/>
        <w:jc w:val="both"/>
        <w:rPr>
          <w:rFonts w:ascii="Arial" w:hAnsi="Arial" w:cs="Arial"/>
          <w:sz w:val="24"/>
          <w:szCs w:val="24"/>
        </w:rPr>
      </w:pPr>
      <w:r w:rsidRPr="00494720">
        <w:rPr>
          <w:rFonts w:ascii="Arial" w:hAnsi="Arial" w:cs="Arial"/>
          <w:sz w:val="24"/>
          <w:szCs w:val="24"/>
        </w:rPr>
        <w:t xml:space="preserve">2) produkcji lub magazynowania biopaliw, </w:t>
      </w:r>
      <w:proofErr w:type="spellStart"/>
      <w:r w:rsidRPr="00494720">
        <w:rPr>
          <w:rFonts w:ascii="Arial" w:hAnsi="Arial" w:cs="Arial"/>
          <w:sz w:val="24"/>
          <w:szCs w:val="24"/>
        </w:rPr>
        <w:t>biopłynów</w:t>
      </w:r>
      <w:proofErr w:type="spellEnd"/>
      <w:r w:rsidRPr="00494720">
        <w:rPr>
          <w:rFonts w:ascii="Arial" w:hAnsi="Arial" w:cs="Arial"/>
          <w:sz w:val="24"/>
          <w:szCs w:val="24"/>
        </w:rPr>
        <w:t xml:space="preserve">, biogazu, w tym </w:t>
      </w:r>
      <w:proofErr w:type="spellStart"/>
      <w:r w:rsidRPr="00494720">
        <w:rPr>
          <w:rFonts w:ascii="Arial" w:hAnsi="Arial" w:cs="Arial"/>
          <w:sz w:val="24"/>
          <w:szCs w:val="24"/>
        </w:rPr>
        <w:t>biometanu</w:t>
      </w:r>
      <w:proofErr w:type="spellEnd"/>
      <w:r w:rsidRPr="00494720">
        <w:rPr>
          <w:rFonts w:ascii="Arial" w:hAnsi="Arial" w:cs="Arial"/>
          <w:sz w:val="24"/>
          <w:szCs w:val="24"/>
        </w:rPr>
        <w:t xml:space="preserve">, lub paliw z biomasy, jeżeli są spełnione warunki, o których mowa w art. 41 ust. 2 rozporządzenia nr 651/2014; </w:t>
      </w:r>
    </w:p>
    <w:p w14:paraId="1FE35E08" w14:textId="77777777" w:rsidR="00494720" w:rsidRDefault="00494720" w:rsidP="00740612">
      <w:pPr>
        <w:spacing w:after="0" w:line="283" w:lineRule="auto"/>
        <w:jc w:val="both"/>
        <w:rPr>
          <w:rFonts w:ascii="Arial" w:hAnsi="Arial" w:cs="Arial"/>
          <w:sz w:val="24"/>
          <w:szCs w:val="24"/>
        </w:rPr>
      </w:pPr>
      <w:r w:rsidRPr="00494720">
        <w:rPr>
          <w:rFonts w:ascii="Arial" w:hAnsi="Arial" w:cs="Arial"/>
          <w:sz w:val="24"/>
          <w:szCs w:val="24"/>
        </w:rPr>
        <w:t xml:space="preserve">3) produkcji, </w:t>
      </w:r>
      <w:proofErr w:type="spellStart"/>
      <w:r w:rsidRPr="00494720">
        <w:rPr>
          <w:rFonts w:ascii="Arial" w:hAnsi="Arial" w:cs="Arial"/>
          <w:sz w:val="24"/>
          <w:szCs w:val="24"/>
        </w:rPr>
        <w:t>przesyłu</w:t>
      </w:r>
      <w:proofErr w:type="spellEnd"/>
      <w:r w:rsidRPr="00494720">
        <w:rPr>
          <w:rFonts w:ascii="Arial" w:hAnsi="Arial" w:cs="Arial"/>
          <w:sz w:val="24"/>
          <w:szCs w:val="24"/>
        </w:rPr>
        <w:t xml:space="preserve">, dystrybucji lub magazynowania wodoru odnawialnego, jeżeli są spełnione warunki, o których mowa w art. 41 ust. 3 rozporządzenia nr 651/2014;”. </w:t>
      </w:r>
    </w:p>
    <w:p w14:paraId="5CEA744F" w14:textId="0612DDC0" w:rsidR="00494720" w:rsidRPr="00494720" w:rsidRDefault="00494720" w:rsidP="00740612">
      <w:pPr>
        <w:spacing w:after="0" w:line="283" w:lineRule="auto"/>
        <w:jc w:val="both"/>
        <w:rPr>
          <w:rFonts w:ascii="Arial" w:hAnsi="Arial" w:cs="Arial"/>
          <w:sz w:val="24"/>
          <w:szCs w:val="24"/>
        </w:rPr>
      </w:pPr>
      <w:r w:rsidRPr="00494720">
        <w:rPr>
          <w:rFonts w:ascii="Arial" w:hAnsi="Arial" w:cs="Arial"/>
          <w:sz w:val="24"/>
          <w:szCs w:val="24"/>
        </w:rPr>
        <w:t>Do umów albo porozumień zawieranych oraz decyzji o dofinansowaniu projektu podejmowanych po dniu wejścia w życie niniejszego rozporządzenia na podstawie wniosków o udzielenie pomocy, o której mowa w § 1 zmienianego</w:t>
      </w:r>
      <w:r w:rsidRPr="00494720">
        <w:rPr>
          <w:rFonts w:ascii="Arial" w:hAnsi="Arial" w:cs="Arial"/>
          <w:sz w:val="24"/>
          <w:szCs w:val="24"/>
        </w:rPr>
        <w:t xml:space="preserve"> </w:t>
      </w:r>
      <w:r w:rsidRPr="00494720">
        <w:rPr>
          <w:rFonts w:ascii="Arial" w:hAnsi="Arial" w:cs="Arial"/>
          <w:sz w:val="24"/>
          <w:szCs w:val="24"/>
        </w:rPr>
        <w:t>rozporządzenia</w:t>
      </w:r>
      <w:r>
        <w:rPr>
          <w:rFonts w:ascii="Arial" w:hAnsi="Arial" w:cs="Arial"/>
          <w:sz w:val="24"/>
          <w:szCs w:val="24"/>
        </w:rPr>
        <w:t>,</w:t>
      </w:r>
      <w:r w:rsidRPr="00494720">
        <w:rPr>
          <w:rFonts w:ascii="Arial" w:hAnsi="Arial" w:cs="Arial"/>
          <w:sz w:val="24"/>
          <w:szCs w:val="24"/>
        </w:rPr>
        <w:t xml:space="preserve"> złożonych w postępowaniach wszczętych przed tym dniem stosuje się przepisy rozporządzenia zmienianego w brzmieniu dotychczasowym</w:t>
      </w:r>
      <w:r>
        <w:rPr>
          <w:rFonts w:ascii="Arial" w:hAnsi="Arial" w:cs="Arial"/>
          <w:sz w:val="24"/>
          <w:szCs w:val="24"/>
        </w:rPr>
        <w:t>.</w:t>
      </w:r>
    </w:p>
    <w:p w14:paraId="35F2584C" w14:textId="77777777" w:rsidR="00494720" w:rsidRDefault="00494720" w:rsidP="00740612">
      <w:pPr>
        <w:spacing w:after="0" w:line="283" w:lineRule="auto"/>
        <w:jc w:val="both"/>
        <w:rPr>
          <w:rFonts w:ascii="Arial" w:hAnsi="Arial" w:cs="Arial"/>
          <w:sz w:val="24"/>
          <w:szCs w:val="24"/>
        </w:rPr>
      </w:pPr>
    </w:p>
    <w:p w14:paraId="354BC5CC" w14:textId="267C16FA" w:rsidR="00494720" w:rsidRPr="00494720" w:rsidRDefault="00494720" w:rsidP="00740612">
      <w:pPr>
        <w:spacing w:after="0" w:line="283" w:lineRule="auto"/>
        <w:jc w:val="both"/>
        <w:rPr>
          <w:rFonts w:ascii="Arial" w:hAnsi="Arial" w:cs="Arial"/>
          <w:sz w:val="24"/>
          <w:szCs w:val="24"/>
        </w:rPr>
      </w:pPr>
      <w:r w:rsidRPr="00494720">
        <w:rPr>
          <w:rFonts w:ascii="Arial" w:hAnsi="Arial" w:cs="Arial"/>
          <w:sz w:val="24"/>
          <w:szCs w:val="24"/>
        </w:rPr>
        <w:t>Rozporządzenie wchodzi w życie z dniem następującym po dniu ogłoszenia</w:t>
      </w:r>
      <w:r>
        <w:rPr>
          <w:rFonts w:ascii="Arial" w:hAnsi="Arial" w:cs="Arial"/>
          <w:sz w:val="24"/>
          <w:szCs w:val="24"/>
        </w:rPr>
        <w:t>, tj. 18 lipca 2025 roku</w:t>
      </w:r>
      <w:r w:rsidRPr="00494720">
        <w:rPr>
          <w:rFonts w:ascii="Arial" w:hAnsi="Arial" w:cs="Arial"/>
          <w:sz w:val="24"/>
          <w:szCs w:val="24"/>
        </w:rPr>
        <w:t>.</w:t>
      </w:r>
    </w:p>
    <w:p w14:paraId="76EF1457" w14:textId="77777777" w:rsidR="00494720" w:rsidRPr="00494720" w:rsidRDefault="00494720" w:rsidP="00740612">
      <w:pPr>
        <w:spacing w:after="0" w:line="283" w:lineRule="auto"/>
        <w:jc w:val="both"/>
        <w:rPr>
          <w:rFonts w:ascii="Arial" w:hAnsi="Arial" w:cs="Arial"/>
          <w:sz w:val="24"/>
          <w:szCs w:val="24"/>
        </w:rPr>
      </w:pPr>
    </w:p>
    <w:p w14:paraId="5CD33696" w14:textId="1FA36520" w:rsidR="00494720" w:rsidRDefault="003E1FA5" w:rsidP="00740612">
      <w:pPr>
        <w:pStyle w:val="Akapitzlist"/>
        <w:numPr>
          <w:ilvl w:val="0"/>
          <w:numId w:val="2"/>
        </w:numPr>
        <w:spacing w:after="0" w:line="283" w:lineRule="auto"/>
        <w:ind w:left="426" w:hanging="426"/>
        <w:jc w:val="both"/>
        <w:rPr>
          <w:rFonts w:ascii="Arial" w:hAnsi="Arial" w:cs="Arial"/>
          <w:sz w:val="24"/>
          <w:szCs w:val="24"/>
          <w:u w:val="single"/>
        </w:rPr>
      </w:pPr>
      <w:r w:rsidRPr="003E1FA5">
        <w:rPr>
          <w:rFonts w:ascii="Arial" w:hAnsi="Arial" w:cs="Arial"/>
          <w:sz w:val="24"/>
          <w:szCs w:val="24"/>
          <w:u w:val="single"/>
        </w:rPr>
        <w:t>Rozporządzenie Ministra Klimatu i Środowiska z dnia 11 lipca 2025 r. zmieniające rozporządzenie w sprawie szczegółowych warunków udzielania regionalnej pomocy publicznej inwestycyjnej na cele z zakresu ochrony środowiska</w:t>
      </w:r>
      <w:r>
        <w:rPr>
          <w:rFonts w:ascii="Arial" w:hAnsi="Arial" w:cs="Arial"/>
          <w:sz w:val="24"/>
          <w:szCs w:val="24"/>
          <w:u w:val="single"/>
        </w:rPr>
        <w:t>.</w:t>
      </w:r>
    </w:p>
    <w:p w14:paraId="4C7E69E2" w14:textId="77777777" w:rsidR="00A44D0A" w:rsidRPr="00A44D0A" w:rsidRDefault="00A44D0A" w:rsidP="00740612">
      <w:pPr>
        <w:spacing w:after="0" w:line="283" w:lineRule="auto"/>
        <w:jc w:val="both"/>
        <w:rPr>
          <w:rFonts w:ascii="Arial" w:hAnsi="Arial" w:cs="Arial"/>
          <w:sz w:val="24"/>
          <w:szCs w:val="24"/>
        </w:rPr>
      </w:pPr>
    </w:p>
    <w:p w14:paraId="1DDD0C6B" w14:textId="6C889B24" w:rsidR="00A44D0A" w:rsidRPr="00A44D0A" w:rsidRDefault="003E1FA5" w:rsidP="00740612">
      <w:pPr>
        <w:spacing w:after="0" w:line="283" w:lineRule="auto"/>
        <w:jc w:val="both"/>
        <w:rPr>
          <w:rFonts w:ascii="Arial" w:hAnsi="Arial" w:cs="Arial"/>
          <w:sz w:val="24"/>
          <w:szCs w:val="24"/>
        </w:rPr>
      </w:pPr>
      <w:r w:rsidRPr="003E1FA5">
        <w:rPr>
          <w:rFonts w:ascii="Arial" w:hAnsi="Arial" w:cs="Arial"/>
          <w:sz w:val="24"/>
          <w:szCs w:val="24"/>
        </w:rPr>
        <w:t>Powyższy akt prawny opublikowany został 17 lipca 2025 roku w Dzienniku Ustaw (Dz.U. z 2025, poz. 95</w:t>
      </w:r>
      <w:r>
        <w:rPr>
          <w:rFonts w:ascii="Arial" w:hAnsi="Arial" w:cs="Arial"/>
          <w:sz w:val="24"/>
          <w:szCs w:val="24"/>
        </w:rPr>
        <w:t>2</w:t>
      </w:r>
      <w:r w:rsidRPr="003E1FA5">
        <w:rPr>
          <w:rFonts w:ascii="Arial" w:hAnsi="Arial" w:cs="Arial"/>
          <w:sz w:val="24"/>
          <w:szCs w:val="24"/>
        </w:rPr>
        <w:t>).</w:t>
      </w:r>
    </w:p>
    <w:p w14:paraId="524CCF73" w14:textId="77777777" w:rsidR="00A44D0A" w:rsidRDefault="00A44D0A" w:rsidP="00740612">
      <w:pPr>
        <w:spacing w:after="0" w:line="283" w:lineRule="auto"/>
        <w:jc w:val="both"/>
        <w:rPr>
          <w:rFonts w:ascii="Arial" w:hAnsi="Arial" w:cs="Arial"/>
          <w:sz w:val="24"/>
          <w:szCs w:val="24"/>
        </w:rPr>
      </w:pPr>
    </w:p>
    <w:p w14:paraId="6E0BBCE0" w14:textId="77777777" w:rsidR="003E1FA5" w:rsidRDefault="003E1FA5" w:rsidP="00740612">
      <w:pPr>
        <w:spacing w:after="0" w:line="283" w:lineRule="auto"/>
        <w:jc w:val="both"/>
        <w:rPr>
          <w:rFonts w:ascii="Arial" w:hAnsi="Arial" w:cs="Arial"/>
          <w:sz w:val="24"/>
          <w:szCs w:val="24"/>
        </w:rPr>
      </w:pPr>
      <w:r w:rsidRPr="003E1FA5">
        <w:rPr>
          <w:rFonts w:ascii="Arial" w:hAnsi="Arial" w:cs="Arial"/>
          <w:sz w:val="24"/>
          <w:szCs w:val="24"/>
        </w:rPr>
        <w:t xml:space="preserve">W rozporządzeniu Ministra Środowiska z dnia 30 marca 2015 r. w sprawie szczegółowych warunków udzielania regionalnej pomocy publicznej inwestycyjnej na cele z zakresu ochrony środowiska (Dz. U. z 2024 r. poz. 752) wprowadza się następujące zmiany: </w:t>
      </w:r>
    </w:p>
    <w:p w14:paraId="3A1D6282" w14:textId="77777777" w:rsidR="003E1FA5" w:rsidRDefault="003E1FA5" w:rsidP="00740612">
      <w:pPr>
        <w:spacing w:after="0" w:line="283" w:lineRule="auto"/>
        <w:jc w:val="both"/>
        <w:rPr>
          <w:rFonts w:ascii="Arial" w:hAnsi="Arial" w:cs="Arial"/>
          <w:sz w:val="24"/>
          <w:szCs w:val="24"/>
        </w:rPr>
      </w:pPr>
      <w:r w:rsidRPr="003E1FA5">
        <w:rPr>
          <w:rFonts w:ascii="Arial" w:hAnsi="Arial" w:cs="Arial"/>
          <w:sz w:val="24"/>
          <w:szCs w:val="24"/>
        </w:rPr>
        <w:t xml:space="preserve">1) w § 3 w ust. 1 pkt 4 otrzymuje brzmienie: </w:t>
      </w:r>
    </w:p>
    <w:p w14:paraId="2094B1F5" w14:textId="77777777" w:rsidR="003E1FA5" w:rsidRDefault="003E1FA5" w:rsidP="00740612">
      <w:pPr>
        <w:spacing w:after="0" w:line="283" w:lineRule="auto"/>
        <w:jc w:val="both"/>
        <w:rPr>
          <w:rFonts w:ascii="Arial" w:hAnsi="Arial" w:cs="Arial"/>
          <w:sz w:val="24"/>
          <w:szCs w:val="24"/>
        </w:rPr>
      </w:pPr>
      <w:r w:rsidRPr="003E1FA5">
        <w:rPr>
          <w:rFonts w:ascii="Arial" w:hAnsi="Arial" w:cs="Arial"/>
          <w:sz w:val="24"/>
          <w:szCs w:val="24"/>
        </w:rPr>
        <w:t xml:space="preserve">„4) dużych projektów inwestycyjnych, w przypadku których całkowita wartość zamierzonej pomocy zsumowanej z inną pomocą publiczną lub pomocą de </w:t>
      </w:r>
      <w:proofErr w:type="spellStart"/>
      <w:r w:rsidRPr="003E1FA5">
        <w:rPr>
          <w:rFonts w:ascii="Arial" w:hAnsi="Arial" w:cs="Arial"/>
          <w:sz w:val="24"/>
          <w:szCs w:val="24"/>
        </w:rPr>
        <w:t>minimis</w:t>
      </w:r>
      <w:proofErr w:type="spellEnd"/>
      <w:r w:rsidRPr="003E1FA5">
        <w:rPr>
          <w:rFonts w:ascii="Arial" w:hAnsi="Arial" w:cs="Arial"/>
          <w:sz w:val="24"/>
          <w:szCs w:val="24"/>
        </w:rPr>
        <w:t xml:space="preserve"> ze wszystkich źródeł przekracza wartość pomocy obliczoną zgodnie ze wzorem: </w:t>
      </w:r>
    </w:p>
    <w:p w14:paraId="3CD31480" w14:textId="08C657A8" w:rsidR="003E1FA5" w:rsidRDefault="003E1FA5" w:rsidP="00740612">
      <w:pPr>
        <w:spacing w:after="0" w:line="283" w:lineRule="auto"/>
        <w:jc w:val="center"/>
        <w:rPr>
          <w:rFonts w:ascii="Arial" w:hAnsi="Arial" w:cs="Arial"/>
          <w:sz w:val="24"/>
          <w:szCs w:val="24"/>
        </w:rPr>
      </w:pPr>
      <w:r w:rsidRPr="003E1FA5">
        <w:rPr>
          <w:rFonts w:ascii="Arial" w:hAnsi="Arial" w:cs="Arial"/>
          <w:sz w:val="24"/>
          <w:szCs w:val="24"/>
        </w:rPr>
        <w:t>wartość pomocy = R × 82,5 mln euro</w:t>
      </w:r>
    </w:p>
    <w:p w14:paraId="53542DAC" w14:textId="77777777" w:rsidR="003E1FA5" w:rsidRDefault="003E1FA5" w:rsidP="00740612">
      <w:pPr>
        <w:spacing w:after="0" w:line="283" w:lineRule="auto"/>
        <w:jc w:val="both"/>
        <w:rPr>
          <w:rFonts w:ascii="Arial" w:hAnsi="Arial" w:cs="Arial"/>
          <w:sz w:val="24"/>
          <w:szCs w:val="24"/>
        </w:rPr>
      </w:pPr>
      <w:r w:rsidRPr="003E1FA5">
        <w:rPr>
          <w:rFonts w:ascii="Arial" w:hAnsi="Arial" w:cs="Arial"/>
          <w:sz w:val="24"/>
          <w:szCs w:val="24"/>
        </w:rPr>
        <w:t xml:space="preserve">gdzie symbol R oznacza maksymalną intensywność pomocy określoną w załączniku do rozporządzenia Rady Ministrów z dnia 14 grudnia 2021 r. w sprawie ustalenia mapy pomocy regionalnej na lata 2022–2027 (Dz. U. poz. 2422 oraz z 2025 r. poz. 908).”; </w:t>
      </w:r>
    </w:p>
    <w:p w14:paraId="5A2EAB71" w14:textId="77777777" w:rsidR="003E1FA5" w:rsidRDefault="003E1FA5" w:rsidP="00740612">
      <w:pPr>
        <w:spacing w:after="0" w:line="283" w:lineRule="auto"/>
        <w:jc w:val="both"/>
        <w:rPr>
          <w:rFonts w:ascii="Arial" w:hAnsi="Arial" w:cs="Arial"/>
          <w:sz w:val="24"/>
          <w:szCs w:val="24"/>
        </w:rPr>
      </w:pPr>
      <w:r w:rsidRPr="003E1FA5">
        <w:rPr>
          <w:rFonts w:ascii="Arial" w:hAnsi="Arial" w:cs="Arial"/>
          <w:sz w:val="24"/>
          <w:szCs w:val="24"/>
        </w:rPr>
        <w:t xml:space="preserve">2) w § 4 ust. 1 otrzymuje brzmienie: </w:t>
      </w:r>
    </w:p>
    <w:p w14:paraId="3BA78411" w14:textId="77777777" w:rsidR="003E1FA5" w:rsidRDefault="003E1FA5" w:rsidP="00740612">
      <w:pPr>
        <w:spacing w:after="0" w:line="283" w:lineRule="auto"/>
        <w:jc w:val="both"/>
        <w:rPr>
          <w:rFonts w:ascii="Arial" w:hAnsi="Arial" w:cs="Arial"/>
          <w:sz w:val="24"/>
          <w:szCs w:val="24"/>
        </w:rPr>
      </w:pPr>
      <w:r w:rsidRPr="003E1FA5">
        <w:rPr>
          <w:rFonts w:ascii="Arial" w:hAnsi="Arial" w:cs="Arial"/>
          <w:sz w:val="24"/>
          <w:szCs w:val="24"/>
        </w:rPr>
        <w:t xml:space="preserve">„1. Pomoc może być udzielana na realizację inwestycji będącej inwestycją początkową na obszarach określonych w załączniku do rozporządzenia Rady Ministrów z dnia 14 grudnia 2021 r. w sprawie ustalenia mapy pomocy regionalnej na lata 2022–2027.”; </w:t>
      </w:r>
    </w:p>
    <w:p w14:paraId="2FD1B280" w14:textId="77777777" w:rsidR="003E1FA5" w:rsidRDefault="003E1FA5" w:rsidP="00740612">
      <w:pPr>
        <w:spacing w:after="0" w:line="283" w:lineRule="auto"/>
        <w:jc w:val="both"/>
        <w:rPr>
          <w:rFonts w:ascii="Arial" w:hAnsi="Arial" w:cs="Arial"/>
          <w:sz w:val="24"/>
          <w:szCs w:val="24"/>
        </w:rPr>
      </w:pPr>
      <w:r w:rsidRPr="003E1FA5">
        <w:rPr>
          <w:rFonts w:ascii="Arial" w:hAnsi="Arial" w:cs="Arial"/>
          <w:sz w:val="24"/>
          <w:szCs w:val="24"/>
        </w:rPr>
        <w:t xml:space="preserve">3) w § 8: </w:t>
      </w:r>
    </w:p>
    <w:p w14:paraId="3534BA9D" w14:textId="13E413A1" w:rsidR="003E1FA5" w:rsidRDefault="003E1FA5" w:rsidP="00740612">
      <w:pPr>
        <w:spacing w:after="0" w:line="283" w:lineRule="auto"/>
        <w:jc w:val="both"/>
        <w:rPr>
          <w:rFonts w:ascii="Arial" w:hAnsi="Arial" w:cs="Arial"/>
          <w:sz w:val="24"/>
          <w:szCs w:val="24"/>
        </w:rPr>
      </w:pPr>
      <w:r w:rsidRPr="003E1FA5">
        <w:rPr>
          <w:rFonts w:ascii="Arial" w:hAnsi="Arial" w:cs="Arial"/>
          <w:sz w:val="24"/>
          <w:szCs w:val="24"/>
        </w:rPr>
        <w:t xml:space="preserve">a) ust. 1 otrzymuje brzmienie: </w:t>
      </w:r>
    </w:p>
    <w:p w14:paraId="5FA9402E" w14:textId="248248EF" w:rsidR="003E1FA5" w:rsidRDefault="003E1FA5" w:rsidP="00740612">
      <w:pPr>
        <w:spacing w:after="0" w:line="283" w:lineRule="auto"/>
        <w:jc w:val="both"/>
        <w:rPr>
          <w:rFonts w:ascii="Arial" w:hAnsi="Arial" w:cs="Arial"/>
          <w:sz w:val="24"/>
          <w:szCs w:val="24"/>
        </w:rPr>
      </w:pPr>
      <w:r w:rsidRPr="003E1FA5">
        <w:rPr>
          <w:rFonts w:ascii="Arial" w:hAnsi="Arial" w:cs="Arial"/>
          <w:sz w:val="24"/>
          <w:szCs w:val="24"/>
        </w:rPr>
        <w:lastRenderedPageBreak/>
        <w:t>„1. Intensywność pomocy, z wyjątkiem wsparcia udzielanego zgodnie z ust. 5, nie może przekraczać wielkości określonych w załączniku do rozporządzenia Rady Ministrów z dnia 14 grudnia 2021 r. w sprawie ustalenia mapy pomocy regionalnej na lata 2022–2027.”,</w:t>
      </w:r>
    </w:p>
    <w:p w14:paraId="09BFD3F4" w14:textId="77777777" w:rsidR="003E1FA5" w:rsidRDefault="003E1FA5" w:rsidP="00740612">
      <w:pPr>
        <w:spacing w:after="0" w:line="283" w:lineRule="auto"/>
        <w:jc w:val="both"/>
        <w:rPr>
          <w:rFonts w:ascii="Arial" w:hAnsi="Arial" w:cs="Arial"/>
          <w:sz w:val="24"/>
          <w:szCs w:val="24"/>
        </w:rPr>
      </w:pPr>
      <w:r w:rsidRPr="003E1FA5">
        <w:rPr>
          <w:rFonts w:ascii="Arial" w:hAnsi="Arial" w:cs="Arial"/>
          <w:sz w:val="24"/>
          <w:szCs w:val="24"/>
        </w:rPr>
        <w:t xml:space="preserve">b) ust. 5 otrzymuje brzmienie: </w:t>
      </w:r>
    </w:p>
    <w:p w14:paraId="27971B7C" w14:textId="77777777" w:rsidR="003E1FA5" w:rsidRDefault="003E1FA5" w:rsidP="00740612">
      <w:pPr>
        <w:spacing w:after="0" w:line="283" w:lineRule="auto"/>
        <w:jc w:val="both"/>
        <w:rPr>
          <w:rFonts w:ascii="Arial" w:hAnsi="Arial" w:cs="Arial"/>
          <w:sz w:val="24"/>
          <w:szCs w:val="24"/>
        </w:rPr>
      </w:pPr>
      <w:r w:rsidRPr="003E1FA5">
        <w:rPr>
          <w:rFonts w:ascii="Arial" w:hAnsi="Arial" w:cs="Arial"/>
          <w:sz w:val="24"/>
          <w:szCs w:val="24"/>
        </w:rPr>
        <w:t xml:space="preserve">„5. W przypadku wsparcia dużego projektu inwestycyjnego maksymalną wartość pomocy oblicza się zgodnie ze wzorem: </w:t>
      </w:r>
    </w:p>
    <w:p w14:paraId="68674BCF" w14:textId="5DD431D1" w:rsidR="003E1FA5" w:rsidRDefault="003E1FA5" w:rsidP="00740612">
      <w:pPr>
        <w:spacing w:after="0" w:line="283" w:lineRule="auto"/>
        <w:jc w:val="center"/>
        <w:rPr>
          <w:rFonts w:ascii="Arial" w:hAnsi="Arial" w:cs="Arial"/>
          <w:sz w:val="24"/>
          <w:szCs w:val="24"/>
        </w:rPr>
      </w:pPr>
      <w:r w:rsidRPr="003E1FA5">
        <w:rPr>
          <w:rFonts w:ascii="Arial" w:hAnsi="Arial" w:cs="Arial"/>
          <w:sz w:val="24"/>
          <w:szCs w:val="24"/>
        </w:rPr>
        <w:t>maksymalna wartość pomocy = R × (55 mln euro + 0,50 × B)</w:t>
      </w:r>
    </w:p>
    <w:p w14:paraId="65C83F38" w14:textId="77777777" w:rsidR="00F15AA2" w:rsidRDefault="003E1FA5" w:rsidP="00740612">
      <w:pPr>
        <w:spacing w:after="0" w:line="283" w:lineRule="auto"/>
        <w:jc w:val="both"/>
        <w:rPr>
          <w:rFonts w:ascii="Arial" w:hAnsi="Arial" w:cs="Arial"/>
          <w:sz w:val="24"/>
          <w:szCs w:val="24"/>
        </w:rPr>
      </w:pPr>
      <w:r w:rsidRPr="003E1FA5">
        <w:rPr>
          <w:rFonts w:ascii="Arial" w:hAnsi="Arial" w:cs="Arial"/>
          <w:sz w:val="24"/>
          <w:szCs w:val="24"/>
        </w:rPr>
        <w:t xml:space="preserve">gdzie poszczególne symbole oznaczają: R – maksymalną intensywność pomocy określoną w załączniku do rozporządzenia Rady Ministrów z dnia 14 grudnia 2021 r. w sprawie ustalenia mapy pomocy regionalnej na lata 2022–2027, B – wielkość kosztów kwalifikujących się do objęcia pomocą w części przekraczającej 55 mln euro i nieprzekraczającej 110 mln euro.”. </w:t>
      </w:r>
    </w:p>
    <w:p w14:paraId="3037D24D" w14:textId="746BDD8C" w:rsidR="003E1FA5" w:rsidRDefault="003E1FA5" w:rsidP="00740612">
      <w:pPr>
        <w:spacing w:after="0" w:line="283" w:lineRule="auto"/>
        <w:jc w:val="both"/>
        <w:rPr>
          <w:rFonts w:ascii="Arial" w:hAnsi="Arial" w:cs="Arial"/>
          <w:sz w:val="24"/>
          <w:szCs w:val="24"/>
        </w:rPr>
      </w:pPr>
      <w:r w:rsidRPr="003E1FA5">
        <w:rPr>
          <w:rFonts w:ascii="Arial" w:hAnsi="Arial" w:cs="Arial"/>
          <w:sz w:val="24"/>
          <w:szCs w:val="24"/>
        </w:rPr>
        <w:t xml:space="preserve">Złożone i nierozpatrzone przed dniem wejścia w życie rozporządzenia </w:t>
      </w:r>
      <w:r w:rsidR="00F15AA2">
        <w:rPr>
          <w:rFonts w:ascii="Arial" w:hAnsi="Arial" w:cs="Arial"/>
          <w:sz w:val="24"/>
          <w:szCs w:val="24"/>
        </w:rPr>
        <w:t xml:space="preserve">zmieniającego </w:t>
      </w:r>
      <w:r w:rsidRPr="003E1FA5">
        <w:rPr>
          <w:rFonts w:ascii="Arial" w:hAnsi="Arial" w:cs="Arial"/>
          <w:sz w:val="24"/>
          <w:szCs w:val="24"/>
        </w:rPr>
        <w:t xml:space="preserve">wnioski o udzielenie regionalnej pomocy publicznej inwestycyjnej na cele z zakresu ochrony środowiska rozpatruje się zgodnie z przepisami </w:t>
      </w:r>
      <w:r w:rsidR="00F15AA2" w:rsidRPr="003E1FA5">
        <w:rPr>
          <w:rFonts w:ascii="Arial" w:hAnsi="Arial" w:cs="Arial"/>
          <w:sz w:val="24"/>
          <w:szCs w:val="24"/>
        </w:rPr>
        <w:t>zmienianego</w:t>
      </w:r>
      <w:r w:rsidR="00F15AA2" w:rsidRPr="003E1FA5">
        <w:rPr>
          <w:rFonts w:ascii="Arial" w:hAnsi="Arial" w:cs="Arial"/>
          <w:sz w:val="24"/>
          <w:szCs w:val="24"/>
        </w:rPr>
        <w:t xml:space="preserve"> </w:t>
      </w:r>
      <w:r w:rsidRPr="003E1FA5">
        <w:rPr>
          <w:rFonts w:ascii="Arial" w:hAnsi="Arial" w:cs="Arial"/>
          <w:sz w:val="24"/>
          <w:szCs w:val="24"/>
        </w:rPr>
        <w:t>rozporządzenia</w:t>
      </w:r>
      <w:r w:rsidR="00F15AA2">
        <w:rPr>
          <w:rFonts w:ascii="Arial" w:hAnsi="Arial" w:cs="Arial"/>
          <w:sz w:val="24"/>
          <w:szCs w:val="24"/>
        </w:rPr>
        <w:t xml:space="preserve"> </w:t>
      </w:r>
      <w:r w:rsidRPr="003E1FA5">
        <w:rPr>
          <w:rFonts w:ascii="Arial" w:hAnsi="Arial" w:cs="Arial"/>
          <w:sz w:val="24"/>
          <w:szCs w:val="24"/>
        </w:rPr>
        <w:t>w brzmieniu nadanym niniejszym rozporządzeniem</w:t>
      </w:r>
      <w:r w:rsidR="00F15AA2">
        <w:rPr>
          <w:rFonts w:ascii="Arial" w:hAnsi="Arial" w:cs="Arial"/>
          <w:sz w:val="24"/>
          <w:szCs w:val="24"/>
        </w:rPr>
        <w:t>.</w:t>
      </w:r>
    </w:p>
    <w:p w14:paraId="6FCAC840" w14:textId="77777777" w:rsidR="00F15AA2" w:rsidRDefault="00F15AA2" w:rsidP="00740612">
      <w:pPr>
        <w:spacing w:after="0" w:line="283" w:lineRule="auto"/>
        <w:jc w:val="both"/>
        <w:rPr>
          <w:rFonts w:ascii="Arial" w:hAnsi="Arial" w:cs="Arial"/>
          <w:sz w:val="24"/>
          <w:szCs w:val="24"/>
        </w:rPr>
      </w:pPr>
    </w:p>
    <w:p w14:paraId="7C99E521" w14:textId="1ACC7505" w:rsidR="00F15AA2" w:rsidRPr="00A44D0A" w:rsidRDefault="00F15AA2" w:rsidP="00740612">
      <w:pPr>
        <w:spacing w:after="0" w:line="283" w:lineRule="auto"/>
        <w:jc w:val="both"/>
        <w:rPr>
          <w:rFonts w:ascii="Arial" w:hAnsi="Arial" w:cs="Arial"/>
          <w:sz w:val="24"/>
          <w:szCs w:val="24"/>
        </w:rPr>
      </w:pPr>
      <w:r w:rsidRPr="00F15AA2">
        <w:rPr>
          <w:rFonts w:ascii="Arial" w:hAnsi="Arial" w:cs="Arial"/>
          <w:sz w:val="24"/>
          <w:szCs w:val="24"/>
        </w:rPr>
        <w:t>Rozporządzenie wchodzi w życie z dniem 23 lipca 2025 r.</w:t>
      </w:r>
    </w:p>
    <w:p w14:paraId="4F1868C5" w14:textId="356BB920" w:rsidR="00A44D0A" w:rsidRPr="00F15AA2" w:rsidRDefault="00A44D0A" w:rsidP="00740612">
      <w:pPr>
        <w:spacing w:after="0" w:line="283" w:lineRule="auto"/>
        <w:jc w:val="both"/>
        <w:rPr>
          <w:rFonts w:ascii="Arial" w:hAnsi="Arial" w:cs="Arial"/>
          <w:sz w:val="24"/>
          <w:szCs w:val="24"/>
          <w:u w:val="single"/>
        </w:rPr>
      </w:pPr>
    </w:p>
    <w:p w14:paraId="7C1642F0" w14:textId="77777777" w:rsidR="00382C75" w:rsidRPr="009607BA" w:rsidRDefault="00382C75" w:rsidP="00DD37F3">
      <w:pPr>
        <w:spacing w:after="0"/>
        <w:jc w:val="both"/>
        <w:rPr>
          <w:rFonts w:ascii="Arial" w:eastAsia="Times New Roman" w:hAnsi="Arial" w:cs="Arial"/>
          <w:sz w:val="24"/>
          <w:szCs w:val="24"/>
          <w:lang w:eastAsia="pl-PL"/>
        </w:rPr>
      </w:pPr>
    </w:p>
    <w:p w14:paraId="200CD2C2" w14:textId="77777777" w:rsidR="004A0328" w:rsidRPr="009607BA" w:rsidRDefault="004A0328">
      <w:pPr>
        <w:spacing w:after="0"/>
        <w:jc w:val="both"/>
        <w:rPr>
          <w:rStyle w:val="markedcontent"/>
          <w:rFonts w:ascii="Arial" w:hAnsi="Arial" w:cs="Arial"/>
          <w:sz w:val="24"/>
          <w:szCs w:val="24"/>
        </w:rPr>
      </w:pPr>
    </w:p>
    <w:sectPr w:rsidR="004A0328" w:rsidRPr="00960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4EA3"/>
    <w:multiLevelType w:val="hybridMultilevel"/>
    <w:tmpl w:val="07849F48"/>
    <w:lvl w:ilvl="0" w:tplc="0415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A091D85"/>
    <w:multiLevelType w:val="hybridMultilevel"/>
    <w:tmpl w:val="9E908812"/>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C50DFC"/>
    <w:multiLevelType w:val="hybridMultilevel"/>
    <w:tmpl w:val="E4F40E9A"/>
    <w:lvl w:ilvl="0" w:tplc="9EEC5906">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24A65"/>
    <w:multiLevelType w:val="hybridMultilevel"/>
    <w:tmpl w:val="79202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5D5BA0"/>
    <w:multiLevelType w:val="hybridMultilevel"/>
    <w:tmpl w:val="7B864856"/>
    <w:lvl w:ilvl="0" w:tplc="7E224D0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3346294"/>
    <w:multiLevelType w:val="hybridMultilevel"/>
    <w:tmpl w:val="2ACE953C"/>
    <w:lvl w:ilvl="0" w:tplc="2D30E1A2">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897B69"/>
    <w:multiLevelType w:val="multilevel"/>
    <w:tmpl w:val="5B3E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C2FB0"/>
    <w:multiLevelType w:val="hybridMultilevel"/>
    <w:tmpl w:val="E87A22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F7DAD"/>
    <w:multiLevelType w:val="hybridMultilevel"/>
    <w:tmpl w:val="5EAC7D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E22CBF"/>
    <w:multiLevelType w:val="hybridMultilevel"/>
    <w:tmpl w:val="A3AED940"/>
    <w:lvl w:ilvl="0" w:tplc="109C9C1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F971A9"/>
    <w:multiLevelType w:val="hybridMultilevel"/>
    <w:tmpl w:val="61D80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1413C"/>
    <w:multiLevelType w:val="hybridMultilevel"/>
    <w:tmpl w:val="A63CCB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615305"/>
    <w:multiLevelType w:val="hybridMultilevel"/>
    <w:tmpl w:val="9E8CF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4A76AC"/>
    <w:multiLevelType w:val="hybridMultilevel"/>
    <w:tmpl w:val="6712765C"/>
    <w:lvl w:ilvl="0" w:tplc="04150011">
      <w:start w:val="1"/>
      <w:numFmt w:val="decimal"/>
      <w:lvlText w:val="%1)"/>
      <w:lvlJc w:val="left"/>
      <w:pPr>
        <w:ind w:left="720" w:hanging="360"/>
      </w:pPr>
    </w:lvl>
    <w:lvl w:ilvl="1" w:tplc="21B0E9D0">
      <w:start w:val="1"/>
      <w:numFmt w:val="lowerLetter"/>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5F4BFB"/>
    <w:multiLevelType w:val="multilevel"/>
    <w:tmpl w:val="38BC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6B6E92"/>
    <w:multiLevelType w:val="hybridMultilevel"/>
    <w:tmpl w:val="58505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A50200"/>
    <w:multiLevelType w:val="hybridMultilevel"/>
    <w:tmpl w:val="C0EEE8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DE0295"/>
    <w:multiLevelType w:val="hybridMultilevel"/>
    <w:tmpl w:val="79B0E4B8"/>
    <w:lvl w:ilvl="0" w:tplc="BDBC671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BE5206"/>
    <w:multiLevelType w:val="hybridMultilevel"/>
    <w:tmpl w:val="D9FAE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D02A12"/>
    <w:multiLevelType w:val="hybridMultilevel"/>
    <w:tmpl w:val="52A4B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C505D6"/>
    <w:multiLevelType w:val="hybridMultilevel"/>
    <w:tmpl w:val="B58E9C84"/>
    <w:lvl w:ilvl="0" w:tplc="37341F3A">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006199"/>
    <w:multiLevelType w:val="hybridMultilevel"/>
    <w:tmpl w:val="F22042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8D6C5A"/>
    <w:multiLevelType w:val="hybridMultilevel"/>
    <w:tmpl w:val="64044E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303A8D"/>
    <w:multiLevelType w:val="hybridMultilevel"/>
    <w:tmpl w:val="F3F821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A22E91"/>
    <w:multiLevelType w:val="hybridMultilevel"/>
    <w:tmpl w:val="1EAE5332"/>
    <w:lvl w:ilvl="0" w:tplc="79A89872">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980FD5"/>
    <w:multiLevelType w:val="hybridMultilevel"/>
    <w:tmpl w:val="6B0E8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007182E"/>
    <w:multiLevelType w:val="hybridMultilevel"/>
    <w:tmpl w:val="8F5EB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FC7361"/>
    <w:multiLevelType w:val="hybridMultilevel"/>
    <w:tmpl w:val="E60E65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3A716C"/>
    <w:multiLevelType w:val="hybridMultilevel"/>
    <w:tmpl w:val="1556F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944E5F"/>
    <w:multiLevelType w:val="hybridMultilevel"/>
    <w:tmpl w:val="999434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0A5FE4"/>
    <w:multiLevelType w:val="hybridMultilevel"/>
    <w:tmpl w:val="8DDE0CF0"/>
    <w:lvl w:ilvl="0" w:tplc="425E5C1C">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7177AC"/>
    <w:multiLevelType w:val="hybridMultilevel"/>
    <w:tmpl w:val="4E7EA81E"/>
    <w:lvl w:ilvl="0" w:tplc="C610EE26">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9027726">
    <w:abstractNumId w:val="12"/>
  </w:num>
  <w:num w:numId="2" w16cid:durableId="3118319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6"/>
  </w:num>
  <w:num w:numId="4" w16cid:durableId="5788216">
    <w:abstractNumId w:val="28"/>
  </w:num>
  <w:num w:numId="5" w16cid:durableId="1820147117">
    <w:abstractNumId w:val="26"/>
  </w:num>
  <w:num w:numId="6" w16cid:durableId="49814486">
    <w:abstractNumId w:val="9"/>
  </w:num>
  <w:num w:numId="7" w16cid:durableId="1987852857">
    <w:abstractNumId w:val="23"/>
  </w:num>
  <w:num w:numId="8" w16cid:durableId="163012296">
    <w:abstractNumId w:val="33"/>
  </w:num>
  <w:num w:numId="9" w16cid:durableId="680475729">
    <w:abstractNumId w:val="13"/>
  </w:num>
  <w:num w:numId="10" w16cid:durableId="172914083">
    <w:abstractNumId w:val="25"/>
  </w:num>
  <w:num w:numId="11" w16cid:durableId="742146326">
    <w:abstractNumId w:val="17"/>
  </w:num>
  <w:num w:numId="12" w16cid:durableId="1755201104">
    <w:abstractNumId w:val="24"/>
  </w:num>
  <w:num w:numId="13" w16cid:durableId="1348873561">
    <w:abstractNumId w:val="30"/>
  </w:num>
  <w:num w:numId="14" w16cid:durableId="152139665">
    <w:abstractNumId w:val="14"/>
  </w:num>
  <w:num w:numId="15" w16cid:durableId="1096559228">
    <w:abstractNumId w:val="32"/>
  </w:num>
  <w:num w:numId="16" w16cid:durableId="623656255">
    <w:abstractNumId w:val="21"/>
  </w:num>
  <w:num w:numId="17" w16cid:durableId="555822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2819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6349348">
    <w:abstractNumId w:val="3"/>
  </w:num>
  <w:num w:numId="20" w16cid:durableId="1875656668">
    <w:abstractNumId w:val="34"/>
  </w:num>
  <w:num w:numId="21" w16cid:durableId="1243031946">
    <w:abstractNumId w:val="0"/>
  </w:num>
  <w:num w:numId="22" w16cid:durableId="244537673">
    <w:abstractNumId w:val="5"/>
  </w:num>
  <w:num w:numId="23" w16cid:durableId="697199743">
    <w:abstractNumId w:val="31"/>
  </w:num>
  <w:num w:numId="24" w16cid:durableId="781074165">
    <w:abstractNumId w:val="27"/>
  </w:num>
  <w:num w:numId="25" w16cid:durableId="1262565797">
    <w:abstractNumId w:val="35"/>
  </w:num>
  <w:num w:numId="26" w16cid:durableId="398023190">
    <w:abstractNumId w:val="7"/>
  </w:num>
  <w:num w:numId="27" w16cid:durableId="1034160030">
    <w:abstractNumId w:val="2"/>
  </w:num>
  <w:num w:numId="28" w16cid:durableId="1076629454">
    <w:abstractNumId w:val="16"/>
  </w:num>
  <w:num w:numId="29" w16cid:durableId="260339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491395">
    <w:abstractNumId w:val="22"/>
  </w:num>
  <w:num w:numId="31" w16cid:durableId="1197158474">
    <w:abstractNumId w:val="20"/>
  </w:num>
  <w:num w:numId="32" w16cid:durableId="481775723">
    <w:abstractNumId w:val="19"/>
  </w:num>
  <w:num w:numId="33" w16cid:durableId="1736853069">
    <w:abstractNumId w:val="15"/>
  </w:num>
  <w:num w:numId="34" w16cid:durableId="2027435912">
    <w:abstractNumId w:val="10"/>
  </w:num>
  <w:num w:numId="35" w16cid:durableId="1286813607">
    <w:abstractNumId w:val="18"/>
  </w:num>
  <w:num w:numId="36" w16cid:durableId="915670885">
    <w:abstractNumId w:val="1"/>
  </w:num>
  <w:num w:numId="37" w16cid:durableId="1800798388">
    <w:abstractNumId w:val="11"/>
  </w:num>
  <w:num w:numId="38" w16cid:durableId="1635285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04"/>
    <w:rsid w:val="00002F05"/>
    <w:rsid w:val="000172B6"/>
    <w:rsid w:val="00055DA7"/>
    <w:rsid w:val="00097965"/>
    <w:rsid w:val="000B46F7"/>
    <w:rsid w:val="000C04C5"/>
    <w:rsid w:val="00100F40"/>
    <w:rsid w:val="001251EF"/>
    <w:rsid w:val="00181155"/>
    <w:rsid w:val="001C4F2B"/>
    <w:rsid w:val="002138D5"/>
    <w:rsid w:val="00221B5C"/>
    <w:rsid w:val="00233420"/>
    <w:rsid w:val="002E5830"/>
    <w:rsid w:val="003073C2"/>
    <w:rsid w:val="00315508"/>
    <w:rsid w:val="00326217"/>
    <w:rsid w:val="00353752"/>
    <w:rsid w:val="00375325"/>
    <w:rsid w:val="00382C75"/>
    <w:rsid w:val="00384F0C"/>
    <w:rsid w:val="003E1FA5"/>
    <w:rsid w:val="00413B86"/>
    <w:rsid w:val="00415484"/>
    <w:rsid w:val="0043771B"/>
    <w:rsid w:val="00494720"/>
    <w:rsid w:val="004A0328"/>
    <w:rsid w:val="004D47A6"/>
    <w:rsid w:val="004F49B0"/>
    <w:rsid w:val="00503BC1"/>
    <w:rsid w:val="00516DFD"/>
    <w:rsid w:val="00524087"/>
    <w:rsid w:val="00547DC5"/>
    <w:rsid w:val="005B3A51"/>
    <w:rsid w:val="005C627A"/>
    <w:rsid w:val="00672E45"/>
    <w:rsid w:val="006831D9"/>
    <w:rsid w:val="006F540F"/>
    <w:rsid w:val="00740612"/>
    <w:rsid w:val="00756620"/>
    <w:rsid w:val="0078656F"/>
    <w:rsid w:val="0079003B"/>
    <w:rsid w:val="00794E04"/>
    <w:rsid w:val="007C3B3E"/>
    <w:rsid w:val="007C78AB"/>
    <w:rsid w:val="007D3551"/>
    <w:rsid w:val="008672CF"/>
    <w:rsid w:val="0087154C"/>
    <w:rsid w:val="00893C49"/>
    <w:rsid w:val="008A54B0"/>
    <w:rsid w:val="008E2C5C"/>
    <w:rsid w:val="00903A3F"/>
    <w:rsid w:val="00947863"/>
    <w:rsid w:val="00956643"/>
    <w:rsid w:val="009607BA"/>
    <w:rsid w:val="009A2E8C"/>
    <w:rsid w:val="009A45C6"/>
    <w:rsid w:val="009D0051"/>
    <w:rsid w:val="00A341DF"/>
    <w:rsid w:val="00A372ED"/>
    <w:rsid w:val="00A44D0A"/>
    <w:rsid w:val="00AB2C50"/>
    <w:rsid w:val="00B31FF6"/>
    <w:rsid w:val="00B44B53"/>
    <w:rsid w:val="00BA7F5F"/>
    <w:rsid w:val="00C71C09"/>
    <w:rsid w:val="00CE2908"/>
    <w:rsid w:val="00D11FF0"/>
    <w:rsid w:val="00D70BF8"/>
    <w:rsid w:val="00D90EDD"/>
    <w:rsid w:val="00DC2C5B"/>
    <w:rsid w:val="00DD37F3"/>
    <w:rsid w:val="00E21A4D"/>
    <w:rsid w:val="00E434A1"/>
    <w:rsid w:val="00E46C04"/>
    <w:rsid w:val="00E95074"/>
    <w:rsid w:val="00EA37BB"/>
    <w:rsid w:val="00ED6634"/>
    <w:rsid w:val="00F11C0A"/>
    <w:rsid w:val="00F12007"/>
    <w:rsid w:val="00F15AA2"/>
    <w:rsid w:val="00F309C1"/>
    <w:rsid w:val="00F351DF"/>
    <w:rsid w:val="00F42313"/>
    <w:rsid w:val="00F8041F"/>
    <w:rsid w:val="00F8604F"/>
    <w:rsid w:val="00FA4DB9"/>
    <w:rsid w:val="00FE4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67C4"/>
  <w15:chartTrackingRefBased/>
  <w15:docId w15:val="{54F3C0DE-16A4-46B6-B092-64E26A6E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6C04"/>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E46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46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46C0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46C0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46C0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46C0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6C0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6C0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6C0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6C0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46C0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46C0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46C0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46C0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46C0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6C0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6C0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6C04"/>
    <w:rPr>
      <w:rFonts w:eastAsiaTheme="majorEastAsia" w:cstheme="majorBidi"/>
      <w:color w:val="272727" w:themeColor="text1" w:themeTint="D8"/>
    </w:rPr>
  </w:style>
  <w:style w:type="paragraph" w:styleId="Tytu">
    <w:name w:val="Title"/>
    <w:basedOn w:val="Normalny"/>
    <w:next w:val="Normalny"/>
    <w:link w:val="TytuZnak"/>
    <w:uiPriority w:val="10"/>
    <w:qFormat/>
    <w:rsid w:val="00E46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6C0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6C0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6C0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6C04"/>
    <w:pPr>
      <w:spacing w:before="160"/>
      <w:jc w:val="center"/>
    </w:pPr>
    <w:rPr>
      <w:i/>
      <w:iCs/>
      <w:color w:val="404040" w:themeColor="text1" w:themeTint="BF"/>
    </w:rPr>
  </w:style>
  <w:style w:type="character" w:customStyle="1" w:styleId="CytatZnak">
    <w:name w:val="Cytat Znak"/>
    <w:basedOn w:val="Domylnaczcionkaakapitu"/>
    <w:link w:val="Cytat"/>
    <w:uiPriority w:val="29"/>
    <w:rsid w:val="00E46C04"/>
    <w:rPr>
      <w:i/>
      <w:iCs/>
      <w:color w:val="404040" w:themeColor="text1" w:themeTint="BF"/>
    </w:rPr>
  </w:style>
  <w:style w:type="paragraph" w:styleId="Akapitzlist">
    <w:name w:val="List Paragraph"/>
    <w:basedOn w:val="Normalny"/>
    <w:link w:val="AkapitzlistZnak"/>
    <w:uiPriority w:val="34"/>
    <w:qFormat/>
    <w:rsid w:val="00E46C04"/>
    <w:pPr>
      <w:ind w:left="720"/>
      <w:contextualSpacing/>
    </w:pPr>
  </w:style>
  <w:style w:type="character" w:styleId="Wyrnienieintensywne">
    <w:name w:val="Intense Emphasis"/>
    <w:basedOn w:val="Domylnaczcionkaakapitu"/>
    <w:uiPriority w:val="21"/>
    <w:qFormat/>
    <w:rsid w:val="00E46C04"/>
    <w:rPr>
      <w:i/>
      <w:iCs/>
      <w:color w:val="0F4761" w:themeColor="accent1" w:themeShade="BF"/>
    </w:rPr>
  </w:style>
  <w:style w:type="paragraph" w:styleId="Cytatintensywny">
    <w:name w:val="Intense Quote"/>
    <w:basedOn w:val="Normalny"/>
    <w:next w:val="Normalny"/>
    <w:link w:val="CytatintensywnyZnak"/>
    <w:uiPriority w:val="30"/>
    <w:qFormat/>
    <w:rsid w:val="00E46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46C04"/>
    <w:rPr>
      <w:i/>
      <w:iCs/>
      <w:color w:val="0F4761" w:themeColor="accent1" w:themeShade="BF"/>
    </w:rPr>
  </w:style>
  <w:style w:type="character" w:styleId="Odwoanieintensywne">
    <w:name w:val="Intense Reference"/>
    <w:basedOn w:val="Domylnaczcionkaakapitu"/>
    <w:uiPriority w:val="32"/>
    <w:qFormat/>
    <w:rsid w:val="00E46C04"/>
    <w:rPr>
      <w:b/>
      <w:bCs/>
      <w:smallCaps/>
      <w:color w:val="0F4761" w:themeColor="accent1" w:themeShade="BF"/>
      <w:spacing w:val="5"/>
    </w:rPr>
  </w:style>
  <w:style w:type="character" w:customStyle="1" w:styleId="markedcontent">
    <w:name w:val="markedcontent"/>
    <w:basedOn w:val="Domylnaczcionkaakapitu"/>
    <w:rsid w:val="00E46C04"/>
  </w:style>
  <w:style w:type="character" w:styleId="Hipercze">
    <w:name w:val="Hyperlink"/>
    <w:basedOn w:val="Domylnaczcionkaakapitu"/>
    <w:uiPriority w:val="99"/>
    <w:unhideWhenUsed/>
    <w:rsid w:val="00097965"/>
    <w:rPr>
      <w:color w:val="467886" w:themeColor="hyperlink"/>
      <w:u w:val="single"/>
    </w:rPr>
  </w:style>
  <w:style w:type="character" w:styleId="Nierozpoznanawzmianka">
    <w:name w:val="Unresolved Mention"/>
    <w:basedOn w:val="Domylnaczcionkaakapitu"/>
    <w:uiPriority w:val="99"/>
    <w:semiHidden/>
    <w:unhideWhenUsed/>
    <w:rsid w:val="00097965"/>
    <w:rPr>
      <w:color w:val="605E5C"/>
      <w:shd w:val="clear" w:color="auto" w:fill="E1DFDD"/>
    </w:rPr>
  </w:style>
  <w:style w:type="character" w:styleId="UyteHipercze">
    <w:name w:val="FollowedHyperlink"/>
    <w:basedOn w:val="Domylnaczcionkaakapitu"/>
    <w:uiPriority w:val="99"/>
    <w:semiHidden/>
    <w:unhideWhenUsed/>
    <w:rsid w:val="000C04C5"/>
    <w:rPr>
      <w:color w:val="96607D" w:themeColor="followedHyperlink"/>
      <w:u w:val="single"/>
    </w:rPr>
  </w:style>
  <w:style w:type="character" w:customStyle="1" w:styleId="AkapitzlistZnak">
    <w:name w:val="Akapit z listą Znak"/>
    <w:link w:val="Akapitzlist"/>
    <w:uiPriority w:val="34"/>
    <w:locked/>
    <w:rsid w:val="008672CF"/>
    <w:rPr>
      <w:kern w:val="0"/>
      <w:sz w:val="22"/>
      <w:szCs w:val="22"/>
      <w14:ligatures w14:val="none"/>
    </w:rPr>
  </w:style>
  <w:style w:type="character" w:styleId="Pogrubienie">
    <w:name w:val="Strong"/>
    <w:basedOn w:val="Domylnaczcionkaakapitu"/>
    <w:uiPriority w:val="22"/>
    <w:qFormat/>
    <w:rsid w:val="008672CF"/>
    <w:rPr>
      <w:b/>
      <w:bCs/>
    </w:rPr>
  </w:style>
  <w:style w:type="paragraph" w:styleId="NormalnyWeb">
    <w:name w:val="Normal (Web)"/>
    <w:basedOn w:val="Normalny"/>
    <w:uiPriority w:val="99"/>
    <w:semiHidden/>
    <w:unhideWhenUsed/>
    <w:rsid w:val="00867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E950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E950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03BC1"/>
    <w:pPr>
      <w:autoSpaceDE w:val="0"/>
      <w:autoSpaceDN w:val="0"/>
      <w:adjustRightInd w:val="0"/>
      <w:spacing w:after="0" w:line="240" w:lineRule="auto"/>
    </w:pPr>
    <w:rPr>
      <w:rFonts w:ascii="Arial" w:hAnsi="Arial" w:cs="Arial"/>
      <w:color w:val="000000"/>
      <w:kern w:val="0"/>
    </w:rPr>
  </w:style>
  <w:style w:type="paragraph" w:customStyle="1" w:styleId="ARTartustawynprozporzdzenia">
    <w:name w:val="ART(§) – art. ustawy (§ np. rozporządzenia)"/>
    <w:basedOn w:val="Normalny"/>
    <w:uiPriority w:val="11"/>
    <w:rsid w:val="000172B6"/>
    <w:pPr>
      <w:autoSpaceDE w:val="0"/>
      <w:autoSpaceDN w:val="0"/>
      <w:spacing w:before="120" w:after="0" w:line="360" w:lineRule="auto"/>
      <w:ind w:firstLine="510"/>
      <w:jc w:val="both"/>
    </w:pPr>
    <w:rPr>
      <w:rFonts w:ascii="Times" w:hAnsi="Times" w:cs="Calibri"/>
      <w:sz w:val="24"/>
      <w:szCs w:val="24"/>
      <w:lang w:eastAsia="pl-PL"/>
    </w:rPr>
  </w:style>
  <w:style w:type="paragraph" w:customStyle="1" w:styleId="NIEARTTEKSTtekstnieartykuowanynppodstprawnarozplubpreambua">
    <w:name w:val="NIEART_TEKST – tekst nieartykułowany (np. podst. prawna rozp. lub preambuła)"/>
    <w:basedOn w:val="Normalny"/>
    <w:uiPriority w:val="7"/>
    <w:rsid w:val="007C3B3E"/>
    <w:pPr>
      <w:autoSpaceDE w:val="0"/>
      <w:autoSpaceDN w:val="0"/>
      <w:spacing w:before="120" w:after="0" w:line="360" w:lineRule="auto"/>
      <w:ind w:firstLine="510"/>
      <w:jc w:val="both"/>
    </w:pPr>
    <w:rPr>
      <w:rFonts w:ascii="Times" w:hAnsi="Times"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99317">
      <w:bodyDiv w:val="1"/>
      <w:marLeft w:val="0"/>
      <w:marRight w:val="0"/>
      <w:marTop w:val="0"/>
      <w:marBottom w:val="0"/>
      <w:divBdr>
        <w:top w:val="none" w:sz="0" w:space="0" w:color="auto"/>
        <w:left w:val="none" w:sz="0" w:space="0" w:color="auto"/>
        <w:bottom w:val="none" w:sz="0" w:space="0" w:color="auto"/>
        <w:right w:val="none" w:sz="0" w:space="0" w:color="auto"/>
      </w:divBdr>
    </w:div>
    <w:div w:id="320276900">
      <w:bodyDiv w:val="1"/>
      <w:marLeft w:val="0"/>
      <w:marRight w:val="0"/>
      <w:marTop w:val="0"/>
      <w:marBottom w:val="0"/>
      <w:divBdr>
        <w:top w:val="none" w:sz="0" w:space="0" w:color="auto"/>
        <w:left w:val="none" w:sz="0" w:space="0" w:color="auto"/>
        <w:bottom w:val="none" w:sz="0" w:space="0" w:color="auto"/>
        <w:right w:val="none" w:sz="0" w:space="0" w:color="auto"/>
      </w:divBdr>
    </w:div>
    <w:div w:id="357051650">
      <w:bodyDiv w:val="1"/>
      <w:marLeft w:val="0"/>
      <w:marRight w:val="0"/>
      <w:marTop w:val="0"/>
      <w:marBottom w:val="0"/>
      <w:divBdr>
        <w:top w:val="none" w:sz="0" w:space="0" w:color="auto"/>
        <w:left w:val="none" w:sz="0" w:space="0" w:color="auto"/>
        <w:bottom w:val="none" w:sz="0" w:space="0" w:color="auto"/>
        <w:right w:val="none" w:sz="0" w:space="0" w:color="auto"/>
      </w:divBdr>
    </w:div>
    <w:div w:id="361782156">
      <w:bodyDiv w:val="1"/>
      <w:marLeft w:val="0"/>
      <w:marRight w:val="0"/>
      <w:marTop w:val="0"/>
      <w:marBottom w:val="0"/>
      <w:divBdr>
        <w:top w:val="none" w:sz="0" w:space="0" w:color="auto"/>
        <w:left w:val="none" w:sz="0" w:space="0" w:color="auto"/>
        <w:bottom w:val="none" w:sz="0" w:space="0" w:color="auto"/>
        <w:right w:val="none" w:sz="0" w:space="0" w:color="auto"/>
      </w:divBdr>
    </w:div>
    <w:div w:id="408115708">
      <w:bodyDiv w:val="1"/>
      <w:marLeft w:val="0"/>
      <w:marRight w:val="0"/>
      <w:marTop w:val="0"/>
      <w:marBottom w:val="0"/>
      <w:divBdr>
        <w:top w:val="none" w:sz="0" w:space="0" w:color="auto"/>
        <w:left w:val="none" w:sz="0" w:space="0" w:color="auto"/>
        <w:bottom w:val="none" w:sz="0" w:space="0" w:color="auto"/>
        <w:right w:val="none" w:sz="0" w:space="0" w:color="auto"/>
      </w:divBdr>
    </w:div>
    <w:div w:id="464661686">
      <w:bodyDiv w:val="1"/>
      <w:marLeft w:val="0"/>
      <w:marRight w:val="0"/>
      <w:marTop w:val="0"/>
      <w:marBottom w:val="0"/>
      <w:divBdr>
        <w:top w:val="none" w:sz="0" w:space="0" w:color="auto"/>
        <w:left w:val="none" w:sz="0" w:space="0" w:color="auto"/>
        <w:bottom w:val="none" w:sz="0" w:space="0" w:color="auto"/>
        <w:right w:val="none" w:sz="0" w:space="0" w:color="auto"/>
      </w:divBdr>
    </w:div>
    <w:div w:id="515314126">
      <w:bodyDiv w:val="1"/>
      <w:marLeft w:val="0"/>
      <w:marRight w:val="0"/>
      <w:marTop w:val="0"/>
      <w:marBottom w:val="0"/>
      <w:divBdr>
        <w:top w:val="none" w:sz="0" w:space="0" w:color="auto"/>
        <w:left w:val="none" w:sz="0" w:space="0" w:color="auto"/>
        <w:bottom w:val="none" w:sz="0" w:space="0" w:color="auto"/>
        <w:right w:val="none" w:sz="0" w:space="0" w:color="auto"/>
      </w:divBdr>
    </w:div>
    <w:div w:id="563762109">
      <w:bodyDiv w:val="1"/>
      <w:marLeft w:val="0"/>
      <w:marRight w:val="0"/>
      <w:marTop w:val="0"/>
      <w:marBottom w:val="0"/>
      <w:divBdr>
        <w:top w:val="none" w:sz="0" w:space="0" w:color="auto"/>
        <w:left w:val="none" w:sz="0" w:space="0" w:color="auto"/>
        <w:bottom w:val="none" w:sz="0" w:space="0" w:color="auto"/>
        <w:right w:val="none" w:sz="0" w:space="0" w:color="auto"/>
      </w:divBdr>
    </w:div>
    <w:div w:id="625310727">
      <w:bodyDiv w:val="1"/>
      <w:marLeft w:val="0"/>
      <w:marRight w:val="0"/>
      <w:marTop w:val="0"/>
      <w:marBottom w:val="0"/>
      <w:divBdr>
        <w:top w:val="none" w:sz="0" w:space="0" w:color="auto"/>
        <w:left w:val="none" w:sz="0" w:space="0" w:color="auto"/>
        <w:bottom w:val="none" w:sz="0" w:space="0" w:color="auto"/>
        <w:right w:val="none" w:sz="0" w:space="0" w:color="auto"/>
      </w:divBdr>
    </w:div>
    <w:div w:id="745420830">
      <w:bodyDiv w:val="1"/>
      <w:marLeft w:val="0"/>
      <w:marRight w:val="0"/>
      <w:marTop w:val="0"/>
      <w:marBottom w:val="0"/>
      <w:divBdr>
        <w:top w:val="none" w:sz="0" w:space="0" w:color="auto"/>
        <w:left w:val="none" w:sz="0" w:space="0" w:color="auto"/>
        <w:bottom w:val="none" w:sz="0" w:space="0" w:color="auto"/>
        <w:right w:val="none" w:sz="0" w:space="0" w:color="auto"/>
      </w:divBdr>
    </w:div>
    <w:div w:id="787427518">
      <w:bodyDiv w:val="1"/>
      <w:marLeft w:val="0"/>
      <w:marRight w:val="0"/>
      <w:marTop w:val="0"/>
      <w:marBottom w:val="0"/>
      <w:divBdr>
        <w:top w:val="none" w:sz="0" w:space="0" w:color="auto"/>
        <w:left w:val="none" w:sz="0" w:space="0" w:color="auto"/>
        <w:bottom w:val="none" w:sz="0" w:space="0" w:color="auto"/>
        <w:right w:val="none" w:sz="0" w:space="0" w:color="auto"/>
      </w:divBdr>
    </w:div>
    <w:div w:id="837962094">
      <w:bodyDiv w:val="1"/>
      <w:marLeft w:val="0"/>
      <w:marRight w:val="0"/>
      <w:marTop w:val="0"/>
      <w:marBottom w:val="0"/>
      <w:divBdr>
        <w:top w:val="none" w:sz="0" w:space="0" w:color="auto"/>
        <w:left w:val="none" w:sz="0" w:space="0" w:color="auto"/>
        <w:bottom w:val="none" w:sz="0" w:space="0" w:color="auto"/>
        <w:right w:val="none" w:sz="0" w:space="0" w:color="auto"/>
      </w:divBdr>
    </w:div>
    <w:div w:id="838158639">
      <w:bodyDiv w:val="1"/>
      <w:marLeft w:val="0"/>
      <w:marRight w:val="0"/>
      <w:marTop w:val="0"/>
      <w:marBottom w:val="0"/>
      <w:divBdr>
        <w:top w:val="none" w:sz="0" w:space="0" w:color="auto"/>
        <w:left w:val="none" w:sz="0" w:space="0" w:color="auto"/>
        <w:bottom w:val="none" w:sz="0" w:space="0" w:color="auto"/>
        <w:right w:val="none" w:sz="0" w:space="0" w:color="auto"/>
      </w:divBdr>
    </w:div>
    <w:div w:id="995838122">
      <w:bodyDiv w:val="1"/>
      <w:marLeft w:val="0"/>
      <w:marRight w:val="0"/>
      <w:marTop w:val="0"/>
      <w:marBottom w:val="0"/>
      <w:divBdr>
        <w:top w:val="none" w:sz="0" w:space="0" w:color="auto"/>
        <w:left w:val="none" w:sz="0" w:space="0" w:color="auto"/>
        <w:bottom w:val="none" w:sz="0" w:space="0" w:color="auto"/>
        <w:right w:val="none" w:sz="0" w:space="0" w:color="auto"/>
      </w:divBdr>
    </w:div>
    <w:div w:id="1037854493">
      <w:bodyDiv w:val="1"/>
      <w:marLeft w:val="0"/>
      <w:marRight w:val="0"/>
      <w:marTop w:val="0"/>
      <w:marBottom w:val="0"/>
      <w:divBdr>
        <w:top w:val="none" w:sz="0" w:space="0" w:color="auto"/>
        <w:left w:val="none" w:sz="0" w:space="0" w:color="auto"/>
        <w:bottom w:val="none" w:sz="0" w:space="0" w:color="auto"/>
        <w:right w:val="none" w:sz="0" w:space="0" w:color="auto"/>
      </w:divBdr>
    </w:div>
    <w:div w:id="1118792779">
      <w:bodyDiv w:val="1"/>
      <w:marLeft w:val="0"/>
      <w:marRight w:val="0"/>
      <w:marTop w:val="0"/>
      <w:marBottom w:val="0"/>
      <w:divBdr>
        <w:top w:val="none" w:sz="0" w:space="0" w:color="auto"/>
        <w:left w:val="none" w:sz="0" w:space="0" w:color="auto"/>
        <w:bottom w:val="none" w:sz="0" w:space="0" w:color="auto"/>
        <w:right w:val="none" w:sz="0" w:space="0" w:color="auto"/>
      </w:divBdr>
    </w:div>
    <w:div w:id="1235973935">
      <w:bodyDiv w:val="1"/>
      <w:marLeft w:val="0"/>
      <w:marRight w:val="0"/>
      <w:marTop w:val="0"/>
      <w:marBottom w:val="0"/>
      <w:divBdr>
        <w:top w:val="none" w:sz="0" w:space="0" w:color="auto"/>
        <w:left w:val="none" w:sz="0" w:space="0" w:color="auto"/>
        <w:bottom w:val="none" w:sz="0" w:space="0" w:color="auto"/>
        <w:right w:val="none" w:sz="0" w:space="0" w:color="auto"/>
      </w:divBdr>
    </w:div>
    <w:div w:id="1265306981">
      <w:bodyDiv w:val="1"/>
      <w:marLeft w:val="0"/>
      <w:marRight w:val="0"/>
      <w:marTop w:val="0"/>
      <w:marBottom w:val="0"/>
      <w:divBdr>
        <w:top w:val="none" w:sz="0" w:space="0" w:color="auto"/>
        <w:left w:val="none" w:sz="0" w:space="0" w:color="auto"/>
        <w:bottom w:val="none" w:sz="0" w:space="0" w:color="auto"/>
        <w:right w:val="none" w:sz="0" w:space="0" w:color="auto"/>
      </w:divBdr>
    </w:div>
    <w:div w:id="1284776370">
      <w:bodyDiv w:val="1"/>
      <w:marLeft w:val="0"/>
      <w:marRight w:val="0"/>
      <w:marTop w:val="0"/>
      <w:marBottom w:val="0"/>
      <w:divBdr>
        <w:top w:val="none" w:sz="0" w:space="0" w:color="auto"/>
        <w:left w:val="none" w:sz="0" w:space="0" w:color="auto"/>
        <w:bottom w:val="none" w:sz="0" w:space="0" w:color="auto"/>
        <w:right w:val="none" w:sz="0" w:space="0" w:color="auto"/>
      </w:divBdr>
    </w:div>
    <w:div w:id="1345858268">
      <w:bodyDiv w:val="1"/>
      <w:marLeft w:val="0"/>
      <w:marRight w:val="0"/>
      <w:marTop w:val="0"/>
      <w:marBottom w:val="0"/>
      <w:divBdr>
        <w:top w:val="none" w:sz="0" w:space="0" w:color="auto"/>
        <w:left w:val="none" w:sz="0" w:space="0" w:color="auto"/>
        <w:bottom w:val="none" w:sz="0" w:space="0" w:color="auto"/>
        <w:right w:val="none" w:sz="0" w:space="0" w:color="auto"/>
      </w:divBdr>
    </w:div>
    <w:div w:id="1371420701">
      <w:bodyDiv w:val="1"/>
      <w:marLeft w:val="0"/>
      <w:marRight w:val="0"/>
      <w:marTop w:val="0"/>
      <w:marBottom w:val="0"/>
      <w:divBdr>
        <w:top w:val="none" w:sz="0" w:space="0" w:color="auto"/>
        <w:left w:val="none" w:sz="0" w:space="0" w:color="auto"/>
        <w:bottom w:val="none" w:sz="0" w:space="0" w:color="auto"/>
        <w:right w:val="none" w:sz="0" w:space="0" w:color="auto"/>
      </w:divBdr>
    </w:div>
    <w:div w:id="1409503030">
      <w:bodyDiv w:val="1"/>
      <w:marLeft w:val="0"/>
      <w:marRight w:val="0"/>
      <w:marTop w:val="0"/>
      <w:marBottom w:val="0"/>
      <w:divBdr>
        <w:top w:val="none" w:sz="0" w:space="0" w:color="auto"/>
        <w:left w:val="none" w:sz="0" w:space="0" w:color="auto"/>
        <w:bottom w:val="none" w:sz="0" w:space="0" w:color="auto"/>
        <w:right w:val="none" w:sz="0" w:space="0" w:color="auto"/>
      </w:divBdr>
    </w:div>
    <w:div w:id="1581598081">
      <w:bodyDiv w:val="1"/>
      <w:marLeft w:val="0"/>
      <w:marRight w:val="0"/>
      <w:marTop w:val="0"/>
      <w:marBottom w:val="0"/>
      <w:divBdr>
        <w:top w:val="none" w:sz="0" w:space="0" w:color="auto"/>
        <w:left w:val="none" w:sz="0" w:space="0" w:color="auto"/>
        <w:bottom w:val="none" w:sz="0" w:space="0" w:color="auto"/>
        <w:right w:val="none" w:sz="0" w:space="0" w:color="auto"/>
      </w:divBdr>
    </w:div>
    <w:div w:id="1624535951">
      <w:bodyDiv w:val="1"/>
      <w:marLeft w:val="0"/>
      <w:marRight w:val="0"/>
      <w:marTop w:val="0"/>
      <w:marBottom w:val="0"/>
      <w:divBdr>
        <w:top w:val="none" w:sz="0" w:space="0" w:color="auto"/>
        <w:left w:val="none" w:sz="0" w:space="0" w:color="auto"/>
        <w:bottom w:val="none" w:sz="0" w:space="0" w:color="auto"/>
        <w:right w:val="none" w:sz="0" w:space="0" w:color="auto"/>
      </w:divBdr>
    </w:div>
    <w:div w:id="1631129884">
      <w:bodyDiv w:val="1"/>
      <w:marLeft w:val="0"/>
      <w:marRight w:val="0"/>
      <w:marTop w:val="0"/>
      <w:marBottom w:val="0"/>
      <w:divBdr>
        <w:top w:val="none" w:sz="0" w:space="0" w:color="auto"/>
        <w:left w:val="none" w:sz="0" w:space="0" w:color="auto"/>
        <w:bottom w:val="none" w:sz="0" w:space="0" w:color="auto"/>
        <w:right w:val="none" w:sz="0" w:space="0" w:color="auto"/>
      </w:divBdr>
    </w:div>
    <w:div w:id="1637445251">
      <w:bodyDiv w:val="1"/>
      <w:marLeft w:val="0"/>
      <w:marRight w:val="0"/>
      <w:marTop w:val="0"/>
      <w:marBottom w:val="0"/>
      <w:divBdr>
        <w:top w:val="none" w:sz="0" w:space="0" w:color="auto"/>
        <w:left w:val="none" w:sz="0" w:space="0" w:color="auto"/>
        <w:bottom w:val="none" w:sz="0" w:space="0" w:color="auto"/>
        <w:right w:val="none" w:sz="0" w:space="0" w:color="auto"/>
      </w:divBdr>
    </w:div>
    <w:div w:id="1652708988">
      <w:bodyDiv w:val="1"/>
      <w:marLeft w:val="0"/>
      <w:marRight w:val="0"/>
      <w:marTop w:val="0"/>
      <w:marBottom w:val="0"/>
      <w:divBdr>
        <w:top w:val="none" w:sz="0" w:space="0" w:color="auto"/>
        <w:left w:val="none" w:sz="0" w:space="0" w:color="auto"/>
        <w:bottom w:val="none" w:sz="0" w:space="0" w:color="auto"/>
        <w:right w:val="none" w:sz="0" w:space="0" w:color="auto"/>
      </w:divBdr>
    </w:div>
    <w:div w:id="1846626135">
      <w:bodyDiv w:val="1"/>
      <w:marLeft w:val="0"/>
      <w:marRight w:val="0"/>
      <w:marTop w:val="0"/>
      <w:marBottom w:val="0"/>
      <w:divBdr>
        <w:top w:val="none" w:sz="0" w:space="0" w:color="auto"/>
        <w:left w:val="none" w:sz="0" w:space="0" w:color="auto"/>
        <w:bottom w:val="none" w:sz="0" w:space="0" w:color="auto"/>
        <w:right w:val="none" w:sz="0" w:space="0" w:color="auto"/>
      </w:divBdr>
    </w:div>
    <w:div w:id="1904412656">
      <w:bodyDiv w:val="1"/>
      <w:marLeft w:val="0"/>
      <w:marRight w:val="0"/>
      <w:marTop w:val="0"/>
      <w:marBottom w:val="0"/>
      <w:divBdr>
        <w:top w:val="none" w:sz="0" w:space="0" w:color="auto"/>
        <w:left w:val="none" w:sz="0" w:space="0" w:color="auto"/>
        <w:bottom w:val="none" w:sz="0" w:space="0" w:color="auto"/>
        <w:right w:val="none" w:sz="0" w:space="0" w:color="auto"/>
      </w:divBdr>
    </w:div>
    <w:div w:id="1971283820">
      <w:bodyDiv w:val="1"/>
      <w:marLeft w:val="0"/>
      <w:marRight w:val="0"/>
      <w:marTop w:val="0"/>
      <w:marBottom w:val="0"/>
      <w:divBdr>
        <w:top w:val="none" w:sz="0" w:space="0" w:color="auto"/>
        <w:left w:val="none" w:sz="0" w:space="0" w:color="auto"/>
        <w:bottom w:val="none" w:sz="0" w:space="0" w:color="auto"/>
        <w:right w:val="none" w:sz="0" w:space="0" w:color="auto"/>
      </w:divBdr>
    </w:div>
    <w:div w:id="1972129799">
      <w:bodyDiv w:val="1"/>
      <w:marLeft w:val="0"/>
      <w:marRight w:val="0"/>
      <w:marTop w:val="0"/>
      <w:marBottom w:val="0"/>
      <w:divBdr>
        <w:top w:val="none" w:sz="0" w:space="0" w:color="auto"/>
        <w:left w:val="none" w:sz="0" w:space="0" w:color="auto"/>
        <w:bottom w:val="none" w:sz="0" w:space="0" w:color="auto"/>
        <w:right w:val="none" w:sz="0" w:space="0" w:color="auto"/>
      </w:divBdr>
    </w:div>
    <w:div w:id="2001540689">
      <w:bodyDiv w:val="1"/>
      <w:marLeft w:val="0"/>
      <w:marRight w:val="0"/>
      <w:marTop w:val="0"/>
      <w:marBottom w:val="0"/>
      <w:divBdr>
        <w:top w:val="none" w:sz="0" w:space="0" w:color="auto"/>
        <w:left w:val="none" w:sz="0" w:space="0" w:color="auto"/>
        <w:bottom w:val="none" w:sz="0" w:space="0" w:color="auto"/>
        <w:right w:val="none" w:sz="0" w:space="0" w:color="auto"/>
      </w:divBdr>
    </w:div>
    <w:div w:id="2087799955">
      <w:bodyDiv w:val="1"/>
      <w:marLeft w:val="0"/>
      <w:marRight w:val="0"/>
      <w:marTop w:val="0"/>
      <w:marBottom w:val="0"/>
      <w:divBdr>
        <w:top w:val="none" w:sz="0" w:space="0" w:color="auto"/>
        <w:left w:val="none" w:sz="0" w:space="0" w:color="auto"/>
        <w:bottom w:val="none" w:sz="0" w:space="0" w:color="auto"/>
        <w:right w:val="none" w:sz="0" w:space="0" w:color="auto"/>
      </w:divBdr>
    </w:div>
    <w:div w:id="2109084155">
      <w:bodyDiv w:val="1"/>
      <w:marLeft w:val="0"/>
      <w:marRight w:val="0"/>
      <w:marTop w:val="0"/>
      <w:marBottom w:val="0"/>
      <w:divBdr>
        <w:top w:val="none" w:sz="0" w:space="0" w:color="auto"/>
        <w:left w:val="none" w:sz="0" w:space="0" w:color="auto"/>
        <w:bottom w:val="none" w:sz="0" w:space="0" w:color="auto"/>
        <w:right w:val="none" w:sz="0" w:space="0" w:color="auto"/>
      </w:divBdr>
    </w:div>
    <w:div w:id="21212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9901/katalog/131425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islacja.rcl.gov.pl/projekt/12399900/katalog/13142458" TargetMode="External"/><Relationship Id="rId12" Type="http://schemas.openxmlformats.org/officeDocument/2006/relationships/hyperlink" Target="https://legislacja.rcl.gov.pl/projekt/12400102/katalog/13143421#131434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cja.rcl.gov.pl/projekt/12399954/katalog/13142796" TargetMode="External"/><Relationship Id="rId11" Type="http://schemas.openxmlformats.org/officeDocument/2006/relationships/hyperlink" Target="https://legislacja.rcl.gov.pl/projekt/12400051/katalog/13143066#13143066" TargetMode="External"/><Relationship Id="rId5" Type="http://schemas.openxmlformats.org/officeDocument/2006/relationships/image" Target="media/image1.png"/><Relationship Id="rId10" Type="http://schemas.openxmlformats.org/officeDocument/2006/relationships/hyperlink" Target="https://legislacja.rcl.gov.pl/projekt/12399951/katalog/13142651" TargetMode="External"/><Relationship Id="rId4" Type="http://schemas.openxmlformats.org/officeDocument/2006/relationships/webSettings" Target="webSettings.xml"/><Relationship Id="rId9" Type="http://schemas.openxmlformats.org/officeDocument/2006/relationships/hyperlink" Target="https://legislacja.rcl.gov.pl/projekt/12399950/katalog/13142608"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3367</TotalTime>
  <Pages>15</Pages>
  <Words>5514</Words>
  <Characters>33087</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38524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Kudłak</dc:creator>
  <cp:keywords/>
  <dc:description/>
  <cp:lastModifiedBy>Alicja Kudłak</cp:lastModifiedBy>
  <cp:revision>43</cp:revision>
  <cp:lastPrinted>2025-07-14T14:41:00Z</cp:lastPrinted>
  <dcterms:created xsi:type="dcterms:W3CDTF">2025-07-12T09:56:00Z</dcterms:created>
  <dcterms:modified xsi:type="dcterms:W3CDTF">2025-07-22T08:26:00Z</dcterms:modified>
</cp:coreProperties>
</file>