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41FFE" w14:textId="77777777" w:rsidR="00FB7A08" w:rsidRPr="00586923" w:rsidRDefault="00FB7A08" w:rsidP="00FB7A08">
      <w:pPr>
        <w:rPr>
          <w:rFonts w:ascii="Arial" w:hAnsi="Arial" w:cs="Arial"/>
        </w:rPr>
      </w:pPr>
      <w:r w:rsidRPr="00586923">
        <w:rPr>
          <w:rFonts w:ascii="Arial" w:hAnsi="Arial" w:cs="Arial"/>
          <w:noProof/>
          <w:lang w:eastAsia="pl-PL"/>
        </w:rPr>
        <w:drawing>
          <wp:inline distT="0" distB="0" distL="0" distR="0" wp14:anchorId="7AA933C6" wp14:editId="2E8D147E">
            <wp:extent cx="5683910" cy="943559"/>
            <wp:effectExtent l="0" t="0" r="0" b="9525"/>
            <wp:docPr id="2" name="Obraz 2" descr="Obraz zawierający tekst, Czcionka, zrzut ekranu,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logo&#10;&#10;Zawartość wygenerowana przez AI może być niepoprawna."/>
                    <pic:cNvPicPr/>
                  </pic:nvPicPr>
                  <pic:blipFill>
                    <a:blip r:embed="rId5">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14:paraId="168C5D4B" w14:textId="77777777" w:rsidR="00FB7A08" w:rsidRDefault="00FB7A08" w:rsidP="00FB7A08">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14:paraId="21E3D034" w14:textId="77777777" w:rsidR="00FB7A08" w:rsidRPr="00586923" w:rsidRDefault="00FB7A08" w:rsidP="00FB7A08">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14:paraId="3BB71915" w14:textId="4BC5CE75" w:rsidR="00FB7A08" w:rsidRPr="00586923" w:rsidRDefault="00FB7A08" w:rsidP="00FB7A08">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 xml:space="preserve">28 lipca </w:t>
      </w:r>
      <w:r w:rsidRPr="00586923">
        <w:rPr>
          <w:rFonts w:ascii="Arial" w:hAnsi="Arial" w:cs="Arial"/>
          <w:b/>
        </w:rPr>
        <w:t xml:space="preserve">do </w:t>
      </w:r>
      <w:r>
        <w:rPr>
          <w:rFonts w:ascii="Arial" w:hAnsi="Arial" w:cs="Arial"/>
          <w:b/>
        </w:rPr>
        <w:t>3 sierpnia</w:t>
      </w:r>
      <w:r w:rsidRPr="00586923">
        <w:rPr>
          <w:rFonts w:ascii="Arial" w:hAnsi="Arial" w:cs="Arial"/>
          <w:b/>
        </w:rPr>
        <w:t xml:space="preserve"> 202</w:t>
      </w:r>
      <w:r>
        <w:rPr>
          <w:rFonts w:ascii="Arial" w:hAnsi="Arial" w:cs="Arial"/>
          <w:b/>
        </w:rPr>
        <w:t>5</w:t>
      </w:r>
      <w:r w:rsidRPr="00586923">
        <w:rPr>
          <w:rFonts w:ascii="Arial" w:hAnsi="Arial" w:cs="Arial"/>
          <w:b/>
        </w:rPr>
        <w:t xml:space="preserve"> roku</w:t>
      </w:r>
    </w:p>
    <w:p w14:paraId="7A4A0B53" w14:textId="03E3938D" w:rsidR="00FB7A08" w:rsidRPr="00AC3187" w:rsidRDefault="00FB7A08" w:rsidP="00FB7A08">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6 sierpnia</w:t>
      </w:r>
      <w:r w:rsidRPr="00AC3187">
        <w:rPr>
          <w:rFonts w:ascii="Arial" w:hAnsi="Arial" w:cs="Arial"/>
        </w:rPr>
        <w:t xml:space="preserve"> 202</w:t>
      </w:r>
      <w:r>
        <w:rPr>
          <w:rFonts w:ascii="Arial" w:hAnsi="Arial" w:cs="Arial"/>
        </w:rPr>
        <w:t>5</w:t>
      </w:r>
      <w:r w:rsidRPr="00AC3187">
        <w:rPr>
          <w:rFonts w:ascii="Arial" w:hAnsi="Arial" w:cs="Arial"/>
        </w:rPr>
        <w:t xml:space="preserve"> roku</w:t>
      </w:r>
    </w:p>
    <w:p w14:paraId="05A1610C" w14:textId="77777777" w:rsidR="00FB7A08" w:rsidRPr="00586923" w:rsidRDefault="00FB7A08" w:rsidP="00FB7A08">
      <w:pPr>
        <w:spacing w:after="0" w:line="288" w:lineRule="auto"/>
        <w:jc w:val="both"/>
        <w:rPr>
          <w:rFonts w:ascii="Arial" w:hAnsi="Arial" w:cs="Arial"/>
        </w:rPr>
      </w:pPr>
    </w:p>
    <w:p w14:paraId="1B14C06F" w14:textId="77777777" w:rsidR="00FB7A08" w:rsidRPr="005C05FA" w:rsidRDefault="00FB7A08" w:rsidP="005C05FA">
      <w:pPr>
        <w:pStyle w:val="Akapitzlist"/>
        <w:numPr>
          <w:ilvl w:val="0"/>
          <w:numId w:val="1"/>
        </w:numPr>
        <w:spacing w:after="0" w:line="300" w:lineRule="auto"/>
        <w:ind w:left="284" w:hanging="284"/>
        <w:jc w:val="both"/>
        <w:rPr>
          <w:rFonts w:ascii="Arial" w:hAnsi="Arial" w:cs="Arial"/>
          <w:b/>
        </w:rPr>
      </w:pPr>
      <w:r w:rsidRPr="005C05FA">
        <w:rPr>
          <w:rFonts w:ascii="Arial" w:hAnsi="Arial" w:cs="Arial"/>
          <w:b/>
        </w:rPr>
        <w:t>Projekty aktów prawnych</w:t>
      </w:r>
    </w:p>
    <w:p w14:paraId="06272936" w14:textId="77777777" w:rsidR="00FB7A08" w:rsidRPr="005C05FA" w:rsidRDefault="00FB7A08" w:rsidP="005C05FA">
      <w:pPr>
        <w:spacing w:after="0" w:line="300" w:lineRule="auto"/>
        <w:jc w:val="both"/>
        <w:rPr>
          <w:rFonts w:ascii="Arial" w:hAnsi="Arial" w:cs="Arial"/>
        </w:rPr>
      </w:pPr>
    </w:p>
    <w:p w14:paraId="2764A9A7" w14:textId="324BD218" w:rsidR="00FB7A08" w:rsidRPr="005C05FA" w:rsidRDefault="00FB7A08" w:rsidP="005C05FA">
      <w:pPr>
        <w:spacing w:after="0" w:line="300" w:lineRule="auto"/>
        <w:jc w:val="both"/>
        <w:rPr>
          <w:rFonts w:ascii="Arial" w:hAnsi="Arial" w:cs="Arial"/>
        </w:rPr>
      </w:pPr>
      <w:r w:rsidRPr="005C05FA">
        <w:rPr>
          <w:rFonts w:ascii="Arial" w:hAnsi="Arial" w:cs="Arial"/>
        </w:rPr>
        <w:t xml:space="preserve">W omawianym okresie </w:t>
      </w:r>
      <w:r w:rsidRPr="005C05FA">
        <w:rPr>
          <w:rFonts w:ascii="Arial" w:eastAsia="Calibri" w:hAnsi="Arial" w:cs="Arial"/>
          <w:bCs/>
        </w:rPr>
        <w:t>Rządowe Centrum Legislacji opublikowało 10 projektów ustaw oraz</w:t>
      </w:r>
      <w:r w:rsidRPr="005C05FA">
        <w:rPr>
          <w:rFonts w:ascii="Arial" w:hAnsi="Arial" w:cs="Arial"/>
        </w:rPr>
        <w:t xml:space="preserve"> 34 projekty rozporządzeń Rady Ministrów, Prezesa Rady Ministrów oraz poszczególnych Ministrów.</w:t>
      </w:r>
    </w:p>
    <w:p w14:paraId="5BCD2583" w14:textId="77777777" w:rsidR="00FB7A08" w:rsidRPr="005C05FA" w:rsidRDefault="00FB7A08" w:rsidP="005C05FA">
      <w:pPr>
        <w:spacing w:after="0" w:line="300" w:lineRule="auto"/>
        <w:jc w:val="both"/>
        <w:rPr>
          <w:rFonts w:ascii="Arial" w:hAnsi="Arial" w:cs="Arial"/>
        </w:rPr>
      </w:pPr>
    </w:p>
    <w:p w14:paraId="6824F51E" w14:textId="756635E0" w:rsidR="00FB7A08" w:rsidRPr="005C05FA" w:rsidRDefault="00FB7A08" w:rsidP="005C05FA">
      <w:pPr>
        <w:spacing w:after="0" w:line="300" w:lineRule="auto"/>
        <w:jc w:val="both"/>
        <w:rPr>
          <w:rFonts w:ascii="Arial" w:hAnsi="Arial" w:cs="Arial"/>
        </w:rPr>
      </w:pPr>
      <w:r w:rsidRPr="005C05FA">
        <w:rPr>
          <w:rFonts w:ascii="Arial" w:hAnsi="Arial" w:cs="Arial"/>
        </w:rPr>
        <w:t xml:space="preserve">Przeprowadzono konsultacje 3 projektów rozporządzeń dotyczących podmiotów członkowskich (pracodawcy, przedsiębiorcy, JST) zrzeszonych w Związku. </w:t>
      </w:r>
    </w:p>
    <w:p w14:paraId="6CDC7AA1" w14:textId="77777777" w:rsidR="00FB7A08" w:rsidRPr="005C05FA" w:rsidRDefault="00FB7A08" w:rsidP="005C05FA">
      <w:pPr>
        <w:spacing w:after="0" w:line="300" w:lineRule="auto"/>
        <w:jc w:val="both"/>
        <w:rPr>
          <w:rFonts w:ascii="Arial" w:hAnsi="Arial" w:cs="Arial"/>
        </w:rPr>
      </w:pPr>
      <w:r w:rsidRPr="005C05FA">
        <w:rPr>
          <w:rFonts w:ascii="Arial" w:hAnsi="Arial" w:cs="Arial"/>
        </w:rPr>
        <w:t>Do konsultacji przekazane zostały następujące projekty:</w:t>
      </w:r>
    </w:p>
    <w:p w14:paraId="6159608E" w14:textId="77777777" w:rsidR="00FB7A08" w:rsidRPr="005C05FA" w:rsidRDefault="00FB7A08" w:rsidP="005C05FA">
      <w:pPr>
        <w:spacing w:after="0" w:line="300" w:lineRule="auto"/>
        <w:jc w:val="both"/>
        <w:rPr>
          <w:rFonts w:ascii="Arial" w:hAnsi="Arial" w:cs="Arial"/>
        </w:rPr>
      </w:pPr>
    </w:p>
    <w:p w14:paraId="1D60E11C" w14:textId="77777777" w:rsidR="00FB7A08" w:rsidRPr="005C05FA" w:rsidRDefault="00FB7A08" w:rsidP="005C05FA">
      <w:pPr>
        <w:spacing w:after="0" w:line="300" w:lineRule="auto"/>
        <w:jc w:val="both"/>
        <w:rPr>
          <w:rFonts w:ascii="Arial" w:hAnsi="Arial" w:cs="Arial"/>
        </w:rPr>
      </w:pPr>
      <w:r w:rsidRPr="005C05FA">
        <w:rPr>
          <w:rFonts w:ascii="Arial" w:hAnsi="Arial" w:cs="Arial"/>
        </w:rPr>
        <w:t>Projekty rozporządzeń:</w:t>
      </w:r>
    </w:p>
    <w:p w14:paraId="0DFD973E" w14:textId="77777777" w:rsidR="00FB7A08" w:rsidRPr="005C05FA" w:rsidRDefault="00FB7A08" w:rsidP="005C05FA">
      <w:pPr>
        <w:spacing w:after="0" w:line="300" w:lineRule="auto"/>
        <w:jc w:val="both"/>
        <w:rPr>
          <w:rFonts w:ascii="Arial" w:hAnsi="Arial" w:cs="Arial"/>
        </w:rPr>
      </w:pPr>
    </w:p>
    <w:p w14:paraId="14E71492" w14:textId="4FD25487" w:rsidR="00FB7A08" w:rsidRPr="005C05FA" w:rsidRDefault="00FB7A08" w:rsidP="005C05FA">
      <w:pPr>
        <w:pStyle w:val="Akapitzlist"/>
        <w:numPr>
          <w:ilvl w:val="0"/>
          <w:numId w:val="4"/>
        </w:numPr>
        <w:spacing w:after="0" w:line="300" w:lineRule="auto"/>
        <w:jc w:val="both"/>
        <w:rPr>
          <w:rFonts w:ascii="Arial" w:hAnsi="Arial" w:cs="Arial"/>
          <w:b/>
          <w:bCs/>
          <w:u w:val="single"/>
        </w:rPr>
      </w:pPr>
      <w:r w:rsidRPr="005C05FA">
        <w:rPr>
          <w:rFonts w:ascii="Arial" w:hAnsi="Arial" w:cs="Arial"/>
          <w:b/>
          <w:bCs/>
          <w:u w:val="single"/>
        </w:rPr>
        <w:t>Projekt rozporządzenia Ministra Klimatu i Środowiska zmieniającego rozporządzenie w sprawie szczegółowego zakresu i sposobu sporządzania audytu efektywności energetycznej oraz metod obliczania oszczędności energii (numer z wykazu 1270).</w:t>
      </w:r>
    </w:p>
    <w:p w14:paraId="2EA07E90" w14:textId="77777777" w:rsidR="00FB7A08" w:rsidRPr="005C05FA" w:rsidRDefault="00FB7A08" w:rsidP="005C05FA">
      <w:pPr>
        <w:spacing w:after="0" w:line="300" w:lineRule="auto"/>
        <w:jc w:val="both"/>
        <w:rPr>
          <w:rFonts w:ascii="Arial" w:hAnsi="Arial" w:cs="Arial"/>
        </w:rPr>
      </w:pPr>
    </w:p>
    <w:p w14:paraId="76A75318" w14:textId="77777777" w:rsidR="00FB7A08" w:rsidRPr="005C05FA" w:rsidRDefault="00FB7A08" w:rsidP="005C05FA">
      <w:pPr>
        <w:spacing w:after="0" w:line="300" w:lineRule="auto"/>
        <w:jc w:val="both"/>
        <w:rPr>
          <w:rFonts w:ascii="Arial" w:hAnsi="Arial" w:cs="Arial"/>
        </w:rPr>
      </w:pPr>
      <w:r w:rsidRPr="005C05FA">
        <w:rPr>
          <w:rFonts w:ascii="Arial" w:hAnsi="Arial" w:cs="Arial"/>
        </w:rPr>
        <w:t xml:space="preserve">Z dniem 1 lipca 2025 r. utraciło moc rozporządzenie Ministra Klimatu i Środowiska z dnia 4 lipca 2022 r. w sprawie metodyki obliczania emisji gazów cieplarnianych, określenia wskaźników ich emisji oraz wartości opalowej dla poszczególnych paliw i wartości energetycznej energii elektrycznej (Dz. U. poz. 1494), wydane na podstawie art. 30h ustawy z dnia 25 sierpnia 2006 r. o systemie monitorowania i kontrolowania jakości paliw (Dz. U. z 2024 r. poz. 1209, z </w:t>
      </w:r>
      <w:proofErr w:type="spellStart"/>
      <w:r w:rsidRPr="005C05FA">
        <w:rPr>
          <w:rFonts w:ascii="Arial" w:hAnsi="Arial" w:cs="Arial"/>
        </w:rPr>
        <w:t>późn</w:t>
      </w:r>
      <w:proofErr w:type="spellEnd"/>
      <w:r w:rsidRPr="005C05FA">
        <w:rPr>
          <w:rFonts w:ascii="Arial" w:hAnsi="Arial" w:cs="Arial"/>
        </w:rPr>
        <w:t>. zm.), zwanej dalej „ustawą o systemie monitorowania”.</w:t>
      </w:r>
    </w:p>
    <w:p w14:paraId="0C2BA447" w14:textId="77777777" w:rsidR="00FB7A08" w:rsidRPr="005C05FA" w:rsidRDefault="00FB7A08" w:rsidP="005C05FA">
      <w:pPr>
        <w:spacing w:after="0" w:line="300" w:lineRule="auto"/>
        <w:jc w:val="both"/>
        <w:rPr>
          <w:rFonts w:ascii="Arial" w:hAnsi="Arial" w:cs="Arial"/>
        </w:rPr>
      </w:pPr>
      <w:r w:rsidRPr="005C05FA">
        <w:rPr>
          <w:rFonts w:ascii="Arial" w:hAnsi="Arial" w:cs="Arial"/>
        </w:rPr>
        <w:t>Uchylane rozporządzenie zawiera przepisy określające wartości opałowe, do których odsyła § 14 ust. 2 rozporządzenia Ministra Energii w sprawie szczegółowego zakresu i sposobu sporządzania audytu efektywności energetycznej oraz metod obliczania oszczędności energii z dnia 5 października 2017 r. (Dz. U. z 2023 r. poz. 1220), zwanego dalej „rozporządzeniem ME”.</w:t>
      </w:r>
    </w:p>
    <w:p w14:paraId="0149E248" w14:textId="77777777" w:rsidR="00FB7A08" w:rsidRPr="005C05FA" w:rsidRDefault="00FB7A08" w:rsidP="005C05FA">
      <w:pPr>
        <w:spacing w:after="0" w:line="300" w:lineRule="auto"/>
        <w:jc w:val="both"/>
        <w:rPr>
          <w:rFonts w:ascii="Arial" w:hAnsi="Arial" w:cs="Arial"/>
        </w:rPr>
      </w:pPr>
      <w:r w:rsidRPr="005C05FA">
        <w:rPr>
          <w:rFonts w:ascii="Arial" w:hAnsi="Arial" w:cs="Arial"/>
        </w:rPr>
        <w:t>W związku z tym istnieje potrzeba uaktualnienia odesłania z § 14 ust. 2 rozporządzenia ME i wskazanie innego (właściwego) aktu prawnego określającego sposób przeliczania jednostek energii na porównywalne jednostki.</w:t>
      </w:r>
    </w:p>
    <w:p w14:paraId="0A7A9743" w14:textId="77777777" w:rsidR="00FB7A08" w:rsidRPr="005C05FA" w:rsidRDefault="00FB7A08" w:rsidP="005C05FA">
      <w:pPr>
        <w:spacing w:after="0" w:line="300" w:lineRule="auto"/>
        <w:jc w:val="both"/>
        <w:rPr>
          <w:rFonts w:ascii="Arial" w:hAnsi="Arial" w:cs="Arial"/>
        </w:rPr>
      </w:pPr>
      <w:r w:rsidRPr="005C05FA">
        <w:rPr>
          <w:rFonts w:ascii="Arial" w:hAnsi="Arial" w:cs="Arial"/>
        </w:rPr>
        <w:t xml:space="preserve">W § 14 ust. 2 rozporządzenia ME proponuje się wprowadzenie odesłania do przepisów aktu wykonawczego wydanego na podstawie art. 23 ust. 3 ustawy z dnia 25 sierpnia 2006 r. o </w:t>
      </w:r>
      <w:r w:rsidRPr="005C05FA">
        <w:rPr>
          <w:rFonts w:ascii="Arial" w:hAnsi="Arial" w:cs="Arial"/>
        </w:rPr>
        <w:lastRenderedPageBreak/>
        <w:t xml:space="preserve">biokomponentach i biopaliwach ciekłych (Dz. U. z 2024 r. poz. 20, z </w:t>
      </w:r>
      <w:proofErr w:type="spellStart"/>
      <w:r w:rsidRPr="005C05FA">
        <w:rPr>
          <w:rFonts w:ascii="Arial" w:hAnsi="Arial" w:cs="Arial"/>
        </w:rPr>
        <w:t>późn</w:t>
      </w:r>
      <w:proofErr w:type="spellEnd"/>
      <w:r w:rsidRPr="005C05FA">
        <w:rPr>
          <w:rFonts w:ascii="Arial" w:hAnsi="Arial" w:cs="Arial"/>
        </w:rPr>
        <w:t xml:space="preserve">. zm.), zwanej dalej „ustawą o biokomponentach” - tj. do rozporządzenia Ministra Klimatu i Środowiska z dnia 18 kwietnia 2025 r. w sprawie wartości energetycznej poszczególnych biokomponentów, biopaliw ciekłych, ciekłych paliw węglowych pochodzących z  recyklingu, gazowych paliw węglowych pochodzących z recyklingu, innych paliw odnawialnych, paliw ciekłych i energii elektrycznej z odnawialnych źródeł energii (Dz. U. poz. 545), zwanego dalej „rozporządzeniem w sprawie wartości energetycznej”. </w:t>
      </w:r>
    </w:p>
    <w:p w14:paraId="1C09942C" w14:textId="77777777" w:rsidR="00FB7A08" w:rsidRPr="005C05FA" w:rsidRDefault="00FB7A08" w:rsidP="005C05FA">
      <w:pPr>
        <w:spacing w:after="0" w:line="300" w:lineRule="auto"/>
        <w:jc w:val="both"/>
        <w:rPr>
          <w:rFonts w:ascii="Arial" w:hAnsi="Arial" w:cs="Arial"/>
        </w:rPr>
      </w:pPr>
      <w:r w:rsidRPr="005C05FA">
        <w:rPr>
          <w:rFonts w:ascii="Arial" w:hAnsi="Arial" w:cs="Arial"/>
        </w:rPr>
        <w:t>Proponuje się wprowadzenie zmiany polegającej na wprowadzeniu odesłania do wartości energetycznych zawartych w § 1 pkt 15-17 rozporządzenia w sprawie wartości energetycznej wydanego na podstawie art. 23 ust. 3 ustawy o biokomponentach.</w:t>
      </w:r>
    </w:p>
    <w:p w14:paraId="36862F1E" w14:textId="77777777" w:rsidR="00FB7A08" w:rsidRPr="005C05FA" w:rsidRDefault="00FB7A08" w:rsidP="005C05FA">
      <w:pPr>
        <w:spacing w:after="0" w:line="300" w:lineRule="auto"/>
        <w:jc w:val="both"/>
        <w:rPr>
          <w:rFonts w:ascii="Arial" w:hAnsi="Arial" w:cs="Arial"/>
        </w:rPr>
      </w:pPr>
      <w:r w:rsidRPr="005C05FA">
        <w:rPr>
          <w:rFonts w:ascii="Arial" w:hAnsi="Arial" w:cs="Arial"/>
        </w:rPr>
        <w:t>Wartości energetyczne wskazane w rozporządzeniu w sprawie wartości energetycznej są bardzo zbliżone do dotychczas stosowanych do obliczeń wartości opałowych określonych w uchylanym rozporządzeniu z dnia 4 lipca 2022 r. wydanego na podstawie art. 30h ustawy o systemie monitorowania.</w:t>
      </w:r>
    </w:p>
    <w:p w14:paraId="4BE8A03F" w14:textId="74C0915D" w:rsidR="00FB7A08" w:rsidRPr="005C05FA" w:rsidRDefault="00FB7A08" w:rsidP="005C05FA">
      <w:pPr>
        <w:spacing w:after="0" w:line="300" w:lineRule="auto"/>
        <w:jc w:val="both"/>
        <w:rPr>
          <w:rFonts w:ascii="Arial" w:hAnsi="Arial" w:cs="Arial"/>
        </w:rPr>
      </w:pPr>
      <w:r w:rsidRPr="005C05FA">
        <w:rPr>
          <w:rFonts w:ascii="Arial" w:hAnsi="Arial" w:cs="Arial"/>
        </w:rPr>
        <w:t>Projektowane rozwiązanie wymaga zmiany aktu wykonawczego (rozporządzenia) i nie może być osiągnięte za pomocą innych środków.</w:t>
      </w:r>
    </w:p>
    <w:p w14:paraId="75560E74" w14:textId="77777777" w:rsidR="00FB7A08" w:rsidRPr="005C05FA" w:rsidRDefault="00FB7A08" w:rsidP="005C05FA">
      <w:pPr>
        <w:spacing w:after="0" w:line="300" w:lineRule="auto"/>
        <w:jc w:val="both"/>
        <w:rPr>
          <w:rFonts w:ascii="Arial" w:hAnsi="Arial" w:cs="Arial"/>
        </w:rPr>
      </w:pPr>
    </w:p>
    <w:p w14:paraId="17B955C6" w14:textId="77777777" w:rsidR="00FB7A08" w:rsidRPr="005C05FA" w:rsidRDefault="00FB7A08" w:rsidP="005C05FA">
      <w:pPr>
        <w:spacing w:after="0" w:line="300" w:lineRule="auto"/>
        <w:jc w:val="both"/>
        <w:rPr>
          <w:rFonts w:ascii="Arial" w:hAnsi="Arial" w:cs="Arial"/>
        </w:rPr>
      </w:pPr>
      <w:r w:rsidRPr="005C05FA">
        <w:rPr>
          <w:rFonts w:ascii="Arial" w:hAnsi="Arial" w:cs="Arial"/>
        </w:rPr>
        <w:t>Przedmiotowy projekt aktu prawnego wraz z Uzasadnieniem oraz Oceną Skutków Regulacji dostępny jest na stronach Rządowego Centrum Legislacji pod adresem:</w:t>
      </w:r>
    </w:p>
    <w:p w14:paraId="0F1E61C1" w14:textId="60B7D1A6" w:rsidR="00FB7A08" w:rsidRPr="005C05FA" w:rsidRDefault="00FB7A08" w:rsidP="005C05FA">
      <w:pPr>
        <w:spacing w:after="0" w:line="300" w:lineRule="auto"/>
        <w:jc w:val="both"/>
        <w:rPr>
          <w:rFonts w:ascii="Arial" w:hAnsi="Arial" w:cs="Arial"/>
        </w:rPr>
      </w:pPr>
      <w:hyperlink r:id="rId6" w:anchor="13144866" w:history="1">
        <w:r w:rsidRPr="005C05FA">
          <w:rPr>
            <w:rStyle w:val="Hipercze"/>
            <w:rFonts w:ascii="Arial" w:hAnsi="Arial" w:cs="Arial"/>
          </w:rPr>
          <w:t>https://legislacja.rcl.gov.pl/projekt/12400451/katalog/13144866#13144866</w:t>
        </w:r>
      </w:hyperlink>
      <w:r w:rsidRPr="005C05FA">
        <w:rPr>
          <w:rFonts w:ascii="Arial" w:hAnsi="Arial" w:cs="Arial"/>
        </w:rPr>
        <w:t xml:space="preserve"> </w:t>
      </w:r>
    </w:p>
    <w:p w14:paraId="0E024117" w14:textId="77777777" w:rsidR="00FB7A08" w:rsidRPr="005C05FA" w:rsidRDefault="00FB7A08" w:rsidP="005C05FA">
      <w:pPr>
        <w:spacing w:after="0" w:line="300" w:lineRule="auto"/>
        <w:jc w:val="both"/>
        <w:rPr>
          <w:rFonts w:ascii="Arial" w:hAnsi="Arial" w:cs="Arial"/>
        </w:rPr>
      </w:pPr>
    </w:p>
    <w:p w14:paraId="7C72CC42" w14:textId="62C027DD" w:rsidR="00FB7A08" w:rsidRPr="005C05FA" w:rsidRDefault="00FB7A08" w:rsidP="005C05FA">
      <w:pPr>
        <w:spacing w:after="0" w:line="300" w:lineRule="auto"/>
        <w:jc w:val="both"/>
        <w:rPr>
          <w:rFonts w:ascii="Arial" w:hAnsi="Arial" w:cs="Arial"/>
        </w:rPr>
      </w:pPr>
      <w:r w:rsidRPr="005C05FA">
        <w:rPr>
          <w:rFonts w:ascii="Arial" w:hAnsi="Arial" w:cs="Arial"/>
        </w:rPr>
        <w:t>Projekt jest obecnie jednocześnie na etapie uzgodnień, konsultacji publicznych i opiniowania.</w:t>
      </w:r>
    </w:p>
    <w:p w14:paraId="794DEFE0" w14:textId="77777777" w:rsidR="00FB7A08" w:rsidRPr="005C05FA" w:rsidRDefault="00FB7A08" w:rsidP="005C05FA">
      <w:pPr>
        <w:spacing w:after="0" w:line="300" w:lineRule="auto"/>
        <w:jc w:val="both"/>
        <w:rPr>
          <w:rFonts w:ascii="Arial" w:hAnsi="Arial" w:cs="Arial"/>
        </w:rPr>
      </w:pPr>
    </w:p>
    <w:p w14:paraId="079054FE" w14:textId="409F49D1" w:rsidR="00FB7A08" w:rsidRPr="005C05FA" w:rsidRDefault="00FB7A08" w:rsidP="005C05FA">
      <w:pPr>
        <w:pStyle w:val="Akapitzlist"/>
        <w:numPr>
          <w:ilvl w:val="0"/>
          <w:numId w:val="4"/>
        </w:numPr>
        <w:spacing w:after="0" w:line="300" w:lineRule="auto"/>
        <w:jc w:val="both"/>
        <w:rPr>
          <w:rFonts w:ascii="Arial" w:hAnsi="Arial" w:cs="Arial"/>
          <w:b/>
          <w:bCs/>
          <w:u w:val="single"/>
        </w:rPr>
      </w:pPr>
      <w:r w:rsidRPr="005C05FA">
        <w:rPr>
          <w:rFonts w:ascii="Arial" w:hAnsi="Arial" w:cs="Arial"/>
          <w:b/>
          <w:bCs/>
          <w:u w:val="single"/>
        </w:rPr>
        <w:t>Projekt rozporządzenia Ministra Rodziny, Pracy i Polityki Społecznej w sprawie wniosków i realizacji umów o dofinansowanie podjęcia działalności gospodarczej oraz o refundację kosztów wyposażenia lub doposażenia stanowiska pracy (numer z wykazu 76).</w:t>
      </w:r>
    </w:p>
    <w:p w14:paraId="7E56C694" w14:textId="77777777" w:rsidR="00FB7A08" w:rsidRPr="005C05FA" w:rsidRDefault="00FB7A08" w:rsidP="005C05FA">
      <w:pPr>
        <w:spacing w:after="0" w:line="300" w:lineRule="auto"/>
        <w:jc w:val="both"/>
        <w:rPr>
          <w:rFonts w:ascii="Arial" w:hAnsi="Arial" w:cs="Arial"/>
        </w:rPr>
      </w:pPr>
    </w:p>
    <w:p w14:paraId="2FA55251" w14:textId="77777777" w:rsidR="00FB7A08" w:rsidRPr="005C05FA" w:rsidRDefault="00FB7A08" w:rsidP="005C05FA">
      <w:pPr>
        <w:spacing w:after="0" w:line="300" w:lineRule="auto"/>
        <w:jc w:val="both"/>
        <w:rPr>
          <w:rFonts w:ascii="Arial" w:hAnsi="Arial" w:cs="Arial"/>
        </w:rPr>
      </w:pPr>
      <w:r w:rsidRPr="005C05FA">
        <w:rPr>
          <w:rFonts w:ascii="Arial" w:hAnsi="Arial" w:cs="Arial"/>
        </w:rPr>
        <w:t>Projekt rozporządzenia jest wynikiem realizacji przez ministra właściwego do spraw pracy upoważnienia do wydania rozporządzenia zawartego w art. 160 ustawy z dnia 20 marca 2025 r. o rynku pracy i służbach zatrudnienia (Dz. U. poz. 620), zwanej dalej „ustawą”.</w:t>
      </w:r>
    </w:p>
    <w:p w14:paraId="7453A9D1" w14:textId="77777777" w:rsidR="00FB7A08" w:rsidRPr="005C05FA" w:rsidRDefault="00FB7A08" w:rsidP="005C05FA">
      <w:pPr>
        <w:spacing w:after="0" w:line="300" w:lineRule="auto"/>
        <w:jc w:val="both"/>
        <w:rPr>
          <w:rFonts w:ascii="Arial" w:hAnsi="Arial" w:cs="Arial"/>
        </w:rPr>
      </w:pPr>
      <w:r w:rsidRPr="005C05FA">
        <w:rPr>
          <w:rFonts w:ascii="Arial" w:hAnsi="Arial" w:cs="Arial"/>
        </w:rPr>
        <w:t>Dotychczasowe rozporządzenie Ministra Rodziny, Pracy i Polityki Społecznej z dnia 14 lipca 2017 r. w sprawie dokonywania z Funduszu Pracy refundacji kosztów wyposażenia lub doposażenia stanowiska pracy oraz przyznawania środków na podjęcie działalności gospodarczej (Dz. U. z 2022 r. poz. 243 oraz z 2024 r. poz. 1100) zostało wydane na podstawie art. 46 ust. 6 ustawy z dnia 20 kwietnia 2004 r. o promocji zatrudnienia i instytucjach rynku pracy (Dz. U. z 2025 r. poz. 214), która została uchylona ustawą z dniem 1 czerwca 2025 r.</w:t>
      </w:r>
    </w:p>
    <w:p w14:paraId="48A6A033" w14:textId="77777777" w:rsidR="00FB7A08" w:rsidRPr="005C05FA" w:rsidRDefault="00FB7A08" w:rsidP="005C05FA">
      <w:pPr>
        <w:spacing w:after="0" w:line="300" w:lineRule="auto"/>
        <w:jc w:val="both"/>
        <w:rPr>
          <w:rFonts w:ascii="Arial" w:hAnsi="Arial" w:cs="Arial"/>
        </w:rPr>
      </w:pPr>
      <w:r w:rsidRPr="005C05FA">
        <w:rPr>
          <w:rFonts w:ascii="Arial" w:hAnsi="Arial" w:cs="Arial"/>
        </w:rPr>
        <w:t>Z uwagi na to, że dotychczasowe przepisy wykonawcze zgodnie z art. 459 ust. 1 pkt 1 ustawy zachowują moc do dnia wejścia w życie przepisów wykonawczych wydanych na podstawie art. 160 ustawy, nie dłużej niż przez okres 6 miesięcy od dnia wejścia w życie ustawy, zachodzi konieczność wydania nowego rozporządzenia.</w:t>
      </w:r>
    </w:p>
    <w:p w14:paraId="3B5CA64F" w14:textId="77777777" w:rsidR="00FB7A08" w:rsidRPr="005C05FA" w:rsidRDefault="00FB7A08" w:rsidP="005C05FA">
      <w:pPr>
        <w:spacing w:after="0" w:line="300" w:lineRule="auto"/>
        <w:jc w:val="both"/>
        <w:rPr>
          <w:rFonts w:ascii="Arial" w:hAnsi="Arial" w:cs="Arial"/>
        </w:rPr>
      </w:pPr>
      <w:r w:rsidRPr="005C05FA">
        <w:rPr>
          <w:rFonts w:ascii="Arial" w:hAnsi="Arial" w:cs="Arial"/>
        </w:rPr>
        <w:t>Projekt rozporządzenia wykonawczego umożliwi skorzystanie przez uprawnionych z instrumentów przewidzianych w ramach regulacji art. 147–159 ustawy.</w:t>
      </w:r>
    </w:p>
    <w:p w14:paraId="6C65001C" w14:textId="77777777" w:rsidR="00FB7A08" w:rsidRPr="005C05FA" w:rsidRDefault="00FB7A08" w:rsidP="005C05FA">
      <w:pPr>
        <w:spacing w:after="0" w:line="300" w:lineRule="auto"/>
        <w:jc w:val="both"/>
        <w:rPr>
          <w:rFonts w:ascii="Arial" w:hAnsi="Arial" w:cs="Arial"/>
        </w:rPr>
      </w:pPr>
      <w:r w:rsidRPr="005C05FA">
        <w:rPr>
          <w:rFonts w:ascii="Arial" w:hAnsi="Arial" w:cs="Arial"/>
        </w:rPr>
        <w:lastRenderedPageBreak/>
        <w:t>Zgodnie z delegacją ustawową wynikającą z art. 160 ustawy, projektowane rozporządzenie reguluje sposób składania i rozpatrywania wniosków o dofinansowanie podjęcia działalności gospodarczej i wniosków o refundację kosztów wyposażenia lub doposażenia stanowiska pracy. W projekcie rozporządzenia zawarta jest regulacja określająca postępowanie w razie stwierdzenia przez starostę braków we wniosku.</w:t>
      </w:r>
    </w:p>
    <w:p w14:paraId="79C22316" w14:textId="77777777" w:rsidR="00FB7A08" w:rsidRPr="005C05FA" w:rsidRDefault="00FB7A08" w:rsidP="005C05FA">
      <w:pPr>
        <w:spacing w:after="0" w:line="300" w:lineRule="auto"/>
        <w:jc w:val="both"/>
        <w:rPr>
          <w:rFonts w:ascii="Arial" w:hAnsi="Arial" w:cs="Arial"/>
        </w:rPr>
      </w:pPr>
      <w:r w:rsidRPr="005C05FA">
        <w:rPr>
          <w:rFonts w:ascii="Arial" w:hAnsi="Arial" w:cs="Arial"/>
        </w:rPr>
        <w:t>Projekt rozporządzenia określa informacje zawarte we wniosku o dofinansowanie podjęcia działalności gospodarczej, o które to dofinansowanie – podobnie jak dotychczas – może ubiegać się bezrobotny, absolwent CIS, absolwent KIS, jak również poszukujący pracy niezatrudniony i niewykonujący innej pracy zarobkowej opiekun osoby niepełnosprawnej, zwany dalej „opiekunem”.</w:t>
      </w:r>
    </w:p>
    <w:p w14:paraId="27C8F902" w14:textId="77777777" w:rsidR="00FB7A08" w:rsidRPr="005C05FA" w:rsidRDefault="00FB7A08" w:rsidP="005C05FA">
      <w:pPr>
        <w:spacing w:after="0" w:line="300" w:lineRule="auto"/>
        <w:jc w:val="both"/>
        <w:rPr>
          <w:rFonts w:ascii="Arial" w:hAnsi="Arial" w:cs="Arial"/>
        </w:rPr>
      </w:pPr>
      <w:r w:rsidRPr="005C05FA">
        <w:rPr>
          <w:rFonts w:ascii="Arial" w:hAnsi="Arial" w:cs="Arial"/>
        </w:rPr>
        <w:t>Projekt rozporządzenia określa także informacje, jakie we wniosku o refundację kosztów wyposażenia lub doposażenia stanowiska pracy dla skierowanego bezrobotnego lub skierowanego opiekuna zamieszcza ten sam co dotychczas podmiot uprawniony, tj. przedsiębiorca, w tym żłobek lub klub dziecięcy, przedsiębiorca świadczący usługi rehabilitacyjne, producent rolny, niepubliczne przedszkole, niepubliczna szkoła, a ponadto niepubliczna inna forma wychowania przedszkolnego. Nowym podmiotem jest świadczące usługi rehabilitacyjne przedsiębiorstwo społeczne, o którym mowa w art. 3 ustawy z dnia 5 sierpnia 2022 r. o ekonomii społecznej (Dz. U. z 2025 r. poz. 806).</w:t>
      </w:r>
    </w:p>
    <w:p w14:paraId="6405787F" w14:textId="77777777" w:rsidR="00FB7A08" w:rsidRPr="005C05FA" w:rsidRDefault="00FB7A08" w:rsidP="005C05FA">
      <w:pPr>
        <w:spacing w:after="0" w:line="300" w:lineRule="auto"/>
        <w:jc w:val="both"/>
        <w:rPr>
          <w:rFonts w:ascii="Arial" w:hAnsi="Arial" w:cs="Arial"/>
        </w:rPr>
      </w:pPr>
      <w:r w:rsidRPr="005C05FA">
        <w:rPr>
          <w:rFonts w:ascii="Arial" w:hAnsi="Arial" w:cs="Arial"/>
        </w:rPr>
        <w:t>Projekt rozporządzenia dostosowuje do regulacji ustawy oświadczenia dołączane do przedmiotowych wniosków. Wskazuje również wprost, które warunki ubiegania się o środki powiatowe urzędy pracy powinny sprawdzać w rejestrach publicznych lub w systemie teleinformatycznym, do których ma dostęp.</w:t>
      </w:r>
    </w:p>
    <w:p w14:paraId="40EC97DF" w14:textId="77777777" w:rsidR="00FB7A08" w:rsidRPr="005C05FA" w:rsidRDefault="00FB7A08" w:rsidP="005C05FA">
      <w:pPr>
        <w:spacing w:after="0" w:line="300" w:lineRule="auto"/>
        <w:jc w:val="both"/>
        <w:rPr>
          <w:rFonts w:ascii="Arial" w:hAnsi="Arial" w:cs="Arial"/>
        </w:rPr>
      </w:pPr>
      <w:r w:rsidRPr="005C05FA">
        <w:rPr>
          <w:rFonts w:ascii="Arial" w:hAnsi="Arial" w:cs="Arial"/>
        </w:rPr>
        <w:t>Projekt określa sposób rozliczenia wydatkowanych środków. W przypadku dofinansowania utrzymano dotychczasowy obowiązek złożenia rozliczenia środków w terminie 2 miesięcy od dnia rozpoczęcia działalności gospodarczej, z możliwością przedłużenia lub przywrócenia terminu na wydatkowanie lub rozliczenie otrzymanych środków w przypadku, gdy za jego przedłużeniem przemawiają względy społeczne, w szczególności przypadki losowe i sytuacje niezależne od osoby, która otrzymała dofinansowanie podjęcia działalności gospodarczej. W tym samym terminie, kiedy następuje rozliczenie środków, bezrobotny zobowiązany jest do zwrotu niewydatkowanych środków.</w:t>
      </w:r>
    </w:p>
    <w:p w14:paraId="4F8B29E4" w14:textId="77777777" w:rsidR="00FB7A08" w:rsidRPr="005C05FA" w:rsidRDefault="00FB7A08" w:rsidP="005C05FA">
      <w:pPr>
        <w:spacing w:after="0" w:line="300" w:lineRule="auto"/>
        <w:jc w:val="both"/>
        <w:rPr>
          <w:rFonts w:ascii="Arial" w:hAnsi="Arial" w:cs="Arial"/>
        </w:rPr>
      </w:pPr>
      <w:r w:rsidRPr="005C05FA">
        <w:rPr>
          <w:rFonts w:ascii="Arial" w:hAnsi="Arial" w:cs="Arial"/>
        </w:rPr>
        <w:t xml:space="preserve">Utrzymano także dotychczasową zasadę, że starosta na wniosek bezrobotnego, absolwenta CIS, absolwenta KIS, lub opiekuna uznaje w rozliczeniu za prawidłowo poniesione również wydatki odbiegające od zawartych w szczegółowej specyfikacji, mieszczące się w kwocie przyznanego dofinansowania, jeżeli starosta stwierdzi zasadność ich poniesienia, biorąc pod uwagę charakter prowadzonej działalności. </w:t>
      </w:r>
    </w:p>
    <w:p w14:paraId="28D2EE8A" w14:textId="77777777" w:rsidR="00FB7A08" w:rsidRPr="005C05FA" w:rsidRDefault="00FB7A08" w:rsidP="005C05FA">
      <w:pPr>
        <w:spacing w:after="0" w:line="300" w:lineRule="auto"/>
        <w:jc w:val="both"/>
        <w:rPr>
          <w:rFonts w:ascii="Arial" w:hAnsi="Arial" w:cs="Arial"/>
        </w:rPr>
      </w:pPr>
      <w:r w:rsidRPr="005C05FA">
        <w:rPr>
          <w:rFonts w:ascii="Arial" w:hAnsi="Arial" w:cs="Arial"/>
        </w:rPr>
        <w:t>W przypadku refundacji, jeżeli podmiotowi o nią się ubiegającemu przysługuje prawo do obniżenia podatku od towarów i usług należnego o kwotę podatku naliczonego, refundacja obejmuje wydatki na wyposażenie lub doposażenie stanowiska pracy bez podatku od towarów i usług.</w:t>
      </w:r>
    </w:p>
    <w:p w14:paraId="3F15EE63" w14:textId="77777777" w:rsidR="00FB7A08" w:rsidRPr="005C05FA" w:rsidRDefault="00FB7A08" w:rsidP="005C05FA">
      <w:pPr>
        <w:spacing w:after="0" w:line="300" w:lineRule="auto"/>
        <w:jc w:val="both"/>
        <w:rPr>
          <w:rFonts w:ascii="Arial" w:hAnsi="Arial" w:cs="Arial"/>
        </w:rPr>
      </w:pPr>
      <w:r w:rsidRPr="005C05FA">
        <w:rPr>
          <w:rFonts w:ascii="Arial" w:hAnsi="Arial" w:cs="Arial"/>
        </w:rPr>
        <w:t xml:space="preserve">Takie same możliwości jak w przypadku dofinansowania w zakresie uznania innych wydatków niż przewidziane we wniosku za prawidłowo poniesione przewiduje projekt w odniesieniu do refundacji. W projekcie przewidziano również termin na złożenie rozliczenia, co jest nowością w przypadku refundacji. Rozliczenie składane jest w terminie 2 miesięcy od dnia podpisania umowy. Podobnie jak przy dofinansowaniu, w tym przypadku również przewidziano możliwość </w:t>
      </w:r>
      <w:r w:rsidRPr="005C05FA">
        <w:rPr>
          <w:rFonts w:ascii="Arial" w:hAnsi="Arial" w:cs="Arial"/>
        </w:rPr>
        <w:lastRenderedPageBreak/>
        <w:t xml:space="preserve">przedłużenia lub przywrócenia terminu na wydatkowanie lub rozliczenie środków, jeżeli za jego przedłużeniem przemawiają względy społeczne, w szczególności przypadki losowe i sytuacje niezależne od strony umowy. </w:t>
      </w:r>
    </w:p>
    <w:p w14:paraId="47672607" w14:textId="77777777" w:rsidR="00FB7A08" w:rsidRPr="005C05FA" w:rsidRDefault="00FB7A08" w:rsidP="005C05FA">
      <w:pPr>
        <w:spacing w:after="0" w:line="300" w:lineRule="auto"/>
        <w:jc w:val="both"/>
        <w:rPr>
          <w:rFonts w:ascii="Arial" w:hAnsi="Arial" w:cs="Arial"/>
        </w:rPr>
      </w:pPr>
      <w:r w:rsidRPr="005C05FA">
        <w:rPr>
          <w:rFonts w:ascii="Arial" w:hAnsi="Arial" w:cs="Arial"/>
        </w:rPr>
        <w:t xml:space="preserve">Starosta weryfikuje realizację pozostałych warunków umowy. W przypadku umowy o dofinansowanie sprawdza, czy działalność gospodarcza była wykonywana przez okres co najmniej 12 miesięcy, czy osoba ją prowadząca w tym okresie nie podejmowała zatrudnienia, czy nie zawieszała wykonywania działalności gospodarczej łącznie na okres dłuższy niż 6 miesięcy oraz, czy nabyła prawo do obniżenia kwoty podatku od towarów i usług należnego o kwotę podatku naliczonego, a jeśli tak, to czy dokonała zwrotu równowartości podatku od towarów i usług zakupionych w ramach umowy. Jeżeli bezrobotny lub inna uprawniona osoba, która podpisała umowę o dofinansowanie, nie stanie się płatnikiem podatku od towarów i usług, starosta będzie zobowiązany sprawdzać przynajmniej raz do roku, czy bezrobotny, absolwent CIS, absolwent KIS lub opiekun nie nabył tego prawa, nie dłużej jednak niż przez 5 lat, licząc od początku roku, w którym powstało prawo do obniżenia kwoty podatku należnego. </w:t>
      </w:r>
    </w:p>
    <w:p w14:paraId="5B2AC11E" w14:textId="77777777" w:rsidR="00FB7A08" w:rsidRPr="005C05FA" w:rsidRDefault="00FB7A08" w:rsidP="005C05FA">
      <w:pPr>
        <w:spacing w:after="0" w:line="300" w:lineRule="auto"/>
        <w:jc w:val="both"/>
        <w:rPr>
          <w:rFonts w:ascii="Arial" w:hAnsi="Arial" w:cs="Arial"/>
        </w:rPr>
      </w:pPr>
      <w:r w:rsidRPr="005C05FA">
        <w:rPr>
          <w:rFonts w:ascii="Arial" w:hAnsi="Arial" w:cs="Arial"/>
        </w:rPr>
        <w:t xml:space="preserve">W przypadku umowy o refundację starosta sprawdza, czy stanowisko pracy zostało utrzymane przez okres 18 miesięcy lub 12 miesięcy (w zależności od kwoty przyznanej refundacji), czy na stanowisku zostało utrzymane zatrudnienie skierowanego bezrobotnego lub opiekuna w wymiarze czasu pracy określonym w umowie oraz, podobnie jak przy dofinansowaniu, jeżeli podmiot otrzymał refundację w kwotach brutto, czy nie nabył prawa do obniżenia podatku od towarów i usług należnego o kwotę podatku naliczonego. Jeżeli podmiot nie stał się płatnikiem podatku od towarów i usług, starosta będzie zobowiązany sprawdzać, czy nie nabył tego prawa przez 5 lat, licząc od początku roku, w którym powstało prawo do obniżenia kwoty podatku należnego. </w:t>
      </w:r>
    </w:p>
    <w:p w14:paraId="123F8F4B" w14:textId="77777777" w:rsidR="00FB7A08" w:rsidRPr="005C05FA" w:rsidRDefault="00FB7A08" w:rsidP="005C05FA">
      <w:pPr>
        <w:spacing w:after="0" w:line="300" w:lineRule="auto"/>
        <w:jc w:val="both"/>
        <w:rPr>
          <w:rFonts w:ascii="Arial" w:hAnsi="Arial" w:cs="Arial"/>
        </w:rPr>
      </w:pPr>
      <w:r w:rsidRPr="005C05FA">
        <w:rPr>
          <w:rFonts w:ascii="Arial" w:hAnsi="Arial" w:cs="Arial"/>
        </w:rPr>
        <w:t>Projekt reguluje formy zabezpieczenia umowy. Samodzielnym zabezpieczeniem może być: poręczenie, weksel z poręczeniem wekslowym (</w:t>
      </w:r>
      <w:proofErr w:type="spellStart"/>
      <w:r w:rsidRPr="005C05FA">
        <w:rPr>
          <w:rFonts w:ascii="Arial" w:hAnsi="Arial" w:cs="Arial"/>
        </w:rPr>
        <w:t>aval</w:t>
      </w:r>
      <w:proofErr w:type="spellEnd"/>
      <w:r w:rsidRPr="005C05FA">
        <w:rPr>
          <w:rFonts w:ascii="Arial" w:hAnsi="Arial" w:cs="Arial"/>
        </w:rPr>
        <w:t>), w tym weksel in blanco z poręczeniem wekslowym, gwarancja bankowa, zastaw rejestrowy na prawach lub rzeczach, blokada środków zgromadzonych na rachunku płatniczym. Możliwe jest również ustanowienie zabezpieczenia w postaci aktu notarialnego o poddaniu się egzekucji przez dłużnika i weksla in blanco, ale tylko jako zabezpieczenia dodatkowego.</w:t>
      </w:r>
    </w:p>
    <w:p w14:paraId="5123F610" w14:textId="706293FB" w:rsidR="00FB7A08" w:rsidRPr="005C05FA" w:rsidRDefault="00FB7A08" w:rsidP="005C05FA">
      <w:pPr>
        <w:spacing w:after="0" w:line="300" w:lineRule="auto"/>
        <w:jc w:val="both"/>
        <w:rPr>
          <w:rFonts w:ascii="Arial" w:hAnsi="Arial" w:cs="Arial"/>
        </w:rPr>
      </w:pPr>
      <w:r w:rsidRPr="005C05FA">
        <w:rPr>
          <w:rFonts w:ascii="Arial" w:hAnsi="Arial" w:cs="Arial"/>
        </w:rPr>
        <w:t>W sytuacji, gdy po realizacji podstawowego warunku wynikającego z umowy o dofinansowanie, tj. wykonywania działalności gospodarczej przez okres co najmniej 12 miesięcy, bezrobotnemu nie będzie przysługiwało prawo do obniżenia kwoty podatku od towarów i usług należnego o kwotę podatku naliczonego, starosta zmniejsza zabezpieczenie wykonania umowy o dofinansowanie podjęcia działalności gospodarczej w celu zabezpieczenia zwrotu równowartości podatku od towarów i usług. Analogiczny przepis dotyczy refundacji. Jeżeli przedsiębiorcy, w tym żłobkowi lub klubowi dziecięcemu, lub podmiotowi świadczącemu usługi rehabilitacyjne, niepublicznemu przedszkolu lub niepublicznej innej formie wychowania przedszkolnego, niepublicznej szkole lub producentowi rolnemu do dnia spełnienia warunków utrzymania stanowiska pracy utworzonego w związku z przyznaną refundacją oraz zatrudnienia na tym stanowisku pracy skierowanego bezrobotnego lub skierowanego opiekuna przez okres 12 lub 18 miesięcy, nie będzie przysługiwało prawo do obniżenia kwoty podatku od towarów i usług należnego o kwotę podatku naliczonego, zabezpieczenie umowy o refundację kosztów wyposażenia lub doposażenia stanowiska pracy ulega zmniejszeniu w celu zabezpieczenia zwrotu równowartości podatku od towarów i usług.</w:t>
      </w:r>
    </w:p>
    <w:p w14:paraId="30E159E7" w14:textId="77777777" w:rsidR="00FB7A08" w:rsidRPr="005C05FA" w:rsidRDefault="00FB7A08" w:rsidP="005C05FA">
      <w:pPr>
        <w:spacing w:after="0" w:line="300" w:lineRule="auto"/>
        <w:jc w:val="both"/>
        <w:rPr>
          <w:rFonts w:ascii="Arial" w:hAnsi="Arial" w:cs="Arial"/>
        </w:rPr>
      </w:pPr>
    </w:p>
    <w:p w14:paraId="22CFF708" w14:textId="77777777" w:rsidR="00FB7A08" w:rsidRPr="005C05FA" w:rsidRDefault="00FB7A08" w:rsidP="005C05FA">
      <w:pPr>
        <w:spacing w:after="0" w:line="300" w:lineRule="auto"/>
        <w:jc w:val="both"/>
        <w:rPr>
          <w:rFonts w:ascii="Arial" w:hAnsi="Arial" w:cs="Arial"/>
        </w:rPr>
      </w:pPr>
      <w:r w:rsidRPr="005C05FA">
        <w:rPr>
          <w:rFonts w:ascii="Arial" w:hAnsi="Arial" w:cs="Arial"/>
        </w:rPr>
        <w:t>Przedmiotowy projekt aktu prawnego wraz z Uzasadnieniem oraz Oceną Skutków Regulacji dostępny jest na stronach Rządowego Centrum Legislacji pod adresem:</w:t>
      </w:r>
    </w:p>
    <w:p w14:paraId="2BCA7644" w14:textId="5F953CDB" w:rsidR="00FB7A08" w:rsidRPr="005C05FA" w:rsidRDefault="00FB7A08" w:rsidP="005C05FA">
      <w:pPr>
        <w:spacing w:after="0" w:line="300" w:lineRule="auto"/>
        <w:jc w:val="both"/>
        <w:rPr>
          <w:rFonts w:ascii="Arial" w:hAnsi="Arial" w:cs="Arial"/>
        </w:rPr>
      </w:pPr>
      <w:hyperlink r:id="rId7" w:anchor="13146866" w:history="1">
        <w:r w:rsidRPr="005C05FA">
          <w:rPr>
            <w:rStyle w:val="Hipercze"/>
            <w:rFonts w:ascii="Arial" w:hAnsi="Arial" w:cs="Arial"/>
          </w:rPr>
          <w:t>https://legislacja.rcl.gov.pl/projekt/12400607/katalog/13146866#13146866</w:t>
        </w:r>
      </w:hyperlink>
      <w:r w:rsidRPr="005C05FA">
        <w:rPr>
          <w:rFonts w:ascii="Arial" w:hAnsi="Arial" w:cs="Arial"/>
        </w:rPr>
        <w:t xml:space="preserve"> </w:t>
      </w:r>
    </w:p>
    <w:p w14:paraId="54810025" w14:textId="77777777" w:rsidR="00FB7A08" w:rsidRPr="005C05FA" w:rsidRDefault="00FB7A08" w:rsidP="005C05FA">
      <w:pPr>
        <w:spacing w:after="0" w:line="300" w:lineRule="auto"/>
        <w:jc w:val="both"/>
        <w:rPr>
          <w:rFonts w:ascii="Arial" w:hAnsi="Arial" w:cs="Arial"/>
        </w:rPr>
      </w:pPr>
    </w:p>
    <w:p w14:paraId="44E76BFB" w14:textId="12AE3374" w:rsidR="00FB7A08" w:rsidRPr="005C05FA" w:rsidRDefault="00FB63AF" w:rsidP="005C05FA">
      <w:pPr>
        <w:spacing w:after="0" w:line="300" w:lineRule="auto"/>
        <w:jc w:val="both"/>
        <w:rPr>
          <w:rFonts w:ascii="Arial" w:hAnsi="Arial" w:cs="Arial"/>
        </w:rPr>
      </w:pPr>
      <w:r w:rsidRPr="005C05FA">
        <w:rPr>
          <w:rFonts w:ascii="Arial" w:hAnsi="Arial" w:cs="Arial"/>
        </w:rPr>
        <w:t>Projekt jest obecnie jednocześnie na etapie uzgodnień, konsultacji publicznych i opiniowania.</w:t>
      </w:r>
    </w:p>
    <w:p w14:paraId="00D24B1A" w14:textId="77777777" w:rsidR="00FB7A08" w:rsidRPr="005C05FA" w:rsidRDefault="00FB7A08" w:rsidP="005C05FA">
      <w:pPr>
        <w:spacing w:after="0" w:line="300" w:lineRule="auto"/>
        <w:jc w:val="both"/>
        <w:rPr>
          <w:rFonts w:ascii="Arial" w:hAnsi="Arial" w:cs="Arial"/>
        </w:rPr>
      </w:pPr>
    </w:p>
    <w:p w14:paraId="28A8B6E1" w14:textId="5B7D6CE9" w:rsidR="00FB7A08" w:rsidRPr="005C05FA" w:rsidRDefault="00C7764F" w:rsidP="005C05FA">
      <w:pPr>
        <w:pStyle w:val="Akapitzlist"/>
        <w:numPr>
          <w:ilvl w:val="0"/>
          <w:numId w:val="4"/>
        </w:numPr>
        <w:spacing w:after="0" w:line="300" w:lineRule="auto"/>
        <w:jc w:val="both"/>
        <w:rPr>
          <w:rFonts w:ascii="Arial" w:hAnsi="Arial" w:cs="Arial"/>
          <w:b/>
          <w:bCs/>
          <w:u w:val="single"/>
        </w:rPr>
      </w:pPr>
      <w:r w:rsidRPr="005C05FA">
        <w:rPr>
          <w:rFonts w:ascii="Arial" w:hAnsi="Arial" w:cs="Arial"/>
          <w:b/>
          <w:bCs/>
          <w:u w:val="single"/>
        </w:rPr>
        <w:t>Projekt rozporządzenia Ministra Rodziny, Pracy i Polityki Społecznej zmieniającego rozporządzenie w sprawie wykazów, wniosków i wypłat świadczeń z Funduszu Gwarantowanych Świadczeń Pracowniczych (numer z wykazu 57).</w:t>
      </w:r>
    </w:p>
    <w:p w14:paraId="3F7A6A7B" w14:textId="77777777" w:rsidR="00FB7A08" w:rsidRPr="005C05FA" w:rsidRDefault="00FB7A08" w:rsidP="005C05FA">
      <w:pPr>
        <w:spacing w:after="0" w:line="300" w:lineRule="auto"/>
        <w:jc w:val="both"/>
        <w:rPr>
          <w:rFonts w:ascii="Arial" w:hAnsi="Arial" w:cs="Arial"/>
        </w:rPr>
      </w:pPr>
    </w:p>
    <w:p w14:paraId="4A887C13" w14:textId="77777777" w:rsidR="00C7764F" w:rsidRPr="005C05FA" w:rsidRDefault="00C7764F" w:rsidP="005C05FA">
      <w:pPr>
        <w:spacing w:after="0" w:line="300" w:lineRule="auto"/>
        <w:jc w:val="both"/>
        <w:rPr>
          <w:rFonts w:ascii="Arial" w:hAnsi="Arial" w:cs="Arial"/>
        </w:rPr>
      </w:pPr>
      <w:r w:rsidRPr="005C05FA">
        <w:rPr>
          <w:rFonts w:ascii="Arial" w:hAnsi="Arial" w:cs="Arial"/>
        </w:rPr>
        <w:t xml:space="preserve">Projektowane rozporządzenie Ministra Rodziny, Pracy i Polityki Społecznej zmieniające rozporządzenie w sprawie wykazów, wniosków i wypłat świadczeń z Funduszu Gwarantowanych Świadczeń Pracowniczych, ma na celu umożliwienie składania dokumentów (określonych rozporządzeniem) w postaci papierowej lub elektronicznej, umożliwiając podmiotowi składającemu wybór złożenia tych dokumentów w dogodny dla niego sposób. </w:t>
      </w:r>
    </w:p>
    <w:p w14:paraId="710CBB71" w14:textId="77777777" w:rsidR="00C7764F" w:rsidRPr="005C05FA" w:rsidRDefault="00C7764F" w:rsidP="005C05FA">
      <w:pPr>
        <w:spacing w:after="0" w:line="300" w:lineRule="auto"/>
        <w:jc w:val="both"/>
        <w:rPr>
          <w:rFonts w:ascii="Arial" w:hAnsi="Arial" w:cs="Arial"/>
        </w:rPr>
      </w:pPr>
      <w:r w:rsidRPr="005C05FA">
        <w:rPr>
          <w:rFonts w:ascii="Arial" w:hAnsi="Arial" w:cs="Arial"/>
        </w:rPr>
        <w:t xml:space="preserve">Zgodnie z art. 11 ustawy z dnia 13 lipca 2006 r. o ochronie roszczeń pracowniczych w razie niewypłacalności pracodawcy (Dz. U. z 2025 r. poz. 433, z </w:t>
      </w:r>
      <w:proofErr w:type="spellStart"/>
      <w:r w:rsidRPr="005C05FA">
        <w:rPr>
          <w:rFonts w:ascii="Arial" w:hAnsi="Arial" w:cs="Arial"/>
        </w:rPr>
        <w:t>późn</w:t>
      </w:r>
      <w:proofErr w:type="spellEnd"/>
      <w:r w:rsidRPr="005C05FA">
        <w:rPr>
          <w:rFonts w:ascii="Arial" w:hAnsi="Arial" w:cs="Arial"/>
        </w:rPr>
        <w:t>. zm.), zwanej dalej „ustawą”, w razie niewypłacalności pracodawcy są zaspokajane roszczenia pracowników, a także byłych pracowników oraz uprawnionych do renty rodzinnej członków rodziny zmarłego pracownika lub zmarłego byłego pracownika.</w:t>
      </w:r>
    </w:p>
    <w:p w14:paraId="107FD664" w14:textId="77777777" w:rsidR="00C7764F" w:rsidRPr="005C05FA" w:rsidRDefault="00C7764F" w:rsidP="005C05FA">
      <w:pPr>
        <w:spacing w:after="0" w:line="300" w:lineRule="auto"/>
        <w:jc w:val="both"/>
        <w:rPr>
          <w:rFonts w:ascii="Arial" w:hAnsi="Arial" w:cs="Arial"/>
        </w:rPr>
      </w:pPr>
      <w:r w:rsidRPr="005C05FA">
        <w:rPr>
          <w:rFonts w:ascii="Arial" w:hAnsi="Arial" w:cs="Arial"/>
        </w:rPr>
        <w:t>Stosownie do art. 15 ust. 1 i 2 ustawy, w okresie miesiąca od daty niewypłacalności pracodawcy, pracodawca, zarządca, syndyk, likwidator lub inna osoba sprawująca zarząd majątkiem pracodawcy sporządza i składa marszałkowi województwa zbiorczy wykaz niezaspokojonych roszczeń, (…), określając osoby uprawnione, o których mowa w art. 10, oraz tytuły i wysokość roszczeń wnioskowanych do zaspokojenia ze środków Funduszu. Zbiorczy wykaz obejmuje roszczenia z okresów poprzedzających datę niewypłacalności pracodawcy.  Jeżeli zaspokojeniu podlegają roszczenia z okresów następujących po dacie niewypłacalności pracodawcy, ww. podmiot sporządza i składa marszałkowi województwa niezwłocznie po ustaniu stosunku pracy osób uprawnionych wykazy uzupełniające. Wykazy obejmują wskazanie tych osób oraz tytuły i wysokość roszczeń. Wypłata świadczeń może nastąpić także na podstawie wniosku pracownika, byłego pracownika lub uprawnionych do renty rodzinnej członków rodziny zmarłego pracownika lub zmarłego byłego pracownika (art. 16 ust. 1 ustawy).</w:t>
      </w:r>
    </w:p>
    <w:p w14:paraId="13506304" w14:textId="77777777" w:rsidR="00C7764F" w:rsidRPr="005C05FA" w:rsidRDefault="00C7764F" w:rsidP="005C05FA">
      <w:pPr>
        <w:spacing w:after="0" w:line="300" w:lineRule="auto"/>
        <w:jc w:val="both"/>
        <w:rPr>
          <w:rFonts w:ascii="Arial" w:hAnsi="Arial" w:cs="Arial"/>
        </w:rPr>
      </w:pPr>
      <w:r w:rsidRPr="005C05FA">
        <w:rPr>
          <w:rFonts w:ascii="Arial" w:hAnsi="Arial" w:cs="Arial"/>
        </w:rPr>
        <w:t>Rozporządzenie Ministra Rodziny, Pracy i Polityki Społecznej z dnia 24 października 2017 r. w sprawie wykazów, wniosków i wypłat świadczeń z Funduszu, określa: wzór zbiorczego wykazu niezaspokojonych roszczeń pracowniczych, wzór wykazu uzupełniającego niezaspokojonych roszczeń pracowniczych oraz wzór wniosku o wypłatę świadczeń z tytułu niezaspokojonych roszczeń pracowniczych, a także tryb: składania wykazów oraz ww. wniosku, przekazywania środków finansowych Funduszu na wypłaty świadczeń, dokonywania wypłat świadczeń z Funduszu, oraz rodzaje dokumentów wymaganych do wypłaty świadczeń.</w:t>
      </w:r>
    </w:p>
    <w:p w14:paraId="0DF35C22" w14:textId="77777777" w:rsidR="00C7764F" w:rsidRPr="005C05FA" w:rsidRDefault="00C7764F" w:rsidP="005C05FA">
      <w:pPr>
        <w:spacing w:after="0" w:line="300" w:lineRule="auto"/>
        <w:jc w:val="both"/>
        <w:rPr>
          <w:rFonts w:ascii="Arial" w:hAnsi="Arial" w:cs="Arial"/>
        </w:rPr>
      </w:pPr>
      <w:r w:rsidRPr="005C05FA">
        <w:rPr>
          <w:rFonts w:ascii="Arial" w:hAnsi="Arial" w:cs="Arial"/>
        </w:rPr>
        <w:t xml:space="preserve">W dotychczasowym stanie prawnym rozporządzenie z dnia 24 października 2017 r. przewidywało możliwość składania do marszałka województwa wykazu zbiorczego i wykazu </w:t>
      </w:r>
      <w:r w:rsidRPr="005C05FA">
        <w:rPr>
          <w:rFonts w:ascii="Arial" w:hAnsi="Arial" w:cs="Arial"/>
        </w:rPr>
        <w:lastRenderedPageBreak/>
        <w:t>uzupełniającego w postaci papierowej w trzech jednobrzmiących egzemplarzach oraz w postaci elektronicznej. Dodatkowo do wykazu zbiorczego lub wykazu uzupełniającego podmiot składający dołącza odpowiednie dokumenty potwierdzające uprawnienie do wypłaty świadczeń z Funduszu (§ 3 ust. 1–3 i § 4 ust. 1 rozporządzenia).</w:t>
      </w:r>
    </w:p>
    <w:p w14:paraId="4C22495C" w14:textId="77777777" w:rsidR="00C7764F" w:rsidRPr="005C05FA" w:rsidRDefault="00C7764F" w:rsidP="005C05FA">
      <w:pPr>
        <w:spacing w:after="0" w:line="300" w:lineRule="auto"/>
        <w:jc w:val="both"/>
        <w:rPr>
          <w:rFonts w:ascii="Arial" w:hAnsi="Arial" w:cs="Arial"/>
        </w:rPr>
      </w:pPr>
      <w:r w:rsidRPr="005C05FA">
        <w:rPr>
          <w:rFonts w:ascii="Arial" w:hAnsi="Arial" w:cs="Arial"/>
        </w:rPr>
        <w:t>Rozporządzenie z dnia 24 października 2017 r. przewidywało również możliwość składania marszałkowi województwa wniosków indywidualnych o wypłatę świadczeń z Funduszu (oraz innych wymienionych w rozporządzeniu dokumentów), wyłącznie w postaci papierowej, w dwóch jednobrzmiących egzemplarzach (§ 7 rozporządzenia).</w:t>
      </w:r>
    </w:p>
    <w:p w14:paraId="5A65336D" w14:textId="77777777" w:rsidR="00C7764F" w:rsidRPr="005C05FA" w:rsidRDefault="00C7764F" w:rsidP="005C05FA">
      <w:pPr>
        <w:spacing w:after="0" w:line="300" w:lineRule="auto"/>
        <w:jc w:val="both"/>
        <w:rPr>
          <w:rFonts w:ascii="Arial" w:hAnsi="Arial" w:cs="Arial"/>
        </w:rPr>
      </w:pPr>
      <w:r w:rsidRPr="005C05FA">
        <w:rPr>
          <w:rFonts w:ascii="Arial" w:hAnsi="Arial" w:cs="Arial"/>
        </w:rPr>
        <w:t xml:space="preserve">Dotychczasowe regulacje narzucały podmiotom składającym dokumenty, o których mowa w rozporządzeniu, ich przekazywanie marszałkowi województwa – w formie papierowej w 2 lub 3 egzemplarzach, w zależności od rodzaju wykazu, oraz dodatkowo w formie elektronicznej, nie dając możliwości wyboru formy złożenia dokumentów.  </w:t>
      </w:r>
    </w:p>
    <w:p w14:paraId="7772B0BD" w14:textId="77777777" w:rsidR="00C7764F" w:rsidRPr="005C05FA" w:rsidRDefault="00C7764F" w:rsidP="005C05FA">
      <w:pPr>
        <w:spacing w:after="0" w:line="300" w:lineRule="auto"/>
        <w:jc w:val="both"/>
        <w:rPr>
          <w:rFonts w:ascii="Arial" w:hAnsi="Arial" w:cs="Arial"/>
        </w:rPr>
      </w:pPr>
      <w:r w:rsidRPr="005C05FA">
        <w:rPr>
          <w:rFonts w:ascii="Arial" w:hAnsi="Arial" w:cs="Arial"/>
        </w:rPr>
        <w:t xml:space="preserve">W projektowanym rozporządzeniu dokonano również zmiany dostosowującej, wynikającej z obowiązku nałożonego na podmioty publiczne przez ustawę o doręczeniach elektronicznych z dnia 18 listopada 2020 r. (Dz. U. z 2024 r. poz. 1045, z </w:t>
      </w:r>
      <w:proofErr w:type="spellStart"/>
      <w:r w:rsidRPr="005C05FA">
        <w:rPr>
          <w:rFonts w:ascii="Arial" w:hAnsi="Arial" w:cs="Arial"/>
        </w:rPr>
        <w:t>późn</w:t>
      </w:r>
      <w:proofErr w:type="spellEnd"/>
      <w:r w:rsidRPr="005C05FA">
        <w:rPr>
          <w:rFonts w:ascii="Arial" w:hAnsi="Arial" w:cs="Arial"/>
        </w:rPr>
        <w:t>. zm.), polegającej na zmianie sposobu doręczania dokumentów, o których mowa w rozporządzeniu, i wprowadzeniu obowiązku ich przekazywania na „adres do doręczeń elektronicznych”, co jest zgodne z art. 4 ust. 1 w zw. z art. 2 pkt 1 ustawy z dnia 18 listopada 2020 r. o doręczeniach elektronicznych.</w:t>
      </w:r>
    </w:p>
    <w:p w14:paraId="05F34231" w14:textId="77777777" w:rsidR="00C7764F" w:rsidRPr="005C05FA" w:rsidRDefault="00C7764F" w:rsidP="005C05FA">
      <w:pPr>
        <w:spacing w:after="0" w:line="300" w:lineRule="auto"/>
        <w:jc w:val="both"/>
        <w:rPr>
          <w:rFonts w:ascii="Arial" w:hAnsi="Arial" w:cs="Arial"/>
        </w:rPr>
      </w:pPr>
      <w:r w:rsidRPr="005C05FA">
        <w:rPr>
          <w:rFonts w:ascii="Arial" w:hAnsi="Arial" w:cs="Arial"/>
        </w:rPr>
        <w:t>Projekt ma na celu zmianę następujących przepisów rozporządzenia Ministra Rodziny, Pracy i Polityki Społecznej z dnia 24 października 2017 r. w sprawie wykazów, wniosków i wypłat świadczeń z Funduszu:</w:t>
      </w:r>
    </w:p>
    <w:p w14:paraId="603F0B45" w14:textId="096A76F2" w:rsidR="00C7764F" w:rsidRPr="005C05FA" w:rsidRDefault="00C7764F" w:rsidP="005C05FA">
      <w:pPr>
        <w:pStyle w:val="Akapitzlist"/>
        <w:numPr>
          <w:ilvl w:val="0"/>
          <w:numId w:val="6"/>
        </w:numPr>
        <w:spacing w:after="0" w:line="300" w:lineRule="auto"/>
        <w:jc w:val="both"/>
        <w:rPr>
          <w:rFonts w:ascii="Arial" w:hAnsi="Arial" w:cs="Arial"/>
        </w:rPr>
      </w:pPr>
      <w:r w:rsidRPr="005C05FA">
        <w:rPr>
          <w:rFonts w:ascii="Arial" w:hAnsi="Arial" w:cs="Arial"/>
        </w:rPr>
        <w:t>§ 3 ust. 1 – zmiana przepisu ma na celu umożliwienie składania wykazu zbiorczego w postaci papierowej lub elektronicznej, zamiast w postaci papierowej w trzech jednobrzmiących egzemplarzach oraz w postaci elektronicznej”,</w:t>
      </w:r>
    </w:p>
    <w:p w14:paraId="6DA03C1E" w14:textId="47137CB5" w:rsidR="00C7764F" w:rsidRPr="005C05FA" w:rsidRDefault="00C7764F" w:rsidP="005C05FA">
      <w:pPr>
        <w:pStyle w:val="Akapitzlist"/>
        <w:numPr>
          <w:ilvl w:val="0"/>
          <w:numId w:val="6"/>
        </w:numPr>
        <w:spacing w:after="0" w:line="300" w:lineRule="auto"/>
        <w:jc w:val="both"/>
        <w:rPr>
          <w:rFonts w:ascii="Arial" w:hAnsi="Arial" w:cs="Arial"/>
        </w:rPr>
      </w:pPr>
      <w:r w:rsidRPr="005C05FA">
        <w:rPr>
          <w:rFonts w:ascii="Arial" w:hAnsi="Arial" w:cs="Arial"/>
        </w:rPr>
        <w:t xml:space="preserve">§ 3 ust. 3 pkt 4 – zmiana przepisu ma na celu usunięcie z tej regulacji wyrażenia „instytucja finansowa”. Do wykazu zbiorczego lub wykazu uzupełniającego podmiot składający dołącza aktualne zaświadczenia o numerze rachunku (bankowego) prowadzonego dla podmiotu składającego. Definicja „instytucji finansowej”, określona w art. 4 ust. 1 pkt 7 ustawy z dnia 29 sierpnia 1997 r. Prawo bankowe (Dz. U. z 2024 r. poz. 1646, z </w:t>
      </w:r>
      <w:proofErr w:type="spellStart"/>
      <w:r w:rsidRPr="005C05FA">
        <w:rPr>
          <w:rFonts w:ascii="Arial" w:hAnsi="Arial" w:cs="Arial"/>
        </w:rPr>
        <w:t>późn</w:t>
      </w:r>
      <w:proofErr w:type="spellEnd"/>
      <w:r w:rsidRPr="005C05FA">
        <w:rPr>
          <w:rFonts w:ascii="Arial" w:hAnsi="Arial" w:cs="Arial"/>
        </w:rPr>
        <w:t>. zm.) stanowi, że jest to podmiot niebędący bankiem ani instytucją kredytową. Z tego powodu konieczne było usunięcie tego wyrażenia,</w:t>
      </w:r>
    </w:p>
    <w:p w14:paraId="372F33E0" w14:textId="1E9F5110" w:rsidR="00C7764F" w:rsidRPr="005C05FA" w:rsidRDefault="00C7764F" w:rsidP="005C05FA">
      <w:pPr>
        <w:pStyle w:val="Akapitzlist"/>
        <w:numPr>
          <w:ilvl w:val="0"/>
          <w:numId w:val="6"/>
        </w:numPr>
        <w:spacing w:after="0" w:line="300" w:lineRule="auto"/>
        <w:jc w:val="both"/>
        <w:rPr>
          <w:rFonts w:ascii="Arial" w:hAnsi="Arial" w:cs="Arial"/>
        </w:rPr>
      </w:pPr>
      <w:r w:rsidRPr="005C05FA">
        <w:rPr>
          <w:rFonts w:ascii="Arial" w:hAnsi="Arial" w:cs="Arial"/>
        </w:rPr>
        <w:t>§ 3 ust. 3 pkt 5 – dodanie pkt 5 do ust. 3 w § 3 rozporządzenia umożliwia podmiotowi składającemu wygenerowanie w wykazie podatników VAT, o którym mowa w art. 96b ust. 1 pkt 2 ustawy z dnia 11 marca 2004 r. o podatku od towarów i usług (Dz. U. z 2025 r. poz. 222), aktualnego zaświadczenia o numerze rachunku prowadzonego dla podmiotu składającego zbiorczy wykaz, bez konieczności osobistego stawiennictwa w banku, w celu pobrania takiego zaświadczenia,</w:t>
      </w:r>
    </w:p>
    <w:p w14:paraId="28E5DE49" w14:textId="48443E80" w:rsidR="00C7764F" w:rsidRPr="005C05FA" w:rsidRDefault="00C7764F" w:rsidP="005C05FA">
      <w:pPr>
        <w:pStyle w:val="Akapitzlist"/>
        <w:numPr>
          <w:ilvl w:val="0"/>
          <w:numId w:val="6"/>
        </w:numPr>
        <w:spacing w:after="0" w:line="300" w:lineRule="auto"/>
        <w:jc w:val="both"/>
        <w:rPr>
          <w:rFonts w:ascii="Arial" w:hAnsi="Arial" w:cs="Arial"/>
        </w:rPr>
      </w:pPr>
      <w:r w:rsidRPr="005C05FA">
        <w:rPr>
          <w:rFonts w:ascii="Arial" w:hAnsi="Arial" w:cs="Arial"/>
        </w:rPr>
        <w:t>§ 4 ust. 1 – zmiana przepisu ma na celu umożliwienie składania wykazu uzupełniającego w postaci papierowej lub elektronicznej, zamiast w postaci papierowej w trzech jednobrzmiących egzemplarzach oraz w postaci elektronicznej,</w:t>
      </w:r>
    </w:p>
    <w:p w14:paraId="158D5C0E" w14:textId="1852F0C3" w:rsidR="00C7764F" w:rsidRPr="005C05FA" w:rsidRDefault="00C7764F" w:rsidP="005C05FA">
      <w:pPr>
        <w:pStyle w:val="Akapitzlist"/>
        <w:numPr>
          <w:ilvl w:val="0"/>
          <w:numId w:val="6"/>
        </w:numPr>
        <w:spacing w:after="0" w:line="300" w:lineRule="auto"/>
        <w:jc w:val="both"/>
        <w:rPr>
          <w:rFonts w:ascii="Arial" w:hAnsi="Arial" w:cs="Arial"/>
        </w:rPr>
      </w:pPr>
      <w:r w:rsidRPr="005C05FA">
        <w:rPr>
          <w:rFonts w:ascii="Arial" w:hAnsi="Arial" w:cs="Arial"/>
        </w:rPr>
        <w:t xml:space="preserve">§ 6 ust. 1 – zmiana przepisu ma na celu umożliwienie marszałkowi województwa przekazywanie informacji, w postaci papierowej lub elektronicznej, podmiotowi składającemu, o wysokości zatwierdzonych kwot środków finansowych Funduszu, </w:t>
      </w:r>
      <w:r w:rsidRPr="005C05FA">
        <w:rPr>
          <w:rFonts w:ascii="Arial" w:hAnsi="Arial" w:cs="Arial"/>
        </w:rPr>
        <w:lastRenderedPageBreak/>
        <w:t>zamiast przekazywania podmiotowi składającemu dwóch egzemplarzy zbiorczego wykazu,</w:t>
      </w:r>
    </w:p>
    <w:p w14:paraId="6B114E24" w14:textId="19E5FBDB" w:rsidR="00C7764F" w:rsidRPr="005C05FA" w:rsidRDefault="00C7764F" w:rsidP="005C05FA">
      <w:pPr>
        <w:pStyle w:val="Akapitzlist"/>
        <w:numPr>
          <w:ilvl w:val="0"/>
          <w:numId w:val="6"/>
        </w:numPr>
        <w:spacing w:after="0" w:line="300" w:lineRule="auto"/>
        <w:jc w:val="both"/>
        <w:rPr>
          <w:rFonts w:ascii="Arial" w:hAnsi="Arial" w:cs="Arial"/>
        </w:rPr>
      </w:pPr>
      <w:r w:rsidRPr="005C05FA">
        <w:rPr>
          <w:rFonts w:ascii="Arial" w:hAnsi="Arial" w:cs="Arial"/>
        </w:rPr>
        <w:t>§ 6 ust. 3 – zmiana przepisu jest konsekwencją modyfikacji § 6 ust. 1 rozporządzenia, polegającej na rezygnacji z przekazywania przez marszałka województwa podmiotowi składającemu dwóch egzemplarzy zbiorczego wykazu,</w:t>
      </w:r>
    </w:p>
    <w:p w14:paraId="11EF98BE" w14:textId="21814B95" w:rsidR="00C7764F" w:rsidRPr="005C05FA" w:rsidRDefault="00C7764F" w:rsidP="005C05FA">
      <w:pPr>
        <w:pStyle w:val="Akapitzlist"/>
        <w:numPr>
          <w:ilvl w:val="0"/>
          <w:numId w:val="6"/>
        </w:numPr>
        <w:spacing w:after="0" w:line="300" w:lineRule="auto"/>
        <w:jc w:val="both"/>
        <w:rPr>
          <w:rFonts w:ascii="Arial" w:hAnsi="Arial" w:cs="Arial"/>
        </w:rPr>
      </w:pPr>
      <w:r w:rsidRPr="005C05FA">
        <w:rPr>
          <w:rFonts w:ascii="Arial" w:hAnsi="Arial" w:cs="Arial"/>
        </w:rPr>
        <w:t>§ 6 ust. 4 pkt 2 – zmiana przepisu jest konsekwencją zmiany § 6 ust. 1 rozporządzenia i dotyczy odstąpienia od przekazywania przez podmiot składający jednego egzemplarza wykazu zbiorczego. W przepisie dokonano modyfikacji trybu przekazywania przez podmiot składający marszałkowi województwa potwierdzenia przekazania osobom uprawnionym środków finansowych, o których mowa w § 5 ust.1, w postaci papierowej lub elektronicznej, przedstawiając odpowiednio:</w:t>
      </w:r>
    </w:p>
    <w:p w14:paraId="2FC36699" w14:textId="7B5C324D" w:rsidR="00C7764F" w:rsidRPr="005C05FA" w:rsidRDefault="00C7764F" w:rsidP="005C05FA">
      <w:pPr>
        <w:pStyle w:val="Akapitzlist"/>
        <w:numPr>
          <w:ilvl w:val="0"/>
          <w:numId w:val="8"/>
        </w:numPr>
        <w:spacing w:after="0" w:line="300" w:lineRule="auto"/>
        <w:ind w:left="993" w:hanging="284"/>
        <w:jc w:val="both"/>
        <w:rPr>
          <w:rFonts w:ascii="Arial" w:hAnsi="Arial" w:cs="Arial"/>
        </w:rPr>
      </w:pPr>
      <w:r w:rsidRPr="005C05FA">
        <w:rPr>
          <w:rFonts w:ascii="Arial" w:hAnsi="Arial" w:cs="Arial"/>
        </w:rPr>
        <w:t xml:space="preserve">kopię pokwitowania przyjęcia gotówki, o którym mowa w art. 462 ustawy z dnia 23 kwietnia 1964 r. – Kodeks cywilny (Dz. U. z 2024 r. poz. 1061, z </w:t>
      </w:r>
      <w:proofErr w:type="spellStart"/>
      <w:r w:rsidRPr="005C05FA">
        <w:rPr>
          <w:rFonts w:ascii="Arial" w:hAnsi="Arial" w:cs="Arial"/>
        </w:rPr>
        <w:t>późn</w:t>
      </w:r>
      <w:proofErr w:type="spellEnd"/>
      <w:r w:rsidRPr="005C05FA">
        <w:rPr>
          <w:rFonts w:ascii="Arial" w:hAnsi="Arial" w:cs="Arial"/>
        </w:rPr>
        <w:t>.  zm.), sporządzonego w formie pisemnej zawierające: imię i nazwisko osoby, która dokonała płatności, lub nazwę podmiotu, który dokonał płatności, imię i nazwisko osoby, która otrzymała płatność, kwotę dokonanej płatności, metodę płatności, tytuł prawny oraz podpis osoby, która przyjęła gotówkę,</w:t>
      </w:r>
    </w:p>
    <w:p w14:paraId="7643D08C" w14:textId="38916628" w:rsidR="00C7764F" w:rsidRPr="005C05FA" w:rsidRDefault="00C7764F" w:rsidP="005C05FA">
      <w:pPr>
        <w:pStyle w:val="Akapitzlist"/>
        <w:numPr>
          <w:ilvl w:val="0"/>
          <w:numId w:val="8"/>
        </w:numPr>
        <w:spacing w:after="0" w:line="300" w:lineRule="auto"/>
        <w:ind w:left="993" w:hanging="284"/>
        <w:jc w:val="both"/>
        <w:rPr>
          <w:rFonts w:ascii="Arial" w:hAnsi="Arial" w:cs="Arial"/>
        </w:rPr>
      </w:pPr>
      <w:r w:rsidRPr="005C05FA">
        <w:rPr>
          <w:rFonts w:ascii="Arial" w:hAnsi="Arial" w:cs="Arial"/>
        </w:rPr>
        <w:t xml:space="preserve">kopię potwierdzenia przekazania środków finansowych na rachunek bankowy osoby uprawnionej za pośrednictwem banku, o którym mowa w art. 2 ustawy z dnia 29 sierpnia 1997 r. – Prawo bankowe (Dz. U. z 2024 r. poz. 1646, z </w:t>
      </w:r>
      <w:proofErr w:type="spellStart"/>
      <w:r w:rsidRPr="005C05FA">
        <w:rPr>
          <w:rFonts w:ascii="Arial" w:hAnsi="Arial" w:cs="Arial"/>
        </w:rPr>
        <w:t>późn</w:t>
      </w:r>
      <w:proofErr w:type="spellEnd"/>
      <w:r w:rsidRPr="005C05FA">
        <w:rPr>
          <w:rFonts w:ascii="Arial" w:hAnsi="Arial" w:cs="Arial"/>
        </w:rPr>
        <w:t>. zm.),</w:t>
      </w:r>
    </w:p>
    <w:p w14:paraId="22A48A51" w14:textId="1DD1C707" w:rsidR="00C7764F" w:rsidRPr="005C05FA" w:rsidRDefault="00C7764F" w:rsidP="005C05FA">
      <w:pPr>
        <w:pStyle w:val="Akapitzlist"/>
        <w:numPr>
          <w:ilvl w:val="0"/>
          <w:numId w:val="8"/>
        </w:numPr>
        <w:spacing w:after="0" w:line="300" w:lineRule="auto"/>
        <w:ind w:left="993" w:hanging="284"/>
        <w:jc w:val="both"/>
        <w:rPr>
          <w:rFonts w:ascii="Arial" w:hAnsi="Arial" w:cs="Arial"/>
        </w:rPr>
      </w:pPr>
      <w:r w:rsidRPr="005C05FA">
        <w:rPr>
          <w:rFonts w:ascii="Arial" w:hAnsi="Arial" w:cs="Arial"/>
        </w:rPr>
        <w:t>kopię potwierdzenia przekazania środków finansowych osobie uprawnionej przekazem pocztowym za pośrednictwem operatora pocztowego, o którym mowa w art. 3 pkt 12 ustawy z dnia 23 listopada 2012 r. – Prawo pocztowe (Dz. U. z 2025 r. poz. 336),</w:t>
      </w:r>
    </w:p>
    <w:p w14:paraId="1D5AF7DB" w14:textId="7A11AD16" w:rsidR="00C7764F" w:rsidRPr="005C05FA" w:rsidRDefault="00C7764F" w:rsidP="005C05FA">
      <w:pPr>
        <w:pStyle w:val="Akapitzlist"/>
        <w:numPr>
          <w:ilvl w:val="0"/>
          <w:numId w:val="7"/>
        </w:numPr>
        <w:spacing w:after="0" w:line="300" w:lineRule="auto"/>
        <w:jc w:val="both"/>
        <w:rPr>
          <w:rFonts w:ascii="Arial" w:hAnsi="Arial" w:cs="Arial"/>
        </w:rPr>
      </w:pPr>
      <w:r w:rsidRPr="005C05FA">
        <w:rPr>
          <w:rFonts w:ascii="Arial" w:hAnsi="Arial" w:cs="Arial"/>
        </w:rPr>
        <w:t>§ 6 ust. 4 pkt 3 – zmiana przepisu ma na celu uregulowanie sposobu przekazywania przez podmiot składający marszałkowi województwa kopii potwierdzeń odprowadzania zaliczek na podatek dochodowy od osób fizycznych, składek na ubezpieczenia zdrowotne i ubezpieczenia społeczne oraz przekazania należności alimentacyjnych „w postaci papierowej lub elektronicznej”,</w:t>
      </w:r>
    </w:p>
    <w:p w14:paraId="45E34966" w14:textId="4F66A900" w:rsidR="00C7764F" w:rsidRPr="005C05FA" w:rsidRDefault="00C7764F" w:rsidP="005C05FA">
      <w:pPr>
        <w:pStyle w:val="Akapitzlist"/>
        <w:numPr>
          <w:ilvl w:val="0"/>
          <w:numId w:val="7"/>
        </w:numPr>
        <w:spacing w:after="0" w:line="300" w:lineRule="auto"/>
        <w:jc w:val="both"/>
        <w:rPr>
          <w:rFonts w:ascii="Arial" w:hAnsi="Arial" w:cs="Arial"/>
        </w:rPr>
      </w:pPr>
      <w:r w:rsidRPr="005C05FA">
        <w:rPr>
          <w:rFonts w:ascii="Arial" w:hAnsi="Arial" w:cs="Arial"/>
        </w:rPr>
        <w:t>§ 7 ust. 1 – zmiana przepisu ma na celu uregulowanie sposobu składania wniosku indywidualnego poprzez umożliwienie składania tego wniosku „w postaci papierowej lub elektronicznej”, zamiast: „w postaci papierowej (…) w dwóch jednobrzmiących egzemplarzach”,</w:t>
      </w:r>
    </w:p>
    <w:p w14:paraId="3B83BAC7" w14:textId="1322509D" w:rsidR="00C7764F" w:rsidRPr="005C05FA" w:rsidRDefault="00C7764F" w:rsidP="005C05FA">
      <w:pPr>
        <w:pStyle w:val="Akapitzlist"/>
        <w:numPr>
          <w:ilvl w:val="0"/>
          <w:numId w:val="7"/>
        </w:numPr>
        <w:spacing w:after="0" w:line="300" w:lineRule="auto"/>
        <w:jc w:val="both"/>
        <w:rPr>
          <w:rFonts w:ascii="Arial" w:hAnsi="Arial" w:cs="Arial"/>
        </w:rPr>
      </w:pPr>
      <w:r w:rsidRPr="005C05FA">
        <w:rPr>
          <w:rFonts w:ascii="Arial" w:hAnsi="Arial" w:cs="Arial"/>
        </w:rPr>
        <w:t xml:space="preserve">§ 9 – zmiana przepisu dotyczy zastąpienia (obowiązującej do dnia 30 kwietnia 2018 r.) ustawy o swobodzie działalności gospodarczej ustawą z dnia 6 marca 2018 r. o zasadach uczestnictwa przedsiębiorców zagranicznych i innych osób zagranicznych w obrocie gospodarczym na terytorium Rzeczypospolitej Polskiej (Dz. U. z 2025 r. poz. 89), w której uregulowana została instytucja osoby upoważnionej do reprezentowania przedsiębiorcy zagranicznego, który dla wykonywania działalności gospodarczej na terytorium Rzeczypospolitej Polskiej utworzył oddział z siedzibą na terytorium Rzeczypospolitej Polskiej. Przedsiębiorca zagraniczny tworzący oddział jest obowiązany ustanowić osobę upoważnioną w oddziale do reprezentowania przedsiębiorcy zagranicznego. Instytucja osoby upoważnionej do reprezentowania przedsiębiorcy zagranicznego była uregulowana w ustawie o swobodzie działalności </w:t>
      </w:r>
      <w:r w:rsidRPr="005C05FA">
        <w:rPr>
          <w:rFonts w:ascii="Arial" w:hAnsi="Arial" w:cs="Arial"/>
        </w:rPr>
        <w:lastRenderedPageBreak/>
        <w:t>gospodarczej. Dnia 30 kwietnia 2018 r. ustawa o swobodzie działalności gospodarczej przestała obowiązywać, a regulacje dotyczące oddziałów przedsiębiorców zagranicznych zostały unormowane w ustawie z dnia 6 marca 2018 r. o zasadach uczestnictwa przedsiębiorców zagranicznych i innych osób zagranicznych w obrocie gospodarczym na terytorium Rzeczypospolitej Polskiej.</w:t>
      </w:r>
    </w:p>
    <w:p w14:paraId="47A12D46" w14:textId="77777777" w:rsidR="00C7764F" w:rsidRPr="005C05FA" w:rsidRDefault="00C7764F" w:rsidP="005C05FA">
      <w:pPr>
        <w:spacing w:after="0" w:line="300" w:lineRule="auto"/>
        <w:jc w:val="both"/>
        <w:rPr>
          <w:rFonts w:ascii="Arial" w:hAnsi="Arial" w:cs="Arial"/>
        </w:rPr>
      </w:pPr>
      <w:r w:rsidRPr="005C05FA">
        <w:rPr>
          <w:rFonts w:ascii="Arial" w:hAnsi="Arial" w:cs="Arial"/>
        </w:rPr>
        <w:t>W projektowanym rozporządzeniu dokonano również zmiany dostosowującej przez dodanie przepisów:</w:t>
      </w:r>
    </w:p>
    <w:p w14:paraId="0D52AD20" w14:textId="35EF4E1E" w:rsidR="00C7764F" w:rsidRPr="005C05FA" w:rsidRDefault="00C7764F" w:rsidP="005C05FA">
      <w:pPr>
        <w:pStyle w:val="Akapitzlist"/>
        <w:numPr>
          <w:ilvl w:val="0"/>
          <w:numId w:val="10"/>
        </w:numPr>
        <w:spacing w:after="0" w:line="300" w:lineRule="auto"/>
        <w:jc w:val="both"/>
        <w:rPr>
          <w:rFonts w:ascii="Arial" w:hAnsi="Arial" w:cs="Arial"/>
        </w:rPr>
      </w:pPr>
      <w:r w:rsidRPr="005C05FA">
        <w:rPr>
          <w:rFonts w:ascii="Arial" w:hAnsi="Arial" w:cs="Arial"/>
        </w:rPr>
        <w:t>§ 6 ust. 2, który określa sposób doręczania informacji o wysokości zatwierdzonych kwot środków finansowych Funduszu, o których mowa w § 5 ust. 1, którą marszałek województwa przesyła podmiotowi składającemu, i wprowadza obowiązek ich przekazywania za pośrednictwem systemu teleinformatycznego, o którym mowa w art. 26 ust. 1 pkt 2 ustawy z dnia 20 marca 2025 r. o rynku pracy i służbach zatrudnienia (Dz. U. poz. 620), lub na adres do doręczeń elektronicznych,</w:t>
      </w:r>
    </w:p>
    <w:p w14:paraId="37C85E2C" w14:textId="36D8CA2F" w:rsidR="00C7764F" w:rsidRPr="005C05FA" w:rsidRDefault="00C7764F" w:rsidP="005C05FA">
      <w:pPr>
        <w:pStyle w:val="Akapitzlist"/>
        <w:numPr>
          <w:ilvl w:val="0"/>
          <w:numId w:val="10"/>
        </w:numPr>
        <w:spacing w:after="0" w:line="300" w:lineRule="auto"/>
        <w:jc w:val="both"/>
        <w:rPr>
          <w:rFonts w:ascii="Arial" w:hAnsi="Arial" w:cs="Arial"/>
        </w:rPr>
      </w:pPr>
      <w:r w:rsidRPr="005C05FA">
        <w:rPr>
          <w:rFonts w:ascii="Arial" w:hAnsi="Arial" w:cs="Arial"/>
        </w:rPr>
        <w:t xml:space="preserve">§ 10a, który określa sposób doręczania marszałkowi województwa wykazu zbiorczego, wykazu uzupełniającego, wniosku indywidualnego oraz kopii dokumentów, o których mowa w § 6 ust. 4-5, i wprowadza obowiązek ich przekazywania za pośrednictwem systemu teleinformatycznego, o którym mowa w art. 26 ust. 1 pkt 2 ustawy z dnia 20 marca 2025 r. o rynku pracy i służbach zatrudnienia, lub na adres do doręczeń elektronicznych. </w:t>
      </w:r>
    </w:p>
    <w:p w14:paraId="1CD184A5" w14:textId="77777777" w:rsidR="00C7764F" w:rsidRPr="005C05FA" w:rsidRDefault="00C7764F" w:rsidP="005C05FA">
      <w:pPr>
        <w:spacing w:after="0" w:line="300" w:lineRule="auto"/>
        <w:jc w:val="both"/>
        <w:rPr>
          <w:rFonts w:ascii="Arial" w:hAnsi="Arial" w:cs="Arial"/>
        </w:rPr>
      </w:pPr>
      <w:r w:rsidRPr="005C05FA">
        <w:rPr>
          <w:rFonts w:ascii="Arial" w:hAnsi="Arial" w:cs="Arial"/>
        </w:rPr>
        <w:t xml:space="preserve">Konieczność wprowadzenia projektowanej regulacji zawartej w § 6 ust. 2 oraz § 10a, w zakresie wprowadzenia obowiązku przekazywania ww. dokumentów na adres do doręczeń elektronicznych, wynika z obowiązku nałożonego na podmioty publiczne przez ustawę z dnia 18 listopada 2020 r. o doręczeniach elektronicznych (Dz. U. z 2024 r. poz. 1045, z </w:t>
      </w:r>
      <w:proofErr w:type="spellStart"/>
      <w:r w:rsidRPr="005C05FA">
        <w:rPr>
          <w:rFonts w:ascii="Arial" w:hAnsi="Arial" w:cs="Arial"/>
        </w:rPr>
        <w:t>późn</w:t>
      </w:r>
      <w:proofErr w:type="spellEnd"/>
      <w:r w:rsidRPr="005C05FA">
        <w:rPr>
          <w:rFonts w:ascii="Arial" w:hAnsi="Arial" w:cs="Arial"/>
        </w:rPr>
        <w:t>. zm.), polegającej na zmianie sposobu doręczania dokumentów, o których mowa w rozporządzeniu, i wprowadzeniu obowiązku ich przekazywania na „adres do doręczeń elektronicznych”, co jest zgodne z art. 4 ust. 1 w zw. z art. 2 pkt 1 ustawy z dnia 18 listopada 2020 r. o doręczeniach elektronicznych.</w:t>
      </w:r>
    </w:p>
    <w:p w14:paraId="2CDA6C6F" w14:textId="77777777" w:rsidR="00C7764F" w:rsidRPr="005C05FA" w:rsidRDefault="00C7764F" w:rsidP="005C05FA">
      <w:pPr>
        <w:spacing w:after="0" w:line="300" w:lineRule="auto"/>
        <w:jc w:val="both"/>
        <w:rPr>
          <w:rFonts w:ascii="Arial" w:hAnsi="Arial" w:cs="Arial"/>
        </w:rPr>
      </w:pPr>
      <w:r w:rsidRPr="005C05FA">
        <w:rPr>
          <w:rFonts w:ascii="Arial" w:hAnsi="Arial" w:cs="Arial"/>
        </w:rPr>
        <w:t xml:space="preserve">Stosownych zmian dostosowujących dokonano również w załącznikach nr 1, 2 i 3 do rozporządzenia. Z uwagi na ilość zmian w załącznikach zdecydowano o nadaniu nowego brzmienia tych załączników w całości. Zmiany dotyczą tylko niezbędnego zakresu poprzez dostosowanie użytych pojęć do pojęć zgodnych z treścią rozporządzenia oraz ustawą z dnia 27 sierpnia 2004 r. o świadczeniach opieki zdrowotnej finansowanych ze środków publicznych (Dz. U. z 2024 r. poz. 146, z </w:t>
      </w:r>
      <w:proofErr w:type="spellStart"/>
      <w:r w:rsidRPr="005C05FA">
        <w:rPr>
          <w:rFonts w:ascii="Arial" w:hAnsi="Arial" w:cs="Arial"/>
        </w:rPr>
        <w:t>późn</w:t>
      </w:r>
      <w:proofErr w:type="spellEnd"/>
      <w:r w:rsidRPr="005C05FA">
        <w:rPr>
          <w:rFonts w:ascii="Arial" w:hAnsi="Arial" w:cs="Arial"/>
        </w:rPr>
        <w:t xml:space="preserve">. zm.) i ustawą z dnia 26 lipca 1991 r. o podatku dochodowym od osób fizycznych (Dz. U. z 2025 r. poz. 163, z </w:t>
      </w:r>
      <w:proofErr w:type="spellStart"/>
      <w:r w:rsidRPr="005C05FA">
        <w:rPr>
          <w:rFonts w:ascii="Arial" w:hAnsi="Arial" w:cs="Arial"/>
        </w:rPr>
        <w:t>późn</w:t>
      </w:r>
      <w:proofErr w:type="spellEnd"/>
      <w:r w:rsidRPr="005C05FA">
        <w:rPr>
          <w:rFonts w:ascii="Arial" w:hAnsi="Arial" w:cs="Arial"/>
        </w:rPr>
        <w:t xml:space="preserve">. zm.). Dokonano również drobnych redakcyjnych poprawek, aby załączniki były bardziej spójne, czytelne i estetyczne. </w:t>
      </w:r>
    </w:p>
    <w:p w14:paraId="527EA488" w14:textId="77777777" w:rsidR="00C7764F" w:rsidRPr="005C05FA" w:rsidRDefault="00C7764F" w:rsidP="005C05FA">
      <w:pPr>
        <w:spacing w:after="0" w:line="300" w:lineRule="auto"/>
        <w:jc w:val="both"/>
        <w:rPr>
          <w:rFonts w:ascii="Arial" w:hAnsi="Arial" w:cs="Arial"/>
        </w:rPr>
      </w:pPr>
      <w:r w:rsidRPr="005C05FA">
        <w:rPr>
          <w:rFonts w:ascii="Arial" w:hAnsi="Arial" w:cs="Arial"/>
        </w:rPr>
        <w:t xml:space="preserve">W załączniku nr 1, o nazwie: „zbiorczy wykaz niezaspokojonych roszczeń pracowniczych”, oraz w załączniku nr 2, o nazwie: „wykaz uzupełniający niezaspokojonych roszczeń pracowniczych”, w tabeli wykazów części pierwszej (I) obu załączników, usunięto kolumnę nr 24, której nazwa brzmiała: „kwota składki na ubezpieczenie zdrowotne opłacana w Zakładzie Ubezpieczeń Społecznych”. </w:t>
      </w:r>
    </w:p>
    <w:p w14:paraId="5F7AD6D0" w14:textId="77777777" w:rsidR="00C7764F" w:rsidRPr="005C05FA" w:rsidRDefault="00C7764F" w:rsidP="005C05FA">
      <w:pPr>
        <w:spacing w:after="0" w:line="300" w:lineRule="auto"/>
        <w:jc w:val="both"/>
        <w:rPr>
          <w:rFonts w:ascii="Arial" w:hAnsi="Arial" w:cs="Arial"/>
        </w:rPr>
      </w:pPr>
      <w:r w:rsidRPr="005C05FA">
        <w:rPr>
          <w:rFonts w:ascii="Arial" w:hAnsi="Arial" w:cs="Arial"/>
        </w:rPr>
        <w:t xml:space="preserve">W pierwotnej wersji przedmiotowej tabeli, w kolumnie 23 części I obu załączników należało wykazać kwotę zaliczki na podatek dochodowy od osób fizycznych, obliczoną odpowiednio od kwoty świadczeń wykazanej w kolumnie 20 (tj. po odliczeniu kwot składek na ubezpieczenia społeczne finansowanych ze środków ubezpieczonego/pracownika), po odliczeniu kwoty </w:t>
      </w:r>
      <w:r w:rsidRPr="005C05FA">
        <w:rPr>
          <w:rFonts w:ascii="Arial" w:hAnsi="Arial" w:cs="Arial"/>
        </w:rPr>
        <w:lastRenderedPageBreak/>
        <w:t xml:space="preserve">składki na ubezpieczenie zdrowotne wykazanej w kolumnie 24 (której nazwa brzmiała: „kwota składki na ubezpieczenie zdrowotne opłacana w Zakładzie Ubezpieczeń Społecznych”), zgodnie z art. 95 ówczesnej ustawy z dnia 27 sierpnia 2004 r. o świadczeniach opieki zdrowotnej finansowanych ze środków publicznych (Dz. U. z 2016 r. poz. 1793, z </w:t>
      </w:r>
      <w:proofErr w:type="spellStart"/>
      <w:r w:rsidRPr="005C05FA">
        <w:rPr>
          <w:rFonts w:ascii="Arial" w:hAnsi="Arial" w:cs="Arial"/>
        </w:rPr>
        <w:t>późn</w:t>
      </w:r>
      <w:proofErr w:type="spellEnd"/>
      <w:r w:rsidRPr="005C05FA">
        <w:rPr>
          <w:rFonts w:ascii="Arial" w:hAnsi="Arial" w:cs="Arial"/>
        </w:rPr>
        <w:t xml:space="preserve">. zm.). Kwotę wykazywaną w kolumnie 24 części I obu załączników należało obliczyć według stopy procentowej określonej w art. 27b ust. 2 ówczesnej ustawy z dnia 26 lipca 1991 r. o podatku dochodowym od osób fizycznych (Dz. U. z 2016 r. poz. 2032, z </w:t>
      </w:r>
      <w:proofErr w:type="spellStart"/>
      <w:r w:rsidRPr="005C05FA">
        <w:rPr>
          <w:rFonts w:ascii="Arial" w:hAnsi="Arial" w:cs="Arial"/>
        </w:rPr>
        <w:t>późn</w:t>
      </w:r>
      <w:proofErr w:type="spellEnd"/>
      <w:r w:rsidRPr="005C05FA">
        <w:rPr>
          <w:rFonts w:ascii="Arial" w:hAnsi="Arial" w:cs="Arial"/>
        </w:rPr>
        <w:t>. zm.).</w:t>
      </w:r>
    </w:p>
    <w:p w14:paraId="068FC880" w14:textId="77777777" w:rsidR="00C7764F" w:rsidRPr="005C05FA" w:rsidRDefault="00C7764F" w:rsidP="005C05FA">
      <w:pPr>
        <w:spacing w:after="0" w:line="300" w:lineRule="auto"/>
        <w:jc w:val="both"/>
        <w:rPr>
          <w:rFonts w:ascii="Arial" w:hAnsi="Arial" w:cs="Arial"/>
        </w:rPr>
      </w:pPr>
      <w:r w:rsidRPr="005C05FA">
        <w:rPr>
          <w:rFonts w:ascii="Arial" w:hAnsi="Arial" w:cs="Arial"/>
        </w:rPr>
        <w:t xml:space="preserve"> W załączniku nr 3, o nazwie „wniosek o wypłatę świadczeń z tytułu niezaspokojonych roszczeń pracowniczych” (zwanego dalej wnioskiem), w części IV wniosku, którą wypełnia marszałek województwa, dokonano zmiany pkt 2 przez usunięcie </w:t>
      </w:r>
      <w:proofErr w:type="spellStart"/>
      <w:r w:rsidRPr="005C05FA">
        <w:rPr>
          <w:rFonts w:ascii="Arial" w:hAnsi="Arial" w:cs="Arial"/>
        </w:rPr>
        <w:t>ppkt</w:t>
      </w:r>
      <w:proofErr w:type="spellEnd"/>
      <w:r w:rsidRPr="005C05FA">
        <w:rPr>
          <w:rFonts w:ascii="Arial" w:hAnsi="Arial" w:cs="Arial"/>
        </w:rPr>
        <w:t xml:space="preserve"> 1) „kwota potrącenia od podatku dochodowego” i </w:t>
      </w:r>
      <w:proofErr w:type="spellStart"/>
      <w:r w:rsidRPr="005C05FA">
        <w:rPr>
          <w:rFonts w:ascii="Arial" w:hAnsi="Arial" w:cs="Arial"/>
        </w:rPr>
        <w:t>ppkt</w:t>
      </w:r>
      <w:proofErr w:type="spellEnd"/>
      <w:r w:rsidRPr="005C05FA">
        <w:rPr>
          <w:rFonts w:ascii="Arial" w:hAnsi="Arial" w:cs="Arial"/>
        </w:rPr>
        <w:t xml:space="preserve"> 2) „kwota pobierana z dochodu ubezpieczonego”.</w:t>
      </w:r>
    </w:p>
    <w:p w14:paraId="550B8F4B" w14:textId="77777777" w:rsidR="00C7764F" w:rsidRPr="005C05FA" w:rsidRDefault="00C7764F" w:rsidP="005C05FA">
      <w:pPr>
        <w:spacing w:after="0" w:line="300" w:lineRule="auto"/>
        <w:jc w:val="both"/>
        <w:rPr>
          <w:rFonts w:ascii="Arial" w:hAnsi="Arial" w:cs="Arial"/>
        </w:rPr>
      </w:pPr>
      <w:r w:rsidRPr="005C05FA">
        <w:rPr>
          <w:rFonts w:ascii="Arial" w:hAnsi="Arial" w:cs="Arial"/>
        </w:rPr>
        <w:t xml:space="preserve">Konieczność zmiany załącznika nr 1, 2 i 3 do rozporządzenia wynika z uchylenia – ustawą z dnia 29 października 2021 r. o zmianie ustawy o podatku dochodowym od osób fizycznych, ustawy o podatku dochodowym od osób prawnych oraz niektórych innych ustaw (Dz. U. poz. 2105), która weszła w życie 1 stycznia  2022 r. – art. 95 ustawy z dnia 27 sierpnia 2004 r. o świadczeniach opieki zdrowotnej finansowanych ze środków publicznych oraz art. 27b ust. 2 ustawy z dnia 26 lipca 1991 r. o podatku dochodowym od osób fizycznych. W efekcie powyższych zmian w tabeli wykazów części pierwszej (I) załącznika nr 1 i 2, po usunięciu kolumny 24 w kolumnie 23 należy wykazać kwotę zaliczki na podatek dochodowy od osób fizycznych, od zatwierdzonych do wypłaty świadczeń. </w:t>
      </w:r>
    </w:p>
    <w:p w14:paraId="37852450" w14:textId="77777777" w:rsidR="00C7764F" w:rsidRPr="005C05FA" w:rsidRDefault="00C7764F" w:rsidP="005C05FA">
      <w:pPr>
        <w:spacing w:after="0" w:line="300" w:lineRule="auto"/>
        <w:jc w:val="both"/>
        <w:rPr>
          <w:rFonts w:ascii="Arial" w:hAnsi="Arial" w:cs="Arial"/>
        </w:rPr>
      </w:pPr>
      <w:r w:rsidRPr="005C05FA">
        <w:rPr>
          <w:rFonts w:ascii="Arial" w:hAnsi="Arial" w:cs="Arial"/>
        </w:rPr>
        <w:t>Natomiast w załączniku nr 3, w części IV wniosku, którą wypełnia marszałek województwa, w pkt 2 należy wykazać: składkę na ubezpieczenie zdrowotne, kwotę stanowiącą podstawę naliczenia składki, kwotę do przekazania do Zakładu Ubezpieczeń Społecznych.</w:t>
      </w:r>
    </w:p>
    <w:p w14:paraId="09CED267" w14:textId="77777777" w:rsidR="00C7764F" w:rsidRPr="005C05FA" w:rsidRDefault="00C7764F" w:rsidP="005C05FA">
      <w:pPr>
        <w:spacing w:after="0" w:line="300" w:lineRule="auto"/>
        <w:jc w:val="both"/>
        <w:rPr>
          <w:rFonts w:ascii="Arial" w:hAnsi="Arial" w:cs="Arial"/>
        </w:rPr>
      </w:pPr>
      <w:r w:rsidRPr="005C05FA">
        <w:rPr>
          <w:rFonts w:ascii="Arial" w:hAnsi="Arial" w:cs="Arial"/>
        </w:rPr>
        <w:t>Wobec powyższego dokonano również aktualizacji treści objaśnień załączników nr 1, 2 i 3 do rozporządzenia, tj.: w „objaśnieniach do zbiorczego wykazu niezaspokojonych roszczeń pracowniczych” zaktualizowano pkt 13 i uchylono pkt 14, natomiast w „objaśnieniach do wykazu uzupełniającego niezaspokojonych roszczeń pracowniczych” dokonano aktualizacji pkt 14. W objaśnieniach załącznika nr 3, do części wniosku, którą wypełnia marszałek województwa, uchylono pkt 3 i pkt 4.</w:t>
      </w:r>
    </w:p>
    <w:p w14:paraId="5E6A7BE1" w14:textId="77777777" w:rsidR="00C7764F" w:rsidRPr="005C05FA" w:rsidRDefault="00C7764F" w:rsidP="005C05FA">
      <w:pPr>
        <w:spacing w:after="0" w:line="300" w:lineRule="auto"/>
        <w:jc w:val="both"/>
        <w:rPr>
          <w:rFonts w:ascii="Arial" w:hAnsi="Arial" w:cs="Arial"/>
        </w:rPr>
      </w:pPr>
      <w:r w:rsidRPr="005C05FA">
        <w:rPr>
          <w:rFonts w:ascii="Arial" w:hAnsi="Arial" w:cs="Arial"/>
        </w:rPr>
        <w:t>Powyższe zmiany mają na celu dostosowanie przepisów ww. rozporządzenia do współczesnych realiów obrotu prawnego poprzez modyfikację trybu składania do marszałka województwa wykazu zbiorczego, wykazu uzupełniającego, wniosku indywidualnego oraz wskazanych w rozporządzeniu dokumentów i informacji (zwanych dalej „dokumentami”), a także dokumentów przekazywanych przez marszałka województwa podmiotowi składającemu.</w:t>
      </w:r>
    </w:p>
    <w:p w14:paraId="0913C3A0" w14:textId="68A6D7CE" w:rsidR="00FB7A08" w:rsidRPr="005C05FA" w:rsidRDefault="00C7764F" w:rsidP="005C05FA">
      <w:pPr>
        <w:spacing w:after="0" w:line="300" w:lineRule="auto"/>
        <w:jc w:val="both"/>
        <w:rPr>
          <w:rFonts w:ascii="Arial" w:hAnsi="Arial" w:cs="Arial"/>
        </w:rPr>
      </w:pPr>
      <w:r w:rsidRPr="005C05FA">
        <w:rPr>
          <w:rFonts w:ascii="Arial" w:hAnsi="Arial" w:cs="Arial"/>
        </w:rPr>
        <w:t xml:space="preserve">Przewiduje się, że proponowane zmiany w efekcie umożliwią podmiotowi składającemu wybór trybu składania dokumentów do marszałka województwa oraz wpłyną na uproszczenie postępowania dotyczącego wypłat świadczeń z Funduszu Gwarantowanych Świadczeń Pracowniczych, poprzez umożliwienie składania dokumentów w postaci papierowej lub elektronicznej. Zakłada się również, że automatyzacja obiegu dokumentów pozwoli podmiotom składającym na ograniczenie kosztów związanych z drukiem, kopiowaniem oraz fizycznym wysyłaniem obszernej dokumentacji w formie papierowej. Ponadto szybka archiwizacja i łatwość w wyszukiwaniu dokumentów znacząco przyspieszą pracę organom </w:t>
      </w:r>
      <w:r w:rsidRPr="005C05FA">
        <w:rPr>
          <w:rFonts w:ascii="Arial" w:hAnsi="Arial" w:cs="Arial"/>
        </w:rPr>
        <w:lastRenderedPageBreak/>
        <w:t>przyznającym środki Funduszu na wypłaty ww. świadczeń, w porównaniu do tego, co oferuje tradycyjny obieg dokumentów.</w:t>
      </w:r>
    </w:p>
    <w:p w14:paraId="1BE24DAA" w14:textId="77777777" w:rsidR="00FB7A08" w:rsidRPr="005C05FA" w:rsidRDefault="00FB7A08" w:rsidP="005C05FA">
      <w:pPr>
        <w:spacing w:after="0" w:line="300" w:lineRule="auto"/>
        <w:jc w:val="both"/>
        <w:rPr>
          <w:rFonts w:ascii="Arial" w:hAnsi="Arial" w:cs="Arial"/>
        </w:rPr>
      </w:pPr>
    </w:p>
    <w:p w14:paraId="45B2B3E2" w14:textId="77777777" w:rsidR="00C7764F" w:rsidRPr="005C05FA" w:rsidRDefault="00C7764F" w:rsidP="005C05FA">
      <w:pPr>
        <w:spacing w:after="0" w:line="300" w:lineRule="auto"/>
        <w:jc w:val="both"/>
        <w:rPr>
          <w:rFonts w:ascii="Arial" w:hAnsi="Arial" w:cs="Arial"/>
        </w:rPr>
      </w:pPr>
      <w:r w:rsidRPr="005C05FA">
        <w:rPr>
          <w:rFonts w:ascii="Arial" w:hAnsi="Arial" w:cs="Arial"/>
        </w:rPr>
        <w:t>Przedmiotowy projekt aktu prawnego wraz z załącznikami, Uzasadnieniem oraz Oceną Skutków Regulacji dostępny jest na stronach Rządowego Centrum Legislacji pod adresem:</w:t>
      </w:r>
    </w:p>
    <w:p w14:paraId="37136245" w14:textId="34B8FB3D" w:rsidR="00C7764F" w:rsidRPr="005C05FA" w:rsidRDefault="00C7764F" w:rsidP="005C05FA">
      <w:pPr>
        <w:spacing w:after="0" w:line="300" w:lineRule="auto"/>
        <w:jc w:val="both"/>
        <w:rPr>
          <w:rFonts w:ascii="Arial" w:hAnsi="Arial" w:cs="Arial"/>
        </w:rPr>
      </w:pPr>
      <w:hyperlink r:id="rId8" w:anchor="13146968" w:history="1">
        <w:r w:rsidRPr="005C05FA">
          <w:rPr>
            <w:rStyle w:val="Hipercze"/>
            <w:rFonts w:ascii="Arial" w:hAnsi="Arial" w:cs="Arial"/>
          </w:rPr>
          <w:t>https://legislacja.rcl.gov.pl/projekt/12400609/katalog/13146968#13146968</w:t>
        </w:r>
      </w:hyperlink>
      <w:r w:rsidRPr="005C05FA">
        <w:rPr>
          <w:rFonts w:ascii="Arial" w:hAnsi="Arial" w:cs="Arial"/>
        </w:rPr>
        <w:t xml:space="preserve"> </w:t>
      </w:r>
    </w:p>
    <w:p w14:paraId="6B7CA90E" w14:textId="77777777" w:rsidR="00FB7A08" w:rsidRPr="005C05FA" w:rsidRDefault="00FB7A08" w:rsidP="005C05FA">
      <w:pPr>
        <w:spacing w:after="0" w:line="300" w:lineRule="auto"/>
        <w:jc w:val="both"/>
        <w:rPr>
          <w:rFonts w:ascii="Arial" w:hAnsi="Arial" w:cs="Arial"/>
        </w:rPr>
      </w:pPr>
    </w:p>
    <w:p w14:paraId="510FC054" w14:textId="0A1F93FF" w:rsidR="00C7764F" w:rsidRPr="005C05FA" w:rsidRDefault="00C7764F" w:rsidP="005C05FA">
      <w:pPr>
        <w:spacing w:after="0" w:line="300" w:lineRule="auto"/>
        <w:jc w:val="both"/>
        <w:rPr>
          <w:rFonts w:ascii="Arial" w:hAnsi="Arial" w:cs="Arial"/>
        </w:rPr>
      </w:pPr>
      <w:r w:rsidRPr="005C05FA">
        <w:rPr>
          <w:rFonts w:ascii="Arial" w:hAnsi="Arial" w:cs="Arial"/>
        </w:rPr>
        <w:t>Projekt jest obecnie jednocześnie na etapie uzgodnień, konsultacji publicznych i opiniowania.</w:t>
      </w:r>
    </w:p>
    <w:p w14:paraId="200659B1" w14:textId="77777777" w:rsidR="00FB7A08" w:rsidRPr="005C05FA" w:rsidRDefault="00FB7A08" w:rsidP="005C05FA">
      <w:pPr>
        <w:spacing w:after="0" w:line="300" w:lineRule="auto"/>
        <w:jc w:val="both"/>
        <w:rPr>
          <w:rFonts w:ascii="Arial" w:hAnsi="Arial" w:cs="Arial"/>
          <w:bCs/>
        </w:rPr>
      </w:pPr>
    </w:p>
    <w:p w14:paraId="2EABA063" w14:textId="77777777" w:rsidR="00FB7A08" w:rsidRPr="005C05FA" w:rsidRDefault="00FB7A08" w:rsidP="005C05FA">
      <w:pPr>
        <w:spacing w:after="0" w:line="300" w:lineRule="auto"/>
        <w:rPr>
          <w:rFonts w:ascii="Arial" w:hAnsi="Arial" w:cs="Arial"/>
        </w:rPr>
      </w:pPr>
    </w:p>
    <w:p w14:paraId="0934BB94" w14:textId="77777777" w:rsidR="00FB7A08" w:rsidRPr="005C05FA" w:rsidRDefault="00FB7A08" w:rsidP="005C05FA">
      <w:pPr>
        <w:spacing w:after="0" w:line="300" w:lineRule="auto"/>
        <w:jc w:val="both"/>
        <w:rPr>
          <w:rFonts w:ascii="Arial" w:hAnsi="Arial" w:cs="Arial"/>
          <w:b/>
        </w:rPr>
      </w:pPr>
      <w:r w:rsidRPr="005C05FA">
        <w:rPr>
          <w:rFonts w:ascii="Arial" w:hAnsi="Arial" w:cs="Arial"/>
          <w:b/>
        </w:rPr>
        <w:t>II. Ogłoszone akty prawne (Dziennik Ustaw RP)</w:t>
      </w:r>
    </w:p>
    <w:p w14:paraId="470CC66D" w14:textId="77777777" w:rsidR="00FB7A08" w:rsidRPr="005C05FA" w:rsidRDefault="00FB7A08" w:rsidP="005C05FA">
      <w:pPr>
        <w:spacing w:after="0" w:line="300" w:lineRule="auto"/>
        <w:jc w:val="both"/>
        <w:rPr>
          <w:rFonts w:ascii="Arial" w:hAnsi="Arial" w:cs="Arial"/>
        </w:rPr>
      </w:pPr>
    </w:p>
    <w:p w14:paraId="50251D23" w14:textId="271B559B" w:rsidR="00FB7A08" w:rsidRPr="005C05FA" w:rsidRDefault="00FB7A08" w:rsidP="005C05FA">
      <w:pPr>
        <w:spacing w:after="0" w:line="300" w:lineRule="auto"/>
        <w:jc w:val="both"/>
        <w:rPr>
          <w:rFonts w:ascii="Arial" w:hAnsi="Arial" w:cs="Arial"/>
        </w:rPr>
      </w:pPr>
      <w:r w:rsidRPr="005C05FA">
        <w:rPr>
          <w:rFonts w:ascii="Arial" w:hAnsi="Arial" w:cs="Arial"/>
        </w:rPr>
        <w:t xml:space="preserve">W analizowanym okresie opublikowano </w:t>
      </w:r>
      <w:r w:rsidR="00C7764F" w:rsidRPr="005C05FA">
        <w:rPr>
          <w:rFonts w:ascii="Arial" w:hAnsi="Arial" w:cs="Arial"/>
        </w:rPr>
        <w:t>45</w:t>
      </w:r>
      <w:r w:rsidRPr="005C05FA">
        <w:rPr>
          <w:rFonts w:ascii="Arial" w:hAnsi="Arial" w:cs="Arial"/>
        </w:rPr>
        <w:t xml:space="preserve"> akt</w:t>
      </w:r>
      <w:r w:rsidR="00C7764F" w:rsidRPr="005C05FA">
        <w:rPr>
          <w:rFonts w:ascii="Arial" w:hAnsi="Arial" w:cs="Arial"/>
        </w:rPr>
        <w:t>ów</w:t>
      </w:r>
      <w:r w:rsidRPr="005C05FA">
        <w:rPr>
          <w:rFonts w:ascii="Arial" w:hAnsi="Arial" w:cs="Arial"/>
        </w:rPr>
        <w:t xml:space="preserve"> prawn</w:t>
      </w:r>
      <w:r w:rsidR="00C7764F" w:rsidRPr="005C05FA">
        <w:rPr>
          <w:rFonts w:ascii="Arial" w:hAnsi="Arial" w:cs="Arial"/>
        </w:rPr>
        <w:t>ych</w:t>
      </w:r>
      <w:r w:rsidRPr="005C05FA">
        <w:rPr>
          <w:rFonts w:ascii="Arial" w:hAnsi="Arial" w:cs="Arial"/>
        </w:rPr>
        <w:t>, tzn. ustaw, rozporządze</w:t>
      </w:r>
      <w:r w:rsidR="00C7764F" w:rsidRPr="005C05FA">
        <w:rPr>
          <w:rFonts w:ascii="Arial" w:hAnsi="Arial" w:cs="Arial"/>
        </w:rPr>
        <w:t>ń</w:t>
      </w:r>
      <w:r w:rsidRPr="005C05FA">
        <w:rPr>
          <w:rFonts w:ascii="Arial" w:hAnsi="Arial" w:cs="Arial"/>
        </w:rPr>
        <w:t xml:space="preserve"> Rady Ministrów, Prezesa Rady Ministrów i poszczególnych ministrów, obwieszcze</w:t>
      </w:r>
      <w:r w:rsidR="00C7764F" w:rsidRPr="005C05FA">
        <w:rPr>
          <w:rFonts w:ascii="Arial" w:hAnsi="Arial" w:cs="Arial"/>
        </w:rPr>
        <w:t>ń</w:t>
      </w:r>
      <w:r w:rsidRPr="005C05FA">
        <w:rPr>
          <w:rFonts w:ascii="Arial" w:hAnsi="Arial" w:cs="Arial"/>
        </w:rPr>
        <w:t xml:space="preserve"> w sprawie ogłoszenia tekstu jednolitego. Z powyższych publikacji w zainteresowaniu pracodawców i przedsiębiorców znaleźć się mogą następujące akty prawne:</w:t>
      </w:r>
    </w:p>
    <w:p w14:paraId="3ADBA3E1" w14:textId="77777777" w:rsidR="00FB7A08" w:rsidRPr="005C05FA" w:rsidRDefault="00FB7A08" w:rsidP="005C05FA">
      <w:pPr>
        <w:spacing w:after="0" w:line="300" w:lineRule="auto"/>
        <w:jc w:val="both"/>
        <w:rPr>
          <w:rFonts w:ascii="Arial" w:hAnsi="Arial" w:cs="Arial"/>
        </w:rPr>
      </w:pPr>
    </w:p>
    <w:p w14:paraId="172AB240" w14:textId="5E8C93FE" w:rsidR="00FB7A08" w:rsidRPr="005C05FA" w:rsidRDefault="008C119E" w:rsidP="005C05FA">
      <w:pPr>
        <w:pStyle w:val="Akapitzlist"/>
        <w:numPr>
          <w:ilvl w:val="0"/>
          <w:numId w:val="2"/>
        </w:numPr>
        <w:spacing w:after="0" w:line="300" w:lineRule="auto"/>
        <w:ind w:left="426" w:hanging="426"/>
        <w:jc w:val="both"/>
        <w:rPr>
          <w:rFonts w:ascii="Arial" w:hAnsi="Arial" w:cs="Arial"/>
          <w:u w:val="single"/>
        </w:rPr>
      </w:pPr>
      <w:r w:rsidRPr="005C05FA">
        <w:rPr>
          <w:rFonts w:ascii="Arial" w:hAnsi="Arial" w:cs="Arial"/>
          <w:u w:val="single"/>
        </w:rPr>
        <w:t xml:space="preserve">Ustawa z dnia 25 czerwca 2025 r. o krajowym systemie certyfikacji </w:t>
      </w:r>
      <w:proofErr w:type="spellStart"/>
      <w:r w:rsidRPr="005C05FA">
        <w:rPr>
          <w:rFonts w:ascii="Arial" w:hAnsi="Arial" w:cs="Arial"/>
          <w:u w:val="single"/>
        </w:rPr>
        <w:t>cyberbezpieczeństwa</w:t>
      </w:r>
      <w:proofErr w:type="spellEnd"/>
      <w:r w:rsidRPr="005C05FA">
        <w:rPr>
          <w:rFonts w:ascii="Arial" w:hAnsi="Arial" w:cs="Arial"/>
          <w:u w:val="single"/>
        </w:rPr>
        <w:t>.</w:t>
      </w:r>
    </w:p>
    <w:p w14:paraId="73CCC9E5" w14:textId="77777777" w:rsidR="008C119E" w:rsidRPr="005C05FA" w:rsidRDefault="008C119E" w:rsidP="005C05FA">
      <w:pPr>
        <w:spacing w:after="0" w:line="300" w:lineRule="auto"/>
        <w:jc w:val="both"/>
        <w:rPr>
          <w:rFonts w:ascii="Arial" w:hAnsi="Arial" w:cs="Arial"/>
          <w:u w:val="single"/>
        </w:rPr>
      </w:pPr>
    </w:p>
    <w:p w14:paraId="5C050DFA" w14:textId="54C2743E" w:rsidR="00FB7A08" w:rsidRPr="005C05FA" w:rsidRDefault="00FB7A08" w:rsidP="005C05FA">
      <w:pPr>
        <w:spacing w:after="0" w:line="300" w:lineRule="auto"/>
        <w:jc w:val="both"/>
        <w:rPr>
          <w:rFonts w:ascii="Arial" w:eastAsia="Times New Roman" w:hAnsi="Arial" w:cs="Arial"/>
          <w:lang w:eastAsia="pl-PL"/>
        </w:rPr>
      </w:pPr>
      <w:r w:rsidRPr="005C05FA">
        <w:rPr>
          <w:rFonts w:ascii="Arial" w:eastAsia="Times New Roman" w:hAnsi="Arial" w:cs="Arial"/>
          <w:lang w:eastAsia="pl-PL"/>
        </w:rPr>
        <w:t>Powyższy akt prawny o</w:t>
      </w:r>
      <w:r w:rsidR="008C119E" w:rsidRPr="005C05FA">
        <w:rPr>
          <w:rFonts w:ascii="Arial" w:eastAsia="Times New Roman" w:hAnsi="Arial" w:cs="Arial"/>
          <w:lang w:eastAsia="pl-PL"/>
        </w:rPr>
        <w:t>głoszony</w:t>
      </w:r>
      <w:r w:rsidRPr="005C05FA">
        <w:rPr>
          <w:rFonts w:ascii="Arial" w:eastAsia="Times New Roman" w:hAnsi="Arial" w:cs="Arial"/>
          <w:lang w:eastAsia="pl-PL"/>
        </w:rPr>
        <w:t xml:space="preserve"> został </w:t>
      </w:r>
      <w:r w:rsidR="008C119E" w:rsidRPr="005C05FA">
        <w:rPr>
          <w:rFonts w:ascii="Arial" w:eastAsia="Times New Roman" w:hAnsi="Arial" w:cs="Arial"/>
          <w:lang w:eastAsia="pl-PL"/>
        </w:rPr>
        <w:t>28 lipca</w:t>
      </w:r>
      <w:r w:rsidRPr="005C05FA">
        <w:rPr>
          <w:rFonts w:ascii="Arial" w:eastAsia="Times New Roman" w:hAnsi="Arial" w:cs="Arial"/>
          <w:lang w:eastAsia="pl-PL"/>
        </w:rPr>
        <w:t xml:space="preserve"> 20</w:t>
      </w:r>
      <w:r w:rsidR="008C119E" w:rsidRPr="005C05FA">
        <w:rPr>
          <w:rFonts w:ascii="Arial" w:eastAsia="Times New Roman" w:hAnsi="Arial" w:cs="Arial"/>
          <w:lang w:eastAsia="pl-PL"/>
        </w:rPr>
        <w:t>25</w:t>
      </w:r>
      <w:r w:rsidRPr="005C05FA">
        <w:rPr>
          <w:rFonts w:ascii="Arial" w:eastAsia="Times New Roman" w:hAnsi="Arial" w:cs="Arial"/>
          <w:lang w:eastAsia="pl-PL"/>
        </w:rPr>
        <w:t xml:space="preserve"> roku w Dzienniku Ustaw (Dz.U. z 202</w:t>
      </w:r>
      <w:r w:rsidR="008C119E" w:rsidRPr="005C05FA">
        <w:rPr>
          <w:rFonts w:ascii="Arial" w:eastAsia="Times New Roman" w:hAnsi="Arial" w:cs="Arial"/>
          <w:lang w:eastAsia="pl-PL"/>
        </w:rPr>
        <w:t>5</w:t>
      </w:r>
      <w:r w:rsidRPr="005C05FA">
        <w:rPr>
          <w:rFonts w:ascii="Arial" w:eastAsia="Times New Roman" w:hAnsi="Arial" w:cs="Arial"/>
          <w:lang w:eastAsia="pl-PL"/>
        </w:rPr>
        <w:t xml:space="preserve">, poz. </w:t>
      </w:r>
      <w:r w:rsidR="008C119E" w:rsidRPr="005C05FA">
        <w:rPr>
          <w:rFonts w:ascii="Arial" w:eastAsia="Times New Roman" w:hAnsi="Arial" w:cs="Arial"/>
          <w:lang w:eastAsia="pl-PL"/>
        </w:rPr>
        <w:t>101</w:t>
      </w:r>
      <w:r w:rsidR="00536B56" w:rsidRPr="005C05FA">
        <w:rPr>
          <w:rFonts w:ascii="Arial" w:eastAsia="Times New Roman" w:hAnsi="Arial" w:cs="Arial"/>
          <w:lang w:eastAsia="pl-PL"/>
        </w:rPr>
        <w:t>7</w:t>
      </w:r>
      <w:r w:rsidRPr="005C05FA">
        <w:rPr>
          <w:rFonts w:ascii="Arial" w:eastAsia="Times New Roman" w:hAnsi="Arial" w:cs="Arial"/>
          <w:lang w:eastAsia="pl-PL"/>
        </w:rPr>
        <w:t>).</w:t>
      </w:r>
    </w:p>
    <w:p w14:paraId="203EC58F" w14:textId="77777777" w:rsidR="008C119E" w:rsidRPr="005C05FA" w:rsidRDefault="008C119E" w:rsidP="005C05FA">
      <w:pPr>
        <w:spacing w:after="0" w:line="300" w:lineRule="auto"/>
        <w:jc w:val="both"/>
        <w:rPr>
          <w:rFonts w:ascii="Arial" w:eastAsia="Times New Roman" w:hAnsi="Arial" w:cs="Arial"/>
          <w:lang w:eastAsia="pl-PL"/>
        </w:rPr>
      </w:pPr>
    </w:p>
    <w:p w14:paraId="6121D15E" w14:textId="77777777" w:rsidR="00536B56" w:rsidRPr="005C05FA" w:rsidRDefault="00536B56" w:rsidP="005C05FA">
      <w:pPr>
        <w:spacing w:after="0" w:line="300" w:lineRule="auto"/>
        <w:jc w:val="both"/>
        <w:rPr>
          <w:rFonts w:ascii="Arial" w:eastAsia="Times New Roman" w:hAnsi="Arial" w:cs="Arial"/>
          <w:lang w:eastAsia="pl-PL"/>
        </w:rPr>
      </w:pPr>
      <w:r w:rsidRPr="005C05FA">
        <w:rPr>
          <w:rFonts w:ascii="Arial" w:eastAsia="Times New Roman" w:hAnsi="Arial" w:cs="Arial"/>
          <w:lang w:eastAsia="pl-PL"/>
        </w:rPr>
        <w:t xml:space="preserve">Celem ustawy jest dostosowanie polskiego porządku prawnego do obowiązków wynikających z rozporządzenia Parlamentu Europejskiego i Rady (UE) 2019/881 z dnia 17 kwietnia 2019 r. w sprawie ENISA (Agencji Unii Europejskiej do spraw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oraz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w zakresie technologii informacyjno-komunikacyjnych oraz uchylenia rozporządzenia (UE) nr 526/2013 (akt o </w:t>
      </w:r>
      <w:proofErr w:type="spellStart"/>
      <w:r w:rsidRPr="005C05FA">
        <w:rPr>
          <w:rFonts w:ascii="Arial" w:eastAsia="Times New Roman" w:hAnsi="Arial" w:cs="Arial"/>
          <w:lang w:eastAsia="pl-PL"/>
        </w:rPr>
        <w:t>cyberbezpieczeństwie</w:t>
      </w:r>
      <w:proofErr w:type="spellEnd"/>
      <w:r w:rsidRPr="005C05FA">
        <w:rPr>
          <w:rFonts w:ascii="Arial" w:eastAsia="Times New Roman" w:hAnsi="Arial" w:cs="Arial"/>
          <w:lang w:eastAsia="pl-PL"/>
        </w:rPr>
        <w:t xml:space="preserve">), zwanego dalej „rozporządzeniem 2019/881”.  </w:t>
      </w:r>
    </w:p>
    <w:p w14:paraId="1D248986" w14:textId="77777777" w:rsidR="00536B56" w:rsidRPr="005C05FA" w:rsidRDefault="00536B56" w:rsidP="005C05FA">
      <w:pPr>
        <w:spacing w:after="0" w:line="300" w:lineRule="auto"/>
        <w:jc w:val="both"/>
        <w:rPr>
          <w:rFonts w:ascii="Arial" w:eastAsia="Times New Roman" w:hAnsi="Arial" w:cs="Arial"/>
          <w:lang w:eastAsia="pl-PL"/>
        </w:rPr>
      </w:pPr>
      <w:r w:rsidRPr="005C05FA">
        <w:rPr>
          <w:rFonts w:ascii="Arial" w:eastAsia="Times New Roman" w:hAnsi="Arial" w:cs="Arial"/>
          <w:lang w:eastAsia="pl-PL"/>
        </w:rPr>
        <w:t xml:space="preserve">Ustawa określa organizację krajowego systemu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oraz zadania i obowiązki podmiotów wchodzących w skład tego systemu, w tym sposób sprawowania nadzoru nad działalnością podmiotów tego systemu, kontroli działalności tych podmiotów oraz koordynacji ich działalności. Ustawa zmierza ponadto do podniesienia poziomu odporności systemów informacyjnych administracji publicznej i sektora prywatnego oraz osiągnięcia zdolności do skutecznego zapobiegania i reagowania na incydenty. </w:t>
      </w:r>
    </w:p>
    <w:p w14:paraId="4B082128" w14:textId="77777777" w:rsidR="003A5017" w:rsidRPr="005C05FA" w:rsidRDefault="00536B56" w:rsidP="005C05FA">
      <w:pPr>
        <w:spacing w:after="0" w:line="300" w:lineRule="auto"/>
        <w:jc w:val="both"/>
        <w:rPr>
          <w:rFonts w:ascii="Arial" w:eastAsia="Times New Roman" w:hAnsi="Arial" w:cs="Arial"/>
          <w:lang w:eastAsia="pl-PL"/>
        </w:rPr>
      </w:pPr>
      <w:r w:rsidRPr="005C05FA">
        <w:rPr>
          <w:rFonts w:ascii="Arial" w:eastAsia="Times New Roman" w:hAnsi="Arial" w:cs="Arial"/>
          <w:lang w:eastAsia="pl-PL"/>
        </w:rPr>
        <w:t xml:space="preserve">Ustawa wprowadza szereg definicji odwołujących się do rozporządzenia 2019/881 oraz innych aktów prawa unijnego. Zapewnia to niezbędną precyzję wykorzystywanych w ustawie sformułowań oraz zapobiega powstaniu wątpliwości interpretacyjnych.  </w:t>
      </w:r>
    </w:p>
    <w:p w14:paraId="46A1CAF9" w14:textId="77777777" w:rsidR="003A5017" w:rsidRPr="005C05FA" w:rsidRDefault="00536B56" w:rsidP="005C05FA">
      <w:pPr>
        <w:spacing w:after="0" w:line="300" w:lineRule="auto"/>
        <w:jc w:val="both"/>
        <w:rPr>
          <w:rFonts w:ascii="Arial" w:eastAsia="Times New Roman" w:hAnsi="Arial" w:cs="Arial"/>
          <w:lang w:eastAsia="pl-PL"/>
        </w:rPr>
      </w:pPr>
      <w:r w:rsidRPr="005C05FA">
        <w:rPr>
          <w:rFonts w:ascii="Arial" w:eastAsia="Times New Roman" w:hAnsi="Arial" w:cs="Arial"/>
          <w:lang w:eastAsia="pl-PL"/>
        </w:rPr>
        <w:t xml:space="preserve">Zgodnie z ustawą krajowy system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będzie stanowił zbiór podmiotów, o których mowa w art. 3 ust. 2 ustawy (minister właściwy do spraw informatyzacji, Polskie Centrum Akredytacji, zwane dalej „PCA”, jednostki oceniające zgodność, dostawcy, którzy poddają swoje produkty ICT, usługi ICT, procesy ICT lub usługi zarządzane w zakresie bezpieczeństwa ocenie zgodności w ramach danego europejskiego programu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albo danego krajowego schematu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osoby fizyczne, które poddają swoją wiedzę i umiejętności praktyczne ocenie zgodności w </w:t>
      </w:r>
      <w:r w:rsidRPr="005C05FA">
        <w:rPr>
          <w:rFonts w:ascii="Arial" w:eastAsia="Times New Roman" w:hAnsi="Arial" w:cs="Arial"/>
          <w:lang w:eastAsia="pl-PL"/>
        </w:rPr>
        <w:lastRenderedPageBreak/>
        <w:t xml:space="preserve">ramach danego krajowego schematu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oraz podmioty, które poddają wykorzystywane przez siebie systemy zarządzania cyberbezpieczeństwem ocenie zgodności w ramach danego krajowego schematu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oraz procedur związanych z certyfikacją produktów ICT, usług ICT, procesów ICT lub usług zarządzanych w zakresie bezpieczeństwa, w ramach europejskich programów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albo krajowych schematów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oraz procedur w zakresie certyfikacji systemów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lub osób fizycznych w ramach krajowych schematów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Działając w ramach tego systemu, podmioty będą wspólnie przyczyniać się do poprawy standardów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produktów i usług dostępnych na rynku oraz rozwiązań takich jak </w:t>
      </w:r>
      <w:proofErr w:type="spellStart"/>
      <w:r w:rsidRPr="005C05FA">
        <w:rPr>
          <w:rFonts w:ascii="Arial" w:eastAsia="Times New Roman" w:hAnsi="Arial" w:cs="Arial"/>
          <w:lang w:eastAsia="pl-PL"/>
        </w:rPr>
        <w:t>security</w:t>
      </w:r>
      <w:proofErr w:type="spellEnd"/>
      <w:r w:rsidRPr="005C05FA">
        <w:rPr>
          <w:rFonts w:ascii="Arial" w:eastAsia="Times New Roman" w:hAnsi="Arial" w:cs="Arial"/>
          <w:lang w:eastAsia="pl-PL"/>
        </w:rPr>
        <w:t xml:space="preserve"> by design. Krajowy system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będzie uzupełnieniem europejskiego systemu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Stworzy precyzyjny system oceny produktów ICT, usług ICT, procesów ICT oraz usług zarządzanych w zakresie bezpieczeństwa, dzięki czemu identyfikowane będą produkty spełniające najlepsze standardy w dziedzinie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Przepisy ustawy nie nakładają żadnych dodatkowych obowiązków na podmioty niezainteresowane uczestnictwem w tym systemie. Przyjęty model nie tworzy też barier dostępu do rynku. Przyjęcie przepisów o krajowym systemie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będzie miało korzystne skutki dla całego sektora przedsiębiorstw. Obecnie firmy ponoszą coraz większe straty w wyniku działalności cyberprzestępców. Wprowadzenie certyfikacji w dziedzinie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sprawi, że firmy uzyskają lepszy dostęp do rozwiązań gwarantujących najwyższy poziom bezpieczeństwa. Ponadto samo zbudowanie systemu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przyczyni się do wzrostu świadomości w omawianym obszarze. W efekcie straty ponoszone przez sektor przedsiębiorstw powinny ulec zmniejszeniu. </w:t>
      </w:r>
    </w:p>
    <w:p w14:paraId="09FC6533" w14:textId="77D0ED66" w:rsidR="003A5017" w:rsidRPr="005C05FA" w:rsidRDefault="00536B56" w:rsidP="005C05FA">
      <w:pPr>
        <w:spacing w:after="0" w:line="300" w:lineRule="auto"/>
        <w:jc w:val="both"/>
        <w:rPr>
          <w:rFonts w:ascii="Arial" w:eastAsia="Times New Roman" w:hAnsi="Arial" w:cs="Arial"/>
          <w:lang w:eastAsia="pl-PL"/>
        </w:rPr>
      </w:pPr>
      <w:r w:rsidRPr="005C05FA">
        <w:rPr>
          <w:rFonts w:ascii="Arial" w:eastAsia="Times New Roman" w:hAnsi="Arial" w:cs="Arial"/>
          <w:lang w:eastAsia="pl-PL"/>
        </w:rPr>
        <w:t xml:space="preserve">Ustawa pozwala również tworzyć krajowe schematy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w obszarach nieobjętych europejskimi programami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Krajowe schematy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będą mogły dotyczyć również systemów zarządzania cyberbezpieczeństwem oraz osób fizycznych. Dzięki temu przedsiębiorcy uzyskają możliwość otrzymania certyfikatu na cały stosowany u siebie system zarządzania cyberbezpieczeństwem. Z kolei certyfikaty dla poszczególnych osób fizycznych pozwolą potwierdzić posiadane kompetencje z zakresu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Kontrolę w podmiotach należących do krajowego systemu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będzie przeprowadzał organ nadzorczy, którym będzie minister właściwy do spraw informatyzacji, zwany dalej „ministrem”. Minister będzie dysponował uprawnieniami do przeprowadzania kontroli u podmiotów krajowego systemu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do badania produktów ICT, usług ICT, procesów ICT oraz usług zarządzanych w zakresie bezpieczeństwa oraz uzyskiwania od podmiotów krajowego systemu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w:t>
      </w:r>
      <w:r w:rsidR="003A5017" w:rsidRPr="005C05FA">
        <w:rPr>
          <w:rFonts w:ascii="Arial" w:eastAsia="Times New Roman" w:hAnsi="Arial" w:cs="Arial"/>
          <w:lang w:eastAsia="pl-PL"/>
        </w:rPr>
        <w:t>informacji związanych</w:t>
      </w:r>
      <w:r w:rsidR="003A5017" w:rsidRPr="005C05FA">
        <w:rPr>
          <w:rFonts w:ascii="Arial" w:eastAsia="Times New Roman" w:hAnsi="Arial" w:cs="Arial"/>
          <w:lang w:eastAsia="pl-PL"/>
        </w:rPr>
        <w:t xml:space="preserve"> </w:t>
      </w:r>
      <w:r w:rsidRPr="005C05FA">
        <w:rPr>
          <w:rFonts w:ascii="Arial" w:eastAsia="Times New Roman" w:hAnsi="Arial" w:cs="Arial"/>
          <w:lang w:eastAsia="pl-PL"/>
        </w:rPr>
        <w:t>z certyfikowanymi produktami, usługami i procesami.</w:t>
      </w:r>
    </w:p>
    <w:p w14:paraId="760B51E5" w14:textId="77777777" w:rsidR="003A5017" w:rsidRPr="005C05FA" w:rsidRDefault="00536B56" w:rsidP="005C05FA">
      <w:pPr>
        <w:spacing w:after="0" w:line="300" w:lineRule="auto"/>
        <w:jc w:val="both"/>
        <w:rPr>
          <w:rFonts w:ascii="Arial" w:eastAsia="Times New Roman" w:hAnsi="Arial" w:cs="Arial"/>
          <w:lang w:eastAsia="pl-PL"/>
        </w:rPr>
      </w:pPr>
      <w:r w:rsidRPr="005C05FA">
        <w:rPr>
          <w:rFonts w:ascii="Arial" w:eastAsia="Times New Roman" w:hAnsi="Arial" w:cs="Arial"/>
          <w:lang w:eastAsia="pl-PL"/>
        </w:rPr>
        <w:t xml:space="preserve">Przepisy ustawy wskazują, że certyfikacja produktów ICT, usług ICT, procesów ICT i usług zarządzanych w zakresie bezpieczeństwa będzie odbywać się dobrowolnie, na podstawie umowy zawartej między dostawcą a jednostką oceniającą zgodność (art. 5). Podstawą dla tej umowy będą wymogi zawarte w odpowiednim krajowym schemacie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lub europejskim programie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Umowa </w:t>
      </w:r>
      <w:r w:rsidRPr="005C05FA">
        <w:rPr>
          <w:rFonts w:ascii="Arial" w:eastAsia="Times New Roman" w:hAnsi="Arial" w:cs="Arial"/>
          <w:lang w:eastAsia="pl-PL"/>
        </w:rPr>
        <w:lastRenderedPageBreak/>
        <w:t>będzie podstawą wzajemnych zobowiązań między jednostką oceniającą zgodność a jej klientami. Ustawa wskazuje elementy, jakie będzie musiała określać umowa o certyfikację.</w:t>
      </w:r>
    </w:p>
    <w:p w14:paraId="26081A53" w14:textId="6F684C3B" w:rsidR="005D5BAA" w:rsidRPr="005C05FA" w:rsidRDefault="00536B56" w:rsidP="005C05FA">
      <w:pPr>
        <w:spacing w:after="0" w:line="300" w:lineRule="auto"/>
        <w:jc w:val="both"/>
        <w:rPr>
          <w:rFonts w:ascii="Arial" w:eastAsia="Times New Roman" w:hAnsi="Arial" w:cs="Arial"/>
          <w:lang w:eastAsia="pl-PL"/>
        </w:rPr>
      </w:pPr>
      <w:r w:rsidRPr="005C05FA">
        <w:rPr>
          <w:rFonts w:ascii="Arial" w:eastAsia="Times New Roman" w:hAnsi="Arial" w:cs="Arial"/>
          <w:lang w:eastAsia="pl-PL"/>
        </w:rPr>
        <w:t xml:space="preserve">Zgodnie z ustawą krajowy certyfikat będzie mógł być wydany dla produktu ICT, usługi ICT, procesu ICT, usługi zarządzanej w zakresie bezpieczeństwa, systemu zarządzania cyberbezpieczeństwem, który zapewnia dostępność, autentyczność, integralność lub poufność przechowywanych, przekazywanych lub przetwarzanych danych bądź udostępnianych funkcji lub usług na poziomie odpowiednim do potencjalnych </w:t>
      </w:r>
      <w:proofErr w:type="spellStart"/>
      <w:r w:rsidRPr="005C05FA">
        <w:rPr>
          <w:rFonts w:ascii="Arial" w:eastAsia="Times New Roman" w:hAnsi="Arial" w:cs="Arial"/>
          <w:lang w:eastAsia="pl-PL"/>
        </w:rPr>
        <w:t>cyberzagrożeń</w:t>
      </w:r>
      <w:proofErr w:type="spellEnd"/>
      <w:r w:rsidRPr="005C05FA">
        <w:rPr>
          <w:rFonts w:ascii="Arial" w:eastAsia="Times New Roman" w:hAnsi="Arial" w:cs="Arial"/>
          <w:lang w:eastAsia="pl-PL"/>
        </w:rPr>
        <w:t xml:space="preserve"> oraz minimalizuje znane ryzyka w zakresie </w:t>
      </w:r>
      <w:proofErr w:type="spellStart"/>
      <w:r w:rsidRPr="005C05FA">
        <w:rPr>
          <w:rFonts w:ascii="Arial" w:eastAsia="Times New Roman" w:hAnsi="Arial" w:cs="Arial"/>
          <w:lang w:eastAsia="pl-PL"/>
        </w:rPr>
        <w:t>cyberzagrożeń</w:t>
      </w:r>
      <w:proofErr w:type="spellEnd"/>
      <w:r w:rsidRPr="005C05FA">
        <w:rPr>
          <w:rFonts w:ascii="Arial" w:eastAsia="Times New Roman" w:hAnsi="Arial" w:cs="Arial"/>
          <w:lang w:eastAsia="pl-PL"/>
        </w:rPr>
        <w:t xml:space="preserve">. W związku z tym posiadanie takiego certyfikatu będzie stanowiło gwarancję odpowiedniego poziomu ochrony. Krajowy certyfikat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będzie mógł być wydany również osobie fizycznej, która posiada wiedzę i umiejętności praktyczne gwarantujące skuteczną realizację zadań z zakresu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(art. 7 ust. 2). Krajowy certyfikat będzie mógł być wydawany na okres nie krótszy niż 2 lata i nie dłuższy niż 5 lat.</w:t>
      </w:r>
    </w:p>
    <w:p w14:paraId="5B013CED" w14:textId="4CEE35AD" w:rsidR="005D5BAA" w:rsidRPr="005C05FA" w:rsidRDefault="00536B56" w:rsidP="005C05FA">
      <w:pPr>
        <w:spacing w:after="0" w:line="300" w:lineRule="auto"/>
        <w:jc w:val="both"/>
        <w:rPr>
          <w:rFonts w:ascii="Arial" w:eastAsia="Times New Roman" w:hAnsi="Arial" w:cs="Arial"/>
          <w:lang w:eastAsia="pl-PL"/>
        </w:rPr>
      </w:pPr>
      <w:r w:rsidRPr="005C05FA">
        <w:rPr>
          <w:rFonts w:ascii="Arial" w:eastAsia="Times New Roman" w:hAnsi="Arial" w:cs="Arial"/>
          <w:lang w:eastAsia="pl-PL"/>
        </w:rPr>
        <w:t xml:space="preserve">Istotną rolę w krajowym systemie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ma odgrywać Polskie Centrum Akredytacji, zwane dalej „PCA”, które będzie sprawowało nadzór w zakresie udzielonej akredytacji nad jednostkami oceniającymi zgodność w obszarze objętym danym europejskim programem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albo danym krajowym schematem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Podstawą działania PCA w tym zakresie będzie rozdział 4 ustawy z dnia 13 kwietnia 2016 r. o systemach oceny zgodności i nadzoru rynku. Jednostki oceniające zgodność będą mogły prowadzić ocenę zgodności i wydawać certyfikaty w ramach krajowych schematów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oraz europejskich programów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Przyjęty model zakłada, że będą one mogły wydawać certyfikaty odnoszące się do wszystkich poziomów zaufania, o których mowa w rozporządzeniu 2019/881. Minister będzie natomiast wyrażał zgodę na wydanie certyfikatów odwołujących się do poziomu zaufania „wysoki”.</w:t>
      </w:r>
    </w:p>
    <w:p w14:paraId="08372335" w14:textId="49D0E7B2" w:rsidR="005D5BAA" w:rsidRPr="005C05FA" w:rsidRDefault="00536B56" w:rsidP="005C05FA">
      <w:pPr>
        <w:spacing w:after="0" w:line="300" w:lineRule="auto"/>
        <w:jc w:val="both"/>
        <w:rPr>
          <w:rFonts w:ascii="Arial" w:eastAsia="Times New Roman" w:hAnsi="Arial" w:cs="Arial"/>
          <w:lang w:eastAsia="pl-PL"/>
        </w:rPr>
      </w:pPr>
      <w:r w:rsidRPr="005C05FA">
        <w:rPr>
          <w:rFonts w:ascii="Arial" w:eastAsia="Times New Roman" w:hAnsi="Arial" w:cs="Arial"/>
          <w:lang w:eastAsia="pl-PL"/>
        </w:rPr>
        <w:t>Ustawa wprowadza kary pieniężne za nierealizowanie określonych obowiązków (art. 33), w szczególności za:</w:t>
      </w:r>
    </w:p>
    <w:p w14:paraId="60BEFEB6" w14:textId="76CC38D4" w:rsidR="005D5BAA" w:rsidRPr="005C05FA" w:rsidRDefault="00536B56" w:rsidP="005C05FA">
      <w:pPr>
        <w:pStyle w:val="Akapitzlist"/>
        <w:numPr>
          <w:ilvl w:val="0"/>
          <w:numId w:val="11"/>
        </w:numPr>
        <w:spacing w:after="0" w:line="300" w:lineRule="auto"/>
        <w:jc w:val="both"/>
        <w:rPr>
          <w:rFonts w:ascii="Arial" w:eastAsia="Times New Roman" w:hAnsi="Arial" w:cs="Arial"/>
          <w:lang w:eastAsia="pl-PL"/>
        </w:rPr>
      </w:pPr>
      <w:r w:rsidRPr="005C05FA">
        <w:rPr>
          <w:rFonts w:ascii="Arial" w:eastAsia="Times New Roman" w:hAnsi="Arial" w:cs="Arial"/>
          <w:lang w:eastAsia="pl-PL"/>
        </w:rPr>
        <w:t>nieprzekazanie ministrowi określonych danych albo przekazanie danych niepełnych lub nieprawdziwych przez jednostkę oceniającą zgodność (w wysokości dziesięciokrotności przeciętnego wynagrodzenia);</w:t>
      </w:r>
    </w:p>
    <w:p w14:paraId="1A01B968" w14:textId="727AA832" w:rsidR="005D5BAA" w:rsidRPr="005C05FA" w:rsidRDefault="00536B56" w:rsidP="005C05FA">
      <w:pPr>
        <w:pStyle w:val="Akapitzlist"/>
        <w:numPr>
          <w:ilvl w:val="0"/>
          <w:numId w:val="11"/>
        </w:numPr>
        <w:spacing w:after="0" w:line="300" w:lineRule="auto"/>
        <w:jc w:val="both"/>
        <w:rPr>
          <w:rFonts w:ascii="Arial" w:eastAsia="Times New Roman" w:hAnsi="Arial" w:cs="Arial"/>
          <w:lang w:eastAsia="pl-PL"/>
        </w:rPr>
      </w:pPr>
      <w:r w:rsidRPr="005C05FA">
        <w:rPr>
          <w:rFonts w:ascii="Arial" w:eastAsia="Times New Roman" w:hAnsi="Arial" w:cs="Arial"/>
          <w:lang w:eastAsia="pl-PL"/>
        </w:rPr>
        <w:t>wydanie europejskiego certyfikatu albo krajowego certyfikatu przez jednostkę oceniającą zgodność działającą bez wymaganej akredytacji (w wysokości do dwudziestokrotności przeciętnego wynagrodzenia);</w:t>
      </w:r>
    </w:p>
    <w:p w14:paraId="5C126E70" w14:textId="42604F73" w:rsidR="005D5BAA" w:rsidRPr="005C05FA" w:rsidRDefault="00536B56" w:rsidP="005C05FA">
      <w:pPr>
        <w:pStyle w:val="Akapitzlist"/>
        <w:numPr>
          <w:ilvl w:val="0"/>
          <w:numId w:val="11"/>
        </w:numPr>
        <w:spacing w:after="0" w:line="300" w:lineRule="auto"/>
        <w:jc w:val="both"/>
        <w:rPr>
          <w:rFonts w:ascii="Arial" w:eastAsia="Times New Roman" w:hAnsi="Arial" w:cs="Arial"/>
          <w:lang w:eastAsia="pl-PL"/>
        </w:rPr>
      </w:pPr>
      <w:r w:rsidRPr="005C05FA">
        <w:rPr>
          <w:rFonts w:ascii="Arial" w:eastAsia="Times New Roman" w:hAnsi="Arial" w:cs="Arial"/>
          <w:lang w:eastAsia="pl-PL"/>
        </w:rPr>
        <w:t>uniemożliwianie albo utrudnianie ministrowi przeprowadzenia kontroli (w wysokości do dwudziestokrotności przeciętnego wynagrodzenia);</w:t>
      </w:r>
    </w:p>
    <w:p w14:paraId="44866982" w14:textId="12556747" w:rsidR="005D5BAA" w:rsidRPr="005C05FA" w:rsidRDefault="00536B56" w:rsidP="005C05FA">
      <w:pPr>
        <w:pStyle w:val="Akapitzlist"/>
        <w:numPr>
          <w:ilvl w:val="0"/>
          <w:numId w:val="11"/>
        </w:numPr>
        <w:spacing w:after="0" w:line="300" w:lineRule="auto"/>
        <w:jc w:val="both"/>
        <w:rPr>
          <w:rFonts w:ascii="Arial" w:eastAsia="Times New Roman" w:hAnsi="Arial" w:cs="Arial"/>
          <w:lang w:eastAsia="pl-PL"/>
        </w:rPr>
      </w:pPr>
      <w:r w:rsidRPr="005C05FA">
        <w:rPr>
          <w:rFonts w:ascii="Arial" w:eastAsia="Times New Roman" w:hAnsi="Arial" w:cs="Arial"/>
          <w:lang w:eastAsia="pl-PL"/>
        </w:rPr>
        <w:t xml:space="preserve">brak udostępnienia unijnej deklaracji zgodności, dokumentacji technicznej i innych wymaganych informacji związanych ze zgodnością produktów ICT lub usług ICT z unijnym programem certyfikacji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(w wysokości do dwudziestokrotności przeciętnego wynagrodzenia);</w:t>
      </w:r>
    </w:p>
    <w:p w14:paraId="02E51A8F" w14:textId="33109433" w:rsidR="005D5BAA" w:rsidRPr="005C05FA" w:rsidRDefault="00536B56" w:rsidP="005C05FA">
      <w:pPr>
        <w:pStyle w:val="Akapitzlist"/>
        <w:numPr>
          <w:ilvl w:val="0"/>
          <w:numId w:val="11"/>
        </w:numPr>
        <w:spacing w:after="0" w:line="300" w:lineRule="auto"/>
        <w:jc w:val="both"/>
        <w:rPr>
          <w:rFonts w:ascii="Arial" w:eastAsia="Times New Roman" w:hAnsi="Arial" w:cs="Arial"/>
          <w:lang w:eastAsia="pl-PL"/>
        </w:rPr>
      </w:pPr>
      <w:r w:rsidRPr="005C05FA">
        <w:rPr>
          <w:rFonts w:ascii="Arial" w:eastAsia="Times New Roman" w:hAnsi="Arial" w:cs="Arial"/>
          <w:lang w:eastAsia="pl-PL"/>
        </w:rPr>
        <w:t>nieprzekazanie przeprowadzającemu kontrolę próbki produktu ICT (w wysokości do dwudziestokrotności przeciętnego wynagrodzenia);</w:t>
      </w:r>
    </w:p>
    <w:p w14:paraId="4D52AA5E" w14:textId="3A9D8372" w:rsidR="005D5BAA" w:rsidRPr="005C05FA" w:rsidRDefault="00536B56" w:rsidP="005C05FA">
      <w:pPr>
        <w:pStyle w:val="Akapitzlist"/>
        <w:numPr>
          <w:ilvl w:val="0"/>
          <w:numId w:val="11"/>
        </w:numPr>
        <w:spacing w:after="0" w:line="300" w:lineRule="auto"/>
        <w:jc w:val="both"/>
        <w:rPr>
          <w:rFonts w:ascii="Arial" w:eastAsia="Times New Roman" w:hAnsi="Arial" w:cs="Arial"/>
          <w:lang w:eastAsia="pl-PL"/>
        </w:rPr>
      </w:pPr>
      <w:r w:rsidRPr="005C05FA">
        <w:rPr>
          <w:rFonts w:ascii="Arial" w:eastAsia="Times New Roman" w:hAnsi="Arial" w:cs="Arial"/>
          <w:lang w:eastAsia="pl-PL"/>
        </w:rPr>
        <w:t xml:space="preserve">nierealizowanie obowiązku publicznego udostępniania dodatkowych informacji na temat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zgodnie z art. 55 rozporządzenia 2019/881 (w wysokości do dwudziestokrotności przeciętnego wynagrodzenia);</w:t>
      </w:r>
    </w:p>
    <w:p w14:paraId="6848C383" w14:textId="725A82B7" w:rsidR="005D5BAA" w:rsidRPr="005C05FA" w:rsidRDefault="00536B56" w:rsidP="005C05FA">
      <w:pPr>
        <w:pStyle w:val="Akapitzlist"/>
        <w:numPr>
          <w:ilvl w:val="0"/>
          <w:numId w:val="11"/>
        </w:numPr>
        <w:spacing w:after="0" w:line="300" w:lineRule="auto"/>
        <w:jc w:val="both"/>
        <w:rPr>
          <w:rFonts w:ascii="Arial" w:eastAsia="Times New Roman" w:hAnsi="Arial" w:cs="Arial"/>
          <w:lang w:eastAsia="pl-PL"/>
        </w:rPr>
      </w:pPr>
      <w:r w:rsidRPr="005C05FA">
        <w:rPr>
          <w:rFonts w:ascii="Arial" w:eastAsia="Times New Roman" w:hAnsi="Arial" w:cs="Arial"/>
          <w:lang w:eastAsia="pl-PL"/>
        </w:rPr>
        <w:lastRenderedPageBreak/>
        <w:t>nieprzekazanie ministrowi w terminie informacji na temat produktu ICT, usługi ICT, procesu ICT lub usługi zarządzanej w zakresie bezpieczeństwa, dla których zostały wydane europejski certyfikat, deklaracja zgodności lub krajowy certyfikat, a także na temat liczby wydanych certyfikatów (w wysokości do dwudziestokrotności przeciętnego wynagrodzenia).</w:t>
      </w:r>
    </w:p>
    <w:p w14:paraId="0F087A6F" w14:textId="63456B00" w:rsidR="005D5BAA" w:rsidRPr="005C05FA" w:rsidRDefault="00536B56" w:rsidP="005C05FA">
      <w:pPr>
        <w:spacing w:after="0" w:line="300" w:lineRule="auto"/>
        <w:jc w:val="both"/>
        <w:rPr>
          <w:rFonts w:ascii="Arial" w:eastAsia="Times New Roman" w:hAnsi="Arial" w:cs="Arial"/>
          <w:lang w:eastAsia="pl-PL"/>
        </w:rPr>
      </w:pPr>
      <w:r w:rsidRPr="005C05FA">
        <w:rPr>
          <w:rFonts w:ascii="Arial" w:eastAsia="Times New Roman" w:hAnsi="Arial" w:cs="Arial"/>
          <w:lang w:eastAsia="pl-PL"/>
        </w:rPr>
        <w:t xml:space="preserve">Ustawa wprowadza ponadto niezbędne zmiany w ustawie z dnia 30 kwietnia 2010 r. o instytutach badawczych, ustawie z dnia 5 lipca 2018 r. o krajowym systemie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oraz ustawie z dnia 2 grudnia 2021 r. o szczególnych zasadach wynagradzania osób realizujących zadania z zakresu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w:t>
      </w:r>
    </w:p>
    <w:p w14:paraId="52518E79" w14:textId="77777777" w:rsidR="005D5BAA" w:rsidRPr="005C05FA" w:rsidRDefault="00536B56" w:rsidP="005C05FA">
      <w:pPr>
        <w:spacing w:after="0" w:line="300" w:lineRule="auto"/>
        <w:jc w:val="both"/>
        <w:rPr>
          <w:rFonts w:ascii="Arial" w:eastAsia="Times New Roman" w:hAnsi="Arial" w:cs="Arial"/>
          <w:lang w:eastAsia="pl-PL"/>
        </w:rPr>
      </w:pPr>
      <w:r w:rsidRPr="005C05FA">
        <w:rPr>
          <w:rFonts w:ascii="Arial" w:eastAsia="Times New Roman" w:hAnsi="Arial" w:cs="Arial"/>
          <w:lang w:eastAsia="pl-PL"/>
        </w:rPr>
        <w:t xml:space="preserve">W przepisach przejściowych i dostosowujących ustawa przesądza, że akredytacje udzielone przez PCA jednostkom oceniającym zgodność w zakresie </w:t>
      </w:r>
      <w:proofErr w:type="spellStart"/>
      <w:r w:rsidRPr="005C05FA">
        <w:rPr>
          <w:rFonts w:ascii="Arial" w:eastAsia="Times New Roman" w:hAnsi="Arial" w:cs="Arial"/>
          <w:lang w:eastAsia="pl-PL"/>
        </w:rPr>
        <w:t>cyberbezpieczeństwa</w:t>
      </w:r>
      <w:proofErr w:type="spellEnd"/>
      <w:r w:rsidRPr="005C05FA">
        <w:rPr>
          <w:rFonts w:ascii="Arial" w:eastAsia="Times New Roman" w:hAnsi="Arial" w:cs="Arial"/>
          <w:lang w:eastAsia="pl-PL"/>
        </w:rPr>
        <w:t xml:space="preserve"> do dnia wejścia w życie ustawy stają się akredytacjami w rozumieniu uchwalonej ustawy. PCA w terminie 14 dni od dnia wejścia w życie ustawy będzie obowiązane poinformować ministra właściwego do spraw informatyzacji o akredytacjach udzielonych do dnia wejścia ustawy  w życie. Z kolei certyfikaty wydane w ramach akredytacji udzielonych przed dniem wejścia ustawy w życie będą obowiązywały do końca terminu ich ważności. Znajdą do nich zastosowanie przepisy dotychczasowe. Jednostki oceniające zgodność w terminie 14 dni od dnia wejścia w życie ustawy poinformują ministra właściwego do spraw informatyzacji o wydanych certyfikatach. Ustawa określa limit wydatków z budżetu państwa dla części budżetowej 27 – informatyzacja oraz wydatków PCA w latach 2025–2034, będących skutkiem finansowym jej wejścia w życie.</w:t>
      </w:r>
    </w:p>
    <w:p w14:paraId="578A5C6B" w14:textId="77777777" w:rsidR="005D5BAA" w:rsidRPr="005C05FA" w:rsidRDefault="005D5BAA" w:rsidP="005C05FA">
      <w:pPr>
        <w:spacing w:after="0" w:line="300" w:lineRule="auto"/>
        <w:jc w:val="both"/>
        <w:rPr>
          <w:rFonts w:ascii="Arial" w:eastAsia="Times New Roman" w:hAnsi="Arial" w:cs="Arial"/>
          <w:lang w:eastAsia="pl-PL"/>
        </w:rPr>
      </w:pPr>
    </w:p>
    <w:p w14:paraId="48F609A9" w14:textId="47864256" w:rsidR="00FB7A08" w:rsidRPr="005C05FA" w:rsidRDefault="00536B56" w:rsidP="005C05FA">
      <w:pPr>
        <w:spacing w:after="0" w:line="300" w:lineRule="auto"/>
        <w:jc w:val="both"/>
        <w:rPr>
          <w:rFonts w:ascii="Arial" w:eastAsia="Times New Roman" w:hAnsi="Arial" w:cs="Arial"/>
          <w:lang w:eastAsia="pl-PL"/>
        </w:rPr>
      </w:pPr>
      <w:r w:rsidRPr="005C05FA">
        <w:rPr>
          <w:rFonts w:ascii="Arial" w:eastAsia="Times New Roman" w:hAnsi="Arial" w:cs="Arial"/>
          <w:lang w:eastAsia="pl-PL"/>
        </w:rPr>
        <w:t>Ustawa wejdzie w życie po upływie 30 dni od dnia ogłoszenia.</w:t>
      </w:r>
    </w:p>
    <w:p w14:paraId="463AE791" w14:textId="77777777" w:rsidR="00FB7A08" w:rsidRPr="005C05FA" w:rsidRDefault="00FB7A08" w:rsidP="005C05FA">
      <w:pPr>
        <w:spacing w:after="0" w:line="300" w:lineRule="auto"/>
        <w:jc w:val="both"/>
        <w:rPr>
          <w:rFonts w:ascii="Arial" w:hAnsi="Arial" w:cs="Arial"/>
        </w:rPr>
      </w:pPr>
    </w:p>
    <w:p w14:paraId="5CD273E6" w14:textId="78684536" w:rsidR="00FB7A08" w:rsidRPr="005C05FA" w:rsidRDefault="00FB7A08" w:rsidP="005C05FA">
      <w:pPr>
        <w:pStyle w:val="Akapitzlist"/>
        <w:numPr>
          <w:ilvl w:val="0"/>
          <w:numId w:val="2"/>
        </w:numPr>
        <w:spacing w:after="0" w:line="300" w:lineRule="auto"/>
        <w:ind w:left="426" w:hanging="426"/>
        <w:jc w:val="both"/>
        <w:rPr>
          <w:rFonts w:ascii="Arial" w:eastAsia="Times New Roman" w:hAnsi="Arial" w:cs="Arial"/>
          <w:u w:val="single"/>
          <w:lang w:eastAsia="pl-PL"/>
        </w:rPr>
      </w:pPr>
      <w:r w:rsidRPr="005C05FA">
        <w:rPr>
          <w:rFonts w:ascii="Arial" w:hAnsi="Arial" w:cs="Arial"/>
          <w:u w:val="single"/>
        </w:rPr>
        <w:t xml:space="preserve">Ustawa </w:t>
      </w:r>
      <w:r w:rsidR="00AF1A29" w:rsidRPr="005C05FA">
        <w:rPr>
          <w:rFonts w:ascii="Arial" w:hAnsi="Arial" w:cs="Arial"/>
          <w:u w:val="single"/>
        </w:rPr>
        <w:t>z dnia 9 lipca 2025 r. zmieniająca ustawę o zmianie ustawy o rachunkowości, ustawy o biegłych rewidentach, firmach audytorskich oraz nadzorze publicznym oraz niektórych innych ustaw</w:t>
      </w:r>
      <w:r w:rsidR="00763812" w:rsidRPr="005C05FA">
        <w:rPr>
          <w:rFonts w:ascii="Arial" w:hAnsi="Arial" w:cs="Arial"/>
          <w:u w:val="single"/>
        </w:rPr>
        <w:t>.</w:t>
      </w:r>
    </w:p>
    <w:p w14:paraId="081082D3" w14:textId="77777777" w:rsidR="00AF1A29" w:rsidRPr="005C05FA" w:rsidRDefault="00AF1A29" w:rsidP="005C05FA">
      <w:pPr>
        <w:spacing w:after="0" w:line="300" w:lineRule="auto"/>
        <w:jc w:val="both"/>
        <w:rPr>
          <w:rFonts w:ascii="Arial" w:eastAsia="Times New Roman" w:hAnsi="Arial" w:cs="Arial"/>
          <w:lang w:eastAsia="pl-PL"/>
        </w:rPr>
      </w:pPr>
    </w:p>
    <w:p w14:paraId="10B530AC" w14:textId="7F77C7EF" w:rsidR="00FB7A08" w:rsidRPr="005C05FA" w:rsidRDefault="00FB7A08" w:rsidP="005C05FA">
      <w:pPr>
        <w:spacing w:after="0" w:line="300" w:lineRule="auto"/>
        <w:jc w:val="both"/>
        <w:rPr>
          <w:rFonts w:ascii="Arial" w:eastAsia="Times New Roman" w:hAnsi="Arial" w:cs="Arial"/>
          <w:lang w:eastAsia="pl-PL"/>
        </w:rPr>
      </w:pPr>
      <w:bookmarkStart w:id="0" w:name="_Hlk205452931"/>
      <w:r w:rsidRPr="005C05FA">
        <w:rPr>
          <w:rFonts w:ascii="Arial" w:eastAsia="Times New Roman" w:hAnsi="Arial" w:cs="Arial"/>
          <w:lang w:eastAsia="pl-PL"/>
        </w:rPr>
        <w:t>Powyższy akt prawny o</w:t>
      </w:r>
      <w:r w:rsidR="00AF1A29" w:rsidRPr="005C05FA">
        <w:rPr>
          <w:rFonts w:ascii="Arial" w:eastAsia="Times New Roman" w:hAnsi="Arial" w:cs="Arial"/>
          <w:lang w:eastAsia="pl-PL"/>
        </w:rPr>
        <w:t>głoszo</w:t>
      </w:r>
      <w:r w:rsidRPr="005C05FA">
        <w:rPr>
          <w:rFonts w:ascii="Arial" w:eastAsia="Times New Roman" w:hAnsi="Arial" w:cs="Arial"/>
          <w:lang w:eastAsia="pl-PL"/>
        </w:rPr>
        <w:t xml:space="preserve">ny został </w:t>
      </w:r>
      <w:r w:rsidR="00AF1A29" w:rsidRPr="005C05FA">
        <w:rPr>
          <w:rFonts w:ascii="Arial" w:eastAsia="Times New Roman" w:hAnsi="Arial" w:cs="Arial"/>
          <w:lang w:eastAsia="pl-PL"/>
        </w:rPr>
        <w:t>28 lipca</w:t>
      </w:r>
      <w:r w:rsidRPr="005C05FA">
        <w:rPr>
          <w:rFonts w:ascii="Arial" w:eastAsia="Times New Roman" w:hAnsi="Arial" w:cs="Arial"/>
          <w:lang w:eastAsia="pl-PL"/>
        </w:rPr>
        <w:t xml:space="preserve"> 20</w:t>
      </w:r>
      <w:r w:rsidR="00AF1A29" w:rsidRPr="005C05FA">
        <w:rPr>
          <w:rFonts w:ascii="Arial" w:eastAsia="Times New Roman" w:hAnsi="Arial" w:cs="Arial"/>
          <w:lang w:eastAsia="pl-PL"/>
        </w:rPr>
        <w:t>25</w:t>
      </w:r>
      <w:r w:rsidRPr="005C05FA">
        <w:rPr>
          <w:rFonts w:ascii="Arial" w:eastAsia="Times New Roman" w:hAnsi="Arial" w:cs="Arial"/>
          <w:lang w:eastAsia="pl-PL"/>
        </w:rPr>
        <w:t xml:space="preserve"> roku w Dzienniku Ustaw (Dz.U. z 202</w:t>
      </w:r>
      <w:r w:rsidR="00AF1A29" w:rsidRPr="005C05FA">
        <w:rPr>
          <w:rFonts w:ascii="Arial" w:eastAsia="Times New Roman" w:hAnsi="Arial" w:cs="Arial"/>
          <w:lang w:eastAsia="pl-PL"/>
        </w:rPr>
        <w:t>5</w:t>
      </w:r>
      <w:r w:rsidRPr="005C05FA">
        <w:rPr>
          <w:rFonts w:ascii="Arial" w:eastAsia="Times New Roman" w:hAnsi="Arial" w:cs="Arial"/>
          <w:lang w:eastAsia="pl-PL"/>
        </w:rPr>
        <w:t xml:space="preserve">, poz. </w:t>
      </w:r>
      <w:r w:rsidR="00AF1A29" w:rsidRPr="005C05FA">
        <w:rPr>
          <w:rFonts w:ascii="Arial" w:eastAsia="Times New Roman" w:hAnsi="Arial" w:cs="Arial"/>
          <w:lang w:eastAsia="pl-PL"/>
        </w:rPr>
        <w:t>1020</w:t>
      </w:r>
      <w:r w:rsidRPr="005C05FA">
        <w:rPr>
          <w:rFonts w:ascii="Arial" w:eastAsia="Times New Roman" w:hAnsi="Arial" w:cs="Arial"/>
          <w:lang w:eastAsia="pl-PL"/>
        </w:rPr>
        <w:t>).</w:t>
      </w:r>
    </w:p>
    <w:bookmarkEnd w:id="0"/>
    <w:p w14:paraId="138F2569" w14:textId="77777777" w:rsidR="00AF1A29" w:rsidRPr="005C05FA" w:rsidRDefault="00AF1A29" w:rsidP="005C05FA">
      <w:pPr>
        <w:spacing w:after="0" w:line="300" w:lineRule="auto"/>
        <w:jc w:val="both"/>
        <w:rPr>
          <w:rFonts w:ascii="Arial" w:eastAsia="Times New Roman" w:hAnsi="Arial" w:cs="Arial"/>
          <w:lang w:eastAsia="pl-PL"/>
        </w:rPr>
      </w:pPr>
    </w:p>
    <w:p w14:paraId="5B74A8AF" w14:textId="77777777" w:rsidR="00AF1A29" w:rsidRPr="005C05FA" w:rsidRDefault="00AF1A29" w:rsidP="005C05FA">
      <w:pPr>
        <w:spacing w:after="0" w:line="300" w:lineRule="auto"/>
        <w:jc w:val="both"/>
        <w:rPr>
          <w:rFonts w:ascii="Arial" w:eastAsia="Times New Roman" w:hAnsi="Arial" w:cs="Arial"/>
          <w:lang w:eastAsia="pl-PL"/>
        </w:rPr>
      </w:pPr>
      <w:r w:rsidRPr="005C05FA">
        <w:rPr>
          <w:rFonts w:ascii="Arial" w:eastAsia="Times New Roman" w:hAnsi="Arial" w:cs="Arial"/>
          <w:lang w:eastAsia="pl-PL"/>
        </w:rPr>
        <w:t>Ustawa z dnia 9 lipca 2025 r. zmieniająca ustawę o zmianie ustawy o rachunkowości, ustawy o biegłych rewidentach, firmach audytorskich oraz nadzorze publicznym oraz niektórych innych ustaw ma na celu dostosowanie przepisów krajowych do dyrektywy Parlamentu Europejskiego i Rady (UE) 2025/794 z dnia 14 kwietnia 2025 r. w sprawie zmiany dyrektywy (UE) 2022/2464 i (UE) 2024/1760 w odniesieniu do dat, od których państwa członkowskie mają stosować niektóre wymogi dotyczące sprawozdawczości przedsiębiorstw w zakresie zrównoważonego rozwoju i niektóre wymogi w zakresie należytej staranności przedsiębiorstw w zakresie zrównoważonego rozwoju (Dz. Urz. UE L 2025/794 z 16.04.2025) (tzw. CSRD).</w:t>
      </w:r>
    </w:p>
    <w:p w14:paraId="12FB9C16" w14:textId="6102C3EA" w:rsidR="00AF1A29" w:rsidRPr="005C05FA" w:rsidRDefault="00AF1A29" w:rsidP="005C05FA">
      <w:pPr>
        <w:spacing w:after="0" w:line="300" w:lineRule="auto"/>
        <w:jc w:val="both"/>
        <w:rPr>
          <w:rFonts w:ascii="Arial" w:eastAsia="Times New Roman" w:hAnsi="Arial" w:cs="Arial"/>
          <w:lang w:eastAsia="pl-PL"/>
        </w:rPr>
      </w:pPr>
      <w:r w:rsidRPr="005C05FA">
        <w:rPr>
          <w:rFonts w:ascii="Arial" w:eastAsia="Times New Roman" w:hAnsi="Arial" w:cs="Arial"/>
          <w:lang w:eastAsia="pl-PL"/>
        </w:rPr>
        <w:t xml:space="preserve">CSRD, która została wdrożona do przepisów krajowych ustawą z dnia 6 grudnia 2024 r. o zmianie ustawy o rachunkowości, ustawy o biegłych rewidentach, firmach audytorskich oraz nadzorze publicznym oraz niektórych innych ustaw (Dz.U. poz. 1863), wprowadziła obowiązek przedstawiania informacji o wpływie działalności jednostki na obszar środowiskowy, spraw społecznych, w tym praw człowieka, oraz ładu korporacyjnego, a także wpływu tych trzech </w:t>
      </w:r>
      <w:r w:rsidRPr="005C05FA">
        <w:rPr>
          <w:rFonts w:ascii="Arial" w:eastAsia="Times New Roman" w:hAnsi="Arial" w:cs="Arial"/>
          <w:lang w:eastAsia="pl-PL"/>
        </w:rPr>
        <w:lastRenderedPageBreak/>
        <w:t>obszarów na rozwój, wyniki i sytuację jednostki (tzw. sprawozdawczość zrównoważonego rozwoju lub sprawozdawczość ESG).</w:t>
      </w:r>
    </w:p>
    <w:p w14:paraId="4D2B1435" w14:textId="77777777" w:rsidR="00AF1A29" w:rsidRPr="005C05FA" w:rsidRDefault="00AF1A29" w:rsidP="005C05FA">
      <w:pPr>
        <w:spacing w:after="0" w:line="300" w:lineRule="auto"/>
        <w:jc w:val="both"/>
        <w:rPr>
          <w:rFonts w:ascii="Arial" w:eastAsia="Times New Roman" w:hAnsi="Arial" w:cs="Arial"/>
          <w:lang w:eastAsia="pl-PL"/>
        </w:rPr>
      </w:pPr>
      <w:r w:rsidRPr="005C05FA">
        <w:rPr>
          <w:rFonts w:ascii="Arial" w:eastAsia="Times New Roman" w:hAnsi="Arial" w:cs="Arial"/>
          <w:lang w:eastAsia="pl-PL"/>
        </w:rPr>
        <w:t>W ramach nadrzędnego celu zmniejszenia obciążeń dla przedsiębiorców w Unii Europejskiej oraz poprawy ich konkurencyjności, szczególnie w kontekście rosnącej presji konkurencyjnej ze strony państw spoza UE, w dniu 26 lutego 2024 r. Komisja Europejska przedstawiła pierwszy pakiet uproszczeń w obszarze zrównoważonego rozwoju, tzw. Omnibus I. Uproszczenia w zakresie CSRD zawarto w wyżej powołanej dyrektywie Parlamentu Europejskiego i Rady (UE) 2025/794 z dnia 14 kwietnia 2025 r. w sprawie zmiany dyrektywy (UE) 2022/2464 i (UE) 2024/1760 w odniesieniu do dat, od których państwa członkowskie mają stosować niektóre wymogi dotyczące sprawozdawczości przedsiębiorstw w zakresie zrównoważonego rozwoju i niektóre wymogi w zakresie należytej staranności przedsiębiorstw w zakresie zrównoważonego (dalej jako „dyrektywa 2025/794”). Państwa członkowskie mają obowiązek wdrożenia dyrektywy 2025/794 do końca 2025 r.</w:t>
      </w:r>
    </w:p>
    <w:p w14:paraId="690E0641" w14:textId="77777777" w:rsidR="00AF1A29" w:rsidRPr="005C05FA" w:rsidRDefault="00AF1A29" w:rsidP="005C05FA">
      <w:pPr>
        <w:spacing w:after="0" w:line="300" w:lineRule="auto"/>
        <w:jc w:val="both"/>
        <w:rPr>
          <w:rFonts w:ascii="Arial" w:eastAsia="Times New Roman" w:hAnsi="Arial" w:cs="Arial"/>
          <w:lang w:eastAsia="pl-PL"/>
        </w:rPr>
      </w:pPr>
      <w:r w:rsidRPr="005C05FA">
        <w:rPr>
          <w:rFonts w:ascii="Arial" w:eastAsia="Times New Roman" w:hAnsi="Arial" w:cs="Arial"/>
          <w:lang w:eastAsia="pl-PL"/>
        </w:rPr>
        <w:t>Przedłożona ustawa, zgodnie z dyrektywą 2025/794, odracza o 2 lata obowiązek raportowania informacji o zrównoważonym rozwoju dla dużych jednostek oraz dla małych i średnich jednostek będących emitentami papierów wartościowych dopuszczonych do obrotu na jednym z rynków regulowanych Europejskiego Obszaru Gospodarczego, odpowiednio do 2028 r. za rok obrotowy 2027 (tzw. druga fala) oraz do 2029 r. za rok obrotowy 2028 (tzw. trzecia fala). W związku z tym w art. 14 ust. 5 pkt 2 i 3 ustawy z dnia 6 grudnia 2024 r. o zmianie ustawy o rachunkowości, ustawy o biegłych rewidentach, firmach audytorskich oraz nadzorze publicznym oraz niektórych innych ustaw terminy „31 grudnia 2024 r.” i „31 grudnia 2025 r.” zmieniane są przez nowelizację odpowiednio na „31 grudnia 2026 r.” i „31 grudnia 2027 r.”.</w:t>
      </w:r>
    </w:p>
    <w:p w14:paraId="736BC77B" w14:textId="77777777" w:rsidR="00763812" w:rsidRPr="005C05FA" w:rsidRDefault="00AF1A29" w:rsidP="005C05FA">
      <w:pPr>
        <w:spacing w:after="0" w:line="300" w:lineRule="auto"/>
        <w:jc w:val="both"/>
        <w:rPr>
          <w:rFonts w:ascii="Arial" w:eastAsia="Times New Roman" w:hAnsi="Arial" w:cs="Arial"/>
          <w:lang w:eastAsia="pl-PL"/>
        </w:rPr>
      </w:pPr>
      <w:r w:rsidRPr="005C05FA">
        <w:rPr>
          <w:rFonts w:ascii="Arial" w:eastAsia="Times New Roman" w:hAnsi="Arial" w:cs="Arial"/>
          <w:lang w:eastAsia="pl-PL"/>
        </w:rPr>
        <w:t>Z uwagi na wprowadzone przez dyrektywę 2025/794 dwuletnie odroczenie pierwszego raportowania trzecia fala jednostek będzie miała obowiązek zaraportować po raz pierwszy za rok 2028. W konsekwencji przewidziana dla tej grupy jednostek (w obecnym art. 14 ust. 6 ustawy z dnia 6 grudnia 2024 r.) możliwość dwuletniego odroczenia raportowania traci rację bytu, a nowelizacja przewiduje uchylenie tego przepisu.</w:t>
      </w:r>
    </w:p>
    <w:p w14:paraId="0A0601C4" w14:textId="77777777" w:rsidR="00763812" w:rsidRPr="005C05FA" w:rsidRDefault="00763812" w:rsidP="005C05FA">
      <w:pPr>
        <w:spacing w:after="0" w:line="300" w:lineRule="auto"/>
        <w:jc w:val="both"/>
        <w:rPr>
          <w:rFonts w:ascii="Arial" w:eastAsia="Times New Roman" w:hAnsi="Arial" w:cs="Arial"/>
          <w:lang w:eastAsia="pl-PL"/>
        </w:rPr>
      </w:pPr>
    </w:p>
    <w:p w14:paraId="51094A89" w14:textId="022CC173" w:rsidR="00AF1A29" w:rsidRPr="005C05FA" w:rsidRDefault="00AF1A29" w:rsidP="005C05FA">
      <w:pPr>
        <w:spacing w:after="0" w:line="300" w:lineRule="auto"/>
        <w:jc w:val="both"/>
        <w:rPr>
          <w:rStyle w:val="markedcontent"/>
          <w:rFonts w:ascii="Arial" w:hAnsi="Arial" w:cs="Arial"/>
        </w:rPr>
      </w:pPr>
      <w:r w:rsidRPr="005C05FA">
        <w:rPr>
          <w:rFonts w:ascii="Arial" w:eastAsia="Times New Roman" w:hAnsi="Arial" w:cs="Arial"/>
          <w:lang w:eastAsia="pl-PL"/>
        </w:rPr>
        <w:t>Ustawa wchodzi w życie po upływie 14 dni od dnia ogłoszenia</w:t>
      </w:r>
    </w:p>
    <w:p w14:paraId="289A1F45" w14:textId="77777777" w:rsidR="00FB7A08" w:rsidRPr="005C05FA" w:rsidRDefault="00FB7A08" w:rsidP="005C05FA">
      <w:pPr>
        <w:pStyle w:val="Akapitzlist"/>
        <w:spacing w:after="0" w:line="300" w:lineRule="auto"/>
        <w:ind w:left="426"/>
        <w:jc w:val="both"/>
        <w:rPr>
          <w:rStyle w:val="markedcontent"/>
          <w:rFonts w:ascii="Arial" w:eastAsia="Times New Roman" w:hAnsi="Arial" w:cs="Arial"/>
          <w:u w:val="single"/>
          <w:lang w:eastAsia="pl-PL"/>
        </w:rPr>
      </w:pPr>
    </w:p>
    <w:p w14:paraId="3BAE6FB6" w14:textId="02BF1A80" w:rsidR="00FB7A08" w:rsidRPr="005C05FA" w:rsidRDefault="00763812" w:rsidP="005C05FA">
      <w:pPr>
        <w:pStyle w:val="Akapitzlist"/>
        <w:numPr>
          <w:ilvl w:val="0"/>
          <w:numId w:val="2"/>
        </w:numPr>
        <w:spacing w:after="0" w:line="300" w:lineRule="auto"/>
        <w:ind w:left="426" w:hanging="426"/>
        <w:jc w:val="both"/>
        <w:rPr>
          <w:rStyle w:val="markedcontent"/>
          <w:rFonts w:ascii="Arial" w:eastAsia="Times New Roman" w:hAnsi="Arial" w:cs="Arial"/>
          <w:u w:val="single"/>
          <w:lang w:eastAsia="pl-PL"/>
        </w:rPr>
      </w:pPr>
      <w:r w:rsidRPr="005C05FA">
        <w:rPr>
          <w:rStyle w:val="markedcontent"/>
          <w:rFonts w:ascii="Arial" w:eastAsia="Times New Roman" w:hAnsi="Arial" w:cs="Arial"/>
          <w:u w:val="single"/>
          <w:lang w:eastAsia="pl-PL"/>
        </w:rPr>
        <w:t>Ustawa z dnia 25 czerwca 2025 r. o zmianie ustawy o podatku dochodowym od osób fizycznych oraz ustawy o podatku dochodowym od osób prawnych</w:t>
      </w:r>
      <w:r w:rsidRPr="005C05FA">
        <w:rPr>
          <w:rStyle w:val="markedcontent"/>
          <w:rFonts w:ascii="Arial" w:eastAsia="Times New Roman" w:hAnsi="Arial" w:cs="Arial"/>
          <w:u w:val="single"/>
          <w:lang w:eastAsia="pl-PL"/>
        </w:rPr>
        <w:t>.</w:t>
      </w:r>
    </w:p>
    <w:p w14:paraId="5476E462" w14:textId="77777777" w:rsidR="00763812" w:rsidRPr="005C05FA" w:rsidRDefault="00763812" w:rsidP="005C05FA">
      <w:pPr>
        <w:spacing w:after="0" w:line="300" w:lineRule="auto"/>
        <w:jc w:val="both"/>
        <w:rPr>
          <w:rStyle w:val="markedcontent"/>
          <w:rFonts w:ascii="Arial" w:eastAsia="Times New Roman" w:hAnsi="Arial" w:cs="Arial"/>
          <w:lang w:eastAsia="pl-PL"/>
        </w:rPr>
      </w:pPr>
    </w:p>
    <w:p w14:paraId="19A251B3" w14:textId="59D302F8" w:rsidR="00763812" w:rsidRPr="005C05FA" w:rsidRDefault="00763812" w:rsidP="005C05FA">
      <w:pPr>
        <w:spacing w:after="0" w:line="300" w:lineRule="auto"/>
        <w:jc w:val="both"/>
        <w:rPr>
          <w:rStyle w:val="markedcontent"/>
          <w:rFonts w:ascii="Arial" w:eastAsia="Times New Roman" w:hAnsi="Arial" w:cs="Arial"/>
          <w:lang w:eastAsia="pl-PL"/>
        </w:rPr>
      </w:pPr>
      <w:bookmarkStart w:id="1" w:name="_Hlk205453983"/>
      <w:r w:rsidRPr="005C05FA">
        <w:rPr>
          <w:rStyle w:val="markedcontent"/>
          <w:rFonts w:ascii="Arial" w:eastAsia="Times New Roman" w:hAnsi="Arial" w:cs="Arial"/>
          <w:lang w:eastAsia="pl-PL"/>
        </w:rPr>
        <w:t>Powyższy akt prawny ogłoszony został 28 lipca 2025 roku w Dzienniku Ustaw (Dz.U. z 2025, poz. 102</w:t>
      </w:r>
      <w:r w:rsidRPr="005C05FA">
        <w:rPr>
          <w:rStyle w:val="markedcontent"/>
          <w:rFonts w:ascii="Arial" w:eastAsia="Times New Roman" w:hAnsi="Arial" w:cs="Arial"/>
          <w:lang w:eastAsia="pl-PL"/>
        </w:rPr>
        <w:t>2</w:t>
      </w:r>
      <w:r w:rsidRPr="005C05FA">
        <w:rPr>
          <w:rStyle w:val="markedcontent"/>
          <w:rFonts w:ascii="Arial" w:eastAsia="Times New Roman" w:hAnsi="Arial" w:cs="Arial"/>
          <w:lang w:eastAsia="pl-PL"/>
        </w:rPr>
        <w:t>).</w:t>
      </w:r>
    </w:p>
    <w:bookmarkEnd w:id="1"/>
    <w:p w14:paraId="3B36F231" w14:textId="77777777" w:rsidR="00763812" w:rsidRPr="005C05FA" w:rsidRDefault="00763812" w:rsidP="005C05FA">
      <w:pPr>
        <w:spacing w:after="0" w:line="300" w:lineRule="auto"/>
        <w:jc w:val="both"/>
        <w:rPr>
          <w:rStyle w:val="markedcontent"/>
          <w:rFonts w:ascii="Arial" w:eastAsia="Times New Roman" w:hAnsi="Arial" w:cs="Arial"/>
          <w:lang w:eastAsia="pl-PL"/>
        </w:rPr>
      </w:pPr>
    </w:p>
    <w:p w14:paraId="014B199A" w14:textId="77777777" w:rsidR="00763812" w:rsidRPr="005C05FA" w:rsidRDefault="00763812" w:rsidP="005C05FA">
      <w:pPr>
        <w:spacing w:after="0" w:line="300" w:lineRule="auto"/>
        <w:jc w:val="both"/>
        <w:rPr>
          <w:rStyle w:val="markedcontent"/>
          <w:rFonts w:ascii="Arial" w:eastAsia="Times New Roman" w:hAnsi="Arial" w:cs="Arial"/>
          <w:lang w:eastAsia="pl-PL"/>
        </w:rPr>
      </w:pPr>
      <w:r w:rsidRPr="005C05FA">
        <w:rPr>
          <w:rStyle w:val="markedcontent"/>
          <w:rFonts w:ascii="Arial" w:eastAsia="Times New Roman" w:hAnsi="Arial" w:cs="Arial"/>
          <w:lang w:eastAsia="pl-PL"/>
        </w:rPr>
        <w:t>Ustawa wprowadza zmiany w ustawie z dnia 26 lipca 1991 r. o podatku dochodowym od osób fizycznych (Dz. U. z 2025 r. poz. 163, 340, 368, 620 i 680) oraz w ustawie z dnia 15 lutego 1992 r. o podatku dochodowym od osób prawnych (Dz. U. z 2025 r. poz. 278, 340 i 620).</w:t>
      </w:r>
    </w:p>
    <w:p w14:paraId="654B134D" w14:textId="77777777" w:rsidR="00763812" w:rsidRPr="005C05FA" w:rsidRDefault="00763812" w:rsidP="005C05FA">
      <w:pPr>
        <w:spacing w:after="0" w:line="300" w:lineRule="auto"/>
        <w:jc w:val="both"/>
        <w:rPr>
          <w:rStyle w:val="markedcontent"/>
          <w:rFonts w:ascii="Arial" w:eastAsia="Times New Roman" w:hAnsi="Arial" w:cs="Arial"/>
          <w:lang w:eastAsia="pl-PL"/>
        </w:rPr>
      </w:pPr>
      <w:r w:rsidRPr="005C05FA">
        <w:rPr>
          <w:rStyle w:val="markedcontent"/>
          <w:rFonts w:ascii="Arial" w:eastAsia="Times New Roman" w:hAnsi="Arial" w:cs="Arial"/>
          <w:lang w:eastAsia="pl-PL"/>
        </w:rPr>
        <w:t xml:space="preserve">Pierwsza grupa zmian dotyczy konsekwencji podatkowych uchylenia decyzji o wsparciu lub cofnięcia zezwolenia przedsiębiorcom realizującym nową inwestycję w Polskiej Strefie Inwestycji lub przedsiębiorcom prowadzącym działalność gospodarczą w specjalnych strefach ekonomicznych zgodnie z ustawą z dnia 10 maja 2018 r. o wspieraniu nowych inwestycji (Dz. U. z 2025 r. poz. 469). Nowelizacja wprowadza regulację, w myśl której w przypadku cofnięcia </w:t>
      </w:r>
      <w:r w:rsidRPr="005C05FA">
        <w:rPr>
          <w:rStyle w:val="markedcontent"/>
          <w:rFonts w:ascii="Arial" w:eastAsia="Times New Roman" w:hAnsi="Arial" w:cs="Arial"/>
          <w:lang w:eastAsia="pl-PL"/>
        </w:rPr>
        <w:lastRenderedPageBreak/>
        <w:t xml:space="preserve">zezwolenia na prowadzenie działalności gospodarczej na terenie danej specjalnej strefy ekonomicznej uprawniającego do korzystania z pomocy publicznej albo uchylenia decyzji o wsparciu przedsiębiorcy realizującego nową inwestycję w rozumieniu ustawy o wspieraniu nowych inwestycji, podatnik traci prawo do zwolnienia z PIT lub CIT i jest obowiązany do zapłaty podatku należnego od dochodu wynikającego z cofniętego zezwolenia albo z uchylonej decyzji o wsparciu. Należną kwotę stanowi podatek niezapłacony od dochodu osiągniętego z działalności gospodarczej określonej w cofniętym zezwoleniu albo w uchylonej decyzji o wsparciu jeżeli podatnik korzystał z pomocy publicznej udzielonej w formie zwolnienia: </w:t>
      </w:r>
    </w:p>
    <w:p w14:paraId="33CCBE12" w14:textId="54B0037D" w:rsidR="00763812" w:rsidRPr="005C05FA" w:rsidRDefault="00763812" w:rsidP="005C05FA">
      <w:pPr>
        <w:spacing w:after="0" w:line="300" w:lineRule="auto"/>
        <w:jc w:val="both"/>
        <w:rPr>
          <w:rStyle w:val="markedcontent"/>
          <w:rFonts w:ascii="Arial" w:eastAsia="Times New Roman" w:hAnsi="Arial" w:cs="Arial"/>
          <w:lang w:eastAsia="pl-PL"/>
        </w:rPr>
      </w:pPr>
      <w:r w:rsidRPr="005C05FA">
        <w:rPr>
          <w:rStyle w:val="markedcontent"/>
          <w:rFonts w:ascii="Arial" w:eastAsia="Times New Roman" w:hAnsi="Arial" w:cs="Arial"/>
          <w:lang w:eastAsia="pl-PL"/>
        </w:rPr>
        <w:t>a) wyłącznie w ramach jednego zezwolenia albo wyłącznie w ramach jednej decyzji o wsparciu, albo</w:t>
      </w:r>
    </w:p>
    <w:p w14:paraId="51FA51B9" w14:textId="77777777" w:rsidR="00763812" w:rsidRPr="005C05FA" w:rsidRDefault="00763812" w:rsidP="005C05FA">
      <w:pPr>
        <w:spacing w:after="0" w:line="300" w:lineRule="auto"/>
        <w:jc w:val="both"/>
        <w:rPr>
          <w:rStyle w:val="markedcontent"/>
          <w:rFonts w:ascii="Arial" w:eastAsia="Times New Roman" w:hAnsi="Arial" w:cs="Arial"/>
          <w:lang w:eastAsia="pl-PL"/>
        </w:rPr>
      </w:pPr>
      <w:r w:rsidRPr="005C05FA">
        <w:rPr>
          <w:rStyle w:val="markedcontent"/>
          <w:rFonts w:ascii="Arial" w:eastAsia="Times New Roman" w:hAnsi="Arial" w:cs="Arial"/>
          <w:lang w:eastAsia="pl-PL"/>
        </w:rPr>
        <w:t>b) w ramach więcej niż jednego zezwolenia lub w ramach więcej niż jednej decyzji o wsparciu albo w ramach zezwolenia lub zezwoleń i decyzji o wsparciu i jednocześnie podatnik ten prowadził odpowiednio księgę rachunkową albo ewidencję podatkową w sposób zapewniający określenie dochodu z działalności określonej w cofniętym zezwoleniu albo w uchylonej decyzji o wsparciu oraz kwoty podatku niezapłaconego od tego dochodu.</w:t>
      </w:r>
    </w:p>
    <w:p w14:paraId="3714DCB8" w14:textId="77777777" w:rsidR="00763812" w:rsidRPr="005C05FA" w:rsidRDefault="00763812" w:rsidP="005C05FA">
      <w:pPr>
        <w:spacing w:after="0" w:line="300" w:lineRule="auto"/>
        <w:jc w:val="both"/>
        <w:rPr>
          <w:rStyle w:val="markedcontent"/>
          <w:rFonts w:ascii="Arial" w:eastAsia="Times New Roman" w:hAnsi="Arial" w:cs="Arial"/>
          <w:lang w:eastAsia="pl-PL"/>
        </w:rPr>
      </w:pPr>
      <w:r w:rsidRPr="005C05FA">
        <w:rPr>
          <w:rStyle w:val="markedcontent"/>
          <w:rFonts w:ascii="Arial" w:eastAsia="Times New Roman" w:hAnsi="Arial" w:cs="Arial"/>
          <w:lang w:eastAsia="pl-PL"/>
        </w:rPr>
        <w:t>Istotą drugiej zmiany jest zniesienie obowiązku składania corocznej informacji o wspólnikach spółki jawnej, w sytuacji gdy skład wspólników w takiej spółce nie uległ zmianie.</w:t>
      </w:r>
    </w:p>
    <w:p w14:paraId="32EC18B4" w14:textId="4B0209C8" w:rsidR="00763812" w:rsidRPr="005C05FA" w:rsidRDefault="00763812" w:rsidP="005C05FA">
      <w:pPr>
        <w:spacing w:after="0" w:line="300" w:lineRule="auto"/>
        <w:jc w:val="both"/>
        <w:rPr>
          <w:rStyle w:val="markedcontent"/>
          <w:rFonts w:ascii="Arial" w:eastAsia="Times New Roman" w:hAnsi="Arial" w:cs="Arial"/>
          <w:lang w:eastAsia="pl-PL"/>
        </w:rPr>
      </w:pPr>
      <w:r w:rsidRPr="005C05FA">
        <w:rPr>
          <w:rStyle w:val="markedcontent"/>
          <w:rFonts w:ascii="Arial" w:eastAsia="Times New Roman" w:hAnsi="Arial" w:cs="Arial"/>
          <w:lang w:eastAsia="pl-PL"/>
        </w:rPr>
        <w:t>Trzecia zmiana polega na zniesieniu sankcji utraty przez podatkową grupę kapitałową statusu podatnika CIT w przypadku dokonywania transakcji kontrolowanych z podmiotami powiązanymi spoza grupy na warunkach nierynkowych.</w:t>
      </w:r>
    </w:p>
    <w:p w14:paraId="135DA374" w14:textId="77777777" w:rsidR="00763812" w:rsidRPr="005C05FA" w:rsidRDefault="00763812" w:rsidP="005C05FA">
      <w:pPr>
        <w:spacing w:after="0" w:line="300" w:lineRule="auto"/>
        <w:jc w:val="both"/>
        <w:rPr>
          <w:rStyle w:val="markedcontent"/>
          <w:rFonts w:ascii="Arial" w:eastAsia="Times New Roman" w:hAnsi="Arial" w:cs="Arial"/>
          <w:lang w:eastAsia="pl-PL"/>
        </w:rPr>
      </w:pPr>
    </w:p>
    <w:p w14:paraId="375E7B34" w14:textId="47AE9691" w:rsidR="00763812" w:rsidRPr="005C05FA" w:rsidRDefault="00763812" w:rsidP="005C05FA">
      <w:pPr>
        <w:spacing w:after="0" w:line="300" w:lineRule="auto"/>
        <w:jc w:val="both"/>
        <w:rPr>
          <w:rStyle w:val="markedcontent"/>
          <w:rFonts w:ascii="Arial" w:eastAsia="Times New Roman" w:hAnsi="Arial" w:cs="Arial"/>
          <w:lang w:eastAsia="pl-PL"/>
        </w:rPr>
      </w:pPr>
      <w:r w:rsidRPr="005C05FA">
        <w:rPr>
          <w:rStyle w:val="markedcontent"/>
          <w:rFonts w:ascii="Arial" w:eastAsia="Times New Roman" w:hAnsi="Arial" w:cs="Arial"/>
          <w:lang w:eastAsia="pl-PL"/>
        </w:rPr>
        <w:t>Ustawa wchodzi w życie z dniem 1 stycznia 2026 r</w:t>
      </w:r>
      <w:r w:rsidRPr="005C05FA">
        <w:rPr>
          <w:rStyle w:val="markedcontent"/>
          <w:rFonts w:ascii="Arial" w:eastAsia="Times New Roman" w:hAnsi="Arial" w:cs="Arial"/>
          <w:lang w:eastAsia="pl-PL"/>
        </w:rPr>
        <w:t>oku</w:t>
      </w:r>
      <w:r w:rsidRPr="005C05FA">
        <w:rPr>
          <w:rStyle w:val="markedcontent"/>
          <w:rFonts w:ascii="Arial" w:eastAsia="Times New Roman" w:hAnsi="Arial" w:cs="Arial"/>
          <w:lang w:eastAsia="pl-PL"/>
        </w:rPr>
        <w:t xml:space="preserve">. </w:t>
      </w:r>
    </w:p>
    <w:p w14:paraId="7DD922D0" w14:textId="77777777" w:rsidR="00763812" w:rsidRPr="005C05FA" w:rsidRDefault="00763812" w:rsidP="005C05FA">
      <w:pPr>
        <w:spacing w:after="0" w:line="300" w:lineRule="auto"/>
        <w:jc w:val="both"/>
        <w:rPr>
          <w:rStyle w:val="markedcontent"/>
          <w:rFonts w:ascii="Arial" w:eastAsia="Times New Roman" w:hAnsi="Arial" w:cs="Arial"/>
          <w:lang w:eastAsia="pl-PL"/>
        </w:rPr>
      </w:pPr>
    </w:p>
    <w:p w14:paraId="0F853A40" w14:textId="6E8DDCC6" w:rsidR="00763812" w:rsidRPr="005C05FA" w:rsidRDefault="00052AD2" w:rsidP="005C05FA">
      <w:pPr>
        <w:pStyle w:val="Akapitzlist"/>
        <w:numPr>
          <w:ilvl w:val="0"/>
          <w:numId w:val="2"/>
        </w:numPr>
        <w:spacing w:after="0" w:line="300" w:lineRule="auto"/>
        <w:ind w:left="426" w:hanging="426"/>
        <w:jc w:val="both"/>
        <w:rPr>
          <w:rStyle w:val="markedcontent"/>
          <w:rFonts w:ascii="Arial" w:eastAsia="Times New Roman" w:hAnsi="Arial" w:cs="Arial"/>
          <w:u w:val="single"/>
          <w:lang w:eastAsia="pl-PL"/>
        </w:rPr>
      </w:pPr>
      <w:r w:rsidRPr="005C05FA">
        <w:rPr>
          <w:rStyle w:val="markedcontent"/>
          <w:rFonts w:ascii="Arial" w:eastAsia="Times New Roman" w:hAnsi="Arial" w:cs="Arial"/>
          <w:u w:val="single"/>
          <w:lang w:eastAsia="pl-PL"/>
        </w:rPr>
        <w:t>Ustawa z dnia 25 czerwca 2025 r. o zmianie ustawy – Prawo geologiczne i górnicze</w:t>
      </w:r>
      <w:r w:rsidRPr="005C05FA">
        <w:rPr>
          <w:rStyle w:val="markedcontent"/>
          <w:rFonts w:ascii="Arial" w:eastAsia="Times New Roman" w:hAnsi="Arial" w:cs="Arial"/>
          <w:u w:val="single"/>
          <w:lang w:eastAsia="pl-PL"/>
        </w:rPr>
        <w:t>.</w:t>
      </w:r>
    </w:p>
    <w:p w14:paraId="5FBD8BF9" w14:textId="77777777" w:rsidR="00052AD2" w:rsidRPr="005C05FA" w:rsidRDefault="00052AD2" w:rsidP="005C05FA">
      <w:pPr>
        <w:spacing w:after="0" w:line="300" w:lineRule="auto"/>
        <w:jc w:val="both"/>
        <w:rPr>
          <w:rStyle w:val="markedcontent"/>
          <w:rFonts w:ascii="Arial" w:eastAsia="Times New Roman" w:hAnsi="Arial" w:cs="Arial"/>
          <w:lang w:eastAsia="pl-PL"/>
        </w:rPr>
      </w:pPr>
    </w:p>
    <w:p w14:paraId="6493DAB6" w14:textId="78EE6471" w:rsidR="00052AD2" w:rsidRPr="005C05FA" w:rsidRDefault="00052AD2" w:rsidP="005C05FA">
      <w:pPr>
        <w:spacing w:after="0" w:line="300" w:lineRule="auto"/>
        <w:jc w:val="both"/>
        <w:rPr>
          <w:rStyle w:val="markedcontent"/>
          <w:rFonts w:ascii="Arial" w:eastAsia="Times New Roman" w:hAnsi="Arial" w:cs="Arial"/>
          <w:lang w:eastAsia="pl-PL"/>
        </w:rPr>
      </w:pPr>
      <w:r w:rsidRPr="005C05FA">
        <w:rPr>
          <w:rStyle w:val="markedcontent"/>
          <w:rFonts w:ascii="Arial" w:eastAsia="Times New Roman" w:hAnsi="Arial" w:cs="Arial"/>
          <w:lang w:eastAsia="pl-PL"/>
        </w:rPr>
        <w:t>Powyższy akt prawny ogłoszony został 28 lipca 2025 roku w Dzienniku Ustaw (Dz.U. z 2025, poz. 102</w:t>
      </w:r>
      <w:r w:rsidRPr="005C05FA">
        <w:rPr>
          <w:rStyle w:val="markedcontent"/>
          <w:rFonts w:ascii="Arial" w:eastAsia="Times New Roman" w:hAnsi="Arial" w:cs="Arial"/>
          <w:lang w:eastAsia="pl-PL"/>
        </w:rPr>
        <w:t>3</w:t>
      </w:r>
      <w:r w:rsidRPr="005C05FA">
        <w:rPr>
          <w:rStyle w:val="markedcontent"/>
          <w:rFonts w:ascii="Arial" w:eastAsia="Times New Roman" w:hAnsi="Arial" w:cs="Arial"/>
          <w:lang w:eastAsia="pl-PL"/>
        </w:rPr>
        <w:t>).</w:t>
      </w:r>
    </w:p>
    <w:p w14:paraId="64A0B9FD" w14:textId="77777777" w:rsidR="00052AD2" w:rsidRPr="005C05FA" w:rsidRDefault="00052AD2" w:rsidP="005C05FA">
      <w:pPr>
        <w:spacing w:after="0" w:line="300" w:lineRule="auto"/>
        <w:jc w:val="both"/>
        <w:rPr>
          <w:rStyle w:val="markedcontent"/>
          <w:rFonts w:ascii="Arial" w:eastAsia="Times New Roman" w:hAnsi="Arial" w:cs="Arial"/>
          <w:lang w:eastAsia="pl-PL"/>
        </w:rPr>
      </w:pPr>
    </w:p>
    <w:p w14:paraId="3D594106" w14:textId="77777777" w:rsidR="00387ED4" w:rsidRPr="005C05FA" w:rsidRDefault="00387ED4" w:rsidP="005C05FA">
      <w:pPr>
        <w:spacing w:after="0" w:line="300" w:lineRule="auto"/>
        <w:jc w:val="both"/>
        <w:rPr>
          <w:rStyle w:val="markedcontent"/>
          <w:rFonts w:ascii="Arial" w:eastAsia="Times New Roman" w:hAnsi="Arial" w:cs="Arial"/>
          <w:lang w:eastAsia="pl-PL"/>
        </w:rPr>
      </w:pPr>
      <w:r w:rsidRPr="005C05FA">
        <w:rPr>
          <w:rStyle w:val="markedcontent"/>
          <w:rFonts w:ascii="Arial" w:eastAsia="Times New Roman" w:hAnsi="Arial" w:cs="Arial"/>
          <w:lang w:eastAsia="pl-PL"/>
        </w:rPr>
        <w:t>Uchwalona nowelizacja polega na wskazaniu w art. 165 ust. 1a ustawy – Prawo geologiczne i górnicze, że Prezes Wyższego Urzędu Górniczego jest również właściwym organem odpowiedzialnym za monitorowanie i egzekwowanie stosowania rozporządzenia Parlamentu Europejskiego i  Rady (UE) 2024/1787 z dnia 13 czerwca 2024 r. w sprawie redukcji emisji metanu w sektorze energetycznym oraz zmieniającego rozporządzenie (UE) 2019/942 (Dz. Urz. UE L 2024/1787 z 15.07.2024), zwanego dalej „rozporządzeniem metanowym”. Rozporządzenie to weszło w życie dniem 4 sierpnia 2024 r</w:t>
      </w:r>
      <w:r w:rsidRPr="005C05FA">
        <w:rPr>
          <w:rStyle w:val="markedcontent"/>
          <w:rFonts w:ascii="Arial" w:eastAsia="Times New Roman" w:hAnsi="Arial" w:cs="Arial"/>
          <w:lang w:eastAsia="pl-PL"/>
        </w:rPr>
        <w:t>oku</w:t>
      </w:r>
      <w:r w:rsidRPr="005C05FA">
        <w:rPr>
          <w:rStyle w:val="markedcontent"/>
          <w:rFonts w:ascii="Arial" w:eastAsia="Times New Roman" w:hAnsi="Arial" w:cs="Arial"/>
          <w:lang w:eastAsia="pl-PL"/>
        </w:rPr>
        <w:t>.</w:t>
      </w:r>
    </w:p>
    <w:p w14:paraId="1DB69372" w14:textId="77777777" w:rsidR="00387ED4" w:rsidRPr="005C05FA" w:rsidRDefault="00387ED4" w:rsidP="005C05FA">
      <w:pPr>
        <w:spacing w:after="0" w:line="300" w:lineRule="auto"/>
        <w:jc w:val="both"/>
        <w:rPr>
          <w:rStyle w:val="markedcontent"/>
          <w:rFonts w:ascii="Arial" w:eastAsia="Times New Roman" w:hAnsi="Arial" w:cs="Arial"/>
          <w:lang w:eastAsia="pl-PL"/>
        </w:rPr>
      </w:pPr>
      <w:r w:rsidRPr="005C05FA">
        <w:rPr>
          <w:rStyle w:val="markedcontent"/>
          <w:rFonts w:ascii="Arial" w:eastAsia="Times New Roman" w:hAnsi="Arial" w:cs="Arial"/>
          <w:lang w:eastAsia="pl-PL"/>
        </w:rPr>
        <w:t>W rozporządzeniu tym są ujęte przepisy dotyczące m.in. dokładności pomiarów, kwantyfikacji, monitorowania, raportowania i weryfikacji emisji metanu w sektorze energetycznym w Unii Europejskiej, jak również przepisy dotyczące redukcji tych emisji, w tym przez prowadzenie badań mających na celu wykrywanie wycieków i naprawę, obowiązki dotyczące przeprowadzania napraw oraz ograniczenia dotyczące uwalniania do atmosfery i spalania gazu (metanu) w pochodni. W rozporządzeniu są zawarte również przepisy dotyczące narzędzi, które mają zapewnić przejrzystość w odniesieniu do emisji metanu (art. 1 ust. 1 rozporządzenia metanowego).</w:t>
      </w:r>
    </w:p>
    <w:p w14:paraId="74DE1467" w14:textId="77777777" w:rsidR="00387ED4" w:rsidRPr="005C05FA" w:rsidRDefault="00387ED4" w:rsidP="005C05FA">
      <w:pPr>
        <w:spacing w:after="0" w:line="300" w:lineRule="auto"/>
        <w:jc w:val="both"/>
        <w:rPr>
          <w:rStyle w:val="markedcontent"/>
          <w:rFonts w:ascii="Arial" w:eastAsia="Times New Roman" w:hAnsi="Arial" w:cs="Arial"/>
          <w:lang w:eastAsia="pl-PL"/>
        </w:rPr>
      </w:pPr>
      <w:r w:rsidRPr="005C05FA">
        <w:rPr>
          <w:rStyle w:val="markedcontent"/>
          <w:rFonts w:ascii="Arial" w:eastAsia="Times New Roman" w:hAnsi="Arial" w:cs="Arial"/>
          <w:lang w:eastAsia="pl-PL"/>
        </w:rPr>
        <w:lastRenderedPageBreak/>
        <w:t>Zgodnie z art. 1 ust. 2 rozporządzenia metanowego ma ono zastosowanie do:</w:t>
      </w:r>
    </w:p>
    <w:p w14:paraId="251E2529" w14:textId="31EAC8E4" w:rsidR="00387ED4" w:rsidRPr="005C05FA" w:rsidRDefault="00387ED4" w:rsidP="005C05FA">
      <w:pPr>
        <w:pStyle w:val="Akapitzlist"/>
        <w:numPr>
          <w:ilvl w:val="1"/>
          <w:numId w:val="13"/>
        </w:numPr>
        <w:spacing w:after="0" w:line="300" w:lineRule="auto"/>
        <w:ind w:left="709" w:hanging="425"/>
        <w:jc w:val="both"/>
        <w:rPr>
          <w:rStyle w:val="markedcontent"/>
          <w:rFonts w:ascii="Arial" w:eastAsia="Times New Roman" w:hAnsi="Arial" w:cs="Arial"/>
          <w:lang w:eastAsia="pl-PL"/>
        </w:rPr>
      </w:pPr>
      <w:r w:rsidRPr="005C05FA">
        <w:rPr>
          <w:rStyle w:val="markedcontent"/>
          <w:rFonts w:ascii="Arial" w:eastAsia="Times New Roman" w:hAnsi="Arial" w:cs="Arial"/>
          <w:lang w:eastAsia="pl-PL"/>
        </w:rPr>
        <w:t>poszukiwania i produkcji ropy naftowej i gazu ziemnego oraz do gromadzenia i przetwarzania gazu ziemnego;</w:t>
      </w:r>
    </w:p>
    <w:p w14:paraId="576669B0" w14:textId="0FED7EB8" w:rsidR="00387ED4" w:rsidRPr="005C05FA" w:rsidRDefault="00387ED4" w:rsidP="005C05FA">
      <w:pPr>
        <w:pStyle w:val="Akapitzlist"/>
        <w:numPr>
          <w:ilvl w:val="1"/>
          <w:numId w:val="13"/>
        </w:numPr>
        <w:spacing w:after="0" w:line="300" w:lineRule="auto"/>
        <w:ind w:left="709" w:hanging="425"/>
        <w:jc w:val="both"/>
        <w:rPr>
          <w:rStyle w:val="markedcontent"/>
          <w:rFonts w:ascii="Arial" w:eastAsia="Times New Roman" w:hAnsi="Arial" w:cs="Arial"/>
          <w:lang w:eastAsia="pl-PL"/>
        </w:rPr>
      </w:pPr>
      <w:r w:rsidRPr="005C05FA">
        <w:rPr>
          <w:rStyle w:val="markedcontent"/>
          <w:rFonts w:ascii="Arial" w:eastAsia="Times New Roman" w:hAnsi="Arial" w:cs="Arial"/>
          <w:lang w:eastAsia="pl-PL"/>
        </w:rPr>
        <w:t>odwiertów nieczynnych, odwiertów tymczasowo zaczopowanych oraz odwiertów permanentnie zaczopowanych i opuszczonych;</w:t>
      </w:r>
    </w:p>
    <w:p w14:paraId="6D9C942A" w14:textId="76BCB5FA" w:rsidR="00387ED4" w:rsidRPr="005C05FA" w:rsidRDefault="00387ED4" w:rsidP="005C05FA">
      <w:pPr>
        <w:pStyle w:val="Akapitzlist"/>
        <w:numPr>
          <w:ilvl w:val="1"/>
          <w:numId w:val="13"/>
        </w:numPr>
        <w:spacing w:after="0" w:line="300" w:lineRule="auto"/>
        <w:ind w:left="709" w:hanging="425"/>
        <w:jc w:val="both"/>
        <w:rPr>
          <w:rStyle w:val="markedcontent"/>
          <w:rFonts w:ascii="Arial" w:eastAsia="Times New Roman" w:hAnsi="Arial" w:cs="Arial"/>
          <w:lang w:eastAsia="pl-PL"/>
        </w:rPr>
      </w:pPr>
      <w:proofErr w:type="spellStart"/>
      <w:r w:rsidRPr="005C05FA">
        <w:rPr>
          <w:rStyle w:val="markedcontent"/>
          <w:rFonts w:ascii="Arial" w:eastAsia="Times New Roman" w:hAnsi="Arial" w:cs="Arial"/>
          <w:lang w:eastAsia="pl-PL"/>
        </w:rPr>
        <w:t>przesyłu</w:t>
      </w:r>
      <w:proofErr w:type="spellEnd"/>
      <w:r w:rsidRPr="005C05FA">
        <w:rPr>
          <w:rStyle w:val="markedcontent"/>
          <w:rFonts w:ascii="Arial" w:eastAsia="Times New Roman" w:hAnsi="Arial" w:cs="Arial"/>
          <w:lang w:eastAsia="pl-PL"/>
        </w:rPr>
        <w:t xml:space="preserve"> i dystrybucji gazu ziemnego, z wyłączeniem systemów pomiarowych w punktach zużycia końcowego oraz części przyłączy między siecią dystrybucyjną a systemem pomiarowym zlokalizowanych na terenach należących do odbiorców końcowych, a także podziemnego składowania i operacji prowadzonych w instalacjach LNG;</w:t>
      </w:r>
    </w:p>
    <w:p w14:paraId="6FE80B91" w14:textId="715A7D9C" w:rsidR="00387ED4" w:rsidRPr="005C05FA" w:rsidRDefault="00387ED4" w:rsidP="005C05FA">
      <w:pPr>
        <w:pStyle w:val="Akapitzlist"/>
        <w:numPr>
          <w:ilvl w:val="1"/>
          <w:numId w:val="13"/>
        </w:numPr>
        <w:spacing w:after="0" w:line="300" w:lineRule="auto"/>
        <w:ind w:left="709" w:hanging="425"/>
        <w:jc w:val="both"/>
        <w:rPr>
          <w:rStyle w:val="markedcontent"/>
          <w:rFonts w:ascii="Arial" w:eastAsia="Times New Roman" w:hAnsi="Arial" w:cs="Arial"/>
          <w:lang w:eastAsia="pl-PL"/>
        </w:rPr>
      </w:pPr>
      <w:r w:rsidRPr="005C05FA">
        <w:rPr>
          <w:rStyle w:val="markedcontent"/>
          <w:rFonts w:ascii="Arial" w:eastAsia="Times New Roman" w:hAnsi="Arial" w:cs="Arial"/>
          <w:lang w:eastAsia="pl-PL"/>
        </w:rPr>
        <w:t xml:space="preserve">czynnych podziemnych kopalń węgla i odkrywkowych kopalń węgla, zamkniętych podziemnych kopalń węgla oraz opuszczonych podziemnych kopalń węgla. </w:t>
      </w:r>
    </w:p>
    <w:p w14:paraId="47D2E95A" w14:textId="77777777" w:rsidR="00387ED4" w:rsidRPr="005C05FA" w:rsidRDefault="00387ED4" w:rsidP="005C05FA">
      <w:pPr>
        <w:spacing w:after="0" w:line="300" w:lineRule="auto"/>
        <w:jc w:val="both"/>
        <w:rPr>
          <w:rStyle w:val="markedcontent"/>
          <w:rFonts w:ascii="Arial" w:eastAsia="Times New Roman" w:hAnsi="Arial" w:cs="Arial"/>
          <w:lang w:eastAsia="pl-PL"/>
        </w:rPr>
      </w:pPr>
      <w:r w:rsidRPr="005C05FA">
        <w:rPr>
          <w:rStyle w:val="markedcontent"/>
          <w:rFonts w:ascii="Arial" w:eastAsia="Times New Roman" w:hAnsi="Arial" w:cs="Arial"/>
          <w:lang w:eastAsia="pl-PL"/>
        </w:rPr>
        <w:t>Stosownie do art. 1 ust. 3 rozporządzenia metanowego rozporządzenie to ma również zastosowanie do emisji metanu występujących poza Unią Europejską – w odniesieniu do ropy naftowej, gazu ziemnego i węgla wprowadzanych do obrotu w Unii Europejskiej (importowanych z państw trzecich).</w:t>
      </w:r>
    </w:p>
    <w:p w14:paraId="2A208F2D" w14:textId="77777777" w:rsidR="00387ED4" w:rsidRPr="005C05FA" w:rsidRDefault="00387ED4" w:rsidP="005C05FA">
      <w:pPr>
        <w:spacing w:after="0" w:line="300" w:lineRule="auto"/>
        <w:jc w:val="both"/>
        <w:rPr>
          <w:rStyle w:val="markedcontent"/>
          <w:rFonts w:ascii="Arial" w:eastAsia="Times New Roman" w:hAnsi="Arial" w:cs="Arial"/>
          <w:lang w:eastAsia="pl-PL"/>
        </w:rPr>
      </w:pPr>
      <w:r w:rsidRPr="005C05FA">
        <w:rPr>
          <w:rStyle w:val="markedcontent"/>
          <w:rFonts w:ascii="Arial" w:eastAsia="Times New Roman" w:hAnsi="Arial" w:cs="Arial"/>
          <w:lang w:eastAsia="pl-PL"/>
        </w:rPr>
        <w:t>Jednym z kluczowych elementów rozporządzenia metanowego jest pojęcie „właściwego organu”. Zgodnie z art. 4 ust. 1 rozporządzenia metanowego każde państwo członkowskie wyznacza co najmniej jeden właściwy organ odpowiedzialny za monitorowanie i egzekwowanie stosowania tego rozporządzenia, a państwa członkowskie przekazują Komisji Europejskiej nazwy i dane kontaktowe swoich właściwych organów do dnia 5 lutego 2025 r</w:t>
      </w:r>
      <w:r w:rsidRPr="005C05FA">
        <w:rPr>
          <w:rStyle w:val="markedcontent"/>
          <w:rFonts w:ascii="Arial" w:eastAsia="Times New Roman" w:hAnsi="Arial" w:cs="Arial"/>
          <w:lang w:eastAsia="pl-PL"/>
        </w:rPr>
        <w:t>oku</w:t>
      </w:r>
      <w:r w:rsidRPr="005C05FA">
        <w:rPr>
          <w:rStyle w:val="markedcontent"/>
          <w:rFonts w:ascii="Arial" w:eastAsia="Times New Roman" w:hAnsi="Arial" w:cs="Arial"/>
          <w:lang w:eastAsia="pl-PL"/>
        </w:rPr>
        <w:t>.</w:t>
      </w:r>
    </w:p>
    <w:p w14:paraId="255BDF57" w14:textId="77777777" w:rsidR="00387ED4" w:rsidRPr="005C05FA" w:rsidRDefault="00387ED4" w:rsidP="005C05FA">
      <w:pPr>
        <w:spacing w:after="0" w:line="300" w:lineRule="auto"/>
        <w:jc w:val="both"/>
        <w:rPr>
          <w:rStyle w:val="markedcontent"/>
          <w:rFonts w:ascii="Arial" w:eastAsia="Times New Roman" w:hAnsi="Arial" w:cs="Arial"/>
          <w:lang w:eastAsia="pl-PL"/>
        </w:rPr>
      </w:pPr>
      <w:r w:rsidRPr="005C05FA">
        <w:rPr>
          <w:rStyle w:val="markedcontent"/>
          <w:rFonts w:ascii="Arial" w:eastAsia="Times New Roman" w:hAnsi="Arial" w:cs="Arial"/>
          <w:lang w:eastAsia="pl-PL"/>
        </w:rPr>
        <w:t>Państwa członkowskie niezwłocznie informują Komisję o wszelkich zmianach nazw lub danych kontaktowych swoich właściwych organów. Komisja podaje wykaz właściwych organów do wiadomości publicznej i regularnie go aktualizuje po otrzymaniu od państwa członkowskiego powiadomienia o zmianie. Państwa członkowskie zapewniają, aby właściwe organy utworzyły punkt kontaktowy i miały odpowiednie uprawnienia oraz zasoby do wykonywania zadań określonych w niniejszym rozporządzeniu.</w:t>
      </w:r>
    </w:p>
    <w:p w14:paraId="7CB91F7D" w14:textId="77777777" w:rsidR="00387ED4" w:rsidRPr="005C05FA" w:rsidRDefault="00387ED4" w:rsidP="005C05FA">
      <w:pPr>
        <w:spacing w:after="0" w:line="300" w:lineRule="auto"/>
        <w:jc w:val="both"/>
        <w:rPr>
          <w:rStyle w:val="markedcontent"/>
          <w:rFonts w:ascii="Arial" w:eastAsia="Times New Roman" w:hAnsi="Arial" w:cs="Arial"/>
          <w:lang w:eastAsia="pl-PL"/>
        </w:rPr>
      </w:pPr>
    </w:p>
    <w:p w14:paraId="3894A0F0" w14:textId="50C3A5B6" w:rsidR="00052AD2" w:rsidRPr="005C05FA" w:rsidRDefault="00387ED4" w:rsidP="005C05FA">
      <w:pPr>
        <w:spacing w:after="0" w:line="300" w:lineRule="auto"/>
        <w:jc w:val="both"/>
        <w:rPr>
          <w:rStyle w:val="markedcontent"/>
          <w:rFonts w:ascii="Arial" w:eastAsia="Times New Roman" w:hAnsi="Arial" w:cs="Arial"/>
          <w:lang w:eastAsia="pl-PL"/>
        </w:rPr>
      </w:pPr>
      <w:r w:rsidRPr="005C05FA">
        <w:rPr>
          <w:rStyle w:val="markedcontent"/>
          <w:rFonts w:ascii="Arial" w:eastAsia="Times New Roman" w:hAnsi="Arial" w:cs="Arial"/>
          <w:lang w:eastAsia="pl-PL"/>
        </w:rPr>
        <w:t>Ustawa wchodzi w życie z dniem następującym po dniu ogłoszenia.</w:t>
      </w:r>
    </w:p>
    <w:p w14:paraId="41622E0F" w14:textId="77777777" w:rsidR="00052AD2" w:rsidRPr="005C05FA" w:rsidRDefault="00052AD2" w:rsidP="005C05FA">
      <w:pPr>
        <w:spacing w:after="0" w:line="300" w:lineRule="auto"/>
        <w:jc w:val="both"/>
        <w:rPr>
          <w:rStyle w:val="markedcontent"/>
          <w:rFonts w:ascii="Arial" w:eastAsia="Times New Roman" w:hAnsi="Arial" w:cs="Arial"/>
          <w:lang w:eastAsia="pl-PL"/>
        </w:rPr>
      </w:pPr>
    </w:p>
    <w:sectPr w:rsidR="00052AD2" w:rsidRPr="005C05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526D7"/>
    <w:multiLevelType w:val="hybridMultilevel"/>
    <w:tmpl w:val="AE8011F8"/>
    <w:lvl w:ilvl="0" w:tplc="04150017">
      <w:start w:val="1"/>
      <w:numFmt w:val="lowerLetter"/>
      <w:lvlText w:val="%1)"/>
      <w:lvlJc w:val="left"/>
      <w:pPr>
        <w:ind w:left="720" w:hanging="360"/>
      </w:pPr>
    </w:lvl>
    <w:lvl w:ilvl="1" w:tplc="CBE82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7D039C"/>
    <w:multiLevelType w:val="hybridMultilevel"/>
    <w:tmpl w:val="50C879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E243CB"/>
    <w:multiLevelType w:val="hybridMultilevel"/>
    <w:tmpl w:val="69EE35A0"/>
    <w:lvl w:ilvl="0" w:tplc="C428C154">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7B1A29"/>
    <w:multiLevelType w:val="hybridMultilevel"/>
    <w:tmpl w:val="888830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7D76FD"/>
    <w:multiLevelType w:val="hybridMultilevel"/>
    <w:tmpl w:val="2B40A1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DA63BD"/>
    <w:multiLevelType w:val="hybridMultilevel"/>
    <w:tmpl w:val="412A4D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B835E97"/>
    <w:multiLevelType w:val="hybridMultilevel"/>
    <w:tmpl w:val="4698B69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A864D0"/>
    <w:multiLevelType w:val="hybridMultilevel"/>
    <w:tmpl w:val="A55A1C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29027726">
    <w:abstractNumId w:val="6"/>
  </w:num>
  <w:num w:numId="2" w16cid:durableId="3118319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761560">
    <w:abstractNumId w:val="4"/>
  </w:num>
  <w:num w:numId="4" w16cid:durableId="5788216">
    <w:abstractNumId w:val="9"/>
  </w:num>
  <w:num w:numId="5" w16cid:durableId="1820147117">
    <w:abstractNumId w:val="8"/>
  </w:num>
  <w:num w:numId="6" w16cid:durableId="977803635">
    <w:abstractNumId w:val="1"/>
  </w:num>
  <w:num w:numId="7" w16cid:durableId="1917471299">
    <w:abstractNumId w:val="7"/>
  </w:num>
  <w:num w:numId="8" w16cid:durableId="265164637">
    <w:abstractNumId w:val="0"/>
  </w:num>
  <w:num w:numId="9" w16cid:durableId="1907688453">
    <w:abstractNumId w:val="2"/>
  </w:num>
  <w:num w:numId="10" w16cid:durableId="1857845012">
    <w:abstractNumId w:val="12"/>
  </w:num>
  <w:num w:numId="11" w16cid:durableId="2125729493">
    <w:abstractNumId w:val="5"/>
  </w:num>
  <w:num w:numId="12" w16cid:durableId="1102383691">
    <w:abstractNumId w:val="3"/>
  </w:num>
  <w:num w:numId="13" w16cid:durableId="3098733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08"/>
    <w:rsid w:val="00000C31"/>
    <w:rsid w:val="00052AD2"/>
    <w:rsid w:val="00257C06"/>
    <w:rsid w:val="00387ED4"/>
    <w:rsid w:val="003A5017"/>
    <w:rsid w:val="00516DFD"/>
    <w:rsid w:val="00536B56"/>
    <w:rsid w:val="005C05FA"/>
    <w:rsid w:val="005D5BAA"/>
    <w:rsid w:val="00763812"/>
    <w:rsid w:val="008C119E"/>
    <w:rsid w:val="009A45C6"/>
    <w:rsid w:val="00AF1A29"/>
    <w:rsid w:val="00C7764F"/>
    <w:rsid w:val="00FB63AF"/>
    <w:rsid w:val="00FB7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D2BD"/>
  <w15:chartTrackingRefBased/>
  <w15:docId w15:val="{59FC5FA6-C1F6-42CA-A7A6-160F27AA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7A08"/>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FB7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B7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B7A0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B7A0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B7A0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B7A0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B7A0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B7A0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B7A0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7A0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B7A0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B7A0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B7A0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B7A0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B7A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B7A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B7A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B7A08"/>
    <w:rPr>
      <w:rFonts w:eastAsiaTheme="majorEastAsia" w:cstheme="majorBidi"/>
      <w:color w:val="272727" w:themeColor="text1" w:themeTint="D8"/>
    </w:rPr>
  </w:style>
  <w:style w:type="paragraph" w:styleId="Tytu">
    <w:name w:val="Title"/>
    <w:basedOn w:val="Normalny"/>
    <w:next w:val="Normalny"/>
    <w:link w:val="TytuZnak"/>
    <w:uiPriority w:val="10"/>
    <w:qFormat/>
    <w:rsid w:val="00FB7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B7A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B7A0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B7A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B7A08"/>
    <w:pPr>
      <w:spacing w:before="160"/>
      <w:jc w:val="center"/>
    </w:pPr>
    <w:rPr>
      <w:i/>
      <w:iCs/>
      <w:color w:val="404040" w:themeColor="text1" w:themeTint="BF"/>
    </w:rPr>
  </w:style>
  <w:style w:type="character" w:customStyle="1" w:styleId="CytatZnak">
    <w:name w:val="Cytat Znak"/>
    <w:basedOn w:val="Domylnaczcionkaakapitu"/>
    <w:link w:val="Cytat"/>
    <w:uiPriority w:val="29"/>
    <w:rsid w:val="00FB7A08"/>
    <w:rPr>
      <w:i/>
      <w:iCs/>
      <w:color w:val="404040" w:themeColor="text1" w:themeTint="BF"/>
    </w:rPr>
  </w:style>
  <w:style w:type="paragraph" w:styleId="Akapitzlist">
    <w:name w:val="List Paragraph"/>
    <w:basedOn w:val="Normalny"/>
    <w:uiPriority w:val="34"/>
    <w:qFormat/>
    <w:rsid w:val="00FB7A08"/>
    <w:pPr>
      <w:ind w:left="720"/>
      <w:contextualSpacing/>
    </w:pPr>
  </w:style>
  <w:style w:type="character" w:styleId="Wyrnienieintensywne">
    <w:name w:val="Intense Emphasis"/>
    <w:basedOn w:val="Domylnaczcionkaakapitu"/>
    <w:uiPriority w:val="21"/>
    <w:qFormat/>
    <w:rsid w:val="00FB7A08"/>
    <w:rPr>
      <w:i/>
      <w:iCs/>
      <w:color w:val="0F4761" w:themeColor="accent1" w:themeShade="BF"/>
    </w:rPr>
  </w:style>
  <w:style w:type="paragraph" w:styleId="Cytatintensywny">
    <w:name w:val="Intense Quote"/>
    <w:basedOn w:val="Normalny"/>
    <w:next w:val="Normalny"/>
    <w:link w:val="CytatintensywnyZnak"/>
    <w:uiPriority w:val="30"/>
    <w:qFormat/>
    <w:rsid w:val="00FB7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B7A08"/>
    <w:rPr>
      <w:i/>
      <w:iCs/>
      <w:color w:val="0F4761" w:themeColor="accent1" w:themeShade="BF"/>
    </w:rPr>
  </w:style>
  <w:style w:type="character" w:styleId="Odwoanieintensywne">
    <w:name w:val="Intense Reference"/>
    <w:basedOn w:val="Domylnaczcionkaakapitu"/>
    <w:uiPriority w:val="32"/>
    <w:qFormat/>
    <w:rsid w:val="00FB7A08"/>
    <w:rPr>
      <w:b/>
      <w:bCs/>
      <w:smallCaps/>
      <w:color w:val="0F4761" w:themeColor="accent1" w:themeShade="BF"/>
      <w:spacing w:val="5"/>
    </w:rPr>
  </w:style>
  <w:style w:type="character" w:customStyle="1" w:styleId="markedcontent">
    <w:name w:val="markedcontent"/>
    <w:basedOn w:val="Domylnaczcionkaakapitu"/>
    <w:rsid w:val="00FB7A08"/>
  </w:style>
  <w:style w:type="character" w:styleId="Hipercze">
    <w:name w:val="Hyperlink"/>
    <w:basedOn w:val="Domylnaczcionkaakapitu"/>
    <w:uiPriority w:val="99"/>
    <w:unhideWhenUsed/>
    <w:rsid w:val="00FB7A08"/>
    <w:rPr>
      <w:color w:val="467886" w:themeColor="hyperlink"/>
      <w:u w:val="single"/>
    </w:rPr>
  </w:style>
  <w:style w:type="character" w:styleId="Nierozpoznanawzmianka">
    <w:name w:val="Unresolved Mention"/>
    <w:basedOn w:val="Domylnaczcionkaakapitu"/>
    <w:uiPriority w:val="99"/>
    <w:semiHidden/>
    <w:unhideWhenUsed/>
    <w:rsid w:val="00FB7A08"/>
    <w:rPr>
      <w:color w:val="605E5C"/>
      <w:shd w:val="clear" w:color="auto" w:fill="E1DFDD"/>
    </w:rPr>
  </w:style>
  <w:style w:type="character" w:styleId="UyteHipercze">
    <w:name w:val="FollowedHyperlink"/>
    <w:basedOn w:val="Domylnaczcionkaakapitu"/>
    <w:uiPriority w:val="99"/>
    <w:semiHidden/>
    <w:unhideWhenUsed/>
    <w:rsid w:val="00FB7A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400609/katalog/13146968" TargetMode="External"/><Relationship Id="rId3" Type="http://schemas.openxmlformats.org/officeDocument/2006/relationships/settings" Target="settings.xml"/><Relationship Id="rId7" Type="http://schemas.openxmlformats.org/officeDocument/2006/relationships/hyperlink" Target="https://legislacja.rcl.gov.pl/projekt/12400607/katalog/131468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cja.rcl.gov.pl/projekt/12400451/katalog/1314486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153</TotalTime>
  <Pages>16</Pages>
  <Words>7181</Words>
  <Characters>43088</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50169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Kudłak</dc:creator>
  <cp:keywords/>
  <dc:description/>
  <cp:lastModifiedBy>Alicja Kudłak</cp:lastModifiedBy>
  <cp:revision>4</cp:revision>
  <dcterms:created xsi:type="dcterms:W3CDTF">2025-08-06T12:23:00Z</dcterms:created>
  <dcterms:modified xsi:type="dcterms:W3CDTF">2025-08-07T08:56:00Z</dcterms:modified>
</cp:coreProperties>
</file>