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57A58" w14:textId="77777777" w:rsidR="00D82789" w:rsidRPr="00586923" w:rsidRDefault="00D82789" w:rsidP="00D82789">
      <w:pPr>
        <w:rPr>
          <w:rFonts w:ascii="Arial" w:hAnsi="Arial" w:cs="Arial"/>
        </w:rPr>
      </w:pPr>
      <w:r w:rsidRPr="00586923">
        <w:rPr>
          <w:rFonts w:ascii="Arial" w:hAnsi="Arial" w:cs="Arial"/>
          <w:noProof/>
          <w:lang w:eastAsia="pl-PL"/>
        </w:rPr>
        <w:drawing>
          <wp:inline distT="0" distB="0" distL="0" distR="0" wp14:anchorId="6980890A" wp14:editId="7DCC3055">
            <wp:extent cx="5683910" cy="943559"/>
            <wp:effectExtent l="0" t="0" r="0" b="9525"/>
            <wp:docPr id="2" name="Obraz 2" descr="Obraz zawierający tekst, Czcionka, zrzut ekranu, logo&#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 Czcionka, zrzut ekranu, logo&#10;&#10;Zawartość wygenerowana przez AI może być niepoprawna."/>
                    <pic:cNvPicPr/>
                  </pic:nvPicPr>
                  <pic:blipFill>
                    <a:blip r:embed="rId5">
                      <a:extLst>
                        <a:ext uri="{28A0092B-C50C-407E-A947-70E740481C1C}">
                          <a14:useLocalDpi xmlns:a14="http://schemas.microsoft.com/office/drawing/2010/main" val="0"/>
                        </a:ext>
                      </a:extLst>
                    </a:blip>
                    <a:stretch>
                      <a:fillRect/>
                    </a:stretch>
                  </pic:blipFill>
                  <pic:spPr>
                    <a:xfrm>
                      <a:off x="0" y="0"/>
                      <a:ext cx="5704187" cy="946925"/>
                    </a:xfrm>
                    <a:prstGeom prst="rect">
                      <a:avLst/>
                    </a:prstGeom>
                  </pic:spPr>
                </pic:pic>
              </a:graphicData>
            </a:graphic>
          </wp:inline>
        </w:drawing>
      </w:r>
    </w:p>
    <w:p w14:paraId="0F634362" w14:textId="77777777" w:rsidR="00D82789" w:rsidRDefault="00D82789" w:rsidP="00D82789">
      <w:pPr>
        <w:spacing w:after="0" w:line="300" w:lineRule="auto"/>
        <w:jc w:val="center"/>
        <w:rPr>
          <w:rFonts w:ascii="Arial" w:hAnsi="Arial" w:cs="Arial"/>
          <w:b/>
        </w:rPr>
      </w:pPr>
      <w:r w:rsidRPr="00586923">
        <w:rPr>
          <w:rFonts w:ascii="Arial" w:hAnsi="Arial" w:cs="Arial"/>
          <w:b/>
        </w:rPr>
        <w:t xml:space="preserve">Konsultacje </w:t>
      </w:r>
      <w:r>
        <w:rPr>
          <w:rFonts w:ascii="Arial" w:hAnsi="Arial" w:cs="Arial"/>
          <w:b/>
        </w:rPr>
        <w:t>projektów</w:t>
      </w:r>
      <w:r w:rsidRPr="00586923">
        <w:rPr>
          <w:rFonts w:ascii="Arial" w:hAnsi="Arial" w:cs="Arial"/>
          <w:b/>
        </w:rPr>
        <w:t xml:space="preserve"> krajowych aktów prawnych </w:t>
      </w:r>
      <w:r>
        <w:rPr>
          <w:rFonts w:ascii="Arial" w:hAnsi="Arial" w:cs="Arial"/>
          <w:b/>
        </w:rPr>
        <w:t xml:space="preserve">i ogłoszone akty prawne </w:t>
      </w:r>
      <w:r>
        <w:rPr>
          <w:rFonts w:ascii="Arial" w:hAnsi="Arial" w:cs="Arial"/>
          <w:b/>
        </w:rPr>
        <w:br/>
        <w:t>w Dzienniku Ustaw</w:t>
      </w:r>
    </w:p>
    <w:p w14:paraId="6E1CD007" w14:textId="77777777" w:rsidR="00D82789" w:rsidRPr="00586923" w:rsidRDefault="00D82789" w:rsidP="00D82789">
      <w:pPr>
        <w:spacing w:after="0" w:line="300" w:lineRule="auto"/>
        <w:jc w:val="center"/>
        <w:rPr>
          <w:rFonts w:ascii="Arial" w:hAnsi="Arial" w:cs="Arial"/>
          <w:b/>
        </w:rPr>
      </w:pPr>
      <w:r>
        <w:rPr>
          <w:rFonts w:ascii="Arial" w:hAnsi="Arial" w:cs="Arial"/>
          <w:b/>
        </w:rPr>
        <w:t>(</w:t>
      </w:r>
      <w:r w:rsidRPr="00586923">
        <w:rPr>
          <w:rFonts w:ascii="Arial" w:hAnsi="Arial" w:cs="Arial"/>
          <w:b/>
        </w:rPr>
        <w:t xml:space="preserve">monitoring legislacji </w:t>
      </w:r>
      <w:r>
        <w:rPr>
          <w:rFonts w:ascii="Arial" w:hAnsi="Arial" w:cs="Arial"/>
          <w:b/>
        </w:rPr>
        <w:t xml:space="preserve">krajowej </w:t>
      </w:r>
      <w:r w:rsidRPr="00586923">
        <w:rPr>
          <w:rFonts w:ascii="Arial" w:hAnsi="Arial" w:cs="Arial"/>
          <w:b/>
        </w:rPr>
        <w:t>ZPPM</w:t>
      </w:r>
      <w:r>
        <w:rPr>
          <w:rFonts w:ascii="Arial" w:hAnsi="Arial" w:cs="Arial"/>
          <w:b/>
        </w:rPr>
        <w:t>)</w:t>
      </w:r>
    </w:p>
    <w:p w14:paraId="62659D0B" w14:textId="5A971903" w:rsidR="00D82789" w:rsidRPr="00586923" w:rsidRDefault="00D82789" w:rsidP="00D82789">
      <w:pPr>
        <w:spacing w:after="0" w:line="300" w:lineRule="auto"/>
        <w:jc w:val="center"/>
        <w:rPr>
          <w:rFonts w:ascii="Arial" w:hAnsi="Arial" w:cs="Arial"/>
        </w:rPr>
      </w:pPr>
      <w:r w:rsidRPr="00586923">
        <w:rPr>
          <w:rFonts w:ascii="Arial" w:hAnsi="Arial" w:cs="Arial"/>
          <w:b/>
        </w:rPr>
        <w:t xml:space="preserve">w okresie od </w:t>
      </w:r>
      <w:r>
        <w:rPr>
          <w:rFonts w:ascii="Arial" w:hAnsi="Arial" w:cs="Arial"/>
          <w:b/>
        </w:rPr>
        <w:t xml:space="preserve">4 </w:t>
      </w:r>
      <w:r w:rsidRPr="00586923">
        <w:rPr>
          <w:rFonts w:ascii="Arial" w:hAnsi="Arial" w:cs="Arial"/>
          <w:b/>
        </w:rPr>
        <w:t xml:space="preserve">do </w:t>
      </w:r>
      <w:r>
        <w:rPr>
          <w:rFonts w:ascii="Arial" w:hAnsi="Arial" w:cs="Arial"/>
          <w:b/>
        </w:rPr>
        <w:t>10 sierpnia</w:t>
      </w:r>
      <w:r w:rsidRPr="00586923">
        <w:rPr>
          <w:rFonts w:ascii="Arial" w:hAnsi="Arial" w:cs="Arial"/>
          <w:b/>
        </w:rPr>
        <w:t xml:space="preserve"> 202</w:t>
      </w:r>
      <w:r>
        <w:rPr>
          <w:rFonts w:ascii="Arial" w:hAnsi="Arial" w:cs="Arial"/>
          <w:b/>
        </w:rPr>
        <w:t>5</w:t>
      </w:r>
      <w:r w:rsidRPr="00586923">
        <w:rPr>
          <w:rFonts w:ascii="Arial" w:hAnsi="Arial" w:cs="Arial"/>
          <w:b/>
        </w:rPr>
        <w:t xml:space="preserve"> roku</w:t>
      </w:r>
    </w:p>
    <w:p w14:paraId="6F469C9D" w14:textId="217E8DFD" w:rsidR="00D82789" w:rsidRPr="00AC3187" w:rsidRDefault="00D82789" w:rsidP="00D82789">
      <w:pPr>
        <w:spacing w:after="0" w:line="300" w:lineRule="auto"/>
        <w:jc w:val="center"/>
        <w:rPr>
          <w:rFonts w:ascii="Arial" w:hAnsi="Arial" w:cs="Arial"/>
        </w:rPr>
      </w:pPr>
      <w:r w:rsidRPr="00AC3187">
        <w:rPr>
          <w:rFonts w:ascii="Arial" w:hAnsi="Arial" w:cs="Arial"/>
        </w:rPr>
        <w:t xml:space="preserve">Raport na dzień </w:t>
      </w:r>
      <w:r>
        <w:rPr>
          <w:rFonts w:ascii="Arial" w:hAnsi="Arial" w:cs="Arial"/>
        </w:rPr>
        <w:t>12</w:t>
      </w:r>
      <w:r w:rsidRPr="00AC3187">
        <w:rPr>
          <w:rFonts w:ascii="Arial" w:hAnsi="Arial" w:cs="Arial"/>
        </w:rPr>
        <w:t xml:space="preserve"> </w:t>
      </w:r>
      <w:r>
        <w:rPr>
          <w:rFonts w:ascii="Arial" w:hAnsi="Arial" w:cs="Arial"/>
        </w:rPr>
        <w:t>sierpnia</w:t>
      </w:r>
      <w:r w:rsidRPr="00AC3187">
        <w:rPr>
          <w:rFonts w:ascii="Arial" w:hAnsi="Arial" w:cs="Arial"/>
        </w:rPr>
        <w:t xml:space="preserve"> 202</w:t>
      </w:r>
      <w:r>
        <w:rPr>
          <w:rFonts w:ascii="Arial" w:hAnsi="Arial" w:cs="Arial"/>
        </w:rPr>
        <w:t>5</w:t>
      </w:r>
      <w:r w:rsidRPr="00AC3187">
        <w:rPr>
          <w:rFonts w:ascii="Arial" w:hAnsi="Arial" w:cs="Arial"/>
        </w:rPr>
        <w:t xml:space="preserve"> roku</w:t>
      </w:r>
    </w:p>
    <w:p w14:paraId="02F32947" w14:textId="77777777" w:rsidR="00D82789" w:rsidRPr="00586923" w:rsidRDefault="00D82789" w:rsidP="00D82789">
      <w:pPr>
        <w:spacing w:after="0" w:line="240" w:lineRule="auto"/>
        <w:jc w:val="both"/>
        <w:rPr>
          <w:rFonts w:ascii="Arial" w:hAnsi="Arial" w:cs="Arial"/>
        </w:rPr>
      </w:pPr>
    </w:p>
    <w:p w14:paraId="45832E2F" w14:textId="77777777" w:rsidR="00D82789" w:rsidRPr="000B65D1" w:rsidRDefault="00D82789" w:rsidP="00D82789">
      <w:pPr>
        <w:pStyle w:val="Akapitzlist"/>
        <w:numPr>
          <w:ilvl w:val="0"/>
          <w:numId w:val="1"/>
        </w:numPr>
        <w:spacing w:after="0" w:line="300" w:lineRule="auto"/>
        <w:ind w:left="284" w:hanging="284"/>
        <w:jc w:val="both"/>
        <w:rPr>
          <w:rFonts w:ascii="Arial" w:hAnsi="Arial" w:cs="Arial"/>
          <w:b/>
        </w:rPr>
      </w:pPr>
      <w:r w:rsidRPr="000B65D1">
        <w:rPr>
          <w:rFonts w:ascii="Arial" w:hAnsi="Arial" w:cs="Arial"/>
          <w:b/>
        </w:rPr>
        <w:t>Projekty aktów prawnych</w:t>
      </w:r>
    </w:p>
    <w:p w14:paraId="548F8D0E" w14:textId="77777777" w:rsidR="00D82789" w:rsidRDefault="00D82789" w:rsidP="00D82789">
      <w:pPr>
        <w:spacing w:after="0" w:line="300" w:lineRule="auto"/>
        <w:jc w:val="both"/>
        <w:rPr>
          <w:rFonts w:ascii="Arial" w:hAnsi="Arial" w:cs="Arial"/>
        </w:rPr>
      </w:pPr>
    </w:p>
    <w:p w14:paraId="2223239C" w14:textId="220E6007" w:rsidR="00D82789" w:rsidRPr="00C70674" w:rsidRDefault="00D82789" w:rsidP="00D82789">
      <w:pPr>
        <w:spacing w:after="0" w:line="300" w:lineRule="auto"/>
        <w:jc w:val="both"/>
        <w:rPr>
          <w:rFonts w:ascii="Arial" w:hAnsi="Arial" w:cs="Arial"/>
        </w:rPr>
      </w:pPr>
      <w:r w:rsidRPr="00C70674">
        <w:rPr>
          <w:rFonts w:ascii="Arial" w:hAnsi="Arial" w:cs="Arial"/>
        </w:rPr>
        <w:t xml:space="preserve">W omawianym okresie </w:t>
      </w:r>
      <w:r w:rsidRPr="00C70674">
        <w:rPr>
          <w:rFonts w:ascii="Arial" w:eastAsia="Calibri" w:hAnsi="Arial" w:cs="Arial"/>
          <w:bCs/>
        </w:rPr>
        <w:t xml:space="preserve">Rządowe Centrum Legislacji opublikowało </w:t>
      </w:r>
      <w:r>
        <w:rPr>
          <w:rFonts w:ascii="Arial" w:eastAsia="Calibri" w:hAnsi="Arial" w:cs="Arial"/>
          <w:bCs/>
        </w:rPr>
        <w:t>3</w:t>
      </w:r>
      <w:r w:rsidRPr="00C70674">
        <w:rPr>
          <w:rFonts w:ascii="Arial" w:eastAsia="Calibri" w:hAnsi="Arial" w:cs="Arial"/>
          <w:bCs/>
        </w:rPr>
        <w:t xml:space="preserve"> projekt</w:t>
      </w:r>
      <w:r>
        <w:rPr>
          <w:rFonts w:ascii="Arial" w:eastAsia="Calibri" w:hAnsi="Arial" w:cs="Arial"/>
          <w:bCs/>
        </w:rPr>
        <w:t>y ustaw</w:t>
      </w:r>
      <w:r w:rsidRPr="00C70674">
        <w:rPr>
          <w:rFonts w:ascii="Arial" w:eastAsia="Calibri" w:hAnsi="Arial" w:cs="Arial"/>
          <w:bCs/>
        </w:rPr>
        <w:t xml:space="preserve"> oraz</w:t>
      </w:r>
      <w:r w:rsidRPr="00C70674">
        <w:rPr>
          <w:rFonts w:ascii="Arial" w:hAnsi="Arial" w:cs="Arial"/>
        </w:rPr>
        <w:t xml:space="preserve"> </w:t>
      </w:r>
      <w:r>
        <w:rPr>
          <w:rFonts w:ascii="Arial" w:hAnsi="Arial" w:cs="Arial"/>
        </w:rPr>
        <w:t>27</w:t>
      </w:r>
      <w:r w:rsidRPr="00C70674">
        <w:rPr>
          <w:rFonts w:ascii="Arial" w:hAnsi="Arial" w:cs="Arial"/>
        </w:rPr>
        <w:t xml:space="preserve"> projekt</w:t>
      </w:r>
      <w:r>
        <w:rPr>
          <w:rFonts w:ascii="Arial" w:hAnsi="Arial" w:cs="Arial"/>
        </w:rPr>
        <w:t>ów</w:t>
      </w:r>
      <w:r w:rsidRPr="00C70674">
        <w:rPr>
          <w:rFonts w:ascii="Arial" w:hAnsi="Arial" w:cs="Arial"/>
        </w:rPr>
        <w:t xml:space="preserve"> rozporządzeń Rady Ministrów, Prezesa Rady Ministrów oraz poszczególnych Ministrów.</w:t>
      </w:r>
    </w:p>
    <w:p w14:paraId="3919E320" w14:textId="77777777" w:rsidR="00D82789" w:rsidRPr="00C70674" w:rsidRDefault="00D82789" w:rsidP="00D82789">
      <w:pPr>
        <w:spacing w:after="0" w:line="300" w:lineRule="auto"/>
        <w:jc w:val="both"/>
        <w:rPr>
          <w:rFonts w:ascii="Arial" w:hAnsi="Arial" w:cs="Arial"/>
        </w:rPr>
      </w:pPr>
    </w:p>
    <w:p w14:paraId="312B1918" w14:textId="278BEE37" w:rsidR="00D82789" w:rsidRDefault="00D82789" w:rsidP="00D82789">
      <w:pPr>
        <w:spacing w:after="0" w:line="300" w:lineRule="auto"/>
        <w:jc w:val="both"/>
        <w:rPr>
          <w:rFonts w:ascii="Arial" w:hAnsi="Arial" w:cs="Arial"/>
        </w:rPr>
      </w:pPr>
      <w:r>
        <w:rPr>
          <w:rFonts w:ascii="Arial" w:hAnsi="Arial" w:cs="Arial"/>
        </w:rPr>
        <w:t xml:space="preserve">Przeprowadzono konsultacje </w:t>
      </w:r>
      <w:r w:rsidR="00894E4F">
        <w:rPr>
          <w:rFonts w:ascii="Arial" w:hAnsi="Arial" w:cs="Arial"/>
        </w:rPr>
        <w:t>czterech</w:t>
      </w:r>
      <w:r>
        <w:rPr>
          <w:rFonts w:ascii="Arial" w:hAnsi="Arial" w:cs="Arial"/>
        </w:rPr>
        <w:t xml:space="preserve"> projektów rozporządzeń dotyczących podmiotów członkowskich (pracodawcy, przedsiębiorcy, JST) zrzeszonych w Związku. </w:t>
      </w:r>
    </w:p>
    <w:p w14:paraId="5D6E78B8" w14:textId="77777777" w:rsidR="00D82789" w:rsidRDefault="00D82789" w:rsidP="00D82789">
      <w:pPr>
        <w:spacing w:after="0" w:line="300" w:lineRule="auto"/>
        <w:jc w:val="both"/>
        <w:rPr>
          <w:rFonts w:ascii="Arial" w:hAnsi="Arial" w:cs="Arial"/>
        </w:rPr>
      </w:pPr>
      <w:r>
        <w:rPr>
          <w:rFonts w:ascii="Arial" w:hAnsi="Arial" w:cs="Arial"/>
        </w:rPr>
        <w:t>Do konsultacji przekazane zostały następujące projekty:</w:t>
      </w:r>
    </w:p>
    <w:p w14:paraId="6117D054" w14:textId="77777777" w:rsidR="00D82789" w:rsidRDefault="00D82789" w:rsidP="00D82789">
      <w:pPr>
        <w:spacing w:after="0" w:line="300" w:lineRule="auto"/>
        <w:jc w:val="both"/>
        <w:rPr>
          <w:rFonts w:ascii="Arial" w:hAnsi="Arial" w:cs="Arial"/>
        </w:rPr>
      </w:pPr>
    </w:p>
    <w:p w14:paraId="69A002AD" w14:textId="77777777" w:rsidR="00D82789" w:rsidRDefault="00D82789" w:rsidP="00D82789">
      <w:pPr>
        <w:spacing w:after="0" w:line="300" w:lineRule="auto"/>
        <w:jc w:val="both"/>
        <w:rPr>
          <w:rFonts w:ascii="Arial" w:hAnsi="Arial" w:cs="Arial"/>
        </w:rPr>
      </w:pPr>
      <w:r>
        <w:rPr>
          <w:rFonts w:ascii="Arial" w:hAnsi="Arial" w:cs="Arial"/>
        </w:rPr>
        <w:t>Projekty rozporządzeń:</w:t>
      </w:r>
    </w:p>
    <w:p w14:paraId="0E4AD715" w14:textId="77777777" w:rsidR="00D82789" w:rsidRDefault="00D82789" w:rsidP="00D82789">
      <w:pPr>
        <w:spacing w:after="0" w:line="300" w:lineRule="auto"/>
        <w:jc w:val="both"/>
        <w:rPr>
          <w:rFonts w:ascii="Arial" w:hAnsi="Arial" w:cs="Arial"/>
        </w:rPr>
      </w:pPr>
    </w:p>
    <w:p w14:paraId="2FBC9C7F" w14:textId="57FF9E55" w:rsidR="00D82789" w:rsidRPr="007E6F92" w:rsidRDefault="007E6F92" w:rsidP="00D82789">
      <w:pPr>
        <w:pStyle w:val="Akapitzlist"/>
        <w:numPr>
          <w:ilvl w:val="0"/>
          <w:numId w:val="4"/>
        </w:numPr>
        <w:spacing w:after="0" w:line="300" w:lineRule="auto"/>
        <w:jc w:val="both"/>
        <w:rPr>
          <w:rFonts w:ascii="Arial" w:hAnsi="Arial" w:cs="Arial"/>
          <w:b/>
          <w:bCs/>
          <w:u w:val="single"/>
        </w:rPr>
      </w:pPr>
      <w:r w:rsidRPr="007E6F92">
        <w:rPr>
          <w:rFonts w:ascii="Arial" w:hAnsi="Arial" w:cs="Arial"/>
          <w:b/>
          <w:bCs/>
          <w:u w:val="single"/>
        </w:rPr>
        <w:t>Projekt rozporządzenia Ministra Edukacji w sprawie Sektorowej Ramy Kwalifikacji w sektorze budownictwo (numer z wykazu 73).</w:t>
      </w:r>
    </w:p>
    <w:p w14:paraId="4F60B9EA" w14:textId="77777777" w:rsidR="007E6F92" w:rsidRDefault="007E6F92" w:rsidP="007E6F92">
      <w:pPr>
        <w:spacing w:after="0" w:line="300" w:lineRule="auto"/>
        <w:jc w:val="both"/>
        <w:rPr>
          <w:rFonts w:ascii="Arial" w:hAnsi="Arial" w:cs="Arial"/>
        </w:rPr>
      </w:pPr>
    </w:p>
    <w:p w14:paraId="5846BE48" w14:textId="77777777" w:rsidR="007E6F92" w:rsidRPr="007E6F92" w:rsidRDefault="007E6F92" w:rsidP="007E6F92">
      <w:pPr>
        <w:spacing w:after="0" w:line="300" w:lineRule="auto"/>
        <w:jc w:val="both"/>
        <w:rPr>
          <w:rFonts w:ascii="Arial" w:hAnsi="Arial" w:cs="Arial"/>
        </w:rPr>
      </w:pPr>
      <w:r w:rsidRPr="007E6F92">
        <w:rPr>
          <w:rFonts w:ascii="Arial" w:hAnsi="Arial" w:cs="Arial"/>
        </w:rPr>
        <w:t xml:space="preserve">Wydanie projektowanego rozporządzenia Ministra Edukacji w sprawie Sektorowej Ramy Kwalifikacji w sektorze budownictwo jest konieczne ze względu na wniosek ministra właściwego. Pismem z dnia 30 kwietnia 2025 r. Minister Rozwoju i Technologii wystąpił do Ministra Edukacji z wnioskiem dotyczącym Sektorowej Ramy Kwalifikacji w sektorze budownictwo. Sektorowa Rama Kwalifikacji w sektorze budownictwo została włączona do Zintegrowanego Systemu Kwalifikacji rozporządzeniem Ministra Edukacji Narodowej z dnia 12 lipca 2019 r. w sprawie Sektorowej Ramy Kwalifikacji w sektorze budownictwo (Dz. U. poz. 1448). Konieczność wydania nowego rozporządzenia, które zastąpi ww. rozporządzenie, wynika z potrzeby zaktualizowania obecnych charakterystyk efektów uczenia się dla poziomów Sektorowej Ramy Kwalifikacji w sektorze budownictwo przez dostosowanie obecnych opisów w kategoriach wiedzy, umiejętności i kompetencji społecznych oraz dodanie nowych elementów w tych kategoriach. </w:t>
      </w:r>
    </w:p>
    <w:p w14:paraId="2CFEB89C" w14:textId="77777777" w:rsidR="007E6F92" w:rsidRPr="007E6F92" w:rsidRDefault="007E6F92" w:rsidP="007E6F92">
      <w:pPr>
        <w:spacing w:after="0" w:line="300" w:lineRule="auto"/>
        <w:jc w:val="both"/>
        <w:rPr>
          <w:rFonts w:ascii="Arial" w:hAnsi="Arial" w:cs="Arial"/>
        </w:rPr>
      </w:pPr>
      <w:r w:rsidRPr="007E6F92">
        <w:rPr>
          <w:rFonts w:ascii="Arial" w:hAnsi="Arial" w:cs="Arial"/>
        </w:rPr>
        <w:t>Ponadto wydanie rozporządzenia jest elementem kamienia milowego G10L dla reformy G.3.1.2 w ramach Krajowego Planu Odbudowy i Zwiększenia Odporności (KPO), który powinien zostać zrealizowany do końca 2025 r. Aktualizacja ww. sektorowej ramy kwalifikacji wpisuje się w przewidziane w Krajowym Planie Odbudowy i Zwiększenia Odporności (KPO) reformy i inwestycje.</w:t>
      </w:r>
    </w:p>
    <w:p w14:paraId="53831F48" w14:textId="7D2CF1C4" w:rsidR="007E6F92" w:rsidRDefault="007E6F92" w:rsidP="007E6F92">
      <w:pPr>
        <w:spacing w:after="0" w:line="300" w:lineRule="auto"/>
        <w:jc w:val="both"/>
        <w:rPr>
          <w:rFonts w:ascii="Arial" w:hAnsi="Arial" w:cs="Arial"/>
        </w:rPr>
      </w:pPr>
      <w:r w:rsidRPr="007E6F92">
        <w:rPr>
          <w:rFonts w:ascii="Arial" w:hAnsi="Arial" w:cs="Arial"/>
        </w:rPr>
        <w:lastRenderedPageBreak/>
        <w:t>SRK mają stanowić swoisty „pomost” między charakterystykami I i II stopnia Polskiej Ramy Kwalifikacji, w szczególności typowymi dla kwalifikacji o charakterze zawodowym a opisami poszczególnych kwalifikacji funkcjonujących w danym sektorze lub branży. Projektowanym rozporządzeniem do Zintegrowanego Systemu Kwalifikacji włącza się Sektorową Ramę Kwalifikacji w sektorze budownictwo obejmującą charakterystyki poziomów 2-8 i stanowiącą załącznik do rozporządzenia</w:t>
      </w:r>
      <w:r>
        <w:rPr>
          <w:rFonts w:ascii="Arial" w:hAnsi="Arial" w:cs="Arial"/>
        </w:rPr>
        <w:t>.</w:t>
      </w:r>
    </w:p>
    <w:p w14:paraId="0686BDEA" w14:textId="77777777" w:rsidR="007E6F92" w:rsidRDefault="007E6F92" w:rsidP="007E6F92">
      <w:pPr>
        <w:spacing w:after="0" w:line="300" w:lineRule="auto"/>
        <w:jc w:val="both"/>
        <w:rPr>
          <w:rFonts w:ascii="Arial" w:hAnsi="Arial" w:cs="Arial"/>
        </w:rPr>
      </w:pPr>
    </w:p>
    <w:p w14:paraId="067E5E26" w14:textId="77777777" w:rsidR="007E6F92" w:rsidRPr="007E6F92" w:rsidRDefault="007E6F92" w:rsidP="007E6F92">
      <w:pPr>
        <w:spacing w:after="0" w:line="300" w:lineRule="auto"/>
        <w:jc w:val="both"/>
        <w:rPr>
          <w:rFonts w:ascii="Arial" w:hAnsi="Arial" w:cs="Arial"/>
        </w:rPr>
      </w:pPr>
      <w:r w:rsidRPr="007E6F92">
        <w:rPr>
          <w:rFonts w:ascii="Arial" w:hAnsi="Arial" w:cs="Arial"/>
        </w:rPr>
        <w:t>Przedmiotowy projekt aktu prawnego wraz z Załącznikiem, Uzasadnieniem oraz Oceną Skutków Regulacji dostępny jest na stronach Rządowego Centrum Legislacji pod adresem:</w:t>
      </w:r>
    </w:p>
    <w:p w14:paraId="2F609A29" w14:textId="3A1DC562" w:rsidR="007E6F92" w:rsidRDefault="007E6F92" w:rsidP="007E6F92">
      <w:pPr>
        <w:spacing w:after="0" w:line="300" w:lineRule="auto"/>
        <w:jc w:val="both"/>
        <w:rPr>
          <w:rFonts w:ascii="Arial" w:hAnsi="Arial" w:cs="Arial"/>
        </w:rPr>
      </w:pPr>
      <w:hyperlink r:id="rId6" w:anchor="13147389" w:history="1">
        <w:r w:rsidRPr="00852E16">
          <w:rPr>
            <w:rStyle w:val="Hipercze"/>
            <w:rFonts w:ascii="Arial" w:hAnsi="Arial" w:cs="Arial"/>
          </w:rPr>
          <w:t>https://legislacja.rcl.gov.pl/projekt/12400655/katalog/13147389#13147389</w:t>
        </w:r>
      </w:hyperlink>
      <w:r>
        <w:rPr>
          <w:rFonts w:ascii="Arial" w:hAnsi="Arial" w:cs="Arial"/>
        </w:rPr>
        <w:t xml:space="preserve"> </w:t>
      </w:r>
    </w:p>
    <w:p w14:paraId="74AF435E" w14:textId="77777777" w:rsidR="007E6F92" w:rsidRDefault="007E6F92" w:rsidP="007E6F92">
      <w:pPr>
        <w:spacing w:after="0" w:line="300" w:lineRule="auto"/>
        <w:jc w:val="both"/>
        <w:rPr>
          <w:rFonts w:ascii="Arial" w:hAnsi="Arial" w:cs="Arial"/>
        </w:rPr>
      </w:pPr>
    </w:p>
    <w:p w14:paraId="3197BBE0" w14:textId="03CD7F7C" w:rsidR="007E6F92" w:rsidRDefault="007E6F92" w:rsidP="007E6F92">
      <w:pPr>
        <w:spacing w:after="0" w:line="300" w:lineRule="auto"/>
        <w:jc w:val="both"/>
        <w:rPr>
          <w:rFonts w:ascii="Arial" w:hAnsi="Arial" w:cs="Arial"/>
        </w:rPr>
      </w:pPr>
      <w:r w:rsidRPr="005C05FA">
        <w:rPr>
          <w:rFonts w:ascii="Arial" w:hAnsi="Arial" w:cs="Arial"/>
        </w:rPr>
        <w:t>Projekt jest obecnie jednocześnie na etapie uzgodnień, konsultacji publicznych i opiniowania.</w:t>
      </w:r>
    </w:p>
    <w:p w14:paraId="54A973D4" w14:textId="77777777" w:rsidR="007E6F92" w:rsidRPr="007E6F92" w:rsidRDefault="007E6F92" w:rsidP="007E6F92">
      <w:pPr>
        <w:spacing w:after="0" w:line="300" w:lineRule="auto"/>
        <w:jc w:val="both"/>
        <w:rPr>
          <w:rFonts w:ascii="Arial" w:hAnsi="Arial" w:cs="Arial"/>
        </w:rPr>
      </w:pPr>
    </w:p>
    <w:p w14:paraId="3D1231EA" w14:textId="32795DDD" w:rsidR="007E6F92" w:rsidRPr="007E6F92" w:rsidRDefault="007E6F92" w:rsidP="00D82789">
      <w:pPr>
        <w:pStyle w:val="Akapitzlist"/>
        <w:numPr>
          <w:ilvl w:val="0"/>
          <w:numId w:val="4"/>
        </w:numPr>
        <w:spacing w:after="0" w:line="300" w:lineRule="auto"/>
        <w:jc w:val="both"/>
        <w:rPr>
          <w:rFonts w:ascii="Arial" w:hAnsi="Arial" w:cs="Arial"/>
          <w:b/>
          <w:bCs/>
          <w:u w:val="single"/>
        </w:rPr>
      </w:pPr>
      <w:r w:rsidRPr="007E6F92">
        <w:rPr>
          <w:rFonts w:ascii="Arial" w:hAnsi="Arial" w:cs="Arial"/>
          <w:b/>
          <w:bCs/>
          <w:u w:val="single"/>
        </w:rPr>
        <w:t>Projekt rozporządzenia Rady Ministrów w sprawie wysokości minimalnego wynagrodzenia za pracę oraz wysokości minimalnej stawki godzinowej w 2026 roku (numer z wykazu RD224).</w:t>
      </w:r>
    </w:p>
    <w:p w14:paraId="1B7CAE98" w14:textId="77777777" w:rsidR="007E6F92" w:rsidRDefault="007E6F92" w:rsidP="007E6F92">
      <w:pPr>
        <w:spacing w:after="0"/>
        <w:rPr>
          <w:rFonts w:ascii="Arial" w:hAnsi="Arial" w:cs="Arial"/>
        </w:rPr>
      </w:pPr>
    </w:p>
    <w:p w14:paraId="49AB2A85" w14:textId="77777777" w:rsidR="007E6F92" w:rsidRPr="007E6F92" w:rsidRDefault="007E6F92" w:rsidP="007E6F92">
      <w:pPr>
        <w:spacing w:after="0"/>
        <w:jc w:val="both"/>
        <w:rPr>
          <w:rFonts w:ascii="Arial" w:hAnsi="Arial" w:cs="Arial"/>
        </w:rPr>
      </w:pPr>
      <w:r w:rsidRPr="007E6F92">
        <w:rPr>
          <w:rFonts w:ascii="Arial" w:hAnsi="Arial" w:cs="Arial"/>
        </w:rPr>
        <w:t>Projektowane rozporządzenie ustala wysokość minimalnego wynagrodzenia za pracę oraz minimalnej stawki godzinowej na 2026 r. Projekt stanowi realizację upoważnienia zawartego w art. 2 ust. 5 ustawy z dnia 10 października 2002 r. o minimalnym wynagrodzeniu za pracę (Dz. U. z 2024 r. poz. 1773), zwanej dalej „ustawą”.</w:t>
      </w:r>
    </w:p>
    <w:p w14:paraId="468AFC12" w14:textId="77777777" w:rsidR="007E6F92" w:rsidRPr="007E6F92" w:rsidRDefault="007E6F92" w:rsidP="007E6F92">
      <w:pPr>
        <w:spacing w:after="0"/>
        <w:jc w:val="both"/>
        <w:rPr>
          <w:rFonts w:ascii="Arial" w:hAnsi="Arial" w:cs="Arial"/>
        </w:rPr>
      </w:pPr>
      <w:r w:rsidRPr="007E6F92">
        <w:rPr>
          <w:rFonts w:ascii="Arial" w:hAnsi="Arial" w:cs="Arial"/>
        </w:rPr>
        <w:t>Stosownie do ww. przepisu, jeżeli Rada Dialogu Społecznego nie uzgodni wysokości minimalnego wynagrodzenia za pracę oraz minimalnej stawki godzinowej w terminie 30 dni od dnia otrzymania propozycji minimalnego wynagrodzenia za pracę oraz wysokości minimalnej stawki godzinowej dla określonych umów cywilnoprawnych na rok następny – Rada Ministrów zobowiązana jest do ustalenia tych wysokości, w drodze rozporządzenia, w terminie do dnia 15 września. Ustalone przez Radę Ministrów wysokości minimalnego wynagrodzenia za pracę oraz minimalnej stawki godzinowej nie mogą być niższe od wysokości zaproponowanych Radzie Dialogu Społecznego do negocjacji.</w:t>
      </w:r>
    </w:p>
    <w:p w14:paraId="5CF50A84" w14:textId="77777777" w:rsidR="007E6F92" w:rsidRPr="007E6F92" w:rsidRDefault="007E6F92" w:rsidP="007E6F92">
      <w:pPr>
        <w:spacing w:after="0"/>
        <w:jc w:val="both"/>
        <w:rPr>
          <w:rFonts w:ascii="Arial" w:hAnsi="Arial" w:cs="Arial"/>
        </w:rPr>
      </w:pPr>
      <w:r w:rsidRPr="007E6F92">
        <w:rPr>
          <w:rFonts w:ascii="Arial" w:hAnsi="Arial" w:cs="Arial"/>
        </w:rPr>
        <w:t>Z uwagi na fakt, że na forum Rady Dialogu Społecznego nie uzyskano porozumienia co do przyszłorocznych wysokości minimalnego wynagrodzenia za pracę oraz minimalnej stawki godzinowej, konieczne jest podjęcie prac nad ich ustaleniem w drodze rozporządzenia Rady Ministrów.</w:t>
      </w:r>
    </w:p>
    <w:p w14:paraId="3FA14AD6" w14:textId="77777777" w:rsidR="007E6F92" w:rsidRPr="007E6F92" w:rsidRDefault="007E6F92" w:rsidP="007E6F92">
      <w:pPr>
        <w:spacing w:after="0"/>
        <w:jc w:val="both"/>
        <w:rPr>
          <w:rFonts w:ascii="Arial" w:hAnsi="Arial" w:cs="Arial"/>
        </w:rPr>
      </w:pPr>
      <w:r w:rsidRPr="007E6F92">
        <w:rPr>
          <w:rFonts w:ascii="Arial" w:hAnsi="Arial" w:cs="Arial"/>
        </w:rPr>
        <w:t>W myśl art. 3 pkt 1 ustawy - jeżeli prognozowany na rok następny wskaźnik cen, o którym mowa w art. 2 ust. 2 pkt 3 ustawy (średnioroczny wskaźnik cen towarów i usług konsumpcyjnych ogółem, tj. inflacja), wynosi mniej niż 105% – ustala się jeden termin zmiany wysokości minimalnego wynagrodzenia za pracę oraz wysokości minimalnej stawki godzinowej: od dnia 1 stycznia.</w:t>
      </w:r>
    </w:p>
    <w:p w14:paraId="29C0C843" w14:textId="77777777" w:rsidR="007E6F92" w:rsidRPr="007E6F92" w:rsidRDefault="007E6F92" w:rsidP="007E6F92">
      <w:pPr>
        <w:spacing w:after="0"/>
        <w:jc w:val="both"/>
        <w:rPr>
          <w:rFonts w:ascii="Arial" w:hAnsi="Arial" w:cs="Arial"/>
        </w:rPr>
      </w:pPr>
      <w:r w:rsidRPr="007E6F92">
        <w:rPr>
          <w:rFonts w:ascii="Arial" w:hAnsi="Arial" w:cs="Arial"/>
        </w:rPr>
        <w:t xml:space="preserve">Mechanizm ustalania minimalnego wynagrodzenia za pracę określają przepisy art. 5 ww. ustawy. Gwarantują one coroczny wzrost przeciętnej wysokości minimalnego wynagrodzenia za pracę w stopniu nie niższym niż prognozowany na dany rok wzrost cen towarów i usług konsumpcyjnych ogółem. </w:t>
      </w:r>
    </w:p>
    <w:p w14:paraId="63CF87FB" w14:textId="77777777" w:rsidR="007E6F92" w:rsidRPr="007E6F92" w:rsidRDefault="007E6F92" w:rsidP="007E6F92">
      <w:pPr>
        <w:spacing w:after="0"/>
        <w:jc w:val="both"/>
        <w:rPr>
          <w:rFonts w:ascii="Arial" w:hAnsi="Arial" w:cs="Arial"/>
        </w:rPr>
      </w:pPr>
      <w:r w:rsidRPr="007E6F92">
        <w:rPr>
          <w:rFonts w:ascii="Arial" w:hAnsi="Arial" w:cs="Arial"/>
        </w:rPr>
        <w:t>Jednocześnie, jeśli w roku, w którym odbywają się negocjacje wysokość minimalnego wynagrodzenia za pracę jest niższa od połowy wysokości przeciętnego wynagrodzenia w I kwartale tego roku, gwarancja ta jest zwiększana dodatkowo o 2/3 wskaźnika prognozowanego realnego przyrostu PKB.</w:t>
      </w:r>
    </w:p>
    <w:p w14:paraId="2BA099A0" w14:textId="77777777" w:rsidR="007E6F92" w:rsidRPr="007E6F92" w:rsidRDefault="007E6F92" w:rsidP="007E6F92">
      <w:pPr>
        <w:spacing w:after="0"/>
        <w:jc w:val="both"/>
        <w:rPr>
          <w:rFonts w:ascii="Arial" w:hAnsi="Arial" w:cs="Arial"/>
        </w:rPr>
      </w:pPr>
      <w:r w:rsidRPr="007E6F92">
        <w:rPr>
          <w:rFonts w:ascii="Arial" w:hAnsi="Arial" w:cs="Arial"/>
        </w:rPr>
        <w:lastRenderedPageBreak/>
        <w:t>W przypadku, gdy w roku poprzednim rzeczywisty wzrost cen różnił się od prognozowanego, ustawa przewiduje zastosowanie mechanizmu korygującego (zastosowanie wskaźnika weryfikacyjnego w odniesieniu do wysokości minimalnego wynagrodzenia na rok przyszły, z tytułu różnicy pomiędzy rzeczywistym, a prognozowanym wzrostem cen w roku poprzedzającym rok negocjacji).</w:t>
      </w:r>
    </w:p>
    <w:p w14:paraId="4B32691D" w14:textId="77777777" w:rsidR="007E6F92" w:rsidRPr="007E6F92" w:rsidRDefault="007E6F92" w:rsidP="007E6F92">
      <w:pPr>
        <w:spacing w:after="0"/>
        <w:jc w:val="both"/>
        <w:rPr>
          <w:rFonts w:ascii="Arial" w:hAnsi="Arial" w:cs="Arial"/>
        </w:rPr>
      </w:pPr>
      <w:r w:rsidRPr="007E6F92">
        <w:rPr>
          <w:rFonts w:ascii="Arial" w:hAnsi="Arial" w:cs="Arial"/>
        </w:rPr>
        <w:t xml:space="preserve">Nie jest możliwe rozwiązanie problemu przez działanie pozalegislacyjne. W świetle przepisów ustawy, w przypadku gdy wysokość minimalnego wynagrodzenia za pracę oraz minimalnej stawki godzinowej na rok następny nie zostaną uzgodnione w ramach Rady Dialogu Społecznego, decyzję w tym zakresie podejmuje Rada Ministrów w drodze rozporządzenia. </w:t>
      </w:r>
    </w:p>
    <w:p w14:paraId="67F75D24" w14:textId="77777777" w:rsidR="007E6F92" w:rsidRPr="007E6F92" w:rsidRDefault="007E6F92" w:rsidP="007E6F92">
      <w:pPr>
        <w:spacing w:after="0"/>
        <w:jc w:val="both"/>
        <w:rPr>
          <w:rFonts w:ascii="Arial" w:hAnsi="Arial" w:cs="Arial"/>
        </w:rPr>
      </w:pPr>
      <w:r w:rsidRPr="007E6F92">
        <w:rPr>
          <w:rFonts w:ascii="Arial" w:hAnsi="Arial" w:cs="Arial"/>
        </w:rPr>
        <w:t>W ustawowym terminie nie doszło do porozumienia na forum Rady Dialogu Społecznego, zatem w przedmiotowym projekcie proponuje się ustalenie następujących wysokości obowiązujących do dnia 1 stycznia 2026 r.:</w:t>
      </w:r>
    </w:p>
    <w:p w14:paraId="17BD2597" w14:textId="3BBBE5B1" w:rsidR="007E6F92" w:rsidRPr="007E6F92" w:rsidRDefault="007E6F92" w:rsidP="007E6F92">
      <w:pPr>
        <w:pStyle w:val="Akapitzlist"/>
        <w:numPr>
          <w:ilvl w:val="0"/>
          <w:numId w:val="6"/>
        </w:numPr>
        <w:spacing w:after="0"/>
        <w:jc w:val="both"/>
        <w:rPr>
          <w:rFonts w:ascii="Arial" w:hAnsi="Arial" w:cs="Arial"/>
        </w:rPr>
      </w:pPr>
      <w:r w:rsidRPr="007E6F92">
        <w:rPr>
          <w:rFonts w:ascii="Arial" w:hAnsi="Arial" w:cs="Arial"/>
        </w:rPr>
        <w:t>minimalnego wynagrodzenia za pracę w kwocie 4806 zł,</w:t>
      </w:r>
    </w:p>
    <w:p w14:paraId="4E57E0D4" w14:textId="65EA5178" w:rsidR="007E6F92" w:rsidRPr="007E6F92" w:rsidRDefault="007E6F92" w:rsidP="007E6F92">
      <w:pPr>
        <w:pStyle w:val="Akapitzlist"/>
        <w:numPr>
          <w:ilvl w:val="0"/>
          <w:numId w:val="6"/>
        </w:numPr>
        <w:spacing w:after="0"/>
        <w:jc w:val="both"/>
        <w:rPr>
          <w:rFonts w:ascii="Arial" w:hAnsi="Arial" w:cs="Arial"/>
        </w:rPr>
      </w:pPr>
      <w:r w:rsidRPr="007E6F92">
        <w:rPr>
          <w:rFonts w:ascii="Arial" w:hAnsi="Arial" w:cs="Arial"/>
        </w:rPr>
        <w:t>minimalnej stawki godzinowej w kwocie 31,40 zł.</w:t>
      </w:r>
    </w:p>
    <w:p w14:paraId="1C591017" w14:textId="77777777" w:rsidR="007E6F92" w:rsidRPr="007E6F92" w:rsidRDefault="007E6F92" w:rsidP="007E6F92">
      <w:pPr>
        <w:spacing w:after="0"/>
        <w:jc w:val="both"/>
        <w:rPr>
          <w:rFonts w:ascii="Arial" w:hAnsi="Arial" w:cs="Arial"/>
        </w:rPr>
      </w:pPr>
      <w:r w:rsidRPr="007E6F92">
        <w:rPr>
          <w:rFonts w:ascii="Arial" w:hAnsi="Arial" w:cs="Arial"/>
        </w:rPr>
        <w:t xml:space="preserve">Wysokość minimalnego wynagrodzenia za pracę została ustalona w oparciu o warunki określone w art. 5 ustawy, tj. zwiększono kwotę minimalnego wynagrodzenia za pracę ustalonego na 2025 r. o prognozowany na 2026 r. wskaźnik cen towarów i usług konsumpcyjnych ogółem (103,0%). </w:t>
      </w:r>
    </w:p>
    <w:p w14:paraId="1FCB0B7D" w14:textId="77777777" w:rsidR="007E6F92" w:rsidRPr="007E6F92" w:rsidRDefault="007E6F92" w:rsidP="007E6F92">
      <w:pPr>
        <w:spacing w:after="0"/>
        <w:jc w:val="both"/>
        <w:rPr>
          <w:rFonts w:ascii="Arial" w:hAnsi="Arial" w:cs="Arial"/>
        </w:rPr>
      </w:pPr>
      <w:r w:rsidRPr="007E6F92">
        <w:rPr>
          <w:rFonts w:ascii="Arial" w:hAnsi="Arial" w:cs="Arial"/>
        </w:rPr>
        <w:t xml:space="preserve">Wysokość minimalnego wynagrodzenia za pracę w 2025 r. (4666 zł), od której obliczana jest wysokość przeciętnego minimalnego wynagrodzenia za pracę na 2026 r., jest wyższa niż połowa (52,1%) przeciętnego wynagrodzenia w I kwartale 2025 r. (8962,28 zł), w związku z tym przy obliczaniu ustawowego minimum w 2026 r. nie uwzględniono 2/3 prognozowanego realnego przyrostu PKB. </w:t>
      </w:r>
    </w:p>
    <w:p w14:paraId="4B8478AD" w14:textId="77777777" w:rsidR="007E6F92" w:rsidRPr="007E6F92" w:rsidRDefault="007E6F92" w:rsidP="007E6F92">
      <w:pPr>
        <w:spacing w:after="0"/>
        <w:jc w:val="both"/>
        <w:rPr>
          <w:rFonts w:ascii="Arial" w:hAnsi="Arial" w:cs="Arial"/>
        </w:rPr>
      </w:pPr>
      <w:r w:rsidRPr="007E6F92">
        <w:rPr>
          <w:rFonts w:ascii="Arial" w:hAnsi="Arial" w:cs="Arial"/>
        </w:rPr>
        <w:t>Relacja proponowanego minimalnego wynagrodzenia za pracę w 2026 r. (4806 zł) do prognozowanego na 2026 r. przeciętnego wynagrodzenia w gospodarce narodowej (9420 zł) wynosi 51,0%.</w:t>
      </w:r>
    </w:p>
    <w:p w14:paraId="6C63E100" w14:textId="34165C84" w:rsidR="007E6F92" w:rsidRPr="007E6F92" w:rsidRDefault="007E6F92" w:rsidP="007E6F92">
      <w:pPr>
        <w:spacing w:after="0"/>
        <w:jc w:val="both"/>
        <w:rPr>
          <w:rFonts w:ascii="Arial" w:hAnsi="Arial" w:cs="Arial"/>
        </w:rPr>
      </w:pPr>
      <w:r w:rsidRPr="007E6F92">
        <w:rPr>
          <w:rFonts w:ascii="Arial" w:hAnsi="Arial" w:cs="Arial"/>
        </w:rPr>
        <w:t>Dzięki wzrostowi minimalnego wynagrodzenia za pracę zostanie zachowana siła nabywcza dochodów pracowników otrzymujących najniższe wynagrodzenia.</w:t>
      </w:r>
    </w:p>
    <w:p w14:paraId="13400E99" w14:textId="77777777" w:rsidR="007E6F92" w:rsidRDefault="007E6F92" w:rsidP="007E6F92">
      <w:pPr>
        <w:spacing w:after="0" w:line="300" w:lineRule="auto"/>
        <w:jc w:val="both"/>
        <w:rPr>
          <w:rFonts w:ascii="Arial" w:hAnsi="Arial" w:cs="Arial"/>
        </w:rPr>
      </w:pPr>
    </w:p>
    <w:p w14:paraId="37AF641C" w14:textId="77777777" w:rsidR="007E6F92" w:rsidRPr="007E6F92" w:rsidRDefault="007E6F92" w:rsidP="007E6F92">
      <w:pPr>
        <w:spacing w:after="0" w:line="300" w:lineRule="auto"/>
        <w:jc w:val="both"/>
        <w:rPr>
          <w:rFonts w:ascii="Arial" w:hAnsi="Arial" w:cs="Arial"/>
        </w:rPr>
      </w:pPr>
      <w:r w:rsidRPr="007E6F92">
        <w:rPr>
          <w:rFonts w:ascii="Arial" w:hAnsi="Arial" w:cs="Arial"/>
        </w:rPr>
        <w:t>Przedmiotowy projekt aktu prawnego wraz z Uzasadnieniem oraz Oceną Skutków Regulacji dostępny jest na stronach Rządowego Centrum Legislacji pod adresem:</w:t>
      </w:r>
    </w:p>
    <w:p w14:paraId="03C4F0F7" w14:textId="4727F3E3" w:rsidR="007E6F92" w:rsidRDefault="007E6F92" w:rsidP="007E6F92">
      <w:pPr>
        <w:spacing w:after="0" w:line="300" w:lineRule="auto"/>
        <w:jc w:val="both"/>
        <w:rPr>
          <w:rFonts w:ascii="Arial" w:hAnsi="Arial" w:cs="Arial"/>
        </w:rPr>
      </w:pPr>
      <w:hyperlink r:id="rId7" w:anchor="13147840" w:history="1">
        <w:r w:rsidRPr="00852E16">
          <w:rPr>
            <w:rStyle w:val="Hipercze"/>
            <w:rFonts w:ascii="Arial" w:hAnsi="Arial" w:cs="Arial"/>
          </w:rPr>
          <w:t>https://legislacja.rcl.gov.pl/projekt/12400753/katalog/13147840#13147840</w:t>
        </w:r>
      </w:hyperlink>
      <w:r>
        <w:rPr>
          <w:rFonts w:ascii="Arial" w:hAnsi="Arial" w:cs="Arial"/>
        </w:rPr>
        <w:t xml:space="preserve"> </w:t>
      </w:r>
    </w:p>
    <w:p w14:paraId="46B75E17" w14:textId="77777777" w:rsidR="007E6F92" w:rsidRDefault="007E6F92" w:rsidP="007E6F92">
      <w:pPr>
        <w:spacing w:after="0" w:line="300" w:lineRule="auto"/>
        <w:jc w:val="both"/>
        <w:rPr>
          <w:rFonts w:ascii="Arial" w:hAnsi="Arial" w:cs="Arial"/>
        </w:rPr>
      </w:pPr>
    </w:p>
    <w:p w14:paraId="0EB6E2C3" w14:textId="09CC743D" w:rsidR="007E6F92" w:rsidRDefault="007E6F92" w:rsidP="007E6F92">
      <w:pPr>
        <w:spacing w:after="0" w:line="300" w:lineRule="auto"/>
        <w:jc w:val="both"/>
        <w:rPr>
          <w:rFonts w:ascii="Arial" w:hAnsi="Arial" w:cs="Arial"/>
        </w:rPr>
      </w:pPr>
      <w:r w:rsidRPr="007E6F92">
        <w:rPr>
          <w:rFonts w:ascii="Arial" w:hAnsi="Arial" w:cs="Arial"/>
        </w:rPr>
        <w:t>Projekt jest obecnie jednocześnie na etapie uzgodnień, konsultacji publicznych i opiniowania.</w:t>
      </w:r>
    </w:p>
    <w:p w14:paraId="66147D55" w14:textId="77777777" w:rsidR="007E6F92" w:rsidRPr="007E6F92" w:rsidRDefault="007E6F92" w:rsidP="007E6F92">
      <w:pPr>
        <w:spacing w:after="0" w:line="300" w:lineRule="auto"/>
        <w:jc w:val="both"/>
        <w:rPr>
          <w:rFonts w:ascii="Arial" w:hAnsi="Arial" w:cs="Arial"/>
        </w:rPr>
      </w:pPr>
    </w:p>
    <w:p w14:paraId="099E67CF" w14:textId="221088C3" w:rsidR="007E6F92" w:rsidRPr="007E6F92" w:rsidRDefault="007E6F92" w:rsidP="00D82789">
      <w:pPr>
        <w:pStyle w:val="Akapitzlist"/>
        <w:numPr>
          <w:ilvl w:val="0"/>
          <w:numId w:val="4"/>
        </w:numPr>
        <w:spacing w:after="0" w:line="300" w:lineRule="auto"/>
        <w:jc w:val="both"/>
        <w:rPr>
          <w:rFonts w:ascii="Arial" w:hAnsi="Arial" w:cs="Arial"/>
          <w:b/>
          <w:bCs/>
          <w:u w:val="single"/>
        </w:rPr>
      </w:pPr>
      <w:r w:rsidRPr="007E6F92">
        <w:rPr>
          <w:rFonts w:ascii="Arial" w:hAnsi="Arial" w:cs="Arial"/>
          <w:b/>
          <w:bCs/>
          <w:u w:val="single"/>
        </w:rPr>
        <w:t>Projekt rozporządzenia Ministra Funduszy i Polityki Regionalnej zmieniające rozporządzenie w sprawie udzielania regionalnej pomocy inwestycyjnej w ramach programów regionalnych na lata 2021–2027 (numer z wykazu – brak).</w:t>
      </w:r>
    </w:p>
    <w:p w14:paraId="53471EE9" w14:textId="77777777" w:rsidR="007E6F92" w:rsidRDefault="007E6F92" w:rsidP="007E6F92">
      <w:pPr>
        <w:spacing w:after="0" w:line="300" w:lineRule="auto"/>
        <w:jc w:val="both"/>
        <w:rPr>
          <w:rFonts w:ascii="Arial" w:hAnsi="Arial" w:cs="Arial"/>
        </w:rPr>
      </w:pPr>
    </w:p>
    <w:p w14:paraId="57F0629A" w14:textId="77777777" w:rsidR="007E6F92" w:rsidRPr="007E6F92" w:rsidRDefault="007E6F92" w:rsidP="007E6F92">
      <w:pPr>
        <w:spacing w:after="0" w:line="300" w:lineRule="auto"/>
        <w:jc w:val="both"/>
        <w:rPr>
          <w:rFonts w:ascii="Arial" w:hAnsi="Arial" w:cs="Arial"/>
        </w:rPr>
      </w:pPr>
      <w:r w:rsidRPr="007E6F92">
        <w:rPr>
          <w:rFonts w:ascii="Arial" w:hAnsi="Arial" w:cs="Arial"/>
        </w:rPr>
        <w:t>W związku z nowelizacją przepisów rozporządzenia Rady Ministrów z dnia 14 grudnia 2021 r. w sprawie ustalenia mapy pomocy regionalnej na lata 2022–2027 (Dz. U. poz. 2422, z późn. zm.), zwanego dalej „rozporządzeniem RM” zachodzi potrzeba dostosowania regulacji rozporządzenia Ministra Funduszy i Polityki Regionalnej z dnia 11 października 2022 r. w sprawie udzielania regionalnej pomocy inwestycyjnej w ramach programów regionalnych na lata 2021–2027 (Dz. U. poz. 2023 r. poz. 2743), dalej: „rozporządzenie MFiPR”.</w:t>
      </w:r>
    </w:p>
    <w:p w14:paraId="3C039D4A" w14:textId="77777777" w:rsidR="007E6F92" w:rsidRPr="007E6F92" w:rsidRDefault="007E6F92" w:rsidP="007E6F92">
      <w:pPr>
        <w:spacing w:after="0" w:line="300" w:lineRule="auto"/>
        <w:jc w:val="both"/>
        <w:rPr>
          <w:rFonts w:ascii="Arial" w:hAnsi="Arial" w:cs="Arial"/>
        </w:rPr>
      </w:pPr>
      <w:r w:rsidRPr="007E6F92">
        <w:rPr>
          <w:rFonts w:ascii="Arial" w:hAnsi="Arial" w:cs="Arial"/>
        </w:rPr>
        <w:lastRenderedPageBreak/>
        <w:t>Zmiany wprowadzone w rozporządzeniu RM wynikają z dokonanej dnia 3 czerwca 2024 r. zmiany komunikatu Komisji – Wytyczne w sprawie regionalnej pomocy państwa (Dz. Urz. UE C 153 z 29.04.2021, str. 1), zgodnie z którą w przypadku inwestycji objętych rozporządzeniem Parlamentu Europejskiego i Rady (UE) 2024/795 z dnia 29 lutego 2024 r. w sprawie ustanowienia Platformy na rzecz Technologii Strategicznych dla Europy (STEP) oraz zmiany dyrektywy 2003/87/WE oraz rozporządzeń (UE) 2021/1058, (UE) 2021/1056, (UE) 2021/1057, (UE) nr 1303/2013, (UE) nr 223/2014, (UE) 2021/1060, (UE) 2021/523, (UE) 2021/695, (UE) 2021/697 i (UE) 2021/241 (Dz. Urz. UE L 2024/795 29.02.2024), dalej „rozporządzenie STEP”, maksymalny poziom intensywności regionalnej pomocy inwestycyjnej zwiększa się o maksymalnie 10 punktów procentowych na obszarze, który spełnia warunki określone w art. 107 ust. 3 lit. a Traktatu o funkcjonowaniu Unii Europejskiej oraz o 5 punktów procentowych na obszarze, który spełnia warunki określone w art. 107 ust. 3 lit. c Traktatu o funkcjonowaniu Unii Europejskiej. Dotychczasowe przepisy rozporządzenia MFiPR nie obejmują swym zakresem możliwości wspierania inwestycji przyczyniających się do realizacji celów Platformy na rzecz Technologii Strategicznych dla Europy.</w:t>
      </w:r>
    </w:p>
    <w:p w14:paraId="341C8A03" w14:textId="71B5F692" w:rsidR="007E6F92" w:rsidRDefault="007E6F92" w:rsidP="007E6F92">
      <w:pPr>
        <w:spacing w:after="0" w:line="300" w:lineRule="auto"/>
        <w:jc w:val="both"/>
        <w:rPr>
          <w:rFonts w:ascii="Arial" w:hAnsi="Arial" w:cs="Arial"/>
        </w:rPr>
      </w:pPr>
      <w:r w:rsidRPr="007E6F92">
        <w:rPr>
          <w:rFonts w:ascii="Arial" w:hAnsi="Arial" w:cs="Arial"/>
        </w:rPr>
        <w:t>Zapewnienie podstawy prawnej do udzielania regionalnej pomocy inwestycyjnej w ramach regionalnych programów na lata 2021–2027 z tytułu spełnienia warunków rozporządzenia STEP. Osiągnięcie celu projektu w wyniku podjęcia działań innych niż legislacyjne nie jest możliwe.</w:t>
      </w:r>
    </w:p>
    <w:p w14:paraId="59A8DCDE" w14:textId="77777777" w:rsidR="007E6F92" w:rsidRDefault="007E6F92" w:rsidP="007E6F92">
      <w:pPr>
        <w:spacing w:after="0" w:line="300" w:lineRule="auto"/>
        <w:jc w:val="both"/>
        <w:rPr>
          <w:rFonts w:ascii="Arial" w:hAnsi="Arial" w:cs="Arial"/>
        </w:rPr>
      </w:pPr>
    </w:p>
    <w:p w14:paraId="296F59AE" w14:textId="77777777" w:rsidR="00D85F62" w:rsidRPr="00D85F62" w:rsidRDefault="00D85F62" w:rsidP="00D85F62">
      <w:pPr>
        <w:spacing w:after="0" w:line="300" w:lineRule="auto"/>
        <w:jc w:val="both"/>
        <w:rPr>
          <w:rFonts w:ascii="Arial" w:hAnsi="Arial" w:cs="Arial"/>
        </w:rPr>
      </w:pPr>
      <w:r w:rsidRPr="00D85F62">
        <w:rPr>
          <w:rFonts w:ascii="Arial" w:hAnsi="Arial" w:cs="Arial"/>
        </w:rPr>
        <w:t>Przedmiotowy projekt aktu prawnego wraz z Uzasadnieniem oraz Oceną Skutków Regulacji dostępny jest na stronach Rządowego Centrum Legislacji pod adresem:</w:t>
      </w:r>
    </w:p>
    <w:p w14:paraId="4A0C5F58" w14:textId="75EDE4A5" w:rsidR="00D85F62" w:rsidRDefault="00D85F62" w:rsidP="00D85F62">
      <w:pPr>
        <w:spacing w:after="0" w:line="300" w:lineRule="auto"/>
        <w:jc w:val="both"/>
        <w:rPr>
          <w:rFonts w:ascii="Arial" w:hAnsi="Arial" w:cs="Arial"/>
        </w:rPr>
      </w:pPr>
      <w:hyperlink r:id="rId8" w:anchor="13147794" w:history="1">
        <w:r w:rsidRPr="00852E16">
          <w:rPr>
            <w:rStyle w:val="Hipercze"/>
            <w:rFonts w:ascii="Arial" w:hAnsi="Arial" w:cs="Arial"/>
          </w:rPr>
          <w:t>https://legislacja.rcl.gov.pl/projekt/12400752/katalog/13147794#13147794</w:t>
        </w:r>
      </w:hyperlink>
      <w:r>
        <w:rPr>
          <w:rFonts w:ascii="Arial" w:hAnsi="Arial" w:cs="Arial"/>
        </w:rPr>
        <w:t xml:space="preserve"> </w:t>
      </w:r>
    </w:p>
    <w:p w14:paraId="789FA98E" w14:textId="77777777" w:rsidR="00D85F62" w:rsidRDefault="00D85F62" w:rsidP="007E6F92">
      <w:pPr>
        <w:spacing w:after="0" w:line="300" w:lineRule="auto"/>
        <w:jc w:val="both"/>
        <w:rPr>
          <w:rFonts w:ascii="Arial" w:hAnsi="Arial" w:cs="Arial"/>
        </w:rPr>
      </w:pPr>
    </w:p>
    <w:p w14:paraId="7BF792ED" w14:textId="7F3377B3" w:rsidR="00D85F62" w:rsidRDefault="00D85F62" w:rsidP="007E6F92">
      <w:pPr>
        <w:spacing w:after="0" w:line="300" w:lineRule="auto"/>
        <w:jc w:val="both"/>
        <w:rPr>
          <w:rFonts w:ascii="Arial" w:hAnsi="Arial" w:cs="Arial"/>
        </w:rPr>
      </w:pPr>
      <w:r w:rsidRPr="00D85F62">
        <w:rPr>
          <w:rFonts w:ascii="Arial" w:hAnsi="Arial" w:cs="Arial"/>
        </w:rPr>
        <w:t>Projekt jest obecnie jednocześnie na etapie uzgodnień, konsultacji publicznych i opiniowania.</w:t>
      </w:r>
    </w:p>
    <w:p w14:paraId="3AC0DA1C" w14:textId="77777777" w:rsidR="00D85F62" w:rsidRPr="007E6F92" w:rsidRDefault="00D85F62" w:rsidP="007E6F92">
      <w:pPr>
        <w:spacing w:after="0" w:line="300" w:lineRule="auto"/>
        <w:jc w:val="both"/>
        <w:rPr>
          <w:rFonts w:ascii="Arial" w:hAnsi="Arial" w:cs="Arial"/>
        </w:rPr>
      </w:pPr>
    </w:p>
    <w:p w14:paraId="3A9390B9" w14:textId="707F164E" w:rsidR="00D82789" w:rsidRPr="00D85F62" w:rsidRDefault="00D85F62" w:rsidP="00D82789">
      <w:pPr>
        <w:pStyle w:val="Akapitzlist"/>
        <w:numPr>
          <w:ilvl w:val="0"/>
          <w:numId w:val="4"/>
        </w:numPr>
        <w:spacing w:after="0" w:line="300" w:lineRule="auto"/>
        <w:jc w:val="both"/>
        <w:rPr>
          <w:rFonts w:ascii="Arial" w:hAnsi="Arial" w:cs="Arial"/>
          <w:b/>
          <w:bCs/>
          <w:u w:val="single"/>
        </w:rPr>
      </w:pPr>
      <w:r w:rsidRPr="00D85F62">
        <w:rPr>
          <w:rFonts w:ascii="Arial" w:hAnsi="Arial" w:cs="Arial"/>
          <w:b/>
          <w:bCs/>
          <w:u w:val="single"/>
        </w:rPr>
        <w:t>Projekt rozporządzenia Rady Ministrów w sprawie rocznych opłat za prawo do dysponowania częstotliwością lub prawo do wykorzystywania częstotliwości (numer z wykazu RD210).</w:t>
      </w:r>
    </w:p>
    <w:p w14:paraId="4A23D5EF" w14:textId="77777777" w:rsidR="00D82789" w:rsidRDefault="00D82789" w:rsidP="00D82789">
      <w:pPr>
        <w:spacing w:after="0" w:line="300" w:lineRule="auto"/>
        <w:jc w:val="both"/>
        <w:rPr>
          <w:rFonts w:ascii="Arial" w:hAnsi="Arial" w:cs="Arial"/>
        </w:rPr>
      </w:pPr>
    </w:p>
    <w:p w14:paraId="3A23AD0E" w14:textId="77777777" w:rsidR="00D85F62" w:rsidRPr="00D85F62" w:rsidRDefault="00D85F62" w:rsidP="00D85F62">
      <w:pPr>
        <w:spacing w:after="0" w:line="300" w:lineRule="auto"/>
        <w:jc w:val="both"/>
        <w:rPr>
          <w:rFonts w:ascii="Arial" w:hAnsi="Arial" w:cs="Arial"/>
        </w:rPr>
      </w:pPr>
      <w:r w:rsidRPr="00D85F62">
        <w:rPr>
          <w:rFonts w:ascii="Arial" w:hAnsi="Arial" w:cs="Arial"/>
        </w:rPr>
        <w:t>Projekt rozporządzenia Rady Ministrów w sprawie rocznych opłat za prawo do dysponowania częstotliwością lub prawo do wykorzystywania częstotliwości jest wydawany na podstawie art. 24 ust. 19 z dnia 12 lipca 2024 r. – Prawo komunikacji elektronicznej, zwanej dalej „PKE”.</w:t>
      </w:r>
    </w:p>
    <w:p w14:paraId="05B2C6FC" w14:textId="77777777" w:rsidR="00D85F62" w:rsidRPr="00D85F62" w:rsidRDefault="00D85F62" w:rsidP="00D85F62">
      <w:pPr>
        <w:spacing w:after="0" w:line="300" w:lineRule="auto"/>
        <w:jc w:val="both"/>
        <w:rPr>
          <w:rFonts w:ascii="Arial" w:hAnsi="Arial" w:cs="Arial"/>
        </w:rPr>
      </w:pPr>
      <w:r w:rsidRPr="00D85F62">
        <w:rPr>
          <w:rFonts w:ascii="Arial" w:hAnsi="Arial" w:cs="Arial"/>
        </w:rPr>
        <w:t>Konieczność wydania nowego rozporządzenia wynika z zastąpienia ustawy z dnia 16 lipca 2004 r. – Prawo telekomunikacyjne (Dz. U. z 2024 r. poz. 34, 731 i 834), zwanej dalej „Pt”, nową ustawą regulującą rynek komunikacji elektronicznej w Polsce – PKE. Należy przy tym zauważyć, że zgodnie z art. 104 pkt 29 lit. a ustawy z dnia 12 lipca 2024 r. – Przepisy wprowadzające ustawę – Prawo komunikacji elektronicznej (Dz. U. poz. 1222), dotychczasowe przepisy wykonawcze wydane na podstawie art. 185 ust. 11 Pt, tj. rozporządzenie Rady Ministrów z dnia 6 grudnia 2013 r. w sprawie rocznych opłat za prawo do dysponowania częstotliwością (Dz.U. z 2016 r. poz. 276, z 2017 r. poz. 2407, z 2018 r. poz. 2002 oraz z 2022 r. poz. 2513), poprzedzające procedowany projekt, zachowują moc do dnia wejścia w życie przepisów wykonawczych wydanych na podstawie art. 24 ust. 19 PKE, nie dłużej jednak niż przez 24 miesiące od dnia wejścia w życie PKE.</w:t>
      </w:r>
    </w:p>
    <w:p w14:paraId="36885D4E" w14:textId="77777777" w:rsidR="00D85F62" w:rsidRPr="00D85F62" w:rsidRDefault="00D85F62" w:rsidP="00D85F62">
      <w:pPr>
        <w:spacing w:after="0" w:line="300" w:lineRule="auto"/>
        <w:jc w:val="both"/>
        <w:rPr>
          <w:rFonts w:ascii="Arial" w:hAnsi="Arial" w:cs="Arial"/>
        </w:rPr>
      </w:pPr>
      <w:r w:rsidRPr="00D85F62">
        <w:rPr>
          <w:rFonts w:ascii="Arial" w:hAnsi="Arial" w:cs="Arial"/>
        </w:rPr>
        <w:lastRenderedPageBreak/>
        <w:t xml:space="preserve">Projekt określa wysokość, terminy i sposób uiszczania rocznych opłat za prawo do dysponowania częstotliwością lub prawo do wykorzystywania częstotliwości przez podmioty, które uzyskały prawo do dysponowania częstotliwością lub prawo do wykorzystywania częstotliwości na podstawie innej niż rezerwacja częstotliwości (np. wykorzystywanie częstotliwości czasowo, w celach eksperymentu, badań), mając na uwadze maksymalne opłaty, o których mowa w art. 24 ust. 10 PKE. Zgodnie z delegacją zawartą w art. 24 ust. 19 PKE, Rada Ministrów określi, w drodze rozporządzenia, wysokość, terminy i sposób uiszczania opłat, o których mowa w art. 24 ust. 1 PKE, mając na uwadze:  </w:t>
      </w:r>
    </w:p>
    <w:p w14:paraId="2870562D" w14:textId="29FEA38E" w:rsidR="00D85F62" w:rsidRPr="00D85F62" w:rsidRDefault="00D85F62" w:rsidP="00D85F62">
      <w:pPr>
        <w:pStyle w:val="Akapitzlist"/>
        <w:numPr>
          <w:ilvl w:val="0"/>
          <w:numId w:val="8"/>
        </w:numPr>
        <w:spacing w:after="0" w:line="300" w:lineRule="auto"/>
        <w:jc w:val="both"/>
        <w:rPr>
          <w:rFonts w:ascii="Arial" w:hAnsi="Arial" w:cs="Arial"/>
        </w:rPr>
      </w:pPr>
      <w:r w:rsidRPr="00D85F62">
        <w:rPr>
          <w:rFonts w:ascii="Arial" w:hAnsi="Arial" w:cs="Arial"/>
        </w:rPr>
        <w:t xml:space="preserve">warunki wykorzystywania częstotliwości oraz koszty prowadzenia gospodarki częstotliwościami; </w:t>
      </w:r>
    </w:p>
    <w:p w14:paraId="78A6B1D8" w14:textId="1A2B821A" w:rsidR="00D85F62" w:rsidRPr="00D85F62" w:rsidRDefault="00D85F62" w:rsidP="00D85F62">
      <w:pPr>
        <w:pStyle w:val="Akapitzlist"/>
        <w:numPr>
          <w:ilvl w:val="0"/>
          <w:numId w:val="8"/>
        </w:numPr>
        <w:spacing w:after="0" w:line="300" w:lineRule="auto"/>
        <w:jc w:val="both"/>
        <w:rPr>
          <w:rFonts w:ascii="Arial" w:hAnsi="Arial" w:cs="Arial"/>
        </w:rPr>
      </w:pPr>
      <w:r w:rsidRPr="00D85F62">
        <w:rPr>
          <w:rFonts w:ascii="Arial" w:hAnsi="Arial" w:cs="Arial"/>
        </w:rPr>
        <w:t xml:space="preserve">potrzebę zagwarantowania optymalnego i efektywnego wykorzystania zasobów częstotliwości; </w:t>
      </w:r>
    </w:p>
    <w:p w14:paraId="2E019FD5" w14:textId="168E8907" w:rsidR="00D85F62" w:rsidRPr="00D85F62" w:rsidRDefault="00D85F62" w:rsidP="00D85F62">
      <w:pPr>
        <w:pStyle w:val="Akapitzlist"/>
        <w:numPr>
          <w:ilvl w:val="0"/>
          <w:numId w:val="8"/>
        </w:numPr>
        <w:spacing w:after="0" w:line="300" w:lineRule="auto"/>
        <w:jc w:val="both"/>
        <w:rPr>
          <w:rFonts w:ascii="Arial" w:hAnsi="Arial" w:cs="Arial"/>
        </w:rPr>
      </w:pPr>
      <w:r w:rsidRPr="00D85F62">
        <w:rPr>
          <w:rFonts w:ascii="Arial" w:hAnsi="Arial" w:cs="Arial"/>
        </w:rPr>
        <w:t>konieczność stymulowania rozwoju konkurencji na rynku;</w:t>
      </w:r>
    </w:p>
    <w:p w14:paraId="0F5D8BAB" w14:textId="5FD28DB9" w:rsidR="00D85F62" w:rsidRPr="00D85F62" w:rsidRDefault="00D85F62" w:rsidP="00D85F62">
      <w:pPr>
        <w:pStyle w:val="Akapitzlist"/>
        <w:numPr>
          <w:ilvl w:val="0"/>
          <w:numId w:val="8"/>
        </w:numPr>
        <w:spacing w:after="0" w:line="300" w:lineRule="auto"/>
        <w:jc w:val="both"/>
        <w:rPr>
          <w:rFonts w:ascii="Arial" w:hAnsi="Arial" w:cs="Arial"/>
        </w:rPr>
      </w:pPr>
      <w:r w:rsidRPr="00D85F62">
        <w:rPr>
          <w:rFonts w:ascii="Arial" w:hAnsi="Arial" w:cs="Arial"/>
        </w:rPr>
        <w:t xml:space="preserve">potrzebę zapobiegania wykluczeniu informacyjnemu, w szczególności na obszarach wiejskich; </w:t>
      </w:r>
    </w:p>
    <w:p w14:paraId="12C3D812" w14:textId="6628224A" w:rsidR="00D85F62" w:rsidRPr="00D85F62" w:rsidRDefault="00D85F62" w:rsidP="00D85F62">
      <w:pPr>
        <w:pStyle w:val="Akapitzlist"/>
        <w:numPr>
          <w:ilvl w:val="0"/>
          <w:numId w:val="8"/>
        </w:numPr>
        <w:spacing w:after="0" w:line="300" w:lineRule="auto"/>
        <w:jc w:val="both"/>
        <w:rPr>
          <w:rFonts w:ascii="Arial" w:hAnsi="Arial" w:cs="Arial"/>
        </w:rPr>
      </w:pPr>
      <w:r w:rsidRPr="00D85F62">
        <w:rPr>
          <w:rFonts w:ascii="Arial" w:hAnsi="Arial" w:cs="Arial"/>
        </w:rPr>
        <w:t xml:space="preserve">specyfikę przeznaczenia i wykorzystywania częstotliwości; </w:t>
      </w:r>
    </w:p>
    <w:p w14:paraId="7E44DFCF" w14:textId="2825413E" w:rsidR="00D85F62" w:rsidRPr="00D85F62" w:rsidRDefault="00D85F62" w:rsidP="00D85F62">
      <w:pPr>
        <w:pStyle w:val="Akapitzlist"/>
        <w:numPr>
          <w:ilvl w:val="0"/>
          <w:numId w:val="8"/>
        </w:numPr>
        <w:spacing w:after="0" w:line="300" w:lineRule="auto"/>
        <w:jc w:val="both"/>
        <w:rPr>
          <w:rFonts w:ascii="Arial" w:hAnsi="Arial" w:cs="Arial"/>
        </w:rPr>
      </w:pPr>
      <w:r w:rsidRPr="00D85F62">
        <w:rPr>
          <w:rFonts w:ascii="Arial" w:hAnsi="Arial" w:cs="Arial"/>
        </w:rPr>
        <w:t>korzyści społeczne związane z wykorzystaniem danego zasobu częstotliwości.</w:t>
      </w:r>
    </w:p>
    <w:p w14:paraId="334B0E06" w14:textId="77777777" w:rsidR="00D85F62" w:rsidRPr="00D85F62" w:rsidRDefault="00D85F62" w:rsidP="00D85F62">
      <w:pPr>
        <w:spacing w:after="0" w:line="300" w:lineRule="auto"/>
        <w:jc w:val="both"/>
        <w:rPr>
          <w:rFonts w:ascii="Arial" w:hAnsi="Arial" w:cs="Arial"/>
        </w:rPr>
      </w:pPr>
      <w:r w:rsidRPr="00D85F62">
        <w:rPr>
          <w:rFonts w:ascii="Arial" w:hAnsi="Arial" w:cs="Arial"/>
        </w:rPr>
        <w:t xml:space="preserve">Rozporządzenie określa wysokość, terminy i sposób uiszczania rocznych opłat za prawo do dysponowania częstotliwością lub prawo do wykorzystywania częstotliwości przez podmioty, które uzyskały prawo do dysponowania częstotliwością lub prawo do wykorzystywania częstotliwości na podstawie innej niż rezerwacja częstotliwości, mając na uwadze limity rocznych opłat, o których mowa w art. 24 ust. 10 PKE. </w:t>
      </w:r>
    </w:p>
    <w:p w14:paraId="6165BF8A" w14:textId="77777777" w:rsidR="00D85F62" w:rsidRPr="00D85F62" w:rsidRDefault="00D85F62" w:rsidP="00D85F62">
      <w:pPr>
        <w:spacing w:after="0" w:line="300" w:lineRule="auto"/>
        <w:jc w:val="both"/>
        <w:rPr>
          <w:rFonts w:ascii="Arial" w:hAnsi="Arial" w:cs="Arial"/>
        </w:rPr>
      </w:pPr>
      <w:r w:rsidRPr="00D85F62">
        <w:rPr>
          <w:rFonts w:ascii="Arial" w:hAnsi="Arial" w:cs="Arial"/>
        </w:rPr>
        <w:t>Rozporządzenie wskazuje na podział opłat w zależności od służby radiokomunikacyjnej, w której podmiot posiada prawo do dysponowania częstotliwościami lub prawo do wykorzystywania częstotliwości i są to: służba satelitarna, służba radiolokalizacyjna, służba lotnicza oraz służba morska i żeglugi śródlądowej, służba radiodyfuzji naziemnej, służba stała i służba ruchoma lądowa. Ponadto w rozporządzeniu wskazano roczne opłaty za jedną stację radiową na obszarze morza terytorialnego lub w wyłącznej strefie ekonomicznej.</w:t>
      </w:r>
    </w:p>
    <w:p w14:paraId="1771F64A" w14:textId="77777777" w:rsidR="00D85F62" w:rsidRPr="00D85F62" w:rsidRDefault="00D85F62" w:rsidP="00D85F62">
      <w:pPr>
        <w:spacing w:after="0" w:line="300" w:lineRule="auto"/>
        <w:jc w:val="both"/>
        <w:rPr>
          <w:rFonts w:ascii="Arial" w:hAnsi="Arial" w:cs="Arial"/>
        </w:rPr>
      </w:pPr>
      <w:r w:rsidRPr="00D85F62">
        <w:rPr>
          <w:rFonts w:ascii="Arial" w:hAnsi="Arial" w:cs="Arial"/>
        </w:rPr>
        <w:t>Rozporządzenie reguluje kwestie dotyczące ponoszenia opłat za prawo do dysponowania częstotliwością lub ją wykorzystuje na tym samym obszarze w różnych rodzajach służb radiokomunikacyjnych lub w różnych typach systemów wykorzystywanych w tych służbach a także wskazuje na kwestie dotyczące opłat za prawo do dysponowania częstotliwością lub wykorzystywania częstotliwości na zasadach współużytkowania z innym podmiotem. Ponadto rozporządzenie określa terminy regulowania należności z tytułu za prawa do dysponowania częstotliwością lub prawa do wykorzystywania częstotliwości przez podmioty.</w:t>
      </w:r>
    </w:p>
    <w:p w14:paraId="45F12C9B" w14:textId="0A02309B" w:rsidR="00D85F62" w:rsidRPr="00042C7F" w:rsidRDefault="00D85F62" w:rsidP="00D85F62">
      <w:pPr>
        <w:spacing w:after="0" w:line="300" w:lineRule="auto"/>
        <w:jc w:val="both"/>
        <w:rPr>
          <w:rFonts w:ascii="Arial" w:hAnsi="Arial" w:cs="Arial"/>
        </w:rPr>
      </w:pPr>
      <w:r w:rsidRPr="00D85F62">
        <w:rPr>
          <w:rFonts w:ascii="Arial" w:hAnsi="Arial" w:cs="Arial"/>
        </w:rPr>
        <w:t>Cel projektu może zostać osiągnięty jedynie za pomocą środków o charakterze legislacyjnym.</w:t>
      </w:r>
    </w:p>
    <w:p w14:paraId="5BD30BA9" w14:textId="77777777" w:rsidR="00D82789" w:rsidRDefault="00D82789" w:rsidP="00D82789">
      <w:pPr>
        <w:spacing w:after="0" w:line="300" w:lineRule="auto"/>
        <w:jc w:val="both"/>
        <w:rPr>
          <w:rFonts w:ascii="Arial" w:hAnsi="Arial" w:cs="Arial"/>
        </w:rPr>
      </w:pPr>
    </w:p>
    <w:p w14:paraId="5211BE76" w14:textId="77777777" w:rsidR="00D85F62" w:rsidRPr="00D85F62" w:rsidRDefault="00D85F62" w:rsidP="00D85F62">
      <w:pPr>
        <w:spacing w:after="0" w:line="300" w:lineRule="auto"/>
        <w:jc w:val="both"/>
        <w:rPr>
          <w:rFonts w:ascii="Arial" w:hAnsi="Arial" w:cs="Arial"/>
        </w:rPr>
      </w:pPr>
      <w:r w:rsidRPr="00D85F62">
        <w:rPr>
          <w:rFonts w:ascii="Arial" w:hAnsi="Arial" w:cs="Arial"/>
        </w:rPr>
        <w:t>Przedmiotowy projekt aktu prawnego wraz z Uzasadnieniem oraz Oceną Skutków Regulacji dostępny jest na stronach Rządowego Centrum Legislacji pod adresem:</w:t>
      </w:r>
    </w:p>
    <w:p w14:paraId="7E3BE2EE" w14:textId="2EBCF327" w:rsidR="00D85F62" w:rsidRDefault="00D85F62" w:rsidP="00D85F62">
      <w:pPr>
        <w:spacing w:after="0" w:line="300" w:lineRule="auto"/>
        <w:jc w:val="both"/>
        <w:rPr>
          <w:rFonts w:ascii="Arial" w:hAnsi="Arial" w:cs="Arial"/>
        </w:rPr>
      </w:pPr>
      <w:hyperlink r:id="rId9" w:anchor="13148507" w:history="1">
        <w:r w:rsidRPr="00852E16">
          <w:rPr>
            <w:rStyle w:val="Hipercze"/>
            <w:rFonts w:ascii="Arial" w:hAnsi="Arial" w:cs="Arial"/>
          </w:rPr>
          <w:t>https://legislacja.rcl.gov.pl/projekt/12400851/katalog/13148507#13148507</w:t>
        </w:r>
      </w:hyperlink>
      <w:r>
        <w:rPr>
          <w:rFonts w:ascii="Arial" w:hAnsi="Arial" w:cs="Arial"/>
        </w:rPr>
        <w:t xml:space="preserve"> </w:t>
      </w:r>
    </w:p>
    <w:p w14:paraId="269AF7BF" w14:textId="77777777" w:rsidR="00D85F62" w:rsidRDefault="00D85F62" w:rsidP="00D82789">
      <w:pPr>
        <w:spacing w:after="0" w:line="300" w:lineRule="auto"/>
        <w:jc w:val="both"/>
        <w:rPr>
          <w:rFonts w:ascii="Arial" w:hAnsi="Arial" w:cs="Arial"/>
        </w:rPr>
      </w:pPr>
    </w:p>
    <w:p w14:paraId="208E18FB" w14:textId="1A5499B0" w:rsidR="00D85F62" w:rsidRDefault="00D85F62" w:rsidP="00D82789">
      <w:pPr>
        <w:spacing w:after="0" w:line="300" w:lineRule="auto"/>
        <w:jc w:val="both"/>
        <w:rPr>
          <w:rFonts w:ascii="Arial" w:hAnsi="Arial" w:cs="Arial"/>
        </w:rPr>
      </w:pPr>
      <w:r w:rsidRPr="00D85F62">
        <w:rPr>
          <w:rFonts w:ascii="Arial" w:hAnsi="Arial" w:cs="Arial"/>
        </w:rPr>
        <w:t>Projekt jest obecnie jednocześnie na etapie uzgodnień, konsultacji publicznych i opiniowania.</w:t>
      </w:r>
    </w:p>
    <w:p w14:paraId="375B4102" w14:textId="77777777" w:rsidR="00D85F62" w:rsidRDefault="00D85F62" w:rsidP="00D82789">
      <w:pPr>
        <w:spacing w:after="0" w:line="300" w:lineRule="auto"/>
        <w:jc w:val="both"/>
        <w:rPr>
          <w:rFonts w:ascii="Arial" w:hAnsi="Arial" w:cs="Arial"/>
        </w:rPr>
      </w:pPr>
    </w:p>
    <w:p w14:paraId="36AC294C" w14:textId="77777777" w:rsidR="00D85F62" w:rsidRDefault="00D85F62" w:rsidP="00D82789">
      <w:pPr>
        <w:spacing w:after="0" w:line="300" w:lineRule="auto"/>
        <w:jc w:val="both"/>
        <w:rPr>
          <w:rFonts w:ascii="Arial" w:hAnsi="Arial" w:cs="Arial"/>
        </w:rPr>
      </w:pPr>
    </w:p>
    <w:p w14:paraId="798F7E87" w14:textId="77777777" w:rsidR="00D85F62" w:rsidRPr="00D85F62" w:rsidRDefault="00D85F62" w:rsidP="00D85F62">
      <w:pPr>
        <w:spacing w:after="0" w:line="300" w:lineRule="auto"/>
        <w:jc w:val="both"/>
        <w:rPr>
          <w:rFonts w:ascii="Arial" w:hAnsi="Arial" w:cs="Arial"/>
          <w:b/>
          <w:bCs/>
        </w:rPr>
      </w:pPr>
      <w:r w:rsidRPr="00D85F62">
        <w:rPr>
          <w:rFonts w:ascii="Arial" w:hAnsi="Arial" w:cs="Arial"/>
          <w:b/>
          <w:bCs/>
        </w:rPr>
        <w:lastRenderedPageBreak/>
        <w:t>II. Stanowiska Związku Pracodawców Polska Miedź</w:t>
      </w:r>
    </w:p>
    <w:p w14:paraId="10F5E932" w14:textId="77777777" w:rsidR="00D85F62" w:rsidRPr="00D85F62" w:rsidRDefault="00D85F62" w:rsidP="00D85F62">
      <w:pPr>
        <w:spacing w:after="0" w:line="300" w:lineRule="auto"/>
        <w:jc w:val="both"/>
        <w:rPr>
          <w:rFonts w:ascii="Arial" w:hAnsi="Arial" w:cs="Arial"/>
        </w:rPr>
      </w:pPr>
    </w:p>
    <w:p w14:paraId="44FFE939" w14:textId="77777777" w:rsidR="00D85F62" w:rsidRPr="00D85F62" w:rsidRDefault="00D85F62" w:rsidP="00D85F62">
      <w:pPr>
        <w:spacing w:after="0" w:line="300" w:lineRule="auto"/>
        <w:jc w:val="both"/>
        <w:rPr>
          <w:rFonts w:ascii="Arial" w:hAnsi="Arial" w:cs="Arial"/>
        </w:rPr>
      </w:pPr>
      <w:r w:rsidRPr="00D85F62">
        <w:rPr>
          <w:rFonts w:ascii="Arial" w:hAnsi="Arial" w:cs="Arial"/>
        </w:rPr>
        <w:t>Na podstawie opinii i ekspertyz podmiotów członkowskich Związku Pracodawców Polska Miedź przygotowano jedno stanowisko do opublikowanych projektów aktów prawnych oraz dokumentów strategicznych.</w:t>
      </w:r>
    </w:p>
    <w:p w14:paraId="28A3032E" w14:textId="77777777" w:rsidR="00D85F62" w:rsidRPr="00D85F62" w:rsidRDefault="00D85F62" w:rsidP="00D85F62">
      <w:pPr>
        <w:spacing w:after="0" w:line="300" w:lineRule="auto"/>
        <w:jc w:val="both"/>
        <w:rPr>
          <w:rFonts w:ascii="Arial" w:hAnsi="Arial" w:cs="Arial"/>
        </w:rPr>
      </w:pPr>
    </w:p>
    <w:p w14:paraId="10BDBC87" w14:textId="0C849A75" w:rsidR="00D85F62" w:rsidRPr="00D85F62" w:rsidRDefault="00D85F62" w:rsidP="00D85F62">
      <w:pPr>
        <w:spacing w:after="0" w:line="300" w:lineRule="auto"/>
        <w:jc w:val="both"/>
        <w:rPr>
          <w:rFonts w:ascii="Arial" w:hAnsi="Arial" w:cs="Arial"/>
        </w:rPr>
      </w:pPr>
      <w:r w:rsidRPr="00D85F62">
        <w:rPr>
          <w:rFonts w:ascii="Arial" w:hAnsi="Arial" w:cs="Arial"/>
        </w:rPr>
        <w:t xml:space="preserve">Stanowisko Związku Pracodawców Polska Miedź (uwagi Związku Pracodawców Polska Miedź) do projektu ustawy o zmianie ustawy – Prawo oświatowe oraz niektórych innych ustaw. </w:t>
      </w:r>
    </w:p>
    <w:p w14:paraId="59F63F17" w14:textId="77777777" w:rsidR="00D85F62" w:rsidRPr="00D85F62" w:rsidRDefault="00D85F62" w:rsidP="00D85F62">
      <w:pPr>
        <w:spacing w:after="0" w:line="300" w:lineRule="auto"/>
        <w:jc w:val="both"/>
        <w:rPr>
          <w:rFonts w:ascii="Arial" w:hAnsi="Arial" w:cs="Arial"/>
        </w:rPr>
      </w:pPr>
    </w:p>
    <w:p w14:paraId="56DF2A19" w14:textId="3730FE5B" w:rsidR="00D85F62" w:rsidRPr="00D85F62" w:rsidRDefault="00D85F62" w:rsidP="00D85F62">
      <w:pPr>
        <w:spacing w:after="0" w:line="300" w:lineRule="auto"/>
        <w:jc w:val="both"/>
        <w:rPr>
          <w:rFonts w:ascii="Arial" w:hAnsi="Arial" w:cs="Arial"/>
        </w:rPr>
      </w:pPr>
      <w:r w:rsidRPr="00D85F62">
        <w:rPr>
          <w:rFonts w:ascii="Arial" w:hAnsi="Arial" w:cs="Arial"/>
        </w:rPr>
        <w:t xml:space="preserve">Projekt z dnia </w:t>
      </w:r>
      <w:r w:rsidR="00E66D65">
        <w:rPr>
          <w:rFonts w:ascii="Arial" w:hAnsi="Arial" w:cs="Arial"/>
        </w:rPr>
        <w:t>8</w:t>
      </w:r>
      <w:r w:rsidRPr="00D85F62">
        <w:rPr>
          <w:rFonts w:ascii="Arial" w:hAnsi="Arial" w:cs="Arial"/>
        </w:rPr>
        <w:t>.0</w:t>
      </w:r>
      <w:r w:rsidR="00E66D65">
        <w:rPr>
          <w:rFonts w:ascii="Arial" w:hAnsi="Arial" w:cs="Arial"/>
        </w:rPr>
        <w:t>7</w:t>
      </w:r>
      <w:r w:rsidRPr="00D85F62">
        <w:rPr>
          <w:rFonts w:ascii="Arial" w:hAnsi="Arial" w:cs="Arial"/>
        </w:rPr>
        <w:t xml:space="preserve">.2025 roku, opublikowany na stronie BIP Rządowego Centrum Legislacji w dniu </w:t>
      </w:r>
      <w:r>
        <w:rPr>
          <w:rFonts w:ascii="Arial" w:hAnsi="Arial" w:cs="Arial"/>
        </w:rPr>
        <w:t>8</w:t>
      </w:r>
      <w:r w:rsidRPr="00D85F62">
        <w:rPr>
          <w:rFonts w:ascii="Arial" w:hAnsi="Arial" w:cs="Arial"/>
        </w:rPr>
        <w:t>.0</w:t>
      </w:r>
      <w:r>
        <w:rPr>
          <w:rFonts w:ascii="Arial" w:hAnsi="Arial" w:cs="Arial"/>
        </w:rPr>
        <w:t>7</w:t>
      </w:r>
      <w:r w:rsidRPr="00D85F62">
        <w:rPr>
          <w:rFonts w:ascii="Arial" w:hAnsi="Arial" w:cs="Arial"/>
        </w:rPr>
        <w:t>.2025 roku. (UD</w:t>
      </w:r>
      <w:r>
        <w:rPr>
          <w:rFonts w:ascii="Arial" w:hAnsi="Arial" w:cs="Arial"/>
        </w:rPr>
        <w:t>222</w:t>
      </w:r>
      <w:r w:rsidRPr="00D85F62">
        <w:rPr>
          <w:rFonts w:ascii="Arial" w:hAnsi="Arial" w:cs="Arial"/>
        </w:rPr>
        <w:t xml:space="preserve"> w Wykazie prac legislacyjnych i programowych Rady Ministrów).</w:t>
      </w:r>
    </w:p>
    <w:p w14:paraId="4A5EEBA1" w14:textId="77777777" w:rsidR="00D85F62" w:rsidRPr="00D85F62" w:rsidRDefault="00D85F62" w:rsidP="00D85F62">
      <w:pPr>
        <w:spacing w:after="0" w:line="300" w:lineRule="auto"/>
        <w:jc w:val="both"/>
        <w:rPr>
          <w:rFonts w:ascii="Arial" w:hAnsi="Arial" w:cs="Arial"/>
        </w:rPr>
      </w:pPr>
    </w:p>
    <w:p w14:paraId="5B2C6093" w14:textId="021FFF02" w:rsidR="00D82789" w:rsidRPr="00042C7F" w:rsidRDefault="00D85F62" w:rsidP="00D85F62">
      <w:pPr>
        <w:spacing w:after="0" w:line="300" w:lineRule="auto"/>
        <w:jc w:val="both"/>
        <w:rPr>
          <w:rFonts w:ascii="Arial" w:hAnsi="Arial" w:cs="Arial"/>
        </w:rPr>
      </w:pPr>
      <w:r w:rsidRPr="00D85F62">
        <w:rPr>
          <w:rFonts w:ascii="Arial" w:hAnsi="Arial" w:cs="Arial"/>
        </w:rPr>
        <w:t xml:space="preserve">Przedmiotowe stanowisko zostało przesłane do Ministerstwa </w:t>
      </w:r>
      <w:r w:rsidR="00566323">
        <w:rPr>
          <w:rFonts w:ascii="Arial" w:hAnsi="Arial" w:cs="Arial"/>
        </w:rPr>
        <w:t>Edukacji</w:t>
      </w:r>
      <w:r w:rsidRPr="00D85F62">
        <w:rPr>
          <w:rFonts w:ascii="Arial" w:hAnsi="Arial" w:cs="Arial"/>
        </w:rPr>
        <w:t xml:space="preserve"> oraz reprezentatywnych organizacji pracodawców, z którymi Związek Pracodawców Polska Miedź</w:t>
      </w:r>
    </w:p>
    <w:p w14:paraId="5081C1C4" w14:textId="77777777" w:rsidR="00D82789" w:rsidRPr="00CC391D" w:rsidRDefault="00D82789" w:rsidP="00D85F62">
      <w:pPr>
        <w:spacing w:after="0" w:line="300" w:lineRule="auto"/>
        <w:jc w:val="both"/>
        <w:rPr>
          <w:rFonts w:ascii="Arial" w:hAnsi="Arial" w:cs="Arial"/>
          <w:bCs/>
        </w:rPr>
      </w:pPr>
    </w:p>
    <w:p w14:paraId="1CF3584B" w14:textId="77777777" w:rsidR="00D82789" w:rsidRPr="00CB4A6E" w:rsidRDefault="00D82789" w:rsidP="00D85F62">
      <w:pPr>
        <w:spacing w:after="0" w:line="300" w:lineRule="auto"/>
        <w:jc w:val="both"/>
        <w:rPr>
          <w:rFonts w:ascii="Arial" w:hAnsi="Arial" w:cs="Arial"/>
        </w:rPr>
      </w:pPr>
    </w:p>
    <w:p w14:paraId="3E8EF1CA" w14:textId="05B91FC1" w:rsidR="00D82789" w:rsidRDefault="00D82789" w:rsidP="00D82789">
      <w:pPr>
        <w:spacing w:after="0" w:line="300" w:lineRule="auto"/>
        <w:jc w:val="both"/>
        <w:rPr>
          <w:rFonts w:ascii="Arial" w:hAnsi="Arial" w:cs="Arial"/>
          <w:b/>
        </w:rPr>
      </w:pPr>
      <w:r>
        <w:rPr>
          <w:rFonts w:ascii="Arial" w:hAnsi="Arial" w:cs="Arial"/>
          <w:b/>
        </w:rPr>
        <w:t>I</w:t>
      </w:r>
      <w:r w:rsidR="00D85F62">
        <w:rPr>
          <w:rFonts w:ascii="Arial" w:hAnsi="Arial" w:cs="Arial"/>
          <w:b/>
        </w:rPr>
        <w:t>I</w:t>
      </w:r>
      <w:r>
        <w:rPr>
          <w:rFonts w:ascii="Arial" w:hAnsi="Arial" w:cs="Arial"/>
          <w:b/>
        </w:rPr>
        <w:t>I. Ogłoszone akty prawne (Dziennik Ustaw RP)</w:t>
      </w:r>
    </w:p>
    <w:p w14:paraId="0CDEA33C" w14:textId="77777777" w:rsidR="00D82789" w:rsidRDefault="00D82789" w:rsidP="00D82789">
      <w:pPr>
        <w:spacing w:after="0" w:line="300" w:lineRule="auto"/>
        <w:jc w:val="both"/>
        <w:rPr>
          <w:rFonts w:ascii="Arial" w:hAnsi="Arial" w:cs="Arial"/>
        </w:rPr>
      </w:pPr>
    </w:p>
    <w:p w14:paraId="5428E7E6" w14:textId="1CAC0B85" w:rsidR="00D82789" w:rsidRDefault="00D82789" w:rsidP="00D82789">
      <w:pPr>
        <w:spacing w:after="0" w:line="300" w:lineRule="auto"/>
        <w:jc w:val="both"/>
        <w:rPr>
          <w:rFonts w:ascii="Arial" w:hAnsi="Arial" w:cs="Arial"/>
        </w:rPr>
      </w:pPr>
      <w:r>
        <w:rPr>
          <w:rFonts w:ascii="Arial" w:hAnsi="Arial" w:cs="Arial"/>
        </w:rPr>
        <w:t xml:space="preserve">W analizowanym okresie ogłoszono </w:t>
      </w:r>
      <w:r w:rsidR="00566323">
        <w:rPr>
          <w:rFonts w:ascii="Arial" w:hAnsi="Arial" w:cs="Arial"/>
        </w:rPr>
        <w:t>39</w:t>
      </w:r>
      <w:r>
        <w:rPr>
          <w:rFonts w:ascii="Arial" w:hAnsi="Arial" w:cs="Arial"/>
        </w:rPr>
        <w:t xml:space="preserve"> akt</w:t>
      </w:r>
      <w:r w:rsidR="00566323">
        <w:rPr>
          <w:rFonts w:ascii="Arial" w:hAnsi="Arial" w:cs="Arial"/>
        </w:rPr>
        <w:t>ów</w:t>
      </w:r>
      <w:r>
        <w:rPr>
          <w:rFonts w:ascii="Arial" w:hAnsi="Arial" w:cs="Arial"/>
        </w:rPr>
        <w:t xml:space="preserve"> prawn</w:t>
      </w:r>
      <w:r w:rsidR="00566323">
        <w:rPr>
          <w:rFonts w:ascii="Arial" w:hAnsi="Arial" w:cs="Arial"/>
        </w:rPr>
        <w:t>ych</w:t>
      </w:r>
      <w:r>
        <w:rPr>
          <w:rFonts w:ascii="Arial" w:hAnsi="Arial" w:cs="Arial"/>
        </w:rPr>
        <w:t>, tzn. ustaw, rozporządze</w:t>
      </w:r>
      <w:r w:rsidR="00566323">
        <w:rPr>
          <w:rFonts w:ascii="Arial" w:hAnsi="Arial" w:cs="Arial"/>
        </w:rPr>
        <w:t>ń</w:t>
      </w:r>
      <w:r>
        <w:rPr>
          <w:rFonts w:ascii="Arial" w:hAnsi="Arial" w:cs="Arial"/>
        </w:rPr>
        <w:t xml:space="preserve"> Rady Ministrów, Prezesa Rady Ministrów i poszczególnych ministrów, obwieszcze</w:t>
      </w:r>
      <w:r w:rsidR="00566323">
        <w:rPr>
          <w:rFonts w:ascii="Arial" w:hAnsi="Arial" w:cs="Arial"/>
        </w:rPr>
        <w:t>ń</w:t>
      </w:r>
      <w:r>
        <w:rPr>
          <w:rFonts w:ascii="Arial" w:hAnsi="Arial" w:cs="Arial"/>
        </w:rPr>
        <w:t xml:space="preserve"> w sprawie ogłoszenia tekstu jednolitego. Z powyższych publikacji w zainteresowaniu pracodawców i przedsiębiorców znaleźć się mogą następujące akty prawne:</w:t>
      </w:r>
    </w:p>
    <w:p w14:paraId="405537C0" w14:textId="77777777" w:rsidR="00D82789" w:rsidRDefault="00D82789" w:rsidP="00D82789">
      <w:pPr>
        <w:spacing w:after="0" w:line="300" w:lineRule="auto"/>
        <w:jc w:val="both"/>
        <w:rPr>
          <w:rFonts w:ascii="Arial" w:hAnsi="Arial" w:cs="Arial"/>
        </w:rPr>
      </w:pPr>
    </w:p>
    <w:p w14:paraId="20488862" w14:textId="5059EF9A" w:rsidR="00D82789" w:rsidRPr="0056290A" w:rsidRDefault="00AE04A3" w:rsidP="00D82789">
      <w:pPr>
        <w:pStyle w:val="Akapitzlist"/>
        <w:numPr>
          <w:ilvl w:val="0"/>
          <w:numId w:val="2"/>
        </w:numPr>
        <w:spacing w:after="0" w:line="300" w:lineRule="auto"/>
        <w:ind w:left="426" w:hanging="426"/>
        <w:jc w:val="both"/>
        <w:rPr>
          <w:rFonts w:ascii="Arial" w:hAnsi="Arial" w:cs="Arial"/>
          <w:b/>
          <w:bCs/>
          <w:u w:val="single"/>
        </w:rPr>
      </w:pPr>
      <w:r w:rsidRPr="0056290A">
        <w:rPr>
          <w:rFonts w:ascii="Arial" w:hAnsi="Arial" w:cs="Arial"/>
          <w:b/>
          <w:bCs/>
          <w:u w:val="single"/>
        </w:rPr>
        <w:t>Ustawa z dnia 25 lipca 2025 r. o zmianie ustawy o podatku od spadków i darowizn.</w:t>
      </w:r>
    </w:p>
    <w:p w14:paraId="6DC3F49E" w14:textId="77777777" w:rsidR="00AE04A3" w:rsidRDefault="00AE04A3" w:rsidP="00AE04A3">
      <w:pPr>
        <w:spacing w:after="0" w:line="300" w:lineRule="auto"/>
        <w:jc w:val="both"/>
        <w:rPr>
          <w:rFonts w:ascii="Arial" w:eastAsia="Times New Roman" w:hAnsi="Arial" w:cs="Arial"/>
          <w:lang w:eastAsia="pl-PL"/>
        </w:rPr>
      </w:pPr>
    </w:p>
    <w:p w14:paraId="19A4E3F5" w14:textId="2A0AB226" w:rsidR="00D82789" w:rsidRPr="00AE04A3" w:rsidRDefault="00D82789" w:rsidP="00AE04A3">
      <w:pPr>
        <w:spacing w:after="0" w:line="300" w:lineRule="auto"/>
        <w:jc w:val="both"/>
        <w:rPr>
          <w:rFonts w:ascii="Arial" w:eastAsia="Times New Roman" w:hAnsi="Arial" w:cs="Arial"/>
          <w:lang w:eastAsia="pl-PL"/>
        </w:rPr>
      </w:pPr>
      <w:r w:rsidRPr="00AE04A3">
        <w:rPr>
          <w:rFonts w:ascii="Arial" w:eastAsia="Times New Roman" w:hAnsi="Arial" w:cs="Arial"/>
          <w:lang w:eastAsia="pl-PL"/>
        </w:rPr>
        <w:t xml:space="preserve">Powyższy akt prawny ogłoszony został </w:t>
      </w:r>
      <w:r w:rsidR="00AE04A3">
        <w:rPr>
          <w:rFonts w:ascii="Arial" w:eastAsia="Times New Roman" w:hAnsi="Arial" w:cs="Arial"/>
          <w:lang w:eastAsia="pl-PL"/>
        </w:rPr>
        <w:t>5 sierpnia</w:t>
      </w:r>
      <w:r w:rsidRPr="00AE04A3">
        <w:rPr>
          <w:rFonts w:ascii="Arial" w:eastAsia="Times New Roman" w:hAnsi="Arial" w:cs="Arial"/>
          <w:lang w:eastAsia="pl-PL"/>
        </w:rPr>
        <w:t xml:space="preserve"> 20</w:t>
      </w:r>
      <w:r w:rsidR="00AE04A3">
        <w:rPr>
          <w:rFonts w:ascii="Arial" w:eastAsia="Times New Roman" w:hAnsi="Arial" w:cs="Arial"/>
          <w:lang w:eastAsia="pl-PL"/>
        </w:rPr>
        <w:t>25</w:t>
      </w:r>
      <w:r w:rsidRPr="00AE04A3">
        <w:rPr>
          <w:rFonts w:ascii="Arial" w:eastAsia="Times New Roman" w:hAnsi="Arial" w:cs="Arial"/>
          <w:lang w:eastAsia="pl-PL"/>
        </w:rPr>
        <w:t xml:space="preserve"> roku w Dzienniku Ustaw (Dz.U. z 202</w:t>
      </w:r>
      <w:r w:rsidR="00AE04A3">
        <w:rPr>
          <w:rFonts w:ascii="Arial" w:eastAsia="Times New Roman" w:hAnsi="Arial" w:cs="Arial"/>
          <w:lang w:eastAsia="pl-PL"/>
        </w:rPr>
        <w:t>5</w:t>
      </w:r>
      <w:r w:rsidRPr="00AE04A3">
        <w:rPr>
          <w:rFonts w:ascii="Arial" w:eastAsia="Times New Roman" w:hAnsi="Arial" w:cs="Arial"/>
          <w:lang w:eastAsia="pl-PL"/>
        </w:rPr>
        <w:t xml:space="preserve">, poz. </w:t>
      </w:r>
      <w:r w:rsidR="00AE04A3">
        <w:rPr>
          <w:rFonts w:ascii="Arial" w:eastAsia="Times New Roman" w:hAnsi="Arial" w:cs="Arial"/>
          <w:lang w:eastAsia="pl-PL"/>
        </w:rPr>
        <w:t>1064</w:t>
      </w:r>
      <w:r w:rsidRPr="00AE04A3">
        <w:rPr>
          <w:rFonts w:ascii="Arial" w:eastAsia="Times New Roman" w:hAnsi="Arial" w:cs="Arial"/>
          <w:lang w:eastAsia="pl-PL"/>
        </w:rPr>
        <w:t>).</w:t>
      </w:r>
    </w:p>
    <w:p w14:paraId="6C26AD0A" w14:textId="77777777" w:rsidR="00AE04A3" w:rsidRDefault="00AE04A3" w:rsidP="00AE04A3">
      <w:pPr>
        <w:spacing w:after="0" w:line="300" w:lineRule="auto"/>
        <w:jc w:val="both"/>
        <w:rPr>
          <w:rFonts w:ascii="Arial" w:eastAsia="Times New Roman" w:hAnsi="Arial" w:cs="Arial"/>
          <w:lang w:eastAsia="pl-PL"/>
        </w:rPr>
      </w:pPr>
    </w:p>
    <w:p w14:paraId="6607B9F6" w14:textId="77777777" w:rsidR="00AE04A3" w:rsidRDefault="00AE04A3" w:rsidP="00AE04A3">
      <w:pPr>
        <w:spacing w:after="0" w:line="300" w:lineRule="auto"/>
        <w:jc w:val="both"/>
        <w:rPr>
          <w:rFonts w:ascii="Arial" w:eastAsia="Times New Roman" w:hAnsi="Arial" w:cs="Arial"/>
          <w:lang w:eastAsia="pl-PL"/>
        </w:rPr>
      </w:pPr>
      <w:r w:rsidRPr="00AE04A3">
        <w:rPr>
          <w:rFonts w:ascii="Arial" w:eastAsia="Times New Roman" w:hAnsi="Arial" w:cs="Arial"/>
          <w:lang w:eastAsia="pl-PL"/>
        </w:rPr>
        <w:t xml:space="preserve">Ustawa wprowadza zmiany w ustawie z dnia 28 lipca 1983 r. o podatku od spadków i darowizn (Dz. U. z 2024 r. poz. 1837 oraz z 2025 r. poz. 769). Zasadniczym celem ustawy, zgodnie z uzasadnieniem do projektu ustawy, jest uproszczenie rozliczania podatku w przypadku nabycia prawa majątkowego polegającego na obowiązku świadczeń powtarzających się na rzecz nabywcy, a także ułatwienie i przyspieszenie obrotu majątkiem nabytym tytułem spadku lub w inny nieodpłatny sposób, objęty zakresem ustawy, w formie aktu notarialnego lub od osób z kręgu najbliższej rodziny. </w:t>
      </w:r>
    </w:p>
    <w:p w14:paraId="378875AC" w14:textId="77777777" w:rsidR="00AE04A3" w:rsidRDefault="00AE04A3" w:rsidP="00AE04A3">
      <w:pPr>
        <w:spacing w:after="0" w:line="300" w:lineRule="auto"/>
        <w:jc w:val="both"/>
        <w:rPr>
          <w:rFonts w:ascii="Arial" w:eastAsia="Times New Roman" w:hAnsi="Arial" w:cs="Arial"/>
          <w:lang w:eastAsia="pl-PL"/>
        </w:rPr>
      </w:pPr>
      <w:r w:rsidRPr="00AE04A3">
        <w:rPr>
          <w:rFonts w:ascii="Arial" w:eastAsia="Times New Roman" w:hAnsi="Arial" w:cs="Arial"/>
          <w:lang w:eastAsia="pl-PL"/>
        </w:rPr>
        <w:t xml:space="preserve">Nowelizacja wprowadza regulacje, w myśl których jeżeli przedmiotem nabycia jest prawo majątkowe polegające na obowiązku świadczeń powtarzających się na rzecz nabywcy tego prawa, obowiązek podatkowy powstaje z chwilą: </w:t>
      </w:r>
    </w:p>
    <w:p w14:paraId="55CB3151" w14:textId="77777777" w:rsidR="00AE04A3" w:rsidRDefault="00AE04A3" w:rsidP="00AE04A3">
      <w:pPr>
        <w:spacing w:after="0" w:line="300" w:lineRule="auto"/>
        <w:jc w:val="both"/>
        <w:rPr>
          <w:rFonts w:ascii="Arial" w:eastAsia="Times New Roman" w:hAnsi="Arial" w:cs="Arial"/>
          <w:lang w:eastAsia="pl-PL"/>
        </w:rPr>
      </w:pPr>
      <w:r w:rsidRPr="00AE04A3">
        <w:rPr>
          <w:rFonts w:ascii="Arial" w:eastAsia="Times New Roman" w:hAnsi="Arial" w:cs="Arial"/>
          <w:lang w:eastAsia="pl-PL"/>
        </w:rPr>
        <w:t xml:space="preserve">a) ustanowienia tych świadczeń – w przypadku gdy wartość świadczeń powtarzających się za cały okres trwania obowiązku tych świadczeń jest ustalona na dzień ich ustanowienia albo została uprawdopodobniona, za zgodą podatnika, przez naczelnika urzędu skarbowego,  </w:t>
      </w:r>
    </w:p>
    <w:p w14:paraId="1971ED3A" w14:textId="77777777" w:rsidR="00AE04A3" w:rsidRDefault="00AE04A3" w:rsidP="00AE04A3">
      <w:pPr>
        <w:spacing w:after="0" w:line="300" w:lineRule="auto"/>
        <w:jc w:val="both"/>
        <w:rPr>
          <w:rFonts w:ascii="Arial" w:eastAsia="Times New Roman" w:hAnsi="Arial" w:cs="Arial"/>
          <w:lang w:eastAsia="pl-PL"/>
        </w:rPr>
      </w:pPr>
      <w:r w:rsidRPr="00AE04A3">
        <w:rPr>
          <w:rFonts w:ascii="Arial" w:eastAsia="Times New Roman" w:hAnsi="Arial" w:cs="Arial"/>
          <w:lang w:eastAsia="pl-PL"/>
        </w:rPr>
        <w:t xml:space="preserve">b) wykonania poszczególnych świadczeń – w pozostałych przypadkach. </w:t>
      </w:r>
    </w:p>
    <w:p w14:paraId="0C8C4319" w14:textId="77777777" w:rsidR="00AE04A3" w:rsidRDefault="00AE04A3" w:rsidP="00AE04A3">
      <w:pPr>
        <w:spacing w:after="0" w:line="300" w:lineRule="auto"/>
        <w:jc w:val="both"/>
        <w:rPr>
          <w:rFonts w:ascii="Arial" w:eastAsia="Times New Roman" w:hAnsi="Arial" w:cs="Arial"/>
          <w:lang w:eastAsia="pl-PL"/>
        </w:rPr>
      </w:pPr>
      <w:r w:rsidRPr="00AE04A3">
        <w:rPr>
          <w:rFonts w:ascii="Arial" w:eastAsia="Times New Roman" w:hAnsi="Arial" w:cs="Arial"/>
          <w:lang w:eastAsia="pl-PL"/>
        </w:rPr>
        <w:t xml:space="preserve">Ustawa stanowi nadto, że przy ustalaniu wartości prawa majątkowego polegającego na obowiązku świadczeń powtarzających się na rzecz nabywcy tego prawa przyjmuje się: </w:t>
      </w:r>
    </w:p>
    <w:p w14:paraId="46293E6A" w14:textId="77777777" w:rsidR="00AE04A3" w:rsidRDefault="00AE04A3" w:rsidP="00AE04A3">
      <w:pPr>
        <w:spacing w:after="0" w:line="300" w:lineRule="auto"/>
        <w:jc w:val="both"/>
        <w:rPr>
          <w:rFonts w:ascii="Arial" w:eastAsia="Times New Roman" w:hAnsi="Arial" w:cs="Arial"/>
          <w:lang w:eastAsia="pl-PL"/>
        </w:rPr>
      </w:pPr>
      <w:r w:rsidRPr="00AE04A3">
        <w:rPr>
          <w:rFonts w:ascii="Arial" w:eastAsia="Times New Roman" w:hAnsi="Arial" w:cs="Arial"/>
          <w:lang w:eastAsia="pl-PL"/>
        </w:rPr>
        <w:lastRenderedPageBreak/>
        <w:t xml:space="preserve">a) łączną wartość świadczeń powtarzających się za okres, na jaki zostały ustanowione, a jeżeli zostały ustanowione na czas nieokreślony – za okres 10 lat, w przypadku gdy wartość świadczeń powtarzających się jest ustalona na dzień ich ustanowienia za cały okres trwania obowiązku tych świadczeń; </w:t>
      </w:r>
    </w:p>
    <w:p w14:paraId="02A8ACDF" w14:textId="77777777" w:rsidR="00AE04A3" w:rsidRDefault="00AE04A3" w:rsidP="00AE04A3">
      <w:pPr>
        <w:spacing w:after="0" w:line="300" w:lineRule="auto"/>
        <w:jc w:val="both"/>
        <w:rPr>
          <w:rFonts w:ascii="Arial" w:eastAsia="Times New Roman" w:hAnsi="Arial" w:cs="Arial"/>
          <w:lang w:eastAsia="pl-PL"/>
        </w:rPr>
      </w:pPr>
      <w:r w:rsidRPr="00AE04A3">
        <w:rPr>
          <w:rFonts w:ascii="Arial" w:eastAsia="Times New Roman" w:hAnsi="Arial" w:cs="Arial"/>
          <w:lang w:eastAsia="pl-PL"/>
        </w:rPr>
        <w:t xml:space="preserve">b) łączną uprawdopodobnioną wartość świadczeń powtarzających się za okres, na jaki zostały ustanowione, a jeżeli zostały ustanowione na czas nieokreślony – za okres 10 lat, w przypadku gdy wartość świadczeń powtarzających się nie jest ustalona na dzień ich ustanowienia za cały okres trwania obowiązku tych świadczeń, a naczelnik urzędu skarbowego, za zgodą podatnika, uprawdopodobni ich wartość; </w:t>
      </w:r>
    </w:p>
    <w:p w14:paraId="44D0BE4F" w14:textId="77777777" w:rsidR="00AE04A3" w:rsidRDefault="00AE04A3" w:rsidP="00AE04A3">
      <w:pPr>
        <w:spacing w:after="0" w:line="300" w:lineRule="auto"/>
        <w:jc w:val="both"/>
        <w:rPr>
          <w:rFonts w:ascii="Arial" w:eastAsia="Times New Roman" w:hAnsi="Arial" w:cs="Arial"/>
          <w:lang w:eastAsia="pl-PL"/>
        </w:rPr>
      </w:pPr>
      <w:r w:rsidRPr="00AE04A3">
        <w:rPr>
          <w:rFonts w:ascii="Arial" w:eastAsia="Times New Roman" w:hAnsi="Arial" w:cs="Arial"/>
          <w:lang w:eastAsia="pl-PL"/>
        </w:rPr>
        <w:t xml:space="preserve">c) wartość poszczególnych świadczeń w przypadkach innych niż wskazane powyżej. </w:t>
      </w:r>
    </w:p>
    <w:p w14:paraId="0311418F" w14:textId="77777777" w:rsidR="00AE04A3" w:rsidRDefault="00AE04A3" w:rsidP="00AE04A3">
      <w:pPr>
        <w:spacing w:after="0" w:line="300" w:lineRule="auto"/>
        <w:jc w:val="both"/>
        <w:rPr>
          <w:rFonts w:ascii="Arial" w:eastAsia="Times New Roman" w:hAnsi="Arial" w:cs="Arial"/>
          <w:lang w:eastAsia="pl-PL"/>
        </w:rPr>
      </w:pPr>
      <w:r w:rsidRPr="00AE04A3">
        <w:rPr>
          <w:rFonts w:ascii="Arial" w:eastAsia="Times New Roman" w:hAnsi="Arial" w:cs="Arial"/>
          <w:lang w:eastAsia="pl-PL"/>
        </w:rPr>
        <w:t xml:space="preserve">Ustawa zawiera również przepis przejściowy, zgodnie z którym do praw majątkowych polegających na obowiązku świadczeń powtarzających się, użytkowania i służebności ustanowionych przed dniem wejścia w życie niniejszej ustawy stosuje się przepisy dotychczasowe. </w:t>
      </w:r>
    </w:p>
    <w:p w14:paraId="2C8A866B" w14:textId="19CC012B" w:rsidR="00AE04A3" w:rsidRDefault="00AE04A3" w:rsidP="00AE04A3">
      <w:pPr>
        <w:spacing w:after="0" w:line="300" w:lineRule="auto"/>
        <w:jc w:val="both"/>
        <w:rPr>
          <w:rFonts w:ascii="Arial" w:eastAsia="Times New Roman" w:hAnsi="Arial" w:cs="Arial"/>
          <w:lang w:eastAsia="pl-PL"/>
        </w:rPr>
      </w:pPr>
      <w:r w:rsidRPr="00AE04A3">
        <w:rPr>
          <w:rFonts w:ascii="Arial" w:eastAsia="Times New Roman" w:hAnsi="Arial" w:cs="Arial"/>
          <w:lang w:eastAsia="pl-PL"/>
        </w:rPr>
        <w:t>Druga grupa zmian dotyczy obrotu majątkiem nabytym tytułem spadku lub w inny nieodpłatny sposób objęty zakresem przedmiotowym podatku od spadków i darowizn. W obowiązującym stanie prawnym notariusze mogą dokonywać czynności notarialnych, w których przedmiotem obrotu lub obciążenia są rzeczy lub prawa majątkowe nabyte przez zbywcę tytułem spadku lub w inny nieodpłatny sposób objęty zakresem ustawy o podatku od spadków i darowizn tylko wtedy, gdy zbywca przedstawi zaświadczenie wydane przez naczelnika urzędu skarbowego. Zaświadczenie to ma potwierdzać, że nabycie jest zwolnione od podatku, że należny podatek został zapłacony albo że zobowiązanie podatkowe wygasło wskutek przedawnienia. Zaświadczenie stanowi zatem zabezpieczenie przed wyzbyciem się majątku przez podatników w tych przypadkach, gdy uchylają się oni od zapłaty podatku. Wprowadzane przepisy znoszą powyższy wymóg w przypadku nabycia rzeczy lub praw majątkowych, mających być przedmiotem czynności notarialnej, gdy nabycie nastąpiło na podstawie umowy zawartej w formie aktu notarialnego lub było zwolnione od podatku od spadków i darowizn (zwolnienie dotyczące członków najbliższej rodziny). Znowelizowany przepis będzie miał zastosowanie do zbywanych bądź obciążanych rzeczy lub praw majątkowych nabytych po dniu 31 grudnia 2006 r</w:t>
      </w:r>
      <w:r>
        <w:rPr>
          <w:rFonts w:ascii="Arial" w:eastAsia="Times New Roman" w:hAnsi="Arial" w:cs="Arial"/>
          <w:lang w:eastAsia="pl-PL"/>
        </w:rPr>
        <w:t>oku</w:t>
      </w:r>
      <w:r w:rsidRPr="00AE04A3">
        <w:rPr>
          <w:rFonts w:ascii="Arial" w:eastAsia="Times New Roman" w:hAnsi="Arial" w:cs="Arial"/>
          <w:lang w:eastAsia="pl-PL"/>
        </w:rPr>
        <w:t xml:space="preserve">. </w:t>
      </w:r>
    </w:p>
    <w:p w14:paraId="75482EC5" w14:textId="77777777" w:rsidR="00AE04A3" w:rsidRDefault="00AE04A3" w:rsidP="00AE04A3">
      <w:pPr>
        <w:spacing w:after="0" w:line="300" w:lineRule="auto"/>
        <w:jc w:val="both"/>
        <w:rPr>
          <w:rFonts w:ascii="Arial" w:eastAsia="Times New Roman" w:hAnsi="Arial" w:cs="Arial"/>
          <w:lang w:eastAsia="pl-PL"/>
        </w:rPr>
      </w:pPr>
    </w:p>
    <w:p w14:paraId="0D631748" w14:textId="0B5980C5" w:rsidR="00D82789" w:rsidRPr="00AE04A3" w:rsidRDefault="00AE04A3" w:rsidP="00AE04A3">
      <w:pPr>
        <w:spacing w:after="0" w:line="300" w:lineRule="auto"/>
        <w:jc w:val="both"/>
        <w:rPr>
          <w:rFonts w:ascii="Arial" w:hAnsi="Arial" w:cs="Arial"/>
        </w:rPr>
      </w:pPr>
      <w:r w:rsidRPr="00AE04A3">
        <w:rPr>
          <w:rFonts w:ascii="Arial" w:eastAsia="Times New Roman" w:hAnsi="Arial" w:cs="Arial"/>
          <w:lang w:eastAsia="pl-PL"/>
        </w:rPr>
        <w:t>Ustawa wchodzi w życie po upływie 14 dni od dnia ogłoszenia</w:t>
      </w:r>
      <w:r w:rsidR="00D82789" w:rsidRPr="00AE04A3">
        <w:rPr>
          <w:rStyle w:val="markedcontent"/>
          <w:rFonts w:ascii="Arial" w:hAnsi="Arial" w:cs="Arial"/>
        </w:rPr>
        <w:t>.</w:t>
      </w:r>
    </w:p>
    <w:p w14:paraId="2D80D650" w14:textId="77777777" w:rsidR="00D82789" w:rsidRDefault="00D82789" w:rsidP="00D82789">
      <w:pPr>
        <w:spacing w:after="0" w:line="300" w:lineRule="auto"/>
        <w:jc w:val="both"/>
        <w:rPr>
          <w:rFonts w:ascii="Arial" w:hAnsi="Arial" w:cs="Arial"/>
        </w:rPr>
      </w:pPr>
    </w:p>
    <w:p w14:paraId="42AA7488" w14:textId="18677F20" w:rsidR="00D82789" w:rsidRPr="004305D9" w:rsidRDefault="004305D9" w:rsidP="00D82789">
      <w:pPr>
        <w:pStyle w:val="Akapitzlist"/>
        <w:numPr>
          <w:ilvl w:val="0"/>
          <w:numId w:val="2"/>
        </w:numPr>
        <w:spacing w:after="0" w:line="300" w:lineRule="auto"/>
        <w:ind w:left="426" w:hanging="426"/>
        <w:jc w:val="both"/>
        <w:rPr>
          <w:rFonts w:ascii="Arial" w:eastAsia="Times New Roman" w:hAnsi="Arial" w:cs="Arial"/>
          <w:b/>
          <w:bCs/>
          <w:u w:val="single"/>
          <w:lang w:eastAsia="pl-PL"/>
        </w:rPr>
      </w:pPr>
      <w:r w:rsidRPr="004305D9">
        <w:rPr>
          <w:rFonts w:ascii="Arial" w:hAnsi="Arial" w:cs="Arial"/>
          <w:b/>
          <w:bCs/>
          <w:u w:val="single"/>
        </w:rPr>
        <w:t>Rozporządzenie Ministra Energii z dnia 1 sierpnia 2025 r. w sprawie parametrów aukcji głównej dla roku dostaw 2030 oraz parametrów aukcji dodatkowych dla roku dostaw 2027, a także parametrów aukcji wstępnych do tych aukcji.</w:t>
      </w:r>
    </w:p>
    <w:p w14:paraId="5164E00C" w14:textId="77777777" w:rsidR="0056290A" w:rsidRDefault="0056290A" w:rsidP="0056290A">
      <w:pPr>
        <w:spacing w:after="0" w:line="300" w:lineRule="auto"/>
        <w:jc w:val="both"/>
        <w:rPr>
          <w:rFonts w:ascii="Arial" w:eastAsia="Times New Roman" w:hAnsi="Arial" w:cs="Arial"/>
          <w:lang w:eastAsia="pl-PL"/>
        </w:rPr>
      </w:pPr>
    </w:p>
    <w:p w14:paraId="20456B76" w14:textId="1DD2B75F" w:rsidR="00D82789" w:rsidRPr="00287656" w:rsidRDefault="00D82789" w:rsidP="0056290A">
      <w:pPr>
        <w:spacing w:after="0" w:line="300" w:lineRule="auto"/>
        <w:jc w:val="both"/>
        <w:rPr>
          <w:rFonts w:ascii="Arial" w:eastAsia="Times New Roman" w:hAnsi="Arial" w:cs="Arial"/>
          <w:lang w:eastAsia="pl-PL"/>
        </w:rPr>
      </w:pPr>
      <w:r w:rsidRPr="00287656">
        <w:rPr>
          <w:rFonts w:ascii="Arial" w:eastAsia="Times New Roman" w:hAnsi="Arial" w:cs="Arial"/>
          <w:lang w:eastAsia="pl-PL"/>
        </w:rPr>
        <w:t>Powyższy akt prawny o</w:t>
      </w:r>
      <w:r>
        <w:rPr>
          <w:rFonts w:ascii="Arial" w:eastAsia="Times New Roman" w:hAnsi="Arial" w:cs="Arial"/>
          <w:lang w:eastAsia="pl-PL"/>
        </w:rPr>
        <w:t>głoszony</w:t>
      </w:r>
      <w:r w:rsidRPr="00287656">
        <w:rPr>
          <w:rFonts w:ascii="Arial" w:eastAsia="Times New Roman" w:hAnsi="Arial" w:cs="Arial"/>
          <w:lang w:eastAsia="pl-PL"/>
        </w:rPr>
        <w:t xml:space="preserve"> został </w:t>
      </w:r>
      <w:r w:rsidR="004305D9">
        <w:rPr>
          <w:rFonts w:ascii="Arial" w:eastAsia="Times New Roman" w:hAnsi="Arial" w:cs="Arial"/>
          <w:lang w:eastAsia="pl-PL"/>
        </w:rPr>
        <w:t>5 sierpnia</w:t>
      </w:r>
      <w:r w:rsidRPr="00287656">
        <w:rPr>
          <w:rFonts w:ascii="Arial" w:eastAsia="Times New Roman" w:hAnsi="Arial" w:cs="Arial"/>
          <w:lang w:eastAsia="pl-PL"/>
        </w:rPr>
        <w:t xml:space="preserve"> 20</w:t>
      </w:r>
      <w:r w:rsidR="004305D9">
        <w:rPr>
          <w:rFonts w:ascii="Arial" w:eastAsia="Times New Roman" w:hAnsi="Arial" w:cs="Arial"/>
          <w:lang w:eastAsia="pl-PL"/>
        </w:rPr>
        <w:t>25</w:t>
      </w:r>
      <w:r w:rsidRPr="00287656">
        <w:rPr>
          <w:rFonts w:ascii="Arial" w:eastAsia="Times New Roman" w:hAnsi="Arial" w:cs="Arial"/>
          <w:lang w:eastAsia="pl-PL"/>
        </w:rPr>
        <w:t xml:space="preserve"> roku w Dzienniku Ustaw (Dz.U. z 202</w:t>
      </w:r>
      <w:r w:rsidR="004305D9">
        <w:rPr>
          <w:rFonts w:ascii="Arial" w:eastAsia="Times New Roman" w:hAnsi="Arial" w:cs="Arial"/>
          <w:lang w:eastAsia="pl-PL"/>
        </w:rPr>
        <w:t>5</w:t>
      </w:r>
      <w:r w:rsidRPr="00287656">
        <w:rPr>
          <w:rFonts w:ascii="Arial" w:eastAsia="Times New Roman" w:hAnsi="Arial" w:cs="Arial"/>
          <w:lang w:eastAsia="pl-PL"/>
        </w:rPr>
        <w:t xml:space="preserve">, poz. </w:t>
      </w:r>
      <w:r w:rsidR="004305D9">
        <w:rPr>
          <w:rFonts w:ascii="Arial" w:eastAsia="Times New Roman" w:hAnsi="Arial" w:cs="Arial"/>
          <w:lang w:eastAsia="pl-PL"/>
        </w:rPr>
        <w:t>1066</w:t>
      </w:r>
      <w:r w:rsidRPr="00287656">
        <w:rPr>
          <w:rFonts w:ascii="Arial" w:eastAsia="Times New Roman" w:hAnsi="Arial" w:cs="Arial"/>
          <w:lang w:eastAsia="pl-PL"/>
        </w:rPr>
        <w:t>).</w:t>
      </w:r>
    </w:p>
    <w:p w14:paraId="2C9A2C92" w14:textId="77777777" w:rsidR="0056290A" w:rsidRDefault="0056290A" w:rsidP="0056290A">
      <w:pPr>
        <w:spacing w:after="0" w:line="300" w:lineRule="auto"/>
        <w:jc w:val="both"/>
        <w:rPr>
          <w:rFonts w:ascii="Arial" w:eastAsia="Times New Roman" w:hAnsi="Arial" w:cs="Arial"/>
          <w:lang w:eastAsia="pl-PL"/>
        </w:rPr>
      </w:pPr>
    </w:p>
    <w:p w14:paraId="3B5D43E1" w14:textId="77777777" w:rsidR="0056290A" w:rsidRPr="0056290A" w:rsidRDefault="0056290A" w:rsidP="0056290A">
      <w:pPr>
        <w:spacing w:after="0" w:line="300" w:lineRule="auto"/>
        <w:jc w:val="both"/>
        <w:rPr>
          <w:rFonts w:ascii="Arial" w:eastAsia="Times New Roman" w:hAnsi="Arial" w:cs="Arial"/>
          <w:lang w:eastAsia="pl-PL"/>
        </w:rPr>
      </w:pPr>
      <w:r w:rsidRPr="0056290A">
        <w:rPr>
          <w:rFonts w:ascii="Arial" w:eastAsia="Times New Roman" w:hAnsi="Arial" w:cs="Arial"/>
          <w:lang w:eastAsia="pl-PL"/>
        </w:rPr>
        <w:t xml:space="preserve">Zgodnie z upoważnieniem ustawowym zawartym w art. 34 ust. 1 ustawy z dnia 8 grudnia 2017 r. o rynku mocy (Dz. U. z 2025 r. poz. 610), zwanej dalej „ustawą”, minister właściwy do spraw energii określa w drodze rozporządzenia parametry najbliższej aukcji głównej i najbliższych aukcji dodatkowych oraz aukcji wstępnych do tych aukcji. Oznacza to każdorazową </w:t>
      </w:r>
      <w:r w:rsidRPr="0056290A">
        <w:rPr>
          <w:rFonts w:ascii="Arial" w:eastAsia="Times New Roman" w:hAnsi="Arial" w:cs="Arial"/>
          <w:lang w:eastAsia="pl-PL"/>
        </w:rPr>
        <w:lastRenderedPageBreak/>
        <w:t>konieczność wskazania parametrów aukcji, które nie są zawarte bezpośrednio w ustawie ani innych aktach wykonawczych czy regulaminie rynku mocy. Rozporządzenie musi być wydawane corocznie w zakresie: parametrów aukcji głównych – na 5 lat przed okresem dostaw, parametrów aukcji dodatkowych – na 2 lata przed okresem dostaw (w tym parametrów aukcji wstępnych do tych aukcji). Bez publikacji parametrów niemożliwe jest przeprowadzenie najbliższych aukcji mocy, co może skutkować przerwami w dostawach do wszystkich odbiorców energii.</w:t>
      </w:r>
    </w:p>
    <w:p w14:paraId="54A0F157" w14:textId="6D221112" w:rsidR="0056290A" w:rsidRPr="0056290A" w:rsidRDefault="0056290A" w:rsidP="0056290A">
      <w:pPr>
        <w:spacing w:after="0" w:line="300" w:lineRule="auto"/>
        <w:jc w:val="both"/>
        <w:rPr>
          <w:rFonts w:ascii="Arial" w:eastAsia="Times New Roman" w:hAnsi="Arial" w:cs="Arial"/>
          <w:lang w:eastAsia="pl-PL"/>
        </w:rPr>
      </w:pPr>
      <w:r>
        <w:rPr>
          <w:rFonts w:ascii="Arial" w:eastAsia="Times New Roman" w:hAnsi="Arial" w:cs="Arial"/>
          <w:lang w:eastAsia="pl-PL"/>
        </w:rPr>
        <w:t>R</w:t>
      </w:r>
      <w:r w:rsidRPr="0056290A">
        <w:rPr>
          <w:rFonts w:ascii="Arial" w:eastAsia="Times New Roman" w:hAnsi="Arial" w:cs="Arial"/>
          <w:lang w:eastAsia="pl-PL"/>
        </w:rPr>
        <w:t>ozporządzenie dotyczy określenia parametrów aukcji głównej dla roku dostaw 2030, przeprowadzanej w 2025 r., oraz parametrów aukcji dodatkowych dla wszystkich kwartałów roku dostaw 2027, przeprowadzanych w 2026 r., a także parametrów aukcji wstępnych do tych aukcji.</w:t>
      </w:r>
    </w:p>
    <w:p w14:paraId="5D50E4CB" w14:textId="5B094681" w:rsidR="0056290A" w:rsidRPr="0056290A" w:rsidRDefault="0056290A" w:rsidP="0056290A">
      <w:pPr>
        <w:spacing w:after="0" w:line="300" w:lineRule="auto"/>
        <w:jc w:val="both"/>
        <w:rPr>
          <w:rFonts w:ascii="Arial" w:eastAsia="Times New Roman" w:hAnsi="Arial" w:cs="Arial"/>
          <w:lang w:eastAsia="pl-PL"/>
        </w:rPr>
      </w:pPr>
      <w:r w:rsidRPr="0056290A">
        <w:rPr>
          <w:rFonts w:ascii="Arial" w:eastAsia="Times New Roman" w:hAnsi="Arial" w:cs="Arial"/>
          <w:lang w:eastAsia="pl-PL"/>
        </w:rPr>
        <w:t xml:space="preserve">Zgodnie z art. 32 ust. 1 ustawy </w:t>
      </w:r>
      <w:r w:rsidR="004305D9">
        <w:rPr>
          <w:rFonts w:ascii="Arial" w:eastAsia="Times New Roman" w:hAnsi="Arial" w:cs="Arial"/>
          <w:lang w:eastAsia="pl-PL"/>
        </w:rPr>
        <w:t xml:space="preserve">rozporządzenie określa następujące </w:t>
      </w:r>
      <w:r w:rsidRPr="0056290A">
        <w:rPr>
          <w:rFonts w:ascii="Arial" w:eastAsia="Times New Roman" w:hAnsi="Arial" w:cs="Arial"/>
          <w:lang w:eastAsia="pl-PL"/>
        </w:rPr>
        <w:t>parametr</w:t>
      </w:r>
      <w:r w:rsidR="004305D9">
        <w:rPr>
          <w:rFonts w:ascii="Arial" w:eastAsia="Times New Roman" w:hAnsi="Arial" w:cs="Arial"/>
          <w:lang w:eastAsia="pl-PL"/>
        </w:rPr>
        <w:t>y</w:t>
      </w:r>
      <w:r w:rsidRPr="0056290A">
        <w:rPr>
          <w:rFonts w:ascii="Arial" w:eastAsia="Times New Roman" w:hAnsi="Arial" w:cs="Arial"/>
          <w:lang w:eastAsia="pl-PL"/>
        </w:rPr>
        <w:t xml:space="preserve"> aukcji głównej:</w:t>
      </w:r>
    </w:p>
    <w:p w14:paraId="01184856" w14:textId="77777777" w:rsidR="0056290A" w:rsidRPr="0056290A" w:rsidRDefault="0056290A" w:rsidP="0056290A">
      <w:pPr>
        <w:pStyle w:val="Akapitzlist"/>
        <w:numPr>
          <w:ilvl w:val="0"/>
          <w:numId w:val="10"/>
        </w:numPr>
        <w:spacing w:after="0" w:line="300" w:lineRule="auto"/>
        <w:ind w:left="567" w:hanging="283"/>
        <w:jc w:val="both"/>
        <w:rPr>
          <w:rFonts w:ascii="Arial" w:eastAsia="Times New Roman" w:hAnsi="Arial" w:cs="Arial"/>
          <w:lang w:eastAsia="pl-PL"/>
        </w:rPr>
      </w:pPr>
      <w:r w:rsidRPr="0056290A">
        <w:rPr>
          <w:rFonts w:ascii="Arial" w:eastAsia="Times New Roman" w:hAnsi="Arial" w:cs="Arial"/>
          <w:lang w:eastAsia="pl-PL"/>
        </w:rPr>
        <w:t>wielkości wyznaczające popyt w aukcji, tj. zapotrzebowanie na moc, cena wejścia na rynek nowej jednostki wytwórczej, współczynnik zwiększający tę cenę, parametr wyznaczający wielkość mocy poniżej zapotrzebowania na moc, dla której cena osiąga wartość maksymalną oraz parametr wyznaczający wielkość mocy ponad zapotrzebowanie na moc, dla której cena osiąga wartość minimalną;</w:t>
      </w:r>
    </w:p>
    <w:p w14:paraId="1B9BCCA8" w14:textId="77777777" w:rsidR="0056290A" w:rsidRPr="0056290A" w:rsidRDefault="0056290A" w:rsidP="0056290A">
      <w:pPr>
        <w:pStyle w:val="Akapitzlist"/>
        <w:numPr>
          <w:ilvl w:val="0"/>
          <w:numId w:val="10"/>
        </w:numPr>
        <w:spacing w:after="0" w:line="300" w:lineRule="auto"/>
        <w:ind w:left="567" w:hanging="283"/>
        <w:jc w:val="both"/>
        <w:rPr>
          <w:rFonts w:ascii="Arial" w:eastAsia="Times New Roman" w:hAnsi="Arial" w:cs="Arial"/>
          <w:lang w:eastAsia="pl-PL"/>
        </w:rPr>
      </w:pPr>
      <w:r w:rsidRPr="0056290A">
        <w:rPr>
          <w:rFonts w:ascii="Arial" w:eastAsia="Times New Roman" w:hAnsi="Arial" w:cs="Arial"/>
          <w:lang w:eastAsia="pl-PL"/>
        </w:rPr>
        <w:t>cena maksymalna określona dla cenobiorcy, wyznaczona na podstawie kapitałowych i operacyjnych kosztów stałych;</w:t>
      </w:r>
    </w:p>
    <w:p w14:paraId="43071276" w14:textId="77777777" w:rsidR="0056290A" w:rsidRPr="0056290A" w:rsidRDefault="0056290A" w:rsidP="0056290A">
      <w:pPr>
        <w:pStyle w:val="Akapitzlist"/>
        <w:numPr>
          <w:ilvl w:val="0"/>
          <w:numId w:val="10"/>
        </w:numPr>
        <w:spacing w:after="0" w:line="300" w:lineRule="auto"/>
        <w:ind w:left="567" w:hanging="283"/>
        <w:jc w:val="both"/>
        <w:rPr>
          <w:rFonts w:ascii="Arial" w:eastAsia="Times New Roman" w:hAnsi="Arial" w:cs="Arial"/>
          <w:lang w:eastAsia="pl-PL"/>
        </w:rPr>
      </w:pPr>
      <w:r w:rsidRPr="0056290A">
        <w:rPr>
          <w:rFonts w:ascii="Arial" w:eastAsia="Times New Roman" w:hAnsi="Arial" w:cs="Arial"/>
          <w:lang w:eastAsia="pl-PL"/>
        </w:rPr>
        <w:t>maksymalna liczba rund aukcji;</w:t>
      </w:r>
    </w:p>
    <w:p w14:paraId="015C1E83" w14:textId="77777777" w:rsidR="0056290A" w:rsidRPr="0056290A" w:rsidRDefault="0056290A" w:rsidP="0056290A">
      <w:pPr>
        <w:pStyle w:val="Akapitzlist"/>
        <w:numPr>
          <w:ilvl w:val="0"/>
          <w:numId w:val="10"/>
        </w:numPr>
        <w:spacing w:after="0" w:line="300" w:lineRule="auto"/>
        <w:ind w:left="567" w:hanging="283"/>
        <w:jc w:val="both"/>
        <w:rPr>
          <w:rFonts w:ascii="Arial" w:eastAsia="Times New Roman" w:hAnsi="Arial" w:cs="Arial"/>
          <w:lang w:eastAsia="pl-PL"/>
        </w:rPr>
      </w:pPr>
      <w:r w:rsidRPr="0056290A">
        <w:rPr>
          <w:rFonts w:ascii="Arial" w:eastAsia="Times New Roman" w:hAnsi="Arial" w:cs="Arial"/>
          <w:lang w:eastAsia="pl-PL"/>
        </w:rPr>
        <w:t>jednostkowe poziomy nakładów inwestycyjnych odniesione do mocy osiągalnej netto, warunkujące kwalifikację jednostki rynku mocy jako:</w:t>
      </w:r>
    </w:p>
    <w:p w14:paraId="460B3718" w14:textId="77777777" w:rsidR="0056290A" w:rsidRPr="0056290A" w:rsidRDefault="0056290A" w:rsidP="0056290A">
      <w:pPr>
        <w:pStyle w:val="Akapitzlist"/>
        <w:numPr>
          <w:ilvl w:val="0"/>
          <w:numId w:val="11"/>
        </w:numPr>
        <w:spacing w:after="0" w:line="300" w:lineRule="auto"/>
        <w:ind w:left="993" w:hanging="284"/>
        <w:jc w:val="both"/>
        <w:rPr>
          <w:rFonts w:ascii="Arial" w:eastAsia="Times New Roman" w:hAnsi="Arial" w:cs="Arial"/>
          <w:lang w:eastAsia="pl-PL"/>
        </w:rPr>
      </w:pPr>
      <w:r w:rsidRPr="0056290A">
        <w:rPr>
          <w:rFonts w:ascii="Arial" w:eastAsia="Times New Roman" w:hAnsi="Arial" w:cs="Arial"/>
          <w:lang w:eastAsia="pl-PL"/>
        </w:rPr>
        <w:t>nowej jednostki rynku mocy wytwórczą – uprawnionej do oferowania obowiązków mocowych na nie więcej niż 15 okresów dostaw w aukcji głównej,</w:t>
      </w:r>
    </w:p>
    <w:p w14:paraId="374D73B4" w14:textId="77777777" w:rsidR="0056290A" w:rsidRPr="0056290A" w:rsidRDefault="0056290A" w:rsidP="0056290A">
      <w:pPr>
        <w:pStyle w:val="Akapitzlist"/>
        <w:numPr>
          <w:ilvl w:val="0"/>
          <w:numId w:val="11"/>
        </w:numPr>
        <w:spacing w:after="0" w:line="300" w:lineRule="auto"/>
        <w:ind w:left="993" w:hanging="284"/>
        <w:jc w:val="both"/>
        <w:rPr>
          <w:rFonts w:ascii="Arial" w:eastAsia="Times New Roman" w:hAnsi="Arial" w:cs="Arial"/>
          <w:lang w:eastAsia="pl-PL"/>
        </w:rPr>
      </w:pPr>
      <w:r w:rsidRPr="0056290A">
        <w:rPr>
          <w:rFonts w:ascii="Arial" w:eastAsia="Times New Roman" w:hAnsi="Arial" w:cs="Arial"/>
          <w:lang w:eastAsia="pl-PL"/>
        </w:rPr>
        <w:t>nowej jednostki rynku mocy wytwórczą, modernizowanej jednostki rynku mocy wytwórczą albo jednostki rynku mocy redukcji zapotrzebowania – uprawnionej do oferowania obowiązków mocowych na nie więcej niż 5 okresów dostaw w aukcji głównej;</w:t>
      </w:r>
    </w:p>
    <w:p w14:paraId="315C997B" w14:textId="77777777" w:rsidR="0056290A" w:rsidRPr="0056290A" w:rsidRDefault="0056290A" w:rsidP="0056290A">
      <w:pPr>
        <w:pStyle w:val="Akapitzlist"/>
        <w:numPr>
          <w:ilvl w:val="0"/>
          <w:numId w:val="10"/>
        </w:numPr>
        <w:spacing w:after="0" w:line="300" w:lineRule="auto"/>
        <w:ind w:left="567" w:hanging="283"/>
        <w:jc w:val="both"/>
        <w:rPr>
          <w:rFonts w:ascii="Arial" w:eastAsia="Times New Roman" w:hAnsi="Arial" w:cs="Arial"/>
          <w:lang w:eastAsia="pl-PL"/>
        </w:rPr>
      </w:pPr>
      <w:r w:rsidRPr="0056290A">
        <w:rPr>
          <w:rFonts w:ascii="Arial" w:eastAsia="Times New Roman" w:hAnsi="Arial" w:cs="Arial"/>
          <w:lang w:eastAsia="pl-PL"/>
        </w:rPr>
        <w:t>minimalne wielkości obowiązków mocowych planowanych do pozyskania w wyniku aukcji dodatkowych na poszczególne kwartały roku dostaw, którego dotyczy aukcja główna;</w:t>
      </w:r>
    </w:p>
    <w:p w14:paraId="4878DC66" w14:textId="77777777" w:rsidR="0056290A" w:rsidRPr="0056290A" w:rsidRDefault="0056290A" w:rsidP="0056290A">
      <w:pPr>
        <w:pStyle w:val="Akapitzlist"/>
        <w:numPr>
          <w:ilvl w:val="0"/>
          <w:numId w:val="10"/>
        </w:numPr>
        <w:spacing w:after="0" w:line="300" w:lineRule="auto"/>
        <w:ind w:left="567" w:hanging="283"/>
        <w:jc w:val="both"/>
        <w:rPr>
          <w:rFonts w:ascii="Arial" w:eastAsia="Times New Roman" w:hAnsi="Arial" w:cs="Arial"/>
          <w:lang w:eastAsia="pl-PL"/>
        </w:rPr>
      </w:pPr>
      <w:r w:rsidRPr="0056290A">
        <w:rPr>
          <w:rFonts w:ascii="Arial" w:eastAsia="Times New Roman" w:hAnsi="Arial" w:cs="Arial"/>
          <w:lang w:eastAsia="pl-PL"/>
        </w:rPr>
        <w:t>korekcyjne współczynniki dyspozycyjności dla poszczególnych grup technologii;</w:t>
      </w:r>
    </w:p>
    <w:p w14:paraId="5FAC114A" w14:textId="77777777" w:rsidR="0056290A" w:rsidRPr="0056290A" w:rsidRDefault="0056290A" w:rsidP="0056290A">
      <w:pPr>
        <w:pStyle w:val="Akapitzlist"/>
        <w:numPr>
          <w:ilvl w:val="0"/>
          <w:numId w:val="10"/>
        </w:numPr>
        <w:spacing w:after="0" w:line="300" w:lineRule="auto"/>
        <w:ind w:left="567" w:hanging="283"/>
        <w:jc w:val="both"/>
        <w:rPr>
          <w:rFonts w:ascii="Arial" w:eastAsia="Times New Roman" w:hAnsi="Arial" w:cs="Arial"/>
          <w:lang w:eastAsia="pl-PL"/>
        </w:rPr>
      </w:pPr>
      <w:r w:rsidRPr="0056290A">
        <w:rPr>
          <w:rFonts w:ascii="Arial" w:eastAsia="Times New Roman" w:hAnsi="Arial" w:cs="Arial"/>
          <w:lang w:eastAsia="pl-PL"/>
        </w:rPr>
        <w:t>maksymalne wolumeny obowiązków mocowych dla stref, o których mowa w art. 6 ust. 6 ustawy.</w:t>
      </w:r>
    </w:p>
    <w:p w14:paraId="672034B9" w14:textId="77777777" w:rsidR="0056290A" w:rsidRPr="0056290A" w:rsidRDefault="0056290A" w:rsidP="0056290A">
      <w:pPr>
        <w:spacing w:after="0" w:line="300" w:lineRule="auto"/>
        <w:jc w:val="both"/>
        <w:rPr>
          <w:rFonts w:ascii="Arial" w:eastAsia="Times New Roman" w:hAnsi="Arial" w:cs="Arial"/>
          <w:lang w:eastAsia="pl-PL"/>
        </w:rPr>
      </w:pPr>
      <w:r w:rsidRPr="0056290A">
        <w:rPr>
          <w:rFonts w:ascii="Arial" w:eastAsia="Times New Roman" w:hAnsi="Arial" w:cs="Arial"/>
          <w:lang w:eastAsia="pl-PL"/>
        </w:rPr>
        <w:t>Zgodnie z art. 34 ust. 1 ustawy minister właściwy do spraw energii, określa, w drodze rozporządzenia, parametry najbliższej aukcji wstępnej, parametry najbliższej aukcji głównej i najbliższych aukcji dodatkowych, po zasięgnięciu opinii Prezesa Urzędu Regulacji Energetyki, a także mając na względzie politykę energetyczną państwa, adekwatność stosowanych parametrów do potrzeb systemu, zapewnienie bezpieczeństwa systemu, równoprawne i niedyskryminacyjne traktowanie dostawców mocy oraz mając na względzie przewidywaną dostępność zdolności przesyłowych oraz ich udział w zapewnieniu bezpieczeństwa dostaw energii elektrycznej.</w:t>
      </w:r>
    </w:p>
    <w:p w14:paraId="4AB38AC7" w14:textId="64DFC5D0" w:rsidR="004305D9" w:rsidRDefault="0056290A" w:rsidP="0056290A">
      <w:pPr>
        <w:spacing w:after="0" w:line="300" w:lineRule="auto"/>
        <w:jc w:val="both"/>
        <w:rPr>
          <w:rFonts w:ascii="Arial" w:eastAsia="Times New Roman" w:hAnsi="Arial" w:cs="Arial"/>
          <w:lang w:eastAsia="pl-PL"/>
        </w:rPr>
      </w:pPr>
      <w:r w:rsidRPr="0056290A">
        <w:rPr>
          <w:rFonts w:ascii="Arial" w:eastAsia="Times New Roman" w:hAnsi="Arial" w:cs="Arial"/>
          <w:lang w:eastAsia="pl-PL"/>
        </w:rPr>
        <w:lastRenderedPageBreak/>
        <w:t xml:space="preserve">W związku z faktem, że ustawa nakłada obowiązek uregulowania materii parametrów aukcji mocy w drodze rozporządzenia ministra właściwego do spraw energii, regulacja wynika wprost z przepisów ustawy. Stosowanie alternatywnych rozwiązań byłoby niezgodne z ustawą. </w:t>
      </w:r>
    </w:p>
    <w:p w14:paraId="159A0756" w14:textId="3B54E6F4" w:rsidR="0056290A" w:rsidRDefault="004305D9" w:rsidP="0056290A">
      <w:pPr>
        <w:spacing w:after="0" w:line="300" w:lineRule="auto"/>
        <w:jc w:val="both"/>
        <w:rPr>
          <w:rFonts w:ascii="Arial" w:eastAsia="Times New Roman" w:hAnsi="Arial" w:cs="Arial"/>
          <w:lang w:eastAsia="pl-PL"/>
        </w:rPr>
      </w:pPr>
      <w:r>
        <w:rPr>
          <w:rFonts w:ascii="Arial" w:eastAsia="Times New Roman" w:hAnsi="Arial" w:cs="Arial"/>
          <w:lang w:eastAsia="pl-PL"/>
        </w:rPr>
        <w:t>Rozporządzenie</w:t>
      </w:r>
      <w:r w:rsidR="0056290A" w:rsidRPr="0056290A">
        <w:rPr>
          <w:rFonts w:ascii="Arial" w:eastAsia="Times New Roman" w:hAnsi="Arial" w:cs="Arial"/>
          <w:lang w:eastAsia="pl-PL"/>
        </w:rPr>
        <w:t xml:space="preserve"> wyznacz</w:t>
      </w:r>
      <w:r>
        <w:rPr>
          <w:rFonts w:ascii="Arial" w:eastAsia="Times New Roman" w:hAnsi="Arial" w:cs="Arial"/>
          <w:lang w:eastAsia="pl-PL"/>
        </w:rPr>
        <w:t>a</w:t>
      </w:r>
      <w:r w:rsidR="0056290A" w:rsidRPr="0056290A">
        <w:rPr>
          <w:rFonts w:ascii="Arial" w:eastAsia="Times New Roman" w:hAnsi="Arial" w:cs="Arial"/>
          <w:lang w:eastAsia="pl-PL"/>
        </w:rPr>
        <w:t xml:space="preserve"> parametr</w:t>
      </w:r>
      <w:r>
        <w:rPr>
          <w:rFonts w:ascii="Arial" w:eastAsia="Times New Roman" w:hAnsi="Arial" w:cs="Arial"/>
          <w:lang w:eastAsia="pl-PL"/>
        </w:rPr>
        <w:t>y</w:t>
      </w:r>
      <w:r w:rsidR="0056290A" w:rsidRPr="0056290A">
        <w:rPr>
          <w:rFonts w:ascii="Arial" w:eastAsia="Times New Roman" w:hAnsi="Arial" w:cs="Arial"/>
          <w:lang w:eastAsia="pl-PL"/>
        </w:rPr>
        <w:t xml:space="preserve"> dla aukcji głównej dla roku dostaw 2030 oraz parametr</w:t>
      </w:r>
      <w:r>
        <w:rPr>
          <w:rFonts w:ascii="Arial" w:eastAsia="Times New Roman" w:hAnsi="Arial" w:cs="Arial"/>
          <w:lang w:eastAsia="pl-PL"/>
        </w:rPr>
        <w:t>y</w:t>
      </w:r>
      <w:r w:rsidR="0056290A" w:rsidRPr="0056290A">
        <w:rPr>
          <w:rFonts w:ascii="Arial" w:eastAsia="Times New Roman" w:hAnsi="Arial" w:cs="Arial"/>
          <w:lang w:eastAsia="pl-PL"/>
        </w:rPr>
        <w:t xml:space="preserve"> aukcji dodatkowych dla wszystkich kwartałów roku dostaw 2027 w celu umożliwienia ich przeprowadzenia. Termin do wydania rozporządzenia wynika wprost z art. 34 ust. 2 ustawy, który wskazuje, że minister właściwy do spraw energii wydaje ww. rozporządzenie nie później niż 18 tygodni przed rozpoczęciem każdej aukcji głównej. Terminy aukcji głównej i aukcji dodatkowych zostały już opublikowane na stronie Polskich Sieci Elektroenergetycznych S.A.</w:t>
      </w:r>
    </w:p>
    <w:p w14:paraId="2BAD81BE" w14:textId="77777777" w:rsidR="004305D9" w:rsidRDefault="004305D9" w:rsidP="0056290A">
      <w:pPr>
        <w:spacing w:after="0" w:line="300" w:lineRule="auto"/>
        <w:jc w:val="both"/>
        <w:rPr>
          <w:rStyle w:val="markedcontent"/>
          <w:rFonts w:ascii="Arial" w:hAnsi="Arial" w:cs="Arial"/>
        </w:rPr>
      </w:pPr>
    </w:p>
    <w:p w14:paraId="65744484" w14:textId="42DA0A31" w:rsidR="00D82789" w:rsidRPr="0056290A" w:rsidRDefault="004305D9" w:rsidP="0056290A">
      <w:pPr>
        <w:spacing w:after="0" w:line="300" w:lineRule="auto"/>
        <w:jc w:val="both"/>
        <w:rPr>
          <w:rStyle w:val="markedcontent"/>
          <w:rFonts w:ascii="Arial" w:eastAsia="Times New Roman" w:hAnsi="Arial" w:cs="Arial"/>
          <w:u w:val="single"/>
          <w:lang w:eastAsia="pl-PL"/>
        </w:rPr>
      </w:pPr>
      <w:r w:rsidRPr="004305D9">
        <w:rPr>
          <w:rStyle w:val="markedcontent"/>
          <w:rFonts w:ascii="Arial" w:hAnsi="Arial" w:cs="Arial"/>
        </w:rPr>
        <w:t>Rozporządzenie wchodzi w życie z dniem następującym po dniu ogłoszenia</w:t>
      </w:r>
      <w:r w:rsidR="00D82789" w:rsidRPr="0056290A">
        <w:rPr>
          <w:rStyle w:val="markedcontent"/>
          <w:rFonts w:ascii="Arial" w:hAnsi="Arial" w:cs="Arial"/>
        </w:rPr>
        <w:t>.</w:t>
      </w:r>
    </w:p>
    <w:p w14:paraId="387560E2" w14:textId="77777777" w:rsidR="00D82789" w:rsidRPr="00287656" w:rsidRDefault="00D82789" w:rsidP="00D82789">
      <w:pPr>
        <w:pStyle w:val="Akapitzlist"/>
        <w:spacing w:after="0" w:line="300" w:lineRule="auto"/>
        <w:ind w:left="426"/>
        <w:jc w:val="both"/>
        <w:rPr>
          <w:rStyle w:val="markedcontent"/>
          <w:rFonts w:ascii="Arial" w:eastAsia="Times New Roman" w:hAnsi="Arial" w:cs="Arial"/>
          <w:u w:val="single"/>
          <w:lang w:eastAsia="pl-PL"/>
        </w:rPr>
      </w:pPr>
    </w:p>
    <w:p w14:paraId="0A128B48" w14:textId="01D606B9" w:rsidR="00D82789" w:rsidRPr="00D6574F" w:rsidRDefault="00D6574F" w:rsidP="00D82789">
      <w:pPr>
        <w:pStyle w:val="Akapitzlist"/>
        <w:numPr>
          <w:ilvl w:val="0"/>
          <w:numId w:val="2"/>
        </w:numPr>
        <w:spacing w:after="0" w:line="300" w:lineRule="auto"/>
        <w:ind w:left="426" w:hanging="426"/>
        <w:jc w:val="both"/>
        <w:rPr>
          <w:rStyle w:val="markedcontent"/>
          <w:rFonts w:ascii="Arial" w:eastAsia="Times New Roman" w:hAnsi="Arial" w:cs="Arial"/>
          <w:b/>
          <w:bCs/>
          <w:u w:val="single"/>
          <w:lang w:eastAsia="pl-PL"/>
        </w:rPr>
      </w:pPr>
      <w:r w:rsidRPr="00D6574F">
        <w:rPr>
          <w:rStyle w:val="markedcontent"/>
          <w:rFonts w:ascii="Arial" w:eastAsia="Times New Roman" w:hAnsi="Arial" w:cs="Arial"/>
          <w:b/>
          <w:bCs/>
          <w:u w:val="single"/>
          <w:lang w:eastAsia="pl-PL"/>
        </w:rPr>
        <w:t>Ustawa z dnia 25 czerwca 2025 r. o zmianie ustawy o podatku dochodowym od osób prawnych.</w:t>
      </w:r>
    </w:p>
    <w:p w14:paraId="064E6DD7" w14:textId="77777777" w:rsidR="00D6574F" w:rsidRPr="00D6574F" w:rsidRDefault="00D6574F" w:rsidP="00D6574F">
      <w:pPr>
        <w:spacing w:after="0" w:line="300" w:lineRule="auto"/>
        <w:jc w:val="both"/>
        <w:rPr>
          <w:rStyle w:val="markedcontent"/>
          <w:rFonts w:ascii="Arial" w:eastAsia="Times New Roman" w:hAnsi="Arial" w:cs="Arial"/>
          <w:lang w:eastAsia="pl-PL"/>
        </w:rPr>
      </w:pPr>
    </w:p>
    <w:p w14:paraId="1573D9DB" w14:textId="7715ED12" w:rsidR="00D6574F" w:rsidRPr="00D6574F" w:rsidRDefault="00D6574F" w:rsidP="00D6574F">
      <w:pPr>
        <w:spacing w:after="0" w:line="300" w:lineRule="auto"/>
        <w:jc w:val="both"/>
        <w:rPr>
          <w:rStyle w:val="markedcontent"/>
          <w:rFonts w:ascii="Arial" w:eastAsia="Times New Roman" w:hAnsi="Arial" w:cs="Arial"/>
          <w:lang w:eastAsia="pl-PL"/>
        </w:rPr>
      </w:pPr>
      <w:r w:rsidRPr="00D6574F">
        <w:rPr>
          <w:rStyle w:val="markedcontent"/>
          <w:rFonts w:ascii="Arial" w:eastAsia="Times New Roman" w:hAnsi="Arial" w:cs="Arial"/>
          <w:lang w:eastAsia="pl-PL"/>
        </w:rPr>
        <w:t xml:space="preserve">Powyższy akt prawny ogłoszony został </w:t>
      </w:r>
      <w:r>
        <w:rPr>
          <w:rStyle w:val="markedcontent"/>
          <w:rFonts w:ascii="Arial" w:eastAsia="Times New Roman" w:hAnsi="Arial" w:cs="Arial"/>
          <w:lang w:eastAsia="pl-PL"/>
        </w:rPr>
        <w:t>6</w:t>
      </w:r>
      <w:r w:rsidRPr="00D6574F">
        <w:rPr>
          <w:rStyle w:val="markedcontent"/>
          <w:rFonts w:ascii="Arial" w:eastAsia="Times New Roman" w:hAnsi="Arial" w:cs="Arial"/>
          <w:lang w:eastAsia="pl-PL"/>
        </w:rPr>
        <w:t xml:space="preserve"> sierpnia 2025 roku w Dzienniku Ustaw (Dz.U. z 2025, poz. 10</w:t>
      </w:r>
      <w:r>
        <w:rPr>
          <w:rStyle w:val="markedcontent"/>
          <w:rFonts w:ascii="Arial" w:eastAsia="Times New Roman" w:hAnsi="Arial" w:cs="Arial"/>
          <w:lang w:eastAsia="pl-PL"/>
        </w:rPr>
        <w:t>74</w:t>
      </w:r>
      <w:r w:rsidRPr="00D6574F">
        <w:rPr>
          <w:rStyle w:val="markedcontent"/>
          <w:rFonts w:ascii="Arial" w:eastAsia="Times New Roman" w:hAnsi="Arial" w:cs="Arial"/>
          <w:lang w:eastAsia="pl-PL"/>
        </w:rPr>
        <w:t>).</w:t>
      </w:r>
    </w:p>
    <w:p w14:paraId="0197076C" w14:textId="77777777" w:rsidR="00D6574F" w:rsidRDefault="00D6574F" w:rsidP="00D6574F">
      <w:pPr>
        <w:spacing w:after="0" w:line="300" w:lineRule="auto"/>
        <w:jc w:val="both"/>
        <w:rPr>
          <w:rStyle w:val="markedcontent"/>
          <w:rFonts w:ascii="Arial" w:eastAsia="Times New Roman" w:hAnsi="Arial" w:cs="Arial"/>
          <w:lang w:eastAsia="pl-PL"/>
        </w:rPr>
      </w:pPr>
    </w:p>
    <w:p w14:paraId="1B246DFB" w14:textId="77777777" w:rsidR="00D6574F" w:rsidRDefault="00D6574F" w:rsidP="00D6574F">
      <w:pPr>
        <w:spacing w:after="0" w:line="300" w:lineRule="auto"/>
        <w:jc w:val="both"/>
        <w:rPr>
          <w:rStyle w:val="markedcontent"/>
          <w:rFonts w:ascii="Arial" w:eastAsia="Times New Roman" w:hAnsi="Arial" w:cs="Arial"/>
          <w:lang w:eastAsia="pl-PL"/>
        </w:rPr>
      </w:pPr>
      <w:r w:rsidRPr="00D6574F">
        <w:rPr>
          <w:rStyle w:val="markedcontent"/>
          <w:rFonts w:ascii="Arial" w:eastAsia="Times New Roman" w:hAnsi="Arial" w:cs="Arial"/>
          <w:lang w:eastAsia="pl-PL"/>
        </w:rPr>
        <w:t xml:space="preserve">Celem ustawy jest uchylenie art. 27c ustawy z dnia 15 lutego 1992 r. o podatku dochodowym od osób prawnych (Dz. U. z 2025 r. poz. 278, z późn. zm.), który statuuje obowiązek sporządzania i podawania do publicznej wiadomości informacji o realizowanej strategii podatkowej za rok podatkowy przez: </w:t>
      </w:r>
    </w:p>
    <w:p w14:paraId="7ED2425C" w14:textId="77777777" w:rsidR="00D6574F" w:rsidRDefault="00D6574F" w:rsidP="00D6574F">
      <w:pPr>
        <w:spacing w:after="0" w:line="300" w:lineRule="auto"/>
        <w:jc w:val="both"/>
        <w:rPr>
          <w:rStyle w:val="markedcontent"/>
          <w:rFonts w:ascii="Arial" w:eastAsia="Times New Roman" w:hAnsi="Arial" w:cs="Arial"/>
          <w:lang w:eastAsia="pl-PL"/>
        </w:rPr>
      </w:pPr>
      <w:r w:rsidRPr="00D6574F">
        <w:rPr>
          <w:rStyle w:val="markedcontent"/>
          <w:rFonts w:ascii="Arial" w:eastAsia="Times New Roman" w:hAnsi="Arial" w:cs="Arial"/>
          <w:lang w:eastAsia="pl-PL"/>
        </w:rPr>
        <w:t xml:space="preserve">1) podatkowe grupy kapitałowe, bez względu na wysokość osiągniętych przychodów oraz </w:t>
      </w:r>
    </w:p>
    <w:p w14:paraId="1D328F3A" w14:textId="77777777" w:rsidR="007F0693" w:rsidRDefault="00D6574F" w:rsidP="00D6574F">
      <w:pPr>
        <w:spacing w:after="0" w:line="300" w:lineRule="auto"/>
        <w:jc w:val="both"/>
        <w:rPr>
          <w:rStyle w:val="markedcontent"/>
          <w:rFonts w:ascii="Arial" w:eastAsia="Times New Roman" w:hAnsi="Arial" w:cs="Arial"/>
          <w:lang w:eastAsia="pl-PL"/>
        </w:rPr>
      </w:pPr>
      <w:r w:rsidRPr="00D6574F">
        <w:rPr>
          <w:rStyle w:val="markedcontent"/>
          <w:rFonts w:ascii="Arial" w:eastAsia="Times New Roman" w:hAnsi="Arial" w:cs="Arial"/>
          <w:lang w:eastAsia="pl-PL"/>
        </w:rPr>
        <w:t xml:space="preserve">2) podatników innych niż podatkowe grupy kapitałowe, u których wartość przychodu uzyskana w roku podatkowym, o którym mowa w art. 27b ust. 1 tej ustawy, przekroczyła równowartość 50 mln euro przeliczonych na złote według średniego kursu euro ogłaszanego przez Narodowy Bank Polski w ostatnim dniu roboczym roku kalendarzowego poprzedzającego rok podania indywidualnych danych podatników do publicznej wiadomości. </w:t>
      </w:r>
    </w:p>
    <w:p w14:paraId="1431B76D" w14:textId="77777777" w:rsidR="007F0693" w:rsidRDefault="00D6574F" w:rsidP="00D6574F">
      <w:pPr>
        <w:spacing w:after="0" w:line="300" w:lineRule="auto"/>
        <w:jc w:val="both"/>
        <w:rPr>
          <w:rStyle w:val="markedcontent"/>
          <w:rFonts w:ascii="Arial" w:eastAsia="Times New Roman" w:hAnsi="Arial" w:cs="Arial"/>
          <w:lang w:eastAsia="pl-PL"/>
        </w:rPr>
      </w:pPr>
      <w:r w:rsidRPr="00D6574F">
        <w:rPr>
          <w:rStyle w:val="markedcontent"/>
          <w:rFonts w:ascii="Arial" w:eastAsia="Times New Roman" w:hAnsi="Arial" w:cs="Arial"/>
          <w:lang w:eastAsia="pl-PL"/>
        </w:rPr>
        <w:t xml:space="preserve">Zgodnie z przepisem przejściowym (art. 2) w przypadku gdy termin sporządzania i podawania do publicznej wiadomości informacji o realizowanej strategii podatkowej przypadać będzie po dniu poprzedzającym dzień wejścia w życie niniejszej ustawy, podatnicy będą zwolnieni z obowiązku sporządzania i podawania do publicznej wiadomości takich informacji. W takiej sytuacji nie będzie wszczynane postępowanie w sprawie nałożenia kary pieniężnej a postępowania wszczęte zostaną umorzone.  </w:t>
      </w:r>
    </w:p>
    <w:p w14:paraId="5C3DDCC3" w14:textId="77777777" w:rsidR="007F0693" w:rsidRDefault="007F0693" w:rsidP="00D6574F">
      <w:pPr>
        <w:spacing w:after="0" w:line="300" w:lineRule="auto"/>
        <w:jc w:val="both"/>
        <w:rPr>
          <w:rStyle w:val="markedcontent"/>
          <w:rFonts w:ascii="Arial" w:eastAsia="Times New Roman" w:hAnsi="Arial" w:cs="Arial"/>
          <w:lang w:eastAsia="pl-PL"/>
        </w:rPr>
      </w:pPr>
    </w:p>
    <w:p w14:paraId="448ACB99" w14:textId="5256851F" w:rsidR="00D6574F" w:rsidRPr="00D6574F" w:rsidRDefault="00D6574F" w:rsidP="00D6574F">
      <w:pPr>
        <w:spacing w:after="0" w:line="300" w:lineRule="auto"/>
        <w:jc w:val="both"/>
        <w:rPr>
          <w:rStyle w:val="markedcontent"/>
          <w:rFonts w:ascii="Arial" w:eastAsia="Times New Roman" w:hAnsi="Arial" w:cs="Arial"/>
          <w:lang w:eastAsia="pl-PL"/>
        </w:rPr>
      </w:pPr>
      <w:r w:rsidRPr="00D6574F">
        <w:rPr>
          <w:rStyle w:val="markedcontent"/>
          <w:rFonts w:ascii="Arial" w:eastAsia="Times New Roman" w:hAnsi="Arial" w:cs="Arial"/>
          <w:lang w:eastAsia="pl-PL"/>
        </w:rPr>
        <w:t>Ustawa wchodzi w życie z dniem następującym po dniu ogłoszenia</w:t>
      </w:r>
    </w:p>
    <w:p w14:paraId="3528A55B" w14:textId="77777777" w:rsidR="00D6574F" w:rsidRPr="00D6574F" w:rsidRDefault="00D6574F" w:rsidP="00D6574F">
      <w:pPr>
        <w:spacing w:after="0" w:line="300" w:lineRule="auto"/>
        <w:jc w:val="both"/>
        <w:rPr>
          <w:rStyle w:val="markedcontent"/>
          <w:rFonts w:ascii="Arial" w:eastAsia="Times New Roman" w:hAnsi="Arial" w:cs="Arial"/>
          <w:lang w:eastAsia="pl-PL"/>
        </w:rPr>
      </w:pPr>
    </w:p>
    <w:p w14:paraId="1E865B1E" w14:textId="53BA9491" w:rsidR="004305D9" w:rsidRPr="007F0693" w:rsidRDefault="007F0693" w:rsidP="00D82789">
      <w:pPr>
        <w:pStyle w:val="Akapitzlist"/>
        <w:numPr>
          <w:ilvl w:val="0"/>
          <w:numId w:val="2"/>
        </w:numPr>
        <w:spacing w:after="0" w:line="300" w:lineRule="auto"/>
        <w:ind w:left="426" w:hanging="426"/>
        <w:jc w:val="both"/>
        <w:rPr>
          <w:rStyle w:val="markedcontent"/>
          <w:rFonts w:ascii="Arial" w:eastAsia="Times New Roman" w:hAnsi="Arial" w:cs="Arial"/>
          <w:b/>
          <w:bCs/>
          <w:u w:val="single"/>
          <w:lang w:eastAsia="pl-PL"/>
        </w:rPr>
      </w:pPr>
      <w:r w:rsidRPr="007F0693">
        <w:rPr>
          <w:rStyle w:val="markedcontent"/>
          <w:rFonts w:ascii="Arial" w:eastAsia="Times New Roman" w:hAnsi="Arial" w:cs="Arial"/>
          <w:b/>
          <w:bCs/>
          <w:u w:val="single"/>
          <w:lang w:eastAsia="pl-PL"/>
        </w:rPr>
        <w:t>Ustawa z dnia 25 lipca 2025 r. o zmianie ustawy o społecznych formach rozwoju mieszkalnictwa oraz niektórych innych ustaw.</w:t>
      </w:r>
    </w:p>
    <w:p w14:paraId="3381FFED" w14:textId="77777777" w:rsidR="007F0693" w:rsidRPr="007F0693" w:rsidRDefault="007F0693" w:rsidP="007F0693">
      <w:pPr>
        <w:spacing w:after="0" w:line="300" w:lineRule="auto"/>
        <w:jc w:val="both"/>
        <w:rPr>
          <w:rStyle w:val="markedcontent"/>
          <w:rFonts w:ascii="Arial" w:eastAsia="Times New Roman" w:hAnsi="Arial" w:cs="Arial"/>
          <w:lang w:eastAsia="pl-PL"/>
        </w:rPr>
      </w:pPr>
    </w:p>
    <w:p w14:paraId="718BD67F" w14:textId="15FFF853" w:rsidR="007F0693" w:rsidRPr="007F0693" w:rsidRDefault="007F0693" w:rsidP="007F0693">
      <w:pPr>
        <w:spacing w:after="0" w:line="300" w:lineRule="auto"/>
        <w:jc w:val="both"/>
        <w:rPr>
          <w:rStyle w:val="markedcontent"/>
          <w:rFonts w:ascii="Arial" w:eastAsia="Times New Roman" w:hAnsi="Arial" w:cs="Arial"/>
          <w:lang w:eastAsia="pl-PL"/>
        </w:rPr>
      </w:pPr>
      <w:r w:rsidRPr="007F0693">
        <w:rPr>
          <w:rStyle w:val="markedcontent"/>
          <w:rFonts w:ascii="Arial" w:eastAsia="Times New Roman" w:hAnsi="Arial" w:cs="Arial"/>
          <w:lang w:eastAsia="pl-PL"/>
        </w:rPr>
        <w:t xml:space="preserve">Powyższy akt prawny ogłoszony został </w:t>
      </w:r>
      <w:r>
        <w:rPr>
          <w:rStyle w:val="markedcontent"/>
          <w:rFonts w:ascii="Arial" w:eastAsia="Times New Roman" w:hAnsi="Arial" w:cs="Arial"/>
          <w:lang w:eastAsia="pl-PL"/>
        </w:rPr>
        <w:t>7</w:t>
      </w:r>
      <w:r w:rsidRPr="007F0693">
        <w:rPr>
          <w:rStyle w:val="markedcontent"/>
          <w:rFonts w:ascii="Arial" w:eastAsia="Times New Roman" w:hAnsi="Arial" w:cs="Arial"/>
          <w:lang w:eastAsia="pl-PL"/>
        </w:rPr>
        <w:t xml:space="preserve"> sierpnia 2025 roku w Dzienniku Ustaw (Dz.U. z 2025, poz. 107</w:t>
      </w:r>
      <w:r>
        <w:rPr>
          <w:rStyle w:val="markedcontent"/>
          <w:rFonts w:ascii="Arial" w:eastAsia="Times New Roman" w:hAnsi="Arial" w:cs="Arial"/>
          <w:lang w:eastAsia="pl-PL"/>
        </w:rPr>
        <w:t>7</w:t>
      </w:r>
      <w:r w:rsidRPr="007F0693">
        <w:rPr>
          <w:rStyle w:val="markedcontent"/>
          <w:rFonts w:ascii="Arial" w:eastAsia="Times New Roman" w:hAnsi="Arial" w:cs="Arial"/>
          <w:lang w:eastAsia="pl-PL"/>
        </w:rPr>
        <w:t>).</w:t>
      </w:r>
    </w:p>
    <w:p w14:paraId="452BA3FA" w14:textId="77777777" w:rsidR="007F0693" w:rsidRPr="007F0693" w:rsidRDefault="007F0693" w:rsidP="007F0693">
      <w:pPr>
        <w:spacing w:after="0" w:line="300" w:lineRule="auto"/>
        <w:jc w:val="both"/>
        <w:rPr>
          <w:rStyle w:val="markedcontent"/>
          <w:rFonts w:ascii="Arial" w:eastAsia="Times New Roman" w:hAnsi="Arial" w:cs="Arial"/>
          <w:lang w:eastAsia="pl-PL"/>
        </w:rPr>
      </w:pPr>
    </w:p>
    <w:p w14:paraId="6FE95AB1" w14:textId="77777777" w:rsidR="00FB5DE6" w:rsidRDefault="007F0693" w:rsidP="007F0693">
      <w:pPr>
        <w:spacing w:after="0" w:line="300" w:lineRule="auto"/>
        <w:jc w:val="both"/>
        <w:rPr>
          <w:rStyle w:val="markedcontent"/>
          <w:rFonts w:ascii="Arial" w:eastAsia="Times New Roman" w:hAnsi="Arial" w:cs="Arial"/>
          <w:lang w:eastAsia="pl-PL"/>
        </w:rPr>
      </w:pPr>
      <w:r w:rsidRPr="007F0693">
        <w:rPr>
          <w:rStyle w:val="markedcontent"/>
          <w:rFonts w:ascii="Arial" w:eastAsia="Times New Roman" w:hAnsi="Arial" w:cs="Arial"/>
          <w:lang w:eastAsia="pl-PL"/>
        </w:rPr>
        <w:lastRenderedPageBreak/>
        <w:t xml:space="preserve">Ustawa z dnia 25 lipca 2025 r. o zmianie ustawy o społecznych formach rozwoju mieszkalnictwa oraz niektórych innych ustaw ma na celu wsparcie budownictwa komunalnego i społecznego budownictwa czynszowego.  </w:t>
      </w:r>
    </w:p>
    <w:p w14:paraId="20829033" w14:textId="77777777" w:rsidR="00FB5DE6" w:rsidRDefault="007F0693" w:rsidP="007F0693">
      <w:pPr>
        <w:spacing w:after="0" w:line="300" w:lineRule="auto"/>
        <w:jc w:val="both"/>
        <w:rPr>
          <w:rStyle w:val="markedcontent"/>
          <w:rFonts w:ascii="Arial" w:eastAsia="Times New Roman" w:hAnsi="Arial" w:cs="Arial"/>
          <w:lang w:eastAsia="pl-PL"/>
        </w:rPr>
      </w:pPr>
      <w:r w:rsidRPr="007F0693">
        <w:rPr>
          <w:rStyle w:val="markedcontent"/>
          <w:rFonts w:ascii="Arial" w:eastAsia="Times New Roman" w:hAnsi="Arial" w:cs="Arial"/>
          <w:lang w:eastAsia="pl-PL"/>
        </w:rPr>
        <w:t xml:space="preserve">Ustawa wprowadza rozwiązania zapewniające finansowanie z budżetu państwa budownictwa czynszowego realizowanego przez gminy, Społeczne Inicjatywy Mieszkaniowe oraz Towarzystwa Budownictwa Społecznego (SIM/TBS) oraz spółdzielnie mieszkaniowe. </w:t>
      </w:r>
    </w:p>
    <w:p w14:paraId="55CEEC6F" w14:textId="77777777" w:rsidR="00FB5DE6" w:rsidRDefault="007F0693" w:rsidP="007F0693">
      <w:pPr>
        <w:spacing w:after="0" w:line="300" w:lineRule="auto"/>
        <w:jc w:val="both"/>
        <w:rPr>
          <w:rStyle w:val="markedcontent"/>
          <w:rFonts w:ascii="Arial" w:eastAsia="Times New Roman" w:hAnsi="Arial" w:cs="Arial"/>
          <w:lang w:eastAsia="pl-PL"/>
        </w:rPr>
      </w:pPr>
      <w:r w:rsidRPr="007F0693">
        <w:rPr>
          <w:rStyle w:val="markedcontent"/>
          <w:rFonts w:ascii="Arial" w:eastAsia="Times New Roman" w:hAnsi="Arial" w:cs="Arial"/>
          <w:lang w:eastAsia="pl-PL"/>
        </w:rPr>
        <w:t xml:space="preserve">Ustawa, w zakresie swojej regulacji, nowelizuje 13 ustaw:  </w:t>
      </w:r>
    </w:p>
    <w:p w14:paraId="0D9F4C87" w14:textId="77777777" w:rsidR="00FB5DE6" w:rsidRDefault="007F0693" w:rsidP="007F0693">
      <w:pPr>
        <w:spacing w:after="0" w:line="300" w:lineRule="auto"/>
        <w:jc w:val="both"/>
        <w:rPr>
          <w:rStyle w:val="markedcontent"/>
          <w:rFonts w:ascii="Arial" w:eastAsia="Times New Roman" w:hAnsi="Arial" w:cs="Arial"/>
          <w:lang w:eastAsia="pl-PL"/>
        </w:rPr>
      </w:pPr>
      <w:r w:rsidRPr="007F0693">
        <w:rPr>
          <w:rStyle w:val="markedcontent"/>
          <w:rFonts w:ascii="Arial" w:eastAsia="Times New Roman" w:hAnsi="Arial" w:cs="Arial"/>
          <w:lang w:eastAsia="pl-PL"/>
        </w:rPr>
        <w:t xml:space="preserve">1) ustawę z dnia 26 października 1995 r. o społecznych formach rozwoju mieszkalnictwa; </w:t>
      </w:r>
    </w:p>
    <w:p w14:paraId="5AA56178" w14:textId="77777777" w:rsidR="00FB5DE6" w:rsidRDefault="007F0693" w:rsidP="007F0693">
      <w:pPr>
        <w:spacing w:after="0" w:line="300" w:lineRule="auto"/>
        <w:jc w:val="both"/>
        <w:rPr>
          <w:rStyle w:val="markedcontent"/>
          <w:rFonts w:ascii="Arial" w:eastAsia="Times New Roman" w:hAnsi="Arial" w:cs="Arial"/>
          <w:lang w:eastAsia="pl-PL"/>
        </w:rPr>
      </w:pPr>
      <w:r w:rsidRPr="007F0693">
        <w:rPr>
          <w:rStyle w:val="markedcontent"/>
          <w:rFonts w:ascii="Arial" w:eastAsia="Times New Roman" w:hAnsi="Arial" w:cs="Arial"/>
          <w:lang w:eastAsia="pl-PL"/>
        </w:rPr>
        <w:t xml:space="preserve">2) ustawę z dnia 21 sierpnia 1997 r. o gospodarce nieruchomościami; </w:t>
      </w:r>
    </w:p>
    <w:p w14:paraId="2F9B1903" w14:textId="77777777" w:rsidR="00FB5DE6" w:rsidRDefault="007F0693" w:rsidP="007F0693">
      <w:pPr>
        <w:spacing w:after="0" w:line="300" w:lineRule="auto"/>
        <w:jc w:val="both"/>
        <w:rPr>
          <w:rStyle w:val="markedcontent"/>
          <w:rFonts w:ascii="Arial" w:eastAsia="Times New Roman" w:hAnsi="Arial" w:cs="Arial"/>
          <w:lang w:eastAsia="pl-PL"/>
        </w:rPr>
      </w:pPr>
      <w:r w:rsidRPr="007F0693">
        <w:rPr>
          <w:rStyle w:val="markedcontent"/>
          <w:rFonts w:ascii="Arial" w:eastAsia="Times New Roman" w:hAnsi="Arial" w:cs="Arial"/>
          <w:lang w:eastAsia="pl-PL"/>
        </w:rPr>
        <w:t xml:space="preserve">3)  ustawę z dnia 15 grudnia 2000 r. o spółdzielniach mieszkaniowych; </w:t>
      </w:r>
    </w:p>
    <w:p w14:paraId="6D4FE9C2" w14:textId="77777777" w:rsidR="00FB5DE6" w:rsidRDefault="007F0693" w:rsidP="007F0693">
      <w:pPr>
        <w:spacing w:after="0" w:line="300" w:lineRule="auto"/>
        <w:jc w:val="both"/>
        <w:rPr>
          <w:rStyle w:val="markedcontent"/>
          <w:rFonts w:ascii="Arial" w:eastAsia="Times New Roman" w:hAnsi="Arial" w:cs="Arial"/>
          <w:lang w:eastAsia="pl-PL"/>
        </w:rPr>
      </w:pPr>
      <w:r w:rsidRPr="007F0693">
        <w:rPr>
          <w:rStyle w:val="markedcontent"/>
          <w:rFonts w:ascii="Arial" w:eastAsia="Times New Roman" w:hAnsi="Arial" w:cs="Arial"/>
          <w:lang w:eastAsia="pl-PL"/>
        </w:rPr>
        <w:t xml:space="preserve">4) ustawę z dnia 5 grudnia 2002 r. o dopłatach do oprocentowania kredytów mieszkaniowych o stałej stopie procentowej; </w:t>
      </w:r>
    </w:p>
    <w:p w14:paraId="5E5208D3" w14:textId="77777777" w:rsidR="00FB5DE6" w:rsidRDefault="007F0693" w:rsidP="007F0693">
      <w:pPr>
        <w:spacing w:after="0" w:line="300" w:lineRule="auto"/>
        <w:jc w:val="both"/>
        <w:rPr>
          <w:rStyle w:val="markedcontent"/>
          <w:rFonts w:ascii="Arial" w:eastAsia="Times New Roman" w:hAnsi="Arial" w:cs="Arial"/>
          <w:lang w:eastAsia="pl-PL"/>
        </w:rPr>
      </w:pPr>
      <w:r w:rsidRPr="007F0693">
        <w:rPr>
          <w:rStyle w:val="markedcontent"/>
          <w:rFonts w:ascii="Arial" w:eastAsia="Times New Roman" w:hAnsi="Arial" w:cs="Arial"/>
          <w:lang w:eastAsia="pl-PL"/>
        </w:rPr>
        <w:t xml:space="preserve">5) ustawę z dnia 8 grudnia 2006 r. o finansowym wsparciu niektórych przedsięwzięć mieszkaniowych; </w:t>
      </w:r>
    </w:p>
    <w:p w14:paraId="2B112BD1" w14:textId="77777777" w:rsidR="00FB5DE6" w:rsidRDefault="007F0693" w:rsidP="007F0693">
      <w:pPr>
        <w:spacing w:after="0" w:line="300" w:lineRule="auto"/>
        <w:jc w:val="both"/>
        <w:rPr>
          <w:rStyle w:val="markedcontent"/>
          <w:rFonts w:ascii="Arial" w:eastAsia="Times New Roman" w:hAnsi="Arial" w:cs="Arial"/>
          <w:lang w:eastAsia="pl-PL"/>
        </w:rPr>
      </w:pPr>
      <w:r w:rsidRPr="007F0693">
        <w:rPr>
          <w:rStyle w:val="markedcontent"/>
          <w:rFonts w:ascii="Arial" w:eastAsia="Times New Roman" w:hAnsi="Arial" w:cs="Arial"/>
          <w:lang w:eastAsia="pl-PL"/>
        </w:rPr>
        <w:t xml:space="preserve">6)  ustawę z dnia 21 listopada 2008 r. o wspieraniu termomodernizacji i remontów oraz o centralnej ewidencji emisyjności budynków; </w:t>
      </w:r>
    </w:p>
    <w:p w14:paraId="18CF0A07" w14:textId="77777777" w:rsidR="00FB5DE6" w:rsidRDefault="007F0693" w:rsidP="007F0693">
      <w:pPr>
        <w:spacing w:after="0" w:line="300" w:lineRule="auto"/>
        <w:jc w:val="both"/>
        <w:rPr>
          <w:rStyle w:val="markedcontent"/>
          <w:rFonts w:ascii="Arial" w:eastAsia="Times New Roman" w:hAnsi="Arial" w:cs="Arial"/>
          <w:lang w:eastAsia="pl-PL"/>
        </w:rPr>
      </w:pPr>
      <w:r w:rsidRPr="007F0693">
        <w:rPr>
          <w:rStyle w:val="markedcontent"/>
          <w:rFonts w:ascii="Arial" w:eastAsia="Times New Roman" w:hAnsi="Arial" w:cs="Arial"/>
          <w:lang w:eastAsia="pl-PL"/>
        </w:rPr>
        <w:t xml:space="preserve">7)  ustawę z dnia 6 sierpnia 2010 r. o dowodach osobistych; </w:t>
      </w:r>
    </w:p>
    <w:p w14:paraId="45BC3D22" w14:textId="77777777" w:rsidR="00FB5DE6" w:rsidRDefault="007F0693" w:rsidP="007F0693">
      <w:pPr>
        <w:spacing w:after="0" w:line="300" w:lineRule="auto"/>
        <w:jc w:val="both"/>
        <w:rPr>
          <w:rStyle w:val="markedcontent"/>
          <w:rFonts w:ascii="Arial" w:eastAsia="Times New Roman" w:hAnsi="Arial" w:cs="Arial"/>
          <w:lang w:eastAsia="pl-PL"/>
        </w:rPr>
      </w:pPr>
      <w:r w:rsidRPr="007F0693">
        <w:rPr>
          <w:rStyle w:val="markedcontent"/>
          <w:rFonts w:ascii="Arial" w:eastAsia="Times New Roman" w:hAnsi="Arial" w:cs="Arial"/>
          <w:lang w:eastAsia="pl-PL"/>
        </w:rPr>
        <w:t xml:space="preserve">8) ustawę z dnia 10 września 2015 r. o zmianie ustawy o niektórych formach popierania budownictwa mieszkaniowego oraz niektórych innych ustaw; </w:t>
      </w:r>
    </w:p>
    <w:p w14:paraId="57B8D434" w14:textId="77777777" w:rsidR="00FB5DE6" w:rsidRDefault="007F0693" w:rsidP="007F0693">
      <w:pPr>
        <w:spacing w:after="0" w:line="300" w:lineRule="auto"/>
        <w:jc w:val="both"/>
        <w:rPr>
          <w:rStyle w:val="markedcontent"/>
          <w:rFonts w:ascii="Arial" w:eastAsia="Times New Roman" w:hAnsi="Arial" w:cs="Arial"/>
          <w:lang w:eastAsia="pl-PL"/>
        </w:rPr>
      </w:pPr>
      <w:r w:rsidRPr="007F0693">
        <w:rPr>
          <w:rStyle w:val="markedcontent"/>
          <w:rFonts w:ascii="Arial" w:eastAsia="Times New Roman" w:hAnsi="Arial" w:cs="Arial"/>
          <w:lang w:eastAsia="pl-PL"/>
        </w:rPr>
        <w:t xml:space="preserve">9) ustawę z dnia 22 marca 2018 r. o zmianie ustawy o finansowym wsparciu tworzenia lokali socjalnych, mieszkań chronionych, noclegowni i domów dla bezdomnych, ustawy o ochronie praw lokatorów, mieszkaniowym zasobie gminy i o zmianie Kodeksu cywilnego oraz niektórych innych ustaw; </w:t>
      </w:r>
    </w:p>
    <w:p w14:paraId="052F6241" w14:textId="77777777" w:rsidR="00FB5DE6" w:rsidRDefault="007F0693" w:rsidP="007F0693">
      <w:pPr>
        <w:spacing w:after="0" w:line="300" w:lineRule="auto"/>
        <w:jc w:val="both"/>
        <w:rPr>
          <w:rStyle w:val="markedcontent"/>
          <w:rFonts w:ascii="Arial" w:eastAsia="Times New Roman" w:hAnsi="Arial" w:cs="Arial"/>
          <w:lang w:eastAsia="pl-PL"/>
        </w:rPr>
      </w:pPr>
      <w:r w:rsidRPr="007F0693">
        <w:rPr>
          <w:rStyle w:val="markedcontent"/>
          <w:rFonts w:ascii="Arial" w:eastAsia="Times New Roman" w:hAnsi="Arial" w:cs="Arial"/>
          <w:lang w:eastAsia="pl-PL"/>
        </w:rPr>
        <w:t xml:space="preserve">10)  ustawę z dnia 5 lipca 2018 r. o ułatwieniach w przygotowaniu i realizacji inwestycji mieszkaniowych oraz inwestycji towarzyszących; </w:t>
      </w:r>
    </w:p>
    <w:p w14:paraId="7043BD47" w14:textId="77777777" w:rsidR="00FB5DE6" w:rsidRDefault="007F0693" w:rsidP="007F0693">
      <w:pPr>
        <w:spacing w:after="0" w:line="300" w:lineRule="auto"/>
        <w:jc w:val="both"/>
        <w:rPr>
          <w:rStyle w:val="markedcontent"/>
          <w:rFonts w:ascii="Arial" w:eastAsia="Times New Roman" w:hAnsi="Arial" w:cs="Arial"/>
          <w:lang w:eastAsia="pl-PL"/>
        </w:rPr>
      </w:pPr>
      <w:r w:rsidRPr="007F0693">
        <w:rPr>
          <w:rStyle w:val="markedcontent"/>
          <w:rFonts w:ascii="Arial" w:eastAsia="Times New Roman" w:hAnsi="Arial" w:cs="Arial"/>
          <w:lang w:eastAsia="pl-PL"/>
        </w:rPr>
        <w:t xml:space="preserve">11)  ustawę z dnia 20 maja 2021 r. o ochronie praw nabywcy lokalu mieszkalnego lub domu jednorodzinnego oraz Deweloperskim Funduszu Gwarancyjnym; </w:t>
      </w:r>
    </w:p>
    <w:p w14:paraId="1E85D20A" w14:textId="77777777" w:rsidR="00FB5DE6" w:rsidRDefault="007F0693" w:rsidP="007F0693">
      <w:pPr>
        <w:spacing w:after="0" w:line="300" w:lineRule="auto"/>
        <w:jc w:val="both"/>
        <w:rPr>
          <w:rStyle w:val="markedcontent"/>
          <w:rFonts w:ascii="Arial" w:eastAsia="Times New Roman" w:hAnsi="Arial" w:cs="Arial"/>
          <w:lang w:eastAsia="pl-PL"/>
        </w:rPr>
      </w:pPr>
      <w:r w:rsidRPr="007F0693">
        <w:rPr>
          <w:rStyle w:val="markedcontent"/>
          <w:rFonts w:ascii="Arial" w:eastAsia="Times New Roman" w:hAnsi="Arial" w:cs="Arial"/>
          <w:lang w:eastAsia="pl-PL"/>
        </w:rPr>
        <w:t xml:space="preserve">12) ustawę z dnia 1 października 2021 r. o rodzinnym kredycie mieszkaniowym i bezpiecznym kredycie 2%; </w:t>
      </w:r>
    </w:p>
    <w:p w14:paraId="1F647710" w14:textId="77777777" w:rsidR="00FB5DE6" w:rsidRDefault="007F0693" w:rsidP="007F0693">
      <w:pPr>
        <w:spacing w:after="0" w:line="300" w:lineRule="auto"/>
        <w:jc w:val="both"/>
        <w:rPr>
          <w:rStyle w:val="markedcontent"/>
          <w:rFonts w:ascii="Arial" w:eastAsia="Times New Roman" w:hAnsi="Arial" w:cs="Arial"/>
          <w:lang w:eastAsia="pl-PL"/>
        </w:rPr>
      </w:pPr>
      <w:r w:rsidRPr="007F0693">
        <w:rPr>
          <w:rStyle w:val="markedcontent"/>
          <w:rFonts w:ascii="Arial" w:eastAsia="Times New Roman" w:hAnsi="Arial" w:cs="Arial"/>
          <w:lang w:eastAsia="pl-PL"/>
        </w:rPr>
        <w:t>13) ustawę z dnia 26 maja 2023 r. o pomocy państwa w oszczędzaniu na cele mieszkaniowe.</w:t>
      </w:r>
    </w:p>
    <w:p w14:paraId="26AB29FC" w14:textId="1C5C6391" w:rsidR="00FB5DE6" w:rsidRDefault="007F0693" w:rsidP="007F0693">
      <w:pPr>
        <w:spacing w:after="0" w:line="300" w:lineRule="auto"/>
        <w:jc w:val="both"/>
        <w:rPr>
          <w:rStyle w:val="markedcontent"/>
          <w:rFonts w:ascii="Arial" w:eastAsia="Times New Roman" w:hAnsi="Arial" w:cs="Arial"/>
          <w:lang w:eastAsia="pl-PL"/>
        </w:rPr>
      </w:pPr>
      <w:r w:rsidRPr="007F0693">
        <w:rPr>
          <w:rStyle w:val="markedcontent"/>
          <w:rFonts w:ascii="Arial" w:eastAsia="Times New Roman" w:hAnsi="Arial" w:cs="Arial"/>
          <w:lang w:eastAsia="pl-PL"/>
        </w:rPr>
        <w:t xml:space="preserve">Realizując cel przyjętej regulacji w zmienianych ustawach, w tym ustawie z dnia 26 października 1995 r. o społecznych formach rozwoju mieszkalnictwa wprowadzono m.in. zmiany dotyczące: </w:t>
      </w:r>
    </w:p>
    <w:p w14:paraId="4DA0823A" w14:textId="77777777" w:rsidR="00FB5DE6" w:rsidRDefault="007F0693" w:rsidP="007F0693">
      <w:pPr>
        <w:spacing w:after="0" w:line="300" w:lineRule="auto"/>
        <w:jc w:val="both"/>
        <w:rPr>
          <w:rStyle w:val="markedcontent"/>
          <w:rFonts w:ascii="Arial" w:eastAsia="Times New Roman" w:hAnsi="Arial" w:cs="Arial"/>
          <w:lang w:eastAsia="pl-PL"/>
        </w:rPr>
      </w:pPr>
      <w:r w:rsidRPr="007F0693">
        <w:rPr>
          <w:rStyle w:val="markedcontent"/>
          <w:rFonts w:ascii="Arial" w:eastAsia="Times New Roman" w:hAnsi="Arial" w:cs="Arial"/>
          <w:lang w:eastAsia="pl-PL"/>
        </w:rPr>
        <w:t xml:space="preserve">1)  przekształceń własnościowych, które mogą nastąpić po 15 latach od oddania do użytkowania lokalu mieszkalnego oraz po spłacie kredytu zaciągniętego przez SIM/TBS na jego budowę (przy zachowaniu praw nabytych obecnych najemców lokali mieszkalnych).  </w:t>
      </w:r>
    </w:p>
    <w:p w14:paraId="15D52C71" w14:textId="77777777" w:rsidR="00FB5DE6" w:rsidRDefault="007F0693" w:rsidP="007F0693">
      <w:pPr>
        <w:spacing w:after="0" w:line="300" w:lineRule="auto"/>
        <w:jc w:val="both"/>
        <w:rPr>
          <w:rStyle w:val="markedcontent"/>
          <w:rFonts w:ascii="Arial" w:eastAsia="Times New Roman" w:hAnsi="Arial" w:cs="Arial"/>
          <w:lang w:eastAsia="pl-PL"/>
        </w:rPr>
      </w:pPr>
      <w:r w:rsidRPr="007F0693">
        <w:rPr>
          <w:rStyle w:val="markedcontent"/>
          <w:rFonts w:ascii="Arial" w:eastAsia="Times New Roman" w:hAnsi="Arial" w:cs="Arial"/>
          <w:lang w:eastAsia="pl-PL"/>
        </w:rPr>
        <w:t xml:space="preserve">2) zwiększenia udziału czynnika społecznego w sprawowaniu nadzoru nad istniejącymi SIM/TBS, przez wprowadzenie zmiany dającej gminie lub gminom, na których obszarze działa SIM/TBS, prawo do wprowadzenia swoich przedstawicieli do składu rady nadzorczej spółek, w liczbie określonej w umowie albo statucie SIM/TBS, nie mniejszej niż jeden, również w sytuacji, gdy dotychczasowa umowa/statut tego nie przewidywały; </w:t>
      </w:r>
    </w:p>
    <w:p w14:paraId="3373823C" w14:textId="77777777" w:rsidR="00FB5DE6" w:rsidRDefault="007F0693" w:rsidP="007F0693">
      <w:pPr>
        <w:spacing w:after="0" w:line="300" w:lineRule="auto"/>
        <w:jc w:val="both"/>
        <w:rPr>
          <w:rStyle w:val="markedcontent"/>
          <w:rFonts w:ascii="Arial" w:eastAsia="Times New Roman" w:hAnsi="Arial" w:cs="Arial"/>
          <w:lang w:eastAsia="pl-PL"/>
        </w:rPr>
      </w:pPr>
      <w:r w:rsidRPr="007F0693">
        <w:rPr>
          <w:rStyle w:val="markedcontent"/>
          <w:rFonts w:ascii="Arial" w:eastAsia="Times New Roman" w:hAnsi="Arial" w:cs="Arial"/>
          <w:lang w:eastAsia="pl-PL"/>
        </w:rPr>
        <w:t xml:space="preserve">3) wydłużenia o 1 rok aktualnie obowiązującego programu SBC, który według obowiązujących regulacji kończy się w 2025 r. z jednoczesnym zwiększeniem budżetu programu SBC z 4,5 mld zł na 6,9 mld zł (środki BGK).  </w:t>
      </w:r>
    </w:p>
    <w:p w14:paraId="59F733E7" w14:textId="77777777" w:rsidR="00FB5DE6" w:rsidRDefault="007F0693" w:rsidP="007F0693">
      <w:pPr>
        <w:spacing w:after="0" w:line="300" w:lineRule="auto"/>
        <w:jc w:val="both"/>
        <w:rPr>
          <w:rStyle w:val="markedcontent"/>
          <w:rFonts w:ascii="Arial" w:eastAsia="Times New Roman" w:hAnsi="Arial" w:cs="Arial"/>
          <w:lang w:eastAsia="pl-PL"/>
        </w:rPr>
      </w:pPr>
      <w:r w:rsidRPr="007F0693">
        <w:rPr>
          <w:rStyle w:val="markedcontent"/>
          <w:rFonts w:ascii="Arial" w:eastAsia="Times New Roman" w:hAnsi="Arial" w:cs="Arial"/>
          <w:lang w:eastAsia="pl-PL"/>
        </w:rPr>
        <w:lastRenderedPageBreak/>
        <w:t xml:space="preserve">W ustawie z dnia 8 grudnia 2006 r. o finansowym wsparciu niektórych przedsięwzięć mieszkaniowych: </w:t>
      </w:r>
    </w:p>
    <w:p w14:paraId="3B8A7F36" w14:textId="77777777" w:rsidR="00FB5DE6" w:rsidRDefault="007F0693" w:rsidP="007F0693">
      <w:pPr>
        <w:spacing w:after="0" w:line="300" w:lineRule="auto"/>
        <w:jc w:val="both"/>
        <w:rPr>
          <w:rStyle w:val="markedcontent"/>
          <w:rFonts w:ascii="Arial" w:eastAsia="Times New Roman" w:hAnsi="Arial" w:cs="Arial"/>
          <w:lang w:eastAsia="pl-PL"/>
        </w:rPr>
      </w:pPr>
      <w:r w:rsidRPr="007F0693">
        <w:rPr>
          <w:rStyle w:val="markedcontent"/>
          <w:rFonts w:ascii="Arial" w:eastAsia="Times New Roman" w:hAnsi="Arial" w:cs="Arial"/>
          <w:lang w:eastAsia="pl-PL"/>
        </w:rPr>
        <w:t xml:space="preserve">1) podwyższono w 2025 r. maksymalny limitu wydatków budżetu państwa, do wysokości których może zostać zasilony Fundusz Dopłat z przeznaczeniem na program BSK, jak również podniesiono wysokości finansowego wsparcia na realizację inwestycji w ramach planu rozwojowego, co pozwoli na szybszą realizację danej inwestycji i zwiększenie procentowego udziału środków z Krajowego Planu Odbudowy (KPO) w realizowanych przedsięwzięciach. </w:t>
      </w:r>
    </w:p>
    <w:p w14:paraId="4FE38873" w14:textId="77777777" w:rsidR="00FB5DE6" w:rsidRDefault="007F0693" w:rsidP="007F0693">
      <w:pPr>
        <w:spacing w:after="0" w:line="300" w:lineRule="auto"/>
        <w:jc w:val="both"/>
        <w:rPr>
          <w:rStyle w:val="markedcontent"/>
          <w:rFonts w:ascii="Arial" w:eastAsia="Times New Roman" w:hAnsi="Arial" w:cs="Arial"/>
          <w:lang w:eastAsia="pl-PL"/>
        </w:rPr>
      </w:pPr>
      <w:r w:rsidRPr="007F0693">
        <w:rPr>
          <w:rStyle w:val="markedcontent"/>
          <w:rFonts w:ascii="Arial" w:eastAsia="Times New Roman" w:hAnsi="Arial" w:cs="Arial"/>
          <w:lang w:eastAsia="pl-PL"/>
        </w:rPr>
        <w:t xml:space="preserve">2)  wprowadzono rozwiązania mające na celu ograniczenia ryzyka utraty społecznego charakteru zasobu mieszkaniowego realizowanego z udziałem środków publicznych w ramach programów rządowych kierowanych do osób o ograniczonych dochodach; </w:t>
      </w:r>
    </w:p>
    <w:p w14:paraId="18E7ABF4" w14:textId="77777777" w:rsidR="00FB5DE6" w:rsidRDefault="007F0693" w:rsidP="007F0693">
      <w:pPr>
        <w:spacing w:after="0" w:line="300" w:lineRule="auto"/>
        <w:jc w:val="both"/>
        <w:rPr>
          <w:rStyle w:val="markedcontent"/>
          <w:rFonts w:ascii="Arial" w:eastAsia="Times New Roman" w:hAnsi="Arial" w:cs="Arial"/>
          <w:lang w:eastAsia="pl-PL"/>
        </w:rPr>
      </w:pPr>
      <w:r w:rsidRPr="007F0693">
        <w:rPr>
          <w:rStyle w:val="markedcontent"/>
          <w:rFonts w:ascii="Arial" w:eastAsia="Times New Roman" w:hAnsi="Arial" w:cs="Arial"/>
          <w:lang w:eastAsia="pl-PL"/>
        </w:rPr>
        <w:t xml:space="preserve">3) wprowadzono rozwiązania dostosowujące regulacje dotyczące procesu inwestycyjnego, przede wszystkim w zakresie budownictwa komunalnego oraz zaspokajania potrzeb mieszkaniowych gospodarstw domowych, do obecnych uwarunkowań prawnych oraz eliminujących wątpliwości interpretacyjne. </w:t>
      </w:r>
    </w:p>
    <w:p w14:paraId="7969B99A" w14:textId="77777777" w:rsidR="00FB5DE6" w:rsidRDefault="007F0693" w:rsidP="007F0693">
      <w:pPr>
        <w:spacing w:after="0" w:line="300" w:lineRule="auto"/>
        <w:jc w:val="both"/>
        <w:rPr>
          <w:rStyle w:val="markedcontent"/>
          <w:rFonts w:ascii="Arial" w:eastAsia="Times New Roman" w:hAnsi="Arial" w:cs="Arial"/>
          <w:lang w:eastAsia="pl-PL"/>
        </w:rPr>
      </w:pPr>
      <w:r w:rsidRPr="007F0693">
        <w:rPr>
          <w:rStyle w:val="markedcontent"/>
          <w:rFonts w:ascii="Arial" w:eastAsia="Times New Roman" w:hAnsi="Arial" w:cs="Arial"/>
          <w:lang w:eastAsia="pl-PL"/>
        </w:rPr>
        <w:t xml:space="preserve">Zgodnie z uchwaloną ustawą do 2030 r. na budownictwo komunalne i społeczne z budżetu państwa do Funduszu Dopłat trafi ok. 40 mld zł, które zostaną przeznaczone na bezzwrotne granty w ramach programu BSK. Poza bezzwrotną pomocą gmina, TBS, SIM lub spółdzielnia mieszkaniowa mogą ubiegać się tani kredyt mieszkaniowy z programu SBC, którego działanie ustawa przedłuża na rok 2026 r. Z tego źródła w tym i kolejnym roku beneficjenci mogą pozyskać 7 mld złotych. Dodatkowo ustawa zwiększa dla inwestycji w budownictwo społeczne wysokość grantów z KPO o 10 %. Wnioski dotyczące współfinansowania z KPO będą miały pierwszeństwo w kolejce do Funduszu Dopłat. </w:t>
      </w:r>
    </w:p>
    <w:p w14:paraId="37367129" w14:textId="77777777" w:rsidR="00FB5DE6" w:rsidRDefault="007F0693" w:rsidP="007F0693">
      <w:pPr>
        <w:spacing w:after="0" w:line="300" w:lineRule="auto"/>
        <w:jc w:val="both"/>
        <w:rPr>
          <w:rStyle w:val="markedcontent"/>
          <w:rFonts w:ascii="Arial" w:eastAsia="Times New Roman" w:hAnsi="Arial" w:cs="Arial"/>
          <w:lang w:eastAsia="pl-PL"/>
        </w:rPr>
      </w:pPr>
      <w:r w:rsidRPr="007F0693">
        <w:rPr>
          <w:rStyle w:val="markedcontent"/>
          <w:rFonts w:ascii="Arial" w:eastAsia="Times New Roman" w:hAnsi="Arial" w:cs="Arial"/>
          <w:lang w:eastAsia="pl-PL"/>
        </w:rPr>
        <w:t xml:space="preserve">Ustawą wprowadzono graniczną datę dla udzielania bezpiecznych kredytów 2%. Zgodnie ze zmienianym art. 3 ust. 5 ustawy z dnia 1 października 2012 r. o rodzinnym kredycie mieszkaniowym i bezpiecznym kredycie 2% kredyty te będą mogły zostać udzielone jedynie na wniosek złożony przed dniem wejścia w życie omawianej ustawy (art. 12).  </w:t>
      </w:r>
    </w:p>
    <w:p w14:paraId="298D8DD3" w14:textId="77777777" w:rsidR="00FB5DE6" w:rsidRDefault="007F0693" w:rsidP="007F0693">
      <w:pPr>
        <w:spacing w:after="0" w:line="300" w:lineRule="auto"/>
        <w:jc w:val="both"/>
        <w:rPr>
          <w:rStyle w:val="markedcontent"/>
          <w:rFonts w:ascii="Arial" w:eastAsia="Times New Roman" w:hAnsi="Arial" w:cs="Arial"/>
          <w:lang w:eastAsia="pl-PL"/>
        </w:rPr>
      </w:pPr>
      <w:r w:rsidRPr="007F0693">
        <w:rPr>
          <w:rStyle w:val="markedcontent"/>
          <w:rFonts w:ascii="Arial" w:eastAsia="Times New Roman" w:hAnsi="Arial" w:cs="Arial"/>
          <w:lang w:eastAsia="pl-PL"/>
        </w:rPr>
        <w:t xml:space="preserve">W ustawie z dnia 26 maja 2023 r. o pomocy państwa w oszczędzaniu na cele mieszkaniowe, poza zmianami o charakterze doprecyzowującym wprowadzono obniżenie z 500 zł do 300 zł minimalnej wymaganej ustawą kwoty wpłaty miesięcznej na konto mieszkaniowe, co ma uelastycznić zasady systematycznego oszczędzania i zapewnić lepsze dostosowanie warunków oszczędzania na kontach mieszkaniowych do różnego poziomu zamożności gospodarstw domowych przystępujących do tego systemu. Podwyższeniu ulega minimalny wskaźnik rocznej premii mieszkaniowej wyznaczającej poziom wsparcia systematycznie oszczędzających na koncie mieszkaniowym z 0,01 do 0,04. Znosi się limit wieku dla rozpoczęcia oszczędzania z wykorzystaniem Kont Mieszkaniowych, co umożliwi skorzystanie z instrumentu także osobom przekraczającym 45 rok życia. Uzupełnia się katalog wydatków, w związku z którymi będzie możliwe skorzystanie z premii mieszkaniowej także w przypadku remontu lub przebudowy domu jednorodzinnego albo lokalu mieszkalnego uzyskanego w drodze dziedziczenia lub darowizny (art. 13). W art. 13 pkt 12 zwiększa się w latach 2025–2032 roczne kwoty maksymalnego limitu wydatków budżetu państwa przekazywanych do Rządowego Funduszu Mieszkaniowego z przeznaczeniem na dopłaty do rat bezpiecznych kredytów 2%. Podwyższone kwoty maksymalnych limitów wydatków budżetu państwa zostaną określone na poziomie dającym możliwość przyjęcia w ustawach budżetowych takich kwot </w:t>
      </w:r>
      <w:r w:rsidRPr="007F0693">
        <w:rPr>
          <w:rStyle w:val="markedcontent"/>
          <w:rFonts w:ascii="Arial" w:eastAsia="Times New Roman" w:hAnsi="Arial" w:cs="Arial"/>
          <w:lang w:eastAsia="pl-PL"/>
        </w:rPr>
        <w:lastRenderedPageBreak/>
        <w:t xml:space="preserve">zasilenia Rządowego Funduszu Mieszkaniowego, które zapewnią pokrycie w kolejnych latach zapotrzebowania na dopłaty do rat udzielonych bezpiecznych kredytów 2%. </w:t>
      </w:r>
    </w:p>
    <w:p w14:paraId="6690B4BF" w14:textId="77777777" w:rsidR="00FB5DE6" w:rsidRDefault="007F0693" w:rsidP="007F0693">
      <w:pPr>
        <w:spacing w:after="0" w:line="300" w:lineRule="auto"/>
        <w:jc w:val="both"/>
        <w:rPr>
          <w:rStyle w:val="markedcontent"/>
          <w:rFonts w:ascii="Arial" w:eastAsia="Times New Roman" w:hAnsi="Arial" w:cs="Arial"/>
          <w:lang w:eastAsia="pl-PL"/>
        </w:rPr>
      </w:pPr>
      <w:r w:rsidRPr="007F0693">
        <w:rPr>
          <w:rStyle w:val="markedcontent"/>
          <w:rFonts w:ascii="Arial" w:eastAsia="Times New Roman" w:hAnsi="Arial" w:cs="Arial"/>
          <w:lang w:eastAsia="pl-PL"/>
        </w:rPr>
        <w:t xml:space="preserve">Uchwalona ustawa wprowadza w ustawie z dnia 5 lipca 2018 r. o ułatwieniach w przygotowaniu i realizacji inwestycji mieszkaniowych oraz inwestycji towarzyszących zmiany w art. w art. 17 ust. 4a i 4d oraz w art. 19 ust. 3. Nowelizacja tej ustawy ma celu rezygnację z określania na poziomie krajowym minimalnego współczynnika liczby miejsc postojowych przewidzianych do realizacji w ramach inwestycji mieszkaniowej lokalizowanej z wykorzystaniem narzędzi wprowadzonych tą ustawą. Aktualne brzmienie przepisów ogranicza możliwość modyfikacji tego wskaźnika przez gminę i uniemożliwia dostosowanie go do lokalnych uwarunkowań w danej miejscowości, uwzględniających np. lokalizację terenu inwestycji, stopień rozwoju transportu publicznego czy sieci dróg rowerowych zgodnie z ustaleniami w miejscowych planach zagospodarowania przestrzennego. W art. 19 ust. 3 tej ustawy wprowadza się upoważnienie dla rady gminy do określenia w lokalnych standardach urbanistycznych liczby miejsc postojowych niezbędnych dla obsługi realizowanej inwestycji mieszkaniowej. </w:t>
      </w:r>
    </w:p>
    <w:p w14:paraId="4E85F33A" w14:textId="77777777" w:rsidR="00FB5DE6" w:rsidRDefault="007F0693" w:rsidP="007F0693">
      <w:pPr>
        <w:spacing w:after="0" w:line="300" w:lineRule="auto"/>
        <w:jc w:val="both"/>
        <w:rPr>
          <w:rStyle w:val="markedcontent"/>
          <w:rFonts w:ascii="Arial" w:eastAsia="Times New Roman" w:hAnsi="Arial" w:cs="Arial"/>
          <w:lang w:eastAsia="pl-PL"/>
        </w:rPr>
      </w:pPr>
      <w:r w:rsidRPr="007F0693">
        <w:rPr>
          <w:rStyle w:val="markedcontent"/>
          <w:rFonts w:ascii="Arial" w:eastAsia="Times New Roman" w:hAnsi="Arial" w:cs="Arial"/>
          <w:lang w:eastAsia="pl-PL"/>
        </w:rPr>
        <w:t xml:space="preserve">W nowelizacji ustawy o gospodarce nieruchomościami przewiduje się wprowadzenie przepisu określającego nową formę świadectwa nadania uprawnień zawodowych w zakresie szacowania nieruchomości – spersonalizowana dwustronna karta identyfikacyjna. Proponuje się również udostępnienie tego dokumentu w aplikacji mobilnej mObywatel (art. 2). </w:t>
      </w:r>
    </w:p>
    <w:p w14:paraId="7D53C657" w14:textId="77777777" w:rsidR="00FB5DE6" w:rsidRDefault="007F0693" w:rsidP="007F0693">
      <w:pPr>
        <w:spacing w:after="0" w:line="300" w:lineRule="auto"/>
        <w:jc w:val="both"/>
        <w:rPr>
          <w:rStyle w:val="markedcontent"/>
          <w:rFonts w:ascii="Arial" w:eastAsia="Times New Roman" w:hAnsi="Arial" w:cs="Arial"/>
          <w:lang w:eastAsia="pl-PL"/>
        </w:rPr>
      </w:pPr>
      <w:r w:rsidRPr="007F0693">
        <w:rPr>
          <w:rStyle w:val="markedcontent"/>
          <w:rFonts w:ascii="Arial" w:eastAsia="Times New Roman" w:hAnsi="Arial" w:cs="Arial"/>
          <w:lang w:eastAsia="pl-PL"/>
        </w:rPr>
        <w:t xml:space="preserve">Niniejsza ustawa w zakresie swojej regulacji wdraża także dyrektywę Parlamentu Europejskiego i Rady (UE) 2024/1275 z dnia 24 kwietnia 2024 r. w sprawie charakterystyki energetycznej budynków (wersja przekształcona) (Dz. Urz. UE L 2024/1275 z 08.05.2024). Wprowadzenie projektowanego ust. 3 w art. 14 ustawy o finansowym wsparciu niektórych przedsięwzięć mieszkaniowych spowodowane jest koniecznością dostosowania programu BSK do przepisów unijnych – dyrektywy Parlamentu Europejskiego i Rady (UE) 2024/1275 z dnia 24 kwietnia 2024 r. w sprawie charakterystyki energetycznej budynków. </w:t>
      </w:r>
    </w:p>
    <w:p w14:paraId="482591D0" w14:textId="77777777" w:rsidR="00FB5DE6" w:rsidRDefault="00FB5DE6" w:rsidP="007F0693">
      <w:pPr>
        <w:spacing w:after="0" w:line="300" w:lineRule="auto"/>
        <w:jc w:val="both"/>
        <w:rPr>
          <w:rStyle w:val="markedcontent"/>
          <w:rFonts w:ascii="Arial" w:eastAsia="Times New Roman" w:hAnsi="Arial" w:cs="Arial"/>
          <w:lang w:eastAsia="pl-PL"/>
        </w:rPr>
      </w:pPr>
    </w:p>
    <w:p w14:paraId="1582EB9E" w14:textId="11ECE54E" w:rsidR="007F0693" w:rsidRDefault="007F0693" w:rsidP="007F0693">
      <w:pPr>
        <w:spacing w:after="0" w:line="300" w:lineRule="auto"/>
        <w:jc w:val="both"/>
        <w:rPr>
          <w:rStyle w:val="markedcontent"/>
          <w:rFonts w:ascii="Arial" w:eastAsia="Times New Roman" w:hAnsi="Arial" w:cs="Arial"/>
          <w:lang w:eastAsia="pl-PL"/>
        </w:rPr>
      </w:pPr>
      <w:r w:rsidRPr="007F0693">
        <w:rPr>
          <w:rStyle w:val="markedcontent"/>
          <w:rFonts w:ascii="Arial" w:eastAsia="Times New Roman" w:hAnsi="Arial" w:cs="Arial"/>
          <w:lang w:eastAsia="pl-PL"/>
        </w:rPr>
        <w:t>Ustawa wchodzi w życie zasadniczo po upływie 14 dni od dnia ogłoszenia z wyjątkiem przepisów dla których ustawa przewiduje inny termin wejścia w życie:</w:t>
      </w:r>
    </w:p>
    <w:p w14:paraId="08966360" w14:textId="77777777" w:rsidR="00FB5DE6" w:rsidRDefault="00FB5DE6" w:rsidP="007F0693">
      <w:pPr>
        <w:spacing w:after="0" w:line="300" w:lineRule="auto"/>
        <w:jc w:val="both"/>
        <w:rPr>
          <w:rStyle w:val="markedcontent"/>
          <w:rFonts w:ascii="Arial" w:eastAsia="Times New Roman" w:hAnsi="Arial" w:cs="Arial"/>
          <w:lang w:eastAsia="pl-PL"/>
        </w:rPr>
      </w:pPr>
      <w:r w:rsidRPr="00FB5DE6">
        <w:rPr>
          <w:rStyle w:val="markedcontent"/>
          <w:rFonts w:ascii="Arial" w:eastAsia="Times New Roman" w:hAnsi="Arial" w:cs="Arial"/>
          <w:lang w:eastAsia="pl-PL"/>
        </w:rPr>
        <w:t xml:space="preserve">1) art. 5 pkt 15 lit. a w zakresie ust. 3a pkt 1 i lit. b, art. 8, art. 9, art. 13 pkt 11 i 12 oraz art. 19, które wchodzą w życie z dniem następującym po dniu ogłoszenia; </w:t>
      </w:r>
    </w:p>
    <w:p w14:paraId="1E1D67D0" w14:textId="77777777" w:rsidR="00FB5DE6" w:rsidRDefault="00FB5DE6" w:rsidP="007F0693">
      <w:pPr>
        <w:spacing w:after="0" w:line="300" w:lineRule="auto"/>
        <w:jc w:val="both"/>
        <w:rPr>
          <w:rStyle w:val="markedcontent"/>
          <w:rFonts w:ascii="Arial" w:eastAsia="Times New Roman" w:hAnsi="Arial" w:cs="Arial"/>
          <w:lang w:eastAsia="pl-PL"/>
        </w:rPr>
      </w:pPr>
      <w:r w:rsidRPr="00FB5DE6">
        <w:rPr>
          <w:rStyle w:val="markedcontent"/>
          <w:rFonts w:ascii="Arial" w:eastAsia="Times New Roman" w:hAnsi="Arial" w:cs="Arial"/>
          <w:lang w:eastAsia="pl-PL"/>
        </w:rPr>
        <w:t xml:space="preserve">2) art. 2 pkt 1 w zakresie art. 192 ust. 4 i 5, który wchodzi w życie z dniem określonym w komunikacie, o którym mowa w art. 18 ust. 1; </w:t>
      </w:r>
    </w:p>
    <w:p w14:paraId="34B13FD5" w14:textId="77777777" w:rsidR="00FB5DE6" w:rsidRDefault="00FB5DE6" w:rsidP="007F0693">
      <w:pPr>
        <w:spacing w:after="0" w:line="300" w:lineRule="auto"/>
        <w:jc w:val="both"/>
        <w:rPr>
          <w:rStyle w:val="markedcontent"/>
          <w:rFonts w:ascii="Arial" w:eastAsia="Times New Roman" w:hAnsi="Arial" w:cs="Arial"/>
          <w:lang w:eastAsia="pl-PL"/>
        </w:rPr>
      </w:pPr>
      <w:r w:rsidRPr="00FB5DE6">
        <w:rPr>
          <w:rStyle w:val="markedcontent"/>
          <w:rFonts w:ascii="Arial" w:eastAsia="Times New Roman" w:hAnsi="Arial" w:cs="Arial"/>
          <w:lang w:eastAsia="pl-PL"/>
        </w:rPr>
        <w:t xml:space="preserve">3) art. 2 pkt 1 w zakresie art. 192 ust. 3 i 6 oraz pkt 2, który wchodzi w życie po upływie 90 dni od dnia ogłoszenia; </w:t>
      </w:r>
    </w:p>
    <w:p w14:paraId="16636890" w14:textId="692467DC" w:rsidR="00FB5DE6" w:rsidRDefault="00FB5DE6" w:rsidP="007F0693">
      <w:pPr>
        <w:spacing w:after="0" w:line="300" w:lineRule="auto"/>
        <w:jc w:val="both"/>
        <w:rPr>
          <w:rStyle w:val="markedcontent"/>
          <w:rFonts w:ascii="Arial" w:eastAsia="Times New Roman" w:hAnsi="Arial" w:cs="Arial"/>
          <w:lang w:eastAsia="pl-PL"/>
        </w:rPr>
      </w:pPr>
      <w:r w:rsidRPr="00FB5DE6">
        <w:rPr>
          <w:rStyle w:val="markedcontent"/>
          <w:rFonts w:ascii="Arial" w:eastAsia="Times New Roman" w:hAnsi="Arial" w:cs="Arial"/>
          <w:lang w:eastAsia="pl-PL"/>
        </w:rPr>
        <w:t>4) art. 5 pkt 1 lit. a, pkt 2 lit. a i lit. b tiret drugie, pkt 3, 7, 9, pkt 10 lit. a–f, pkt 12, pkt 15 lit. a w zakresie ust. 3a pkt 2, pkt 16, 17, pkt 18 lit. a tiret drugie pierwsze podwójne tiret i lit. d, pkt 19 lit. a, pkt 20, 21, pkt 22 lit. a i c, pkt 23 lit. b i c, pkt 24, pkt 25 lit. a tiret drugie i pkt 26, art. 13 pkt 1–10 oraz art. 24, które wchodzą w życie z dniem 1 stycznia 2026 r.</w:t>
      </w:r>
    </w:p>
    <w:p w14:paraId="1EC0D5C1" w14:textId="77777777" w:rsidR="00FB5DE6" w:rsidRPr="007F0693" w:rsidRDefault="00FB5DE6" w:rsidP="007F0693">
      <w:pPr>
        <w:spacing w:after="0" w:line="300" w:lineRule="auto"/>
        <w:jc w:val="both"/>
        <w:rPr>
          <w:rStyle w:val="markedcontent"/>
          <w:rFonts w:ascii="Arial" w:eastAsia="Times New Roman" w:hAnsi="Arial" w:cs="Arial"/>
          <w:lang w:eastAsia="pl-PL"/>
        </w:rPr>
      </w:pPr>
    </w:p>
    <w:p w14:paraId="76E20ACF" w14:textId="406701B4" w:rsidR="007F0693" w:rsidRPr="00E034D8" w:rsidRDefault="00E034D8" w:rsidP="00D82789">
      <w:pPr>
        <w:pStyle w:val="Akapitzlist"/>
        <w:numPr>
          <w:ilvl w:val="0"/>
          <w:numId w:val="2"/>
        </w:numPr>
        <w:spacing w:after="0" w:line="300" w:lineRule="auto"/>
        <w:ind w:left="426" w:hanging="426"/>
        <w:jc w:val="both"/>
        <w:rPr>
          <w:rStyle w:val="markedcontent"/>
          <w:rFonts w:ascii="Arial" w:eastAsia="Times New Roman" w:hAnsi="Arial" w:cs="Arial"/>
          <w:b/>
          <w:bCs/>
          <w:u w:val="single"/>
          <w:lang w:eastAsia="pl-PL"/>
        </w:rPr>
      </w:pPr>
      <w:r w:rsidRPr="00E034D8">
        <w:rPr>
          <w:rStyle w:val="markedcontent"/>
          <w:rFonts w:ascii="Arial" w:eastAsia="Times New Roman" w:hAnsi="Arial" w:cs="Arial"/>
          <w:b/>
          <w:bCs/>
          <w:u w:val="single"/>
          <w:lang w:eastAsia="pl-PL"/>
        </w:rPr>
        <w:t>Ustawa z dnia 25 lipca 2025 r. o zmianie ustawy – Prawo restrukturyzacyjne, ustawy – Prawo upadłościowe oraz ustawy o Krajowym Rejestrze Zadłużonych.</w:t>
      </w:r>
    </w:p>
    <w:p w14:paraId="3C1B8DF5" w14:textId="77777777" w:rsidR="00E034D8" w:rsidRDefault="00E034D8" w:rsidP="00E034D8">
      <w:pPr>
        <w:spacing w:after="0" w:line="300" w:lineRule="auto"/>
        <w:jc w:val="both"/>
        <w:rPr>
          <w:rStyle w:val="markedcontent"/>
          <w:rFonts w:ascii="Arial" w:eastAsia="Times New Roman" w:hAnsi="Arial" w:cs="Arial"/>
          <w:lang w:eastAsia="pl-PL"/>
        </w:rPr>
      </w:pPr>
    </w:p>
    <w:p w14:paraId="173E6E84" w14:textId="43D48498" w:rsidR="00E034D8" w:rsidRDefault="00E034D8" w:rsidP="00E034D8">
      <w:pPr>
        <w:spacing w:after="0" w:line="300" w:lineRule="auto"/>
        <w:jc w:val="both"/>
        <w:rPr>
          <w:rStyle w:val="markedcontent"/>
          <w:rFonts w:ascii="Arial" w:eastAsia="Times New Roman" w:hAnsi="Arial" w:cs="Arial"/>
          <w:lang w:eastAsia="pl-PL"/>
        </w:rPr>
      </w:pPr>
      <w:r w:rsidRPr="00E034D8">
        <w:rPr>
          <w:rStyle w:val="markedcontent"/>
          <w:rFonts w:ascii="Arial" w:eastAsia="Times New Roman" w:hAnsi="Arial" w:cs="Arial"/>
          <w:lang w:eastAsia="pl-PL"/>
        </w:rPr>
        <w:lastRenderedPageBreak/>
        <w:t xml:space="preserve">Powyższy akt prawny ogłoszony został </w:t>
      </w:r>
      <w:r>
        <w:rPr>
          <w:rStyle w:val="markedcontent"/>
          <w:rFonts w:ascii="Arial" w:eastAsia="Times New Roman" w:hAnsi="Arial" w:cs="Arial"/>
          <w:lang w:eastAsia="pl-PL"/>
        </w:rPr>
        <w:t>8</w:t>
      </w:r>
      <w:r w:rsidRPr="00E034D8">
        <w:rPr>
          <w:rStyle w:val="markedcontent"/>
          <w:rFonts w:ascii="Arial" w:eastAsia="Times New Roman" w:hAnsi="Arial" w:cs="Arial"/>
          <w:lang w:eastAsia="pl-PL"/>
        </w:rPr>
        <w:t xml:space="preserve"> sierpnia 2025 roku w Dzienniku Ustaw (Dz.U. z 2025, poz. 10</w:t>
      </w:r>
      <w:r>
        <w:rPr>
          <w:rStyle w:val="markedcontent"/>
          <w:rFonts w:ascii="Arial" w:eastAsia="Times New Roman" w:hAnsi="Arial" w:cs="Arial"/>
          <w:lang w:eastAsia="pl-PL"/>
        </w:rPr>
        <w:t>85</w:t>
      </w:r>
      <w:r w:rsidRPr="00E034D8">
        <w:rPr>
          <w:rStyle w:val="markedcontent"/>
          <w:rFonts w:ascii="Arial" w:eastAsia="Times New Roman" w:hAnsi="Arial" w:cs="Arial"/>
          <w:lang w:eastAsia="pl-PL"/>
        </w:rPr>
        <w:t>).</w:t>
      </w:r>
    </w:p>
    <w:p w14:paraId="31CDECFB" w14:textId="77777777" w:rsidR="00E034D8" w:rsidRDefault="00E034D8" w:rsidP="00E034D8">
      <w:pPr>
        <w:spacing w:after="0" w:line="300" w:lineRule="auto"/>
        <w:jc w:val="both"/>
        <w:rPr>
          <w:rStyle w:val="markedcontent"/>
          <w:rFonts w:ascii="Arial" w:eastAsia="Times New Roman" w:hAnsi="Arial" w:cs="Arial"/>
          <w:lang w:eastAsia="pl-PL"/>
        </w:rPr>
      </w:pPr>
    </w:p>
    <w:p w14:paraId="6821A060" w14:textId="77777777" w:rsidR="00E034D8" w:rsidRDefault="00E034D8" w:rsidP="00E034D8">
      <w:pPr>
        <w:spacing w:after="0" w:line="300" w:lineRule="auto"/>
        <w:jc w:val="both"/>
        <w:rPr>
          <w:rStyle w:val="markedcontent"/>
          <w:rFonts w:ascii="Arial" w:eastAsia="Times New Roman" w:hAnsi="Arial" w:cs="Arial"/>
          <w:lang w:eastAsia="pl-PL"/>
        </w:rPr>
      </w:pPr>
      <w:r w:rsidRPr="00E034D8">
        <w:rPr>
          <w:rStyle w:val="markedcontent"/>
          <w:rFonts w:ascii="Arial" w:eastAsia="Times New Roman" w:hAnsi="Arial" w:cs="Arial"/>
          <w:lang w:eastAsia="pl-PL"/>
        </w:rPr>
        <w:t xml:space="preserve">Uchwalona ustawa ma na celu wprowadzenie zmian w przepisach ustawy z dnia  15 maja 2015 r. – Prawo restrukturyzacyjne (Dz. U. z 2024 r. poz. 1428), ustawy z dnia  28 lutego 2003 r. – Prawo upadłościowe (Dz. U. z 2025 r. poz. 614) oraz ustawy z dnia  6 grudnia 2018 r. o Krajowym Rejestrze Zadłużonych (Dz. U. z 2021 r. poz. 1909).  </w:t>
      </w:r>
    </w:p>
    <w:p w14:paraId="765314F1" w14:textId="77777777" w:rsidR="00E034D8" w:rsidRDefault="00E034D8" w:rsidP="00E034D8">
      <w:pPr>
        <w:spacing w:after="0" w:line="300" w:lineRule="auto"/>
        <w:jc w:val="both"/>
        <w:rPr>
          <w:rStyle w:val="markedcontent"/>
          <w:rFonts w:ascii="Arial" w:eastAsia="Times New Roman" w:hAnsi="Arial" w:cs="Arial"/>
          <w:lang w:eastAsia="pl-PL"/>
        </w:rPr>
      </w:pPr>
      <w:r w:rsidRPr="00E034D8">
        <w:rPr>
          <w:rStyle w:val="markedcontent"/>
          <w:rFonts w:ascii="Arial" w:eastAsia="Times New Roman" w:hAnsi="Arial" w:cs="Arial"/>
          <w:lang w:eastAsia="pl-PL"/>
        </w:rPr>
        <w:t xml:space="preserve">Zmiany wprowadzone w ustawie z dnia 15 maja 2015 r. – Prawo restrukturyzacyjne mają na celu dokonanie implementacji dyrektywy Parlamentu Europejskiego i Rady (UE) 2019/1023 z dnia 20 czerwca 2019 r. w sprawie ram restrukturyzacji zapobiegawczej, umorzenia długów i zakazów prowadzenia działalności oraz w sprawie środków zwiększających skuteczność postępowań dotyczących restrukturyzacji, niewypłacalności i umorzenia długów, a także zmieniającej dyrektywę (UE) 2017/1132 (dyrektywa o restrukturyzacji i upadłości).  </w:t>
      </w:r>
    </w:p>
    <w:p w14:paraId="6BB6243E" w14:textId="77777777" w:rsidR="00E034D8" w:rsidRDefault="00E034D8" w:rsidP="00E034D8">
      <w:pPr>
        <w:spacing w:after="0" w:line="300" w:lineRule="auto"/>
        <w:jc w:val="both"/>
        <w:rPr>
          <w:rStyle w:val="markedcontent"/>
          <w:rFonts w:ascii="Arial" w:eastAsia="Times New Roman" w:hAnsi="Arial" w:cs="Arial"/>
          <w:lang w:eastAsia="pl-PL"/>
        </w:rPr>
      </w:pPr>
      <w:r w:rsidRPr="00E034D8">
        <w:rPr>
          <w:rStyle w:val="markedcontent"/>
          <w:rFonts w:ascii="Arial" w:eastAsia="Times New Roman" w:hAnsi="Arial" w:cs="Arial"/>
          <w:lang w:eastAsia="pl-PL"/>
        </w:rPr>
        <w:t xml:space="preserve">Do najistotniejszych zmian wprowadzanych w ustawie z dnia 15 maja 2015 r. - Prawo restrukturyzacyjne zaliczyć można: </w:t>
      </w:r>
    </w:p>
    <w:p w14:paraId="2538F553" w14:textId="0FD0FC34" w:rsidR="00E034D8" w:rsidRPr="00E034D8" w:rsidRDefault="00E034D8" w:rsidP="00BD6B4F">
      <w:pPr>
        <w:pStyle w:val="Akapitzlist"/>
        <w:numPr>
          <w:ilvl w:val="0"/>
          <w:numId w:val="12"/>
        </w:numPr>
        <w:spacing w:after="0" w:line="300" w:lineRule="auto"/>
        <w:ind w:left="709" w:hanging="425"/>
        <w:jc w:val="both"/>
        <w:rPr>
          <w:rStyle w:val="markedcontent"/>
          <w:rFonts w:ascii="Arial" w:eastAsia="Times New Roman" w:hAnsi="Arial" w:cs="Arial"/>
          <w:lang w:eastAsia="pl-PL"/>
        </w:rPr>
      </w:pPr>
      <w:r w:rsidRPr="00E034D8">
        <w:rPr>
          <w:rStyle w:val="markedcontent"/>
          <w:rFonts w:ascii="Arial" w:eastAsia="Times New Roman" w:hAnsi="Arial" w:cs="Arial"/>
          <w:lang w:eastAsia="pl-PL"/>
        </w:rPr>
        <w:t xml:space="preserve">rozszerzenie katalogu dokumentów dołączanych przez dłużnika do wniosku o otwarcie postępowania restrukturyzacyjnego, m.in. o informacje dotyczące wpływu otwarcia tego postępowania na zatrudnienie w przedsiębiorstwie dłużnika; </w:t>
      </w:r>
    </w:p>
    <w:p w14:paraId="362BC0C5" w14:textId="77777777" w:rsidR="00E034D8" w:rsidRDefault="00E034D8" w:rsidP="00BD6B4F">
      <w:pPr>
        <w:pStyle w:val="Akapitzlist"/>
        <w:numPr>
          <w:ilvl w:val="0"/>
          <w:numId w:val="12"/>
        </w:numPr>
        <w:spacing w:after="0" w:line="300" w:lineRule="auto"/>
        <w:ind w:left="709" w:hanging="425"/>
        <w:jc w:val="both"/>
        <w:rPr>
          <w:rStyle w:val="markedcontent"/>
          <w:rFonts w:ascii="Arial" w:eastAsia="Times New Roman" w:hAnsi="Arial" w:cs="Arial"/>
          <w:lang w:eastAsia="pl-PL"/>
        </w:rPr>
      </w:pPr>
      <w:r w:rsidRPr="00E034D8">
        <w:rPr>
          <w:rStyle w:val="markedcontent"/>
          <w:rFonts w:ascii="Arial" w:eastAsia="Times New Roman" w:hAnsi="Arial" w:cs="Arial"/>
          <w:lang w:eastAsia="pl-PL"/>
        </w:rPr>
        <w:t xml:space="preserve">wprowadzenie obowiązku wskazania w opisie przedsiębiorstwa informacji o tym, czy dłużnik jest mikroprzedsiębiorcą, małym przedsiębiorcą albo średnim przedsiębiorcą; </w:t>
      </w:r>
    </w:p>
    <w:p w14:paraId="0201D5E9" w14:textId="77777777" w:rsidR="00E034D8" w:rsidRDefault="00E034D8" w:rsidP="00BD6B4F">
      <w:pPr>
        <w:pStyle w:val="Akapitzlist"/>
        <w:numPr>
          <w:ilvl w:val="0"/>
          <w:numId w:val="12"/>
        </w:numPr>
        <w:spacing w:after="0" w:line="300" w:lineRule="auto"/>
        <w:ind w:left="709" w:hanging="425"/>
        <w:jc w:val="both"/>
        <w:rPr>
          <w:rStyle w:val="markedcontent"/>
          <w:rFonts w:ascii="Arial" w:eastAsia="Times New Roman" w:hAnsi="Arial" w:cs="Arial"/>
          <w:lang w:eastAsia="pl-PL"/>
        </w:rPr>
      </w:pPr>
      <w:r w:rsidRPr="00E034D8">
        <w:rPr>
          <w:rStyle w:val="markedcontent"/>
          <w:rFonts w:ascii="Arial" w:eastAsia="Times New Roman" w:hAnsi="Arial" w:cs="Arial"/>
          <w:lang w:eastAsia="pl-PL"/>
        </w:rPr>
        <w:t xml:space="preserve">nałożenie obowiązku sporządzenia testu zaspokojenia na początku postępowania restrukturyzacyjnego; test zaspokojenia będzie zawierał następujące informacje: </w:t>
      </w:r>
    </w:p>
    <w:p w14:paraId="53590B13" w14:textId="77777777" w:rsidR="00E034D8" w:rsidRDefault="00E034D8" w:rsidP="00E034D8">
      <w:pPr>
        <w:pStyle w:val="Akapitzlist"/>
        <w:numPr>
          <w:ilvl w:val="1"/>
          <w:numId w:val="14"/>
        </w:numPr>
        <w:spacing w:after="0" w:line="300" w:lineRule="auto"/>
        <w:ind w:left="1134" w:hanging="283"/>
        <w:jc w:val="both"/>
        <w:rPr>
          <w:rStyle w:val="markedcontent"/>
          <w:rFonts w:ascii="Arial" w:eastAsia="Times New Roman" w:hAnsi="Arial" w:cs="Arial"/>
          <w:lang w:eastAsia="pl-PL"/>
        </w:rPr>
      </w:pPr>
      <w:r w:rsidRPr="00E034D8">
        <w:rPr>
          <w:rStyle w:val="markedcontent"/>
          <w:rFonts w:ascii="Arial" w:eastAsia="Times New Roman" w:hAnsi="Arial" w:cs="Arial"/>
          <w:lang w:eastAsia="pl-PL"/>
        </w:rPr>
        <w:t xml:space="preserve">wycenę wskazującą metody i założenia przyjęte w trakcie jej sporządzania, która obejmuje: </w:t>
      </w:r>
    </w:p>
    <w:p w14:paraId="2A2E96B8" w14:textId="5104C37A" w:rsidR="00E034D8" w:rsidRDefault="00E034D8" w:rsidP="00E034D8">
      <w:pPr>
        <w:pStyle w:val="Akapitzlist"/>
        <w:numPr>
          <w:ilvl w:val="0"/>
          <w:numId w:val="15"/>
        </w:numPr>
        <w:spacing w:after="0" w:line="300" w:lineRule="auto"/>
        <w:ind w:left="1560" w:hanging="284"/>
        <w:jc w:val="both"/>
        <w:rPr>
          <w:rStyle w:val="markedcontent"/>
          <w:rFonts w:ascii="Arial" w:eastAsia="Times New Roman" w:hAnsi="Arial" w:cs="Arial"/>
          <w:lang w:eastAsia="pl-PL"/>
        </w:rPr>
      </w:pPr>
      <w:r w:rsidRPr="00E034D8">
        <w:rPr>
          <w:rStyle w:val="markedcontent"/>
          <w:rFonts w:ascii="Arial" w:eastAsia="Times New Roman" w:hAnsi="Arial" w:cs="Arial"/>
          <w:lang w:eastAsia="pl-PL"/>
        </w:rPr>
        <w:t xml:space="preserve">wartość przedsiębiorstwa dłużnika przy założeniu realizacji planu restrukturyzacyjnego i kontynuacji działalności gospodarczej, </w:t>
      </w:r>
    </w:p>
    <w:p w14:paraId="657D5A31" w14:textId="353EA7BE" w:rsidR="00E034D8" w:rsidRDefault="00E034D8" w:rsidP="00E034D8">
      <w:pPr>
        <w:pStyle w:val="Akapitzlist"/>
        <w:numPr>
          <w:ilvl w:val="0"/>
          <w:numId w:val="15"/>
        </w:numPr>
        <w:spacing w:after="0" w:line="300" w:lineRule="auto"/>
        <w:ind w:left="1560" w:hanging="284"/>
        <w:jc w:val="both"/>
        <w:rPr>
          <w:rStyle w:val="markedcontent"/>
          <w:rFonts w:ascii="Arial" w:eastAsia="Times New Roman" w:hAnsi="Arial" w:cs="Arial"/>
          <w:lang w:eastAsia="pl-PL"/>
        </w:rPr>
      </w:pPr>
      <w:r w:rsidRPr="00E034D8">
        <w:rPr>
          <w:rStyle w:val="markedcontent"/>
          <w:rFonts w:ascii="Arial" w:eastAsia="Times New Roman" w:hAnsi="Arial" w:cs="Arial"/>
          <w:lang w:eastAsia="pl-PL"/>
        </w:rPr>
        <w:t xml:space="preserve">wartość majątku dłużnika przy założeniu ogłoszenia jego upadłości i sprzedaży przedsiębiorstwa jako całości oraz odstąpienia od sprzedaży przedsiębiorstwa jako całości i sprzedaży poszczególnych składników majątku, </w:t>
      </w:r>
    </w:p>
    <w:p w14:paraId="563C4719" w14:textId="06D41500" w:rsidR="00E034D8" w:rsidRDefault="00E034D8" w:rsidP="00E034D8">
      <w:pPr>
        <w:pStyle w:val="Akapitzlist"/>
        <w:numPr>
          <w:ilvl w:val="1"/>
          <w:numId w:val="14"/>
        </w:numPr>
        <w:spacing w:after="0" w:line="300" w:lineRule="auto"/>
        <w:ind w:left="1134" w:hanging="283"/>
        <w:jc w:val="both"/>
        <w:rPr>
          <w:rStyle w:val="markedcontent"/>
          <w:rFonts w:ascii="Arial" w:eastAsia="Times New Roman" w:hAnsi="Arial" w:cs="Arial"/>
          <w:lang w:eastAsia="pl-PL"/>
        </w:rPr>
      </w:pPr>
      <w:r w:rsidRPr="00E034D8">
        <w:rPr>
          <w:rStyle w:val="markedcontent"/>
          <w:rFonts w:ascii="Arial" w:eastAsia="Times New Roman" w:hAnsi="Arial" w:cs="Arial"/>
          <w:lang w:eastAsia="pl-PL"/>
        </w:rPr>
        <w:t xml:space="preserve">informację o przewidywanym stopniu zaspokojenia wierzycieli, których wierzytelności są objęte układem, w postępowaniu upadłościowym, które byłoby prowadzone wobec dłużnika, </w:t>
      </w:r>
    </w:p>
    <w:p w14:paraId="55A6CDA1" w14:textId="11364771" w:rsidR="00E034D8" w:rsidRDefault="00E034D8" w:rsidP="00E034D8">
      <w:pPr>
        <w:pStyle w:val="Akapitzlist"/>
        <w:numPr>
          <w:ilvl w:val="1"/>
          <w:numId w:val="14"/>
        </w:numPr>
        <w:spacing w:after="0" w:line="300" w:lineRule="auto"/>
        <w:ind w:left="1134" w:hanging="283"/>
        <w:jc w:val="both"/>
        <w:rPr>
          <w:rStyle w:val="markedcontent"/>
          <w:rFonts w:ascii="Arial" w:eastAsia="Times New Roman" w:hAnsi="Arial" w:cs="Arial"/>
          <w:lang w:eastAsia="pl-PL"/>
        </w:rPr>
      </w:pPr>
      <w:r w:rsidRPr="00E034D8">
        <w:rPr>
          <w:rStyle w:val="markedcontent"/>
          <w:rFonts w:ascii="Arial" w:eastAsia="Times New Roman" w:hAnsi="Arial" w:cs="Arial"/>
          <w:lang w:eastAsia="pl-PL"/>
        </w:rPr>
        <w:t xml:space="preserve">ocenę, czy wierzytelności objęte układem będą zaspokojone w wyższym stopniu w przypadku zawarcia i wykonania układu, czy w postępowaniu upadłościowym; </w:t>
      </w:r>
    </w:p>
    <w:p w14:paraId="0BF551BD" w14:textId="77777777" w:rsidR="00E034D8" w:rsidRDefault="00E034D8" w:rsidP="00BD6B4F">
      <w:pPr>
        <w:pStyle w:val="Akapitzlist"/>
        <w:numPr>
          <w:ilvl w:val="0"/>
          <w:numId w:val="12"/>
        </w:numPr>
        <w:spacing w:after="0" w:line="300" w:lineRule="auto"/>
        <w:ind w:left="709" w:hanging="436"/>
        <w:jc w:val="both"/>
        <w:rPr>
          <w:rStyle w:val="markedcontent"/>
          <w:rFonts w:ascii="Arial" w:eastAsia="Times New Roman" w:hAnsi="Arial" w:cs="Arial"/>
          <w:lang w:eastAsia="pl-PL"/>
        </w:rPr>
      </w:pPr>
      <w:r w:rsidRPr="00E034D8">
        <w:rPr>
          <w:rStyle w:val="markedcontent"/>
          <w:rFonts w:ascii="Arial" w:eastAsia="Times New Roman" w:hAnsi="Arial" w:cs="Arial"/>
          <w:lang w:eastAsia="pl-PL"/>
        </w:rPr>
        <w:t xml:space="preserve">modyfikację mechanizmu zatwierdzania układu wbrew sprzeciwowi grupy wierzycieli (mechanizm cramdown); istota proponowanego rozwiązania polega na przyjęciu, że w przypadku braku większości do przyjęcia układu w każdej grupie wierzycieli, sąd będzie mógł mimo tego stwierdzić przyjęcie układu na wniosek dłużnika lub za jego zgodą, jeżeli większość grup wierzycieli głosowała za układem, w tym co najmniej jedna grupa wierzycieli zabezpieczonych rzeczowo lub wierzycieli o wyższym stopniu zaspokojenia od wierzycieli kategorii II w rozumieniu ustawy z dnia 28 lutego 2003 r. - Prawo upadłościowe, a w przypadku niespełnienia tego warunku, co najmniej jedna grupa wierzycieli głosowała za przyjęciem układu, pod warunkiem że grupa ta należy do tej </w:t>
      </w:r>
      <w:r w:rsidRPr="00E034D8">
        <w:rPr>
          <w:rStyle w:val="markedcontent"/>
          <w:rFonts w:ascii="Arial" w:eastAsia="Times New Roman" w:hAnsi="Arial" w:cs="Arial"/>
          <w:lang w:eastAsia="pl-PL"/>
        </w:rPr>
        <w:lastRenderedPageBreak/>
        <w:t xml:space="preserve">kategorii wierzycieli, która w przypadku przeprowadzenia postępowania upadłościowego otrzymałaby częściowe zaspokojenie, przy zastosowaniu wyceny zakładającej kontynuację działalności przedsiębiorstwa dłużnika – przy czym za przyjęciem układu głosowali wierzyciele mający łącznie co najmniej połowę sumy wierzytelności przysługujących głosującym wierzycielom; </w:t>
      </w:r>
    </w:p>
    <w:p w14:paraId="7EBCDD97" w14:textId="0805B736" w:rsidR="00E034D8" w:rsidRDefault="00E034D8" w:rsidP="00BD6B4F">
      <w:pPr>
        <w:pStyle w:val="Akapitzlist"/>
        <w:numPr>
          <w:ilvl w:val="0"/>
          <w:numId w:val="12"/>
        </w:numPr>
        <w:spacing w:after="0" w:line="300" w:lineRule="auto"/>
        <w:ind w:left="709" w:hanging="436"/>
        <w:jc w:val="both"/>
        <w:rPr>
          <w:rStyle w:val="markedcontent"/>
          <w:rFonts w:ascii="Arial" w:eastAsia="Times New Roman" w:hAnsi="Arial" w:cs="Arial"/>
          <w:lang w:eastAsia="pl-PL"/>
        </w:rPr>
      </w:pPr>
      <w:r w:rsidRPr="00E034D8">
        <w:rPr>
          <w:rStyle w:val="markedcontent"/>
          <w:rFonts w:ascii="Arial" w:eastAsia="Times New Roman" w:hAnsi="Arial" w:cs="Arial"/>
          <w:lang w:eastAsia="pl-PL"/>
        </w:rPr>
        <w:t xml:space="preserve">objęcie układem z mocy prawa wierzytelności zabezpieczonych rzeczowo oraz umożliwienie dokonania, za zgodą wierzyciela, sprzedaży przedmiotu zabezpieczenia wierzytelności albo jego zmiany; </w:t>
      </w:r>
    </w:p>
    <w:p w14:paraId="16380E4E" w14:textId="77777777" w:rsidR="00E034D8" w:rsidRDefault="00E034D8" w:rsidP="00BD6B4F">
      <w:pPr>
        <w:pStyle w:val="Akapitzlist"/>
        <w:numPr>
          <w:ilvl w:val="0"/>
          <w:numId w:val="12"/>
        </w:numPr>
        <w:spacing w:after="0" w:line="300" w:lineRule="auto"/>
        <w:ind w:left="709" w:hanging="436"/>
        <w:jc w:val="both"/>
        <w:rPr>
          <w:rStyle w:val="markedcontent"/>
          <w:rFonts w:ascii="Arial" w:eastAsia="Times New Roman" w:hAnsi="Arial" w:cs="Arial"/>
          <w:lang w:eastAsia="pl-PL"/>
        </w:rPr>
      </w:pPr>
      <w:r w:rsidRPr="00E034D8">
        <w:rPr>
          <w:rStyle w:val="markedcontent"/>
          <w:rFonts w:ascii="Arial" w:eastAsia="Times New Roman" w:hAnsi="Arial" w:cs="Arial"/>
          <w:lang w:eastAsia="pl-PL"/>
        </w:rPr>
        <w:t xml:space="preserve">umożliwienie sądowi restrukturyzacyjnemu dokonywania niewielkich zmian w układzie przedłożonym mu do zatwierdzenia; przyjęte rozwiązanie ma uchronić interesariuszy przed sytuacją, w której po przeprowadzeniu postępowania restrukturyzacyjnego i głosowaniu nad układem, sąd odmawia zatwierdzenia układu z powodu drobnych nieprawidłowości. </w:t>
      </w:r>
    </w:p>
    <w:p w14:paraId="57049FD4" w14:textId="77777777" w:rsidR="00BD6B4F" w:rsidRDefault="00E034D8" w:rsidP="00E034D8">
      <w:pPr>
        <w:spacing w:after="0" w:line="300" w:lineRule="auto"/>
        <w:jc w:val="both"/>
        <w:rPr>
          <w:rStyle w:val="markedcontent"/>
          <w:rFonts w:ascii="Arial" w:eastAsia="Times New Roman" w:hAnsi="Arial" w:cs="Arial"/>
          <w:lang w:eastAsia="pl-PL"/>
        </w:rPr>
      </w:pPr>
      <w:r w:rsidRPr="00E034D8">
        <w:rPr>
          <w:rStyle w:val="markedcontent"/>
          <w:rFonts w:ascii="Arial" w:eastAsia="Times New Roman" w:hAnsi="Arial" w:cs="Arial"/>
          <w:lang w:eastAsia="pl-PL"/>
        </w:rPr>
        <w:t xml:space="preserve">Uchwalona ustawa wprowadza ponadto zmianę art. 9a ustawy z dnia 28 lutego 2003 r. - Prawo upadłościowe mającą na celu usunięcie wątpliwości interpretacyjnych związanych z tym przepisem, dotyczących jego stosowania w przypadku postępowania o zatwierdzenie układu. W przepisie przesądzono, że nie można ogłosić upadłości w okresie od dnia obwieszczenia o ustaleniu dnia układowego w postępowaniu o zatwierdzenie układu do dnia prawomocnego umorzenia postępowania o zatwierdzenie układu albo do dnia złożenia 2 wniosku o zatwierdzenie układu do sądu. W takim przypadku rozpoznanie wniosku o ogłoszenie upadłości zostanie wstrzymane.  </w:t>
      </w:r>
    </w:p>
    <w:p w14:paraId="76428715" w14:textId="77777777" w:rsidR="00BD6B4F" w:rsidRDefault="00E034D8" w:rsidP="00E034D8">
      <w:pPr>
        <w:spacing w:after="0" w:line="300" w:lineRule="auto"/>
        <w:jc w:val="both"/>
        <w:rPr>
          <w:rStyle w:val="markedcontent"/>
          <w:rFonts w:ascii="Arial" w:eastAsia="Times New Roman" w:hAnsi="Arial" w:cs="Arial"/>
          <w:lang w:eastAsia="pl-PL"/>
        </w:rPr>
      </w:pPr>
      <w:r w:rsidRPr="00E034D8">
        <w:rPr>
          <w:rStyle w:val="markedcontent"/>
          <w:rFonts w:ascii="Arial" w:eastAsia="Times New Roman" w:hAnsi="Arial" w:cs="Arial"/>
          <w:lang w:eastAsia="pl-PL"/>
        </w:rPr>
        <w:t xml:space="preserve">Uchwalona ustawa dokonuje również zmiany ustawy z dnia 6 grudnia 2018 r. o Krajowym Rejestrze Zadłużonych polegającej na dodaniu art. 12a, który obliguje Ministra Sprawiedliwości do gromadzenia, przechowywania, agregowania oraz udostępniania Komisji Europejskiej danych o liczbie: </w:t>
      </w:r>
    </w:p>
    <w:p w14:paraId="049AA223" w14:textId="10B21E66" w:rsidR="00BD6B4F" w:rsidRPr="00BD6B4F" w:rsidRDefault="00E034D8" w:rsidP="0068163A">
      <w:pPr>
        <w:pStyle w:val="Akapitzlist"/>
        <w:numPr>
          <w:ilvl w:val="2"/>
          <w:numId w:val="14"/>
        </w:numPr>
        <w:spacing w:after="0" w:line="300" w:lineRule="auto"/>
        <w:ind w:left="709" w:hanging="425"/>
        <w:jc w:val="both"/>
        <w:rPr>
          <w:rStyle w:val="markedcontent"/>
          <w:rFonts w:ascii="Arial" w:eastAsia="Times New Roman" w:hAnsi="Arial" w:cs="Arial"/>
          <w:lang w:eastAsia="pl-PL"/>
        </w:rPr>
      </w:pPr>
      <w:r w:rsidRPr="00BD6B4F">
        <w:rPr>
          <w:rStyle w:val="markedcontent"/>
          <w:rFonts w:ascii="Arial" w:eastAsia="Times New Roman" w:hAnsi="Arial" w:cs="Arial"/>
          <w:lang w:eastAsia="pl-PL"/>
        </w:rPr>
        <w:t xml:space="preserve">wniosków restrukturyzacyjnych, obwieszczeń o ustaleniu dnia układowego, wniosków o otwarcie postępowania o zawarcie układu na zgromadzeniu wierzycieli, wniosków o ogłoszenie upadłości, wniosków o uznanie orzeczenia o wszczęciu zagranicznego postępowania upadłościowego i wniosków o wszczęcie wtórnego postępowania upadłościowego oraz średnim czasie ich rozpoznania; </w:t>
      </w:r>
    </w:p>
    <w:p w14:paraId="15C68AF7" w14:textId="77777777" w:rsidR="00BD6B4F" w:rsidRDefault="00E034D8" w:rsidP="0068163A">
      <w:pPr>
        <w:pStyle w:val="Akapitzlist"/>
        <w:numPr>
          <w:ilvl w:val="2"/>
          <w:numId w:val="14"/>
        </w:numPr>
        <w:spacing w:after="0" w:line="300" w:lineRule="auto"/>
        <w:ind w:left="709" w:hanging="425"/>
        <w:jc w:val="both"/>
        <w:rPr>
          <w:rStyle w:val="markedcontent"/>
          <w:rFonts w:ascii="Arial" w:eastAsia="Times New Roman" w:hAnsi="Arial" w:cs="Arial"/>
          <w:lang w:eastAsia="pl-PL"/>
        </w:rPr>
      </w:pPr>
      <w:r w:rsidRPr="00BD6B4F">
        <w:rPr>
          <w:rStyle w:val="markedcontent"/>
          <w:rFonts w:ascii="Arial" w:eastAsia="Times New Roman" w:hAnsi="Arial" w:cs="Arial"/>
          <w:lang w:eastAsia="pl-PL"/>
        </w:rPr>
        <w:t xml:space="preserve">ogłoszonych upadłości, wszczętych wtórnych postępowań upadłościowych, otwartych postępowań restrukturyzacyjnych i postępowań o zawarcie układu na zgromadzeniu wierzycieli oraz średnim czasie ich trwania; </w:t>
      </w:r>
    </w:p>
    <w:p w14:paraId="4707B1F2" w14:textId="77777777" w:rsidR="0068163A" w:rsidRDefault="00E034D8" w:rsidP="0068163A">
      <w:pPr>
        <w:pStyle w:val="Akapitzlist"/>
        <w:numPr>
          <w:ilvl w:val="2"/>
          <w:numId w:val="14"/>
        </w:numPr>
        <w:spacing w:after="0" w:line="300" w:lineRule="auto"/>
        <w:ind w:left="709" w:hanging="425"/>
        <w:jc w:val="both"/>
        <w:rPr>
          <w:rStyle w:val="markedcontent"/>
          <w:rFonts w:ascii="Arial" w:eastAsia="Times New Roman" w:hAnsi="Arial" w:cs="Arial"/>
          <w:lang w:eastAsia="pl-PL"/>
        </w:rPr>
      </w:pPr>
      <w:r w:rsidRPr="00BD6B4F">
        <w:rPr>
          <w:rStyle w:val="markedcontent"/>
          <w:rFonts w:ascii="Arial" w:eastAsia="Times New Roman" w:hAnsi="Arial" w:cs="Arial"/>
          <w:lang w:eastAsia="pl-PL"/>
        </w:rPr>
        <w:t xml:space="preserve">umorzonych, zakończonych i uchylonych postępowań upadłościowych, prawomocnych postanowień o uchyleniu skutków dokonania obwieszczenia o ustaleniu dnia układowego oraz zakończonych i umorzonych postępowań restrukturyzacyjnych; </w:t>
      </w:r>
    </w:p>
    <w:p w14:paraId="49A9ECE7" w14:textId="77777777" w:rsidR="0068163A" w:rsidRDefault="00E034D8" w:rsidP="0068163A">
      <w:pPr>
        <w:pStyle w:val="Akapitzlist"/>
        <w:numPr>
          <w:ilvl w:val="2"/>
          <w:numId w:val="14"/>
        </w:numPr>
        <w:spacing w:after="0" w:line="300" w:lineRule="auto"/>
        <w:ind w:left="709" w:hanging="425"/>
        <w:jc w:val="both"/>
        <w:rPr>
          <w:rStyle w:val="markedcontent"/>
          <w:rFonts w:ascii="Arial" w:eastAsia="Times New Roman" w:hAnsi="Arial" w:cs="Arial"/>
          <w:lang w:eastAsia="pl-PL"/>
        </w:rPr>
      </w:pPr>
      <w:r w:rsidRPr="00BD6B4F">
        <w:rPr>
          <w:rStyle w:val="markedcontent"/>
          <w:rFonts w:ascii="Arial" w:eastAsia="Times New Roman" w:hAnsi="Arial" w:cs="Arial"/>
          <w:lang w:eastAsia="pl-PL"/>
        </w:rPr>
        <w:t>prawomocnych postanowień o oddaleniu albo odrzuceniu wniosków, o których mowa w pkt 1, albo o umorzeniu postępowania w przedmiocie rozpoznania takich wniosków;</w:t>
      </w:r>
    </w:p>
    <w:p w14:paraId="44DBF123" w14:textId="77777777" w:rsidR="0068163A" w:rsidRDefault="00E034D8" w:rsidP="0068163A">
      <w:pPr>
        <w:pStyle w:val="Akapitzlist"/>
        <w:numPr>
          <w:ilvl w:val="2"/>
          <w:numId w:val="14"/>
        </w:numPr>
        <w:spacing w:after="0" w:line="300" w:lineRule="auto"/>
        <w:ind w:left="709" w:hanging="425"/>
        <w:jc w:val="both"/>
        <w:rPr>
          <w:rStyle w:val="markedcontent"/>
          <w:rFonts w:ascii="Arial" w:eastAsia="Times New Roman" w:hAnsi="Arial" w:cs="Arial"/>
          <w:lang w:eastAsia="pl-PL"/>
        </w:rPr>
      </w:pPr>
      <w:r w:rsidRPr="00BD6B4F">
        <w:rPr>
          <w:rStyle w:val="markedcontent"/>
          <w:rFonts w:ascii="Arial" w:eastAsia="Times New Roman" w:hAnsi="Arial" w:cs="Arial"/>
          <w:lang w:eastAsia="pl-PL"/>
        </w:rPr>
        <w:t>prawomocnych postanowień o oddaleniu albo odrzuceniu wniosku o uznanie orzeczenia o wszczęciu zagranicznego postępowania upadłościowego albo o umorzeniu postępowania w przedmiocie rozpoznania takiego wniosku;</w:t>
      </w:r>
    </w:p>
    <w:p w14:paraId="07C51D04" w14:textId="77777777" w:rsidR="0068163A" w:rsidRDefault="00E034D8" w:rsidP="0068163A">
      <w:pPr>
        <w:pStyle w:val="Akapitzlist"/>
        <w:numPr>
          <w:ilvl w:val="2"/>
          <w:numId w:val="14"/>
        </w:numPr>
        <w:spacing w:after="0" w:line="300" w:lineRule="auto"/>
        <w:ind w:left="709" w:hanging="425"/>
        <w:jc w:val="both"/>
        <w:rPr>
          <w:rStyle w:val="markedcontent"/>
          <w:rFonts w:ascii="Arial" w:eastAsia="Times New Roman" w:hAnsi="Arial" w:cs="Arial"/>
          <w:lang w:eastAsia="pl-PL"/>
        </w:rPr>
      </w:pPr>
      <w:r w:rsidRPr="00BD6B4F">
        <w:rPr>
          <w:rStyle w:val="markedcontent"/>
          <w:rFonts w:ascii="Arial" w:eastAsia="Times New Roman" w:hAnsi="Arial" w:cs="Arial"/>
          <w:lang w:eastAsia="pl-PL"/>
        </w:rPr>
        <w:t xml:space="preserve">dłużników, którzy zostali objęci postępowaniami restrukturyzacyjnymi lub postępowaniami upadłościowymi i w przypadku których w trzyletnim okresie </w:t>
      </w:r>
      <w:r w:rsidRPr="00BD6B4F">
        <w:rPr>
          <w:rStyle w:val="markedcontent"/>
          <w:rFonts w:ascii="Arial" w:eastAsia="Times New Roman" w:hAnsi="Arial" w:cs="Arial"/>
          <w:lang w:eastAsia="pl-PL"/>
        </w:rPr>
        <w:lastRenderedPageBreak/>
        <w:t xml:space="preserve">poprzedzającym złożenie wniosku lub wszczęcie takich postępowań zatwierdzono układ w ramach wcześniejszego postępowania restrukturyzacyjnego. </w:t>
      </w:r>
    </w:p>
    <w:p w14:paraId="7AD62AFA" w14:textId="77777777" w:rsidR="0068163A" w:rsidRDefault="00E034D8" w:rsidP="0068163A">
      <w:pPr>
        <w:spacing w:after="0" w:line="300" w:lineRule="auto"/>
        <w:jc w:val="both"/>
        <w:rPr>
          <w:rStyle w:val="markedcontent"/>
          <w:rFonts w:ascii="Arial" w:eastAsia="Times New Roman" w:hAnsi="Arial" w:cs="Arial"/>
          <w:lang w:eastAsia="pl-PL"/>
        </w:rPr>
      </w:pPr>
      <w:r w:rsidRPr="0068163A">
        <w:rPr>
          <w:rStyle w:val="markedcontent"/>
          <w:rFonts w:ascii="Arial" w:eastAsia="Times New Roman" w:hAnsi="Arial" w:cs="Arial"/>
          <w:lang w:eastAsia="pl-PL"/>
        </w:rPr>
        <w:t xml:space="preserve">Przepisy art. 12a dodawane do ustawy z dnia 6 grudnia 2018 r. o Krajowym Rejestrze Zadłużonych znajdą zastosowanie od pierwszego dnia roku kalendarzowego następującego po dniu rozpoczęcia stosowania aktów wykonawczych, o których mowa w art. 29 ust. 7 dyrektywy 2019/1023. </w:t>
      </w:r>
    </w:p>
    <w:p w14:paraId="5CDA4815" w14:textId="77777777" w:rsidR="0068163A" w:rsidRDefault="00E034D8" w:rsidP="0068163A">
      <w:pPr>
        <w:spacing w:after="0" w:line="300" w:lineRule="auto"/>
        <w:jc w:val="both"/>
        <w:rPr>
          <w:rStyle w:val="markedcontent"/>
          <w:rFonts w:ascii="Arial" w:eastAsia="Times New Roman" w:hAnsi="Arial" w:cs="Arial"/>
          <w:lang w:eastAsia="pl-PL"/>
        </w:rPr>
      </w:pPr>
      <w:r w:rsidRPr="0068163A">
        <w:rPr>
          <w:rStyle w:val="markedcontent"/>
          <w:rFonts w:ascii="Arial" w:eastAsia="Times New Roman" w:hAnsi="Arial" w:cs="Arial"/>
          <w:lang w:eastAsia="pl-PL"/>
        </w:rPr>
        <w:t xml:space="preserve">W sprawach, w których przed dniem wejścia w życie nowelizacji wpłynie wniosek o ogłoszenie upadłości, wniosek o uznanie orzeczenia o wszczęciu zagranicznego postępowania 3 upadłościowego, wniosek restrukturyzacyjny lub wniosek o stwierdzenie wykonania, zmianę albo uchylenie układu lub dojdzie do ustalenia dnia układowego, stosuje się przepisy dotychczasowe. </w:t>
      </w:r>
    </w:p>
    <w:p w14:paraId="1A832808" w14:textId="77777777" w:rsidR="0068163A" w:rsidRDefault="0068163A" w:rsidP="0068163A">
      <w:pPr>
        <w:spacing w:after="0" w:line="300" w:lineRule="auto"/>
        <w:jc w:val="both"/>
        <w:rPr>
          <w:rStyle w:val="markedcontent"/>
          <w:rFonts w:ascii="Arial" w:eastAsia="Times New Roman" w:hAnsi="Arial" w:cs="Arial"/>
          <w:lang w:eastAsia="pl-PL"/>
        </w:rPr>
      </w:pPr>
    </w:p>
    <w:p w14:paraId="636CFB2C" w14:textId="34A36B50" w:rsidR="00E034D8" w:rsidRPr="0068163A" w:rsidRDefault="00E034D8" w:rsidP="0068163A">
      <w:pPr>
        <w:spacing w:after="0" w:line="300" w:lineRule="auto"/>
        <w:jc w:val="both"/>
        <w:rPr>
          <w:rStyle w:val="markedcontent"/>
          <w:rFonts w:ascii="Arial" w:eastAsia="Times New Roman" w:hAnsi="Arial" w:cs="Arial"/>
          <w:lang w:eastAsia="pl-PL"/>
        </w:rPr>
      </w:pPr>
      <w:r w:rsidRPr="0068163A">
        <w:rPr>
          <w:rStyle w:val="markedcontent"/>
          <w:rFonts w:ascii="Arial" w:eastAsia="Times New Roman" w:hAnsi="Arial" w:cs="Arial"/>
          <w:lang w:eastAsia="pl-PL"/>
        </w:rPr>
        <w:t>Ustawa wchodzi w życie po upływie 14 dni od dnia ogłoszenia</w:t>
      </w:r>
      <w:r w:rsidR="0068163A">
        <w:rPr>
          <w:rStyle w:val="markedcontent"/>
          <w:rFonts w:ascii="Arial" w:eastAsia="Times New Roman" w:hAnsi="Arial" w:cs="Arial"/>
          <w:lang w:eastAsia="pl-PL"/>
        </w:rPr>
        <w:t>.</w:t>
      </w:r>
    </w:p>
    <w:p w14:paraId="5F8A2073" w14:textId="6E7B9C4D" w:rsidR="00E034D8" w:rsidRPr="0068163A" w:rsidRDefault="00E034D8" w:rsidP="0068163A">
      <w:pPr>
        <w:spacing w:after="0" w:line="300" w:lineRule="auto"/>
        <w:jc w:val="both"/>
        <w:rPr>
          <w:rStyle w:val="markedcontent"/>
          <w:rFonts w:ascii="Arial" w:eastAsia="Times New Roman" w:hAnsi="Arial" w:cs="Arial"/>
          <w:u w:val="single"/>
          <w:lang w:eastAsia="pl-PL"/>
        </w:rPr>
      </w:pPr>
    </w:p>
    <w:p w14:paraId="04760015" w14:textId="77777777" w:rsidR="00D82789" w:rsidRDefault="00D82789" w:rsidP="00D82789">
      <w:pPr>
        <w:pStyle w:val="Akapitzlist"/>
        <w:spacing w:after="0" w:line="300" w:lineRule="auto"/>
        <w:ind w:left="426"/>
        <w:jc w:val="both"/>
        <w:rPr>
          <w:rFonts w:ascii="Arial" w:eastAsia="Times New Roman" w:hAnsi="Arial" w:cs="Arial"/>
          <w:lang w:eastAsia="pl-PL"/>
        </w:rPr>
      </w:pPr>
    </w:p>
    <w:p w14:paraId="3DEDDE93" w14:textId="77777777" w:rsidR="00D82789" w:rsidRDefault="00D82789" w:rsidP="00D82789">
      <w:pPr>
        <w:spacing w:after="0" w:line="300" w:lineRule="auto"/>
        <w:jc w:val="both"/>
        <w:rPr>
          <w:rFonts w:ascii="Arial" w:hAnsi="Arial" w:cs="Arial"/>
        </w:rPr>
      </w:pPr>
    </w:p>
    <w:p w14:paraId="31ED597D" w14:textId="77777777" w:rsidR="00516DFD" w:rsidRDefault="00516DFD" w:rsidP="00D82789">
      <w:pPr>
        <w:spacing w:after="0" w:line="300" w:lineRule="auto"/>
      </w:pPr>
    </w:p>
    <w:sectPr w:rsidR="00516D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F32EA"/>
    <w:multiLevelType w:val="hybridMultilevel"/>
    <w:tmpl w:val="1F7EABB8"/>
    <w:lvl w:ilvl="0" w:tplc="7C4E5542">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238133E"/>
    <w:multiLevelType w:val="hybridMultilevel"/>
    <w:tmpl w:val="DAC202F4"/>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12737418"/>
    <w:multiLevelType w:val="hybridMultilevel"/>
    <w:tmpl w:val="CEB6C402"/>
    <w:lvl w:ilvl="0" w:tplc="4808D812">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C005F1"/>
    <w:multiLevelType w:val="hybridMultilevel"/>
    <w:tmpl w:val="6F92AF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7E64FCE"/>
    <w:multiLevelType w:val="hybridMultilevel"/>
    <w:tmpl w:val="ABB0EF4E"/>
    <w:lvl w:ilvl="0" w:tplc="7CDEB80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FB61B0A"/>
    <w:multiLevelType w:val="hybridMultilevel"/>
    <w:tmpl w:val="E7AC49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3C34BA5"/>
    <w:multiLevelType w:val="hybridMultilevel"/>
    <w:tmpl w:val="5F3E22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4BA54C8"/>
    <w:multiLevelType w:val="hybridMultilevel"/>
    <w:tmpl w:val="DFEE47F8"/>
    <w:lvl w:ilvl="0" w:tplc="FFFFFFFF">
      <w:start w:val="1"/>
      <w:numFmt w:val="lowerLetter"/>
      <w:lvlText w:val="%1)"/>
      <w:lvlJc w:val="left"/>
      <w:pPr>
        <w:ind w:left="1440" w:hanging="360"/>
      </w:pPr>
    </w:lvl>
    <w:lvl w:ilvl="1" w:tplc="04150017">
      <w:start w:val="1"/>
      <w:numFmt w:val="lowerLetter"/>
      <w:lvlText w:val="%2)"/>
      <w:lvlJc w:val="left"/>
      <w:pPr>
        <w:ind w:left="720" w:hanging="360"/>
      </w:pPr>
    </w:lvl>
    <w:lvl w:ilvl="2" w:tplc="43547658">
      <w:start w:val="1"/>
      <w:numFmt w:val="decimal"/>
      <w:lvlText w:val="%3)"/>
      <w:lvlJc w:val="left"/>
      <w:pPr>
        <w:ind w:left="3060" w:hanging="360"/>
      </w:pPr>
      <w:rPr>
        <w:rFonts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50E4088E"/>
    <w:multiLevelType w:val="hybridMultilevel"/>
    <w:tmpl w:val="CAF21E52"/>
    <w:lvl w:ilvl="0" w:tplc="43D8372A">
      <w:start w:val="1"/>
      <w:numFmt w:val="decimal"/>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1904785"/>
    <w:multiLevelType w:val="hybridMultilevel"/>
    <w:tmpl w:val="E9DADA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C980FD5"/>
    <w:multiLevelType w:val="hybridMultilevel"/>
    <w:tmpl w:val="52A4B3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1ED00C6"/>
    <w:multiLevelType w:val="hybridMultilevel"/>
    <w:tmpl w:val="82C2C7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63E512C5"/>
    <w:multiLevelType w:val="hybridMultilevel"/>
    <w:tmpl w:val="7870E51A"/>
    <w:lvl w:ilvl="0" w:tplc="5A20025A">
      <w:start w:val="1"/>
      <w:numFmt w:val="decimal"/>
      <w:lvlText w:val="%1)"/>
      <w:lvlJc w:val="left"/>
      <w:pPr>
        <w:ind w:left="720" w:hanging="360"/>
      </w:pPr>
      <w:rPr>
        <w:rFonts w:hint="default"/>
      </w:rPr>
    </w:lvl>
    <w:lvl w:ilvl="1" w:tplc="AE0A587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CA544C9"/>
    <w:multiLevelType w:val="hybridMultilevel"/>
    <w:tmpl w:val="4740B3BC"/>
    <w:lvl w:ilvl="0" w:tplc="84D684AE">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4" w15:restartNumberingAfterBreak="0">
    <w:nsid w:val="6D71638B"/>
    <w:multiLevelType w:val="hybridMultilevel"/>
    <w:tmpl w:val="798202AA"/>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9027726">
    <w:abstractNumId w:val="4"/>
  </w:num>
  <w:num w:numId="2" w16cid:durableId="3118319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0761560">
    <w:abstractNumId w:val="3"/>
  </w:num>
  <w:num w:numId="4" w16cid:durableId="5788216">
    <w:abstractNumId w:val="10"/>
  </w:num>
  <w:num w:numId="5" w16cid:durableId="1820147117">
    <w:abstractNumId w:val="8"/>
  </w:num>
  <w:num w:numId="6" w16cid:durableId="1219971525">
    <w:abstractNumId w:val="9"/>
  </w:num>
  <w:num w:numId="7" w16cid:durableId="350884219">
    <w:abstractNumId w:val="0"/>
  </w:num>
  <w:num w:numId="8" w16cid:durableId="1283730148">
    <w:abstractNumId w:val="5"/>
  </w:num>
  <w:num w:numId="9" w16cid:durableId="773750713">
    <w:abstractNumId w:val="2"/>
  </w:num>
  <w:num w:numId="10" w16cid:durableId="662666143">
    <w:abstractNumId w:val="6"/>
  </w:num>
  <w:num w:numId="11" w16cid:durableId="373314967">
    <w:abstractNumId w:val="14"/>
  </w:num>
  <w:num w:numId="12" w16cid:durableId="92170898">
    <w:abstractNumId w:val="12"/>
  </w:num>
  <w:num w:numId="13" w16cid:durableId="372269673">
    <w:abstractNumId w:val="1"/>
  </w:num>
  <w:num w:numId="14" w16cid:durableId="987830979">
    <w:abstractNumId w:val="7"/>
  </w:num>
  <w:num w:numId="15" w16cid:durableId="14079179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789"/>
    <w:rsid w:val="002B6C1C"/>
    <w:rsid w:val="004305D9"/>
    <w:rsid w:val="00516DFD"/>
    <w:rsid w:val="0056290A"/>
    <w:rsid w:val="00566323"/>
    <w:rsid w:val="005D03BE"/>
    <w:rsid w:val="0068163A"/>
    <w:rsid w:val="007E6F92"/>
    <w:rsid w:val="007F0693"/>
    <w:rsid w:val="00894E4F"/>
    <w:rsid w:val="009A45C6"/>
    <w:rsid w:val="00AE04A3"/>
    <w:rsid w:val="00BD6B4F"/>
    <w:rsid w:val="00D6574F"/>
    <w:rsid w:val="00D82789"/>
    <w:rsid w:val="00D85F62"/>
    <w:rsid w:val="00E034D8"/>
    <w:rsid w:val="00E66D65"/>
    <w:rsid w:val="00FB5D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0CE68"/>
  <w15:chartTrackingRefBased/>
  <w15:docId w15:val="{0E3CA68F-5C16-425A-BDD2-7F4E69142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82789"/>
    <w:pPr>
      <w:spacing w:after="200" w:line="276" w:lineRule="auto"/>
    </w:pPr>
    <w:rPr>
      <w:kern w:val="0"/>
      <w:sz w:val="22"/>
      <w:szCs w:val="22"/>
      <w14:ligatures w14:val="none"/>
    </w:rPr>
  </w:style>
  <w:style w:type="paragraph" w:styleId="Nagwek1">
    <w:name w:val="heading 1"/>
    <w:basedOn w:val="Normalny"/>
    <w:next w:val="Normalny"/>
    <w:link w:val="Nagwek1Znak"/>
    <w:uiPriority w:val="9"/>
    <w:qFormat/>
    <w:rsid w:val="00D827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827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8278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8278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8278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8278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8278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8278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8278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8278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8278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8278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8278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8278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8278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8278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8278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82789"/>
    <w:rPr>
      <w:rFonts w:eastAsiaTheme="majorEastAsia" w:cstheme="majorBidi"/>
      <w:color w:val="272727" w:themeColor="text1" w:themeTint="D8"/>
    </w:rPr>
  </w:style>
  <w:style w:type="paragraph" w:styleId="Tytu">
    <w:name w:val="Title"/>
    <w:basedOn w:val="Normalny"/>
    <w:next w:val="Normalny"/>
    <w:link w:val="TytuZnak"/>
    <w:uiPriority w:val="10"/>
    <w:qFormat/>
    <w:rsid w:val="00D827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8278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8278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8278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82789"/>
    <w:pPr>
      <w:spacing w:before="160"/>
      <w:jc w:val="center"/>
    </w:pPr>
    <w:rPr>
      <w:i/>
      <w:iCs/>
      <w:color w:val="404040" w:themeColor="text1" w:themeTint="BF"/>
    </w:rPr>
  </w:style>
  <w:style w:type="character" w:customStyle="1" w:styleId="CytatZnak">
    <w:name w:val="Cytat Znak"/>
    <w:basedOn w:val="Domylnaczcionkaakapitu"/>
    <w:link w:val="Cytat"/>
    <w:uiPriority w:val="29"/>
    <w:rsid w:val="00D82789"/>
    <w:rPr>
      <w:i/>
      <w:iCs/>
      <w:color w:val="404040" w:themeColor="text1" w:themeTint="BF"/>
    </w:rPr>
  </w:style>
  <w:style w:type="paragraph" w:styleId="Akapitzlist">
    <w:name w:val="List Paragraph"/>
    <w:basedOn w:val="Normalny"/>
    <w:uiPriority w:val="34"/>
    <w:qFormat/>
    <w:rsid w:val="00D82789"/>
    <w:pPr>
      <w:ind w:left="720"/>
      <w:contextualSpacing/>
    </w:pPr>
  </w:style>
  <w:style w:type="character" w:styleId="Wyrnienieintensywne">
    <w:name w:val="Intense Emphasis"/>
    <w:basedOn w:val="Domylnaczcionkaakapitu"/>
    <w:uiPriority w:val="21"/>
    <w:qFormat/>
    <w:rsid w:val="00D82789"/>
    <w:rPr>
      <w:i/>
      <w:iCs/>
      <w:color w:val="0F4761" w:themeColor="accent1" w:themeShade="BF"/>
    </w:rPr>
  </w:style>
  <w:style w:type="paragraph" w:styleId="Cytatintensywny">
    <w:name w:val="Intense Quote"/>
    <w:basedOn w:val="Normalny"/>
    <w:next w:val="Normalny"/>
    <w:link w:val="CytatintensywnyZnak"/>
    <w:uiPriority w:val="30"/>
    <w:qFormat/>
    <w:rsid w:val="00D827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82789"/>
    <w:rPr>
      <w:i/>
      <w:iCs/>
      <w:color w:val="0F4761" w:themeColor="accent1" w:themeShade="BF"/>
    </w:rPr>
  </w:style>
  <w:style w:type="character" w:styleId="Odwoanieintensywne">
    <w:name w:val="Intense Reference"/>
    <w:basedOn w:val="Domylnaczcionkaakapitu"/>
    <w:uiPriority w:val="32"/>
    <w:qFormat/>
    <w:rsid w:val="00D82789"/>
    <w:rPr>
      <w:b/>
      <w:bCs/>
      <w:smallCaps/>
      <w:color w:val="0F4761" w:themeColor="accent1" w:themeShade="BF"/>
      <w:spacing w:val="5"/>
    </w:rPr>
  </w:style>
  <w:style w:type="character" w:customStyle="1" w:styleId="markedcontent">
    <w:name w:val="markedcontent"/>
    <w:basedOn w:val="Domylnaczcionkaakapitu"/>
    <w:rsid w:val="00D82789"/>
  </w:style>
  <w:style w:type="character" w:styleId="Hipercze">
    <w:name w:val="Hyperlink"/>
    <w:basedOn w:val="Domylnaczcionkaakapitu"/>
    <w:uiPriority w:val="99"/>
    <w:unhideWhenUsed/>
    <w:rsid w:val="007E6F92"/>
    <w:rPr>
      <w:color w:val="467886" w:themeColor="hyperlink"/>
      <w:u w:val="single"/>
    </w:rPr>
  </w:style>
  <w:style w:type="character" w:styleId="Nierozpoznanawzmianka">
    <w:name w:val="Unresolved Mention"/>
    <w:basedOn w:val="Domylnaczcionkaakapitu"/>
    <w:uiPriority w:val="99"/>
    <w:semiHidden/>
    <w:unhideWhenUsed/>
    <w:rsid w:val="007E6F92"/>
    <w:rPr>
      <w:color w:val="605E5C"/>
      <w:shd w:val="clear" w:color="auto" w:fill="E1DFDD"/>
    </w:rPr>
  </w:style>
  <w:style w:type="character" w:styleId="UyteHipercze">
    <w:name w:val="FollowedHyperlink"/>
    <w:basedOn w:val="Domylnaczcionkaakapitu"/>
    <w:uiPriority w:val="99"/>
    <w:semiHidden/>
    <w:unhideWhenUsed/>
    <w:rsid w:val="007E6F9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cja.rcl.gov.pl/projekt/12400752/katalog/13147794" TargetMode="External"/><Relationship Id="rId3" Type="http://schemas.openxmlformats.org/officeDocument/2006/relationships/settings" Target="settings.xml"/><Relationship Id="rId7" Type="http://schemas.openxmlformats.org/officeDocument/2006/relationships/hyperlink" Target="https://legislacja.rcl.gov.pl/projekt/12400753/katalog/131478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islacja.rcl.gov.pl/projekt/12400655/katalog/13147389"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egislacja.rcl.gov.pl/projekt/12400851/katalog/13148507"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150</TotalTime>
  <Pages>15</Pages>
  <Words>6156</Words>
  <Characters>36939</Characters>
  <Application>Microsoft Office Word</Application>
  <DocSecurity>0</DocSecurity>
  <Lines>307</Lines>
  <Paragraphs>86</Paragraphs>
  <ScaleCrop>false</ScaleCrop>
  <HeadingPairs>
    <vt:vector size="2" baseType="variant">
      <vt:variant>
        <vt:lpstr>Tytuł</vt:lpstr>
      </vt:variant>
      <vt:variant>
        <vt:i4>1</vt:i4>
      </vt:variant>
    </vt:vector>
  </HeadingPairs>
  <TitlesOfParts>
    <vt:vector size="1" baseType="lpstr">
      <vt:lpstr/>
    </vt:vector>
  </TitlesOfParts>
  <Company>Związek Pracodawców Polska Miedź</Company>
  <LinksUpToDate>false</LinksUpToDate>
  <CharactersWithSpaces>43009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Kudłak</dc:creator>
  <cp:keywords/>
  <dc:description/>
  <cp:lastModifiedBy>Alicja Kudłak</cp:lastModifiedBy>
  <cp:revision>2</cp:revision>
  <dcterms:created xsi:type="dcterms:W3CDTF">2025-08-12T06:46:00Z</dcterms:created>
  <dcterms:modified xsi:type="dcterms:W3CDTF">2025-08-12T09:39:00Z</dcterms:modified>
</cp:coreProperties>
</file>