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CF6DA" w14:textId="77777777" w:rsidR="00446437" w:rsidRPr="00586923" w:rsidRDefault="00446437" w:rsidP="00446437">
      <w:pPr>
        <w:rPr>
          <w:rFonts w:ascii="Arial" w:hAnsi="Arial" w:cs="Arial"/>
        </w:rPr>
      </w:pPr>
      <w:r w:rsidRPr="00586923">
        <w:rPr>
          <w:rFonts w:ascii="Arial" w:hAnsi="Arial" w:cs="Arial"/>
          <w:noProof/>
          <w:lang w:eastAsia="pl-PL"/>
        </w:rPr>
        <w:drawing>
          <wp:inline distT="0" distB="0" distL="0" distR="0" wp14:anchorId="412BEB48" wp14:editId="3258937B">
            <wp:extent cx="5683910" cy="943559"/>
            <wp:effectExtent l="0" t="0" r="0" b="9525"/>
            <wp:docPr id="2" name="Obraz 2" descr="Obraz zawierający tekst, Czcionka, zrzut ekranu, logo&#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zcionka, zrzut ekranu, logo&#10;&#10;Zawartość wygenerowana przez AI może być niepoprawna."/>
                    <pic:cNvPicPr/>
                  </pic:nvPicPr>
                  <pic:blipFill>
                    <a:blip r:embed="rId5">
                      <a:extLst>
                        <a:ext uri="{28A0092B-C50C-407E-A947-70E740481C1C}">
                          <a14:useLocalDpi xmlns:a14="http://schemas.microsoft.com/office/drawing/2010/main" val="0"/>
                        </a:ext>
                      </a:extLst>
                    </a:blip>
                    <a:stretch>
                      <a:fillRect/>
                    </a:stretch>
                  </pic:blipFill>
                  <pic:spPr>
                    <a:xfrm>
                      <a:off x="0" y="0"/>
                      <a:ext cx="5704187" cy="946925"/>
                    </a:xfrm>
                    <a:prstGeom prst="rect">
                      <a:avLst/>
                    </a:prstGeom>
                  </pic:spPr>
                </pic:pic>
              </a:graphicData>
            </a:graphic>
          </wp:inline>
        </w:drawing>
      </w:r>
    </w:p>
    <w:p w14:paraId="39E6C4B0" w14:textId="77777777" w:rsidR="00446437" w:rsidRDefault="00446437" w:rsidP="00446437">
      <w:pPr>
        <w:spacing w:after="0" w:line="300" w:lineRule="auto"/>
        <w:jc w:val="center"/>
        <w:rPr>
          <w:rFonts w:ascii="Arial" w:hAnsi="Arial" w:cs="Arial"/>
          <w:b/>
        </w:rPr>
      </w:pPr>
      <w:r w:rsidRPr="00586923">
        <w:rPr>
          <w:rFonts w:ascii="Arial" w:hAnsi="Arial" w:cs="Arial"/>
          <w:b/>
        </w:rPr>
        <w:t xml:space="preserve">Konsultacje </w:t>
      </w:r>
      <w:r>
        <w:rPr>
          <w:rFonts w:ascii="Arial" w:hAnsi="Arial" w:cs="Arial"/>
          <w:b/>
        </w:rPr>
        <w:t>projektów</w:t>
      </w:r>
      <w:r w:rsidRPr="00586923">
        <w:rPr>
          <w:rFonts w:ascii="Arial" w:hAnsi="Arial" w:cs="Arial"/>
          <w:b/>
        </w:rPr>
        <w:t xml:space="preserve"> krajowych aktów prawnych </w:t>
      </w:r>
      <w:r>
        <w:rPr>
          <w:rFonts w:ascii="Arial" w:hAnsi="Arial" w:cs="Arial"/>
          <w:b/>
        </w:rPr>
        <w:t xml:space="preserve">i ogłoszone akty prawne </w:t>
      </w:r>
      <w:r>
        <w:rPr>
          <w:rFonts w:ascii="Arial" w:hAnsi="Arial" w:cs="Arial"/>
          <w:b/>
        </w:rPr>
        <w:br/>
        <w:t>w Dzienniku Ustaw</w:t>
      </w:r>
    </w:p>
    <w:p w14:paraId="65147651" w14:textId="77777777" w:rsidR="00446437" w:rsidRPr="00586923" w:rsidRDefault="00446437" w:rsidP="00446437">
      <w:pPr>
        <w:spacing w:after="0" w:line="300" w:lineRule="auto"/>
        <w:jc w:val="center"/>
        <w:rPr>
          <w:rFonts w:ascii="Arial" w:hAnsi="Arial" w:cs="Arial"/>
          <w:b/>
        </w:rPr>
      </w:pPr>
      <w:r>
        <w:rPr>
          <w:rFonts w:ascii="Arial" w:hAnsi="Arial" w:cs="Arial"/>
          <w:b/>
        </w:rPr>
        <w:t>(</w:t>
      </w:r>
      <w:r w:rsidRPr="00586923">
        <w:rPr>
          <w:rFonts w:ascii="Arial" w:hAnsi="Arial" w:cs="Arial"/>
          <w:b/>
        </w:rPr>
        <w:t xml:space="preserve">monitoring legislacji </w:t>
      </w:r>
      <w:r>
        <w:rPr>
          <w:rFonts w:ascii="Arial" w:hAnsi="Arial" w:cs="Arial"/>
          <w:b/>
        </w:rPr>
        <w:t xml:space="preserve">krajowej </w:t>
      </w:r>
      <w:r w:rsidRPr="00586923">
        <w:rPr>
          <w:rFonts w:ascii="Arial" w:hAnsi="Arial" w:cs="Arial"/>
          <w:b/>
        </w:rPr>
        <w:t>ZPPM</w:t>
      </w:r>
      <w:r>
        <w:rPr>
          <w:rFonts w:ascii="Arial" w:hAnsi="Arial" w:cs="Arial"/>
          <w:b/>
        </w:rPr>
        <w:t>)</w:t>
      </w:r>
    </w:p>
    <w:p w14:paraId="5D0BEE38" w14:textId="71F85C33" w:rsidR="00446437" w:rsidRPr="00586923" w:rsidRDefault="00446437" w:rsidP="00446437">
      <w:pPr>
        <w:spacing w:after="0" w:line="300" w:lineRule="auto"/>
        <w:jc w:val="center"/>
        <w:rPr>
          <w:rFonts w:ascii="Arial" w:hAnsi="Arial" w:cs="Arial"/>
        </w:rPr>
      </w:pPr>
      <w:r w:rsidRPr="00586923">
        <w:rPr>
          <w:rFonts w:ascii="Arial" w:hAnsi="Arial" w:cs="Arial"/>
          <w:b/>
        </w:rPr>
        <w:t xml:space="preserve">w okresie od </w:t>
      </w:r>
      <w:r>
        <w:rPr>
          <w:rFonts w:ascii="Arial" w:hAnsi="Arial" w:cs="Arial"/>
          <w:b/>
        </w:rPr>
        <w:t xml:space="preserve">11 </w:t>
      </w:r>
      <w:r w:rsidRPr="00586923">
        <w:rPr>
          <w:rFonts w:ascii="Arial" w:hAnsi="Arial" w:cs="Arial"/>
          <w:b/>
        </w:rPr>
        <w:t xml:space="preserve">do </w:t>
      </w:r>
      <w:r>
        <w:rPr>
          <w:rFonts w:ascii="Arial" w:hAnsi="Arial" w:cs="Arial"/>
          <w:b/>
        </w:rPr>
        <w:t>17 sierpnia</w:t>
      </w:r>
      <w:r w:rsidRPr="00586923">
        <w:rPr>
          <w:rFonts w:ascii="Arial" w:hAnsi="Arial" w:cs="Arial"/>
          <w:b/>
        </w:rPr>
        <w:t xml:space="preserve"> 202</w:t>
      </w:r>
      <w:r>
        <w:rPr>
          <w:rFonts w:ascii="Arial" w:hAnsi="Arial" w:cs="Arial"/>
          <w:b/>
        </w:rPr>
        <w:t>5</w:t>
      </w:r>
      <w:r w:rsidRPr="00586923">
        <w:rPr>
          <w:rFonts w:ascii="Arial" w:hAnsi="Arial" w:cs="Arial"/>
          <w:b/>
        </w:rPr>
        <w:t xml:space="preserve"> roku</w:t>
      </w:r>
    </w:p>
    <w:p w14:paraId="2DBED0A8" w14:textId="657296F2" w:rsidR="00446437" w:rsidRPr="00AC3187" w:rsidRDefault="00446437" w:rsidP="00446437">
      <w:pPr>
        <w:spacing w:after="0" w:line="300" w:lineRule="auto"/>
        <w:jc w:val="center"/>
        <w:rPr>
          <w:rFonts w:ascii="Arial" w:hAnsi="Arial" w:cs="Arial"/>
        </w:rPr>
      </w:pPr>
      <w:r w:rsidRPr="00AC3187">
        <w:rPr>
          <w:rFonts w:ascii="Arial" w:hAnsi="Arial" w:cs="Arial"/>
        </w:rPr>
        <w:t xml:space="preserve">Raport na dzień </w:t>
      </w:r>
      <w:r>
        <w:rPr>
          <w:rFonts w:ascii="Arial" w:hAnsi="Arial" w:cs="Arial"/>
        </w:rPr>
        <w:t>20 sierpnia</w:t>
      </w:r>
      <w:r w:rsidRPr="00AC3187">
        <w:rPr>
          <w:rFonts w:ascii="Arial" w:hAnsi="Arial" w:cs="Arial"/>
        </w:rPr>
        <w:t xml:space="preserve"> 202</w:t>
      </w:r>
      <w:r>
        <w:rPr>
          <w:rFonts w:ascii="Arial" w:hAnsi="Arial" w:cs="Arial"/>
        </w:rPr>
        <w:t>5</w:t>
      </w:r>
      <w:r w:rsidRPr="00AC3187">
        <w:rPr>
          <w:rFonts w:ascii="Arial" w:hAnsi="Arial" w:cs="Arial"/>
        </w:rPr>
        <w:t xml:space="preserve"> roku</w:t>
      </w:r>
    </w:p>
    <w:p w14:paraId="0C578F9B" w14:textId="77777777" w:rsidR="00446437" w:rsidRPr="00586923" w:rsidRDefault="00446437" w:rsidP="00446437">
      <w:pPr>
        <w:spacing w:after="0" w:line="240" w:lineRule="auto"/>
        <w:jc w:val="both"/>
        <w:rPr>
          <w:rFonts w:ascii="Arial" w:hAnsi="Arial" w:cs="Arial"/>
        </w:rPr>
      </w:pPr>
    </w:p>
    <w:p w14:paraId="162CE73B" w14:textId="77777777" w:rsidR="00446437" w:rsidRPr="000B65D1" w:rsidRDefault="00446437" w:rsidP="00446437">
      <w:pPr>
        <w:pStyle w:val="Akapitzlist"/>
        <w:numPr>
          <w:ilvl w:val="0"/>
          <w:numId w:val="1"/>
        </w:numPr>
        <w:spacing w:after="0" w:line="300" w:lineRule="auto"/>
        <w:ind w:left="284" w:hanging="284"/>
        <w:jc w:val="both"/>
        <w:rPr>
          <w:rFonts w:ascii="Arial" w:hAnsi="Arial" w:cs="Arial"/>
          <w:b/>
        </w:rPr>
      </w:pPr>
      <w:r w:rsidRPr="000B65D1">
        <w:rPr>
          <w:rFonts w:ascii="Arial" w:hAnsi="Arial" w:cs="Arial"/>
          <w:b/>
        </w:rPr>
        <w:t>Projekty aktów prawnych</w:t>
      </w:r>
    </w:p>
    <w:p w14:paraId="53AF8592" w14:textId="77777777" w:rsidR="00446437" w:rsidRDefault="00446437" w:rsidP="00446437">
      <w:pPr>
        <w:spacing w:after="0" w:line="300" w:lineRule="auto"/>
        <w:jc w:val="both"/>
        <w:rPr>
          <w:rFonts w:ascii="Arial" w:hAnsi="Arial" w:cs="Arial"/>
        </w:rPr>
      </w:pPr>
    </w:p>
    <w:p w14:paraId="0FA4024A" w14:textId="495883B7" w:rsidR="00446437" w:rsidRPr="00C70674" w:rsidRDefault="00446437" w:rsidP="00446437">
      <w:pPr>
        <w:spacing w:after="0" w:line="300" w:lineRule="auto"/>
        <w:jc w:val="both"/>
        <w:rPr>
          <w:rFonts w:ascii="Arial" w:hAnsi="Arial" w:cs="Arial"/>
        </w:rPr>
      </w:pPr>
      <w:r w:rsidRPr="00C70674">
        <w:rPr>
          <w:rFonts w:ascii="Arial" w:hAnsi="Arial" w:cs="Arial"/>
        </w:rPr>
        <w:t xml:space="preserve">W omawianym okresie </w:t>
      </w:r>
      <w:r w:rsidRPr="00C70674">
        <w:rPr>
          <w:rFonts w:ascii="Arial" w:eastAsia="Calibri" w:hAnsi="Arial" w:cs="Arial"/>
          <w:bCs/>
        </w:rPr>
        <w:t xml:space="preserve">Rządowe Centrum Legislacji opublikowało </w:t>
      </w:r>
      <w:r>
        <w:rPr>
          <w:rFonts w:ascii="Arial" w:eastAsia="Calibri" w:hAnsi="Arial" w:cs="Arial"/>
          <w:bCs/>
        </w:rPr>
        <w:t>2</w:t>
      </w:r>
      <w:r w:rsidRPr="00C70674">
        <w:rPr>
          <w:rFonts w:ascii="Arial" w:eastAsia="Calibri" w:hAnsi="Arial" w:cs="Arial"/>
          <w:bCs/>
        </w:rPr>
        <w:t xml:space="preserve"> projekt</w:t>
      </w:r>
      <w:r>
        <w:rPr>
          <w:rFonts w:ascii="Arial" w:eastAsia="Calibri" w:hAnsi="Arial" w:cs="Arial"/>
          <w:bCs/>
        </w:rPr>
        <w:t>y ustaw</w:t>
      </w:r>
      <w:r w:rsidRPr="00C70674">
        <w:rPr>
          <w:rFonts w:ascii="Arial" w:eastAsia="Calibri" w:hAnsi="Arial" w:cs="Arial"/>
          <w:bCs/>
        </w:rPr>
        <w:t xml:space="preserve"> oraz</w:t>
      </w:r>
      <w:r w:rsidRPr="00C70674">
        <w:rPr>
          <w:rFonts w:ascii="Arial" w:hAnsi="Arial" w:cs="Arial"/>
        </w:rPr>
        <w:t xml:space="preserve"> </w:t>
      </w:r>
      <w:r>
        <w:rPr>
          <w:rFonts w:ascii="Arial" w:hAnsi="Arial" w:cs="Arial"/>
        </w:rPr>
        <w:t>24</w:t>
      </w:r>
      <w:r w:rsidRPr="00C70674">
        <w:rPr>
          <w:rFonts w:ascii="Arial" w:hAnsi="Arial" w:cs="Arial"/>
        </w:rPr>
        <w:t xml:space="preserve"> projekt</w:t>
      </w:r>
      <w:r>
        <w:rPr>
          <w:rFonts w:ascii="Arial" w:hAnsi="Arial" w:cs="Arial"/>
        </w:rPr>
        <w:t>y</w:t>
      </w:r>
      <w:r w:rsidRPr="00C70674">
        <w:rPr>
          <w:rFonts w:ascii="Arial" w:hAnsi="Arial" w:cs="Arial"/>
        </w:rPr>
        <w:t xml:space="preserve"> rozporządzeń Rady Ministrów, Prezesa Rady Ministrów oraz poszczególnych Ministrów.</w:t>
      </w:r>
    </w:p>
    <w:p w14:paraId="21F898F7" w14:textId="77777777" w:rsidR="00446437" w:rsidRPr="00C70674" w:rsidRDefault="00446437" w:rsidP="00446437">
      <w:pPr>
        <w:spacing w:after="0" w:line="300" w:lineRule="auto"/>
        <w:jc w:val="both"/>
        <w:rPr>
          <w:rFonts w:ascii="Arial" w:hAnsi="Arial" w:cs="Arial"/>
        </w:rPr>
      </w:pPr>
    </w:p>
    <w:p w14:paraId="59110B87" w14:textId="460CB675" w:rsidR="00446437" w:rsidRDefault="00446437" w:rsidP="00446437">
      <w:pPr>
        <w:spacing w:after="0" w:line="300" w:lineRule="auto"/>
        <w:jc w:val="both"/>
        <w:rPr>
          <w:rFonts w:ascii="Arial" w:hAnsi="Arial" w:cs="Arial"/>
        </w:rPr>
      </w:pPr>
      <w:r>
        <w:rPr>
          <w:rFonts w:ascii="Arial" w:hAnsi="Arial" w:cs="Arial"/>
        </w:rPr>
        <w:t xml:space="preserve">Przeprowadzono konsultacje 2 projektów ustaw i 8 projektów rozporządzeń dotyczących podmiotów członkowskich (pracodawcy, przedsiębiorcy, JST) zrzeszonych w Związku. </w:t>
      </w:r>
    </w:p>
    <w:p w14:paraId="7DF4250A" w14:textId="77777777" w:rsidR="00446437" w:rsidRDefault="00446437" w:rsidP="00446437">
      <w:pPr>
        <w:spacing w:after="0" w:line="300" w:lineRule="auto"/>
        <w:jc w:val="both"/>
        <w:rPr>
          <w:rFonts w:ascii="Arial" w:hAnsi="Arial" w:cs="Arial"/>
        </w:rPr>
      </w:pPr>
      <w:r>
        <w:rPr>
          <w:rFonts w:ascii="Arial" w:hAnsi="Arial" w:cs="Arial"/>
        </w:rPr>
        <w:t>Do konsultacji przekazane zostały następujące projekty:</w:t>
      </w:r>
    </w:p>
    <w:p w14:paraId="1A3DD929" w14:textId="77777777" w:rsidR="00446437" w:rsidRDefault="00446437" w:rsidP="00446437">
      <w:pPr>
        <w:spacing w:after="0" w:line="300" w:lineRule="auto"/>
        <w:jc w:val="both"/>
        <w:rPr>
          <w:rFonts w:ascii="Arial" w:hAnsi="Arial" w:cs="Arial"/>
        </w:rPr>
      </w:pPr>
    </w:p>
    <w:p w14:paraId="51C0BC5B" w14:textId="77777777" w:rsidR="00446437" w:rsidRDefault="00446437" w:rsidP="00446437">
      <w:pPr>
        <w:spacing w:after="0" w:line="300" w:lineRule="auto"/>
        <w:jc w:val="both"/>
        <w:rPr>
          <w:rFonts w:ascii="Arial" w:hAnsi="Arial" w:cs="Arial"/>
        </w:rPr>
      </w:pPr>
      <w:r>
        <w:rPr>
          <w:rFonts w:ascii="Arial" w:hAnsi="Arial" w:cs="Arial"/>
        </w:rPr>
        <w:t>Projekty ustaw:</w:t>
      </w:r>
    </w:p>
    <w:p w14:paraId="21F1D9B3" w14:textId="77777777" w:rsidR="00446437" w:rsidRDefault="00446437" w:rsidP="00446437">
      <w:pPr>
        <w:spacing w:after="0" w:line="300" w:lineRule="auto"/>
        <w:jc w:val="both"/>
        <w:rPr>
          <w:rFonts w:ascii="Arial" w:hAnsi="Arial" w:cs="Arial"/>
        </w:rPr>
      </w:pPr>
    </w:p>
    <w:p w14:paraId="714A379A" w14:textId="7D216651" w:rsidR="00446437" w:rsidRPr="007761F7" w:rsidRDefault="007761F7" w:rsidP="00446437">
      <w:pPr>
        <w:pStyle w:val="Akapitzlist"/>
        <w:numPr>
          <w:ilvl w:val="0"/>
          <w:numId w:val="3"/>
        </w:numPr>
        <w:spacing w:after="0" w:line="300" w:lineRule="auto"/>
        <w:jc w:val="both"/>
        <w:rPr>
          <w:rFonts w:ascii="Arial" w:hAnsi="Arial" w:cs="Arial"/>
          <w:b/>
          <w:bCs/>
          <w:u w:val="single"/>
        </w:rPr>
      </w:pPr>
      <w:r w:rsidRPr="007761F7">
        <w:rPr>
          <w:rFonts w:ascii="Arial" w:hAnsi="Arial" w:cs="Arial"/>
          <w:b/>
          <w:bCs/>
          <w:u w:val="single"/>
        </w:rPr>
        <w:t>Projekt ustawy o opakowaniach i odpadach opakowaniowych (numer z wykazu UC100).</w:t>
      </w:r>
    </w:p>
    <w:p w14:paraId="1756C9F4" w14:textId="77777777" w:rsidR="00446437" w:rsidRDefault="00446437" w:rsidP="00446437">
      <w:pPr>
        <w:spacing w:after="0" w:line="300" w:lineRule="auto"/>
        <w:jc w:val="both"/>
        <w:rPr>
          <w:rFonts w:ascii="Arial" w:hAnsi="Arial" w:cs="Arial"/>
        </w:rPr>
      </w:pPr>
    </w:p>
    <w:p w14:paraId="570A569D" w14:textId="77777777" w:rsidR="007761F7" w:rsidRPr="007761F7" w:rsidRDefault="007761F7" w:rsidP="007761F7">
      <w:pPr>
        <w:spacing w:after="0" w:line="300" w:lineRule="auto"/>
        <w:jc w:val="both"/>
        <w:rPr>
          <w:rFonts w:ascii="Arial" w:hAnsi="Arial" w:cs="Arial"/>
        </w:rPr>
      </w:pPr>
      <w:r w:rsidRPr="007761F7">
        <w:rPr>
          <w:rFonts w:ascii="Arial" w:hAnsi="Arial" w:cs="Arial"/>
        </w:rPr>
        <w:t xml:space="preserve">Dyrektywa Parlamentu Europejskiego i Rady (UE) 2018/851 z dnia 30 maja 2018 r. zmieniająca dyrektywę 2008/98/WE w sprawie odpadów (Dz. Urz. UE L 150 z 14.6.2018, str. 109—140) oraz dyrektywa Parlamentu Europejskiego i Rady (UE) 2018/852 z dnia 30 maja 2018 r. zmieniająca dyrektywę 94/62/WE w sprawie opakowań i odpadów opakowaniowych (Dz. Urz. UE L 150 z 14.6.2018, str. 141—154) określiły m.in. nowe wymagania dotyczące rozszerzonej odpowiedzialności producenta (zwanej dalej: „ROP”) i wyznaczyły cele w zakresie przygotowania do ponownego użycia i recyklingu odpadów komunalnych oraz recyklingu odpadów opakowaniowych, a także redukcji składowania odpadów komunalnych. Przepisy powyższych dyrektyw zostały transponowane do polskiego porządku prawnego ustawą z dnia 17 listopada 2021 r. o zmianie ustawy o odpadach oraz niektórych innych ustaw (Dz. U. poz. 2151, z późn. zm.), która zmieniła m.in. ustawę z dnia 13 czerwca 2013 r. o gospodarce opakowaniami i odpadami opakowaniowymi (Dz. U. z 2024 r. poz. 927, z późn. zm.). </w:t>
      </w:r>
    </w:p>
    <w:p w14:paraId="42A9BC06" w14:textId="77777777" w:rsidR="007761F7" w:rsidRPr="007761F7" w:rsidRDefault="007761F7" w:rsidP="007761F7">
      <w:pPr>
        <w:spacing w:after="0" w:line="300" w:lineRule="auto"/>
        <w:jc w:val="both"/>
        <w:rPr>
          <w:rFonts w:ascii="Arial" w:hAnsi="Arial" w:cs="Arial"/>
        </w:rPr>
      </w:pPr>
      <w:r w:rsidRPr="007761F7">
        <w:rPr>
          <w:rFonts w:ascii="Arial" w:hAnsi="Arial" w:cs="Arial"/>
        </w:rPr>
        <w:t xml:space="preserve">Zgodnie z art. 8 dyrektywy Parlamentu Europejskiego i Rady 2008/98/WE z dnia 19 listopada 2008 r. w sprawie odpadów oraz uchylającej niektóre dyrektywy (Dz. Urz. UE L 312 z 22.11.2008, str. 3-30, z późn. zm.) (zwanej dalej: „dyrektywą 2008/98/WE”) systemy ROP muszą uwzględniać minimalne wymogi określone w art. 8a, które obejmują: określenie roli i obowiązków wszystkich podmiotów zaangażowanych w system, określenie celów do </w:t>
      </w:r>
      <w:r w:rsidRPr="007761F7">
        <w:rPr>
          <w:rFonts w:ascii="Arial" w:hAnsi="Arial" w:cs="Arial"/>
        </w:rPr>
        <w:lastRenderedPageBreak/>
        <w:t>osiągnięcia, system sprawozdawczy służący do gromadzenia danych, równe traktowanie producentów, niezależnie od ich pochodzenia czy wielkości. Jednocześnie w ramach ROP producenci produktów lub organizacje realizujące w imieniu producentów obowiązki wynikające z ROP mają posiadać określony zasięg geograficzny, produktowy i materiałowy, zapewniać dostępność systemów zbierania odpadów, posiadać środki finansowe lub środki finansowe i organizacyjne niezbędne do wypełnienia obowiązków w zakresie ROP, wprowadzić mechanizm samokontroli oraz udostępniać publicznie informacje o realizacji celów (w przypadku organizacji także o strukturze, wkładach finansowych i procedurze wyboru podmiotów gospodarujących odpadami). W odniesieniu do wkładów finansowych płaconych przez producentów produktów w opakowaniach na rzecz realizacji ROP, ich wysokość powinna pokrywać koszty selektywnego zbierania odpadów opakowaniowych, a następnie ich transportu i przetwarzania, w tym przetwarzania niezbędnego do osiągnięcia unijnych celów w zakresie gospodarowania odpadami, oraz koszty niezbędne do realizacji innych celów i zadań, koszty informowania posiadaczy odpadów oraz koszty gromadzenia danych i sprawozdawczości. Ponadto wysokość wkładów finansowych powinna, w miarę możliwości, zostać zróżnicowana, biorąc pod uwagę wybrane kryteria.</w:t>
      </w:r>
    </w:p>
    <w:p w14:paraId="049F0DBF" w14:textId="77777777" w:rsidR="007761F7" w:rsidRPr="007761F7" w:rsidRDefault="007761F7" w:rsidP="007761F7">
      <w:pPr>
        <w:spacing w:after="0" w:line="300" w:lineRule="auto"/>
        <w:jc w:val="both"/>
        <w:rPr>
          <w:rFonts w:ascii="Arial" w:hAnsi="Arial" w:cs="Arial"/>
        </w:rPr>
      </w:pPr>
      <w:r w:rsidRPr="007761F7">
        <w:rPr>
          <w:rFonts w:ascii="Arial" w:hAnsi="Arial" w:cs="Arial"/>
        </w:rPr>
        <w:t>W dniu 22 stycznia 2025 r. opublikowane zostało rozporządzenie Parlamentu Europejskiego i Rady (UE) 2025/40 z dnia 19 grudnia 2024 r. sprawie opakowań i odpadów opakowaniowych, zmiany rozporządzenia (UE) 2019/1020 i dyrektywy (UE) 2019/904 oraz uchylenia dyrektywy 94/62/WE (Dz. Urz. UE L, 2025/40, 22.01.2025) (zwane dalej: „PPWR”). W odniesieniu do systemów ROP dla opakowań PPWR stanowi lex specialis w stosunku do dyrektywy 2008/98/WE. Oznacza to, że przepisy dotyczące ROP zawarte w PPWR powinny mieć pierwszeństwo przed wszelkimi sprzecznymi przepisami dyrektywy 2008/98/WE. Zgodnie z art. 45 PPWR producenci ponoszą ROP w ramach systemów ustanowionych zgodnie z art. 8 i 8a dyrektywy 2008/98/WE oraz sekcją 3 PPWR w odniesieniu do opakowań, w tym opakowań produktu w opakowaniu, które udostępniają po raz pierwszy na terytorium państwa członkowskiego lub rozpakowują nie będąc użytkownikami końcowymi. Wkłady finansowe wpłacane przez producentów powinny pokrywać, oprócz kosztów wymienionych powyżej (wskazanych w dyrektywie 2008/98/WE), koszty etykietowania pojemników na odpady oraz koszty prowadzenia analiz składu zebranych zmieszanych odpadów komunalnych. Koszty powinny być ustalone w sposób przejrzysty, proporcjonalny, niedyskryminujący i efektywny. Zgodnie z art. 46 PPWR państwa członkowskie mogą przyjąć środki, na podstawie których powierzenie obowiązków w zakresie ROP organizacji odpowiedzialności producenta będzie obowiązkowe. Ponadto zgodnie z art. 51 PPWR państwa członkowskie zapewniają, aby w systemach ROP i systemach kaucyjnych przeznaczono określoną minimalną część budżetu na finansowanie działań służących zmniejszeniu ilości odpadów i zapobieganiu powstawaniu odpadów. PPWR reguluje wprost wiele obszarów dotyczących opakowań oraz odpadów opakowaniowych, niemniej jednak część zawartych w nim rozwiązań oraz ich praktyczne stosowanie wymaga dostosowania krajowych przepisów. Nowe cele wynikające z PPWR dotyczą m.in. ograniczenia ilości wytwarzanych odpadów opakowaniowych na mieszkańca o co najmniej 5% do 2030 r., 10% do 2035 r. i 15% do 2040 r., a także obowiązku stosowania od 2030 r. określonego odsetka opakowań wielokrotnego użytku.</w:t>
      </w:r>
    </w:p>
    <w:p w14:paraId="64DF0A83" w14:textId="77777777" w:rsidR="007761F7" w:rsidRPr="007761F7" w:rsidRDefault="007761F7" w:rsidP="007761F7">
      <w:pPr>
        <w:spacing w:after="0" w:line="300" w:lineRule="auto"/>
        <w:jc w:val="both"/>
        <w:rPr>
          <w:rFonts w:ascii="Arial" w:hAnsi="Arial" w:cs="Arial"/>
        </w:rPr>
      </w:pPr>
      <w:r w:rsidRPr="007761F7">
        <w:rPr>
          <w:rFonts w:ascii="Arial" w:hAnsi="Arial" w:cs="Arial"/>
        </w:rPr>
        <w:t xml:space="preserve">Dla zapewnienia spełnienia wszystkich wymagań ROP określonych w PPWR, z uwzględnieniem przepisów art. 8 i 8a dyrektywy 2008/98/WE, istnieje pilna potrzeba </w:t>
      </w:r>
      <w:r w:rsidRPr="007761F7">
        <w:rPr>
          <w:rFonts w:ascii="Arial" w:hAnsi="Arial" w:cs="Arial"/>
        </w:rPr>
        <w:lastRenderedPageBreak/>
        <w:t xml:space="preserve">dostosowania szeregu przepisów krajowych, w tym przepisów ustawy z dnia 13 czerwca 2013 r. o gospodarce opakowaniami i odpadami opakowaniowymi. Konieczne jest również podjęcie działań systemowych zapewniających stabilne finansowanie gospodarki odpadami w gminach oraz sprawiedliwy podział kosztów systemu ROP, zgodnie z zasadą „zanieczyszczający płaci”. Obecny system prawny nie motywuje wprowadzających produkty w opakowaniach (producentów) do ekoprojektowania, natomiast gminy mają poważne trudności z realizacją celów recyklingu. W rezultacie mieszkańcy naszego kraju są obecnie nadmiernie obciążani opłatami za opakowania, gdyż ponoszą koszty dotyczące opakowań przy zakupie produktów, a następnie wnoszą opłatę za gospodarowanie odpadami komunalnymi do gmin oraz dodatkowo, w niektórych przypadkach ponoszą dodatkowe koszty związane z karami nakładanymi na gminy za niezrealizowane cele recyklingu. </w:t>
      </w:r>
    </w:p>
    <w:p w14:paraId="5BA33149" w14:textId="77777777" w:rsidR="007761F7" w:rsidRPr="007761F7" w:rsidRDefault="007761F7" w:rsidP="007761F7">
      <w:pPr>
        <w:spacing w:after="0" w:line="300" w:lineRule="auto"/>
        <w:jc w:val="both"/>
        <w:rPr>
          <w:rFonts w:ascii="Arial" w:hAnsi="Arial" w:cs="Arial"/>
        </w:rPr>
      </w:pPr>
      <w:r w:rsidRPr="007761F7">
        <w:rPr>
          <w:rFonts w:ascii="Arial" w:hAnsi="Arial" w:cs="Arial"/>
        </w:rPr>
        <w:t xml:space="preserve">Obowiązujący system ROP opiera się na założeniu pokrycia w najbardziej efektywny sposób całości kosztów zagospodarowania odpadów opakowaniowych przez zapewnienie transferu finansowego od producentów do podmiotów przygotowujących odpady do recyklingu. Przedmiotowa płatność miała przekładać się pośrednio na pokrycie kosztów innych działań w łańcuchu gospodarowania odpadów, od etapu ich odbioru i zbiórki. W praktyce system nie zapewnia jednak zadowalającego pokrycia kosztów selektywnego zbierania i transportu odpadów opakowaniowych pochodzących z gospodarstw domowych, które finansowane są przez mieszkańców z ponoszonych przez nich opłat za gospodarowanie odpadami komunalnymi. </w:t>
      </w:r>
    </w:p>
    <w:p w14:paraId="1EA6945D" w14:textId="77777777" w:rsidR="007761F7" w:rsidRPr="007761F7" w:rsidRDefault="007761F7" w:rsidP="007761F7">
      <w:pPr>
        <w:spacing w:after="0" w:line="300" w:lineRule="auto"/>
        <w:jc w:val="both"/>
        <w:rPr>
          <w:rFonts w:ascii="Arial" w:hAnsi="Arial" w:cs="Arial"/>
        </w:rPr>
      </w:pPr>
      <w:r w:rsidRPr="007761F7">
        <w:rPr>
          <w:rFonts w:ascii="Arial" w:hAnsi="Arial" w:cs="Arial"/>
        </w:rPr>
        <w:t>Obowiązujący system wymaga, aby wprowadzający produkty w opakowaniach (zarówno pochodzących z gospodarstw domowych, jak i przemysłowych) zapewniali recykling odpadów opakowaniowych takiego samego rodzaju jak odpady opakowaniowe powstałe z tego samego rodzaju opakowań jak opakowania, w których wprowadzili produkty do obrotu, a także prowadzenia publicznych kampanii edukacyjnych. Już obecnie wprowadzający produkty w opakowaniach uwzględniają w cenach produktów koszty realizacji ww. obowiązków.</w:t>
      </w:r>
    </w:p>
    <w:p w14:paraId="77967B44" w14:textId="77777777" w:rsidR="007761F7" w:rsidRPr="007761F7" w:rsidRDefault="007761F7" w:rsidP="007761F7">
      <w:pPr>
        <w:spacing w:after="0" w:line="300" w:lineRule="auto"/>
        <w:jc w:val="both"/>
        <w:rPr>
          <w:rFonts w:ascii="Arial" w:hAnsi="Arial" w:cs="Arial"/>
        </w:rPr>
      </w:pPr>
      <w:r w:rsidRPr="007761F7">
        <w:rPr>
          <w:rFonts w:ascii="Arial" w:hAnsi="Arial" w:cs="Arial"/>
        </w:rPr>
        <w:t>Obowiązek ten może być realizowany przez wprowadzającego produkty w opakowaniach:</w:t>
      </w:r>
    </w:p>
    <w:p w14:paraId="6303C47B" w14:textId="792D956A" w:rsidR="007761F7" w:rsidRPr="007761F7" w:rsidRDefault="007761F7" w:rsidP="007761F7">
      <w:pPr>
        <w:pStyle w:val="Akapitzlist"/>
        <w:numPr>
          <w:ilvl w:val="0"/>
          <w:numId w:val="6"/>
        </w:numPr>
        <w:spacing w:after="0" w:line="300" w:lineRule="auto"/>
        <w:jc w:val="both"/>
        <w:rPr>
          <w:rFonts w:ascii="Arial" w:hAnsi="Arial" w:cs="Arial"/>
        </w:rPr>
      </w:pPr>
      <w:r w:rsidRPr="007761F7">
        <w:rPr>
          <w:rFonts w:ascii="Arial" w:hAnsi="Arial" w:cs="Arial"/>
        </w:rPr>
        <w:t>samodzielnie przez poddanie recyklingowi wyłączenie odpadów opakowaniowych wytworzonych przez siebie lub zebranych od innych posiadaczy odpadów przy czym muszą to być odpady takiego samego rodzaju i w takiej samej masie jak odpady opakowaniowe powstałe z wprowadzonych przez niego do obrotu produktów w opakowaniach. W tym przypadku dany podmiot zbiera samodzielnie lub za pośrednictwem innego podmiotu odpady opakowaniowe, które następnie przekazywane są do recyklera, który potwierdza poddanie tych odpadów recyklingowi przez wystawienie dokumentu DPR lub EDPR (w przypadku wysyłki odpadów poza Polskę). Najczęściej samodzielna forma realizacji ww. obowiązku dotyczy odpadów przemysłowych oraz podmiotów, które wprowadzają produkty w niewielkiej ilości opakowań (o łącznej masie poniżej1 Mg),</w:t>
      </w:r>
    </w:p>
    <w:p w14:paraId="2295885D" w14:textId="538D17E7" w:rsidR="007761F7" w:rsidRPr="007761F7" w:rsidRDefault="007761F7" w:rsidP="007761F7">
      <w:pPr>
        <w:pStyle w:val="Akapitzlist"/>
        <w:numPr>
          <w:ilvl w:val="0"/>
          <w:numId w:val="6"/>
        </w:numPr>
        <w:spacing w:after="0" w:line="300" w:lineRule="auto"/>
        <w:jc w:val="both"/>
        <w:rPr>
          <w:rFonts w:ascii="Arial" w:hAnsi="Arial" w:cs="Arial"/>
        </w:rPr>
      </w:pPr>
      <w:r w:rsidRPr="007761F7">
        <w:rPr>
          <w:rFonts w:ascii="Arial" w:hAnsi="Arial" w:cs="Arial"/>
        </w:rPr>
        <w:t xml:space="preserve">za pośrednictwem organizacji odzysku opakowań przez zawarcie z taką organizacją stosowej pisemnej umowy. W takim przypadku organizacja odzysku opakowań nie zbiera bezpośrednio odpadów opakowaniowych oraz nie przekazuje ich do recyklera, a jedynie skupuje z rynku dokumenty DPR i EDPR, o które wnioskowały na ich rzecz podmioty faktycznie gospodarujące odpadami. Ta forma realizacji obowiązków dotyczy </w:t>
      </w:r>
      <w:r w:rsidRPr="007761F7">
        <w:rPr>
          <w:rFonts w:ascii="Arial" w:hAnsi="Arial" w:cs="Arial"/>
        </w:rPr>
        <w:lastRenderedPageBreak/>
        <w:t>zarówno odpadów przemysłowych, jak i odpadów opakowaniowych pochodzących z gospodarstw domowych.</w:t>
      </w:r>
    </w:p>
    <w:p w14:paraId="5D9D1DEB" w14:textId="77777777" w:rsidR="007761F7" w:rsidRPr="007761F7" w:rsidRDefault="007761F7" w:rsidP="007761F7">
      <w:pPr>
        <w:spacing w:after="0" w:line="300" w:lineRule="auto"/>
        <w:jc w:val="both"/>
        <w:rPr>
          <w:rFonts w:ascii="Arial" w:hAnsi="Arial" w:cs="Arial"/>
        </w:rPr>
      </w:pPr>
      <w:r w:rsidRPr="007761F7">
        <w:rPr>
          <w:rFonts w:ascii="Arial" w:hAnsi="Arial" w:cs="Arial"/>
        </w:rPr>
        <w:t>Obecny system bezpośrednio wiąże obowiązek płatności wyłącznie z poziomem recyklingu odpadów opakowaniowych określonej kategorii materiałowej, nie z samym wprowadzeniem na rynek opakowania, które stanie się odpadem wymagającym zagospodarowania.</w:t>
      </w:r>
    </w:p>
    <w:p w14:paraId="6F919ACF" w14:textId="77777777" w:rsidR="007761F7" w:rsidRPr="007761F7" w:rsidRDefault="007761F7" w:rsidP="007761F7">
      <w:pPr>
        <w:spacing w:after="0" w:line="300" w:lineRule="auto"/>
        <w:jc w:val="both"/>
        <w:rPr>
          <w:rFonts w:ascii="Arial" w:hAnsi="Arial" w:cs="Arial"/>
        </w:rPr>
      </w:pPr>
      <w:r w:rsidRPr="007761F7">
        <w:rPr>
          <w:rFonts w:ascii="Arial" w:hAnsi="Arial" w:cs="Arial"/>
        </w:rPr>
        <w:t>Przykład:</w:t>
      </w:r>
    </w:p>
    <w:p w14:paraId="3FECDA41" w14:textId="77777777" w:rsidR="007761F7" w:rsidRPr="007761F7" w:rsidRDefault="007761F7" w:rsidP="007761F7">
      <w:pPr>
        <w:spacing w:after="0" w:line="300" w:lineRule="auto"/>
        <w:jc w:val="both"/>
        <w:rPr>
          <w:rFonts w:ascii="Arial" w:hAnsi="Arial" w:cs="Arial"/>
        </w:rPr>
      </w:pPr>
      <w:r w:rsidRPr="007761F7">
        <w:rPr>
          <w:rFonts w:ascii="Arial" w:hAnsi="Arial" w:cs="Arial"/>
        </w:rPr>
        <w:t xml:space="preserve">Organizacja odzysku opakowań przejęła obowiązek zapewnienia recyklingu odpadów opakowaniowych od wprowadzającego produkty w opakowaniach, który w 2024 r. po raz pierwszy wprowadził do obrotu produkty przeznaczone dla gospodarstw domowych (np. produkty żywnościowe) w 10 Mg opakowań z tworzyw sztucznych. Odpady opakowaniowe powstałe z tych opakowań trafiły do gminnego systemu gospodarowania odpadami. Organizacja odzysku opakowań musi zatem zapewnić recykling (pozyskać dokumenty DPR/EDPR) 4,5 Mg odpadów opakowaniowych z tworzyw sztucznych, w tym jedynie 2,34 Mg odpadów opakowaniowych pochodzących z gospodarstw domowych. </w:t>
      </w:r>
    </w:p>
    <w:p w14:paraId="7C7DCE8B" w14:textId="77777777" w:rsidR="007761F7" w:rsidRPr="007761F7" w:rsidRDefault="007761F7" w:rsidP="007761F7">
      <w:pPr>
        <w:spacing w:after="0" w:line="300" w:lineRule="auto"/>
        <w:jc w:val="both"/>
        <w:rPr>
          <w:rFonts w:ascii="Arial" w:hAnsi="Arial" w:cs="Arial"/>
        </w:rPr>
      </w:pPr>
      <w:r w:rsidRPr="007761F7">
        <w:rPr>
          <w:rFonts w:ascii="Arial" w:hAnsi="Arial" w:cs="Arial"/>
        </w:rPr>
        <w:t>W przypadku niezrealizowania ww. obowiązku wprowadzający produkty w opakowaniach oraz organizacje odzysku opakowań wnoszą opłatę produktową na rachunek bankowy prowadzony przez właściwego marszałka województwa, a ten po pomniejszeniu jej o 10% przekazuje wpływy z tej opłaty na rachunek bankowy NFOŚiGW. Wpływy z tytułu opłaty produktowej za opakowania, w części należnej NFOŚiGW wyniosły:</w:t>
      </w:r>
    </w:p>
    <w:p w14:paraId="0169B006" w14:textId="09CE2C66" w:rsidR="007761F7" w:rsidRPr="007761F7" w:rsidRDefault="007761F7" w:rsidP="007761F7">
      <w:pPr>
        <w:pStyle w:val="Akapitzlist"/>
        <w:numPr>
          <w:ilvl w:val="0"/>
          <w:numId w:val="8"/>
        </w:numPr>
        <w:spacing w:after="0" w:line="300" w:lineRule="auto"/>
        <w:jc w:val="both"/>
        <w:rPr>
          <w:rFonts w:ascii="Arial" w:hAnsi="Arial" w:cs="Arial"/>
        </w:rPr>
      </w:pPr>
      <w:r w:rsidRPr="007761F7">
        <w:rPr>
          <w:rFonts w:ascii="Arial" w:hAnsi="Arial" w:cs="Arial"/>
        </w:rPr>
        <w:t>w 2021 r. – 22,43 mln zł,</w:t>
      </w:r>
    </w:p>
    <w:p w14:paraId="4E927DAB" w14:textId="728CCE2B" w:rsidR="007761F7" w:rsidRPr="007761F7" w:rsidRDefault="007761F7" w:rsidP="007761F7">
      <w:pPr>
        <w:pStyle w:val="Akapitzlist"/>
        <w:numPr>
          <w:ilvl w:val="0"/>
          <w:numId w:val="8"/>
        </w:numPr>
        <w:spacing w:after="0" w:line="300" w:lineRule="auto"/>
        <w:jc w:val="both"/>
        <w:rPr>
          <w:rFonts w:ascii="Arial" w:hAnsi="Arial" w:cs="Arial"/>
        </w:rPr>
      </w:pPr>
      <w:r w:rsidRPr="007761F7">
        <w:rPr>
          <w:rFonts w:ascii="Arial" w:hAnsi="Arial" w:cs="Arial"/>
        </w:rPr>
        <w:t>w 2022 r. – 23,52 mln zł,</w:t>
      </w:r>
    </w:p>
    <w:p w14:paraId="64EBD865" w14:textId="4AC6DAC9" w:rsidR="007761F7" w:rsidRPr="007761F7" w:rsidRDefault="007761F7" w:rsidP="007761F7">
      <w:pPr>
        <w:pStyle w:val="Akapitzlist"/>
        <w:numPr>
          <w:ilvl w:val="0"/>
          <w:numId w:val="8"/>
        </w:numPr>
        <w:spacing w:after="0" w:line="300" w:lineRule="auto"/>
        <w:jc w:val="both"/>
        <w:rPr>
          <w:rFonts w:ascii="Arial" w:hAnsi="Arial" w:cs="Arial"/>
        </w:rPr>
      </w:pPr>
      <w:r w:rsidRPr="007761F7">
        <w:rPr>
          <w:rFonts w:ascii="Arial" w:hAnsi="Arial" w:cs="Arial"/>
        </w:rPr>
        <w:t>w 2023 r. – 28,07 mln zł,</w:t>
      </w:r>
    </w:p>
    <w:p w14:paraId="46D986BD" w14:textId="6DF2D5EC" w:rsidR="007761F7" w:rsidRPr="007761F7" w:rsidRDefault="007761F7" w:rsidP="007761F7">
      <w:pPr>
        <w:pStyle w:val="Akapitzlist"/>
        <w:numPr>
          <w:ilvl w:val="0"/>
          <w:numId w:val="8"/>
        </w:numPr>
        <w:spacing w:after="0" w:line="300" w:lineRule="auto"/>
        <w:jc w:val="both"/>
        <w:rPr>
          <w:rFonts w:ascii="Arial" w:hAnsi="Arial" w:cs="Arial"/>
        </w:rPr>
      </w:pPr>
      <w:r w:rsidRPr="007761F7">
        <w:rPr>
          <w:rFonts w:ascii="Arial" w:hAnsi="Arial" w:cs="Arial"/>
        </w:rPr>
        <w:t>w 2024 r. – 32,40 mln zł.</w:t>
      </w:r>
    </w:p>
    <w:p w14:paraId="2212D7A7" w14:textId="77777777" w:rsidR="007761F7" w:rsidRPr="007761F7" w:rsidRDefault="007761F7" w:rsidP="007761F7">
      <w:pPr>
        <w:spacing w:after="0" w:line="300" w:lineRule="auto"/>
        <w:jc w:val="both"/>
        <w:rPr>
          <w:rFonts w:ascii="Arial" w:hAnsi="Arial" w:cs="Arial"/>
        </w:rPr>
      </w:pPr>
      <w:r w:rsidRPr="007761F7">
        <w:rPr>
          <w:rFonts w:ascii="Arial" w:hAnsi="Arial" w:cs="Arial"/>
        </w:rPr>
        <w:t>Rok 2023 był dla obecnego systemu ROP rokiem przełomowym, bowiem w jego drugiej połowie na rynku gospodarki odpadami opakowaniowymi doszło do gwałtownego wzrostu cen zakupu dokumentów DPR, które były spowodowane następującymi czynnikami:</w:t>
      </w:r>
    </w:p>
    <w:p w14:paraId="47E7F716" w14:textId="72FC1737" w:rsidR="007761F7" w:rsidRPr="007761F7" w:rsidRDefault="007761F7" w:rsidP="007761F7">
      <w:pPr>
        <w:pStyle w:val="Akapitzlist"/>
        <w:numPr>
          <w:ilvl w:val="1"/>
          <w:numId w:val="11"/>
        </w:numPr>
        <w:spacing w:after="0" w:line="300" w:lineRule="auto"/>
        <w:jc w:val="both"/>
        <w:rPr>
          <w:rFonts w:ascii="Arial" w:hAnsi="Arial" w:cs="Arial"/>
        </w:rPr>
      </w:pPr>
      <w:r w:rsidRPr="007761F7">
        <w:rPr>
          <w:rFonts w:ascii="Arial" w:hAnsi="Arial" w:cs="Arial"/>
        </w:rPr>
        <w:t xml:space="preserve">wzrost poziomów recyklingu, które wprowadzający produkty w opakowaniach są obowiązani osiągnąć, </w:t>
      </w:r>
    </w:p>
    <w:p w14:paraId="28FEE388" w14:textId="5C9B87D8" w:rsidR="007761F7" w:rsidRPr="007761F7" w:rsidRDefault="007761F7" w:rsidP="007761F7">
      <w:pPr>
        <w:pStyle w:val="Akapitzlist"/>
        <w:numPr>
          <w:ilvl w:val="1"/>
          <w:numId w:val="11"/>
        </w:numPr>
        <w:spacing w:after="0" w:line="300" w:lineRule="auto"/>
        <w:jc w:val="both"/>
        <w:rPr>
          <w:rFonts w:ascii="Arial" w:hAnsi="Arial" w:cs="Arial"/>
        </w:rPr>
      </w:pPr>
      <w:r w:rsidRPr="007761F7">
        <w:rPr>
          <w:rFonts w:ascii="Arial" w:hAnsi="Arial" w:cs="Arial"/>
        </w:rPr>
        <w:t>obowiązek uwzględniania na dokumentach DPR (EDPR) masy odpadów opakowaniowych, która została faktycznie poddana recyklingowi (odliczanie zanieczyszczeń – czyli masy odpadów, które zostały odrzucone przez zakład recyklingu i niepoddane recyklingowi),</w:t>
      </w:r>
    </w:p>
    <w:p w14:paraId="556B9865" w14:textId="797880F4" w:rsidR="007761F7" w:rsidRPr="007761F7" w:rsidRDefault="007761F7" w:rsidP="007761F7">
      <w:pPr>
        <w:pStyle w:val="Akapitzlist"/>
        <w:numPr>
          <w:ilvl w:val="1"/>
          <w:numId w:val="11"/>
        </w:numPr>
        <w:spacing w:after="0" w:line="300" w:lineRule="auto"/>
        <w:jc w:val="both"/>
        <w:rPr>
          <w:rFonts w:ascii="Arial" w:hAnsi="Arial" w:cs="Arial"/>
        </w:rPr>
      </w:pPr>
      <w:r w:rsidRPr="007761F7">
        <w:rPr>
          <w:rFonts w:ascii="Arial" w:hAnsi="Arial" w:cs="Arial"/>
        </w:rPr>
        <w:t>eliminacja z rynku podmiotów sporządzających dokumenty DPR i EDPR, które nie obrazowały rzeczywistych zdarzeń gospodarczych (recyklingu odpadów opakowaniowych, eksportu odpadów opakowaniowych lub wewnątrzwspólnotowej dostawy odpadów opakowaniowych w celu poddania ich recyklingowi) ,</w:t>
      </w:r>
    </w:p>
    <w:p w14:paraId="1BC2392E" w14:textId="04F33FEA" w:rsidR="007761F7" w:rsidRPr="007761F7" w:rsidRDefault="007761F7" w:rsidP="007761F7">
      <w:pPr>
        <w:pStyle w:val="Akapitzlist"/>
        <w:numPr>
          <w:ilvl w:val="1"/>
          <w:numId w:val="11"/>
        </w:numPr>
        <w:spacing w:after="0" w:line="300" w:lineRule="auto"/>
        <w:jc w:val="both"/>
        <w:rPr>
          <w:rFonts w:ascii="Arial" w:hAnsi="Arial" w:cs="Arial"/>
        </w:rPr>
      </w:pPr>
      <w:r w:rsidRPr="007761F7">
        <w:rPr>
          <w:rFonts w:ascii="Arial" w:hAnsi="Arial" w:cs="Arial"/>
        </w:rPr>
        <w:t>obniżenie cen i spadek popytu na surowce wtórne,</w:t>
      </w:r>
    </w:p>
    <w:p w14:paraId="05184F10" w14:textId="7E310A96" w:rsidR="007761F7" w:rsidRPr="007761F7" w:rsidRDefault="007761F7" w:rsidP="007761F7">
      <w:pPr>
        <w:pStyle w:val="Akapitzlist"/>
        <w:numPr>
          <w:ilvl w:val="1"/>
          <w:numId w:val="11"/>
        </w:numPr>
        <w:spacing w:after="0" w:line="300" w:lineRule="auto"/>
        <w:jc w:val="both"/>
        <w:rPr>
          <w:rFonts w:ascii="Arial" w:hAnsi="Arial" w:cs="Arial"/>
        </w:rPr>
      </w:pPr>
      <w:r w:rsidRPr="007761F7">
        <w:rPr>
          <w:rFonts w:ascii="Arial" w:hAnsi="Arial" w:cs="Arial"/>
        </w:rPr>
        <w:t>wzrost kosztów prowadzenia działalności przez recyklerów,</w:t>
      </w:r>
    </w:p>
    <w:p w14:paraId="109DD8E1" w14:textId="0D20B7B0" w:rsidR="007761F7" w:rsidRPr="007761F7" w:rsidRDefault="007761F7" w:rsidP="007761F7">
      <w:pPr>
        <w:pStyle w:val="Akapitzlist"/>
        <w:numPr>
          <w:ilvl w:val="1"/>
          <w:numId w:val="11"/>
        </w:numPr>
        <w:spacing w:after="0" w:line="300" w:lineRule="auto"/>
        <w:jc w:val="both"/>
        <w:rPr>
          <w:rFonts w:ascii="Arial" w:hAnsi="Arial" w:cs="Arial"/>
        </w:rPr>
      </w:pPr>
      <w:r w:rsidRPr="007761F7">
        <w:rPr>
          <w:rFonts w:ascii="Arial" w:hAnsi="Arial" w:cs="Arial"/>
        </w:rPr>
        <w:t xml:space="preserve">konkurencja między organizacjami odzysku opakowań o pozyskanie dokumentów DPR i EDPR pozwalających na realizację zakontraktowanych obowiązków. </w:t>
      </w:r>
    </w:p>
    <w:p w14:paraId="1CF8129C" w14:textId="77777777" w:rsidR="007761F7" w:rsidRPr="007761F7" w:rsidRDefault="007761F7" w:rsidP="007761F7">
      <w:pPr>
        <w:spacing w:after="0" w:line="300" w:lineRule="auto"/>
        <w:jc w:val="both"/>
        <w:rPr>
          <w:rFonts w:ascii="Arial" w:hAnsi="Arial" w:cs="Arial"/>
        </w:rPr>
      </w:pPr>
      <w:r w:rsidRPr="007761F7">
        <w:rPr>
          <w:rFonts w:ascii="Arial" w:hAnsi="Arial" w:cs="Arial"/>
        </w:rPr>
        <w:t>W konsekwencji powyższego organizacje odzysku opakowań zmuszone były do aneksowania zawartych wcześniej umów z wprowadzającymi produkty w opakowaniach oraz podniesienia cen oferowanych usług (również w trakcie roku), a w przypadku nieosiągnięcia wymaganych poziomów recyklingu odpadów opakowaniowych również do wniesienia opłaty produktowej.</w:t>
      </w:r>
    </w:p>
    <w:p w14:paraId="73EEAB1B" w14:textId="77777777" w:rsidR="007761F7" w:rsidRPr="007761F7" w:rsidRDefault="007761F7" w:rsidP="007761F7">
      <w:pPr>
        <w:spacing w:after="0" w:line="300" w:lineRule="auto"/>
        <w:jc w:val="both"/>
        <w:rPr>
          <w:rFonts w:ascii="Arial" w:hAnsi="Arial" w:cs="Arial"/>
        </w:rPr>
      </w:pPr>
      <w:r w:rsidRPr="007761F7">
        <w:rPr>
          <w:rFonts w:ascii="Arial" w:hAnsi="Arial" w:cs="Arial"/>
        </w:rPr>
        <w:lastRenderedPageBreak/>
        <w:t>Na podstawie sprawozdań z wykonania budżetów JST określono wydatki całkowite gmin i związków międzygminnych na gospodarkę odpadami komunalnymi , które w 2024 r. wyniosły 14 262,15 mln zł, natomiast średnie wydatki miesięczne na osobę wyniosły w Polsce 31,70 zł i wahały się od 21,50 zł w województwie świętokrzyskim do 42,58 zł w województwie dolnośląskim. Oczekuje się, że nowy model ROP powinien zapewnić finansowanie gospodarowania odpadami opakowaniowymi wytworzonymi w systemie gminnym (finansowanie gmin i podmiotów przetwarzających odpady opakowaniowe), co będzie stanowiło blisko 24% wydatków gmin. W konsekwencji, wydatki gmin i związków międzygminnych na gospodarkę odpadami komunalnymi powinny ulec pomniejszeniu o te wartości oraz zapewnić stabilizację, a w dłuższej perspektywie zmniejszenia realnych kosztów (po uwzględnieniu inflacji) ponoszonych przez mieszkańców w ramach opłaty za gospodarowanie odpadami komunalnymi.</w:t>
      </w:r>
    </w:p>
    <w:p w14:paraId="2627331B" w14:textId="77777777" w:rsidR="007761F7" w:rsidRPr="007761F7" w:rsidRDefault="007761F7" w:rsidP="007761F7">
      <w:pPr>
        <w:spacing w:after="0" w:line="300" w:lineRule="auto"/>
        <w:jc w:val="both"/>
        <w:rPr>
          <w:rFonts w:ascii="Arial" w:hAnsi="Arial" w:cs="Arial"/>
        </w:rPr>
      </w:pPr>
      <w:r w:rsidRPr="007761F7">
        <w:rPr>
          <w:rFonts w:ascii="Arial" w:hAnsi="Arial" w:cs="Arial"/>
        </w:rPr>
        <w:t>Obowiązujący system ROP dla opakowań oparty na funkcjonowaniu wielu organizacji odpowiedzialności producenta (zwanych dalej: „PRO”) nie wykazuje zadowalającej efektywności. Od czasu jego wprowadzenia istotnym zmianom uległy unijne ramy prawne regulujące funkcjonowanie systemów ROP i zakres wydatków wymagających pokrycia w ramach tego systemu. W przypadku systemów ROP dla opakowań dalsze uszczelnianie systemu, który nie funkcjonuje w sposób prawidłowy, nie jest uzasadnione, niemniej jednak rozważano dwa alternatywne modele systemu ROP dla opakowań – pierwszy, w którym na rynku funkcjonowałoby wiele konkurujących ze sobą PRO, oraz drugi model, w którym rolę PRO pełniła będzie państwowa osoba prawna.</w:t>
      </w:r>
    </w:p>
    <w:p w14:paraId="48E055DF" w14:textId="77777777" w:rsidR="007761F7" w:rsidRPr="007761F7" w:rsidRDefault="007761F7" w:rsidP="007761F7">
      <w:pPr>
        <w:spacing w:after="0" w:line="300" w:lineRule="auto"/>
        <w:jc w:val="both"/>
        <w:rPr>
          <w:rFonts w:ascii="Arial" w:hAnsi="Arial" w:cs="Arial"/>
        </w:rPr>
      </w:pPr>
      <w:r w:rsidRPr="007761F7">
        <w:rPr>
          <w:rFonts w:ascii="Arial" w:hAnsi="Arial" w:cs="Arial"/>
        </w:rPr>
        <w:t>Rozważany model oparty na wielu PRO opierał się na następujących założeniach:</w:t>
      </w:r>
    </w:p>
    <w:p w14:paraId="614B154A" w14:textId="31955808" w:rsidR="007761F7" w:rsidRPr="007761F7" w:rsidRDefault="007761F7" w:rsidP="007761F7">
      <w:pPr>
        <w:pStyle w:val="Akapitzlist"/>
        <w:numPr>
          <w:ilvl w:val="0"/>
          <w:numId w:val="12"/>
        </w:numPr>
        <w:spacing w:after="0" w:line="300" w:lineRule="auto"/>
        <w:jc w:val="both"/>
        <w:rPr>
          <w:rFonts w:ascii="Arial" w:hAnsi="Arial" w:cs="Arial"/>
        </w:rPr>
      </w:pPr>
      <w:r w:rsidRPr="007761F7">
        <w:rPr>
          <w:rFonts w:ascii="Arial" w:hAnsi="Arial" w:cs="Arial"/>
        </w:rPr>
        <w:t>Przekształcenie organizacji odzysku opakowań w PRO oraz wprowadzeniu zmian w zakresie wymagań dotyczących prowadzenia działalności przez te organizacje polegających m.in. na podniesieniu kapitału zakładowego do 5 mln zł oraz obowiązku uzyskania zezwolenia na prowadzenie działalności.</w:t>
      </w:r>
    </w:p>
    <w:p w14:paraId="187CAA73" w14:textId="71A03846" w:rsidR="007761F7" w:rsidRPr="007761F7" w:rsidRDefault="007761F7" w:rsidP="007761F7">
      <w:pPr>
        <w:pStyle w:val="Akapitzlist"/>
        <w:numPr>
          <w:ilvl w:val="0"/>
          <w:numId w:val="12"/>
        </w:numPr>
        <w:spacing w:after="0" w:line="300" w:lineRule="auto"/>
        <w:jc w:val="both"/>
        <w:rPr>
          <w:rFonts w:ascii="Arial" w:hAnsi="Arial" w:cs="Arial"/>
        </w:rPr>
      </w:pPr>
      <w:r w:rsidRPr="007761F7">
        <w:rPr>
          <w:rFonts w:ascii="Arial" w:hAnsi="Arial" w:cs="Arial"/>
        </w:rPr>
        <w:t>Rozdzielenie strumienia opakowań produktów oraz odpadów opakowaniowych na opakowania przeznaczone dla gospodarstw domowych oraz pozostałe opakowania (pochodzących głównie z handlu, usługi, przemysłu).</w:t>
      </w:r>
    </w:p>
    <w:p w14:paraId="01A3CD35" w14:textId="046FF43C" w:rsidR="007761F7" w:rsidRPr="007761F7" w:rsidRDefault="007761F7" w:rsidP="007761F7">
      <w:pPr>
        <w:pStyle w:val="Akapitzlist"/>
        <w:numPr>
          <w:ilvl w:val="0"/>
          <w:numId w:val="12"/>
        </w:numPr>
        <w:spacing w:after="0" w:line="300" w:lineRule="auto"/>
        <w:jc w:val="both"/>
        <w:rPr>
          <w:rFonts w:ascii="Arial" w:hAnsi="Arial" w:cs="Arial"/>
        </w:rPr>
      </w:pPr>
      <w:r w:rsidRPr="007761F7">
        <w:rPr>
          <w:rFonts w:ascii="Arial" w:hAnsi="Arial" w:cs="Arial"/>
        </w:rPr>
        <w:t>Wprowadzenie obowiązkowej opłaty opakowaniowej ponoszonej przez wprowadzających produkty w opakowaniach (producentów) przeznaczonych dla gospodarstw domowych (uiszczanej kwartalnie za każdy kilogram opakowań). Określanie wysokości stawek opłaty opakowaniowej przez ministra właściwego do spraw klimatu w drodze rozporządzenia. Kwartalne wnoszenie opłaty na rachunek PRO, a następnie przekazywanie jej na rachunek Narodowego Funduszu Ochrony Środowiska i Gospodarki Wodnej (zwanego dalej: „NFOŚiGW”). Przeznaczanie przez NFOŚiGW zebranych środków na finansowanie zbierania i przygotowania do przetwarzania końcowego odpadów opakowaniowych zebranych w ramach gminnych systemów gospodarowania odpadami komunalnymi.</w:t>
      </w:r>
    </w:p>
    <w:p w14:paraId="04040C0D" w14:textId="4D186A2D" w:rsidR="007761F7" w:rsidRPr="007761F7" w:rsidRDefault="007761F7" w:rsidP="007761F7">
      <w:pPr>
        <w:pStyle w:val="Akapitzlist"/>
        <w:numPr>
          <w:ilvl w:val="0"/>
          <w:numId w:val="12"/>
        </w:numPr>
        <w:spacing w:after="0" w:line="300" w:lineRule="auto"/>
        <w:jc w:val="both"/>
        <w:rPr>
          <w:rFonts w:ascii="Arial" w:hAnsi="Arial" w:cs="Arial"/>
        </w:rPr>
      </w:pPr>
      <w:r w:rsidRPr="007761F7">
        <w:rPr>
          <w:rFonts w:ascii="Arial" w:hAnsi="Arial" w:cs="Arial"/>
        </w:rPr>
        <w:t>Powołanie Krajowego ośrodka nadzoru gospodarki odpadami oraz powierzenie jego zadań Instytutowi Ochrony Środowiska – Państwowemu Instytutowi Badawczemu (zwanemu dalej: „IOŚ-PIB”), w tym uprawnień do nadzoru systemem ROP:</w:t>
      </w:r>
    </w:p>
    <w:p w14:paraId="2A4EFF21" w14:textId="363F28CA" w:rsidR="007761F7" w:rsidRPr="007761F7" w:rsidRDefault="007761F7" w:rsidP="007761F7">
      <w:pPr>
        <w:pStyle w:val="Akapitzlist"/>
        <w:numPr>
          <w:ilvl w:val="1"/>
          <w:numId w:val="12"/>
        </w:numPr>
        <w:spacing w:after="0" w:line="300" w:lineRule="auto"/>
        <w:jc w:val="both"/>
        <w:rPr>
          <w:rFonts w:ascii="Arial" w:hAnsi="Arial" w:cs="Arial"/>
        </w:rPr>
      </w:pPr>
      <w:r w:rsidRPr="007761F7">
        <w:rPr>
          <w:rFonts w:ascii="Arial" w:hAnsi="Arial" w:cs="Arial"/>
        </w:rPr>
        <w:t>udzielanie wsparcia analitycznego ministrowi właściwemu do spraw klimatu m.in. przy określaniu stawek opłaty opakowaniowej,</w:t>
      </w:r>
    </w:p>
    <w:p w14:paraId="339E6100" w14:textId="0816489E" w:rsidR="007761F7" w:rsidRPr="007761F7" w:rsidRDefault="007761F7" w:rsidP="007761F7">
      <w:pPr>
        <w:pStyle w:val="Akapitzlist"/>
        <w:numPr>
          <w:ilvl w:val="1"/>
          <w:numId w:val="12"/>
        </w:numPr>
        <w:spacing w:after="0" w:line="300" w:lineRule="auto"/>
        <w:jc w:val="both"/>
        <w:rPr>
          <w:rFonts w:ascii="Arial" w:hAnsi="Arial" w:cs="Arial"/>
        </w:rPr>
      </w:pPr>
      <w:r w:rsidRPr="007761F7">
        <w:rPr>
          <w:rFonts w:ascii="Arial" w:hAnsi="Arial" w:cs="Arial"/>
        </w:rPr>
        <w:lastRenderedPageBreak/>
        <w:t>sporządzanie i udostępnianie dokumentów DPR i EDPR,</w:t>
      </w:r>
    </w:p>
    <w:p w14:paraId="5DFC068A" w14:textId="6C2D07A2" w:rsidR="007761F7" w:rsidRPr="007761F7" w:rsidRDefault="007761F7" w:rsidP="007761F7">
      <w:pPr>
        <w:pStyle w:val="Akapitzlist"/>
        <w:numPr>
          <w:ilvl w:val="1"/>
          <w:numId w:val="12"/>
        </w:numPr>
        <w:spacing w:after="0" w:line="300" w:lineRule="auto"/>
        <w:jc w:val="both"/>
        <w:rPr>
          <w:rFonts w:ascii="Arial" w:hAnsi="Arial" w:cs="Arial"/>
        </w:rPr>
      </w:pPr>
      <w:r w:rsidRPr="007761F7">
        <w:rPr>
          <w:rFonts w:ascii="Arial" w:hAnsi="Arial" w:cs="Arial"/>
        </w:rPr>
        <w:t>prowadzenie monitoringu rynku opakowań i odpadów opakowaniowych, w tym analizowanie kosztów zagospodarowania odpadów opakowaniowych ponoszonych przez uczestników tego rynku, wydatkowania przez PRO środków pochodzących z wynagrodzeń, a także przygotowywanie analizy, przeglądów i oceny jego funkcjonowania,</w:t>
      </w:r>
    </w:p>
    <w:p w14:paraId="2893D3E8" w14:textId="05C944E0" w:rsidR="007761F7" w:rsidRPr="007761F7" w:rsidRDefault="007761F7" w:rsidP="007761F7">
      <w:pPr>
        <w:pStyle w:val="Akapitzlist"/>
        <w:numPr>
          <w:ilvl w:val="1"/>
          <w:numId w:val="12"/>
        </w:numPr>
        <w:spacing w:after="0" w:line="300" w:lineRule="auto"/>
        <w:jc w:val="both"/>
        <w:rPr>
          <w:rFonts w:ascii="Arial" w:hAnsi="Arial" w:cs="Arial"/>
        </w:rPr>
      </w:pPr>
      <w:r w:rsidRPr="007761F7">
        <w:rPr>
          <w:rFonts w:ascii="Arial" w:hAnsi="Arial" w:cs="Arial"/>
        </w:rPr>
        <w:t>nadzorowanie oraz realizowanie zadań związanych z zawieraniem umów przez PRO z wójtem, burmistrzem lub prezydentem miasta,</w:t>
      </w:r>
    </w:p>
    <w:p w14:paraId="4A353F80" w14:textId="7BC26238" w:rsidR="007761F7" w:rsidRPr="007761F7" w:rsidRDefault="007761F7" w:rsidP="007761F7">
      <w:pPr>
        <w:pStyle w:val="Akapitzlist"/>
        <w:numPr>
          <w:ilvl w:val="1"/>
          <w:numId w:val="12"/>
        </w:numPr>
        <w:spacing w:after="0" w:line="300" w:lineRule="auto"/>
        <w:jc w:val="both"/>
        <w:rPr>
          <w:rFonts w:ascii="Arial" w:hAnsi="Arial" w:cs="Arial"/>
        </w:rPr>
      </w:pPr>
      <w:r w:rsidRPr="007761F7">
        <w:rPr>
          <w:rFonts w:ascii="Arial" w:hAnsi="Arial" w:cs="Arial"/>
        </w:rPr>
        <w:t>prowadzenie publicznych kampanii edukacyjnych,</w:t>
      </w:r>
    </w:p>
    <w:p w14:paraId="77D1F1A1" w14:textId="417C8BC7" w:rsidR="007761F7" w:rsidRPr="007761F7" w:rsidRDefault="007761F7" w:rsidP="007761F7">
      <w:pPr>
        <w:pStyle w:val="Akapitzlist"/>
        <w:numPr>
          <w:ilvl w:val="1"/>
          <w:numId w:val="12"/>
        </w:numPr>
        <w:spacing w:after="0" w:line="300" w:lineRule="auto"/>
        <w:jc w:val="both"/>
        <w:rPr>
          <w:rFonts w:ascii="Arial" w:hAnsi="Arial" w:cs="Arial"/>
        </w:rPr>
      </w:pPr>
      <w:r w:rsidRPr="007761F7">
        <w:rPr>
          <w:rFonts w:ascii="Arial" w:hAnsi="Arial" w:cs="Arial"/>
        </w:rPr>
        <w:t>sporządzanie rocznych raportów o funkcjonowaniu systemu gospodarowania odpadami opakowaniowymi,</w:t>
      </w:r>
    </w:p>
    <w:p w14:paraId="4C2FAF6A" w14:textId="77777777" w:rsidR="007761F7" w:rsidRPr="007761F7" w:rsidRDefault="007761F7" w:rsidP="007761F7">
      <w:pPr>
        <w:pStyle w:val="Akapitzlist"/>
        <w:spacing w:after="0" w:line="300" w:lineRule="auto"/>
        <w:jc w:val="both"/>
        <w:rPr>
          <w:rFonts w:ascii="Arial" w:hAnsi="Arial" w:cs="Arial"/>
        </w:rPr>
      </w:pPr>
      <w:r w:rsidRPr="007761F7">
        <w:rPr>
          <w:rFonts w:ascii="Arial" w:hAnsi="Arial" w:cs="Arial"/>
        </w:rPr>
        <w:t>Przeznaczanie na ww. zadania przez NFOŚiGW środków pochodzących z opłaty opakowaniowej.</w:t>
      </w:r>
    </w:p>
    <w:p w14:paraId="5C694E26" w14:textId="76876337" w:rsidR="007761F7" w:rsidRPr="007761F7" w:rsidRDefault="007761F7" w:rsidP="007761F7">
      <w:pPr>
        <w:pStyle w:val="Akapitzlist"/>
        <w:numPr>
          <w:ilvl w:val="0"/>
          <w:numId w:val="12"/>
        </w:numPr>
        <w:spacing w:after="0" w:line="300" w:lineRule="auto"/>
        <w:jc w:val="both"/>
        <w:rPr>
          <w:rFonts w:ascii="Arial" w:hAnsi="Arial" w:cs="Arial"/>
        </w:rPr>
      </w:pPr>
      <w:r w:rsidRPr="007761F7">
        <w:rPr>
          <w:rFonts w:ascii="Arial" w:hAnsi="Arial" w:cs="Arial"/>
        </w:rPr>
        <w:t>Wprowadzenie mechanizmu wynagrodzenia płaconego przez wprowadzającego produkty w opakowaniach (producenta) na rzecz PRO, określanego przez PRO, z uwzględnieniem wskazanych w ustawie kryteriów. Przeznaczanie przez PRO 95% środków pochodzących z wynagrodzenia na rzecz podmiotów prowadzących recykling oraz zbierających odpady opakowaniowe oraz 5% środków na funkcjonowanie PRO, w tym przeprowadzenie audytu.</w:t>
      </w:r>
    </w:p>
    <w:p w14:paraId="4EE7DD13" w14:textId="6C12E536" w:rsidR="007761F7" w:rsidRPr="007761F7" w:rsidRDefault="007761F7" w:rsidP="007761F7">
      <w:pPr>
        <w:pStyle w:val="Akapitzlist"/>
        <w:numPr>
          <w:ilvl w:val="0"/>
          <w:numId w:val="12"/>
        </w:numPr>
        <w:spacing w:after="0" w:line="300" w:lineRule="auto"/>
        <w:jc w:val="both"/>
        <w:rPr>
          <w:rFonts w:ascii="Arial" w:hAnsi="Arial" w:cs="Arial"/>
        </w:rPr>
      </w:pPr>
      <w:r w:rsidRPr="007761F7">
        <w:rPr>
          <w:rFonts w:ascii="Arial" w:hAnsi="Arial" w:cs="Arial"/>
        </w:rPr>
        <w:t>Wprowadzenie mechanizmu nieodpłatnego przydzielania przez IOŚ-PIB masy odpadów opakowaniowych poddanych recyklingowi dla PRO (masa ta odpowiadałaby masie odpadów opakowaniowych poddanych recyklingowi, za którą uiszczono opłatę opakowaniową i byłaby ustalana na podstawie informacji przekazywanych okresowo przez recyklerów). Mechanizm ten miałby zapewnić możliwość realizacji ustawowego obowiązku zapewnienia poziomów recyklingu przez PRO w imieniu wprowadzających produkty w opakowaniach (producentów) przeznaczonych dla gospodarstw domowych, których ta PRO reprezentuje.</w:t>
      </w:r>
    </w:p>
    <w:p w14:paraId="3018F081" w14:textId="0B5E04BF" w:rsidR="007761F7" w:rsidRPr="007761F7" w:rsidRDefault="007761F7" w:rsidP="007761F7">
      <w:pPr>
        <w:pStyle w:val="Akapitzlist"/>
        <w:numPr>
          <w:ilvl w:val="0"/>
          <w:numId w:val="12"/>
        </w:numPr>
        <w:spacing w:after="0" w:line="300" w:lineRule="auto"/>
        <w:jc w:val="both"/>
        <w:rPr>
          <w:rFonts w:ascii="Arial" w:hAnsi="Arial" w:cs="Arial"/>
        </w:rPr>
      </w:pPr>
      <w:r w:rsidRPr="007761F7">
        <w:rPr>
          <w:rFonts w:ascii="Arial" w:hAnsi="Arial" w:cs="Arial"/>
        </w:rPr>
        <w:t xml:space="preserve">Wprowadzeniu mechanizmu doszczelniającego system wystawiania dokumentów DPR i EDPR, które byłyby wystawiane przez IOŚ-PIB na wniosek recyklera, eksportera lub wewnątrzwspólnotowego dostawcy odpadów opakowaniowych po przeprowadzeniu audytu przedsiębiorcy w zakresie informacji wskazanych we wniosku. </w:t>
      </w:r>
    </w:p>
    <w:p w14:paraId="47CF4D18" w14:textId="7ED7B27B" w:rsidR="007761F7" w:rsidRPr="007761F7" w:rsidRDefault="007761F7" w:rsidP="007761F7">
      <w:pPr>
        <w:pStyle w:val="Akapitzlist"/>
        <w:numPr>
          <w:ilvl w:val="0"/>
          <w:numId w:val="12"/>
        </w:numPr>
        <w:spacing w:after="0" w:line="300" w:lineRule="auto"/>
        <w:jc w:val="both"/>
        <w:rPr>
          <w:rFonts w:ascii="Arial" w:hAnsi="Arial" w:cs="Arial"/>
        </w:rPr>
      </w:pPr>
      <w:r w:rsidRPr="007761F7">
        <w:rPr>
          <w:rFonts w:ascii="Arial" w:hAnsi="Arial" w:cs="Arial"/>
        </w:rPr>
        <w:t>Utrzymanie sankcji – opłaty produktowej za nieosiąganie poziomów recyklingu odpadów opakowaniowych zarówno przeznaczonych dla gospodarstw domowych, jak i pozostałych opakowań, które nie są przeznaczane dla gospodarstw domowych.</w:t>
      </w:r>
    </w:p>
    <w:p w14:paraId="76CD6F73" w14:textId="720AB611" w:rsidR="007761F7" w:rsidRPr="007761F7" w:rsidRDefault="007761F7" w:rsidP="007761F7">
      <w:pPr>
        <w:pStyle w:val="Akapitzlist"/>
        <w:numPr>
          <w:ilvl w:val="0"/>
          <w:numId w:val="12"/>
        </w:numPr>
        <w:spacing w:after="0" w:line="300" w:lineRule="auto"/>
        <w:jc w:val="both"/>
        <w:rPr>
          <w:rFonts w:ascii="Arial" w:hAnsi="Arial" w:cs="Arial"/>
        </w:rPr>
      </w:pPr>
      <w:r w:rsidRPr="007761F7">
        <w:rPr>
          <w:rFonts w:ascii="Arial" w:hAnsi="Arial" w:cs="Arial"/>
        </w:rPr>
        <w:t>Przeznaczanie przez NFOŚiGW środków pochodzących z opłaty opakowaniowej na finansowanie działań w zakresie rozwoju instalacji przetwarzania odpadów opakowaniowych objętych systemem ROP w procesach recyklingu.</w:t>
      </w:r>
    </w:p>
    <w:p w14:paraId="423997E5" w14:textId="77777777" w:rsidR="007761F7" w:rsidRPr="007761F7" w:rsidRDefault="007761F7" w:rsidP="007761F7">
      <w:pPr>
        <w:spacing w:after="0" w:line="300" w:lineRule="auto"/>
        <w:jc w:val="both"/>
        <w:rPr>
          <w:rFonts w:ascii="Arial" w:hAnsi="Arial" w:cs="Arial"/>
        </w:rPr>
      </w:pPr>
      <w:r w:rsidRPr="007761F7">
        <w:rPr>
          <w:rFonts w:ascii="Arial" w:hAnsi="Arial" w:cs="Arial"/>
        </w:rPr>
        <w:t>Rozważany model oparty na PRO zarządzanej przez państwową osobę prawną (zwany dalej: „nowym modelem ROP’) opiera się na następujących założeniach:</w:t>
      </w:r>
    </w:p>
    <w:p w14:paraId="3685159E" w14:textId="77777777" w:rsidR="007761F7" w:rsidRPr="007761F7" w:rsidRDefault="007761F7" w:rsidP="007761F7">
      <w:pPr>
        <w:spacing w:after="0" w:line="300" w:lineRule="auto"/>
        <w:jc w:val="both"/>
        <w:rPr>
          <w:rFonts w:ascii="Arial" w:hAnsi="Arial" w:cs="Arial"/>
        </w:rPr>
      </w:pPr>
      <w:r w:rsidRPr="007761F7">
        <w:rPr>
          <w:rFonts w:ascii="Arial" w:hAnsi="Arial" w:cs="Arial"/>
        </w:rPr>
        <w:t>Zastąpienie dotychczasowych definicji wprowadzającego produkty w opakowaniach oraz wprowadzającego opakowania nową definicją producenta.</w:t>
      </w:r>
    </w:p>
    <w:p w14:paraId="2A9B17AE" w14:textId="77777777" w:rsidR="007761F7" w:rsidRPr="007761F7" w:rsidRDefault="007761F7" w:rsidP="007761F7">
      <w:pPr>
        <w:spacing w:after="0" w:line="300" w:lineRule="auto"/>
        <w:jc w:val="both"/>
        <w:rPr>
          <w:rFonts w:ascii="Arial" w:hAnsi="Arial" w:cs="Arial"/>
        </w:rPr>
      </w:pPr>
      <w:r w:rsidRPr="007761F7">
        <w:rPr>
          <w:rFonts w:ascii="Arial" w:hAnsi="Arial" w:cs="Arial"/>
        </w:rPr>
        <w:t xml:space="preserve">Zgodnie z definicją zawartą w art. 3 ust. 1 pkt 15 PPWR przez producenta rozumie się każdego wytwórcę, importera lub dystrybutora, do którego – niezależnie od stosowanej przez niego </w:t>
      </w:r>
      <w:r w:rsidRPr="007761F7">
        <w:rPr>
          <w:rFonts w:ascii="Arial" w:hAnsi="Arial" w:cs="Arial"/>
        </w:rPr>
        <w:lastRenderedPageBreak/>
        <w:t>techniki sprzedaży, w tym umów zawieranych na odległość – zastosowanie ma jedno z poniższych:</w:t>
      </w:r>
    </w:p>
    <w:p w14:paraId="1AE83A6A" w14:textId="2782A4E2" w:rsidR="007761F7" w:rsidRPr="007761F7" w:rsidRDefault="007761F7" w:rsidP="007761F7">
      <w:pPr>
        <w:pStyle w:val="Akapitzlist"/>
        <w:numPr>
          <w:ilvl w:val="0"/>
          <w:numId w:val="14"/>
        </w:numPr>
        <w:spacing w:after="0" w:line="300" w:lineRule="auto"/>
        <w:jc w:val="both"/>
        <w:rPr>
          <w:rFonts w:ascii="Arial" w:hAnsi="Arial" w:cs="Arial"/>
        </w:rPr>
      </w:pPr>
      <w:r w:rsidRPr="007761F7">
        <w:rPr>
          <w:rFonts w:ascii="Arial" w:hAnsi="Arial" w:cs="Arial"/>
        </w:rPr>
        <w:t>wytwórca, importer lub dystrybutor ma siedzibę w państwie członkowskim i udostępnia po raz pierwszy z terytorium tego państwa członkowskiego oraz na tym samym terytorium opakowanie transportowe, opakowanie usługowe lub opakowanie dla produkcji podstawowej, jako opakowanie jednorazowego użytku lub jako opakowanie wielokrotnego użytku; lub</w:t>
      </w:r>
    </w:p>
    <w:p w14:paraId="5A15C3EE" w14:textId="76177BF6" w:rsidR="007761F7" w:rsidRPr="007761F7" w:rsidRDefault="007761F7" w:rsidP="007761F7">
      <w:pPr>
        <w:pStyle w:val="Akapitzlist"/>
        <w:numPr>
          <w:ilvl w:val="0"/>
          <w:numId w:val="14"/>
        </w:numPr>
        <w:spacing w:after="0" w:line="300" w:lineRule="auto"/>
        <w:jc w:val="both"/>
        <w:rPr>
          <w:rFonts w:ascii="Arial" w:hAnsi="Arial" w:cs="Arial"/>
        </w:rPr>
      </w:pPr>
      <w:r w:rsidRPr="007761F7">
        <w:rPr>
          <w:rFonts w:ascii="Arial" w:hAnsi="Arial" w:cs="Arial"/>
        </w:rPr>
        <w:t>wytwórca, importer lub dystrybutor ma siedzibę w państwie członkowskim i udostępnia po raz pierwszy z terytorium tego państwa członkowskiego oraz na tym samym terytorium produkty zapakowane w opakowania inne niż opakowania, o których mowa w lit. a); lub</w:t>
      </w:r>
    </w:p>
    <w:p w14:paraId="100A6FFC" w14:textId="70BE3F20" w:rsidR="007761F7" w:rsidRPr="007761F7" w:rsidRDefault="007761F7" w:rsidP="007761F7">
      <w:pPr>
        <w:pStyle w:val="Akapitzlist"/>
        <w:numPr>
          <w:ilvl w:val="0"/>
          <w:numId w:val="14"/>
        </w:numPr>
        <w:spacing w:after="0" w:line="300" w:lineRule="auto"/>
        <w:jc w:val="both"/>
        <w:rPr>
          <w:rFonts w:ascii="Arial" w:hAnsi="Arial" w:cs="Arial"/>
        </w:rPr>
      </w:pPr>
      <w:r w:rsidRPr="007761F7">
        <w:rPr>
          <w:rFonts w:ascii="Arial" w:hAnsi="Arial" w:cs="Arial"/>
        </w:rPr>
        <w:t>wytwórca, importer lub dystrybutor ma siedzibę w państwie członkowskim lub w państwie trzecim i udostępnia po raz pierwszy na terytorium innego państwa członkowskiego, bezpośrednio użytkownikom końcowym, opakowanie transportowe, opakowanie usługowe lub opakowanie dla produkcji podstawowej, jako opakowanie jednorazowego użytku lub jako opakowanie wielokrotnego użytku; lub</w:t>
      </w:r>
    </w:p>
    <w:p w14:paraId="7B76C6F2" w14:textId="285845E4" w:rsidR="007761F7" w:rsidRPr="007761F7" w:rsidRDefault="007761F7" w:rsidP="007761F7">
      <w:pPr>
        <w:pStyle w:val="Akapitzlist"/>
        <w:numPr>
          <w:ilvl w:val="0"/>
          <w:numId w:val="14"/>
        </w:numPr>
        <w:spacing w:after="0" w:line="300" w:lineRule="auto"/>
        <w:jc w:val="both"/>
        <w:rPr>
          <w:rFonts w:ascii="Arial" w:hAnsi="Arial" w:cs="Arial"/>
        </w:rPr>
      </w:pPr>
      <w:r w:rsidRPr="007761F7">
        <w:rPr>
          <w:rFonts w:ascii="Arial" w:hAnsi="Arial" w:cs="Arial"/>
        </w:rPr>
        <w:t>wytwórca, importer lub dystrybutor ma siedzibę w państwie członkowskim lub w państwie trzecim i udostępnia po raz pierwszy na terytorium innego państwa członkowskiego, bezpośrednio użytkownikom końcowym, produkty zapakowane w opakowania inne niż opakowania, o których mowa w lit. c); lub</w:t>
      </w:r>
    </w:p>
    <w:p w14:paraId="16BB3F28" w14:textId="2972BA9E" w:rsidR="007761F7" w:rsidRPr="007761F7" w:rsidRDefault="007761F7" w:rsidP="007761F7">
      <w:pPr>
        <w:pStyle w:val="Akapitzlist"/>
        <w:numPr>
          <w:ilvl w:val="0"/>
          <w:numId w:val="14"/>
        </w:numPr>
        <w:spacing w:after="0" w:line="300" w:lineRule="auto"/>
        <w:jc w:val="both"/>
        <w:rPr>
          <w:rFonts w:ascii="Arial" w:hAnsi="Arial" w:cs="Arial"/>
        </w:rPr>
      </w:pPr>
      <w:r w:rsidRPr="007761F7">
        <w:rPr>
          <w:rFonts w:ascii="Arial" w:hAnsi="Arial" w:cs="Arial"/>
        </w:rPr>
        <w:t>wytwórca, importer lub dystrybutor ma siedzibę w państwie członkowskim i rozpakowuje produkty w opakowaniu, nie będąc użytkownikiem końcowym, chyba że producentem jest inna osoba zgodnie z definicją w lit. a), b), c) lub d).</w:t>
      </w:r>
    </w:p>
    <w:p w14:paraId="2872A425" w14:textId="77777777" w:rsidR="007761F7" w:rsidRPr="007761F7" w:rsidRDefault="007761F7" w:rsidP="007761F7">
      <w:pPr>
        <w:spacing w:after="0" w:line="300" w:lineRule="auto"/>
        <w:jc w:val="both"/>
        <w:rPr>
          <w:rFonts w:ascii="Arial" w:hAnsi="Arial" w:cs="Arial"/>
        </w:rPr>
      </w:pPr>
      <w:r w:rsidRPr="007761F7">
        <w:rPr>
          <w:rFonts w:ascii="Arial" w:hAnsi="Arial" w:cs="Arial"/>
        </w:rPr>
        <w:t>Wprowadzenie, w ramach odpowiedzialności finansowej producentów, opłaty opakowaniowej, ponoszonej przez producenta za każdy kilogram opakowania, w tym opakowania produktu w opakowaniu, które udostępnia po raz pierwszy na terytorium państwa członkowskiego lub rozpakowuje, nie będąc użytkownikiem końcowym.</w:t>
      </w:r>
    </w:p>
    <w:p w14:paraId="510FE546" w14:textId="77777777" w:rsidR="007761F7" w:rsidRPr="007761F7" w:rsidRDefault="007761F7" w:rsidP="007761F7">
      <w:pPr>
        <w:spacing w:after="0" w:line="300" w:lineRule="auto"/>
        <w:jc w:val="both"/>
        <w:rPr>
          <w:rFonts w:ascii="Arial" w:hAnsi="Arial" w:cs="Arial"/>
        </w:rPr>
      </w:pPr>
      <w:r w:rsidRPr="007761F7">
        <w:rPr>
          <w:rFonts w:ascii="Arial" w:hAnsi="Arial" w:cs="Arial"/>
        </w:rPr>
        <w:t xml:space="preserve">Zgodnie z przyjętymi założeniami ustanowiona zostanie opłata opakowaniowa, której obowiązek uiszczenia będzie ciążył na producencie. Proponuje się, aby wysokość opłaty opakowaniowej została zróżnicowana dla poszczególnych materiałów opakowaniowych lub ich grup, przy jednoczesnym uwzględnieniu wymogów ekomodulacji oraz stawek kwotowych określonych w akcie wykonawczym wydanym na podstawie delegacji ustawowej. Stawki opłaty opakowaniowej będą ustalane przez ministra właściwego do spraw klimatu, w oparciu o kryteria przedstawione przez Instytut Ochrony Środowiska – Państwowy Instytut Badawczy (zwany dalej: „IOŚ-PIB”), a w przyszłości uzupełniane o kryteria ustanowione w akcie delegowanym do PPWR. Wysokość stawek będzie uwzględniała koszty funkcjonowania systemu ROP, w tym koszty netto selektywnego zbierania i przetwarzania odpadów opakowaniowych, rozwój systemu zbiórki i przetwarzania odpadów, koszty edukacji ekologicznej oraz koszty zadań realizowanych w zakresie ROP przez NFOŚiGW oraz IOŚ-PIB. Podstawę do wyliczenia opłaty opakowaniowej będą stanowiły dane wynikające z kwartalnego sprawozdania ROP, które producenci będą składać w Bazie danych o produktach i opakowaniach oraz o gospodarce odpadami (zwanej dalej: „BDO”). </w:t>
      </w:r>
    </w:p>
    <w:p w14:paraId="69DB935B" w14:textId="77777777" w:rsidR="007761F7" w:rsidRPr="007761F7" w:rsidRDefault="007761F7" w:rsidP="007761F7">
      <w:pPr>
        <w:spacing w:after="0" w:line="300" w:lineRule="auto"/>
        <w:jc w:val="both"/>
        <w:rPr>
          <w:rFonts w:ascii="Arial" w:hAnsi="Arial" w:cs="Arial"/>
        </w:rPr>
      </w:pPr>
      <w:r w:rsidRPr="007761F7">
        <w:rPr>
          <w:rFonts w:ascii="Arial" w:hAnsi="Arial" w:cs="Arial"/>
        </w:rPr>
        <w:t>Ustanowienie marszałków województw organami odpowiedzialnymi za kontrolę poprawności naliczania i uiszczania opłaty opakowaniowej oraz redystrybucję wpływów z tytułu tej opłaty.</w:t>
      </w:r>
    </w:p>
    <w:p w14:paraId="27B0FD9A" w14:textId="77777777" w:rsidR="007761F7" w:rsidRPr="007761F7" w:rsidRDefault="007761F7" w:rsidP="007761F7">
      <w:pPr>
        <w:spacing w:after="0" w:line="300" w:lineRule="auto"/>
        <w:jc w:val="both"/>
        <w:rPr>
          <w:rFonts w:ascii="Arial" w:hAnsi="Arial" w:cs="Arial"/>
        </w:rPr>
      </w:pPr>
      <w:r w:rsidRPr="007761F7">
        <w:rPr>
          <w:rFonts w:ascii="Arial" w:hAnsi="Arial" w:cs="Arial"/>
        </w:rPr>
        <w:lastRenderedPageBreak/>
        <w:t>Proponuje się, żeby opłata opakowaniowa była wnoszona przez producentów kwartalnie na rachunek bankowy właściwego marszałka województwa, który będzie odpowiedzialny za kontrolę poprawności jej naliczania i uiszczania oraz za przekazywanie wpływów z tytułu tej opłaty na rachunek bankowy NFOŚiGW, po wcześniejszym pomniejszeniu o środki mające na celu finansowanie zadań związanych z obsługą tej opłaty przez marszałka województwa.</w:t>
      </w:r>
    </w:p>
    <w:p w14:paraId="4BFDB3DE" w14:textId="77777777" w:rsidR="007761F7" w:rsidRPr="007761F7" w:rsidRDefault="007761F7" w:rsidP="007761F7">
      <w:pPr>
        <w:spacing w:after="0" w:line="300" w:lineRule="auto"/>
        <w:jc w:val="both"/>
        <w:rPr>
          <w:rFonts w:ascii="Arial" w:hAnsi="Arial" w:cs="Arial"/>
        </w:rPr>
      </w:pPr>
      <w:r w:rsidRPr="007761F7">
        <w:rPr>
          <w:rFonts w:ascii="Arial" w:hAnsi="Arial" w:cs="Arial"/>
        </w:rPr>
        <w:t>Planuje się wprowadzenie zwolnienia z opłaty opakowaniowej w przypadku udostępniania na terytorium kraju niewielkiej ilości opakowań w, której konkretne wartości uzależnione będą od wysokości opłaty opakowaniowej dla poszczególnych materiałów opakowaniowych. Przyjęto, że opłata opakowaniowa nie będzie wnoszona, jeśli jej kwartalna wysokość nie przekroczy 150 zł. W celu skorzystania ze zwolnienia z wnoszenia opłaty opakowaniowej nie będzie wymagane składanie przez producenta oświadczenia lub zaświadczenia o pomocy de minimis.</w:t>
      </w:r>
    </w:p>
    <w:p w14:paraId="5EEA2AF5" w14:textId="77777777" w:rsidR="007761F7" w:rsidRPr="007761F7" w:rsidRDefault="007761F7" w:rsidP="007761F7">
      <w:pPr>
        <w:spacing w:after="0" w:line="300" w:lineRule="auto"/>
        <w:jc w:val="both"/>
        <w:rPr>
          <w:rFonts w:ascii="Arial" w:hAnsi="Arial" w:cs="Arial"/>
        </w:rPr>
      </w:pPr>
      <w:r w:rsidRPr="007761F7">
        <w:rPr>
          <w:rFonts w:ascii="Arial" w:hAnsi="Arial" w:cs="Arial"/>
        </w:rPr>
        <w:t>W ramach czynności sprawdzających będzie weryfikowana terminowość wnoszenia opłaty opakowaniowej, a także formalna poprawność naliczenia opłaty opakowaniowej i ustalenia stanu faktycznego w zakresie niezbędnym do stwierdzenia zgodności z danymi zawartymi w BDO oraz wywiązywania się przez producentów z obowiązków wynikających z ROP. Istotną rolą czynności sprawdzających będzie również przeciwdziałanie powstawaniu ewentualnych zaległości w opłacie opakowaniowej, dlatego w tym celu konieczne będą szerokie działania informacyjne i systematyczna weryfikacja w jaki sposób producenci wywiązują się z obowiązków wynikających z ROP. Dochodzenie zaległych należności z tytułu opłaty opakowaniowej będzie się odbywać w trybie egzekucji administracyjnej na zasadach określonych w ustawie z dnia 17 czerwca 1966 r. o postępowaniu egzekucyjnym w administracji (Dz. U. z 2025 r. poz. 132). W przypadku stwierdzenia nieprawidłowości w wysokości opłaty opakowaniowej marszałek województwa będzie wszczynać postępowania administracyjne i wydawać decyzje ustalające opłatę opakowaniową. Marszałek województwa będzie zobowiązany ponadto do przeprowadzania działań kontrolnych u producentów oraz podmiotów objętych systemem ROP – w trybie ustawy z dnia 6 marca 2018 r. - Prawo przedsiębiorców (Dz. U. z 2024 r. poz. 236, z późn. zm) . Tak jak dotychczas do powyższych podmiotów będzie miał zastosowanie również szczególny tryb kontroli w zakresie gospodarki odpadami, prowadzonej przez organy inspekcji ochrony środowiska na podstawie przepisów ustawy z dnia 20 lipca 1991 r. o Inspekcji Ochrony Środowiska (Dz. U. z 2024 r. poz. 425).</w:t>
      </w:r>
    </w:p>
    <w:p w14:paraId="587ED4A4" w14:textId="77777777" w:rsidR="007761F7" w:rsidRPr="007761F7" w:rsidRDefault="007761F7" w:rsidP="007761F7">
      <w:pPr>
        <w:spacing w:after="0" w:line="300" w:lineRule="auto"/>
        <w:jc w:val="both"/>
        <w:rPr>
          <w:rFonts w:ascii="Arial" w:hAnsi="Arial" w:cs="Arial"/>
        </w:rPr>
      </w:pPr>
      <w:r w:rsidRPr="007761F7">
        <w:rPr>
          <w:rFonts w:ascii="Arial" w:hAnsi="Arial" w:cs="Arial"/>
        </w:rPr>
        <w:t>Konieczne będzie utworzenie przez urzędy marszałkowskie odrębnych rachunków bankowych dla opłaty opakowaniowej w celu gromadzenia i przekazywania wpływów do NFOŚiGW. Wstępnie zakłada się, że powierzenie nowych zadań marszałkom województw i obsługującym ich urzędom marszałkowskim, nie będzie wymagało zbudowania odrębnych systemów informatycznych, lecz dostosowania systemów już istniejących do nowych zadań wynikających z projektowanej ustawy. Nowe zadania związane z opłatą opakowaniową muszą być realizowane sprawnie i efektywnie. W tym celu konieczne jest zagwarantowane w systemie ROP urzędom marszałkowskim środków z tytułu opłaty opakowaniowej zapewniającej zwiększenie liczby zatrudnionych pracowników stosownie do potrzeb i zadań wynikających z projektowanej ustawy, przy założeniu wdrażania do nowych zadań również pracowników zajmujących się zadaniami związanymi z opłatą produktową za opakowania.</w:t>
      </w:r>
    </w:p>
    <w:p w14:paraId="14B0770A" w14:textId="77777777" w:rsidR="007761F7" w:rsidRPr="007761F7" w:rsidRDefault="007761F7" w:rsidP="007761F7">
      <w:pPr>
        <w:spacing w:after="0" w:line="300" w:lineRule="auto"/>
        <w:jc w:val="both"/>
        <w:rPr>
          <w:rFonts w:ascii="Arial" w:hAnsi="Arial" w:cs="Arial"/>
        </w:rPr>
      </w:pPr>
      <w:r w:rsidRPr="007761F7">
        <w:rPr>
          <w:rFonts w:ascii="Arial" w:hAnsi="Arial" w:cs="Arial"/>
        </w:rPr>
        <w:t xml:space="preserve">W marcu 2025 r. z inicjatywy Ministra Klimatu i Środowiska został przeprowadzony wstępny przegląd funkcjonowania obecnego systemu opłat produktowych za opakowania, na </w:t>
      </w:r>
      <w:r w:rsidRPr="007761F7">
        <w:rPr>
          <w:rFonts w:ascii="Arial" w:hAnsi="Arial" w:cs="Arial"/>
        </w:rPr>
        <w:lastRenderedPageBreak/>
        <w:t xml:space="preserve">podstawie ankiet przygotowanych przez NFOŚiGW i skierowanych do marszałków województw. Na ich podstawie uzyskano informacje na temat: liczby podmiotów wprowadzających produkty w opakowaniach, istniejących zaległości w opłatach produktowych, wydawanych przez urzędy marszałkowskie decyzji administracyjnych związanych z zaległościami, przeprowadzonych kontroli, działań podejmowanych dla egzekwowania zaległości, a także ponoszonych kosztów obsługi systemu. Wyniki ankiet wskazują, że większość obecnych zadań dotyczy ewidencjonowania danych niezbędnych do ustalenia wysokości opłat produktowych za opakowania, z uwagi na brak możliwości pobierania danych z BDO przy pomocy mechanizmów API. Dlatego dla efektywnego działania urzędów marszałkowskich w zakresie nowych zadań w systemie ROP konieczne jest wprowadzenie zmian w BDO mających na celu zautomatyzowanie procesów i przepływu danych pomiędzy BDO a zewnętrznymi systemami informatycznymi. </w:t>
      </w:r>
    </w:p>
    <w:p w14:paraId="50D37DD8" w14:textId="77777777" w:rsidR="007761F7" w:rsidRPr="007761F7" w:rsidRDefault="007761F7" w:rsidP="007761F7">
      <w:pPr>
        <w:spacing w:after="0" w:line="300" w:lineRule="auto"/>
        <w:jc w:val="both"/>
        <w:rPr>
          <w:rFonts w:ascii="Arial" w:hAnsi="Arial" w:cs="Arial"/>
        </w:rPr>
      </w:pPr>
      <w:r w:rsidRPr="007761F7">
        <w:rPr>
          <w:rFonts w:ascii="Arial" w:hAnsi="Arial" w:cs="Arial"/>
        </w:rPr>
        <w:t>Powierzenie NFOŚiGW zadań PRO w rozumieniu art. 3 ust. 1 pkt 66 PPWR.</w:t>
      </w:r>
    </w:p>
    <w:p w14:paraId="5C8F9EAF" w14:textId="77777777" w:rsidR="007761F7" w:rsidRPr="007761F7" w:rsidRDefault="007761F7" w:rsidP="007761F7">
      <w:pPr>
        <w:spacing w:after="0" w:line="300" w:lineRule="auto"/>
        <w:jc w:val="both"/>
        <w:rPr>
          <w:rFonts w:ascii="Arial" w:hAnsi="Arial" w:cs="Arial"/>
        </w:rPr>
      </w:pPr>
      <w:r w:rsidRPr="007761F7">
        <w:rPr>
          <w:rFonts w:ascii="Arial" w:hAnsi="Arial" w:cs="Arial"/>
        </w:rPr>
        <w:t xml:space="preserve"> Proponuje się, żeby NFOŚiGW, który jest państwową osobą prawną zaliczoną do jednostek sektora finansów publicznych, będącą jednocześnie instytucją ochrony środowiska realizował obowiązki wynikające z ROP, w ramach zamkniętego obiegu finansowego. NFOŚiGW pełni ważną rolę w systemie finansowania ochrony środowiska i gospodarki wodnej w Polsce, zapewniając osiąganie efektów środowiskowych (ekologicznych i rzeczowych) oraz tworzenie warunków do realizacji przedsięwzięć i inwestycji służących transformacji niskoemisyjnej, zrównoważonego rozwoju i poprawy jakości środowiska w Polsce. Dlatego proponuje się, żeby NFOŚiGW jako PRO zarządzał środkami finansowymi z ROP. Środki te obejmą przekazywane co kwartał przez marszałków województw wpływy z tytułu opłat opakowaniowych. NFOŚiGW z tych środków będzie udzielał wsparcia finansowego (w tym rekompensat) gminom i innym uprawnionym podmiotom. Zaletą NFOŚiGW jest jego doświadczenie, forma prawna i organizacyjna, co umożliwia powierzenie odpowiedzialności za realizację nowych zadań na rzecz ochrony środowiska. Powierzenie nowych zadań NFOŚiGW będzie spójne ze Strategią Działania NFOŚiGW na lata 2025-2028 i wskazanym w niej Priorytetem 3 – Gospodarka o obiegu zamkniętym, mającym na celu wspieranie stopniowego odchodzenia od linearnego modelu gospodarki na rzecz wdrożenia gospodarki o obiegu zamkniętym (GOZ), a także kierunkami interwencji (minimalizacja powstawania odpadów, recykling i ponowne wykorzystanie odpadów, zmniejszenie ilości składowania odpadów). NFOŚiGW obsługuje na szeroką skalę programy masowe dotyczące udzielania dofinansowania i posiada kompetencje umożliwiające wdrożenie nowoczesnych instrumentów finansowych, zapewniających zwiększanie poziomu recyklingu odpadów opakowaniowych oraz masy odpadów komunalnych zbieranych selektywnie.</w:t>
      </w:r>
    </w:p>
    <w:p w14:paraId="0CC789E7" w14:textId="77777777" w:rsidR="007761F7" w:rsidRPr="007761F7" w:rsidRDefault="007761F7" w:rsidP="007761F7">
      <w:pPr>
        <w:spacing w:after="0" w:line="300" w:lineRule="auto"/>
        <w:jc w:val="both"/>
        <w:rPr>
          <w:rFonts w:ascii="Arial" w:hAnsi="Arial" w:cs="Arial"/>
        </w:rPr>
      </w:pPr>
      <w:r w:rsidRPr="007761F7">
        <w:rPr>
          <w:rFonts w:ascii="Arial" w:hAnsi="Arial" w:cs="Arial"/>
        </w:rPr>
        <w:t xml:space="preserve">Zakłada się, że NFOŚiGW będzie przekazywać środki pochodzące z opłaty opakowaniowej, na jednakowych zasadach, do: </w:t>
      </w:r>
    </w:p>
    <w:p w14:paraId="5E020CBA" w14:textId="07604F57" w:rsidR="007761F7" w:rsidRPr="007761F7" w:rsidRDefault="007761F7" w:rsidP="007761F7">
      <w:pPr>
        <w:pStyle w:val="Akapitzlist"/>
        <w:numPr>
          <w:ilvl w:val="1"/>
          <w:numId w:val="17"/>
        </w:numPr>
        <w:spacing w:after="0" w:line="300" w:lineRule="auto"/>
        <w:jc w:val="both"/>
        <w:rPr>
          <w:rFonts w:ascii="Arial" w:hAnsi="Arial" w:cs="Arial"/>
        </w:rPr>
      </w:pPr>
      <w:r w:rsidRPr="007761F7">
        <w:rPr>
          <w:rFonts w:ascii="Arial" w:hAnsi="Arial" w:cs="Arial"/>
        </w:rPr>
        <w:t>gmin – w ramach dwóch przepływów finansowych, tj. stałego w wysokości ok. 6 zł  na mieszkańca gminy za utrzymanie systemu odbioru odpadów opakowaniowych od mieszkańców oraz zmiennego za każdy 1 Mg komunalnych odpadów opakowaniowych, których recykling został udokumentowany przez gminę w sprawozdaniu rocznym w BDO,</w:t>
      </w:r>
    </w:p>
    <w:p w14:paraId="0FAF230D" w14:textId="34662FB4" w:rsidR="007761F7" w:rsidRPr="007761F7" w:rsidRDefault="007761F7" w:rsidP="007761F7">
      <w:pPr>
        <w:pStyle w:val="Akapitzlist"/>
        <w:numPr>
          <w:ilvl w:val="1"/>
          <w:numId w:val="17"/>
        </w:numPr>
        <w:spacing w:after="0" w:line="300" w:lineRule="auto"/>
        <w:jc w:val="both"/>
        <w:rPr>
          <w:rFonts w:ascii="Arial" w:hAnsi="Arial" w:cs="Arial"/>
        </w:rPr>
      </w:pPr>
      <w:r w:rsidRPr="007761F7">
        <w:rPr>
          <w:rFonts w:ascii="Arial" w:hAnsi="Arial" w:cs="Arial"/>
        </w:rPr>
        <w:t xml:space="preserve">podmiotów odbierających odpady komunalne z nieruchomości niezamieszkałych – w ramach jednego zmiennego przepływu finansowego za każdy 1 Mg komunalnych </w:t>
      </w:r>
      <w:r w:rsidRPr="007761F7">
        <w:rPr>
          <w:rFonts w:ascii="Arial" w:hAnsi="Arial" w:cs="Arial"/>
        </w:rPr>
        <w:lastRenderedPageBreak/>
        <w:t xml:space="preserve">odpadów opakowaniowych, których recykling został udokumentowany przez te podmioty w sprawozdaniu rocznym w BDO, </w:t>
      </w:r>
    </w:p>
    <w:p w14:paraId="4CE05747" w14:textId="3A33CD6C" w:rsidR="007761F7" w:rsidRPr="007761F7" w:rsidRDefault="007761F7" w:rsidP="007761F7">
      <w:pPr>
        <w:pStyle w:val="Akapitzlist"/>
        <w:numPr>
          <w:ilvl w:val="1"/>
          <w:numId w:val="17"/>
        </w:numPr>
        <w:spacing w:after="0" w:line="300" w:lineRule="auto"/>
        <w:jc w:val="both"/>
        <w:rPr>
          <w:rFonts w:ascii="Arial" w:hAnsi="Arial" w:cs="Arial"/>
        </w:rPr>
      </w:pPr>
      <w:r w:rsidRPr="007761F7">
        <w:rPr>
          <w:rFonts w:ascii="Arial" w:hAnsi="Arial" w:cs="Arial"/>
        </w:rPr>
        <w:t>podmiotów zbierających inne niż komunalne odpady opakowaniowe – w ramach jednego zmiennego przepływu finansowego za każdy 1 Mg odpadów opakowaniowych i przekazanych do recyklingu, który został udokumentowany przez te podmioty w sprawozdaniu rocznym w BDO,</w:t>
      </w:r>
    </w:p>
    <w:p w14:paraId="5581296A" w14:textId="50B5B531" w:rsidR="007761F7" w:rsidRPr="007761F7" w:rsidRDefault="007761F7" w:rsidP="007761F7">
      <w:pPr>
        <w:pStyle w:val="Akapitzlist"/>
        <w:numPr>
          <w:ilvl w:val="1"/>
          <w:numId w:val="17"/>
        </w:numPr>
        <w:spacing w:after="0" w:line="300" w:lineRule="auto"/>
        <w:jc w:val="both"/>
        <w:rPr>
          <w:rFonts w:ascii="Arial" w:hAnsi="Arial" w:cs="Arial"/>
        </w:rPr>
      </w:pPr>
      <w:r w:rsidRPr="007761F7">
        <w:rPr>
          <w:rFonts w:ascii="Arial" w:hAnsi="Arial" w:cs="Arial"/>
        </w:rPr>
        <w:t>podmioty przetwarzające odpady opakowaniowe (sortownie, MBP) – w ramach jednego zmiennego przepływu finansowego za każdy 1 Mg odpadów poddanych sortowaniu i przekazanych do recyklingu, który został udokumentowany przez te podmioty w sprawozdaniu rocznym w BDO,</w:t>
      </w:r>
    </w:p>
    <w:p w14:paraId="571EB38E" w14:textId="03F6F516" w:rsidR="007761F7" w:rsidRPr="007761F7" w:rsidRDefault="007761F7" w:rsidP="007761F7">
      <w:pPr>
        <w:pStyle w:val="Akapitzlist"/>
        <w:numPr>
          <w:ilvl w:val="1"/>
          <w:numId w:val="17"/>
        </w:numPr>
        <w:spacing w:after="0" w:line="300" w:lineRule="auto"/>
        <w:jc w:val="both"/>
        <w:rPr>
          <w:rFonts w:ascii="Arial" w:hAnsi="Arial" w:cs="Arial"/>
        </w:rPr>
      </w:pPr>
      <w:r w:rsidRPr="007761F7">
        <w:rPr>
          <w:rFonts w:ascii="Arial" w:hAnsi="Arial" w:cs="Arial"/>
        </w:rPr>
        <w:t>recyklerów – w ramach jednego zmiennego przepływu finansowego wyłącznie w zakresie odpadów o ujemnej wartości rynkowej za każdy 1 Mg odpadów poddanych recyklingowi, który został udokumentowany przez te podmioty w sprawozdaniu rocznym w BDO.</w:t>
      </w:r>
    </w:p>
    <w:p w14:paraId="4FDB2594" w14:textId="77777777" w:rsidR="007761F7" w:rsidRPr="007761F7" w:rsidRDefault="007761F7" w:rsidP="007761F7">
      <w:pPr>
        <w:spacing w:after="0" w:line="300" w:lineRule="auto"/>
        <w:jc w:val="both"/>
        <w:rPr>
          <w:rFonts w:ascii="Arial" w:hAnsi="Arial" w:cs="Arial"/>
        </w:rPr>
      </w:pPr>
      <w:r w:rsidRPr="007761F7">
        <w:rPr>
          <w:rFonts w:ascii="Arial" w:hAnsi="Arial" w:cs="Arial"/>
        </w:rPr>
        <w:t>NFOŚiGW będzie zawierał umowy cywilnoprawne z ww. podmiotami oraz z beneficjentami projektów rozwojowych, zapewniał wykorzystanie tych środków wyłącznie na działania związane z ROP, a także sporządzał raporty do ministra właściwego do spraw klimatu dotyczące realizacji obowiązków oraz funkcjonowania systemu ROP. Wsparcie dla poszczególnych podmiotów będzie ustalane w oparciu o zagregowane informacje dotyczące efektywnego kosztowo zagospodarowania odpadów. W celu zapewnienia możliwie szybkiej reakcji NFOŚiGW na zmieniające się warunki rynkowe, szczegóły dotyczące mechanizmów podziału środków, w tym wysokość środków dla poszczególnych grup beneficjentów zostaną określone w stosownym rozporządzeniu wydawanym przez ministra właściwego do spraw klimatu. Stawka stałego przepływu finansowego przekazywanego gminom przez NFOŚiGW nie będzie podlegała waloryzacji, natomiast w sytuacji w której z analizy przepływów finansowych w systemie ROP prowadzonych przez NFOŚiGW oraz IOŚ-PIB będzie wynikała potrzeba zmiany jej wysokości podjęte zostaną stosowne działania legislacyjne (zmiana rozporządzenia). NFOŚiGW będzie także przeznaczać część środków na pokrycie kosztów obsługi zadań PRO, finansowanie centralnych działań edukacyjnych, finansowanie kosztów zadań IOŚ-PIB z tego obszaru oraz pokrycie „luki inwestycyjnej” w zakresie zagospodarowania odpadów opakowaniowych, której wysokość zostanie oszacowana w trakcie okresu przejściowego w 2027 r.</w:t>
      </w:r>
    </w:p>
    <w:p w14:paraId="253D7430" w14:textId="77777777" w:rsidR="007761F7" w:rsidRPr="007761F7" w:rsidRDefault="007761F7" w:rsidP="007761F7">
      <w:pPr>
        <w:spacing w:after="0" w:line="300" w:lineRule="auto"/>
        <w:jc w:val="both"/>
        <w:rPr>
          <w:rFonts w:ascii="Arial" w:hAnsi="Arial" w:cs="Arial"/>
        </w:rPr>
      </w:pPr>
      <w:r w:rsidRPr="007761F7">
        <w:rPr>
          <w:rFonts w:ascii="Arial" w:hAnsi="Arial" w:cs="Arial"/>
        </w:rPr>
        <w:t xml:space="preserve">Warunkiem otrzymania wsparcia ze środków pozostających w dyspozycji NFOŚiGW będzie złożenie przez gminę lub inny uprawniony podmiot wniosku do NFOŚiGW wraz z określonym dla każdego rodzaju wsparcia sprawozdaniem przygotowanym na podstawie danych z BDO oraz raportem biegłego rewidenta z wykonania usługi atestacyjnej (odnoszącej się do sprawozdania). Koszty usługi atestacyjnej będą ponoszone bezpośrednio przez gminy i podmioty uprawnione do otrzymania wsparcia (rekompensat) z ich środków własnych. </w:t>
      </w:r>
    </w:p>
    <w:p w14:paraId="419F0B9C" w14:textId="77777777" w:rsidR="007761F7" w:rsidRPr="007761F7" w:rsidRDefault="007761F7" w:rsidP="007761F7">
      <w:pPr>
        <w:spacing w:after="0" w:line="300" w:lineRule="auto"/>
        <w:jc w:val="both"/>
        <w:rPr>
          <w:rFonts w:ascii="Arial" w:hAnsi="Arial" w:cs="Arial"/>
        </w:rPr>
      </w:pPr>
      <w:r w:rsidRPr="007761F7">
        <w:rPr>
          <w:rFonts w:ascii="Arial" w:hAnsi="Arial" w:cs="Arial"/>
        </w:rPr>
        <w:t>W ramach swoich działań NFOŚiGW nie będzie dokonywał wyboru podmiotów gospodarujących odpadami oraz nie stanie się właścicielem odpadów na żadnym z etapów ich zagospodarowania. Podmioty odbierające odpady komunalne działające na podstawie umów z gminami, oraz otrzymujące wynagrodzenie w ramach tych umów, nie będą otrzymywały wsparcia NFOŚiGW w ramach systemu ROP.</w:t>
      </w:r>
    </w:p>
    <w:p w14:paraId="0D8D4607" w14:textId="77777777" w:rsidR="007761F7" w:rsidRPr="007761F7" w:rsidRDefault="007761F7" w:rsidP="007761F7">
      <w:pPr>
        <w:spacing w:after="0" w:line="300" w:lineRule="auto"/>
        <w:jc w:val="both"/>
        <w:rPr>
          <w:rFonts w:ascii="Arial" w:hAnsi="Arial" w:cs="Arial"/>
        </w:rPr>
      </w:pPr>
      <w:r w:rsidRPr="007761F7">
        <w:rPr>
          <w:rFonts w:ascii="Arial" w:hAnsi="Arial" w:cs="Arial"/>
        </w:rPr>
        <w:t>Powierzenie IOŚ-PIB zadań analitycznych i badań w zakresie systemu ROP.</w:t>
      </w:r>
    </w:p>
    <w:p w14:paraId="7FC432A9" w14:textId="77777777" w:rsidR="007761F7" w:rsidRPr="007761F7" w:rsidRDefault="007761F7" w:rsidP="007761F7">
      <w:pPr>
        <w:spacing w:after="0" w:line="300" w:lineRule="auto"/>
        <w:jc w:val="both"/>
        <w:rPr>
          <w:rFonts w:ascii="Arial" w:hAnsi="Arial" w:cs="Arial"/>
        </w:rPr>
      </w:pPr>
      <w:r w:rsidRPr="007761F7">
        <w:rPr>
          <w:rFonts w:ascii="Arial" w:hAnsi="Arial" w:cs="Arial"/>
        </w:rPr>
        <w:lastRenderedPageBreak/>
        <w:t xml:space="preserve">Ponadto IOŚ-PIB będzie opracowywał analizy konieczne do określenia stawek opłaty opakowaniowej w oparciu o wytyczne ekomodulacji, sporządzał sprawozdania do ministra właściwego do spraw klimatu oraz do Komisji Europejskiej, w tym sprawozdanie dotyczące zasobu własnego opartego na odpadach opakowaniowych z tworzyw sztucznych niepoddanych recyklingowi wraz z dokumentami towarzyszącymi, wykonywał badania naukowe, w tym badania morfologii odpadów oraz badania mające na celu określenie potrzeb inwestycyjnych w gospodarce odpadami. </w:t>
      </w:r>
    </w:p>
    <w:p w14:paraId="24D87F79" w14:textId="77777777" w:rsidR="007761F7" w:rsidRPr="007761F7" w:rsidRDefault="007761F7" w:rsidP="007761F7">
      <w:pPr>
        <w:spacing w:after="0" w:line="300" w:lineRule="auto"/>
        <w:jc w:val="both"/>
        <w:rPr>
          <w:rFonts w:ascii="Arial" w:hAnsi="Arial" w:cs="Arial"/>
        </w:rPr>
      </w:pPr>
      <w:r w:rsidRPr="007761F7">
        <w:rPr>
          <w:rFonts w:ascii="Arial" w:hAnsi="Arial" w:cs="Arial"/>
        </w:rPr>
        <w:t>Powierzenie ministrowi właściwemu do spraw klimatu nadzoru nad systemem ROP.</w:t>
      </w:r>
    </w:p>
    <w:p w14:paraId="209F0506" w14:textId="77777777" w:rsidR="007761F7" w:rsidRPr="007761F7" w:rsidRDefault="007761F7" w:rsidP="007761F7">
      <w:pPr>
        <w:spacing w:after="0" w:line="300" w:lineRule="auto"/>
        <w:jc w:val="both"/>
        <w:rPr>
          <w:rFonts w:ascii="Arial" w:hAnsi="Arial" w:cs="Arial"/>
        </w:rPr>
      </w:pPr>
      <w:r w:rsidRPr="007761F7">
        <w:rPr>
          <w:rFonts w:ascii="Arial" w:hAnsi="Arial" w:cs="Arial"/>
        </w:rPr>
        <w:t xml:space="preserve">Proponuje się, żeby minister właściwy do spraw klimatu wyznaczał kierunki rozwoju w celu stałego doskonalenia systemu ROP, uzgadniał zasady działania PRO oraz wydawał decyzje dla podmiotów samodzielnie realizujących obowiązki ROP, nadzorował działania NFOŚiGW oraz IOŚ-PIB, powoływał Radę Dialogu ROP i organizował jej spotkania, a także wyznaczał standardy edukacji ekologicznej wspólnie z Radą Dialogu ROP. </w:t>
      </w:r>
    </w:p>
    <w:p w14:paraId="0F907646" w14:textId="77777777" w:rsidR="007761F7" w:rsidRPr="007761F7" w:rsidRDefault="007761F7" w:rsidP="007761F7">
      <w:pPr>
        <w:spacing w:after="0" w:line="300" w:lineRule="auto"/>
        <w:jc w:val="both"/>
        <w:rPr>
          <w:rFonts w:ascii="Arial" w:hAnsi="Arial" w:cs="Arial"/>
        </w:rPr>
      </w:pPr>
      <w:r w:rsidRPr="007761F7">
        <w:rPr>
          <w:rFonts w:ascii="Arial" w:hAnsi="Arial" w:cs="Arial"/>
        </w:rPr>
        <w:t>Zniesienie od 2028 r. obowiązku osiągania przez producentów wnoszących opłatę opakowaniową (obecnie wprowadzających produkty w opakowaniach) określonych poziomów recyklingu. W związku z tym po zakończeniu okresu przejściowego, czyli od 1 stycznia 2028 r., dokumenty potwierdzające recykling (DPR) oraz dokumenty potwierdzające odpowiednio eksport odpadów opakowaniowych albo wewnątrzwspólnotową dostawę odpadów opakowaniowych w celu poddania ich recyklingowi (EDPR) w ich dotychczasowej formie zostaną zastąpione przez nowe instrumenty sprawozdawcze. Format dokumentów pozostanie zbliżony do obecnego, jednak podmioty gospodarujące odpadami (zbierający i przetwarzający) będą wnioskowały o ich wystawienie we własnym imieniu.</w:t>
      </w:r>
    </w:p>
    <w:p w14:paraId="34160CA9" w14:textId="77777777" w:rsidR="007761F7" w:rsidRPr="007761F7" w:rsidRDefault="007761F7" w:rsidP="007761F7">
      <w:pPr>
        <w:spacing w:after="0" w:line="300" w:lineRule="auto"/>
        <w:jc w:val="both"/>
        <w:rPr>
          <w:rFonts w:ascii="Arial" w:hAnsi="Arial" w:cs="Arial"/>
        </w:rPr>
      </w:pPr>
      <w:r w:rsidRPr="007761F7">
        <w:rPr>
          <w:rFonts w:ascii="Arial" w:hAnsi="Arial" w:cs="Arial"/>
        </w:rPr>
        <w:t>Zniesienie od 2028 r. opłaty produktowej za opakowania.</w:t>
      </w:r>
    </w:p>
    <w:p w14:paraId="4CF06FD5" w14:textId="77777777" w:rsidR="007761F7" w:rsidRPr="007761F7" w:rsidRDefault="007761F7" w:rsidP="007761F7">
      <w:pPr>
        <w:spacing w:after="0" w:line="300" w:lineRule="auto"/>
        <w:jc w:val="both"/>
        <w:rPr>
          <w:rFonts w:ascii="Arial" w:hAnsi="Arial" w:cs="Arial"/>
        </w:rPr>
      </w:pPr>
      <w:r w:rsidRPr="007761F7">
        <w:rPr>
          <w:rFonts w:ascii="Arial" w:hAnsi="Arial" w:cs="Arial"/>
        </w:rPr>
        <w:t xml:space="preserve">Proponuje się, żeby od 2028 r. nastąpiła likwidacja opłaty produktowej, o której mowa w ustawie z dnia 13 czerwca 2013 r. o gospodarce opakowaniami i odpadami opakowaniowym, w związku z wprowadzeniem opłaty opakowaniowej oraz zniesieniem obowiązku osiągania poziomów recyklingu przez producentów wnoszących opłatę opakowaniową. Powyższe będzie wiązało się z koniecznością ustanowienia dla marszałków województw możliwości sfinansowania zadań realizowanych na mocy przepisów przejściowych dotyczących dochodzenia zaległych należności z tytułu opłat produktowych za okres do 2027 r. również z opłaty opakowaniowej. </w:t>
      </w:r>
    </w:p>
    <w:p w14:paraId="3EFF2050" w14:textId="77777777" w:rsidR="007761F7" w:rsidRPr="007761F7" w:rsidRDefault="007761F7" w:rsidP="007761F7">
      <w:pPr>
        <w:spacing w:after="0" w:line="300" w:lineRule="auto"/>
        <w:jc w:val="both"/>
        <w:rPr>
          <w:rFonts w:ascii="Arial" w:hAnsi="Arial" w:cs="Arial"/>
        </w:rPr>
      </w:pPr>
      <w:r w:rsidRPr="007761F7">
        <w:rPr>
          <w:rFonts w:ascii="Arial" w:hAnsi="Arial" w:cs="Arial"/>
        </w:rPr>
        <w:t>Dostosowanie bazy BDO do wymagań ROP.</w:t>
      </w:r>
    </w:p>
    <w:p w14:paraId="5C87600C" w14:textId="77777777" w:rsidR="007761F7" w:rsidRPr="007761F7" w:rsidRDefault="007761F7" w:rsidP="007761F7">
      <w:pPr>
        <w:spacing w:after="0" w:line="300" w:lineRule="auto"/>
        <w:jc w:val="both"/>
        <w:rPr>
          <w:rFonts w:ascii="Arial" w:hAnsi="Arial" w:cs="Arial"/>
        </w:rPr>
      </w:pPr>
      <w:r w:rsidRPr="007761F7">
        <w:rPr>
          <w:rFonts w:ascii="Arial" w:hAnsi="Arial" w:cs="Arial"/>
        </w:rPr>
        <w:t xml:space="preserve">Konieczne będzie dostosowanie BDO w zakresie utworzenia w niej nowych wzorów kart ewidencji opakowań oraz sprawozdań dostosowanych do systemu ROP, zgodnie z wymaganiami art. 44 PPWR. Optymalnym rozwiązaniem będzie zapewnienie, aby na podstawie ewidencji opakowań producenci mieli możliwość automatycznego generowania kwartalnych sprawozdań ROP oraz informacji o opłacie opakowaniowej. Ponadto konieczne będzie zapewnienie w BDO w ramach standardu API dwukierunkowego przepływu danych do innych systemów informatycznych, w tym urzędów marszałkowskich i NFOŚiGW – w określonych formatach i strukturze. Konieczne będą również zmiany w tzw. module potwierdzeń dla podmiotów gospodarujących odpadami opakowaniowymi. </w:t>
      </w:r>
    </w:p>
    <w:p w14:paraId="507C9509" w14:textId="77777777" w:rsidR="007761F7" w:rsidRPr="007761F7" w:rsidRDefault="007761F7" w:rsidP="007761F7">
      <w:pPr>
        <w:spacing w:after="0" w:line="300" w:lineRule="auto"/>
        <w:jc w:val="both"/>
        <w:rPr>
          <w:rFonts w:ascii="Arial" w:hAnsi="Arial" w:cs="Arial"/>
        </w:rPr>
      </w:pPr>
      <w:r w:rsidRPr="007761F7">
        <w:rPr>
          <w:rFonts w:ascii="Arial" w:hAnsi="Arial" w:cs="Arial"/>
        </w:rPr>
        <w:t>System nadzoru i kontroli.</w:t>
      </w:r>
    </w:p>
    <w:p w14:paraId="566E4A97" w14:textId="77777777" w:rsidR="007761F7" w:rsidRPr="007761F7" w:rsidRDefault="007761F7" w:rsidP="007761F7">
      <w:pPr>
        <w:spacing w:after="0" w:line="300" w:lineRule="auto"/>
        <w:jc w:val="both"/>
        <w:rPr>
          <w:rFonts w:ascii="Arial" w:hAnsi="Arial" w:cs="Arial"/>
        </w:rPr>
      </w:pPr>
      <w:r w:rsidRPr="007761F7">
        <w:rPr>
          <w:rFonts w:ascii="Arial" w:hAnsi="Arial" w:cs="Arial"/>
        </w:rPr>
        <w:t xml:space="preserve">Marszałkowie województw będą organami odpowiedzialnymi za kontrolę poprawności naliczania i uiszczania opłaty opakowaniowej, a także kontrolę recyklerów, eksporterów </w:t>
      </w:r>
      <w:r w:rsidRPr="007761F7">
        <w:rPr>
          <w:rFonts w:ascii="Arial" w:hAnsi="Arial" w:cs="Arial"/>
        </w:rPr>
        <w:lastRenderedPageBreak/>
        <w:t xml:space="preserve">odpadów opakowaniowych oraz wewnątrzwspólnotowych dostawców odpadów opakowaniowych. </w:t>
      </w:r>
    </w:p>
    <w:p w14:paraId="60307844" w14:textId="77777777" w:rsidR="007761F7" w:rsidRPr="007761F7" w:rsidRDefault="007761F7" w:rsidP="007761F7">
      <w:pPr>
        <w:spacing w:after="0" w:line="300" w:lineRule="auto"/>
        <w:jc w:val="both"/>
        <w:rPr>
          <w:rFonts w:ascii="Arial" w:hAnsi="Arial" w:cs="Arial"/>
        </w:rPr>
      </w:pPr>
      <w:r w:rsidRPr="007761F7">
        <w:rPr>
          <w:rFonts w:ascii="Arial" w:hAnsi="Arial" w:cs="Arial"/>
        </w:rPr>
        <w:t>Organem nadzoru rynku w sprawach objętych zakresem PPWR będzie Inspekcja Handlowa.</w:t>
      </w:r>
    </w:p>
    <w:p w14:paraId="3E82BABF" w14:textId="77777777" w:rsidR="007761F7" w:rsidRPr="007761F7" w:rsidRDefault="007761F7" w:rsidP="007761F7">
      <w:pPr>
        <w:spacing w:after="0" w:line="300" w:lineRule="auto"/>
        <w:jc w:val="both"/>
        <w:rPr>
          <w:rFonts w:ascii="Arial" w:hAnsi="Arial" w:cs="Arial"/>
        </w:rPr>
      </w:pPr>
      <w:r w:rsidRPr="007761F7">
        <w:rPr>
          <w:rFonts w:ascii="Arial" w:hAnsi="Arial" w:cs="Arial"/>
        </w:rPr>
        <w:t>Organem nadzoru w sprawach dotyczących m.in.: gospodarowania odpadami będzie Inspekcja Ochrony Środowiska.</w:t>
      </w:r>
    </w:p>
    <w:p w14:paraId="3842F665" w14:textId="77777777" w:rsidR="007761F7" w:rsidRPr="007761F7" w:rsidRDefault="007761F7" w:rsidP="007761F7">
      <w:pPr>
        <w:spacing w:after="0" w:line="300" w:lineRule="auto"/>
        <w:jc w:val="both"/>
        <w:rPr>
          <w:rFonts w:ascii="Arial" w:hAnsi="Arial" w:cs="Arial"/>
        </w:rPr>
      </w:pPr>
      <w:r w:rsidRPr="007761F7">
        <w:rPr>
          <w:rFonts w:ascii="Arial" w:hAnsi="Arial" w:cs="Arial"/>
        </w:rPr>
        <w:t xml:space="preserve">Minister właściwy do spraw klimatu będzie nadzorował przestrzeganie warunków prowadzenia działalności zgodnie z wydanym zezwoleniem dla PRO, producentów samodzielnie realizujących obowiązki w zakresie ROP oraz podmiotów reprezentujących, a także prowadził nadzór nad NFOŚiGW oraz IOŚ-PIB. </w:t>
      </w:r>
    </w:p>
    <w:p w14:paraId="439131CF" w14:textId="77777777" w:rsidR="007761F7" w:rsidRPr="007761F7" w:rsidRDefault="007761F7" w:rsidP="007761F7">
      <w:pPr>
        <w:spacing w:after="0" w:line="300" w:lineRule="auto"/>
        <w:jc w:val="both"/>
        <w:rPr>
          <w:rFonts w:ascii="Arial" w:hAnsi="Arial" w:cs="Arial"/>
        </w:rPr>
      </w:pPr>
      <w:r w:rsidRPr="007761F7">
        <w:rPr>
          <w:rFonts w:ascii="Arial" w:hAnsi="Arial" w:cs="Arial"/>
        </w:rPr>
        <w:t xml:space="preserve">W nowym modelu ROP za nieprzestrzeganie przepisów ustawy przewidziano kary grzywny oraz administracyjne kary pieniężne, które w ramach posiadanych kompetencji wymierzane będą przez właściwy organ Inspekcji Handlowej oraz właściwego wojewódzkiego inspektora środowiska. </w:t>
      </w:r>
    </w:p>
    <w:p w14:paraId="3430AB71" w14:textId="77777777" w:rsidR="007761F7" w:rsidRPr="007761F7" w:rsidRDefault="007761F7" w:rsidP="007761F7">
      <w:pPr>
        <w:spacing w:after="0" w:line="300" w:lineRule="auto"/>
        <w:jc w:val="both"/>
        <w:rPr>
          <w:rFonts w:ascii="Arial" w:hAnsi="Arial" w:cs="Arial"/>
        </w:rPr>
      </w:pPr>
      <w:r w:rsidRPr="007761F7">
        <w:rPr>
          <w:rFonts w:ascii="Arial" w:hAnsi="Arial" w:cs="Arial"/>
        </w:rPr>
        <w:t>Pozostałe założenia.</w:t>
      </w:r>
    </w:p>
    <w:p w14:paraId="4A2DCE57" w14:textId="77777777" w:rsidR="007761F7" w:rsidRPr="007761F7" w:rsidRDefault="007761F7" w:rsidP="007761F7">
      <w:pPr>
        <w:spacing w:after="0" w:line="300" w:lineRule="auto"/>
        <w:jc w:val="both"/>
        <w:rPr>
          <w:rFonts w:ascii="Arial" w:hAnsi="Arial" w:cs="Arial"/>
        </w:rPr>
      </w:pPr>
      <w:r w:rsidRPr="007761F7">
        <w:rPr>
          <w:rFonts w:ascii="Arial" w:hAnsi="Arial" w:cs="Arial"/>
        </w:rPr>
        <w:t>Wprowadzenie 2-letniego okresu przejściowego, po którym nastąpi pełne wdrożenie systemu ROP dla opakowań:</w:t>
      </w:r>
    </w:p>
    <w:p w14:paraId="5A51B399" w14:textId="2193BA37" w:rsidR="007761F7" w:rsidRPr="005F0CEF" w:rsidRDefault="007761F7" w:rsidP="005F0CEF">
      <w:pPr>
        <w:pStyle w:val="Akapitzlist"/>
        <w:numPr>
          <w:ilvl w:val="1"/>
          <w:numId w:val="21"/>
        </w:numPr>
        <w:spacing w:after="0" w:line="300" w:lineRule="auto"/>
        <w:ind w:left="567" w:hanging="283"/>
        <w:jc w:val="both"/>
        <w:rPr>
          <w:rFonts w:ascii="Arial" w:hAnsi="Arial" w:cs="Arial"/>
        </w:rPr>
      </w:pPr>
      <w:r w:rsidRPr="005F0CEF">
        <w:rPr>
          <w:rFonts w:ascii="Arial" w:hAnsi="Arial" w:cs="Arial"/>
        </w:rPr>
        <w:t>funkcjonowanie nowego systemu w roku 2026 będzie oparte na dotychczasowych zasadach dotyczących ROP określonych w ustawie z dnia 13 czerwca 2013 r. o gospodarce opakowaniami i odpadami opakowaniowymi oraz zostanie uzupełnione o następujące elementy:</w:t>
      </w:r>
    </w:p>
    <w:p w14:paraId="0B63E62D" w14:textId="1181A5EC" w:rsidR="007761F7" w:rsidRPr="007761F7" w:rsidRDefault="007761F7" w:rsidP="005F0CEF">
      <w:pPr>
        <w:pStyle w:val="Akapitzlist"/>
        <w:numPr>
          <w:ilvl w:val="0"/>
          <w:numId w:val="18"/>
        </w:numPr>
        <w:spacing w:after="0" w:line="300" w:lineRule="auto"/>
        <w:ind w:left="851" w:hanging="284"/>
        <w:jc w:val="both"/>
        <w:rPr>
          <w:rFonts w:ascii="Arial" w:hAnsi="Arial" w:cs="Arial"/>
        </w:rPr>
      </w:pPr>
      <w:r w:rsidRPr="007761F7">
        <w:rPr>
          <w:rFonts w:ascii="Arial" w:hAnsi="Arial" w:cs="Arial"/>
        </w:rPr>
        <w:t xml:space="preserve">wprowadzenie obowiązkowej opłaty opakowaniowej wnoszonej w II i IV kwartale 2026 r. przez wprowadzających produkty w opakowaniach za każdy kilogram opakowań wprowadzanych na rynek, </w:t>
      </w:r>
    </w:p>
    <w:p w14:paraId="12820DEA" w14:textId="31FC9D24" w:rsidR="007761F7" w:rsidRPr="007761F7" w:rsidRDefault="007761F7" w:rsidP="005F0CEF">
      <w:pPr>
        <w:pStyle w:val="Akapitzlist"/>
        <w:numPr>
          <w:ilvl w:val="0"/>
          <w:numId w:val="18"/>
        </w:numPr>
        <w:spacing w:after="0" w:line="300" w:lineRule="auto"/>
        <w:ind w:left="851" w:hanging="284"/>
        <w:jc w:val="both"/>
        <w:rPr>
          <w:rFonts w:ascii="Arial" w:hAnsi="Arial" w:cs="Arial"/>
        </w:rPr>
      </w:pPr>
      <w:r w:rsidRPr="007761F7">
        <w:rPr>
          <w:rFonts w:ascii="Arial" w:hAnsi="Arial" w:cs="Arial"/>
        </w:rPr>
        <w:t>zapewnienie przez NFOŚiGW rekompensat dla gmin składających się ze stałego przepływu finansowego za utrzymanie systemu odbioru odpadów opakowaniowych od mieszkańców,</w:t>
      </w:r>
    </w:p>
    <w:p w14:paraId="225C7B03" w14:textId="06E7EB19" w:rsidR="007761F7" w:rsidRPr="005F0CEF" w:rsidRDefault="007761F7" w:rsidP="005F0CEF">
      <w:pPr>
        <w:pStyle w:val="Akapitzlist"/>
        <w:numPr>
          <w:ilvl w:val="1"/>
          <w:numId w:val="23"/>
        </w:numPr>
        <w:spacing w:after="0" w:line="300" w:lineRule="auto"/>
        <w:ind w:left="567" w:hanging="283"/>
        <w:jc w:val="both"/>
        <w:rPr>
          <w:rFonts w:ascii="Arial" w:hAnsi="Arial" w:cs="Arial"/>
        </w:rPr>
      </w:pPr>
      <w:r w:rsidRPr="005F0CEF">
        <w:rPr>
          <w:rFonts w:ascii="Arial" w:hAnsi="Arial" w:cs="Arial"/>
        </w:rPr>
        <w:t>funkcjonowanie systemu w roku 2027 będzie oparte na dotychczasowych zasadach dotyczących ROP określonych w ustawie z dnia 13 czerwca 2013 r. o gospodarce opakowaniami i odpadami opakowaniowymi oraz zostanie uzupełnione o następujące elementy:</w:t>
      </w:r>
    </w:p>
    <w:p w14:paraId="50E7F3FC" w14:textId="308AC6F7" w:rsidR="007761F7" w:rsidRPr="005F0CEF" w:rsidRDefault="007761F7" w:rsidP="005F0CEF">
      <w:pPr>
        <w:pStyle w:val="Akapitzlist"/>
        <w:numPr>
          <w:ilvl w:val="0"/>
          <w:numId w:val="19"/>
        </w:numPr>
        <w:spacing w:after="0" w:line="300" w:lineRule="auto"/>
        <w:ind w:left="851" w:hanging="284"/>
        <w:jc w:val="both"/>
        <w:rPr>
          <w:rFonts w:ascii="Arial" w:hAnsi="Arial" w:cs="Arial"/>
        </w:rPr>
      </w:pPr>
      <w:r w:rsidRPr="005F0CEF">
        <w:rPr>
          <w:rFonts w:ascii="Arial" w:hAnsi="Arial" w:cs="Arial"/>
        </w:rPr>
        <w:t>wprowadzenie obowiązkowej opłaty opakowaniowej wnoszonej w II i IV kwartale 2027 r. przez wprowadzających produkty w opakowaniach za każdy kilogram opakowań wprowadzanych na rynek,</w:t>
      </w:r>
    </w:p>
    <w:p w14:paraId="6D87F8D7" w14:textId="2D375CF7" w:rsidR="007761F7" w:rsidRPr="005F0CEF" w:rsidRDefault="007761F7" w:rsidP="005F0CEF">
      <w:pPr>
        <w:pStyle w:val="Akapitzlist"/>
        <w:numPr>
          <w:ilvl w:val="0"/>
          <w:numId w:val="19"/>
        </w:numPr>
        <w:spacing w:after="0" w:line="300" w:lineRule="auto"/>
        <w:ind w:left="851" w:hanging="284"/>
        <w:jc w:val="both"/>
        <w:rPr>
          <w:rFonts w:ascii="Arial" w:hAnsi="Arial" w:cs="Arial"/>
        </w:rPr>
      </w:pPr>
      <w:r w:rsidRPr="005F0CEF">
        <w:rPr>
          <w:rFonts w:ascii="Arial" w:hAnsi="Arial" w:cs="Arial"/>
        </w:rPr>
        <w:t>zapewnienie przez NFOŚiGW rekompensat dla gmin składających się ze stałego przepływu finansowego za utrzymanie systemu odbioru odpadów opakowaniowych od mieszkańców oraz zmiennego przepływu finansowego za każdy 1 Mg komunalnych odpadów opakowaniowych zbieranych selektywnie (wyłącznie koszty odbioru) udokumentowanego przez gminę w sprawozdaniu rocznym,</w:t>
      </w:r>
    </w:p>
    <w:p w14:paraId="14623855" w14:textId="77777777" w:rsidR="007761F7" w:rsidRPr="007761F7" w:rsidRDefault="007761F7" w:rsidP="007761F7">
      <w:pPr>
        <w:spacing w:after="0" w:line="300" w:lineRule="auto"/>
        <w:jc w:val="both"/>
        <w:rPr>
          <w:rFonts w:ascii="Arial" w:hAnsi="Arial" w:cs="Arial"/>
        </w:rPr>
      </w:pPr>
      <w:r w:rsidRPr="007761F7">
        <w:rPr>
          <w:rFonts w:ascii="Arial" w:hAnsi="Arial" w:cs="Arial"/>
        </w:rPr>
        <w:t xml:space="preserve">W okresie przejściowym wprowadzający, jak dotychczas, będą obowiązani do udokumentowania osiągnięcia wymaganych poziomów recyklingu przez pozyskanie dokumentów DPR i EDPR. W praktyce obowiązek ten będzie dalej realizowany za pośrednictwem organizacji odzysku opakowań. Równolegle będą obowiązani do uiszczenia cząstkowej opłaty opakowaniowej służącej pokryciu kosztów objętych ROP, w stosunku do </w:t>
      </w:r>
      <w:r w:rsidRPr="007761F7">
        <w:rPr>
          <w:rFonts w:ascii="Arial" w:hAnsi="Arial" w:cs="Arial"/>
        </w:rPr>
        <w:lastRenderedPageBreak/>
        <w:t>których istniejący mechanizm nie zapewnia rzeczywistego finansowania na adekwatnym poziomie.</w:t>
      </w:r>
    </w:p>
    <w:p w14:paraId="1717E1D5" w14:textId="77777777" w:rsidR="007761F7" w:rsidRPr="007761F7" w:rsidRDefault="007761F7" w:rsidP="007761F7">
      <w:pPr>
        <w:spacing w:after="0" w:line="300" w:lineRule="auto"/>
        <w:jc w:val="both"/>
        <w:rPr>
          <w:rFonts w:ascii="Arial" w:hAnsi="Arial" w:cs="Arial"/>
        </w:rPr>
      </w:pPr>
      <w:r w:rsidRPr="007761F7">
        <w:rPr>
          <w:rFonts w:ascii="Arial" w:hAnsi="Arial" w:cs="Arial"/>
        </w:rPr>
        <w:t>Zakłada się, że na skutek wprowadzenia nowego modelu systemu ROP, organizacje odzysku opakowań (spółki akcyjne) po okresie przejściowym, tj. w 2028 r., zakończą swoją działalność w dotychczasowej formie.</w:t>
      </w:r>
    </w:p>
    <w:p w14:paraId="0A3F70C3" w14:textId="77777777" w:rsidR="007761F7" w:rsidRPr="007761F7" w:rsidRDefault="007761F7" w:rsidP="007761F7">
      <w:pPr>
        <w:spacing w:after="0" w:line="300" w:lineRule="auto"/>
        <w:jc w:val="both"/>
        <w:rPr>
          <w:rFonts w:ascii="Arial" w:hAnsi="Arial" w:cs="Arial"/>
        </w:rPr>
      </w:pPr>
      <w:r w:rsidRPr="007761F7">
        <w:rPr>
          <w:rFonts w:ascii="Arial" w:hAnsi="Arial" w:cs="Arial"/>
        </w:rPr>
        <w:t xml:space="preserve">Zakłada się, że podobnie jak dotychczas producenci (obecnie wprowadzający produkty w opakowaniach), po uzyskaniu stosownego zezwolenia wydanego przez ministra właściwego do spraw klimatu, będą mogli samodzielnie realizować obowiązki wynikające z ROP. </w:t>
      </w:r>
    </w:p>
    <w:p w14:paraId="3ED5AE26" w14:textId="77777777" w:rsidR="007761F7" w:rsidRPr="007761F7" w:rsidRDefault="007761F7" w:rsidP="007761F7">
      <w:pPr>
        <w:spacing w:after="0" w:line="300" w:lineRule="auto"/>
        <w:jc w:val="both"/>
        <w:rPr>
          <w:rFonts w:ascii="Arial" w:hAnsi="Arial" w:cs="Arial"/>
        </w:rPr>
      </w:pPr>
      <w:r w:rsidRPr="007761F7">
        <w:rPr>
          <w:rFonts w:ascii="Arial" w:hAnsi="Arial" w:cs="Arial"/>
        </w:rPr>
        <w:t>Zakłada się zachowanie funkcjonującego systemu gospodarowania odpadami komunalnymi oraz obowiązków gmin w tym zakresie (m.in. odpowiedzialność za organizację systemu gospodarowania odpadami komunalnymi, organizacja zamówień na odbiór i zagospodarowanie odpadów, współpraca z przedsiębiorstwami gospodarującymi odpadami). Przy czym planuje się dodatkowo wprowadzenie obowiązku informowania mieszkańców o kosztach gospodarowania odpadami komunalnymi oraz partycypacji w tych kosztach producentów.</w:t>
      </w:r>
    </w:p>
    <w:p w14:paraId="2686C252" w14:textId="77777777" w:rsidR="007761F7" w:rsidRPr="007761F7" w:rsidRDefault="007761F7" w:rsidP="007761F7">
      <w:pPr>
        <w:spacing w:after="0" w:line="300" w:lineRule="auto"/>
        <w:jc w:val="both"/>
        <w:rPr>
          <w:rFonts w:ascii="Arial" w:hAnsi="Arial" w:cs="Arial"/>
        </w:rPr>
      </w:pPr>
      <w:r w:rsidRPr="007761F7">
        <w:rPr>
          <w:rFonts w:ascii="Arial" w:hAnsi="Arial" w:cs="Arial"/>
        </w:rPr>
        <w:t xml:space="preserve">W celu ułatwienia przedsiębiorcom realizowania obowiązków wynikających z ROP dla produktów wskazanych w załącznikach 6-10 do ustawy z dnia 11 maja 2001 r. o obowiązkach przedsiębiorców w zakresie gospodarowania niektórymi produktami oraz o opłacie produktowej (Dz. U. z 2024 r. poz. 433, z późn. zm.) planuje się przeniesienie regulacji w zakresie ROP do projektowanej ustawy. Ponadto z uwagi na zgłaszane zastrzeżenia dotyczące obowiązku wnoszenia pobranej przez przedsiębiorców prowadzących jednostki handlu detalicznego, hurtowego i gastronomiczne opłaty za pojemniki na żywność i kubki na napoje , o której mowa w art. 3b ww. ustawy, planuje się zmianę tego obowiązku z rocznego na kwartalny, analogicznie jak w przypadku pobranej opłaty recyklingowej za torby na zakupy z tworzyw sztucznych (torebki foliowe). </w:t>
      </w:r>
    </w:p>
    <w:p w14:paraId="1AD98774" w14:textId="77777777" w:rsidR="007761F7" w:rsidRPr="007761F7" w:rsidRDefault="007761F7" w:rsidP="007761F7">
      <w:pPr>
        <w:spacing w:after="0" w:line="300" w:lineRule="auto"/>
        <w:jc w:val="both"/>
        <w:rPr>
          <w:rFonts w:ascii="Arial" w:hAnsi="Arial" w:cs="Arial"/>
        </w:rPr>
      </w:pPr>
      <w:r w:rsidRPr="007761F7">
        <w:rPr>
          <w:rFonts w:ascii="Arial" w:hAnsi="Arial" w:cs="Arial"/>
        </w:rPr>
        <w:t xml:space="preserve">Polska w związku z wejściem w życie PPWR zobowiązana jest do zapewnienia stosowania nowych regulacji Unii Europejskiej (zwanej dalej: „UE”) dotyczących opakowań i odpadów opakowaniowych. Rekomendowanym rozwiązaniem, w postaci narzędzia interwencji, jest przyjęcie projektowanej ustawy o opakowaniach i odpadach opakowaniowych, która zastąpi ustawę z dnia 13 czerwca 2013 r. o gospodarce opakowaniami i odpadami opakowaniowymi. </w:t>
      </w:r>
    </w:p>
    <w:p w14:paraId="262E2171" w14:textId="77777777" w:rsidR="007761F7" w:rsidRPr="007761F7" w:rsidRDefault="007761F7" w:rsidP="007761F7">
      <w:pPr>
        <w:spacing w:after="0" w:line="300" w:lineRule="auto"/>
        <w:jc w:val="both"/>
        <w:rPr>
          <w:rFonts w:ascii="Arial" w:hAnsi="Arial" w:cs="Arial"/>
        </w:rPr>
      </w:pPr>
      <w:r w:rsidRPr="007761F7">
        <w:rPr>
          <w:rFonts w:ascii="Arial" w:hAnsi="Arial" w:cs="Arial"/>
        </w:rPr>
        <w:t>W celu dostosowania do wymagań PPWR rekomenduje się utworzenie w Polsce nowego modelu systemu ROP dla opakowań oraz ustanowienia regulacji koniecznych do wdrożenia PPWR w szczególności w zakresie:</w:t>
      </w:r>
    </w:p>
    <w:p w14:paraId="52C5BDA6" w14:textId="4A657177" w:rsidR="007761F7" w:rsidRPr="005F0CEF" w:rsidRDefault="007761F7" w:rsidP="005F0CEF">
      <w:pPr>
        <w:pStyle w:val="Akapitzlist"/>
        <w:numPr>
          <w:ilvl w:val="1"/>
          <w:numId w:val="25"/>
        </w:numPr>
        <w:spacing w:after="0" w:line="300" w:lineRule="auto"/>
        <w:jc w:val="both"/>
        <w:rPr>
          <w:rFonts w:ascii="Arial" w:hAnsi="Arial" w:cs="Arial"/>
        </w:rPr>
      </w:pPr>
      <w:r w:rsidRPr="005F0CEF">
        <w:rPr>
          <w:rFonts w:ascii="Arial" w:hAnsi="Arial" w:cs="Arial"/>
        </w:rPr>
        <w:t>wymogów dotyczących substancji obecnych w opakowaniach,</w:t>
      </w:r>
    </w:p>
    <w:p w14:paraId="07095BBB" w14:textId="454E7F3E" w:rsidR="007761F7" w:rsidRPr="005F0CEF" w:rsidRDefault="007761F7" w:rsidP="005F0CEF">
      <w:pPr>
        <w:pStyle w:val="Akapitzlist"/>
        <w:numPr>
          <w:ilvl w:val="1"/>
          <w:numId w:val="25"/>
        </w:numPr>
        <w:spacing w:after="0" w:line="300" w:lineRule="auto"/>
        <w:jc w:val="both"/>
        <w:rPr>
          <w:rFonts w:ascii="Arial" w:hAnsi="Arial" w:cs="Arial"/>
        </w:rPr>
      </w:pPr>
      <w:r w:rsidRPr="005F0CEF">
        <w:rPr>
          <w:rFonts w:ascii="Arial" w:hAnsi="Arial" w:cs="Arial"/>
        </w:rPr>
        <w:t>zdatności opakowań do recyklingu,</w:t>
      </w:r>
    </w:p>
    <w:p w14:paraId="0D10C0EC" w14:textId="6531F0BF" w:rsidR="007761F7" w:rsidRPr="005F0CEF" w:rsidRDefault="007761F7" w:rsidP="005F0CEF">
      <w:pPr>
        <w:pStyle w:val="Akapitzlist"/>
        <w:numPr>
          <w:ilvl w:val="1"/>
          <w:numId w:val="25"/>
        </w:numPr>
        <w:spacing w:after="0" w:line="300" w:lineRule="auto"/>
        <w:jc w:val="both"/>
        <w:rPr>
          <w:rFonts w:ascii="Arial" w:hAnsi="Arial" w:cs="Arial"/>
        </w:rPr>
      </w:pPr>
      <w:r w:rsidRPr="005F0CEF">
        <w:rPr>
          <w:rFonts w:ascii="Arial" w:hAnsi="Arial" w:cs="Arial"/>
        </w:rPr>
        <w:t>minimalnej zawartości materiałów pochodzących z recyklingu w opakowaniach z tworzyw sztucznych,</w:t>
      </w:r>
    </w:p>
    <w:p w14:paraId="56C5C2BF" w14:textId="52BC4F46" w:rsidR="007761F7" w:rsidRPr="005F0CEF" w:rsidRDefault="007761F7" w:rsidP="005F0CEF">
      <w:pPr>
        <w:pStyle w:val="Akapitzlist"/>
        <w:numPr>
          <w:ilvl w:val="1"/>
          <w:numId w:val="25"/>
        </w:numPr>
        <w:spacing w:after="0" w:line="300" w:lineRule="auto"/>
        <w:jc w:val="both"/>
        <w:rPr>
          <w:rFonts w:ascii="Arial" w:hAnsi="Arial" w:cs="Arial"/>
        </w:rPr>
      </w:pPr>
      <w:r w:rsidRPr="005F0CEF">
        <w:rPr>
          <w:rFonts w:ascii="Arial" w:hAnsi="Arial" w:cs="Arial"/>
        </w:rPr>
        <w:t>minimalizacji opakowań oraz zbędnych opakowań,</w:t>
      </w:r>
    </w:p>
    <w:p w14:paraId="7BCD0F3F" w14:textId="37DEA7FE" w:rsidR="007761F7" w:rsidRPr="005F0CEF" w:rsidRDefault="007761F7" w:rsidP="005F0CEF">
      <w:pPr>
        <w:pStyle w:val="Akapitzlist"/>
        <w:numPr>
          <w:ilvl w:val="1"/>
          <w:numId w:val="25"/>
        </w:numPr>
        <w:spacing w:after="0" w:line="300" w:lineRule="auto"/>
        <w:jc w:val="both"/>
        <w:rPr>
          <w:rFonts w:ascii="Arial" w:hAnsi="Arial" w:cs="Arial"/>
        </w:rPr>
      </w:pPr>
      <w:r w:rsidRPr="005F0CEF">
        <w:rPr>
          <w:rFonts w:ascii="Arial" w:hAnsi="Arial" w:cs="Arial"/>
        </w:rPr>
        <w:t>opakowań wielokrotnego użytku oraz systemów ponownego użycia i ponownego napełnienia,</w:t>
      </w:r>
    </w:p>
    <w:p w14:paraId="04CED961" w14:textId="4BE4CD30" w:rsidR="007761F7" w:rsidRPr="005F0CEF" w:rsidRDefault="007761F7" w:rsidP="005F0CEF">
      <w:pPr>
        <w:pStyle w:val="Akapitzlist"/>
        <w:numPr>
          <w:ilvl w:val="1"/>
          <w:numId w:val="25"/>
        </w:numPr>
        <w:spacing w:after="0" w:line="300" w:lineRule="auto"/>
        <w:jc w:val="both"/>
        <w:rPr>
          <w:rFonts w:ascii="Arial" w:hAnsi="Arial" w:cs="Arial"/>
        </w:rPr>
      </w:pPr>
      <w:r w:rsidRPr="005F0CEF">
        <w:rPr>
          <w:rFonts w:ascii="Arial" w:hAnsi="Arial" w:cs="Arial"/>
        </w:rPr>
        <w:t>etykietowania opakowań oraz pojemników na odpady,</w:t>
      </w:r>
    </w:p>
    <w:p w14:paraId="0E760A86" w14:textId="5E86902C" w:rsidR="007761F7" w:rsidRPr="005F0CEF" w:rsidRDefault="007761F7" w:rsidP="005F0CEF">
      <w:pPr>
        <w:pStyle w:val="Akapitzlist"/>
        <w:numPr>
          <w:ilvl w:val="1"/>
          <w:numId w:val="25"/>
        </w:numPr>
        <w:spacing w:after="0" w:line="300" w:lineRule="auto"/>
        <w:jc w:val="both"/>
        <w:rPr>
          <w:rFonts w:ascii="Arial" w:hAnsi="Arial" w:cs="Arial"/>
        </w:rPr>
      </w:pPr>
      <w:r w:rsidRPr="005F0CEF">
        <w:rPr>
          <w:rFonts w:ascii="Arial" w:hAnsi="Arial" w:cs="Arial"/>
        </w:rPr>
        <w:t>obowiązków wytwórców, importerów i dystrybutorów opakowań,</w:t>
      </w:r>
    </w:p>
    <w:p w14:paraId="617E7791" w14:textId="64A03FB8" w:rsidR="007761F7" w:rsidRPr="005F0CEF" w:rsidRDefault="007761F7" w:rsidP="005F0CEF">
      <w:pPr>
        <w:pStyle w:val="Akapitzlist"/>
        <w:numPr>
          <w:ilvl w:val="1"/>
          <w:numId w:val="25"/>
        </w:numPr>
        <w:spacing w:after="0" w:line="300" w:lineRule="auto"/>
        <w:jc w:val="both"/>
        <w:rPr>
          <w:rFonts w:ascii="Arial" w:hAnsi="Arial" w:cs="Arial"/>
        </w:rPr>
      </w:pPr>
      <w:r w:rsidRPr="005F0CEF">
        <w:rPr>
          <w:rFonts w:ascii="Arial" w:hAnsi="Arial" w:cs="Arial"/>
        </w:rPr>
        <w:t>ograniczenia w zakresie stosowania określonych formatów opakowań,</w:t>
      </w:r>
    </w:p>
    <w:p w14:paraId="4BBDDB0E" w14:textId="056EFF2C" w:rsidR="007761F7" w:rsidRPr="005F0CEF" w:rsidRDefault="007761F7" w:rsidP="005F0CEF">
      <w:pPr>
        <w:pStyle w:val="Akapitzlist"/>
        <w:numPr>
          <w:ilvl w:val="1"/>
          <w:numId w:val="25"/>
        </w:numPr>
        <w:spacing w:after="0" w:line="300" w:lineRule="auto"/>
        <w:jc w:val="both"/>
        <w:rPr>
          <w:rFonts w:ascii="Arial" w:hAnsi="Arial" w:cs="Arial"/>
        </w:rPr>
      </w:pPr>
      <w:r w:rsidRPr="005F0CEF">
        <w:rPr>
          <w:rFonts w:ascii="Arial" w:hAnsi="Arial" w:cs="Arial"/>
        </w:rPr>
        <w:lastRenderedPageBreak/>
        <w:t>celów ponownego użycia i ponownego napełnienia opakowań, zmniejszenia ilości wytwarzanych odpadów opakowaniowych oraz recyklingu,</w:t>
      </w:r>
    </w:p>
    <w:p w14:paraId="4D8978B5" w14:textId="3AD33C4E" w:rsidR="007761F7" w:rsidRPr="005F0CEF" w:rsidRDefault="007761F7" w:rsidP="005F0CEF">
      <w:pPr>
        <w:pStyle w:val="Akapitzlist"/>
        <w:numPr>
          <w:ilvl w:val="1"/>
          <w:numId w:val="25"/>
        </w:numPr>
        <w:spacing w:after="0" w:line="300" w:lineRule="auto"/>
        <w:jc w:val="both"/>
        <w:rPr>
          <w:rFonts w:ascii="Arial" w:hAnsi="Arial" w:cs="Arial"/>
        </w:rPr>
      </w:pPr>
      <w:r w:rsidRPr="005F0CEF">
        <w:rPr>
          <w:rFonts w:ascii="Arial" w:hAnsi="Arial" w:cs="Arial"/>
        </w:rPr>
        <w:t>toreb na zakupy z tworzywa sztucznego,</w:t>
      </w:r>
    </w:p>
    <w:p w14:paraId="2DE8A2AE" w14:textId="74B51D2C" w:rsidR="007761F7" w:rsidRPr="005F0CEF" w:rsidRDefault="007761F7" w:rsidP="005F0CEF">
      <w:pPr>
        <w:pStyle w:val="Akapitzlist"/>
        <w:numPr>
          <w:ilvl w:val="1"/>
          <w:numId w:val="25"/>
        </w:numPr>
        <w:spacing w:after="0" w:line="300" w:lineRule="auto"/>
        <w:jc w:val="both"/>
        <w:rPr>
          <w:rFonts w:ascii="Arial" w:hAnsi="Arial" w:cs="Arial"/>
        </w:rPr>
      </w:pPr>
      <w:r w:rsidRPr="005F0CEF">
        <w:rPr>
          <w:rFonts w:ascii="Arial" w:hAnsi="Arial" w:cs="Arial"/>
        </w:rPr>
        <w:t>zgodności opakowań z wymogami oraz kontroli opakowań wprowadzanych na rynek Unii,</w:t>
      </w:r>
    </w:p>
    <w:p w14:paraId="50B5A867" w14:textId="77EAB74A" w:rsidR="007761F7" w:rsidRPr="005F0CEF" w:rsidRDefault="007761F7" w:rsidP="005F0CEF">
      <w:pPr>
        <w:pStyle w:val="Akapitzlist"/>
        <w:numPr>
          <w:ilvl w:val="1"/>
          <w:numId w:val="25"/>
        </w:numPr>
        <w:spacing w:after="0" w:line="300" w:lineRule="auto"/>
        <w:jc w:val="both"/>
        <w:rPr>
          <w:rFonts w:ascii="Arial" w:hAnsi="Arial" w:cs="Arial"/>
        </w:rPr>
      </w:pPr>
      <w:r w:rsidRPr="005F0CEF">
        <w:rPr>
          <w:rFonts w:ascii="Arial" w:hAnsi="Arial" w:cs="Arial"/>
        </w:rPr>
        <w:t>właściwych organów oraz przepisów karnych,</w:t>
      </w:r>
    </w:p>
    <w:p w14:paraId="640A6449" w14:textId="5D8182DE" w:rsidR="007761F7" w:rsidRPr="005F0CEF" w:rsidRDefault="007761F7" w:rsidP="005F0CEF">
      <w:pPr>
        <w:pStyle w:val="Akapitzlist"/>
        <w:numPr>
          <w:ilvl w:val="1"/>
          <w:numId w:val="25"/>
        </w:numPr>
        <w:spacing w:after="0" w:line="300" w:lineRule="auto"/>
        <w:jc w:val="both"/>
        <w:rPr>
          <w:rFonts w:ascii="Arial" w:hAnsi="Arial" w:cs="Arial"/>
        </w:rPr>
      </w:pPr>
      <w:r w:rsidRPr="005F0CEF">
        <w:rPr>
          <w:rFonts w:ascii="Arial" w:hAnsi="Arial" w:cs="Arial"/>
        </w:rPr>
        <w:t>rejestru producentów i sprawozdawczości,</w:t>
      </w:r>
    </w:p>
    <w:p w14:paraId="7DB641CC" w14:textId="281DC284" w:rsidR="007761F7" w:rsidRPr="005F0CEF" w:rsidRDefault="007761F7" w:rsidP="005F0CEF">
      <w:pPr>
        <w:pStyle w:val="Akapitzlist"/>
        <w:numPr>
          <w:ilvl w:val="1"/>
          <w:numId w:val="25"/>
        </w:numPr>
        <w:spacing w:after="0" w:line="300" w:lineRule="auto"/>
        <w:jc w:val="both"/>
        <w:rPr>
          <w:rFonts w:ascii="Arial" w:hAnsi="Arial" w:cs="Arial"/>
        </w:rPr>
      </w:pPr>
      <w:r w:rsidRPr="005F0CEF">
        <w:rPr>
          <w:rFonts w:ascii="Arial" w:hAnsi="Arial" w:cs="Arial"/>
        </w:rPr>
        <w:t>systemów zwrotu i zbierania,</w:t>
      </w:r>
    </w:p>
    <w:p w14:paraId="540723EC" w14:textId="728DAE53" w:rsidR="007761F7" w:rsidRPr="005F0CEF" w:rsidRDefault="007761F7" w:rsidP="005F0CEF">
      <w:pPr>
        <w:pStyle w:val="Akapitzlist"/>
        <w:numPr>
          <w:ilvl w:val="1"/>
          <w:numId w:val="25"/>
        </w:numPr>
        <w:spacing w:after="0" w:line="300" w:lineRule="auto"/>
        <w:jc w:val="both"/>
        <w:rPr>
          <w:rFonts w:ascii="Arial" w:hAnsi="Arial" w:cs="Arial"/>
        </w:rPr>
      </w:pPr>
      <w:r w:rsidRPr="005F0CEF">
        <w:rPr>
          <w:rFonts w:ascii="Arial" w:hAnsi="Arial" w:cs="Arial"/>
        </w:rPr>
        <w:t>zielonych zamówień publicznych.</w:t>
      </w:r>
    </w:p>
    <w:p w14:paraId="30F9F578" w14:textId="77777777" w:rsidR="007761F7" w:rsidRPr="007761F7" w:rsidRDefault="007761F7" w:rsidP="007761F7">
      <w:pPr>
        <w:spacing w:after="0" w:line="300" w:lineRule="auto"/>
        <w:jc w:val="both"/>
        <w:rPr>
          <w:rFonts w:ascii="Arial" w:hAnsi="Arial" w:cs="Arial"/>
        </w:rPr>
      </w:pPr>
      <w:r w:rsidRPr="007761F7">
        <w:rPr>
          <w:rFonts w:ascii="Arial" w:hAnsi="Arial" w:cs="Arial"/>
        </w:rPr>
        <w:t xml:space="preserve">Przedstawiony nowy model systemu ROP opiera się na skutecznym nadzorze ministra właściwego do spraw klimatu nad realizacją celów strategicznych dla Polski związanych z wdrażaniem ROP. Wprowadzane przepisy będą służyły zapobieganiu negatywnemu wpływowi opakowań i odpadów opakowaniowych na środowisko i zdrowie ludzkie. Ponadto będą one miały wpływ na zmniejszanie kosztów ponoszonych przez mieszkańców w związku z odbiorem odpadów komunalnych z nieruchomości oraz odpowiedniego finansowania podmiotów gospodarujących odpadami. </w:t>
      </w:r>
    </w:p>
    <w:p w14:paraId="004AC32E" w14:textId="77777777" w:rsidR="007761F7" w:rsidRPr="007761F7" w:rsidRDefault="007761F7" w:rsidP="007761F7">
      <w:pPr>
        <w:spacing w:after="0" w:line="300" w:lineRule="auto"/>
        <w:jc w:val="both"/>
        <w:rPr>
          <w:rFonts w:ascii="Arial" w:hAnsi="Arial" w:cs="Arial"/>
        </w:rPr>
      </w:pPr>
      <w:r w:rsidRPr="007761F7">
        <w:rPr>
          <w:rFonts w:ascii="Arial" w:hAnsi="Arial" w:cs="Arial"/>
        </w:rPr>
        <w:t xml:space="preserve">Zakłada się, że realizacja przez podmioty obowiązane wymagań ustanowionych w PPWR, a także wprowadzenie nowego modelu ROP przyczynią się do ograniczenia ilości wytwarzanych odpadów opakowaniowych na mieszkańca o co najmniej 1% do 2027 r., 2% do 2028 r. i 3% do 2029 r., tak aby osiągnąć do 2030 r. 5% spadek ilości wytwarzanych odpadów opakowaniowych na mieszkańca oraz co najmniej 10% i 15% odpowiednio do 2035 r. i 2040 r. </w:t>
      </w:r>
    </w:p>
    <w:p w14:paraId="4F2E733B" w14:textId="77777777" w:rsidR="007761F7" w:rsidRPr="007761F7" w:rsidRDefault="007761F7" w:rsidP="007761F7">
      <w:pPr>
        <w:spacing w:after="0" w:line="300" w:lineRule="auto"/>
        <w:jc w:val="both"/>
        <w:rPr>
          <w:rFonts w:ascii="Arial" w:hAnsi="Arial" w:cs="Arial"/>
        </w:rPr>
      </w:pPr>
      <w:r w:rsidRPr="007761F7">
        <w:rPr>
          <w:rFonts w:ascii="Arial" w:hAnsi="Arial" w:cs="Arial"/>
        </w:rPr>
        <w:t>Niższa w porównaniu z opakowaniami jednorazowymi stawka opłaty opakowaniowej dla opakowań wielokrotnego użytku powinna przyczynić się do stopniowego osiągania celów w zakresie ponownego użycia określonych w art. 29 PPWR</w:t>
      </w:r>
    </w:p>
    <w:p w14:paraId="44078F21" w14:textId="77777777" w:rsidR="007761F7" w:rsidRPr="007761F7" w:rsidRDefault="007761F7" w:rsidP="007761F7">
      <w:pPr>
        <w:spacing w:after="0" w:line="300" w:lineRule="auto"/>
        <w:jc w:val="both"/>
        <w:rPr>
          <w:rFonts w:ascii="Arial" w:hAnsi="Arial" w:cs="Arial"/>
        </w:rPr>
      </w:pPr>
      <w:r w:rsidRPr="007761F7">
        <w:rPr>
          <w:rFonts w:ascii="Arial" w:hAnsi="Arial" w:cs="Arial"/>
        </w:rPr>
        <w:t>Oczekiwane efekty projektowanej ustawy:</w:t>
      </w:r>
    </w:p>
    <w:p w14:paraId="710AAE0A" w14:textId="12F5A9ED" w:rsidR="007761F7" w:rsidRPr="005F0CEF" w:rsidRDefault="007761F7" w:rsidP="005F0CEF">
      <w:pPr>
        <w:pStyle w:val="Akapitzlist"/>
        <w:numPr>
          <w:ilvl w:val="0"/>
          <w:numId w:val="26"/>
        </w:numPr>
        <w:spacing w:after="0" w:line="300" w:lineRule="auto"/>
        <w:jc w:val="both"/>
        <w:rPr>
          <w:rFonts w:ascii="Arial" w:hAnsi="Arial" w:cs="Arial"/>
        </w:rPr>
      </w:pPr>
      <w:r w:rsidRPr="005F0CEF">
        <w:rPr>
          <w:rFonts w:ascii="Arial" w:hAnsi="Arial" w:cs="Arial"/>
        </w:rPr>
        <w:t>Realizacja wymogów art. 8 i 8a dyrektywy 2008/98/WE oraz PPWR w odniesieniu do systemu ROP dla opakowań.</w:t>
      </w:r>
    </w:p>
    <w:p w14:paraId="41C3B9A8" w14:textId="415999F4" w:rsidR="007761F7" w:rsidRPr="005F0CEF" w:rsidRDefault="007761F7" w:rsidP="005F0CEF">
      <w:pPr>
        <w:pStyle w:val="Akapitzlist"/>
        <w:numPr>
          <w:ilvl w:val="0"/>
          <w:numId w:val="26"/>
        </w:numPr>
        <w:spacing w:after="0" w:line="300" w:lineRule="auto"/>
        <w:jc w:val="both"/>
        <w:rPr>
          <w:rFonts w:ascii="Arial" w:hAnsi="Arial" w:cs="Arial"/>
        </w:rPr>
      </w:pPr>
      <w:r w:rsidRPr="005F0CEF">
        <w:rPr>
          <w:rFonts w:ascii="Arial" w:hAnsi="Arial" w:cs="Arial"/>
        </w:rPr>
        <w:t>Wprowadzenie mechanizmów mających na celu zapobieganie powstawaniu odpadów opakowaniowych oraz minimalizujących wpływ opakowań na środowisko.</w:t>
      </w:r>
    </w:p>
    <w:p w14:paraId="0CB63DF9" w14:textId="24C75579" w:rsidR="007761F7" w:rsidRPr="005F0CEF" w:rsidRDefault="007761F7" w:rsidP="005F0CEF">
      <w:pPr>
        <w:pStyle w:val="Akapitzlist"/>
        <w:numPr>
          <w:ilvl w:val="0"/>
          <w:numId w:val="26"/>
        </w:numPr>
        <w:spacing w:after="0" w:line="300" w:lineRule="auto"/>
        <w:jc w:val="both"/>
        <w:rPr>
          <w:rFonts w:ascii="Arial" w:hAnsi="Arial" w:cs="Arial"/>
        </w:rPr>
      </w:pPr>
      <w:r w:rsidRPr="005F0CEF">
        <w:rPr>
          <w:rFonts w:ascii="Arial" w:hAnsi="Arial" w:cs="Arial"/>
        </w:rPr>
        <w:t xml:space="preserve">Ponoszenie przez producentów finansowej odpowiedzialności za cały cykl życia opakowań, co w konsekwencji powinno skłonić ich do projektowania opakowań bardziej przyjaznych środowisku, za które producenci ponosić będą niższe opłaty opakowaniowe – opakowań zdatnych do recyklingu, mniejszych, trwalszych, a także takich, które będą nadawały się do ponownego użycia, ponownego napełnienia czy naprawy. </w:t>
      </w:r>
    </w:p>
    <w:p w14:paraId="46742810" w14:textId="7EE042ED" w:rsidR="007761F7" w:rsidRPr="005F0CEF" w:rsidRDefault="007761F7" w:rsidP="005F0CEF">
      <w:pPr>
        <w:pStyle w:val="Akapitzlist"/>
        <w:numPr>
          <w:ilvl w:val="0"/>
          <w:numId w:val="26"/>
        </w:numPr>
        <w:spacing w:after="0" w:line="300" w:lineRule="auto"/>
        <w:jc w:val="both"/>
        <w:rPr>
          <w:rFonts w:ascii="Arial" w:hAnsi="Arial" w:cs="Arial"/>
        </w:rPr>
      </w:pPr>
      <w:r w:rsidRPr="005F0CEF">
        <w:rPr>
          <w:rFonts w:ascii="Arial" w:hAnsi="Arial" w:cs="Arial"/>
        </w:rPr>
        <w:t>Zapewnienie równych szans wszystkim podmiotom na rynku przez jego doszczelnienie oraz eliminację przypadków, kiedy producenci nie realizują nałożonych na nich obowiązków wynikających z ROP.</w:t>
      </w:r>
    </w:p>
    <w:p w14:paraId="7131C6E6" w14:textId="05ADD776" w:rsidR="007761F7" w:rsidRPr="005F0CEF" w:rsidRDefault="007761F7" w:rsidP="005F0CEF">
      <w:pPr>
        <w:pStyle w:val="Akapitzlist"/>
        <w:numPr>
          <w:ilvl w:val="0"/>
          <w:numId w:val="26"/>
        </w:numPr>
        <w:spacing w:after="0" w:line="300" w:lineRule="auto"/>
        <w:jc w:val="both"/>
        <w:rPr>
          <w:rFonts w:ascii="Arial" w:hAnsi="Arial" w:cs="Arial"/>
        </w:rPr>
      </w:pPr>
      <w:r w:rsidRPr="005F0CEF">
        <w:rPr>
          <w:rFonts w:ascii="Arial" w:hAnsi="Arial" w:cs="Arial"/>
        </w:rPr>
        <w:t>Zapewnienie mechanizmów umożliwiających optymalne ustalenie wysokości opłat opakowaniowych wnoszonych przez producentów oraz wysokości rekompensat po stronie beneficjentów, które ułatwi planowanie długoterminowe systemu ROP.</w:t>
      </w:r>
    </w:p>
    <w:p w14:paraId="1DA864A3" w14:textId="7244CB16" w:rsidR="007761F7" w:rsidRPr="005F0CEF" w:rsidRDefault="007761F7" w:rsidP="005F0CEF">
      <w:pPr>
        <w:pStyle w:val="Akapitzlist"/>
        <w:numPr>
          <w:ilvl w:val="0"/>
          <w:numId w:val="26"/>
        </w:numPr>
        <w:spacing w:after="0" w:line="300" w:lineRule="auto"/>
        <w:jc w:val="both"/>
        <w:rPr>
          <w:rFonts w:ascii="Arial" w:hAnsi="Arial" w:cs="Arial"/>
        </w:rPr>
      </w:pPr>
      <w:r w:rsidRPr="005F0CEF">
        <w:rPr>
          <w:rFonts w:ascii="Arial" w:hAnsi="Arial" w:cs="Arial"/>
        </w:rPr>
        <w:t>Ograniczenie ilości wytwarzanych odpadów opakowaniowych oraz poprawa osiąganych poziomów recyklingu odpadów opakowaniowych.</w:t>
      </w:r>
    </w:p>
    <w:p w14:paraId="60297716" w14:textId="38291595" w:rsidR="007761F7" w:rsidRPr="005F0CEF" w:rsidRDefault="007761F7" w:rsidP="005F0CEF">
      <w:pPr>
        <w:pStyle w:val="Akapitzlist"/>
        <w:numPr>
          <w:ilvl w:val="0"/>
          <w:numId w:val="26"/>
        </w:numPr>
        <w:spacing w:after="0" w:line="300" w:lineRule="auto"/>
        <w:jc w:val="both"/>
        <w:rPr>
          <w:rFonts w:ascii="Arial" w:hAnsi="Arial" w:cs="Arial"/>
        </w:rPr>
      </w:pPr>
      <w:r w:rsidRPr="005F0CEF">
        <w:rPr>
          <w:rFonts w:ascii="Arial" w:hAnsi="Arial" w:cs="Arial"/>
        </w:rPr>
        <w:lastRenderedPageBreak/>
        <w:t>Wzrost dofinansowania działalności polegającej na zbieraniu, sortowaniu i przetwarzaniu odpadów opakowaniowych, co powinno zapewnić lepszą jakość zbieranych selektywnie odpadów oraz jakość materiału pochodzącego z recyklingu.</w:t>
      </w:r>
    </w:p>
    <w:p w14:paraId="31CA77D6" w14:textId="7043031C" w:rsidR="007761F7" w:rsidRPr="005F0CEF" w:rsidRDefault="007761F7" w:rsidP="005F0CEF">
      <w:pPr>
        <w:pStyle w:val="Akapitzlist"/>
        <w:numPr>
          <w:ilvl w:val="0"/>
          <w:numId w:val="26"/>
        </w:numPr>
        <w:spacing w:after="0" w:line="300" w:lineRule="auto"/>
        <w:jc w:val="both"/>
        <w:rPr>
          <w:rFonts w:ascii="Arial" w:hAnsi="Arial" w:cs="Arial"/>
        </w:rPr>
      </w:pPr>
      <w:r w:rsidRPr="005F0CEF">
        <w:rPr>
          <w:rFonts w:ascii="Arial" w:hAnsi="Arial" w:cs="Arial"/>
        </w:rPr>
        <w:t xml:space="preserve">Prowadzenie zarówno centralnych jak i lokalnych działań edukacyjnych w zakresie prawidłowego segregowania odpadów komunalnych, co powinno spowodować wzrost jakości i poziomu selektywnego zbierania odpadów komunalnych. </w:t>
      </w:r>
    </w:p>
    <w:p w14:paraId="3F641559" w14:textId="224D10AA" w:rsidR="007761F7" w:rsidRPr="005F0CEF" w:rsidRDefault="007761F7" w:rsidP="005F0CEF">
      <w:pPr>
        <w:pStyle w:val="Akapitzlist"/>
        <w:numPr>
          <w:ilvl w:val="0"/>
          <w:numId w:val="26"/>
        </w:numPr>
        <w:spacing w:after="0" w:line="300" w:lineRule="auto"/>
        <w:jc w:val="both"/>
        <w:rPr>
          <w:rFonts w:ascii="Arial" w:hAnsi="Arial" w:cs="Arial"/>
        </w:rPr>
      </w:pPr>
      <w:r w:rsidRPr="005F0CEF">
        <w:rPr>
          <w:rFonts w:ascii="Arial" w:hAnsi="Arial" w:cs="Arial"/>
        </w:rPr>
        <w:t>Osiągnięcie unijnych celów w zakresie recyklingu odpadów opakowaniowych.</w:t>
      </w:r>
    </w:p>
    <w:p w14:paraId="7D93D18B" w14:textId="274D33B9" w:rsidR="007761F7" w:rsidRPr="005F0CEF" w:rsidRDefault="007761F7" w:rsidP="005F0CEF">
      <w:pPr>
        <w:pStyle w:val="Akapitzlist"/>
        <w:numPr>
          <w:ilvl w:val="0"/>
          <w:numId w:val="26"/>
        </w:numPr>
        <w:spacing w:after="0" w:line="300" w:lineRule="auto"/>
        <w:jc w:val="both"/>
        <w:rPr>
          <w:rFonts w:ascii="Arial" w:hAnsi="Arial" w:cs="Arial"/>
        </w:rPr>
      </w:pPr>
      <w:r w:rsidRPr="005F0CEF">
        <w:rPr>
          <w:rFonts w:ascii="Arial" w:hAnsi="Arial" w:cs="Arial"/>
        </w:rPr>
        <w:t>Utworzenie systemów ponownego użycia i ponownego napełniania opakowań przeznaczonych dla klientów indywidualnych, a w konsekwencji spadek wytwarzania oraz zużycia opakowań jednorazowych, w szczególności opakowań z tworzyw sztucznych.</w:t>
      </w:r>
    </w:p>
    <w:p w14:paraId="2ADAB603" w14:textId="77777777" w:rsidR="007761F7" w:rsidRPr="007761F7" w:rsidRDefault="007761F7" w:rsidP="007761F7">
      <w:pPr>
        <w:spacing w:after="0" w:line="300" w:lineRule="auto"/>
        <w:jc w:val="both"/>
        <w:rPr>
          <w:rFonts w:ascii="Arial" w:hAnsi="Arial" w:cs="Arial"/>
        </w:rPr>
      </w:pPr>
      <w:r w:rsidRPr="007761F7">
        <w:rPr>
          <w:rFonts w:ascii="Arial" w:hAnsi="Arial" w:cs="Arial"/>
        </w:rPr>
        <w:t>Korzyści:</w:t>
      </w:r>
    </w:p>
    <w:p w14:paraId="238555F3" w14:textId="0B2E2203" w:rsidR="007761F7" w:rsidRPr="005F0CEF" w:rsidRDefault="007761F7" w:rsidP="005F0CEF">
      <w:pPr>
        <w:pStyle w:val="Akapitzlist"/>
        <w:numPr>
          <w:ilvl w:val="0"/>
          <w:numId w:val="28"/>
        </w:numPr>
        <w:spacing w:after="0" w:line="300" w:lineRule="auto"/>
        <w:jc w:val="both"/>
        <w:rPr>
          <w:rFonts w:ascii="Arial" w:hAnsi="Arial" w:cs="Arial"/>
        </w:rPr>
      </w:pPr>
      <w:r w:rsidRPr="005F0CEF">
        <w:rPr>
          <w:rFonts w:ascii="Arial" w:hAnsi="Arial" w:cs="Arial"/>
        </w:rPr>
        <w:t>Zmniejszenie ilości wytwarzanych odpadów opakowaniowych oraz zwiększenie osiąganego przez Polskę poziomu recyklingu odpadów opakowaniowych, w szczególności odpadów opakowaniowych z tworzyw sztucznych.</w:t>
      </w:r>
    </w:p>
    <w:p w14:paraId="4D3F2258" w14:textId="0F779551" w:rsidR="007761F7" w:rsidRPr="005F0CEF" w:rsidRDefault="007761F7" w:rsidP="005F0CEF">
      <w:pPr>
        <w:pStyle w:val="Akapitzlist"/>
        <w:numPr>
          <w:ilvl w:val="0"/>
          <w:numId w:val="28"/>
        </w:numPr>
        <w:spacing w:after="0" w:line="300" w:lineRule="auto"/>
        <w:jc w:val="both"/>
        <w:rPr>
          <w:rFonts w:ascii="Arial" w:hAnsi="Arial" w:cs="Arial"/>
        </w:rPr>
      </w:pPr>
      <w:r w:rsidRPr="005F0CEF">
        <w:rPr>
          <w:rFonts w:ascii="Arial" w:hAnsi="Arial" w:cs="Arial"/>
        </w:rPr>
        <w:t>Zwiększenie masy odpadów komunalnych zbieranych selektywnie.</w:t>
      </w:r>
    </w:p>
    <w:p w14:paraId="0A15665C" w14:textId="66F55111" w:rsidR="007761F7" w:rsidRPr="005F0CEF" w:rsidRDefault="007761F7" w:rsidP="005F0CEF">
      <w:pPr>
        <w:pStyle w:val="Akapitzlist"/>
        <w:numPr>
          <w:ilvl w:val="0"/>
          <w:numId w:val="28"/>
        </w:numPr>
        <w:spacing w:after="0" w:line="300" w:lineRule="auto"/>
        <w:jc w:val="both"/>
        <w:rPr>
          <w:rFonts w:ascii="Arial" w:hAnsi="Arial" w:cs="Arial"/>
        </w:rPr>
      </w:pPr>
      <w:r w:rsidRPr="005F0CEF">
        <w:rPr>
          <w:rFonts w:ascii="Arial" w:hAnsi="Arial" w:cs="Arial"/>
        </w:rPr>
        <w:t>Stabilizacja, a następnie stopniowe obniżenie realnych kosztów (po uwzględnieniu inflacji) ponoszonych przez mieszkańców za odbiór i zagospodarowanie odpadów komunalnych.</w:t>
      </w:r>
    </w:p>
    <w:p w14:paraId="72048979" w14:textId="0419A2B4" w:rsidR="007761F7" w:rsidRPr="005F0CEF" w:rsidRDefault="007761F7" w:rsidP="005F0CEF">
      <w:pPr>
        <w:pStyle w:val="Akapitzlist"/>
        <w:numPr>
          <w:ilvl w:val="0"/>
          <w:numId w:val="28"/>
        </w:numPr>
        <w:spacing w:after="0" w:line="300" w:lineRule="auto"/>
        <w:jc w:val="both"/>
        <w:rPr>
          <w:rFonts w:ascii="Arial" w:hAnsi="Arial" w:cs="Arial"/>
        </w:rPr>
      </w:pPr>
      <w:r w:rsidRPr="005F0CEF">
        <w:rPr>
          <w:rFonts w:ascii="Arial" w:hAnsi="Arial" w:cs="Arial"/>
        </w:rPr>
        <w:t>Większa dostępność i potencjalnie większe wykorzystanie surowców wtórnych w produkcji opakowań, w szczególności opakowań z tworzyw sztucznych.</w:t>
      </w:r>
    </w:p>
    <w:p w14:paraId="331ACDAF" w14:textId="1255D414" w:rsidR="007761F7" w:rsidRPr="005F0CEF" w:rsidRDefault="007761F7" w:rsidP="005F0CEF">
      <w:pPr>
        <w:pStyle w:val="Akapitzlist"/>
        <w:numPr>
          <w:ilvl w:val="0"/>
          <w:numId w:val="28"/>
        </w:numPr>
        <w:spacing w:after="0" w:line="300" w:lineRule="auto"/>
        <w:jc w:val="both"/>
        <w:rPr>
          <w:rFonts w:ascii="Arial" w:hAnsi="Arial" w:cs="Arial"/>
        </w:rPr>
      </w:pPr>
      <w:r w:rsidRPr="005F0CEF">
        <w:rPr>
          <w:rFonts w:ascii="Arial" w:hAnsi="Arial" w:cs="Arial"/>
        </w:rPr>
        <w:t>Zmniejszenie zużycia surowców pierwotnych, co oznacza pozostawienie większej ich ilości dla przyszłych pokoleń.</w:t>
      </w:r>
    </w:p>
    <w:p w14:paraId="26518D9D" w14:textId="66BC6CB0" w:rsidR="007761F7" w:rsidRPr="005F0CEF" w:rsidRDefault="007761F7" w:rsidP="005F0CEF">
      <w:pPr>
        <w:pStyle w:val="Akapitzlist"/>
        <w:numPr>
          <w:ilvl w:val="0"/>
          <w:numId w:val="28"/>
        </w:numPr>
        <w:spacing w:after="0" w:line="300" w:lineRule="auto"/>
        <w:jc w:val="both"/>
        <w:rPr>
          <w:rFonts w:ascii="Arial" w:hAnsi="Arial" w:cs="Arial"/>
        </w:rPr>
      </w:pPr>
      <w:r w:rsidRPr="005F0CEF">
        <w:rPr>
          <w:rFonts w:ascii="Arial" w:hAnsi="Arial" w:cs="Arial"/>
        </w:rPr>
        <w:t>Zachowanie i poprawa jakości środowiska.</w:t>
      </w:r>
    </w:p>
    <w:p w14:paraId="21B28E1D" w14:textId="7F7D3EF0" w:rsidR="007761F7" w:rsidRPr="005F0CEF" w:rsidRDefault="007761F7" w:rsidP="005F0CEF">
      <w:pPr>
        <w:pStyle w:val="Akapitzlist"/>
        <w:numPr>
          <w:ilvl w:val="0"/>
          <w:numId w:val="28"/>
        </w:numPr>
        <w:spacing w:after="0" w:line="300" w:lineRule="auto"/>
        <w:jc w:val="both"/>
        <w:rPr>
          <w:rFonts w:ascii="Arial" w:hAnsi="Arial" w:cs="Arial"/>
        </w:rPr>
      </w:pPr>
      <w:r w:rsidRPr="005F0CEF">
        <w:rPr>
          <w:rFonts w:ascii="Arial" w:hAnsi="Arial" w:cs="Arial"/>
        </w:rPr>
        <w:t xml:space="preserve">Skuteczniejszy nadzór nad funkcjonowaniem ROP oraz eliminacja nieprawidłowości w zakresie realizacji obowiązków przez producentów. </w:t>
      </w:r>
    </w:p>
    <w:p w14:paraId="1DA911D5" w14:textId="5A02AC5A" w:rsidR="00446437" w:rsidRDefault="007761F7" w:rsidP="007761F7">
      <w:pPr>
        <w:spacing w:after="0" w:line="300" w:lineRule="auto"/>
        <w:jc w:val="both"/>
        <w:rPr>
          <w:rFonts w:ascii="Arial" w:hAnsi="Arial" w:cs="Arial"/>
        </w:rPr>
      </w:pPr>
      <w:r w:rsidRPr="007761F7">
        <w:rPr>
          <w:rFonts w:ascii="Arial" w:hAnsi="Arial" w:cs="Arial"/>
        </w:rPr>
        <w:t>W celu realizacji przedstawionych celów konieczne jest pilne podjęcie działań legislacyjnych, których celem jest zapewnienie skutecznych narzędzi prawnych oraz właściwych instrumentów w systemie ROP w odniesieniu do opakowań i odpadów opakowaniowych. Dokonana ocena obecnego systemu prawnego oraz wyżej opisanych modeli ROP wskazuje, że nie jest możliwe osiągnięcie celu projektu za pomocą innych środków niż projektowana ustawa zawierająca regulacje wdrażające nowy model ROP.</w:t>
      </w:r>
    </w:p>
    <w:p w14:paraId="67FF35BE" w14:textId="77777777" w:rsidR="00446437" w:rsidRDefault="00446437" w:rsidP="00446437">
      <w:pPr>
        <w:spacing w:after="0" w:line="300" w:lineRule="auto"/>
        <w:jc w:val="both"/>
        <w:rPr>
          <w:rFonts w:ascii="Arial" w:hAnsi="Arial" w:cs="Arial"/>
        </w:rPr>
      </w:pPr>
    </w:p>
    <w:p w14:paraId="3FB8526C" w14:textId="77777777" w:rsidR="005F0CEF" w:rsidRPr="005F0CEF" w:rsidRDefault="005F0CEF" w:rsidP="005F0CEF">
      <w:pPr>
        <w:spacing w:after="0" w:line="300" w:lineRule="auto"/>
        <w:jc w:val="both"/>
        <w:rPr>
          <w:rFonts w:ascii="Arial" w:hAnsi="Arial" w:cs="Arial"/>
        </w:rPr>
      </w:pPr>
      <w:r w:rsidRPr="005F0CEF">
        <w:rPr>
          <w:rFonts w:ascii="Arial" w:hAnsi="Arial" w:cs="Arial"/>
        </w:rPr>
        <w:t>Przedmiotowy projekt aktu prawnego wraz z Uzasadnieniem, Oceną Skutków Regulacji oraz załącznikiem do OSR dostępny jest na stronach Rządowego Centrum Legislacji pod adresem:</w:t>
      </w:r>
    </w:p>
    <w:p w14:paraId="1D3EBC99" w14:textId="6CFD147A" w:rsidR="005F0CEF" w:rsidRPr="005F0CEF" w:rsidRDefault="005F0CEF" w:rsidP="005F0CEF">
      <w:pPr>
        <w:spacing w:after="0" w:line="300" w:lineRule="auto"/>
        <w:jc w:val="both"/>
        <w:rPr>
          <w:rFonts w:ascii="Arial" w:hAnsi="Arial" w:cs="Arial"/>
        </w:rPr>
      </w:pPr>
      <w:hyperlink r:id="rId6" w:anchor="13149459" w:history="1">
        <w:r w:rsidRPr="008836EE">
          <w:rPr>
            <w:rStyle w:val="Hipercze"/>
            <w:rFonts w:ascii="Arial" w:hAnsi="Arial" w:cs="Arial"/>
          </w:rPr>
          <w:t>https://legislacja.rcl.gov.pl/projekt/12401003/katalog/13149459#13149459</w:t>
        </w:r>
      </w:hyperlink>
      <w:r>
        <w:rPr>
          <w:rFonts w:ascii="Arial" w:hAnsi="Arial" w:cs="Arial"/>
        </w:rPr>
        <w:t xml:space="preserve"> </w:t>
      </w:r>
      <w:r w:rsidRPr="005F0CEF">
        <w:rPr>
          <w:rFonts w:ascii="Arial" w:hAnsi="Arial" w:cs="Arial"/>
        </w:rPr>
        <w:t xml:space="preserve"> </w:t>
      </w:r>
      <w:r>
        <w:rPr>
          <w:rFonts w:ascii="Arial" w:hAnsi="Arial" w:cs="Arial"/>
        </w:rPr>
        <w:t xml:space="preserve"> </w:t>
      </w:r>
    </w:p>
    <w:p w14:paraId="7344F95B" w14:textId="77777777" w:rsidR="005F0CEF" w:rsidRDefault="005F0CEF" w:rsidP="00446437">
      <w:pPr>
        <w:spacing w:after="0" w:line="300" w:lineRule="auto"/>
        <w:jc w:val="both"/>
        <w:rPr>
          <w:rFonts w:ascii="Arial" w:hAnsi="Arial" w:cs="Arial"/>
        </w:rPr>
      </w:pPr>
    </w:p>
    <w:p w14:paraId="7D8ECF93" w14:textId="14452DF0" w:rsidR="005F0CEF" w:rsidRDefault="005F0CEF" w:rsidP="00446437">
      <w:pPr>
        <w:spacing w:after="0" w:line="300" w:lineRule="auto"/>
        <w:jc w:val="both"/>
        <w:rPr>
          <w:rFonts w:ascii="Arial" w:hAnsi="Arial" w:cs="Arial"/>
        </w:rPr>
      </w:pPr>
      <w:r w:rsidRPr="005F0CEF">
        <w:rPr>
          <w:rFonts w:ascii="Arial" w:hAnsi="Arial" w:cs="Arial"/>
        </w:rPr>
        <w:t>Projekt jest obecnie jednocześnie na etapie uzgodnień, konsultacji publicznych i opiniowania.</w:t>
      </w:r>
    </w:p>
    <w:p w14:paraId="1B6B7A18" w14:textId="77777777" w:rsidR="005F0CEF" w:rsidRPr="00446437" w:rsidRDefault="005F0CEF" w:rsidP="00446437">
      <w:pPr>
        <w:spacing w:after="0" w:line="300" w:lineRule="auto"/>
        <w:jc w:val="both"/>
        <w:rPr>
          <w:rFonts w:ascii="Arial" w:hAnsi="Arial" w:cs="Arial"/>
        </w:rPr>
      </w:pPr>
    </w:p>
    <w:p w14:paraId="6A06CD51" w14:textId="79FB656B" w:rsidR="00446437" w:rsidRPr="005F0CEF" w:rsidRDefault="005F0CEF" w:rsidP="00446437">
      <w:pPr>
        <w:pStyle w:val="Akapitzlist"/>
        <w:numPr>
          <w:ilvl w:val="0"/>
          <w:numId w:val="3"/>
        </w:numPr>
        <w:spacing w:after="0" w:line="300" w:lineRule="auto"/>
        <w:jc w:val="both"/>
        <w:rPr>
          <w:rFonts w:ascii="Arial" w:hAnsi="Arial" w:cs="Arial"/>
          <w:b/>
          <w:bCs/>
          <w:u w:val="single"/>
        </w:rPr>
      </w:pPr>
      <w:r w:rsidRPr="005F0CEF">
        <w:rPr>
          <w:rFonts w:ascii="Arial" w:hAnsi="Arial" w:cs="Arial"/>
          <w:b/>
          <w:bCs/>
          <w:u w:val="single"/>
        </w:rPr>
        <w:t>Projekt ustawy o zmianie ustawy o samorządzie województwa oraz niektórych innych ustaw (numer z wykazu UD271).</w:t>
      </w:r>
    </w:p>
    <w:p w14:paraId="3817D45F" w14:textId="77777777" w:rsidR="00446437" w:rsidRDefault="00446437" w:rsidP="00446437">
      <w:pPr>
        <w:spacing w:after="0" w:line="300" w:lineRule="auto"/>
        <w:jc w:val="both"/>
        <w:rPr>
          <w:rFonts w:ascii="Arial" w:hAnsi="Arial" w:cs="Arial"/>
        </w:rPr>
      </w:pPr>
    </w:p>
    <w:p w14:paraId="0967E88B" w14:textId="77777777" w:rsidR="005F0CEF" w:rsidRPr="005F0CEF" w:rsidRDefault="005F0CEF" w:rsidP="005F0CEF">
      <w:pPr>
        <w:spacing w:after="0" w:line="300" w:lineRule="auto"/>
        <w:jc w:val="both"/>
        <w:rPr>
          <w:rFonts w:ascii="Arial" w:hAnsi="Arial" w:cs="Arial"/>
        </w:rPr>
      </w:pPr>
      <w:r w:rsidRPr="005F0CEF">
        <w:rPr>
          <w:rFonts w:ascii="Arial" w:hAnsi="Arial" w:cs="Arial"/>
        </w:rPr>
        <w:t xml:space="preserve">Projekt ustawy ma na celu zrealizowanie założeń Krajowego Planu Odbudowy i Zwiększania Odporności, zwanego dalej „KPO”, oraz kamienia milowego A43G w ramach reformy A3.1 </w:t>
      </w:r>
      <w:r w:rsidRPr="005F0CEF">
        <w:rPr>
          <w:rFonts w:ascii="Arial" w:hAnsi="Arial" w:cs="Arial"/>
        </w:rPr>
        <w:lastRenderedPageBreak/>
        <w:t xml:space="preserve">„Kadry dla nowoczesnej gospodarki: poprawa dopasowania umiejętności i kwalifikacji do wymogów rynku pracy” i stanowi rezultat współpracy i konsultacji z przedstawicielami regionów. Realizacja kamienia milowego A43G zapewni także trwałość rozwiązań, stworzonych w ramach inwestycji A3.1.1 „Wsparcie rozwoju nowoczesnego szkolenia zawodowego, szkolnictwa wyższego oraz uczenia się przez całe życie”, której łączna wartość wynosi 1,8 mld złotych. </w:t>
      </w:r>
    </w:p>
    <w:p w14:paraId="7250D48A" w14:textId="77777777" w:rsidR="005F0CEF" w:rsidRPr="005F0CEF" w:rsidRDefault="005F0CEF" w:rsidP="005F0CEF">
      <w:pPr>
        <w:spacing w:after="0" w:line="300" w:lineRule="auto"/>
        <w:jc w:val="both"/>
        <w:rPr>
          <w:rFonts w:ascii="Arial" w:hAnsi="Arial" w:cs="Arial"/>
        </w:rPr>
      </w:pPr>
      <w:r w:rsidRPr="005F0CEF">
        <w:rPr>
          <w:rFonts w:ascii="Arial" w:hAnsi="Arial" w:cs="Arial"/>
        </w:rPr>
        <w:t>Zgodnie z KPO kamień milowy A43G musi zostać zrealizowany w terminie do dnia 31 grudnia 2025 r.</w:t>
      </w:r>
    </w:p>
    <w:p w14:paraId="21F6AD3E" w14:textId="77777777" w:rsidR="005F0CEF" w:rsidRPr="005F0CEF" w:rsidRDefault="005F0CEF" w:rsidP="005F0CEF">
      <w:pPr>
        <w:spacing w:after="0" w:line="300" w:lineRule="auto"/>
        <w:jc w:val="both"/>
        <w:rPr>
          <w:rFonts w:ascii="Arial" w:hAnsi="Arial" w:cs="Arial"/>
        </w:rPr>
      </w:pPr>
      <w:r w:rsidRPr="005F0CEF">
        <w:rPr>
          <w:rFonts w:ascii="Arial" w:hAnsi="Arial" w:cs="Arial"/>
        </w:rPr>
        <w:t xml:space="preserve">Celem projektu ustawy jest zatem określenie praw i obowiązków województw w zakresie koordynacji umiejętności oraz zapewnienia im narzędzi umożliwiających wpływ na ofertę edukacyjną dostępną na ich terytorium. Powyższe zostanie zrealizowane m.in. przez uregulowanie statusu prawnego Wojewódzkich Zespołów Koordynacji do spraw polityki umiejętności, zwanych dalej „WZK”. </w:t>
      </w:r>
    </w:p>
    <w:p w14:paraId="0F60E7C9" w14:textId="77777777" w:rsidR="005F0CEF" w:rsidRPr="005F0CEF" w:rsidRDefault="005F0CEF" w:rsidP="005F0CEF">
      <w:pPr>
        <w:spacing w:after="0" w:line="300" w:lineRule="auto"/>
        <w:jc w:val="both"/>
        <w:rPr>
          <w:rFonts w:ascii="Arial" w:hAnsi="Arial" w:cs="Arial"/>
        </w:rPr>
      </w:pPr>
      <w:r w:rsidRPr="005F0CEF">
        <w:rPr>
          <w:rFonts w:ascii="Arial" w:hAnsi="Arial" w:cs="Arial"/>
        </w:rPr>
        <w:t xml:space="preserve">Kluczowym założeniem jest poprawa dopasowania oferty kształcenia i szkolenia zawodowego do potrzeb lokalnych rynków pracy, zwłaszcza w kontekście transformacji cyfrowej, zielonej oraz wdrażania nowoczesnych technologii w gospodarce. Jest to nie tylko zobowiązanie międzynarodowe, ale przede wszystkim kluczowy krok w kierunku poprawy dopasowania polskiej oferty edukacyjnej do potrzeb dynamicznie zmieniającego się otoczenia gospodarczego. Realizacją tego założenia będzie m.in. uregulowanie statusu prawnego WZK. </w:t>
      </w:r>
    </w:p>
    <w:p w14:paraId="13A8CFB5" w14:textId="77777777" w:rsidR="005F0CEF" w:rsidRPr="005F0CEF" w:rsidRDefault="005F0CEF" w:rsidP="005F0CEF">
      <w:pPr>
        <w:spacing w:after="0" w:line="300" w:lineRule="auto"/>
        <w:jc w:val="both"/>
        <w:rPr>
          <w:rFonts w:ascii="Arial" w:hAnsi="Arial" w:cs="Arial"/>
        </w:rPr>
      </w:pPr>
      <w:r w:rsidRPr="005F0CEF">
        <w:rPr>
          <w:rFonts w:ascii="Arial" w:hAnsi="Arial" w:cs="Arial"/>
        </w:rPr>
        <w:t xml:space="preserve">Wojewódzkie Zespoły Koordynacji (WZK) </w:t>
      </w:r>
    </w:p>
    <w:p w14:paraId="4E350362" w14:textId="77777777" w:rsidR="005F0CEF" w:rsidRPr="005F0CEF" w:rsidRDefault="005F0CEF" w:rsidP="005F0CEF">
      <w:pPr>
        <w:spacing w:after="0" w:line="300" w:lineRule="auto"/>
        <w:jc w:val="both"/>
        <w:rPr>
          <w:rFonts w:ascii="Arial" w:hAnsi="Arial" w:cs="Arial"/>
        </w:rPr>
      </w:pPr>
      <w:r w:rsidRPr="005F0CEF">
        <w:rPr>
          <w:rFonts w:ascii="Arial" w:hAnsi="Arial" w:cs="Arial"/>
        </w:rPr>
        <w:t xml:space="preserve">W regionach nie funkcjonują obecnie trwałe mechanizmy współpracy w obszarze uczenia się przez całe życie, w tym kształcenia zawodowego, oraz uczenia się dorosłych. Na poziomie gremiów działających przy samorządzie, podjęto działania związane z zarządzaniem sektorem szkolnictwa branżowego, jednak obejmują one jedynie wybrane szkoły i placówki, które otrzymały wsparcie z Funduszy Europejskich w ramach Programów Regionalnych lub dotyczą integracji kształcenia ustawicznego. Ich głównym celem jest integracja różnych podmiotów, takich jak administracja publiczna, organizacje pozarządowe, instytucje edukacyjne, przedsiębiorcy czy społeczności lokalne, w celu efektywnego wdrażania polityk i programów rozwojowych. </w:t>
      </w:r>
    </w:p>
    <w:p w14:paraId="62CF9C05" w14:textId="77777777" w:rsidR="005F0CEF" w:rsidRPr="005F0CEF" w:rsidRDefault="005F0CEF" w:rsidP="005F0CEF">
      <w:pPr>
        <w:spacing w:after="0" w:line="300" w:lineRule="auto"/>
        <w:jc w:val="both"/>
        <w:rPr>
          <w:rFonts w:ascii="Arial" w:hAnsi="Arial" w:cs="Arial"/>
        </w:rPr>
      </w:pPr>
      <w:r w:rsidRPr="005F0CEF">
        <w:rPr>
          <w:rFonts w:ascii="Arial" w:hAnsi="Arial" w:cs="Arial"/>
        </w:rPr>
        <w:t xml:space="preserve">WZK do spraw polityki umiejętności zostały utworzone w każdym województwie w ramach realizacji wskaźnika A49G KPO i stanowią istotne gremia konsultacyjne dla realizacji przez zarząd województwa przedsięwzięć w ramach inwestycji A3.1.1 KPO. Istotą kamienia milowego A43G jest utrwalenie i uregulowanie statusu prawnego tych gremiów. </w:t>
      </w:r>
    </w:p>
    <w:p w14:paraId="51A1485A" w14:textId="77777777" w:rsidR="005F0CEF" w:rsidRPr="005F0CEF" w:rsidRDefault="005F0CEF" w:rsidP="005F0CEF">
      <w:pPr>
        <w:spacing w:after="0" w:line="300" w:lineRule="auto"/>
        <w:jc w:val="both"/>
        <w:rPr>
          <w:rFonts w:ascii="Arial" w:hAnsi="Arial" w:cs="Arial"/>
        </w:rPr>
      </w:pPr>
      <w:r w:rsidRPr="005F0CEF">
        <w:rPr>
          <w:rFonts w:ascii="Arial" w:hAnsi="Arial" w:cs="Arial"/>
        </w:rPr>
        <w:t xml:space="preserve">WZK, powołany przy zarządzie województwa, ma stanowić organ opiniodawczo-doradczy w zakresie polityki województwa w obszarze umiejętności, z uwzględnieniem zgodności dostępnej w regionie oferty edukacyjnej z identyfikowanymi potrzebami. Sformalizowanie roli WZK przyczyni się do efektywniejszego funkcjonowania instytucji w regionie, umożliwiając jednocześnie planowanie, monitorowanie i realizowanie regionalnych strategii rozwoju. Dzięki temu szkoły i firmy szkoleniowe lepiej dostosują swoje programy do rzeczywistych potrzeb gospodarki, a szkolenia i inne oferty pozaformalnego uczenia się zyskają na jakości i dostępności. W rezultacie całe województwo zyska bardziej zintegrowany i dynamiczny system rozwijania umiejętności, który skuteczniej odpowiada na wyzwania współczesnego rynku pracy. Jednocześnie projekt ustawy stanowi bezpośrednią odpowiedź na potrzeby i sugestie zgłaszane podczas spotkań konsultacyjnych z przedstawicielami WZK, w tym </w:t>
      </w:r>
      <w:r w:rsidRPr="005F0CEF">
        <w:rPr>
          <w:rFonts w:ascii="Arial" w:hAnsi="Arial" w:cs="Arial"/>
        </w:rPr>
        <w:lastRenderedPageBreak/>
        <w:t xml:space="preserve">reprezentantami województw i powiatów, które umożliwiły wypracowanie rozwiązań odzwierciedlających lokalne uwarunkowania oraz oczekiwania uczestników systemu – zarówno instytucji, jak i obywateli. </w:t>
      </w:r>
    </w:p>
    <w:p w14:paraId="33618B0C" w14:textId="77777777" w:rsidR="005F0CEF" w:rsidRPr="005F0CEF" w:rsidRDefault="005F0CEF" w:rsidP="005F0CEF">
      <w:pPr>
        <w:spacing w:after="0" w:line="300" w:lineRule="auto"/>
        <w:jc w:val="both"/>
        <w:rPr>
          <w:rFonts w:ascii="Arial" w:hAnsi="Arial" w:cs="Arial"/>
        </w:rPr>
      </w:pPr>
      <w:r w:rsidRPr="005F0CEF">
        <w:rPr>
          <w:rFonts w:ascii="Arial" w:hAnsi="Arial" w:cs="Arial"/>
        </w:rPr>
        <w:t>Brak formalnych przepisów o WZK w polskim ustawodawstwie powoduje dodatkowo szereg wyzwań, które ograniczają skuteczność ich funkcjonowania i wpływ na system edukacji zawodowej. Obecnie zespoły te działają głównie na podstawie projektów i inicjatyw finansowanych ze źródeł europejskich, takich jak KPO. To oznacza, że ich istnienie jest ściśle powiązane z czasowym charakterem tych funduszy, co uniemożliwia długofalowe planowanie oraz realizację trwałych działań. Brak odpowiedniego umocowania prawnego sprawia, że WZK mają ograniczoną rolę we wspieraniu współpracy pomiędzy różnymi interesariuszami polityki umiejętności. Choć podejmują działania takie jak organizacja regionalnych forów edukacyjnych czy tworzenie sieci współpracy między szkołami i pracodawcami, brak jednoznacznych ram prawnych powoduje, że ich rekomendacje i inicjatywy postrzegane są jako krótkoterminowe i nietrwałe.</w:t>
      </w:r>
    </w:p>
    <w:p w14:paraId="402029D8" w14:textId="77777777" w:rsidR="005F0CEF" w:rsidRPr="005F0CEF" w:rsidRDefault="005F0CEF" w:rsidP="005F0CEF">
      <w:pPr>
        <w:spacing w:after="0" w:line="300" w:lineRule="auto"/>
        <w:jc w:val="both"/>
        <w:rPr>
          <w:rFonts w:ascii="Arial" w:hAnsi="Arial" w:cs="Arial"/>
        </w:rPr>
      </w:pPr>
      <w:r w:rsidRPr="005F0CEF">
        <w:rPr>
          <w:rFonts w:ascii="Arial" w:hAnsi="Arial" w:cs="Arial"/>
        </w:rPr>
        <w:t>Zapewnienie spójności działań realizowanych w ramach strategii rozwoju województwa pozwoli na skuteczne wdrażanie programów krajowych i unijnych na poziomie wojewódzkim. Dodatkowo, lepsze wykorzystanie dostępnych zasobów finansowych i ludzkich pozwoli na synergię między różnymi projektami i działaniami realizowanymi w regionie. Kluczowe jest przy tym uwzględnienie specyfiki danego województwa, w tym jego potencjału, wyzwań i ograniczeń. Należy także pokreślić istotę integracji działań administracji publicznej, biznesu, sektora edukacji i organizacji pozarządowych oraz dążyć do wzmocnienia partnerstwa publiczno-prywatnego w realizacji projektów.</w:t>
      </w:r>
    </w:p>
    <w:p w14:paraId="2CF21F2F" w14:textId="77777777" w:rsidR="005F0CEF" w:rsidRPr="005F0CEF" w:rsidRDefault="005F0CEF" w:rsidP="005F0CEF">
      <w:pPr>
        <w:spacing w:after="0" w:line="300" w:lineRule="auto"/>
        <w:jc w:val="both"/>
        <w:rPr>
          <w:rFonts w:ascii="Arial" w:hAnsi="Arial" w:cs="Arial"/>
        </w:rPr>
      </w:pPr>
      <w:r w:rsidRPr="005F0CEF">
        <w:rPr>
          <w:rFonts w:ascii="Arial" w:hAnsi="Arial" w:cs="Arial"/>
        </w:rPr>
        <w:t>Projekt ustawy przewiduje m.in. zmianę ustawy z dnia 5 czerwca 1998 r. o samorządzie województwa (Dz. U. z 2025 r. poz. 581), w której proponuje się m.in. dookreślenie zadań samorządu województwa w zakresie uwzględniania w strategii rozwoju województwa celu, jakim jest rozwój umiejętności mieszkańców i promowanie idei uczenia się przez całe życie. W związku z tym, że strategia rozwoju województwa jest spójna ze średniookresową strategią rozwoju kraju i krajową strategią rozwoju regionalnego, o której mowa w art. 14a ust. 1 pkt 1 ustawy z dnia 6 grudnia 2006 r. o zasadach prowadzenia polityki rozwoju (Dz. U. z 2025 r. poz. 198), powyższa zmiana umożliwi efektywne wdrażanie Zintegrowanej Strategii Umiejętności 2030, zwanej dalej „ZSU2030”, i zwiększy spójność działań regionalnych z polityką krajową w zakresie umiejętności. Nowe rozwiązania wyposażą zarządy województw w narzędzia do skuteczniejszego planowania, monitorowania i realizowania regionalnych strategii rozwoju. Pozwoli to na lepsze wykorzystanie środków krajowych i europejskich oraz tworzenie synergii między różnymi inicjatywami.</w:t>
      </w:r>
    </w:p>
    <w:p w14:paraId="5FA30E23" w14:textId="77777777" w:rsidR="005F0CEF" w:rsidRPr="005F0CEF" w:rsidRDefault="005F0CEF" w:rsidP="005F0CEF">
      <w:pPr>
        <w:spacing w:after="0" w:line="300" w:lineRule="auto"/>
        <w:jc w:val="both"/>
        <w:rPr>
          <w:rFonts w:ascii="Arial" w:hAnsi="Arial" w:cs="Arial"/>
        </w:rPr>
      </w:pPr>
      <w:r w:rsidRPr="005F0CEF">
        <w:rPr>
          <w:rFonts w:ascii="Arial" w:hAnsi="Arial" w:cs="Arial"/>
        </w:rPr>
        <w:t>Ponadto proponuje się uregulowanie statusu prawnego WZK w ustawie z dnia 5 czerwca 1998 r. o samorządzie województwa, co zapewni WZK narzędzia umożliwiające wpływ na ofertę kształcenia i szkolenia zawodowego dostępną na obszarze danego województwa.</w:t>
      </w:r>
    </w:p>
    <w:p w14:paraId="0D623A2C" w14:textId="77777777" w:rsidR="005F0CEF" w:rsidRPr="005F0CEF" w:rsidRDefault="005F0CEF" w:rsidP="005F0CEF">
      <w:pPr>
        <w:spacing w:after="0" w:line="300" w:lineRule="auto"/>
        <w:jc w:val="both"/>
        <w:rPr>
          <w:rFonts w:ascii="Arial" w:hAnsi="Arial" w:cs="Arial"/>
        </w:rPr>
      </w:pPr>
      <w:r w:rsidRPr="005F0CEF">
        <w:rPr>
          <w:rFonts w:ascii="Arial" w:hAnsi="Arial" w:cs="Arial"/>
        </w:rPr>
        <w:t>Planowane narzędzia interwencji:</w:t>
      </w:r>
    </w:p>
    <w:p w14:paraId="0C5E5B37" w14:textId="26B4364E" w:rsidR="005F0CEF" w:rsidRPr="005F0CEF" w:rsidRDefault="005F0CEF" w:rsidP="005F0CEF">
      <w:pPr>
        <w:pStyle w:val="Akapitzlist"/>
        <w:numPr>
          <w:ilvl w:val="0"/>
          <w:numId w:val="30"/>
        </w:numPr>
        <w:spacing w:after="0" w:line="300" w:lineRule="auto"/>
        <w:jc w:val="both"/>
        <w:rPr>
          <w:rFonts w:ascii="Arial" w:hAnsi="Arial" w:cs="Arial"/>
        </w:rPr>
      </w:pPr>
      <w:r w:rsidRPr="005F0CEF">
        <w:rPr>
          <w:rFonts w:ascii="Arial" w:hAnsi="Arial" w:cs="Arial"/>
        </w:rPr>
        <w:t xml:space="preserve">określenie na poziomie ustawowym m.in.: </w:t>
      </w:r>
    </w:p>
    <w:p w14:paraId="1ADE0D6C" w14:textId="46F42BB7" w:rsidR="005F0CEF" w:rsidRPr="005F0CEF" w:rsidRDefault="005F0CEF" w:rsidP="005F0CEF">
      <w:pPr>
        <w:pStyle w:val="Akapitzlist"/>
        <w:numPr>
          <w:ilvl w:val="1"/>
          <w:numId w:val="30"/>
        </w:numPr>
        <w:spacing w:after="0" w:line="300" w:lineRule="auto"/>
        <w:jc w:val="both"/>
        <w:rPr>
          <w:rFonts w:ascii="Arial" w:hAnsi="Arial" w:cs="Arial"/>
        </w:rPr>
      </w:pPr>
      <w:r w:rsidRPr="005F0CEF">
        <w:rPr>
          <w:rFonts w:ascii="Arial" w:hAnsi="Arial" w:cs="Arial"/>
        </w:rPr>
        <w:t xml:space="preserve">zadań jakie mają realizować WZK, wynikających z założeń przyjętych w KPO i zapewniających wpływ WZK na dostosowanie, na poziomie województwa, ofert kształcenia i szkolenia zawodowego do potrzeb w zakresie umiejętności  oraz monitorowanie i ocenę regionalnej polityki w zakresie umiejętności (zadania te </w:t>
      </w:r>
      <w:r w:rsidRPr="005F0CEF">
        <w:rPr>
          <w:rFonts w:ascii="Arial" w:hAnsi="Arial" w:cs="Arial"/>
        </w:rPr>
        <w:lastRenderedPageBreak/>
        <w:t xml:space="preserve">zgodnie z projektem obejmują m. in.: opiniowanie strategii rozwoju województwa; przedstawianie rekomendacji zarządowi województwa dotyczących wdrażania i realizacji polityki rozwoju województwa w zakresie rozwoju umiejętności mieszkańców i promowania idei uczenia się przez całe życie, przedstawianie rekomendacji zarządowi województwa dotyczących wdrażania polityk publicznych, o których mowa w ustawie z dnia 6 grudnia 2006 r. o zasadach prowadzenia polityki rozwoju, obejmujących obszar uczenia się przez całe życie; przekazywanie Instytutowi Badań Edukacyjnych – Państwowemu Instytutowi Badawczemu informacji dotyczących zapotrzebowania na zawody w danym województwie; współpraca w zakresie rozwoju umiejętności mieszkańców z organami administracji publicznej i organizacjami pozarządowymi, a także innymi podmiotami działającymi w obszarze kształcenia i szkolenia zawodowego oraz uczenia się przez całe życie; współpraca z WZK działającymi na terenie innych województw; delegowanie przedstawicieli do rad branżowych centrów umiejętności); </w:t>
      </w:r>
    </w:p>
    <w:p w14:paraId="53B5A3CD" w14:textId="330F7D4D" w:rsidR="005F0CEF" w:rsidRPr="005F0CEF" w:rsidRDefault="005F0CEF" w:rsidP="005F0CEF">
      <w:pPr>
        <w:pStyle w:val="Akapitzlist"/>
        <w:numPr>
          <w:ilvl w:val="1"/>
          <w:numId w:val="30"/>
        </w:numPr>
        <w:spacing w:after="0" w:line="300" w:lineRule="auto"/>
        <w:jc w:val="both"/>
        <w:rPr>
          <w:rFonts w:ascii="Arial" w:hAnsi="Arial" w:cs="Arial"/>
        </w:rPr>
      </w:pPr>
      <w:r w:rsidRPr="005F0CEF">
        <w:rPr>
          <w:rFonts w:ascii="Arial" w:hAnsi="Arial" w:cs="Arial"/>
        </w:rPr>
        <w:t xml:space="preserve">składu WZK, który ma zagwarantować, że wśród jego członków znajdą się przedstawiciele wszystkich znaczących instytucji, mających wpływ, na poziomie województwa, na umiejętności, a ze względu na oczekiwaną od nich wiedzę i doświadczenie, będą mogli skutecznie realizować powierzone WZK zadania.  </w:t>
      </w:r>
    </w:p>
    <w:p w14:paraId="7A59D8D2" w14:textId="204F7C67" w:rsidR="005F0CEF" w:rsidRPr="005F0CEF" w:rsidRDefault="005F0CEF" w:rsidP="005F0CEF">
      <w:pPr>
        <w:pStyle w:val="Akapitzlist"/>
        <w:numPr>
          <w:ilvl w:val="0"/>
          <w:numId w:val="30"/>
        </w:numPr>
        <w:spacing w:after="0" w:line="300" w:lineRule="auto"/>
        <w:jc w:val="both"/>
        <w:rPr>
          <w:rFonts w:ascii="Arial" w:hAnsi="Arial" w:cs="Arial"/>
        </w:rPr>
      </w:pPr>
      <w:r w:rsidRPr="005F0CEF">
        <w:rPr>
          <w:rFonts w:ascii="Arial" w:hAnsi="Arial" w:cs="Arial"/>
        </w:rPr>
        <w:t>ukształtowanie wpływu WZK na regionalną ofertę kształcenia i szkolenia zawodowego dostosowanego do potrzeb w zakresie umiejętności w oparciu o przypisane zadania – zwłaszcza poprzez wydawanie opinii o zasadności lub o braku zasadności kształcenia w danym zawodzie zgodnie z potrzebami rynku pracy (na wniosek dyrektora szkoły, złożony w terminie 14 dni od dnia otrzymania od wojewódzkiej rady rynku pracy opinii o braku zasadności kształcenia w danym zawodzie zgodnie z potrzebami rynku pracy, o której mowa w art. 8 ust. 2 pkt 3 ustawy z dnia 20 marca 2025 r. o rynku pracy i służbach zatrudnienia) oraz opiniowanie wykazu zawodów, w których za przygotowanie zawodowe młodocianych pracowników może być dokonywana refundacja.</w:t>
      </w:r>
    </w:p>
    <w:p w14:paraId="63DFD8F6" w14:textId="66E78A86" w:rsidR="005F0CEF" w:rsidRPr="005F0CEF" w:rsidRDefault="005F0CEF" w:rsidP="005F0CEF">
      <w:pPr>
        <w:pStyle w:val="Akapitzlist"/>
        <w:numPr>
          <w:ilvl w:val="0"/>
          <w:numId w:val="30"/>
        </w:numPr>
        <w:spacing w:after="0" w:line="300" w:lineRule="auto"/>
        <w:jc w:val="both"/>
        <w:rPr>
          <w:rFonts w:ascii="Arial" w:hAnsi="Arial" w:cs="Arial"/>
        </w:rPr>
      </w:pPr>
      <w:r w:rsidRPr="005F0CEF">
        <w:rPr>
          <w:rFonts w:ascii="Arial" w:hAnsi="Arial" w:cs="Arial"/>
        </w:rPr>
        <w:t>zintegrowanie działań edukacyjnych z rynkiem pracy – współpracę WZK:</w:t>
      </w:r>
    </w:p>
    <w:p w14:paraId="1D934C22" w14:textId="79221634" w:rsidR="005F0CEF" w:rsidRPr="005F0CEF" w:rsidRDefault="005F0CEF" w:rsidP="005F0CEF">
      <w:pPr>
        <w:pStyle w:val="Akapitzlist"/>
        <w:numPr>
          <w:ilvl w:val="1"/>
          <w:numId w:val="30"/>
        </w:numPr>
        <w:spacing w:after="0" w:line="300" w:lineRule="auto"/>
        <w:jc w:val="both"/>
        <w:rPr>
          <w:rFonts w:ascii="Arial" w:hAnsi="Arial" w:cs="Arial"/>
        </w:rPr>
      </w:pPr>
      <w:r w:rsidRPr="005F0CEF">
        <w:rPr>
          <w:rFonts w:ascii="Arial" w:hAnsi="Arial" w:cs="Arial"/>
        </w:rPr>
        <w:t>w zakresie rozwoju umiejętności mieszkańców z organami administracji publicznej, organizacjami pozarządowymi i podmiotami wymienionymi w art. 3 ust. 3 ustawy z dnia 24 kwietnia 2003 r. o działalności pożytku publicznego i o wolontariacie (Dz. U. z 2024 r. poz. 1491, z późn. zm.) oraz innymi podmiotami działającymi w obszarze kształcenia i szkolenia zawodowego oraz uczenia się przez całe życie, obejmującą m.in. przygotowywanie rekomendacji dla tych podmiotów w celu lepszego dopasowania oferty kształcenia i szkolenia zawodowego dostosowanego do potrzeb lokalnej gospodarki i przyszłych wyzwań kompetencyjnych,</w:t>
      </w:r>
    </w:p>
    <w:p w14:paraId="36DC6402" w14:textId="055930AC" w:rsidR="005F0CEF" w:rsidRPr="005F0CEF" w:rsidRDefault="005F0CEF" w:rsidP="005F0CEF">
      <w:pPr>
        <w:pStyle w:val="Akapitzlist"/>
        <w:numPr>
          <w:ilvl w:val="1"/>
          <w:numId w:val="30"/>
        </w:numPr>
        <w:spacing w:after="0" w:line="300" w:lineRule="auto"/>
        <w:jc w:val="both"/>
        <w:rPr>
          <w:rFonts w:ascii="Arial" w:hAnsi="Arial" w:cs="Arial"/>
        </w:rPr>
      </w:pPr>
      <w:r w:rsidRPr="005F0CEF">
        <w:rPr>
          <w:rFonts w:ascii="Arial" w:hAnsi="Arial" w:cs="Arial"/>
        </w:rPr>
        <w:t>z WZK działającymi na terenie innych województw; uwzględnienie specyfiki regionalnej – WZK będą działać z uwzględnieniem lokalnych uwarunkowań społeczno-gospodarczych, co umożliwi indywidualizację działań i elastyczne reagowanie na zmiany w strukturze rynku pracy poszczególnych województw;</w:t>
      </w:r>
    </w:p>
    <w:p w14:paraId="3FF56849" w14:textId="753874C2" w:rsidR="005F0CEF" w:rsidRPr="005F0CEF" w:rsidRDefault="005F0CEF" w:rsidP="005F0CEF">
      <w:pPr>
        <w:pStyle w:val="Akapitzlist"/>
        <w:numPr>
          <w:ilvl w:val="0"/>
          <w:numId w:val="30"/>
        </w:numPr>
        <w:spacing w:after="0" w:line="300" w:lineRule="auto"/>
        <w:jc w:val="both"/>
        <w:rPr>
          <w:rFonts w:ascii="Arial" w:hAnsi="Arial" w:cs="Arial"/>
        </w:rPr>
      </w:pPr>
      <w:r w:rsidRPr="005F0CEF">
        <w:rPr>
          <w:rFonts w:ascii="Arial" w:hAnsi="Arial" w:cs="Arial"/>
        </w:rPr>
        <w:lastRenderedPageBreak/>
        <w:t xml:space="preserve">określenie wpływu WZK na wykorzystanie w województwach środków europejskich – WZK jako organ opiniodawczo-doradczy będą mogły wydawać rekomendacje dotyczące także planowania wydatkowania środków z projektów finansowanych z funduszy europejskich; </w:t>
      </w:r>
    </w:p>
    <w:p w14:paraId="44AE7DE7" w14:textId="0FCCFEAA" w:rsidR="005F0CEF" w:rsidRPr="005F0CEF" w:rsidRDefault="005F0CEF" w:rsidP="005F0CEF">
      <w:pPr>
        <w:pStyle w:val="Akapitzlist"/>
        <w:numPr>
          <w:ilvl w:val="0"/>
          <w:numId w:val="30"/>
        </w:numPr>
        <w:spacing w:after="0" w:line="300" w:lineRule="auto"/>
        <w:jc w:val="both"/>
        <w:rPr>
          <w:rFonts w:ascii="Arial" w:hAnsi="Arial" w:cs="Arial"/>
        </w:rPr>
      </w:pPr>
      <w:r w:rsidRPr="005F0CEF">
        <w:rPr>
          <w:rFonts w:ascii="Arial" w:hAnsi="Arial" w:cs="Arial"/>
        </w:rPr>
        <w:t>wskazanie źródła finansowania WZK.</w:t>
      </w:r>
    </w:p>
    <w:p w14:paraId="7520E866" w14:textId="77777777" w:rsidR="005F0CEF" w:rsidRPr="005F0CEF" w:rsidRDefault="005F0CEF" w:rsidP="005F0CEF">
      <w:pPr>
        <w:spacing w:after="0" w:line="300" w:lineRule="auto"/>
        <w:jc w:val="both"/>
        <w:rPr>
          <w:rFonts w:ascii="Arial" w:hAnsi="Arial" w:cs="Arial"/>
        </w:rPr>
      </w:pPr>
      <w:r w:rsidRPr="005F0CEF">
        <w:rPr>
          <w:rFonts w:ascii="Arial" w:hAnsi="Arial" w:cs="Arial"/>
        </w:rPr>
        <w:t>Oczekiwany efekt:</w:t>
      </w:r>
    </w:p>
    <w:p w14:paraId="0A8076F6" w14:textId="77777777" w:rsidR="005F0CEF" w:rsidRPr="005F0CEF" w:rsidRDefault="005F0CEF" w:rsidP="005F0CEF">
      <w:pPr>
        <w:spacing w:after="0" w:line="300" w:lineRule="auto"/>
        <w:jc w:val="both"/>
        <w:rPr>
          <w:rFonts w:ascii="Arial" w:hAnsi="Arial" w:cs="Arial"/>
        </w:rPr>
      </w:pPr>
      <w:r w:rsidRPr="005F0CEF">
        <w:rPr>
          <w:rFonts w:ascii="Arial" w:hAnsi="Arial" w:cs="Arial"/>
        </w:rPr>
        <w:t xml:space="preserve">Projektowane regulacje przyczynią się do wzmocnienia oferty kształcenia i szkolenia zawodowego, rozwoju kompetencji mieszkańców województwa oraz lepszego dopasowania kształcenia i szkolenia zawodowego do rzeczywistych potrzeb lokalnych społeczności i gospodarki. </w:t>
      </w:r>
    </w:p>
    <w:p w14:paraId="7D60700A" w14:textId="77777777" w:rsidR="005F0CEF" w:rsidRPr="005F0CEF" w:rsidRDefault="005F0CEF" w:rsidP="005F0CEF">
      <w:pPr>
        <w:spacing w:after="0" w:line="300" w:lineRule="auto"/>
        <w:jc w:val="both"/>
        <w:rPr>
          <w:rFonts w:ascii="Arial" w:hAnsi="Arial" w:cs="Arial"/>
        </w:rPr>
      </w:pPr>
      <w:r w:rsidRPr="005F0CEF">
        <w:rPr>
          <w:rFonts w:ascii="Arial" w:hAnsi="Arial" w:cs="Arial"/>
        </w:rPr>
        <w:t xml:space="preserve">Dzięki lepszemu dostosowaniu oferty kształcenia i szkolenia zawodowego do potrzeb rynku pracy, uczniowie i osoby dorosłe zyskają dostęp do bardziej praktycznych, nowoczesnych i perspektywicznych form kształcenia. Zwiększy to ich szanse na zatrudnienie, szczególnie w dynamicznie rozwijających się sektorach gospodarki, takich jak IT, energetyka, zdrowie czy przemysł. Dodatkowo nowe regulacje będą wspierały ideę uczenia się przez całe życie, w tym także dla grup defaworyzowanych, takich jak osoby bezrobotne, niskowykwalifikowane lub z niepełnosprawnościami czy mieszkańców obszarów peryferyjnych. </w:t>
      </w:r>
    </w:p>
    <w:p w14:paraId="77B72411" w14:textId="77777777" w:rsidR="005F0CEF" w:rsidRPr="005F0CEF" w:rsidRDefault="005F0CEF" w:rsidP="005F0CEF">
      <w:pPr>
        <w:spacing w:after="0" w:line="300" w:lineRule="auto"/>
        <w:jc w:val="both"/>
        <w:rPr>
          <w:rFonts w:ascii="Arial" w:hAnsi="Arial" w:cs="Arial"/>
        </w:rPr>
      </w:pPr>
      <w:r w:rsidRPr="005F0CEF">
        <w:rPr>
          <w:rFonts w:ascii="Arial" w:hAnsi="Arial" w:cs="Arial"/>
        </w:rPr>
        <w:t>WZK będą umożliwiać wymianę informacji i doświadczeń między organami administracji publicznej, organizacjami pozarządowymi i podmiotami wymienionymi w art. 3 ust. 3 ustawy z dnia 24 kwietnia 2003 r. o działalności pożytku publicznego i o wolontariacie oraz innymi podmiotami działającymi w obszarze kształcenia i szkolenia zawodowego oraz uczenia się przez całe życie, w tym ze szkołami, placówkami kształcenia ustawicznego, centrami kształcenia zawodowego, branżowymi centrami umiejętności, uczelniami, a także pracodawcami i instytucjami rynku pracy.</w:t>
      </w:r>
    </w:p>
    <w:p w14:paraId="47EFAADE" w14:textId="77777777" w:rsidR="005F0CEF" w:rsidRPr="005F0CEF" w:rsidRDefault="005F0CEF" w:rsidP="005F0CEF">
      <w:pPr>
        <w:spacing w:after="0" w:line="300" w:lineRule="auto"/>
        <w:jc w:val="both"/>
        <w:rPr>
          <w:rFonts w:ascii="Arial" w:hAnsi="Arial" w:cs="Arial"/>
        </w:rPr>
      </w:pPr>
      <w:r w:rsidRPr="005F0CEF">
        <w:rPr>
          <w:rFonts w:ascii="Arial" w:hAnsi="Arial" w:cs="Arial"/>
        </w:rPr>
        <w:t>WZK będą współpracować z organami administracji rządowej i samorządowej, organizacjami pozarządowymi, instytucjami edukacyjnymi, centrami umiejętności i innymi podmiotami uczestniczącymi w systemie edukacji i polityki rozwoju. Współpraca ta odbywa się m.in. w formie konsultacji strategii rozwoju, przekazywania informacji o zapotrzebowaniu na zawody oraz współuczestnictwa w projektach edukacyjno-zawodowych.</w:t>
      </w:r>
    </w:p>
    <w:p w14:paraId="57EBFF64" w14:textId="507AE8E1" w:rsidR="00446437" w:rsidRDefault="005F0CEF" w:rsidP="005F0CEF">
      <w:pPr>
        <w:spacing w:after="0" w:line="300" w:lineRule="auto"/>
        <w:jc w:val="both"/>
        <w:rPr>
          <w:rFonts w:ascii="Arial" w:hAnsi="Arial" w:cs="Arial"/>
        </w:rPr>
      </w:pPr>
      <w:r w:rsidRPr="005F0CEF">
        <w:rPr>
          <w:rFonts w:ascii="Arial" w:hAnsi="Arial" w:cs="Arial"/>
        </w:rPr>
        <w:t>Dookreślenie zadań samorządu województwa w zakresie uwzględniania w strategii rozwoju województwa celu, jakim jest rozwój umiejętności mieszkańców i promowanie idei uczenia się przez całe życie, wpłynie na skuteczniejsze realizowanie polityki rozwoju województwa w tym zakresie, co przełoży się na lepszą organizację usług publicznych – m.in. w edukacji, szkoleniach i zatrudnieniu.</w:t>
      </w:r>
    </w:p>
    <w:p w14:paraId="1E1FCEA7" w14:textId="77777777" w:rsidR="00446437" w:rsidRDefault="00446437" w:rsidP="00446437">
      <w:pPr>
        <w:spacing w:after="0" w:line="300" w:lineRule="auto"/>
        <w:jc w:val="both"/>
        <w:rPr>
          <w:rFonts w:ascii="Arial" w:hAnsi="Arial" w:cs="Arial"/>
        </w:rPr>
      </w:pPr>
    </w:p>
    <w:p w14:paraId="4CB32676" w14:textId="77777777" w:rsidR="00AA1233" w:rsidRPr="00AA1233" w:rsidRDefault="00AA1233" w:rsidP="00AA1233">
      <w:pPr>
        <w:spacing w:after="0" w:line="300" w:lineRule="auto"/>
        <w:jc w:val="both"/>
        <w:rPr>
          <w:rFonts w:ascii="Arial" w:hAnsi="Arial" w:cs="Arial"/>
        </w:rPr>
      </w:pPr>
      <w:r w:rsidRPr="00AA1233">
        <w:rPr>
          <w:rFonts w:ascii="Arial" w:hAnsi="Arial" w:cs="Arial"/>
        </w:rPr>
        <w:t>Przedmiotowy projekt aktu prawnego wraz z Uzasadnieniem oraz Oceną Skutków Regulacji dostępny jest na stronach Rządowego Centrum Legislacji pod adresem:</w:t>
      </w:r>
    </w:p>
    <w:p w14:paraId="47EDA460" w14:textId="00C7D82D" w:rsidR="00AA1233" w:rsidRPr="00446437" w:rsidRDefault="00AA1233" w:rsidP="00AA1233">
      <w:pPr>
        <w:spacing w:after="0" w:line="300" w:lineRule="auto"/>
        <w:jc w:val="both"/>
        <w:rPr>
          <w:rFonts w:ascii="Arial" w:hAnsi="Arial" w:cs="Arial"/>
        </w:rPr>
      </w:pPr>
      <w:hyperlink r:id="rId7" w:anchor="13149606" w:history="1">
        <w:r w:rsidRPr="008836EE">
          <w:rPr>
            <w:rStyle w:val="Hipercze"/>
            <w:rFonts w:ascii="Arial" w:hAnsi="Arial" w:cs="Arial"/>
          </w:rPr>
          <w:t>https://legislacja.rcl.gov.pl/projekt/12401050/katalog/13149606#13149606</w:t>
        </w:r>
      </w:hyperlink>
      <w:r>
        <w:rPr>
          <w:rFonts w:ascii="Arial" w:hAnsi="Arial" w:cs="Arial"/>
        </w:rPr>
        <w:t xml:space="preserve"> </w:t>
      </w:r>
    </w:p>
    <w:p w14:paraId="21FF8999" w14:textId="77777777" w:rsidR="00446437" w:rsidRDefault="00446437" w:rsidP="00446437">
      <w:pPr>
        <w:spacing w:after="0" w:line="300" w:lineRule="auto"/>
        <w:jc w:val="both"/>
        <w:rPr>
          <w:rFonts w:ascii="Arial" w:hAnsi="Arial" w:cs="Arial"/>
        </w:rPr>
      </w:pPr>
    </w:p>
    <w:p w14:paraId="0CA719C9" w14:textId="0238B751" w:rsidR="00AA1233" w:rsidRDefault="00AA1233" w:rsidP="00446437">
      <w:pPr>
        <w:spacing w:after="0" w:line="300" w:lineRule="auto"/>
        <w:jc w:val="both"/>
        <w:rPr>
          <w:rFonts w:ascii="Arial" w:hAnsi="Arial" w:cs="Arial"/>
        </w:rPr>
      </w:pPr>
      <w:r w:rsidRPr="00AA1233">
        <w:rPr>
          <w:rFonts w:ascii="Arial" w:hAnsi="Arial" w:cs="Arial"/>
        </w:rPr>
        <w:t>Projekt jest obecnie jednocześnie na etapie uzgodnień, konsultacji publicznych i opiniowania.</w:t>
      </w:r>
    </w:p>
    <w:p w14:paraId="4992D886" w14:textId="77777777" w:rsidR="00AA1233" w:rsidRDefault="00AA1233" w:rsidP="00446437">
      <w:pPr>
        <w:spacing w:after="0" w:line="300" w:lineRule="auto"/>
        <w:jc w:val="both"/>
        <w:rPr>
          <w:rFonts w:ascii="Arial" w:hAnsi="Arial" w:cs="Arial"/>
        </w:rPr>
      </w:pPr>
    </w:p>
    <w:p w14:paraId="634E7F02" w14:textId="77777777" w:rsidR="00446437" w:rsidRDefault="00446437" w:rsidP="00446437">
      <w:pPr>
        <w:spacing w:after="0" w:line="300" w:lineRule="auto"/>
        <w:jc w:val="both"/>
        <w:rPr>
          <w:rFonts w:ascii="Arial" w:hAnsi="Arial" w:cs="Arial"/>
        </w:rPr>
      </w:pPr>
      <w:r>
        <w:rPr>
          <w:rFonts w:ascii="Arial" w:hAnsi="Arial" w:cs="Arial"/>
        </w:rPr>
        <w:t>Projekty rozporządzeń:</w:t>
      </w:r>
    </w:p>
    <w:p w14:paraId="30077621" w14:textId="77777777" w:rsidR="00446437" w:rsidRDefault="00446437" w:rsidP="00446437">
      <w:pPr>
        <w:spacing w:after="0" w:line="300" w:lineRule="auto"/>
        <w:jc w:val="both"/>
        <w:rPr>
          <w:rFonts w:ascii="Arial" w:hAnsi="Arial" w:cs="Arial"/>
        </w:rPr>
      </w:pPr>
    </w:p>
    <w:p w14:paraId="67BC12BB" w14:textId="63E12D4E" w:rsidR="00446437" w:rsidRPr="00AA1233" w:rsidRDefault="00AA1233" w:rsidP="00446437">
      <w:pPr>
        <w:pStyle w:val="Akapitzlist"/>
        <w:numPr>
          <w:ilvl w:val="0"/>
          <w:numId w:val="4"/>
        </w:numPr>
        <w:spacing w:after="0" w:line="300" w:lineRule="auto"/>
        <w:jc w:val="both"/>
        <w:rPr>
          <w:rFonts w:ascii="Arial" w:hAnsi="Arial" w:cs="Arial"/>
          <w:b/>
          <w:bCs/>
          <w:u w:val="single"/>
        </w:rPr>
      </w:pPr>
      <w:r w:rsidRPr="00AA1233">
        <w:rPr>
          <w:rFonts w:ascii="Arial" w:hAnsi="Arial" w:cs="Arial"/>
          <w:b/>
          <w:bCs/>
          <w:u w:val="single"/>
        </w:rPr>
        <w:lastRenderedPageBreak/>
        <w:t>Projekt rozporządzenia Ministra Finansów i Gospodarki zmieniające rozporządzenie w sprawie bezpieczeństwa i higieny pracy podczas eksploatacji maszyn i innych urządzeń technicznych do robót ziemnych, budowlanych i drogowych (numer z wykazu 50).</w:t>
      </w:r>
    </w:p>
    <w:p w14:paraId="52948BAB" w14:textId="77777777" w:rsidR="00446437" w:rsidRDefault="00446437" w:rsidP="00446437">
      <w:pPr>
        <w:spacing w:after="0" w:line="300" w:lineRule="auto"/>
        <w:jc w:val="both"/>
        <w:rPr>
          <w:rFonts w:ascii="Arial" w:hAnsi="Arial" w:cs="Arial"/>
        </w:rPr>
      </w:pPr>
    </w:p>
    <w:p w14:paraId="0D252386" w14:textId="77777777" w:rsidR="00AA1233" w:rsidRPr="00AA1233" w:rsidRDefault="00AA1233" w:rsidP="00AA1233">
      <w:pPr>
        <w:spacing w:after="0" w:line="300" w:lineRule="auto"/>
        <w:jc w:val="both"/>
        <w:rPr>
          <w:rFonts w:ascii="Arial" w:hAnsi="Arial" w:cs="Arial"/>
        </w:rPr>
      </w:pPr>
      <w:r w:rsidRPr="00AA1233">
        <w:rPr>
          <w:rFonts w:ascii="Arial" w:hAnsi="Arial" w:cs="Arial"/>
        </w:rPr>
        <w:t xml:space="preserve">Podjęcie prac nad przygotowaniem projektu rozporządzenia wynika z konieczności zmiany przepisów wykonawczych wydanych na podstawie art. 23715 § 2 Kodeksu pracy, polegającej na uchyleniu w rozporządzeniu Ministra Gospodarki z dnia 20 września 2001 r. w sprawie bezpieczeństwa i higieny pracy podczas eksploatacji maszyn i innych urządzeń technicznych do robót ziemnych, budowlanych i drogowych (Dz. U. z 2018 r. poz. 583, z późn. zm.), przepisów odnoszących się do nabywania uprawnień do obsługi maszyn stosowanych do prac ziemnych, budowlanych, drogowych i innych oraz montażu i demontażu rusztowań, które to kwestie określone zostały na poziomie ustawowym i obecnie procedowany jest projekt ustawy w tym zakresie. </w:t>
      </w:r>
    </w:p>
    <w:p w14:paraId="64D08719" w14:textId="77777777" w:rsidR="00AA1233" w:rsidRPr="00AA1233" w:rsidRDefault="00AA1233" w:rsidP="00AA1233">
      <w:pPr>
        <w:spacing w:after="0" w:line="300" w:lineRule="auto"/>
        <w:jc w:val="both"/>
        <w:rPr>
          <w:rFonts w:ascii="Arial" w:hAnsi="Arial" w:cs="Arial"/>
        </w:rPr>
      </w:pPr>
      <w:r w:rsidRPr="00AA1233">
        <w:rPr>
          <w:rFonts w:ascii="Arial" w:hAnsi="Arial" w:cs="Arial"/>
        </w:rPr>
        <w:t xml:space="preserve">W obecnie obowiązującym rozporządzeniu Ministra Gospodarki, zgodnie z treścią upoważnienia ustawowego, powinny być zawarte wyłącznie przepisy dotyczące bezpieczeństwa i higieny pracy, a zakres merytoryczny dotyczący nabywania uprawnień, które są zawarte w przepisach § 23–26 tego rozporządzenia, nie powinien być objęty niniejszą regulacją ze względu na jej charakter i przeznaczenie. Z tego powodu podjęto prace nad regulacją rangi ustawowej (w ramach projektu ustawy o zasadach nabywania uprawnień do obsługi maszyn stosowanych do prac ziemnych, budowlanych, drogowych i innych oraz montażu i demontażu rusztowań – UD142), w której określono zasady nabywania uprawnień do obsługi maszyn stosowanych do prac ziemnych, budowlanych, drogowych i innych oraz montażu i demontażu rusztowań.  </w:t>
      </w:r>
    </w:p>
    <w:p w14:paraId="2EDBA57F" w14:textId="77777777" w:rsidR="00AA1233" w:rsidRPr="00AA1233" w:rsidRDefault="00AA1233" w:rsidP="00AA1233">
      <w:pPr>
        <w:spacing w:after="0" w:line="300" w:lineRule="auto"/>
        <w:jc w:val="both"/>
        <w:rPr>
          <w:rFonts w:ascii="Arial" w:hAnsi="Arial" w:cs="Arial"/>
        </w:rPr>
      </w:pPr>
      <w:r w:rsidRPr="00AA1233">
        <w:rPr>
          <w:rFonts w:ascii="Arial" w:hAnsi="Arial" w:cs="Arial"/>
        </w:rPr>
        <w:t>W związku z tym zachodzi konieczność uchylenia przepisów w zmienianym rozporządzeniu, które dotychczas regulowały powyższe kwestie, tj. § 23–26 oraz załącznik nr 1 i 2. W pozostałym zakresie, tj. § 1-22 rozporządzenie nie ulegnie zmianie.</w:t>
      </w:r>
    </w:p>
    <w:p w14:paraId="3B68C3B1" w14:textId="77777777" w:rsidR="00AA1233" w:rsidRPr="00AA1233" w:rsidRDefault="00AA1233" w:rsidP="00AA1233">
      <w:pPr>
        <w:spacing w:after="0" w:line="300" w:lineRule="auto"/>
        <w:jc w:val="both"/>
        <w:rPr>
          <w:rFonts w:ascii="Arial" w:hAnsi="Arial" w:cs="Arial"/>
        </w:rPr>
      </w:pPr>
      <w:r w:rsidRPr="00AA1233">
        <w:rPr>
          <w:rFonts w:ascii="Arial" w:hAnsi="Arial" w:cs="Arial"/>
        </w:rPr>
        <w:t xml:space="preserve">Nadrzędnym celem niniejszego projektu nowelizowanego rozporządzenia jest przejrzyste i szczegółowe uporządkowanie przepisów na zasadzie wyłączenia z niniejszej regulacji, mającej z założenia dotyczyć przede wszystkim problematyki bezpieczeństwa pracy – innych, odrębnych z powodu ich charakteru, przepisów stanowiących wymagania nabywania uprawnień do obsługi maszyn.    </w:t>
      </w:r>
    </w:p>
    <w:p w14:paraId="4C871D6B" w14:textId="3D282CE0" w:rsidR="00446437" w:rsidRDefault="00AA1233" w:rsidP="00AA1233">
      <w:pPr>
        <w:spacing w:after="0" w:line="300" w:lineRule="auto"/>
        <w:jc w:val="both"/>
        <w:rPr>
          <w:rFonts w:ascii="Arial" w:hAnsi="Arial" w:cs="Arial"/>
        </w:rPr>
      </w:pPr>
      <w:r w:rsidRPr="00AA1233">
        <w:rPr>
          <w:rFonts w:ascii="Arial" w:hAnsi="Arial" w:cs="Arial"/>
        </w:rPr>
        <w:t>Dzięki temu zaistnieje możliwość poprawy sytuacji zarówno dla samych pracowników, realizujących niniejsze zadania, jak też dla pracodawców, którzy odpowiedzialni są za właściwe zorganizowanie pracy, tym samym pozwalając na stworzenie bardziej bezpiecznych warunków pracy.</w:t>
      </w:r>
    </w:p>
    <w:p w14:paraId="39BEFF20" w14:textId="77777777" w:rsidR="00446437" w:rsidRDefault="00446437" w:rsidP="00446437">
      <w:pPr>
        <w:spacing w:after="0" w:line="300" w:lineRule="auto"/>
        <w:jc w:val="both"/>
        <w:rPr>
          <w:rFonts w:ascii="Arial" w:hAnsi="Arial" w:cs="Arial"/>
        </w:rPr>
      </w:pPr>
    </w:p>
    <w:p w14:paraId="0C9CFC5C" w14:textId="77777777" w:rsidR="00AA1233" w:rsidRPr="00AA1233" w:rsidRDefault="00AA1233" w:rsidP="00AA1233">
      <w:pPr>
        <w:spacing w:after="0" w:line="300" w:lineRule="auto"/>
        <w:jc w:val="both"/>
        <w:rPr>
          <w:rFonts w:ascii="Arial" w:hAnsi="Arial" w:cs="Arial"/>
        </w:rPr>
      </w:pPr>
      <w:r w:rsidRPr="00AA1233">
        <w:rPr>
          <w:rFonts w:ascii="Arial" w:hAnsi="Arial" w:cs="Arial"/>
        </w:rPr>
        <w:t>Przedmiotowy projekt aktu prawnego wraz z Uzasadnieniem oraz Oceną Skutków Regulacji dostępny jest na stronach Rządowego Centrum Legislacji pod adresem:</w:t>
      </w:r>
    </w:p>
    <w:p w14:paraId="5F4AC11E" w14:textId="488DDAC0" w:rsidR="00AA1233" w:rsidRDefault="00AA1233" w:rsidP="00AA1233">
      <w:pPr>
        <w:spacing w:after="0" w:line="300" w:lineRule="auto"/>
        <w:jc w:val="both"/>
        <w:rPr>
          <w:rFonts w:ascii="Arial" w:hAnsi="Arial" w:cs="Arial"/>
        </w:rPr>
      </w:pPr>
      <w:hyperlink r:id="rId8" w:anchor="13148714" w:history="1">
        <w:r w:rsidRPr="008836EE">
          <w:rPr>
            <w:rStyle w:val="Hipercze"/>
            <w:rFonts w:ascii="Arial" w:hAnsi="Arial" w:cs="Arial"/>
          </w:rPr>
          <w:t>https://legislacja.rcl.gov.pl/projekt/12400900/katalog/13148714#13148714</w:t>
        </w:r>
      </w:hyperlink>
      <w:r>
        <w:rPr>
          <w:rFonts w:ascii="Arial" w:hAnsi="Arial" w:cs="Arial"/>
        </w:rPr>
        <w:t xml:space="preserve"> </w:t>
      </w:r>
    </w:p>
    <w:p w14:paraId="4307E6FB" w14:textId="77777777" w:rsidR="00AA1233" w:rsidRDefault="00AA1233" w:rsidP="00AA1233">
      <w:pPr>
        <w:spacing w:after="0" w:line="300" w:lineRule="auto"/>
        <w:jc w:val="both"/>
        <w:rPr>
          <w:rFonts w:ascii="Arial" w:hAnsi="Arial" w:cs="Arial"/>
        </w:rPr>
      </w:pPr>
    </w:p>
    <w:p w14:paraId="0B8FB786" w14:textId="22BDA38F" w:rsidR="00AA1233" w:rsidRDefault="00AA1233" w:rsidP="00AA1233">
      <w:pPr>
        <w:spacing w:after="0" w:line="300" w:lineRule="auto"/>
        <w:jc w:val="both"/>
        <w:rPr>
          <w:rFonts w:ascii="Arial" w:hAnsi="Arial" w:cs="Arial"/>
        </w:rPr>
      </w:pPr>
      <w:r w:rsidRPr="00AA1233">
        <w:rPr>
          <w:rFonts w:ascii="Arial" w:hAnsi="Arial" w:cs="Arial"/>
        </w:rPr>
        <w:t>Projekt jest obecnie jednocześnie na etapie uzgodnień, konsultacji publicznych i opiniowania.</w:t>
      </w:r>
    </w:p>
    <w:p w14:paraId="06C58D8A" w14:textId="77777777" w:rsidR="00AA1233" w:rsidRPr="00446437" w:rsidRDefault="00AA1233" w:rsidP="00446437">
      <w:pPr>
        <w:spacing w:after="0" w:line="300" w:lineRule="auto"/>
        <w:jc w:val="both"/>
        <w:rPr>
          <w:rFonts w:ascii="Arial" w:hAnsi="Arial" w:cs="Arial"/>
        </w:rPr>
      </w:pPr>
    </w:p>
    <w:p w14:paraId="447EDDB0" w14:textId="2A26E40B" w:rsidR="00446437" w:rsidRPr="00AA1233" w:rsidRDefault="00AA1233" w:rsidP="00446437">
      <w:pPr>
        <w:pStyle w:val="Akapitzlist"/>
        <w:numPr>
          <w:ilvl w:val="0"/>
          <w:numId w:val="4"/>
        </w:numPr>
        <w:spacing w:after="0" w:line="300" w:lineRule="auto"/>
        <w:jc w:val="both"/>
        <w:rPr>
          <w:rFonts w:ascii="Arial" w:hAnsi="Arial" w:cs="Arial"/>
          <w:b/>
          <w:bCs/>
          <w:u w:val="single"/>
        </w:rPr>
      </w:pPr>
      <w:r w:rsidRPr="00AA1233">
        <w:rPr>
          <w:rFonts w:ascii="Arial" w:hAnsi="Arial" w:cs="Arial"/>
          <w:b/>
          <w:bCs/>
          <w:u w:val="single"/>
        </w:rPr>
        <w:lastRenderedPageBreak/>
        <w:t>Projekt rozporządzenia Ministra Finansów i Gospodarki zmieniającego rozporządzenie w sprawie wyłączenia obowiązku poboru zryczałtowanego podatku dochodowego od osób prawnych (numer z wykazu 1015).</w:t>
      </w:r>
    </w:p>
    <w:p w14:paraId="2567BB22" w14:textId="77777777" w:rsidR="00446437" w:rsidRDefault="00446437" w:rsidP="00446437">
      <w:pPr>
        <w:spacing w:after="0" w:line="300" w:lineRule="auto"/>
        <w:jc w:val="both"/>
        <w:rPr>
          <w:rFonts w:ascii="Arial" w:hAnsi="Arial" w:cs="Arial"/>
        </w:rPr>
      </w:pPr>
    </w:p>
    <w:p w14:paraId="20AF86C1" w14:textId="77777777" w:rsidR="00AA1233" w:rsidRPr="00AA1233" w:rsidRDefault="00AA1233" w:rsidP="00AA1233">
      <w:pPr>
        <w:spacing w:after="0" w:line="300" w:lineRule="auto"/>
        <w:jc w:val="both"/>
        <w:rPr>
          <w:rFonts w:ascii="Arial" w:hAnsi="Arial" w:cs="Arial"/>
        </w:rPr>
      </w:pPr>
      <w:r w:rsidRPr="00AA1233">
        <w:rPr>
          <w:rFonts w:ascii="Arial" w:hAnsi="Arial" w:cs="Arial"/>
        </w:rPr>
        <w:t>Problem realizacji przez tzw. płatników technicznych (podmioty prowadzące rachunki papierów wartościowych lub rachunki zbiorcze) i emitentów obowiązków dotyczących poboru zryczałtowanego podatku dochodowego z tytułu wypłaty należności od papierów wartościowych zapisanych na wspomnianych rachunkach ponad kwotę 2 000 000 złotych (mechanizm pay &amp; refund). Problem ten wynika z trudności w ustaleniu tego, czy występują powiązania między podmiotami i czy otrzymane przez podatnika należności przekroczyły próg 2 000 000 złotych, co stanowi warunek stosowania mechanizmu pay &amp; refund.</w:t>
      </w:r>
    </w:p>
    <w:p w14:paraId="09167E14" w14:textId="08D15FCD" w:rsidR="00446437" w:rsidRDefault="00AA1233" w:rsidP="00AA1233">
      <w:pPr>
        <w:spacing w:after="0" w:line="300" w:lineRule="auto"/>
        <w:jc w:val="both"/>
        <w:rPr>
          <w:rFonts w:ascii="Arial" w:hAnsi="Arial" w:cs="Arial"/>
        </w:rPr>
      </w:pPr>
      <w:r w:rsidRPr="00AA1233">
        <w:rPr>
          <w:rFonts w:ascii="Arial" w:hAnsi="Arial" w:cs="Arial"/>
        </w:rPr>
        <w:t>Wydanie rozporządzenia zmieniającego obowiązujące rozporządzenie, które przedłuży na 2026 r. okres obowiązywania wyłączenia w stosowaniu mechanizmu pay &amp; refund względem wypłat należności, o których mowa w art. 26 ust. 2c ustawy o CIT.</w:t>
      </w:r>
    </w:p>
    <w:p w14:paraId="4BF276DD" w14:textId="77777777" w:rsidR="00AA1233" w:rsidRDefault="00AA1233" w:rsidP="00AA1233">
      <w:pPr>
        <w:spacing w:after="0" w:line="300" w:lineRule="auto"/>
        <w:jc w:val="both"/>
        <w:rPr>
          <w:rFonts w:ascii="Arial" w:hAnsi="Arial" w:cs="Arial"/>
        </w:rPr>
      </w:pPr>
    </w:p>
    <w:p w14:paraId="2D8F5454" w14:textId="77777777" w:rsidR="00AA1233" w:rsidRPr="00AA1233" w:rsidRDefault="00AA1233" w:rsidP="00AA1233">
      <w:pPr>
        <w:spacing w:after="0" w:line="300" w:lineRule="auto"/>
        <w:jc w:val="both"/>
        <w:rPr>
          <w:rFonts w:ascii="Arial" w:hAnsi="Arial" w:cs="Arial"/>
        </w:rPr>
      </w:pPr>
      <w:r w:rsidRPr="00AA1233">
        <w:rPr>
          <w:rFonts w:ascii="Arial" w:hAnsi="Arial" w:cs="Arial"/>
        </w:rPr>
        <w:t>Przedmiotowy projekt aktu prawnego wraz z Uzasadnieniem oraz Oceną Skutków Regulacji dostępny jest na stronach Rządowego Centrum Legislacji pod adresem:</w:t>
      </w:r>
    </w:p>
    <w:p w14:paraId="7A78D6A3" w14:textId="740B1FB3" w:rsidR="00AA1233" w:rsidRDefault="00AA1233" w:rsidP="00AA1233">
      <w:pPr>
        <w:spacing w:after="0" w:line="300" w:lineRule="auto"/>
        <w:jc w:val="both"/>
        <w:rPr>
          <w:rFonts w:ascii="Arial" w:hAnsi="Arial" w:cs="Arial"/>
        </w:rPr>
      </w:pPr>
      <w:hyperlink r:id="rId9" w:anchor="13148844" w:history="1">
        <w:r w:rsidRPr="008836EE">
          <w:rPr>
            <w:rStyle w:val="Hipercze"/>
            <w:rFonts w:ascii="Arial" w:hAnsi="Arial" w:cs="Arial"/>
          </w:rPr>
          <w:t>https://legislacja.rcl.gov.pl/projekt/12400903/katalog/13148844#13148844</w:t>
        </w:r>
      </w:hyperlink>
      <w:r>
        <w:rPr>
          <w:rFonts w:ascii="Arial" w:hAnsi="Arial" w:cs="Arial"/>
        </w:rPr>
        <w:t xml:space="preserve"> </w:t>
      </w:r>
    </w:p>
    <w:p w14:paraId="6FA8AA86" w14:textId="77777777" w:rsidR="00AA1233" w:rsidRDefault="00AA1233" w:rsidP="00AA1233">
      <w:pPr>
        <w:spacing w:after="0" w:line="300" w:lineRule="auto"/>
        <w:jc w:val="both"/>
        <w:rPr>
          <w:rFonts w:ascii="Arial" w:hAnsi="Arial" w:cs="Arial"/>
        </w:rPr>
      </w:pPr>
    </w:p>
    <w:p w14:paraId="63DACFB0" w14:textId="7312F4C6" w:rsidR="00AA1233" w:rsidRDefault="00AA1233" w:rsidP="00AA1233">
      <w:pPr>
        <w:spacing w:after="0" w:line="300" w:lineRule="auto"/>
        <w:jc w:val="both"/>
        <w:rPr>
          <w:rFonts w:ascii="Arial" w:hAnsi="Arial" w:cs="Arial"/>
        </w:rPr>
      </w:pPr>
      <w:r w:rsidRPr="00AA1233">
        <w:rPr>
          <w:rFonts w:ascii="Arial" w:hAnsi="Arial" w:cs="Arial"/>
        </w:rPr>
        <w:t>Projekt jest obecnie jednocześnie na etapie uzgodnień i opiniowania.</w:t>
      </w:r>
    </w:p>
    <w:p w14:paraId="0428C080" w14:textId="77777777" w:rsidR="00446437" w:rsidRPr="00446437" w:rsidRDefault="00446437" w:rsidP="00446437">
      <w:pPr>
        <w:spacing w:after="0" w:line="300" w:lineRule="auto"/>
        <w:jc w:val="both"/>
        <w:rPr>
          <w:rFonts w:ascii="Arial" w:hAnsi="Arial" w:cs="Arial"/>
        </w:rPr>
      </w:pPr>
    </w:p>
    <w:p w14:paraId="1E1AE42D" w14:textId="45450D16" w:rsidR="00446437" w:rsidRPr="00AA1233" w:rsidRDefault="00AA1233" w:rsidP="00446437">
      <w:pPr>
        <w:pStyle w:val="Akapitzlist"/>
        <w:numPr>
          <w:ilvl w:val="0"/>
          <w:numId w:val="4"/>
        </w:numPr>
        <w:spacing w:after="0" w:line="300" w:lineRule="auto"/>
        <w:jc w:val="both"/>
        <w:rPr>
          <w:rFonts w:ascii="Arial" w:hAnsi="Arial" w:cs="Arial"/>
          <w:b/>
          <w:bCs/>
          <w:u w:val="single"/>
        </w:rPr>
      </w:pPr>
      <w:r w:rsidRPr="00AA1233">
        <w:rPr>
          <w:rFonts w:ascii="Arial" w:hAnsi="Arial" w:cs="Arial"/>
          <w:b/>
          <w:bCs/>
          <w:u w:val="single"/>
        </w:rPr>
        <w:t>Projekt rozporządzenia Ministra Finansów i Gospodarki zmieniającego rozporządzenie w sprawie wyłączenia obowiązku poboru zryczałtowanego podatku dochodowego od osób fizycznych (numer z wykazu 1016).</w:t>
      </w:r>
    </w:p>
    <w:p w14:paraId="4BDA5AC2" w14:textId="77777777" w:rsidR="00446437" w:rsidRDefault="00446437" w:rsidP="00446437">
      <w:pPr>
        <w:spacing w:after="0" w:line="300" w:lineRule="auto"/>
        <w:jc w:val="both"/>
        <w:rPr>
          <w:rFonts w:ascii="Arial" w:hAnsi="Arial" w:cs="Arial"/>
        </w:rPr>
      </w:pPr>
    </w:p>
    <w:p w14:paraId="248D136E" w14:textId="77777777" w:rsidR="00AA1233" w:rsidRPr="00AA1233" w:rsidRDefault="00AA1233" w:rsidP="00AA1233">
      <w:pPr>
        <w:spacing w:after="0" w:line="300" w:lineRule="auto"/>
        <w:jc w:val="both"/>
        <w:rPr>
          <w:rFonts w:ascii="Arial" w:hAnsi="Arial" w:cs="Arial"/>
        </w:rPr>
      </w:pPr>
      <w:r w:rsidRPr="00AA1233">
        <w:rPr>
          <w:rFonts w:ascii="Arial" w:hAnsi="Arial" w:cs="Arial"/>
        </w:rPr>
        <w:t>Problem realizacji przez tzw. płatników technicznych (podmioty prowadzące rachunki papierów wartościowych lub rachunki zbiorcze) i emitentów obowiązków dotyczących poboru zryczałtowanego podatku dochodowego z tytułu wypłaty należności od papierów wartościowych zapisanych na wspomnianych rachunkach ponad kwotę 2 000 000 złotych (mechanizm pay &amp; refund). Problem ten wynika z trudności w ustaleniu tego, czy występują powiązania między podmiotami i czy otrzymane przez podatnika należności przekroczyły próg 2 000 000 złotych, co stanowi warunek stosowania mechanizmu pay &amp; refund.</w:t>
      </w:r>
    </w:p>
    <w:p w14:paraId="4746FA5C" w14:textId="532F17A2" w:rsidR="00446437" w:rsidRDefault="00AA1233" w:rsidP="00AA1233">
      <w:pPr>
        <w:spacing w:after="0" w:line="300" w:lineRule="auto"/>
        <w:jc w:val="both"/>
        <w:rPr>
          <w:rFonts w:ascii="Arial" w:hAnsi="Arial" w:cs="Arial"/>
        </w:rPr>
      </w:pPr>
      <w:r w:rsidRPr="00AA1233">
        <w:rPr>
          <w:rFonts w:ascii="Arial" w:hAnsi="Arial" w:cs="Arial"/>
        </w:rPr>
        <w:t>Wydanie rozporządzenia zmieniającego obowiązujące rozporządzenie, które przedłuży na 2026 rok okres obowiązywania wyłączenia w stosowaniu mechanizmu pay &amp; refund względem wypłat należności, o których mowa w art. 41 ust. 4d i 10 ustawy PIT.</w:t>
      </w:r>
    </w:p>
    <w:p w14:paraId="3B547910" w14:textId="77777777" w:rsidR="00AA1233" w:rsidRDefault="00AA1233" w:rsidP="00AA1233">
      <w:pPr>
        <w:spacing w:after="0" w:line="300" w:lineRule="auto"/>
        <w:jc w:val="both"/>
        <w:rPr>
          <w:rFonts w:ascii="Arial" w:hAnsi="Arial" w:cs="Arial"/>
        </w:rPr>
      </w:pPr>
    </w:p>
    <w:p w14:paraId="0CEC8012" w14:textId="77777777" w:rsidR="00990942" w:rsidRPr="00990942" w:rsidRDefault="00990942" w:rsidP="00990942">
      <w:pPr>
        <w:spacing w:after="0" w:line="300" w:lineRule="auto"/>
        <w:jc w:val="both"/>
        <w:rPr>
          <w:rFonts w:ascii="Arial" w:hAnsi="Arial" w:cs="Arial"/>
        </w:rPr>
      </w:pPr>
      <w:r w:rsidRPr="00990942">
        <w:rPr>
          <w:rFonts w:ascii="Arial" w:hAnsi="Arial" w:cs="Arial"/>
        </w:rPr>
        <w:t>Przedmiotowy projekt aktu prawnego wraz z Uzasadnieniem oraz Oceną Skutków Regulacji dostępny jest na stronach Rządowego Centrum Legislacji pod adresem:</w:t>
      </w:r>
    </w:p>
    <w:p w14:paraId="6BDA2609" w14:textId="748BD81B" w:rsidR="00AA1233" w:rsidRDefault="00990942" w:rsidP="00990942">
      <w:pPr>
        <w:spacing w:after="0" w:line="300" w:lineRule="auto"/>
        <w:jc w:val="both"/>
        <w:rPr>
          <w:rFonts w:ascii="Arial" w:hAnsi="Arial" w:cs="Arial"/>
        </w:rPr>
      </w:pPr>
      <w:hyperlink r:id="rId10" w:anchor="13148886" w:history="1">
        <w:r w:rsidRPr="008836EE">
          <w:rPr>
            <w:rStyle w:val="Hipercze"/>
            <w:rFonts w:ascii="Arial" w:hAnsi="Arial" w:cs="Arial"/>
          </w:rPr>
          <w:t>https://legislacja.rcl.gov.pl/projekt/12400904/katalog/13148886#13148886</w:t>
        </w:r>
      </w:hyperlink>
      <w:r>
        <w:rPr>
          <w:rFonts w:ascii="Arial" w:hAnsi="Arial" w:cs="Arial"/>
        </w:rPr>
        <w:t xml:space="preserve"> </w:t>
      </w:r>
    </w:p>
    <w:p w14:paraId="2D58960C" w14:textId="77777777" w:rsidR="00990942" w:rsidRDefault="00990942" w:rsidP="00990942">
      <w:pPr>
        <w:spacing w:after="0" w:line="300" w:lineRule="auto"/>
        <w:jc w:val="both"/>
        <w:rPr>
          <w:rFonts w:ascii="Arial" w:hAnsi="Arial" w:cs="Arial"/>
        </w:rPr>
      </w:pPr>
    </w:p>
    <w:p w14:paraId="05FD99B9" w14:textId="6B5AC649" w:rsidR="00990942" w:rsidRDefault="00990942" w:rsidP="00990942">
      <w:pPr>
        <w:spacing w:after="0" w:line="300" w:lineRule="auto"/>
        <w:jc w:val="both"/>
        <w:rPr>
          <w:rFonts w:ascii="Arial" w:hAnsi="Arial" w:cs="Arial"/>
        </w:rPr>
      </w:pPr>
      <w:r w:rsidRPr="00990942">
        <w:rPr>
          <w:rFonts w:ascii="Arial" w:hAnsi="Arial" w:cs="Arial"/>
        </w:rPr>
        <w:t>Projekt jest obecnie jednocześnie na etapie uzgodnień i opiniowania.</w:t>
      </w:r>
    </w:p>
    <w:p w14:paraId="4E2ADB84" w14:textId="77777777" w:rsidR="00446437" w:rsidRPr="00446437" w:rsidRDefault="00446437" w:rsidP="00446437">
      <w:pPr>
        <w:spacing w:after="0" w:line="300" w:lineRule="auto"/>
        <w:jc w:val="both"/>
        <w:rPr>
          <w:rFonts w:ascii="Arial" w:hAnsi="Arial" w:cs="Arial"/>
        </w:rPr>
      </w:pPr>
    </w:p>
    <w:p w14:paraId="638FC273" w14:textId="733F5BF1" w:rsidR="00446437" w:rsidRPr="00990942" w:rsidRDefault="00990942" w:rsidP="00446437">
      <w:pPr>
        <w:pStyle w:val="Akapitzlist"/>
        <w:numPr>
          <w:ilvl w:val="0"/>
          <w:numId w:val="4"/>
        </w:numPr>
        <w:spacing w:after="0" w:line="300" w:lineRule="auto"/>
        <w:jc w:val="both"/>
        <w:rPr>
          <w:rFonts w:ascii="Arial" w:hAnsi="Arial" w:cs="Arial"/>
          <w:b/>
          <w:bCs/>
          <w:u w:val="single"/>
        </w:rPr>
      </w:pPr>
      <w:r w:rsidRPr="00990942">
        <w:rPr>
          <w:rFonts w:ascii="Arial" w:hAnsi="Arial" w:cs="Arial"/>
          <w:b/>
          <w:bCs/>
          <w:u w:val="single"/>
        </w:rPr>
        <w:t xml:space="preserve">Projekt rozporządzenia Ministra Finansów i Gospodarki zmieniającego rozporządzenie w sprawie sposobu przesyłania informacji o gruntach oraz </w:t>
      </w:r>
      <w:r w:rsidRPr="00990942">
        <w:rPr>
          <w:rFonts w:ascii="Arial" w:hAnsi="Arial" w:cs="Arial"/>
          <w:b/>
          <w:bCs/>
          <w:u w:val="single"/>
        </w:rPr>
        <w:lastRenderedPageBreak/>
        <w:t>deklaracji na podatek rolny za pomocą środków komunikacji elektronicznej (numer z wykazu 1019).</w:t>
      </w:r>
    </w:p>
    <w:p w14:paraId="3735026D" w14:textId="77777777" w:rsidR="00446437" w:rsidRDefault="00446437" w:rsidP="00446437">
      <w:pPr>
        <w:spacing w:after="0" w:line="300" w:lineRule="auto"/>
        <w:jc w:val="both"/>
        <w:rPr>
          <w:rFonts w:ascii="Arial" w:hAnsi="Arial" w:cs="Arial"/>
        </w:rPr>
      </w:pPr>
    </w:p>
    <w:p w14:paraId="050F5E11" w14:textId="77777777" w:rsidR="00990942" w:rsidRPr="00990942" w:rsidRDefault="00990942" w:rsidP="00990942">
      <w:pPr>
        <w:spacing w:after="0" w:line="300" w:lineRule="auto"/>
        <w:jc w:val="both"/>
        <w:rPr>
          <w:rFonts w:ascii="Arial" w:hAnsi="Arial" w:cs="Arial"/>
        </w:rPr>
      </w:pPr>
      <w:r w:rsidRPr="00990942">
        <w:rPr>
          <w:rFonts w:ascii="Arial" w:hAnsi="Arial" w:cs="Arial"/>
        </w:rPr>
        <w:t>Rozporządzenie Ministra Finansów z dnia 6 czerwca 2019 r. w sprawie sposobu przesyłania informacji o gruntach oraz deklaracji na podatek rolny za pomocą środków komunikacji elektronicznej (Dz. U. poz. 1153), zwane dalej „rozporządzeniem”, realizuje dyspozycję zawartą w art. 6a ust. 12 ustawy z dnia 15 listopada 1984 r. o podatku rolnym  (Dz. U. z 2024 r. poz. 1176, 1635 i 1757). Zgodnie z nią minister właściwy do spraw finansów publicznych, w porozumieniu z ministrem właściwym do spraw informatyzacji, określa, w drodze rozporządzenia, między innymi sposób przesyłania informacji o gruntach, zwanych dalej „informacjami”, oraz deklaracji na podatek rolny, zwanych dalej deklaracjami, za pomocą środków komunikacji elektronicznej - uwzględniając potrzebę zapewnienia bezpieczeństwa, wiarygodności i niezaprzeczalności danych zawartych w tych informacjach i deklaracjach oraz potrzebę ich ochrony przed nieuprawnionym dostępem.</w:t>
      </w:r>
    </w:p>
    <w:p w14:paraId="39987011" w14:textId="77777777" w:rsidR="00990942" w:rsidRPr="00990942" w:rsidRDefault="00990942" w:rsidP="00990942">
      <w:pPr>
        <w:spacing w:after="0" w:line="300" w:lineRule="auto"/>
        <w:jc w:val="both"/>
        <w:rPr>
          <w:rFonts w:ascii="Arial" w:hAnsi="Arial" w:cs="Arial"/>
        </w:rPr>
      </w:pPr>
      <w:r w:rsidRPr="00990942">
        <w:rPr>
          <w:rFonts w:ascii="Arial" w:hAnsi="Arial" w:cs="Arial"/>
        </w:rPr>
        <w:t>Obecnie rozporządzenie w § 2 przewiduje, że informacje oraz deklaracje mogą być przesyłane z wykorzystaniem ePUAP oraz systemu teleinformatycznego organu jednostki samorządu terytorialnego. Należy mieć jednocześnie na uwadze, że od początku roku podatnicy mają możliwość kierowania innej korespondencji do tych organów za pośrednictwem adresu do doręczeń elektronicznych. Natomiast jednostki samorządu terytorialnego od dnia 1 stycznia 2025 r. są obowiązane doręczać korespondencję z wykorzystaniem publicznej usługi rejestrowanego doręczenia elektronicznego.</w:t>
      </w:r>
    </w:p>
    <w:p w14:paraId="2810175E" w14:textId="77777777" w:rsidR="00990942" w:rsidRPr="00990942" w:rsidRDefault="00990942" w:rsidP="00990942">
      <w:pPr>
        <w:spacing w:after="0" w:line="300" w:lineRule="auto"/>
        <w:jc w:val="both"/>
        <w:rPr>
          <w:rFonts w:ascii="Arial" w:hAnsi="Arial" w:cs="Arial"/>
        </w:rPr>
      </w:pPr>
      <w:r w:rsidRPr="00990942">
        <w:rPr>
          <w:rFonts w:ascii="Arial" w:hAnsi="Arial" w:cs="Arial"/>
        </w:rPr>
        <w:t xml:space="preserve">Z informacji napływających od organów podatkowych właściwych w sprawach podatków lokalnych wynika, że podatnicy są zainteresowani możliwością przesyłania informacji i deklaracji także z wykorzystaniem adresu do doręczeń elektronicznych, o którym mowa w art. 2 pkt 1 ustawy z dnia 18 listopada 2020 r. o doręczeniach elektronicznych (Dz. U. z 2024 r. poz. 1045 i 1841), organu podatkowego. </w:t>
      </w:r>
    </w:p>
    <w:p w14:paraId="0C5D26CD" w14:textId="77777777" w:rsidR="00990942" w:rsidRPr="00990942" w:rsidRDefault="00990942" w:rsidP="00990942">
      <w:pPr>
        <w:spacing w:after="0" w:line="300" w:lineRule="auto"/>
        <w:jc w:val="both"/>
        <w:rPr>
          <w:rFonts w:ascii="Arial" w:hAnsi="Arial" w:cs="Arial"/>
        </w:rPr>
      </w:pPr>
      <w:r w:rsidRPr="00990942">
        <w:rPr>
          <w:rFonts w:ascii="Arial" w:hAnsi="Arial" w:cs="Arial"/>
        </w:rPr>
        <w:t>Celem umożliwienia podatnikom składania informacji i deklaracji także w ww. sposób konieczna jest nowelizacja rozporządzenia.</w:t>
      </w:r>
    </w:p>
    <w:p w14:paraId="6CA63C0B" w14:textId="77777777" w:rsidR="00990942" w:rsidRPr="00990942" w:rsidRDefault="00990942" w:rsidP="00990942">
      <w:pPr>
        <w:spacing w:after="0" w:line="300" w:lineRule="auto"/>
        <w:jc w:val="both"/>
        <w:rPr>
          <w:rFonts w:ascii="Arial" w:hAnsi="Arial" w:cs="Arial"/>
        </w:rPr>
      </w:pPr>
      <w:r w:rsidRPr="00990942">
        <w:rPr>
          <w:rFonts w:ascii="Arial" w:hAnsi="Arial" w:cs="Arial"/>
        </w:rPr>
        <w:t>Proponuje się wprowadzenie zmiany w § 2 rozporządzenia poprzez dodanie pkt 3 w brzmieniu: „3) adresu do doręczeń elektronicznych, o którym mowa w art. 2 pkt 1 ustawy z dnia 18 listopada 2020 r. o doręczeniach elektronicznych (Dz. U. z 2024 r. poz. 1045 i 1841), organu podatkowego.”.</w:t>
      </w:r>
    </w:p>
    <w:p w14:paraId="388F08AF" w14:textId="405A6D54" w:rsidR="00446437" w:rsidRDefault="00990942" w:rsidP="00990942">
      <w:pPr>
        <w:spacing w:after="0" w:line="300" w:lineRule="auto"/>
        <w:jc w:val="both"/>
        <w:rPr>
          <w:rFonts w:ascii="Arial" w:hAnsi="Arial" w:cs="Arial"/>
        </w:rPr>
      </w:pPr>
      <w:r w:rsidRPr="00990942">
        <w:rPr>
          <w:rFonts w:ascii="Arial" w:hAnsi="Arial" w:cs="Arial"/>
        </w:rPr>
        <w:t>W wyniku projektowanej nowelizacji podatnicy będą mieli szerszy wybór środków komunikacji elektronicznej, za pomocą których będą mogli przesłać informacje i deklaracje.</w:t>
      </w:r>
    </w:p>
    <w:p w14:paraId="5659BAC4" w14:textId="77777777" w:rsidR="00990942" w:rsidRDefault="00990942" w:rsidP="00990942">
      <w:pPr>
        <w:spacing w:after="0" w:line="300" w:lineRule="auto"/>
        <w:jc w:val="both"/>
        <w:rPr>
          <w:rFonts w:ascii="Arial" w:hAnsi="Arial" w:cs="Arial"/>
        </w:rPr>
      </w:pPr>
    </w:p>
    <w:p w14:paraId="680ADC02" w14:textId="77777777" w:rsidR="00990942" w:rsidRPr="00990942" w:rsidRDefault="00990942" w:rsidP="00990942">
      <w:pPr>
        <w:spacing w:after="0" w:line="300" w:lineRule="auto"/>
        <w:jc w:val="both"/>
        <w:rPr>
          <w:rFonts w:ascii="Arial" w:hAnsi="Arial" w:cs="Arial"/>
        </w:rPr>
      </w:pPr>
      <w:r w:rsidRPr="00990942">
        <w:rPr>
          <w:rFonts w:ascii="Arial" w:hAnsi="Arial" w:cs="Arial"/>
        </w:rPr>
        <w:t>Przedmiotowy projekt aktu prawnego wraz z Uzasadnieniem oraz Oceną Skutków Regulacji dostępny jest na stronach Rządowego Centrum Legislacji pod adresem:</w:t>
      </w:r>
    </w:p>
    <w:p w14:paraId="0DC000C2" w14:textId="27267B94" w:rsidR="00990942" w:rsidRDefault="00990942" w:rsidP="00990942">
      <w:pPr>
        <w:spacing w:after="0" w:line="300" w:lineRule="auto"/>
        <w:jc w:val="both"/>
        <w:rPr>
          <w:rFonts w:ascii="Arial" w:hAnsi="Arial" w:cs="Arial"/>
        </w:rPr>
      </w:pPr>
      <w:hyperlink r:id="rId11" w:anchor="13149008" w:history="1">
        <w:r w:rsidRPr="008836EE">
          <w:rPr>
            <w:rStyle w:val="Hipercze"/>
            <w:rFonts w:ascii="Arial" w:hAnsi="Arial" w:cs="Arial"/>
          </w:rPr>
          <w:t>https://legislacja.rcl.gov.pl/projekt/12400950/katalog/13149008#13149008</w:t>
        </w:r>
      </w:hyperlink>
      <w:r>
        <w:rPr>
          <w:rFonts w:ascii="Arial" w:hAnsi="Arial" w:cs="Arial"/>
        </w:rPr>
        <w:t xml:space="preserve"> </w:t>
      </w:r>
    </w:p>
    <w:p w14:paraId="3ABA0F92" w14:textId="77777777" w:rsidR="00990942" w:rsidRDefault="00990942" w:rsidP="00990942">
      <w:pPr>
        <w:spacing w:after="0" w:line="300" w:lineRule="auto"/>
        <w:jc w:val="both"/>
        <w:rPr>
          <w:rFonts w:ascii="Arial" w:hAnsi="Arial" w:cs="Arial"/>
        </w:rPr>
      </w:pPr>
    </w:p>
    <w:p w14:paraId="44B9CEA4" w14:textId="144A43A1" w:rsidR="00990942" w:rsidRDefault="00990942" w:rsidP="00990942">
      <w:pPr>
        <w:spacing w:after="0" w:line="300" w:lineRule="auto"/>
        <w:jc w:val="both"/>
        <w:rPr>
          <w:rFonts w:ascii="Arial" w:hAnsi="Arial" w:cs="Arial"/>
        </w:rPr>
      </w:pPr>
      <w:r w:rsidRPr="00990942">
        <w:rPr>
          <w:rFonts w:ascii="Arial" w:hAnsi="Arial" w:cs="Arial"/>
        </w:rPr>
        <w:t>Projekt jest obecnie jednocześnie na etapie uzgodnień, konsultacji publicznych i opiniowania.</w:t>
      </w:r>
    </w:p>
    <w:p w14:paraId="3D58EE90" w14:textId="77777777" w:rsidR="00446437" w:rsidRPr="00446437" w:rsidRDefault="00446437" w:rsidP="00446437">
      <w:pPr>
        <w:spacing w:after="0" w:line="300" w:lineRule="auto"/>
        <w:jc w:val="both"/>
        <w:rPr>
          <w:rFonts w:ascii="Arial" w:hAnsi="Arial" w:cs="Arial"/>
        </w:rPr>
      </w:pPr>
    </w:p>
    <w:p w14:paraId="7AB65622" w14:textId="7061DD29" w:rsidR="00446437" w:rsidRPr="00990942" w:rsidRDefault="00990942" w:rsidP="00446437">
      <w:pPr>
        <w:pStyle w:val="Akapitzlist"/>
        <w:numPr>
          <w:ilvl w:val="0"/>
          <w:numId w:val="4"/>
        </w:numPr>
        <w:spacing w:after="0" w:line="300" w:lineRule="auto"/>
        <w:jc w:val="both"/>
        <w:rPr>
          <w:rFonts w:ascii="Arial" w:hAnsi="Arial" w:cs="Arial"/>
          <w:b/>
          <w:bCs/>
          <w:u w:val="single"/>
        </w:rPr>
      </w:pPr>
      <w:r w:rsidRPr="00990942">
        <w:rPr>
          <w:rFonts w:ascii="Arial" w:hAnsi="Arial" w:cs="Arial"/>
          <w:b/>
          <w:bCs/>
          <w:u w:val="single"/>
        </w:rPr>
        <w:t xml:space="preserve">Projekt rozporządzenia Ministra Finansów i Gospodarki zmieniającego rozporządzenie w sprawie sposobu przesyłania informacji o lasach oraz </w:t>
      </w:r>
      <w:r w:rsidRPr="00990942">
        <w:rPr>
          <w:rFonts w:ascii="Arial" w:hAnsi="Arial" w:cs="Arial"/>
          <w:b/>
          <w:bCs/>
          <w:u w:val="single"/>
        </w:rPr>
        <w:lastRenderedPageBreak/>
        <w:t>deklaracji na podatek leśny za pomocą środków komunikacji elektronicznej (numer z wykazu 1020).</w:t>
      </w:r>
    </w:p>
    <w:p w14:paraId="743B62D3" w14:textId="77777777" w:rsidR="00446437" w:rsidRDefault="00446437" w:rsidP="00446437">
      <w:pPr>
        <w:spacing w:after="0" w:line="300" w:lineRule="auto"/>
        <w:jc w:val="both"/>
        <w:rPr>
          <w:rFonts w:ascii="Arial" w:hAnsi="Arial" w:cs="Arial"/>
        </w:rPr>
      </w:pPr>
    </w:p>
    <w:p w14:paraId="2E37F037" w14:textId="77777777" w:rsidR="00990942" w:rsidRPr="00990942" w:rsidRDefault="00990942" w:rsidP="00990942">
      <w:pPr>
        <w:spacing w:after="0" w:line="300" w:lineRule="auto"/>
        <w:jc w:val="both"/>
        <w:rPr>
          <w:rFonts w:ascii="Arial" w:hAnsi="Arial" w:cs="Arial"/>
        </w:rPr>
      </w:pPr>
      <w:r w:rsidRPr="00990942">
        <w:rPr>
          <w:rFonts w:ascii="Arial" w:hAnsi="Arial" w:cs="Arial"/>
        </w:rPr>
        <w:t>Rozporządzenie Ministra Finansów z dnia 6 czerwca 2019 r. w sprawie sposobu przesyłania informacji o lasach oraz deklaracji na podatek leśny za pomocą środków komunikacji elektronicznej (Dz. U. poz. 1154), zwane dalej „rozporządzeniem”, realizuje dyspozycję zawartą w art. 6 ust. 10 ustawy z dnia 30 października 2002 r. o podatku leśnym (Dz. U. z 2025 r. poz. 176). Zgodnie z nią minister właściwy do spraw finansów publicznych, w porozumieniu z ministrem właściwym do spraw informatyzacji, określa, w drodze rozporządzenia, między innymi sposób przesyłania informacji o lasach, zwanych dalej ,,informacjami”, oraz deklaracji na podatek leśny, zwanych dalej ,,deklaracjami'', za pomocą środków komunikacji elektronicznej - uwzględniając potrzebę zapewnienia bezpieczeństwa, wiarygodności i niezaprzeczalności danych zawartych w tych informacjach i deklaracjach oraz potrzebę ich ochrony przed nieuprawnionym dostępem.</w:t>
      </w:r>
    </w:p>
    <w:p w14:paraId="33072820" w14:textId="77777777" w:rsidR="00990942" w:rsidRPr="00990942" w:rsidRDefault="00990942" w:rsidP="00990942">
      <w:pPr>
        <w:spacing w:after="0" w:line="300" w:lineRule="auto"/>
        <w:jc w:val="both"/>
        <w:rPr>
          <w:rFonts w:ascii="Arial" w:hAnsi="Arial" w:cs="Arial"/>
        </w:rPr>
      </w:pPr>
      <w:r w:rsidRPr="00990942">
        <w:rPr>
          <w:rFonts w:ascii="Arial" w:hAnsi="Arial" w:cs="Arial"/>
        </w:rPr>
        <w:t>Obecnie rozporządzenie w § 2 przewiduje, że informacje oraz deklaracje mogą być przesyłane z wykorzystaniem ePUAP oraz systemu teleinformatycznego organu jednostki samorządu terytorialnego. Należy mieć jednocześnie na uwadze, że od początku roku podatnicy mają możliwość kierowania innej korespondencji do tych organów za pośrednictwem adresu do doręczeń elektronicznych. Natomiast jednostki samorządu terytorialnego od dnia 1 stycznia 2025 r. są obowiązane doręczać korespondencję z wykorzystaniem publicznej usługi rejestrowanego doręczenia elektronicznego.</w:t>
      </w:r>
    </w:p>
    <w:p w14:paraId="349B2BAB" w14:textId="77777777" w:rsidR="00990942" w:rsidRPr="00990942" w:rsidRDefault="00990942" w:rsidP="00990942">
      <w:pPr>
        <w:spacing w:after="0" w:line="300" w:lineRule="auto"/>
        <w:jc w:val="both"/>
        <w:rPr>
          <w:rFonts w:ascii="Arial" w:hAnsi="Arial" w:cs="Arial"/>
        </w:rPr>
      </w:pPr>
      <w:r w:rsidRPr="00990942">
        <w:rPr>
          <w:rFonts w:ascii="Arial" w:hAnsi="Arial" w:cs="Arial"/>
        </w:rPr>
        <w:t xml:space="preserve">Z informacji napływających od organów podatkowych właściwych w sprawach podatków lokalnych wynika, że podatnicy są zainteresowani możliwością przesyłania informacji i deklaracji także z wykorzystaniem adresu do doręczeń elektronicznych, o którym mowa w art. 2 pkt 1 ustawy z dnia 18 listopada 2020 r. o doręczeniach elektronicznych (Dz. U. z 2024 r. poz. 1045 i 1841), organu podatkowego. </w:t>
      </w:r>
    </w:p>
    <w:p w14:paraId="3FE70302" w14:textId="77777777" w:rsidR="00990942" w:rsidRPr="00990942" w:rsidRDefault="00990942" w:rsidP="00990942">
      <w:pPr>
        <w:spacing w:after="0" w:line="300" w:lineRule="auto"/>
        <w:jc w:val="both"/>
        <w:rPr>
          <w:rFonts w:ascii="Arial" w:hAnsi="Arial" w:cs="Arial"/>
        </w:rPr>
      </w:pPr>
      <w:r w:rsidRPr="00990942">
        <w:rPr>
          <w:rFonts w:ascii="Arial" w:hAnsi="Arial" w:cs="Arial"/>
        </w:rPr>
        <w:t>Celem umożliwienia podatnikom składania informacji i deklaracji także w ww. sposób konieczna jest nowelizacja rozporządzenia.</w:t>
      </w:r>
    </w:p>
    <w:p w14:paraId="1C6B2CEF" w14:textId="77777777" w:rsidR="00990942" w:rsidRPr="00990942" w:rsidRDefault="00990942" w:rsidP="00990942">
      <w:pPr>
        <w:spacing w:after="0" w:line="300" w:lineRule="auto"/>
        <w:jc w:val="both"/>
        <w:rPr>
          <w:rFonts w:ascii="Arial" w:hAnsi="Arial" w:cs="Arial"/>
        </w:rPr>
      </w:pPr>
      <w:r w:rsidRPr="00990942">
        <w:rPr>
          <w:rFonts w:ascii="Arial" w:hAnsi="Arial" w:cs="Arial"/>
        </w:rPr>
        <w:t>Proponuje się wprowadzenie zmiany w § 2 rozporządzenia poprzez dodanie pkt 3 w brzmieniu: „3) adresu do doręczeń elektronicznych, o którym mowa w art. 2 pkt 1 ustawy z dnia 18 listopada 2020 r. o doręczeniach elektronicznych (Dz. U. z 2024 r. poz. 1045 i 1841), organu podatkowego.”.</w:t>
      </w:r>
    </w:p>
    <w:p w14:paraId="58A9D53A" w14:textId="56A7920F" w:rsidR="00446437" w:rsidRDefault="00990942" w:rsidP="00990942">
      <w:pPr>
        <w:spacing w:after="0" w:line="300" w:lineRule="auto"/>
        <w:jc w:val="both"/>
        <w:rPr>
          <w:rFonts w:ascii="Arial" w:hAnsi="Arial" w:cs="Arial"/>
        </w:rPr>
      </w:pPr>
      <w:r w:rsidRPr="00990942">
        <w:rPr>
          <w:rFonts w:ascii="Arial" w:hAnsi="Arial" w:cs="Arial"/>
        </w:rPr>
        <w:t>W wyniku projektowanej nowelizacji podatnicy będą mieli szerszy wybór środków komunikacji elektronicznej, za pomocą których będą mogli przesłać informacje i deklaracje.</w:t>
      </w:r>
    </w:p>
    <w:p w14:paraId="5AB42A6B" w14:textId="77777777" w:rsidR="00990942" w:rsidRDefault="00990942" w:rsidP="00990942">
      <w:pPr>
        <w:spacing w:after="0" w:line="300" w:lineRule="auto"/>
        <w:jc w:val="both"/>
        <w:rPr>
          <w:rFonts w:ascii="Arial" w:hAnsi="Arial" w:cs="Arial"/>
        </w:rPr>
      </w:pPr>
    </w:p>
    <w:p w14:paraId="3A8BA633" w14:textId="77777777" w:rsidR="00990942" w:rsidRPr="00990942" w:rsidRDefault="00990942" w:rsidP="00990942">
      <w:pPr>
        <w:spacing w:after="0" w:line="300" w:lineRule="auto"/>
        <w:jc w:val="both"/>
        <w:rPr>
          <w:rFonts w:ascii="Arial" w:hAnsi="Arial" w:cs="Arial"/>
        </w:rPr>
      </w:pPr>
      <w:r w:rsidRPr="00990942">
        <w:rPr>
          <w:rFonts w:ascii="Arial" w:hAnsi="Arial" w:cs="Arial"/>
        </w:rPr>
        <w:t>Przedmiotowy projekt aktu prawnego wraz z Uzasadnieniem oraz Oceną Skutków Regulacji dostępny jest na stronach Rządowego Centrum Legislacji pod adresem:</w:t>
      </w:r>
    </w:p>
    <w:p w14:paraId="4EC02AC1" w14:textId="46E267C3" w:rsidR="00990942" w:rsidRDefault="00990942" w:rsidP="00990942">
      <w:pPr>
        <w:spacing w:after="0" w:line="300" w:lineRule="auto"/>
        <w:jc w:val="both"/>
        <w:rPr>
          <w:rFonts w:ascii="Arial" w:hAnsi="Arial" w:cs="Arial"/>
        </w:rPr>
      </w:pPr>
      <w:hyperlink r:id="rId12" w:anchor="13149094" w:history="1">
        <w:r w:rsidRPr="008836EE">
          <w:rPr>
            <w:rStyle w:val="Hipercze"/>
            <w:rFonts w:ascii="Arial" w:hAnsi="Arial" w:cs="Arial"/>
          </w:rPr>
          <w:t>https://legislacja.rcl.gov.pl/projekt/12400952/katalog/13149094#13149094</w:t>
        </w:r>
      </w:hyperlink>
      <w:r>
        <w:rPr>
          <w:rFonts w:ascii="Arial" w:hAnsi="Arial" w:cs="Arial"/>
        </w:rPr>
        <w:t xml:space="preserve"> </w:t>
      </w:r>
    </w:p>
    <w:p w14:paraId="0BA415B9" w14:textId="77777777" w:rsidR="00990942" w:rsidRDefault="00990942" w:rsidP="00990942">
      <w:pPr>
        <w:spacing w:after="0" w:line="300" w:lineRule="auto"/>
        <w:jc w:val="both"/>
        <w:rPr>
          <w:rFonts w:ascii="Arial" w:hAnsi="Arial" w:cs="Arial"/>
        </w:rPr>
      </w:pPr>
    </w:p>
    <w:p w14:paraId="6A0E916F" w14:textId="3E30117D" w:rsidR="00990942" w:rsidRDefault="00990942" w:rsidP="00990942">
      <w:pPr>
        <w:spacing w:after="0" w:line="300" w:lineRule="auto"/>
        <w:jc w:val="both"/>
        <w:rPr>
          <w:rFonts w:ascii="Arial" w:hAnsi="Arial" w:cs="Arial"/>
        </w:rPr>
      </w:pPr>
      <w:r w:rsidRPr="00990942">
        <w:rPr>
          <w:rFonts w:ascii="Arial" w:hAnsi="Arial" w:cs="Arial"/>
        </w:rPr>
        <w:t>Projekt jest obecnie jednocześnie na etapie uzgodnień, konsultacji publicznych i opiniowania.</w:t>
      </w:r>
    </w:p>
    <w:p w14:paraId="1003D0B7" w14:textId="77777777" w:rsidR="00446437" w:rsidRPr="00446437" w:rsidRDefault="00446437" w:rsidP="00446437">
      <w:pPr>
        <w:spacing w:after="0" w:line="300" w:lineRule="auto"/>
        <w:jc w:val="both"/>
        <w:rPr>
          <w:rFonts w:ascii="Arial" w:hAnsi="Arial" w:cs="Arial"/>
        </w:rPr>
      </w:pPr>
    </w:p>
    <w:p w14:paraId="3FB0258F" w14:textId="6FD5A083" w:rsidR="00446437" w:rsidRPr="00990942" w:rsidRDefault="00990942" w:rsidP="00446437">
      <w:pPr>
        <w:pStyle w:val="Akapitzlist"/>
        <w:numPr>
          <w:ilvl w:val="0"/>
          <w:numId w:val="4"/>
        </w:numPr>
        <w:spacing w:after="0" w:line="300" w:lineRule="auto"/>
        <w:jc w:val="both"/>
        <w:rPr>
          <w:rFonts w:ascii="Arial" w:hAnsi="Arial" w:cs="Arial"/>
          <w:b/>
          <w:bCs/>
          <w:u w:val="single"/>
        </w:rPr>
      </w:pPr>
      <w:r w:rsidRPr="00990942">
        <w:rPr>
          <w:rFonts w:ascii="Arial" w:hAnsi="Arial" w:cs="Arial"/>
          <w:b/>
          <w:bCs/>
          <w:u w:val="single"/>
        </w:rPr>
        <w:t xml:space="preserve">Projekt rozporządzenia Ministra Finansów i Gospodarki zmieniającego rozporządzenie w sprawie sposobu przesyłania informacji o nieruchomościach i </w:t>
      </w:r>
      <w:r w:rsidRPr="00990942">
        <w:rPr>
          <w:rFonts w:ascii="Arial" w:hAnsi="Arial" w:cs="Arial"/>
          <w:b/>
          <w:bCs/>
          <w:u w:val="single"/>
        </w:rPr>
        <w:lastRenderedPageBreak/>
        <w:t>obiektach budowlanych oraz deklaracji na podatek od nieruchomości za pomocą środków komunikacji elektronicznej (numer z wykazu 1021).</w:t>
      </w:r>
    </w:p>
    <w:p w14:paraId="01F58FC8" w14:textId="77777777" w:rsidR="00446437" w:rsidRDefault="00446437" w:rsidP="00446437">
      <w:pPr>
        <w:spacing w:after="0" w:line="300" w:lineRule="auto"/>
        <w:jc w:val="both"/>
        <w:rPr>
          <w:rFonts w:ascii="Arial" w:hAnsi="Arial" w:cs="Arial"/>
        </w:rPr>
      </w:pPr>
    </w:p>
    <w:p w14:paraId="593733BF" w14:textId="77777777" w:rsidR="0054566C" w:rsidRPr="0054566C" w:rsidRDefault="0054566C" w:rsidP="0054566C">
      <w:pPr>
        <w:spacing w:after="0" w:line="300" w:lineRule="auto"/>
        <w:jc w:val="both"/>
        <w:rPr>
          <w:rFonts w:ascii="Arial" w:hAnsi="Arial" w:cs="Arial"/>
        </w:rPr>
      </w:pPr>
      <w:r w:rsidRPr="0054566C">
        <w:rPr>
          <w:rFonts w:ascii="Arial" w:hAnsi="Arial" w:cs="Arial"/>
        </w:rPr>
        <w:t xml:space="preserve">Rozporządzenie Ministra Finansów z dnia 18 czerwca 2019 r. w sprawie sposobu przesyłania informacji o nieruchomościach i obiektach budowlanych oraz deklaracji na podatek od nieruchomości za pomocą środków komunikacji elektronicznej (Dz. U. poz. 1185), zwane dalej „rozporządzeniem”, realizuje dyspozycję zawartą w art. 6 ust. 14 ustawy z dnia 12 stycznia 1991 r. o podatkach i opłatach lokalnych (Dz. U. z 2025 r. poz. 707). Zgodnie z nią minister właściwy do spraw finansów publicznych, w porozumieniu z ministrem właściwym do spraw informatyzacji, określa, w drodze rozporządzenia, między innymi sposób przesyłania informacji o nieruchomościach i obiektach budowlanych, zwanych dalej „informacjami”, oraz deklaracji na podatek od nieruchomości, zwanych dalej „deklaracjami”, za pomocą środków komunikacji elektronicznej - uwzględniając potrzebę zapewnienia bezpieczeństwa, wiarygodności i niezaprzeczalności danych zawartych w tych informacjach i deklaracjach oraz potrzebę ich ochrony przed nieuprawnionym dostępem. </w:t>
      </w:r>
    </w:p>
    <w:p w14:paraId="35C919DA" w14:textId="77777777" w:rsidR="0054566C" w:rsidRPr="0054566C" w:rsidRDefault="0054566C" w:rsidP="0054566C">
      <w:pPr>
        <w:spacing w:after="0" w:line="300" w:lineRule="auto"/>
        <w:jc w:val="both"/>
        <w:rPr>
          <w:rFonts w:ascii="Arial" w:hAnsi="Arial" w:cs="Arial"/>
        </w:rPr>
      </w:pPr>
      <w:r w:rsidRPr="0054566C">
        <w:rPr>
          <w:rFonts w:ascii="Arial" w:hAnsi="Arial" w:cs="Arial"/>
        </w:rPr>
        <w:t>Obecnie rozporządzenie w § 2 przewiduje, że informacje oraz deklaracje mogą być przesyłane z wykorzystaniem ePUAP oraz systemu teleinformatycznego organu jednostki samorządu terytorialnego. Należy mieć jednocześnie na uwadze, że od początku roku podatnicy mają możliwość kierowania innej korespondencji do tych organów za pośrednictwem adresu do doręczeń elektronicznych. Natomiast jednostki samorządu terytorialnego od dnia 1 stycznia 2025 r. są obowiązane doręczać korespondencję z wykorzystaniem publicznej usługi rejestrowanego doręczenia elektronicznego.</w:t>
      </w:r>
    </w:p>
    <w:p w14:paraId="7EF19682" w14:textId="77777777" w:rsidR="0054566C" w:rsidRPr="0054566C" w:rsidRDefault="0054566C" w:rsidP="0054566C">
      <w:pPr>
        <w:spacing w:after="0" w:line="300" w:lineRule="auto"/>
        <w:jc w:val="both"/>
        <w:rPr>
          <w:rFonts w:ascii="Arial" w:hAnsi="Arial" w:cs="Arial"/>
        </w:rPr>
      </w:pPr>
      <w:r w:rsidRPr="0054566C">
        <w:rPr>
          <w:rFonts w:ascii="Arial" w:hAnsi="Arial" w:cs="Arial"/>
        </w:rPr>
        <w:t xml:space="preserve">Z informacji napływających od organów podatkowych właściwych w sprawach podatków lokalnych wynika, że podatnicy są zainteresowani możliwością przesyłania informacji i deklaracji także z wykorzystaniem adresu do doręczeń elektronicznych, o którym mowa w art. 2 pkt 1 ustawy z dnia 18 listopada 2020 r. o doręczeniach elektronicznych (Dz. U. z 2024 r. poz. 1045 i 1841), organu podatkowego. </w:t>
      </w:r>
    </w:p>
    <w:p w14:paraId="15280306" w14:textId="77777777" w:rsidR="0054566C" w:rsidRPr="0054566C" w:rsidRDefault="0054566C" w:rsidP="0054566C">
      <w:pPr>
        <w:spacing w:after="0" w:line="300" w:lineRule="auto"/>
        <w:jc w:val="both"/>
        <w:rPr>
          <w:rFonts w:ascii="Arial" w:hAnsi="Arial" w:cs="Arial"/>
        </w:rPr>
      </w:pPr>
      <w:r w:rsidRPr="0054566C">
        <w:rPr>
          <w:rFonts w:ascii="Arial" w:hAnsi="Arial" w:cs="Arial"/>
        </w:rPr>
        <w:t>Celem umożliwienia podatnikom składania informacji i deklaracji także w ww. sposób konieczna jest nowelizacja rozporządzenia.</w:t>
      </w:r>
    </w:p>
    <w:p w14:paraId="3B08B228" w14:textId="77777777" w:rsidR="0054566C" w:rsidRPr="0054566C" w:rsidRDefault="0054566C" w:rsidP="0054566C">
      <w:pPr>
        <w:spacing w:after="0" w:line="300" w:lineRule="auto"/>
        <w:jc w:val="both"/>
        <w:rPr>
          <w:rFonts w:ascii="Arial" w:hAnsi="Arial" w:cs="Arial"/>
        </w:rPr>
      </w:pPr>
      <w:r w:rsidRPr="0054566C">
        <w:rPr>
          <w:rFonts w:ascii="Arial" w:hAnsi="Arial" w:cs="Arial"/>
        </w:rPr>
        <w:t>Proponuje się wprowadzenie zmiany w § 2 rozporządzenia przez dodanie pkt 3 w brzmieniu: „3) adresu do doręczeń elektronicznych, o którym mowa w art. 2 pkt 1 ustawy z dnia 18 listopada 2020 r. o doręczeniach elektronicznych (Dz. U. z 2024 r. poz. 1045 i 1841), organu podatkowego.”.</w:t>
      </w:r>
    </w:p>
    <w:p w14:paraId="6685E20F" w14:textId="57A76C1E" w:rsidR="00446437" w:rsidRDefault="0054566C" w:rsidP="0054566C">
      <w:pPr>
        <w:spacing w:after="0" w:line="300" w:lineRule="auto"/>
        <w:jc w:val="both"/>
        <w:rPr>
          <w:rFonts w:ascii="Arial" w:hAnsi="Arial" w:cs="Arial"/>
        </w:rPr>
      </w:pPr>
      <w:r w:rsidRPr="0054566C">
        <w:rPr>
          <w:rFonts w:ascii="Arial" w:hAnsi="Arial" w:cs="Arial"/>
        </w:rPr>
        <w:t>W wyniku projektowanej nowelizacji podatnicy będą mieli szerszy wybór środków komunikacji elektronicznej, za pomocą których będą mogli przesłać informacje i deklaracje.</w:t>
      </w:r>
    </w:p>
    <w:p w14:paraId="03CA32F1" w14:textId="77777777" w:rsidR="0054566C" w:rsidRDefault="0054566C" w:rsidP="0054566C">
      <w:pPr>
        <w:spacing w:after="0" w:line="300" w:lineRule="auto"/>
        <w:jc w:val="both"/>
        <w:rPr>
          <w:rFonts w:ascii="Arial" w:hAnsi="Arial" w:cs="Arial"/>
        </w:rPr>
      </w:pPr>
    </w:p>
    <w:p w14:paraId="68742BAD" w14:textId="77777777" w:rsidR="0054566C" w:rsidRPr="0054566C" w:rsidRDefault="0054566C" w:rsidP="0054566C">
      <w:pPr>
        <w:spacing w:after="0" w:line="300" w:lineRule="auto"/>
        <w:jc w:val="both"/>
        <w:rPr>
          <w:rFonts w:ascii="Arial" w:hAnsi="Arial" w:cs="Arial"/>
        </w:rPr>
      </w:pPr>
      <w:r w:rsidRPr="0054566C">
        <w:rPr>
          <w:rFonts w:ascii="Arial" w:hAnsi="Arial" w:cs="Arial"/>
        </w:rPr>
        <w:t>Przedmiotowy projekt aktu prawnego wraz z Uzasadnieniem oraz Oceną Skutków Regulacji dostępny jest na stronach Rządowego Centrum Legislacji pod adresem:</w:t>
      </w:r>
    </w:p>
    <w:p w14:paraId="48501AAA" w14:textId="194E868A" w:rsidR="0054566C" w:rsidRDefault="0054566C" w:rsidP="0054566C">
      <w:pPr>
        <w:spacing w:after="0" w:line="300" w:lineRule="auto"/>
        <w:jc w:val="both"/>
        <w:rPr>
          <w:rFonts w:ascii="Arial" w:hAnsi="Arial" w:cs="Arial"/>
        </w:rPr>
      </w:pPr>
      <w:hyperlink r:id="rId13" w:anchor="13149051" w:history="1">
        <w:r w:rsidRPr="008836EE">
          <w:rPr>
            <w:rStyle w:val="Hipercze"/>
            <w:rFonts w:ascii="Arial" w:hAnsi="Arial" w:cs="Arial"/>
          </w:rPr>
          <w:t>https://legislacja.rcl.gov.pl/projekt/12400951/katalog/13149051#13149051</w:t>
        </w:r>
      </w:hyperlink>
      <w:r>
        <w:rPr>
          <w:rFonts w:ascii="Arial" w:hAnsi="Arial" w:cs="Arial"/>
        </w:rPr>
        <w:t xml:space="preserve"> </w:t>
      </w:r>
    </w:p>
    <w:p w14:paraId="57C21243" w14:textId="77777777" w:rsidR="0054566C" w:rsidRDefault="0054566C" w:rsidP="0054566C">
      <w:pPr>
        <w:spacing w:after="0" w:line="300" w:lineRule="auto"/>
        <w:jc w:val="both"/>
        <w:rPr>
          <w:rFonts w:ascii="Arial" w:hAnsi="Arial" w:cs="Arial"/>
        </w:rPr>
      </w:pPr>
    </w:p>
    <w:p w14:paraId="77453118" w14:textId="3A8004CA" w:rsidR="0054566C" w:rsidRDefault="0054566C" w:rsidP="0054566C">
      <w:pPr>
        <w:spacing w:after="0" w:line="300" w:lineRule="auto"/>
        <w:jc w:val="both"/>
        <w:rPr>
          <w:rFonts w:ascii="Arial" w:hAnsi="Arial" w:cs="Arial"/>
        </w:rPr>
      </w:pPr>
      <w:r w:rsidRPr="0054566C">
        <w:rPr>
          <w:rFonts w:ascii="Arial" w:hAnsi="Arial" w:cs="Arial"/>
        </w:rPr>
        <w:t>Projekt jest obecnie jednocześnie na etapie uzgodnień, konsultacji publicznych i opiniowania.</w:t>
      </w:r>
    </w:p>
    <w:p w14:paraId="231CF131" w14:textId="77777777" w:rsidR="00446437" w:rsidRPr="00446437" w:rsidRDefault="00446437" w:rsidP="00446437">
      <w:pPr>
        <w:spacing w:after="0" w:line="300" w:lineRule="auto"/>
        <w:jc w:val="both"/>
        <w:rPr>
          <w:rFonts w:ascii="Arial" w:hAnsi="Arial" w:cs="Arial"/>
        </w:rPr>
      </w:pPr>
    </w:p>
    <w:p w14:paraId="34B2CFF6" w14:textId="3FE556A0" w:rsidR="00446437" w:rsidRPr="0054566C" w:rsidRDefault="0054566C" w:rsidP="00446437">
      <w:pPr>
        <w:pStyle w:val="Akapitzlist"/>
        <w:numPr>
          <w:ilvl w:val="0"/>
          <w:numId w:val="4"/>
        </w:numPr>
        <w:spacing w:after="0" w:line="300" w:lineRule="auto"/>
        <w:jc w:val="both"/>
        <w:rPr>
          <w:rFonts w:ascii="Arial" w:hAnsi="Arial" w:cs="Arial"/>
          <w:b/>
          <w:bCs/>
          <w:u w:val="single"/>
        </w:rPr>
      </w:pPr>
      <w:r w:rsidRPr="0054566C">
        <w:rPr>
          <w:rFonts w:ascii="Arial" w:hAnsi="Arial" w:cs="Arial"/>
          <w:b/>
          <w:bCs/>
          <w:u w:val="single"/>
        </w:rPr>
        <w:t xml:space="preserve">Projekt rozporządzenia Ministra Finansów i Gospodarki zmieniającego rozporządzenie w sprawie deklaracji na podatek od środków transportowych </w:t>
      </w:r>
      <w:r w:rsidRPr="0054566C">
        <w:rPr>
          <w:rFonts w:ascii="Arial" w:hAnsi="Arial" w:cs="Arial"/>
          <w:b/>
          <w:bCs/>
          <w:u w:val="single"/>
        </w:rPr>
        <w:lastRenderedPageBreak/>
        <w:t>składanych za pomocą środków komunikacji elektronicznej (numer z wykazu 1022).</w:t>
      </w:r>
    </w:p>
    <w:p w14:paraId="2D3124BB" w14:textId="77777777" w:rsidR="00446437" w:rsidRDefault="00446437" w:rsidP="00446437">
      <w:pPr>
        <w:spacing w:after="0" w:line="300" w:lineRule="auto"/>
        <w:jc w:val="both"/>
        <w:rPr>
          <w:rFonts w:ascii="Arial" w:hAnsi="Arial" w:cs="Arial"/>
        </w:rPr>
      </w:pPr>
    </w:p>
    <w:p w14:paraId="4DC08189" w14:textId="77777777" w:rsidR="0054566C" w:rsidRPr="0054566C" w:rsidRDefault="0054566C" w:rsidP="0054566C">
      <w:pPr>
        <w:spacing w:after="0" w:line="300" w:lineRule="auto"/>
        <w:jc w:val="both"/>
        <w:rPr>
          <w:rFonts w:ascii="Arial" w:hAnsi="Arial" w:cs="Arial"/>
        </w:rPr>
      </w:pPr>
      <w:r w:rsidRPr="0054566C">
        <w:rPr>
          <w:rFonts w:ascii="Arial" w:hAnsi="Arial" w:cs="Arial"/>
        </w:rPr>
        <w:t>Rozporządzenie Ministra Finansów z dnia 14 grudnia 2015 r. w sprawie deklaracji na podatek od środków transportowych składanych za pomocą środków komunikacji elektronicznej (Dz. U. z 2017 r. poz. 1353), zwane dalej „rozporządzeniem”, realizuje dyspozycję zawartą w art. 9 ust. 9 ustawy z dnia 12 stycznia 1991 r. o podatkach i opłatach lokalnych (Dz. U. z 2025 r. poz. 707). Zgodnie z nią minister właściwy do spraw finansów publicznych, w porozumieniu z ministrem właściwym do spraw informatyzacji, określa, w drodze rozporządzenia, miedzy innymi sposób przesyłania deklaracji na podatek od środków transportowych, za pomocą środków komunikacji elektronicznej, zwanych dalej ,,deklaracjami”, oraz rodzaje podpisu elektronicznego, którym powinny być opatrzone deklaracje - uwzględniając potrzebę zapewnienia bezpieczeństwa, wiarygodności i niezaprzeczalności danych zawartych w deklaracjach na podatek od środków transportowych oraz potrzebę ich ochrony przed nieuprawnionym dostępem.</w:t>
      </w:r>
    </w:p>
    <w:p w14:paraId="6D36431A" w14:textId="77777777" w:rsidR="0054566C" w:rsidRPr="0054566C" w:rsidRDefault="0054566C" w:rsidP="0054566C">
      <w:pPr>
        <w:spacing w:after="0" w:line="300" w:lineRule="auto"/>
        <w:jc w:val="both"/>
        <w:rPr>
          <w:rFonts w:ascii="Arial" w:hAnsi="Arial" w:cs="Arial"/>
        </w:rPr>
      </w:pPr>
      <w:r w:rsidRPr="0054566C">
        <w:rPr>
          <w:rFonts w:ascii="Arial" w:hAnsi="Arial" w:cs="Arial"/>
        </w:rPr>
        <w:t>Obecnie rozporządzenie w § 2 przewiduje, że deklaracje mogą być przesyłane z wykorzystaniem ePUAP oraz systemu teleinformatycznego organu jednostki samorządu terytorialnego. Należy mieć jednocześnie na uwadze, że od początku roku podatnicy mają możliwość kierowania innej korespondencji do tych organów za pośrednictwem adresu do doręczeń elektronicznych. Natomiast jednostki samorządu terytorialnego od dnia 1 stycznia 2025 r. są obowiązane doręczać korespondencję z wykorzystaniem publicznej usługi rejestrowanego doręczenia elektronicznego.</w:t>
      </w:r>
    </w:p>
    <w:p w14:paraId="55B93095" w14:textId="77777777" w:rsidR="0054566C" w:rsidRPr="0054566C" w:rsidRDefault="0054566C" w:rsidP="0054566C">
      <w:pPr>
        <w:spacing w:after="0" w:line="300" w:lineRule="auto"/>
        <w:jc w:val="both"/>
        <w:rPr>
          <w:rFonts w:ascii="Arial" w:hAnsi="Arial" w:cs="Arial"/>
        </w:rPr>
      </w:pPr>
      <w:r w:rsidRPr="0054566C">
        <w:rPr>
          <w:rFonts w:ascii="Arial" w:hAnsi="Arial" w:cs="Arial"/>
        </w:rPr>
        <w:t xml:space="preserve">Z informacji napływających od organów podatkowych właściwych w sprawach podatków lokalnych wynika, że podatnicy są zainteresowani możliwością przesyłania informacji i deklaracji także z wykorzystaniem adresu do doręczeń elektronicznych, o którym mowa w art. 2 pkt 1 ustawy z dnia 18 listopada 2020 r. o doręczeniach elektronicznych (Dz. U. z 2024 r. poz. 1045 i 1841), organu podatkowego. </w:t>
      </w:r>
    </w:p>
    <w:p w14:paraId="3C89B2F3" w14:textId="77777777" w:rsidR="0054566C" w:rsidRPr="0054566C" w:rsidRDefault="0054566C" w:rsidP="0054566C">
      <w:pPr>
        <w:spacing w:after="0" w:line="300" w:lineRule="auto"/>
        <w:jc w:val="both"/>
        <w:rPr>
          <w:rFonts w:ascii="Arial" w:hAnsi="Arial" w:cs="Arial"/>
        </w:rPr>
      </w:pPr>
      <w:r w:rsidRPr="0054566C">
        <w:rPr>
          <w:rFonts w:ascii="Arial" w:hAnsi="Arial" w:cs="Arial"/>
        </w:rPr>
        <w:t>Celem umożliwienia podatnikom składania deklaracji także w ww. sposób konieczna jest nowelizacja rozporządzenia.</w:t>
      </w:r>
    </w:p>
    <w:p w14:paraId="09A2E08F" w14:textId="77777777" w:rsidR="0054566C" w:rsidRPr="0054566C" w:rsidRDefault="0054566C" w:rsidP="0054566C">
      <w:pPr>
        <w:spacing w:after="0" w:line="300" w:lineRule="auto"/>
        <w:jc w:val="both"/>
        <w:rPr>
          <w:rFonts w:ascii="Arial" w:hAnsi="Arial" w:cs="Arial"/>
        </w:rPr>
      </w:pPr>
      <w:r w:rsidRPr="0054566C">
        <w:rPr>
          <w:rFonts w:ascii="Arial" w:hAnsi="Arial" w:cs="Arial"/>
        </w:rPr>
        <w:t>Zgodnie z § 3 rozporządzenia deklaracje są opatrywane kwalifikowanym podpisem elektronicznym albo podpisem potwierdzonym profilem zaufanym ePUAP. Użyte w tym przepisie pojęcie podpisu potwierdzonego profilem zaufanym ePUAP jest nieaktualne. Powinno ono zostać zastąpione pojęciem podpisu zaufanego. Ponadto wskazane jest umożliwienie podatnikom podatku od środków transportowych podpisywanie deklaracji również podpisem osobistym (oprócz kwalifikowanego podpisu elektronicznego i podpisu zaufanego), co spowoduje, że deklaracje przesyłane za pomocą środków komunikacji elektronicznej będą mogły być opatrywane takimi samymi podpisami jak informacje i deklaracje na pozostałe podatki lokalne, tj. podatek od nieruchomości, podatek rolny i podatek leśny. Dodanie podpisu osobistego ma zatem charakter uspójniający rozwiązania regulowane niniejszym rozporządzeniem z regulacjami rozporządzeń wykonawczych w sprawach przesyłania informacji i deklaracji na pozostałe podatki lokalne.</w:t>
      </w:r>
    </w:p>
    <w:p w14:paraId="488D7DFA" w14:textId="77777777" w:rsidR="0054566C" w:rsidRPr="0054566C" w:rsidRDefault="0054566C" w:rsidP="0054566C">
      <w:pPr>
        <w:spacing w:after="0" w:line="300" w:lineRule="auto"/>
        <w:jc w:val="both"/>
        <w:rPr>
          <w:rFonts w:ascii="Arial" w:hAnsi="Arial" w:cs="Arial"/>
        </w:rPr>
      </w:pPr>
      <w:r w:rsidRPr="0054566C">
        <w:rPr>
          <w:rFonts w:ascii="Arial" w:hAnsi="Arial" w:cs="Arial"/>
        </w:rPr>
        <w:t>Zastąpienie pojęcia podpis potwierdzony profilem zaufanym ePUAP” pojęciem „podpis zaufany” ma charakter aktualizujący.</w:t>
      </w:r>
    </w:p>
    <w:p w14:paraId="7726CA37" w14:textId="77777777" w:rsidR="0054566C" w:rsidRPr="0054566C" w:rsidRDefault="0054566C" w:rsidP="0054566C">
      <w:pPr>
        <w:spacing w:after="0" w:line="300" w:lineRule="auto"/>
        <w:jc w:val="both"/>
        <w:rPr>
          <w:rFonts w:ascii="Arial" w:hAnsi="Arial" w:cs="Arial"/>
        </w:rPr>
      </w:pPr>
      <w:r w:rsidRPr="0054566C">
        <w:rPr>
          <w:rFonts w:ascii="Arial" w:hAnsi="Arial" w:cs="Arial"/>
        </w:rPr>
        <w:lastRenderedPageBreak/>
        <w:t>Proponuje się wprowadzenie zmian w § 2 rozporządzenia zmienianego przez dodanie pkt 3 w brzmieniu: „3) adresu do doręczeń elektronicznych, o którym mowa w art. 2 pkt 1 ustawy z dnia 18 listopada 2020 r. o doręczeniach elektronicznych (Dz. U. z 2024 r. poz. 1045 i 1841), organu podatkowego.” oraz zmianę brzmienia § 3 rozporządzenia zmienianego w ten sposób, że dodany zostanie podpis osobisty oraz zastąpione zostanie nieaktualne pojęcie „podpis potwierdzony profilem zaufanym ePUAP” pojęciem „podpis zaufany”.</w:t>
      </w:r>
    </w:p>
    <w:p w14:paraId="26289D7D" w14:textId="77777777" w:rsidR="0054566C" w:rsidRPr="0054566C" w:rsidRDefault="0054566C" w:rsidP="0054566C">
      <w:pPr>
        <w:spacing w:after="0" w:line="300" w:lineRule="auto"/>
        <w:jc w:val="both"/>
        <w:rPr>
          <w:rFonts w:ascii="Arial" w:hAnsi="Arial" w:cs="Arial"/>
        </w:rPr>
      </w:pPr>
      <w:r w:rsidRPr="0054566C">
        <w:rPr>
          <w:rFonts w:ascii="Arial" w:hAnsi="Arial" w:cs="Arial"/>
        </w:rPr>
        <w:t xml:space="preserve">Ponadto celem ujednolicenia rozporządzenia z brzmieniem rozporządzeń wykonawczych w sprawach przesyłania informacji i deklaracji na pozostałe podatki lokalne dokonano następujących zmian: </w:t>
      </w:r>
    </w:p>
    <w:p w14:paraId="7F2E8179" w14:textId="0E582D29" w:rsidR="0054566C" w:rsidRPr="0054566C" w:rsidRDefault="0054566C" w:rsidP="0054566C">
      <w:pPr>
        <w:pStyle w:val="Akapitzlist"/>
        <w:numPr>
          <w:ilvl w:val="0"/>
          <w:numId w:val="32"/>
        </w:numPr>
        <w:spacing w:after="0" w:line="300" w:lineRule="auto"/>
        <w:jc w:val="both"/>
        <w:rPr>
          <w:rFonts w:ascii="Arial" w:hAnsi="Arial" w:cs="Arial"/>
        </w:rPr>
      </w:pPr>
      <w:r w:rsidRPr="0054566C">
        <w:rPr>
          <w:rFonts w:ascii="Arial" w:hAnsi="Arial" w:cs="Arial"/>
        </w:rPr>
        <w:t>tytuł rozporządzenia zmienianego otrzymał brzmienie: „w sprawie sposobu przesyłania deklaracji na podatek od środków transportowych za pomocą środków komunikacji elektronicznej”,</w:t>
      </w:r>
    </w:p>
    <w:p w14:paraId="362A0095" w14:textId="2F6059B1" w:rsidR="0054566C" w:rsidRPr="0054566C" w:rsidRDefault="0054566C" w:rsidP="0054566C">
      <w:pPr>
        <w:pStyle w:val="Akapitzlist"/>
        <w:numPr>
          <w:ilvl w:val="0"/>
          <w:numId w:val="32"/>
        </w:numPr>
        <w:spacing w:after="0" w:line="300" w:lineRule="auto"/>
        <w:jc w:val="both"/>
        <w:rPr>
          <w:rFonts w:ascii="Arial" w:hAnsi="Arial" w:cs="Arial"/>
        </w:rPr>
      </w:pPr>
      <w:r w:rsidRPr="0054566C">
        <w:rPr>
          <w:rFonts w:ascii="Arial" w:hAnsi="Arial" w:cs="Arial"/>
        </w:rPr>
        <w:t xml:space="preserve">§ 3 rozporządzenia zmienianego otrzymał brzmienie: </w:t>
      </w:r>
    </w:p>
    <w:p w14:paraId="04653743" w14:textId="77777777" w:rsidR="0054566C" w:rsidRPr="0054566C" w:rsidRDefault="0054566C" w:rsidP="0054566C">
      <w:pPr>
        <w:spacing w:after="0" w:line="300" w:lineRule="auto"/>
        <w:jc w:val="both"/>
        <w:rPr>
          <w:rFonts w:ascii="Arial" w:hAnsi="Arial" w:cs="Arial"/>
        </w:rPr>
      </w:pPr>
      <w:r w:rsidRPr="0054566C">
        <w:rPr>
          <w:rFonts w:ascii="Arial" w:hAnsi="Arial" w:cs="Arial"/>
        </w:rPr>
        <w:t xml:space="preserve">              „Deklaracje mogą być opatrywane:</w:t>
      </w:r>
    </w:p>
    <w:p w14:paraId="3A05C4BB" w14:textId="77777777" w:rsidR="0054566C" w:rsidRPr="0054566C" w:rsidRDefault="0054566C" w:rsidP="0054566C">
      <w:pPr>
        <w:spacing w:after="0" w:line="300" w:lineRule="auto"/>
        <w:jc w:val="both"/>
        <w:rPr>
          <w:rFonts w:ascii="Arial" w:hAnsi="Arial" w:cs="Arial"/>
        </w:rPr>
      </w:pPr>
      <w:r w:rsidRPr="0054566C">
        <w:rPr>
          <w:rFonts w:ascii="Arial" w:hAnsi="Arial" w:cs="Arial"/>
        </w:rPr>
        <w:t xml:space="preserve">                1)</w:t>
      </w:r>
      <w:r w:rsidRPr="0054566C">
        <w:rPr>
          <w:rFonts w:ascii="Arial" w:hAnsi="Arial" w:cs="Arial"/>
        </w:rPr>
        <w:tab/>
        <w:t>kwalifikowanym podpisem elektronicznym;</w:t>
      </w:r>
    </w:p>
    <w:p w14:paraId="0A59070A" w14:textId="77777777" w:rsidR="0054566C" w:rsidRPr="0054566C" w:rsidRDefault="0054566C" w:rsidP="0054566C">
      <w:pPr>
        <w:spacing w:after="0" w:line="300" w:lineRule="auto"/>
        <w:jc w:val="both"/>
        <w:rPr>
          <w:rFonts w:ascii="Arial" w:hAnsi="Arial" w:cs="Arial"/>
        </w:rPr>
      </w:pPr>
      <w:r w:rsidRPr="0054566C">
        <w:rPr>
          <w:rFonts w:ascii="Arial" w:hAnsi="Arial" w:cs="Arial"/>
        </w:rPr>
        <w:t xml:space="preserve">                2)</w:t>
      </w:r>
      <w:r w:rsidRPr="0054566C">
        <w:rPr>
          <w:rFonts w:ascii="Arial" w:hAnsi="Arial" w:cs="Arial"/>
        </w:rPr>
        <w:tab/>
        <w:t>podpisem osobistym;</w:t>
      </w:r>
    </w:p>
    <w:p w14:paraId="146FBA97" w14:textId="77777777" w:rsidR="0054566C" w:rsidRPr="0054566C" w:rsidRDefault="0054566C" w:rsidP="0054566C">
      <w:pPr>
        <w:spacing w:after="0" w:line="300" w:lineRule="auto"/>
        <w:jc w:val="both"/>
        <w:rPr>
          <w:rFonts w:ascii="Arial" w:hAnsi="Arial" w:cs="Arial"/>
        </w:rPr>
      </w:pPr>
      <w:r w:rsidRPr="0054566C">
        <w:rPr>
          <w:rFonts w:ascii="Arial" w:hAnsi="Arial" w:cs="Arial"/>
        </w:rPr>
        <w:t xml:space="preserve">                3)</w:t>
      </w:r>
      <w:r w:rsidRPr="0054566C">
        <w:rPr>
          <w:rFonts w:ascii="Arial" w:hAnsi="Arial" w:cs="Arial"/>
        </w:rPr>
        <w:tab/>
        <w:t>podpisem zaufanym.”</w:t>
      </w:r>
    </w:p>
    <w:p w14:paraId="3BA5FB60" w14:textId="1D55EFED" w:rsidR="00446437" w:rsidRDefault="0054566C" w:rsidP="0054566C">
      <w:pPr>
        <w:spacing w:after="0" w:line="300" w:lineRule="auto"/>
        <w:jc w:val="both"/>
        <w:rPr>
          <w:rFonts w:ascii="Arial" w:hAnsi="Arial" w:cs="Arial"/>
        </w:rPr>
      </w:pPr>
      <w:r w:rsidRPr="0054566C">
        <w:rPr>
          <w:rFonts w:ascii="Arial" w:hAnsi="Arial" w:cs="Arial"/>
        </w:rPr>
        <w:t>W wyniku projektowanej nowelizacji podatnicy będą mieli szerszy wybór środków komunikacji elektronicznej, za pomocą których będą mogli przesłać deklaracje, a także uzyskają możliwość ich opatrywania podpisem osobistym.</w:t>
      </w:r>
    </w:p>
    <w:p w14:paraId="072F8EFA" w14:textId="77777777" w:rsidR="0054566C" w:rsidRDefault="0054566C" w:rsidP="0054566C">
      <w:pPr>
        <w:spacing w:after="0" w:line="300" w:lineRule="auto"/>
        <w:jc w:val="both"/>
        <w:rPr>
          <w:rFonts w:ascii="Arial" w:hAnsi="Arial" w:cs="Arial"/>
        </w:rPr>
      </w:pPr>
    </w:p>
    <w:p w14:paraId="15FD151A" w14:textId="77777777" w:rsidR="0054566C" w:rsidRPr="0054566C" w:rsidRDefault="0054566C" w:rsidP="0054566C">
      <w:pPr>
        <w:spacing w:after="0" w:line="300" w:lineRule="auto"/>
        <w:jc w:val="both"/>
        <w:rPr>
          <w:rFonts w:ascii="Arial" w:hAnsi="Arial" w:cs="Arial"/>
        </w:rPr>
      </w:pPr>
      <w:r w:rsidRPr="0054566C">
        <w:rPr>
          <w:rFonts w:ascii="Arial" w:hAnsi="Arial" w:cs="Arial"/>
        </w:rPr>
        <w:t>Przedmiotowy projekt aktu prawnego wraz z Uzasadnieniem oraz Oceną Skutków Regulacji dostępny jest na stronach Rządowego Centrum Legislacji pod adresem:</w:t>
      </w:r>
    </w:p>
    <w:p w14:paraId="1FE81EB9" w14:textId="06074F55" w:rsidR="0054566C" w:rsidRDefault="0054566C" w:rsidP="0054566C">
      <w:pPr>
        <w:spacing w:after="0" w:line="300" w:lineRule="auto"/>
        <w:jc w:val="both"/>
        <w:rPr>
          <w:rFonts w:ascii="Arial" w:hAnsi="Arial" w:cs="Arial"/>
        </w:rPr>
      </w:pPr>
      <w:hyperlink r:id="rId14" w:anchor="13149137" w:history="1">
        <w:r w:rsidRPr="008836EE">
          <w:rPr>
            <w:rStyle w:val="Hipercze"/>
            <w:rFonts w:ascii="Arial" w:hAnsi="Arial" w:cs="Arial"/>
          </w:rPr>
          <w:t>https://legislacja.rcl.gov.pl/projekt/12400953/katalog/13149137#13149137</w:t>
        </w:r>
      </w:hyperlink>
      <w:r>
        <w:rPr>
          <w:rFonts w:ascii="Arial" w:hAnsi="Arial" w:cs="Arial"/>
        </w:rPr>
        <w:t xml:space="preserve"> </w:t>
      </w:r>
    </w:p>
    <w:p w14:paraId="24D24EEE" w14:textId="77777777" w:rsidR="00446437" w:rsidRDefault="00446437" w:rsidP="00446437">
      <w:pPr>
        <w:spacing w:after="0" w:line="300" w:lineRule="auto"/>
        <w:jc w:val="both"/>
        <w:rPr>
          <w:rFonts w:ascii="Arial" w:hAnsi="Arial" w:cs="Arial"/>
        </w:rPr>
      </w:pPr>
    </w:p>
    <w:p w14:paraId="3EB6BDF4" w14:textId="7D2BC832" w:rsidR="0054566C" w:rsidRDefault="0054566C" w:rsidP="00446437">
      <w:pPr>
        <w:spacing w:after="0" w:line="300" w:lineRule="auto"/>
        <w:jc w:val="both"/>
        <w:rPr>
          <w:rFonts w:ascii="Arial" w:hAnsi="Arial" w:cs="Arial"/>
        </w:rPr>
      </w:pPr>
      <w:r w:rsidRPr="0054566C">
        <w:rPr>
          <w:rFonts w:ascii="Arial" w:hAnsi="Arial" w:cs="Arial"/>
        </w:rPr>
        <w:t>Projekt jest obecnie jednocześnie na etapie uzgodnień, konsultacji publicznych i opiniowania.</w:t>
      </w:r>
    </w:p>
    <w:p w14:paraId="788ACD1E" w14:textId="77777777" w:rsidR="0054566C" w:rsidRPr="00446437" w:rsidRDefault="0054566C" w:rsidP="00446437">
      <w:pPr>
        <w:spacing w:after="0" w:line="300" w:lineRule="auto"/>
        <w:jc w:val="both"/>
        <w:rPr>
          <w:rFonts w:ascii="Arial" w:hAnsi="Arial" w:cs="Arial"/>
        </w:rPr>
      </w:pPr>
    </w:p>
    <w:p w14:paraId="556B540E" w14:textId="36A38083" w:rsidR="00446437" w:rsidRPr="0054566C" w:rsidRDefault="0054566C" w:rsidP="00446437">
      <w:pPr>
        <w:pStyle w:val="Akapitzlist"/>
        <w:numPr>
          <w:ilvl w:val="0"/>
          <w:numId w:val="4"/>
        </w:numPr>
        <w:spacing w:after="0" w:line="300" w:lineRule="auto"/>
        <w:jc w:val="both"/>
        <w:rPr>
          <w:rFonts w:ascii="Arial" w:hAnsi="Arial" w:cs="Arial"/>
          <w:b/>
          <w:bCs/>
          <w:u w:val="single"/>
        </w:rPr>
      </w:pPr>
      <w:r w:rsidRPr="0054566C">
        <w:rPr>
          <w:rFonts w:ascii="Arial" w:hAnsi="Arial" w:cs="Arial"/>
          <w:b/>
          <w:bCs/>
          <w:u w:val="single"/>
        </w:rPr>
        <w:t>Projekt rozporządzenia Ministra Finansów i Gospodarki zmieniającego rozporządzenie w sprawie przedłużenia terminu do wpłaty przez podatników podatku dochodowego od osób fizycznych podatku należnego od dochodów z niezrealizowanych zysków (numer z wykazu 1011).</w:t>
      </w:r>
    </w:p>
    <w:p w14:paraId="3F5B40E5" w14:textId="77777777" w:rsidR="0054566C" w:rsidRDefault="0054566C" w:rsidP="0054566C">
      <w:pPr>
        <w:spacing w:after="0" w:line="300" w:lineRule="auto"/>
        <w:jc w:val="both"/>
        <w:rPr>
          <w:rFonts w:ascii="Arial" w:hAnsi="Arial" w:cs="Arial"/>
        </w:rPr>
      </w:pPr>
    </w:p>
    <w:p w14:paraId="42FEC17A" w14:textId="637EE121" w:rsidR="0054566C" w:rsidRPr="0054566C" w:rsidRDefault="0054566C" w:rsidP="0054566C">
      <w:pPr>
        <w:spacing w:after="0" w:line="300" w:lineRule="auto"/>
        <w:jc w:val="both"/>
        <w:rPr>
          <w:rFonts w:ascii="Arial" w:hAnsi="Arial" w:cs="Arial"/>
        </w:rPr>
      </w:pPr>
      <w:r w:rsidRPr="0054566C">
        <w:rPr>
          <w:rFonts w:ascii="Arial" w:hAnsi="Arial" w:cs="Arial"/>
        </w:rPr>
        <w:t>Na podstawie art. 30da ust. 14 ustawy z dnia 26 lipca 1991 r. o podatku dochodowym od osób fizycznych (Dz. U. z 2025 r. poz. 163, z późn. zm.), zwanej dalej „ustawą PIT”, podatnicy są obowiązani składać urzędom skarbowym deklaracje, według ustalonego wzoru, o wysokości dochodu z niezrealizowanych zysków do 7. dnia miesiąca następującego po miesiącu, w którym łączna wartość rynkowa przenoszonych składników majątku przekroczyła kwotę 4 000 000 zł, oraz w tym terminie wpłacić podatek należny. Jeżeli po miesiącu, w którym łączna wartość rynkowa przenoszonych składników majątku przekroczyła kwotę 4 000 000 zł, przenoszone są kolejne składniki majątku, podatnicy obowiązani są składać deklarację do 7. dnia miesiąca następującego po miesiącu, w którym przenoszone są składniki oraz w tym terminie wpłacić podatek należny. Powyższy przepis wszedł w życie z dniem 1 stycznia 2019 r</w:t>
      </w:r>
      <w:r>
        <w:rPr>
          <w:rFonts w:ascii="Arial" w:hAnsi="Arial" w:cs="Arial"/>
        </w:rPr>
        <w:t>oku</w:t>
      </w:r>
      <w:r w:rsidRPr="0054566C">
        <w:rPr>
          <w:rFonts w:ascii="Arial" w:hAnsi="Arial" w:cs="Arial"/>
        </w:rPr>
        <w:t xml:space="preserve">.  </w:t>
      </w:r>
    </w:p>
    <w:p w14:paraId="425148D3" w14:textId="77777777" w:rsidR="0054566C" w:rsidRPr="0054566C" w:rsidRDefault="0054566C" w:rsidP="0054566C">
      <w:pPr>
        <w:spacing w:after="0" w:line="300" w:lineRule="auto"/>
        <w:jc w:val="both"/>
        <w:rPr>
          <w:rFonts w:ascii="Arial" w:hAnsi="Arial" w:cs="Arial"/>
        </w:rPr>
      </w:pPr>
      <w:r w:rsidRPr="0054566C">
        <w:rPr>
          <w:rFonts w:ascii="Arial" w:hAnsi="Arial" w:cs="Arial"/>
        </w:rPr>
        <w:lastRenderedPageBreak/>
        <w:t>Przedłużenie terminu zapłaty podatku od dochodów z niezrealizowanych zysków do czasu zbycia składnika majątku lub jego utraty w inny sposób ma na celu ułatwienie podatnikom wykonania zobowiązania podatkowego. Potrzeba taka wynika z cechy tego podatku, w którym obowiązek podatkowy powstaje od zysku, który jest wyrażony wzrostem wartości posiadanego majątku, a nie otrzymanym przez podatnika przychodem, z którego mógłby on zapłacić podatek. Odroczenie terminu płatności ma pozwolić podatnikowi na zgromadzenie środków pieniężnych na zapłatę tego podatku. Na zagadnienie to zwrócił uwagę TSUE, stwierdzając, że prawo podatkowe w zakresie tzw. exit tax powinno być tak skonstruowane, żeby zapłata tego podatku była odroczona do momentu faktycznej sprzedaży składnika majątku (zrealizowaniu zysku z danego składnika majątku).</w:t>
      </w:r>
    </w:p>
    <w:p w14:paraId="4363A8E2" w14:textId="77777777" w:rsidR="0054566C" w:rsidRPr="0054566C" w:rsidRDefault="0054566C" w:rsidP="0054566C">
      <w:pPr>
        <w:spacing w:after="0" w:line="300" w:lineRule="auto"/>
        <w:jc w:val="both"/>
        <w:rPr>
          <w:rFonts w:ascii="Arial" w:hAnsi="Arial" w:cs="Arial"/>
        </w:rPr>
      </w:pPr>
      <w:r w:rsidRPr="0054566C">
        <w:rPr>
          <w:rFonts w:ascii="Arial" w:hAnsi="Arial" w:cs="Arial"/>
        </w:rPr>
        <w:t>W celu zapewnienia podatnikom niezbędnego czasu do prawidłowego rozliczenia się z podatku dochodowego od osób fizycznych rozporządzeniem Ministra Finansów z dnia 27 czerwca 2019 r. w sprawie przedłużenia terminu do wpłaty przez podatników podatku dochodowego od osób fizycznych podatku należnego od dochodów z niezrealizowanych zysków (Dz. U. z 2025 r. poz. 260) został przedłużony termin, o którym mowa w art. 30da ust. 14 ustawy PIT. Powyższe rozporządzenie było zmieniane rozporządzeniem Ministra Finansów z dnia 21 grudnia 2021 r. zmieniającym rozporządzenie w sprawie przedłużenia terminu do wpłaty przez podatników podatku dochodowego od osób fizycznych podatku należnego od dochodów z niezrealizowanych zysków (Dz. U. poz. 2409) oraz rozporządzeniem Ministra Finansów z dnia 2 sierpnia 2023 r. zmieniającym rozporządzenie w sprawie przedłużenia terminu do wpłaty przez podatników podatku dochodowego od osób fizycznych podatku należnego od dochodów z niezrealizowanych zysków (Dz. U. poz. 1611). Ostatnim z wyżej wymienionych rozporządzeń termin, o którym mowa w art. 30da ust. 14 ustawy PIT został przedłużony do 7. dnia miesiąca następującego po miesiącu, w którym podatnik utraci w całości lub w części składnik majątku będący przedmiotem opodatkowania tym podatkiem, w przypadku, gdy utrata tego składnika nastąpi przed dniem 1 grudnia 2025 r. lub do dnia 31 grudnia 2025 r. w pozostałych przypadkach. Przedłużenie terminu zapłaty podatku od dochodu z niezrealizowanych zysków do dnia 31 grudnia 2025 r. lub do czasu zbycia składnika majątku lub jego utraty w inny sposób (np. umorzenie lub wykup) miało na celu ułatwienie podatnikom wykonania zobowiązania podatkowego (zapłaty podatku) do czasu otrzymania przez nich środków pieniężnych (w przypadku, gdy utrata ma charakter odpłatny) lub gdy podatnicy zdecydują się nieodpłatnie przekazać majątek (np. w formie darowizny). Taki sposób realizacji poboru podatku od dochodu z niezrealizowanych zysków znajduje aprobatę w orzecznictwie TSUE.</w:t>
      </w:r>
    </w:p>
    <w:p w14:paraId="6152C4F6" w14:textId="77777777" w:rsidR="0054566C" w:rsidRPr="0054566C" w:rsidRDefault="0054566C" w:rsidP="0054566C">
      <w:pPr>
        <w:spacing w:after="0" w:line="300" w:lineRule="auto"/>
        <w:jc w:val="both"/>
        <w:rPr>
          <w:rFonts w:ascii="Arial" w:hAnsi="Arial" w:cs="Arial"/>
        </w:rPr>
      </w:pPr>
      <w:r w:rsidRPr="0054566C">
        <w:rPr>
          <w:rFonts w:ascii="Arial" w:hAnsi="Arial" w:cs="Arial"/>
        </w:rPr>
        <w:t xml:space="preserve">W celu ułatwiania podatnikom wykonania zobowiązania podatkowego, projekt rozporządzenia przewiduje przedłużenie terminu do wpłaty podatku należnego od dochodów z niezrealizowanych zysków o kolejne 2 lata. </w:t>
      </w:r>
    </w:p>
    <w:p w14:paraId="0942C47B" w14:textId="3F5AE98F" w:rsidR="00446437" w:rsidRDefault="0054566C" w:rsidP="0054566C">
      <w:pPr>
        <w:spacing w:after="0" w:line="300" w:lineRule="auto"/>
        <w:jc w:val="both"/>
        <w:rPr>
          <w:rFonts w:ascii="Arial" w:hAnsi="Arial" w:cs="Arial"/>
        </w:rPr>
      </w:pPr>
      <w:r w:rsidRPr="0054566C">
        <w:rPr>
          <w:rFonts w:ascii="Arial" w:hAnsi="Arial" w:cs="Arial"/>
        </w:rPr>
        <w:t>Oznacza to, że podatek należny od dochodów z niezrealizowanych zysków wynikających z miesięcznych deklaracji składanych za okresy rozliczeniowe od dnia 1 stycznia 2019 r. do dnia 30 listopada 2027 r. podatnik będzie płacił do dnia 31 grudnia 2027 r. Natomiast podatek z niezrealizowanych zysków od składników majątku, które zostaną utracone przed dniem 1 grudnia 2027 r., będzie płatny do 7. dnia miesiąca następującego po miesiącu, w którym nastąpiła utrata przez podatnika w całości lub części tego składnika majątku.</w:t>
      </w:r>
    </w:p>
    <w:p w14:paraId="3F21F772" w14:textId="77777777" w:rsidR="0054566C" w:rsidRDefault="0054566C" w:rsidP="0054566C">
      <w:pPr>
        <w:spacing w:after="0" w:line="300" w:lineRule="auto"/>
        <w:jc w:val="both"/>
        <w:rPr>
          <w:rFonts w:ascii="Arial" w:hAnsi="Arial" w:cs="Arial"/>
        </w:rPr>
      </w:pPr>
    </w:p>
    <w:p w14:paraId="6F1C46F4" w14:textId="77777777" w:rsidR="0054566C" w:rsidRPr="0054566C" w:rsidRDefault="0054566C" w:rsidP="0054566C">
      <w:pPr>
        <w:spacing w:after="0" w:line="300" w:lineRule="auto"/>
        <w:jc w:val="both"/>
        <w:rPr>
          <w:rFonts w:ascii="Arial" w:hAnsi="Arial" w:cs="Arial"/>
        </w:rPr>
      </w:pPr>
      <w:r w:rsidRPr="0054566C">
        <w:rPr>
          <w:rFonts w:ascii="Arial" w:hAnsi="Arial" w:cs="Arial"/>
        </w:rPr>
        <w:lastRenderedPageBreak/>
        <w:t>Przedmiotowy projekt aktu prawnego wraz z Uzasadnieniem oraz Oceną Skutków Regulacji dostępny jest na stronach Rządowego Centrum Legislacji pod adresem:</w:t>
      </w:r>
    </w:p>
    <w:p w14:paraId="544E1318" w14:textId="7B21A041" w:rsidR="0054566C" w:rsidRDefault="0054566C" w:rsidP="0054566C">
      <w:pPr>
        <w:spacing w:after="0" w:line="300" w:lineRule="auto"/>
        <w:jc w:val="both"/>
        <w:rPr>
          <w:rFonts w:ascii="Arial" w:hAnsi="Arial" w:cs="Arial"/>
        </w:rPr>
      </w:pPr>
      <w:hyperlink r:id="rId15" w:anchor="13149308" w:history="1">
        <w:r w:rsidRPr="008836EE">
          <w:rPr>
            <w:rStyle w:val="Hipercze"/>
            <w:rFonts w:ascii="Arial" w:hAnsi="Arial" w:cs="Arial"/>
          </w:rPr>
          <w:t>https://legislacja.rcl.gov.pl/projekt/12401000/katalog/13149308#13149308</w:t>
        </w:r>
      </w:hyperlink>
      <w:r>
        <w:rPr>
          <w:rFonts w:ascii="Arial" w:hAnsi="Arial" w:cs="Arial"/>
        </w:rPr>
        <w:t xml:space="preserve"> </w:t>
      </w:r>
    </w:p>
    <w:p w14:paraId="0066E049" w14:textId="77777777" w:rsidR="00446437" w:rsidRPr="00446437" w:rsidRDefault="00446437" w:rsidP="00446437">
      <w:pPr>
        <w:spacing w:after="0" w:line="300" w:lineRule="auto"/>
        <w:jc w:val="both"/>
        <w:rPr>
          <w:rFonts w:ascii="Arial" w:hAnsi="Arial" w:cs="Arial"/>
        </w:rPr>
      </w:pPr>
    </w:p>
    <w:p w14:paraId="11847F3F" w14:textId="48BB661C" w:rsidR="00446437" w:rsidRPr="00042C7F" w:rsidRDefault="0054566C" w:rsidP="00446437">
      <w:pPr>
        <w:spacing w:after="0" w:line="300" w:lineRule="auto"/>
        <w:jc w:val="both"/>
        <w:rPr>
          <w:rFonts w:ascii="Arial" w:hAnsi="Arial" w:cs="Arial"/>
        </w:rPr>
      </w:pPr>
      <w:r w:rsidRPr="0054566C">
        <w:rPr>
          <w:rFonts w:ascii="Arial" w:hAnsi="Arial" w:cs="Arial"/>
        </w:rPr>
        <w:t>Projekt jest obecnie jednocześnie na etapie uzgodnień, konsultacji publicznych i opiniowania.</w:t>
      </w:r>
    </w:p>
    <w:p w14:paraId="2312456B" w14:textId="77777777" w:rsidR="00446437" w:rsidRDefault="00446437" w:rsidP="00446437">
      <w:pPr>
        <w:spacing w:after="0" w:line="300" w:lineRule="auto"/>
        <w:jc w:val="both"/>
        <w:rPr>
          <w:rFonts w:ascii="Arial" w:hAnsi="Arial" w:cs="Arial"/>
        </w:rPr>
      </w:pPr>
    </w:p>
    <w:p w14:paraId="0801B08F" w14:textId="77777777" w:rsidR="0054566C" w:rsidRDefault="0054566C" w:rsidP="00446437">
      <w:pPr>
        <w:spacing w:after="0" w:line="300" w:lineRule="auto"/>
        <w:jc w:val="both"/>
        <w:rPr>
          <w:rFonts w:ascii="Arial" w:hAnsi="Arial" w:cs="Arial"/>
        </w:rPr>
      </w:pPr>
    </w:p>
    <w:p w14:paraId="12ABC432" w14:textId="77777777" w:rsidR="000B3EC4" w:rsidRPr="000B3EC4" w:rsidRDefault="000B3EC4" w:rsidP="000B3EC4">
      <w:pPr>
        <w:spacing w:after="0" w:line="300" w:lineRule="auto"/>
        <w:jc w:val="both"/>
        <w:rPr>
          <w:rFonts w:ascii="Arial" w:hAnsi="Arial" w:cs="Arial"/>
          <w:b/>
          <w:bCs/>
        </w:rPr>
      </w:pPr>
      <w:r w:rsidRPr="000B3EC4">
        <w:rPr>
          <w:rFonts w:ascii="Arial" w:hAnsi="Arial" w:cs="Arial"/>
          <w:b/>
          <w:bCs/>
        </w:rPr>
        <w:t>II. Stanowiska Związku Pracodawców Polska Miedź</w:t>
      </w:r>
    </w:p>
    <w:p w14:paraId="62927872" w14:textId="77777777" w:rsidR="000B3EC4" w:rsidRPr="000B3EC4" w:rsidRDefault="000B3EC4" w:rsidP="000B3EC4">
      <w:pPr>
        <w:spacing w:after="0" w:line="300" w:lineRule="auto"/>
        <w:jc w:val="both"/>
        <w:rPr>
          <w:rFonts w:ascii="Arial" w:hAnsi="Arial" w:cs="Arial"/>
        </w:rPr>
      </w:pPr>
    </w:p>
    <w:p w14:paraId="282395CA" w14:textId="3508FDD9" w:rsidR="000B3EC4" w:rsidRPr="000B3EC4" w:rsidRDefault="000B3EC4" w:rsidP="000B3EC4">
      <w:pPr>
        <w:spacing w:after="0" w:line="300" w:lineRule="auto"/>
        <w:jc w:val="both"/>
        <w:rPr>
          <w:rFonts w:ascii="Arial" w:hAnsi="Arial" w:cs="Arial"/>
        </w:rPr>
      </w:pPr>
      <w:r w:rsidRPr="000B3EC4">
        <w:rPr>
          <w:rFonts w:ascii="Arial" w:hAnsi="Arial" w:cs="Arial"/>
        </w:rPr>
        <w:t xml:space="preserve">Na podstawie opinii i ekspertyz podmiotów członkowskich Związku Pracodawców Polska Miedź przygotowano </w:t>
      </w:r>
      <w:r>
        <w:rPr>
          <w:rFonts w:ascii="Arial" w:hAnsi="Arial" w:cs="Arial"/>
        </w:rPr>
        <w:t>dwa</w:t>
      </w:r>
      <w:r w:rsidRPr="000B3EC4">
        <w:rPr>
          <w:rFonts w:ascii="Arial" w:hAnsi="Arial" w:cs="Arial"/>
        </w:rPr>
        <w:t xml:space="preserve"> stanowisk</w:t>
      </w:r>
      <w:r>
        <w:rPr>
          <w:rFonts w:ascii="Arial" w:hAnsi="Arial" w:cs="Arial"/>
        </w:rPr>
        <w:t>a</w:t>
      </w:r>
      <w:r w:rsidRPr="000B3EC4">
        <w:rPr>
          <w:rFonts w:ascii="Arial" w:hAnsi="Arial" w:cs="Arial"/>
        </w:rPr>
        <w:t xml:space="preserve"> do opublikowanych projektów aktów prawnych oraz dokumentów strategicznych.</w:t>
      </w:r>
    </w:p>
    <w:p w14:paraId="78364131" w14:textId="77777777" w:rsidR="000B3EC4" w:rsidRPr="000B3EC4" w:rsidRDefault="000B3EC4" w:rsidP="000B3EC4">
      <w:pPr>
        <w:spacing w:after="0" w:line="300" w:lineRule="auto"/>
        <w:jc w:val="both"/>
        <w:rPr>
          <w:rFonts w:ascii="Arial" w:hAnsi="Arial" w:cs="Arial"/>
        </w:rPr>
      </w:pPr>
    </w:p>
    <w:p w14:paraId="63C68E72" w14:textId="2490CDF1" w:rsidR="000B3EC4" w:rsidRPr="000B3EC4" w:rsidRDefault="000B3EC4" w:rsidP="00697346">
      <w:pPr>
        <w:pStyle w:val="Akapitzlist"/>
        <w:numPr>
          <w:ilvl w:val="0"/>
          <w:numId w:val="33"/>
        </w:numPr>
        <w:spacing w:after="0" w:line="300" w:lineRule="auto"/>
        <w:jc w:val="both"/>
        <w:rPr>
          <w:rFonts w:ascii="Arial" w:hAnsi="Arial" w:cs="Arial"/>
          <w:b/>
          <w:bCs/>
          <w:u w:val="single"/>
        </w:rPr>
      </w:pPr>
      <w:r w:rsidRPr="000B3EC4">
        <w:rPr>
          <w:rFonts w:ascii="Arial" w:hAnsi="Arial" w:cs="Arial"/>
          <w:b/>
          <w:bCs/>
          <w:u w:val="single"/>
        </w:rPr>
        <w:t xml:space="preserve">Stanowisko Związku Pracodawców Polska Miedź (uwagi Związku Pracodawców Polska Miedź) do projektu ustawy o zmianie ustawy o podatku od wydobycia niektórych kopalin.  </w:t>
      </w:r>
    </w:p>
    <w:p w14:paraId="36081EDF" w14:textId="77777777" w:rsidR="000B3EC4" w:rsidRDefault="000B3EC4" w:rsidP="00697346">
      <w:pPr>
        <w:pStyle w:val="Akapitzlist"/>
        <w:spacing w:after="0" w:line="300" w:lineRule="auto"/>
        <w:jc w:val="both"/>
        <w:rPr>
          <w:rFonts w:ascii="Arial" w:hAnsi="Arial" w:cs="Arial"/>
        </w:rPr>
      </w:pPr>
    </w:p>
    <w:p w14:paraId="27542AF9" w14:textId="5E1DBDD3" w:rsidR="000B3EC4" w:rsidRDefault="000B3EC4" w:rsidP="00697346">
      <w:pPr>
        <w:pStyle w:val="Akapitzlist"/>
        <w:spacing w:after="0" w:line="300" w:lineRule="auto"/>
        <w:jc w:val="both"/>
        <w:rPr>
          <w:rFonts w:ascii="Arial" w:hAnsi="Arial" w:cs="Arial"/>
        </w:rPr>
      </w:pPr>
      <w:r w:rsidRPr="000B3EC4">
        <w:rPr>
          <w:rFonts w:ascii="Arial" w:hAnsi="Arial" w:cs="Arial"/>
        </w:rPr>
        <w:t xml:space="preserve">Projekt z dnia </w:t>
      </w:r>
      <w:r>
        <w:rPr>
          <w:rFonts w:ascii="Arial" w:hAnsi="Arial" w:cs="Arial"/>
        </w:rPr>
        <w:t>15</w:t>
      </w:r>
      <w:r w:rsidRPr="000B3EC4">
        <w:rPr>
          <w:rFonts w:ascii="Arial" w:hAnsi="Arial" w:cs="Arial"/>
        </w:rPr>
        <w:t xml:space="preserve">.07.2025 roku, opublikowany na stronie BIP Rządowego Centrum Legislacji w dniu </w:t>
      </w:r>
      <w:r>
        <w:rPr>
          <w:rFonts w:ascii="Arial" w:hAnsi="Arial" w:cs="Arial"/>
        </w:rPr>
        <w:t>23</w:t>
      </w:r>
      <w:r w:rsidRPr="000B3EC4">
        <w:rPr>
          <w:rFonts w:ascii="Arial" w:hAnsi="Arial" w:cs="Arial"/>
        </w:rPr>
        <w:t>.07.2025 roku. (UD2</w:t>
      </w:r>
      <w:r>
        <w:rPr>
          <w:rFonts w:ascii="Arial" w:hAnsi="Arial" w:cs="Arial"/>
        </w:rPr>
        <w:t>41</w:t>
      </w:r>
      <w:r w:rsidRPr="000B3EC4">
        <w:rPr>
          <w:rFonts w:ascii="Arial" w:hAnsi="Arial" w:cs="Arial"/>
        </w:rPr>
        <w:t xml:space="preserve"> w Wykazie prac legislacyjnych i programowych Rady Ministrów).</w:t>
      </w:r>
    </w:p>
    <w:p w14:paraId="13FE87F8" w14:textId="281EA6A2" w:rsidR="000B3EC4" w:rsidRDefault="000B3EC4" w:rsidP="00697346">
      <w:pPr>
        <w:pStyle w:val="Akapitzlist"/>
        <w:spacing w:after="0" w:line="300" w:lineRule="auto"/>
        <w:jc w:val="both"/>
        <w:rPr>
          <w:rFonts w:ascii="Arial" w:hAnsi="Arial" w:cs="Arial"/>
        </w:rPr>
      </w:pPr>
      <w:r w:rsidRPr="000B3EC4">
        <w:rPr>
          <w:rFonts w:ascii="Arial" w:hAnsi="Arial" w:cs="Arial"/>
        </w:rPr>
        <w:t xml:space="preserve">Przedmiotowe stanowisko zostało przesłane do Ministerstwa </w:t>
      </w:r>
      <w:bookmarkStart w:id="0" w:name="_Hlk206594359"/>
      <w:r>
        <w:rPr>
          <w:rFonts w:ascii="Arial" w:hAnsi="Arial" w:cs="Arial"/>
        </w:rPr>
        <w:t>Finansów i Gospodarki</w:t>
      </w:r>
      <w:r w:rsidRPr="000B3EC4">
        <w:rPr>
          <w:rFonts w:ascii="Arial" w:hAnsi="Arial" w:cs="Arial"/>
        </w:rPr>
        <w:t xml:space="preserve"> </w:t>
      </w:r>
      <w:bookmarkEnd w:id="0"/>
      <w:r w:rsidRPr="000B3EC4">
        <w:rPr>
          <w:rFonts w:ascii="Arial" w:hAnsi="Arial" w:cs="Arial"/>
        </w:rPr>
        <w:t>oraz reprezentatywnych organizacji pracodawców, z którymi Związek Pracodawców Polska Miedź</w:t>
      </w:r>
      <w:r>
        <w:rPr>
          <w:rFonts w:ascii="Arial" w:hAnsi="Arial" w:cs="Arial"/>
        </w:rPr>
        <w:t xml:space="preserve"> współpracuje.</w:t>
      </w:r>
    </w:p>
    <w:p w14:paraId="3804210C" w14:textId="77777777" w:rsidR="000B3EC4" w:rsidRPr="000B3EC4" w:rsidRDefault="000B3EC4" w:rsidP="00697346">
      <w:pPr>
        <w:spacing w:after="0" w:line="300" w:lineRule="auto"/>
        <w:jc w:val="both"/>
        <w:rPr>
          <w:rFonts w:ascii="Arial" w:hAnsi="Arial" w:cs="Arial"/>
        </w:rPr>
      </w:pPr>
    </w:p>
    <w:p w14:paraId="00D51633" w14:textId="06D337B4" w:rsidR="000B3EC4" w:rsidRPr="00697346" w:rsidRDefault="000B3EC4" w:rsidP="00697346">
      <w:pPr>
        <w:pStyle w:val="Akapitzlist"/>
        <w:numPr>
          <w:ilvl w:val="0"/>
          <w:numId w:val="33"/>
        </w:numPr>
        <w:jc w:val="both"/>
        <w:rPr>
          <w:rFonts w:ascii="Arial" w:hAnsi="Arial" w:cs="Arial"/>
          <w:b/>
          <w:bCs/>
          <w:u w:val="single"/>
        </w:rPr>
      </w:pPr>
      <w:r w:rsidRPr="00697346">
        <w:rPr>
          <w:rFonts w:ascii="Arial" w:hAnsi="Arial" w:cs="Arial"/>
          <w:b/>
          <w:bCs/>
          <w:u w:val="single"/>
        </w:rPr>
        <w:t xml:space="preserve">Stanowisko Związku Pracodawców Polska Miedź (uwagi Związku Pracodawców Polska Miedź) do projektu ustawy </w:t>
      </w:r>
      <w:r w:rsidR="00697346" w:rsidRPr="00697346">
        <w:rPr>
          <w:rFonts w:ascii="Arial" w:hAnsi="Arial" w:cs="Arial"/>
          <w:b/>
          <w:bCs/>
          <w:u w:val="single"/>
        </w:rPr>
        <w:t>o zmianie ustawy – Ordynacja podatkowa oraz niektórych innych ustaw</w:t>
      </w:r>
      <w:r w:rsidRPr="00697346">
        <w:rPr>
          <w:rFonts w:ascii="Arial" w:hAnsi="Arial" w:cs="Arial"/>
          <w:b/>
          <w:bCs/>
          <w:u w:val="single"/>
        </w:rPr>
        <w:t xml:space="preserve">. </w:t>
      </w:r>
    </w:p>
    <w:p w14:paraId="25C4DCEE" w14:textId="77777777" w:rsidR="000B3EC4" w:rsidRDefault="000B3EC4" w:rsidP="00697346">
      <w:pPr>
        <w:pStyle w:val="Akapitzlist"/>
        <w:spacing w:after="0" w:line="300" w:lineRule="auto"/>
        <w:jc w:val="both"/>
        <w:rPr>
          <w:rFonts w:ascii="Arial" w:hAnsi="Arial" w:cs="Arial"/>
        </w:rPr>
      </w:pPr>
    </w:p>
    <w:p w14:paraId="152356E1" w14:textId="00C169E8" w:rsidR="000B3EC4" w:rsidRDefault="000B3EC4" w:rsidP="00697346">
      <w:pPr>
        <w:pStyle w:val="Akapitzlist"/>
        <w:spacing w:after="0" w:line="300" w:lineRule="auto"/>
        <w:jc w:val="both"/>
        <w:rPr>
          <w:rFonts w:ascii="Arial" w:hAnsi="Arial" w:cs="Arial"/>
        </w:rPr>
      </w:pPr>
      <w:r w:rsidRPr="000B3EC4">
        <w:rPr>
          <w:rFonts w:ascii="Arial" w:hAnsi="Arial" w:cs="Arial"/>
        </w:rPr>
        <w:t xml:space="preserve">Projekt z dnia </w:t>
      </w:r>
      <w:r w:rsidR="00697346">
        <w:rPr>
          <w:rFonts w:ascii="Arial" w:hAnsi="Arial" w:cs="Arial"/>
        </w:rPr>
        <w:t>4</w:t>
      </w:r>
      <w:r w:rsidRPr="000B3EC4">
        <w:rPr>
          <w:rFonts w:ascii="Arial" w:hAnsi="Arial" w:cs="Arial"/>
        </w:rPr>
        <w:t>.0</w:t>
      </w:r>
      <w:r w:rsidR="00697346">
        <w:rPr>
          <w:rFonts w:ascii="Arial" w:hAnsi="Arial" w:cs="Arial"/>
        </w:rPr>
        <w:t>8</w:t>
      </w:r>
      <w:r w:rsidRPr="000B3EC4">
        <w:rPr>
          <w:rFonts w:ascii="Arial" w:hAnsi="Arial" w:cs="Arial"/>
        </w:rPr>
        <w:t xml:space="preserve">.2025 roku, opublikowany na stronie BIP Rządowego Centrum Legislacji w dniu </w:t>
      </w:r>
      <w:r w:rsidR="00697346">
        <w:rPr>
          <w:rFonts w:ascii="Arial" w:hAnsi="Arial" w:cs="Arial"/>
        </w:rPr>
        <w:t>4</w:t>
      </w:r>
      <w:r w:rsidRPr="000B3EC4">
        <w:rPr>
          <w:rFonts w:ascii="Arial" w:hAnsi="Arial" w:cs="Arial"/>
        </w:rPr>
        <w:t>.0</w:t>
      </w:r>
      <w:r w:rsidR="00697346">
        <w:rPr>
          <w:rFonts w:ascii="Arial" w:hAnsi="Arial" w:cs="Arial"/>
        </w:rPr>
        <w:t>8</w:t>
      </w:r>
      <w:r w:rsidRPr="000B3EC4">
        <w:rPr>
          <w:rFonts w:ascii="Arial" w:hAnsi="Arial" w:cs="Arial"/>
        </w:rPr>
        <w:t>.2025 roku. (UD</w:t>
      </w:r>
      <w:r w:rsidR="00697346">
        <w:rPr>
          <w:rFonts w:ascii="Arial" w:hAnsi="Arial" w:cs="Arial"/>
        </w:rPr>
        <w:t>196</w:t>
      </w:r>
      <w:r w:rsidRPr="000B3EC4">
        <w:rPr>
          <w:rFonts w:ascii="Arial" w:hAnsi="Arial" w:cs="Arial"/>
        </w:rPr>
        <w:t xml:space="preserve"> w Wykazie prac legislacyjnych i programowych Rady Ministrów).</w:t>
      </w:r>
    </w:p>
    <w:p w14:paraId="01A5C72C" w14:textId="2FAF6D78" w:rsidR="00446437" w:rsidRPr="00042C7F" w:rsidRDefault="000B3EC4" w:rsidP="00697346">
      <w:pPr>
        <w:pStyle w:val="Akapitzlist"/>
        <w:spacing w:after="0" w:line="300" w:lineRule="auto"/>
        <w:jc w:val="both"/>
        <w:rPr>
          <w:rFonts w:ascii="Arial" w:hAnsi="Arial" w:cs="Arial"/>
        </w:rPr>
      </w:pPr>
      <w:r w:rsidRPr="000B3EC4">
        <w:rPr>
          <w:rFonts w:ascii="Arial" w:hAnsi="Arial" w:cs="Arial"/>
        </w:rPr>
        <w:t xml:space="preserve">Przedmiotowe stanowisko zostało przesłane do Ministerstwa </w:t>
      </w:r>
      <w:r w:rsidR="00697346" w:rsidRPr="00697346">
        <w:rPr>
          <w:rFonts w:ascii="Arial" w:hAnsi="Arial" w:cs="Arial"/>
        </w:rPr>
        <w:t>Finansów i Gospodarki</w:t>
      </w:r>
      <w:r w:rsidRPr="000B3EC4">
        <w:rPr>
          <w:rFonts w:ascii="Arial" w:hAnsi="Arial" w:cs="Arial"/>
        </w:rPr>
        <w:t xml:space="preserve"> oraz</w:t>
      </w:r>
      <w:r w:rsidRPr="000B3EC4">
        <w:t xml:space="preserve"> </w:t>
      </w:r>
      <w:r w:rsidRPr="000B3EC4">
        <w:rPr>
          <w:rFonts w:ascii="Arial" w:hAnsi="Arial" w:cs="Arial"/>
        </w:rPr>
        <w:t>reprezentatywnych organizacji pracodawców, z którymi Związek Pracodawców Polska Miedź</w:t>
      </w:r>
      <w:r>
        <w:rPr>
          <w:rFonts w:ascii="Arial" w:hAnsi="Arial" w:cs="Arial"/>
        </w:rPr>
        <w:t xml:space="preserve"> współpracuje.</w:t>
      </w:r>
    </w:p>
    <w:p w14:paraId="4FD6A0BA" w14:textId="77777777" w:rsidR="00446437" w:rsidRPr="00042C7F" w:rsidRDefault="00446437" w:rsidP="00446437">
      <w:pPr>
        <w:spacing w:after="0" w:line="300" w:lineRule="auto"/>
        <w:rPr>
          <w:rFonts w:ascii="Arial" w:hAnsi="Arial" w:cs="Arial"/>
        </w:rPr>
      </w:pPr>
    </w:p>
    <w:p w14:paraId="77E0CCD2" w14:textId="77777777" w:rsidR="00446437" w:rsidRPr="00CC391D" w:rsidRDefault="00446437" w:rsidP="00446437">
      <w:pPr>
        <w:spacing w:after="0" w:line="300" w:lineRule="auto"/>
        <w:jc w:val="both"/>
        <w:rPr>
          <w:rFonts w:ascii="Arial" w:hAnsi="Arial" w:cs="Arial"/>
          <w:bCs/>
        </w:rPr>
      </w:pPr>
    </w:p>
    <w:p w14:paraId="5BBB13F8" w14:textId="4D8A3792" w:rsidR="00446437" w:rsidRDefault="000B3EC4" w:rsidP="00446437">
      <w:pPr>
        <w:spacing w:after="0" w:line="300" w:lineRule="auto"/>
        <w:jc w:val="both"/>
        <w:rPr>
          <w:rFonts w:ascii="Arial" w:hAnsi="Arial" w:cs="Arial"/>
          <w:b/>
        </w:rPr>
      </w:pPr>
      <w:r>
        <w:rPr>
          <w:rFonts w:ascii="Arial" w:hAnsi="Arial" w:cs="Arial"/>
          <w:b/>
        </w:rPr>
        <w:t>I</w:t>
      </w:r>
      <w:r w:rsidR="00446437">
        <w:rPr>
          <w:rFonts w:ascii="Arial" w:hAnsi="Arial" w:cs="Arial"/>
          <w:b/>
        </w:rPr>
        <w:t>II. Ogłoszone akty prawne (Dziennik Ustaw RP)</w:t>
      </w:r>
    </w:p>
    <w:p w14:paraId="32FA09BB" w14:textId="77777777" w:rsidR="00446437" w:rsidRDefault="00446437" w:rsidP="00446437">
      <w:pPr>
        <w:spacing w:after="0" w:line="300" w:lineRule="auto"/>
        <w:jc w:val="both"/>
        <w:rPr>
          <w:rFonts w:ascii="Arial" w:hAnsi="Arial" w:cs="Arial"/>
        </w:rPr>
      </w:pPr>
    </w:p>
    <w:p w14:paraId="3D540F58" w14:textId="3E179FFD" w:rsidR="00446437" w:rsidRDefault="00446437" w:rsidP="00446437">
      <w:pPr>
        <w:spacing w:after="0" w:line="300" w:lineRule="auto"/>
        <w:jc w:val="both"/>
        <w:rPr>
          <w:rFonts w:ascii="Arial" w:hAnsi="Arial" w:cs="Arial"/>
        </w:rPr>
      </w:pPr>
      <w:r>
        <w:rPr>
          <w:rFonts w:ascii="Arial" w:hAnsi="Arial" w:cs="Arial"/>
        </w:rPr>
        <w:t xml:space="preserve">W analizowanym okresie ogłoszono </w:t>
      </w:r>
      <w:r w:rsidR="00557143">
        <w:rPr>
          <w:rFonts w:ascii="Arial" w:hAnsi="Arial" w:cs="Arial"/>
        </w:rPr>
        <w:t>3</w:t>
      </w:r>
      <w:r w:rsidR="007B31E7">
        <w:rPr>
          <w:rFonts w:ascii="Arial" w:hAnsi="Arial" w:cs="Arial"/>
        </w:rPr>
        <w:t>4</w:t>
      </w:r>
      <w:r>
        <w:rPr>
          <w:rFonts w:ascii="Arial" w:hAnsi="Arial" w:cs="Arial"/>
        </w:rPr>
        <w:t xml:space="preserve"> akt</w:t>
      </w:r>
      <w:r w:rsidR="007B31E7">
        <w:rPr>
          <w:rFonts w:ascii="Arial" w:hAnsi="Arial" w:cs="Arial"/>
        </w:rPr>
        <w:t>y</w:t>
      </w:r>
      <w:r>
        <w:rPr>
          <w:rFonts w:ascii="Arial" w:hAnsi="Arial" w:cs="Arial"/>
        </w:rPr>
        <w:t xml:space="preserve"> prawn</w:t>
      </w:r>
      <w:r w:rsidR="007B31E7">
        <w:rPr>
          <w:rFonts w:ascii="Arial" w:hAnsi="Arial" w:cs="Arial"/>
        </w:rPr>
        <w:t>e</w:t>
      </w:r>
      <w:r>
        <w:rPr>
          <w:rFonts w:ascii="Arial" w:hAnsi="Arial" w:cs="Arial"/>
        </w:rPr>
        <w:t>, tzn. ustawy, rozporządzenia Rady Ministrów, Prezesa Rady Ministrów i poszczególnych ministrów, obwieszczenia w sprawie ogłoszenia tekstu jednolitego. Z powyższych publikacji w zainteresowaniu pracodawców i przedsiębiorców znaleźć się mogą następujące akty prawne:</w:t>
      </w:r>
    </w:p>
    <w:p w14:paraId="5CDD7696" w14:textId="77777777" w:rsidR="00446437" w:rsidRDefault="00446437" w:rsidP="00446437">
      <w:pPr>
        <w:spacing w:after="0" w:line="300" w:lineRule="auto"/>
        <w:jc w:val="both"/>
        <w:rPr>
          <w:rFonts w:ascii="Arial" w:hAnsi="Arial" w:cs="Arial"/>
        </w:rPr>
      </w:pPr>
    </w:p>
    <w:p w14:paraId="371B4D9B" w14:textId="28F146A2" w:rsidR="00446437" w:rsidRPr="001A65F4" w:rsidRDefault="001A65F4" w:rsidP="001A65F4">
      <w:pPr>
        <w:pStyle w:val="Akapitzlist"/>
        <w:spacing w:after="0" w:line="300" w:lineRule="auto"/>
        <w:ind w:left="426"/>
        <w:jc w:val="both"/>
        <w:rPr>
          <w:rFonts w:ascii="Arial" w:hAnsi="Arial" w:cs="Arial"/>
          <w:b/>
          <w:bCs/>
          <w:u w:val="single"/>
        </w:rPr>
      </w:pPr>
      <w:r w:rsidRPr="001A65F4">
        <w:rPr>
          <w:rFonts w:ascii="Arial" w:hAnsi="Arial" w:cs="Arial"/>
          <w:b/>
          <w:bCs/>
          <w:u w:val="single"/>
        </w:rPr>
        <w:lastRenderedPageBreak/>
        <w:t>Rozporządzenie Ministra Infrastruktury z dnia 9 lipca 2025 r. w sprawie warunków technicznych, jakim powinny odpowiadać skrzyżowania linii kolejowych oraz bocznic kolejowych z drogami i ich usytuowanie, oraz warunków technicznych ich użytkowania</w:t>
      </w:r>
      <w:r>
        <w:rPr>
          <w:rFonts w:ascii="Arial" w:hAnsi="Arial" w:cs="Arial"/>
          <w:b/>
          <w:bCs/>
          <w:u w:val="single"/>
        </w:rPr>
        <w:t>.</w:t>
      </w:r>
    </w:p>
    <w:p w14:paraId="3BAE4DF3" w14:textId="77777777" w:rsidR="001A65F4" w:rsidRDefault="001A65F4" w:rsidP="001A65F4">
      <w:pPr>
        <w:spacing w:after="0" w:line="300" w:lineRule="auto"/>
        <w:jc w:val="both"/>
        <w:rPr>
          <w:rFonts w:ascii="Arial" w:eastAsia="Times New Roman" w:hAnsi="Arial" w:cs="Arial"/>
          <w:lang w:eastAsia="pl-PL"/>
        </w:rPr>
      </w:pPr>
    </w:p>
    <w:p w14:paraId="2D7D097A" w14:textId="47347FDF" w:rsidR="00446437" w:rsidRDefault="00446437" w:rsidP="001A65F4">
      <w:pPr>
        <w:spacing w:after="0" w:line="300" w:lineRule="auto"/>
        <w:jc w:val="both"/>
        <w:rPr>
          <w:rFonts w:ascii="Arial" w:eastAsia="Times New Roman" w:hAnsi="Arial" w:cs="Arial"/>
          <w:lang w:eastAsia="pl-PL"/>
        </w:rPr>
      </w:pPr>
      <w:r w:rsidRPr="001A65F4">
        <w:rPr>
          <w:rFonts w:ascii="Arial" w:eastAsia="Times New Roman" w:hAnsi="Arial" w:cs="Arial"/>
          <w:lang w:eastAsia="pl-PL"/>
        </w:rPr>
        <w:t xml:space="preserve">Powyższy akt prawny ogłoszony został </w:t>
      </w:r>
      <w:r w:rsidR="001A65F4">
        <w:rPr>
          <w:rFonts w:ascii="Arial" w:eastAsia="Times New Roman" w:hAnsi="Arial" w:cs="Arial"/>
          <w:lang w:eastAsia="pl-PL"/>
        </w:rPr>
        <w:t>12 sierpnia</w:t>
      </w:r>
      <w:r w:rsidRPr="001A65F4">
        <w:rPr>
          <w:rFonts w:ascii="Arial" w:eastAsia="Times New Roman" w:hAnsi="Arial" w:cs="Arial"/>
          <w:lang w:eastAsia="pl-PL"/>
        </w:rPr>
        <w:t xml:space="preserve"> 20</w:t>
      </w:r>
      <w:r w:rsidR="001A65F4">
        <w:rPr>
          <w:rFonts w:ascii="Arial" w:eastAsia="Times New Roman" w:hAnsi="Arial" w:cs="Arial"/>
          <w:lang w:eastAsia="pl-PL"/>
        </w:rPr>
        <w:t>25</w:t>
      </w:r>
      <w:r w:rsidRPr="001A65F4">
        <w:rPr>
          <w:rFonts w:ascii="Arial" w:eastAsia="Times New Roman" w:hAnsi="Arial" w:cs="Arial"/>
          <w:lang w:eastAsia="pl-PL"/>
        </w:rPr>
        <w:t xml:space="preserve"> roku w Dzienniku Ustaw (Dz.U. z 202</w:t>
      </w:r>
      <w:r w:rsidR="001A65F4">
        <w:rPr>
          <w:rFonts w:ascii="Arial" w:eastAsia="Times New Roman" w:hAnsi="Arial" w:cs="Arial"/>
          <w:lang w:eastAsia="pl-PL"/>
        </w:rPr>
        <w:t>5</w:t>
      </w:r>
      <w:r w:rsidRPr="001A65F4">
        <w:rPr>
          <w:rFonts w:ascii="Arial" w:eastAsia="Times New Roman" w:hAnsi="Arial" w:cs="Arial"/>
          <w:lang w:eastAsia="pl-PL"/>
        </w:rPr>
        <w:t xml:space="preserve">, poz. </w:t>
      </w:r>
      <w:r w:rsidR="001A65F4">
        <w:rPr>
          <w:rFonts w:ascii="Arial" w:eastAsia="Times New Roman" w:hAnsi="Arial" w:cs="Arial"/>
          <w:lang w:eastAsia="pl-PL"/>
        </w:rPr>
        <w:t>1105</w:t>
      </w:r>
      <w:r w:rsidRPr="001A65F4">
        <w:rPr>
          <w:rFonts w:ascii="Arial" w:eastAsia="Times New Roman" w:hAnsi="Arial" w:cs="Arial"/>
          <w:lang w:eastAsia="pl-PL"/>
        </w:rPr>
        <w:t>).</w:t>
      </w:r>
    </w:p>
    <w:p w14:paraId="171C304A" w14:textId="77777777" w:rsidR="001A65F4" w:rsidRDefault="001A65F4" w:rsidP="001A65F4">
      <w:pPr>
        <w:spacing w:after="0" w:line="300" w:lineRule="auto"/>
        <w:jc w:val="both"/>
        <w:rPr>
          <w:rFonts w:ascii="Arial" w:eastAsia="Times New Roman" w:hAnsi="Arial" w:cs="Arial"/>
          <w:lang w:eastAsia="pl-PL"/>
        </w:rPr>
      </w:pPr>
    </w:p>
    <w:p w14:paraId="40BC9C8A" w14:textId="4674E5DE" w:rsidR="001A65F4" w:rsidRDefault="001A65F4" w:rsidP="001A65F4">
      <w:pPr>
        <w:spacing w:after="0" w:line="300" w:lineRule="auto"/>
        <w:jc w:val="both"/>
        <w:rPr>
          <w:rFonts w:ascii="Arial" w:eastAsia="Times New Roman" w:hAnsi="Arial" w:cs="Arial"/>
          <w:lang w:eastAsia="pl-PL"/>
        </w:rPr>
      </w:pPr>
      <w:r>
        <w:rPr>
          <w:rFonts w:ascii="Arial" w:eastAsia="Times New Roman" w:hAnsi="Arial" w:cs="Arial"/>
          <w:lang w:eastAsia="pl-PL"/>
        </w:rPr>
        <w:t xml:space="preserve">Przepisy rozporządzenia stosuje się przy projektowaniu, </w:t>
      </w:r>
      <w:bookmarkStart w:id="1" w:name="_Hlk206595562"/>
      <w:r>
        <w:rPr>
          <w:rFonts w:ascii="Arial" w:eastAsia="Times New Roman" w:hAnsi="Arial" w:cs="Arial"/>
          <w:lang w:eastAsia="pl-PL"/>
        </w:rPr>
        <w:t xml:space="preserve">budowie, przebudowie, remoncie oraz </w:t>
      </w:r>
      <w:r w:rsidR="0064084D">
        <w:rPr>
          <w:rFonts w:ascii="Arial" w:eastAsia="Times New Roman" w:hAnsi="Arial" w:cs="Arial"/>
          <w:lang w:eastAsia="pl-PL"/>
        </w:rPr>
        <w:t>utrzymaniu skrzyżowań linii kolejowych oraz bocznic kolejowych z drogami</w:t>
      </w:r>
      <w:bookmarkEnd w:id="1"/>
      <w:r w:rsidR="0064084D">
        <w:rPr>
          <w:rFonts w:ascii="Arial" w:eastAsia="Times New Roman" w:hAnsi="Arial" w:cs="Arial"/>
          <w:lang w:eastAsia="pl-PL"/>
        </w:rPr>
        <w:t>, a także przy ich użytkowaniu.</w:t>
      </w:r>
    </w:p>
    <w:p w14:paraId="0EE8C5F7" w14:textId="638CABCD" w:rsidR="0064084D" w:rsidRDefault="0064084D" w:rsidP="001A65F4">
      <w:pPr>
        <w:spacing w:after="0" w:line="300" w:lineRule="auto"/>
        <w:jc w:val="both"/>
        <w:rPr>
          <w:rFonts w:ascii="Arial" w:eastAsia="Times New Roman" w:hAnsi="Arial" w:cs="Arial"/>
          <w:lang w:eastAsia="pl-PL"/>
        </w:rPr>
      </w:pPr>
      <w:r>
        <w:rPr>
          <w:rFonts w:ascii="Arial" w:eastAsia="Times New Roman" w:hAnsi="Arial" w:cs="Arial"/>
          <w:lang w:eastAsia="pl-PL"/>
        </w:rPr>
        <w:t>Przy projektowaniu</w:t>
      </w:r>
      <w:r w:rsidR="00302392">
        <w:rPr>
          <w:rFonts w:ascii="Arial" w:eastAsia="Times New Roman" w:hAnsi="Arial" w:cs="Arial"/>
          <w:lang w:eastAsia="pl-PL"/>
        </w:rPr>
        <w:t>,</w:t>
      </w:r>
      <w:r>
        <w:rPr>
          <w:rFonts w:ascii="Arial" w:eastAsia="Times New Roman" w:hAnsi="Arial" w:cs="Arial"/>
          <w:lang w:eastAsia="pl-PL"/>
        </w:rPr>
        <w:t xml:space="preserve"> </w:t>
      </w:r>
      <w:r w:rsidRPr="0064084D">
        <w:rPr>
          <w:rFonts w:ascii="Arial" w:eastAsia="Times New Roman" w:hAnsi="Arial" w:cs="Arial"/>
          <w:lang w:eastAsia="pl-PL"/>
        </w:rPr>
        <w:t>budowie, przebudowie, remoncie oraz utrzymaniu skrzyżowań linii kolejowych oraz bocznic kolejowych z drogami</w:t>
      </w:r>
      <w:r>
        <w:rPr>
          <w:rFonts w:ascii="Arial" w:eastAsia="Times New Roman" w:hAnsi="Arial" w:cs="Arial"/>
          <w:lang w:eastAsia="pl-PL"/>
        </w:rPr>
        <w:t xml:space="preserve"> uwzględnia się:</w:t>
      </w:r>
    </w:p>
    <w:p w14:paraId="0E0005F4" w14:textId="1AC0F287" w:rsidR="0064084D" w:rsidRDefault="0064084D" w:rsidP="0064084D">
      <w:pPr>
        <w:pStyle w:val="Akapitzlist"/>
        <w:numPr>
          <w:ilvl w:val="0"/>
          <w:numId w:val="34"/>
        </w:numPr>
        <w:spacing w:after="0" w:line="300" w:lineRule="auto"/>
        <w:jc w:val="both"/>
        <w:rPr>
          <w:rFonts w:ascii="Arial" w:eastAsia="Times New Roman" w:hAnsi="Arial" w:cs="Arial"/>
          <w:lang w:eastAsia="pl-PL"/>
        </w:rPr>
      </w:pPr>
      <w:r>
        <w:rPr>
          <w:rFonts w:ascii="Arial" w:eastAsia="Times New Roman" w:hAnsi="Arial" w:cs="Arial"/>
          <w:lang w:eastAsia="pl-PL"/>
        </w:rPr>
        <w:t>Wymagania uwzględnione w przepisach ustawy z dnia 19 lipca 2019 roku o zapewnieniu dostępności osobom ze szczególnymi potrzebami (Dz.U. z 2024 r. poz. 1411);</w:t>
      </w:r>
    </w:p>
    <w:p w14:paraId="0CA000D7" w14:textId="31475A59" w:rsidR="00302392" w:rsidRPr="0064084D" w:rsidRDefault="00302392" w:rsidP="0064084D">
      <w:pPr>
        <w:pStyle w:val="Akapitzlist"/>
        <w:numPr>
          <w:ilvl w:val="0"/>
          <w:numId w:val="34"/>
        </w:numPr>
        <w:spacing w:after="0" w:line="300" w:lineRule="auto"/>
        <w:jc w:val="both"/>
        <w:rPr>
          <w:rFonts w:ascii="Arial" w:eastAsia="Times New Roman" w:hAnsi="Arial" w:cs="Arial"/>
          <w:lang w:eastAsia="pl-PL"/>
        </w:rPr>
      </w:pPr>
      <w:r>
        <w:rPr>
          <w:rFonts w:ascii="Arial" w:eastAsia="Times New Roman" w:hAnsi="Arial" w:cs="Arial"/>
          <w:lang w:eastAsia="pl-PL"/>
        </w:rPr>
        <w:t>Ryzyko wynikające z podatności tych skrzyżowań na zmiany klimatu.</w:t>
      </w:r>
    </w:p>
    <w:p w14:paraId="0CBA084F" w14:textId="2B96575C" w:rsidR="001A65F4" w:rsidRDefault="00302392" w:rsidP="001A65F4">
      <w:pPr>
        <w:spacing w:after="0" w:line="300" w:lineRule="auto"/>
        <w:jc w:val="both"/>
        <w:rPr>
          <w:rFonts w:ascii="Arial" w:eastAsia="Times New Roman" w:hAnsi="Arial" w:cs="Arial"/>
          <w:lang w:eastAsia="pl-PL"/>
        </w:rPr>
      </w:pPr>
      <w:r>
        <w:rPr>
          <w:rFonts w:ascii="Arial" w:eastAsia="Times New Roman" w:hAnsi="Arial" w:cs="Arial"/>
          <w:lang w:eastAsia="pl-PL"/>
        </w:rPr>
        <w:t>Przepisów rozporządzenia nie stosuje się do skrzyżowań linii kolejowych oraz bocznic kolejowych:</w:t>
      </w:r>
    </w:p>
    <w:p w14:paraId="04BA8A5E" w14:textId="12B48450" w:rsidR="00302392" w:rsidRDefault="00302392" w:rsidP="00302392">
      <w:pPr>
        <w:pStyle w:val="Akapitzlist"/>
        <w:numPr>
          <w:ilvl w:val="0"/>
          <w:numId w:val="35"/>
        </w:numPr>
        <w:spacing w:after="0" w:line="300" w:lineRule="auto"/>
        <w:jc w:val="both"/>
        <w:rPr>
          <w:rFonts w:ascii="Arial" w:eastAsia="Times New Roman" w:hAnsi="Arial" w:cs="Arial"/>
          <w:lang w:eastAsia="pl-PL"/>
        </w:rPr>
      </w:pPr>
      <w:r>
        <w:rPr>
          <w:rFonts w:ascii="Arial" w:eastAsia="Times New Roman" w:hAnsi="Arial" w:cs="Arial"/>
          <w:lang w:eastAsia="pl-PL"/>
        </w:rPr>
        <w:t>Z drogami wewnętrznymi i przejściami służbowymi zarządcy kolei wyłącznie do wykonywania zadań zarz</w:t>
      </w:r>
      <w:r w:rsidR="0097147A">
        <w:rPr>
          <w:rFonts w:ascii="Arial" w:eastAsia="Times New Roman" w:hAnsi="Arial" w:cs="Arial"/>
          <w:lang w:eastAsia="pl-PL"/>
        </w:rPr>
        <w:t>ądcy kolei;</w:t>
      </w:r>
    </w:p>
    <w:p w14:paraId="0D917D82" w14:textId="023B7CCC" w:rsidR="0097147A" w:rsidRPr="00302392" w:rsidRDefault="0097147A" w:rsidP="00302392">
      <w:pPr>
        <w:pStyle w:val="Akapitzlist"/>
        <w:numPr>
          <w:ilvl w:val="0"/>
          <w:numId w:val="35"/>
        </w:numPr>
        <w:spacing w:after="0" w:line="300" w:lineRule="auto"/>
        <w:jc w:val="both"/>
        <w:rPr>
          <w:rFonts w:ascii="Arial" w:eastAsia="Times New Roman" w:hAnsi="Arial" w:cs="Arial"/>
          <w:lang w:eastAsia="pl-PL"/>
        </w:rPr>
      </w:pPr>
      <w:r>
        <w:rPr>
          <w:rFonts w:ascii="Arial" w:eastAsia="Times New Roman" w:hAnsi="Arial" w:cs="Arial"/>
          <w:lang w:eastAsia="pl-PL"/>
        </w:rPr>
        <w:t>Stanowiących przecięcia drogi z linią kolejową lub bocznicą kolejową, na których zarządca kolei nie dopuścił ruchu kolejowego.</w:t>
      </w:r>
    </w:p>
    <w:p w14:paraId="4F340BA5" w14:textId="77777777" w:rsidR="00302392" w:rsidRDefault="00302392" w:rsidP="001A65F4">
      <w:pPr>
        <w:spacing w:after="0" w:line="300" w:lineRule="auto"/>
        <w:jc w:val="both"/>
        <w:rPr>
          <w:rFonts w:ascii="Arial" w:eastAsia="Times New Roman" w:hAnsi="Arial" w:cs="Arial"/>
          <w:lang w:eastAsia="pl-PL"/>
        </w:rPr>
      </w:pPr>
    </w:p>
    <w:p w14:paraId="7DBF65B8" w14:textId="766E8FC1" w:rsidR="001A65F4" w:rsidRDefault="0097147A" w:rsidP="001A65F4">
      <w:pPr>
        <w:spacing w:after="0" w:line="300" w:lineRule="auto"/>
        <w:jc w:val="both"/>
        <w:rPr>
          <w:rFonts w:ascii="Arial" w:eastAsia="Times New Roman" w:hAnsi="Arial" w:cs="Arial"/>
          <w:lang w:eastAsia="pl-PL"/>
        </w:rPr>
      </w:pPr>
      <w:r w:rsidRPr="0097147A">
        <w:rPr>
          <w:rFonts w:ascii="Arial" w:eastAsia="Times New Roman" w:hAnsi="Arial" w:cs="Arial"/>
          <w:lang w:eastAsia="pl-PL"/>
        </w:rPr>
        <w:t>Rozporządzenie wchodzi w życie po upływie 14 dni od dnia ogłoszenia</w:t>
      </w:r>
      <w:r w:rsidR="000A64B6">
        <w:rPr>
          <w:rFonts w:ascii="Arial" w:eastAsia="Times New Roman" w:hAnsi="Arial" w:cs="Arial"/>
          <w:lang w:eastAsia="pl-PL"/>
        </w:rPr>
        <w:t>.</w:t>
      </w:r>
    </w:p>
    <w:sectPr w:rsidR="001A65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5D37"/>
    <w:multiLevelType w:val="hybridMultilevel"/>
    <w:tmpl w:val="634CD10E"/>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65177E"/>
    <w:multiLevelType w:val="hybridMultilevel"/>
    <w:tmpl w:val="50483236"/>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1B5E2C"/>
    <w:multiLevelType w:val="hybridMultilevel"/>
    <w:tmpl w:val="FDCC1D42"/>
    <w:lvl w:ilvl="0" w:tplc="972C1DF8">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054E46"/>
    <w:multiLevelType w:val="hybridMultilevel"/>
    <w:tmpl w:val="8FE0E754"/>
    <w:lvl w:ilvl="0" w:tplc="FFFFFFFF">
      <w:start w:val="1"/>
      <w:numFmt w:val="bullet"/>
      <w:lvlText w:val=""/>
      <w:lvlJc w:val="left"/>
      <w:pPr>
        <w:ind w:left="1004"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 w15:restartNumberingAfterBreak="0">
    <w:nsid w:val="16C005F1"/>
    <w:multiLevelType w:val="hybridMultilevel"/>
    <w:tmpl w:val="6F92A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662637"/>
    <w:multiLevelType w:val="hybridMultilevel"/>
    <w:tmpl w:val="81E8298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DB6F31"/>
    <w:multiLevelType w:val="hybridMultilevel"/>
    <w:tmpl w:val="0F629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134666"/>
    <w:multiLevelType w:val="hybridMultilevel"/>
    <w:tmpl w:val="8ED0387A"/>
    <w:lvl w:ilvl="0" w:tplc="552E5ABC">
      <w:start w:val="1"/>
      <w:numFmt w:val="decimal"/>
      <w:lvlText w:val="%1."/>
      <w:lvlJc w:val="left"/>
      <w:pPr>
        <w:ind w:left="1070" w:hanging="710"/>
      </w:pPr>
      <w:rPr>
        <w:rFonts w:hint="default"/>
      </w:rPr>
    </w:lvl>
    <w:lvl w:ilvl="1" w:tplc="2F88D0F2">
      <w:start w:val="1"/>
      <w:numFmt w:val="lowerLetter"/>
      <w:lvlText w:val="%2)"/>
      <w:lvlJc w:val="left"/>
      <w:pPr>
        <w:ind w:left="1790" w:hanging="71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215773"/>
    <w:multiLevelType w:val="hybridMultilevel"/>
    <w:tmpl w:val="225697B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E64FCE"/>
    <w:multiLevelType w:val="hybridMultilevel"/>
    <w:tmpl w:val="ABB0EF4E"/>
    <w:lvl w:ilvl="0" w:tplc="7CDEB80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226A01"/>
    <w:multiLevelType w:val="hybridMultilevel"/>
    <w:tmpl w:val="FAB491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7F23FA"/>
    <w:multiLevelType w:val="hybridMultilevel"/>
    <w:tmpl w:val="D8EA3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E008AE"/>
    <w:multiLevelType w:val="hybridMultilevel"/>
    <w:tmpl w:val="97DEA35A"/>
    <w:lvl w:ilvl="0" w:tplc="04150001">
      <w:start w:val="1"/>
      <w:numFmt w:val="bullet"/>
      <w:lvlText w:val=""/>
      <w:lvlJc w:val="left"/>
      <w:pPr>
        <w:ind w:left="720" w:hanging="360"/>
      </w:pPr>
      <w:rPr>
        <w:rFonts w:ascii="Symbol" w:hAnsi="Symbol" w:hint="default"/>
      </w:rPr>
    </w:lvl>
    <w:lvl w:ilvl="1" w:tplc="5F744D76">
      <w:numFmt w:val="bullet"/>
      <w:lvlText w:val="•"/>
      <w:lvlJc w:val="left"/>
      <w:pPr>
        <w:ind w:left="1790" w:hanging="710"/>
      </w:pPr>
      <w:rPr>
        <w:rFonts w:ascii="Arial" w:eastAsiaTheme="minorHAns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4B94A66"/>
    <w:multiLevelType w:val="hybridMultilevel"/>
    <w:tmpl w:val="CDB4EB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63D1337"/>
    <w:multiLevelType w:val="hybridMultilevel"/>
    <w:tmpl w:val="71A8A0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891086"/>
    <w:multiLevelType w:val="hybridMultilevel"/>
    <w:tmpl w:val="45C640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663074C"/>
    <w:multiLevelType w:val="hybridMultilevel"/>
    <w:tmpl w:val="34D88D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CE66B4"/>
    <w:multiLevelType w:val="hybridMultilevel"/>
    <w:tmpl w:val="8F541F42"/>
    <w:lvl w:ilvl="0" w:tplc="84D684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81D511F"/>
    <w:multiLevelType w:val="hybridMultilevel"/>
    <w:tmpl w:val="F18AFA02"/>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C5341B9"/>
    <w:multiLevelType w:val="hybridMultilevel"/>
    <w:tmpl w:val="23DC0A48"/>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 w15:restartNumberingAfterBreak="0">
    <w:nsid w:val="4FCA45B9"/>
    <w:multiLevelType w:val="hybridMultilevel"/>
    <w:tmpl w:val="603EAFD4"/>
    <w:lvl w:ilvl="0" w:tplc="714617B2">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E4088E"/>
    <w:multiLevelType w:val="hybridMultilevel"/>
    <w:tmpl w:val="CAF21E52"/>
    <w:lvl w:ilvl="0" w:tplc="43D8372A">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F75A3D"/>
    <w:multiLevelType w:val="hybridMultilevel"/>
    <w:tmpl w:val="49E4FF38"/>
    <w:lvl w:ilvl="0" w:tplc="84D684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52C43DD"/>
    <w:multiLevelType w:val="hybridMultilevel"/>
    <w:tmpl w:val="D81A11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980FD5"/>
    <w:multiLevelType w:val="hybridMultilevel"/>
    <w:tmpl w:val="52A4B3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273FE7"/>
    <w:multiLevelType w:val="hybridMultilevel"/>
    <w:tmpl w:val="A252C5FE"/>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1ED00C6"/>
    <w:multiLevelType w:val="hybridMultilevel"/>
    <w:tmpl w:val="82C2C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5B10682"/>
    <w:multiLevelType w:val="hybridMultilevel"/>
    <w:tmpl w:val="588ECEF2"/>
    <w:lvl w:ilvl="0" w:tplc="B64AD01C">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75028E8"/>
    <w:multiLevelType w:val="hybridMultilevel"/>
    <w:tmpl w:val="8FB6B7E0"/>
    <w:lvl w:ilvl="0" w:tplc="55DC3CE6">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1F31CD"/>
    <w:multiLevelType w:val="hybridMultilevel"/>
    <w:tmpl w:val="4EE8A582"/>
    <w:lvl w:ilvl="0" w:tplc="5EC413FE">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A45A22"/>
    <w:multiLevelType w:val="hybridMultilevel"/>
    <w:tmpl w:val="1C007F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6735DA5"/>
    <w:multiLevelType w:val="hybridMultilevel"/>
    <w:tmpl w:val="3D6257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7747A58"/>
    <w:multiLevelType w:val="hybridMultilevel"/>
    <w:tmpl w:val="EF868B32"/>
    <w:lvl w:ilvl="0" w:tplc="964E9C4E">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AE45949"/>
    <w:multiLevelType w:val="hybridMultilevel"/>
    <w:tmpl w:val="3DFC51B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FBE7083"/>
    <w:multiLevelType w:val="hybridMultilevel"/>
    <w:tmpl w:val="66207240"/>
    <w:lvl w:ilvl="0" w:tplc="84D684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29027726">
    <w:abstractNumId w:val="9"/>
  </w:num>
  <w:num w:numId="2" w16cid:durableId="3118319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0761560">
    <w:abstractNumId w:val="4"/>
  </w:num>
  <w:num w:numId="4" w16cid:durableId="5788216">
    <w:abstractNumId w:val="24"/>
  </w:num>
  <w:num w:numId="5" w16cid:durableId="1820147117">
    <w:abstractNumId w:val="21"/>
  </w:num>
  <w:num w:numId="6" w16cid:durableId="1464349937">
    <w:abstractNumId w:val="15"/>
  </w:num>
  <w:num w:numId="7" w16cid:durableId="572199047">
    <w:abstractNumId w:val="32"/>
  </w:num>
  <w:num w:numId="8" w16cid:durableId="1211766062">
    <w:abstractNumId w:val="12"/>
  </w:num>
  <w:num w:numId="9" w16cid:durableId="1375156923">
    <w:abstractNumId w:val="27"/>
  </w:num>
  <w:num w:numId="10" w16cid:durableId="975724096">
    <w:abstractNumId w:val="5"/>
  </w:num>
  <w:num w:numId="11" w16cid:durableId="1404136549">
    <w:abstractNumId w:val="0"/>
  </w:num>
  <w:num w:numId="12" w16cid:durableId="1212350546">
    <w:abstractNumId w:val="30"/>
  </w:num>
  <w:num w:numId="13" w16cid:durableId="1153107154">
    <w:abstractNumId w:val="28"/>
  </w:num>
  <w:num w:numId="14" w16cid:durableId="1572545999">
    <w:abstractNumId w:val="10"/>
  </w:num>
  <w:num w:numId="15" w16cid:durableId="340545432">
    <w:abstractNumId w:val="2"/>
  </w:num>
  <w:num w:numId="16" w16cid:durableId="1731534562">
    <w:abstractNumId w:val="33"/>
  </w:num>
  <w:num w:numId="17" w16cid:durableId="964700621">
    <w:abstractNumId w:val="25"/>
  </w:num>
  <w:num w:numId="18" w16cid:durableId="693380915">
    <w:abstractNumId w:val="34"/>
  </w:num>
  <w:num w:numId="19" w16cid:durableId="428701742">
    <w:abstractNumId w:val="22"/>
  </w:num>
  <w:num w:numId="20" w16cid:durableId="1645156694">
    <w:abstractNumId w:val="13"/>
  </w:num>
  <w:num w:numId="21" w16cid:durableId="1694769147">
    <w:abstractNumId w:val="1"/>
  </w:num>
  <w:num w:numId="22" w16cid:durableId="1616012416">
    <w:abstractNumId w:val="19"/>
  </w:num>
  <w:num w:numId="23" w16cid:durableId="232200261">
    <w:abstractNumId w:val="3"/>
  </w:num>
  <w:num w:numId="24" w16cid:durableId="199588492">
    <w:abstractNumId w:val="8"/>
  </w:num>
  <w:num w:numId="25" w16cid:durableId="1658148769">
    <w:abstractNumId w:val="18"/>
  </w:num>
  <w:num w:numId="26" w16cid:durableId="111096348">
    <w:abstractNumId w:val="11"/>
  </w:num>
  <w:num w:numId="27" w16cid:durableId="403526522">
    <w:abstractNumId w:val="29"/>
  </w:num>
  <w:num w:numId="28" w16cid:durableId="945577447">
    <w:abstractNumId w:val="6"/>
  </w:num>
  <w:num w:numId="29" w16cid:durableId="2088770105">
    <w:abstractNumId w:val="20"/>
  </w:num>
  <w:num w:numId="30" w16cid:durableId="863519943">
    <w:abstractNumId w:val="16"/>
  </w:num>
  <w:num w:numId="31" w16cid:durableId="1680960806">
    <w:abstractNumId w:val="7"/>
  </w:num>
  <w:num w:numId="32" w16cid:durableId="1333138854">
    <w:abstractNumId w:val="17"/>
  </w:num>
  <w:num w:numId="33" w16cid:durableId="2137942427">
    <w:abstractNumId w:val="31"/>
  </w:num>
  <w:num w:numId="34" w16cid:durableId="205261562">
    <w:abstractNumId w:val="14"/>
  </w:num>
  <w:num w:numId="35" w16cid:durableId="149772556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437"/>
    <w:rsid w:val="000A64B6"/>
    <w:rsid w:val="000B3EC4"/>
    <w:rsid w:val="001A65F4"/>
    <w:rsid w:val="002E464D"/>
    <w:rsid w:val="00302392"/>
    <w:rsid w:val="00446437"/>
    <w:rsid w:val="00516DFD"/>
    <w:rsid w:val="0054566C"/>
    <w:rsid w:val="00557143"/>
    <w:rsid w:val="005F0CEF"/>
    <w:rsid w:val="0064084D"/>
    <w:rsid w:val="00697346"/>
    <w:rsid w:val="007761F7"/>
    <w:rsid w:val="007B31E7"/>
    <w:rsid w:val="00821146"/>
    <w:rsid w:val="0097147A"/>
    <w:rsid w:val="00990942"/>
    <w:rsid w:val="009A45C6"/>
    <w:rsid w:val="00AA1233"/>
    <w:rsid w:val="00E64B41"/>
    <w:rsid w:val="00F22D0F"/>
    <w:rsid w:val="00FE4C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3B64C"/>
  <w15:chartTrackingRefBased/>
  <w15:docId w15:val="{42B808EC-7028-4F39-8E80-8D5A2E3B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6437"/>
    <w:pPr>
      <w:spacing w:after="200" w:line="276" w:lineRule="auto"/>
    </w:pPr>
    <w:rPr>
      <w:kern w:val="0"/>
      <w:sz w:val="22"/>
      <w:szCs w:val="22"/>
      <w14:ligatures w14:val="none"/>
    </w:rPr>
  </w:style>
  <w:style w:type="paragraph" w:styleId="Nagwek1">
    <w:name w:val="heading 1"/>
    <w:basedOn w:val="Normalny"/>
    <w:next w:val="Normalny"/>
    <w:link w:val="Nagwek1Znak"/>
    <w:uiPriority w:val="9"/>
    <w:qFormat/>
    <w:rsid w:val="004464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464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4643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4643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4643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4643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4643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4643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4643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4643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4643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4643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4643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4643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4643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4643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4643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46437"/>
    <w:rPr>
      <w:rFonts w:eastAsiaTheme="majorEastAsia" w:cstheme="majorBidi"/>
      <w:color w:val="272727" w:themeColor="text1" w:themeTint="D8"/>
    </w:rPr>
  </w:style>
  <w:style w:type="paragraph" w:styleId="Tytu">
    <w:name w:val="Title"/>
    <w:basedOn w:val="Normalny"/>
    <w:next w:val="Normalny"/>
    <w:link w:val="TytuZnak"/>
    <w:uiPriority w:val="10"/>
    <w:qFormat/>
    <w:rsid w:val="004464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4643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4643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4643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46437"/>
    <w:pPr>
      <w:spacing w:before="160"/>
      <w:jc w:val="center"/>
    </w:pPr>
    <w:rPr>
      <w:i/>
      <w:iCs/>
      <w:color w:val="404040" w:themeColor="text1" w:themeTint="BF"/>
    </w:rPr>
  </w:style>
  <w:style w:type="character" w:customStyle="1" w:styleId="CytatZnak">
    <w:name w:val="Cytat Znak"/>
    <w:basedOn w:val="Domylnaczcionkaakapitu"/>
    <w:link w:val="Cytat"/>
    <w:uiPriority w:val="29"/>
    <w:rsid w:val="00446437"/>
    <w:rPr>
      <w:i/>
      <w:iCs/>
      <w:color w:val="404040" w:themeColor="text1" w:themeTint="BF"/>
    </w:rPr>
  </w:style>
  <w:style w:type="paragraph" w:styleId="Akapitzlist">
    <w:name w:val="List Paragraph"/>
    <w:basedOn w:val="Normalny"/>
    <w:uiPriority w:val="34"/>
    <w:qFormat/>
    <w:rsid w:val="00446437"/>
    <w:pPr>
      <w:ind w:left="720"/>
      <w:contextualSpacing/>
    </w:pPr>
  </w:style>
  <w:style w:type="character" w:styleId="Wyrnienieintensywne">
    <w:name w:val="Intense Emphasis"/>
    <w:basedOn w:val="Domylnaczcionkaakapitu"/>
    <w:uiPriority w:val="21"/>
    <w:qFormat/>
    <w:rsid w:val="00446437"/>
    <w:rPr>
      <w:i/>
      <w:iCs/>
      <w:color w:val="0F4761" w:themeColor="accent1" w:themeShade="BF"/>
    </w:rPr>
  </w:style>
  <w:style w:type="paragraph" w:styleId="Cytatintensywny">
    <w:name w:val="Intense Quote"/>
    <w:basedOn w:val="Normalny"/>
    <w:next w:val="Normalny"/>
    <w:link w:val="CytatintensywnyZnak"/>
    <w:uiPriority w:val="30"/>
    <w:qFormat/>
    <w:rsid w:val="004464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46437"/>
    <w:rPr>
      <w:i/>
      <w:iCs/>
      <w:color w:val="0F4761" w:themeColor="accent1" w:themeShade="BF"/>
    </w:rPr>
  </w:style>
  <w:style w:type="character" w:styleId="Odwoanieintensywne">
    <w:name w:val="Intense Reference"/>
    <w:basedOn w:val="Domylnaczcionkaakapitu"/>
    <w:uiPriority w:val="32"/>
    <w:qFormat/>
    <w:rsid w:val="00446437"/>
    <w:rPr>
      <w:b/>
      <w:bCs/>
      <w:smallCaps/>
      <w:color w:val="0F4761" w:themeColor="accent1" w:themeShade="BF"/>
      <w:spacing w:val="5"/>
    </w:rPr>
  </w:style>
  <w:style w:type="character" w:customStyle="1" w:styleId="markedcontent">
    <w:name w:val="markedcontent"/>
    <w:basedOn w:val="Domylnaczcionkaakapitu"/>
    <w:rsid w:val="00446437"/>
  </w:style>
  <w:style w:type="character" w:styleId="Hipercze">
    <w:name w:val="Hyperlink"/>
    <w:basedOn w:val="Domylnaczcionkaakapitu"/>
    <w:uiPriority w:val="99"/>
    <w:unhideWhenUsed/>
    <w:rsid w:val="005F0CEF"/>
    <w:rPr>
      <w:color w:val="467886" w:themeColor="hyperlink"/>
      <w:u w:val="single"/>
    </w:rPr>
  </w:style>
  <w:style w:type="character" w:styleId="Nierozpoznanawzmianka">
    <w:name w:val="Unresolved Mention"/>
    <w:basedOn w:val="Domylnaczcionkaakapitu"/>
    <w:uiPriority w:val="99"/>
    <w:semiHidden/>
    <w:unhideWhenUsed/>
    <w:rsid w:val="005F0CEF"/>
    <w:rPr>
      <w:color w:val="605E5C"/>
      <w:shd w:val="clear" w:color="auto" w:fill="E1DFDD"/>
    </w:rPr>
  </w:style>
  <w:style w:type="character" w:styleId="UyteHipercze">
    <w:name w:val="FollowedHyperlink"/>
    <w:basedOn w:val="Domylnaczcionkaakapitu"/>
    <w:uiPriority w:val="99"/>
    <w:semiHidden/>
    <w:unhideWhenUsed/>
    <w:rsid w:val="005F0CE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cja.rcl.gov.pl/projekt/12400900/katalog/13148714" TargetMode="External"/><Relationship Id="rId13" Type="http://schemas.openxmlformats.org/officeDocument/2006/relationships/hyperlink" Target="https://legislacja.rcl.gov.pl/projekt/12400951/katalog/13149051" TargetMode="External"/><Relationship Id="rId3" Type="http://schemas.openxmlformats.org/officeDocument/2006/relationships/settings" Target="settings.xml"/><Relationship Id="rId7" Type="http://schemas.openxmlformats.org/officeDocument/2006/relationships/hyperlink" Target="https://legislacja.rcl.gov.pl/projekt/12401050/katalog/13149606" TargetMode="External"/><Relationship Id="rId12" Type="http://schemas.openxmlformats.org/officeDocument/2006/relationships/hyperlink" Target="https://legislacja.rcl.gov.pl/projekt/12400952/katalog/1314909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egislacja.rcl.gov.pl/projekt/12401003/katalog/13149459" TargetMode="External"/><Relationship Id="rId11" Type="http://schemas.openxmlformats.org/officeDocument/2006/relationships/hyperlink" Target="https://legislacja.rcl.gov.pl/projekt/12400950/katalog/13149008" TargetMode="External"/><Relationship Id="rId5" Type="http://schemas.openxmlformats.org/officeDocument/2006/relationships/image" Target="media/image1.png"/><Relationship Id="rId15" Type="http://schemas.openxmlformats.org/officeDocument/2006/relationships/hyperlink" Target="https://legislacja.rcl.gov.pl/projekt/12401000/katalog/13149308" TargetMode="External"/><Relationship Id="rId10" Type="http://schemas.openxmlformats.org/officeDocument/2006/relationships/hyperlink" Target="https://legislacja.rcl.gov.pl/projekt/12400904/katalog/13148886" TargetMode="External"/><Relationship Id="rId4" Type="http://schemas.openxmlformats.org/officeDocument/2006/relationships/webSettings" Target="webSettings.xml"/><Relationship Id="rId9" Type="http://schemas.openxmlformats.org/officeDocument/2006/relationships/hyperlink" Target="https://legislacja.rcl.gov.pl/projekt/12400903/katalog/13148844" TargetMode="External"/><Relationship Id="rId14" Type="http://schemas.openxmlformats.org/officeDocument/2006/relationships/hyperlink" Target="https://legislacja.rcl.gov.pl/projekt/12400953/katalog/1314913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129</TotalTime>
  <Pages>29</Pages>
  <Words>12586</Words>
  <Characters>75520</Characters>
  <Application>Microsoft Office Word</Application>
  <DocSecurity>0</DocSecurity>
  <Lines>629</Lines>
  <Paragraphs>175</Paragraphs>
  <ScaleCrop>false</ScaleCrop>
  <HeadingPairs>
    <vt:vector size="2" baseType="variant">
      <vt:variant>
        <vt:lpstr>Tytuł</vt:lpstr>
      </vt:variant>
      <vt:variant>
        <vt:i4>1</vt:i4>
      </vt:variant>
    </vt:vector>
  </HeadingPairs>
  <TitlesOfParts>
    <vt:vector size="1" baseType="lpstr">
      <vt:lpstr/>
    </vt:vector>
  </TitlesOfParts>
  <Company>Związek Pracodawców Polska Miedź</Company>
  <LinksUpToDate>false</LinksUpToDate>
  <CharactersWithSpaces>87931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Kudłak</dc:creator>
  <cp:keywords/>
  <dc:description/>
  <cp:lastModifiedBy>Alicja Kudłak</cp:lastModifiedBy>
  <cp:revision>5</cp:revision>
  <dcterms:created xsi:type="dcterms:W3CDTF">2025-08-20T11:08:00Z</dcterms:created>
  <dcterms:modified xsi:type="dcterms:W3CDTF">2025-08-21T08:35:00Z</dcterms:modified>
</cp:coreProperties>
</file>