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3274" w14:textId="77777777" w:rsidR="003A2BD2" w:rsidRPr="00586923" w:rsidRDefault="003A2BD2" w:rsidP="003A2BD2">
      <w:pPr>
        <w:rPr>
          <w:rFonts w:ascii="Arial" w:hAnsi="Arial" w:cs="Arial"/>
        </w:rPr>
      </w:pPr>
      <w:r w:rsidRPr="00586923">
        <w:rPr>
          <w:rFonts w:ascii="Arial" w:hAnsi="Arial" w:cs="Arial"/>
          <w:noProof/>
          <w:lang w:eastAsia="pl-PL"/>
        </w:rPr>
        <w:drawing>
          <wp:inline distT="0" distB="0" distL="0" distR="0" wp14:anchorId="35A7C79D" wp14:editId="70B462DE">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3E0C8A05" w14:textId="77777777" w:rsidR="003A2BD2" w:rsidRDefault="003A2BD2" w:rsidP="003A2BD2">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0217C1A7" w14:textId="77777777" w:rsidR="003A2BD2" w:rsidRPr="00586923" w:rsidRDefault="003A2BD2" w:rsidP="003A2BD2">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646CE35B" w14:textId="512B7F84" w:rsidR="003A2BD2" w:rsidRPr="00586923" w:rsidRDefault="003A2BD2" w:rsidP="003A2BD2">
      <w:pPr>
        <w:spacing w:after="0" w:line="300" w:lineRule="auto"/>
        <w:jc w:val="center"/>
        <w:rPr>
          <w:rFonts w:ascii="Arial" w:hAnsi="Arial" w:cs="Arial"/>
        </w:rPr>
      </w:pPr>
      <w:r w:rsidRPr="00586923">
        <w:rPr>
          <w:rFonts w:ascii="Arial" w:hAnsi="Arial" w:cs="Arial"/>
          <w:b/>
        </w:rPr>
        <w:t xml:space="preserve">w okresie od </w:t>
      </w:r>
      <w:r w:rsidR="00FB388A">
        <w:rPr>
          <w:rFonts w:ascii="Arial" w:hAnsi="Arial" w:cs="Arial"/>
          <w:b/>
        </w:rPr>
        <w:t>25</w:t>
      </w:r>
      <w:r>
        <w:rPr>
          <w:rFonts w:ascii="Arial" w:hAnsi="Arial" w:cs="Arial"/>
          <w:b/>
        </w:rPr>
        <w:t xml:space="preserve"> </w:t>
      </w:r>
      <w:r w:rsidRPr="00586923">
        <w:rPr>
          <w:rFonts w:ascii="Arial" w:hAnsi="Arial" w:cs="Arial"/>
          <w:b/>
        </w:rPr>
        <w:t xml:space="preserve">do </w:t>
      </w:r>
      <w:r w:rsidR="00FB388A">
        <w:rPr>
          <w:rFonts w:ascii="Arial" w:hAnsi="Arial" w:cs="Arial"/>
          <w:b/>
        </w:rPr>
        <w:t>31 sierpnia</w:t>
      </w:r>
      <w:r w:rsidRPr="00586923">
        <w:rPr>
          <w:rFonts w:ascii="Arial" w:hAnsi="Arial" w:cs="Arial"/>
          <w:b/>
        </w:rPr>
        <w:t xml:space="preserve"> 202</w:t>
      </w:r>
      <w:r w:rsidR="00FB388A">
        <w:rPr>
          <w:rFonts w:ascii="Arial" w:hAnsi="Arial" w:cs="Arial"/>
          <w:b/>
        </w:rPr>
        <w:t>5</w:t>
      </w:r>
      <w:r w:rsidRPr="00586923">
        <w:rPr>
          <w:rFonts w:ascii="Arial" w:hAnsi="Arial" w:cs="Arial"/>
          <w:b/>
        </w:rPr>
        <w:t xml:space="preserve"> roku</w:t>
      </w:r>
    </w:p>
    <w:p w14:paraId="405B0309" w14:textId="3E478BB3" w:rsidR="003A2BD2" w:rsidRPr="00AC3187" w:rsidRDefault="003A2BD2" w:rsidP="003A2BD2">
      <w:pPr>
        <w:spacing w:after="0" w:line="300" w:lineRule="auto"/>
        <w:jc w:val="center"/>
        <w:rPr>
          <w:rFonts w:ascii="Arial" w:hAnsi="Arial" w:cs="Arial"/>
        </w:rPr>
      </w:pPr>
      <w:r w:rsidRPr="00AC3187">
        <w:rPr>
          <w:rFonts w:ascii="Arial" w:hAnsi="Arial" w:cs="Arial"/>
        </w:rPr>
        <w:t xml:space="preserve">Raport na dzień </w:t>
      </w:r>
      <w:r w:rsidR="00FB388A">
        <w:rPr>
          <w:rFonts w:ascii="Arial" w:hAnsi="Arial" w:cs="Arial"/>
        </w:rPr>
        <w:t>3 września</w:t>
      </w:r>
      <w:r w:rsidRPr="00AC3187">
        <w:rPr>
          <w:rFonts w:ascii="Arial" w:hAnsi="Arial" w:cs="Arial"/>
        </w:rPr>
        <w:t xml:space="preserve"> 202</w:t>
      </w:r>
      <w:r w:rsidR="00FB388A">
        <w:rPr>
          <w:rFonts w:ascii="Arial" w:hAnsi="Arial" w:cs="Arial"/>
        </w:rPr>
        <w:t>5</w:t>
      </w:r>
      <w:r w:rsidRPr="00AC3187">
        <w:rPr>
          <w:rFonts w:ascii="Arial" w:hAnsi="Arial" w:cs="Arial"/>
        </w:rPr>
        <w:t xml:space="preserve"> roku</w:t>
      </w:r>
    </w:p>
    <w:p w14:paraId="7E904D1A" w14:textId="77777777" w:rsidR="003A2BD2" w:rsidRPr="00586923" w:rsidRDefault="003A2BD2" w:rsidP="003A2BD2">
      <w:pPr>
        <w:spacing w:after="0" w:line="240" w:lineRule="auto"/>
        <w:jc w:val="both"/>
        <w:rPr>
          <w:rFonts w:ascii="Arial" w:hAnsi="Arial" w:cs="Arial"/>
        </w:rPr>
      </w:pPr>
    </w:p>
    <w:p w14:paraId="00EAE0AD" w14:textId="77777777" w:rsidR="003A2BD2" w:rsidRPr="000B65D1" w:rsidRDefault="003A2BD2" w:rsidP="003A2BD2">
      <w:pPr>
        <w:pStyle w:val="Akapitzlist"/>
        <w:numPr>
          <w:ilvl w:val="0"/>
          <w:numId w:val="1"/>
        </w:numPr>
        <w:spacing w:after="0" w:line="300" w:lineRule="auto"/>
        <w:ind w:left="284" w:hanging="284"/>
        <w:jc w:val="both"/>
        <w:rPr>
          <w:rFonts w:ascii="Arial" w:hAnsi="Arial" w:cs="Arial"/>
          <w:b/>
        </w:rPr>
      </w:pPr>
      <w:r w:rsidRPr="000B65D1">
        <w:rPr>
          <w:rFonts w:ascii="Arial" w:hAnsi="Arial" w:cs="Arial"/>
          <w:b/>
        </w:rPr>
        <w:t>Projekty aktów prawnych</w:t>
      </w:r>
    </w:p>
    <w:p w14:paraId="4DB9F4A2" w14:textId="77777777" w:rsidR="003A2BD2" w:rsidRDefault="003A2BD2" w:rsidP="003A2BD2">
      <w:pPr>
        <w:spacing w:after="0" w:line="300" w:lineRule="auto"/>
        <w:jc w:val="both"/>
        <w:rPr>
          <w:rFonts w:ascii="Arial" w:hAnsi="Arial" w:cs="Arial"/>
        </w:rPr>
      </w:pPr>
    </w:p>
    <w:p w14:paraId="71EAD5FF" w14:textId="3722BC0E" w:rsidR="003A2BD2" w:rsidRPr="00C70674" w:rsidRDefault="003A2BD2" w:rsidP="003A2BD2">
      <w:pPr>
        <w:spacing w:after="0" w:line="300" w:lineRule="auto"/>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sidR="00FB388A">
        <w:rPr>
          <w:rFonts w:ascii="Arial" w:eastAsia="Calibri" w:hAnsi="Arial" w:cs="Arial"/>
          <w:bCs/>
        </w:rPr>
        <w:t>13</w:t>
      </w:r>
      <w:r w:rsidRPr="00C70674">
        <w:rPr>
          <w:rFonts w:ascii="Arial" w:eastAsia="Calibri" w:hAnsi="Arial" w:cs="Arial"/>
          <w:bCs/>
        </w:rPr>
        <w:t xml:space="preserve"> projekt</w:t>
      </w:r>
      <w:r w:rsidR="00FB388A">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sidR="00FB388A">
        <w:rPr>
          <w:rFonts w:ascii="Arial" w:hAnsi="Arial" w:cs="Arial"/>
        </w:rPr>
        <w:t>12</w:t>
      </w:r>
      <w:r w:rsidRPr="00C70674">
        <w:rPr>
          <w:rFonts w:ascii="Arial" w:hAnsi="Arial" w:cs="Arial"/>
        </w:rPr>
        <w:t xml:space="preserve"> projekt</w:t>
      </w:r>
      <w:r w:rsidR="00FB388A">
        <w:rPr>
          <w:rFonts w:ascii="Arial" w:hAnsi="Arial" w:cs="Arial"/>
        </w:rPr>
        <w:t>ów</w:t>
      </w:r>
      <w:r w:rsidRPr="00C70674">
        <w:rPr>
          <w:rFonts w:ascii="Arial" w:hAnsi="Arial" w:cs="Arial"/>
        </w:rPr>
        <w:t xml:space="preserve"> rozporządzeń Rady Ministrów, Prezesa Rady Ministrów oraz poszczególnych Ministrów.</w:t>
      </w:r>
    </w:p>
    <w:p w14:paraId="59209990" w14:textId="77777777" w:rsidR="003A2BD2" w:rsidRPr="00C70674" w:rsidRDefault="003A2BD2" w:rsidP="003A2BD2">
      <w:pPr>
        <w:spacing w:after="0" w:line="300" w:lineRule="auto"/>
        <w:jc w:val="both"/>
        <w:rPr>
          <w:rFonts w:ascii="Arial" w:hAnsi="Arial" w:cs="Arial"/>
        </w:rPr>
      </w:pPr>
    </w:p>
    <w:p w14:paraId="52B001F4" w14:textId="49F4FF94" w:rsidR="003A2BD2" w:rsidRDefault="003A2BD2" w:rsidP="003A2BD2">
      <w:pPr>
        <w:spacing w:after="0" w:line="300" w:lineRule="auto"/>
        <w:jc w:val="both"/>
        <w:rPr>
          <w:rFonts w:ascii="Arial" w:hAnsi="Arial" w:cs="Arial"/>
        </w:rPr>
      </w:pPr>
      <w:r>
        <w:rPr>
          <w:rFonts w:ascii="Arial" w:hAnsi="Arial" w:cs="Arial"/>
        </w:rPr>
        <w:t xml:space="preserve">Przeprowadzono konsultacje </w:t>
      </w:r>
      <w:r w:rsidR="00FB388A">
        <w:rPr>
          <w:rFonts w:ascii="Arial" w:hAnsi="Arial" w:cs="Arial"/>
        </w:rPr>
        <w:t xml:space="preserve">jednego </w:t>
      </w:r>
      <w:r>
        <w:rPr>
          <w:rFonts w:ascii="Arial" w:hAnsi="Arial" w:cs="Arial"/>
        </w:rPr>
        <w:t>projekt</w:t>
      </w:r>
      <w:r w:rsidR="00FB388A">
        <w:rPr>
          <w:rFonts w:ascii="Arial" w:hAnsi="Arial" w:cs="Arial"/>
        </w:rPr>
        <w:t>u</w:t>
      </w:r>
      <w:r>
        <w:rPr>
          <w:rFonts w:ascii="Arial" w:hAnsi="Arial" w:cs="Arial"/>
        </w:rPr>
        <w:t xml:space="preserve"> rozporządze</w:t>
      </w:r>
      <w:r w:rsidR="00FB388A">
        <w:rPr>
          <w:rFonts w:ascii="Arial" w:hAnsi="Arial" w:cs="Arial"/>
        </w:rPr>
        <w:t>nia</w:t>
      </w:r>
      <w:r>
        <w:rPr>
          <w:rFonts w:ascii="Arial" w:hAnsi="Arial" w:cs="Arial"/>
        </w:rPr>
        <w:t xml:space="preserve"> dotycząc</w:t>
      </w:r>
      <w:r w:rsidR="00FB388A">
        <w:rPr>
          <w:rFonts w:ascii="Arial" w:hAnsi="Arial" w:cs="Arial"/>
        </w:rPr>
        <w:t>ego</w:t>
      </w:r>
      <w:r>
        <w:rPr>
          <w:rFonts w:ascii="Arial" w:hAnsi="Arial" w:cs="Arial"/>
        </w:rPr>
        <w:t xml:space="preserve"> podmiotów członkowskich (pracodawcy, przedsiębiorcy, JST) zrzeszonych w Związku. </w:t>
      </w:r>
    </w:p>
    <w:p w14:paraId="4547C2E9" w14:textId="00727A83" w:rsidR="003A2BD2" w:rsidRDefault="003A2BD2" w:rsidP="003A2BD2">
      <w:pPr>
        <w:spacing w:after="0" w:line="300" w:lineRule="auto"/>
        <w:jc w:val="both"/>
        <w:rPr>
          <w:rFonts w:ascii="Arial" w:hAnsi="Arial" w:cs="Arial"/>
        </w:rPr>
      </w:pPr>
      <w:r>
        <w:rPr>
          <w:rFonts w:ascii="Arial" w:hAnsi="Arial" w:cs="Arial"/>
        </w:rPr>
        <w:t>Do konsultacji przekazan</w:t>
      </w:r>
      <w:r w:rsidR="00FB388A">
        <w:rPr>
          <w:rFonts w:ascii="Arial" w:hAnsi="Arial" w:cs="Arial"/>
        </w:rPr>
        <w:t>y</w:t>
      </w:r>
      <w:r>
        <w:rPr>
          <w:rFonts w:ascii="Arial" w:hAnsi="Arial" w:cs="Arial"/>
        </w:rPr>
        <w:t xml:space="preserve"> został następując</w:t>
      </w:r>
      <w:r w:rsidR="00FB388A">
        <w:rPr>
          <w:rFonts w:ascii="Arial" w:hAnsi="Arial" w:cs="Arial"/>
        </w:rPr>
        <w:t>y</w:t>
      </w:r>
      <w:r>
        <w:rPr>
          <w:rFonts w:ascii="Arial" w:hAnsi="Arial" w:cs="Arial"/>
        </w:rPr>
        <w:t xml:space="preserve"> projek</w:t>
      </w:r>
      <w:r w:rsidR="00FB388A">
        <w:rPr>
          <w:rFonts w:ascii="Arial" w:hAnsi="Arial" w:cs="Arial"/>
        </w:rPr>
        <w:t>t</w:t>
      </w:r>
      <w:r>
        <w:rPr>
          <w:rFonts w:ascii="Arial" w:hAnsi="Arial" w:cs="Arial"/>
        </w:rPr>
        <w:t>:</w:t>
      </w:r>
    </w:p>
    <w:p w14:paraId="6D0D333E" w14:textId="77777777" w:rsidR="003A2BD2" w:rsidRDefault="003A2BD2" w:rsidP="003A2BD2">
      <w:pPr>
        <w:spacing w:after="0" w:line="300" w:lineRule="auto"/>
        <w:jc w:val="both"/>
        <w:rPr>
          <w:rFonts w:ascii="Arial" w:hAnsi="Arial" w:cs="Arial"/>
        </w:rPr>
      </w:pPr>
    </w:p>
    <w:p w14:paraId="14DEA9D7" w14:textId="52F27F3F" w:rsidR="003A2BD2" w:rsidRPr="00FB388A" w:rsidRDefault="00FB388A" w:rsidP="00FB388A">
      <w:pPr>
        <w:pStyle w:val="Akapitzlist"/>
        <w:spacing w:after="0" w:line="300" w:lineRule="auto"/>
        <w:jc w:val="both"/>
        <w:rPr>
          <w:rFonts w:ascii="Arial" w:hAnsi="Arial" w:cs="Arial"/>
          <w:b/>
          <w:bCs/>
          <w:u w:val="single"/>
        </w:rPr>
      </w:pPr>
      <w:r w:rsidRPr="00FB388A">
        <w:rPr>
          <w:rFonts w:ascii="Arial" w:hAnsi="Arial" w:cs="Arial"/>
          <w:b/>
          <w:bCs/>
          <w:u w:val="single"/>
        </w:rPr>
        <w:t xml:space="preserve">Projekt </w:t>
      </w:r>
      <w:r w:rsidRPr="00FB388A">
        <w:rPr>
          <w:rFonts w:ascii="Arial" w:hAnsi="Arial" w:cs="Arial"/>
          <w:b/>
          <w:bCs/>
          <w:u w:val="single"/>
        </w:rPr>
        <w:t xml:space="preserve">rozporządzenia </w:t>
      </w:r>
      <w:proofErr w:type="spellStart"/>
      <w:r w:rsidRPr="00FB388A">
        <w:rPr>
          <w:rFonts w:ascii="Arial" w:hAnsi="Arial" w:cs="Arial"/>
          <w:b/>
          <w:bCs/>
          <w:u w:val="single"/>
        </w:rPr>
        <w:t>MRPiPS</w:t>
      </w:r>
      <w:proofErr w:type="spellEnd"/>
      <w:r w:rsidRPr="00FB388A">
        <w:rPr>
          <w:rFonts w:ascii="Arial" w:hAnsi="Arial" w:cs="Arial"/>
          <w:b/>
          <w:bCs/>
          <w:u w:val="single"/>
        </w:rPr>
        <w:t xml:space="preserve"> w sprawie dokumentów, które podmiot powierzający pracę cudzoziemcowi dołącza do wniosku o wydanie zezwolenia na pracę lub do oświadczenia o powierzeniu pracy cudzoziemcowi (numer z wykazu 72)</w:t>
      </w:r>
    </w:p>
    <w:p w14:paraId="3D264B30" w14:textId="77777777" w:rsidR="003A2BD2" w:rsidRDefault="003A2BD2" w:rsidP="003A2BD2">
      <w:pPr>
        <w:spacing w:after="0" w:line="300" w:lineRule="auto"/>
        <w:jc w:val="both"/>
        <w:rPr>
          <w:rFonts w:ascii="Arial" w:hAnsi="Arial" w:cs="Arial"/>
        </w:rPr>
      </w:pPr>
    </w:p>
    <w:p w14:paraId="531D6360" w14:textId="77777777" w:rsidR="00FB388A" w:rsidRPr="00FB388A" w:rsidRDefault="00FB388A" w:rsidP="00FB388A">
      <w:pPr>
        <w:spacing w:after="0" w:line="300" w:lineRule="auto"/>
        <w:jc w:val="both"/>
        <w:rPr>
          <w:rFonts w:ascii="Arial" w:hAnsi="Arial" w:cs="Arial"/>
        </w:rPr>
      </w:pPr>
      <w:r w:rsidRPr="00FB388A">
        <w:rPr>
          <w:rFonts w:ascii="Arial" w:hAnsi="Arial" w:cs="Arial"/>
        </w:rPr>
        <w:t>Art. 11 ustawy z dnia 20 marca 2025 r. o warunkach dopuszczalności powierzenia pracy cudzoziemcom na terytorium Rzeczypospolitej Polskiej (Dz.U. poz. 621) przewiduje, że minister właściwy do spraw pracy określi, w drodze rozporządzenia, wykaz dokumentów, które podmiot powierzający pracę cudzoziemcowi dołącza do wniosku o wydanie zezwolenia na pracę, potwierdzających okoliczności określone we wniosku o wydanie zezwolenia na pracę oraz okoliczności uzasadniające wydanie zezwolenia na pracę, a także potwierdzenie dokonania opłaty za złożenie wniosku.</w:t>
      </w:r>
    </w:p>
    <w:p w14:paraId="52ED64D2" w14:textId="43AA3F83" w:rsidR="00FB388A" w:rsidRPr="00FB388A" w:rsidRDefault="00FB388A" w:rsidP="00FB388A">
      <w:pPr>
        <w:spacing w:after="0" w:line="300" w:lineRule="auto"/>
        <w:jc w:val="both"/>
        <w:rPr>
          <w:rFonts w:ascii="Arial" w:hAnsi="Arial" w:cs="Arial"/>
        </w:rPr>
      </w:pPr>
      <w:r w:rsidRPr="00FB388A">
        <w:rPr>
          <w:rFonts w:ascii="Arial" w:hAnsi="Arial" w:cs="Arial"/>
        </w:rPr>
        <w:t>Art. 62 ust. 6 tej ustawy przewiduje, że minister właściwy do spraw pracy określi, w drodze rozporządzenia, wykaz</w:t>
      </w:r>
      <w:r>
        <w:rPr>
          <w:rFonts w:ascii="Arial" w:hAnsi="Arial" w:cs="Arial"/>
        </w:rPr>
        <w:t xml:space="preserve"> </w:t>
      </w:r>
      <w:r w:rsidRPr="00FB388A">
        <w:rPr>
          <w:rFonts w:ascii="Arial" w:hAnsi="Arial" w:cs="Arial"/>
        </w:rPr>
        <w:t>dokumentów, które polski podmiot powierzający pracę cudzoziemcowi jest obowiązany dołączyć do oświadczenia o powierzeniu pracy cudzoziemcowi w celu potwierdzenia okoliczności określonych w oświadczeniu oraz potwierdzenia obowiązku dokonania opłaty.</w:t>
      </w:r>
    </w:p>
    <w:p w14:paraId="1EFD288E" w14:textId="0C8AC87F" w:rsidR="00FB388A" w:rsidRPr="00042C7F" w:rsidRDefault="00FB388A" w:rsidP="00FB388A">
      <w:pPr>
        <w:spacing w:after="0" w:line="300" w:lineRule="auto"/>
        <w:jc w:val="both"/>
        <w:rPr>
          <w:rFonts w:ascii="Arial" w:hAnsi="Arial" w:cs="Arial"/>
        </w:rPr>
      </w:pPr>
      <w:r w:rsidRPr="00FB388A">
        <w:rPr>
          <w:rFonts w:ascii="Arial" w:hAnsi="Arial" w:cs="Arial"/>
        </w:rPr>
        <w:t>Z uwagi na spójność tematyczną obu przepisów upoważniających proponuje się wydanie na ich podstawie jednego</w:t>
      </w:r>
      <w:r>
        <w:rPr>
          <w:rFonts w:ascii="Arial" w:hAnsi="Arial" w:cs="Arial"/>
        </w:rPr>
        <w:t xml:space="preserve"> </w:t>
      </w:r>
      <w:r w:rsidRPr="00FB388A">
        <w:rPr>
          <w:rFonts w:ascii="Arial" w:hAnsi="Arial" w:cs="Arial"/>
        </w:rPr>
        <w:t>rozporządzenia w sprawie dokumentów, które podmiot powierzający pracę cudzoziemcowi dołącza do wniosku o</w:t>
      </w:r>
      <w:r>
        <w:rPr>
          <w:rFonts w:ascii="Arial" w:hAnsi="Arial" w:cs="Arial"/>
        </w:rPr>
        <w:t xml:space="preserve"> </w:t>
      </w:r>
      <w:r w:rsidRPr="00FB388A">
        <w:rPr>
          <w:rFonts w:ascii="Arial" w:hAnsi="Arial" w:cs="Arial"/>
        </w:rPr>
        <w:t>wydanie zezwolenia na pracę lub do oświadczenia o powierzeniu pracy cudzoziemcowi</w:t>
      </w:r>
      <w:r>
        <w:rPr>
          <w:rFonts w:ascii="Arial" w:hAnsi="Arial" w:cs="Arial"/>
        </w:rPr>
        <w:t>.</w:t>
      </w:r>
    </w:p>
    <w:p w14:paraId="011F3F1E" w14:textId="77777777" w:rsidR="003A2BD2" w:rsidRDefault="003A2BD2" w:rsidP="003A2BD2">
      <w:pPr>
        <w:spacing w:after="0" w:line="300" w:lineRule="auto"/>
        <w:jc w:val="both"/>
        <w:rPr>
          <w:rFonts w:ascii="Arial" w:hAnsi="Arial" w:cs="Arial"/>
        </w:rPr>
      </w:pPr>
    </w:p>
    <w:p w14:paraId="7D627B74" w14:textId="77777777" w:rsidR="00FB388A" w:rsidRPr="00FB388A" w:rsidRDefault="00FB388A" w:rsidP="00FB388A">
      <w:pPr>
        <w:spacing w:after="0" w:line="300" w:lineRule="auto"/>
        <w:jc w:val="both"/>
        <w:rPr>
          <w:rFonts w:ascii="Arial" w:hAnsi="Arial" w:cs="Arial"/>
        </w:rPr>
      </w:pPr>
      <w:r w:rsidRPr="00FB388A">
        <w:rPr>
          <w:rFonts w:ascii="Arial" w:hAnsi="Arial" w:cs="Arial"/>
        </w:rPr>
        <w:lastRenderedPageBreak/>
        <w:t>Przedmiotowy projekt aktu prawnego wraz z Uzasadnieniem oraz Oceną Skutków Regulacji dostępny jest na stronach Rządowego Centrum Legislacji pod adresem:</w:t>
      </w:r>
    </w:p>
    <w:p w14:paraId="3481D363" w14:textId="19705757" w:rsidR="00FB388A" w:rsidRDefault="00FB388A" w:rsidP="00FB388A">
      <w:pPr>
        <w:spacing w:after="0" w:line="300" w:lineRule="auto"/>
        <w:jc w:val="both"/>
        <w:rPr>
          <w:rFonts w:ascii="Arial" w:hAnsi="Arial" w:cs="Arial"/>
        </w:rPr>
      </w:pPr>
      <w:hyperlink r:id="rId6" w:history="1">
        <w:r w:rsidRPr="009E1863">
          <w:rPr>
            <w:rStyle w:val="Hipercze"/>
            <w:rFonts w:ascii="Arial" w:hAnsi="Arial" w:cs="Arial"/>
          </w:rPr>
          <w:t>https://legislacja.rcl.gov.pl/projekt/12401506/</w:t>
        </w:r>
        <w:r w:rsidRPr="009E1863">
          <w:rPr>
            <w:rStyle w:val="Hipercze"/>
            <w:rFonts w:ascii="Arial" w:hAnsi="Arial" w:cs="Arial"/>
          </w:rPr>
          <w:t>k</w:t>
        </w:r>
        <w:r w:rsidRPr="009E1863">
          <w:rPr>
            <w:rStyle w:val="Hipercze"/>
            <w:rFonts w:ascii="Arial" w:hAnsi="Arial" w:cs="Arial"/>
          </w:rPr>
          <w:t>atalog/13152303#13152303</w:t>
        </w:r>
      </w:hyperlink>
      <w:r>
        <w:rPr>
          <w:rFonts w:ascii="Arial" w:hAnsi="Arial" w:cs="Arial"/>
        </w:rPr>
        <w:t xml:space="preserve"> </w:t>
      </w:r>
    </w:p>
    <w:p w14:paraId="4DF8C688" w14:textId="77777777" w:rsidR="00FB388A" w:rsidRDefault="00FB388A" w:rsidP="00FB388A">
      <w:pPr>
        <w:spacing w:after="0" w:line="300" w:lineRule="auto"/>
        <w:jc w:val="both"/>
        <w:rPr>
          <w:rFonts w:ascii="Arial" w:hAnsi="Arial" w:cs="Arial"/>
        </w:rPr>
      </w:pPr>
    </w:p>
    <w:p w14:paraId="00B14FF8" w14:textId="4ED5DA6A" w:rsidR="00FB388A" w:rsidRDefault="00207404" w:rsidP="00FB388A">
      <w:pPr>
        <w:spacing w:after="0" w:line="300" w:lineRule="auto"/>
        <w:jc w:val="both"/>
        <w:rPr>
          <w:rFonts w:ascii="Arial" w:hAnsi="Arial" w:cs="Arial"/>
        </w:rPr>
      </w:pPr>
      <w:r w:rsidRPr="00207404">
        <w:rPr>
          <w:rFonts w:ascii="Arial" w:hAnsi="Arial" w:cs="Arial"/>
        </w:rPr>
        <w:t>Projekt jest obecnie jednocześnie na etapie uzgodnień, konsultacji publicznych i opiniowania</w:t>
      </w:r>
      <w:r>
        <w:rPr>
          <w:rFonts w:ascii="Arial" w:hAnsi="Arial" w:cs="Arial"/>
        </w:rPr>
        <w:t>.</w:t>
      </w:r>
    </w:p>
    <w:p w14:paraId="466CE4A7" w14:textId="77777777" w:rsidR="00FB388A" w:rsidRDefault="00FB388A" w:rsidP="00FB388A">
      <w:pPr>
        <w:spacing w:after="0" w:line="300" w:lineRule="auto"/>
        <w:jc w:val="both"/>
        <w:rPr>
          <w:rFonts w:ascii="Arial" w:hAnsi="Arial" w:cs="Arial"/>
        </w:rPr>
      </w:pPr>
    </w:p>
    <w:p w14:paraId="30A7DDD9" w14:textId="77777777" w:rsidR="003A2BD2" w:rsidRPr="00CB4A6E" w:rsidRDefault="003A2BD2" w:rsidP="003A2BD2">
      <w:pPr>
        <w:spacing w:after="0" w:line="300" w:lineRule="auto"/>
        <w:rPr>
          <w:rFonts w:ascii="Arial" w:hAnsi="Arial" w:cs="Arial"/>
        </w:rPr>
      </w:pPr>
    </w:p>
    <w:p w14:paraId="32F68FC5" w14:textId="77777777" w:rsidR="003A2BD2" w:rsidRDefault="003A2BD2" w:rsidP="003A2BD2">
      <w:pPr>
        <w:spacing w:after="0" w:line="300" w:lineRule="auto"/>
        <w:jc w:val="both"/>
        <w:rPr>
          <w:rFonts w:ascii="Arial" w:hAnsi="Arial" w:cs="Arial"/>
          <w:b/>
        </w:rPr>
      </w:pPr>
      <w:r>
        <w:rPr>
          <w:rFonts w:ascii="Arial" w:hAnsi="Arial" w:cs="Arial"/>
          <w:b/>
        </w:rPr>
        <w:t>II. Ogłoszone akty prawne (Dziennik Ustaw RP)</w:t>
      </w:r>
    </w:p>
    <w:p w14:paraId="37F64C69" w14:textId="77777777" w:rsidR="003A2BD2" w:rsidRDefault="003A2BD2" w:rsidP="003A2BD2">
      <w:pPr>
        <w:spacing w:after="0" w:line="300" w:lineRule="auto"/>
        <w:jc w:val="both"/>
        <w:rPr>
          <w:rFonts w:ascii="Arial" w:hAnsi="Arial" w:cs="Arial"/>
        </w:rPr>
      </w:pPr>
    </w:p>
    <w:p w14:paraId="7EDE3BCC" w14:textId="730E137A" w:rsidR="003A2BD2" w:rsidRDefault="003A2BD2" w:rsidP="003A2BD2">
      <w:pPr>
        <w:spacing w:after="0" w:line="300" w:lineRule="auto"/>
        <w:jc w:val="both"/>
        <w:rPr>
          <w:rFonts w:ascii="Arial" w:hAnsi="Arial" w:cs="Arial"/>
        </w:rPr>
      </w:pPr>
      <w:r>
        <w:rPr>
          <w:rFonts w:ascii="Arial" w:hAnsi="Arial" w:cs="Arial"/>
        </w:rPr>
        <w:t xml:space="preserve">W analizowanym okresie ogłoszono </w:t>
      </w:r>
      <w:r w:rsidR="00207404">
        <w:rPr>
          <w:rFonts w:ascii="Arial" w:hAnsi="Arial" w:cs="Arial"/>
        </w:rPr>
        <w:t>41</w:t>
      </w:r>
      <w:r>
        <w:rPr>
          <w:rFonts w:ascii="Arial" w:hAnsi="Arial" w:cs="Arial"/>
        </w:rPr>
        <w:t xml:space="preserve"> akt</w:t>
      </w:r>
      <w:r w:rsidR="00207404">
        <w:rPr>
          <w:rFonts w:ascii="Arial" w:hAnsi="Arial" w:cs="Arial"/>
        </w:rPr>
        <w:t>ów</w:t>
      </w:r>
      <w:r>
        <w:rPr>
          <w:rFonts w:ascii="Arial" w:hAnsi="Arial" w:cs="Arial"/>
        </w:rPr>
        <w:t xml:space="preserve"> prawn</w:t>
      </w:r>
      <w:r w:rsidR="00207404">
        <w:rPr>
          <w:rFonts w:ascii="Arial" w:hAnsi="Arial" w:cs="Arial"/>
        </w:rPr>
        <w:t>ych</w:t>
      </w:r>
      <w:r>
        <w:rPr>
          <w:rFonts w:ascii="Arial" w:hAnsi="Arial" w:cs="Arial"/>
        </w:rPr>
        <w:t>, tzn. ustaw, rozporządze</w:t>
      </w:r>
      <w:r w:rsidR="00207404">
        <w:rPr>
          <w:rFonts w:ascii="Arial" w:hAnsi="Arial" w:cs="Arial"/>
        </w:rPr>
        <w:t>ń</w:t>
      </w:r>
      <w:r>
        <w:rPr>
          <w:rFonts w:ascii="Arial" w:hAnsi="Arial" w:cs="Arial"/>
        </w:rPr>
        <w:t xml:space="preserve"> Rady Ministrów, Prezesa Rady Ministrów i poszczególnych ministrów</w:t>
      </w:r>
      <w:r w:rsidR="00207404">
        <w:rPr>
          <w:rFonts w:ascii="Arial" w:hAnsi="Arial" w:cs="Arial"/>
        </w:rPr>
        <w:t xml:space="preserve"> oraz</w:t>
      </w:r>
      <w:r>
        <w:rPr>
          <w:rFonts w:ascii="Arial" w:hAnsi="Arial" w:cs="Arial"/>
        </w:rPr>
        <w:t xml:space="preserve"> </w:t>
      </w:r>
      <w:proofErr w:type="spellStart"/>
      <w:r>
        <w:rPr>
          <w:rFonts w:ascii="Arial" w:hAnsi="Arial" w:cs="Arial"/>
        </w:rPr>
        <w:t>obwieszcze</w:t>
      </w:r>
      <w:r w:rsidR="00207404">
        <w:rPr>
          <w:rFonts w:ascii="Arial" w:hAnsi="Arial" w:cs="Arial"/>
        </w:rPr>
        <w:t>ń</w:t>
      </w:r>
      <w:proofErr w:type="spellEnd"/>
      <w:r>
        <w:rPr>
          <w:rFonts w:ascii="Arial" w:hAnsi="Arial" w:cs="Arial"/>
        </w:rPr>
        <w:t xml:space="preserve"> w sprawie ogłoszenia tekstu jednolitego. Z powyższych publikacji w zainteresowaniu pracodawców i przedsiębiorców znaleźć się mogą następujące akty prawne:</w:t>
      </w:r>
    </w:p>
    <w:p w14:paraId="2EA8F147" w14:textId="77777777" w:rsidR="003A2BD2" w:rsidRDefault="003A2BD2" w:rsidP="003A2BD2">
      <w:pPr>
        <w:spacing w:after="0" w:line="300" w:lineRule="auto"/>
        <w:jc w:val="both"/>
        <w:rPr>
          <w:rFonts w:ascii="Arial" w:hAnsi="Arial" w:cs="Arial"/>
        </w:rPr>
      </w:pPr>
    </w:p>
    <w:p w14:paraId="223D077D" w14:textId="18EB1443" w:rsidR="003A2BD2" w:rsidRPr="00095175" w:rsidRDefault="003A2BD2" w:rsidP="003A2BD2">
      <w:pPr>
        <w:pStyle w:val="Akapitzlist"/>
        <w:numPr>
          <w:ilvl w:val="0"/>
          <w:numId w:val="2"/>
        </w:numPr>
        <w:spacing w:after="0" w:line="300" w:lineRule="auto"/>
        <w:ind w:left="426" w:hanging="426"/>
        <w:jc w:val="both"/>
        <w:rPr>
          <w:rFonts w:ascii="Arial" w:hAnsi="Arial" w:cs="Arial"/>
          <w:b/>
          <w:bCs/>
          <w:u w:val="single"/>
        </w:rPr>
      </w:pPr>
      <w:r w:rsidRPr="00095175">
        <w:rPr>
          <w:rFonts w:ascii="Arial" w:hAnsi="Arial" w:cs="Arial"/>
          <w:b/>
          <w:bCs/>
          <w:u w:val="single"/>
        </w:rPr>
        <w:t>Ustawa</w:t>
      </w:r>
      <w:r w:rsidR="00095175" w:rsidRPr="00095175">
        <w:rPr>
          <w:rFonts w:ascii="Arial" w:hAnsi="Arial" w:cs="Arial"/>
          <w:b/>
          <w:bCs/>
          <w:u w:val="single"/>
        </w:rPr>
        <w:t xml:space="preserve"> z dnia 9 lipca 2025 r. o zmianie ustawy o funduszach inwestycyjnych i zarządzaniu alternatywnymi funduszami inwestycyjnymi</w:t>
      </w:r>
      <w:r w:rsidRPr="00095175">
        <w:rPr>
          <w:rFonts w:ascii="Arial" w:hAnsi="Arial" w:cs="Arial"/>
          <w:b/>
          <w:bCs/>
          <w:u w:val="single"/>
        </w:rPr>
        <w:t>.</w:t>
      </w:r>
    </w:p>
    <w:p w14:paraId="1F6945B3" w14:textId="77777777" w:rsidR="00095175" w:rsidRDefault="00095175" w:rsidP="00095175">
      <w:pPr>
        <w:spacing w:after="0" w:line="300" w:lineRule="auto"/>
        <w:jc w:val="both"/>
        <w:rPr>
          <w:rFonts w:ascii="Arial" w:eastAsia="Times New Roman" w:hAnsi="Arial" w:cs="Arial"/>
          <w:lang w:eastAsia="pl-PL"/>
        </w:rPr>
      </w:pPr>
    </w:p>
    <w:p w14:paraId="1A54FFF5" w14:textId="12750811" w:rsidR="003A2BD2" w:rsidRPr="00095175" w:rsidRDefault="003A2BD2" w:rsidP="00095175">
      <w:pPr>
        <w:spacing w:after="0" w:line="300" w:lineRule="auto"/>
        <w:jc w:val="both"/>
        <w:rPr>
          <w:rFonts w:ascii="Arial" w:eastAsia="Times New Roman" w:hAnsi="Arial" w:cs="Arial"/>
          <w:lang w:eastAsia="pl-PL"/>
        </w:rPr>
      </w:pPr>
      <w:r w:rsidRPr="00095175">
        <w:rPr>
          <w:rFonts w:ascii="Arial" w:eastAsia="Times New Roman" w:hAnsi="Arial" w:cs="Arial"/>
          <w:lang w:eastAsia="pl-PL"/>
        </w:rPr>
        <w:t xml:space="preserve">Powyższy akt prawny ogłoszony został </w:t>
      </w:r>
      <w:r w:rsidR="00095175">
        <w:rPr>
          <w:rFonts w:ascii="Arial" w:eastAsia="Times New Roman" w:hAnsi="Arial" w:cs="Arial"/>
          <w:lang w:eastAsia="pl-PL"/>
        </w:rPr>
        <w:t>25 sierpnia</w:t>
      </w:r>
      <w:r w:rsidRPr="00095175">
        <w:rPr>
          <w:rFonts w:ascii="Arial" w:eastAsia="Times New Roman" w:hAnsi="Arial" w:cs="Arial"/>
          <w:lang w:eastAsia="pl-PL"/>
        </w:rPr>
        <w:t xml:space="preserve"> 20</w:t>
      </w:r>
      <w:r w:rsidR="00095175">
        <w:rPr>
          <w:rFonts w:ascii="Arial" w:eastAsia="Times New Roman" w:hAnsi="Arial" w:cs="Arial"/>
          <w:lang w:eastAsia="pl-PL"/>
        </w:rPr>
        <w:t>25</w:t>
      </w:r>
      <w:r w:rsidRPr="00095175">
        <w:rPr>
          <w:rFonts w:ascii="Arial" w:eastAsia="Times New Roman" w:hAnsi="Arial" w:cs="Arial"/>
          <w:lang w:eastAsia="pl-PL"/>
        </w:rPr>
        <w:t xml:space="preserve"> roku w Dzienniku Ustaw (Dz.U. z 202</w:t>
      </w:r>
      <w:r w:rsidR="00095175">
        <w:rPr>
          <w:rFonts w:ascii="Arial" w:eastAsia="Times New Roman" w:hAnsi="Arial" w:cs="Arial"/>
          <w:lang w:eastAsia="pl-PL"/>
        </w:rPr>
        <w:t>5</w:t>
      </w:r>
      <w:r w:rsidRPr="00095175">
        <w:rPr>
          <w:rFonts w:ascii="Arial" w:eastAsia="Times New Roman" w:hAnsi="Arial" w:cs="Arial"/>
          <w:lang w:eastAsia="pl-PL"/>
        </w:rPr>
        <w:t xml:space="preserve">, poz. </w:t>
      </w:r>
      <w:r w:rsidR="00095175">
        <w:rPr>
          <w:rFonts w:ascii="Arial" w:eastAsia="Times New Roman" w:hAnsi="Arial" w:cs="Arial"/>
          <w:lang w:eastAsia="pl-PL"/>
        </w:rPr>
        <w:t>1161</w:t>
      </w:r>
      <w:r w:rsidRPr="00095175">
        <w:rPr>
          <w:rFonts w:ascii="Arial" w:eastAsia="Times New Roman" w:hAnsi="Arial" w:cs="Arial"/>
          <w:lang w:eastAsia="pl-PL"/>
        </w:rPr>
        <w:t>).</w:t>
      </w:r>
    </w:p>
    <w:p w14:paraId="0D0BEEEE" w14:textId="77777777" w:rsidR="00095175" w:rsidRDefault="00095175" w:rsidP="00095175">
      <w:pPr>
        <w:spacing w:after="0" w:line="300" w:lineRule="auto"/>
        <w:jc w:val="both"/>
        <w:rPr>
          <w:rFonts w:ascii="Arial" w:eastAsia="Times New Roman" w:hAnsi="Arial" w:cs="Arial"/>
          <w:lang w:eastAsia="pl-PL"/>
        </w:rPr>
      </w:pPr>
    </w:p>
    <w:p w14:paraId="459E311E" w14:textId="77777777" w:rsidR="00095175" w:rsidRDefault="00095175" w:rsidP="00095175">
      <w:pPr>
        <w:spacing w:after="0" w:line="300" w:lineRule="auto"/>
        <w:jc w:val="both"/>
        <w:rPr>
          <w:rFonts w:ascii="Arial" w:eastAsia="Times New Roman" w:hAnsi="Arial" w:cs="Arial"/>
          <w:lang w:eastAsia="pl-PL"/>
        </w:rPr>
      </w:pPr>
      <w:r w:rsidRPr="00095175">
        <w:rPr>
          <w:rFonts w:ascii="Arial" w:eastAsia="Times New Roman" w:hAnsi="Arial" w:cs="Arial"/>
          <w:lang w:eastAsia="pl-PL"/>
        </w:rPr>
        <w:t xml:space="preserve">Ustawa dokonuje zmian w ustawie dnia 27 maja 2004 r. o funduszach inwestycyjnych i zarządzaniu alternatywnymi funduszami inwestycyjnymi (Dz. U. z 2024 r. poz. 1034 i 1863 oraz z 2025 r. poz. 146 i 820), które polegają na: </w:t>
      </w:r>
    </w:p>
    <w:p w14:paraId="0868987F" w14:textId="77777777" w:rsidR="00095175" w:rsidRDefault="00095175" w:rsidP="00095175">
      <w:pPr>
        <w:spacing w:after="0" w:line="300" w:lineRule="auto"/>
        <w:jc w:val="both"/>
        <w:rPr>
          <w:rFonts w:ascii="Arial" w:eastAsia="Times New Roman" w:hAnsi="Arial" w:cs="Arial"/>
          <w:lang w:eastAsia="pl-PL"/>
        </w:rPr>
      </w:pPr>
      <w:r w:rsidRPr="00095175">
        <w:rPr>
          <w:rFonts w:ascii="Arial" w:eastAsia="Times New Roman" w:hAnsi="Arial" w:cs="Arial"/>
          <w:lang w:eastAsia="pl-PL"/>
        </w:rPr>
        <w:t xml:space="preserve">1) obniżeniu wymaganego progu na podjęcie uchwały zgromadzenia inwestorów w sprawie wyrażenia zgody na połączenie funduszy inwestycyjnych zamkniętych, których organem jest to samo towarzystwo. Zgodnie z nowelizacją zgoda będzie udzielana, jeżeli głosy za połączeniem oddadzą uczestnicy reprezentujący łącznie więcej niż połowę ogólnej liczby certyfikatów inwestycyjnych danego funduszu. Dotychczas zgoda była udzielana, jeżeli głosy za połączeniem oddali uczestnicy reprezentujący łącznie co najmniej 2/3 ogólnej liczby certyfikatów inwestycyjnych danego funduszu; </w:t>
      </w:r>
    </w:p>
    <w:p w14:paraId="65F57D82" w14:textId="77777777" w:rsidR="00095175" w:rsidRDefault="00095175" w:rsidP="00095175">
      <w:pPr>
        <w:spacing w:after="0" w:line="300" w:lineRule="auto"/>
        <w:jc w:val="both"/>
        <w:rPr>
          <w:rFonts w:ascii="Arial" w:eastAsia="Times New Roman" w:hAnsi="Arial" w:cs="Arial"/>
          <w:lang w:eastAsia="pl-PL"/>
        </w:rPr>
      </w:pPr>
      <w:r w:rsidRPr="00095175">
        <w:rPr>
          <w:rFonts w:ascii="Arial" w:eastAsia="Times New Roman" w:hAnsi="Arial" w:cs="Arial"/>
          <w:lang w:eastAsia="pl-PL"/>
        </w:rPr>
        <w:t xml:space="preserve">2) uregulowaniu sytuacji, w której w pierwszym głosowaniu głosy oddali uczestnicy reprezentujący nie więcej niż połowę ogólnej liczby certyfikatów inwestycyjnych danego funduszu. </w:t>
      </w:r>
    </w:p>
    <w:p w14:paraId="41980DFC" w14:textId="2FAEF4E3" w:rsidR="00095175" w:rsidRDefault="00095175" w:rsidP="00095175">
      <w:pPr>
        <w:spacing w:after="0" w:line="300" w:lineRule="auto"/>
        <w:jc w:val="both"/>
        <w:rPr>
          <w:rFonts w:ascii="Arial" w:eastAsia="Times New Roman" w:hAnsi="Arial" w:cs="Arial"/>
          <w:lang w:eastAsia="pl-PL"/>
        </w:rPr>
      </w:pPr>
      <w:r w:rsidRPr="00095175">
        <w:rPr>
          <w:rFonts w:ascii="Arial" w:eastAsia="Times New Roman" w:hAnsi="Arial" w:cs="Arial"/>
          <w:lang w:eastAsia="pl-PL"/>
        </w:rPr>
        <w:t xml:space="preserve">Ustawa zawiera przepis przejściowy, zgodnie z którym zmienione przepisy będą mieć zastosowanie po raz pierwszy do połączeń funduszy inwestycyjnych zamkniętych, których organem jest to samo towarzystwo funduszy inwestycyjnych, w przypadku których plan połączenia został sporządzony i podpisany najwcześniej w dniu wejściu w życie niniejszej ustawy. </w:t>
      </w:r>
    </w:p>
    <w:p w14:paraId="75C7BA20" w14:textId="77777777" w:rsidR="00095175" w:rsidRDefault="00095175" w:rsidP="00095175">
      <w:pPr>
        <w:spacing w:after="0" w:line="300" w:lineRule="auto"/>
        <w:jc w:val="both"/>
        <w:rPr>
          <w:rFonts w:ascii="Arial" w:eastAsia="Times New Roman" w:hAnsi="Arial" w:cs="Arial"/>
          <w:lang w:eastAsia="pl-PL"/>
        </w:rPr>
      </w:pPr>
    </w:p>
    <w:p w14:paraId="6E6BD2F9" w14:textId="015D5D0F" w:rsidR="00095175" w:rsidRDefault="00095175" w:rsidP="00095175">
      <w:pPr>
        <w:spacing w:after="0" w:line="300" w:lineRule="auto"/>
        <w:jc w:val="both"/>
        <w:rPr>
          <w:rStyle w:val="markedcontent"/>
          <w:rFonts w:ascii="Arial" w:hAnsi="Arial" w:cs="Arial"/>
        </w:rPr>
      </w:pPr>
      <w:r w:rsidRPr="00095175">
        <w:rPr>
          <w:rFonts w:ascii="Arial" w:eastAsia="Times New Roman" w:hAnsi="Arial" w:cs="Arial"/>
          <w:lang w:eastAsia="pl-PL"/>
        </w:rPr>
        <w:t>Ustawa wejdzie w życie po upływie 14 dni od dnia ogłoszenia.</w:t>
      </w:r>
    </w:p>
    <w:p w14:paraId="624DD575" w14:textId="77777777" w:rsidR="003A2BD2" w:rsidRDefault="003A2BD2" w:rsidP="003A2BD2">
      <w:pPr>
        <w:spacing w:after="0" w:line="300" w:lineRule="auto"/>
        <w:jc w:val="both"/>
        <w:rPr>
          <w:rFonts w:ascii="Arial" w:hAnsi="Arial" w:cs="Arial"/>
        </w:rPr>
      </w:pPr>
    </w:p>
    <w:p w14:paraId="5F02CAE9" w14:textId="2F05929C" w:rsidR="003A2BD2" w:rsidRPr="00AA2659" w:rsidRDefault="003A2BD2" w:rsidP="003A2BD2">
      <w:pPr>
        <w:pStyle w:val="Akapitzlist"/>
        <w:numPr>
          <w:ilvl w:val="0"/>
          <w:numId w:val="2"/>
        </w:numPr>
        <w:spacing w:after="0" w:line="300" w:lineRule="auto"/>
        <w:ind w:left="426" w:hanging="426"/>
        <w:jc w:val="both"/>
        <w:rPr>
          <w:rFonts w:ascii="Arial" w:eastAsia="Times New Roman" w:hAnsi="Arial" w:cs="Arial"/>
          <w:b/>
          <w:bCs/>
          <w:u w:val="single"/>
          <w:lang w:eastAsia="pl-PL"/>
        </w:rPr>
      </w:pPr>
      <w:r w:rsidRPr="00AA2659">
        <w:rPr>
          <w:rFonts w:ascii="Arial" w:hAnsi="Arial" w:cs="Arial"/>
          <w:b/>
          <w:bCs/>
          <w:u w:val="single"/>
        </w:rPr>
        <w:t>Ustawa</w:t>
      </w:r>
      <w:r w:rsidR="00AA2659" w:rsidRPr="00AA2659">
        <w:rPr>
          <w:rFonts w:ascii="Arial" w:hAnsi="Arial" w:cs="Arial"/>
          <w:b/>
          <w:bCs/>
          <w:u w:val="single"/>
        </w:rPr>
        <w:t xml:space="preserve"> z dnia 9 lipca 2025 r. o zmianie ustawy – Prawo zamówień publicznych oraz ustawy o umowie koncesji na roboty budowlane lub usługi</w:t>
      </w:r>
      <w:r w:rsidRPr="00AA2659">
        <w:rPr>
          <w:rFonts w:ascii="Arial" w:hAnsi="Arial" w:cs="Arial"/>
          <w:b/>
          <w:bCs/>
          <w:u w:val="single"/>
        </w:rPr>
        <w:t xml:space="preserve">. </w:t>
      </w:r>
    </w:p>
    <w:p w14:paraId="092F4296" w14:textId="61522139" w:rsidR="003A2BD2" w:rsidRPr="00287656" w:rsidRDefault="003A2BD2" w:rsidP="00AA2659">
      <w:pPr>
        <w:spacing w:after="0" w:line="300" w:lineRule="auto"/>
        <w:jc w:val="both"/>
        <w:rPr>
          <w:rFonts w:ascii="Arial" w:eastAsia="Times New Roman" w:hAnsi="Arial" w:cs="Arial"/>
          <w:lang w:eastAsia="pl-PL"/>
        </w:rPr>
      </w:pPr>
      <w:r w:rsidRPr="00287656">
        <w:rPr>
          <w:rFonts w:ascii="Arial" w:eastAsia="Times New Roman" w:hAnsi="Arial" w:cs="Arial"/>
          <w:lang w:eastAsia="pl-PL"/>
        </w:rPr>
        <w:lastRenderedPageBreak/>
        <w:t>Powyższy akt prawny o</w:t>
      </w:r>
      <w:r>
        <w:rPr>
          <w:rFonts w:ascii="Arial" w:eastAsia="Times New Roman" w:hAnsi="Arial" w:cs="Arial"/>
          <w:lang w:eastAsia="pl-PL"/>
        </w:rPr>
        <w:t>głoszony</w:t>
      </w:r>
      <w:r w:rsidRPr="00287656">
        <w:rPr>
          <w:rFonts w:ascii="Arial" w:eastAsia="Times New Roman" w:hAnsi="Arial" w:cs="Arial"/>
          <w:lang w:eastAsia="pl-PL"/>
        </w:rPr>
        <w:t xml:space="preserve"> został </w:t>
      </w:r>
      <w:r w:rsidR="00AA2659">
        <w:rPr>
          <w:rFonts w:ascii="Arial" w:eastAsia="Times New Roman" w:hAnsi="Arial" w:cs="Arial"/>
          <w:lang w:eastAsia="pl-PL"/>
        </w:rPr>
        <w:t>25 sierpnia</w:t>
      </w:r>
      <w:r w:rsidRPr="00287656">
        <w:rPr>
          <w:rFonts w:ascii="Arial" w:eastAsia="Times New Roman" w:hAnsi="Arial" w:cs="Arial"/>
          <w:lang w:eastAsia="pl-PL"/>
        </w:rPr>
        <w:t xml:space="preserve"> 20</w:t>
      </w:r>
      <w:r w:rsidR="00AA2659">
        <w:rPr>
          <w:rFonts w:ascii="Arial" w:eastAsia="Times New Roman" w:hAnsi="Arial" w:cs="Arial"/>
          <w:lang w:eastAsia="pl-PL"/>
        </w:rPr>
        <w:t>25</w:t>
      </w:r>
      <w:r w:rsidRPr="00287656">
        <w:rPr>
          <w:rFonts w:ascii="Arial" w:eastAsia="Times New Roman" w:hAnsi="Arial" w:cs="Arial"/>
          <w:lang w:eastAsia="pl-PL"/>
        </w:rPr>
        <w:t xml:space="preserve"> roku w Dzienniku Ustaw (Dz.U. z 202</w:t>
      </w:r>
      <w:r w:rsidR="00AA2659">
        <w:rPr>
          <w:rFonts w:ascii="Arial" w:eastAsia="Times New Roman" w:hAnsi="Arial" w:cs="Arial"/>
          <w:lang w:eastAsia="pl-PL"/>
        </w:rPr>
        <w:t>5</w:t>
      </w:r>
      <w:r w:rsidRPr="00287656">
        <w:rPr>
          <w:rFonts w:ascii="Arial" w:eastAsia="Times New Roman" w:hAnsi="Arial" w:cs="Arial"/>
          <w:lang w:eastAsia="pl-PL"/>
        </w:rPr>
        <w:t xml:space="preserve">, poz. </w:t>
      </w:r>
      <w:r w:rsidR="00AA2659">
        <w:rPr>
          <w:rFonts w:ascii="Arial" w:eastAsia="Times New Roman" w:hAnsi="Arial" w:cs="Arial"/>
          <w:lang w:eastAsia="pl-PL"/>
        </w:rPr>
        <w:t>1165</w:t>
      </w:r>
      <w:r w:rsidRPr="00287656">
        <w:rPr>
          <w:rFonts w:ascii="Arial" w:eastAsia="Times New Roman" w:hAnsi="Arial" w:cs="Arial"/>
          <w:lang w:eastAsia="pl-PL"/>
        </w:rPr>
        <w:t>).</w:t>
      </w:r>
    </w:p>
    <w:p w14:paraId="4B82A49E" w14:textId="77777777" w:rsidR="00AA2659" w:rsidRDefault="00AA2659" w:rsidP="00AA2659">
      <w:pPr>
        <w:spacing w:after="0" w:line="300" w:lineRule="auto"/>
        <w:jc w:val="both"/>
        <w:rPr>
          <w:rFonts w:ascii="Arial" w:eastAsia="Times New Roman" w:hAnsi="Arial" w:cs="Arial"/>
          <w:lang w:eastAsia="pl-PL"/>
        </w:rPr>
      </w:pPr>
    </w:p>
    <w:p w14:paraId="4DB42392" w14:textId="77777777" w:rsidR="00AA2659" w:rsidRDefault="00AA2659" w:rsidP="00AA2659">
      <w:pPr>
        <w:spacing w:after="0" w:line="300" w:lineRule="auto"/>
        <w:jc w:val="both"/>
        <w:rPr>
          <w:rFonts w:ascii="Arial" w:eastAsia="Times New Roman" w:hAnsi="Arial" w:cs="Arial"/>
          <w:lang w:eastAsia="pl-PL"/>
        </w:rPr>
      </w:pPr>
      <w:r w:rsidRPr="00AA2659">
        <w:rPr>
          <w:rFonts w:ascii="Arial" w:eastAsia="Times New Roman" w:hAnsi="Arial" w:cs="Arial"/>
          <w:lang w:eastAsia="pl-PL"/>
        </w:rPr>
        <w:t xml:space="preserve">Ustawa z dnia 9 lipca 2025 r. o zmianie ustawy – Prawo zamówień publicznych oraz ustawy o umowie koncesji na roboty budowlane lub usługi w zakresie swojej regulacji wdraża:  </w:t>
      </w:r>
    </w:p>
    <w:p w14:paraId="3A05298D" w14:textId="77777777" w:rsidR="00AA2659" w:rsidRDefault="00AA2659" w:rsidP="00AA2659">
      <w:pPr>
        <w:spacing w:after="0" w:line="300" w:lineRule="auto"/>
        <w:jc w:val="both"/>
        <w:rPr>
          <w:rFonts w:ascii="Arial" w:eastAsia="Times New Roman" w:hAnsi="Arial" w:cs="Arial"/>
          <w:lang w:eastAsia="pl-PL"/>
        </w:rPr>
      </w:pPr>
      <w:r w:rsidRPr="00AA2659">
        <w:rPr>
          <w:rFonts w:ascii="Arial" w:eastAsia="Times New Roman" w:hAnsi="Arial" w:cs="Arial"/>
          <w:lang w:eastAsia="pl-PL"/>
        </w:rPr>
        <w:t xml:space="preserve">1) dyrektywę Parlamentu Europejskiego i Rady 2014/24/UE z dnia 26 lutego 2014 r. w sprawie zamówień publicznych, uchylającej dyrektywę 2004/18/WE; </w:t>
      </w:r>
    </w:p>
    <w:p w14:paraId="7554DEFB" w14:textId="77777777" w:rsidR="00AA2659" w:rsidRDefault="00AA2659" w:rsidP="00AA2659">
      <w:pPr>
        <w:spacing w:after="0" w:line="300" w:lineRule="auto"/>
        <w:jc w:val="both"/>
        <w:rPr>
          <w:rFonts w:ascii="Arial" w:eastAsia="Times New Roman" w:hAnsi="Arial" w:cs="Arial"/>
          <w:lang w:eastAsia="pl-PL"/>
        </w:rPr>
      </w:pPr>
      <w:r w:rsidRPr="00AA2659">
        <w:rPr>
          <w:rFonts w:ascii="Arial" w:eastAsia="Times New Roman" w:hAnsi="Arial" w:cs="Arial"/>
          <w:lang w:eastAsia="pl-PL"/>
        </w:rPr>
        <w:t xml:space="preserve">2) dyrektywę Parlamentu Europejskiego i Rady 2014/25/UE z dnia 26 lutego 2014 r. w sprawie udzielania zamówień przez podmioty działające w sektorach gospodarki wodnej, energetyki, transportu i usług pocztowych, uchylającej dyrektywę 2004/17/WE. </w:t>
      </w:r>
    </w:p>
    <w:p w14:paraId="6A96F03A" w14:textId="77777777" w:rsidR="00AA2659" w:rsidRDefault="00AA2659" w:rsidP="00AA2659">
      <w:pPr>
        <w:spacing w:after="0" w:line="300" w:lineRule="auto"/>
        <w:jc w:val="both"/>
        <w:rPr>
          <w:rFonts w:ascii="Arial" w:eastAsia="Times New Roman" w:hAnsi="Arial" w:cs="Arial"/>
          <w:lang w:eastAsia="pl-PL"/>
        </w:rPr>
      </w:pPr>
      <w:r w:rsidRPr="00AA2659">
        <w:rPr>
          <w:rFonts w:ascii="Arial" w:eastAsia="Times New Roman" w:hAnsi="Arial" w:cs="Arial"/>
          <w:lang w:eastAsia="pl-PL"/>
        </w:rPr>
        <w:t xml:space="preserve">Ponadto ustawa uwzględnienia w polskim porządku prawnym skutki wyroków Trybunału Sprawiedliwości Unii Europejskiej (TSUE) w sprawach: C-652/22 Kolin </w:t>
      </w:r>
      <w:proofErr w:type="spellStart"/>
      <w:r w:rsidRPr="00AA2659">
        <w:rPr>
          <w:rFonts w:ascii="Arial" w:eastAsia="Times New Roman" w:hAnsi="Arial" w:cs="Arial"/>
          <w:lang w:eastAsia="pl-PL"/>
        </w:rPr>
        <w:t>Inşaat</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Turizm</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Sanayi</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ve</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Ticaret</w:t>
      </w:r>
      <w:proofErr w:type="spellEnd"/>
      <w:r w:rsidRPr="00AA2659">
        <w:rPr>
          <w:rFonts w:ascii="Arial" w:eastAsia="Times New Roman" w:hAnsi="Arial" w:cs="Arial"/>
          <w:lang w:eastAsia="pl-PL"/>
        </w:rPr>
        <w:t xml:space="preserve"> oraz C-266/22 CRRC Qingdao </w:t>
      </w:r>
      <w:proofErr w:type="spellStart"/>
      <w:r w:rsidRPr="00AA2659">
        <w:rPr>
          <w:rFonts w:ascii="Arial" w:eastAsia="Times New Roman" w:hAnsi="Arial" w:cs="Arial"/>
          <w:lang w:eastAsia="pl-PL"/>
        </w:rPr>
        <w:t>Sifang</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e.a</w:t>
      </w:r>
      <w:proofErr w:type="spellEnd"/>
      <w:r w:rsidRPr="00AA2659">
        <w:rPr>
          <w:rFonts w:ascii="Arial" w:eastAsia="Times New Roman" w:hAnsi="Arial" w:cs="Arial"/>
          <w:lang w:eastAsia="pl-PL"/>
        </w:rPr>
        <w:t xml:space="preserve">. </w:t>
      </w:r>
    </w:p>
    <w:p w14:paraId="54FD6522" w14:textId="77777777" w:rsidR="00AA2659" w:rsidRDefault="00AA2659" w:rsidP="00AA2659">
      <w:pPr>
        <w:spacing w:after="0" w:line="300" w:lineRule="auto"/>
        <w:jc w:val="both"/>
        <w:rPr>
          <w:rFonts w:ascii="Arial" w:eastAsia="Times New Roman" w:hAnsi="Arial" w:cs="Arial"/>
          <w:lang w:eastAsia="pl-PL"/>
        </w:rPr>
      </w:pPr>
      <w:r w:rsidRPr="00AA2659">
        <w:rPr>
          <w:rFonts w:ascii="Arial" w:eastAsia="Times New Roman" w:hAnsi="Arial" w:cs="Arial"/>
          <w:lang w:eastAsia="pl-PL"/>
        </w:rPr>
        <w:t xml:space="preserve">W wyroku z dnia 22 października 2024 r. wydanym w sprawie C-652/22 Kolin </w:t>
      </w:r>
      <w:proofErr w:type="spellStart"/>
      <w:r w:rsidRPr="00AA2659">
        <w:rPr>
          <w:rFonts w:ascii="Arial" w:eastAsia="Times New Roman" w:hAnsi="Arial" w:cs="Arial"/>
          <w:lang w:eastAsia="pl-PL"/>
        </w:rPr>
        <w:t>Inşaat</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Turizm</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Sanayi</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ve</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Ticarete</w:t>
      </w:r>
      <w:proofErr w:type="spellEnd"/>
      <w:r w:rsidRPr="00AA2659">
        <w:rPr>
          <w:rFonts w:ascii="Arial" w:eastAsia="Times New Roman" w:hAnsi="Arial" w:cs="Arial"/>
          <w:lang w:eastAsia="pl-PL"/>
        </w:rPr>
        <w:t xml:space="preserve"> przeciwko </w:t>
      </w:r>
      <w:proofErr w:type="spellStart"/>
      <w:r w:rsidRPr="00AA2659">
        <w:rPr>
          <w:rFonts w:ascii="Arial" w:eastAsia="Times New Roman" w:hAnsi="Arial" w:cs="Arial"/>
          <w:lang w:eastAsia="pl-PL"/>
        </w:rPr>
        <w:t>Državna</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komisija</w:t>
      </w:r>
      <w:proofErr w:type="spellEnd"/>
      <w:r w:rsidRPr="00AA2659">
        <w:rPr>
          <w:rFonts w:ascii="Arial" w:eastAsia="Times New Roman" w:hAnsi="Arial" w:cs="Arial"/>
          <w:lang w:eastAsia="pl-PL"/>
        </w:rPr>
        <w:t xml:space="preserve"> za </w:t>
      </w:r>
      <w:proofErr w:type="spellStart"/>
      <w:r w:rsidRPr="00AA2659">
        <w:rPr>
          <w:rFonts w:ascii="Arial" w:eastAsia="Times New Roman" w:hAnsi="Arial" w:cs="Arial"/>
          <w:lang w:eastAsia="pl-PL"/>
        </w:rPr>
        <w:t>kontrolu</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postupaka</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javne</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nabave</w:t>
      </w:r>
      <w:proofErr w:type="spellEnd"/>
      <w:r w:rsidRPr="00AA2659">
        <w:rPr>
          <w:rFonts w:ascii="Arial" w:eastAsia="Times New Roman" w:hAnsi="Arial" w:cs="Arial"/>
          <w:lang w:eastAsia="pl-PL"/>
        </w:rPr>
        <w:t xml:space="preserve">, potwierdzonym wyrokiem z dnia 13 marca 2025 r. w sprawie C-266/22 CRRC Qingdao </w:t>
      </w:r>
      <w:proofErr w:type="spellStart"/>
      <w:r w:rsidRPr="00AA2659">
        <w:rPr>
          <w:rFonts w:ascii="Arial" w:eastAsia="Times New Roman" w:hAnsi="Arial" w:cs="Arial"/>
          <w:lang w:eastAsia="pl-PL"/>
        </w:rPr>
        <w:t>Sifang</w:t>
      </w:r>
      <w:proofErr w:type="spellEnd"/>
      <w:r w:rsidRPr="00AA2659">
        <w:rPr>
          <w:rFonts w:ascii="Arial" w:eastAsia="Times New Roman" w:hAnsi="Arial" w:cs="Arial"/>
          <w:lang w:eastAsia="pl-PL"/>
        </w:rPr>
        <w:t xml:space="preserve"> CO LTD et Astra </w:t>
      </w:r>
      <w:proofErr w:type="spellStart"/>
      <w:r w:rsidRPr="00AA2659">
        <w:rPr>
          <w:rFonts w:ascii="Arial" w:eastAsia="Times New Roman" w:hAnsi="Arial" w:cs="Arial"/>
          <w:lang w:eastAsia="pl-PL"/>
        </w:rPr>
        <w:t>Vagoane</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Călători</w:t>
      </w:r>
      <w:proofErr w:type="spellEnd"/>
      <w:r w:rsidRPr="00AA2659">
        <w:rPr>
          <w:rFonts w:ascii="Arial" w:eastAsia="Times New Roman" w:hAnsi="Arial" w:cs="Arial"/>
          <w:lang w:eastAsia="pl-PL"/>
        </w:rPr>
        <w:t xml:space="preserve"> S.A. przeciwko </w:t>
      </w:r>
      <w:proofErr w:type="spellStart"/>
      <w:r w:rsidRPr="00AA2659">
        <w:rPr>
          <w:rFonts w:ascii="Arial" w:eastAsia="Times New Roman" w:hAnsi="Arial" w:cs="Arial"/>
          <w:lang w:eastAsia="pl-PL"/>
        </w:rPr>
        <w:t>Autoritatea</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pentru</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Reformă</w:t>
      </w:r>
      <w:proofErr w:type="spellEnd"/>
      <w:r w:rsidRPr="00AA2659">
        <w:rPr>
          <w:rFonts w:ascii="Arial" w:eastAsia="Times New Roman" w:hAnsi="Arial" w:cs="Arial"/>
          <w:lang w:eastAsia="pl-PL"/>
        </w:rPr>
        <w:t xml:space="preserve"> </w:t>
      </w:r>
      <w:proofErr w:type="spellStart"/>
      <w:r w:rsidRPr="00AA2659">
        <w:rPr>
          <w:rFonts w:ascii="Arial" w:eastAsia="Times New Roman" w:hAnsi="Arial" w:cs="Arial"/>
          <w:lang w:eastAsia="pl-PL"/>
        </w:rPr>
        <w:t>Feroviară</w:t>
      </w:r>
      <w:proofErr w:type="spellEnd"/>
      <w:r w:rsidRPr="00AA2659">
        <w:rPr>
          <w:rFonts w:ascii="Arial" w:eastAsia="Times New Roman" w:hAnsi="Arial" w:cs="Arial"/>
          <w:lang w:eastAsia="pl-PL"/>
        </w:rPr>
        <w:t xml:space="preserve"> i Alstom </w:t>
      </w:r>
      <w:proofErr w:type="spellStart"/>
      <w:r w:rsidRPr="00AA2659">
        <w:rPr>
          <w:rFonts w:ascii="Arial" w:eastAsia="Times New Roman" w:hAnsi="Arial" w:cs="Arial"/>
          <w:lang w:eastAsia="pl-PL"/>
        </w:rPr>
        <w:t>Ferroviaria</w:t>
      </w:r>
      <w:proofErr w:type="spellEnd"/>
      <w:r w:rsidRPr="00AA2659">
        <w:rPr>
          <w:rFonts w:ascii="Arial" w:eastAsia="Times New Roman" w:hAnsi="Arial" w:cs="Arial"/>
          <w:lang w:eastAsia="pl-PL"/>
        </w:rPr>
        <w:t xml:space="preserve"> S.P.A., TSUE wskazał, że wykonawcy z państw trzecich, z którymi Unia Europejska nie jest związana żadną umową międzynarodową gwarantującą na zasadzie wzajemności i równości dostęp do rynku zamówień publicznych, nie mają zapewnionego dostępu do unijnego rynku zamówień publicznych. </w:t>
      </w:r>
    </w:p>
    <w:p w14:paraId="2EBF58C0" w14:textId="3B8AC03B" w:rsidR="00AA2659" w:rsidRDefault="00AA2659" w:rsidP="00AA2659">
      <w:pPr>
        <w:spacing w:after="0" w:line="300" w:lineRule="auto"/>
        <w:jc w:val="both"/>
        <w:rPr>
          <w:rFonts w:ascii="Arial" w:eastAsia="Times New Roman" w:hAnsi="Arial" w:cs="Arial"/>
          <w:lang w:eastAsia="pl-PL"/>
        </w:rPr>
      </w:pPr>
      <w:r w:rsidRPr="00AA2659">
        <w:rPr>
          <w:rFonts w:ascii="Arial" w:eastAsia="Times New Roman" w:hAnsi="Arial" w:cs="Arial"/>
          <w:lang w:eastAsia="pl-PL"/>
        </w:rPr>
        <w:t>Ustawa z dnia 9 lipca 2025 r. o zmianie ustawy – Prawo zamówień publicznych oraz ustawy o umowie koncesji na roboty budowlane lub usługi ma na celu wdrożenie do polskiego porządku prawnego przepisów zapewniających równe traktowanie w  dostępie do  rynku zamówień publicznych jedynie wykonawcom z państw członkowskich Unii Europejskiej oraz państw będących stronami porozumienia Światowej Organizacji Handlu w  sprawie zamówień rządowych, których stroną jest Unia Europejska. Skutkiem przyjętych rozwiązań jest to, że obowiązek zapewnienia równego traktowania będzie wyłączony w odniesieniu do wykonawców z państw trzecich, czyli takich, z którymi Unia Europejska nie jest związana umową międzynarodową, zapewniającą na zasadzie wzajemności dostęp do rynku zamówień publicznych. Przepisy ustawy dają zamawiającym możliwość samodzielnego decydowania o  udziale wykonawców z państw trzecich w postępowaniu o udzielenie zamówienia publicznego lub o zawarciu umowy koncesji.</w:t>
      </w:r>
    </w:p>
    <w:p w14:paraId="7004C6F5" w14:textId="77777777" w:rsidR="00AA2659" w:rsidRDefault="00AA2659" w:rsidP="00AA2659">
      <w:pPr>
        <w:spacing w:after="0" w:line="300" w:lineRule="auto"/>
        <w:jc w:val="both"/>
        <w:rPr>
          <w:rStyle w:val="markedcontent"/>
          <w:rFonts w:ascii="Arial" w:hAnsi="Arial" w:cs="Arial"/>
        </w:rPr>
      </w:pPr>
      <w:r w:rsidRPr="00AA2659">
        <w:rPr>
          <w:rStyle w:val="markedcontent"/>
          <w:rFonts w:ascii="Arial" w:hAnsi="Arial" w:cs="Arial"/>
        </w:rPr>
        <w:t xml:space="preserve">Zakłada się, że uchwalona ustawa będzie miała pozytywny wpływ na polskich przedsiębiorców, bowiem korzystnie wpłynie na poprawę konkurencyjności polskich wykonawców w postępowaniach, w których uczestniczą z wykonawcami prowadzącymi działalność gospodarczą oraz mającymi siedzibę albo miejsce zamieszkania w innych państwach niż państwa członkowskie Unii Europejskiej oraz innych niż państwa, z którymi Unia Europejska zawarła Porozumienie Światowej Organizacji Handlu w sprawie zamówień rządowych lub inne umowy międzynarodowe gwarantujące na zasadzie wzajemności i równości dostęp do rynku zamówień publicznych. </w:t>
      </w:r>
    </w:p>
    <w:p w14:paraId="11F3ABBA" w14:textId="77777777" w:rsidR="00AA2659" w:rsidRDefault="00AA2659" w:rsidP="00AA2659">
      <w:pPr>
        <w:spacing w:after="0" w:line="300" w:lineRule="auto"/>
        <w:jc w:val="both"/>
        <w:rPr>
          <w:rStyle w:val="markedcontent"/>
          <w:rFonts w:ascii="Arial" w:hAnsi="Arial" w:cs="Arial"/>
        </w:rPr>
      </w:pPr>
      <w:r w:rsidRPr="00AA2659">
        <w:rPr>
          <w:rStyle w:val="markedcontent"/>
          <w:rFonts w:ascii="Arial" w:hAnsi="Arial" w:cs="Arial"/>
        </w:rPr>
        <w:t xml:space="preserve">Ustawa zawiera przepisy przejściowe związane z dodawanymi regulacjami do ustawy – Prawo zamówień publicznych oraz ustawy o umowie koncesji na roboty budowlane lub usługi. </w:t>
      </w:r>
    </w:p>
    <w:p w14:paraId="12E06B82" w14:textId="77777777" w:rsidR="00AA2659" w:rsidRDefault="00AA2659" w:rsidP="00AA2659">
      <w:pPr>
        <w:spacing w:after="0" w:line="300" w:lineRule="auto"/>
        <w:jc w:val="both"/>
        <w:rPr>
          <w:rStyle w:val="markedcontent"/>
          <w:rFonts w:ascii="Arial" w:hAnsi="Arial" w:cs="Arial"/>
        </w:rPr>
      </w:pPr>
    </w:p>
    <w:p w14:paraId="461E288C" w14:textId="4C0FBD5D" w:rsidR="00AA2659" w:rsidRDefault="00AA2659" w:rsidP="00AA2659">
      <w:pPr>
        <w:spacing w:after="0" w:line="300" w:lineRule="auto"/>
        <w:jc w:val="both"/>
        <w:rPr>
          <w:rStyle w:val="markedcontent"/>
          <w:rFonts w:ascii="Arial" w:hAnsi="Arial" w:cs="Arial"/>
        </w:rPr>
      </w:pPr>
      <w:r w:rsidRPr="00AA2659">
        <w:rPr>
          <w:rStyle w:val="markedcontent"/>
          <w:rFonts w:ascii="Arial" w:hAnsi="Arial" w:cs="Arial"/>
        </w:rPr>
        <w:lastRenderedPageBreak/>
        <w:t>Ustawa wejdzie w życie po upływie 14 dni od dnia ogłoszenia.</w:t>
      </w:r>
    </w:p>
    <w:p w14:paraId="3727580F" w14:textId="77777777" w:rsidR="003A2BD2" w:rsidRPr="00287656" w:rsidRDefault="003A2BD2" w:rsidP="003A2BD2">
      <w:pPr>
        <w:pStyle w:val="Akapitzlist"/>
        <w:spacing w:after="0" w:line="300" w:lineRule="auto"/>
        <w:ind w:left="426"/>
        <w:jc w:val="both"/>
        <w:rPr>
          <w:rStyle w:val="markedcontent"/>
          <w:rFonts w:ascii="Arial" w:eastAsia="Times New Roman" w:hAnsi="Arial" w:cs="Arial"/>
          <w:u w:val="single"/>
          <w:lang w:eastAsia="pl-PL"/>
        </w:rPr>
      </w:pPr>
    </w:p>
    <w:p w14:paraId="6DBAEC94" w14:textId="2320C834" w:rsidR="00AA2659" w:rsidRPr="00AA2659" w:rsidRDefault="00AA2659" w:rsidP="00AA2659">
      <w:pPr>
        <w:pStyle w:val="Akapitzlist"/>
        <w:numPr>
          <w:ilvl w:val="0"/>
          <w:numId w:val="2"/>
        </w:numPr>
        <w:spacing w:after="0" w:line="300" w:lineRule="auto"/>
        <w:ind w:left="426" w:hanging="426"/>
        <w:jc w:val="both"/>
        <w:rPr>
          <w:rStyle w:val="markedcontent"/>
          <w:rFonts w:ascii="Arial" w:eastAsia="Times New Roman" w:hAnsi="Arial" w:cs="Arial"/>
          <w:b/>
          <w:bCs/>
          <w:u w:val="single"/>
          <w:lang w:eastAsia="pl-PL"/>
        </w:rPr>
      </w:pPr>
      <w:r w:rsidRPr="00AA2659">
        <w:rPr>
          <w:rStyle w:val="markedcontent"/>
          <w:rFonts w:ascii="Arial" w:eastAsia="Times New Roman" w:hAnsi="Arial" w:cs="Arial"/>
          <w:b/>
          <w:bCs/>
          <w:u w:val="single"/>
          <w:lang w:eastAsia="pl-PL"/>
        </w:rPr>
        <w:t>Ustawa z dnia 25 lipca 2025 r. o zmianie niektórych ustaw w celu uproszczenia procedur administracyjnych oraz wsparcia przedsiębiorczości</w:t>
      </w:r>
      <w:r>
        <w:rPr>
          <w:rStyle w:val="markedcontent"/>
          <w:rFonts w:ascii="Arial" w:eastAsia="Times New Roman" w:hAnsi="Arial" w:cs="Arial"/>
          <w:b/>
          <w:bCs/>
          <w:u w:val="single"/>
          <w:lang w:eastAsia="pl-PL"/>
        </w:rPr>
        <w:t>.</w:t>
      </w:r>
    </w:p>
    <w:p w14:paraId="4C6431F2" w14:textId="77777777" w:rsidR="00AA2659" w:rsidRPr="00AA2659" w:rsidRDefault="00AA2659" w:rsidP="00AA2659">
      <w:pPr>
        <w:spacing w:after="0" w:line="300" w:lineRule="auto"/>
        <w:jc w:val="both"/>
        <w:rPr>
          <w:rStyle w:val="markedcontent"/>
          <w:rFonts w:ascii="Arial" w:eastAsia="Times New Roman" w:hAnsi="Arial" w:cs="Arial"/>
          <w:lang w:eastAsia="pl-PL"/>
        </w:rPr>
      </w:pPr>
    </w:p>
    <w:p w14:paraId="3D2909F9" w14:textId="24EA58A7" w:rsidR="00AA2659"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Powyższy akt prawny ogłoszony został 25 sierpnia 2025 roku w Dzienniku Ustaw (Dz.U. z 2025, poz. 116</w:t>
      </w:r>
      <w:r>
        <w:rPr>
          <w:rStyle w:val="markedcontent"/>
          <w:rFonts w:ascii="Arial" w:eastAsia="Times New Roman" w:hAnsi="Arial" w:cs="Arial"/>
          <w:lang w:eastAsia="pl-PL"/>
        </w:rPr>
        <w:t>8</w:t>
      </w:r>
      <w:r w:rsidRPr="00AA2659">
        <w:rPr>
          <w:rStyle w:val="markedcontent"/>
          <w:rFonts w:ascii="Arial" w:eastAsia="Times New Roman" w:hAnsi="Arial" w:cs="Arial"/>
          <w:lang w:eastAsia="pl-PL"/>
        </w:rPr>
        <w:t>).</w:t>
      </w:r>
    </w:p>
    <w:p w14:paraId="399BF8A1" w14:textId="77777777" w:rsidR="00AA2659" w:rsidRDefault="00AA2659" w:rsidP="00AA2659">
      <w:pPr>
        <w:spacing w:after="0" w:line="300" w:lineRule="auto"/>
        <w:jc w:val="both"/>
        <w:rPr>
          <w:rStyle w:val="markedcontent"/>
          <w:rFonts w:ascii="Arial" w:eastAsia="Times New Roman" w:hAnsi="Arial" w:cs="Arial"/>
          <w:lang w:eastAsia="pl-PL"/>
        </w:rPr>
      </w:pPr>
    </w:p>
    <w:p w14:paraId="5B309F79" w14:textId="77777777" w:rsidR="004619B2"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 xml:space="preserve">Ustawa z dnia 25 lipca 2025 r. o zmianie niektórych ustaw w celu uproszczenia procedur administracyjnych oraz wsparcia przedsiębiorczości wprowadza zmiany w następujących ustawach: </w:t>
      </w:r>
    </w:p>
    <w:p w14:paraId="2F6F1C13" w14:textId="77777777" w:rsidR="004619B2"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 xml:space="preserve">1) ustawie z dnia 23 lipca 2003 r. o ochronie zabytków i opiece nad zabytkami;  </w:t>
      </w:r>
    </w:p>
    <w:p w14:paraId="6BE78B13" w14:textId="2CCF545C" w:rsidR="004619B2"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 xml:space="preserve">2) ustawie z dnia 16 lutego 2007 r o zapasach ropy naftowej, produktów naftowych i gazu ziemnego oraz zasadach postępowania w sytuacjach zagrożenia bezpieczeństwa paliwowego państwa i zakłóceń na rynku naftowym; </w:t>
      </w:r>
    </w:p>
    <w:p w14:paraId="5EAECBE1" w14:textId="77777777" w:rsidR="004619B2"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 xml:space="preserve">3) ustawie z dnia 7 maja 2009 r. o towarach paczkowanych; </w:t>
      </w:r>
    </w:p>
    <w:p w14:paraId="0C084E25" w14:textId="77777777" w:rsidR="004619B2"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 xml:space="preserve">4) ustawie z dnia 8 marca 2013 r. o środkach ochrony roślin; </w:t>
      </w:r>
    </w:p>
    <w:p w14:paraId="6C5C2A53" w14:textId="77777777" w:rsidR="004619B2"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 xml:space="preserve">5)  ustawie  z dnia 6 marca 2018 r. ‒ Prawo przedsiębiorców. </w:t>
      </w:r>
    </w:p>
    <w:p w14:paraId="2DCD5099" w14:textId="77777777" w:rsidR="004619B2"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 xml:space="preserve">Celem ustawy, jest usunięcie niektórych obowiązków i uproszczenie procedur administracyjnych, co ma przyczynić się do uproszczenia prowadzenia działalności gospodarczej w Polsce. W szczególności ustawa zmierza do wprowadzenia  w określonych przypadkach mechanizmu milczącego załatwienia sprawy co przyczyni się do ograniczenia nadmiernej biurokracji i przyspieszenia procesów decyzyjnych. </w:t>
      </w:r>
    </w:p>
    <w:p w14:paraId="014EB762" w14:textId="77777777" w:rsidR="004619B2"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 xml:space="preserve">Ponadto proponowane regulacje dotyczą wsparcia rozwoju działalności nierejestrowej przez przejście z miesięcznego na kwartalny limit przychodów, co zwiększy elastyczność i dostępność tej formy aktywności gospodarczej.  </w:t>
      </w:r>
    </w:p>
    <w:p w14:paraId="32EDC7CF" w14:textId="77777777" w:rsidR="004619B2"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 xml:space="preserve">Potrzeba powyższych zmian, jak wskazywali projektodawcy w uzasadnieniu do projektu ustawy, wynika z przeprowadzonej analizy obowiązujących regulacji, które w wielu przypadkach nie przystają do obecnych warunków prowadzenia działalności gospodarczej. Zdaniem projektodawców obowiązujące przepisy, tworzą w zidentyfikowanym obszarze bariery prawne i ekonomiczne, szczególnie dotkliwe dla </w:t>
      </w:r>
      <w:proofErr w:type="spellStart"/>
      <w:r w:rsidRPr="00AA2659">
        <w:rPr>
          <w:rStyle w:val="markedcontent"/>
          <w:rFonts w:ascii="Arial" w:eastAsia="Times New Roman" w:hAnsi="Arial" w:cs="Arial"/>
          <w:lang w:eastAsia="pl-PL"/>
        </w:rPr>
        <w:t>mikroprzedsiębiorców</w:t>
      </w:r>
      <w:proofErr w:type="spellEnd"/>
      <w:r w:rsidRPr="00AA2659">
        <w:rPr>
          <w:rStyle w:val="markedcontent"/>
          <w:rFonts w:ascii="Arial" w:eastAsia="Times New Roman" w:hAnsi="Arial" w:cs="Arial"/>
          <w:lang w:eastAsia="pl-PL"/>
        </w:rPr>
        <w:t xml:space="preserve"> i małych firm. </w:t>
      </w:r>
    </w:p>
    <w:p w14:paraId="7D16A5ED" w14:textId="77777777" w:rsidR="004619B2" w:rsidRDefault="004619B2" w:rsidP="00AA2659">
      <w:pPr>
        <w:spacing w:after="0" w:line="300" w:lineRule="auto"/>
        <w:jc w:val="both"/>
        <w:rPr>
          <w:rStyle w:val="markedcontent"/>
          <w:rFonts w:ascii="Arial" w:eastAsia="Times New Roman" w:hAnsi="Arial" w:cs="Arial"/>
          <w:lang w:eastAsia="pl-PL"/>
        </w:rPr>
      </w:pPr>
    </w:p>
    <w:p w14:paraId="5DF2B508" w14:textId="67171F3F" w:rsidR="00AA2659" w:rsidRDefault="00AA2659" w:rsidP="00AA2659">
      <w:pPr>
        <w:spacing w:after="0" w:line="300" w:lineRule="auto"/>
        <w:jc w:val="both"/>
        <w:rPr>
          <w:rStyle w:val="markedcontent"/>
          <w:rFonts w:ascii="Arial" w:eastAsia="Times New Roman" w:hAnsi="Arial" w:cs="Arial"/>
          <w:lang w:eastAsia="pl-PL"/>
        </w:rPr>
      </w:pPr>
      <w:r w:rsidRPr="00AA2659">
        <w:rPr>
          <w:rStyle w:val="markedcontent"/>
          <w:rFonts w:ascii="Arial" w:eastAsia="Times New Roman" w:hAnsi="Arial" w:cs="Arial"/>
          <w:lang w:eastAsia="pl-PL"/>
        </w:rPr>
        <w:t>Ustawa wejdzie w życie po upływie 6 miesięcy od dnia ogłoszenia, z wyjątkiem art. 5 (zmiany w ustawie – Prawo przedsiębiorców), który wejdzie w życie z dniem 1 stycznia 2026 r.</w:t>
      </w:r>
    </w:p>
    <w:p w14:paraId="77F4568F" w14:textId="77777777" w:rsidR="00AA2659" w:rsidRPr="00AA2659" w:rsidRDefault="00AA2659" w:rsidP="00AA2659">
      <w:pPr>
        <w:spacing w:after="0" w:line="300" w:lineRule="auto"/>
        <w:jc w:val="both"/>
        <w:rPr>
          <w:rStyle w:val="markedcontent"/>
          <w:rFonts w:ascii="Arial" w:eastAsia="Times New Roman" w:hAnsi="Arial" w:cs="Arial"/>
          <w:lang w:eastAsia="pl-PL"/>
        </w:rPr>
      </w:pPr>
    </w:p>
    <w:p w14:paraId="5620BF04" w14:textId="6571A48C" w:rsidR="00AA2659" w:rsidRPr="004619B2" w:rsidRDefault="004619B2" w:rsidP="003A2BD2">
      <w:pPr>
        <w:pStyle w:val="Akapitzlist"/>
        <w:numPr>
          <w:ilvl w:val="0"/>
          <w:numId w:val="2"/>
        </w:numPr>
        <w:spacing w:after="0" w:line="300" w:lineRule="auto"/>
        <w:ind w:left="426" w:hanging="426"/>
        <w:jc w:val="both"/>
        <w:rPr>
          <w:rStyle w:val="markedcontent"/>
          <w:rFonts w:ascii="Arial" w:eastAsia="Times New Roman" w:hAnsi="Arial" w:cs="Arial"/>
          <w:b/>
          <w:bCs/>
          <w:u w:val="single"/>
          <w:lang w:eastAsia="pl-PL"/>
        </w:rPr>
      </w:pPr>
      <w:r w:rsidRPr="004619B2">
        <w:rPr>
          <w:rStyle w:val="markedcontent"/>
          <w:rFonts w:ascii="Arial" w:eastAsia="Times New Roman" w:hAnsi="Arial" w:cs="Arial"/>
          <w:b/>
          <w:bCs/>
          <w:u w:val="single"/>
          <w:lang w:eastAsia="pl-PL"/>
        </w:rPr>
        <w:t>Ustawa z dnia 5 sierpnia 2025 r. o zmianie ustawy – Prawo bankowe oraz niektórych innych ustaw</w:t>
      </w:r>
      <w:r w:rsidRPr="004619B2">
        <w:rPr>
          <w:rStyle w:val="markedcontent"/>
          <w:rFonts w:ascii="Arial" w:eastAsia="Times New Roman" w:hAnsi="Arial" w:cs="Arial"/>
          <w:b/>
          <w:bCs/>
          <w:u w:val="single"/>
          <w:lang w:eastAsia="pl-PL"/>
        </w:rPr>
        <w:t>.</w:t>
      </w:r>
    </w:p>
    <w:p w14:paraId="50CDB403" w14:textId="77777777" w:rsidR="00AA2659" w:rsidRPr="00AA2659" w:rsidRDefault="00AA2659" w:rsidP="00AA2659">
      <w:pPr>
        <w:spacing w:after="0" w:line="300" w:lineRule="auto"/>
        <w:jc w:val="both"/>
        <w:rPr>
          <w:rStyle w:val="markedcontent"/>
          <w:rFonts w:ascii="Arial" w:eastAsia="Times New Roman" w:hAnsi="Arial" w:cs="Arial"/>
          <w:lang w:eastAsia="pl-PL"/>
        </w:rPr>
      </w:pPr>
    </w:p>
    <w:p w14:paraId="6751AB60" w14:textId="0A00E989" w:rsidR="00AA2659" w:rsidRDefault="004619B2" w:rsidP="00AA2659">
      <w:pPr>
        <w:spacing w:after="0" w:line="300" w:lineRule="auto"/>
        <w:jc w:val="both"/>
        <w:rPr>
          <w:rStyle w:val="markedcontent"/>
          <w:rFonts w:ascii="Arial" w:eastAsia="Times New Roman" w:hAnsi="Arial" w:cs="Arial"/>
          <w:lang w:eastAsia="pl-PL"/>
        </w:rPr>
      </w:pPr>
      <w:r w:rsidRPr="004619B2">
        <w:rPr>
          <w:rStyle w:val="markedcontent"/>
          <w:rFonts w:ascii="Arial" w:eastAsia="Times New Roman" w:hAnsi="Arial" w:cs="Arial"/>
          <w:lang w:eastAsia="pl-PL"/>
        </w:rPr>
        <w:t>Powyższy akt prawny ogłoszony został 25 sierpnia 2025 roku w Dzienniku Ustaw (Dz.U. z 2025, poz. 11</w:t>
      </w:r>
      <w:r>
        <w:rPr>
          <w:rStyle w:val="markedcontent"/>
          <w:rFonts w:ascii="Arial" w:eastAsia="Times New Roman" w:hAnsi="Arial" w:cs="Arial"/>
          <w:lang w:eastAsia="pl-PL"/>
        </w:rPr>
        <w:t>70</w:t>
      </w:r>
      <w:r w:rsidRPr="004619B2">
        <w:rPr>
          <w:rStyle w:val="markedcontent"/>
          <w:rFonts w:ascii="Arial" w:eastAsia="Times New Roman" w:hAnsi="Arial" w:cs="Arial"/>
          <w:lang w:eastAsia="pl-PL"/>
        </w:rPr>
        <w:t>).</w:t>
      </w:r>
    </w:p>
    <w:p w14:paraId="4483CD17" w14:textId="77777777" w:rsidR="004619B2" w:rsidRDefault="004619B2" w:rsidP="00AA2659">
      <w:pPr>
        <w:spacing w:after="0" w:line="300" w:lineRule="auto"/>
        <w:jc w:val="both"/>
        <w:rPr>
          <w:rStyle w:val="markedcontent"/>
          <w:rFonts w:ascii="Arial" w:eastAsia="Times New Roman" w:hAnsi="Arial" w:cs="Arial"/>
          <w:lang w:eastAsia="pl-PL"/>
        </w:rPr>
      </w:pPr>
    </w:p>
    <w:p w14:paraId="1CC23901" w14:textId="77777777"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 xml:space="preserve">Ustawa z dnia 5 sierpnia 2025 r. o zmianie ustawy – Prawo bankowe oraz niektórych innych ustaw dokonuje zmian w:  </w:t>
      </w:r>
    </w:p>
    <w:p w14:paraId="56E97C8B" w14:textId="77777777"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lastRenderedPageBreak/>
        <w:t xml:space="preserve">1) ustawie z dnia 29 sierpnia 1997 r. – Prawo bankowe, które polegają na wprowadzeniu podstawy prawnej umożliwiającej bankom udzielanie informacji stanowiących tajemnicę bankową: </w:t>
      </w:r>
    </w:p>
    <w:p w14:paraId="59706AE6" w14:textId="77777777"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 xml:space="preserve">– syndykowi, w zakresie niezbędnym do wykonywania czynności w postępowaniu upadłościowym, </w:t>
      </w:r>
    </w:p>
    <w:p w14:paraId="5183BC95" w14:textId="77777777"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 xml:space="preserve">– nadzorcy sądowemu albo zarządcy, w zakresie niezbędnym do wykonywania czynności w postępowaniu restrukturyzacyjnym, </w:t>
      </w:r>
    </w:p>
    <w:p w14:paraId="384ED4D5" w14:textId="77777777"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 xml:space="preserve">– tymczasowemu nadzorcy sądowemu w zakresie niezbędnym do wykonywania czynności w postępowaniu w przedmiocie ogłoszenia upadłości podmiotu; </w:t>
      </w:r>
    </w:p>
    <w:p w14:paraId="7F4661DE" w14:textId="77777777"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2) ustawie z dnia 5 listopada 2009 r. o spółdzielczych kasach oszczędnościowo</w:t>
      </w:r>
      <w:r>
        <w:rPr>
          <w:rStyle w:val="markedcontent"/>
          <w:rFonts w:ascii="Arial" w:eastAsia="Times New Roman" w:hAnsi="Arial" w:cs="Arial"/>
          <w:lang w:eastAsia="pl-PL"/>
        </w:rPr>
        <w:t>-</w:t>
      </w:r>
      <w:r w:rsidRPr="00615EF7">
        <w:rPr>
          <w:rStyle w:val="markedcontent"/>
          <w:rFonts w:ascii="Arial" w:eastAsia="Times New Roman" w:hAnsi="Arial" w:cs="Arial"/>
          <w:lang w:eastAsia="pl-PL"/>
        </w:rPr>
        <w:t xml:space="preserve">kredytowych, które polegają na wprowadzeniu podstawy prawnej umożliwiającej spółdzielczym kasom oszczędnościowo-kredytowym udzielanie informacji stanowiących tajemnicę zawodową:  </w:t>
      </w:r>
    </w:p>
    <w:p w14:paraId="19C892FB" w14:textId="77777777"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 xml:space="preserve">– syndykowi, w zakresie niezbędnym do wykonywania czynności w postępowaniu upadłościowym, </w:t>
      </w:r>
    </w:p>
    <w:p w14:paraId="350D7182" w14:textId="77777777"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 xml:space="preserve">– nadzorcy sądowemu albo zarządcy, w zakresie niezbędnym do wykonywania czynności w postępowaniu restrukturyzacyjnym, </w:t>
      </w:r>
    </w:p>
    <w:p w14:paraId="386E3C70" w14:textId="77777777"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 xml:space="preserve">– tymczasowemu nadzorcy sądowemu w zakresie niezbędnym do wykonywania czynności w postępowaniu w przedmiocie ogłoszenia upadłości podmiotu; </w:t>
      </w:r>
    </w:p>
    <w:p w14:paraId="185F2983" w14:textId="77777777" w:rsidR="00615EF7" w:rsidRDefault="00615EF7" w:rsidP="00AA2659">
      <w:pPr>
        <w:spacing w:after="0" w:line="300" w:lineRule="auto"/>
        <w:jc w:val="both"/>
        <w:rPr>
          <w:rStyle w:val="markedcontent"/>
          <w:rFonts w:ascii="Arial" w:eastAsia="Times New Roman" w:hAnsi="Arial" w:cs="Arial"/>
          <w:lang w:eastAsia="pl-PL"/>
        </w:rPr>
      </w:pPr>
      <w:r>
        <w:rPr>
          <w:rStyle w:val="markedcontent"/>
          <w:rFonts w:ascii="Arial" w:eastAsia="Times New Roman" w:hAnsi="Arial" w:cs="Arial"/>
          <w:lang w:eastAsia="pl-PL"/>
        </w:rPr>
        <w:t>3</w:t>
      </w:r>
      <w:r w:rsidRPr="00615EF7">
        <w:rPr>
          <w:rStyle w:val="markedcontent"/>
          <w:rFonts w:ascii="Arial" w:eastAsia="Times New Roman" w:hAnsi="Arial" w:cs="Arial"/>
          <w:lang w:eastAsia="pl-PL"/>
        </w:rPr>
        <w:t xml:space="preserve">) ustawie z dnia 28 lutego 2003 r. – Prawo upadłościowe, które polegają na zobowiązaniu, spółdzielczych kas oszczędnościowo-kredytowych, które prowadzą rachunki upadłego, do zawiadomienia, po obwieszczeniu postanowienia o ogłoszeniu upadłości, o tym syndyka (dotychczas do zawiadomienia syndyka zobowiązane były tylko banki, w których upadły miał rachunki bankowe, sejfy lub skrytki); </w:t>
      </w:r>
    </w:p>
    <w:p w14:paraId="3EA4A19F" w14:textId="4C5AB942" w:rsidR="00615EF7" w:rsidRDefault="00615EF7" w:rsidP="00AA2659">
      <w:pPr>
        <w:spacing w:after="0" w:line="300" w:lineRule="auto"/>
        <w:jc w:val="both"/>
        <w:rPr>
          <w:rStyle w:val="markedcontent"/>
          <w:rFonts w:ascii="Arial" w:eastAsia="Times New Roman" w:hAnsi="Arial" w:cs="Arial"/>
          <w:lang w:eastAsia="pl-PL"/>
        </w:rPr>
      </w:pPr>
      <w:r>
        <w:rPr>
          <w:rStyle w:val="markedcontent"/>
          <w:rFonts w:ascii="Arial" w:eastAsia="Times New Roman" w:hAnsi="Arial" w:cs="Arial"/>
          <w:lang w:eastAsia="pl-PL"/>
        </w:rPr>
        <w:t>4</w:t>
      </w:r>
      <w:r w:rsidRPr="00615EF7">
        <w:rPr>
          <w:rStyle w:val="markedcontent"/>
          <w:rFonts w:ascii="Arial" w:eastAsia="Times New Roman" w:hAnsi="Arial" w:cs="Arial"/>
          <w:lang w:eastAsia="pl-PL"/>
        </w:rPr>
        <w:t>) ustawie z dnia 15 maja 2015 r. – Prawo restrukturyzacyjne, które polegają na zobowiązaniu banków, w których dłużnik ma rachunki bankowe, sejfy lub skrytki oraz spółdzielczych kas oszczędnościowo-kredytowych, które prowadzą rachunki dłużnika,</w:t>
      </w:r>
      <w:r>
        <w:rPr>
          <w:rStyle w:val="markedcontent"/>
          <w:rFonts w:ascii="Arial" w:eastAsia="Times New Roman" w:hAnsi="Arial" w:cs="Arial"/>
          <w:lang w:eastAsia="pl-PL"/>
        </w:rPr>
        <w:t xml:space="preserve"> </w:t>
      </w:r>
      <w:r w:rsidRPr="00615EF7">
        <w:rPr>
          <w:rStyle w:val="markedcontent"/>
          <w:rFonts w:ascii="Arial" w:eastAsia="Times New Roman" w:hAnsi="Arial" w:cs="Arial"/>
          <w:lang w:eastAsia="pl-PL"/>
        </w:rPr>
        <w:t>do</w:t>
      </w:r>
      <w:r>
        <w:rPr>
          <w:rStyle w:val="markedcontent"/>
          <w:rFonts w:ascii="Arial" w:eastAsia="Times New Roman" w:hAnsi="Arial" w:cs="Arial"/>
          <w:lang w:eastAsia="pl-PL"/>
        </w:rPr>
        <w:t xml:space="preserve"> </w:t>
      </w:r>
      <w:r w:rsidRPr="00615EF7">
        <w:rPr>
          <w:rStyle w:val="markedcontent"/>
          <w:rFonts w:ascii="Arial" w:eastAsia="Times New Roman" w:hAnsi="Arial" w:cs="Arial"/>
          <w:lang w:eastAsia="pl-PL"/>
        </w:rPr>
        <w:t>zawiadomienia, po obwieszczeniu postanowienia o otwarciu postępowania</w:t>
      </w:r>
      <w:r w:rsidRPr="00615EF7">
        <w:rPr>
          <w:rStyle w:val="markedcontent"/>
          <w:rFonts w:ascii="Arial" w:eastAsia="Times New Roman" w:hAnsi="Arial" w:cs="Arial"/>
          <w:lang w:eastAsia="pl-PL"/>
        </w:rPr>
        <w:t xml:space="preserve"> </w:t>
      </w:r>
      <w:r w:rsidRPr="00615EF7">
        <w:rPr>
          <w:rStyle w:val="markedcontent"/>
          <w:rFonts w:ascii="Arial" w:eastAsia="Times New Roman" w:hAnsi="Arial" w:cs="Arial"/>
          <w:lang w:eastAsia="pl-PL"/>
        </w:rPr>
        <w:t xml:space="preserve">restrukturyzacyjnego, o tym nadzorcy sądowego albo zarządcy. </w:t>
      </w:r>
    </w:p>
    <w:p w14:paraId="278F7128" w14:textId="15C84250" w:rsidR="00615EF7"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 xml:space="preserve">Ustawa zawiera przepis przejściowy, zgodnie z którym do postępowań upadłościowych oraz postępowań restrukturyzacyjnych, wszczętych i niezakończonych przed dniem wejścia w życie niniejszej ustawy, będą stosowane przepisy dotychczasowe. </w:t>
      </w:r>
    </w:p>
    <w:p w14:paraId="7F196152" w14:textId="77777777" w:rsidR="00615EF7" w:rsidRDefault="00615EF7" w:rsidP="00AA2659">
      <w:pPr>
        <w:spacing w:after="0" w:line="300" w:lineRule="auto"/>
        <w:jc w:val="both"/>
        <w:rPr>
          <w:rStyle w:val="markedcontent"/>
          <w:rFonts w:ascii="Arial" w:eastAsia="Times New Roman" w:hAnsi="Arial" w:cs="Arial"/>
          <w:lang w:eastAsia="pl-PL"/>
        </w:rPr>
      </w:pPr>
    </w:p>
    <w:p w14:paraId="6902D67D" w14:textId="44F4D197" w:rsidR="004619B2" w:rsidRPr="00AA2659" w:rsidRDefault="00615EF7" w:rsidP="00AA2659">
      <w:pPr>
        <w:spacing w:after="0" w:line="300" w:lineRule="auto"/>
        <w:jc w:val="both"/>
        <w:rPr>
          <w:rStyle w:val="markedcontent"/>
          <w:rFonts w:ascii="Arial" w:eastAsia="Times New Roman" w:hAnsi="Arial" w:cs="Arial"/>
          <w:lang w:eastAsia="pl-PL"/>
        </w:rPr>
      </w:pPr>
      <w:r w:rsidRPr="00615EF7">
        <w:rPr>
          <w:rStyle w:val="markedcontent"/>
          <w:rFonts w:ascii="Arial" w:eastAsia="Times New Roman" w:hAnsi="Arial" w:cs="Arial"/>
          <w:lang w:eastAsia="pl-PL"/>
        </w:rPr>
        <w:t>Ustawa wejdzie w życie po upływie 14 dni od dnia ogłoszenia.</w:t>
      </w:r>
    </w:p>
    <w:p w14:paraId="7FC05CB9" w14:textId="77777777" w:rsidR="00AA2659" w:rsidRPr="00AA2659" w:rsidRDefault="00AA2659" w:rsidP="00AA2659">
      <w:pPr>
        <w:spacing w:after="0" w:line="300" w:lineRule="auto"/>
        <w:jc w:val="both"/>
        <w:rPr>
          <w:rStyle w:val="markedcontent"/>
          <w:rFonts w:ascii="Arial" w:eastAsia="Times New Roman" w:hAnsi="Arial" w:cs="Arial"/>
          <w:lang w:eastAsia="pl-PL"/>
        </w:rPr>
      </w:pPr>
    </w:p>
    <w:p w14:paraId="370550AA" w14:textId="7EDCF83C" w:rsidR="00AA2659" w:rsidRPr="00745B22" w:rsidRDefault="00745B22" w:rsidP="003A2BD2">
      <w:pPr>
        <w:pStyle w:val="Akapitzlist"/>
        <w:numPr>
          <w:ilvl w:val="0"/>
          <w:numId w:val="2"/>
        </w:numPr>
        <w:spacing w:after="0" w:line="300" w:lineRule="auto"/>
        <w:ind w:left="426" w:hanging="426"/>
        <w:jc w:val="both"/>
        <w:rPr>
          <w:rStyle w:val="markedcontent"/>
          <w:rFonts w:ascii="Arial" w:eastAsia="Times New Roman" w:hAnsi="Arial" w:cs="Arial"/>
          <w:b/>
          <w:bCs/>
          <w:u w:val="single"/>
          <w:lang w:eastAsia="pl-PL"/>
        </w:rPr>
      </w:pPr>
      <w:r w:rsidRPr="00745B22">
        <w:rPr>
          <w:rStyle w:val="markedcontent"/>
          <w:rFonts w:ascii="Arial" w:eastAsia="Times New Roman" w:hAnsi="Arial" w:cs="Arial"/>
          <w:b/>
          <w:bCs/>
          <w:u w:val="single"/>
          <w:lang w:eastAsia="pl-PL"/>
        </w:rPr>
        <w:t>Ustawa z dnia 25 lipca 2025 r. o zmianie ustawy – Prawo zamówień publicznych oraz niektórych innych ustaw</w:t>
      </w:r>
      <w:r w:rsidRPr="00745B22">
        <w:rPr>
          <w:rStyle w:val="markedcontent"/>
          <w:rFonts w:ascii="Arial" w:eastAsia="Times New Roman" w:hAnsi="Arial" w:cs="Arial"/>
          <w:b/>
          <w:bCs/>
          <w:u w:val="single"/>
          <w:lang w:eastAsia="pl-PL"/>
        </w:rPr>
        <w:t>.</w:t>
      </w:r>
    </w:p>
    <w:p w14:paraId="63782080" w14:textId="77777777" w:rsidR="00CD7982" w:rsidRPr="00CD7982" w:rsidRDefault="00CD7982" w:rsidP="00CD7982">
      <w:pPr>
        <w:spacing w:after="0" w:line="300" w:lineRule="auto"/>
        <w:jc w:val="both"/>
        <w:rPr>
          <w:rStyle w:val="markedcontent"/>
          <w:rFonts w:ascii="Arial" w:eastAsia="Times New Roman" w:hAnsi="Arial" w:cs="Arial"/>
          <w:lang w:eastAsia="pl-PL"/>
        </w:rPr>
      </w:pPr>
    </w:p>
    <w:p w14:paraId="52C19763" w14:textId="1EE5950F" w:rsidR="00CD7982" w:rsidRPr="00CD798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Powyższy akt prawny ogłoszony został 2</w:t>
      </w:r>
      <w:r>
        <w:rPr>
          <w:rStyle w:val="markedcontent"/>
          <w:rFonts w:ascii="Arial" w:eastAsia="Times New Roman" w:hAnsi="Arial" w:cs="Arial"/>
          <w:lang w:eastAsia="pl-PL"/>
        </w:rPr>
        <w:t>6</w:t>
      </w:r>
      <w:r w:rsidRPr="00745B22">
        <w:rPr>
          <w:rStyle w:val="markedcontent"/>
          <w:rFonts w:ascii="Arial" w:eastAsia="Times New Roman" w:hAnsi="Arial" w:cs="Arial"/>
          <w:lang w:eastAsia="pl-PL"/>
        </w:rPr>
        <w:t xml:space="preserve"> sierpnia 2025 roku w Dzienniku Ustaw (Dz.U. z 2025, poz. 117</w:t>
      </w:r>
      <w:r>
        <w:rPr>
          <w:rStyle w:val="markedcontent"/>
          <w:rFonts w:ascii="Arial" w:eastAsia="Times New Roman" w:hAnsi="Arial" w:cs="Arial"/>
          <w:lang w:eastAsia="pl-PL"/>
        </w:rPr>
        <w:t>3</w:t>
      </w:r>
      <w:r w:rsidRPr="00745B22">
        <w:rPr>
          <w:rStyle w:val="markedcontent"/>
          <w:rFonts w:ascii="Arial" w:eastAsia="Times New Roman" w:hAnsi="Arial" w:cs="Arial"/>
          <w:lang w:eastAsia="pl-PL"/>
        </w:rPr>
        <w:t>).</w:t>
      </w:r>
    </w:p>
    <w:p w14:paraId="21AB9B9F" w14:textId="77777777" w:rsidR="00CD7982" w:rsidRPr="00CD7982" w:rsidRDefault="00CD7982" w:rsidP="00CD7982">
      <w:pPr>
        <w:spacing w:after="0" w:line="300" w:lineRule="auto"/>
        <w:jc w:val="both"/>
        <w:rPr>
          <w:rStyle w:val="markedcontent"/>
          <w:rFonts w:ascii="Arial" w:eastAsia="Times New Roman" w:hAnsi="Arial" w:cs="Arial"/>
          <w:lang w:eastAsia="pl-PL"/>
        </w:rPr>
      </w:pPr>
    </w:p>
    <w:p w14:paraId="3E208108"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Ustawa z dnia 25 lipca 2025 r. o zmianie ustawy – Prawo zamówień publicznych oraz niektórych innych ustaw podwyższa określony w ustawie z dnia 11 września 2019 r. – Prawo zamówień publicznych, zwanej dalej „ustawą PZP”, próg, od którego zamawiający są obowiązani stosować się do przepisów tej ustawy przy udzielaniu zamówień oraz </w:t>
      </w:r>
      <w:r w:rsidRPr="00745B22">
        <w:rPr>
          <w:rStyle w:val="markedcontent"/>
          <w:rFonts w:ascii="Arial" w:eastAsia="Times New Roman" w:hAnsi="Arial" w:cs="Arial"/>
          <w:lang w:eastAsia="pl-PL"/>
        </w:rPr>
        <w:lastRenderedPageBreak/>
        <w:t xml:space="preserve">organizowaniu konkursów oraz podwyższa próg określony w ustawie z dnia 21 października 2016 r. o umowie koncesji na roboty budowlane lub usługi, zwanej dalej „ustawą o umowie koncesji” od którego zamawiający są obowiązani stosować się do przepisów tej ustawy przy zawieraniu umowy koncesji.  </w:t>
      </w:r>
    </w:p>
    <w:p w14:paraId="0ADF5549"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W obowiązującym stanie prawnym, minimalny próg stosowania ustawy PZP oraz próg, od którego stosuje się przepisy ustawy o umowie koncesji, jest określony na poziomie 130 000 zł. Ustawa PZP stanowi w art. 2 ust. 2 pkt 1, że przepisy ustawy stosuje się do udzielania zamówień klasycznych oraz organizowania konkursów, których wartość jest równa lub przekracza kwotę 130 000 zł, przez zamawiających publicznych. Natomiast zgodnie z art. 4 ustawy o umowie koncesji przepisy ustawy stosuje się do umów koncesji, których szacunkowa wartość jest równa lub przekracza kwotę 130 000 złotych.  </w:t>
      </w:r>
    </w:p>
    <w:p w14:paraId="4D0FF361"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Ustawa z dnia 25 lipca 2025 r. o zmianie ustawy – Prawo zamówień publicznych oraz niektórych innych ustaw podwyższa te progi do poziomu 170 000 zł. </w:t>
      </w:r>
    </w:p>
    <w:p w14:paraId="296B5584" w14:textId="34D7922F" w:rsidR="00CD798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Jak wynika z uzasadnienia do uchwalonej ustawy potrzeba podwyższenia progu z poziomu 130 000 zł do poziomu 170 000 zł podyktowana jest znacznymi zmianami cen towarów i usług na przestrzeni ostatnich lat, w konsekwencji zaś wzrostem kosztów realizacji robót budowlanych, dostaw i usług. Jak wskazuje projektodawca w uzasadnieniu do uchwalonej ustawy ,,samo ustalenie właściwego poziomu nowego progu kwotowego stosowania ustawy PZP oraz stosowania ustawy o koncesji, stanowi wynik współpracy podjętej w przez Prezesa Urzędu Zamówień Publicznych oraz Prezesa Głównego Urzędu Statystycznego. Wypracowano kilka wariantów rozwiązań dotyczących ustalenia wskaźnika zmiany cen łącznie dla produktów (dóbr i usług), towarów i materiałów będących przedmiotem zamówień publicznych o wartości od 130 000 złotych, w okresie od 2021 r. do 2024 r., z uwzględnieniem dostępnych danych za 2025 r., czego efektem jest propozycja podwyższenia minimalnego progu stosowania ustawy do kwoty 170 000 złotych”.</w:t>
      </w:r>
    </w:p>
    <w:p w14:paraId="1C75F25A"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Ponadto w ustawie PZP dodaje się przepis nakładający na zamawiającego w zakresie rozeznania rynku obowiązku badania wpływu planowanego zamówienia na konkurencyjność, w ramach obowiązującej obecnie analizy potrzeb i wymagań, oraz dodaje się przepis zgodnie z którym, w przypadku konkurencyjnych trybów udzielania zamówień, zamawiający w analizie potrzeb i wymagań, opracowywanej jeszcze przed wszczęciem postępowania o udzielenie zamówienia, będzie wskazywał, jak planuje ukształtować warunki zamówienia, aby podnieść konkurencyjność danego postępowania. </w:t>
      </w:r>
    </w:p>
    <w:p w14:paraId="5088E0D4"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Konsekwencją podniesienia progu stosowania ustawy PZP do zamówień klasycznych i konkursów, jest konieczność wprowadzenia zmian w: </w:t>
      </w:r>
    </w:p>
    <w:p w14:paraId="04585618"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1) ustawie z dnia 14 lipca 1983 r. o narodowym zasobie archiwalnym i archiwach; </w:t>
      </w:r>
    </w:p>
    <w:p w14:paraId="26A5ABE4"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2) ustawie z dnia 25 października 1991 r. o organizowaniu i prowadzeniu działalności kulturalnej; </w:t>
      </w:r>
    </w:p>
    <w:p w14:paraId="2CAA67E8"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3)  ustawie z dnia 20 października 1994 r. o specjalnych strefach ekonomicznych; </w:t>
      </w:r>
    </w:p>
    <w:p w14:paraId="4243A2FD"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4)  ustawę z dnia 16 grudnia 2010 r. o publicznym transporcie zbiorowym.  </w:t>
      </w:r>
    </w:p>
    <w:p w14:paraId="5BB903F8" w14:textId="77777777" w:rsidR="00745B2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t xml:space="preserve">Uchwalona ustawa zawiera w art. 7–10 przepisy przejściowe związane z wprowadzonymi zmianami. Określono w nich, że do postępowań i konkursów w toku, umów zawartych przed dniem wejścia w życie ustawy oraz umów zawartych po dniu 31 grudnia 2025 r., w następstwie postępowań wszczętych przed dniem wejścia w życie ustawy, zastosowanie będą miały przepisy dotychczasowe. </w:t>
      </w:r>
    </w:p>
    <w:p w14:paraId="389A01C7" w14:textId="37D0AE3C" w:rsidR="00745B22" w:rsidRPr="00CD7982" w:rsidRDefault="00745B22" w:rsidP="00CD7982">
      <w:pPr>
        <w:spacing w:after="0" w:line="300" w:lineRule="auto"/>
        <w:jc w:val="both"/>
        <w:rPr>
          <w:rStyle w:val="markedcontent"/>
          <w:rFonts w:ascii="Arial" w:eastAsia="Times New Roman" w:hAnsi="Arial" w:cs="Arial"/>
          <w:lang w:eastAsia="pl-PL"/>
        </w:rPr>
      </w:pPr>
      <w:r w:rsidRPr="00745B22">
        <w:rPr>
          <w:rStyle w:val="markedcontent"/>
          <w:rFonts w:ascii="Arial" w:eastAsia="Times New Roman" w:hAnsi="Arial" w:cs="Arial"/>
          <w:lang w:eastAsia="pl-PL"/>
        </w:rPr>
        <w:lastRenderedPageBreak/>
        <w:t xml:space="preserve">Ustawa wejdzie w życie z dniem 1 stycznia 2026 r.  </w:t>
      </w:r>
    </w:p>
    <w:p w14:paraId="78690027" w14:textId="77777777" w:rsidR="00CD7982" w:rsidRPr="00CD7982" w:rsidRDefault="00CD7982" w:rsidP="00CD7982">
      <w:pPr>
        <w:spacing w:after="0" w:line="300" w:lineRule="auto"/>
        <w:jc w:val="both"/>
        <w:rPr>
          <w:rStyle w:val="markedcontent"/>
          <w:rFonts w:ascii="Arial" w:eastAsia="Times New Roman" w:hAnsi="Arial" w:cs="Arial"/>
          <w:lang w:eastAsia="pl-PL"/>
        </w:rPr>
      </w:pPr>
    </w:p>
    <w:p w14:paraId="5F4C5543" w14:textId="45EB6F4A" w:rsidR="00CD7982" w:rsidRPr="000976BD" w:rsidRDefault="000976BD" w:rsidP="003A2BD2">
      <w:pPr>
        <w:pStyle w:val="Akapitzlist"/>
        <w:numPr>
          <w:ilvl w:val="0"/>
          <w:numId w:val="2"/>
        </w:numPr>
        <w:spacing w:after="0" w:line="300" w:lineRule="auto"/>
        <w:ind w:left="426" w:hanging="426"/>
        <w:jc w:val="both"/>
        <w:rPr>
          <w:rStyle w:val="markedcontent"/>
          <w:rFonts w:ascii="Arial" w:eastAsia="Times New Roman" w:hAnsi="Arial" w:cs="Arial"/>
          <w:b/>
          <w:bCs/>
          <w:u w:val="single"/>
          <w:lang w:eastAsia="pl-PL"/>
        </w:rPr>
      </w:pPr>
      <w:r w:rsidRPr="000976BD">
        <w:rPr>
          <w:rStyle w:val="markedcontent"/>
          <w:rFonts w:ascii="Arial" w:eastAsia="Times New Roman" w:hAnsi="Arial" w:cs="Arial"/>
          <w:b/>
          <w:bCs/>
          <w:u w:val="single"/>
          <w:lang w:eastAsia="pl-PL"/>
        </w:rPr>
        <w:t>Ustawa z dnia 25 lipca 2025 r. o zmianie ustawy – Prawo bankowe oraz niektórych innych ustaw</w:t>
      </w:r>
      <w:r w:rsidRPr="000976BD">
        <w:rPr>
          <w:rStyle w:val="markedcontent"/>
          <w:rFonts w:ascii="Arial" w:eastAsia="Times New Roman" w:hAnsi="Arial" w:cs="Arial"/>
          <w:b/>
          <w:bCs/>
          <w:u w:val="single"/>
          <w:lang w:eastAsia="pl-PL"/>
        </w:rPr>
        <w:t>.</w:t>
      </w:r>
    </w:p>
    <w:p w14:paraId="67BDB872" w14:textId="77777777" w:rsidR="000976BD" w:rsidRPr="000976BD" w:rsidRDefault="000976BD" w:rsidP="000976BD">
      <w:pPr>
        <w:spacing w:after="0" w:line="300" w:lineRule="auto"/>
        <w:jc w:val="both"/>
        <w:rPr>
          <w:rStyle w:val="markedcontent"/>
          <w:rFonts w:ascii="Arial" w:eastAsia="Times New Roman" w:hAnsi="Arial" w:cs="Arial"/>
          <w:lang w:eastAsia="pl-PL"/>
        </w:rPr>
      </w:pPr>
    </w:p>
    <w:p w14:paraId="349262A0" w14:textId="4AF241D1" w:rsidR="000976BD" w:rsidRDefault="000976BD" w:rsidP="000976BD">
      <w:pPr>
        <w:spacing w:after="0" w:line="300" w:lineRule="auto"/>
        <w:jc w:val="both"/>
        <w:rPr>
          <w:rStyle w:val="markedcontent"/>
          <w:rFonts w:ascii="Arial" w:eastAsia="Times New Roman" w:hAnsi="Arial" w:cs="Arial"/>
          <w:lang w:eastAsia="pl-PL"/>
        </w:rPr>
      </w:pPr>
      <w:r w:rsidRPr="000976BD">
        <w:rPr>
          <w:rStyle w:val="markedcontent"/>
          <w:rFonts w:ascii="Arial" w:eastAsia="Times New Roman" w:hAnsi="Arial" w:cs="Arial"/>
          <w:lang w:eastAsia="pl-PL"/>
        </w:rPr>
        <w:t>Powyższy akt prawny ogłoszony został 2</w:t>
      </w:r>
      <w:r>
        <w:rPr>
          <w:rStyle w:val="markedcontent"/>
          <w:rFonts w:ascii="Arial" w:eastAsia="Times New Roman" w:hAnsi="Arial" w:cs="Arial"/>
          <w:lang w:eastAsia="pl-PL"/>
        </w:rPr>
        <w:t>8</w:t>
      </w:r>
      <w:r w:rsidRPr="000976BD">
        <w:rPr>
          <w:rStyle w:val="markedcontent"/>
          <w:rFonts w:ascii="Arial" w:eastAsia="Times New Roman" w:hAnsi="Arial" w:cs="Arial"/>
          <w:lang w:eastAsia="pl-PL"/>
        </w:rPr>
        <w:t xml:space="preserve"> sierpnia 2025 roku w Dzienniku Ustaw (Dz.U. z 2025, poz. 11</w:t>
      </w:r>
      <w:r>
        <w:rPr>
          <w:rStyle w:val="markedcontent"/>
          <w:rFonts w:ascii="Arial" w:eastAsia="Times New Roman" w:hAnsi="Arial" w:cs="Arial"/>
          <w:lang w:eastAsia="pl-PL"/>
        </w:rPr>
        <w:t>91</w:t>
      </w:r>
      <w:r w:rsidRPr="000976BD">
        <w:rPr>
          <w:rStyle w:val="markedcontent"/>
          <w:rFonts w:ascii="Arial" w:eastAsia="Times New Roman" w:hAnsi="Arial" w:cs="Arial"/>
          <w:lang w:eastAsia="pl-PL"/>
        </w:rPr>
        <w:t>).</w:t>
      </w:r>
    </w:p>
    <w:p w14:paraId="3814EC89" w14:textId="77777777" w:rsidR="000976BD" w:rsidRDefault="000976BD" w:rsidP="000976BD">
      <w:pPr>
        <w:spacing w:after="0" w:line="300" w:lineRule="auto"/>
        <w:jc w:val="both"/>
        <w:rPr>
          <w:rStyle w:val="markedcontent"/>
          <w:rFonts w:ascii="Arial" w:eastAsia="Times New Roman" w:hAnsi="Arial" w:cs="Arial"/>
          <w:lang w:eastAsia="pl-PL"/>
        </w:rPr>
      </w:pPr>
    </w:p>
    <w:p w14:paraId="0C085885" w14:textId="77777777" w:rsidR="00D01281" w:rsidRDefault="00D01281" w:rsidP="000976BD">
      <w:pPr>
        <w:spacing w:after="0" w:line="300" w:lineRule="auto"/>
        <w:jc w:val="both"/>
        <w:rPr>
          <w:rStyle w:val="markedcontent"/>
          <w:rFonts w:ascii="Arial" w:eastAsia="Times New Roman" w:hAnsi="Arial" w:cs="Arial"/>
          <w:lang w:eastAsia="pl-PL"/>
        </w:rPr>
      </w:pPr>
      <w:r w:rsidRPr="00D01281">
        <w:rPr>
          <w:rStyle w:val="markedcontent"/>
          <w:rFonts w:ascii="Arial" w:eastAsia="Times New Roman" w:hAnsi="Arial" w:cs="Arial"/>
          <w:lang w:eastAsia="pl-PL"/>
        </w:rPr>
        <w:t>Zasadniczym celem ustawy z dnia 25 lipca 2025 r. o zmianie ustawy – Prawo bankowe oraz niektórych innych ustaw jest umożliwienie bankom oraz spółdzielczym kasom oszczędnościowo-kredytowym uzyskania z rejestru Powszechnego Elektronicznego Systemu Ewidencji Ludności (PESEL), w przypadku śmierci posiadacza rachunku, informacji o dacie zgonu albo dacie znalezienia zwłok. Ustawa ma na celu skuteczniejsze rozwiązanie problemu „uśpionych lokat” i przyśpieszenie procesu wypłaty środków pieniężnych spadkobiercom.</w:t>
      </w:r>
      <w:r>
        <w:rPr>
          <w:rStyle w:val="markedcontent"/>
          <w:rFonts w:ascii="Arial" w:eastAsia="Times New Roman" w:hAnsi="Arial" w:cs="Arial"/>
          <w:lang w:eastAsia="pl-PL"/>
        </w:rPr>
        <w:t xml:space="preserve"> </w:t>
      </w:r>
    </w:p>
    <w:p w14:paraId="10BE9A70" w14:textId="77777777" w:rsidR="00D01281" w:rsidRDefault="00D01281" w:rsidP="000976BD">
      <w:pPr>
        <w:spacing w:after="0" w:line="300" w:lineRule="auto"/>
        <w:jc w:val="both"/>
        <w:rPr>
          <w:rStyle w:val="markedcontent"/>
          <w:rFonts w:ascii="Arial" w:eastAsia="Times New Roman" w:hAnsi="Arial" w:cs="Arial"/>
          <w:lang w:eastAsia="pl-PL"/>
        </w:rPr>
      </w:pPr>
      <w:r w:rsidRPr="00D01281">
        <w:rPr>
          <w:rStyle w:val="markedcontent"/>
          <w:rFonts w:ascii="Arial" w:eastAsia="Times New Roman" w:hAnsi="Arial" w:cs="Arial"/>
          <w:lang w:eastAsia="pl-PL"/>
        </w:rPr>
        <w:t xml:space="preserve">Ustawa dokonuje zmian w ustawie z dnia 29 sierpnia 1997 r. – Prawo bankowe, ustawie z dnia 7 grudnia 2000 r. o funkcjonowaniu banków spółdzielczych, ich zrzeszaniu się i bankach zrzeszających, ustawie z dnia 5 listopada 2009 r. o spółdzielczych kasach oszczędnościowo-kredytowych oraz ustawie z dnia 24 września 2010 r. o ewidencji ludności. </w:t>
      </w:r>
    </w:p>
    <w:p w14:paraId="1C4467FF" w14:textId="77777777" w:rsidR="00D01281" w:rsidRDefault="00D01281" w:rsidP="000976BD">
      <w:pPr>
        <w:spacing w:after="0" w:line="300" w:lineRule="auto"/>
        <w:jc w:val="both"/>
        <w:rPr>
          <w:rStyle w:val="markedcontent"/>
          <w:rFonts w:ascii="Arial" w:eastAsia="Times New Roman" w:hAnsi="Arial" w:cs="Arial"/>
          <w:lang w:eastAsia="pl-PL"/>
        </w:rPr>
      </w:pPr>
      <w:r w:rsidRPr="00D01281">
        <w:rPr>
          <w:rStyle w:val="markedcontent"/>
          <w:rFonts w:ascii="Arial" w:eastAsia="Times New Roman" w:hAnsi="Arial" w:cs="Arial"/>
          <w:lang w:eastAsia="pl-PL"/>
        </w:rPr>
        <w:t xml:space="preserve">Ustawa zawiera przepis przejściowy, zgodnie z którym banki i spółdzielcze kasy oszczędnościowo-kredytowe posiadające w dniu wejścia w życie ustawy dostęp do danych na podstawie decyzji, o której mowa w art. 51 ust. 2 pkt 1 ustawy z dnia 24 września 2010 r. o ewidencji ludności, będą mogły uzyskać dostęp do danych potwierdzających datę zgonu albo datę znalezienia zwłok, bez konieczności składania pisemnego wniosku do ministra właściwego do spraw informatyzacji. </w:t>
      </w:r>
    </w:p>
    <w:p w14:paraId="17EEF57C" w14:textId="77777777" w:rsidR="00D01281" w:rsidRDefault="00D01281" w:rsidP="000976BD">
      <w:pPr>
        <w:spacing w:after="0" w:line="300" w:lineRule="auto"/>
        <w:jc w:val="both"/>
        <w:rPr>
          <w:rStyle w:val="markedcontent"/>
          <w:rFonts w:ascii="Arial" w:eastAsia="Times New Roman" w:hAnsi="Arial" w:cs="Arial"/>
          <w:lang w:eastAsia="pl-PL"/>
        </w:rPr>
      </w:pPr>
    </w:p>
    <w:p w14:paraId="7565A89B" w14:textId="075661B4" w:rsidR="000976BD" w:rsidRPr="000976BD" w:rsidRDefault="00D01281" w:rsidP="000976BD">
      <w:pPr>
        <w:spacing w:after="0" w:line="300" w:lineRule="auto"/>
        <w:jc w:val="both"/>
        <w:rPr>
          <w:rStyle w:val="markedcontent"/>
          <w:rFonts w:ascii="Arial" w:eastAsia="Times New Roman" w:hAnsi="Arial" w:cs="Arial"/>
          <w:lang w:eastAsia="pl-PL"/>
        </w:rPr>
      </w:pPr>
      <w:r w:rsidRPr="00D01281">
        <w:rPr>
          <w:rStyle w:val="markedcontent"/>
          <w:rFonts w:ascii="Arial" w:eastAsia="Times New Roman" w:hAnsi="Arial" w:cs="Arial"/>
          <w:lang w:eastAsia="pl-PL"/>
        </w:rPr>
        <w:t>Ustawa wejdzie w życie po upływie 3 miesięcy od dnia ogłoszenia.</w:t>
      </w:r>
    </w:p>
    <w:p w14:paraId="3059A7B8" w14:textId="77777777" w:rsidR="003A2BD2" w:rsidRDefault="003A2BD2" w:rsidP="003A2BD2">
      <w:pPr>
        <w:pStyle w:val="Akapitzlist"/>
        <w:spacing w:after="0" w:line="300" w:lineRule="auto"/>
        <w:ind w:left="426"/>
        <w:jc w:val="both"/>
        <w:rPr>
          <w:rFonts w:ascii="Arial" w:eastAsia="Times New Roman" w:hAnsi="Arial" w:cs="Arial"/>
          <w:lang w:eastAsia="pl-PL"/>
        </w:rPr>
      </w:pPr>
    </w:p>
    <w:p w14:paraId="7A840459" w14:textId="77777777" w:rsidR="003A2BD2" w:rsidRDefault="003A2BD2" w:rsidP="003A2BD2">
      <w:pPr>
        <w:spacing w:after="0" w:line="300" w:lineRule="auto"/>
        <w:jc w:val="both"/>
        <w:rPr>
          <w:rFonts w:ascii="Arial" w:hAnsi="Arial" w:cs="Arial"/>
        </w:rPr>
      </w:pPr>
    </w:p>
    <w:p w14:paraId="3C0A084C" w14:textId="77777777" w:rsidR="00580328" w:rsidRDefault="00580328"/>
    <w:sectPr w:rsidR="0058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29027726">
    <w:abstractNumId w:val="1"/>
  </w:num>
  <w:num w:numId="2" w16cid:durableId="311831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0"/>
  </w:num>
  <w:num w:numId="4" w16cid:durableId="5788216">
    <w:abstractNumId w:val="3"/>
  </w:num>
  <w:num w:numId="5" w16cid:durableId="182014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D2"/>
    <w:rsid w:val="00095175"/>
    <w:rsid w:val="000976BD"/>
    <w:rsid w:val="00207404"/>
    <w:rsid w:val="003A2BD2"/>
    <w:rsid w:val="004619B2"/>
    <w:rsid w:val="00580328"/>
    <w:rsid w:val="00615EF7"/>
    <w:rsid w:val="00745B22"/>
    <w:rsid w:val="00AA2659"/>
    <w:rsid w:val="00CD7982"/>
    <w:rsid w:val="00D01281"/>
    <w:rsid w:val="00E30CB2"/>
    <w:rsid w:val="00F86BEB"/>
    <w:rsid w:val="00FB3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DBC0"/>
  <w15:chartTrackingRefBased/>
  <w15:docId w15:val="{BAC147B9-EFF2-4777-BDF1-D7EE9BE6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2BD2"/>
    <w:pPr>
      <w:spacing w:after="200" w:line="276" w:lineRule="auto"/>
    </w:pPr>
    <w:rPr>
      <w:kern w:val="0"/>
      <w14:ligatures w14:val="none"/>
    </w:rPr>
  </w:style>
  <w:style w:type="paragraph" w:styleId="Nagwek1">
    <w:name w:val="heading 1"/>
    <w:basedOn w:val="Normalny"/>
    <w:next w:val="Normalny"/>
    <w:link w:val="Nagwek1Znak"/>
    <w:uiPriority w:val="9"/>
    <w:qFormat/>
    <w:rsid w:val="003A2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A2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A2B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A2B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A2B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A2B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A2B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A2B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A2B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2B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A2B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A2B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A2B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A2B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A2B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A2B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A2B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A2BD2"/>
    <w:rPr>
      <w:rFonts w:eastAsiaTheme="majorEastAsia" w:cstheme="majorBidi"/>
      <w:color w:val="272727" w:themeColor="text1" w:themeTint="D8"/>
    </w:rPr>
  </w:style>
  <w:style w:type="paragraph" w:styleId="Tytu">
    <w:name w:val="Title"/>
    <w:basedOn w:val="Normalny"/>
    <w:next w:val="Normalny"/>
    <w:link w:val="TytuZnak"/>
    <w:uiPriority w:val="10"/>
    <w:qFormat/>
    <w:rsid w:val="003A2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A2B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A2B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A2B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A2BD2"/>
    <w:pPr>
      <w:spacing w:before="160"/>
      <w:jc w:val="center"/>
    </w:pPr>
    <w:rPr>
      <w:i/>
      <w:iCs/>
      <w:color w:val="404040" w:themeColor="text1" w:themeTint="BF"/>
    </w:rPr>
  </w:style>
  <w:style w:type="character" w:customStyle="1" w:styleId="CytatZnak">
    <w:name w:val="Cytat Znak"/>
    <w:basedOn w:val="Domylnaczcionkaakapitu"/>
    <w:link w:val="Cytat"/>
    <w:uiPriority w:val="29"/>
    <w:rsid w:val="003A2BD2"/>
    <w:rPr>
      <w:i/>
      <w:iCs/>
      <w:color w:val="404040" w:themeColor="text1" w:themeTint="BF"/>
    </w:rPr>
  </w:style>
  <w:style w:type="paragraph" w:styleId="Akapitzlist">
    <w:name w:val="List Paragraph"/>
    <w:basedOn w:val="Normalny"/>
    <w:uiPriority w:val="34"/>
    <w:qFormat/>
    <w:rsid w:val="003A2BD2"/>
    <w:pPr>
      <w:ind w:left="720"/>
      <w:contextualSpacing/>
    </w:pPr>
  </w:style>
  <w:style w:type="character" w:styleId="Wyrnienieintensywne">
    <w:name w:val="Intense Emphasis"/>
    <w:basedOn w:val="Domylnaczcionkaakapitu"/>
    <w:uiPriority w:val="21"/>
    <w:qFormat/>
    <w:rsid w:val="003A2BD2"/>
    <w:rPr>
      <w:i/>
      <w:iCs/>
      <w:color w:val="0F4761" w:themeColor="accent1" w:themeShade="BF"/>
    </w:rPr>
  </w:style>
  <w:style w:type="paragraph" w:styleId="Cytatintensywny">
    <w:name w:val="Intense Quote"/>
    <w:basedOn w:val="Normalny"/>
    <w:next w:val="Normalny"/>
    <w:link w:val="CytatintensywnyZnak"/>
    <w:uiPriority w:val="30"/>
    <w:qFormat/>
    <w:rsid w:val="003A2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A2BD2"/>
    <w:rPr>
      <w:i/>
      <w:iCs/>
      <w:color w:val="0F4761" w:themeColor="accent1" w:themeShade="BF"/>
    </w:rPr>
  </w:style>
  <w:style w:type="character" w:styleId="Odwoanieintensywne">
    <w:name w:val="Intense Reference"/>
    <w:basedOn w:val="Domylnaczcionkaakapitu"/>
    <w:uiPriority w:val="32"/>
    <w:qFormat/>
    <w:rsid w:val="003A2BD2"/>
    <w:rPr>
      <w:b/>
      <w:bCs/>
      <w:smallCaps/>
      <w:color w:val="0F4761" w:themeColor="accent1" w:themeShade="BF"/>
      <w:spacing w:val="5"/>
    </w:rPr>
  </w:style>
  <w:style w:type="character" w:customStyle="1" w:styleId="markedcontent">
    <w:name w:val="markedcontent"/>
    <w:basedOn w:val="Domylnaczcionkaakapitu"/>
    <w:rsid w:val="003A2BD2"/>
  </w:style>
  <w:style w:type="character" w:styleId="Hipercze">
    <w:name w:val="Hyperlink"/>
    <w:basedOn w:val="Domylnaczcionkaakapitu"/>
    <w:uiPriority w:val="99"/>
    <w:unhideWhenUsed/>
    <w:rsid w:val="00FB388A"/>
    <w:rPr>
      <w:color w:val="467886" w:themeColor="hyperlink"/>
      <w:u w:val="single"/>
    </w:rPr>
  </w:style>
  <w:style w:type="character" w:styleId="Nierozpoznanawzmianka">
    <w:name w:val="Unresolved Mention"/>
    <w:basedOn w:val="Domylnaczcionkaakapitu"/>
    <w:uiPriority w:val="99"/>
    <w:semiHidden/>
    <w:unhideWhenUsed/>
    <w:rsid w:val="00FB388A"/>
    <w:rPr>
      <w:color w:val="605E5C"/>
      <w:shd w:val="clear" w:color="auto" w:fill="E1DFDD"/>
    </w:rPr>
  </w:style>
  <w:style w:type="character" w:styleId="UyteHipercze">
    <w:name w:val="FollowedHyperlink"/>
    <w:basedOn w:val="Domylnaczcionkaakapitu"/>
    <w:uiPriority w:val="99"/>
    <w:semiHidden/>
    <w:unhideWhenUsed/>
    <w:rsid w:val="00FB388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401506/katalog/13152303#1315230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2596</Words>
  <Characters>15579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Kuydowicz</dc:creator>
  <cp:keywords/>
  <dc:description/>
  <cp:lastModifiedBy>Tomasz Kuydowicz</cp:lastModifiedBy>
  <cp:revision>1</cp:revision>
  <dcterms:created xsi:type="dcterms:W3CDTF">2025-09-03T09:48:00Z</dcterms:created>
  <dcterms:modified xsi:type="dcterms:W3CDTF">2025-09-03T12:43:00Z</dcterms:modified>
</cp:coreProperties>
</file>