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82D5" w14:textId="77777777" w:rsidR="00C615EC" w:rsidRPr="00586923" w:rsidRDefault="00C615EC" w:rsidP="00C615EC">
      <w:pPr>
        <w:rPr>
          <w:rFonts w:ascii="Arial" w:hAnsi="Arial" w:cs="Arial"/>
        </w:rPr>
      </w:pPr>
      <w:r w:rsidRPr="00586923">
        <w:rPr>
          <w:rFonts w:ascii="Arial" w:hAnsi="Arial" w:cs="Arial"/>
          <w:noProof/>
          <w:lang w:eastAsia="pl-PL"/>
        </w:rPr>
        <w:drawing>
          <wp:inline distT="0" distB="0" distL="0" distR="0" wp14:anchorId="05174291" wp14:editId="68615C29">
            <wp:extent cx="5683910" cy="943559"/>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K.png"/>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55180CB4" w14:textId="77777777" w:rsidR="00C615EC" w:rsidRDefault="00C615EC" w:rsidP="00C615EC">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16AC41D1" w14:textId="77777777" w:rsidR="00C615EC" w:rsidRPr="00586923" w:rsidRDefault="00C615EC" w:rsidP="00C615EC">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69659C08" w14:textId="3E5F1076" w:rsidR="00C615EC" w:rsidRPr="00586923" w:rsidRDefault="00C615EC" w:rsidP="00C615EC">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 xml:space="preserve">8 </w:t>
      </w:r>
      <w:r w:rsidRPr="00586923">
        <w:rPr>
          <w:rFonts w:ascii="Arial" w:hAnsi="Arial" w:cs="Arial"/>
          <w:b/>
        </w:rPr>
        <w:t xml:space="preserve">do </w:t>
      </w:r>
      <w:r>
        <w:rPr>
          <w:rFonts w:ascii="Arial" w:hAnsi="Arial" w:cs="Arial"/>
          <w:b/>
        </w:rPr>
        <w:t>14 września</w:t>
      </w:r>
      <w:r w:rsidRPr="00586923">
        <w:rPr>
          <w:rFonts w:ascii="Arial" w:hAnsi="Arial" w:cs="Arial"/>
          <w:b/>
        </w:rPr>
        <w:t xml:space="preserve"> 202</w:t>
      </w:r>
      <w:r>
        <w:rPr>
          <w:rFonts w:ascii="Arial" w:hAnsi="Arial" w:cs="Arial"/>
          <w:b/>
        </w:rPr>
        <w:t>5</w:t>
      </w:r>
      <w:r w:rsidRPr="00586923">
        <w:rPr>
          <w:rFonts w:ascii="Arial" w:hAnsi="Arial" w:cs="Arial"/>
          <w:b/>
        </w:rPr>
        <w:t xml:space="preserve"> roku</w:t>
      </w:r>
    </w:p>
    <w:p w14:paraId="7A1FC614" w14:textId="5EEA9E53" w:rsidR="00C615EC" w:rsidRPr="00AC3187" w:rsidRDefault="00C615EC" w:rsidP="00C615EC">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18 września</w:t>
      </w:r>
      <w:r w:rsidRPr="00AC3187">
        <w:rPr>
          <w:rFonts w:ascii="Arial" w:hAnsi="Arial" w:cs="Arial"/>
        </w:rPr>
        <w:t xml:space="preserve"> 202</w:t>
      </w:r>
      <w:r>
        <w:rPr>
          <w:rFonts w:ascii="Arial" w:hAnsi="Arial" w:cs="Arial"/>
        </w:rPr>
        <w:t>5</w:t>
      </w:r>
      <w:r w:rsidRPr="00AC3187">
        <w:rPr>
          <w:rFonts w:ascii="Arial" w:hAnsi="Arial" w:cs="Arial"/>
        </w:rPr>
        <w:t xml:space="preserve"> roku</w:t>
      </w:r>
    </w:p>
    <w:p w14:paraId="2FFEF20A" w14:textId="77777777" w:rsidR="00C615EC" w:rsidRPr="00586923" w:rsidRDefault="00C615EC" w:rsidP="00C615EC">
      <w:pPr>
        <w:spacing w:after="0" w:line="240" w:lineRule="auto"/>
        <w:jc w:val="both"/>
        <w:rPr>
          <w:rFonts w:ascii="Arial" w:hAnsi="Arial" w:cs="Arial"/>
        </w:rPr>
      </w:pPr>
    </w:p>
    <w:p w14:paraId="62983E60" w14:textId="77777777" w:rsidR="00C615EC" w:rsidRPr="000B65D1" w:rsidRDefault="00C615EC" w:rsidP="00C615EC">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059DD36D" w14:textId="77777777" w:rsidR="00C615EC" w:rsidRDefault="00C615EC" w:rsidP="00C615EC">
      <w:pPr>
        <w:spacing w:after="0" w:line="300" w:lineRule="auto"/>
        <w:jc w:val="both"/>
        <w:rPr>
          <w:rFonts w:ascii="Arial" w:hAnsi="Arial" w:cs="Arial"/>
        </w:rPr>
      </w:pPr>
    </w:p>
    <w:p w14:paraId="12C4BB51" w14:textId="0D4F402F" w:rsidR="00C615EC" w:rsidRPr="00C70674" w:rsidRDefault="00C615EC" w:rsidP="00C615EC">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F3237C">
        <w:rPr>
          <w:rFonts w:ascii="Arial" w:eastAsia="Calibri" w:hAnsi="Arial" w:cs="Arial"/>
          <w:bCs/>
        </w:rPr>
        <w:t>8</w:t>
      </w:r>
      <w:r w:rsidRPr="00C70674">
        <w:rPr>
          <w:rFonts w:ascii="Arial" w:eastAsia="Calibri" w:hAnsi="Arial" w:cs="Arial"/>
          <w:bCs/>
        </w:rPr>
        <w:t xml:space="preserve"> projekt</w:t>
      </w:r>
      <w:r w:rsidR="00F3237C">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F3237C">
        <w:rPr>
          <w:rFonts w:ascii="Arial" w:hAnsi="Arial" w:cs="Arial"/>
        </w:rPr>
        <w:t>20</w:t>
      </w:r>
      <w:r w:rsidRPr="00C70674">
        <w:rPr>
          <w:rFonts w:ascii="Arial" w:hAnsi="Arial" w:cs="Arial"/>
        </w:rPr>
        <w:t xml:space="preserve"> projekt</w:t>
      </w:r>
      <w:r w:rsidR="00F3237C">
        <w:rPr>
          <w:rFonts w:ascii="Arial" w:hAnsi="Arial" w:cs="Arial"/>
        </w:rPr>
        <w:t>ów</w:t>
      </w:r>
      <w:r w:rsidRPr="00C70674">
        <w:rPr>
          <w:rFonts w:ascii="Arial" w:hAnsi="Arial" w:cs="Arial"/>
        </w:rPr>
        <w:t xml:space="preserve"> rozporządzeń Rady Ministrów, Prezesa Rady Ministrów oraz poszczególnych Ministrów.</w:t>
      </w:r>
    </w:p>
    <w:p w14:paraId="2052C72D" w14:textId="77777777" w:rsidR="00C615EC" w:rsidRPr="00C70674" w:rsidRDefault="00C615EC" w:rsidP="00C615EC">
      <w:pPr>
        <w:spacing w:after="0" w:line="300" w:lineRule="auto"/>
        <w:jc w:val="both"/>
        <w:rPr>
          <w:rFonts w:ascii="Arial" w:hAnsi="Arial" w:cs="Arial"/>
        </w:rPr>
      </w:pPr>
    </w:p>
    <w:p w14:paraId="22AFDE65" w14:textId="438722B8" w:rsidR="00C615EC" w:rsidRDefault="00C615EC" w:rsidP="00C615EC">
      <w:pPr>
        <w:spacing w:after="0" w:line="300" w:lineRule="auto"/>
        <w:jc w:val="both"/>
        <w:rPr>
          <w:rFonts w:ascii="Arial" w:hAnsi="Arial" w:cs="Arial"/>
        </w:rPr>
      </w:pPr>
      <w:r>
        <w:rPr>
          <w:rFonts w:ascii="Arial" w:hAnsi="Arial" w:cs="Arial"/>
        </w:rPr>
        <w:t xml:space="preserve">Przeprowadzono konsultacje </w:t>
      </w:r>
      <w:r w:rsidR="00F3237C">
        <w:rPr>
          <w:rFonts w:ascii="Arial" w:hAnsi="Arial" w:cs="Arial"/>
        </w:rPr>
        <w:t>3</w:t>
      </w:r>
      <w:r>
        <w:rPr>
          <w:rFonts w:ascii="Arial" w:hAnsi="Arial" w:cs="Arial"/>
        </w:rPr>
        <w:t xml:space="preserve"> projekt</w:t>
      </w:r>
      <w:r w:rsidR="00F3237C">
        <w:rPr>
          <w:rFonts w:ascii="Arial" w:hAnsi="Arial" w:cs="Arial"/>
        </w:rPr>
        <w:t>ów</w:t>
      </w:r>
      <w:r>
        <w:rPr>
          <w:rFonts w:ascii="Arial" w:hAnsi="Arial" w:cs="Arial"/>
        </w:rPr>
        <w:t xml:space="preserve"> ustaw i </w:t>
      </w:r>
      <w:r w:rsidR="00F3237C">
        <w:rPr>
          <w:rFonts w:ascii="Arial" w:hAnsi="Arial" w:cs="Arial"/>
        </w:rPr>
        <w:t>2</w:t>
      </w:r>
      <w:r>
        <w:rPr>
          <w:rFonts w:ascii="Arial" w:hAnsi="Arial" w:cs="Arial"/>
        </w:rPr>
        <w:t xml:space="preserve"> projekt</w:t>
      </w:r>
      <w:r w:rsidR="00F3237C">
        <w:rPr>
          <w:rFonts w:ascii="Arial" w:hAnsi="Arial" w:cs="Arial"/>
        </w:rPr>
        <w:t>ów</w:t>
      </w:r>
      <w:r>
        <w:rPr>
          <w:rFonts w:ascii="Arial" w:hAnsi="Arial" w:cs="Arial"/>
        </w:rPr>
        <w:t xml:space="preserve"> rozporządzeń dotyczących podmiotów członkowskich (pracodawcy, przedsiębiorcy, JST) zrzeszonych w Związku. </w:t>
      </w:r>
    </w:p>
    <w:p w14:paraId="4FF38263" w14:textId="77777777" w:rsidR="00C615EC" w:rsidRDefault="00C615EC" w:rsidP="00C615EC">
      <w:pPr>
        <w:spacing w:after="0" w:line="300" w:lineRule="auto"/>
        <w:jc w:val="both"/>
        <w:rPr>
          <w:rFonts w:ascii="Arial" w:hAnsi="Arial" w:cs="Arial"/>
        </w:rPr>
      </w:pPr>
      <w:r>
        <w:rPr>
          <w:rFonts w:ascii="Arial" w:hAnsi="Arial" w:cs="Arial"/>
        </w:rPr>
        <w:t>Do konsultacji przekazane zostały następujące projekty:</w:t>
      </w:r>
    </w:p>
    <w:p w14:paraId="4BDDE48F" w14:textId="77777777" w:rsidR="00C615EC" w:rsidRDefault="00C615EC" w:rsidP="00C615EC">
      <w:pPr>
        <w:spacing w:after="0" w:line="300" w:lineRule="auto"/>
        <w:jc w:val="both"/>
        <w:rPr>
          <w:rFonts w:ascii="Arial" w:hAnsi="Arial" w:cs="Arial"/>
        </w:rPr>
      </w:pPr>
    </w:p>
    <w:p w14:paraId="1A961E90" w14:textId="77777777" w:rsidR="00C615EC" w:rsidRDefault="00C615EC" w:rsidP="00F3237C">
      <w:pPr>
        <w:spacing w:after="0" w:line="300" w:lineRule="auto"/>
        <w:jc w:val="both"/>
        <w:rPr>
          <w:rFonts w:ascii="Arial" w:hAnsi="Arial" w:cs="Arial"/>
        </w:rPr>
      </w:pPr>
      <w:r>
        <w:rPr>
          <w:rFonts w:ascii="Arial" w:hAnsi="Arial" w:cs="Arial"/>
        </w:rPr>
        <w:t>Projekty ustaw:</w:t>
      </w:r>
    </w:p>
    <w:p w14:paraId="1DB37489" w14:textId="77777777" w:rsidR="00F3237C" w:rsidRDefault="00F3237C" w:rsidP="00F3237C">
      <w:pPr>
        <w:spacing w:after="0" w:line="300" w:lineRule="auto"/>
        <w:jc w:val="both"/>
        <w:rPr>
          <w:rFonts w:ascii="Arial" w:hAnsi="Arial" w:cs="Arial"/>
        </w:rPr>
      </w:pPr>
    </w:p>
    <w:p w14:paraId="4337BA3C" w14:textId="08381935" w:rsidR="00F3237C" w:rsidRPr="00F3237C" w:rsidRDefault="00F3237C" w:rsidP="00F3237C">
      <w:pPr>
        <w:pStyle w:val="Akapitzlist"/>
        <w:numPr>
          <w:ilvl w:val="0"/>
          <w:numId w:val="3"/>
        </w:numPr>
        <w:spacing w:after="0" w:line="300" w:lineRule="auto"/>
        <w:jc w:val="both"/>
        <w:rPr>
          <w:rFonts w:ascii="Arial" w:hAnsi="Arial" w:cs="Arial"/>
          <w:b/>
          <w:bCs/>
          <w:u w:val="single"/>
        </w:rPr>
      </w:pPr>
      <w:r w:rsidRPr="00F3237C">
        <w:rPr>
          <w:rFonts w:ascii="Arial" w:hAnsi="Arial" w:cs="Arial"/>
          <w:b/>
          <w:bCs/>
          <w:u w:val="single"/>
        </w:rPr>
        <w:t>Projekt ustawy o zmianie ustawy o podatku dochodowym od osób fizycznych oraz ustawy o podatku dochodowym od osób prawnych (numer z wykazu UD299).</w:t>
      </w:r>
    </w:p>
    <w:p w14:paraId="611443C1" w14:textId="77777777" w:rsidR="00F3237C" w:rsidRDefault="00F3237C" w:rsidP="00F3237C">
      <w:pPr>
        <w:spacing w:after="0" w:line="300" w:lineRule="auto"/>
        <w:jc w:val="both"/>
        <w:rPr>
          <w:rFonts w:ascii="Arial" w:hAnsi="Arial" w:cs="Arial"/>
        </w:rPr>
      </w:pPr>
    </w:p>
    <w:p w14:paraId="008336A2" w14:textId="77777777" w:rsidR="00F3237C" w:rsidRPr="00F3237C" w:rsidRDefault="00F3237C" w:rsidP="00F3237C">
      <w:pPr>
        <w:spacing w:after="0" w:line="300" w:lineRule="auto"/>
        <w:jc w:val="both"/>
        <w:rPr>
          <w:rFonts w:ascii="Arial" w:hAnsi="Arial" w:cs="Arial"/>
        </w:rPr>
      </w:pPr>
      <w:r w:rsidRPr="00F3237C">
        <w:rPr>
          <w:rFonts w:ascii="Arial" w:hAnsi="Arial" w:cs="Arial"/>
        </w:rPr>
        <w:t xml:space="preserve">Zgodnie z aktualnym brzmieniem art. 22j ust. 7 ustawy z dnia 26 lipca 1991 r. o podatku dochodowym od osób fizycznych (Dz. U. z 2025 r. poz. 163, z </w:t>
      </w:r>
      <w:proofErr w:type="spellStart"/>
      <w:r w:rsidRPr="00F3237C">
        <w:rPr>
          <w:rFonts w:ascii="Arial" w:hAnsi="Arial" w:cs="Arial"/>
        </w:rPr>
        <w:t>późn</w:t>
      </w:r>
      <w:proofErr w:type="spellEnd"/>
      <w:r w:rsidRPr="00F3237C">
        <w:rPr>
          <w:rFonts w:ascii="Arial" w:hAnsi="Arial" w:cs="Arial"/>
        </w:rPr>
        <w:t xml:space="preserve">. zm.) oraz art. 16j ust. 7 ustawy z dnia 15 lutego 1992 r. o podatku dochodowym od osób prawnych (Dz. U. z 2025 r. poz. 278, z </w:t>
      </w:r>
      <w:proofErr w:type="spellStart"/>
      <w:r w:rsidRPr="00F3237C">
        <w:rPr>
          <w:rFonts w:ascii="Arial" w:hAnsi="Arial" w:cs="Arial"/>
        </w:rPr>
        <w:t>późn</w:t>
      </w:r>
      <w:proofErr w:type="spellEnd"/>
      <w:r w:rsidRPr="00F3237C">
        <w:rPr>
          <w:rFonts w:ascii="Arial" w:hAnsi="Arial" w:cs="Arial"/>
        </w:rPr>
        <w:t>. zm.), podatnicy będący mikro-, małymi lub średnimi przedsiębiorcami mogą stosować indywidualne stawki amortyzacyjne dla wytworzonych we własnym zakresie środków trwałych (budynki i budowle – grupy 1 i 2 KŚT), pod warunkiem że środki te znajdują się na terenie gminy spełniającej dwa kryteria:</w:t>
      </w:r>
    </w:p>
    <w:p w14:paraId="44D395DB" w14:textId="7A3C7FDF" w:rsidR="00F3237C" w:rsidRPr="00F3237C" w:rsidRDefault="00F3237C" w:rsidP="00F3237C">
      <w:pPr>
        <w:pStyle w:val="Akapitzlist"/>
        <w:numPr>
          <w:ilvl w:val="0"/>
          <w:numId w:val="6"/>
        </w:numPr>
        <w:spacing w:after="0" w:line="300" w:lineRule="auto"/>
        <w:jc w:val="both"/>
        <w:rPr>
          <w:rFonts w:ascii="Arial" w:hAnsi="Arial" w:cs="Arial"/>
        </w:rPr>
      </w:pPr>
      <w:r w:rsidRPr="00F3237C">
        <w:rPr>
          <w:rFonts w:ascii="Arial" w:hAnsi="Arial" w:cs="Arial"/>
        </w:rPr>
        <w:t>gmina znajduje się w powiecie lub mieście na prawach powiatu, w którym przeciętna stopa bezrobocia wynosi co najmniej 120% przeciętnej stopy bezrobocia w kraju oraz</w:t>
      </w:r>
    </w:p>
    <w:p w14:paraId="0428C476" w14:textId="4CE0FAEC" w:rsidR="00F3237C" w:rsidRPr="00F3237C" w:rsidRDefault="00F3237C" w:rsidP="00F3237C">
      <w:pPr>
        <w:pStyle w:val="Akapitzlist"/>
        <w:numPr>
          <w:ilvl w:val="0"/>
          <w:numId w:val="6"/>
        </w:numPr>
        <w:spacing w:after="0" w:line="300" w:lineRule="auto"/>
        <w:jc w:val="both"/>
        <w:rPr>
          <w:rFonts w:ascii="Arial" w:hAnsi="Arial" w:cs="Arial"/>
        </w:rPr>
      </w:pPr>
      <w:r w:rsidRPr="00F3237C">
        <w:rPr>
          <w:rFonts w:ascii="Arial" w:hAnsi="Arial" w:cs="Arial"/>
        </w:rPr>
        <w:t>indywidualny wskaźnik zamożności gminy (lub miasta na prawach powiatu) jest niższy niż 100% wskaźnika zamożności ogółu gmin (miast na prawach powiatu).</w:t>
      </w:r>
    </w:p>
    <w:p w14:paraId="2B058FE7" w14:textId="77777777" w:rsidR="00F3237C" w:rsidRPr="00F3237C" w:rsidRDefault="00F3237C" w:rsidP="00F3237C">
      <w:pPr>
        <w:spacing w:after="0" w:line="300" w:lineRule="auto"/>
        <w:jc w:val="both"/>
        <w:rPr>
          <w:rFonts w:ascii="Arial" w:hAnsi="Arial" w:cs="Arial"/>
        </w:rPr>
      </w:pPr>
      <w:r w:rsidRPr="00F3237C">
        <w:rPr>
          <w:rFonts w:ascii="Arial" w:hAnsi="Arial" w:cs="Arial"/>
        </w:rPr>
        <w:t>Niezasadne jest uzależnianie korzystania z przyśpieszonej amortyzacji od stopnia zamożności w poszczególnych gminach. Analiza obowiązujących warunków prowadzi do wniosku, że ich zakres zastosowania jest bardzo zbliżony. Ponadto, uzasadnione jest uproszczenie regulacji podatkowych poprzez usunięcie warunku, który nie jest istotny z punktu widzenia adresatów tej regulacji.</w:t>
      </w:r>
    </w:p>
    <w:p w14:paraId="76C7F5F4" w14:textId="1CCC071B" w:rsidR="00F3237C" w:rsidRDefault="00F3237C" w:rsidP="00F3237C">
      <w:pPr>
        <w:spacing w:after="0" w:line="300" w:lineRule="auto"/>
        <w:jc w:val="both"/>
        <w:rPr>
          <w:rFonts w:ascii="Arial" w:hAnsi="Arial" w:cs="Arial"/>
        </w:rPr>
      </w:pPr>
      <w:r w:rsidRPr="00F3237C">
        <w:rPr>
          <w:rFonts w:ascii="Arial" w:hAnsi="Arial" w:cs="Arial"/>
        </w:rPr>
        <w:lastRenderedPageBreak/>
        <w:t>Proponowanym rozwiązaniem problemu są zmiany upraszczające zasady korzystania z amortyzacji na podstawie ww. przepisów poprzez rezygnację z kryterium wskaźnika zamożności oraz pozostawienie jedynie przesłanki przeciętnej stopy bezrobocia jako warunku lokalizacyjnego do skorzystania z preferencyjnej amortyzacji. Oczekiwanym efektem projektowanego rozwiązania jest uproszczenie regulacji podatkowych poprzez usunięcie warunku. Ponadto, usunięcie ww. warunku wpłynie pozytywnie na większe możliwości inwestycyjne na terenie gmin o wysokim bezrobociu</w:t>
      </w:r>
      <w:r>
        <w:rPr>
          <w:rFonts w:ascii="Arial" w:hAnsi="Arial" w:cs="Arial"/>
        </w:rPr>
        <w:t>.</w:t>
      </w:r>
    </w:p>
    <w:p w14:paraId="64761215" w14:textId="77777777" w:rsidR="00F3237C" w:rsidRDefault="00F3237C" w:rsidP="00F3237C">
      <w:pPr>
        <w:spacing w:after="0" w:line="300" w:lineRule="auto"/>
        <w:jc w:val="both"/>
        <w:rPr>
          <w:rFonts w:ascii="Arial" w:hAnsi="Arial" w:cs="Arial"/>
        </w:rPr>
      </w:pPr>
    </w:p>
    <w:p w14:paraId="0BCCD4EB" w14:textId="77777777" w:rsidR="00F3237C" w:rsidRPr="00F3237C" w:rsidRDefault="00F3237C" w:rsidP="00F3237C">
      <w:pPr>
        <w:spacing w:after="0" w:line="300" w:lineRule="auto"/>
        <w:jc w:val="both"/>
        <w:rPr>
          <w:rFonts w:ascii="Arial" w:hAnsi="Arial" w:cs="Arial"/>
        </w:rPr>
      </w:pPr>
      <w:r w:rsidRPr="00F3237C">
        <w:rPr>
          <w:rFonts w:ascii="Arial" w:hAnsi="Arial" w:cs="Arial"/>
        </w:rPr>
        <w:t>Przedmiotowy projekt aktu prawnego wraz z Uzasadnieniem oraz Oceną Skutków Regulacji dostępny jest na stronach Rządowego Centrum Legislacji pod adresem:</w:t>
      </w:r>
    </w:p>
    <w:p w14:paraId="4F3B936A" w14:textId="61F484ED" w:rsidR="00F3237C" w:rsidRDefault="00F3237C" w:rsidP="00F3237C">
      <w:pPr>
        <w:spacing w:after="0" w:line="300" w:lineRule="auto"/>
        <w:jc w:val="both"/>
        <w:rPr>
          <w:rFonts w:ascii="Arial" w:hAnsi="Arial" w:cs="Arial"/>
        </w:rPr>
      </w:pPr>
      <w:hyperlink r:id="rId6" w:anchor="13154615" w:history="1">
        <w:r w:rsidRPr="00E507F9">
          <w:rPr>
            <w:rStyle w:val="Hipercze"/>
            <w:rFonts w:ascii="Arial" w:hAnsi="Arial" w:cs="Arial"/>
          </w:rPr>
          <w:t>https://legislacja.rcl.gov.pl/projekt/12401857/katalog/13154615#13154615</w:t>
        </w:r>
      </w:hyperlink>
      <w:r>
        <w:rPr>
          <w:rFonts w:ascii="Arial" w:hAnsi="Arial" w:cs="Arial"/>
        </w:rPr>
        <w:t xml:space="preserve"> </w:t>
      </w:r>
    </w:p>
    <w:p w14:paraId="2339408A" w14:textId="77777777" w:rsidR="00F3237C" w:rsidRDefault="00F3237C" w:rsidP="00F3237C">
      <w:pPr>
        <w:spacing w:after="0" w:line="300" w:lineRule="auto"/>
        <w:jc w:val="both"/>
        <w:rPr>
          <w:rFonts w:ascii="Arial" w:hAnsi="Arial" w:cs="Arial"/>
        </w:rPr>
      </w:pPr>
    </w:p>
    <w:p w14:paraId="604442AA" w14:textId="2D35BCF4" w:rsidR="00F3237C" w:rsidRDefault="00F3237C" w:rsidP="00F3237C">
      <w:pPr>
        <w:spacing w:after="0" w:line="300" w:lineRule="auto"/>
        <w:jc w:val="both"/>
        <w:rPr>
          <w:rFonts w:ascii="Arial" w:hAnsi="Arial" w:cs="Arial"/>
        </w:rPr>
      </w:pPr>
      <w:r w:rsidRPr="00B3273E">
        <w:rPr>
          <w:rFonts w:ascii="Arial" w:hAnsi="Arial" w:cs="Arial"/>
        </w:rPr>
        <w:t>Projekt jest obecnie jednocześnie na etapie uzgodnień, konsultacji publicznych i opiniowania.</w:t>
      </w:r>
    </w:p>
    <w:p w14:paraId="623AA6AA" w14:textId="77777777" w:rsidR="00F3237C" w:rsidRPr="00F3237C" w:rsidRDefault="00F3237C" w:rsidP="00F3237C">
      <w:pPr>
        <w:spacing w:after="0" w:line="300" w:lineRule="auto"/>
        <w:jc w:val="both"/>
        <w:rPr>
          <w:rFonts w:ascii="Arial" w:hAnsi="Arial" w:cs="Arial"/>
        </w:rPr>
      </w:pPr>
    </w:p>
    <w:p w14:paraId="06B894B0" w14:textId="2820865E" w:rsidR="00F3237C" w:rsidRPr="00F3237C" w:rsidRDefault="00F3237C" w:rsidP="00974FE2">
      <w:pPr>
        <w:pStyle w:val="Akapitzlist"/>
        <w:numPr>
          <w:ilvl w:val="0"/>
          <w:numId w:val="3"/>
        </w:numPr>
        <w:spacing w:after="0" w:line="300" w:lineRule="auto"/>
        <w:jc w:val="both"/>
        <w:rPr>
          <w:rFonts w:ascii="Arial" w:hAnsi="Arial" w:cs="Arial"/>
          <w:b/>
          <w:bCs/>
          <w:u w:val="single"/>
        </w:rPr>
      </w:pPr>
      <w:r w:rsidRPr="00F3237C">
        <w:rPr>
          <w:rFonts w:ascii="Arial" w:hAnsi="Arial" w:cs="Arial"/>
          <w:b/>
          <w:bCs/>
          <w:u w:val="single"/>
        </w:rPr>
        <w:t>Projekt ustawy o zmianie ustawy – Prawo ochrony środowiska oraz ustawy o Inspekcji Ochrony Środowiska (numer z wykazu UDER44)</w:t>
      </w:r>
      <w:r>
        <w:rPr>
          <w:rFonts w:ascii="Arial" w:hAnsi="Arial" w:cs="Arial"/>
          <w:b/>
          <w:bCs/>
          <w:u w:val="single"/>
        </w:rPr>
        <w:t>.</w:t>
      </w:r>
    </w:p>
    <w:p w14:paraId="722CE0B4" w14:textId="77777777" w:rsidR="00F3237C" w:rsidRDefault="00F3237C" w:rsidP="00974FE2">
      <w:pPr>
        <w:spacing w:after="0" w:line="300" w:lineRule="auto"/>
        <w:jc w:val="both"/>
        <w:rPr>
          <w:rFonts w:ascii="Arial" w:hAnsi="Arial" w:cs="Arial"/>
        </w:rPr>
      </w:pPr>
    </w:p>
    <w:p w14:paraId="320C8C0A" w14:textId="77777777" w:rsidR="00974FE2" w:rsidRPr="00974FE2" w:rsidRDefault="00974FE2" w:rsidP="00974FE2">
      <w:pPr>
        <w:spacing w:after="0" w:line="300" w:lineRule="auto"/>
        <w:jc w:val="both"/>
        <w:rPr>
          <w:rFonts w:ascii="Arial" w:hAnsi="Arial" w:cs="Arial"/>
        </w:rPr>
      </w:pPr>
      <w:r w:rsidRPr="00974FE2">
        <w:rPr>
          <w:rFonts w:ascii="Arial" w:hAnsi="Arial" w:cs="Arial"/>
        </w:rPr>
        <w:t>Nowelizacja przepisów ma przede wszystkim poprawić spójność obowiązujących wymagań z zakresu ochrony środowiska oraz zlikwidować zbędne obciążenia administracyjne. Przeszło dziesięcioletnie doświadczenia z prac administracji rządowej i samorządowej w przedmiocie stosowania przepisów dotyczących pozwoleń zintegrowanych pozwalają na zidentyfikowanie procedur, które przy zachowaniu wysokiego poziomu ochrony środowiska mogłyby zostać uproszczone bez uszczerbku dla jakości wydawanych decyzji administracyjnych.</w:t>
      </w:r>
    </w:p>
    <w:p w14:paraId="266523DE" w14:textId="77777777" w:rsidR="00974FE2" w:rsidRPr="00974FE2" w:rsidRDefault="00974FE2" w:rsidP="00974FE2">
      <w:pPr>
        <w:spacing w:after="0" w:line="300" w:lineRule="auto"/>
        <w:jc w:val="both"/>
        <w:rPr>
          <w:rFonts w:ascii="Arial" w:hAnsi="Arial" w:cs="Arial"/>
        </w:rPr>
      </w:pPr>
      <w:r w:rsidRPr="00974FE2">
        <w:rPr>
          <w:rFonts w:ascii="Arial" w:hAnsi="Arial" w:cs="Arial"/>
        </w:rPr>
        <w:t>Najważniejsze problemy, które znajdą swoje rozwiązanie wskutek wejścia w życie regulacji zawartych w projekcie ustawy:</w:t>
      </w:r>
    </w:p>
    <w:p w14:paraId="111DB306" w14:textId="4CE0123E" w:rsidR="00974FE2" w:rsidRPr="00974FE2" w:rsidRDefault="00974FE2" w:rsidP="00974FE2">
      <w:pPr>
        <w:pStyle w:val="Akapitzlist"/>
        <w:numPr>
          <w:ilvl w:val="0"/>
          <w:numId w:val="8"/>
        </w:numPr>
        <w:spacing w:after="0" w:line="300" w:lineRule="auto"/>
        <w:jc w:val="both"/>
        <w:rPr>
          <w:rFonts w:ascii="Arial" w:hAnsi="Arial" w:cs="Arial"/>
        </w:rPr>
      </w:pPr>
      <w:r w:rsidRPr="00974FE2">
        <w:rPr>
          <w:rFonts w:ascii="Arial" w:hAnsi="Arial" w:cs="Arial"/>
        </w:rPr>
        <w:t xml:space="preserve">obowiązujące regulacje dotyczące wprowadzania ścieków przemysłowych do kanalizacji zewnętrznej mogą prowadzić do dublowania obciążeń dla przedsiębiorców. Zgodnie art. 34 pkt 3 ustawy z dnia 20 lipca 2017 r. – Prawo wodne (Dz. U. z 2024 r. poz. 1087, z </w:t>
      </w:r>
      <w:proofErr w:type="spellStart"/>
      <w:r w:rsidRPr="00974FE2">
        <w:rPr>
          <w:rFonts w:ascii="Arial" w:hAnsi="Arial" w:cs="Arial"/>
        </w:rPr>
        <w:t>późn</w:t>
      </w:r>
      <w:proofErr w:type="spellEnd"/>
      <w:r w:rsidRPr="00974FE2">
        <w:rPr>
          <w:rFonts w:ascii="Arial" w:hAnsi="Arial" w:cs="Arial"/>
        </w:rPr>
        <w:t>. zm.), zwanej dalej „ustawą – Prawo wodne”, wprowadzanie do urządzeń kanalizacyjnych będących własnością innych podmiotów ścieków przemysłowych zawierających substancje szczególnie szkodliwe dla środowiska wodnego, stanowi szczególne korzystanie z wód wymagające uzyskania pozwolenia wodnoprawnego. Część instalacji posiadających pozwolenia zintegrowane odprowadza ścieki przemysłowe do kanalizacji, co często uregulowane jest także na podstawie wymagań określonych w konkluzjach BAT. W świetle bieżących przepisów, w takich przypadkach prowadzący instalację obowiązani są do posiadania dwóch decyzji regulujących wprowadzanie ścieków do zewnętrznej sieci kanalizacyjnej;</w:t>
      </w:r>
    </w:p>
    <w:p w14:paraId="3B69A993" w14:textId="5478B9B6" w:rsidR="00974FE2" w:rsidRPr="00974FE2" w:rsidRDefault="00974FE2" w:rsidP="00974FE2">
      <w:pPr>
        <w:pStyle w:val="Akapitzlist"/>
        <w:numPr>
          <w:ilvl w:val="0"/>
          <w:numId w:val="8"/>
        </w:numPr>
        <w:spacing w:after="0" w:line="300" w:lineRule="auto"/>
        <w:jc w:val="both"/>
        <w:rPr>
          <w:rFonts w:ascii="Arial" w:hAnsi="Arial" w:cs="Arial"/>
        </w:rPr>
      </w:pPr>
      <w:r w:rsidRPr="00974FE2">
        <w:rPr>
          <w:rFonts w:ascii="Arial" w:hAnsi="Arial" w:cs="Arial"/>
        </w:rPr>
        <w:t xml:space="preserve">procedura dostosowania pozwoleń zintegrowanych do decyzji wykonawczych Komisji Europejskiej ustanawiających konkluzje BAT opisana w art. 215 ust. 1 ustawy z dnia 27 kwietnia 2001 r. – Prawo ochrony środowiska (Dz. U. z 2025 r. poz. 647, z </w:t>
      </w:r>
      <w:proofErr w:type="spellStart"/>
      <w:r w:rsidRPr="00974FE2">
        <w:rPr>
          <w:rFonts w:ascii="Arial" w:hAnsi="Arial" w:cs="Arial"/>
        </w:rPr>
        <w:t>późn</w:t>
      </w:r>
      <w:proofErr w:type="spellEnd"/>
      <w:r w:rsidRPr="00974FE2">
        <w:rPr>
          <w:rFonts w:ascii="Arial" w:hAnsi="Arial" w:cs="Arial"/>
        </w:rPr>
        <w:t xml:space="preserve">. zm.), zwanej dalej „ustawą </w:t>
      </w:r>
      <w:proofErr w:type="spellStart"/>
      <w:r w:rsidRPr="00974FE2">
        <w:rPr>
          <w:rFonts w:ascii="Arial" w:hAnsi="Arial" w:cs="Arial"/>
        </w:rPr>
        <w:t>Poś</w:t>
      </w:r>
      <w:proofErr w:type="spellEnd"/>
      <w:r w:rsidRPr="00974FE2">
        <w:rPr>
          <w:rFonts w:ascii="Arial" w:hAnsi="Arial" w:cs="Arial"/>
        </w:rPr>
        <w:t xml:space="preserve">”, przewiduje obowiązek analizy pozwoleń zintegrowanych niezwłocznie po publikacji konkluzji BAT odnoszących się do głównego rodzaju działalności instalacji objętych takim pozwoleniem. Przepis został wprowadzony w 2014 r. aby ułatwić dostosowanie do wymagań BAT i </w:t>
      </w:r>
      <w:r w:rsidRPr="00974FE2">
        <w:rPr>
          <w:rFonts w:ascii="Arial" w:hAnsi="Arial" w:cs="Arial"/>
        </w:rPr>
        <w:lastRenderedPageBreak/>
        <w:t>uprawdopodobnić, że cała procedura zakończy się w terminie wynikającym z dyrektywy Parlamentu Europejskiego i Rady 2010/75/EU z dnia 24 listopada 2010 r. w sprawie emisji przemysłowych (Dz. Urz. UE L 334 z 17.12.2020, str. 17), zwanej dalej „dyrektywą 2010/75/EU”, tj. w ciągu 4 lat od daty publikacji konkluzji BAT. Obecne doświadczenia, związane ze stosowaniem tego przepisu wskazują jednak, że ma on ograniczoną wartość dodaną, stanowiąc jednocześnie dodatkową procedurę (a tym samym obciążenie dla organów administracji oraz podmiotów prowadzących instalacje) poprzedzającą złożenie wniosku o zmianę pozwolenia zintegrowanego;</w:t>
      </w:r>
    </w:p>
    <w:p w14:paraId="5F9B2F50" w14:textId="24732C1D" w:rsidR="00974FE2" w:rsidRPr="00974FE2" w:rsidRDefault="00974FE2" w:rsidP="00974FE2">
      <w:pPr>
        <w:pStyle w:val="Akapitzlist"/>
        <w:numPr>
          <w:ilvl w:val="0"/>
          <w:numId w:val="8"/>
        </w:numPr>
        <w:spacing w:after="0" w:line="300" w:lineRule="auto"/>
        <w:jc w:val="both"/>
        <w:rPr>
          <w:rFonts w:ascii="Arial" w:hAnsi="Arial" w:cs="Arial"/>
        </w:rPr>
      </w:pPr>
      <w:r w:rsidRPr="00974FE2">
        <w:rPr>
          <w:rFonts w:ascii="Arial" w:hAnsi="Arial" w:cs="Arial"/>
        </w:rPr>
        <w:t xml:space="preserve">obowiązujące przepisy nie dookreślają właściwości miejscowej wojewódzkich inspektorów ochrony środowiska, zwanych dalej „WIOŚ”, dotyczącej zakresu informowania wojewódzkiego inspektora ochrony środowiska przez inwestora np. o planowanym oddaniu do użytkowania instalacji wykorzystujących energię wiatru do wytwarzania energii elektrycznej, zlokalizowanych na obszarach morskich Rzeczypospolitej Polskiej, czyli tzw. morskich farm wiatrowych. Problem ten jest szerszy i generalnie tyczy się inwestycji zlokalizowanych na morzu. </w:t>
      </w:r>
    </w:p>
    <w:p w14:paraId="5F72F1C4"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Zgodnie art. 76 ust. 4 ustawy </w:t>
      </w:r>
      <w:proofErr w:type="spellStart"/>
      <w:r w:rsidRPr="00974FE2">
        <w:rPr>
          <w:rFonts w:ascii="Arial" w:hAnsi="Arial" w:cs="Arial"/>
        </w:rPr>
        <w:t>Poś</w:t>
      </w:r>
      <w:proofErr w:type="spellEnd"/>
      <w:r w:rsidRPr="00974FE2">
        <w:rPr>
          <w:rFonts w:ascii="Arial" w:hAnsi="Arial" w:cs="Arial"/>
        </w:rPr>
        <w:t xml:space="preserve">, na 30 dni przed terminem oddania do użytkowania nowo zbudowanego lub przebudowanego obiektu budowlanego, zespołu obiektów lub instalacji realizowanych jako przedsięwzięcie mogące znacząco oddziaływać na środowisko inwestor jest obowiązany poinformować WIOŚ o planowanym terminie oddania do użytkowania nowo zbudowanego lub przebudowanego obiektu budowlanego, zespołu obiektów lub instalacji oraz  zakończenia rozruchu instalacji, jeżeli jest on przewidywany. </w:t>
      </w:r>
    </w:p>
    <w:p w14:paraId="57B1E702"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Jednocześnie wedle art. 2 ust. 1 pkt 6 i 7 ustawy z dnia 20 lipca 1991 r. o Inspekcji Ochrony Środowiska (Dz. U. z 2024 r. poz. 425), zwanej dalej „ustawą o inspekcji”, do zadań Inspekcji Ochrony Środowiska należy wykonywanie zadań określonych w ustawie z dnia 3 października 2008 r. o udostępnianiu informacji o środowisku i jego ochronie, udziale społeczeństwa w ochronie środowiska oraz o ocenach oddziaływania na środowisko (Dz. U. z 2024 r. poz. 1112, z </w:t>
      </w:r>
      <w:proofErr w:type="spellStart"/>
      <w:r w:rsidRPr="00974FE2">
        <w:rPr>
          <w:rFonts w:ascii="Arial" w:hAnsi="Arial" w:cs="Arial"/>
        </w:rPr>
        <w:t>późn</w:t>
      </w:r>
      <w:proofErr w:type="spellEnd"/>
      <w:r w:rsidRPr="00974FE2">
        <w:rPr>
          <w:rFonts w:ascii="Arial" w:hAnsi="Arial" w:cs="Arial"/>
        </w:rPr>
        <w:t>. zm.) oraz udział w przekazywaniu do użytkowania obiektów lub instalacji realizowanych jako przedsięwzięcia mogące zawsze znacząco lub potencjalnie znacząco oddziaływać na środowisko.</w:t>
      </w:r>
    </w:p>
    <w:p w14:paraId="5EF82CC3"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W odniesieniu do przedsięwzięć zlokalizowanych na morzu takich jak np. morskie farmy wiatrowe wywiązanie się z tych obowiązków jest utrudnione, gdyż na gruncie aktualnie obowiązujących przepisów brak m.in. jednoznacznego wskazania, którego dokładnie wojewódzkiego inspektora ochrony środowiska inwestor jest obowiązany poinformować o planowanym terminie: 1) oddania do użytkowania nowo zbudowanego lub przebudowanego obiektu budowlanego, zespołu obiektów lub instalacji; 2) zakończenia rozruchu instalacji, jeżeli jest on przewidywany. W obecnym stanie prawnym próżno szukać przepisów precyzyjnie określających, który WIOŚ powinien uczestniczyć w odbiorze instalacji umiejscowionych na obszarach morskich. Taki stan rzeczy może w przyszłości przełożyć się na wydatne wydłużenie się procedury oddawania tych inwestycji do użytkowania.</w:t>
      </w:r>
    </w:p>
    <w:p w14:paraId="71DA2A66" w14:textId="77777777" w:rsidR="00974FE2" w:rsidRPr="00974FE2" w:rsidRDefault="00974FE2" w:rsidP="00974FE2">
      <w:pPr>
        <w:spacing w:after="0" w:line="300" w:lineRule="auto"/>
        <w:jc w:val="both"/>
        <w:rPr>
          <w:rFonts w:ascii="Arial" w:hAnsi="Arial" w:cs="Arial"/>
        </w:rPr>
      </w:pPr>
      <w:r w:rsidRPr="00974FE2">
        <w:rPr>
          <w:rFonts w:ascii="Arial" w:hAnsi="Arial" w:cs="Arial"/>
        </w:rPr>
        <w:t>Rekomendowane rozwiązania:</w:t>
      </w:r>
    </w:p>
    <w:p w14:paraId="59998B08" w14:textId="0CAD13F1" w:rsidR="00974FE2" w:rsidRPr="00974FE2" w:rsidRDefault="00974FE2" w:rsidP="00974FE2">
      <w:pPr>
        <w:pStyle w:val="Akapitzlist"/>
        <w:numPr>
          <w:ilvl w:val="0"/>
          <w:numId w:val="10"/>
        </w:numPr>
        <w:spacing w:after="0" w:line="300" w:lineRule="auto"/>
        <w:jc w:val="both"/>
        <w:rPr>
          <w:rFonts w:ascii="Arial" w:hAnsi="Arial" w:cs="Arial"/>
        </w:rPr>
      </w:pPr>
      <w:r w:rsidRPr="00974FE2">
        <w:rPr>
          <w:rFonts w:ascii="Arial" w:hAnsi="Arial" w:cs="Arial"/>
        </w:rPr>
        <w:t xml:space="preserve">Rozwiązaniem problemu w zakresie dublowania obowiązków dotyczących wprowadzania ścieków przemysłowych do kanalizacji zewnętrznej będzie </w:t>
      </w:r>
      <w:r w:rsidRPr="00974FE2">
        <w:rPr>
          <w:rFonts w:ascii="Arial" w:hAnsi="Arial" w:cs="Arial"/>
        </w:rPr>
        <w:lastRenderedPageBreak/>
        <w:t>doprecyzowanie przepisów przez wskazanie, że odprowadzenie ścieków przemysłowych do kanalizacji, z instalacji wymagającej uzyskania pozwolenia zintegrowanego, będzie uregulowane na gruncie pozwolenia zintegrowanego, o ile mające zastosowanie do danej instalacji konkluzje BAT określają graniczne wielkości emisyjne dla tzw. uwolnień pośrednich, a więc odprowadzania ścieków do kanalizacji, a tym samym pozwolenie zintegrowane obejmuje ten zakres oddziaływań.</w:t>
      </w:r>
    </w:p>
    <w:p w14:paraId="72779509"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Zgodnie z art. 34 pkt 3 ustawy – Prawo wodne, szczególne korzystanie obejmuje wprowadzanie do urządzeń kanalizacyjnych będących własnością innych podmiotów ścieków przemysłowych zawierających substancje szczególnie szkodliwe dla środowiska wodnego określone w przepisach wydanych na podstawie art. 100 ust. 1 ww. ustawy. Natomiast „szczególne korzystanie z wód” wymaga, zgodnie z art. 389 tej ustawy uzyskania pozwolenia wodnoprawnego. Jednocześnie na podstawie art. 392 pozwolenia wodnoprawne na wprowadzanie ścieków do urządzeń kanalizacyjnych są wydawane z uwzględnieniem przepisów rozdziałów 1–4 w dziale IV tytułu III ustawy </w:t>
      </w:r>
      <w:proofErr w:type="spellStart"/>
      <w:r w:rsidRPr="00974FE2">
        <w:rPr>
          <w:rFonts w:ascii="Arial" w:hAnsi="Arial" w:cs="Arial"/>
        </w:rPr>
        <w:t>Poś</w:t>
      </w:r>
      <w:proofErr w:type="spellEnd"/>
      <w:r w:rsidRPr="00974FE2">
        <w:rPr>
          <w:rFonts w:ascii="Arial" w:hAnsi="Arial" w:cs="Arial"/>
        </w:rPr>
        <w:t xml:space="preserve">. </w:t>
      </w:r>
    </w:p>
    <w:p w14:paraId="709D6005"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Do zastąpienia (w określnych przypadkach) pozwolenia wodnoprawnego przez pozwolenie zintegrowane konieczne jest dokonanie zmian w ustawie </w:t>
      </w:r>
      <w:proofErr w:type="spellStart"/>
      <w:r w:rsidRPr="00974FE2">
        <w:rPr>
          <w:rFonts w:ascii="Arial" w:hAnsi="Arial" w:cs="Arial"/>
        </w:rPr>
        <w:t>Poś</w:t>
      </w:r>
      <w:proofErr w:type="spellEnd"/>
      <w:r w:rsidRPr="00974FE2">
        <w:rPr>
          <w:rFonts w:ascii="Arial" w:hAnsi="Arial" w:cs="Arial"/>
        </w:rPr>
        <w:t xml:space="preserve"> przez uwzględnienie w katalogu decyzji wskazanych w art. 182, które zastępuje pozwolenie zintegrowane, pozwolenia wodnoprawnego na wprowadzenie ścieków do urządzeń kanalizacyjnych – o ile pozwolenie zintegrowane określa graniczne wielkości emisyjne dla uwolnień do kanalizacji. Nieodzowna będzie również nowelizacja art. 208 ust. 1 i art. 211 ust. 1 ustawy </w:t>
      </w:r>
      <w:proofErr w:type="spellStart"/>
      <w:r w:rsidRPr="00974FE2">
        <w:rPr>
          <w:rFonts w:ascii="Arial" w:hAnsi="Arial" w:cs="Arial"/>
        </w:rPr>
        <w:t>Poś</w:t>
      </w:r>
      <w:proofErr w:type="spellEnd"/>
      <w:r w:rsidRPr="00974FE2">
        <w:rPr>
          <w:rFonts w:ascii="Arial" w:hAnsi="Arial" w:cs="Arial"/>
        </w:rPr>
        <w:t xml:space="preserve"> przez dodanie do wskazanych tam decyzji także pozwolenia wodnoprawnego na wprowadzanie ścieków do urządzeń kanalizacyjnych. Jednocześnie zmieniony zostanie art. 211 ust. 6 pkt 7 ustawy </w:t>
      </w:r>
      <w:proofErr w:type="spellStart"/>
      <w:r w:rsidRPr="00974FE2">
        <w:rPr>
          <w:rFonts w:ascii="Arial" w:hAnsi="Arial" w:cs="Arial"/>
        </w:rPr>
        <w:t>Poś</w:t>
      </w:r>
      <w:proofErr w:type="spellEnd"/>
      <w:r w:rsidRPr="00974FE2">
        <w:rPr>
          <w:rFonts w:ascii="Arial" w:hAnsi="Arial" w:cs="Arial"/>
        </w:rPr>
        <w:t xml:space="preserve">. </w:t>
      </w:r>
    </w:p>
    <w:p w14:paraId="6079936E" w14:textId="612F48E5" w:rsidR="00974FE2" w:rsidRPr="00974FE2" w:rsidRDefault="00974FE2" w:rsidP="00974FE2">
      <w:pPr>
        <w:pStyle w:val="Akapitzlist"/>
        <w:numPr>
          <w:ilvl w:val="0"/>
          <w:numId w:val="10"/>
        </w:numPr>
        <w:spacing w:after="0" w:line="300" w:lineRule="auto"/>
        <w:jc w:val="both"/>
        <w:rPr>
          <w:rFonts w:ascii="Arial" w:hAnsi="Arial" w:cs="Arial"/>
        </w:rPr>
      </w:pPr>
      <w:r w:rsidRPr="00974FE2">
        <w:rPr>
          <w:rFonts w:ascii="Arial" w:hAnsi="Arial" w:cs="Arial"/>
        </w:rPr>
        <w:t xml:space="preserve">Uproszczenie procedury dostosowania pozwoleń zintegrowanych do konkluzji BAT zostanie osiągnięte przez wykreślenie z art. 215 ust. 1 ustawy </w:t>
      </w:r>
      <w:proofErr w:type="spellStart"/>
      <w:r w:rsidRPr="00974FE2">
        <w:rPr>
          <w:rFonts w:ascii="Arial" w:hAnsi="Arial" w:cs="Arial"/>
        </w:rPr>
        <w:t>Poś</w:t>
      </w:r>
      <w:proofErr w:type="spellEnd"/>
      <w:r w:rsidRPr="00974FE2">
        <w:rPr>
          <w:rFonts w:ascii="Arial" w:hAnsi="Arial" w:cs="Arial"/>
        </w:rPr>
        <w:t xml:space="preserve"> obowiązku analizy i porównywania pozwoleń zintegrowanych z nowo opublikowanymi konkluzjami BAT. Właściwy organ ochrony środowiska nadal informowałby prowadzących instalację o fakcie publikacji konkluzji BAT oraz wzywał w związku z tym do złożenia wniosku o zmianę pozwolenia zintegrowanego, wskazując jakie konkluzje BAT mają zastosowanie i powinny zostać uwzględnione we wniosku. </w:t>
      </w:r>
    </w:p>
    <w:p w14:paraId="3319C74B"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Rezygnacja z analizy pozwoleń następującej po publikacji konkluzji BAT odciąży zarówno organy ochrony środowiska, jak również prowadzących instalacje, przekładając się na lepsze zagospodarowanie, wynikającego z przepisów UE, okresu 4 lat na dostosowanie instalacji. Sama procedura analizy pozwolenia zintegrowanego zapisana obecnie w art. 215 ust 1 ustawy </w:t>
      </w:r>
      <w:proofErr w:type="spellStart"/>
      <w:r w:rsidRPr="00974FE2">
        <w:rPr>
          <w:rFonts w:ascii="Arial" w:hAnsi="Arial" w:cs="Arial"/>
        </w:rPr>
        <w:t>Poś</w:t>
      </w:r>
      <w:proofErr w:type="spellEnd"/>
      <w:r w:rsidRPr="00974FE2">
        <w:rPr>
          <w:rFonts w:ascii="Arial" w:hAnsi="Arial" w:cs="Arial"/>
        </w:rPr>
        <w:t xml:space="preserve"> nie wynika bezpośrednio z przepisów dyrektywy 2010/75/UE.</w:t>
      </w:r>
    </w:p>
    <w:p w14:paraId="7EFF4409"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Postulowana zmiana pociągnie za sobą także konieczność modyfikacji treści art. 216 ustawy </w:t>
      </w:r>
      <w:proofErr w:type="spellStart"/>
      <w:r w:rsidRPr="00974FE2">
        <w:rPr>
          <w:rFonts w:ascii="Arial" w:hAnsi="Arial" w:cs="Arial"/>
        </w:rPr>
        <w:t>Poś</w:t>
      </w:r>
      <w:proofErr w:type="spellEnd"/>
      <w:r w:rsidRPr="00974FE2">
        <w:rPr>
          <w:rFonts w:ascii="Arial" w:hAnsi="Arial" w:cs="Arial"/>
        </w:rPr>
        <w:t xml:space="preserve"> dotyczącego okresowych analiz pozwoleń zintegrowanych, z uwagi na funkcjonujące tam odniesienia do analizy opisanej obecnie w art. 215.</w:t>
      </w:r>
    </w:p>
    <w:p w14:paraId="21E20B87" w14:textId="34648BA1" w:rsidR="00974FE2" w:rsidRPr="00974FE2" w:rsidRDefault="00974FE2" w:rsidP="00974FE2">
      <w:pPr>
        <w:pStyle w:val="Akapitzlist"/>
        <w:numPr>
          <w:ilvl w:val="0"/>
          <w:numId w:val="10"/>
        </w:numPr>
        <w:spacing w:after="0" w:line="300" w:lineRule="auto"/>
        <w:jc w:val="both"/>
        <w:rPr>
          <w:rFonts w:ascii="Arial" w:hAnsi="Arial" w:cs="Arial"/>
        </w:rPr>
      </w:pPr>
      <w:r w:rsidRPr="00974FE2">
        <w:rPr>
          <w:rFonts w:ascii="Arial" w:hAnsi="Arial" w:cs="Arial"/>
        </w:rPr>
        <w:t xml:space="preserve">W sprawach, o których mowa w art. 2 ust. 1 pkt 6 i 7 ustawy o inspekcji, właściwość miejscowa WIOŚ zostanie rozszerzona także na obszary morskie Rzeczypospolitej Polskiej w rozumieniu art. 2 ust. 1 ustawy z dnia 21 marca 1991 r. o obszarach morskich </w:t>
      </w:r>
      <w:r w:rsidRPr="00974FE2">
        <w:rPr>
          <w:rFonts w:ascii="Arial" w:hAnsi="Arial" w:cs="Arial"/>
        </w:rPr>
        <w:lastRenderedPageBreak/>
        <w:t xml:space="preserve">Rzeczypospolitej Polskiej i administracji morskiej (Dz. U. z 2024 r. poz. 1125, z </w:t>
      </w:r>
      <w:proofErr w:type="spellStart"/>
      <w:r w:rsidRPr="00974FE2">
        <w:rPr>
          <w:rFonts w:ascii="Arial" w:hAnsi="Arial" w:cs="Arial"/>
        </w:rPr>
        <w:t>późn</w:t>
      </w:r>
      <w:proofErr w:type="spellEnd"/>
      <w:r w:rsidRPr="00974FE2">
        <w:rPr>
          <w:rFonts w:ascii="Arial" w:hAnsi="Arial" w:cs="Arial"/>
        </w:rPr>
        <w:t>. zm.).</w:t>
      </w:r>
    </w:p>
    <w:p w14:paraId="77E0F010"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Terytorialny zakres działania Pomorskiego Wojewódzkiego Inspektora Ochrony Środowiska oraz Zachodniopomorskiego Inspektora Ochrony Środowiska zostanie określony w oparciu o rozwiązania przyjęte już w § 2 rozporządzenia Ministra Transportu i Gospodarki Morskiej z dnia 7 października 1991 r. w sprawie utworzenia urzędów morskich, ich siedzib oraz terytorialnego zakresu działania dyrektorów urzędów morskich (Dz. U. z 2021 r. poz. 1339), gdzie wskazano terytorialny zakres działania dyrektorów urzędów morskich oraz w art. 82c ustawy z dnia 7 lipca 1994 r. – Prawo budowlane (Dz. U. z 2025 r. poz. 418), w którym uregulowana została właściwość wojewodów oraz Wojewódzkiego Inspektora Nadzoru Budowlanego w sprawach pozwoleń na budowę dla morskich farm wiatrowych. Zastosowanie jednolitego podziału terytorialnego dla wszystkich organów administracji zaangażowanych w proces inwestycyjny na obszarach morskich, w tym i dla wojewódzkich inspektorów ochrony środowiska, przyczyni się do zwiększenia przejrzystości, spójności i efektywności działań kontrolnych oraz ograniczenia ryzyka interpretacyjnego.</w:t>
      </w:r>
    </w:p>
    <w:p w14:paraId="0B669498" w14:textId="77777777" w:rsidR="00974FE2" w:rsidRPr="00974FE2" w:rsidRDefault="00974FE2" w:rsidP="00974FE2">
      <w:pPr>
        <w:pStyle w:val="Akapitzlist"/>
        <w:spacing w:after="0" w:line="300" w:lineRule="auto"/>
        <w:jc w:val="both"/>
        <w:rPr>
          <w:rFonts w:ascii="Arial" w:hAnsi="Arial" w:cs="Arial"/>
        </w:rPr>
      </w:pPr>
      <w:r w:rsidRPr="00974FE2">
        <w:rPr>
          <w:rFonts w:ascii="Arial" w:hAnsi="Arial" w:cs="Arial"/>
        </w:rPr>
        <w:t xml:space="preserve">Proponowanym rozwiązaniem jest również dodanie przepisu obligującego właściwego miejscowo dyrektora urzędu morskiego do zapewnienia, na wniosek organów Inspekcji Ochrony Środowiska, wojewódzkiemu inspektorowi ochrony środowiska niezbędnej pomocy w zakresie przeprowadzenia czynności kontrolnych w sprawach, o których mowa w art. 2 ust. 1 pkt 6 i 7. Wskazana pomoc miałaby mieć charakter nieodpłatny i obejmować w szczególności zapewnienie terminowego transportu na miejsce i z miejsca czynności kontrolnych oraz zapewnienie bezpieczeństwa inspektorowi w trakcie czynności kontrolnych. Z uwagi na dotychczasowy brak doświadczeń w wykonywaniu przez wojewódzkich inspektorów ochrony środowiska czynności na obszarach morskich Rzeczypospolitej Polskiej organy te nie posiadają odpowiedniego zaplecza logistycznego do operowania na obszarach morskich. Niemniej jednak należy mieć na uwadze, że wobec potencjalnie czysto incydentalnego charakteru ww. działań w przyszłości oraz znaczących kosztów związanych z przeszkoleniem załogi i zakupem przez organy Inspekcji Ochrony Środowiska odpowiednich łodzi, zapewniających bezpieczny transport także poza morskie wody wewnętrzne (np. do wyłącznej strefy ekonomicznej) doposażenie Inspekcji Ochrony Środowiska w chwili obecnej nie znajduje uzasadnienia ekonomicznego. </w:t>
      </w:r>
    </w:p>
    <w:p w14:paraId="01FF44CB" w14:textId="57E36E17" w:rsidR="00F3237C" w:rsidRDefault="00974FE2" w:rsidP="00974FE2">
      <w:pPr>
        <w:pStyle w:val="Akapitzlist"/>
        <w:spacing w:after="0" w:line="300" w:lineRule="auto"/>
        <w:jc w:val="both"/>
        <w:rPr>
          <w:rFonts w:ascii="Arial" w:hAnsi="Arial" w:cs="Arial"/>
        </w:rPr>
      </w:pPr>
      <w:r w:rsidRPr="00974FE2">
        <w:rPr>
          <w:rFonts w:ascii="Arial" w:hAnsi="Arial" w:cs="Arial"/>
        </w:rPr>
        <w:t>Bezspornym jest, że tylko dyrektorzy urzędów morskich jako terenowe organy administracji morskiej w Polsce (wraz ze swoim aparatem pomocniczym w postaci urzędów morskich) posiadają niezbędne doświadczenie, zasób kadrowy i zaplecze techniczne dające gwarancje zapewnienia inspektorom Pomorskiego i Zachodniopomorskiego WIOŚ bezpieczeństwa w przeprowadzaniu na obszarach morskich RP czynności kontrolnych w sprawach, o których mowa w art. 2 ust. 1 pkt 6 i 7 ustawy o inspekcji.</w:t>
      </w:r>
    </w:p>
    <w:p w14:paraId="5E060137" w14:textId="77777777" w:rsidR="00974FE2" w:rsidRDefault="00974FE2" w:rsidP="00974FE2">
      <w:pPr>
        <w:spacing w:after="0" w:line="300" w:lineRule="auto"/>
        <w:jc w:val="both"/>
        <w:rPr>
          <w:rFonts w:ascii="Arial" w:hAnsi="Arial" w:cs="Arial"/>
        </w:rPr>
      </w:pPr>
    </w:p>
    <w:p w14:paraId="53242CA1" w14:textId="77777777" w:rsidR="00974FE2" w:rsidRPr="00974FE2" w:rsidRDefault="00974FE2" w:rsidP="00974FE2">
      <w:pPr>
        <w:spacing w:after="0" w:line="300" w:lineRule="auto"/>
        <w:jc w:val="both"/>
        <w:rPr>
          <w:rFonts w:ascii="Arial" w:hAnsi="Arial" w:cs="Arial"/>
        </w:rPr>
      </w:pPr>
      <w:r w:rsidRPr="00974FE2">
        <w:rPr>
          <w:rFonts w:ascii="Arial" w:hAnsi="Arial" w:cs="Arial"/>
        </w:rPr>
        <w:t>Przedmiotowy projekt aktu prawnego wraz z Uzasadnieniem oraz Oceną Skutków Regulacji dostępny jest na stronach Rządowego Centrum Legislacji pod adresem:</w:t>
      </w:r>
    </w:p>
    <w:p w14:paraId="51E703A2" w14:textId="76027339" w:rsidR="00974FE2" w:rsidRDefault="00974FE2" w:rsidP="00974FE2">
      <w:pPr>
        <w:spacing w:after="0" w:line="300" w:lineRule="auto"/>
        <w:jc w:val="both"/>
        <w:rPr>
          <w:rFonts w:ascii="Arial" w:hAnsi="Arial" w:cs="Arial"/>
        </w:rPr>
      </w:pPr>
      <w:hyperlink r:id="rId7" w:anchor="13154907" w:history="1">
        <w:r w:rsidRPr="00E507F9">
          <w:rPr>
            <w:rStyle w:val="Hipercze"/>
            <w:rFonts w:ascii="Arial" w:hAnsi="Arial" w:cs="Arial"/>
          </w:rPr>
          <w:t>https://legislacja.rcl.gov.pl/projekt/12401951/katalog/13154907#13154907</w:t>
        </w:r>
      </w:hyperlink>
      <w:r>
        <w:rPr>
          <w:rFonts w:ascii="Arial" w:hAnsi="Arial" w:cs="Arial"/>
        </w:rPr>
        <w:t xml:space="preserve"> </w:t>
      </w:r>
    </w:p>
    <w:p w14:paraId="13836CE6" w14:textId="77777777" w:rsidR="00974FE2" w:rsidRPr="00974FE2" w:rsidRDefault="00974FE2" w:rsidP="00974FE2">
      <w:pPr>
        <w:spacing w:after="0" w:line="300" w:lineRule="auto"/>
        <w:jc w:val="both"/>
        <w:rPr>
          <w:rFonts w:ascii="Arial" w:hAnsi="Arial" w:cs="Arial"/>
        </w:rPr>
      </w:pPr>
    </w:p>
    <w:p w14:paraId="18284079" w14:textId="16755E82" w:rsidR="00F3237C" w:rsidRDefault="00974FE2" w:rsidP="00F3237C">
      <w:pPr>
        <w:spacing w:after="0" w:line="300" w:lineRule="auto"/>
        <w:rPr>
          <w:rFonts w:ascii="Arial" w:hAnsi="Arial" w:cs="Arial"/>
        </w:rPr>
      </w:pPr>
      <w:r w:rsidRPr="00974FE2">
        <w:rPr>
          <w:rFonts w:ascii="Arial" w:hAnsi="Arial" w:cs="Arial"/>
        </w:rPr>
        <w:t>Projekt jest obecnie jednocześnie na etapie uzgodnień, konsultacji publicznych i opiniowania.</w:t>
      </w:r>
    </w:p>
    <w:p w14:paraId="30CEDB65" w14:textId="77777777" w:rsidR="00974FE2" w:rsidRPr="00F3237C" w:rsidRDefault="00974FE2" w:rsidP="00F3237C">
      <w:pPr>
        <w:spacing w:after="0" w:line="300" w:lineRule="auto"/>
        <w:rPr>
          <w:rFonts w:ascii="Arial" w:hAnsi="Arial" w:cs="Arial"/>
        </w:rPr>
      </w:pPr>
    </w:p>
    <w:p w14:paraId="0C1F4146" w14:textId="00D14134" w:rsidR="00C615EC" w:rsidRPr="00974FE2" w:rsidRDefault="00974FE2" w:rsidP="00F3237C">
      <w:pPr>
        <w:pStyle w:val="Akapitzlist"/>
        <w:numPr>
          <w:ilvl w:val="0"/>
          <w:numId w:val="3"/>
        </w:numPr>
        <w:spacing w:after="0" w:line="300" w:lineRule="auto"/>
        <w:jc w:val="both"/>
        <w:rPr>
          <w:rFonts w:ascii="Arial" w:hAnsi="Arial" w:cs="Arial"/>
          <w:b/>
          <w:bCs/>
          <w:u w:val="single"/>
        </w:rPr>
      </w:pPr>
      <w:r w:rsidRPr="00974FE2">
        <w:rPr>
          <w:rFonts w:ascii="Arial" w:hAnsi="Arial" w:cs="Arial"/>
          <w:b/>
          <w:bCs/>
          <w:u w:val="single"/>
        </w:rPr>
        <w:t>Projekt ustawy o zmianie ustawy – Prawo własności przemysłowej (numer z wykazu UDER85).</w:t>
      </w:r>
    </w:p>
    <w:p w14:paraId="2617CE6F" w14:textId="77777777" w:rsidR="00C615EC" w:rsidRDefault="00C615EC" w:rsidP="00F3237C">
      <w:pPr>
        <w:spacing w:after="0" w:line="300" w:lineRule="auto"/>
        <w:jc w:val="both"/>
        <w:rPr>
          <w:rFonts w:ascii="Arial" w:hAnsi="Arial" w:cs="Arial"/>
        </w:rPr>
      </w:pPr>
    </w:p>
    <w:p w14:paraId="4523B713" w14:textId="77777777" w:rsidR="00974FE2" w:rsidRPr="00974FE2" w:rsidRDefault="00974FE2" w:rsidP="00974FE2">
      <w:pPr>
        <w:spacing w:after="0" w:line="300" w:lineRule="auto"/>
        <w:jc w:val="both"/>
        <w:rPr>
          <w:rFonts w:ascii="Arial" w:hAnsi="Arial" w:cs="Arial"/>
        </w:rPr>
      </w:pPr>
      <w:r w:rsidRPr="00974FE2">
        <w:rPr>
          <w:rFonts w:ascii="Arial" w:hAnsi="Arial" w:cs="Arial"/>
        </w:rPr>
        <w:t>Obecnie ustawa z dnia 30 czerwca 2000 r. – Prawo własności przemysłowej (Dz. U. z 2023 r. poz. 1170), zwana dalej „</w:t>
      </w:r>
      <w:proofErr w:type="spellStart"/>
      <w:r w:rsidRPr="00974FE2">
        <w:rPr>
          <w:rFonts w:ascii="Arial" w:hAnsi="Arial" w:cs="Arial"/>
        </w:rPr>
        <w:t>pwp</w:t>
      </w:r>
      <w:proofErr w:type="spellEnd"/>
      <w:r w:rsidRPr="00974FE2">
        <w:rPr>
          <w:rFonts w:ascii="Arial" w:hAnsi="Arial" w:cs="Arial"/>
        </w:rPr>
        <w:t xml:space="preserve">” nie reguluje kwestii związanych z ochroną tajemnicy przedsiębiorstwa w postępowaniu przed Urzędem Patentowym Rzeczypospolitej Polskiej (zwanym dalej również „UP RP”). </w:t>
      </w:r>
    </w:p>
    <w:p w14:paraId="06333B9B"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W zakresie postępowania spornego </w:t>
      </w:r>
      <w:proofErr w:type="spellStart"/>
      <w:r w:rsidRPr="00974FE2">
        <w:rPr>
          <w:rFonts w:ascii="Arial" w:hAnsi="Arial" w:cs="Arial"/>
        </w:rPr>
        <w:t>pwp</w:t>
      </w:r>
      <w:proofErr w:type="spellEnd"/>
      <w:r w:rsidRPr="00974FE2">
        <w:rPr>
          <w:rFonts w:ascii="Arial" w:hAnsi="Arial" w:cs="Arial"/>
        </w:rPr>
        <w:t xml:space="preserve"> przewiduje możliwość wyłączenia jawności rozprawy w przypadku powołania się przez strony na informacje prawnie chronione np. tajemnicę przedsiębiorstwa. Takie wyłączenie nie może obejmować obecności stron na rozprawie.</w:t>
      </w:r>
    </w:p>
    <w:p w14:paraId="76826BC4"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Wprowadzenie do ustawy </w:t>
      </w:r>
      <w:proofErr w:type="spellStart"/>
      <w:r w:rsidRPr="00974FE2">
        <w:rPr>
          <w:rFonts w:ascii="Arial" w:hAnsi="Arial" w:cs="Arial"/>
        </w:rPr>
        <w:t>pwp</w:t>
      </w:r>
      <w:proofErr w:type="spellEnd"/>
      <w:r w:rsidRPr="00974FE2">
        <w:rPr>
          <w:rFonts w:ascii="Arial" w:hAnsi="Arial" w:cs="Arial"/>
        </w:rPr>
        <w:t xml:space="preserve"> regulacji dotyczących ochrony tajemnicy przedsiębiorstwa stanowi realizację postulatu Rządowego Zespołu do spraw Deregulacji.</w:t>
      </w:r>
    </w:p>
    <w:p w14:paraId="046D42D5"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Realizacja postulatu będzie polegać na wprowadzeniu do ustawy </w:t>
      </w:r>
      <w:proofErr w:type="spellStart"/>
      <w:r w:rsidRPr="00974FE2">
        <w:rPr>
          <w:rFonts w:ascii="Arial" w:hAnsi="Arial" w:cs="Arial"/>
        </w:rPr>
        <w:t>pwp</w:t>
      </w:r>
      <w:proofErr w:type="spellEnd"/>
      <w:r w:rsidRPr="00974FE2">
        <w:rPr>
          <w:rFonts w:ascii="Arial" w:hAnsi="Arial" w:cs="Arial"/>
        </w:rPr>
        <w:t xml:space="preserve"> regulacji dotyczącej ochrony tajemnicy przedsiębiorstwa w postępowaniu przed UP RP, w zakresie w jakim konieczne jest wykazanie używania znaku towarowego. </w:t>
      </w:r>
    </w:p>
    <w:p w14:paraId="6EA985F8"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Projektowane przepisy znajdą zastosowanie w postępowaniu w sprawie sprzeciwu wobec zgłoszenia znaku towarowego i w postępowaniu o unieważnienie prawa ochronnego na podstawie wcześniejszego znaku towarowego, gdzie zostanie podniesiony zarzut nieużywania wcześniejszego znaku towarowego (art. 15219ust. 4 </w:t>
      </w:r>
      <w:proofErr w:type="spellStart"/>
      <w:r w:rsidRPr="00974FE2">
        <w:rPr>
          <w:rFonts w:ascii="Arial" w:hAnsi="Arial" w:cs="Arial"/>
        </w:rPr>
        <w:t>pwp</w:t>
      </w:r>
      <w:proofErr w:type="spellEnd"/>
      <w:r w:rsidRPr="00974FE2">
        <w:rPr>
          <w:rFonts w:ascii="Arial" w:hAnsi="Arial" w:cs="Arial"/>
        </w:rPr>
        <w:t xml:space="preserve"> i art. 166 ust. 1 </w:t>
      </w:r>
      <w:proofErr w:type="spellStart"/>
      <w:r w:rsidRPr="00974FE2">
        <w:rPr>
          <w:rFonts w:ascii="Arial" w:hAnsi="Arial" w:cs="Arial"/>
        </w:rPr>
        <w:t>pwp</w:t>
      </w:r>
      <w:proofErr w:type="spellEnd"/>
      <w:r w:rsidRPr="00974FE2">
        <w:rPr>
          <w:rFonts w:ascii="Arial" w:hAnsi="Arial" w:cs="Arial"/>
        </w:rPr>
        <w:t xml:space="preserve">) oraz w postępowaniu o stwierdzenie wygaśnięcia prawa ochronnego na znak towarowy z powodu jego nieużywania (art. 169 ust. 1 pkt 1 i ust. 6 </w:t>
      </w:r>
      <w:proofErr w:type="spellStart"/>
      <w:r w:rsidRPr="00974FE2">
        <w:rPr>
          <w:rFonts w:ascii="Arial" w:hAnsi="Arial" w:cs="Arial"/>
        </w:rPr>
        <w:t>pwp</w:t>
      </w:r>
      <w:proofErr w:type="spellEnd"/>
      <w:r w:rsidRPr="00974FE2">
        <w:rPr>
          <w:rFonts w:ascii="Arial" w:hAnsi="Arial" w:cs="Arial"/>
        </w:rPr>
        <w:t>).</w:t>
      </w:r>
    </w:p>
    <w:p w14:paraId="78857BD1"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Urząd Patentowy Rzeczypospolitej Polskiej będzie uprawniony do ograniczenia wglądu do materiałów i dowodów załączonych do akt sprawy, jeżeli udostępnienie tych materiałów i dowodów groziłoby ujawnieniem tajemnicy przedsiębiorstwa. UP RP w tej sprawie będzie wydawał postanowienie, przy czym postępowanie będzie wszczynane na wniosek. Wniosek o ograniczenie prawa wglądu do materiałów i dowodów składany będzie wraz z uzasadnieniem oraz </w:t>
      </w:r>
    </w:p>
    <w:p w14:paraId="33EC0387" w14:textId="77777777" w:rsidR="00974FE2" w:rsidRPr="00974FE2" w:rsidRDefault="00974FE2" w:rsidP="00974FE2">
      <w:pPr>
        <w:spacing w:after="0" w:line="300" w:lineRule="auto"/>
        <w:jc w:val="both"/>
        <w:rPr>
          <w:rFonts w:ascii="Arial" w:hAnsi="Arial" w:cs="Arial"/>
        </w:rPr>
      </w:pPr>
      <w:r w:rsidRPr="00974FE2">
        <w:rPr>
          <w:rFonts w:ascii="Arial" w:hAnsi="Arial" w:cs="Arial"/>
        </w:rPr>
        <w:t>wersją dokumentu niezawierającą informacji objętych ograniczeniem. Projektowane przepisy przewidują możliwość wezwania do uzupełnienia wniosku, pod rygorem pozostawienia wniosku bez rozpoznania. W przypadku uwzględnienia wniosku, stronie będą udostępniane materiały i dowody niezawierające informacji objętych ograniczeniem.</w:t>
      </w:r>
    </w:p>
    <w:p w14:paraId="00501C9A" w14:textId="77777777" w:rsidR="00974FE2" w:rsidRPr="00974FE2" w:rsidRDefault="00974FE2" w:rsidP="00974FE2">
      <w:pPr>
        <w:spacing w:after="0" w:line="300" w:lineRule="auto"/>
        <w:jc w:val="both"/>
        <w:rPr>
          <w:rFonts w:ascii="Arial" w:hAnsi="Arial" w:cs="Arial"/>
        </w:rPr>
      </w:pPr>
      <w:r w:rsidRPr="00974FE2">
        <w:rPr>
          <w:rFonts w:ascii="Arial" w:hAnsi="Arial" w:cs="Arial"/>
        </w:rPr>
        <w:t xml:space="preserve">Zakres ograniczenia wglądu do materiałów i dowodów powinien być niezbędny w tym rozumieniu, że powinien chronić tajemnicę przedsiębiorstwa przy jednoczesnej realizacji zasady prawa do obrony strony przeciwnej. </w:t>
      </w:r>
    </w:p>
    <w:p w14:paraId="1BE2FE53" w14:textId="1C65E929" w:rsidR="00974FE2" w:rsidRDefault="00974FE2" w:rsidP="00974FE2">
      <w:pPr>
        <w:spacing w:after="0" w:line="300" w:lineRule="auto"/>
        <w:jc w:val="both"/>
        <w:rPr>
          <w:rFonts w:ascii="Arial" w:hAnsi="Arial" w:cs="Arial"/>
        </w:rPr>
      </w:pPr>
      <w:r w:rsidRPr="00974FE2">
        <w:rPr>
          <w:rFonts w:ascii="Arial" w:hAnsi="Arial" w:cs="Arial"/>
        </w:rPr>
        <w:t xml:space="preserve">Brak jest możliwości osiągnięcia celów projektu w ramach działań </w:t>
      </w:r>
      <w:proofErr w:type="spellStart"/>
      <w:r w:rsidRPr="00974FE2">
        <w:rPr>
          <w:rFonts w:ascii="Arial" w:hAnsi="Arial" w:cs="Arial"/>
        </w:rPr>
        <w:t>pozalegislacyjnych</w:t>
      </w:r>
      <w:proofErr w:type="spellEnd"/>
      <w:r w:rsidRPr="00974FE2">
        <w:rPr>
          <w:rFonts w:ascii="Arial" w:hAnsi="Arial" w:cs="Arial"/>
        </w:rPr>
        <w:t>.</w:t>
      </w:r>
    </w:p>
    <w:p w14:paraId="1C7CCC0A" w14:textId="77777777" w:rsidR="00974FE2" w:rsidRDefault="00974FE2" w:rsidP="00974FE2">
      <w:pPr>
        <w:spacing w:after="0" w:line="300" w:lineRule="auto"/>
        <w:jc w:val="both"/>
        <w:rPr>
          <w:rFonts w:ascii="Arial" w:hAnsi="Arial" w:cs="Arial"/>
        </w:rPr>
      </w:pPr>
    </w:p>
    <w:p w14:paraId="62B432C7" w14:textId="77777777" w:rsidR="00974FE2" w:rsidRPr="00974FE2" w:rsidRDefault="00974FE2" w:rsidP="00974FE2">
      <w:pPr>
        <w:spacing w:after="0" w:line="300" w:lineRule="auto"/>
        <w:jc w:val="both"/>
        <w:rPr>
          <w:rFonts w:ascii="Arial" w:hAnsi="Arial" w:cs="Arial"/>
        </w:rPr>
      </w:pPr>
      <w:r w:rsidRPr="00974FE2">
        <w:rPr>
          <w:rFonts w:ascii="Arial" w:hAnsi="Arial" w:cs="Arial"/>
        </w:rPr>
        <w:t>Przedmiotowy projekt aktu prawnego wraz z Uzasadnieniem oraz Oceną Skutków Regulacji dostępny jest na stronach Rządowego Centrum Legislacji pod adresem:</w:t>
      </w:r>
    </w:p>
    <w:p w14:paraId="40BCA753" w14:textId="4F7624E8" w:rsidR="00974FE2" w:rsidRDefault="00974FE2" w:rsidP="00974FE2">
      <w:pPr>
        <w:spacing w:after="0" w:line="300" w:lineRule="auto"/>
        <w:jc w:val="both"/>
        <w:rPr>
          <w:rFonts w:ascii="Arial" w:hAnsi="Arial" w:cs="Arial"/>
        </w:rPr>
      </w:pPr>
      <w:hyperlink r:id="rId8" w:anchor="13155351" w:history="1">
        <w:r w:rsidRPr="00E507F9">
          <w:rPr>
            <w:rStyle w:val="Hipercze"/>
            <w:rFonts w:ascii="Arial" w:hAnsi="Arial" w:cs="Arial"/>
          </w:rPr>
          <w:t>https://legislacja.rcl.gov.pl/projekt/12402001/katalog/13155351#13155351</w:t>
        </w:r>
      </w:hyperlink>
      <w:r>
        <w:rPr>
          <w:rFonts w:ascii="Arial" w:hAnsi="Arial" w:cs="Arial"/>
        </w:rPr>
        <w:t xml:space="preserve"> </w:t>
      </w:r>
    </w:p>
    <w:p w14:paraId="69ECB132" w14:textId="77777777" w:rsidR="00974FE2" w:rsidRDefault="00974FE2" w:rsidP="00974FE2">
      <w:pPr>
        <w:spacing w:after="0" w:line="300" w:lineRule="auto"/>
        <w:jc w:val="both"/>
        <w:rPr>
          <w:rFonts w:ascii="Arial" w:hAnsi="Arial" w:cs="Arial"/>
        </w:rPr>
      </w:pPr>
    </w:p>
    <w:p w14:paraId="70C274FD" w14:textId="0BC7C5D2" w:rsidR="00974FE2" w:rsidRDefault="00974FE2" w:rsidP="00974FE2">
      <w:pPr>
        <w:spacing w:after="0" w:line="300" w:lineRule="auto"/>
        <w:jc w:val="both"/>
        <w:rPr>
          <w:rFonts w:ascii="Arial" w:hAnsi="Arial" w:cs="Arial"/>
        </w:rPr>
      </w:pPr>
      <w:r w:rsidRPr="00974FE2">
        <w:rPr>
          <w:rFonts w:ascii="Arial" w:hAnsi="Arial" w:cs="Arial"/>
        </w:rPr>
        <w:lastRenderedPageBreak/>
        <w:t>Projekt jest obecnie jednocześnie na etapie uzgodnień, konsultacji publicznych i opiniowania.</w:t>
      </w:r>
    </w:p>
    <w:p w14:paraId="2E34B4C3" w14:textId="77777777" w:rsidR="00974FE2" w:rsidRDefault="00974FE2" w:rsidP="00F3237C">
      <w:pPr>
        <w:spacing w:after="0" w:line="300" w:lineRule="auto"/>
        <w:jc w:val="both"/>
        <w:rPr>
          <w:rFonts w:ascii="Arial" w:hAnsi="Arial" w:cs="Arial"/>
        </w:rPr>
      </w:pPr>
    </w:p>
    <w:p w14:paraId="7A572E0B" w14:textId="77777777" w:rsidR="00C615EC" w:rsidRDefault="00C615EC" w:rsidP="00F3237C">
      <w:pPr>
        <w:spacing w:after="0" w:line="300" w:lineRule="auto"/>
        <w:jc w:val="both"/>
        <w:rPr>
          <w:rFonts w:ascii="Arial" w:hAnsi="Arial" w:cs="Arial"/>
        </w:rPr>
      </w:pPr>
      <w:r>
        <w:rPr>
          <w:rFonts w:ascii="Arial" w:hAnsi="Arial" w:cs="Arial"/>
        </w:rPr>
        <w:t>Projekty rozporządzeń:</w:t>
      </w:r>
    </w:p>
    <w:p w14:paraId="0A846F93" w14:textId="77777777" w:rsidR="00F3237C" w:rsidRDefault="00F3237C" w:rsidP="00F3237C">
      <w:pPr>
        <w:spacing w:after="0" w:line="300" w:lineRule="auto"/>
        <w:jc w:val="both"/>
        <w:rPr>
          <w:rFonts w:ascii="Arial" w:hAnsi="Arial" w:cs="Arial"/>
        </w:rPr>
      </w:pPr>
    </w:p>
    <w:p w14:paraId="7989A90F" w14:textId="211773B3" w:rsidR="00F3237C" w:rsidRPr="003F7F2E" w:rsidRDefault="003F7F2E" w:rsidP="00F3237C">
      <w:pPr>
        <w:pStyle w:val="Akapitzlist"/>
        <w:numPr>
          <w:ilvl w:val="0"/>
          <w:numId w:val="4"/>
        </w:numPr>
        <w:spacing w:after="0" w:line="300" w:lineRule="auto"/>
        <w:jc w:val="both"/>
        <w:rPr>
          <w:rFonts w:ascii="Arial" w:hAnsi="Arial" w:cs="Arial"/>
          <w:b/>
          <w:bCs/>
          <w:u w:val="single"/>
        </w:rPr>
      </w:pPr>
      <w:r w:rsidRPr="003F7F2E">
        <w:rPr>
          <w:rFonts w:ascii="Arial" w:hAnsi="Arial" w:cs="Arial"/>
          <w:b/>
          <w:bCs/>
          <w:u w:val="single"/>
        </w:rPr>
        <w:t>Projekt rozporządzenia Rady Ministrów w sprawie zapewnienia przez przedsiębiorcę telekomunikacyjnego warunków dostępu i utrwalania oraz przygotowania technicznych i organizacyjnych warunków udostępniania danych (numer z wykazu RD217).</w:t>
      </w:r>
    </w:p>
    <w:p w14:paraId="5882B0D0" w14:textId="77777777" w:rsidR="00F3237C" w:rsidRDefault="00F3237C" w:rsidP="00F3237C">
      <w:pPr>
        <w:spacing w:after="0" w:line="300" w:lineRule="auto"/>
        <w:jc w:val="both"/>
        <w:rPr>
          <w:rFonts w:ascii="Arial" w:hAnsi="Arial" w:cs="Arial"/>
        </w:rPr>
      </w:pPr>
    </w:p>
    <w:p w14:paraId="559A2856" w14:textId="77777777" w:rsidR="003F7F2E" w:rsidRPr="003F7F2E" w:rsidRDefault="003F7F2E" w:rsidP="003F7F2E">
      <w:pPr>
        <w:spacing w:after="0" w:line="300" w:lineRule="auto"/>
        <w:jc w:val="both"/>
        <w:rPr>
          <w:rFonts w:ascii="Arial" w:hAnsi="Arial" w:cs="Arial"/>
        </w:rPr>
      </w:pPr>
      <w:r w:rsidRPr="003F7F2E">
        <w:rPr>
          <w:rFonts w:ascii="Arial" w:hAnsi="Arial" w:cs="Arial"/>
        </w:rPr>
        <w:t>Projektowane rozporządzenie zastępuje rozporządzenie Rady Ministrów z dnia 13 września 2005 r. w sprawie wypełniania przez przedsiębiorców telekomunikacyjnych zadań i obowiązków na rzecz obronności, bezpieczeństwa państwa oraz bezpieczeństwa i porządku publicznego (Dz. U. poz. 1568), wydane na podstawie art. 181 ustawy z dnia 16 lipca 2004 r. – Prawo telekomunikacyjne (Dz. U. z 2024 r. poz. 34, 731 i 834), uchylonego z dniem 6 lipca 2009 r., na mocy przepisu art. 1 pkt 42 ustawy z dnia 24 kwietnia 2009 r. o zmianie ustawy – Prawo telekomunikacyjne oraz niektórych innych ustaw (Dz. U. poz. 716). Pomimo uchylenia przepisu ustawowego stanowiącego podstawę prawną do jego wydania, rozporządzenie z dnia 13 września 2005 r. zachowało moc obowiązującą, na podstawie upoważnienia zawartego w art. 14 ust. 1 ustawy z dnia 24 kwietnia 2009 r. o zmianie ustawy – Prawo telekomunikacyjne oraz niektórych innych ustaw. W chwili obecnej rozporządzenie jest wykonaniem upoważnienia zawartego w art. 46 ust. 1 ustawy z dnia 12 lipca 2024 r. – Prawo komunikacji elektronicznej, zwanej dalej „ustawą”.</w:t>
      </w:r>
    </w:p>
    <w:p w14:paraId="160A5C29" w14:textId="77777777" w:rsidR="003F7F2E" w:rsidRPr="003F7F2E" w:rsidRDefault="003F7F2E" w:rsidP="003F7F2E">
      <w:pPr>
        <w:spacing w:after="0" w:line="300" w:lineRule="auto"/>
        <w:jc w:val="both"/>
        <w:rPr>
          <w:rFonts w:ascii="Arial" w:hAnsi="Arial" w:cs="Arial"/>
        </w:rPr>
      </w:pPr>
      <w:r w:rsidRPr="003F7F2E">
        <w:rPr>
          <w:rFonts w:ascii="Arial" w:hAnsi="Arial" w:cs="Arial"/>
        </w:rPr>
        <w:t>Projektowane rozporządzenie ma na celu umożliwienie uprawnionym podmiotom, o których mowa w art. 43 ust. 1 ustawy (Policja, Biuro Nadzoru Wewnętrznego, Straż Graniczna, Służba Ochrony Państwa, Agencja Bezpieczeństwa Wewnętrznego, Służba Kontrwywiadu Wojskowego, Żandarmeria Wojskowa, Centralne Biuro Antykorupcyjne i Krajowa Administracja Skarbowa), a także sądowi i prokuratorowi, dostępu do informacji przesyłanych w ramach świadczonych usług telekomunikacyjnych, w tym komunikatów elektronicznych, danych abonentów, danych o lokalizacji, danych o próbach uzyskania połączeń oraz danych lokalizacyjnych. Umożliwienie takiego dostępu nastąpi poprzez spełnienie przez przedsiębiorców telekomunikacyjnych  wymagań określonych w rozporządzeniu.</w:t>
      </w:r>
    </w:p>
    <w:p w14:paraId="267E6078" w14:textId="77777777" w:rsidR="003F7F2E" w:rsidRPr="003F7F2E" w:rsidRDefault="003F7F2E" w:rsidP="003F7F2E">
      <w:pPr>
        <w:spacing w:after="0" w:line="300" w:lineRule="auto"/>
        <w:jc w:val="both"/>
        <w:rPr>
          <w:rFonts w:ascii="Arial" w:hAnsi="Arial" w:cs="Arial"/>
        </w:rPr>
      </w:pPr>
      <w:r w:rsidRPr="003F7F2E">
        <w:rPr>
          <w:rFonts w:ascii="Arial" w:hAnsi="Arial" w:cs="Arial"/>
        </w:rPr>
        <w:t xml:space="preserve">Kierując się określoną w delegacji ustawowej do wydania przedmiotowego rozporządzenia zasadą osiągania celu przy jak najniższych nakładach w projekcie rozporządzenia zaproponowano wprowadzenie różnych sposobów zapewnienia warunków dostępu i utrwalania przez uprawnione podmioty komunikatów elektronicznych i danych przesyłanych lub powstałych w ramach świadczonych usług telekomunikacyjnych, w zależności od wielkości przedsiębiorcy telekomunikacyjnego. Bardziej zaawansowany sposób przewidziano dla większych przedsiębiorców telekomunikacyjnych, tzn. niebędących </w:t>
      </w:r>
      <w:proofErr w:type="spellStart"/>
      <w:r w:rsidRPr="003F7F2E">
        <w:rPr>
          <w:rFonts w:ascii="Arial" w:hAnsi="Arial" w:cs="Arial"/>
        </w:rPr>
        <w:t>mikroprzedsiębiorcą</w:t>
      </w:r>
      <w:proofErr w:type="spellEnd"/>
      <w:r w:rsidRPr="003F7F2E">
        <w:rPr>
          <w:rFonts w:ascii="Arial" w:hAnsi="Arial" w:cs="Arial"/>
        </w:rPr>
        <w:t xml:space="preserve"> albo małym przedsiębiorcą w rozumieniu ustawy z dnia 6 marca 2018 r. – Prawo przedsiębiorców (Dz. U. z 2024 r. poz. 236, z </w:t>
      </w:r>
      <w:proofErr w:type="spellStart"/>
      <w:r w:rsidRPr="003F7F2E">
        <w:rPr>
          <w:rFonts w:ascii="Arial" w:hAnsi="Arial" w:cs="Arial"/>
        </w:rPr>
        <w:t>późn</w:t>
      </w:r>
      <w:proofErr w:type="spellEnd"/>
      <w:r w:rsidRPr="003F7F2E">
        <w:rPr>
          <w:rFonts w:ascii="Arial" w:hAnsi="Arial" w:cs="Arial"/>
        </w:rPr>
        <w:t xml:space="preserve">. zm.). Sposób zapewniania warunków dostępu i utrwalania w sposób realizowany w trybie określonym w art. 34 ust. 5 oraz art. 54 ust. 8 ustawy z dnia 5 sierpnia 2010 r. o ochronie informacji niejawnych (Dz. U. z 2024 r. poz. 632 i 1222 oraz z 2025 r. poz. 820) (przyznanie jednorazowego dostępu do określonych informacji niejawnych w trybie „doraźnym”) przewidziano dla mikro- i małych przedsiębiorców telekomunikacyjnych. </w:t>
      </w:r>
      <w:r w:rsidRPr="003F7F2E">
        <w:rPr>
          <w:rFonts w:ascii="Arial" w:hAnsi="Arial" w:cs="Arial"/>
        </w:rPr>
        <w:lastRenderedPageBreak/>
        <w:t>Wskazane przepisy regulują wyjątkowy tryb przekazywania informacji niejawnych osobom nieposiadającym odpowiedniego poświadczenia bezpieczeństwa lub przedsiębiorcom telekomunikacyjnym nieposiadającym stosownego poświadczenia bezpieczeństwa przemysłowego. W rezultacie najmniejsi przedsiębiorcy telekomunikacyjni będą zwolnieni z obowiązku posiadania świadectwa bezpieczeństwa przemysłowego, a tym samym konieczności ponoszenia kosztów jego uzyskania oraz tworzenia i utrzymania kancelarii tajnych. Tego rodzaju przedsiębiorcom telekomunikacyjnym informacje niejawne (np. zawarte w zapotrzebowaniu) udostępniane będą na podstawie jednorazowej zgody właściwego organu, w trybie określonym w ustawie z dnia 5 sierpnia 2010 r. o ochronie informacji niejawnych. Projektowane rozwiązanie wynika również z dotychczasowej praktyki, która wykazała, że rzeczywista potrzeba zapewniania warunków dostępu i utrwalania, a zatem i konieczność przetwarzania informacji niejawnych przez znaczną grupę mniejszych przedsiębiorców telekomunikacyjnych ma charakter sporadyczny. Bezpieczeństwo tej procedury jest zachowane dzięki przepisom ustawowym, które stanowią, że zgodę na przyznanie jednorazowego dostępu do określonych informacji niejawnych mogą wydać Szefowie Kancelarii Prezydenta Rzeczypospolitej Polskiej, Kancelarii Sejmu, Kancelarii Senatu lub Kancelarii Prezesa Rady Ministrów albo minister właściwy dla określonego działu administracji rządowej, Prezes Narodowego Banku Polskiego, Prezes Najwyższej Izby Kontroli lub kierownik urzędu centralnego, a w przypadku ich braku Agencja Bezpieczeństwa Wewnętrznego albo Służba Kontrwywiadu Wojskowego.</w:t>
      </w:r>
    </w:p>
    <w:p w14:paraId="5947B1AF" w14:textId="77777777" w:rsidR="003F7F2E" w:rsidRPr="003F7F2E" w:rsidRDefault="003F7F2E" w:rsidP="003F7F2E">
      <w:pPr>
        <w:spacing w:after="0" w:line="300" w:lineRule="auto"/>
        <w:jc w:val="both"/>
        <w:rPr>
          <w:rFonts w:ascii="Arial" w:hAnsi="Arial" w:cs="Arial"/>
        </w:rPr>
      </w:pPr>
      <w:r w:rsidRPr="003F7F2E">
        <w:rPr>
          <w:rFonts w:ascii="Arial" w:hAnsi="Arial" w:cs="Arial"/>
        </w:rPr>
        <w:t>Projektowane rozporządzenie przewiduje zatem zmniejszenie obciążeń proceduralnych, przy jednoczesnym zapewnieniu, że wprowadzone regulacje nie zmniejszą poziomu bezpieczeństwa informacji niejawnych.</w:t>
      </w:r>
    </w:p>
    <w:p w14:paraId="2E787B77" w14:textId="77777777" w:rsidR="003F7F2E" w:rsidRPr="003F7F2E" w:rsidRDefault="003F7F2E" w:rsidP="003F7F2E">
      <w:pPr>
        <w:spacing w:after="0" w:line="300" w:lineRule="auto"/>
        <w:jc w:val="both"/>
        <w:rPr>
          <w:rFonts w:ascii="Arial" w:hAnsi="Arial" w:cs="Arial"/>
        </w:rPr>
      </w:pPr>
      <w:r w:rsidRPr="003F7F2E">
        <w:rPr>
          <w:rFonts w:ascii="Arial" w:hAnsi="Arial" w:cs="Arial"/>
        </w:rPr>
        <w:t>Wszystkim przedsiębiorcom telekomunikacyjnym umożliwia się jednak realizację obowiązku w sposób najbardziej zaawansowany, tzn. za pomocą interfejsu określonego w art. 43 ust. 5 ustawy.</w:t>
      </w:r>
    </w:p>
    <w:p w14:paraId="5F25457E" w14:textId="77777777" w:rsidR="003F7F2E" w:rsidRPr="003F7F2E" w:rsidRDefault="003F7F2E" w:rsidP="003F7F2E">
      <w:pPr>
        <w:spacing w:after="0" w:line="300" w:lineRule="auto"/>
        <w:jc w:val="both"/>
        <w:rPr>
          <w:rFonts w:ascii="Arial" w:hAnsi="Arial" w:cs="Arial"/>
        </w:rPr>
      </w:pPr>
      <w:r w:rsidRPr="003F7F2E">
        <w:rPr>
          <w:rFonts w:ascii="Arial" w:hAnsi="Arial" w:cs="Arial"/>
        </w:rPr>
        <w:t xml:space="preserve">Projektowany mechanizm pozwala na znaczne złagodzenie wymagań wobec mikro– i małych przedsiębiorców telekomunikacyjnych w stosunku do przepisów obecnie obowiązującego rozporządzenia z dnia13 września 2005 r. w sprawie wypełniania przez przedsiębiorców telekomunikacyjnych zadań </w:t>
      </w:r>
    </w:p>
    <w:p w14:paraId="33E7D4A1" w14:textId="77777777" w:rsidR="003F7F2E" w:rsidRPr="003F7F2E" w:rsidRDefault="003F7F2E" w:rsidP="003F7F2E">
      <w:pPr>
        <w:spacing w:after="0" w:line="300" w:lineRule="auto"/>
        <w:jc w:val="both"/>
        <w:rPr>
          <w:rFonts w:ascii="Arial" w:hAnsi="Arial" w:cs="Arial"/>
        </w:rPr>
      </w:pPr>
      <w:r w:rsidRPr="003F7F2E">
        <w:rPr>
          <w:rFonts w:ascii="Arial" w:hAnsi="Arial" w:cs="Arial"/>
        </w:rPr>
        <w:t>i obowiązków na rzecz obronności, bezpieczeństwa państwa oraz bezpieczeństwa i porządku publicznego, zwłaszcza w zakresie spełniania wymagań dotyczących ochrony informacji niejawnych. Nieuwzględnianie kryterium wielkości przedsiębiorcy telekomunikacyjnego skutkowałoby wprowadzeniem jednolitych, a tym samym bardziej rygorystycznych – niż zaproponowane w projektowanym rozporządzeniu – wymagań co do sposobu zapewnienia warunków dostępu i utrwalania dla mikro- i małych przedsiębiorców telekomunikacyjnych.</w:t>
      </w:r>
    </w:p>
    <w:p w14:paraId="7B6F4AF6" w14:textId="5FD506DE" w:rsidR="00F3237C" w:rsidRDefault="003F7F2E" w:rsidP="003F7F2E">
      <w:pPr>
        <w:spacing w:after="0" w:line="300" w:lineRule="auto"/>
        <w:jc w:val="both"/>
        <w:rPr>
          <w:rFonts w:ascii="Arial" w:hAnsi="Arial" w:cs="Arial"/>
        </w:rPr>
      </w:pPr>
      <w:r w:rsidRPr="003F7F2E">
        <w:rPr>
          <w:rFonts w:ascii="Arial" w:hAnsi="Arial" w:cs="Arial"/>
        </w:rPr>
        <w:t>Wejście rozporządzenia w życie spowoduje zmniejszenie liczby procedur wskutek zastosowania urządzeń pozwalających na automatyzacją kontroli operacyjnej (interfejsy, urządzenia przedsiębiorcy, urządzenia utrwalające uprawnionego podmiotu) oraz zastosowania w stosunku do mikro- i małych przedsiębiorców telekomunikacyjnych w zakresie dostępu do informacji niejawnych trybu określonego w art. 34 ust. 5 oraz art. 54 ust. 8 ustawy z dnia 5 sierpnia 2010 r. o ochronie informacji niejawnych (przyznanie jednorazowego dostępu do określonych informacji niejawnych).</w:t>
      </w:r>
    </w:p>
    <w:p w14:paraId="6EF2E41A" w14:textId="77777777" w:rsidR="003F7F2E" w:rsidRDefault="003F7F2E" w:rsidP="003F7F2E">
      <w:pPr>
        <w:spacing w:after="0" w:line="300" w:lineRule="auto"/>
        <w:jc w:val="both"/>
        <w:rPr>
          <w:rFonts w:ascii="Arial" w:hAnsi="Arial" w:cs="Arial"/>
        </w:rPr>
      </w:pPr>
    </w:p>
    <w:p w14:paraId="041D3F69" w14:textId="77777777" w:rsidR="003F7F2E" w:rsidRPr="003F7F2E" w:rsidRDefault="003F7F2E" w:rsidP="003F7F2E">
      <w:pPr>
        <w:spacing w:after="0" w:line="300" w:lineRule="auto"/>
        <w:jc w:val="both"/>
        <w:rPr>
          <w:rFonts w:ascii="Arial" w:hAnsi="Arial" w:cs="Arial"/>
        </w:rPr>
      </w:pPr>
      <w:r w:rsidRPr="003F7F2E">
        <w:rPr>
          <w:rFonts w:ascii="Arial" w:hAnsi="Arial" w:cs="Arial"/>
        </w:rPr>
        <w:lastRenderedPageBreak/>
        <w:t>Przedmiotowy projekt aktu prawnego wraz z Uzasadnieniem oraz Oceną Skutków Regulacji dostępny jest na stronach Rządowego Centrum Legislacji pod adresem:</w:t>
      </w:r>
    </w:p>
    <w:p w14:paraId="7BDFF79A" w14:textId="49C272E6" w:rsidR="003F7F2E" w:rsidRDefault="003F7F2E" w:rsidP="003F7F2E">
      <w:pPr>
        <w:spacing w:after="0" w:line="300" w:lineRule="auto"/>
        <w:jc w:val="both"/>
        <w:rPr>
          <w:rFonts w:ascii="Arial" w:hAnsi="Arial" w:cs="Arial"/>
        </w:rPr>
      </w:pPr>
      <w:hyperlink r:id="rId9" w:anchor="13155664" w:history="1">
        <w:r w:rsidRPr="00E507F9">
          <w:rPr>
            <w:rStyle w:val="Hipercze"/>
            <w:rFonts w:ascii="Arial" w:hAnsi="Arial" w:cs="Arial"/>
          </w:rPr>
          <w:t>https://legislacja.rcl.gov.pl/projekt/12402050/katalog/13155664#13155664</w:t>
        </w:r>
      </w:hyperlink>
    </w:p>
    <w:p w14:paraId="2777B650" w14:textId="77777777" w:rsidR="003F7F2E" w:rsidRDefault="003F7F2E" w:rsidP="003F7F2E">
      <w:pPr>
        <w:spacing w:after="0" w:line="300" w:lineRule="auto"/>
        <w:jc w:val="both"/>
        <w:rPr>
          <w:rFonts w:ascii="Arial" w:hAnsi="Arial" w:cs="Arial"/>
        </w:rPr>
      </w:pPr>
    </w:p>
    <w:p w14:paraId="31638E90" w14:textId="24E1AD99" w:rsidR="003F7F2E" w:rsidRDefault="003F7F2E" w:rsidP="003F7F2E">
      <w:pPr>
        <w:spacing w:after="0" w:line="300" w:lineRule="auto"/>
        <w:jc w:val="both"/>
        <w:rPr>
          <w:rFonts w:ascii="Arial" w:hAnsi="Arial" w:cs="Arial"/>
        </w:rPr>
      </w:pPr>
      <w:r w:rsidRPr="003F7F2E">
        <w:rPr>
          <w:rFonts w:ascii="Arial" w:hAnsi="Arial" w:cs="Arial"/>
        </w:rPr>
        <w:t>Projekt jest obecnie jednocześnie na etapie uzgodnień, konsultacji publicznych i opiniowania.</w:t>
      </w:r>
    </w:p>
    <w:p w14:paraId="64AD1386" w14:textId="77777777" w:rsidR="00F3237C" w:rsidRPr="00F3237C" w:rsidRDefault="00F3237C" w:rsidP="00F3237C">
      <w:pPr>
        <w:spacing w:after="0" w:line="300" w:lineRule="auto"/>
        <w:jc w:val="both"/>
        <w:rPr>
          <w:rFonts w:ascii="Arial" w:hAnsi="Arial" w:cs="Arial"/>
        </w:rPr>
      </w:pPr>
    </w:p>
    <w:p w14:paraId="7D8E6543" w14:textId="77A1471E" w:rsidR="00C615EC" w:rsidRPr="00C61C76" w:rsidRDefault="00C61C76" w:rsidP="00F3237C">
      <w:pPr>
        <w:pStyle w:val="Akapitzlist"/>
        <w:numPr>
          <w:ilvl w:val="0"/>
          <w:numId w:val="4"/>
        </w:numPr>
        <w:spacing w:after="0" w:line="300" w:lineRule="auto"/>
        <w:jc w:val="both"/>
        <w:rPr>
          <w:rFonts w:ascii="Arial" w:hAnsi="Arial" w:cs="Arial"/>
          <w:b/>
          <w:bCs/>
          <w:u w:val="single"/>
        </w:rPr>
      </w:pPr>
      <w:r w:rsidRPr="00C61C76">
        <w:rPr>
          <w:rFonts w:ascii="Arial" w:hAnsi="Arial" w:cs="Arial"/>
          <w:b/>
          <w:bCs/>
          <w:u w:val="single"/>
        </w:rPr>
        <w:t>Projekt rozporządzenia Rady Ministrów w sprawie wymagań technicznych i eksploatacyjnych dla interfejsów (numer z wykazu RD215).</w:t>
      </w:r>
    </w:p>
    <w:p w14:paraId="5ACFB28D" w14:textId="77777777" w:rsidR="00C615EC" w:rsidRPr="00042C7F" w:rsidRDefault="00C615EC" w:rsidP="00F3237C">
      <w:pPr>
        <w:spacing w:after="0" w:line="300" w:lineRule="auto"/>
        <w:jc w:val="both"/>
        <w:rPr>
          <w:rFonts w:ascii="Arial" w:hAnsi="Arial" w:cs="Arial"/>
        </w:rPr>
      </w:pPr>
    </w:p>
    <w:p w14:paraId="639E109C" w14:textId="77777777" w:rsidR="00C61C76" w:rsidRPr="00C61C76" w:rsidRDefault="00C61C76" w:rsidP="00C61C76">
      <w:pPr>
        <w:spacing w:after="0" w:line="300" w:lineRule="auto"/>
        <w:jc w:val="both"/>
        <w:rPr>
          <w:rFonts w:ascii="Arial" w:hAnsi="Arial" w:cs="Arial"/>
        </w:rPr>
      </w:pPr>
      <w:r w:rsidRPr="00C61C76">
        <w:rPr>
          <w:rFonts w:ascii="Arial" w:hAnsi="Arial" w:cs="Arial"/>
        </w:rPr>
        <w:t>Projekt rozporządzenia określa wymagania techniczne i eksploatacyjne dla interfejsów, o których mowa w art. 43 ust. 5 ustawy z dnia 12 lipca 2024 r. – Prawo komunikacji elektronicznej (zwanej dalej „ustawą”, umożliwiające zapewnienie przez przedsiębiorców telekomunikacyjnych warunków dostępu i utrwalania uprawnionym podmiotom, o których mowa w art.  43 ust. 1 pkt 1 ustawy (Policja, Biuro Nadzoru Wewnętrznego, Straż Graniczna, Służba Ochrony Państwa, Agencja Bezpieczeństwa Wewnętrznego, Służba Kontrwywiadu Wojskowego, Żandarmeria Wojskowa, Centralne Biuro Antykorupcyjne i Krajowa Administrację Skarbowa), oraz przygotowanie przez tych przedsiębiorców technicznych i organizacyjnych warunków udostępniania danych, o których mowa w art. 45 ust. 1 ustawy, oraz ich udostępniania.</w:t>
      </w:r>
    </w:p>
    <w:p w14:paraId="41F00AF6" w14:textId="77777777" w:rsidR="00C61C76" w:rsidRPr="00C61C76" w:rsidRDefault="00C61C76" w:rsidP="00C61C76">
      <w:pPr>
        <w:spacing w:after="0" w:line="300" w:lineRule="auto"/>
        <w:jc w:val="both"/>
        <w:rPr>
          <w:rFonts w:ascii="Arial" w:hAnsi="Arial" w:cs="Arial"/>
        </w:rPr>
      </w:pPr>
      <w:r w:rsidRPr="00C61C76">
        <w:rPr>
          <w:rFonts w:ascii="Arial" w:hAnsi="Arial" w:cs="Arial"/>
        </w:rPr>
        <w:t xml:space="preserve">Określenie wymagań technicznych i eksploatacyjnych dla interfejsów jest niezbędne z uwagi na konieczność stosowania przez przedsiębiorców telekomunikacyjnych, którzy zdecydują się na takie rozwiązanie, interfejsów o jednolitych parametrach, co gwarantuje skuteczne prowadzenie przez uprawnione podmioty kontroli operacyjnej. </w:t>
      </w:r>
    </w:p>
    <w:p w14:paraId="30E1547D" w14:textId="77777777" w:rsidR="00C61C76" w:rsidRPr="00C61C76" w:rsidRDefault="00C61C76" w:rsidP="00C61C76">
      <w:pPr>
        <w:spacing w:after="0" w:line="300" w:lineRule="auto"/>
        <w:jc w:val="both"/>
        <w:rPr>
          <w:rFonts w:ascii="Arial" w:hAnsi="Arial" w:cs="Arial"/>
        </w:rPr>
      </w:pPr>
      <w:r w:rsidRPr="00C61C76">
        <w:rPr>
          <w:rFonts w:ascii="Arial" w:hAnsi="Arial" w:cs="Arial"/>
        </w:rPr>
        <w:t xml:space="preserve">Z uwagi na koszt budowy takiego interfejsu rozwiązanie to w praktyce stosowane będzie głównie przez największych przedsiębiorców telekomunikacyjnych, obsługujących największą ilość zgłoszonych </w:t>
      </w:r>
      <w:proofErr w:type="spellStart"/>
      <w:r w:rsidRPr="00C61C76">
        <w:rPr>
          <w:rFonts w:ascii="Arial" w:hAnsi="Arial" w:cs="Arial"/>
        </w:rPr>
        <w:t>zapotrzebowań</w:t>
      </w:r>
      <w:proofErr w:type="spellEnd"/>
      <w:r w:rsidRPr="00C61C76">
        <w:rPr>
          <w:rFonts w:ascii="Arial" w:hAnsi="Arial" w:cs="Arial"/>
        </w:rPr>
        <w:t xml:space="preserve"> na prowadzenie kontroli operacyjnej, w szczególności celem zautomatyzowania ich obsługi oraz uniknięcia kosztów zatrudniania personelu będącego w gotowości do przyjęcia i skutecznej realizacji tych </w:t>
      </w:r>
      <w:proofErr w:type="spellStart"/>
      <w:r w:rsidRPr="00C61C76">
        <w:rPr>
          <w:rFonts w:ascii="Arial" w:hAnsi="Arial" w:cs="Arial"/>
        </w:rPr>
        <w:t>zapotrzebowań</w:t>
      </w:r>
      <w:proofErr w:type="spellEnd"/>
      <w:r w:rsidRPr="00C61C76">
        <w:rPr>
          <w:rFonts w:ascii="Arial" w:hAnsi="Arial" w:cs="Arial"/>
        </w:rPr>
        <w:t>.</w:t>
      </w:r>
    </w:p>
    <w:p w14:paraId="4F730013" w14:textId="77777777" w:rsidR="00C61C76" w:rsidRPr="00C61C76" w:rsidRDefault="00C61C76" w:rsidP="00C61C76">
      <w:pPr>
        <w:spacing w:after="0" w:line="300" w:lineRule="auto"/>
        <w:jc w:val="both"/>
        <w:rPr>
          <w:rFonts w:ascii="Arial" w:hAnsi="Arial" w:cs="Arial"/>
        </w:rPr>
      </w:pPr>
      <w:r w:rsidRPr="00C61C76">
        <w:rPr>
          <w:rFonts w:ascii="Arial" w:hAnsi="Arial" w:cs="Arial"/>
        </w:rPr>
        <w:t>Zastosowanie rozwiązania technicznego opartego o interfejs, jest tylko jedną z możliwości wykonywania przez przedsiębiorców telekomunikacyjnych zadań i obowiązków na rzecz bezpieczeństwa państwa. Nie jest natomiast obligatoryjnym wymogiem ustawodawcy.</w:t>
      </w:r>
    </w:p>
    <w:p w14:paraId="09D6A961" w14:textId="77777777" w:rsidR="00C61C76" w:rsidRPr="00C61C76" w:rsidRDefault="00C61C76" w:rsidP="00C61C76">
      <w:pPr>
        <w:spacing w:after="0" w:line="300" w:lineRule="auto"/>
        <w:jc w:val="both"/>
        <w:rPr>
          <w:rFonts w:ascii="Arial" w:hAnsi="Arial" w:cs="Arial"/>
        </w:rPr>
      </w:pPr>
      <w:r w:rsidRPr="00C61C76">
        <w:rPr>
          <w:rFonts w:ascii="Arial" w:hAnsi="Arial" w:cs="Arial"/>
        </w:rPr>
        <w:t>Zastosowanie interfejsu powinno wynikać z zasady minimalizacji nakładów przedsiębiorcy telekomunikacyjnego, podmiotów uprawnionych i mieć miejsce tylko w tym przypadku, kiedy przyniesie to obu zainteresowanym stronom wymierne korzyści. Ewentualny wybór przez przedsiębiorcę telekomunikacyjnego tej metody realizacji jego ustawowych obowiązków powinien odbywać się na zasadach określonych i uzgodnionych w umowach z uprawnionymi podmiotami.</w:t>
      </w:r>
    </w:p>
    <w:p w14:paraId="0B2CA4DD" w14:textId="77777777" w:rsidR="00C61C76" w:rsidRPr="00C61C76" w:rsidRDefault="00C61C76" w:rsidP="00C61C76">
      <w:pPr>
        <w:spacing w:after="0" w:line="300" w:lineRule="auto"/>
        <w:jc w:val="both"/>
        <w:rPr>
          <w:rFonts w:ascii="Arial" w:hAnsi="Arial" w:cs="Arial"/>
        </w:rPr>
      </w:pPr>
      <w:r w:rsidRPr="00C61C76">
        <w:rPr>
          <w:rFonts w:ascii="Arial" w:hAnsi="Arial" w:cs="Arial"/>
        </w:rPr>
        <w:t xml:space="preserve">Interfejsy zapewniają uprawnionym podmiotom dostęp do: komunikatów elektronicznych, nadawanych lub odbieranych przez użytkownika końcowego lub telekomunikacyjne urządzenie końcowe oraz posiadanych przez przedsiębiorcę danych związanych z komunikatami elektronicznymi związanymi ze świadczoną usługą telekomunikacyjną oraz dostępu do zatrzymywanych danych, które są generowane lub przetwarzane w sieci telekomunikacyjnej. Zastosowanie interfejsów zmierza do stopniowego wprowadzenia </w:t>
      </w:r>
      <w:r w:rsidRPr="00C61C76">
        <w:rPr>
          <w:rFonts w:ascii="Arial" w:hAnsi="Arial" w:cs="Arial"/>
        </w:rPr>
        <w:lastRenderedPageBreak/>
        <w:t>elektronicznego dostępu do danych telekomunikacyjnych będących w posiadaniu przedsiębiorcy telekomunikacyjnego.</w:t>
      </w:r>
    </w:p>
    <w:p w14:paraId="4ABD75B8" w14:textId="77777777" w:rsidR="00C61C76" w:rsidRPr="00C61C76" w:rsidRDefault="00C61C76" w:rsidP="00C61C76">
      <w:pPr>
        <w:spacing w:after="0" w:line="300" w:lineRule="auto"/>
        <w:jc w:val="both"/>
        <w:rPr>
          <w:rFonts w:ascii="Arial" w:hAnsi="Arial" w:cs="Arial"/>
        </w:rPr>
      </w:pPr>
      <w:r w:rsidRPr="00C61C76">
        <w:rPr>
          <w:rFonts w:ascii="Arial" w:hAnsi="Arial" w:cs="Arial"/>
        </w:rPr>
        <w:t>Interfejs LI HI (</w:t>
      </w:r>
      <w:proofErr w:type="spellStart"/>
      <w:r w:rsidRPr="00C61C76">
        <w:rPr>
          <w:rFonts w:ascii="Arial" w:hAnsi="Arial" w:cs="Arial"/>
        </w:rPr>
        <w:t>Lawful</w:t>
      </w:r>
      <w:proofErr w:type="spellEnd"/>
      <w:r w:rsidRPr="00C61C76">
        <w:rPr>
          <w:rFonts w:ascii="Arial" w:hAnsi="Arial" w:cs="Arial"/>
        </w:rPr>
        <w:t xml:space="preserve"> </w:t>
      </w:r>
      <w:proofErr w:type="spellStart"/>
      <w:r w:rsidRPr="00C61C76">
        <w:rPr>
          <w:rFonts w:ascii="Arial" w:hAnsi="Arial" w:cs="Arial"/>
        </w:rPr>
        <w:t>Interception</w:t>
      </w:r>
      <w:proofErr w:type="spellEnd"/>
      <w:r w:rsidRPr="00C61C76">
        <w:rPr>
          <w:rFonts w:ascii="Arial" w:hAnsi="Arial" w:cs="Arial"/>
        </w:rPr>
        <w:t xml:space="preserve"> </w:t>
      </w:r>
      <w:proofErr w:type="spellStart"/>
      <w:r w:rsidRPr="00C61C76">
        <w:rPr>
          <w:rFonts w:ascii="Arial" w:hAnsi="Arial" w:cs="Arial"/>
        </w:rPr>
        <w:t>Handover</w:t>
      </w:r>
      <w:proofErr w:type="spellEnd"/>
      <w:r w:rsidRPr="00C61C76">
        <w:rPr>
          <w:rFonts w:ascii="Arial" w:hAnsi="Arial" w:cs="Arial"/>
        </w:rPr>
        <w:t xml:space="preserve"> Interface) to standaryzowany interfejs pomiędzy systemem przedsiębiorcy telekomunikacyjnego a systemem monitorowania uprawnionego podmiotu LEMF (Law </w:t>
      </w:r>
      <w:proofErr w:type="spellStart"/>
      <w:r w:rsidRPr="00C61C76">
        <w:rPr>
          <w:rFonts w:ascii="Arial" w:hAnsi="Arial" w:cs="Arial"/>
        </w:rPr>
        <w:t>Enforcement</w:t>
      </w:r>
      <w:proofErr w:type="spellEnd"/>
      <w:r w:rsidRPr="00C61C76">
        <w:rPr>
          <w:rFonts w:ascii="Arial" w:hAnsi="Arial" w:cs="Arial"/>
        </w:rPr>
        <w:t xml:space="preserve"> Monitoring </w:t>
      </w:r>
      <w:proofErr w:type="spellStart"/>
      <w:r w:rsidRPr="00C61C76">
        <w:rPr>
          <w:rFonts w:ascii="Arial" w:hAnsi="Arial" w:cs="Arial"/>
        </w:rPr>
        <w:t>Facility</w:t>
      </w:r>
      <w:proofErr w:type="spellEnd"/>
      <w:r w:rsidRPr="00C61C76">
        <w:rPr>
          <w:rFonts w:ascii="Arial" w:hAnsi="Arial" w:cs="Arial"/>
        </w:rPr>
        <w:t>, który umożliwia prowadzenie kontroli operacyjnej. Umożliwia on przekazywanie uprawnionym podmiotom następujących danych:</w:t>
      </w:r>
    </w:p>
    <w:p w14:paraId="6159FFF7" w14:textId="0D15C9CE" w:rsidR="00C61C76" w:rsidRPr="00C61C76" w:rsidRDefault="00C61C76" w:rsidP="00C61C76">
      <w:pPr>
        <w:pStyle w:val="Akapitzlist"/>
        <w:numPr>
          <w:ilvl w:val="0"/>
          <w:numId w:val="12"/>
        </w:numPr>
        <w:spacing w:after="0" w:line="300" w:lineRule="auto"/>
        <w:jc w:val="both"/>
        <w:rPr>
          <w:rFonts w:ascii="Arial" w:hAnsi="Arial" w:cs="Arial"/>
        </w:rPr>
      </w:pPr>
      <w:r w:rsidRPr="00C61C76">
        <w:rPr>
          <w:rFonts w:ascii="Arial" w:hAnsi="Arial" w:cs="Arial"/>
        </w:rPr>
        <w:t>Informacje administracyjne (interfejs HI1): uprawnione podmioty mogą przesyłać żądania (np. dodania, usunięcia lub aktualizacji celu monitorowania), a przedsiębiorca  telekomunikacyjny wysyła informację o statusie realizacji tych żądań (np. o aktywacji lub dezaktywacji zlecenia).</w:t>
      </w:r>
    </w:p>
    <w:p w14:paraId="54BD84B1" w14:textId="08CE49F0" w:rsidR="00C61C76" w:rsidRPr="00C61C76" w:rsidRDefault="00C61C76" w:rsidP="00C61C76">
      <w:pPr>
        <w:pStyle w:val="Akapitzlist"/>
        <w:numPr>
          <w:ilvl w:val="0"/>
          <w:numId w:val="12"/>
        </w:numPr>
        <w:spacing w:after="0" w:line="300" w:lineRule="auto"/>
        <w:jc w:val="both"/>
        <w:rPr>
          <w:rFonts w:ascii="Arial" w:hAnsi="Arial" w:cs="Arial"/>
        </w:rPr>
      </w:pPr>
      <w:r w:rsidRPr="00C61C76">
        <w:rPr>
          <w:rFonts w:ascii="Arial" w:hAnsi="Arial" w:cs="Arial"/>
        </w:rPr>
        <w:t>Informacje związane z przechwytywaniem (interfejs HI2): metadane dotyczące komunikacji, znane jako IRI (</w:t>
      </w:r>
      <w:proofErr w:type="spellStart"/>
      <w:r w:rsidRPr="00C61C76">
        <w:rPr>
          <w:rFonts w:ascii="Arial" w:hAnsi="Arial" w:cs="Arial"/>
        </w:rPr>
        <w:t>Intercept</w:t>
      </w:r>
      <w:proofErr w:type="spellEnd"/>
      <w:r w:rsidRPr="00C61C76">
        <w:rPr>
          <w:rFonts w:ascii="Arial" w:hAnsi="Arial" w:cs="Arial"/>
        </w:rPr>
        <w:t xml:space="preserve"> </w:t>
      </w:r>
      <w:proofErr w:type="spellStart"/>
      <w:r w:rsidRPr="00C61C76">
        <w:rPr>
          <w:rFonts w:ascii="Arial" w:hAnsi="Arial" w:cs="Arial"/>
        </w:rPr>
        <w:t>Related</w:t>
      </w:r>
      <w:proofErr w:type="spellEnd"/>
      <w:r w:rsidRPr="00C61C76">
        <w:rPr>
          <w:rFonts w:ascii="Arial" w:hAnsi="Arial" w:cs="Arial"/>
        </w:rPr>
        <w:t xml:space="preserve"> Information). Mogą one obejmować:</w:t>
      </w:r>
    </w:p>
    <w:p w14:paraId="05984B9A" w14:textId="1C082E68" w:rsidR="00C61C76" w:rsidRPr="00C61C76" w:rsidRDefault="00C61C76" w:rsidP="00C61C76">
      <w:pPr>
        <w:pStyle w:val="Akapitzlist"/>
        <w:numPr>
          <w:ilvl w:val="0"/>
          <w:numId w:val="14"/>
        </w:numPr>
        <w:spacing w:after="0" w:line="300" w:lineRule="auto"/>
        <w:ind w:left="1276" w:hanging="425"/>
        <w:jc w:val="both"/>
        <w:rPr>
          <w:rFonts w:ascii="Arial" w:hAnsi="Arial" w:cs="Arial"/>
        </w:rPr>
      </w:pPr>
      <w:r w:rsidRPr="00C61C76">
        <w:rPr>
          <w:rFonts w:ascii="Arial" w:hAnsi="Arial" w:cs="Arial"/>
        </w:rPr>
        <w:t>informacje o połączeniach (numery, daty, godziny, czas trwania),</w:t>
      </w:r>
    </w:p>
    <w:p w14:paraId="3E99097E" w14:textId="06C32B13" w:rsidR="00C61C76" w:rsidRPr="00C61C76" w:rsidRDefault="00C61C76" w:rsidP="00C61C76">
      <w:pPr>
        <w:pStyle w:val="Akapitzlist"/>
        <w:numPr>
          <w:ilvl w:val="0"/>
          <w:numId w:val="14"/>
        </w:numPr>
        <w:spacing w:after="0" w:line="300" w:lineRule="auto"/>
        <w:ind w:left="1276" w:hanging="425"/>
        <w:jc w:val="both"/>
        <w:rPr>
          <w:rFonts w:ascii="Arial" w:hAnsi="Arial" w:cs="Arial"/>
        </w:rPr>
      </w:pPr>
      <w:r w:rsidRPr="00C61C76">
        <w:rPr>
          <w:rFonts w:ascii="Arial" w:hAnsi="Arial" w:cs="Arial"/>
        </w:rPr>
        <w:t>dane lokalizacyjne,</w:t>
      </w:r>
    </w:p>
    <w:p w14:paraId="100E099B" w14:textId="37D8B8AF" w:rsidR="00C61C76" w:rsidRPr="00C61C76" w:rsidRDefault="00C61C76" w:rsidP="00C61C76">
      <w:pPr>
        <w:pStyle w:val="Akapitzlist"/>
        <w:numPr>
          <w:ilvl w:val="0"/>
          <w:numId w:val="14"/>
        </w:numPr>
        <w:spacing w:after="0" w:line="300" w:lineRule="auto"/>
        <w:ind w:left="1276" w:hanging="425"/>
        <w:jc w:val="both"/>
        <w:rPr>
          <w:rFonts w:ascii="Arial" w:hAnsi="Arial" w:cs="Arial"/>
        </w:rPr>
      </w:pPr>
      <w:r w:rsidRPr="00C61C76">
        <w:rPr>
          <w:rFonts w:ascii="Arial" w:hAnsi="Arial" w:cs="Arial"/>
        </w:rPr>
        <w:t>informacje o sesjach internetowych (adresy IP, czasy logowania i wylogowania),</w:t>
      </w:r>
    </w:p>
    <w:p w14:paraId="05934931" w14:textId="628AAC76" w:rsidR="00C61C76" w:rsidRPr="00C61C76" w:rsidRDefault="00C61C76" w:rsidP="00C61C76">
      <w:pPr>
        <w:pStyle w:val="Akapitzlist"/>
        <w:numPr>
          <w:ilvl w:val="0"/>
          <w:numId w:val="14"/>
        </w:numPr>
        <w:spacing w:after="0" w:line="300" w:lineRule="auto"/>
        <w:ind w:left="1276" w:hanging="425"/>
        <w:jc w:val="both"/>
        <w:rPr>
          <w:rFonts w:ascii="Arial" w:hAnsi="Arial" w:cs="Arial"/>
        </w:rPr>
      </w:pPr>
      <w:r w:rsidRPr="00C61C76">
        <w:rPr>
          <w:rFonts w:ascii="Arial" w:hAnsi="Arial" w:cs="Arial"/>
        </w:rPr>
        <w:t>inne metadane specyficzne dla danego rodzaju usługi (np. dane z SMS-ów, e-maili).</w:t>
      </w:r>
    </w:p>
    <w:p w14:paraId="7E6B9405" w14:textId="1FE636B6" w:rsidR="00C61C76" w:rsidRPr="00C61C76" w:rsidRDefault="00C61C76" w:rsidP="00C61C76">
      <w:pPr>
        <w:pStyle w:val="Akapitzlist"/>
        <w:numPr>
          <w:ilvl w:val="0"/>
          <w:numId w:val="12"/>
        </w:numPr>
        <w:spacing w:after="0" w:line="300" w:lineRule="auto"/>
        <w:jc w:val="both"/>
        <w:rPr>
          <w:rFonts w:ascii="Arial" w:hAnsi="Arial" w:cs="Arial"/>
        </w:rPr>
      </w:pPr>
      <w:r w:rsidRPr="00C61C76">
        <w:rPr>
          <w:rFonts w:ascii="Arial" w:hAnsi="Arial" w:cs="Arial"/>
        </w:rPr>
        <w:t xml:space="preserve">Treść komunikacji (interfejs HI3): treść przechwytywanych komunikatów elektronicznych CC (Content of </w:t>
      </w:r>
      <w:proofErr w:type="spellStart"/>
      <w:r w:rsidRPr="00C61C76">
        <w:rPr>
          <w:rFonts w:ascii="Arial" w:hAnsi="Arial" w:cs="Arial"/>
        </w:rPr>
        <w:t>Communication</w:t>
      </w:r>
      <w:proofErr w:type="spellEnd"/>
      <w:r w:rsidRPr="00C61C76">
        <w:rPr>
          <w:rFonts w:ascii="Arial" w:hAnsi="Arial" w:cs="Arial"/>
        </w:rPr>
        <w:t>). Dotyczy to strumieni danych z rozmów telefonicznych, wiadomości SMS/MMS, e-maili, sesji internetowych czy innych form przekazów telekomunikacyjnych.</w:t>
      </w:r>
    </w:p>
    <w:p w14:paraId="001A7F01" w14:textId="77777777" w:rsidR="00C61C76" w:rsidRPr="00C61C76" w:rsidRDefault="00C61C76" w:rsidP="00C61C76">
      <w:pPr>
        <w:spacing w:after="0" w:line="300" w:lineRule="auto"/>
        <w:jc w:val="both"/>
        <w:rPr>
          <w:rFonts w:ascii="Arial" w:hAnsi="Arial" w:cs="Arial"/>
        </w:rPr>
      </w:pPr>
      <w:r w:rsidRPr="00C61C76">
        <w:rPr>
          <w:rFonts w:ascii="Arial" w:hAnsi="Arial" w:cs="Arial"/>
        </w:rPr>
        <w:t>Interfejs LI HI standaryzuje proces przekazywania danych z sieci telekomunikacyjnych na potrzeby kontroli operacyjnej, dzieląc go na trzy główne strumienie: administracyjny, metadanych i zawartości, co zapewnia sprawną i bezpieczną wymianę informacji między przedsiębiorcą telekomunikacyjnym a uprawnionym podmiotem.</w:t>
      </w:r>
    </w:p>
    <w:p w14:paraId="1386EE28" w14:textId="77777777" w:rsidR="00C61C76" w:rsidRPr="00C61C76" w:rsidRDefault="00C61C76" w:rsidP="00C61C76">
      <w:pPr>
        <w:spacing w:after="0" w:line="300" w:lineRule="auto"/>
        <w:jc w:val="both"/>
        <w:rPr>
          <w:rFonts w:ascii="Arial" w:hAnsi="Arial" w:cs="Arial"/>
        </w:rPr>
      </w:pPr>
      <w:r w:rsidRPr="00C61C76">
        <w:rPr>
          <w:rFonts w:ascii="Arial" w:hAnsi="Arial" w:cs="Arial"/>
        </w:rPr>
        <w:t>Interfejs HI A-B jest częścią interfejsu LI HI, który skupia się na danych administracyjnych i związanych z zapytaniami. Zapewnia ujednolicony sposób wymiany danych pomiędzy przedsiębiorcą telekomunikacyjnym a uprawnionym podmiotem, co ułatwia i usprawnia proces kontroli operacyjnej Umożliwia automatyczną obsługę zapytań i przekazywania danych, redukując potrzebę ręcznej interwencji i minimalizując błędy. Składa się z dwóch części:</w:t>
      </w:r>
    </w:p>
    <w:p w14:paraId="3A6B2F21" w14:textId="6C0E096F" w:rsidR="00C61C76" w:rsidRPr="00C61C76" w:rsidRDefault="00C61C76" w:rsidP="00C61C76">
      <w:pPr>
        <w:pStyle w:val="Akapitzlist"/>
        <w:numPr>
          <w:ilvl w:val="0"/>
          <w:numId w:val="15"/>
        </w:numPr>
        <w:spacing w:after="0" w:line="300" w:lineRule="auto"/>
        <w:jc w:val="both"/>
        <w:rPr>
          <w:rFonts w:ascii="Arial" w:hAnsi="Arial" w:cs="Arial"/>
        </w:rPr>
      </w:pPr>
      <w:r w:rsidRPr="00C61C76">
        <w:rPr>
          <w:rFonts w:ascii="Arial" w:hAnsi="Arial" w:cs="Arial"/>
        </w:rPr>
        <w:t xml:space="preserve">HI A (administracyjny): służy do wymiany wiadomości administracyjnych i zapytań pomiędzy LEMF  a ADMF (Administration </w:t>
      </w:r>
      <w:proofErr w:type="spellStart"/>
      <w:r w:rsidRPr="00C61C76">
        <w:rPr>
          <w:rFonts w:ascii="Arial" w:hAnsi="Arial" w:cs="Arial"/>
        </w:rPr>
        <w:t>Function</w:t>
      </w:r>
      <w:proofErr w:type="spellEnd"/>
      <w:r w:rsidRPr="00C61C76">
        <w:rPr>
          <w:rFonts w:ascii="Arial" w:hAnsi="Arial" w:cs="Arial"/>
        </w:rPr>
        <w:t xml:space="preserve"> - funkcją administracyjną po stronie przedsiębiorcy telekomunikacyjnego). Za jego pomocą przesyłane są zlecenia dotyczące rozpoczęcia/zakończenia inwigilacji, statusu zlecenia, czy też zapytania o konkretne dane dotyczące użytkownika.</w:t>
      </w:r>
    </w:p>
    <w:p w14:paraId="6D01A4C2" w14:textId="31845DCB" w:rsidR="00C615EC" w:rsidRPr="00C61C76" w:rsidRDefault="00C61C76" w:rsidP="00C61C76">
      <w:pPr>
        <w:pStyle w:val="Akapitzlist"/>
        <w:numPr>
          <w:ilvl w:val="0"/>
          <w:numId w:val="15"/>
        </w:numPr>
        <w:spacing w:after="0" w:line="300" w:lineRule="auto"/>
        <w:jc w:val="both"/>
        <w:rPr>
          <w:rFonts w:ascii="Arial" w:hAnsi="Arial" w:cs="Arial"/>
        </w:rPr>
      </w:pPr>
      <w:r w:rsidRPr="00C61C76">
        <w:rPr>
          <w:rFonts w:ascii="Arial" w:hAnsi="Arial" w:cs="Arial"/>
        </w:rPr>
        <w:t>HI B (zapytania i odpowiedzi): służy do przekazywania przez ADMF wyników zapytań złożonych za pośrednictwem interfejsu HI A. Dotyczy to np. danych użytkownika (imię, nazwisko, adres), danych o usłudze telekomunikacyjnej, informacji o ruchu telekomunikacyjnym (np. historia połączeń, choć w ograniczonym zakresie w porównaniu do interfejs HI2).</w:t>
      </w:r>
    </w:p>
    <w:p w14:paraId="0193B64C" w14:textId="77777777" w:rsidR="00C61C76" w:rsidRDefault="00C61C76" w:rsidP="00F3237C">
      <w:pPr>
        <w:spacing w:after="0" w:line="300" w:lineRule="auto"/>
        <w:jc w:val="both"/>
        <w:rPr>
          <w:rFonts w:ascii="Arial" w:hAnsi="Arial" w:cs="Arial"/>
        </w:rPr>
      </w:pPr>
    </w:p>
    <w:p w14:paraId="08ADFA30" w14:textId="77777777" w:rsidR="00C61C76" w:rsidRPr="00C61C76" w:rsidRDefault="00C61C76" w:rsidP="00C61C76">
      <w:pPr>
        <w:spacing w:after="0" w:line="300" w:lineRule="auto"/>
        <w:jc w:val="both"/>
        <w:rPr>
          <w:rFonts w:ascii="Arial" w:hAnsi="Arial" w:cs="Arial"/>
        </w:rPr>
      </w:pPr>
      <w:r w:rsidRPr="00C61C76">
        <w:rPr>
          <w:rFonts w:ascii="Arial" w:hAnsi="Arial" w:cs="Arial"/>
        </w:rPr>
        <w:t>Przedmiotowy projekt aktu prawnego wraz z Uzasadnieniem oraz Oceną Skutków Regulacji dostępny jest na stronach Rządowego Centrum Legislacji pod adresem:</w:t>
      </w:r>
    </w:p>
    <w:p w14:paraId="601AC957" w14:textId="5DE19482" w:rsidR="00C61C76" w:rsidRDefault="00C61C76" w:rsidP="00C61C76">
      <w:pPr>
        <w:spacing w:after="0" w:line="300" w:lineRule="auto"/>
        <w:jc w:val="both"/>
        <w:rPr>
          <w:rFonts w:ascii="Arial" w:hAnsi="Arial" w:cs="Arial"/>
        </w:rPr>
      </w:pPr>
      <w:hyperlink r:id="rId10" w:anchor="13155723" w:history="1">
        <w:r w:rsidRPr="00E507F9">
          <w:rPr>
            <w:rStyle w:val="Hipercze"/>
            <w:rFonts w:ascii="Arial" w:hAnsi="Arial" w:cs="Arial"/>
          </w:rPr>
          <w:t>https://legislacja.rcl.gov.pl/projekt/12402051/katalog/13155723#13155723</w:t>
        </w:r>
      </w:hyperlink>
      <w:r>
        <w:rPr>
          <w:rFonts w:ascii="Arial" w:hAnsi="Arial" w:cs="Arial"/>
        </w:rPr>
        <w:t xml:space="preserve"> </w:t>
      </w:r>
    </w:p>
    <w:p w14:paraId="5C414D25" w14:textId="77777777" w:rsidR="00C61C76" w:rsidRDefault="00C61C76" w:rsidP="00C61C76">
      <w:pPr>
        <w:spacing w:after="0" w:line="300" w:lineRule="auto"/>
        <w:jc w:val="both"/>
        <w:rPr>
          <w:rFonts w:ascii="Arial" w:hAnsi="Arial" w:cs="Arial"/>
        </w:rPr>
      </w:pPr>
    </w:p>
    <w:p w14:paraId="7A8A15B2" w14:textId="17CADB07" w:rsidR="00C61C76" w:rsidRDefault="00C61C76" w:rsidP="00C61C76">
      <w:pPr>
        <w:spacing w:after="0" w:line="300" w:lineRule="auto"/>
        <w:jc w:val="both"/>
        <w:rPr>
          <w:rFonts w:ascii="Arial" w:hAnsi="Arial" w:cs="Arial"/>
        </w:rPr>
      </w:pPr>
      <w:r w:rsidRPr="00C61C76">
        <w:rPr>
          <w:rFonts w:ascii="Arial" w:hAnsi="Arial" w:cs="Arial"/>
        </w:rPr>
        <w:t>Projekt jest obecnie jednocześnie na etapie uzgodnień, konsultacji publicznych i opiniowania.</w:t>
      </w:r>
    </w:p>
    <w:p w14:paraId="2D72E1C3" w14:textId="77777777" w:rsidR="00C61C76" w:rsidRDefault="00C61C76" w:rsidP="00C61C76">
      <w:pPr>
        <w:spacing w:after="0" w:line="300" w:lineRule="auto"/>
        <w:jc w:val="both"/>
        <w:rPr>
          <w:rFonts w:ascii="Arial" w:hAnsi="Arial" w:cs="Arial"/>
        </w:rPr>
      </w:pPr>
    </w:p>
    <w:p w14:paraId="4D8E9874" w14:textId="77777777" w:rsidR="00C615EC" w:rsidRPr="00CB4A6E" w:rsidRDefault="00C615EC" w:rsidP="00C615EC">
      <w:pPr>
        <w:spacing w:after="0" w:line="300" w:lineRule="auto"/>
        <w:rPr>
          <w:rFonts w:ascii="Arial" w:hAnsi="Arial" w:cs="Arial"/>
        </w:rPr>
      </w:pPr>
    </w:p>
    <w:p w14:paraId="727B65AB" w14:textId="77777777" w:rsidR="00C615EC" w:rsidRDefault="00C615EC" w:rsidP="00C615EC">
      <w:pPr>
        <w:spacing w:after="0" w:line="300" w:lineRule="auto"/>
        <w:jc w:val="both"/>
        <w:rPr>
          <w:rFonts w:ascii="Arial" w:hAnsi="Arial" w:cs="Arial"/>
          <w:b/>
        </w:rPr>
      </w:pPr>
      <w:r>
        <w:rPr>
          <w:rFonts w:ascii="Arial" w:hAnsi="Arial" w:cs="Arial"/>
          <w:b/>
        </w:rPr>
        <w:t>II. Ogłoszone akty prawne (Dziennik Ustaw RP)</w:t>
      </w:r>
    </w:p>
    <w:p w14:paraId="02F84590" w14:textId="77777777" w:rsidR="00C615EC" w:rsidRDefault="00C615EC" w:rsidP="00C615EC">
      <w:pPr>
        <w:spacing w:after="0" w:line="300" w:lineRule="auto"/>
        <w:jc w:val="both"/>
        <w:rPr>
          <w:rFonts w:ascii="Arial" w:hAnsi="Arial" w:cs="Arial"/>
        </w:rPr>
      </w:pPr>
    </w:p>
    <w:p w14:paraId="09916348" w14:textId="3E925AAA" w:rsidR="00C615EC" w:rsidRDefault="00C615EC" w:rsidP="00C615EC">
      <w:pPr>
        <w:spacing w:after="0" w:line="300" w:lineRule="auto"/>
        <w:jc w:val="both"/>
        <w:rPr>
          <w:rFonts w:ascii="Arial" w:hAnsi="Arial" w:cs="Arial"/>
        </w:rPr>
      </w:pPr>
      <w:r>
        <w:rPr>
          <w:rFonts w:ascii="Arial" w:hAnsi="Arial" w:cs="Arial"/>
        </w:rPr>
        <w:t xml:space="preserve">W analizowanym okresie ogłoszono </w:t>
      </w:r>
      <w:r w:rsidR="000D50AF">
        <w:rPr>
          <w:rFonts w:ascii="Arial" w:hAnsi="Arial" w:cs="Arial"/>
        </w:rPr>
        <w:t>13</w:t>
      </w:r>
      <w:r>
        <w:rPr>
          <w:rFonts w:ascii="Arial" w:hAnsi="Arial" w:cs="Arial"/>
        </w:rPr>
        <w:t xml:space="preserve"> akt</w:t>
      </w:r>
      <w:r w:rsidR="000D50AF">
        <w:rPr>
          <w:rFonts w:ascii="Arial" w:hAnsi="Arial" w:cs="Arial"/>
        </w:rPr>
        <w:t>ów</w:t>
      </w:r>
      <w:r>
        <w:rPr>
          <w:rFonts w:ascii="Arial" w:hAnsi="Arial" w:cs="Arial"/>
        </w:rPr>
        <w:t xml:space="preserve"> prawn</w:t>
      </w:r>
      <w:r w:rsidR="000D50AF">
        <w:rPr>
          <w:rFonts w:ascii="Arial" w:hAnsi="Arial" w:cs="Arial"/>
        </w:rPr>
        <w:t>ych</w:t>
      </w:r>
      <w:r>
        <w:rPr>
          <w:rFonts w:ascii="Arial" w:hAnsi="Arial" w:cs="Arial"/>
        </w:rPr>
        <w:t>, tzn. ustaw, rozporządze</w:t>
      </w:r>
      <w:r w:rsidR="000D50AF">
        <w:rPr>
          <w:rFonts w:ascii="Arial" w:hAnsi="Arial" w:cs="Arial"/>
        </w:rPr>
        <w:t>ń</w:t>
      </w:r>
      <w:r>
        <w:rPr>
          <w:rFonts w:ascii="Arial" w:hAnsi="Arial" w:cs="Arial"/>
        </w:rPr>
        <w:t xml:space="preserve"> Rady Ministrów, Prezesa Rady Ministrów i poszczególnych ministrów, </w:t>
      </w:r>
      <w:proofErr w:type="spellStart"/>
      <w:r>
        <w:rPr>
          <w:rFonts w:ascii="Arial" w:hAnsi="Arial" w:cs="Arial"/>
        </w:rPr>
        <w:t>obwieszcze</w:t>
      </w:r>
      <w:r w:rsidR="000D50AF">
        <w:rPr>
          <w:rFonts w:ascii="Arial" w:hAnsi="Arial" w:cs="Arial"/>
        </w:rPr>
        <w:t>ń</w:t>
      </w:r>
      <w:proofErr w:type="spellEnd"/>
      <w:r>
        <w:rPr>
          <w:rFonts w:ascii="Arial" w:hAnsi="Arial" w:cs="Arial"/>
        </w:rPr>
        <w:t xml:space="preserve"> w sprawie ogłoszenia tekstu jednolitego. Z powyższych publikacji w zainteresowaniu pracodawców i przedsiębiorców znaleźć się mogą następujące akty prawne:</w:t>
      </w:r>
    </w:p>
    <w:p w14:paraId="299A7CF4" w14:textId="77777777" w:rsidR="00C615EC" w:rsidRDefault="00C615EC" w:rsidP="00C615EC">
      <w:pPr>
        <w:spacing w:after="0" w:line="300" w:lineRule="auto"/>
        <w:jc w:val="both"/>
        <w:rPr>
          <w:rFonts w:ascii="Arial" w:hAnsi="Arial" w:cs="Arial"/>
        </w:rPr>
      </w:pPr>
    </w:p>
    <w:p w14:paraId="26B8652A" w14:textId="5D88694E" w:rsidR="00C615EC" w:rsidRPr="000D50AF" w:rsidRDefault="000D50AF" w:rsidP="000D50AF">
      <w:pPr>
        <w:pStyle w:val="Akapitzlist"/>
        <w:spacing w:after="0" w:line="300" w:lineRule="auto"/>
        <w:ind w:left="426"/>
        <w:jc w:val="both"/>
        <w:rPr>
          <w:rFonts w:ascii="Arial" w:hAnsi="Arial" w:cs="Arial"/>
          <w:b/>
          <w:bCs/>
          <w:u w:val="single"/>
        </w:rPr>
      </w:pPr>
      <w:r w:rsidRPr="000D50AF">
        <w:rPr>
          <w:rFonts w:ascii="Arial" w:hAnsi="Arial" w:cs="Arial"/>
          <w:b/>
          <w:bCs/>
          <w:u w:val="single"/>
        </w:rPr>
        <w:t>Ustawa z dnia 5 sierpnia 2025 r. o certyfikacji wykonawców zamówień publicznych</w:t>
      </w:r>
      <w:r w:rsidRPr="000D50AF">
        <w:rPr>
          <w:rFonts w:ascii="Arial" w:hAnsi="Arial" w:cs="Arial"/>
          <w:b/>
          <w:bCs/>
          <w:u w:val="single"/>
        </w:rPr>
        <w:t>.</w:t>
      </w:r>
    </w:p>
    <w:p w14:paraId="1DE3846D" w14:textId="77777777" w:rsidR="000D50AF" w:rsidRDefault="000D50AF" w:rsidP="000D50AF">
      <w:pPr>
        <w:spacing w:after="0" w:line="300" w:lineRule="auto"/>
        <w:jc w:val="both"/>
        <w:rPr>
          <w:rFonts w:ascii="Arial" w:eastAsia="Times New Roman" w:hAnsi="Arial" w:cs="Arial"/>
          <w:lang w:eastAsia="pl-PL"/>
        </w:rPr>
      </w:pPr>
    </w:p>
    <w:p w14:paraId="0B0DC042" w14:textId="5124E41C" w:rsidR="00C615EC" w:rsidRPr="000D50AF" w:rsidRDefault="00C615EC" w:rsidP="000D50AF">
      <w:pPr>
        <w:spacing w:after="0" w:line="300" w:lineRule="auto"/>
        <w:jc w:val="both"/>
        <w:rPr>
          <w:rFonts w:ascii="Arial" w:eastAsia="Times New Roman" w:hAnsi="Arial" w:cs="Arial"/>
          <w:lang w:eastAsia="pl-PL"/>
        </w:rPr>
      </w:pPr>
      <w:r w:rsidRPr="000D50AF">
        <w:rPr>
          <w:rFonts w:ascii="Arial" w:eastAsia="Times New Roman" w:hAnsi="Arial" w:cs="Arial"/>
          <w:lang w:eastAsia="pl-PL"/>
        </w:rPr>
        <w:t xml:space="preserve">Powyższy akt prawny ogłoszony został </w:t>
      </w:r>
      <w:r w:rsidR="00A030E8">
        <w:rPr>
          <w:rFonts w:ascii="Arial" w:eastAsia="Times New Roman" w:hAnsi="Arial" w:cs="Arial"/>
          <w:lang w:eastAsia="pl-PL"/>
        </w:rPr>
        <w:t>11 września</w:t>
      </w:r>
      <w:r w:rsidRPr="000D50AF">
        <w:rPr>
          <w:rFonts w:ascii="Arial" w:eastAsia="Times New Roman" w:hAnsi="Arial" w:cs="Arial"/>
          <w:lang w:eastAsia="pl-PL"/>
        </w:rPr>
        <w:t xml:space="preserve"> 20</w:t>
      </w:r>
      <w:r w:rsidR="00A030E8">
        <w:rPr>
          <w:rFonts w:ascii="Arial" w:eastAsia="Times New Roman" w:hAnsi="Arial" w:cs="Arial"/>
          <w:lang w:eastAsia="pl-PL"/>
        </w:rPr>
        <w:t>25</w:t>
      </w:r>
      <w:r w:rsidRPr="000D50AF">
        <w:rPr>
          <w:rFonts w:ascii="Arial" w:eastAsia="Times New Roman" w:hAnsi="Arial" w:cs="Arial"/>
          <w:lang w:eastAsia="pl-PL"/>
        </w:rPr>
        <w:t xml:space="preserve"> roku w Dzienniku Ustaw (Dz.U. z 202</w:t>
      </w:r>
      <w:r w:rsidR="00A030E8">
        <w:rPr>
          <w:rFonts w:ascii="Arial" w:eastAsia="Times New Roman" w:hAnsi="Arial" w:cs="Arial"/>
          <w:lang w:eastAsia="pl-PL"/>
        </w:rPr>
        <w:t>5</w:t>
      </w:r>
      <w:r w:rsidRPr="000D50AF">
        <w:rPr>
          <w:rFonts w:ascii="Arial" w:eastAsia="Times New Roman" w:hAnsi="Arial" w:cs="Arial"/>
          <w:lang w:eastAsia="pl-PL"/>
        </w:rPr>
        <w:t>, poz.</w:t>
      </w:r>
      <w:r w:rsidR="00A030E8">
        <w:rPr>
          <w:rFonts w:ascii="Arial" w:eastAsia="Times New Roman" w:hAnsi="Arial" w:cs="Arial"/>
          <w:lang w:eastAsia="pl-PL"/>
        </w:rPr>
        <w:t xml:space="preserve"> 1235</w:t>
      </w:r>
      <w:r w:rsidRPr="000D50AF">
        <w:rPr>
          <w:rFonts w:ascii="Arial" w:eastAsia="Times New Roman" w:hAnsi="Arial" w:cs="Arial"/>
          <w:lang w:eastAsia="pl-PL"/>
        </w:rPr>
        <w:t>).</w:t>
      </w:r>
    </w:p>
    <w:p w14:paraId="724AFDDB" w14:textId="77777777" w:rsidR="000D50AF" w:rsidRDefault="000D50AF" w:rsidP="000D50AF">
      <w:pPr>
        <w:spacing w:after="0" w:line="300" w:lineRule="auto"/>
        <w:jc w:val="both"/>
        <w:rPr>
          <w:rFonts w:ascii="Arial" w:eastAsia="Times New Roman" w:hAnsi="Arial" w:cs="Arial"/>
          <w:lang w:eastAsia="pl-PL"/>
        </w:rPr>
      </w:pPr>
    </w:p>
    <w:p w14:paraId="496F32B7" w14:textId="77777777" w:rsidR="00A030E8"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Ustawa określa zasady: </w:t>
      </w:r>
    </w:p>
    <w:p w14:paraId="7ED2E86D" w14:textId="4DD4EBE0" w:rsidR="00A030E8" w:rsidRPr="00A030E8" w:rsidRDefault="00A030E8" w:rsidP="00A030E8">
      <w:pPr>
        <w:pStyle w:val="Akapitzlist"/>
        <w:numPr>
          <w:ilvl w:val="1"/>
          <w:numId w:val="18"/>
        </w:num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certyfikacji wykonawców zamówień publicznych, zwanej dalej „certyfikacją”, w tym zakres, warunki i tryb jej udzielania oraz okres jej ważności; </w:t>
      </w:r>
    </w:p>
    <w:p w14:paraId="309C4FDC" w14:textId="1B34E347" w:rsidR="00A030E8" w:rsidRPr="00A030E8" w:rsidRDefault="00A030E8" w:rsidP="00A030E8">
      <w:pPr>
        <w:pStyle w:val="Akapitzlist"/>
        <w:numPr>
          <w:ilvl w:val="1"/>
          <w:numId w:val="18"/>
        </w:num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posługiwania się certyfikatem wykonawcy zamówień publicznych, zwanym dalej „certyfikatem”; </w:t>
      </w:r>
    </w:p>
    <w:p w14:paraId="464FE7A3" w14:textId="1121ED2F" w:rsidR="00A030E8" w:rsidRPr="00A030E8" w:rsidRDefault="00A030E8" w:rsidP="00A030E8">
      <w:pPr>
        <w:pStyle w:val="Akapitzlist"/>
        <w:numPr>
          <w:ilvl w:val="1"/>
          <w:numId w:val="18"/>
        </w:num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gromadzenia w systemie teleinformatycznym danych dotyczących certyfikacji, w tym danych dotyczących wydanych certyfikatów, oraz zasady dostępu do tych danych; </w:t>
      </w:r>
    </w:p>
    <w:p w14:paraId="0C458AEF" w14:textId="004B3B16" w:rsidR="00A030E8" w:rsidRPr="00A030E8" w:rsidRDefault="00A030E8" w:rsidP="00A030E8">
      <w:pPr>
        <w:pStyle w:val="Akapitzlist"/>
        <w:numPr>
          <w:ilvl w:val="1"/>
          <w:numId w:val="18"/>
        </w:num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akredytacji podmiotów udzielających certyfikacji, zwanych dalej „podmiotami certyfikującymi”. </w:t>
      </w:r>
    </w:p>
    <w:p w14:paraId="651B86D8"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Certyfikacja będzie umożliwiała wykonawcy potwierdzenie, że nie podlega on wykluczeniu z postępowania o udzielenie zamówienia publicznego oraz że posiada zdolność do należytego wykonania takiego zamówienia. Wykonawca będzie uprawniony do powoływania się na certyfikację i posługiwania się certyfikatem na potrzeby wielu różnych postępowań, bez konieczności każdorazowego gromadzenia i składania dokumentów. Wykonawca będzie mógł ubiegać się o certyfikację i posługiwać się nią w postępowaniu na zasadzie dobrowolności. Ustawa nie przewiduje obowiązku certyfikacji.  </w:t>
      </w:r>
    </w:p>
    <w:p w14:paraId="6B989912"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Głównym założeniem certyfikacji jest ograniczenie obowiązków, zarówno po stronie wykonawców, jak i zamawiających, związanych z weryfikacją podmiotową wykonawców. Posługiwanie się certyfikatem ma przyczynić się do skrócenia czasu potrzebnego na przygotowanie oferty. Będzie ponadto sprzyjać profesjonalizacji oraz transparentności procesu weryfikacji wykonawców, w związku z powierzeniem weryfikacji niezależnym, wyspecjalizowanym podmiotom.  </w:t>
      </w:r>
    </w:p>
    <w:p w14:paraId="0EC07931"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Certyfikacja będzie udzielana, zgodnie z żądaniem wykonawcy, na okres od roku do 3 lat, licząc od dnia jej udzielenia.  </w:t>
      </w:r>
    </w:p>
    <w:p w14:paraId="5FD19CD6"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W przyjętym modelu certyfikacji przewiduje się możliwość uzyskania dwóch rodzajów certyfikacji, tj.: </w:t>
      </w:r>
    </w:p>
    <w:p w14:paraId="05B9D96F" w14:textId="4361B8A3" w:rsidR="00905C63" w:rsidRPr="00905C63" w:rsidRDefault="00A030E8" w:rsidP="00905C63">
      <w:pPr>
        <w:pStyle w:val="Akapitzlist"/>
        <w:numPr>
          <w:ilvl w:val="1"/>
          <w:numId w:val="20"/>
        </w:numPr>
        <w:spacing w:after="0" w:line="300" w:lineRule="auto"/>
        <w:jc w:val="both"/>
        <w:rPr>
          <w:rFonts w:ascii="Arial" w:eastAsia="Times New Roman" w:hAnsi="Arial" w:cs="Arial"/>
          <w:lang w:eastAsia="pl-PL"/>
        </w:rPr>
      </w:pPr>
      <w:r w:rsidRPr="00905C63">
        <w:rPr>
          <w:rFonts w:ascii="Arial" w:eastAsia="Times New Roman" w:hAnsi="Arial" w:cs="Arial"/>
          <w:lang w:eastAsia="pl-PL"/>
        </w:rPr>
        <w:t xml:space="preserve">certyfikacji potwierdzającej niepodleganie przez wykonawcę wykluczeniu („certyfikacja niepodlegania wykluczeniu”) – ma ona umożliwić potwierdzenie tego, że nie zachodzą </w:t>
      </w:r>
      <w:r w:rsidRPr="00905C63">
        <w:rPr>
          <w:rFonts w:ascii="Arial" w:eastAsia="Times New Roman" w:hAnsi="Arial" w:cs="Arial"/>
          <w:lang w:eastAsia="pl-PL"/>
        </w:rPr>
        <w:lastRenderedPageBreak/>
        <w:t xml:space="preserve">względem wykonawcy podstawy wykluczenia z postępowania o udzielenie zamówienia uregulowane w art. 108 i art. 109 ustawy Prawo zamówień publicznych; </w:t>
      </w:r>
    </w:p>
    <w:p w14:paraId="69CB7511" w14:textId="27830B72" w:rsidR="00905C63" w:rsidRPr="00905C63" w:rsidRDefault="00A030E8" w:rsidP="00905C63">
      <w:pPr>
        <w:pStyle w:val="Akapitzlist"/>
        <w:numPr>
          <w:ilvl w:val="1"/>
          <w:numId w:val="20"/>
        </w:numPr>
        <w:spacing w:after="0" w:line="300" w:lineRule="auto"/>
        <w:jc w:val="both"/>
        <w:rPr>
          <w:rFonts w:ascii="Arial" w:eastAsia="Times New Roman" w:hAnsi="Arial" w:cs="Arial"/>
          <w:lang w:eastAsia="pl-PL"/>
        </w:rPr>
      </w:pPr>
      <w:r w:rsidRPr="00905C63">
        <w:rPr>
          <w:rFonts w:ascii="Arial" w:eastAsia="Times New Roman" w:hAnsi="Arial" w:cs="Arial"/>
          <w:lang w:eastAsia="pl-PL"/>
        </w:rPr>
        <w:t xml:space="preserve">certyfikacji potwierdzającej posiadanie zdolności do należytego wykonania zamówienia („certyfikacja zdolności wykonawcy”) – ma umożliwić wykonawcy potwierdzenie swojej zdolności do należytego wykonania zamówienia (ich zakresu, sposobu spełniania zdolności lub poziomu zdolności, np. posiadanego doświadczenia, kwalifikacji, uprawnień zawodowych), którą następnie będzie wykorzystywał do wykazywania spełniania warunków udziału w konkretnym postępowaniu o udzielenie zamówienia. </w:t>
      </w:r>
    </w:p>
    <w:p w14:paraId="4E0C7BEA"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Ustawa określa również przesłanki utraty ważności certyfikacji, zasady sprawowania nadzoru przez podmiot certyfikujący nad aktualnością ważności udzielonej certyfikacji w okresie, na jaki certyfikacja została udzielona, oraz warunki zawieszenia ważności certyfikacji i przeprowadzenia aktualizacji jej ważności.  </w:t>
      </w:r>
    </w:p>
    <w:p w14:paraId="5D42FC1D"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Elementem regulacji jest również określenie podmiotów certyfikujących i zasad uzyskania przez te podmioty akredytacji, w tym wskazanie, że akredytację przeprowadza Polskie Centrum Akredytacji, zwane dalej „PCA”. Certyfikacji niepodlegania wykluczeniu będą udzielać podmioty certyfikujące akredytowane przez PCA, należące do jednostek sektora finansów publicznych, a także państwowe jednostki organizacyjne nieposiadające osobowości prawnej i jednoosobowe spółki Skarbu Państwa. W przypadku certyfikacji zdolności wykonawcy, o akredytację PCA będzie mogła ubiegać się każda jednostka, zaś udzielenie jej akredytacji uzależnione będzie wyłącznie od spełnienia warunków jej udzielenia zgodnie z przepisami ustawy oraz ustawy z dnia 13 kwietnia 2016 r. o systemach oceny zgodności i nadzoru rynku.  </w:t>
      </w:r>
    </w:p>
    <w:p w14:paraId="30980CF8"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Procedura certyfikacji będzie przeprowadzana na podstawie umowy zawieranej pomiędzy wykonawcą a podmiotem certyfikującym. Ustawa zakłada, że procedura certyfikacji wykonawców zamówień publicznych powinna być przeprowadzona przez podmiot certyfikujący w terminie 30 dni od dnia zawarcia umowy, chyba że strony umowy ustalą inny termin.  </w:t>
      </w:r>
    </w:p>
    <w:p w14:paraId="4A799B1D"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Ustawa reguluje także kwestię zakończenia procedury certyfikacji, w ramach której podmiot certyfikujący zawiadomi wykonawcę o udzieleniu bądź o odmowie udzielenia certyfikacji. Możliwość odmowy udzielenia certyfikacji związana będzie, w przypadku certyfikacji niepodlegania wykluczeniu, z niepotwierdzeniem braku istnienia podstaw wykluczenia wykonawcy z udziału w postępowaniu w zakresie objętym procedurą, zaś w przypadku certyfikacji zdolności wykonawcy – z niepotwierdzeniem posiadania przez wykonawcę zdolności do należytego wykonania zamówienia, w zakresie objętym procedurą certyfikacji. Odmowa udzielenia certyfikacji wiązać się będzie z obowiązkiem podania przez podmiot certyfikujący uzasadnienia faktycznego i prawnego swojej decyzji. Wykonawca, w terminie 21 dni od dnia doręczenia mu zawiadomienia o odmowie, będzie mógł złożyć zastrzeżenia. Podmiot certyfikujący będzie rozpatrywał zastrzeżenia w terminie nie dłuższym niż 14 dni od dnia ich wniesienia. W przypadku ponownej odmowy udzielenia certyfikacji, wykonawca nie będzie miał już możliwości podejmowania dalszych działań w ramach tej procedury; ulegnie ona ostatecznemu zakończeniu. W przypadku pozytywnego zakończenia procedury certyfikacji, wykonawca otrzyma certyfikat, wydany w postaci elektronicznej.  </w:t>
      </w:r>
    </w:p>
    <w:p w14:paraId="6370D464"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lastRenderedPageBreak/>
        <w:t xml:space="preserve">Ustawa reguluje kwestię utworzenia i prowadzenia przez ministra właściwego do spraw gospodarki systemu teleinformatycznego, w którym będą gromadzone informacje o certyfikowanych wykonawcach, wydanych certyfikatach oraz podmiotach certyfikujących, tj. Bazy Danych o Certyfikacji Wykonawców Zamówień Publicznych.   </w:t>
      </w:r>
    </w:p>
    <w:p w14:paraId="2413DE04"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W celu zapewnienia sprawnego korzystania z certyfikatów w postępowaniu o udzielenie zamówienia publicznego, dokonano również niezbędnych zmian w przepisach ustawy Prawo zamówień publicznych.  </w:t>
      </w:r>
    </w:p>
    <w:p w14:paraId="0C923AAF"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Zgodnie z przepisem przejściowym do postępowań o udzielenie zamówienia publicznego, o których mowa w ustawie Prawo zamówień publicznych, wszczętych i niezakończonych przed dniem wejścia w życie ustawy znajdą zastosowanie przepisy dotychczasowe.  </w:t>
      </w:r>
    </w:p>
    <w:p w14:paraId="58672E60" w14:textId="77777777"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Rada Ministrów, po upływie 4 lat od dnia wejścia ustawy w życie, będzie obowiązana dokonać przeglądu funkcjonowania jej przepisów oraz przedłożyć Sejmowi i Senatowi informację o skutkach obowiązywania ustawy wraz ze wskazaniem ewentualnej konieczności podjęcia działań korygujących. </w:t>
      </w:r>
    </w:p>
    <w:p w14:paraId="454547DE" w14:textId="77777777" w:rsidR="00C37EE7" w:rsidRDefault="00C37EE7" w:rsidP="000D50AF">
      <w:pPr>
        <w:spacing w:after="0" w:line="300" w:lineRule="auto"/>
        <w:jc w:val="both"/>
        <w:rPr>
          <w:rFonts w:ascii="Arial" w:eastAsia="Times New Roman" w:hAnsi="Arial" w:cs="Arial"/>
          <w:lang w:eastAsia="pl-PL"/>
        </w:rPr>
      </w:pPr>
    </w:p>
    <w:p w14:paraId="6B7773E7" w14:textId="34413970" w:rsidR="00905C63"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Ustawa wejdzie w życie zasadniczo po upływie 10 miesięcy od dnia ogłoszenia. </w:t>
      </w:r>
    </w:p>
    <w:p w14:paraId="54217DB8" w14:textId="77777777" w:rsidR="00C37EE7"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Po upływie 4 miesięcy od dnia ogłoszenia wejdą w życie przepisy dotyczące podmiotów cer</w:t>
      </w:r>
      <w:r w:rsidR="00C37EE7">
        <w:rPr>
          <w:rFonts w:ascii="Arial" w:eastAsia="Times New Roman" w:hAnsi="Arial" w:cs="Arial"/>
          <w:lang w:eastAsia="pl-PL"/>
        </w:rPr>
        <w:t>t</w:t>
      </w:r>
      <w:r w:rsidRPr="00A030E8">
        <w:rPr>
          <w:rFonts w:ascii="Arial" w:eastAsia="Times New Roman" w:hAnsi="Arial" w:cs="Arial"/>
          <w:lang w:eastAsia="pl-PL"/>
        </w:rPr>
        <w:t xml:space="preserve">yfikujących.  </w:t>
      </w:r>
    </w:p>
    <w:p w14:paraId="073840CC" w14:textId="77777777" w:rsidR="00C37EE7"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Z dniem 1 stycznia 2026 r. wejdzie w życie zmiana art. 11 ust. 4 ustawy Prawo zamówień publicznych (ograniczenie zakresu </w:t>
      </w:r>
      <w:proofErr w:type="spellStart"/>
      <w:r w:rsidRPr="00A030E8">
        <w:rPr>
          <w:rFonts w:ascii="Arial" w:eastAsia="Times New Roman" w:hAnsi="Arial" w:cs="Arial"/>
          <w:lang w:eastAsia="pl-PL"/>
        </w:rPr>
        <w:t>wyłączeń</w:t>
      </w:r>
      <w:proofErr w:type="spellEnd"/>
      <w:r w:rsidRPr="00A030E8">
        <w:rPr>
          <w:rFonts w:ascii="Arial" w:eastAsia="Times New Roman" w:hAnsi="Arial" w:cs="Arial"/>
          <w:lang w:eastAsia="pl-PL"/>
        </w:rPr>
        <w:t xml:space="preserve"> z reżimu ustawy Prawo zamówień publicznych).</w:t>
      </w:r>
    </w:p>
    <w:p w14:paraId="1065ABED" w14:textId="77777777" w:rsidR="00C37EE7"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Po upływie 4 lat od dnia ogłoszenia wejdą w życie art. 5 ust. 3 pkt 2 i ust. 5 (jest to konsekwencja rozwiązania przyjętego w art. 40; wyłączenie stosowania art. 5 ust. 1 pkt 3 lit. a </w:t>
      </w:r>
      <w:proofErr w:type="spellStart"/>
      <w:r w:rsidRPr="00A030E8">
        <w:rPr>
          <w:rFonts w:ascii="Arial" w:eastAsia="Times New Roman" w:hAnsi="Arial" w:cs="Arial"/>
          <w:lang w:eastAsia="pl-PL"/>
        </w:rPr>
        <w:t>tiret</w:t>
      </w:r>
      <w:proofErr w:type="spellEnd"/>
      <w:r w:rsidRPr="00A030E8">
        <w:rPr>
          <w:rFonts w:ascii="Arial" w:eastAsia="Times New Roman" w:hAnsi="Arial" w:cs="Arial"/>
          <w:lang w:eastAsia="pl-PL"/>
        </w:rPr>
        <w:t xml:space="preserve"> drugie i trzecie oraz ust. 2 przez okres 4 lat od dnia ogłoszenia ustawy).  </w:t>
      </w:r>
    </w:p>
    <w:p w14:paraId="76709F91" w14:textId="5D8D4A3B" w:rsidR="000D50AF" w:rsidRDefault="00A030E8" w:rsidP="000D50AF">
      <w:pPr>
        <w:spacing w:after="0" w:line="300" w:lineRule="auto"/>
        <w:jc w:val="both"/>
        <w:rPr>
          <w:rFonts w:ascii="Arial" w:eastAsia="Times New Roman" w:hAnsi="Arial" w:cs="Arial"/>
          <w:lang w:eastAsia="pl-PL"/>
        </w:rPr>
      </w:pPr>
      <w:r w:rsidRPr="00A030E8">
        <w:rPr>
          <w:rFonts w:ascii="Arial" w:eastAsia="Times New Roman" w:hAnsi="Arial" w:cs="Arial"/>
          <w:lang w:eastAsia="pl-PL"/>
        </w:rPr>
        <w:t xml:space="preserve">Ponadto po upływie 4 miesięcy od dnia ogłoszenia ustawy wejdą w życie art. 14, art. 19‒23, art. 25 i art. 32‒35, przepisy te wpływają na przygotowanie się przez Polskie Centrum Akredytacji do udzielania akredytacji podmiotom zamierzającym udzielać certyfikacji (przygotowanie programu akredytacji oraz przeprowadzenia samej procedury akredytacji).  </w:t>
      </w:r>
    </w:p>
    <w:p w14:paraId="7DEB9EFB" w14:textId="77777777" w:rsidR="00C615EC" w:rsidRDefault="00C615EC" w:rsidP="00C615EC">
      <w:pPr>
        <w:spacing w:after="0" w:line="300" w:lineRule="auto"/>
        <w:jc w:val="both"/>
        <w:rPr>
          <w:rFonts w:ascii="Arial" w:hAnsi="Arial" w:cs="Arial"/>
        </w:rPr>
      </w:pPr>
    </w:p>
    <w:p w14:paraId="5173C1BE" w14:textId="77777777" w:rsidR="00580328" w:rsidRDefault="00580328"/>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21E"/>
    <w:multiLevelType w:val="hybridMultilevel"/>
    <w:tmpl w:val="4BAA23AA"/>
    <w:lvl w:ilvl="0" w:tplc="6156802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636D3"/>
    <w:multiLevelType w:val="hybridMultilevel"/>
    <w:tmpl w:val="63B4491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34630"/>
    <w:multiLevelType w:val="hybridMultilevel"/>
    <w:tmpl w:val="CF8CD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847E6D"/>
    <w:multiLevelType w:val="hybridMultilevel"/>
    <w:tmpl w:val="F4A03C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B2CEE"/>
    <w:multiLevelType w:val="hybridMultilevel"/>
    <w:tmpl w:val="DC80B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C5D4B"/>
    <w:multiLevelType w:val="hybridMultilevel"/>
    <w:tmpl w:val="7F904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9548EA"/>
    <w:multiLevelType w:val="hybridMultilevel"/>
    <w:tmpl w:val="E7B0C76E"/>
    <w:lvl w:ilvl="0" w:tplc="19D8C49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A14D62"/>
    <w:multiLevelType w:val="hybridMultilevel"/>
    <w:tmpl w:val="540A86BE"/>
    <w:lvl w:ilvl="0" w:tplc="0415000B">
      <w:start w:val="1"/>
      <w:numFmt w:val="bullet"/>
      <w:lvlText w:val=""/>
      <w:lvlJc w:val="left"/>
      <w:pPr>
        <w:ind w:left="720" w:hanging="360"/>
      </w:pPr>
      <w:rPr>
        <w:rFonts w:ascii="Wingdings" w:hAnsi="Wingdings" w:hint="default"/>
      </w:rPr>
    </w:lvl>
    <w:lvl w:ilvl="1" w:tplc="86829C6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467F3C"/>
    <w:multiLevelType w:val="hybridMultilevel"/>
    <w:tmpl w:val="37DEB89E"/>
    <w:lvl w:ilvl="0" w:tplc="C7FA5CB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407773"/>
    <w:multiLevelType w:val="hybridMultilevel"/>
    <w:tmpl w:val="A50AD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A744C9"/>
    <w:multiLevelType w:val="hybridMultilevel"/>
    <w:tmpl w:val="95C66DF6"/>
    <w:lvl w:ilvl="0" w:tplc="A524C3F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B8580B"/>
    <w:multiLevelType w:val="hybridMultilevel"/>
    <w:tmpl w:val="B43266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AF3313"/>
    <w:multiLevelType w:val="hybridMultilevel"/>
    <w:tmpl w:val="5C1E3F1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86A7CBE"/>
    <w:multiLevelType w:val="hybridMultilevel"/>
    <w:tmpl w:val="C8C24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CB14EC"/>
    <w:multiLevelType w:val="hybridMultilevel"/>
    <w:tmpl w:val="92844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8"/>
  </w:num>
  <w:num w:numId="2" w16cid:durableId="311831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3"/>
  </w:num>
  <w:num w:numId="4" w16cid:durableId="5788216">
    <w:abstractNumId w:val="16"/>
  </w:num>
  <w:num w:numId="5" w16cid:durableId="1820147117">
    <w:abstractNumId w:val="12"/>
  </w:num>
  <w:num w:numId="6" w16cid:durableId="1533493167">
    <w:abstractNumId w:val="19"/>
  </w:num>
  <w:num w:numId="7" w16cid:durableId="720325539">
    <w:abstractNumId w:val="2"/>
  </w:num>
  <w:num w:numId="8" w16cid:durableId="1084492704">
    <w:abstractNumId w:val="5"/>
  </w:num>
  <w:num w:numId="9" w16cid:durableId="1302271083">
    <w:abstractNumId w:val="7"/>
  </w:num>
  <w:num w:numId="10" w16cid:durableId="742071798">
    <w:abstractNumId w:val="6"/>
  </w:num>
  <w:num w:numId="11" w16cid:durableId="875199533">
    <w:abstractNumId w:val="0"/>
  </w:num>
  <w:num w:numId="12" w16cid:durableId="1802966082">
    <w:abstractNumId w:val="11"/>
  </w:num>
  <w:num w:numId="13" w16cid:durableId="740982253">
    <w:abstractNumId w:val="13"/>
  </w:num>
  <w:num w:numId="14" w16cid:durableId="2141530370">
    <w:abstractNumId w:val="9"/>
  </w:num>
  <w:num w:numId="15" w16cid:durableId="1627349978">
    <w:abstractNumId w:val="18"/>
  </w:num>
  <w:num w:numId="16" w16cid:durableId="1864325488">
    <w:abstractNumId w:val="10"/>
  </w:num>
  <w:num w:numId="17" w16cid:durableId="947851848">
    <w:abstractNumId w:val="4"/>
  </w:num>
  <w:num w:numId="18" w16cid:durableId="540096172">
    <w:abstractNumId w:val="15"/>
  </w:num>
  <w:num w:numId="19" w16cid:durableId="2050301228">
    <w:abstractNumId w:val="14"/>
  </w:num>
  <w:num w:numId="20" w16cid:durableId="177747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EC"/>
    <w:rsid w:val="000D50AF"/>
    <w:rsid w:val="002B30E9"/>
    <w:rsid w:val="003F7F2E"/>
    <w:rsid w:val="00580328"/>
    <w:rsid w:val="0074317A"/>
    <w:rsid w:val="00905C63"/>
    <w:rsid w:val="00974FE2"/>
    <w:rsid w:val="00A030E8"/>
    <w:rsid w:val="00BA70CE"/>
    <w:rsid w:val="00C37EE7"/>
    <w:rsid w:val="00C615EC"/>
    <w:rsid w:val="00C61C76"/>
    <w:rsid w:val="00D560B5"/>
    <w:rsid w:val="00F3237C"/>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AF52"/>
  <w15:chartTrackingRefBased/>
  <w15:docId w15:val="{B464F945-4500-4DCB-907C-5E2065A4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15EC"/>
    <w:pPr>
      <w:spacing w:after="200" w:line="276" w:lineRule="auto"/>
    </w:pPr>
    <w:rPr>
      <w:kern w:val="0"/>
      <w14:ligatures w14:val="none"/>
    </w:rPr>
  </w:style>
  <w:style w:type="paragraph" w:styleId="Nagwek1">
    <w:name w:val="heading 1"/>
    <w:basedOn w:val="Normalny"/>
    <w:next w:val="Normalny"/>
    <w:link w:val="Nagwek1Znak"/>
    <w:uiPriority w:val="9"/>
    <w:qFormat/>
    <w:rsid w:val="00C6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6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615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615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615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615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15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15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15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15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615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615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615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615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615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15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15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15EC"/>
    <w:rPr>
      <w:rFonts w:eastAsiaTheme="majorEastAsia" w:cstheme="majorBidi"/>
      <w:color w:val="272727" w:themeColor="text1" w:themeTint="D8"/>
    </w:rPr>
  </w:style>
  <w:style w:type="paragraph" w:styleId="Tytu">
    <w:name w:val="Title"/>
    <w:basedOn w:val="Normalny"/>
    <w:next w:val="Normalny"/>
    <w:link w:val="TytuZnak"/>
    <w:uiPriority w:val="10"/>
    <w:qFormat/>
    <w:rsid w:val="00C6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15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15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15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15EC"/>
    <w:pPr>
      <w:spacing w:before="160"/>
      <w:jc w:val="center"/>
    </w:pPr>
    <w:rPr>
      <w:i/>
      <w:iCs/>
      <w:color w:val="404040" w:themeColor="text1" w:themeTint="BF"/>
    </w:rPr>
  </w:style>
  <w:style w:type="character" w:customStyle="1" w:styleId="CytatZnak">
    <w:name w:val="Cytat Znak"/>
    <w:basedOn w:val="Domylnaczcionkaakapitu"/>
    <w:link w:val="Cytat"/>
    <w:uiPriority w:val="29"/>
    <w:rsid w:val="00C615EC"/>
    <w:rPr>
      <w:i/>
      <w:iCs/>
      <w:color w:val="404040" w:themeColor="text1" w:themeTint="BF"/>
    </w:rPr>
  </w:style>
  <w:style w:type="paragraph" w:styleId="Akapitzlist">
    <w:name w:val="List Paragraph"/>
    <w:basedOn w:val="Normalny"/>
    <w:uiPriority w:val="34"/>
    <w:qFormat/>
    <w:rsid w:val="00C615EC"/>
    <w:pPr>
      <w:ind w:left="720"/>
      <w:contextualSpacing/>
    </w:pPr>
  </w:style>
  <w:style w:type="character" w:styleId="Wyrnienieintensywne">
    <w:name w:val="Intense Emphasis"/>
    <w:basedOn w:val="Domylnaczcionkaakapitu"/>
    <w:uiPriority w:val="21"/>
    <w:qFormat/>
    <w:rsid w:val="00C615EC"/>
    <w:rPr>
      <w:i/>
      <w:iCs/>
      <w:color w:val="0F4761" w:themeColor="accent1" w:themeShade="BF"/>
    </w:rPr>
  </w:style>
  <w:style w:type="paragraph" w:styleId="Cytatintensywny">
    <w:name w:val="Intense Quote"/>
    <w:basedOn w:val="Normalny"/>
    <w:next w:val="Normalny"/>
    <w:link w:val="CytatintensywnyZnak"/>
    <w:uiPriority w:val="30"/>
    <w:qFormat/>
    <w:rsid w:val="00C6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615EC"/>
    <w:rPr>
      <w:i/>
      <w:iCs/>
      <w:color w:val="0F4761" w:themeColor="accent1" w:themeShade="BF"/>
    </w:rPr>
  </w:style>
  <w:style w:type="character" w:styleId="Odwoanieintensywne">
    <w:name w:val="Intense Reference"/>
    <w:basedOn w:val="Domylnaczcionkaakapitu"/>
    <w:uiPriority w:val="32"/>
    <w:qFormat/>
    <w:rsid w:val="00C615EC"/>
    <w:rPr>
      <w:b/>
      <w:bCs/>
      <w:smallCaps/>
      <w:color w:val="0F4761" w:themeColor="accent1" w:themeShade="BF"/>
      <w:spacing w:val="5"/>
    </w:rPr>
  </w:style>
  <w:style w:type="character" w:customStyle="1" w:styleId="markedcontent">
    <w:name w:val="markedcontent"/>
    <w:basedOn w:val="Domylnaczcionkaakapitu"/>
    <w:rsid w:val="00C615EC"/>
  </w:style>
  <w:style w:type="character" w:styleId="Hipercze">
    <w:name w:val="Hyperlink"/>
    <w:basedOn w:val="Domylnaczcionkaakapitu"/>
    <w:uiPriority w:val="99"/>
    <w:unhideWhenUsed/>
    <w:rsid w:val="00F3237C"/>
    <w:rPr>
      <w:color w:val="467886" w:themeColor="hyperlink"/>
      <w:u w:val="single"/>
    </w:rPr>
  </w:style>
  <w:style w:type="character" w:styleId="Nierozpoznanawzmianka">
    <w:name w:val="Unresolved Mention"/>
    <w:basedOn w:val="Domylnaczcionkaakapitu"/>
    <w:uiPriority w:val="99"/>
    <w:semiHidden/>
    <w:unhideWhenUsed/>
    <w:rsid w:val="00F3237C"/>
    <w:rPr>
      <w:color w:val="605E5C"/>
      <w:shd w:val="clear" w:color="auto" w:fill="E1DFDD"/>
    </w:rPr>
  </w:style>
  <w:style w:type="character" w:styleId="UyteHipercze">
    <w:name w:val="FollowedHyperlink"/>
    <w:basedOn w:val="Domylnaczcionkaakapitu"/>
    <w:uiPriority w:val="99"/>
    <w:semiHidden/>
    <w:unhideWhenUsed/>
    <w:rsid w:val="00F323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2001/katalog/13155351" TargetMode="External"/><Relationship Id="rId3" Type="http://schemas.openxmlformats.org/officeDocument/2006/relationships/settings" Target="settings.xml"/><Relationship Id="rId7" Type="http://schemas.openxmlformats.org/officeDocument/2006/relationships/hyperlink" Target="https://legislacja.rcl.gov.pl/projekt/12401951/katalog/131549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1857/katalog/1315461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egislacja.rcl.gov.pl/projekt/12402051/katalog/13155723" TargetMode="External"/><Relationship Id="rId4" Type="http://schemas.openxmlformats.org/officeDocument/2006/relationships/webSettings" Target="webSettings.xml"/><Relationship Id="rId9" Type="http://schemas.openxmlformats.org/officeDocument/2006/relationships/hyperlink" Target="https://legislacja.rcl.gov.pl/projekt/12402050/katalog/131556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5584</Words>
  <Characters>33510</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4</cp:revision>
  <dcterms:created xsi:type="dcterms:W3CDTF">2025-09-18T08:47:00Z</dcterms:created>
  <dcterms:modified xsi:type="dcterms:W3CDTF">2025-09-18T12:03:00Z</dcterms:modified>
</cp:coreProperties>
</file>