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E0E3" w14:textId="77777777" w:rsidR="00FE3960" w:rsidRPr="00586923" w:rsidRDefault="00FE3960" w:rsidP="00FE3960">
      <w:pPr>
        <w:rPr>
          <w:rFonts w:ascii="Arial" w:hAnsi="Arial" w:cs="Arial"/>
        </w:rPr>
      </w:pPr>
      <w:r w:rsidRPr="00586923">
        <w:rPr>
          <w:rFonts w:ascii="Arial" w:hAnsi="Arial" w:cs="Arial"/>
          <w:noProof/>
          <w:lang w:eastAsia="pl-PL"/>
        </w:rPr>
        <w:drawing>
          <wp:inline distT="0" distB="0" distL="0" distR="0" wp14:anchorId="566713CA" wp14:editId="63EE6086">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71BC365C" w14:textId="77777777" w:rsidR="00FE3960" w:rsidRDefault="00FE3960" w:rsidP="00FE3960">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5C7E55B7" w14:textId="77777777" w:rsidR="00FE3960" w:rsidRPr="00586923" w:rsidRDefault="00FE3960" w:rsidP="00FE3960">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75AB35B4" w14:textId="60F88829" w:rsidR="00FE3960" w:rsidRPr="00586923" w:rsidRDefault="00FE3960" w:rsidP="00FE3960">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15</w:t>
      </w:r>
      <w:r>
        <w:rPr>
          <w:rFonts w:ascii="Arial" w:hAnsi="Arial" w:cs="Arial"/>
          <w:b/>
        </w:rPr>
        <w:t xml:space="preserve"> </w:t>
      </w:r>
      <w:r w:rsidRPr="00586923">
        <w:rPr>
          <w:rFonts w:ascii="Arial" w:hAnsi="Arial" w:cs="Arial"/>
          <w:b/>
        </w:rPr>
        <w:t xml:space="preserve">do </w:t>
      </w:r>
      <w:r>
        <w:rPr>
          <w:rFonts w:ascii="Arial" w:hAnsi="Arial" w:cs="Arial"/>
          <w:b/>
        </w:rPr>
        <w:t>21 września</w:t>
      </w:r>
      <w:r w:rsidRPr="00586923">
        <w:rPr>
          <w:rFonts w:ascii="Arial" w:hAnsi="Arial" w:cs="Arial"/>
          <w:b/>
        </w:rPr>
        <w:t xml:space="preserve"> 202</w:t>
      </w:r>
      <w:r>
        <w:rPr>
          <w:rFonts w:ascii="Arial" w:hAnsi="Arial" w:cs="Arial"/>
          <w:b/>
        </w:rPr>
        <w:t>5</w:t>
      </w:r>
      <w:r w:rsidRPr="00586923">
        <w:rPr>
          <w:rFonts w:ascii="Arial" w:hAnsi="Arial" w:cs="Arial"/>
          <w:b/>
        </w:rPr>
        <w:t xml:space="preserve"> roku</w:t>
      </w:r>
    </w:p>
    <w:p w14:paraId="44382DA1" w14:textId="71A4876D" w:rsidR="00FE3960" w:rsidRPr="00AC3187" w:rsidRDefault="00FE3960" w:rsidP="00FE3960">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25 września</w:t>
      </w:r>
      <w:r w:rsidRPr="00AC3187">
        <w:rPr>
          <w:rFonts w:ascii="Arial" w:hAnsi="Arial" w:cs="Arial"/>
        </w:rPr>
        <w:t xml:space="preserve"> 202</w:t>
      </w:r>
      <w:r>
        <w:rPr>
          <w:rFonts w:ascii="Arial" w:hAnsi="Arial" w:cs="Arial"/>
        </w:rPr>
        <w:t>5</w:t>
      </w:r>
      <w:r w:rsidRPr="00AC3187">
        <w:rPr>
          <w:rFonts w:ascii="Arial" w:hAnsi="Arial" w:cs="Arial"/>
        </w:rPr>
        <w:t xml:space="preserve"> roku</w:t>
      </w:r>
    </w:p>
    <w:p w14:paraId="3A3B616A" w14:textId="77777777" w:rsidR="00FE3960" w:rsidRPr="00586923" w:rsidRDefault="00FE3960" w:rsidP="00FE3960">
      <w:pPr>
        <w:spacing w:after="0" w:line="300" w:lineRule="auto"/>
        <w:jc w:val="both"/>
        <w:rPr>
          <w:rFonts w:ascii="Arial" w:hAnsi="Arial" w:cs="Arial"/>
        </w:rPr>
      </w:pPr>
    </w:p>
    <w:p w14:paraId="1314F6E1" w14:textId="77777777" w:rsidR="00FE3960" w:rsidRPr="000B65D1" w:rsidRDefault="00FE3960" w:rsidP="00FE3960">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264FC146" w14:textId="77777777" w:rsidR="00FE3960" w:rsidRDefault="00FE3960" w:rsidP="00FE3960">
      <w:pPr>
        <w:spacing w:after="0" w:line="300" w:lineRule="auto"/>
        <w:jc w:val="both"/>
        <w:rPr>
          <w:rFonts w:ascii="Arial" w:hAnsi="Arial" w:cs="Arial"/>
        </w:rPr>
      </w:pPr>
    </w:p>
    <w:p w14:paraId="5CB6625C" w14:textId="63B95A39" w:rsidR="00FE3960" w:rsidRPr="00C70674" w:rsidRDefault="00FE3960" w:rsidP="00FE3960">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Pr>
          <w:rFonts w:ascii="Arial" w:eastAsia="Calibri" w:hAnsi="Arial" w:cs="Arial"/>
          <w:bCs/>
        </w:rPr>
        <w:t>10</w:t>
      </w:r>
      <w:r w:rsidRPr="00C70674">
        <w:rPr>
          <w:rFonts w:ascii="Arial" w:eastAsia="Calibri" w:hAnsi="Arial" w:cs="Arial"/>
          <w:bCs/>
        </w:rPr>
        <w:t xml:space="preserve"> projekt</w:t>
      </w:r>
      <w:r>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Pr>
          <w:rFonts w:ascii="Arial" w:hAnsi="Arial" w:cs="Arial"/>
        </w:rPr>
        <w:t>26</w:t>
      </w:r>
      <w:r w:rsidRPr="00C70674">
        <w:rPr>
          <w:rFonts w:ascii="Arial" w:hAnsi="Arial" w:cs="Arial"/>
        </w:rPr>
        <w:t xml:space="preserve"> projekt</w:t>
      </w:r>
      <w:r>
        <w:rPr>
          <w:rFonts w:ascii="Arial" w:hAnsi="Arial" w:cs="Arial"/>
        </w:rPr>
        <w:t xml:space="preserve">ów </w:t>
      </w:r>
      <w:r w:rsidRPr="00C70674">
        <w:rPr>
          <w:rFonts w:ascii="Arial" w:hAnsi="Arial" w:cs="Arial"/>
        </w:rPr>
        <w:t>rozporządzeń Rady Ministrów, Prezesa Rady Ministrów oraz poszczególnych Ministrów.</w:t>
      </w:r>
    </w:p>
    <w:p w14:paraId="5BE84BA5" w14:textId="77777777" w:rsidR="00FE3960" w:rsidRPr="00C70674" w:rsidRDefault="00FE3960" w:rsidP="00FE3960">
      <w:pPr>
        <w:spacing w:after="0" w:line="300" w:lineRule="auto"/>
        <w:jc w:val="both"/>
        <w:rPr>
          <w:rFonts w:ascii="Arial" w:hAnsi="Arial" w:cs="Arial"/>
        </w:rPr>
      </w:pPr>
    </w:p>
    <w:p w14:paraId="79AAEC2E" w14:textId="43383006" w:rsidR="00FE3960" w:rsidRDefault="00FE3960" w:rsidP="00FE3960">
      <w:pPr>
        <w:spacing w:after="0" w:line="300" w:lineRule="auto"/>
        <w:jc w:val="both"/>
        <w:rPr>
          <w:rFonts w:ascii="Arial" w:hAnsi="Arial" w:cs="Arial"/>
        </w:rPr>
      </w:pPr>
      <w:r>
        <w:rPr>
          <w:rFonts w:ascii="Arial" w:hAnsi="Arial" w:cs="Arial"/>
        </w:rPr>
        <w:t xml:space="preserve">Przeprowadzono konsultacje </w:t>
      </w:r>
      <w:r>
        <w:rPr>
          <w:rFonts w:ascii="Arial" w:hAnsi="Arial" w:cs="Arial"/>
        </w:rPr>
        <w:t>2</w:t>
      </w:r>
      <w:r>
        <w:rPr>
          <w:rFonts w:ascii="Arial" w:hAnsi="Arial" w:cs="Arial"/>
        </w:rPr>
        <w:t xml:space="preserve"> projekt</w:t>
      </w:r>
      <w:r>
        <w:rPr>
          <w:rFonts w:ascii="Arial" w:hAnsi="Arial" w:cs="Arial"/>
        </w:rPr>
        <w:t>ów</w:t>
      </w:r>
      <w:r>
        <w:rPr>
          <w:rFonts w:ascii="Arial" w:hAnsi="Arial" w:cs="Arial"/>
        </w:rPr>
        <w:t xml:space="preserve"> ustaw i </w:t>
      </w:r>
      <w:r>
        <w:rPr>
          <w:rFonts w:ascii="Arial" w:hAnsi="Arial" w:cs="Arial"/>
        </w:rPr>
        <w:t>5</w:t>
      </w:r>
      <w:r>
        <w:rPr>
          <w:rFonts w:ascii="Arial" w:hAnsi="Arial" w:cs="Arial"/>
        </w:rPr>
        <w:t xml:space="preserve"> projekt</w:t>
      </w:r>
      <w:r>
        <w:rPr>
          <w:rFonts w:ascii="Arial" w:hAnsi="Arial" w:cs="Arial"/>
        </w:rPr>
        <w:t>ów</w:t>
      </w:r>
      <w:r>
        <w:rPr>
          <w:rFonts w:ascii="Arial" w:hAnsi="Arial" w:cs="Arial"/>
        </w:rPr>
        <w:t xml:space="preserve"> rozporządzeń dotyczących podmiotów członkowskich (pracodawcy, przedsiębiorcy, JST) zrzeszonych w Związku. </w:t>
      </w:r>
    </w:p>
    <w:p w14:paraId="2D33887D" w14:textId="77777777" w:rsidR="00FE3960" w:rsidRDefault="00FE3960" w:rsidP="00FE3960">
      <w:pPr>
        <w:spacing w:after="0" w:line="300" w:lineRule="auto"/>
        <w:jc w:val="both"/>
        <w:rPr>
          <w:rFonts w:ascii="Arial" w:hAnsi="Arial" w:cs="Arial"/>
        </w:rPr>
      </w:pPr>
      <w:r>
        <w:rPr>
          <w:rFonts w:ascii="Arial" w:hAnsi="Arial" w:cs="Arial"/>
        </w:rPr>
        <w:t>Do konsultacji przekazane zostały następujące projekty:</w:t>
      </w:r>
    </w:p>
    <w:p w14:paraId="2D07ECEB" w14:textId="77777777" w:rsidR="00FE3960" w:rsidRDefault="00FE3960" w:rsidP="00FE3960">
      <w:pPr>
        <w:spacing w:after="0" w:line="300" w:lineRule="auto"/>
        <w:jc w:val="both"/>
        <w:rPr>
          <w:rFonts w:ascii="Arial" w:hAnsi="Arial" w:cs="Arial"/>
        </w:rPr>
      </w:pPr>
    </w:p>
    <w:p w14:paraId="2418AE1E" w14:textId="77777777" w:rsidR="00FE3960" w:rsidRDefault="00FE3960" w:rsidP="00FE3960">
      <w:pPr>
        <w:spacing w:after="0" w:line="300" w:lineRule="auto"/>
        <w:jc w:val="both"/>
        <w:rPr>
          <w:rFonts w:ascii="Arial" w:hAnsi="Arial" w:cs="Arial"/>
        </w:rPr>
      </w:pPr>
      <w:r>
        <w:rPr>
          <w:rFonts w:ascii="Arial" w:hAnsi="Arial" w:cs="Arial"/>
        </w:rPr>
        <w:t>Projekty ustaw:</w:t>
      </w:r>
    </w:p>
    <w:p w14:paraId="0CA11B6A" w14:textId="77777777" w:rsidR="00FE3960" w:rsidRDefault="00FE3960" w:rsidP="00FE3960">
      <w:pPr>
        <w:spacing w:after="0" w:line="300" w:lineRule="auto"/>
        <w:jc w:val="both"/>
        <w:rPr>
          <w:rFonts w:ascii="Arial" w:hAnsi="Arial" w:cs="Arial"/>
        </w:rPr>
      </w:pPr>
    </w:p>
    <w:p w14:paraId="3CC35E3D" w14:textId="4E33016A" w:rsidR="00FE3960" w:rsidRPr="00FE3960" w:rsidRDefault="00FE3960" w:rsidP="00FE3960">
      <w:pPr>
        <w:pStyle w:val="Akapitzlist"/>
        <w:numPr>
          <w:ilvl w:val="0"/>
          <w:numId w:val="3"/>
        </w:numPr>
        <w:spacing w:after="0" w:line="300" w:lineRule="auto"/>
        <w:jc w:val="both"/>
        <w:rPr>
          <w:rFonts w:ascii="Arial" w:hAnsi="Arial" w:cs="Arial"/>
          <w:b/>
          <w:bCs/>
          <w:u w:val="single"/>
        </w:rPr>
      </w:pPr>
      <w:r w:rsidRPr="00FE3960">
        <w:rPr>
          <w:rFonts w:ascii="Arial" w:hAnsi="Arial" w:cs="Arial"/>
          <w:b/>
          <w:bCs/>
          <w:u w:val="single"/>
        </w:rPr>
        <w:t>P</w:t>
      </w:r>
      <w:r w:rsidRPr="00FE3960">
        <w:rPr>
          <w:rFonts w:ascii="Arial" w:hAnsi="Arial" w:cs="Arial"/>
          <w:b/>
          <w:bCs/>
          <w:u w:val="single"/>
        </w:rPr>
        <w:t>rojekt ustawy o zmianie ustawy o podatku dochodowym od osób fizycznych, ustawy o podatku dochodowym od osób prawnych oraz niektórych innych ustaw (numer z wykazu UD116)</w:t>
      </w:r>
      <w:r>
        <w:rPr>
          <w:rFonts w:ascii="Arial" w:hAnsi="Arial" w:cs="Arial"/>
          <w:b/>
          <w:bCs/>
          <w:u w:val="single"/>
        </w:rPr>
        <w:t>.</w:t>
      </w:r>
    </w:p>
    <w:p w14:paraId="20850DB1" w14:textId="77777777" w:rsidR="00FE3960" w:rsidRDefault="00FE3960" w:rsidP="00FE3960">
      <w:pPr>
        <w:spacing w:after="0" w:line="300" w:lineRule="auto"/>
        <w:jc w:val="both"/>
        <w:rPr>
          <w:rFonts w:ascii="Arial" w:hAnsi="Arial" w:cs="Arial"/>
        </w:rPr>
      </w:pPr>
    </w:p>
    <w:p w14:paraId="367726BF" w14:textId="77777777" w:rsidR="00FE3960" w:rsidRPr="00FE3960" w:rsidRDefault="00FE3960" w:rsidP="00FE3960">
      <w:pPr>
        <w:spacing w:after="0" w:line="300" w:lineRule="auto"/>
        <w:jc w:val="both"/>
        <w:rPr>
          <w:rFonts w:ascii="Arial" w:hAnsi="Arial" w:cs="Arial"/>
        </w:rPr>
      </w:pPr>
      <w:r w:rsidRPr="00FE3960">
        <w:rPr>
          <w:rFonts w:ascii="Arial" w:hAnsi="Arial" w:cs="Arial"/>
        </w:rPr>
        <w:t>Zdiagnozowane problemy:</w:t>
      </w:r>
    </w:p>
    <w:p w14:paraId="14163579" w14:textId="6018F9CF"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Kwestia nieodpłatnego przekazywania najbliższej rodzinie lub innej osobie i nabycie korzysta ze zwolnienia od podatku od spadków  i darowizn, rzeczy ruchomych, np. samochodu, które były wykorzystywane w działalności gospodarczej na podstawie umowy leasingu operacyjnego, a następnie wykupione do majątku osobistego. Nieodpłatne przekazanie przedmiotowych rzeczy, które następnie rodzina lub ta osoba sprzedaje po 6 miesiącach, oznacza, że żadna ze stron nie płaci ani podatku PIT, ani podatku od spadków i darowizn.</w:t>
      </w:r>
    </w:p>
    <w:p w14:paraId="330E0C65" w14:textId="38538665"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Wątpliwości interpretacyjne dotyczących skutków prawnopodatkowych przeniesienia prawa własności nieruchomości, praw majątkowych lub innych rzeczy w zamian za zwolnienie z długu, czyli wykonania świadczenia rzeczowego w zamian za przyrzeczone świadczenie pieniężne (datio in solutum). </w:t>
      </w:r>
    </w:p>
    <w:p w14:paraId="3CFE4354" w14:textId="442F3D5C"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Kwestia szerokiego rozumienia „własnych celów mieszkaniowych” w ramach tzw. ulgi mieszkaniowej, stosowanej przy opodatkowaniu przychodów z odpłatnego zbycia nieruchomości, co wypacza ideę ulgi mieszkaniowej. </w:t>
      </w:r>
    </w:p>
    <w:p w14:paraId="0169AFAE" w14:textId="2DF7179F"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lastRenderedPageBreak/>
        <w:t>Wątpliwości interpretacyjne w zakresie rozumienia pojęcia „dochód podlegający opodatkowaniu” użytego w przepisach regulujących daninę solidarnościową. Wątpliwości te dotyczą możliwości obliczania dochodu będącego podstawą obliczenia daniny solidarnościowej, z uwzględnieniem straty z lat ubiegłych oraz innych przysługujących podatnikowi przy obliczaniu podatku PIT odliczeń lub pomniejszeń. Ponadto, daniną nie są objęte dochody z IP Box.</w:t>
      </w:r>
    </w:p>
    <w:p w14:paraId="4E856899" w14:textId="442FD513"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Zidentyfikowanie w zakresie restrukturyzacji podmiotów schematów optymalizacyjnych, w ramach których podatnicy – kierując się wyłącznie motywacją fiskalną – decydują się na przekształcenie spółki w spółkę osobową (jawną, cywilną), a następnie jej likwidację, wykorzystując różnice w opodatkowaniu likwidacji tych spółek i uzyskując istotne korzyści podatkowe, tj.  uniknięcie opodatkowania tzw. „ukrytych (cichych) rezerw” – czyli różnicy między historyczną a bieżącą (rynkową) wartością majątku spółki.  </w:t>
      </w:r>
    </w:p>
    <w:p w14:paraId="6F0A8CDF" w14:textId="16D2C087"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Obecnie brzmienie przepisów w zakresie amortyzacji spółek nieruchomościowych odczytywane jest w orzecznictwie sądowo-administracyjnym  z pominięciem celu wprowadzonego ograniczenia co do możliwości rozliczania podatkowej amortyzacji. Oderwanie podatkowej amortyzacji od jej bilansowego ujęcia prowadzi natomiast do sytuacji, w której podatnik kreuje koszty uzyskania przychodów w oderwaniu od rzeczywistego zużycia majątku.</w:t>
      </w:r>
    </w:p>
    <w:p w14:paraId="02CB43C5" w14:textId="69F47B17"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Zidentyfikowanie praktyki opartych na błędnej wykładni art. 16b ust. 2 pkt 2 lit. b ustawy CIT (art. 22b ust. 2 w pkt 1 lit. b ustawy PIT), polegającej na obniżenia kosztów prowadzenia działalności, noszącej znamiona techniki optymalizacyjnej, w głównej mierze ze względu na korzyść podatkową płynącą z faktu, że przekazanie przedsiębiorstwa w ramach leasingu finansowego może generować wartość firmy. </w:t>
      </w:r>
    </w:p>
    <w:p w14:paraId="4AF3A0AD" w14:textId="208A97CC"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Zidentyfikowanie w konstrukcji podatku od przerzuconych dochodów pewnych nieścisłości, które mogą prowadzić do braku efektywnego opodatkowania tym podatkiem mającym zapobiegać erozji podstawy opodatkowania.</w:t>
      </w:r>
    </w:p>
    <w:p w14:paraId="7F67EAF5" w14:textId="60FD7754"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Stosowanie przez podatników opodatkowanych ryczałtem od przychodów ewidencjonowanych mechanizmu optymalizacyjnego, polegającego na świadczeniu usług na rzecz podmiotu powiązanego, przez co zmniejszana jest np. należna dywidenda, która w PIT opodatkowana jest stawką 19%.</w:t>
      </w:r>
    </w:p>
    <w:p w14:paraId="50ADAF3D" w14:textId="5CA1D1E9"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Zidentyfikowanie praktyk wykorzystywania instrumentów finansowych do wynagradzania osób w ramach tzw. programów lojalnościowych, które powodują niższe opodatkowanie uzyskiwanych przez nich przychodów.</w:t>
      </w:r>
    </w:p>
    <w:p w14:paraId="3228A947" w14:textId="344D1ED5"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Kwestie związane z ustalaniem kosztów uzyskania przychodów z odpłatnego zbycia udziałów (akcji) spółki powstałej z przekształcenia innej spółki. </w:t>
      </w:r>
    </w:p>
    <w:p w14:paraId="5CF2D4C5" w14:textId="06E9249A"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Kwestie związane z zasadami ustalania dochodu z umorzenia udziałów (akcji) lub ze zmniejszenia ich wartości.</w:t>
      </w:r>
    </w:p>
    <w:p w14:paraId="6AD96A72" w14:textId="2966F88F"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Zidentyfikowane praktyki wykorzystywania przez podatników wstecznego obniżania lub podwyższania stawek amortyzacyjnych do obniżania zobowiązania podatkowego w podatku dochodowym.</w:t>
      </w:r>
    </w:p>
    <w:p w14:paraId="31D5924C" w14:textId="4DA50B37"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Dostosowanie regulacji w minimalnym podatku CIT (w zakresie ustalania uproszczonej podstawy opodatkowania) do indywidualnych sytuacji podatników w zależności od wielkości podatnika, tak aby zapewnić efektywne opodatkowanie tym podatkiem.</w:t>
      </w:r>
    </w:p>
    <w:p w14:paraId="695A4340" w14:textId="2D9B0AA1"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lastRenderedPageBreak/>
        <w:t>Wykorzystywanie preferencyjnego opodatkowania dochodów z autorskiego prawa komputerowego obniżoną 5% stawką podatku (IP Box) w celu zmniejszenia wysokości zobowiązania podatkowego w sposób sprzeczny celem niniejszej regulacji.</w:t>
      </w:r>
    </w:p>
    <w:p w14:paraId="46D2DFB1" w14:textId="0D5FD162"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Brak mechanizmu obliczania wartości przychodu ze sprzedaży uprawniającego do statusu małego podatnika w przypadku gdy poprzedni rok podatkowy podatnika jest dłuższy albo krótszy niż 12 miesięcy. </w:t>
      </w:r>
    </w:p>
    <w:p w14:paraId="22DC634B" w14:textId="664F049A"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Brak definicji podatnika (podmiotu) rozpoczynającego działalność oraz podatnika rozpoczynającego prowadzenie działalności w ustawie CIT.</w:t>
      </w:r>
    </w:p>
    <w:p w14:paraId="7BD9ED7D" w14:textId="12B624B7"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 xml:space="preserve">Trudności z egzekucją należnego ryczałtu od dochodów spółek w przypadku rozdysponowanego dochodu z tytułu zysku netto. </w:t>
      </w:r>
    </w:p>
    <w:p w14:paraId="7278CBEB" w14:textId="633E4BB9"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Wątpliwości interpretacyjne na gruncie dochodu z tytułu ukrytych zysków w ryczałcie od dochodów spółek skutkujące ryzykiem nieopodatkowania transakcji pomiędzy podatnikiem a podmiotem powiązanym.</w:t>
      </w:r>
    </w:p>
    <w:p w14:paraId="1F33EBC9" w14:textId="3F2EFDA2"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Brak definicji wydatków niezwiązanych z działalnością gospodarczą w ryczałcie od dochodów spółek.</w:t>
      </w:r>
    </w:p>
    <w:p w14:paraId="25E949C6" w14:textId="510637EC" w:rsidR="00FE3960" w:rsidRPr="00FE3960" w:rsidRDefault="00FE3960" w:rsidP="00FE3960">
      <w:pPr>
        <w:pStyle w:val="Akapitzlist"/>
        <w:numPr>
          <w:ilvl w:val="0"/>
          <w:numId w:val="6"/>
        </w:numPr>
        <w:spacing w:after="0" w:line="300" w:lineRule="auto"/>
        <w:jc w:val="both"/>
        <w:rPr>
          <w:rFonts w:ascii="Arial" w:hAnsi="Arial" w:cs="Arial"/>
        </w:rPr>
      </w:pPr>
      <w:r w:rsidRPr="00FE3960">
        <w:rPr>
          <w:rFonts w:ascii="Arial" w:hAnsi="Arial" w:cs="Arial"/>
        </w:rPr>
        <w:t>Brak spełnienia warunków formalnych, związanych ze sporządzeniem sprawozdania finansowego zgodnie z przepisami o rachunkowości, dla skutecznej zmiany formy opodatkowania na ryczałt od dochodów spółek przed upływem przyjętego przez podatnika roku podatkowego.</w:t>
      </w:r>
    </w:p>
    <w:p w14:paraId="01BFFCE9" w14:textId="77777777" w:rsidR="00FE3960" w:rsidRPr="00FE3960" w:rsidRDefault="00FE3960" w:rsidP="00FE3960">
      <w:pPr>
        <w:spacing w:after="0" w:line="300" w:lineRule="auto"/>
        <w:jc w:val="both"/>
        <w:rPr>
          <w:rFonts w:ascii="Arial" w:hAnsi="Arial" w:cs="Arial"/>
        </w:rPr>
      </w:pPr>
      <w:r w:rsidRPr="00FE3960">
        <w:rPr>
          <w:rFonts w:ascii="Arial" w:hAnsi="Arial" w:cs="Arial"/>
        </w:rPr>
        <w:t>Proponowane rozwiązania:</w:t>
      </w:r>
    </w:p>
    <w:p w14:paraId="3D56312A" w14:textId="397ADD5D"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Opodatkowanie przychodów z odpłatnego zbycia rzeczy ruchomych otrzymanych przez najbliższą rodzinę przedsiębiorcy (lub inną osobę i nabycie korzysta ze zwolnienia od podatku od spadków  i darowizn), który wykupił tę rzecz do majątku prywatnego po zakończeniu leasingu operacyjnego, a którą wcześniej wykorzystywał w działalności gospodarczej, jeżeli rodzina (lub inna osoba) korzysta ze zwolnienia z podatku od spadków i darowizn i odpłatnego zbycia dokona przed upływem 3 lat od otrzymania.</w:t>
      </w:r>
    </w:p>
    <w:p w14:paraId="2EA8ECC8" w14:textId="1F5BCF96"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Jednoznacznie wskazanie, iż przychodem z odpłatnego zbycia nieruchomości lub praw majątkowych oraz innych rzeczy, o których mowa w art. 10 ust. 1 pkt 8 ustawy PIT, które ma na celu uregulowanie w całości lub w części zobowiązania, w tym z tytułu zaciągniętej pożyczki (kredytu), jest wysokość zobowiązania uregulowanego w następstwie takiego odpłatnego zbycia (datio in solutum).</w:t>
      </w:r>
    </w:p>
    <w:p w14:paraId="21907AF1" w14:textId="5DF7BEA1"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 xml:space="preserve">Doprecyzowanie zasad korzystania z ulgi mieszkaniowej, poprzez wskazanie, że ma ona służyć zaspokojeniu własnych potrzeb mieszkaniowych podatnika. Realizacją tych potrzeb będzie nabycie nieruchomości albo praw o charakterze mieszkalnym albo gruntów pod budowę własnego domu, jeżeli podatnik nie ma innej nieruchomości, lokalu mieszkalnego. </w:t>
      </w:r>
    </w:p>
    <w:p w14:paraId="3EC93190" w14:textId="16EB74AE"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 xml:space="preserve">Jednoznaczne wskazanie, iż podatnik może dochody stanowiące podstawę obliczenia daniny solidarnościowej pomniejszyć o straty z lat ubiegłych. Straty te będą mogły pomniejszyć dochody uzyskane z tego samego źródła przychodów, z którego dochody stanowią podstawę obliczenia daniny solidarnościowej. Rozstrzygnięcie wprost, iż podatnik dochodów tych nie może pomniejszyć o inne przysługujące osobom fizycznym, przy opodatkowaniu podatkiem dochodowym, odliczenia lub </w:t>
      </w:r>
      <w:r w:rsidRPr="00FE3960">
        <w:rPr>
          <w:rFonts w:ascii="Arial" w:hAnsi="Arial" w:cs="Arial"/>
        </w:rPr>
        <w:lastRenderedPageBreak/>
        <w:t>pomniejszenia. Poszerzenie podstawy obliczenia daniny solidarnościowej o dochody z IP Box.</w:t>
      </w:r>
    </w:p>
    <w:p w14:paraId="477F3C20" w14:textId="622D40CB"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Opodatkowanie w ustawie CIT i PIT dochodów wspólników osiągniętych z likwidacji spółki niebędącej osobą prawną powstałej z przekształcenia spółki, jeżeli likwidacja spółki niebędącej osobą prawną nastąpi w określonym terminie (wcześniej niż 3 lata kalendarzowe) po przekształceniu spółki;</w:t>
      </w:r>
    </w:p>
    <w:p w14:paraId="77327728" w14:textId="183C4F67"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Uszczelnieniu przepisów ograniczających amortyzację w spółkach nieruchomościowych poprzez wyraźne wskazanie, że brak jest możliwości dokonywania odpisów amortyzacyjnych w przypadku nieruchomości klasyfikowanych dla celów rachunkowych jako inwestycje – dodanie nowego ust. 6a w art. 15 ustawy CIT oraz ust. 8aa w art. 22 ustawy PIT.</w:t>
      </w:r>
    </w:p>
    <w:p w14:paraId="66122A12" w14:textId="5470339D"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Wyłączeniu możliwości amortyzacji wartości firmy powstającej na skutek przyjęcia do odpłatnego korzystania -uchylenie art. 16b ust. 2 pkt 2 lit. b ustawy CIT oraz 22b ust. 2 w pkt 1 lit. b ustawy PIT.</w:t>
      </w:r>
    </w:p>
    <w:p w14:paraId="61E4EE25" w14:textId="5FD49B1A"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Wprowadzenie zmian o charakterze doprecyzowującym w podatku od przerzuconych dochodów (art. 24aa ustawy CIT).</w:t>
      </w:r>
    </w:p>
    <w:p w14:paraId="2690FA14" w14:textId="46FAEFFF"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 xml:space="preserve">Opodatkowanie 17% stawką ryczałtu od przychodów ewidencjonowanych, przychodów ze świadczenia usług, jeżeli są one świadczone na rzecz podmiotu powiązanego, np. na rzecz spółki z o.o., w której podatnik jest wspólnikiem. </w:t>
      </w:r>
    </w:p>
    <w:p w14:paraId="22D695AD" w14:textId="0588D0D5"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Rozszerzenie zakresu stosowania art. 10 ust. 4 ustawy PIT nakazującego zaliczać przychody, które ustawa PIT zaliczane do źródła z kapitałów pieniężnych, do tego źródła przychodów, do których zalicza się otrzymane przez podatnika świadczenie w naturze, nieodpłatne świadczenie lub świadczenie częściowo odpłatne w postaci  instrumentu finansowego, także na inne przypadki uzyskiwania przychodów z instrumentów finansowych lub praw majątkowych.</w:t>
      </w:r>
    </w:p>
    <w:p w14:paraId="1D38E178" w14:textId="30B6547E"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 xml:space="preserve">Jednoznaczne określenie, że w przypadku odpłatnego zbycia udziałów (akcji) spółki powstałej z przekształcenia innej spółki, kosztem uzyskania przychodów są wydatki na nabycie lub objecie udziałów (akcji) spółki przekształcanej. </w:t>
      </w:r>
    </w:p>
    <w:p w14:paraId="2A2E8758" w14:textId="6C6A8F87"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Doprecyzowanie skutków podatkowych, jakie powstają dla wspólnika spółki będącej podatnikiem podatku CIT w związku ze zmniejszeniem przysługującego mu udziału w kapitale zakładowym na skutek obniżenia wartości nominalnej posiadanych udziałów bądź akcji, bez ich prawnego unicestwienia.</w:t>
      </w:r>
    </w:p>
    <w:p w14:paraId="560B1123" w14:textId="26F8CE55"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Doprecyzowaniu przepisów w zakresie zasad amortyzacji środków trwałych przez podatników osiągających dochody podlegające zwolnieniu z opodatkowania podatkiem dochodowym poprzez wprowadzenie odpowiednich odwołań w przepisach oraz wprowadzenie braku możliwości obniżenia lub podwyższenia stawki amortyzacyjnej (stosowanej w danym roku podatkowym) po upływie terminu złożenia zeznania rocznego i zapłaty należnego podatku za ten rok.</w:t>
      </w:r>
    </w:p>
    <w:p w14:paraId="019D4136" w14:textId="687AF7F6"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 xml:space="preserve">Wprowadzenie zróżnicowania wysokości uproszczonej podstawy opodatkowania w zależności od wielkości podatnika (podatnicy z przychodami powyżej 50 mln euro oraz pozostali podatnicy) oraz zmiany w zakresie przepisów dotyczących wyłączeń z opodatkowania minimalnym CIT poprzez wskazanie, że opodatkowaniu tym podatkiem nie podlegają podatnicy, których rentowność, w jednym z 2 lat podatkowych (przed </w:t>
      </w:r>
      <w:r w:rsidRPr="00FE3960">
        <w:rPr>
          <w:rFonts w:ascii="Arial" w:hAnsi="Arial" w:cs="Arial"/>
        </w:rPr>
        <w:lastRenderedPageBreak/>
        <w:t xml:space="preserve">zmianami 3 lat podatkowych) bezpośrednio poprzedzających rok podatkowy, za który należny jest minimalny CIT, wynosiła min. 2%. </w:t>
      </w:r>
    </w:p>
    <w:p w14:paraId="08DB71C3" w14:textId="2EAB7370"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Uzależnienie możliwości korzystania z preferencji IP Box od zatrudniania co najmniej 3 osób fizycznych niebędących podmiotami powiązanymi z podatnikiem.</w:t>
      </w:r>
    </w:p>
    <w:p w14:paraId="65A801B5" w14:textId="38F86AE6"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Doprecyzowanie definicji małego podatnika poprzez wprowadzenie zasad określających sposób ustalania wartości przychodu ze sprzedaży w przypadku gdy poprzedni rok podatkowy podatnika jest dłuższy albo krótszy niż 12 miesięcy.</w:t>
      </w:r>
    </w:p>
    <w:p w14:paraId="7956671D" w14:textId="4B3A197C"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Wprowadzenie definicji podatnika oraz podmiotu rozpoczynającego działalność lub rozpoczynającego prowadzenie działalności, zgodnie z którą za takiego podatnika (podmiot) nie uznaje się podatnika (podmiotu) kontynuującego działalność przedsiębiorstwa innego podatnika (podmiotu).</w:t>
      </w:r>
    </w:p>
    <w:p w14:paraId="02BEAA57" w14:textId="005A95FF"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Zmiany w zakresie rozdysponowanego dochodu z tytułu zysku netto w ryczałcie od dochodów spółek poprzez wprowadzenie domniemania, ze każda wypłata lub dystrybucja zysku w jakiejkolwiek formie po zakończeniu opodatkowania ryczałtem od dochodów spółek następuje z zysku wypracowanego w okresie opodatkowania ryczałtem od dochodów spółek.</w:t>
      </w:r>
    </w:p>
    <w:p w14:paraId="6799872C" w14:textId="0B76DEC0"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Doprecyzowanie definicji ukrytych zysków w ryczałcie od dochodów spółek poprzez eliminację przesłanki związku z prawem do udziału w zysku oraz poszerzenie katalogu ukrytych zysków m.in. o wszelkiego rodzaju opłaty i należności wynikające z umowy najmu, dzierżawy lub innej umowy o podobnym charakterze.</w:t>
      </w:r>
    </w:p>
    <w:p w14:paraId="07E38C57" w14:textId="0FB7CAFF"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 xml:space="preserve">Wprowadzenie definicji wydatków niezwiązanych z działalnością gospodarczą, zgodnie z którą za takie wydatki uznaje się wydatki które zostały poniesione w innym celu niż osiągnięcie przychodów lub zachowanie albo zabezpieczenie źródła przychodów oraz wszelkie rodzaju opłaty i należności publicznoprawne o charakterze sankcyjnym. </w:t>
      </w:r>
    </w:p>
    <w:p w14:paraId="50D10C6F" w14:textId="496D9A96" w:rsidR="00FE3960" w:rsidRPr="00FE3960" w:rsidRDefault="00FE3960" w:rsidP="00FE3960">
      <w:pPr>
        <w:pStyle w:val="Akapitzlist"/>
        <w:numPr>
          <w:ilvl w:val="0"/>
          <w:numId w:val="8"/>
        </w:numPr>
        <w:spacing w:after="0" w:line="300" w:lineRule="auto"/>
        <w:jc w:val="both"/>
        <w:rPr>
          <w:rFonts w:ascii="Arial" w:hAnsi="Arial" w:cs="Arial"/>
        </w:rPr>
      </w:pPr>
      <w:r w:rsidRPr="00FE3960">
        <w:rPr>
          <w:rFonts w:ascii="Arial" w:hAnsi="Arial" w:cs="Arial"/>
        </w:rPr>
        <w:t>Uznanie skuteczności zmiany formy opodatkowania na ryczałt od dochodów spółek w przypadku braku podpisania lub podpisania po terminie sprawozdania finansowego przez kierownika jednostki, jeśli pozostałe warunki formalne i obowiązki związane ze zmianą formy opodatkowania przed upływem przyjętego przez podatnika roku podatkowego zostały spełnione.</w:t>
      </w:r>
    </w:p>
    <w:p w14:paraId="15491CC0" w14:textId="77777777" w:rsidR="00FE3960" w:rsidRDefault="00FE3960" w:rsidP="00FE3960">
      <w:pPr>
        <w:spacing w:after="0" w:line="300" w:lineRule="auto"/>
        <w:jc w:val="both"/>
        <w:rPr>
          <w:rFonts w:ascii="Arial" w:hAnsi="Arial" w:cs="Arial"/>
        </w:rPr>
      </w:pPr>
    </w:p>
    <w:p w14:paraId="06737385" w14:textId="77777777" w:rsidR="000D45DB" w:rsidRPr="000D45DB" w:rsidRDefault="000D45DB" w:rsidP="000D45DB">
      <w:pPr>
        <w:spacing w:after="0" w:line="300" w:lineRule="auto"/>
        <w:jc w:val="both"/>
        <w:rPr>
          <w:rFonts w:ascii="Arial" w:hAnsi="Arial" w:cs="Arial"/>
        </w:rPr>
      </w:pPr>
      <w:r w:rsidRPr="000D45DB">
        <w:rPr>
          <w:rFonts w:ascii="Arial" w:hAnsi="Arial" w:cs="Arial"/>
        </w:rPr>
        <w:t>Przedmiotowy projekt aktu prawnego wraz z Uzasadnieniem oraz Oceną Skutków Regulacji dostępny jest na stronach Rządowego Centrum Legislacji pod adresem:</w:t>
      </w:r>
    </w:p>
    <w:p w14:paraId="631542C0" w14:textId="6DC3F571" w:rsidR="00FE3960" w:rsidRDefault="000D45DB" w:rsidP="000D45DB">
      <w:pPr>
        <w:spacing w:after="0" w:line="300" w:lineRule="auto"/>
        <w:jc w:val="both"/>
        <w:rPr>
          <w:rFonts w:ascii="Arial" w:hAnsi="Arial" w:cs="Arial"/>
        </w:rPr>
      </w:pPr>
      <w:hyperlink r:id="rId6" w:history="1">
        <w:r w:rsidRPr="00F727A2">
          <w:rPr>
            <w:rStyle w:val="Hipercze"/>
            <w:rFonts w:ascii="Arial" w:hAnsi="Arial" w:cs="Arial"/>
          </w:rPr>
          <w:t>https://legislacja.rcl.gov.pl/projekt/12402157/k</w:t>
        </w:r>
        <w:r w:rsidRPr="00F727A2">
          <w:rPr>
            <w:rStyle w:val="Hipercze"/>
            <w:rFonts w:ascii="Arial" w:hAnsi="Arial" w:cs="Arial"/>
          </w:rPr>
          <w:t>a</w:t>
        </w:r>
        <w:r w:rsidRPr="00F727A2">
          <w:rPr>
            <w:rStyle w:val="Hipercze"/>
            <w:rFonts w:ascii="Arial" w:hAnsi="Arial" w:cs="Arial"/>
          </w:rPr>
          <w:t>talog/13156666#13156666</w:t>
        </w:r>
      </w:hyperlink>
      <w:r>
        <w:rPr>
          <w:rFonts w:ascii="Arial" w:hAnsi="Arial" w:cs="Arial"/>
        </w:rPr>
        <w:t xml:space="preserve"> </w:t>
      </w:r>
    </w:p>
    <w:p w14:paraId="64550FDC" w14:textId="77777777" w:rsidR="00FE3960" w:rsidRDefault="00FE3960" w:rsidP="00FE3960">
      <w:pPr>
        <w:spacing w:after="0" w:line="300" w:lineRule="auto"/>
        <w:jc w:val="both"/>
        <w:rPr>
          <w:rFonts w:ascii="Arial" w:hAnsi="Arial" w:cs="Arial"/>
        </w:rPr>
      </w:pPr>
    </w:p>
    <w:p w14:paraId="7996F935" w14:textId="22BC317E" w:rsidR="000D45DB" w:rsidRDefault="000D45DB" w:rsidP="00FE3960">
      <w:pPr>
        <w:spacing w:after="0" w:line="300" w:lineRule="auto"/>
        <w:jc w:val="both"/>
        <w:rPr>
          <w:rFonts w:ascii="Arial" w:hAnsi="Arial" w:cs="Arial"/>
        </w:rPr>
      </w:pPr>
      <w:r w:rsidRPr="000D45DB">
        <w:rPr>
          <w:rFonts w:ascii="Arial" w:hAnsi="Arial" w:cs="Arial"/>
        </w:rPr>
        <w:t>Projekt jest obecnie jednocześnie na etapie uzgodnień, konsultacji publicznych i opiniowania.</w:t>
      </w:r>
    </w:p>
    <w:p w14:paraId="0D9688A9" w14:textId="77777777" w:rsidR="00FE3960" w:rsidRPr="00FE3960" w:rsidRDefault="00FE3960" w:rsidP="00FE3960">
      <w:pPr>
        <w:spacing w:after="0" w:line="300" w:lineRule="auto"/>
        <w:jc w:val="both"/>
        <w:rPr>
          <w:rFonts w:ascii="Arial" w:hAnsi="Arial" w:cs="Arial"/>
        </w:rPr>
      </w:pPr>
    </w:p>
    <w:p w14:paraId="61DC77F5" w14:textId="13272891" w:rsidR="00FE3960" w:rsidRPr="008B20D5" w:rsidRDefault="008B20D5" w:rsidP="00FE3960">
      <w:pPr>
        <w:pStyle w:val="Akapitzlist"/>
        <w:numPr>
          <w:ilvl w:val="0"/>
          <w:numId w:val="3"/>
        </w:numPr>
        <w:spacing w:after="0" w:line="300" w:lineRule="auto"/>
        <w:jc w:val="both"/>
        <w:rPr>
          <w:rFonts w:ascii="Arial" w:hAnsi="Arial" w:cs="Arial"/>
          <w:b/>
          <w:bCs/>
          <w:u w:val="single"/>
        </w:rPr>
      </w:pPr>
      <w:r w:rsidRPr="008B20D5">
        <w:rPr>
          <w:rFonts w:ascii="Arial" w:hAnsi="Arial" w:cs="Arial"/>
          <w:b/>
          <w:bCs/>
          <w:u w:val="single"/>
        </w:rPr>
        <w:t>P</w:t>
      </w:r>
      <w:r w:rsidRPr="008B20D5">
        <w:rPr>
          <w:rFonts w:ascii="Arial" w:hAnsi="Arial" w:cs="Arial"/>
          <w:b/>
          <w:bCs/>
          <w:u w:val="single"/>
        </w:rPr>
        <w:t>rojekt ustawy o zmianie ustawy o Krajowym Rejestrze Sądowym oraz niektórych innych ustaw (numer z wykazu UDER49)</w:t>
      </w:r>
      <w:r>
        <w:rPr>
          <w:rFonts w:ascii="Arial" w:hAnsi="Arial" w:cs="Arial"/>
          <w:b/>
          <w:bCs/>
          <w:u w:val="single"/>
        </w:rPr>
        <w:t>.</w:t>
      </w:r>
    </w:p>
    <w:p w14:paraId="349FBA36" w14:textId="77777777" w:rsidR="00FE3960" w:rsidRDefault="00FE3960" w:rsidP="00FE3960">
      <w:pPr>
        <w:spacing w:after="0" w:line="300" w:lineRule="auto"/>
        <w:jc w:val="both"/>
        <w:rPr>
          <w:rFonts w:ascii="Arial" w:hAnsi="Arial" w:cs="Arial"/>
        </w:rPr>
      </w:pPr>
    </w:p>
    <w:p w14:paraId="281F46CB" w14:textId="77777777" w:rsidR="008B20D5" w:rsidRPr="008B20D5" w:rsidRDefault="008B20D5" w:rsidP="008B20D5">
      <w:pPr>
        <w:spacing w:after="0" w:line="300" w:lineRule="auto"/>
        <w:jc w:val="both"/>
        <w:rPr>
          <w:rFonts w:ascii="Arial" w:hAnsi="Arial" w:cs="Arial"/>
        </w:rPr>
      </w:pPr>
      <w:r w:rsidRPr="008B20D5">
        <w:rPr>
          <w:rFonts w:ascii="Arial" w:hAnsi="Arial" w:cs="Arial"/>
        </w:rPr>
        <w:t xml:space="preserve">Na przestrzeni ostatnich lat weszły w życie obszerne zmiany legislacyjne, które miały istotny wpływ na funkcjonowanie Krajowego Rejestru Sądowego. Najważniejsze z nich zostały wprowadzone ustawą z dnia 28 listopada 2014 r. o zmianie ustawy o Krajowym Rejestrze Sądowym oraz niektórych innych ustaw (Dz. U. poz. 1924) oraz ustawą z dnia 26 stycznia </w:t>
      </w:r>
      <w:r w:rsidRPr="008B20D5">
        <w:rPr>
          <w:rFonts w:ascii="Arial" w:hAnsi="Arial" w:cs="Arial"/>
        </w:rPr>
        <w:lastRenderedPageBreak/>
        <w:t>2018 r. o zmianie ustawy o Krajowym Rejestrze Sądowym oraz niektórych innych ustaw (Dz. U. poz. 398, z późn. zm.). Regulacje te miały na celu dostosowanie funkcjonujących poprzednio rozwiązań prawnych do dynamicznie zmieniających się - w związku z rozwojem tzw. społeczeństwa informacyjnego - warunków społeczno-gospodarczych, wychodząc naprzeciw zarówno potrzebom uczestników obrotu, jak i sądów rejestrowych. Realizacji tego zamierzenia służyła nie tylko korekta dotychczasowych przepisów, ale przede wszystkim wprowadzenie, przedtem nieznanych polskiemu ustawodawstwu, instytucji prawnych oraz rozwiązań techniczno-organizacyjnych wykorzystujących najnowsze narzędzia informatyczne (np.: możliwości odstąpienia przez sąd rejestrowy od postępowania przymuszającego, możliwości wykreślenia danych niezgodnych z rzeczywistym stanem rzeczy lub wpisu danych odpowiadających rzeczywistemu stanowi rzeczy, postępowania o rozwiązanie podmiotu wpisanego do Rejestru bez przeprowadzania postępowania likwidacyjnego, czy repozytorium dokumentów finansowych). Perspektywa kilku lat obwiązywania nowego prawa dała asumpt do pogłębionej analizy jego wpływu na funkcjonowanie Krajowego Rejestru Sądowego oraz oceny efektywności wprowadzonych rozwiązań. W niektórych przypadkach obecny kształt regulacji okazał się nie przystawać do aktualnych potrzeb obrotu gospodarczego i możliwości organizacyjno-finansowych sądów rejestrowych. Głównym założeniem niniejszego projektu jest eliminacja dostrzeżonych problemów, zarówno poprzez korektę dotychczasowych przepisów, jak również wprowadzenie nowych unormowań.</w:t>
      </w:r>
    </w:p>
    <w:p w14:paraId="52EB916B" w14:textId="77777777" w:rsidR="008B20D5" w:rsidRPr="008B20D5" w:rsidRDefault="008B20D5" w:rsidP="008B20D5">
      <w:pPr>
        <w:spacing w:after="0" w:line="300" w:lineRule="auto"/>
        <w:jc w:val="both"/>
        <w:rPr>
          <w:rFonts w:ascii="Arial" w:hAnsi="Arial" w:cs="Arial"/>
        </w:rPr>
      </w:pPr>
      <w:r w:rsidRPr="008B20D5">
        <w:rPr>
          <w:rFonts w:ascii="Arial" w:hAnsi="Arial" w:cs="Arial"/>
        </w:rPr>
        <w:t>Zidentyfikowano następujące obszary wymagające interwencji legislacyjnej:</w:t>
      </w:r>
    </w:p>
    <w:p w14:paraId="32368E23" w14:textId="770C03DD" w:rsidR="008B20D5" w:rsidRPr="008B20D5" w:rsidRDefault="008B20D5" w:rsidP="008B20D5">
      <w:pPr>
        <w:pStyle w:val="Akapitzlist"/>
        <w:numPr>
          <w:ilvl w:val="1"/>
          <w:numId w:val="11"/>
        </w:numPr>
        <w:spacing w:after="0" w:line="300" w:lineRule="auto"/>
        <w:ind w:left="567" w:hanging="283"/>
        <w:jc w:val="both"/>
        <w:rPr>
          <w:rFonts w:ascii="Arial" w:hAnsi="Arial" w:cs="Arial"/>
        </w:rPr>
      </w:pPr>
      <w:r w:rsidRPr="008B20D5">
        <w:rPr>
          <w:rFonts w:ascii="Arial" w:hAnsi="Arial" w:cs="Arial"/>
        </w:rPr>
        <w:t>przepisy dotyczące postępowania przymuszającego do złożenia dokumentów finansowych,</w:t>
      </w:r>
    </w:p>
    <w:p w14:paraId="71F7AD81" w14:textId="227CEF7F" w:rsidR="008B20D5" w:rsidRPr="008B20D5" w:rsidRDefault="008B20D5" w:rsidP="008B20D5">
      <w:pPr>
        <w:pStyle w:val="Akapitzlist"/>
        <w:numPr>
          <w:ilvl w:val="1"/>
          <w:numId w:val="11"/>
        </w:numPr>
        <w:spacing w:after="0" w:line="300" w:lineRule="auto"/>
        <w:ind w:left="567" w:hanging="283"/>
        <w:jc w:val="both"/>
        <w:rPr>
          <w:rFonts w:ascii="Arial" w:hAnsi="Arial" w:cs="Arial"/>
        </w:rPr>
      </w:pPr>
      <w:r w:rsidRPr="008B20D5">
        <w:rPr>
          <w:rFonts w:ascii="Arial" w:hAnsi="Arial" w:cs="Arial"/>
        </w:rPr>
        <w:t>przepisy dotyczące postępowania o rozwiązanie podmiotu wpisanego do Rejestru bez przeprowadzania postępowania likwidacyjnego,</w:t>
      </w:r>
    </w:p>
    <w:p w14:paraId="45C81111" w14:textId="3EFF8751" w:rsidR="008B20D5" w:rsidRPr="008B20D5" w:rsidRDefault="008B20D5" w:rsidP="008B20D5">
      <w:pPr>
        <w:pStyle w:val="Akapitzlist"/>
        <w:numPr>
          <w:ilvl w:val="1"/>
          <w:numId w:val="11"/>
        </w:numPr>
        <w:spacing w:after="0" w:line="300" w:lineRule="auto"/>
        <w:ind w:left="567" w:hanging="283"/>
        <w:jc w:val="both"/>
        <w:rPr>
          <w:rFonts w:ascii="Arial" w:hAnsi="Arial" w:cs="Arial"/>
        </w:rPr>
      </w:pPr>
      <w:r w:rsidRPr="008B20D5">
        <w:rPr>
          <w:rFonts w:ascii="Arial" w:hAnsi="Arial" w:cs="Arial"/>
        </w:rPr>
        <w:t>przepisy dotyczące przekazywania przez sądy rejestrowe informacji wymaganych przez ustawę z dnia 24 marca 1920 r. o nabywaniu nieruchomości przez cudzoziemców.</w:t>
      </w:r>
    </w:p>
    <w:p w14:paraId="2743A5E6" w14:textId="77777777" w:rsidR="008B20D5" w:rsidRPr="008B20D5" w:rsidRDefault="008B20D5" w:rsidP="008B20D5">
      <w:pPr>
        <w:spacing w:after="0" w:line="300" w:lineRule="auto"/>
        <w:jc w:val="both"/>
        <w:rPr>
          <w:rFonts w:ascii="Arial" w:hAnsi="Arial" w:cs="Arial"/>
        </w:rPr>
      </w:pPr>
      <w:r w:rsidRPr="008B20D5">
        <w:rPr>
          <w:rFonts w:ascii="Arial" w:hAnsi="Arial" w:cs="Arial"/>
        </w:rPr>
        <w:t>Niezależnie od modyfikacji obowiązujących regulacji projekt przewiduje również wprowadzenie nowych rozwiązań legislacyjnych w postaci wprowadzenia przepisów dotyczących kont podmiotów wpisanych do KRS a także innych zmian o charakterze porządkującym.</w:t>
      </w:r>
    </w:p>
    <w:p w14:paraId="69403188" w14:textId="77777777" w:rsidR="008B20D5" w:rsidRPr="008B20D5" w:rsidRDefault="008B20D5" w:rsidP="008B20D5">
      <w:pPr>
        <w:spacing w:after="0" w:line="300" w:lineRule="auto"/>
        <w:jc w:val="both"/>
        <w:rPr>
          <w:rFonts w:ascii="Arial" w:hAnsi="Arial" w:cs="Arial"/>
        </w:rPr>
      </w:pPr>
      <w:r w:rsidRPr="008B20D5">
        <w:rPr>
          <w:rFonts w:ascii="Arial" w:hAnsi="Arial" w:cs="Arial"/>
        </w:rPr>
        <w:t>Rekomenduje się następujące rozwiązania:</w:t>
      </w:r>
    </w:p>
    <w:p w14:paraId="5EB92B76" w14:textId="77777777" w:rsidR="008B20D5" w:rsidRPr="008B20D5" w:rsidRDefault="008B20D5" w:rsidP="008B20D5">
      <w:pPr>
        <w:spacing w:after="0" w:line="300" w:lineRule="auto"/>
        <w:jc w:val="both"/>
        <w:rPr>
          <w:rFonts w:ascii="Arial" w:hAnsi="Arial" w:cs="Arial"/>
        </w:rPr>
      </w:pPr>
      <w:r w:rsidRPr="008B20D5">
        <w:rPr>
          <w:rFonts w:ascii="Arial" w:hAnsi="Arial" w:cs="Arial"/>
        </w:rPr>
        <w:t>zmianę przepisów dotyczących akt spraw rejestrowych, poprzez:</w:t>
      </w:r>
    </w:p>
    <w:p w14:paraId="00C52DC8" w14:textId="209308DA"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doprecyzowanie zasad przechowywania dokumentacji papierowej przed dokonaniem wpisu do Rejestru poprzez dodanie ust. 1b w art. 9</w:t>
      </w:r>
    </w:p>
    <w:p w14:paraId="2779F1F4"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 xml:space="preserve">Zmiana jest uzasadniona potrzebą określenia na poziomie ustawy sposobu gromadzenia dokumentacji w postaci papierowej wpływającej do akt sprawy rejestrowej podmiotu podlegającego obowiązkowi wpisu do KRS (zarówno do rejestru przedsiębiorców, jak i do rejestru stowarzyszeń, innych organizacji społecznych i zawodowych, fundacji oraz samodzielnych publicznych zakładów opieki zdrowotnej). </w:t>
      </w:r>
    </w:p>
    <w:p w14:paraId="0C43DC23" w14:textId="5255FEF8"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uregulowanie sposobu dołączania akt rejestrowych do zbioru dokumentów po dokonaniu wpisu (zmiana art. 9 ust. 6)</w:t>
      </w:r>
    </w:p>
    <w:p w14:paraId="2260D610"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 xml:space="preserve">Z chwilą wpisu podmiotu do Rejestru do zbioru dokumentów dołącza się akta rejestrowe podmiotu prowadzone w postaci papierowej lub zbiór dokumentów akt </w:t>
      </w:r>
      <w:r w:rsidRPr="008B20D5">
        <w:rPr>
          <w:rFonts w:ascii="Arial" w:hAnsi="Arial" w:cs="Arial"/>
        </w:rPr>
        <w:lastRenderedPageBreak/>
        <w:t>sprawy rozpoznawanej. Należy zauważyć, że projektowany przepis będzie opisywał na poziomie normatywnym obecną praktykę sądów rejestrowych.</w:t>
      </w:r>
    </w:p>
    <w:p w14:paraId="7800ED80" w14:textId="0F5EEA67"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doprecyzowanie podstaw ograniczenia prawa przeglądania akt poprzez zastąpienie pojęcia „ustawa” terminem „przepis szczególny” (zmiana art. 10 ust. 1)</w:t>
      </w:r>
    </w:p>
    <w:p w14:paraId="56A44D35"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Zmiana ma na celu usunięcie wątpliwości w kwestii bezpośredniego stosowania Rozporządzenia Parlamentu Europejskiego I Rady (UE) 2016/679 z dnia 27 kwietnia 2016 r. w sprawie ochrony osób fizycznych w związku z przetwarzaniem danych osobowych i w sprawie swobodnego przepływu takich danych oraz uchylenia dyrektywy 95/46/WE , w związku z obecnym brzmieniem art. 10 ust. 1 ustawy o KRS, który wskazuje, że prawo przeglądania akt rejestrowych oraz zbioru dokumentów, o którym mowa w art. 9 ust. 6 ustawy o KRS, może być ograniczone na mocy regulacji rangi ustawowej.</w:t>
      </w:r>
    </w:p>
    <w:p w14:paraId="7832DCAB" w14:textId="5AAFE2E4"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uwzględnienie cyfryzacji akt rejestrowych i dostosowanie przepisów do funkcjonowania systemu teleinformatycznego</w:t>
      </w:r>
    </w:p>
    <w:p w14:paraId="524873F9"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W przypadku akt rejestrowych prowadzonych w systemie teleinformatycznym ograniczenie dostępności dokumentów będących podstawą wpisów w dziale 4 rejestru przedsiębiorców, które zostały wykreślone na podstawie art. 46 ustawy o KRS, może zostać dokonane poprzez zmianę atrybutu dotyczącego dostępności dokumentu w systemie teleinformatycznym, bez konieczności przenoszenia dokumentu do odrębnego zbioru dokumentów. Obowiązek przeniesienia do prowadzonego oddzielnie zbioru dokumentów powinien zatem dotyczyć wyłącznie dokumentów w postaci papierowej, niezależnie czy znajdują się one w aktach rejestrowych, czy w zbiorze dokumentów.</w:t>
      </w:r>
    </w:p>
    <w:p w14:paraId="4095E801" w14:textId="21A5B938"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rozszerzenie zakresu ograniczenia dostępu do informacji z KRK</w:t>
      </w:r>
    </w:p>
    <w:p w14:paraId="51F25251"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Zmiana art. 10 ust. 4a pkt 2 ustawy o KRS polegająca na wyłączeniu zastosowania przepisu art. 10 ust. 1, stanowiącego, że każdy ma prawo przeglądania akt rejestrowych podmiotów wpisanych do Rejestru oraz zbioru dokumentów, o którym mowa w art. 9 ust. 6 ustawy o KRS, w stosunku do wszystkich informacji otrzymanych na podstawie art. 21a ustawy o KRS z Biura Informacyjnego Krajowego Rejestru Karnego, a nie – jak to ma miejsce dotychczas – wyłącznie do tych, które nie były podstawą rozstrzygnięcia sądu rejestrowego lub dotyczyły osób, które nie podlegały wpisowi do Rejestru. Uznano, że udostępnianie informacji z Krajowego Rejestru Karnego, w szczególności za pośrednictwem ogólnodostępnych sieci teleinformatycznych, prowadziłaby do obejścia przepisów ustawy z dnia 24 maja 2000 r. Krajowym Rejestrze Karnym , zwanej dalej „ustawą o KRK”, które ograniczają możliwość uzyskania informacji z Krajowego Rejestru Karnego wyłącznie do ściśle określonych sytuacji. Informacje takie będą dostępne wyłącznie dla sądu rejestrowego, który w przypadku uznania ich za podstawę rozstrzygnięcia, będzie mógł powołać się na nie w uzasadnieniu rozstrzygnięcia. Dostęp taki będzie miał również sąd rozpoznający środek zaskarżenia.</w:t>
      </w:r>
    </w:p>
    <w:p w14:paraId="584CD31A" w14:textId="5FECFAB5"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doprecyzowanie zasad wydawania kopii i odpisów dokumentów przechowywanych w zbiorze dokumentów (dodanie art. 10 ust. 7)</w:t>
      </w:r>
    </w:p>
    <w:p w14:paraId="164B78F2"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 xml:space="preserve">Proponuje się rozszerzenie zasad wydawania kopii i odpisów określonych w ust. 7 tego artykułu na dokumenty przechowywane w zbiorze dokumentów, o którym mowa w art. </w:t>
      </w:r>
      <w:r w:rsidRPr="008B20D5">
        <w:rPr>
          <w:rFonts w:ascii="Arial" w:hAnsi="Arial" w:cs="Arial"/>
        </w:rPr>
        <w:lastRenderedPageBreak/>
        <w:t>9 ust. 6 ustawy o KRS. Materia ta nie była dotychczas wyraźnie uregulowana, jednak nie ulega wątpliwości że osoby uprawnione powinny mieć możliwość uzyskania również kopii lub odpisów dokumentów złożonych do zbioru dokumentów, chociażby w celu oceny, czy dokument w postaci papierowej odpowiada jego kopii lub odpisowi w postaci elektronicznej.</w:t>
      </w:r>
    </w:p>
    <w:p w14:paraId="686B8FFD" w14:textId="36F5ED37"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wprowadzenie obowiązku składania zanonimizowanych wyciągów dokumentów zawierających dane objęte ograniczeniem dostępu (dodanie art. 19aa ust. 1)</w:t>
      </w:r>
    </w:p>
    <w:p w14:paraId="017FBFF8"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Zmiana ma na celu zobowiązanie podmiotów składających do sądu rejestrowego pism procesowe i innych dokumentów, zawierających dane osobowe lub inne dane, których prawo przeglądania jest ograniczone na podstawie przepisu szczególnego, do dołączania wyciągów pism i dokumentów z pominięciem tych danych. Obowiązek ten nie wyłącza obowiązku dołączenia odpisów na podstawie przepisów odrębnych, w szczególności art. 128 k.p.c. w zw. z art. 13 § 2 k.p.c. Wprowadzenie powyższego wymogu jest uzasadnione koniecznością zapewnienia sądom rejestrowym możliwości sprawnego i szybkiego wykonania obowiązku udostępniania akt rejestrowych i zbioru dokumentów, o którym mowa w art. 9 ust. 6 ustawy o KRS każdemu zainteresowanemu podmiotowi, co w przypadku akt rejestrowych prowadzonych w systemie teleinformatycznym następuje poprzez ich udostępnienie za pośrednictwem ogólnodostępnych sieci teleinformatycznych.</w:t>
      </w:r>
    </w:p>
    <w:p w14:paraId="1CF44584" w14:textId="1AA9587C" w:rsidR="008B20D5" w:rsidRPr="008B20D5" w:rsidRDefault="008B20D5" w:rsidP="008B20D5">
      <w:pPr>
        <w:pStyle w:val="Akapitzlist"/>
        <w:numPr>
          <w:ilvl w:val="0"/>
          <w:numId w:val="12"/>
        </w:numPr>
        <w:spacing w:after="0" w:line="300" w:lineRule="auto"/>
        <w:jc w:val="both"/>
        <w:rPr>
          <w:rFonts w:ascii="Arial" w:hAnsi="Arial" w:cs="Arial"/>
        </w:rPr>
      </w:pPr>
      <w:r w:rsidRPr="008B20D5">
        <w:rPr>
          <w:rFonts w:ascii="Arial" w:hAnsi="Arial" w:cs="Arial"/>
        </w:rPr>
        <w:t>ustanowienie procedury w przypadku uchybienia obowiązkowi anonimizacji</w:t>
      </w:r>
    </w:p>
    <w:p w14:paraId="621BAA2D" w14:textId="77777777" w:rsidR="008B20D5" w:rsidRPr="008B20D5" w:rsidRDefault="008B20D5" w:rsidP="008B20D5">
      <w:pPr>
        <w:pStyle w:val="Akapitzlist"/>
        <w:spacing w:after="0" w:line="300" w:lineRule="auto"/>
        <w:jc w:val="both"/>
        <w:rPr>
          <w:rFonts w:ascii="Arial" w:hAnsi="Arial" w:cs="Arial"/>
        </w:rPr>
      </w:pPr>
      <w:r w:rsidRPr="008B20D5">
        <w:rPr>
          <w:rFonts w:ascii="Arial" w:hAnsi="Arial" w:cs="Arial"/>
        </w:rPr>
        <w:t>Proponuje się, że w przypadku uchybienia obowiązkowi złożenia zanonimizowanego wyciągu przewodniczący wezwie do usunięcia tego braku, pod rygorem zwrócenia pisma procesowego lub dokumentu.</w:t>
      </w:r>
    </w:p>
    <w:p w14:paraId="5A5C61CA" w14:textId="77777777" w:rsidR="008B20D5" w:rsidRPr="008B20D5" w:rsidRDefault="008B20D5" w:rsidP="008B20D5">
      <w:pPr>
        <w:spacing w:after="0" w:line="300" w:lineRule="auto"/>
        <w:jc w:val="both"/>
        <w:rPr>
          <w:rFonts w:ascii="Arial" w:hAnsi="Arial" w:cs="Arial"/>
        </w:rPr>
      </w:pPr>
      <w:r w:rsidRPr="008B20D5">
        <w:rPr>
          <w:rFonts w:ascii="Arial" w:hAnsi="Arial" w:cs="Arial"/>
        </w:rPr>
        <w:t>Proponowane zmiany mają na celu zwiększenie przejrzystości i spójności procedur rejestrowych, usprawnienie pracy sądów rejestrowych poprzez jednoznaczne określenie zasad gromadzenia i udostępniania dokumentacji, dostosowanie przepisów do cyfrowego obiegu dokumentów, co w efekcie przyczyni się do poprawy efektywności postępowań rejestrowych i zapewni zgodność z obowiązującymi regulacjami krajowymi i unijnymi.</w:t>
      </w:r>
    </w:p>
    <w:p w14:paraId="25207806" w14:textId="77777777" w:rsidR="008B20D5" w:rsidRPr="008B20D5" w:rsidRDefault="008B20D5" w:rsidP="008B20D5">
      <w:pPr>
        <w:spacing w:after="0" w:line="300" w:lineRule="auto"/>
        <w:jc w:val="both"/>
        <w:rPr>
          <w:rFonts w:ascii="Arial" w:hAnsi="Arial" w:cs="Arial"/>
        </w:rPr>
      </w:pPr>
      <w:r w:rsidRPr="008B20D5">
        <w:rPr>
          <w:rFonts w:ascii="Arial" w:hAnsi="Arial" w:cs="Arial"/>
        </w:rPr>
        <w:t>zmianę przepisów dotyczących postępowań przymuszających do złożenia dokumentów finansowych, poprzez:</w:t>
      </w:r>
    </w:p>
    <w:p w14:paraId="69A93866" w14:textId="559A8798"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 xml:space="preserve">zastąpienie w art. 24 ustawy o KRS wyrazu „obowiązanych” wyrazami „podmiot obowiązany”, w celu uproszczenia postępowań </w:t>
      </w:r>
    </w:p>
    <w:p w14:paraId="1BE58011"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Podmiotem, który należy wezwać do wykonania obowiązków w ramach postępowania przymuszającego będzie podmiot obowiązany, czyli z reguły podmiot podlegający obowiązkowi wpisu do Rejestru. Zmiana ta dotyczy nie tylko postępowań przymuszających do złożenia dokumentów finansowych, ale wszystkich postępowań prowadzonych na podstawie art. 24 ust. 1 ustawy o KRS. Użycie wyrazów „podmiot obowiązany” będzie również spójne z obecnym brzmieniem art. 9a ust. 1 oraz art. 14 ustawy o KRS.</w:t>
      </w:r>
    </w:p>
    <w:p w14:paraId="4E6ECBF0" w14:textId="47443D58"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wprowadzenie wzmianki o niewykonywaniu obowiązku złożenia dokumentów finansowych pomimo wezwania sądu jako alternatywy dla grzywny</w:t>
      </w:r>
    </w:p>
    <w:p w14:paraId="0B92A622"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Dodanie w art. 24 ustawy o KRS ust. 2a, który ma na celu wprowadzenie w postępowaniach przymuszających do złożenia dokumentów finansowych w miejsce sankcji grzywny rygoru zamieszczenia w Rejestrze wzmianki o niewykonywaniu </w:t>
      </w:r>
      <w:r w:rsidRPr="00D314A4">
        <w:rPr>
          <w:rFonts w:ascii="Arial" w:hAnsi="Arial" w:cs="Arial"/>
        </w:rPr>
        <w:lastRenderedPageBreak/>
        <w:t xml:space="preserve">obowiązku złożenia dokumentów finansowych pomimo wezwania sądu. Wzmianka taka będzie zamieszczana na mocy postanowienia sądu rejestrowego wydawanego po ustaleniu, iż uchybiono terminowi, o którym mowa w art. 24 ust. 1 ustawy o KRS. Celem proponowanego rozwiązania jest nie tylko poinformowanie uczestników obrotu, że podmiot nie wykonuje obowiązku złożenia dokumentów finansowych, ale przede wszystkim wskazanie, iż nie wykonuje tego obowiązku pomimo wezwania sądu rejestrowego. Uchybienie, o którym informuje wzmianka, ma zatem charakter kwalifikowany. Jest to bowiem nie tylko informacja o zaniedbaniu obowiązku sprawozdawczego, ale o niepowodzeniu próby sądowego przymuszenia do jego realizacji. Obawa przed ujawnieniem takiej wzmianki ma motywować podmioty obowiązane do podjęcia czynności zmierzających do wywiązania się z obowiązków sprawozdawczych. </w:t>
      </w:r>
    </w:p>
    <w:p w14:paraId="13FC2811"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Proponowana regulacja nie wyłącza obowiązku informowania przez sądy rejestrowe o dostrzeżonych uchybieniach organów powołanych do ścigania przestępstw. Mimo rezygnacji ze stosowania grzywny osoby odpowiedzialne za niewykonanie obowiązków sprawozdawczych nadal zatem będą ponosiły odpowiedzialność karną. Projekt przewiduje, że postanowienie o wpisie wzmianki o niewykonywaniu obowiązku złożenia dokumentów finansowych pomimo wezwania sądu będzie wydawanym z urzędu orzeczeniem kończącym postępowanie przymuszające. Ze względu na wyłączenie w postępowaniu przymuszającym do złożenia dokumentów finansowych możliwości nałożenia grzywny, wpis wzmianki spowoduje wyczerpanie dostępnych w ramach tej procedury instrumentów oddziaływania na podmioty obowiązane.</w:t>
      </w:r>
    </w:p>
    <w:p w14:paraId="4B99D31D" w14:textId="28E788A2"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wprowadzenie zakazu wszczynania kolejnych postępowań</w:t>
      </w:r>
    </w:p>
    <w:p w14:paraId="6744EF8D"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Wprowadzenie zakazu wszczynania kolejnych postępowań przymuszających do złożenia dokumentów finansowych, obowiązującego od momentu wpisania wzmianki do chwili jej wykreślenia. Wpis wzmianki będzie równoważny z wezwaniem podmiotu obowiązanego do złożenia innych dokumentów, których niezłożenie stwierdzono po jej zamieszczeniu. </w:t>
      </w:r>
    </w:p>
    <w:p w14:paraId="5AA6E344" w14:textId="7C542579"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wprowadzenie warunkowego wykreślenia wzmianki</w:t>
      </w:r>
    </w:p>
    <w:p w14:paraId="4F6988E2"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Wprowadzenie zapisu, że sąd rejestrowy wykreśli wzmiankę z urzędu dopiero po złożeniu przez podmioty obowiązane wszystkich zaległych dokumentów finansowych, w tym także tych, których obowiązek złożenia powstał, ale sąd rejestrowy nie wzywał do jego wykonania. Efektem proponowanego rozwiązania będzie zdjęcie z sądów rejestrowych czasochłonnego obowiązku wszczynania co roku kolejnych postępowań przymuszających dotyczących kolejnych okresów sprawozdawczych. </w:t>
      </w:r>
    </w:p>
    <w:p w14:paraId="1EB5367F" w14:textId="6D9F5454"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umożliwienie rozwiązania podmiotu bez likwidacji</w:t>
      </w:r>
    </w:p>
    <w:p w14:paraId="28F86B4C"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Po upływie roku od wpisu wzmianki, jeśli obowiązki nie zostaną wykonane, możliwe będzie wszczęcie postępowania o rozwiązanie podmiotu bez likwidacji.</w:t>
      </w:r>
    </w:p>
    <w:p w14:paraId="5D390F2F" w14:textId="1B961C0B"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stosowanie grzywny tylko przy majątku</w:t>
      </w:r>
    </w:p>
    <w:p w14:paraId="71087056"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Grzywna będzie stosowana wyłącznie wobec podmiotów posiadających zbywalny majątek, aby zwiększyć jej skuteczność.</w:t>
      </w:r>
    </w:p>
    <w:p w14:paraId="6BCA9384" w14:textId="725ACA5F"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automatyczne wykreślanie wzmianki</w:t>
      </w:r>
    </w:p>
    <w:p w14:paraId="558A2DF5"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Sąd rejestrowy będzie otrzymywał za pośrednictwem systemu teleinformatycznego informacje z Rejestru o wpisie wzmianek wskazanych w art. 40 pkt 2-5a i 7 ustawy o </w:t>
      </w:r>
      <w:r w:rsidRPr="00D314A4">
        <w:rPr>
          <w:rFonts w:ascii="Arial" w:hAnsi="Arial" w:cs="Arial"/>
        </w:rPr>
        <w:lastRenderedPageBreak/>
        <w:t>KRS (wzmianek o złożeniu dokumentów finansowych) dla podmiotów, w stosunku do których zamieszczona jest wzmianka o niewykonywaniu obowiązku złożenia dokumentów finansowych. Umożliwi to sądom rejestrowym, w przypadku złożenia dokumentów finansowych, sprawne wykreślanie wzmianek o niezłożeniu dokumentów finansowych pomimo wezwania sądu. Funkcjonalność taka jest niezbędna, bowiem dokumenty finansowe są w większości przypadków składane bezpośrednio do repozytorium dokumentów finansowych, a więc z pominięciem sądu rejestrowego.</w:t>
      </w:r>
    </w:p>
    <w:p w14:paraId="3111E559" w14:textId="066AF821" w:rsidR="008B20D5" w:rsidRPr="00D314A4" w:rsidRDefault="008B20D5" w:rsidP="00D314A4">
      <w:pPr>
        <w:pStyle w:val="Akapitzlist"/>
        <w:numPr>
          <w:ilvl w:val="0"/>
          <w:numId w:val="13"/>
        </w:numPr>
        <w:spacing w:after="0" w:line="300" w:lineRule="auto"/>
        <w:jc w:val="both"/>
        <w:rPr>
          <w:rFonts w:ascii="Arial" w:hAnsi="Arial" w:cs="Arial"/>
        </w:rPr>
      </w:pPr>
      <w:r w:rsidRPr="00D314A4">
        <w:rPr>
          <w:rFonts w:ascii="Arial" w:hAnsi="Arial" w:cs="Arial"/>
        </w:rPr>
        <w:t>zawiadomienie urzędu skarbowego</w:t>
      </w:r>
    </w:p>
    <w:p w14:paraId="16985CE7"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Po wpisie wzmianki sąd rejestrowy zawiadomi naczelnika urzędu skarbowego o popełnieniu czynu zabronionego z ustawy o rachunkowości. Informacja taka będzie obejmować numer podmiotu w Rejestrze, sygnaturę sprawy, datę dokonania wpisu wzmianki i numer wpisu. W przypadku akt rejestrowych prowadzonych w systemie teleinformatycznym naczelnik właściwego urzędu skarbowego mógłby zapoznać się z dokumentacją znajdującą się w tych aktach za pośrednictwem ogólnodostępnych sieci teleinformatycznych. Projektowane rozwiązanie nie ogranicza możliwości zawiadomienia przez sąd rejestrowy o przestępstwie prokuratora lub Policji w sposób określony w przepisach odrębnych, w szczególności w art. 304 ustawy z dnia 6 czerwca 1997 r. – Kodeks postępowania karnego .</w:t>
      </w:r>
    </w:p>
    <w:p w14:paraId="6E30CE06" w14:textId="77777777" w:rsidR="008B20D5" w:rsidRPr="008B20D5" w:rsidRDefault="008B20D5" w:rsidP="008B20D5">
      <w:pPr>
        <w:spacing w:after="0" w:line="300" w:lineRule="auto"/>
        <w:jc w:val="both"/>
        <w:rPr>
          <w:rFonts w:ascii="Arial" w:hAnsi="Arial" w:cs="Arial"/>
        </w:rPr>
      </w:pPr>
      <w:r w:rsidRPr="008B20D5">
        <w:rPr>
          <w:rFonts w:ascii="Arial" w:hAnsi="Arial" w:cs="Arial"/>
        </w:rPr>
        <w:t xml:space="preserve">Oczekiwanym efektem proponowanych zmian jest zwiększenie skuteczności postępowań przymuszających do złożenia dokumentów finansowych poprzez zastosowanie bardziej przejrzystego i informacyjnego środka oddziaływania, jakim jest wzmianka o niewykonywaniu obowiązku pomimo wezwania sądu. Rozwiązanie to ma na celu nie tylko ograniczenie obciążenia sądów rejestrowych koniecznością wszczynania kolejnych postępowań, ale również wzmocnienie motywacji podmiotów do terminowego wywiązywania się z obowiązków sprawozdawczych. Wzmianka będzie pełnić funkcję ostrzegawczą dla uczestników obrotu gospodarczego, wskazując na kwalifikowany charakter uchybienia. Dodatkowo, usprawnienie komunikacji między sądem rejestrowym a organami administracji publicznej, w szczególności urzędami skarbowymi, pozwoli na szybsze reagowanie na przypadki uporczywego niewykonywania obowiązków. </w:t>
      </w:r>
    </w:p>
    <w:p w14:paraId="615CC0A7" w14:textId="1A177009" w:rsidR="008B20D5" w:rsidRPr="008B20D5" w:rsidRDefault="00D314A4" w:rsidP="008B20D5">
      <w:pPr>
        <w:spacing w:after="0" w:line="300" w:lineRule="auto"/>
        <w:jc w:val="both"/>
        <w:rPr>
          <w:rFonts w:ascii="Arial" w:hAnsi="Arial" w:cs="Arial"/>
        </w:rPr>
      </w:pPr>
      <w:r>
        <w:rPr>
          <w:rFonts w:ascii="Arial" w:hAnsi="Arial" w:cs="Arial"/>
        </w:rPr>
        <w:t>Z</w:t>
      </w:r>
      <w:r w:rsidR="008B20D5" w:rsidRPr="008B20D5">
        <w:rPr>
          <w:rFonts w:ascii="Arial" w:hAnsi="Arial" w:cs="Arial"/>
        </w:rPr>
        <w:t>mianę przepisów dotyczących postępowania o rozwiązanie podmiotu wpisanego do Rejestru bez przeprowadzania postępowania likwidacyjnego, poprzez:</w:t>
      </w:r>
    </w:p>
    <w:p w14:paraId="3E57A5E7" w14:textId="2BE890A5"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wprowadzenie obowiązku wpisu wzmianki o prowadzeniu postępowania</w:t>
      </w:r>
    </w:p>
    <w:p w14:paraId="43846396"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Niezwłocznie po wszczęciu postępowania o rozwiązanie podmiotu wpisanego do Rejestru bez przeprowadzania likwidacji należy zamieścić w Rejestrze z urzędu wzmiankę o prowadzeniu tego postępowania. Natomiast w postanowieniu o umorzeniu postępowania o rozwiązaniu podmiot wpisanego do Rejestru bez przeprowadzania likwidacji sąd rejestrowy orzeka o wykreśleniu wzmianki o prowadzeniu tego postępowania. </w:t>
      </w:r>
    </w:p>
    <w:p w14:paraId="48ED5512" w14:textId="470D9910"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zmianę przesłanek wszczęcia postępowania o rozwiązanie podmiotu</w:t>
      </w:r>
    </w:p>
    <w:p w14:paraId="53E57CBD"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Proponuje się, aby sąd rejestrowy był zobowiązany do wszczęcia postępowania o rozwiązanie podmiotu z Rejestru bez przeprowadzania postępowania likwidacyjnego, jeżeli mimo upływu roku od dnia wpisu do Rejestru wzmianki o niewykonywaniu obowiązku złożenia dokumentów finansowych, pomimo wezwania sądu, nie zostaną </w:t>
      </w:r>
      <w:r w:rsidRPr="00D314A4">
        <w:rPr>
          <w:rFonts w:ascii="Arial" w:hAnsi="Arial" w:cs="Arial"/>
        </w:rPr>
        <w:lastRenderedPageBreak/>
        <w:t>złożone wszystkie zaległe dokumenty finansowe, w tym także te, których obowiązek złożenia powstał, ale sąd rejestrowy nie wzywał do jego wykonania.</w:t>
      </w:r>
    </w:p>
    <w:p w14:paraId="25EF3966" w14:textId="774BE7C3"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ujednolicenie postępowania dowodowego</w:t>
      </w:r>
    </w:p>
    <w:p w14:paraId="6579D69E"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Planuje się szczegółowe unormowanie postępowania dowodowego zmierzającego do ustalenia, czy podmiot dany posiada zbywalny majątek i czy faktycznie prowadzi działalność, co ma na celu ujednolicenie praktyki sądów rejestrowych. Przewiduje się, że czynności sądu rejestrowego wykonywane w ramach postępowania dowodowego będą miały ściśle określony ustawą zakres. Z tego względu w projektowanym art. 25a ust. 2 ustawy o KRS wyraźnie wskazano, że sąd rejestrowy przeprowadza badanie, czy podmiot ten posiada zbywalny majątek i czy faktycznie prowadzi działalność w sposób określony w projektowanym art. 25c ustawy o KRS.</w:t>
      </w:r>
    </w:p>
    <w:p w14:paraId="0E2B6011" w14:textId="2423D73E"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wskazanie instytucji zobowiązanych do udzielenia informacji</w:t>
      </w:r>
    </w:p>
    <w:p w14:paraId="31111889"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Wskazano podmioty, do których sąd rejestrowy powinien zwrócić się w toku postępowania o udzielenie niezbędnych informacji. Podmiotami takimi będą: naczelnik urzędu skarbowego właściwego według ostatniego udostępnionego w Rejestrze adresu siedziby podmiotu oraz Zakład Ubezpieczeń Społecznych. Na podmiotach tych, z racji powierzonych im przez ustawodawcę zadań, ciąży obowiązek badania aktywności i sytuacji majątkowej podatników, zaś ustawodawca przyznaje im narzędzia to umożliwiające. Modyfikacji ma ulec również treść zapytania kierowanego do ww. podmiotów. Sąd rejestrowy będzie bowiem zwracał się o udzielenie informacji mających istotne znaczenie do ustalenia, czy podmiot wpisany do Rejestru posiada zbywalny majątek i czy faktycznie prowadzi działalność. Naczelnik właściwego urzędu skarbowego oraz Zakład Ubezpieczeń Społecznych będą zatem zobowiązani do zbadania, czy w zgromadzonej przez nich dokumentacji oraz zbiorach danych znajdują się informacje dotyczące majątku i działalności podmiotu. Oceny, czy wskazane przez naczelnika urzędu skarbowego albo ZUS informacje są wystarczające do wydania postanowienia o rozwiązaniu podmiotu i w konsekwencji jego wykreślenia z KRS, dokona sąd rejestrowy. Projekt przewiduje zatem, że sądom rejestrowym będą przekazywane informacje całościowe, tj. zebrane po sprawdzeniu danych posiadanych przez wszystkie historycznie właściwe dla podatnika organy podatkowe.</w:t>
      </w:r>
    </w:p>
    <w:p w14:paraId="77E7079F" w14:textId="7DB199ED"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rozszerzenie źródeł informacji o majątku i działalności podmiotu</w:t>
      </w:r>
    </w:p>
    <w:p w14:paraId="751C6661"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Projekt przewiduje, że sąd rejestrowy będzie ustalał, czy podmiot wpisany do Rejestru posiada zbywalny majątek i czy faktycznie prowadzi działalność w zbiorze informacji Rejestru, centralnej bazie danych ksiąg wieczystych, zbiorze informacji z rejestru zastawów oraz centralnej ewidencji pojazdów. Zakłada się, że upoważnionym pracownikom wydziałów rejestrowych zostanie zapewniony dostęp do tych baz danych. Uzyskanie dostępu do danych zgormadzonych w centralnej ewidencji pojazdów, za pomocą urządzeń teletransmisji danych, bez konieczności składania pisemnego wniosku, wymagało będzie uzyskania przez sąd rejestrowy zgody, o której mowa w art. 80c ust. 6 ustawy z dnia 20 czerwca 1997 r. – Prawo o ruchu drogowym . Do czasu uzyskania takiego dostępu informacje będą uzyskiwane w dotychczasowy sposób.</w:t>
      </w:r>
    </w:p>
    <w:p w14:paraId="5D908EBF" w14:textId="3D618BA6"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wzmianka o postępowaniu w dziale 1 Rejestru</w:t>
      </w:r>
    </w:p>
    <w:p w14:paraId="0DC12ACE"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lastRenderedPageBreak/>
        <w:t>Proponuje się umieszczenie wzmianki w widocznym miejscu Rejestru w celu ostrzeżenia uczestników obrotu o prowadzonym postępowaniu. Proponowane umiejscowienie wzmianki ma na celu ostrzeżenie uczestników obrotu. Dotyczy to w szczególności osób, których uzasadniony interes mógłby sprzeciwiać się wykreśleniu podmiotu z Rejestru bez przeprowadzania postępowania likwidacyjnego. Projektowane rozwiązanie wzmacnia zatem funkcje ostrzegawczą i ochronną Krajowego Rejestru Sądowego. Po uprawomocnieniu się postanowienia sądu w przedmiocie umorzenia postępowania o rozwiązanie podmiotu z Rejestru bez przeprowadzania postępowania likwidacyjnego wzmianka zostanie wykreślona.</w:t>
      </w:r>
    </w:p>
    <w:p w14:paraId="4693C626" w14:textId="4B9DEF8B"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wprowadzenie domniemania prawnego</w:t>
      </w:r>
    </w:p>
    <w:p w14:paraId="2E258B2E"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Umożliwienie sądowi uznania, że podmiot nie posiada majątku i nie prowadzi działalności, jeśli nie przedstawi dowodów w terminie 3 miesięcy od ogłoszenia. Proponowana regulacja przerzuca ciężar wykazania okoliczności sprzeciwiających się wykreśleniu z Rejestru na podmiot, wobec którego wpisano wzmiankę, jednocześnie rozwiązując sygnalizowany wyżej problem związany z niemożnością ustalenia tzw. faktów negatywnych. Domniemanie będzie mogło być obalone nie tylko przez podmiot wpisany do Rejestru, ale także inne zainteresowane podmioty, jak również w sytuacjach, w których okoliczności wskazujące na prowadzenie przez podmiot działalności albo posiadanie przez podmiot majątku będą miały charakter faktów powszechnie znanych albo znanych sądowi z urzędu. </w:t>
      </w:r>
    </w:p>
    <w:p w14:paraId="71592259" w14:textId="713D0591"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zmodyfikowanie zasad umorzenia postępowania</w:t>
      </w:r>
    </w:p>
    <w:p w14:paraId="0387AAD8"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W przypadku ustalenia, że podmiot posiada zbywalny majątek, a podmiot ten nie wykonuje obowiązku złożenia wniosku o wpis do Rejestru lub dokumentów, których złożenie jest obowiązkowe, sąd rejestrowy nie będzie mógł umorzyć tego postępowania, ale zostanie zobowiązany do wezwania podmiotu do wykonania obowiązku w terminie siedmiu dni pod rygorem zastosowania grzywny. </w:t>
      </w:r>
    </w:p>
    <w:p w14:paraId="06B1D359" w14:textId="628EE93D" w:rsidR="008B20D5" w:rsidRPr="00D314A4" w:rsidRDefault="008B20D5" w:rsidP="00D314A4">
      <w:pPr>
        <w:pStyle w:val="Akapitzlist"/>
        <w:numPr>
          <w:ilvl w:val="0"/>
          <w:numId w:val="14"/>
        </w:numPr>
        <w:spacing w:after="0" w:line="300" w:lineRule="auto"/>
        <w:jc w:val="both"/>
        <w:rPr>
          <w:rFonts w:ascii="Arial" w:hAnsi="Arial" w:cs="Arial"/>
        </w:rPr>
      </w:pPr>
      <w:r w:rsidRPr="00D314A4">
        <w:rPr>
          <w:rFonts w:ascii="Arial" w:hAnsi="Arial" w:cs="Arial"/>
        </w:rPr>
        <w:t>zastosowanie grzywny jako środka przymuszającego</w:t>
      </w:r>
    </w:p>
    <w:p w14:paraId="6F05BD9E"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Grzywna będzie mogła być ponawiana aż do osiągnięcia celu postępowania, a jej nieskuteczność (np. umorzenie egzekucji) będzie skutkować wykreśleniem podmiotu z Rejestru. Celem projektowanej regulacji jest eliminacja z obrotu tzw. martwych podmiotów, które posiadają zbywalny majątek. Zakłada się, że sąd rejestrowy powinien nakładać na nierzetelne podmioty grzywny, aż do momentu osiągnięcia celów postępowania.</w:t>
      </w:r>
    </w:p>
    <w:p w14:paraId="4A4850C2" w14:textId="77777777" w:rsidR="008B20D5" w:rsidRPr="008B20D5" w:rsidRDefault="008B20D5" w:rsidP="008B20D5">
      <w:pPr>
        <w:spacing w:after="0" w:line="300" w:lineRule="auto"/>
        <w:jc w:val="both"/>
        <w:rPr>
          <w:rFonts w:ascii="Arial" w:hAnsi="Arial" w:cs="Arial"/>
        </w:rPr>
      </w:pPr>
      <w:r w:rsidRPr="008B20D5">
        <w:rPr>
          <w:rFonts w:ascii="Arial" w:hAnsi="Arial" w:cs="Arial"/>
        </w:rPr>
        <w:t>Wprowadzenie obowiązkowej wzmianki o prowadzeniu postępowania oraz domniemania prawnego dotyczącego braku majątku i aktywności podmiotu pozwoli sądom rejestrowym na szybsze i bardziej efektywne podejmowanie decyzji o wykreśleniu podmiotu z Rejestru. Zmiana zasad umorzenia postępowania w przypadku posiadania majątku przez podmiot oraz możliwość stosowania grzywny aż do osiągnięcia celu postępowania zapewni większą skuteczność egzekwowania obowiązków. Zmiany zmierzają także do wyeliminowania rozbieżności orzeczniczych oraz ograniczenia czynności sądu rejestrowego, pośrednio wzmacniając pewność obrotu prawnego.</w:t>
      </w:r>
    </w:p>
    <w:p w14:paraId="534EEDC7" w14:textId="77777777" w:rsidR="008B20D5" w:rsidRPr="008B20D5" w:rsidRDefault="008B20D5" w:rsidP="008B20D5">
      <w:pPr>
        <w:spacing w:after="0" w:line="300" w:lineRule="auto"/>
        <w:jc w:val="both"/>
        <w:rPr>
          <w:rFonts w:ascii="Arial" w:hAnsi="Arial" w:cs="Arial"/>
        </w:rPr>
      </w:pPr>
      <w:r w:rsidRPr="008B20D5">
        <w:rPr>
          <w:rFonts w:ascii="Arial" w:hAnsi="Arial" w:cs="Arial"/>
        </w:rPr>
        <w:t>usprawnienie przekazywania przez sądy rejestrowe informacji wymaganych przez ustawę z dnia 24 marca 1920 r. o nabywaniu nieruchomości przez cudzoziemców, poprzez:</w:t>
      </w:r>
    </w:p>
    <w:p w14:paraId="1604DA31" w14:textId="1AA2F627" w:rsidR="008B20D5" w:rsidRPr="00D314A4" w:rsidRDefault="008B20D5" w:rsidP="00D314A4">
      <w:pPr>
        <w:pStyle w:val="Akapitzlist"/>
        <w:numPr>
          <w:ilvl w:val="0"/>
          <w:numId w:val="15"/>
        </w:numPr>
        <w:spacing w:after="0" w:line="300" w:lineRule="auto"/>
        <w:jc w:val="both"/>
        <w:rPr>
          <w:rFonts w:ascii="Arial" w:hAnsi="Arial" w:cs="Arial"/>
        </w:rPr>
      </w:pPr>
      <w:r w:rsidRPr="00D314A4">
        <w:rPr>
          <w:rFonts w:ascii="Arial" w:hAnsi="Arial" w:cs="Arial"/>
        </w:rPr>
        <w:t>rozszerzenie zakresu oświadczeń składanych w postępowaniu rejestrowym</w:t>
      </w:r>
    </w:p>
    <w:p w14:paraId="533336AF"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lastRenderedPageBreak/>
        <w:t xml:space="preserve">Wprowadza się obowiązek zgodnie z którym będzie należało wskazać, czy nabywca lub obejmujący udziały, akcje lub ogół praw i obowiązków jest cudzoziemcem w rozumieniu ustawy o nabywaniu nieruchomości przez cudzoziemców. Z kolei w oświadczeniu składanym na podstawie art. 19 ust. 2 ustawy o KRS należało będzie podać, czy spółce, której dotyczy wniosek, przysługuje lub po dokonaniu wpisu będzie przysługiwać prawo własności lub prawo użytkowania wieczystego nieruchomości położonych na terytorium Rzeczypospolitej Polskiej. </w:t>
      </w:r>
    </w:p>
    <w:p w14:paraId="6EC5A9D8"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Sprawdzenie przez sąd rejestrowy prawidłowości oświadczeń tej treści będzie o wiele łatwiejsze, natomiast dzięki sprecyzowaniu, że mają one dotyczyć nabywców lub obejmujących udziały, akcje lub ogół praw i obowiązków, minister właściwy do spraw wewnętrznych uzyska dane pozwalające na dokładniejszą analizę, czy wymogi przewidziane w ustawie o nabywaniu nieruchomości przez cudzoziemców są przestrzegane;</w:t>
      </w:r>
    </w:p>
    <w:p w14:paraId="3011AE3E" w14:textId="783FCC24" w:rsidR="008B20D5" w:rsidRPr="00D314A4" w:rsidRDefault="008B20D5" w:rsidP="00D314A4">
      <w:pPr>
        <w:pStyle w:val="Akapitzlist"/>
        <w:numPr>
          <w:ilvl w:val="0"/>
          <w:numId w:val="15"/>
        </w:numPr>
        <w:spacing w:after="0" w:line="300" w:lineRule="auto"/>
        <w:jc w:val="both"/>
        <w:rPr>
          <w:rFonts w:ascii="Arial" w:hAnsi="Arial" w:cs="Arial"/>
        </w:rPr>
      </w:pPr>
      <w:r w:rsidRPr="00D314A4">
        <w:rPr>
          <w:rFonts w:ascii="Arial" w:hAnsi="Arial" w:cs="Arial"/>
        </w:rPr>
        <w:t>automatyczne przekazywanie informacji do ministra właściwego do spraw wewnętrznych</w:t>
      </w:r>
    </w:p>
    <w:p w14:paraId="31565438"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 xml:space="preserve">Proponuje się zmianę art. 8a ust. 2 pkt 2 dzięki, której minister właściwy do spraw wewnętrznych będzie informowany przez sąd rejestrowy za pośrednictwem systemu teleinformatycznego o zarejestrowaniu sprawy, w której podmiot składający wniosek oświadczył, że nabywca lub obejmujący udziały, akcje lub ogół praw i obowiązków jest cudzoziemcem oraz wskazał, że spółka, której wniosek dotyczy, jest lub z chwilą dokonania wpisu stanie się właścicielem lub wieczystym użytkownikiem nieruchomości położonych na terytorium Rzeczypospolitej Polskiej. Informacja będzie opatrywana kwalifikowanym podpisem elektronicznym. </w:t>
      </w:r>
    </w:p>
    <w:p w14:paraId="57E9BE10" w14:textId="77777777" w:rsidR="008B20D5" w:rsidRPr="00D314A4" w:rsidRDefault="008B20D5" w:rsidP="00D314A4">
      <w:pPr>
        <w:pStyle w:val="Akapitzlist"/>
        <w:spacing w:after="0" w:line="300" w:lineRule="auto"/>
        <w:jc w:val="both"/>
        <w:rPr>
          <w:rFonts w:ascii="Arial" w:hAnsi="Arial" w:cs="Arial"/>
        </w:rPr>
      </w:pPr>
      <w:r w:rsidRPr="00D314A4">
        <w:rPr>
          <w:rFonts w:ascii="Arial" w:hAnsi="Arial" w:cs="Arial"/>
        </w:rPr>
        <w:t>Proponowane rozwiązanie w znacznym stopniu odciąży sekretariaty sądów rejestrowych oraz pracowników Ministerstwa Spraw Wewnętrznych i Administracji poprzez eliminację konieczności obsługi korespondencji przesyłanej w postaci papierowej. Jednocześnie z przekazaniem informacji minister właściwy do spraw wewnętrznych uzyska dostęp do akt sprawy. Dostęp ten będzie obejmował również możliwość przeglądania danych osobowych podlegających ochronie na podstawie przepisów odrębnych, co jest uzasadnione koniecznością umożliwienia ministrowi właściwemu do spraw wewnętrznych weryfikacji obywatelstwa osób fizycznych wymienionych w dokumentacji rejestrowej. Zakłada się, że pracownicy urzędu obsługującego ministra właściwego do spraw wewnętrznych w celu przeglądania akt będą korzystali z kont w systemie teleinformatycznym, do których będą przypisane szczególne uprawnienia dostępu. Zmiana ta związana jest z wejściem w życie w dniu 1 lipca 2021 r. przepisów ustawy z dnia 26 stycznia 2018 r. o zmianie ustawy o Krajowym Rejestrze Sądowym oraz niektórych innych ustaw  przewidujących elektronizację postępowania rejestrowego.</w:t>
      </w:r>
    </w:p>
    <w:p w14:paraId="3D2D3DDC" w14:textId="77777777" w:rsidR="008B20D5" w:rsidRPr="008B20D5" w:rsidRDefault="008B20D5" w:rsidP="008B20D5">
      <w:pPr>
        <w:spacing w:after="0" w:line="300" w:lineRule="auto"/>
        <w:jc w:val="both"/>
        <w:rPr>
          <w:rFonts w:ascii="Arial" w:hAnsi="Arial" w:cs="Arial"/>
        </w:rPr>
      </w:pPr>
      <w:r w:rsidRPr="008B20D5">
        <w:rPr>
          <w:rFonts w:ascii="Arial" w:hAnsi="Arial" w:cs="Arial"/>
        </w:rPr>
        <w:t>wprowadzenie przepisów dotyczących kont podmiotów wpisanych do KRS</w:t>
      </w:r>
    </w:p>
    <w:p w14:paraId="0BAAF6CB" w14:textId="3C5EC534" w:rsidR="008B20D5" w:rsidRPr="005B6A86" w:rsidRDefault="008B20D5" w:rsidP="005B6A86">
      <w:pPr>
        <w:pStyle w:val="Akapitzlist"/>
        <w:numPr>
          <w:ilvl w:val="0"/>
          <w:numId w:val="16"/>
        </w:numPr>
        <w:spacing w:after="0" w:line="300" w:lineRule="auto"/>
        <w:jc w:val="both"/>
        <w:rPr>
          <w:rFonts w:ascii="Arial" w:hAnsi="Arial" w:cs="Arial"/>
        </w:rPr>
      </w:pPr>
      <w:r w:rsidRPr="005B6A86">
        <w:rPr>
          <w:rFonts w:ascii="Arial" w:hAnsi="Arial" w:cs="Arial"/>
        </w:rPr>
        <w:t>wprowadzenie obowiązku posiadania konta w systemie teleinformatycznym</w:t>
      </w:r>
    </w:p>
    <w:p w14:paraId="38CA835E"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 xml:space="preserve">W ramach projektowanego art. 19 ust. 2a przewiduje się, że podmiot podlegający wpisowi do KRS, dla którego nie założono konta w systemie teleinformatycznym obsługującym postępowanie rejestrowe będzie zobowiązany dołączyć do wniosku o wpis albo zmianę wpisu dotyczącego tego podmiotu zgłoszenie potrzeby założenia </w:t>
      </w:r>
      <w:r w:rsidRPr="005B6A86">
        <w:rPr>
          <w:rFonts w:ascii="Arial" w:hAnsi="Arial" w:cs="Arial"/>
        </w:rPr>
        <w:lastRenderedPageBreak/>
        <w:t xml:space="preserve">konta. Celem wprowadzenia tego rozwiązania jest zapewnienie, aby wszystkie podmioty wpisane w KRS miały dostęp do konta, za pomocą którego będą mogły składać wnioski o wpis i zmianę wpisu w rejestrze oraz odbierać korespondencję (pisma sądowe). Konto podmiotu będzie służyło z jednej strony do składania pism przez podmiot podlegający obowiązkowi wpisu do KRS, z drugiej strony będzie służyło również do doręczania korespondencji sądowej do takiego podmiotu. </w:t>
      </w:r>
    </w:p>
    <w:p w14:paraId="4C1E7AC6" w14:textId="14822E54" w:rsidR="008B20D5" w:rsidRPr="005B6A86" w:rsidRDefault="008B20D5" w:rsidP="005B6A86">
      <w:pPr>
        <w:pStyle w:val="Akapitzlist"/>
        <w:numPr>
          <w:ilvl w:val="0"/>
          <w:numId w:val="16"/>
        </w:numPr>
        <w:spacing w:after="0" w:line="300" w:lineRule="auto"/>
        <w:jc w:val="both"/>
        <w:rPr>
          <w:rFonts w:ascii="Arial" w:hAnsi="Arial" w:cs="Arial"/>
        </w:rPr>
      </w:pPr>
      <w:r w:rsidRPr="005B6A86">
        <w:rPr>
          <w:rFonts w:ascii="Arial" w:hAnsi="Arial" w:cs="Arial"/>
        </w:rPr>
        <w:t>zgłoszenie potrzeby założenia konta jako wymóg formalny</w:t>
      </w:r>
    </w:p>
    <w:p w14:paraId="4858DEA9"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Złożenie wniosku lub pisma przez podmiot za pośrednictwem założonego dla niego konta, względnie zgłoszenie przez podmiot, dla którego nie założono konta, wraz z wnioskiem również potrzeby założenia konta, będzie traktowane jako wymóg formalny wniosku o wpis do rejestru. Przewiduje się, że niedochowanie tego wymogu będzie skutkowało zwróceniem wniosku o wpis bez wzywania do uzupełnienia braków.</w:t>
      </w:r>
    </w:p>
    <w:p w14:paraId="1462E658" w14:textId="0F14DF06" w:rsidR="008B20D5" w:rsidRPr="005B6A86" w:rsidRDefault="008B20D5" w:rsidP="005B6A86">
      <w:pPr>
        <w:pStyle w:val="Akapitzlist"/>
        <w:numPr>
          <w:ilvl w:val="0"/>
          <w:numId w:val="16"/>
        </w:numPr>
        <w:spacing w:after="0" w:line="300" w:lineRule="auto"/>
        <w:jc w:val="both"/>
        <w:rPr>
          <w:rFonts w:ascii="Arial" w:hAnsi="Arial" w:cs="Arial"/>
        </w:rPr>
      </w:pPr>
      <w:r w:rsidRPr="005B6A86">
        <w:rPr>
          <w:rFonts w:ascii="Arial" w:hAnsi="Arial" w:cs="Arial"/>
        </w:rPr>
        <w:t>obowiązek składania pism przez konto</w:t>
      </w:r>
    </w:p>
    <w:p w14:paraId="312B757E"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Zgodnie z projektowanym art. 20e wprowadza się obowiązek pouczenia podmiotu, że w związku z utworzeniem konta, wszystkie pisma kierowane do podmiotu będą wysyłane na konto założone dla podmiotu. Poza zasadą doręczania pism sądowych na konto podmiotu pouczenie będzie obejmowało również zasady składania pism przy użyciu konta i skutki ich niedochowania, a podmiot, dla którego konta nie założono będzie dodatkowo informowany o sposobie założenia konta oraz sposobie uwierzytelnienia się na koncie po jego założeniu. Zmiana ma na celu zabezpieczenie praw podmiotu oraz uniknięcia zarzutu nieprawidłowego doręczenia korespondencji.</w:t>
      </w:r>
    </w:p>
    <w:p w14:paraId="6B472D1A" w14:textId="77777777" w:rsidR="008B20D5" w:rsidRPr="008B20D5" w:rsidRDefault="008B20D5" w:rsidP="008B20D5">
      <w:pPr>
        <w:spacing w:after="0" w:line="300" w:lineRule="auto"/>
        <w:jc w:val="both"/>
        <w:rPr>
          <w:rFonts w:ascii="Arial" w:hAnsi="Arial" w:cs="Arial"/>
        </w:rPr>
      </w:pPr>
      <w:r w:rsidRPr="008B20D5">
        <w:rPr>
          <w:rFonts w:ascii="Arial" w:hAnsi="Arial" w:cs="Arial"/>
        </w:rPr>
        <w:t xml:space="preserve">Oczekiwanym efektem wprowadzenia obowiązku posiadania konta w systemie teleinformatycznym przez podmioty wpisane do KRS jest usprawnienie komunikacji między sądem rejestrowym a uczestnikami postępowania rejestrowego, zwiększenie efektywności doręczeń oraz przyspieszenie obiegu dokumentów. Dzięki obowiązkowemu korzystaniu z konta, możliwe będzie ograniczenie liczby błędów formalnych, skrócenie czasu rozpatrywania wniosków oraz zapewnienie jednolitości procedur składania pism i odbierania korespondencji. </w:t>
      </w:r>
    </w:p>
    <w:p w14:paraId="249A1F7B" w14:textId="77777777" w:rsidR="008B20D5" w:rsidRPr="008B20D5" w:rsidRDefault="008B20D5" w:rsidP="008B20D5">
      <w:pPr>
        <w:spacing w:after="0" w:line="300" w:lineRule="auto"/>
        <w:jc w:val="both"/>
        <w:rPr>
          <w:rFonts w:ascii="Arial" w:hAnsi="Arial" w:cs="Arial"/>
        </w:rPr>
      </w:pPr>
      <w:r w:rsidRPr="008B20D5">
        <w:rPr>
          <w:rFonts w:ascii="Arial" w:hAnsi="Arial" w:cs="Arial"/>
        </w:rPr>
        <w:t>Pozostałe zmiany</w:t>
      </w:r>
    </w:p>
    <w:p w14:paraId="47B66DDA" w14:textId="770752C9"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uchylenie art. 3a ust. 3 ustawy o KRS w związku z tym, że materia, której dotyczy ten przepis pokrywa się z materią uregulowaną w przepisie art. 175da § 5 i 6 ustawy Prawo o ustroju sądów powszechnych;</w:t>
      </w:r>
    </w:p>
    <w:p w14:paraId="3CA11891" w14:textId="40D43F01"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wprowadzenie zmiany w art. 9a ust. 2 poprzez odejście od enumeratywnego określenia dokumentów podlegających złożeniu do Repozytorium dokumentów finansowych na rzecz wprowadzenia ogólnego odesłania do odpowiedniej regulacji ustawy o rachunkowości. Konsekwencją przedmiotowej zmiany jest również zmiana art. 19e ust. 1 ustawy, w którym zastąpiono wymienione enumeratywnie jednostki redakcyjne ustawy o rachunkowości ogólnym odwołaniem się do dokumentów finansowych podlegających złożeniu do repozytorium dokumentów finansowych;</w:t>
      </w:r>
    </w:p>
    <w:p w14:paraId="0B383A63" w14:textId="600794F4"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wprowadzenie obowiązku posiadania tytułu prawnego do lokalu zgłaszanego jako adres podmiotu oraz obowiązku złożenia oświadczenia pod rygorem odpowiedzialności karnej (dodanie art. 19ab ust. 1 i 2 ustawy o KRS);</w:t>
      </w:r>
    </w:p>
    <w:p w14:paraId="072494ED" w14:textId="465069B8"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rozszerzenie obowiązku podejmowania czynności zmierzających do aktualizacji Rejestru na wszystkie organy i podmioty sprawujące władzę publiczną;</w:t>
      </w:r>
    </w:p>
    <w:p w14:paraId="2171FAFA" w14:textId="4E047C26"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lastRenderedPageBreak/>
        <w:t>nałożenie na ministra właściwego do spraw informatyzacji obowiązku niezwłocznego poinformowania sądu rejestrowego, w przypadku zmiany w rejestrze PESEL imienia, nazwiska lub numeru PESEL osoby fizycznej ujawnionej w Rejestrze lub zamieszczenia w rejestrze PESEL w stosunku do tej osoby informacji o jej zgonie albo o dacie znalezienia jej zwłok, za pośrednictwem systemu teleinformatycznego. Informacja taka powinna zwierać nazwisko, imię, numer PESEL oraz informację o dacie zgonu albo dacie znalezienia zwłok. Poinformowanie sądu rejestrowego powinno spowodować podjęcie przez ten sąd działań z urzędu aby wyeliminować sytuację, w której dane osób fizycznych, ujawnionych w Krajowym Rejestrze Sądowym różnią się od danych umieszczonych w rejestrze PESEL;</w:t>
      </w:r>
    </w:p>
    <w:p w14:paraId="2CB6091C" w14:textId="314A0397"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rozszerzenie obowiązku aktualizacji danych również na dokumenty składane do akt rejestrowych na podstawie przepisów szczególnych</w:t>
      </w:r>
    </w:p>
    <w:p w14:paraId="5E884B2A"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Dotychczasową treść art. 22 oznacza się jako ust. 1 i dodaje się ustęp 2 nakazujący odpowiednie stosowanie ustępu 1 do dokumentów, które podlegają złożeniu do akt rejestrowych na podstawie odrębnych przepisów, z uwzględnieniem terminów przewidzianych do złożenia dokumentów, które są określone w przepisach szczególnych. Zmiana przepisu konieczna jest, gdyż aktualne brzmienie artykułu odnosi się tylko do realizacji postulatu związanego z aktualizacją danych w Krajowym Rejestrze Sądowym, a projektodawca dostrzegł konieczność rozszerzenia obowiązku aktualizacji również na dokumenty, które nie stanowią podstawy wpisu, ale podlegają złożeniu do akt rejestrowych na podstawie art. 9 ust. 2;</w:t>
      </w:r>
    </w:p>
    <w:p w14:paraId="2DB87BDA" w14:textId="3544A10B"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dodanie wzmianki o statusie spółki publicznej w KRS</w:t>
      </w:r>
    </w:p>
    <w:p w14:paraId="19741BC3"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W art. 38 dodaje się ust. 1b zgodnie z którym dla spółki komandytowo - akcyjnej i spółki akcyjnej ujawniana jest w Krajowym Rejestrze Sądowym wzmianka czy podmiot jest spółką publiczną, jakkolwiek ma charakter informacyjny, to wiąże się z szerszym zagadnieniem związanym ze Strategią Rozwoju Rynku Kapitałowego, stanowiącą załącznik do Uchwały Nr 114 Rady Ministrów z dnia 1 października 2019 r. w sprawie przyjęcia Strategii Rozwoju Rynku Kapitałowego  oraz z pojawiającym się zarzutem opóźnień w rejestracji papierów wartościowych spółek publicznych przez sądy rejestrowe;</w:t>
      </w:r>
    </w:p>
    <w:p w14:paraId="1659B8D9" w14:textId="4F8B9EDC"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uznanie wniosków dotyczących spółek publicznych za sprawy pilne</w:t>
      </w:r>
    </w:p>
    <w:p w14:paraId="0B15085E"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W celu wyeliminowania sygnalizowanych uchybień konieczne jest także rozszerzenie w regulaminie urzędowania sądów powszechnych kategorii spraw pilnych o wnioski dotyczące spółek publicznych, w tym wnioski dotyczące podwyższenia kapitału akcyjnego w takich spółkach, wiążące się z emisją akcji w ramach oferty publicznej. Skutkiem wprowadzenia takiej zmiany będzie rozpoznawanie takich wniosków przez sądy rejestrowe w pierwszej kolejności, a w konsekwencji skrócenie czasu oczekiwania na wpis;</w:t>
      </w:r>
    </w:p>
    <w:p w14:paraId="40EEC614" w14:textId="25A44AF2"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wprowadzenie obowiązku wpisu oznaczenia „w restrukturyzacji”</w:t>
      </w:r>
    </w:p>
    <w:p w14:paraId="2331D57E"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Ujednolicenie zasad ujawniania statusu przedsiębiorcy w restrukturyzacji w KRS, analogicznie do oznaczenia „w upadłości”, w celu zwiększenia bezpieczeństwa obrotu prawnego;</w:t>
      </w:r>
    </w:p>
    <w:p w14:paraId="49D80FA6" w14:textId="797749F0"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porządkowa zmiana art. 53a ustawy o KRS</w:t>
      </w:r>
    </w:p>
    <w:p w14:paraId="00DD3B16"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lastRenderedPageBreak/>
        <w:t>Dostosowanie przepisów dotyczących aktualizacji danych kontaktowych (adres strony internetowej, e-mail) oraz wyłączenie obowiązku zgłaszania adresu do doręczeń elektronicznych, który będzie wpisywany automatycznie.</w:t>
      </w:r>
    </w:p>
    <w:p w14:paraId="42305E0F" w14:textId="6F1C5B2F"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 ustawie z dnia 17 listopada 1964 r. – Kodeks postępowania cywilnego (Dz. U. z 2024 r. poz. 1568 oraz z 2025 r. poz. 620 i 1172)</w:t>
      </w:r>
    </w:p>
    <w:p w14:paraId="54953F97"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Projektowane zmiany Kodeksu postępowania cywilnego są dopełnieniem przepisów dotyczących kont podmiotów wpisanych do KRS. Przewiduje się, że dodanie przepisów precyzujących, w jakich okolicznościach postępowanie rejestrowe odbywa się za pośrednictwem systemu teleinformatycznego. Będą to wszystkie postępowania, w których wniosek złożono za pośrednictwem tego systemu, a w przypadku postępowań przed sądem rejestrowym prowadzącym KRS wszystkie postępowania dotyczące podmiotów podlegających wpisowi do rejestru przedsiębiorców lub do rejestru stowarzyszeń, innych organizacji społecznych lub zawodowych, fundacji oraz samodzielnych publicznych zakładów opieki zdrowotnej rejestru stowarzyszeń, w tym zarówno wszczęte na wniosek, jak i wszczęte z urzędu. Pojęcie postępowania odbywającego się za pośrednictwem systemu teleinformatycznego zostało już użyte w Kodeksie, a proponowane przepisy mają charakter precyzujący. W przypadku, gdy postępowanie prowadzi się za pośrednictwem sytemu teleinformatycznego, sąd dokonuje doręczeń za pośrednictwem systemu teleinformatycznego na konto założone dla adresata pisma w tym systemie, chyba że dla adresata pisma nie założono konta. Regulacja ta ma na celu umożliwienie sądom rejestrowym sprawnego prowadzenia wobec podmiotów wpisanych do rejestru przedsiębiorców lub do rejestru stowarzyszeń, innych organizacji społecznych lub zawodowych, fundacji lub samodzielnych publicznych zakładów opieki zdrowotnej Krajowego Rejestru Sądowego postępowań rejestrowych, w szczególności tych wszczynanych z urzędu, na podstawie art. 24 oraz art. 25a i nast. ustawy o KRS. Podmioty te będą bowiem zobowiązane do odbioru korespondencji wpływającej na konto pod rygorem uznania jej za doręczoną. Pierwsze pismo w sprawie będzie mogło zatem zostać doręczone takim podmiotom w postaci elektronicznej, a nie, jak dotychczas, papierowej. Warunkiem doręczenia korespondencji w postaci elektronicznej będzie uprzednie pouczenie przy pierwszym doręczeniu po założeniu konta. Podstawę prawną pouczenia przewidziano w proj. art. 20e ustawy o KRS. Przewiduje się pozostawianie w aktach sprawy ze skutkiem doręczenia pisma sądowego adresowanego do podmiotu podlegającego obowiązkowi wpisu do rejestru przedsiębiorców lub do rejestru stowarzyszeń, innych organizacji społecznych lub zawodowych, fundacji oraz samodzielnych publicznych zakładów opieki zdrowotnej, dla którego nie założono konta w systemie teleinformatycznym, a który został pouczony o doręczaniu korespondencji sądowej na konto w systemie teleinformatycznym. Rozwiązania w tym zakresie nie tylko przyśpieszą postępowania prowadzone z urzędu, ale obniżą ich koszty i odciążą sekretariaty sądowe.</w:t>
      </w:r>
    </w:p>
    <w:p w14:paraId="7CB5567F" w14:textId="3617ED8C"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 ustawie z dnia 14 lutego 1991 r. – Prawo o notariacie (Dz.U. z 2024 r. poz. 1001)</w:t>
      </w:r>
    </w:p>
    <w:p w14:paraId="53C453C0"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 xml:space="preserve">Wprowadzenie obowiązku umieszczania przez notariuszy w Centralnym Repozytorium Elektronicznych Wypisów Aktów Notarialnych także elektronicznego wyciągu z aktu notarialnego pozbawionego danych osobowych niepodlegających wpisowi do </w:t>
      </w:r>
      <w:r w:rsidRPr="005B6A86">
        <w:rPr>
          <w:rFonts w:ascii="Arial" w:hAnsi="Arial" w:cs="Arial"/>
        </w:rPr>
        <w:lastRenderedPageBreak/>
        <w:t>Krajowego Rejestru Sądowego lub zgłoszeniu sądowi rejestrowemu. Wyciągi takie będą dołączane do wniosków razem z aktami notarialnymi, na podstawie których zostały sporządzone, w trybie art. 19d ustawy o KRS. Notariusz pouczy strony aktu nie tylko o sposobie i trybie składania wniosku w postępowaniu rejestrowym oraz o obowiązku podania we wniosku numeru wypisu w Centralnym Repozytorium Elektronicznych Wypisów Aktów Notarialnych, ale także o obowiązku podania numeru wyciągu. Na żądanie strony aktu wyciągi będą mogły być pozbawione przez notariusza także innych treści, np. danych, których prawo przeglądania jest ograniczone na podstawie przepisu szczególnego, a także innych danych, które zdaniem strony aktu nie powinny być upublicznione.</w:t>
      </w:r>
    </w:p>
    <w:p w14:paraId="2DCDD247"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Zmienia się brzmienie art. 92a § 2 poprzez zastąpienie odniesienia do „danych” odniesieniem do „dokumentu”, zgodnie z brzmieniem przepisów k.p.c. i ustawy o KRS.</w:t>
      </w:r>
    </w:p>
    <w:p w14:paraId="4C08CC5A" w14:textId="727E6C2F"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 ustawie z dnia 29 września 1994 r. o rachunkowości (Dz.U. z 2023 r. poz. 120 t.j.)</w:t>
      </w:r>
    </w:p>
    <w:p w14:paraId="08947B61"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 xml:space="preserve">Potrzeba zmiany art. 70a w ustawie o rachunkowości, wynika z konieczności uporządkowania sytuacji, w której przedsiębiorcy nie zamykają ksiąg rachunkowych za dany rok obrotowy, w którym wykonywanie przez nich działalności gospodarczej pozostawało zawieszone, a mimo wszystko – w świetle obowiązujących przepisów – sąd rejestrowy rozlicza takie podmioty z obowiązku składania sprawozdań finansowych i musi wszczynać wobec takich przedsiębiorców postępowania przymuszające do wykonania obowiązku sprawozdawczego. Sądy rejestrowe nie mają bowiem wiedzy, czy przedsiębiorcy mający zawieszone wykonywanie działalności gospodarczej dokonywali w danym roku obrotowym odpisów amortyzacyjnych lub umorzeniowych lub czy występowały inne zdarzenia wywołujące skutki o charakterze majątkowym lub finansowym. </w:t>
      </w:r>
    </w:p>
    <w:p w14:paraId="434DF42E"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 xml:space="preserve">Zasadnym jest wyeliminowanie takich sytuacji. Złożenie takiego oświadczenia w trybie art. 70a ustawy o rachunkowości oznaczało będzie dla sądu rejestrowego, że wobec takiego przedsiębiorcy nie należy wszczynać postępowania przymuszającego do złożenia sprawozdania finansowego, natomiast na podstawie takiego oświadczenia zostanie zamieszczona w Krajowym Rejestrze Sądowym wzmianka o braku obowiązku sporządzenia i złożenia sprawozdania finansowego. Rozwiązanie takie jest wprawdzie oparte częściowo na wpisie w Krajowym Rejestrze Sądowym, że wykonywanie działalności gospodarczej jest zawieszone, a częściowo tylko na oświadczeniu przedsiębiorcy. I faktycznie może on oświadczyć nieprawdę, to jednak wydaje się, że każdorazowo taka sytuacja może zostać wychwycona przez organ skarbowy, który zawiadomi właściwy sąd rejestrowy, że jednak dany podmiot nie złożył obowiązkowego sprawozdania finansowego, a sąd rejestrowy podejmie wobec takiego podmiotu konieczne czynności przymuszające. Dlatego też za złożenie przedmiotowego oświadczenia, nie przewiduje się sankcji odpowiedzialności karnej. </w:t>
      </w:r>
    </w:p>
    <w:p w14:paraId="209D6E8A"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Dzięki temu rozwiązaniu sądy rejestrowe nie będą wszczynały znacznej ilości zbędnych postępowań przymuszających, co w istotnej części odciąży sądy i zmniejszy wydatki skarbu państwa, a z drugiej strony zaspokoi oczekiwania przedsiębiorców, którzy sami zgłaszali powyższy problem i wnosili o dokonanie odpowiednich zmian legislacyjnych.</w:t>
      </w:r>
    </w:p>
    <w:p w14:paraId="52A67834" w14:textId="213AA6AD"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lastRenderedPageBreak/>
        <w:t>w ustawie z dnia 13 października 1998 r. o systemie ubezpieczeń społecznych (Dz. U. z 2025 r. poz. 350 z późn. zm.)</w:t>
      </w:r>
    </w:p>
    <w:p w14:paraId="575E3516"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Dopełnieniem zmian ustawy o KRS w zakresie przepisów dotyczących postępowania o rozwiązanie podmiotu wpisanego do Rejestru bez przeprowadzania postępowania likwidacyjnego jest zmiana art. art. 50 ust. 19 o systemie ubezpieczeń społecznych zgodnie, z którym Zakład Ubezpieczeń Społecznych udziela bezpłatnie, za pośrednictwem systemu teleinformatycznego o którym mowa w art. 3a ustawy o KRS sądowi rejestracyjnemu prowadzącemu postępowanie o rozwiązanie podmiotu wpisanego do Krajowego Rejestru Sądowego bez przeprowadzania postępowania likwidacyjnego informacji mających istotne znaczenie do ustalenia, czy podmiot wpisany do tego rejestru posiada zbywalny majątek i czy faktycznie prowadzi działalność.</w:t>
      </w:r>
    </w:p>
    <w:p w14:paraId="542770CC" w14:textId="4D08A394"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 ustawie o działalności pożytku publicznego i o wolontariacie (Dz. U. z 2023 r. poz. 571, z późn. zm.)</w:t>
      </w:r>
    </w:p>
    <w:p w14:paraId="081F19DB"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Zmiana w art. 3 ust. 4 pkt 4 polega na uzupełnieniu przewidzianego w tym przepisie katalogu podmiotów, które mogą prowadzić działalność pożytku publicznego, o proste spółki akcyjne. Jak się wydaje w ustawie z dnia 19 lipca 2019 r. o zmianie ustawy - Kodeks spółek handlowych oraz niektórych innych ustaw omyłkowo pominięto zmianę tej regulacji.</w:t>
      </w:r>
    </w:p>
    <w:p w14:paraId="2C2F8E92" w14:textId="1CE2E7C5" w:rsidR="008B20D5" w:rsidRPr="005B6A86" w:rsidRDefault="008B20D5" w:rsidP="005B6A86">
      <w:pPr>
        <w:pStyle w:val="Akapitzlist"/>
        <w:numPr>
          <w:ilvl w:val="0"/>
          <w:numId w:val="17"/>
        </w:numPr>
        <w:spacing w:after="0" w:line="300" w:lineRule="auto"/>
        <w:jc w:val="both"/>
        <w:rPr>
          <w:rFonts w:ascii="Arial" w:hAnsi="Arial" w:cs="Arial"/>
        </w:rPr>
      </w:pPr>
      <w:r w:rsidRPr="005B6A86">
        <w:rPr>
          <w:rFonts w:ascii="Arial" w:hAnsi="Arial" w:cs="Arial"/>
        </w:rPr>
        <w:t>w ustawie z dnia 16 listopada 2016 r. o Krajowej Administracji Skarbowej (Dz. U. z 2025 r. poz. 1131)</w:t>
      </w:r>
    </w:p>
    <w:p w14:paraId="377D50BB" w14:textId="77777777" w:rsidR="008B20D5" w:rsidRPr="005B6A86" w:rsidRDefault="008B20D5" w:rsidP="005B6A86">
      <w:pPr>
        <w:pStyle w:val="Akapitzlist"/>
        <w:spacing w:after="0" w:line="300" w:lineRule="auto"/>
        <w:jc w:val="both"/>
        <w:rPr>
          <w:rFonts w:ascii="Arial" w:hAnsi="Arial" w:cs="Arial"/>
        </w:rPr>
      </w:pPr>
      <w:r w:rsidRPr="005B6A86">
        <w:rPr>
          <w:rFonts w:ascii="Arial" w:hAnsi="Arial" w:cs="Arial"/>
        </w:rPr>
        <w:t>Dodaje się art. 46b zgodnie, z którym żądanie sądu rejestrowego naczelnik urzędu skarbowego właściwego według ostatniego udostępnionego w Krajowym Rejestrze Sądowym adresu siedziby podatnika przekazuje informacje mające istotne znaczenie do ustalenia, czy podatnik ten posiada zbywalny majątek i czy faktycznie prowadzi działalność. Jeżeli podatnik, pozostawał wcześniej we właściwości innych naczelników urzędów skarbowych informacji udziela się po sprawdzeniu danych posiadanych przez te organy. Natomiast w przypadku ustalenia z urzędu przez naczelnika urzędu skarbowego, że podatnik będący podmiotem wpisanym do Krajowego Rejestru Sądowego nie posiada zbywalnego majątku i faktycznie nie prowadzi działalności, naczelnik urzędu skarbowego przekazuje informację w tym zakresie do właściwego sądu rejestrowego. Przewiduje się, że informacje będą przekazywane sądom rejestrowym za pośrednictwem systemu teleinformatycznego, o którym mowa w art. 3a ustawy o KRS.</w:t>
      </w:r>
    </w:p>
    <w:p w14:paraId="5D8ED9AB" w14:textId="77777777" w:rsidR="008B20D5" w:rsidRPr="008B20D5" w:rsidRDefault="008B20D5" w:rsidP="008B20D5">
      <w:pPr>
        <w:spacing w:after="0" w:line="300" w:lineRule="auto"/>
        <w:jc w:val="both"/>
        <w:rPr>
          <w:rFonts w:ascii="Arial" w:hAnsi="Arial" w:cs="Arial"/>
        </w:rPr>
      </w:pPr>
      <w:r w:rsidRPr="008B20D5">
        <w:rPr>
          <w:rFonts w:ascii="Arial" w:hAnsi="Arial" w:cs="Arial"/>
        </w:rPr>
        <w:t>Przepisy przejściowe</w:t>
      </w:r>
    </w:p>
    <w:p w14:paraId="55C4B334" w14:textId="4C4156C1" w:rsidR="00FE3960" w:rsidRPr="00FE3960" w:rsidRDefault="008B20D5" w:rsidP="008B20D5">
      <w:pPr>
        <w:spacing w:after="0" w:line="300" w:lineRule="auto"/>
        <w:jc w:val="both"/>
        <w:rPr>
          <w:rFonts w:ascii="Arial" w:hAnsi="Arial" w:cs="Arial"/>
        </w:rPr>
      </w:pPr>
      <w:r w:rsidRPr="008B20D5">
        <w:rPr>
          <w:rFonts w:ascii="Arial" w:hAnsi="Arial" w:cs="Arial"/>
        </w:rPr>
        <w:t xml:space="preserve">Rekomendowanym rozwiązaniem jest wprowadzenie przepisów przejściowych, które zapewnią płynne wdrożenie nowych regulacji bez zakłócania toczących się postępowań rejestrowych. Projekt przewiduje, że sprawy wszczęte przed wejściem w życie ustawy będą prowadzone według dotychczasowych zasad, z wyjątkiem określonych przypadków, w których możliwe będzie zastosowanie nowych rozwiązań – np. wpisu wzmianki o niewykonywaniu obowiązku złożenia dokumentów finansowych. W postępowaniach o rozwiązanie podmiotu bez likwidacji możliwe będzie zastosowanie nowych mechanizmów, takich jak domniemanie braku działalności. Przewidziano także wznowienie postępowań wcześniej umorzonych z powodu posiadania majątku, jeśli podmiot nadal nie wykonuje obowiązków rejestrowych. </w:t>
      </w:r>
      <w:r w:rsidRPr="008B20D5">
        <w:rPr>
          <w:rFonts w:ascii="Arial" w:hAnsi="Arial" w:cs="Arial"/>
        </w:rPr>
        <w:lastRenderedPageBreak/>
        <w:t>Dodatkowo, wprowadzono obowiązek pouczania podmiotów o doręczeniach elektronicznych oraz aktualizacji danych osób fizycznych ujawnionych w KRS na podstawie informacji z rejestru PESEL. Spółki publiczne już wpisane do Rejestru będą zobowiązane do zgłoszenia swojego statusu w określonym terminie. Całość rozwiązań ma na celu ujednolicenie praktyki, usprawnienie postępowań i zapewnienie aktualności danych w KRS.</w:t>
      </w:r>
    </w:p>
    <w:p w14:paraId="61F2E1A5" w14:textId="77777777" w:rsidR="00FE3960" w:rsidRDefault="00FE3960" w:rsidP="00FE3960">
      <w:pPr>
        <w:spacing w:after="0" w:line="300" w:lineRule="auto"/>
        <w:jc w:val="both"/>
        <w:rPr>
          <w:rFonts w:ascii="Arial" w:hAnsi="Arial" w:cs="Arial"/>
        </w:rPr>
      </w:pPr>
    </w:p>
    <w:p w14:paraId="5D1D24EE" w14:textId="77777777" w:rsidR="00071853" w:rsidRPr="00071853" w:rsidRDefault="00071853" w:rsidP="00071853">
      <w:pPr>
        <w:spacing w:after="0" w:line="300" w:lineRule="auto"/>
        <w:jc w:val="both"/>
        <w:rPr>
          <w:rFonts w:ascii="Arial" w:hAnsi="Arial" w:cs="Arial"/>
        </w:rPr>
      </w:pPr>
      <w:r w:rsidRPr="00071853">
        <w:rPr>
          <w:rFonts w:ascii="Arial" w:hAnsi="Arial" w:cs="Arial"/>
        </w:rPr>
        <w:t>Przedmiotowy projekt aktu prawnego wraz z Uzasadnieniem oraz Oceną Skutków Regulacji dostępny jest na stronach Rządowego Centrum Legislacji pod adresem:</w:t>
      </w:r>
    </w:p>
    <w:p w14:paraId="739838C3" w14:textId="77672EA6" w:rsidR="00071853" w:rsidRDefault="00071853" w:rsidP="00071853">
      <w:pPr>
        <w:spacing w:after="0" w:line="300" w:lineRule="auto"/>
        <w:jc w:val="both"/>
        <w:rPr>
          <w:rFonts w:ascii="Arial" w:hAnsi="Arial" w:cs="Arial"/>
        </w:rPr>
      </w:pPr>
      <w:hyperlink r:id="rId7" w:history="1">
        <w:r w:rsidRPr="00F727A2">
          <w:rPr>
            <w:rStyle w:val="Hipercze"/>
            <w:rFonts w:ascii="Arial" w:hAnsi="Arial" w:cs="Arial"/>
          </w:rPr>
          <w:t>https://legislacja.rcl.gov.pl/projekt/12402301/kata</w:t>
        </w:r>
        <w:r w:rsidRPr="00F727A2">
          <w:rPr>
            <w:rStyle w:val="Hipercze"/>
            <w:rFonts w:ascii="Arial" w:hAnsi="Arial" w:cs="Arial"/>
          </w:rPr>
          <w:t>l</w:t>
        </w:r>
        <w:r w:rsidRPr="00F727A2">
          <w:rPr>
            <w:rStyle w:val="Hipercze"/>
            <w:rFonts w:ascii="Arial" w:hAnsi="Arial" w:cs="Arial"/>
          </w:rPr>
          <w:t>og/13157422#13157422</w:t>
        </w:r>
      </w:hyperlink>
      <w:r>
        <w:rPr>
          <w:rFonts w:ascii="Arial" w:hAnsi="Arial" w:cs="Arial"/>
        </w:rPr>
        <w:t xml:space="preserve"> </w:t>
      </w:r>
    </w:p>
    <w:p w14:paraId="2724E26F" w14:textId="77777777" w:rsidR="00071853" w:rsidRDefault="00071853" w:rsidP="00FE3960">
      <w:pPr>
        <w:spacing w:after="0" w:line="300" w:lineRule="auto"/>
        <w:jc w:val="both"/>
        <w:rPr>
          <w:rFonts w:ascii="Arial" w:hAnsi="Arial" w:cs="Arial"/>
        </w:rPr>
      </w:pPr>
    </w:p>
    <w:p w14:paraId="69B8BE29" w14:textId="002BE0F3" w:rsidR="00071853" w:rsidRDefault="00071853" w:rsidP="00FE3960">
      <w:pPr>
        <w:spacing w:after="0" w:line="300" w:lineRule="auto"/>
        <w:jc w:val="both"/>
        <w:rPr>
          <w:rFonts w:ascii="Arial" w:hAnsi="Arial" w:cs="Arial"/>
        </w:rPr>
      </w:pPr>
      <w:r w:rsidRPr="00071853">
        <w:rPr>
          <w:rFonts w:ascii="Arial" w:hAnsi="Arial" w:cs="Arial"/>
        </w:rPr>
        <w:t>Projekt jest obecnie jednocześnie na etapie uzgodnień, konsultacji publicznych i opiniowania.</w:t>
      </w:r>
    </w:p>
    <w:p w14:paraId="32187F2F" w14:textId="77777777" w:rsidR="00071853" w:rsidRDefault="00071853" w:rsidP="00FE3960">
      <w:pPr>
        <w:spacing w:after="0" w:line="300" w:lineRule="auto"/>
        <w:jc w:val="both"/>
        <w:rPr>
          <w:rFonts w:ascii="Arial" w:hAnsi="Arial" w:cs="Arial"/>
        </w:rPr>
      </w:pPr>
    </w:p>
    <w:p w14:paraId="3DC76982" w14:textId="77777777" w:rsidR="00FE3960" w:rsidRDefault="00FE3960" w:rsidP="00FE3960">
      <w:pPr>
        <w:spacing w:after="0" w:line="300" w:lineRule="auto"/>
        <w:jc w:val="both"/>
        <w:rPr>
          <w:rFonts w:ascii="Arial" w:hAnsi="Arial" w:cs="Arial"/>
        </w:rPr>
      </w:pPr>
      <w:r>
        <w:rPr>
          <w:rFonts w:ascii="Arial" w:hAnsi="Arial" w:cs="Arial"/>
        </w:rPr>
        <w:t>Projekty rozporządzeń:</w:t>
      </w:r>
    </w:p>
    <w:p w14:paraId="1E8F56FF" w14:textId="77777777" w:rsidR="00FE3960" w:rsidRDefault="00FE3960" w:rsidP="00FE3960">
      <w:pPr>
        <w:spacing w:after="0" w:line="300" w:lineRule="auto"/>
        <w:jc w:val="both"/>
        <w:rPr>
          <w:rFonts w:ascii="Arial" w:hAnsi="Arial" w:cs="Arial"/>
        </w:rPr>
      </w:pPr>
    </w:p>
    <w:p w14:paraId="08209D85" w14:textId="6A576CC8" w:rsidR="00FE3960" w:rsidRPr="00B20CA6" w:rsidRDefault="00B20CA6" w:rsidP="00FE3960">
      <w:pPr>
        <w:pStyle w:val="Akapitzlist"/>
        <w:numPr>
          <w:ilvl w:val="0"/>
          <w:numId w:val="4"/>
        </w:numPr>
        <w:spacing w:after="0" w:line="300" w:lineRule="auto"/>
        <w:jc w:val="both"/>
        <w:rPr>
          <w:rFonts w:ascii="Arial" w:hAnsi="Arial" w:cs="Arial"/>
          <w:b/>
          <w:bCs/>
          <w:u w:val="single"/>
        </w:rPr>
      </w:pPr>
      <w:r w:rsidRPr="00B20CA6">
        <w:rPr>
          <w:rFonts w:ascii="Arial" w:hAnsi="Arial" w:cs="Arial"/>
          <w:b/>
          <w:bCs/>
          <w:u w:val="single"/>
        </w:rPr>
        <w:t>P</w:t>
      </w:r>
      <w:r w:rsidRPr="00B20CA6">
        <w:rPr>
          <w:rFonts w:ascii="Arial" w:hAnsi="Arial" w:cs="Arial"/>
          <w:b/>
          <w:bCs/>
          <w:u w:val="single"/>
        </w:rPr>
        <w:t>rojekt rozporządzenia Ministra Finansów i Gospodarki zmieniające rozporządzenie w sprawie wysokości opłat za czynności jednostek dozoru technicznego (numer z wykazu 31).</w:t>
      </w:r>
    </w:p>
    <w:p w14:paraId="71E648BF" w14:textId="77777777" w:rsidR="00FE3960" w:rsidRDefault="00FE3960" w:rsidP="00FE3960">
      <w:pPr>
        <w:spacing w:after="0" w:line="300" w:lineRule="auto"/>
        <w:jc w:val="both"/>
        <w:rPr>
          <w:rFonts w:ascii="Arial" w:hAnsi="Arial" w:cs="Arial"/>
        </w:rPr>
      </w:pPr>
    </w:p>
    <w:p w14:paraId="26F5DC46" w14:textId="77777777" w:rsidR="00B20CA6" w:rsidRPr="00B20CA6" w:rsidRDefault="00B20CA6" w:rsidP="00B20CA6">
      <w:pPr>
        <w:spacing w:after="0" w:line="300" w:lineRule="auto"/>
        <w:jc w:val="both"/>
        <w:rPr>
          <w:rFonts w:ascii="Arial" w:hAnsi="Arial" w:cs="Arial"/>
        </w:rPr>
      </w:pPr>
      <w:r w:rsidRPr="00B20CA6">
        <w:rPr>
          <w:rFonts w:ascii="Arial" w:hAnsi="Arial" w:cs="Arial"/>
        </w:rPr>
        <w:t>Celem nowelizacji rozporządzenia Ministra Gospodarki z dnia 26 listopada 2010 r. w sprawie wysokości opłat za czynności jednostek dozoru technicznego (Dz. U. z 2016 r. poz. 696 oraz z 2024 r. poz. 1294) jest waloryzacja opłat za czynności jednostek dozoru technicznego o wskaźnik inflacji oraz wprowadzenie indywidualnie określanej opłaty za wykonanie zastępczych badań lub czynności realizowanych w zamian za badania okresowe lub doraźne kontrolne w zakresie rewizji wewnętrznej oraz próby ciśnieniowej. Obowiązujące obecnie stawki opłat nie były waloryzowane od 2014 r. i są nieadekwatne do aktualnych warunków gospodarczo-ekonomicznych.</w:t>
      </w:r>
    </w:p>
    <w:p w14:paraId="41103136" w14:textId="77777777" w:rsidR="00B20CA6" w:rsidRPr="00B20CA6" w:rsidRDefault="00B20CA6" w:rsidP="00B20CA6">
      <w:pPr>
        <w:spacing w:after="0" w:line="300" w:lineRule="auto"/>
        <w:jc w:val="both"/>
        <w:rPr>
          <w:rFonts w:ascii="Arial" w:hAnsi="Arial" w:cs="Arial"/>
        </w:rPr>
      </w:pPr>
      <w:r w:rsidRPr="00B20CA6">
        <w:rPr>
          <w:rFonts w:ascii="Arial" w:hAnsi="Arial" w:cs="Arial"/>
        </w:rPr>
        <w:t>Dostosowanie wysokości opłat do obecnych warunków gospodarczo-ekonomicznych jest niezbędne do realizacji przez jednostki dozoru technicznego ustawowych działań zmierzających do zapewnienia bezpiecznego funkcjonowania urządzeń technicznych oraz działań zmierzających do zapewnienia bezpieczeństwa publicznego w tym obszarze.</w:t>
      </w:r>
    </w:p>
    <w:p w14:paraId="253CBEE8" w14:textId="77777777" w:rsidR="00B20CA6" w:rsidRPr="00B20CA6" w:rsidRDefault="00B20CA6" w:rsidP="00B20CA6">
      <w:pPr>
        <w:spacing w:after="0" w:line="300" w:lineRule="auto"/>
        <w:jc w:val="both"/>
        <w:rPr>
          <w:rFonts w:ascii="Arial" w:hAnsi="Arial" w:cs="Arial"/>
        </w:rPr>
      </w:pPr>
      <w:r w:rsidRPr="00B20CA6">
        <w:rPr>
          <w:rFonts w:ascii="Arial" w:hAnsi="Arial" w:cs="Arial"/>
        </w:rPr>
        <w:t>Projektowana wysokość opłat za czynności jednostek dozoru technicznego uwzględnia uzasadnione koszty i minimalny zysk, zapewniający samofinansującym się jednostkom dozoru technicznego środki finansowe niezbędne do wykonywania ich zadań ustawowych.</w:t>
      </w:r>
    </w:p>
    <w:p w14:paraId="26749F67" w14:textId="77777777" w:rsidR="00B20CA6" w:rsidRPr="00B20CA6" w:rsidRDefault="00B20CA6" w:rsidP="00B20CA6">
      <w:pPr>
        <w:spacing w:after="0" w:line="300" w:lineRule="auto"/>
        <w:jc w:val="both"/>
        <w:rPr>
          <w:rFonts w:ascii="Arial" w:hAnsi="Arial" w:cs="Arial"/>
        </w:rPr>
      </w:pPr>
      <w:r w:rsidRPr="00B20CA6">
        <w:rPr>
          <w:rFonts w:ascii="Arial" w:hAnsi="Arial" w:cs="Arial"/>
        </w:rPr>
        <w:t>Opracowanie rozporządzenia Ministra Finansów i Gospodarki zmieniającego rozporządzenie Ministra Gospodarki z dnia 26 listopada 2010 r. w sprawie wysokości opłat za czynności jednostek dozoru technicznego na podstawie upoważnienia zawartego w art. 34 ust. 3 ustawy z dnia 21 grudnia 2000 r. o dozorze technicznym, zwanej dalej „ustawą o dozorze technicznym”, pozwoli na dokonanie niezbędnej waloryzacji opłat za czynności jednostek dozoru technicznego, która wynika z obiektywnych względów inflacyjnych i jest konieczna dla zapewnienia i utrzymania najwyższego poziomu bezpieczeństwa technicznego urządzeń podlegających dozorowi technicznemu.</w:t>
      </w:r>
    </w:p>
    <w:p w14:paraId="6313F314" w14:textId="77777777" w:rsidR="00B20CA6" w:rsidRPr="00B20CA6" w:rsidRDefault="00B20CA6" w:rsidP="00B20CA6">
      <w:pPr>
        <w:spacing w:after="0" w:line="300" w:lineRule="auto"/>
        <w:jc w:val="both"/>
        <w:rPr>
          <w:rFonts w:ascii="Arial" w:hAnsi="Arial" w:cs="Arial"/>
        </w:rPr>
      </w:pPr>
      <w:r w:rsidRPr="00B20CA6">
        <w:rPr>
          <w:rFonts w:ascii="Arial" w:hAnsi="Arial" w:cs="Arial"/>
        </w:rPr>
        <w:t xml:space="preserve">Projekt rozporządzenia przewiduje waloryzację opłat o wskaźnik inflacji (53,57% za okres od 01.12.2014 r. do 30.11.2024 r.) po zaokrągleniu w dół do pełnych złotych oraz zwiększenie stawki godzinowej za czynności jednostek dozoru technicznego z obecnie obowiązującej w </w:t>
      </w:r>
      <w:r w:rsidRPr="00B20CA6">
        <w:rPr>
          <w:rFonts w:ascii="Arial" w:hAnsi="Arial" w:cs="Arial"/>
        </w:rPr>
        <w:lastRenderedPageBreak/>
        <w:t>wysokości 116 zł do 216 zł. Ponadto z uwagi na indywidualny charakter badań zastępczych lub czynności realizowanych w zamian za badania okresowe lub doraźne kontrolne w zakresie rewizji wewnętrznej oraz próby ciśnieniowej, projekt rozporządzenia przewiduje, że opłata ta jest określana indywidualnie dla każdego badania lub czynności, po uzyskaniu zgody od organu właściwej jednostki dozoru technicznego na ich wykonanie. W projekcie rozporządzenia dokonano także zmiany sposobu ustalania opłat w zakresie badania urządzeń do podawania płynnego betonu pod ciśnieniem, zamontowanych na pojazdach drogowych, dotychczasową stawkę godzinową zastąpiono określeniem sztywnej stawki podobnie jak w przypadku innych urządzeń technicznych</w:t>
      </w:r>
    </w:p>
    <w:p w14:paraId="15DF8B81" w14:textId="0F613D1B" w:rsidR="00FE3960" w:rsidRDefault="00B20CA6" w:rsidP="00B20CA6">
      <w:pPr>
        <w:spacing w:after="0" w:line="300" w:lineRule="auto"/>
        <w:jc w:val="both"/>
        <w:rPr>
          <w:rFonts w:ascii="Arial" w:hAnsi="Arial" w:cs="Arial"/>
        </w:rPr>
      </w:pPr>
      <w:r w:rsidRPr="00B20CA6">
        <w:rPr>
          <w:rFonts w:ascii="Arial" w:hAnsi="Arial" w:cs="Arial"/>
        </w:rPr>
        <w:t>Projekt rozporządzenia przewiduje również zmianę w zakresie opłat za wykonanie czynności jednostek dozoru technicznego, związanych z uprawnianiem przedsiębiorców zagranicznych. Z uwagi na konieczność zabezpieczenia się przed ewentualnym dochodzeniem należności od przedsiębiorcy zagranicznego, opłaty będą pobierane przed wykonaniem czynności.</w:t>
      </w:r>
    </w:p>
    <w:p w14:paraId="4D61C4C2" w14:textId="77777777" w:rsidR="00B20CA6" w:rsidRDefault="00B20CA6" w:rsidP="00B20CA6">
      <w:pPr>
        <w:spacing w:after="0" w:line="300" w:lineRule="auto"/>
        <w:jc w:val="both"/>
        <w:rPr>
          <w:rFonts w:ascii="Arial" w:hAnsi="Arial" w:cs="Arial"/>
        </w:rPr>
      </w:pPr>
    </w:p>
    <w:p w14:paraId="1D579777" w14:textId="77777777" w:rsidR="00B20CA6" w:rsidRPr="00B20CA6" w:rsidRDefault="00B20CA6" w:rsidP="00B20CA6">
      <w:pPr>
        <w:spacing w:after="0" w:line="300" w:lineRule="auto"/>
        <w:jc w:val="both"/>
        <w:rPr>
          <w:rFonts w:ascii="Arial" w:hAnsi="Arial" w:cs="Arial"/>
        </w:rPr>
      </w:pPr>
      <w:r w:rsidRPr="00B20CA6">
        <w:rPr>
          <w:rFonts w:ascii="Arial" w:hAnsi="Arial" w:cs="Arial"/>
        </w:rPr>
        <w:t>Przedmiotowy projekt aktu prawnego wraz z Załącznikiem, Uzasadnieniem oraz Oceną Skutków Regulacji dostępny jest na stronach Rządowego Centrum Legislacji pod adresem:</w:t>
      </w:r>
    </w:p>
    <w:p w14:paraId="608FF58A" w14:textId="5823ACA9" w:rsidR="00B20CA6" w:rsidRDefault="00B20CA6" w:rsidP="00B20CA6">
      <w:pPr>
        <w:spacing w:after="0" w:line="300" w:lineRule="auto"/>
        <w:jc w:val="both"/>
        <w:rPr>
          <w:rFonts w:ascii="Arial" w:hAnsi="Arial" w:cs="Arial"/>
        </w:rPr>
      </w:pPr>
      <w:hyperlink r:id="rId8" w:history="1">
        <w:r w:rsidRPr="00F727A2">
          <w:rPr>
            <w:rStyle w:val="Hipercze"/>
            <w:rFonts w:ascii="Arial" w:hAnsi="Arial" w:cs="Arial"/>
          </w:rPr>
          <w:t>https://legislacja.rcl.gov.pl/projekt/12402101</w:t>
        </w:r>
        <w:r w:rsidRPr="00F727A2">
          <w:rPr>
            <w:rStyle w:val="Hipercze"/>
            <w:rFonts w:ascii="Arial" w:hAnsi="Arial" w:cs="Arial"/>
          </w:rPr>
          <w:t>/</w:t>
        </w:r>
        <w:r w:rsidRPr="00F727A2">
          <w:rPr>
            <w:rStyle w:val="Hipercze"/>
            <w:rFonts w:ascii="Arial" w:hAnsi="Arial" w:cs="Arial"/>
          </w:rPr>
          <w:t>katalog/13155957#13155957</w:t>
        </w:r>
      </w:hyperlink>
      <w:r>
        <w:rPr>
          <w:rFonts w:ascii="Arial" w:hAnsi="Arial" w:cs="Arial"/>
        </w:rPr>
        <w:t xml:space="preserve"> </w:t>
      </w:r>
    </w:p>
    <w:p w14:paraId="261C2667" w14:textId="77777777" w:rsidR="00B20CA6" w:rsidRDefault="00B20CA6" w:rsidP="00B20CA6">
      <w:pPr>
        <w:spacing w:after="0" w:line="300" w:lineRule="auto"/>
        <w:jc w:val="both"/>
        <w:rPr>
          <w:rFonts w:ascii="Arial" w:hAnsi="Arial" w:cs="Arial"/>
        </w:rPr>
      </w:pPr>
    </w:p>
    <w:p w14:paraId="34723B20" w14:textId="5A4F9A08" w:rsidR="00B20CA6" w:rsidRDefault="00B20CA6" w:rsidP="00B20CA6">
      <w:pPr>
        <w:spacing w:after="0" w:line="300" w:lineRule="auto"/>
        <w:jc w:val="both"/>
        <w:rPr>
          <w:rFonts w:ascii="Arial" w:hAnsi="Arial" w:cs="Arial"/>
        </w:rPr>
      </w:pPr>
      <w:r w:rsidRPr="00B20CA6">
        <w:rPr>
          <w:rFonts w:ascii="Arial" w:hAnsi="Arial" w:cs="Arial"/>
        </w:rPr>
        <w:t>Projekt jest obecnie jednocześnie na etapie uzgodnień, konsultacji publicznych i opiniowania.</w:t>
      </w:r>
    </w:p>
    <w:p w14:paraId="23F8904B" w14:textId="77777777" w:rsidR="00FE3960" w:rsidRPr="00FE3960" w:rsidRDefault="00FE3960" w:rsidP="00FE3960">
      <w:pPr>
        <w:spacing w:after="0" w:line="300" w:lineRule="auto"/>
        <w:jc w:val="both"/>
        <w:rPr>
          <w:rFonts w:ascii="Arial" w:hAnsi="Arial" w:cs="Arial"/>
        </w:rPr>
      </w:pPr>
    </w:p>
    <w:p w14:paraId="65508C59" w14:textId="3B56AE52" w:rsidR="00FE3960" w:rsidRPr="00AB0FAF" w:rsidRDefault="00AB0FAF" w:rsidP="00FE3960">
      <w:pPr>
        <w:pStyle w:val="Akapitzlist"/>
        <w:numPr>
          <w:ilvl w:val="0"/>
          <w:numId w:val="4"/>
        </w:numPr>
        <w:spacing w:after="0" w:line="300" w:lineRule="auto"/>
        <w:jc w:val="both"/>
        <w:rPr>
          <w:rFonts w:ascii="Arial" w:hAnsi="Arial" w:cs="Arial"/>
          <w:b/>
          <w:bCs/>
          <w:u w:val="single"/>
        </w:rPr>
      </w:pPr>
      <w:r w:rsidRPr="00AB0FAF">
        <w:rPr>
          <w:rFonts w:ascii="Arial" w:hAnsi="Arial" w:cs="Arial"/>
          <w:b/>
          <w:bCs/>
          <w:u w:val="single"/>
        </w:rPr>
        <w:t>P</w:t>
      </w:r>
      <w:r w:rsidRPr="00AB0FAF">
        <w:rPr>
          <w:rFonts w:ascii="Arial" w:hAnsi="Arial" w:cs="Arial"/>
          <w:b/>
          <w:bCs/>
          <w:u w:val="single"/>
        </w:rPr>
        <w:t>rojekt rozporządzenia Rady Ministrów w sprawie zasad gospodarki finansowej Funduszu Pracy (numer z wykazu RD229).</w:t>
      </w:r>
    </w:p>
    <w:p w14:paraId="35211AC5" w14:textId="77777777" w:rsidR="00FE3960" w:rsidRDefault="00FE3960" w:rsidP="00FE3960">
      <w:pPr>
        <w:spacing w:after="0" w:line="300" w:lineRule="auto"/>
        <w:jc w:val="both"/>
        <w:rPr>
          <w:rFonts w:ascii="Arial" w:hAnsi="Arial" w:cs="Arial"/>
        </w:rPr>
      </w:pPr>
    </w:p>
    <w:p w14:paraId="4A063071" w14:textId="77777777" w:rsidR="00681C4D" w:rsidRPr="00681C4D" w:rsidRDefault="00681C4D" w:rsidP="00681C4D">
      <w:pPr>
        <w:spacing w:after="0" w:line="300" w:lineRule="auto"/>
        <w:jc w:val="both"/>
        <w:rPr>
          <w:rFonts w:ascii="Arial" w:hAnsi="Arial" w:cs="Arial"/>
        </w:rPr>
      </w:pPr>
      <w:r w:rsidRPr="00681C4D">
        <w:rPr>
          <w:rFonts w:ascii="Arial" w:hAnsi="Arial" w:cs="Arial"/>
        </w:rPr>
        <w:t>Ustawa z dnia 20 marca 2025 r. o rynku pracy i służbach zatrudnienia (Dz. U.  poz. 620), zwana dalej „ustawą”, w art. 277 zawiera upoważnienie ustawowe do wydania rozporządzenia przez Radę Ministrów. Projektowane rozporządzenie  określa zasady gospodarki finansowej Funduszu Pracy, w tym:</w:t>
      </w:r>
    </w:p>
    <w:p w14:paraId="6A7D4481" w14:textId="35E574D7"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zapewnia finansowanie realizacji zadań odpowiednio przez ministra właściwego do spraw pracy, wojewodów, samorządy województw, samorządy powiatów oraz Ochotnicze Hufce Pracy;</w:t>
      </w:r>
    </w:p>
    <w:p w14:paraId="62B9F775" w14:textId="70524608"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algorytm podziału środków Funduszu Pracy na województwa na finansowanie form pomocy dla samorządów powiatów;</w:t>
      </w:r>
    </w:p>
    <w:p w14:paraId="1357213E" w14:textId="2EB1735B"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 xml:space="preserve">algorytmy podziału środków Funduszu Pracy na województwa na finansowanie zadań fakultatywnych dla samorządów powiatów, a także dla samorządów województw; </w:t>
      </w:r>
    </w:p>
    <w:p w14:paraId="10A303EB" w14:textId="5ACF7BF5"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tryb ustalania kwot środków rezerwy Funduszu Pracy, pozostającej w dyspozycji ministra właściwego do spraw pracy;</w:t>
      </w:r>
    </w:p>
    <w:p w14:paraId="58DA1148" w14:textId="19D195C9"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obowiązki kierowników jednostek realizujących zadania finansowane ze środków Funduszu Pracy związane z obsługą finansowo-księgową tych środków;</w:t>
      </w:r>
    </w:p>
    <w:p w14:paraId="40D5D8DD" w14:textId="03E158DA"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tryb przekazywania środków Funduszu Pracy przez ministra właściwego do spraw pracy oraz postępowanie z niewykorzystanymi środkami;</w:t>
      </w:r>
    </w:p>
    <w:p w14:paraId="66ED6ABA" w14:textId="474E03BC" w:rsidR="00681C4D" w:rsidRPr="00681C4D" w:rsidRDefault="00681C4D" w:rsidP="00681C4D">
      <w:pPr>
        <w:pStyle w:val="Akapitzlist"/>
        <w:numPr>
          <w:ilvl w:val="0"/>
          <w:numId w:val="18"/>
        </w:numPr>
        <w:spacing w:after="0" w:line="300" w:lineRule="auto"/>
        <w:jc w:val="both"/>
        <w:rPr>
          <w:rFonts w:ascii="Arial" w:hAnsi="Arial" w:cs="Arial"/>
        </w:rPr>
      </w:pPr>
      <w:r w:rsidRPr="00681C4D">
        <w:rPr>
          <w:rFonts w:ascii="Arial" w:hAnsi="Arial" w:cs="Arial"/>
        </w:rPr>
        <w:t>tryb powierzania przez starostę bankom i innym instytucjom dokonywania wypłat świadczeń pieniężnych dla bezrobotnych i innych uprawnionych osób, mając na względzie zapewnienie racjonalności gospodarowania środkami Funduszu Pracy.</w:t>
      </w:r>
    </w:p>
    <w:p w14:paraId="3D24569C" w14:textId="77777777" w:rsidR="00681C4D" w:rsidRPr="00681C4D" w:rsidRDefault="00681C4D" w:rsidP="00681C4D">
      <w:pPr>
        <w:spacing w:after="0" w:line="300" w:lineRule="auto"/>
        <w:jc w:val="both"/>
        <w:rPr>
          <w:rFonts w:ascii="Arial" w:hAnsi="Arial" w:cs="Arial"/>
        </w:rPr>
      </w:pPr>
      <w:r w:rsidRPr="00681C4D">
        <w:rPr>
          <w:rFonts w:ascii="Arial" w:hAnsi="Arial" w:cs="Arial"/>
        </w:rPr>
        <w:lastRenderedPageBreak/>
        <w:t xml:space="preserve">Rozwiązania zawarte w projekcie stanowią syntezę rozwiązań zawartych w dwóch rozporządzeniach, wydanych na podstawie nieobowiązującej od 1 czerwca 2025 r. ustawy z dnia 20 kwietnia 2004 r. o promocji zatrudnienia i instytucjach rynku pracy (Dz. U. z 2025 r. poz. 214), tj. rozporządzenia Rady Ministrów z dnia 25 sierpnia 2014 r. w sprawie algorytmu ustalania kwot środków Funduszu Pracy na finansowanie zadań w województwie (Dz. U. poz. 1294) oraz rozporządzenia Ministra Pracy i Polityki Społecznej z dnia 7 października 2011 r. w sprawie szczegółowych zasad gospodarki finansowej Funduszu Pracy (Dz. U. z 2024 r. poz. 624), które obowiązują do czasu wejścia w życie procedowanego rozporządzenia. </w:t>
      </w:r>
    </w:p>
    <w:p w14:paraId="361B6DDF" w14:textId="77777777" w:rsidR="00681C4D" w:rsidRPr="00681C4D" w:rsidRDefault="00681C4D" w:rsidP="00681C4D">
      <w:pPr>
        <w:spacing w:after="0" w:line="300" w:lineRule="auto"/>
        <w:jc w:val="both"/>
        <w:rPr>
          <w:rFonts w:ascii="Arial" w:hAnsi="Arial" w:cs="Arial"/>
        </w:rPr>
      </w:pPr>
      <w:r w:rsidRPr="00681C4D">
        <w:rPr>
          <w:rFonts w:ascii="Arial" w:hAnsi="Arial" w:cs="Arial"/>
        </w:rPr>
        <w:t>Zmiany w projekcie rozporządzenia w stosunku do obecnie obowiązujących rozwiązań polegają na:</w:t>
      </w:r>
    </w:p>
    <w:p w14:paraId="5552DDA0" w14:textId="60B8B8C8" w:rsidR="00681C4D" w:rsidRPr="00681C4D" w:rsidRDefault="00681C4D" w:rsidP="00681C4D">
      <w:pPr>
        <w:pStyle w:val="Akapitzlist"/>
        <w:numPr>
          <w:ilvl w:val="0"/>
          <w:numId w:val="19"/>
        </w:numPr>
        <w:spacing w:after="0" w:line="300" w:lineRule="auto"/>
        <w:jc w:val="both"/>
        <w:rPr>
          <w:rFonts w:ascii="Arial" w:hAnsi="Arial" w:cs="Arial"/>
        </w:rPr>
      </w:pPr>
      <w:r w:rsidRPr="00681C4D">
        <w:rPr>
          <w:rFonts w:ascii="Arial" w:hAnsi="Arial" w:cs="Arial"/>
        </w:rPr>
        <w:t>uregulowaniu kwestii udzielania przez marszałków województw, starostów, komendanta OHP oraz wojewodów dalszych upoważnień do dokonywania zmian w planie finansowym,</w:t>
      </w:r>
    </w:p>
    <w:p w14:paraId="670D2641" w14:textId="708EFB37" w:rsidR="00681C4D" w:rsidRPr="00681C4D" w:rsidRDefault="00681C4D" w:rsidP="00681C4D">
      <w:pPr>
        <w:pStyle w:val="Akapitzlist"/>
        <w:numPr>
          <w:ilvl w:val="0"/>
          <w:numId w:val="19"/>
        </w:numPr>
        <w:spacing w:after="0" w:line="300" w:lineRule="auto"/>
        <w:jc w:val="both"/>
        <w:rPr>
          <w:rFonts w:ascii="Arial" w:hAnsi="Arial" w:cs="Arial"/>
        </w:rPr>
      </w:pPr>
      <w:r w:rsidRPr="00681C4D">
        <w:rPr>
          <w:rFonts w:ascii="Arial" w:hAnsi="Arial" w:cs="Arial"/>
        </w:rPr>
        <w:t>wprowadzenie obowiązku niezwłocznego informowania dysponenta Funduszu Pracy o dokonanych zmianach w planie finansowym,</w:t>
      </w:r>
    </w:p>
    <w:p w14:paraId="7E81715D" w14:textId="4D18BB41" w:rsidR="00681C4D" w:rsidRPr="00681C4D" w:rsidRDefault="00681C4D" w:rsidP="00681C4D">
      <w:pPr>
        <w:pStyle w:val="Akapitzlist"/>
        <w:numPr>
          <w:ilvl w:val="0"/>
          <w:numId w:val="19"/>
        </w:numPr>
        <w:spacing w:after="0" w:line="300" w:lineRule="auto"/>
        <w:jc w:val="both"/>
        <w:rPr>
          <w:rFonts w:ascii="Arial" w:hAnsi="Arial" w:cs="Arial"/>
        </w:rPr>
      </w:pPr>
      <w:r w:rsidRPr="00681C4D">
        <w:rPr>
          <w:rFonts w:ascii="Arial" w:hAnsi="Arial" w:cs="Arial"/>
        </w:rPr>
        <w:t>doprecyzowanie rodzajów zadań, które powinny być ujęte w planie finansowym sporządzanym przez wskazane jednostki,</w:t>
      </w:r>
    </w:p>
    <w:p w14:paraId="46E6F040" w14:textId="1A6256E5" w:rsidR="00681C4D" w:rsidRPr="00681C4D" w:rsidRDefault="00681C4D" w:rsidP="00681C4D">
      <w:pPr>
        <w:pStyle w:val="Akapitzlist"/>
        <w:numPr>
          <w:ilvl w:val="0"/>
          <w:numId w:val="19"/>
        </w:numPr>
        <w:spacing w:after="0" w:line="300" w:lineRule="auto"/>
        <w:jc w:val="both"/>
        <w:rPr>
          <w:rFonts w:ascii="Arial" w:hAnsi="Arial" w:cs="Arial"/>
        </w:rPr>
      </w:pPr>
      <w:r w:rsidRPr="00681C4D">
        <w:rPr>
          <w:rFonts w:ascii="Arial" w:hAnsi="Arial" w:cs="Arial"/>
        </w:rPr>
        <w:t>doprecyzowanie zakresu danych, które powinny być ujęte w „Informacji z wykonania zadań Funduszu”,</w:t>
      </w:r>
    </w:p>
    <w:p w14:paraId="249B9DA5" w14:textId="73636AD0" w:rsidR="00681C4D" w:rsidRPr="00681C4D" w:rsidRDefault="00681C4D" w:rsidP="00681C4D">
      <w:pPr>
        <w:pStyle w:val="Akapitzlist"/>
        <w:numPr>
          <w:ilvl w:val="0"/>
          <w:numId w:val="19"/>
        </w:numPr>
        <w:spacing w:after="0" w:line="300" w:lineRule="auto"/>
        <w:jc w:val="both"/>
        <w:rPr>
          <w:rFonts w:ascii="Arial" w:hAnsi="Arial" w:cs="Arial"/>
        </w:rPr>
      </w:pPr>
      <w:r w:rsidRPr="00681C4D">
        <w:rPr>
          <w:rFonts w:ascii="Arial" w:hAnsi="Arial" w:cs="Arial"/>
        </w:rPr>
        <w:t>ułatwienie jednostkom sposobu przekazywania „Informacji z wykonania zadań Funduszu” poprzez zniesienie dodatkowego obowiązku przekazywania informacji w postaci elektronicznej na elektroniczną skrzynkę podawczą dysponenta Funduszu Pracy.</w:t>
      </w:r>
    </w:p>
    <w:p w14:paraId="00FB86FB" w14:textId="77777777" w:rsidR="00681C4D" w:rsidRPr="00681C4D" w:rsidRDefault="00681C4D" w:rsidP="00681C4D">
      <w:pPr>
        <w:spacing w:after="0" w:line="300" w:lineRule="auto"/>
        <w:jc w:val="both"/>
        <w:rPr>
          <w:rFonts w:ascii="Arial" w:hAnsi="Arial" w:cs="Arial"/>
        </w:rPr>
      </w:pPr>
      <w:r w:rsidRPr="00681C4D">
        <w:rPr>
          <w:rFonts w:ascii="Arial" w:hAnsi="Arial" w:cs="Arial"/>
        </w:rPr>
        <w:t>Ponadto należy zwrócić uwagę, że część rozwiązań dotyczących sposobu podziału środków Funduszu Pracy, poprzednio uregulowana na poziomie rozporządzenia, została przeniesiona do ustawy, a projekt rozporządzenia zawiera jedynie doprecyzowanie w tym zakresie. Dodatkowe zmiany w stosunku do poprzednich rozwiązań to także: dostosowanie algorytmów podziału środków Funduszu Pracy do rozwiązań zawartych w ustawie, szczegółowe określenie zadań finansowanych z Funduszu Pracy przez poszczególne podmioty oraz zmiany w zakresie przekazywania środków rezerwy Funduszu Pracy oraz Krajowego Funduszu Szkoleniowego (KFS).</w:t>
      </w:r>
    </w:p>
    <w:p w14:paraId="4C75FBF6" w14:textId="1575517E" w:rsidR="00681C4D" w:rsidRPr="00681C4D" w:rsidRDefault="00681C4D" w:rsidP="00681C4D">
      <w:pPr>
        <w:spacing w:after="0" w:line="300" w:lineRule="auto"/>
        <w:jc w:val="both"/>
        <w:rPr>
          <w:rFonts w:ascii="Arial" w:hAnsi="Arial" w:cs="Arial"/>
        </w:rPr>
      </w:pPr>
      <w:r w:rsidRPr="00681C4D">
        <w:rPr>
          <w:rFonts w:ascii="Arial" w:hAnsi="Arial" w:cs="Arial"/>
        </w:rPr>
        <w:t>Projekt rozporządzenia dotyczy trzech rodzajów podmiotów:</w:t>
      </w:r>
    </w:p>
    <w:p w14:paraId="654FEFB9" w14:textId="4F3F8176" w:rsidR="00681C4D" w:rsidRPr="002F28EF" w:rsidRDefault="00681C4D" w:rsidP="002F28EF">
      <w:pPr>
        <w:pStyle w:val="Akapitzlist"/>
        <w:numPr>
          <w:ilvl w:val="1"/>
          <w:numId w:val="21"/>
        </w:numPr>
        <w:spacing w:after="0" w:line="300" w:lineRule="auto"/>
        <w:ind w:left="567" w:hanging="283"/>
        <w:jc w:val="both"/>
        <w:rPr>
          <w:rFonts w:ascii="Arial" w:hAnsi="Arial" w:cs="Arial"/>
        </w:rPr>
      </w:pPr>
      <w:r w:rsidRPr="002F28EF">
        <w:rPr>
          <w:rFonts w:ascii="Arial" w:hAnsi="Arial" w:cs="Arial"/>
        </w:rPr>
        <w:t xml:space="preserve">dysponenta Funduszu Pracy; </w:t>
      </w:r>
    </w:p>
    <w:p w14:paraId="46AC6BF7" w14:textId="347C4180" w:rsidR="00681C4D" w:rsidRPr="002F28EF" w:rsidRDefault="00681C4D" w:rsidP="002F28EF">
      <w:pPr>
        <w:pStyle w:val="Akapitzlist"/>
        <w:numPr>
          <w:ilvl w:val="1"/>
          <w:numId w:val="21"/>
        </w:numPr>
        <w:spacing w:after="0" w:line="300" w:lineRule="auto"/>
        <w:ind w:left="567" w:hanging="283"/>
        <w:jc w:val="both"/>
        <w:rPr>
          <w:rFonts w:ascii="Arial" w:hAnsi="Arial" w:cs="Arial"/>
        </w:rPr>
      </w:pPr>
      <w:r w:rsidRPr="002F28EF">
        <w:rPr>
          <w:rFonts w:ascii="Arial" w:hAnsi="Arial" w:cs="Arial"/>
        </w:rPr>
        <w:t>wojewodów, samorządów województw, samorządów powiatów, Ochotniczych Hufców Pracy, zwanych dalej OHP;</w:t>
      </w:r>
    </w:p>
    <w:p w14:paraId="5FB6C1D0" w14:textId="0DCBEA10" w:rsidR="00681C4D" w:rsidRPr="002F28EF" w:rsidRDefault="00681C4D" w:rsidP="002F28EF">
      <w:pPr>
        <w:pStyle w:val="Akapitzlist"/>
        <w:numPr>
          <w:ilvl w:val="1"/>
          <w:numId w:val="21"/>
        </w:numPr>
        <w:spacing w:after="0" w:line="300" w:lineRule="auto"/>
        <w:ind w:left="567" w:hanging="283"/>
        <w:jc w:val="both"/>
        <w:rPr>
          <w:rFonts w:ascii="Arial" w:hAnsi="Arial" w:cs="Arial"/>
        </w:rPr>
      </w:pPr>
      <w:r w:rsidRPr="002F28EF">
        <w:rPr>
          <w:rFonts w:ascii="Arial" w:hAnsi="Arial" w:cs="Arial"/>
        </w:rPr>
        <w:t>jednostek realizujących zadania finansowane ze środków Funduszu Pracy i mających, na podstawie odrębnych przepisów albo umów zawartych na ich podstawie z dysponentem Funduszu Pracy, obowiązek utworzenia wyodrębnionych rachunków bankowych z przeznaczeniem dla środków Funduszu Pracy.</w:t>
      </w:r>
    </w:p>
    <w:p w14:paraId="013635AA"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Dysponent Funduszu Pracy w terminie 21 dni od dnia ogłoszenia ustawy budżetowej zatwierdza plan finansowy Funduszu Pracy według zadań oraz organów i jednostek realizujących te zadania, zwany dalej „planem finansowym według zadań”, określający kwoty środków Funduszu Pracy na finansowanie zadań przez urząd obsługujący dysponenta </w:t>
      </w:r>
      <w:r w:rsidRPr="00681C4D">
        <w:rPr>
          <w:rFonts w:ascii="Arial" w:hAnsi="Arial" w:cs="Arial"/>
        </w:rPr>
        <w:lastRenderedPageBreak/>
        <w:t>Funduszu, wojewodów, samorządy województw, samorządy powiatów oraz OHP i inne jednostki organizacyjne.</w:t>
      </w:r>
    </w:p>
    <w:p w14:paraId="17B559DB" w14:textId="77777777" w:rsidR="00681C4D" w:rsidRPr="00681C4D" w:rsidRDefault="00681C4D" w:rsidP="00681C4D">
      <w:pPr>
        <w:spacing w:after="0" w:line="300" w:lineRule="auto"/>
        <w:jc w:val="both"/>
        <w:rPr>
          <w:rFonts w:ascii="Arial" w:hAnsi="Arial" w:cs="Arial"/>
        </w:rPr>
      </w:pPr>
      <w:r w:rsidRPr="00681C4D">
        <w:rPr>
          <w:rFonts w:ascii="Arial" w:hAnsi="Arial" w:cs="Arial"/>
        </w:rPr>
        <w:t>Plan finansowy według zadań obejmuje kwoty środków Funduszu Pracy na wypłatę zasiłków dla bezrobotnych i innych obligatoryjnych świadczeń, realizację form pomocy, w tym realizowanych w ramach projektów Europejskiego Funduszu Społecznego Plus, o których mowa w art. 2 pkt 32 ustawy, zwanych dalej „projektami EFS+”, finansowanie zadań fakultatywnych, w tym dodatków motywacyjnych dla pracowników wojewódzkich i powiatowych urzędów pracy oraz pracowników OHP, dofinansowanie kosztów wynagrodzeń pracowników wojewódzkich i powiatowych urzędów pracy oraz realizację innych zadań finansowanych z Funduszu Pracy.</w:t>
      </w:r>
    </w:p>
    <w:p w14:paraId="2344E8A6" w14:textId="77777777" w:rsidR="00681C4D" w:rsidRPr="00681C4D" w:rsidRDefault="00681C4D" w:rsidP="00681C4D">
      <w:pPr>
        <w:spacing w:after="0" w:line="300" w:lineRule="auto"/>
        <w:jc w:val="both"/>
        <w:rPr>
          <w:rFonts w:ascii="Arial" w:hAnsi="Arial" w:cs="Arial"/>
        </w:rPr>
      </w:pPr>
      <w:r w:rsidRPr="00681C4D">
        <w:rPr>
          <w:rFonts w:ascii="Arial" w:hAnsi="Arial" w:cs="Arial"/>
        </w:rPr>
        <w:t>Projekt rozporządzenia określa zakres zadań w ramach ustalonych kwot środków realizowanych przez:</w:t>
      </w:r>
    </w:p>
    <w:p w14:paraId="259DEF3A" w14:textId="3665ED3D" w:rsidR="00681C4D" w:rsidRPr="002F28EF" w:rsidRDefault="00681C4D" w:rsidP="002F28EF">
      <w:pPr>
        <w:pStyle w:val="Akapitzlist"/>
        <w:numPr>
          <w:ilvl w:val="0"/>
          <w:numId w:val="22"/>
        </w:numPr>
        <w:spacing w:after="0" w:line="300" w:lineRule="auto"/>
        <w:jc w:val="both"/>
        <w:rPr>
          <w:rFonts w:ascii="Arial" w:hAnsi="Arial" w:cs="Arial"/>
        </w:rPr>
      </w:pPr>
      <w:r w:rsidRPr="002F28EF">
        <w:rPr>
          <w:rFonts w:ascii="Arial" w:hAnsi="Arial" w:cs="Arial"/>
        </w:rPr>
        <w:t xml:space="preserve">samorządy powiatów – na finansowanie form pomocy, zadań fakultatywnych i zawodowego kształcenia ustawicznego w ramach KFS; </w:t>
      </w:r>
    </w:p>
    <w:p w14:paraId="36EF47C5" w14:textId="7EC9AC27" w:rsidR="00681C4D" w:rsidRPr="002F28EF" w:rsidRDefault="00681C4D" w:rsidP="002F28EF">
      <w:pPr>
        <w:pStyle w:val="Akapitzlist"/>
        <w:numPr>
          <w:ilvl w:val="0"/>
          <w:numId w:val="22"/>
        </w:numPr>
        <w:spacing w:after="0" w:line="300" w:lineRule="auto"/>
        <w:jc w:val="both"/>
        <w:rPr>
          <w:rFonts w:ascii="Arial" w:hAnsi="Arial" w:cs="Arial"/>
        </w:rPr>
      </w:pPr>
      <w:r w:rsidRPr="002F28EF">
        <w:rPr>
          <w:rFonts w:ascii="Arial" w:hAnsi="Arial" w:cs="Arial"/>
        </w:rPr>
        <w:t xml:space="preserve">samorządy województw </w:t>
      </w:r>
      <w:r w:rsidRPr="002F28EF">
        <w:rPr>
          <w:rFonts w:ascii="Arial" w:hAnsi="Arial" w:cs="Arial"/>
        </w:rPr>
        <w:t> na finansowanie zadań fakultatywnych;</w:t>
      </w:r>
    </w:p>
    <w:p w14:paraId="14A11B89" w14:textId="7ED3AF39" w:rsidR="00681C4D" w:rsidRPr="002F28EF" w:rsidRDefault="00681C4D" w:rsidP="002F28EF">
      <w:pPr>
        <w:pStyle w:val="Akapitzlist"/>
        <w:numPr>
          <w:ilvl w:val="0"/>
          <w:numId w:val="22"/>
        </w:numPr>
        <w:spacing w:after="0" w:line="300" w:lineRule="auto"/>
        <w:jc w:val="both"/>
        <w:rPr>
          <w:rFonts w:ascii="Arial" w:hAnsi="Arial" w:cs="Arial"/>
        </w:rPr>
      </w:pPr>
      <w:r w:rsidRPr="002F28EF">
        <w:rPr>
          <w:rFonts w:ascii="Arial" w:hAnsi="Arial" w:cs="Arial"/>
        </w:rPr>
        <w:t>OHP – na finansowanie zadań fakultatywnych oraz refundację pracodawcom wynagrodzeń i składek na ubezpieczenia społeczne młodocianych pracowników;</w:t>
      </w:r>
    </w:p>
    <w:p w14:paraId="03AA132A" w14:textId="133C5614" w:rsidR="00681C4D" w:rsidRPr="002F28EF" w:rsidRDefault="00681C4D" w:rsidP="002F28EF">
      <w:pPr>
        <w:pStyle w:val="Akapitzlist"/>
        <w:numPr>
          <w:ilvl w:val="0"/>
          <w:numId w:val="22"/>
        </w:numPr>
        <w:spacing w:after="0" w:line="300" w:lineRule="auto"/>
        <w:jc w:val="both"/>
        <w:rPr>
          <w:rFonts w:ascii="Arial" w:hAnsi="Arial" w:cs="Arial"/>
        </w:rPr>
      </w:pPr>
      <w:r w:rsidRPr="002F28EF">
        <w:rPr>
          <w:rFonts w:ascii="Arial" w:hAnsi="Arial" w:cs="Arial"/>
        </w:rPr>
        <w:t xml:space="preserve">wojewodów </w:t>
      </w:r>
      <w:r w:rsidRPr="002F28EF">
        <w:rPr>
          <w:rFonts w:ascii="Arial" w:hAnsi="Arial" w:cs="Arial"/>
        </w:rPr>
        <w:t> na finansowanie zadań fakultatywnych;</w:t>
      </w:r>
    </w:p>
    <w:p w14:paraId="2EADF52C" w14:textId="176AF510" w:rsidR="00681C4D" w:rsidRPr="002F28EF" w:rsidRDefault="00681C4D" w:rsidP="002F28EF">
      <w:pPr>
        <w:pStyle w:val="Akapitzlist"/>
        <w:numPr>
          <w:ilvl w:val="0"/>
          <w:numId w:val="22"/>
        </w:numPr>
        <w:spacing w:after="0" w:line="300" w:lineRule="auto"/>
        <w:jc w:val="both"/>
        <w:rPr>
          <w:rFonts w:ascii="Arial" w:hAnsi="Arial" w:cs="Arial"/>
        </w:rPr>
      </w:pPr>
      <w:r w:rsidRPr="002F28EF">
        <w:rPr>
          <w:rFonts w:ascii="Arial" w:hAnsi="Arial" w:cs="Arial"/>
        </w:rPr>
        <w:t>dysponenta Funduszu Pracy – w ramach ustalonych kwot środków na finansowanie zadań fakultatywnych oraz pozostałych kosztów.</w:t>
      </w:r>
    </w:p>
    <w:p w14:paraId="62A35453" w14:textId="77777777" w:rsidR="00681C4D" w:rsidRPr="00681C4D" w:rsidRDefault="00681C4D" w:rsidP="00681C4D">
      <w:pPr>
        <w:spacing w:after="0" w:line="300" w:lineRule="auto"/>
        <w:jc w:val="both"/>
        <w:rPr>
          <w:rFonts w:ascii="Arial" w:hAnsi="Arial" w:cs="Arial"/>
        </w:rPr>
      </w:pPr>
      <w:r w:rsidRPr="00681C4D">
        <w:rPr>
          <w:rFonts w:ascii="Arial" w:hAnsi="Arial" w:cs="Arial"/>
        </w:rPr>
        <w:t>Z kwoty środków ujętych w planie finansowym Funduszu Pracy na finansowanie form pomocy przez samorządy powiatów dysponent Funduszu Pracy wyodrębnia rezerwę pozostającą w jego dyspozycji, a następnie pozostałą kwotę dzieli algorytmem pomiędzy województwa, wraz z kwotą środków przeznaczonych na realizację projektów EFS+. Analogicznie, przed dokonaniem podziału środków Funduszu Pracy na finansowanie zadań fakultatywnych dla samorządów powiatów, samorządów województw, wojewodów, OHP oraz dysponenta Funduszu Pracy, dysponent Funduszu Pracy wyodrębnia rezerwę pozostającą w jego dyspozycji.</w:t>
      </w:r>
    </w:p>
    <w:p w14:paraId="2EE6EEF6" w14:textId="77777777" w:rsidR="00681C4D" w:rsidRPr="00681C4D" w:rsidRDefault="00681C4D" w:rsidP="00681C4D">
      <w:pPr>
        <w:spacing w:after="0" w:line="300" w:lineRule="auto"/>
        <w:jc w:val="both"/>
        <w:rPr>
          <w:rFonts w:ascii="Arial" w:hAnsi="Arial" w:cs="Arial"/>
        </w:rPr>
      </w:pPr>
      <w:r w:rsidRPr="00681C4D">
        <w:rPr>
          <w:rFonts w:ascii="Arial" w:hAnsi="Arial" w:cs="Arial"/>
        </w:rPr>
        <w:t>Zaproponowane algorytmy podziału środków Funduszu Pracy pomiędzy województwa na finansowanie form pomocy oraz zadań fakultatywnych stanowią kontynuację stosowanych obecnie rozwiązań i oparte są, tak jak dotychczas, na dostępnych danych statystycznych uzyskiwanych na podstawie badań statystycznych prowadzonych wspólnie przez ministra właściwego do spraw pracy i Prezesa Głównego Urzędu Statystycznego zgodnie z przepisami o statystyce publicznej. Kontynuowane rozwiązania pozwolą na obserwację, jak zmiany wprowadzone w ustawie, w szczególności możliwość rejestracji bezrobotnego w urzędzie pracy właściwym ze względu na miejsce zamieszkania (a nie, jak dotychczas, zameldowania) wpłynie na wykorzystanie środków w poszczególnych województwach.</w:t>
      </w:r>
    </w:p>
    <w:p w14:paraId="6C6A220A" w14:textId="77777777" w:rsidR="00681C4D" w:rsidRPr="00681C4D" w:rsidRDefault="00681C4D" w:rsidP="00681C4D">
      <w:pPr>
        <w:spacing w:after="0" w:line="300" w:lineRule="auto"/>
        <w:jc w:val="both"/>
        <w:rPr>
          <w:rFonts w:ascii="Arial" w:hAnsi="Arial" w:cs="Arial"/>
        </w:rPr>
      </w:pPr>
      <w:r w:rsidRPr="00681C4D">
        <w:rPr>
          <w:rFonts w:ascii="Arial" w:hAnsi="Arial" w:cs="Arial"/>
        </w:rPr>
        <w:t>Algorytm podziału kwoty środków Funduszu Pracy, jaka może być wydatkowana w roku budżetowym na finansowanie w województwie, realizowanych przez samorządy powiatów formy pomocy, w tym realizowanych w ramach projektów EFS+ uległ niewielkiej modyfikacji, tj. do kategorii średnia miesięczna liczba bezrobotnych według stanu na koniec miesiąca, zarejestrowanych w danym województwie w okresie 12 miesięcy poprzedzających dzień 1 września roku poprzedzającego rok, dla którego jest ustalana wysokość środków Funduszu Pracy  dodano poszukujących pracy.</w:t>
      </w:r>
    </w:p>
    <w:p w14:paraId="3EA8CF32" w14:textId="77777777" w:rsidR="00681C4D" w:rsidRPr="00681C4D" w:rsidRDefault="00681C4D" w:rsidP="00681C4D">
      <w:pPr>
        <w:spacing w:after="0" w:line="300" w:lineRule="auto"/>
        <w:jc w:val="both"/>
        <w:rPr>
          <w:rFonts w:ascii="Arial" w:hAnsi="Arial" w:cs="Arial"/>
        </w:rPr>
      </w:pPr>
      <w:r w:rsidRPr="00681C4D">
        <w:rPr>
          <w:rFonts w:ascii="Arial" w:hAnsi="Arial" w:cs="Arial"/>
        </w:rPr>
        <w:lastRenderedPageBreak/>
        <w:t>Kwota środków Funduszu Pracy ustalona na finansowanie zadań fakultatywnych dla samorządów powiatów zostanie pomniejszona o kwotę środków na finansowanie dodatków motywacyjnych, o których mowa w art. 300 ust. 3 pkt 14 ustawy, a następnie podzielona będzie zgodnie z algorytmem między województwa.</w:t>
      </w:r>
    </w:p>
    <w:p w14:paraId="6D218ADA" w14:textId="77777777" w:rsidR="00681C4D" w:rsidRPr="00681C4D" w:rsidRDefault="00681C4D" w:rsidP="00681C4D">
      <w:pPr>
        <w:spacing w:after="0" w:line="300" w:lineRule="auto"/>
        <w:jc w:val="both"/>
        <w:rPr>
          <w:rFonts w:ascii="Arial" w:hAnsi="Arial" w:cs="Arial"/>
        </w:rPr>
      </w:pPr>
      <w:r w:rsidRPr="00681C4D">
        <w:rPr>
          <w:rFonts w:ascii="Arial" w:hAnsi="Arial" w:cs="Arial"/>
        </w:rPr>
        <w:t>Analogicznie, kwota środków Funduszu Pracy ustalona na finansowanie zadań fakultatywnych dla samorządów województw również zostanie pomniejszona o kwotę środków na finansowanie dodatków motywacyjnych, o których mowa w art. 300 ust. 3 pkt 14 ustawy, a następnie będzie podzielona między województwa według algorytmu.</w:t>
      </w:r>
    </w:p>
    <w:p w14:paraId="3AD8B74B" w14:textId="77777777" w:rsidR="00681C4D" w:rsidRPr="00681C4D" w:rsidRDefault="00681C4D" w:rsidP="00681C4D">
      <w:pPr>
        <w:spacing w:after="0" w:line="300" w:lineRule="auto"/>
        <w:jc w:val="both"/>
        <w:rPr>
          <w:rFonts w:ascii="Arial" w:hAnsi="Arial" w:cs="Arial"/>
        </w:rPr>
      </w:pPr>
      <w:r w:rsidRPr="00681C4D">
        <w:rPr>
          <w:rFonts w:ascii="Arial" w:hAnsi="Arial" w:cs="Arial"/>
        </w:rPr>
        <w:t>Do kwot środków Funduszu Pracy, jakie mogą być wydatkowane w roku budżetowym na finansowanie dodatków motywacyjnych dla pracowników powiatowych i wojewódzkich urzędów pracy zastosowano te same algorytmy, co do podziału środków na zadania fakultatywne.</w:t>
      </w:r>
    </w:p>
    <w:p w14:paraId="26FC99E1"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W terminie miesiąca od wpływu zawiadomienia od dysponenta Funduszu Pracy zarząd województwa powinien dokonać podziału kwot środków na formy pomocy i zadania fakultatywne (według kryteriów określonych przez sejmik województwa). </w:t>
      </w:r>
    </w:p>
    <w:p w14:paraId="43A81A37"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W ciągu 7 dni od dokonania podziału marszałek województwa przesyła do dysponenta Funduszu Pracy pisemne zawiadomienie o wysokości kwot środków Funduszu Pracy na finansowanie form pomocy oraz zadań fakultatywnych dla powiatowych urzędów pracy. </w:t>
      </w:r>
    </w:p>
    <w:p w14:paraId="230282C7"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Dysponent Funduszu Pracy pisemnie zawiadamia wojewodów, marszałków województw, starostów oraz Komendanta Głównego OHP o wysokości ustalonych kwot środków Funduszu, jakie mogą być wydatkowane w roku budżetowym. W zawiadomieniu dysponent Funduszu Pracy określa termin opracowania przez wojewodów, marszałków województw, starostów oraz Komendanta Głównego OHP planu finansowego kosztów i wydatków Funduszu Pracy w układzie </w:t>
      </w:r>
    </w:p>
    <w:p w14:paraId="325FDB1E" w14:textId="77777777" w:rsidR="00681C4D" w:rsidRPr="00681C4D" w:rsidRDefault="00681C4D" w:rsidP="00681C4D">
      <w:pPr>
        <w:spacing w:after="0" w:line="300" w:lineRule="auto"/>
        <w:jc w:val="both"/>
        <w:rPr>
          <w:rFonts w:ascii="Arial" w:hAnsi="Arial" w:cs="Arial"/>
        </w:rPr>
      </w:pPr>
      <w:r w:rsidRPr="00681C4D">
        <w:rPr>
          <w:rFonts w:ascii="Arial" w:hAnsi="Arial" w:cs="Arial"/>
        </w:rPr>
        <w:t>paragrafów klasyfikacji budżetowej i przekazania dysponentowi Funduszu Pracy planu odnoszącego się do ustalonych kwot środków Funduszu Pracy. Plan obejmuje środki przeznaczone na realizację świadczeń obligatoryjnych, umorzenia, kwoty środków Funduszu Pracy, jakie mogą być wydatkowane w roku budżetowym oraz inne zadania finansowane ze środków Funduszu Pracy.</w:t>
      </w:r>
    </w:p>
    <w:p w14:paraId="2265EB09" w14:textId="77777777" w:rsidR="00681C4D" w:rsidRPr="00681C4D" w:rsidRDefault="00681C4D" w:rsidP="00681C4D">
      <w:pPr>
        <w:spacing w:after="0" w:line="300" w:lineRule="auto"/>
        <w:jc w:val="both"/>
        <w:rPr>
          <w:rFonts w:ascii="Arial" w:hAnsi="Arial" w:cs="Arial"/>
        </w:rPr>
      </w:pPr>
      <w:r w:rsidRPr="00681C4D">
        <w:rPr>
          <w:rFonts w:ascii="Arial" w:hAnsi="Arial" w:cs="Arial"/>
        </w:rPr>
        <w:t>Dysponent Funduszu Pracy może upoważnić wojewodów, marszałków województw, starostów oraz Komendanta Głównego OHP do dokonywania zmian w planie finansowym polegających na przeniesieniach planowanych kosztów i wydatków pomiędzy poszczególnymi paragrafami klasyfikacji budżetowej oraz wprowadzeniu nowych paragrafów klasyfikacji budżetowej, stosownie do uzasadnionych potrzeb, jeżeli nie spowoduje to przekroczenia ustalonych kwot środków Funduszu Pracy na finansowanie zadań realizowanych przez samorządy powiatów, samorządy województw, OHP i wojewodów oraz na dofinansowanie kosztów wynagrodzeń i składek na ubezpieczenia społeczne oraz innych składowych wynagrodzeń pracowników wojewódzkich urzędów pracy, o których mowa w art. 281 ust. 1 ustawy (wskazanych w § 4 ust. 1–4 i ust. 6 pkt 2 projektu), jakie mogą być wydatkowane w danym roku budżetowym. O dokonanych zmianach w planie finansowym wojewoda, marszałek województwa, starosta oraz Komendant Główny OHP niezwłocznie zawiadamia dysponenta Funduszu Pracy, poprzez naniesienie zmian w planie finansowym.</w:t>
      </w:r>
    </w:p>
    <w:p w14:paraId="3AF689A4"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Środki na finansowanie form pomocy przez samorządy powiatów, zadań fakultatywnych przez samorządy województw i samorządy powiatów, a także na dofinansowanie kosztów </w:t>
      </w:r>
      <w:r w:rsidRPr="00681C4D">
        <w:rPr>
          <w:rFonts w:ascii="Arial" w:hAnsi="Arial" w:cs="Arial"/>
        </w:rPr>
        <w:lastRenderedPageBreak/>
        <w:t xml:space="preserve">wynagrodzeń oraz składek na ubezpieczenia społeczne od wypłaconego dofinansowania do wynagrodzeń pracownikom powiatowego urzędu pracy przez samorząd powiatu, a także na dofinansowanie kosztów wynagrodzeń i składek na ubezpieczenia społeczne, składek na Fundusz Pracy i Fundusz </w:t>
      </w:r>
    </w:p>
    <w:p w14:paraId="1F0B3C76"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Solidarnościowy oraz odpisów na zakładowy fundusz świadczeń socjalnych pracowników wojewódzkiego urzędu pracy, o których mowa w art. 281 ust. 1 ustawy, przekazywane są co miesiąc w wysokości 1/12 kwoty ustalonej na dany rok budżetowy. </w:t>
      </w:r>
    </w:p>
    <w:p w14:paraId="0D1B3337"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Do czasu ustalenia kwot środków na podstawie ustawy budżetowej na realizację form pomocy oraz zadań fakultatywnych może być przekazana co miesiąc kwota środków nie wyższa niż 2/12 ustalonej kwoty na podstawie projektu ustawy budżetowej. Natomiast środki na finansowanie zadań fakultatywnych realizowanych przez wojewodów i OHP oraz na inne zadania, dla których środki nie są przyznawane miesięcznie w 1/12, a także programy finansowane lub dofinansowane </w:t>
      </w:r>
    </w:p>
    <w:p w14:paraId="67888F3B"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z rezerwy Funduszu Pracy, dodatkowe środki na finansowanie zadań fakultatywnych z rezerwy Funduszu Pracy przekazywane są przez dysponenta Funduszu Pracy na podstawie pisemnego wniosku wojewody, marszałka województwa, starosty lub Komendanta Głównego OHP. </w:t>
      </w:r>
    </w:p>
    <w:p w14:paraId="7CEBCADB"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Dysponent Funduszu Pracy może przyznać środki rezerwy na finansowanie form pomocy, m.in. na programy mające na celu wspieranie aktywności zawodowej, podjęcia i utrzymania zatrudnienia, a także na projekty pilotażowe lub programy wsparcia w sytuacji szczególnej. </w:t>
      </w:r>
    </w:p>
    <w:p w14:paraId="7CD2407F" w14:textId="77777777" w:rsidR="00681C4D" w:rsidRPr="00681C4D" w:rsidRDefault="00681C4D" w:rsidP="00681C4D">
      <w:pPr>
        <w:spacing w:after="0" w:line="300" w:lineRule="auto"/>
        <w:jc w:val="both"/>
        <w:rPr>
          <w:rFonts w:ascii="Arial" w:hAnsi="Arial" w:cs="Arial"/>
        </w:rPr>
      </w:pPr>
      <w:r w:rsidRPr="00681C4D">
        <w:rPr>
          <w:rFonts w:ascii="Arial" w:hAnsi="Arial" w:cs="Arial"/>
        </w:rPr>
        <w:t>Wnioski o środki z rezerwy dla powiatowych urzędów pracy składa marszałek województwa. Natomiast projekty pilotażowe lub programy wsparcia w sytuacji szczególnej realizowane są na podstawie umów.</w:t>
      </w:r>
    </w:p>
    <w:p w14:paraId="29013B9A"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Starosta, który otrzymał środki z rezerwy, na finansowanie programów, sporządza informację z wydatkowania przyznanych środków, liczby osób objętych wsparciem w terminie do dnia 1 marca kolejnego roku budżetowego, natomiast informacje o efektywności programów do dnia 31 lipca. Marszałek województwa przekazuje dysponentowi zbiorcze informacje o wydatkowaniu i liczbie osób objętych wsparciem do dnia 31 marca, a informacje o efektywności programów do dnia 31 sierpnia. </w:t>
      </w:r>
    </w:p>
    <w:p w14:paraId="2F585957"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Do dnia 31 października danego roku mogą być złożone wnioski o dokonanie zmniejszeń ustalonych kwot środków Funduszu Pracy. Wnioski o dokonanie zmniejszeń o kwoty niższe niż 5 tysięcy złotych dysponent Funduszu może pozostawić bez rozpoznania. Środki ze zmniejszeń zwiększają odpowiednie rezerwy Funduszu Pracy lub mogą być przeznaczone przez dysponenta Funduszu Pracy na realizację innych zadań określonych w ustawie. </w:t>
      </w:r>
    </w:p>
    <w:p w14:paraId="6B6822A3"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Ze środków rezerwy na finansowanie zadań fakultatywnych dysponent Funduszu Pracy może, z własnej inicjatywy lub na wniosek marszałka województwa, przyznać samorządowi powiatu lub samorządowi województwa dodatkową kwotę środków Funduszu Pracy na finansowanie zadań fakultatywnych, ponad kwotę określoną w zawiadomieniu na dany rok budżetowy. Podobnie, dysponent Funduszu Pracy może, z własnej inicjatywy lub na wniosek wojewody lub Komendanta </w:t>
      </w:r>
    </w:p>
    <w:p w14:paraId="1505C4B9" w14:textId="77777777" w:rsidR="00681C4D" w:rsidRPr="00681C4D" w:rsidRDefault="00681C4D" w:rsidP="00681C4D">
      <w:pPr>
        <w:spacing w:after="0" w:line="300" w:lineRule="auto"/>
        <w:jc w:val="both"/>
        <w:rPr>
          <w:rFonts w:ascii="Arial" w:hAnsi="Arial" w:cs="Arial"/>
        </w:rPr>
      </w:pPr>
      <w:r w:rsidRPr="00681C4D">
        <w:rPr>
          <w:rFonts w:ascii="Arial" w:hAnsi="Arial" w:cs="Arial"/>
        </w:rPr>
        <w:t>Głównego OHP, przyznać z rezerwy Funduszu Pracy na finansowanie zadań fakultatywnych dodatkową kwotę środków Funduszu Pracy na finansowanie zadań fakultatywnych.</w:t>
      </w:r>
    </w:p>
    <w:p w14:paraId="1958AA47"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W przypadku braku możliwości wykorzystania ustalonych kwot środków Funduszu Pracy przyznanych samorządowi powiatu lub jeżeli ich wykorzystanie byłoby nieefektywne, mogą </w:t>
      </w:r>
      <w:r w:rsidRPr="00681C4D">
        <w:rPr>
          <w:rFonts w:ascii="Arial" w:hAnsi="Arial" w:cs="Arial"/>
        </w:rPr>
        <w:lastRenderedPageBreak/>
        <w:t xml:space="preserve">one zostać zmniejszone przez dysponenta Funduszu Pracy na podstawie wniosku marszałka województwa złożonego do dnia 31 października roku budżetowego lub na wniosek marszałka województwa mogą one zostać przyznane innemu samorządowi powiatu. </w:t>
      </w:r>
    </w:p>
    <w:p w14:paraId="79891AB0"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W przypadku braku możliwości wykorzystania ustalonych kwot środków Funduszu Pracy lub jeżeli ich wykorzystanie byłoby nieefektywne, mogą one zostać zmniejszone przez dysponenta Funduszu Pracy na podstawie wniosku złożonego odpowiednio przez wojewodę, marszałka województwa lub Komendanta Głównego OHP do dnia 31 października roku budżetowego. </w:t>
      </w:r>
    </w:p>
    <w:p w14:paraId="1BD1DB49" w14:textId="77777777" w:rsidR="00681C4D" w:rsidRPr="00681C4D" w:rsidRDefault="00681C4D" w:rsidP="00681C4D">
      <w:pPr>
        <w:spacing w:after="0" w:line="300" w:lineRule="auto"/>
        <w:jc w:val="both"/>
        <w:rPr>
          <w:rFonts w:ascii="Arial" w:hAnsi="Arial" w:cs="Arial"/>
        </w:rPr>
      </w:pPr>
      <w:r w:rsidRPr="00681C4D">
        <w:rPr>
          <w:rFonts w:ascii="Arial" w:hAnsi="Arial" w:cs="Arial"/>
        </w:rPr>
        <w:t>Kwoty środków ze zmniejszeń zwiększają odpowiednią rezerwę Funduszu Pracy na finansowanie form pomocy lub rezerwę na finansowanie zadań fakultatywnych lub mogą być przeznaczone przez dysponenta Funduszu Pracy na zwiększenie ustalonych kwot środków na realizację zadań przez wojewodów, marszałków województw, samorządy powiatów lub Komendanta Głównego OHP, na podstawie wniosku odpowiednio wojewody, marszałka województwa lub Komendanta Głównego OHP, złożonego do dnia 31 października roku budżetowego.</w:t>
      </w:r>
    </w:p>
    <w:p w14:paraId="5CD6310C" w14:textId="77777777" w:rsidR="00681C4D" w:rsidRPr="00681C4D" w:rsidRDefault="00681C4D" w:rsidP="00681C4D">
      <w:pPr>
        <w:spacing w:after="0" w:line="300" w:lineRule="auto"/>
        <w:jc w:val="both"/>
        <w:rPr>
          <w:rFonts w:ascii="Arial" w:hAnsi="Arial" w:cs="Arial"/>
        </w:rPr>
      </w:pPr>
      <w:r w:rsidRPr="00681C4D">
        <w:rPr>
          <w:rFonts w:ascii="Arial" w:hAnsi="Arial" w:cs="Arial"/>
        </w:rPr>
        <w:t>Niedokonanie podziału środków KFS w województwie ustalonych w planie wydatkowania lub stwierdzenie, że podzielone środki nie będą mogły być wykorzystane w danym roku budżetowym zobowiązuje marszałka województwa do zawiadomienia o tym dysponenta Funduszu Pracy. Dysponent Funduszu Pracy, na podstawie wniosku marszałka województwa, może zwiększyć lub zmniejszyć samorządowi powiatu ustaloną kwotę środków na realizację zadań w ramach KFS.</w:t>
      </w:r>
    </w:p>
    <w:p w14:paraId="202475AC" w14:textId="77777777" w:rsidR="00681C4D" w:rsidRPr="00681C4D" w:rsidRDefault="00681C4D" w:rsidP="00681C4D">
      <w:pPr>
        <w:spacing w:after="0" w:line="300" w:lineRule="auto"/>
        <w:jc w:val="both"/>
        <w:rPr>
          <w:rFonts w:ascii="Arial" w:hAnsi="Arial" w:cs="Arial"/>
        </w:rPr>
      </w:pPr>
      <w:r w:rsidRPr="00681C4D">
        <w:rPr>
          <w:rFonts w:ascii="Arial" w:hAnsi="Arial" w:cs="Arial"/>
        </w:rPr>
        <w:t>Dysponent Funduszu Pracy, na podstawie wniosku samorządu powiatu złożonego za pośrednictwem marszałka województwa, może zwiększyć lub zmniejszyć samorządowi powiatu środki na realizację zadań z rezerwy KFS. Dysponent Funduszu Pracy może przeznaczyć środki wskazane jako niepodzielone lub podzielone i niewykorzystane, na realizację zadań w ramach rezerwy KFS. Niewykorzystana rezerwa KFS może być przeznaczona na realizację innych zadań określonych w ustawie. Projekt rozporządzenia reguluje przeznaczenie oraz terminy zwrotu niewykorzystanych w roku budżetowym środków Funduszu Pracy.</w:t>
      </w:r>
    </w:p>
    <w:p w14:paraId="31C318EF" w14:textId="77777777" w:rsidR="00681C4D" w:rsidRPr="00681C4D" w:rsidRDefault="00681C4D" w:rsidP="00681C4D">
      <w:pPr>
        <w:spacing w:after="0" w:line="300" w:lineRule="auto"/>
        <w:jc w:val="both"/>
        <w:rPr>
          <w:rFonts w:ascii="Arial" w:hAnsi="Arial" w:cs="Arial"/>
        </w:rPr>
      </w:pPr>
      <w:r w:rsidRPr="00681C4D">
        <w:rPr>
          <w:rFonts w:ascii="Arial" w:hAnsi="Arial" w:cs="Arial"/>
        </w:rPr>
        <w:t>Środki pozostające na wyodrębnionych rachunkach bankowych wojewodów, samorządów województw oraz OHP, pozostają na tych rachunkach do dnia 31 stycznia następnego roku budżetowego w kwotach nie wyższych niż wynikające z konieczności uregulowania zobowiązań poprzedniego roku budżetowego.</w:t>
      </w:r>
    </w:p>
    <w:p w14:paraId="24A04D50"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Środki Funduszu Pracy niewykorzystane w roku budżetowym, pozostające na wyodrębnionych rachunkach bankowych samorządów powiatów albo powiatowych urzędów pracy, pozostają na tych rachunkach z przeznaczeniem na wypłatę zasiłków dla bezrobotnych i innych obligatoryjnych świadczeń oraz zobowiązań poprzedniego roku budżetowego. </w:t>
      </w:r>
    </w:p>
    <w:p w14:paraId="34C2AA4A" w14:textId="77777777" w:rsidR="00681C4D" w:rsidRPr="00681C4D" w:rsidRDefault="00681C4D" w:rsidP="00681C4D">
      <w:pPr>
        <w:spacing w:after="0" w:line="300" w:lineRule="auto"/>
        <w:jc w:val="both"/>
        <w:rPr>
          <w:rFonts w:ascii="Arial" w:hAnsi="Arial" w:cs="Arial"/>
        </w:rPr>
      </w:pPr>
      <w:r w:rsidRPr="00681C4D">
        <w:rPr>
          <w:rFonts w:ascii="Arial" w:hAnsi="Arial" w:cs="Arial"/>
        </w:rPr>
        <w:t>Natomiast środki Funduszu Pracy przekazane na podstawie umów zawartych z dysponentem Funduszu Pracy, niewykorzystane w roku budżetowym, podlegają zwrotowi na rachunek bankowy Funduszu Pracy na zasadach określonych w tych umowach.</w:t>
      </w:r>
    </w:p>
    <w:p w14:paraId="2B0BA383" w14:textId="77777777" w:rsidR="00681C4D" w:rsidRPr="00681C4D" w:rsidRDefault="00681C4D" w:rsidP="00681C4D">
      <w:pPr>
        <w:spacing w:after="0" w:line="300" w:lineRule="auto"/>
        <w:jc w:val="both"/>
        <w:rPr>
          <w:rFonts w:ascii="Arial" w:hAnsi="Arial" w:cs="Arial"/>
        </w:rPr>
      </w:pPr>
      <w:r w:rsidRPr="00681C4D">
        <w:rPr>
          <w:rFonts w:ascii="Arial" w:hAnsi="Arial" w:cs="Arial"/>
        </w:rPr>
        <w:t>Kierownicy jednostek obsługujących wojewodów, samorządy województw, samorządy powiatów oraz OHP, realizując zadania finansowane ze środków Funduszu Pracy, są obowiązani, w ramach prowadzonych ksiąg rachunkowych jednostki, do:</w:t>
      </w:r>
    </w:p>
    <w:p w14:paraId="788CAF21" w14:textId="4B7F2E2B" w:rsidR="00681C4D" w:rsidRPr="002F28EF" w:rsidRDefault="00681C4D" w:rsidP="002F28EF">
      <w:pPr>
        <w:pStyle w:val="Akapitzlist"/>
        <w:numPr>
          <w:ilvl w:val="1"/>
          <w:numId w:val="24"/>
        </w:numPr>
        <w:spacing w:after="0" w:line="300" w:lineRule="auto"/>
        <w:ind w:left="567" w:hanging="283"/>
        <w:jc w:val="both"/>
        <w:rPr>
          <w:rFonts w:ascii="Arial" w:hAnsi="Arial" w:cs="Arial"/>
        </w:rPr>
      </w:pPr>
      <w:r w:rsidRPr="002F28EF">
        <w:rPr>
          <w:rFonts w:ascii="Arial" w:hAnsi="Arial" w:cs="Arial"/>
        </w:rPr>
        <w:t>prowadzenia wyodrębnionej ewidencji księgowej przychodów i kosztów oraz dochodów i wydatków Funduszu Pracy;</w:t>
      </w:r>
    </w:p>
    <w:p w14:paraId="48277D53" w14:textId="2773789A" w:rsidR="00681C4D" w:rsidRPr="002F28EF" w:rsidRDefault="00681C4D" w:rsidP="002F28EF">
      <w:pPr>
        <w:pStyle w:val="Akapitzlist"/>
        <w:numPr>
          <w:ilvl w:val="1"/>
          <w:numId w:val="24"/>
        </w:numPr>
        <w:spacing w:after="0" w:line="300" w:lineRule="auto"/>
        <w:ind w:left="567" w:hanging="283"/>
        <w:jc w:val="both"/>
        <w:rPr>
          <w:rFonts w:ascii="Arial" w:hAnsi="Arial" w:cs="Arial"/>
        </w:rPr>
      </w:pPr>
      <w:r w:rsidRPr="002F28EF">
        <w:rPr>
          <w:rFonts w:ascii="Arial" w:hAnsi="Arial" w:cs="Arial"/>
        </w:rPr>
        <w:lastRenderedPageBreak/>
        <w:t>udostępniania do kontroli dokumentów dotyczących przychodów i kosztów oraz dochodów i wydatków Funduszu Pracy przedstawicielom dysponenta Funduszu Pracy oraz innym upoważnionym organom i instytucjom;</w:t>
      </w:r>
    </w:p>
    <w:p w14:paraId="2DFFA834" w14:textId="4AE60988" w:rsidR="00681C4D" w:rsidRPr="002F28EF" w:rsidRDefault="00681C4D" w:rsidP="002F28EF">
      <w:pPr>
        <w:pStyle w:val="Akapitzlist"/>
        <w:numPr>
          <w:ilvl w:val="1"/>
          <w:numId w:val="24"/>
        </w:numPr>
        <w:spacing w:after="0" w:line="300" w:lineRule="auto"/>
        <w:ind w:left="567" w:hanging="283"/>
        <w:jc w:val="both"/>
        <w:rPr>
          <w:rFonts w:ascii="Arial" w:hAnsi="Arial" w:cs="Arial"/>
        </w:rPr>
      </w:pPr>
      <w:r w:rsidRPr="002F28EF">
        <w:rPr>
          <w:rFonts w:ascii="Arial" w:hAnsi="Arial" w:cs="Arial"/>
        </w:rPr>
        <w:t>przekazywania dysponentowi Funduszu Pracy informacji z wykonania zadań Funduszu Pracy umożliwiających sporządzenie przez dysponenta Funduszu Pracy sprawozdań budżetowych i finansowych zgodnie z obowiązującymi przepisami;</w:t>
      </w:r>
    </w:p>
    <w:p w14:paraId="43E49E91" w14:textId="1721BCA8" w:rsidR="00681C4D" w:rsidRPr="002F28EF" w:rsidRDefault="00681C4D" w:rsidP="002F28EF">
      <w:pPr>
        <w:pStyle w:val="Akapitzlist"/>
        <w:numPr>
          <w:ilvl w:val="1"/>
          <w:numId w:val="24"/>
        </w:numPr>
        <w:spacing w:after="0" w:line="300" w:lineRule="auto"/>
        <w:ind w:left="567" w:hanging="283"/>
        <w:jc w:val="both"/>
        <w:rPr>
          <w:rFonts w:ascii="Arial" w:hAnsi="Arial" w:cs="Arial"/>
        </w:rPr>
      </w:pPr>
      <w:r w:rsidRPr="002F28EF">
        <w:rPr>
          <w:rFonts w:ascii="Arial" w:hAnsi="Arial" w:cs="Arial"/>
        </w:rPr>
        <w:t>przekazywania dysponentowi Funduszu Pracy informacji o posiadanym stanie środków Funduszu Pracy, a także innych danych i informacji niezbędnych dla zapewnienia płynności finansowej Funduszu Pracy;</w:t>
      </w:r>
    </w:p>
    <w:p w14:paraId="34A40C0D" w14:textId="4CFF8E0A" w:rsidR="00681C4D" w:rsidRPr="002F28EF" w:rsidRDefault="00681C4D" w:rsidP="002F28EF">
      <w:pPr>
        <w:pStyle w:val="Akapitzlist"/>
        <w:numPr>
          <w:ilvl w:val="1"/>
          <w:numId w:val="24"/>
        </w:numPr>
        <w:spacing w:after="0" w:line="300" w:lineRule="auto"/>
        <w:ind w:left="567" w:hanging="283"/>
        <w:jc w:val="both"/>
        <w:rPr>
          <w:rFonts w:ascii="Arial" w:hAnsi="Arial" w:cs="Arial"/>
        </w:rPr>
      </w:pPr>
      <w:r w:rsidRPr="002F28EF">
        <w:rPr>
          <w:rFonts w:ascii="Arial" w:hAnsi="Arial" w:cs="Arial"/>
        </w:rPr>
        <w:t>przekazywania dysponentowi Funduszu Pracy, zgodnie z ustalonym przez dysponenta Funduszu Pracy terminem i zakresem danych, informacji o uzyskanych efektach realizowanych zadań finansowanych z Funduszu Pracy;</w:t>
      </w:r>
    </w:p>
    <w:p w14:paraId="146F0D5E" w14:textId="1A2C8A97" w:rsidR="00681C4D" w:rsidRPr="002F28EF" w:rsidRDefault="00681C4D" w:rsidP="002F28EF">
      <w:pPr>
        <w:pStyle w:val="Akapitzlist"/>
        <w:numPr>
          <w:ilvl w:val="1"/>
          <w:numId w:val="24"/>
        </w:numPr>
        <w:spacing w:after="0" w:line="300" w:lineRule="auto"/>
        <w:ind w:left="567" w:hanging="283"/>
        <w:jc w:val="both"/>
        <w:rPr>
          <w:rFonts w:ascii="Arial" w:hAnsi="Arial" w:cs="Arial"/>
        </w:rPr>
      </w:pPr>
      <w:r w:rsidRPr="002F28EF">
        <w:rPr>
          <w:rFonts w:ascii="Arial" w:hAnsi="Arial" w:cs="Arial"/>
        </w:rPr>
        <w:t xml:space="preserve">przekazywania dysponentowi Funduszu Pracy, zgodnie z ustalonym przez dysponenta Funduszu Pracy terminem rozliczenia wykorzystanych środków rezerwy. </w:t>
      </w:r>
    </w:p>
    <w:p w14:paraId="03607CEF" w14:textId="77777777" w:rsidR="00681C4D" w:rsidRPr="00681C4D" w:rsidRDefault="00681C4D" w:rsidP="00681C4D">
      <w:pPr>
        <w:spacing w:after="0" w:line="300" w:lineRule="auto"/>
        <w:jc w:val="both"/>
        <w:rPr>
          <w:rFonts w:ascii="Arial" w:hAnsi="Arial" w:cs="Arial"/>
        </w:rPr>
      </w:pPr>
      <w:r w:rsidRPr="00681C4D">
        <w:rPr>
          <w:rFonts w:ascii="Arial" w:hAnsi="Arial" w:cs="Arial"/>
        </w:rPr>
        <w:t xml:space="preserve">Projekt rozporządzenia reguluje obowiązki kierowników jednostek w zakresie sporządzania informacji z wykonania zadań Funduszu Pracy na podstawie ewidencji księgowej i jej przekazywania dysponentowi Funduszu Pracy. Pierwsza informacja za okres od początku roku budżetowego do 31 marca danego roku budżetowego, sporządzana jest w terminie do dnia 10 kwietnia danego roku budżetowego, od kwietnia do listopada danego roku budżetowego, informacje sporządzane są w terminie do 10. dnia miesiąca następującego po miesiącu sprawozdawczym w danym roku budżetowym, natomiast za okres do 31 grudnia danego roku budżetowego – w terminie do dnia 21 stycznia następnego roku budżetowego. Informacje obejmują aktualny plan kosztów i wydatków, zrealizowane przychody i koszty oraz dochody i wydatki, stan należności i zobowiązań oraz stan środków obrotowych na początek i koniec okresu sprawozdawczego. </w:t>
      </w:r>
    </w:p>
    <w:p w14:paraId="27A58FA1" w14:textId="77777777" w:rsidR="00681C4D" w:rsidRPr="00681C4D" w:rsidRDefault="00681C4D" w:rsidP="00681C4D">
      <w:pPr>
        <w:spacing w:after="0" w:line="300" w:lineRule="auto"/>
        <w:jc w:val="both"/>
        <w:rPr>
          <w:rFonts w:ascii="Arial" w:hAnsi="Arial" w:cs="Arial"/>
        </w:rPr>
      </w:pPr>
      <w:r w:rsidRPr="00681C4D">
        <w:rPr>
          <w:rFonts w:ascii="Arial" w:hAnsi="Arial" w:cs="Arial"/>
        </w:rPr>
        <w:t>Projekt rozporządzenia przewiduje unormowanie sposobu podziału ustalonych kwot środków Funduszu Pracy, w przypadku powstania nowego powiatowego urzędu pracy po 30 listopada poprzedniego roku budżetowego lub zmiany po tym dniu obszaru działania powiatowego urzędu pracy. Starostowie sprawujący zwierzchnictwo nad tymi urzędami pracy przedstawiają marszałkowi województwa, na jego wniosek, informacje o dokonanych uzgodnieniach dotyczących przejęcia zobowiązań z poprzednich okresów oraz o proponowanym podziale ustalonych kwot środków Funduszu Pracy na finansowanie zadań realizowanych przez powiatowe urzędy pracy. W przypadku niedokonania w terminie 30 dni od dnia otrzymania wniosku marszałka województwa uzgodnień, decyzję o ustalonych kwotach środków Funduszu Pracy na finansowanie zadań realizowanych przez powiatowe urzędy pracy podejmuje dysponent Funduszu Pracy na wniosek marszałka województwa.</w:t>
      </w:r>
    </w:p>
    <w:p w14:paraId="72CC8A2C" w14:textId="1583CCD0" w:rsidR="00FE3960" w:rsidRDefault="00681C4D" w:rsidP="00681C4D">
      <w:pPr>
        <w:spacing w:after="0" w:line="300" w:lineRule="auto"/>
        <w:jc w:val="both"/>
        <w:rPr>
          <w:rFonts w:ascii="Arial" w:hAnsi="Arial" w:cs="Arial"/>
        </w:rPr>
      </w:pPr>
      <w:r w:rsidRPr="00681C4D">
        <w:rPr>
          <w:rFonts w:ascii="Arial" w:hAnsi="Arial" w:cs="Arial"/>
        </w:rPr>
        <w:t>Projekt rozporządzenia przewiduje możliwość zlecenia bankom i innym instytucjom, po uzyskaniu pozytywnej opinii powiatowej rady rynku pracy, dokonania wypłat świadczeń pieniężnych dla bezrobotnych i innych uprawnionych osób finansowanych z Funduszu Pracy, jeśli koszty wypłaty nie przekroczą 0,8% wypłaconych kwot. Na umotywowany wniosek starosty dysponent Funduszu Pracy może wyrazić zgodę na sfinansowanie ze środków Funduszu Pracy kosztów wypłaty przez banki i inne instytucje świadczeń pieniężnych, jeżeli koszty ich wypłaty nie przekroczą 1% wypłaconych kwot.</w:t>
      </w:r>
    </w:p>
    <w:p w14:paraId="562FAFEE" w14:textId="77777777" w:rsidR="002F28EF" w:rsidRDefault="002F28EF" w:rsidP="00681C4D">
      <w:pPr>
        <w:spacing w:after="0" w:line="300" w:lineRule="auto"/>
        <w:jc w:val="both"/>
        <w:rPr>
          <w:rFonts w:ascii="Arial" w:hAnsi="Arial" w:cs="Arial"/>
        </w:rPr>
      </w:pPr>
    </w:p>
    <w:p w14:paraId="1F39E3D6" w14:textId="77777777" w:rsidR="002F28EF" w:rsidRPr="002F28EF" w:rsidRDefault="002F28EF" w:rsidP="002F28EF">
      <w:pPr>
        <w:spacing w:after="0" w:line="300" w:lineRule="auto"/>
        <w:jc w:val="both"/>
        <w:rPr>
          <w:rFonts w:ascii="Arial" w:hAnsi="Arial" w:cs="Arial"/>
        </w:rPr>
      </w:pPr>
      <w:r w:rsidRPr="002F28EF">
        <w:rPr>
          <w:rFonts w:ascii="Arial" w:hAnsi="Arial" w:cs="Arial"/>
        </w:rPr>
        <w:lastRenderedPageBreak/>
        <w:t>Przedmiotowy projekt aktu prawnego wraz z Uzasadnieniem oraz Oceną Skutków Regulacji dostępny jest na stronach Rządowego Centrum Legislacji pod adresem:</w:t>
      </w:r>
    </w:p>
    <w:p w14:paraId="1ED163B5" w14:textId="2A4B6895" w:rsidR="002F28EF" w:rsidRDefault="002F28EF" w:rsidP="002F28EF">
      <w:pPr>
        <w:spacing w:after="0" w:line="300" w:lineRule="auto"/>
        <w:jc w:val="both"/>
        <w:rPr>
          <w:rFonts w:ascii="Arial" w:hAnsi="Arial" w:cs="Arial"/>
        </w:rPr>
      </w:pPr>
      <w:hyperlink r:id="rId9" w:history="1">
        <w:r w:rsidRPr="00F727A2">
          <w:rPr>
            <w:rStyle w:val="Hipercze"/>
            <w:rFonts w:ascii="Arial" w:hAnsi="Arial" w:cs="Arial"/>
          </w:rPr>
          <w:t>https://legislacja.rcl.gov.pl/projekt/12402106/katalog/1315</w:t>
        </w:r>
        <w:r w:rsidRPr="00F727A2">
          <w:rPr>
            <w:rStyle w:val="Hipercze"/>
            <w:rFonts w:ascii="Arial" w:hAnsi="Arial" w:cs="Arial"/>
          </w:rPr>
          <w:t>6</w:t>
        </w:r>
        <w:r w:rsidRPr="00F727A2">
          <w:rPr>
            <w:rStyle w:val="Hipercze"/>
            <w:rFonts w:ascii="Arial" w:hAnsi="Arial" w:cs="Arial"/>
          </w:rPr>
          <w:t>187#13156187</w:t>
        </w:r>
      </w:hyperlink>
      <w:r>
        <w:rPr>
          <w:rFonts w:ascii="Arial" w:hAnsi="Arial" w:cs="Arial"/>
        </w:rPr>
        <w:t xml:space="preserve"> </w:t>
      </w:r>
    </w:p>
    <w:p w14:paraId="7A988F33" w14:textId="77777777" w:rsidR="002F28EF" w:rsidRDefault="002F28EF" w:rsidP="002F28EF">
      <w:pPr>
        <w:spacing w:after="0" w:line="300" w:lineRule="auto"/>
        <w:jc w:val="both"/>
        <w:rPr>
          <w:rFonts w:ascii="Arial" w:hAnsi="Arial" w:cs="Arial"/>
        </w:rPr>
      </w:pPr>
    </w:p>
    <w:p w14:paraId="17F6C044" w14:textId="541A0735" w:rsidR="002F28EF" w:rsidRDefault="002F28EF" w:rsidP="002F28EF">
      <w:pPr>
        <w:spacing w:after="0" w:line="300" w:lineRule="auto"/>
        <w:jc w:val="both"/>
        <w:rPr>
          <w:rFonts w:ascii="Arial" w:hAnsi="Arial" w:cs="Arial"/>
        </w:rPr>
      </w:pPr>
      <w:r w:rsidRPr="002F28EF">
        <w:rPr>
          <w:rFonts w:ascii="Arial" w:hAnsi="Arial" w:cs="Arial"/>
        </w:rPr>
        <w:t>Projekt jest obecnie jednocześnie na etapie uzgodnień, konsultacji publicznych i opiniowania.</w:t>
      </w:r>
    </w:p>
    <w:p w14:paraId="7128F89E" w14:textId="77777777" w:rsidR="00FE3960" w:rsidRPr="00FE3960" w:rsidRDefault="00FE3960" w:rsidP="00FE3960">
      <w:pPr>
        <w:spacing w:after="0" w:line="300" w:lineRule="auto"/>
        <w:jc w:val="both"/>
        <w:rPr>
          <w:rFonts w:ascii="Arial" w:hAnsi="Arial" w:cs="Arial"/>
        </w:rPr>
      </w:pPr>
    </w:p>
    <w:p w14:paraId="5283D54A" w14:textId="26BB3421" w:rsidR="00FE3960" w:rsidRPr="0070355A" w:rsidRDefault="0070355A" w:rsidP="00FE3960">
      <w:pPr>
        <w:pStyle w:val="Akapitzlist"/>
        <w:numPr>
          <w:ilvl w:val="0"/>
          <w:numId w:val="4"/>
        </w:numPr>
        <w:spacing w:after="0" w:line="300" w:lineRule="auto"/>
        <w:jc w:val="both"/>
        <w:rPr>
          <w:rFonts w:ascii="Arial" w:hAnsi="Arial" w:cs="Arial"/>
          <w:b/>
          <w:bCs/>
          <w:u w:val="single"/>
        </w:rPr>
      </w:pPr>
      <w:r w:rsidRPr="0070355A">
        <w:rPr>
          <w:rFonts w:ascii="Arial" w:hAnsi="Arial" w:cs="Arial"/>
          <w:b/>
          <w:bCs/>
          <w:u w:val="single"/>
        </w:rPr>
        <w:t>P</w:t>
      </w:r>
      <w:r w:rsidRPr="0070355A">
        <w:rPr>
          <w:rFonts w:ascii="Arial" w:hAnsi="Arial" w:cs="Arial"/>
          <w:b/>
          <w:bCs/>
          <w:u w:val="single"/>
        </w:rPr>
        <w:t>rojekt rozporządzenia Ministra Rodziny, Pracy i Polityki Społecznej w sprawie wysokości opłat w związku z wnioskiem o wydanie zezwolenia na pracę oraz w związku z oświadczeniem o powierzeniu pracy cudzoziemcowi (numer z wykazu 64).</w:t>
      </w:r>
    </w:p>
    <w:p w14:paraId="071FF0E0" w14:textId="77777777" w:rsidR="00FE3960" w:rsidRDefault="00FE3960" w:rsidP="00FE3960">
      <w:pPr>
        <w:spacing w:after="0" w:line="300" w:lineRule="auto"/>
        <w:jc w:val="both"/>
        <w:rPr>
          <w:rFonts w:ascii="Arial" w:hAnsi="Arial" w:cs="Arial"/>
        </w:rPr>
      </w:pPr>
    </w:p>
    <w:p w14:paraId="0A3BE635" w14:textId="77777777" w:rsidR="0070355A" w:rsidRPr="0070355A" w:rsidRDefault="0070355A" w:rsidP="0070355A">
      <w:pPr>
        <w:spacing w:after="0" w:line="300" w:lineRule="auto"/>
        <w:jc w:val="both"/>
        <w:rPr>
          <w:rFonts w:ascii="Arial" w:hAnsi="Arial" w:cs="Arial"/>
        </w:rPr>
      </w:pPr>
      <w:r w:rsidRPr="0070355A">
        <w:rPr>
          <w:rFonts w:ascii="Arial" w:hAnsi="Arial" w:cs="Arial"/>
        </w:rPr>
        <w:t>Art. 10 ust. 5 ustawy z dnia 20 marca 2025 r. o warunkach dopuszczalności powierzania pracy cudzoziemcom na terytorium Rzeczypospolitej Polskiej (Dz. U. poz. 621) przewiduje, że minister właściwy do spraw pracy określi, w drodze rozporządzenia, wysokość opłaty za każdy wniosek o wydanie zezwolenia na pracę. Art. 63 ust. 4 tej ustawy przewiduje, że minister właściwy do spraw pracy określi, w drodze rozporządzenia, wysokość opłaty, za którą składa się oświadczenie o powierzeniu pracy cudzoziemcowi.</w:t>
      </w:r>
    </w:p>
    <w:p w14:paraId="5B8E7BDB" w14:textId="1F54B818" w:rsidR="0070355A" w:rsidRPr="0070355A" w:rsidRDefault="0070355A" w:rsidP="0070355A">
      <w:pPr>
        <w:spacing w:after="0" w:line="300" w:lineRule="auto"/>
        <w:jc w:val="both"/>
        <w:rPr>
          <w:rFonts w:ascii="Arial" w:hAnsi="Arial" w:cs="Arial"/>
        </w:rPr>
      </w:pPr>
      <w:r w:rsidRPr="0070355A">
        <w:rPr>
          <w:rFonts w:ascii="Arial" w:hAnsi="Arial" w:cs="Arial"/>
        </w:rPr>
        <w:t>Z uwagi na spójność tematyczną obu przepisów upoważniających proponuje się wydanie na ich podstawie jednego rozporządzenia w sprawie wysokości opłat w związku z wnioskiem o wydanie zezwolenia na pracę oraz w związku z oświadczeniem o powierzeniu pracy cudzoziemcowi, opracowanego według przepisów obecnie obowiązującego rozporządzenia Ministra Rodziny, Pracy i Polityki Społecznej z dnia 8 grudnia 2017 r. w sprawie wysokości wpłat dokonywanych w związku ze złożeniem wniosku o wydanie zezwolenia na pracę lub zezwolenia na pracę sezonową oraz złożeniem oświadczenia o powierzeniu wykonywania pracy cudzoziemcowi (Dz. U. z 2023 r. poz. 1443).</w:t>
      </w:r>
    </w:p>
    <w:p w14:paraId="71238A67" w14:textId="043278E6" w:rsidR="00FE3960" w:rsidRDefault="0070355A" w:rsidP="0070355A">
      <w:pPr>
        <w:spacing w:after="0" w:line="300" w:lineRule="auto"/>
        <w:jc w:val="both"/>
        <w:rPr>
          <w:rFonts w:ascii="Arial" w:hAnsi="Arial" w:cs="Arial"/>
        </w:rPr>
      </w:pPr>
      <w:r w:rsidRPr="0070355A">
        <w:rPr>
          <w:rFonts w:ascii="Arial" w:hAnsi="Arial" w:cs="Arial"/>
        </w:rPr>
        <w:t>Nie jest możliwe rozwiązanie problemu przez działania pozalegislacyjne.</w:t>
      </w:r>
    </w:p>
    <w:p w14:paraId="30BFE058" w14:textId="77777777" w:rsidR="00FE3960" w:rsidRDefault="00FE3960" w:rsidP="00FE3960">
      <w:pPr>
        <w:spacing w:after="0" w:line="300" w:lineRule="auto"/>
        <w:jc w:val="both"/>
        <w:rPr>
          <w:rFonts w:ascii="Arial" w:hAnsi="Arial" w:cs="Arial"/>
        </w:rPr>
      </w:pPr>
    </w:p>
    <w:p w14:paraId="317A8740" w14:textId="77777777" w:rsidR="0070355A" w:rsidRPr="0070355A" w:rsidRDefault="0070355A" w:rsidP="0070355A">
      <w:pPr>
        <w:spacing w:after="0" w:line="300" w:lineRule="auto"/>
        <w:jc w:val="both"/>
        <w:rPr>
          <w:rFonts w:ascii="Arial" w:hAnsi="Arial" w:cs="Arial"/>
        </w:rPr>
      </w:pPr>
      <w:r w:rsidRPr="0070355A">
        <w:rPr>
          <w:rFonts w:ascii="Arial" w:hAnsi="Arial" w:cs="Arial"/>
        </w:rPr>
        <w:t>Przedmiotowy projekt aktu prawnego wraz z Uzasadnieniem oraz Oceną Skutków Regulacji dostępny jest na stronach Rządowego Centrum Legislacji pod adresem:</w:t>
      </w:r>
    </w:p>
    <w:p w14:paraId="4A2E321E" w14:textId="1B782766" w:rsidR="0070355A" w:rsidRDefault="0070355A" w:rsidP="0070355A">
      <w:pPr>
        <w:spacing w:after="0" w:line="300" w:lineRule="auto"/>
        <w:jc w:val="both"/>
        <w:rPr>
          <w:rFonts w:ascii="Arial" w:hAnsi="Arial" w:cs="Arial"/>
        </w:rPr>
      </w:pPr>
      <w:hyperlink r:id="rId10" w:history="1">
        <w:r w:rsidRPr="00F727A2">
          <w:rPr>
            <w:rStyle w:val="Hipercze"/>
            <w:rFonts w:ascii="Arial" w:hAnsi="Arial" w:cs="Arial"/>
          </w:rPr>
          <w:t>https://legislacja.rcl.gov.pl/projekt/12402107/katalog/1</w:t>
        </w:r>
        <w:r w:rsidRPr="00F727A2">
          <w:rPr>
            <w:rStyle w:val="Hipercze"/>
            <w:rFonts w:ascii="Arial" w:hAnsi="Arial" w:cs="Arial"/>
          </w:rPr>
          <w:t>3</w:t>
        </w:r>
        <w:r w:rsidRPr="00F727A2">
          <w:rPr>
            <w:rStyle w:val="Hipercze"/>
            <w:rFonts w:ascii="Arial" w:hAnsi="Arial" w:cs="Arial"/>
          </w:rPr>
          <w:t>156246#13156246</w:t>
        </w:r>
      </w:hyperlink>
      <w:r>
        <w:rPr>
          <w:rFonts w:ascii="Arial" w:hAnsi="Arial" w:cs="Arial"/>
        </w:rPr>
        <w:t xml:space="preserve"> </w:t>
      </w:r>
    </w:p>
    <w:p w14:paraId="5656D477" w14:textId="77777777" w:rsidR="0070355A" w:rsidRDefault="0070355A" w:rsidP="0070355A">
      <w:pPr>
        <w:spacing w:after="0" w:line="300" w:lineRule="auto"/>
        <w:jc w:val="both"/>
        <w:rPr>
          <w:rFonts w:ascii="Arial" w:hAnsi="Arial" w:cs="Arial"/>
        </w:rPr>
      </w:pPr>
    </w:p>
    <w:p w14:paraId="152A1C57" w14:textId="7F6A3B81" w:rsidR="0070355A" w:rsidRDefault="0070355A" w:rsidP="0070355A">
      <w:pPr>
        <w:spacing w:after="0" w:line="300" w:lineRule="auto"/>
        <w:jc w:val="both"/>
        <w:rPr>
          <w:rFonts w:ascii="Arial" w:hAnsi="Arial" w:cs="Arial"/>
        </w:rPr>
      </w:pPr>
      <w:r w:rsidRPr="0070355A">
        <w:rPr>
          <w:rFonts w:ascii="Arial" w:hAnsi="Arial" w:cs="Arial"/>
        </w:rPr>
        <w:t>Projekt jest obecnie jednocześnie na etapie uzgodnień, konsultacji publicznych i opiniowania.</w:t>
      </w:r>
    </w:p>
    <w:p w14:paraId="2C44EC5B" w14:textId="77777777" w:rsidR="0070355A" w:rsidRPr="00FE3960" w:rsidRDefault="0070355A" w:rsidP="00FE3960">
      <w:pPr>
        <w:spacing w:after="0" w:line="300" w:lineRule="auto"/>
        <w:jc w:val="both"/>
        <w:rPr>
          <w:rFonts w:ascii="Arial" w:hAnsi="Arial" w:cs="Arial"/>
        </w:rPr>
      </w:pPr>
    </w:p>
    <w:p w14:paraId="082A044C" w14:textId="1BC8C025" w:rsidR="00FE3960" w:rsidRPr="008F6FED" w:rsidRDefault="008F6FED" w:rsidP="00FE3960">
      <w:pPr>
        <w:pStyle w:val="Akapitzlist"/>
        <w:numPr>
          <w:ilvl w:val="0"/>
          <w:numId w:val="4"/>
        </w:numPr>
        <w:spacing w:after="0" w:line="300" w:lineRule="auto"/>
        <w:jc w:val="both"/>
        <w:rPr>
          <w:rFonts w:ascii="Arial" w:hAnsi="Arial" w:cs="Arial"/>
          <w:b/>
          <w:bCs/>
          <w:u w:val="single"/>
        </w:rPr>
      </w:pPr>
      <w:r w:rsidRPr="008F6FED">
        <w:rPr>
          <w:rFonts w:ascii="Arial" w:hAnsi="Arial" w:cs="Arial"/>
          <w:b/>
          <w:bCs/>
          <w:u w:val="single"/>
        </w:rPr>
        <w:t>P</w:t>
      </w:r>
      <w:r w:rsidRPr="008F6FED">
        <w:rPr>
          <w:rFonts w:ascii="Arial" w:hAnsi="Arial" w:cs="Arial"/>
          <w:b/>
          <w:bCs/>
          <w:u w:val="single"/>
        </w:rPr>
        <w:t>rojekt rozporządzenia Ministra Edukacji w sprawie rozliczania dotacji celowej na dofinansowanie funkcjonowania branżowych centrów umiejętności (numer z wykazu 88).</w:t>
      </w:r>
    </w:p>
    <w:p w14:paraId="60B5F398" w14:textId="77777777" w:rsidR="00FE3960" w:rsidRDefault="00FE3960" w:rsidP="00FE3960">
      <w:pPr>
        <w:spacing w:after="0" w:line="300" w:lineRule="auto"/>
        <w:jc w:val="both"/>
        <w:rPr>
          <w:rFonts w:ascii="Arial" w:hAnsi="Arial" w:cs="Arial"/>
        </w:rPr>
      </w:pPr>
    </w:p>
    <w:p w14:paraId="28E1C533" w14:textId="77777777" w:rsidR="008F6FED" w:rsidRPr="008F6FED" w:rsidRDefault="008F6FED" w:rsidP="008F6FED">
      <w:pPr>
        <w:spacing w:after="0" w:line="300" w:lineRule="auto"/>
        <w:jc w:val="both"/>
        <w:rPr>
          <w:rFonts w:ascii="Arial" w:hAnsi="Arial" w:cs="Arial"/>
        </w:rPr>
      </w:pPr>
      <w:r w:rsidRPr="008F6FED">
        <w:rPr>
          <w:rFonts w:ascii="Arial" w:hAnsi="Arial" w:cs="Arial"/>
        </w:rPr>
        <w:t xml:space="preserve">Branżowe centra umiejętności (BCU) utworzone w ramach konkursu „Utworzenie i wsparcie funkcjonowania 120 branżowych centrów umiejętności (BCU), realizujących koncepcję centrów doskonałości zawodowej (CoVEs)” są finansowane ze środków tego konkursu: </w:t>
      </w:r>
    </w:p>
    <w:p w14:paraId="785701A7" w14:textId="1B0150BE" w:rsidR="008F6FED" w:rsidRPr="008F6FED" w:rsidRDefault="008F6FED" w:rsidP="008F6FED">
      <w:pPr>
        <w:pStyle w:val="Akapitzlist"/>
        <w:numPr>
          <w:ilvl w:val="1"/>
          <w:numId w:val="26"/>
        </w:numPr>
        <w:spacing w:after="0" w:line="300" w:lineRule="auto"/>
        <w:ind w:left="567" w:hanging="283"/>
        <w:jc w:val="both"/>
        <w:rPr>
          <w:rFonts w:ascii="Arial" w:hAnsi="Arial" w:cs="Arial"/>
        </w:rPr>
      </w:pPr>
      <w:r w:rsidRPr="008F6FED">
        <w:rPr>
          <w:rFonts w:ascii="Arial" w:hAnsi="Arial" w:cs="Arial"/>
        </w:rPr>
        <w:t xml:space="preserve">BCU założone przed 1 stycznia 2024 r. – nie dłużej niż do 30 września 2025 r., </w:t>
      </w:r>
    </w:p>
    <w:p w14:paraId="3CE7527D" w14:textId="0C1DEED8" w:rsidR="008F6FED" w:rsidRPr="008F6FED" w:rsidRDefault="008F6FED" w:rsidP="008F6FED">
      <w:pPr>
        <w:pStyle w:val="Akapitzlist"/>
        <w:numPr>
          <w:ilvl w:val="1"/>
          <w:numId w:val="26"/>
        </w:numPr>
        <w:spacing w:after="0" w:line="300" w:lineRule="auto"/>
        <w:ind w:left="567" w:hanging="283"/>
        <w:jc w:val="both"/>
        <w:rPr>
          <w:rFonts w:ascii="Arial" w:hAnsi="Arial" w:cs="Arial"/>
        </w:rPr>
      </w:pPr>
      <w:r w:rsidRPr="008F6FED">
        <w:rPr>
          <w:rFonts w:ascii="Arial" w:hAnsi="Arial" w:cs="Arial"/>
        </w:rPr>
        <w:t xml:space="preserve">BCU założone w okresie od 1 stycznia 2024 r. do 31 grudnia 2024 r. – nie dłużej niż do 30 czerwca 2026  r. </w:t>
      </w:r>
    </w:p>
    <w:p w14:paraId="115451C4" w14:textId="77777777" w:rsidR="008F6FED" w:rsidRPr="008F6FED" w:rsidRDefault="008F6FED" w:rsidP="008F6FED">
      <w:pPr>
        <w:spacing w:after="0" w:line="300" w:lineRule="auto"/>
        <w:jc w:val="both"/>
        <w:rPr>
          <w:rFonts w:ascii="Arial" w:hAnsi="Arial" w:cs="Arial"/>
        </w:rPr>
      </w:pPr>
      <w:r w:rsidRPr="008F6FED">
        <w:rPr>
          <w:rFonts w:ascii="Arial" w:hAnsi="Arial" w:cs="Arial"/>
        </w:rPr>
        <w:lastRenderedPageBreak/>
        <w:t xml:space="preserve">Po zakończeniu realizacji projektu (od 2027 r.), funkcjonowanie BCU utworzonych w ramach konkursu i ujętych w obwieszczeniu ministra właściwego do spraw oświaty i wychowania określającym ogólnopolską sieć branżowych centrów umiejętności będzie finansowane w ramach łącznej kwoty potrzeb oświatowych (publiczne BCU) i dotacji (niepubliczne BCU).  </w:t>
      </w:r>
    </w:p>
    <w:p w14:paraId="6AD18333" w14:textId="77777777" w:rsidR="008F6FED" w:rsidRPr="008F6FED" w:rsidRDefault="008F6FED" w:rsidP="008F6FED">
      <w:pPr>
        <w:spacing w:after="0" w:line="300" w:lineRule="auto"/>
        <w:jc w:val="both"/>
        <w:rPr>
          <w:rFonts w:ascii="Arial" w:hAnsi="Arial" w:cs="Arial"/>
        </w:rPr>
      </w:pPr>
      <w:r w:rsidRPr="008F6FED">
        <w:rPr>
          <w:rFonts w:ascii="Arial" w:hAnsi="Arial" w:cs="Arial"/>
        </w:rPr>
        <w:t xml:space="preserve">W okresie przejściowym, tj.: </w:t>
      </w:r>
    </w:p>
    <w:p w14:paraId="02A321CF" w14:textId="139F1CB2" w:rsidR="008F6FED" w:rsidRPr="008F6FED" w:rsidRDefault="008F6FED" w:rsidP="008F6FED">
      <w:pPr>
        <w:pStyle w:val="Akapitzlist"/>
        <w:numPr>
          <w:ilvl w:val="1"/>
          <w:numId w:val="28"/>
        </w:numPr>
        <w:spacing w:after="0" w:line="300" w:lineRule="auto"/>
        <w:ind w:left="567" w:hanging="283"/>
        <w:jc w:val="both"/>
        <w:rPr>
          <w:rFonts w:ascii="Arial" w:hAnsi="Arial" w:cs="Arial"/>
        </w:rPr>
      </w:pPr>
      <w:r w:rsidRPr="008F6FED">
        <w:rPr>
          <w:rFonts w:ascii="Arial" w:hAnsi="Arial" w:cs="Arial"/>
        </w:rPr>
        <w:t xml:space="preserve">od 1 października 2025 r. do 31 grudnia 2026 r. – w przypadku BCU założonych przed 1 stycznia 2024 r. oraz </w:t>
      </w:r>
    </w:p>
    <w:p w14:paraId="4754B36D" w14:textId="671EAF30" w:rsidR="008F6FED" w:rsidRPr="008F6FED" w:rsidRDefault="008F6FED" w:rsidP="008F6FED">
      <w:pPr>
        <w:pStyle w:val="Akapitzlist"/>
        <w:numPr>
          <w:ilvl w:val="1"/>
          <w:numId w:val="28"/>
        </w:numPr>
        <w:spacing w:after="0" w:line="300" w:lineRule="auto"/>
        <w:ind w:left="567" w:hanging="283"/>
        <w:jc w:val="both"/>
        <w:rPr>
          <w:rFonts w:ascii="Arial" w:hAnsi="Arial" w:cs="Arial"/>
        </w:rPr>
      </w:pPr>
      <w:r w:rsidRPr="008F6FED">
        <w:rPr>
          <w:rFonts w:ascii="Arial" w:hAnsi="Arial" w:cs="Arial"/>
        </w:rPr>
        <w:t xml:space="preserve">od 1 lipca 2026 r. do 31 grudnia 2026 r. – w przypadku BCU założonych w okresie od 1 stycznia 2024 r. do 31 grudnia 2024 r., </w:t>
      </w:r>
    </w:p>
    <w:p w14:paraId="17744368" w14:textId="77777777" w:rsidR="008F6FED" w:rsidRPr="008F6FED" w:rsidRDefault="008F6FED" w:rsidP="008F6FED">
      <w:pPr>
        <w:spacing w:after="0" w:line="300" w:lineRule="auto"/>
        <w:jc w:val="both"/>
        <w:rPr>
          <w:rFonts w:ascii="Arial" w:hAnsi="Arial" w:cs="Arial"/>
        </w:rPr>
      </w:pPr>
      <w:r w:rsidRPr="008F6FED">
        <w:rPr>
          <w:rFonts w:ascii="Arial" w:hAnsi="Arial" w:cs="Arial"/>
        </w:rPr>
        <w:t>funkcjonowanie publicznych i niepublicznych BCU, ujętych w obwieszczeniu ministra właściwego do spraw oświaty i wychowania określającym ogólnopolską sieć branżowych centrów umiejętności, będzie finansowane z rezerwy celowej budżetu państwa poz. 26 w ramach dotacji celowej udzielanej jednostkom samorządu terytorialnego (będącym organem prowadzącym BCU albo rejestrującym niepubliczne BCU lub publiczne BCU prowadzone przez osobę prawną niebędącą jednostką samorządu terytorialnego lub osobę fizyczną). Dotacji udzielają wojewodowie i podlega ona rozliczeniu.</w:t>
      </w:r>
    </w:p>
    <w:p w14:paraId="624A98FD" w14:textId="77777777" w:rsidR="008F6FED" w:rsidRPr="008F6FED" w:rsidRDefault="008F6FED" w:rsidP="008F6FED">
      <w:pPr>
        <w:spacing w:after="0" w:line="300" w:lineRule="auto"/>
        <w:jc w:val="both"/>
        <w:rPr>
          <w:rFonts w:ascii="Arial" w:hAnsi="Arial" w:cs="Arial"/>
        </w:rPr>
      </w:pPr>
      <w:r w:rsidRPr="008F6FED">
        <w:rPr>
          <w:rFonts w:ascii="Arial" w:hAnsi="Arial" w:cs="Arial"/>
        </w:rPr>
        <w:t xml:space="preserve">Projektowany przepis wprowadza obowiązek składania przez jednostkę samorządu terytorialnego do wojewody, który udzielił dotacji, rocznego rozliczenia dotacji celowej na dofinansowanie funkcjonowania BCU. Rozliczenie powinno być składane do końca lutego roku następującego po roku, w którym dotacja została udzielona. Rozliczenie jest składane  w formie papierowej lub elektronicznej opatrzonej kwalifikowanym podpisem elektronicznym.  </w:t>
      </w:r>
    </w:p>
    <w:p w14:paraId="62DC0231" w14:textId="77777777" w:rsidR="008F6FED" w:rsidRPr="008F6FED" w:rsidRDefault="008F6FED" w:rsidP="008F6FED">
      <w:pPr>
        <w:spacing w:after="0" w:line="300" w:lineRule="auto"/>
        <w:jc w:val="both"/>
        <w:rPr>
          <w:rFonts w:ascii="Arial" w:hAnsi="Arial" w:cs="Arial"/>
        </w:rPr>
      </w:pPr>
      <w:r w:rsidRPr="008F6FED">
        <w:rPr>
          <w:rFonts w:ascii="Arial" w:hAnsi="Arial" w:cs="Arial"/>
        </w:rPr>
        <w:t xml:space="preserve">Przychody od środków z dotacji ulokowanych na rachunku bankowym przez BCU (odsetki) powiększają kwotę dotacji i muszą być wykorzystane na cele zgodne z celami dotacji lub – w przypadku ich niewykorzystania – zwrócone na rachunek bankowy jednostki samorządu terytorialnego, która przekazała dotację. </w:t>
      </w:r>
    </w:p>
    <w:p w14:paraId="2D4CFB4D" w14:textId="77777777" w:rsidR="008F6FED" w:rsidRPr="008F6FED" w:rsidRDefault="008F6FED" w:rsidP="008F6FED">
      <w:pPr>
        <w:spacing w:after="0" w:line="300" w:lineRule="auto"/>
        <w:jc w:val="both"/>
        <w:rPr>
          <w:rFonts w:ascii="Arial" w:hAnsi="Arial" w:cs="Arial"/>
        </w:rPr>
      </w:pPr>
      <w:r w:rsidRPr="008F6FED">
        <w:rPr>
          <w:rFonts w:ascii="Arial" w:hAnsi="Arial" w:cs="Arial"/>
        </w:rPr>
        <w:t>Zwrotowi podlega dotacja niewykorzystana w danym roku budżetowym wraz z niewykorzystanymi odsetkami od środków dotacji.</w:t>
      </w:r>
    </w:p>
    <w:p w14:paraId="5ED31246" w14:textId="7D518938" w:rsidR="00FE3960" w:rsidRDefault="008F6FED" w:rsidP="008F6FED">
      <w:pPr>
        <w:spacing w:after="0" w:line="300" w:lineRule="auto"/>
        <w:jc w:val="both"/>
        <w:rPr>
          <w:rFonts w:ascii="Arial" w:hAnsi="Arial" w:cs="Arial"/>
        </w:rPr>
      </w:pPr>
      <w:r w:rsidRPr="008F6FED">
        <w:rPr>
          <w:rFonts w:ascii="Arial" w:hAnsi="Arial" w:cs="Arial"/>
        </w:rPr>
        <w:t>Projekt rozporządzenia określa również wzór formularza rocznego rozliczenia dotacji celowej na dofinansowanie funkcjonowania BCU.</w:t>
      </w:r>
    </w:p>
    <w:p w14:paraId="217BAEDA" w14:textId="77777777" w:rsidR="00FE3960" w:rsidRDefault="00FE3960" w:rsidP="00FE3960">
      <w:pPr>
        <w:spacing w:after="0" w:line="300" w:lineRule="auto"/>
        <w:jc w:val="both"/>
        <w:rPr>
          <w:rFonts w:ascii="Arial" w:hAnsi="Arial" w:cs="Arial"/>
        </w:rPr>
      </w:pPr>
    </w:p>
    <w:p w14:paraId="60623354" w14:textId="77777777" w:rsidR="001262EA" w:rsidRPr="001262EA" w:rsidRDefault="001262EA" w:rsidP="001262EA">
      <w:pPr>
        <w:spacing w:after="0" w:line="300" w:lineRule="auto"/>
        <w:jc w:val="both"/>
        <w:rPr>
          <w:rFonts w:ascii="Arial" w:hAnsi="Arial" w:cs="Arial"/>
        </w:rPr>
      </w:pPr>
      <w:r w:rsidRPr="001262EA">
        <w:rPr>
          <w:rFonts w:ascii="Arial" w:hAnsi="Arial" w:cs="Arial"/>
        </w:rPr>
        <w:t>Przedmiotowy projekt aktu prawnego wraz z Uzasadnieniem oraz Oceną Skutków Regulacji dostępny jest na stronach Rządowego Centrum Legislacji pod adresem:</w:t>
      </w:r>
    </w:p>
    <w:p w14:paraId="087F0AB0" w14:textId="0BCC91FF" w:rsidR="001262EA" w:rsidRDefault="001262EA" w:rsidP="001262EA">
      <w:pPr>
        <w:spacing w:after="0" w:line="300" w:lineRule="auto"/>
        <w:jc w:val="both"/>
        <w:rPr>
          <w:rFonts w:ascii="Arial" w:hAnsi="Arial" w:cs="Arial"/>
        </w:rPr>
      </w:pPr>
      <w:hyperlink r:id="rId11" w:history="1">
        <w:r w:rsidRPr="00F727A2">
          <w:rPr>
            <w:rStyle w:val="Hipercze"/>
            <w:rFonts w:ascii="Arial" w:hAnsi="Arial" w:cs="Arial"/>
          </w:rPr>
          <w:t>https://legislacja.rcl.gov.pl/p</w:t>
        </w:r>
        <w:r w:rsidRPr="00F727A2">
          <w:rPr>
            <w:rStyle w:val="Hipercze"/>
            <w:rFonts w:ascii="Arial" w:hAnsi="Arial" w:cs="Arial"/>
          </w:rPr>
          <w:t>r</w:t>
        </w:r>
        <w:r w:rsidRPr="00F727A2">
          <w:rPr>
            <w:rStyle w:val="Hipercze"/>
            <w:rFonts w:ascii="Arial" w:hAnsi="Arial" w:cs="Arial"/>
          </w:rPr>
          <w:t>ojekt/12402151/katalog/13156357#13156357</w:t>
        </w:r>
      </w:hyperlink>
      <w:r>
        <w:rPr>
          <w:rFonts w:ascii="Arial" w:hAnsi="Arial" w:cs="Arial"/>
        </w:rPr>
        <w:t xml:space="preserve"> </w:t>
      </w:r>
    </w:p>
    <w:p w14:paraId="326987DC" w14:textId="77777777" w:rsidR="001262EA" w:rsidRDefault="001262EA" w:rsidP="00FE3960">
      <w:pPr>
        <w:spacing w:after="0" w:line="300" w:lineRule="auto"/>
        <w:jc w:val="both"/>
        <w:rPr>
          <w:rFonts w:ascii="Arial" w:hAnsi="Arial" w:cs="Arial"/>
        </w:rPr>
      </w:pPr>
    </w:p>
    <w:p w14:paraId="207A96AD" w14:textId="57BA5F82" w:rsidR="001262EA" w:rsidRDefault="001262EA" w:rsidP="00FE3960">
      <w:pPr>
        <w:spacing w:after="0" w:line="300" w:lineRule="auto"/>
        <w:jc w:val="both"/>
        <w:rPr>
          <w:rFonts w:ascii="Arial" w:hAnsi="Arial" w:cs="Arial"/>
        </w:rPr>
      </w:pPr>
      <w:r w:rsidRPr="001262EA">
        <w:rPr>
          <w:rFonts w:ascii="Arial" w:hAnsi="Arial" w:cs="Arial"/>
        </w:rPr>
        <w:t>Projekt jest obecnie jednocześnie na etapie uzgodnień, konsultacji publicznych i opiniowania.</w:t>
      </w:r>
    </w:p>
    <w:p w14:paraId="20256926" w14:textId="77777777" w:rsidR="001262EA" w:rsidRPr="00FE3960" w:rsidRDefault="001262EA" w:rsidP="00FE3960">
      <w:pPr>
        <w:spacing w:after="0" w:line="300" w:lineRule="auto"/>
        <w:jc w:val="both"/>
        <w:rPr>
          <w:rFonts w:ascii="Arial" w:hAnsi="Arial" w:cs="Arial"/>
        </w:rPr>
      </w:pPr>
    </w:p>
    <w:p w14:paraId="26276FA7" w14:textId="64BC746E" w:rsidR="00FE3960" w:rsidRPr="001262EA" w:rsidRDefault="001262EA" w:rsidP="00FE3960">
      <w:pPr>
        <w:pStyle w:val="Akapitzlist"/>
        <w:numPr>
          <w:ilvl w:val="0"/>
          <w:numId w:val="4"/>
        </w:numPr>
        <w:spacing w:after="0" w:line="300" w:lineRule="auto"/>
        <w:jc w:val="both"/>
        <w:rPr>
          <w:rFonts w:ascii="Arial" w:hAnsi="Arial" w:cs="Arial"/>
          <w:b/>
          <w:bCs/>
          <w:u w:val="single"/>
        </w:rPr>
      </w:pPr>
      <w:r w:rsidRPr="001262EA">
        <w:rPr>
          <w:rFonts w:ascii="Arial" w:hAnsi="Arial" w:cs="Arial"/>
          <w:b/>
          <w:bCs/>
          <w:u w:val="single"/>
        </w:rPr>
        <w:t>P</w:t>
      </w:r>
      <w:r w:rsidRPr="001262EA">
        <w:rPr>
          <w:rFonts w:ascii="Arial" w:hAnsi="Arial" w:cs="Arial"/>
          <w:b/>
          <w:bCs/>
          <w:u w:val="single"/>
        </w:rPr>
        <w:t>rojekt rozporządzenia Ministra Klimatu i Środowiska w sprawie sposobu obliczania współczynnika intensywności zużycia energii elektrycznej oraz wartości pomocy publicznej uzyskanej przez odbiorcę przemysłowego (numer z wykazu 1276).</w:t>
      </w:r>
    </w:p>
    <w:p w14:paraId="2201FDD7" w14:textId="77777777" w:rsidR="00FE3960" w:rsidRDefault="00FE3960" w:rsidP="00FE3960">
      <w:pPr>
        <w:spacing w:after="0" w:line="300" w:lineRule="auto"/>
        <w:jc w:val="both"/>
        <w:rPr>
          <w:rFonts w:ascii="Arial" w:hAnsi="Arial" w:cs="Arial"/>
        </w:rPr>
      </w:pPr>
    </w:p>
    <w:p w14:paraId="78611553" w14:textId="77777777" w:rsidR="001262EA" w:rsidRPr="001262EA" w:rsidRDefault="001262EA" w:rsidP="001262EA">
      <w:pPr>
        <w:spacing w:after="0" w:line="300" w:lineRule="auto"/>
        <w:jc w:val="both"/>
        <w:rPr>
          <w:rFonts w:ascii="Arial" w:hAnsi="Arial" w:cs="Arial"/>
        </w:rPr>
      </w:pPr>
      <w:r w:rsidRPr="001262EA">
        <w:rPr>
          <w:rFonts w:ascii="Arial" w:hAnsi="Arial" w:cs="Arial"/>
        </w:rPr>
        <w:t xml:space="preserve">Projekt rozporządzenia stanowi akt wykonawczy do ustawy z dnia 20 lutego 2015 r. o odnawialnych źródłach energii (Dz. U. z 2024 r. poz. 1361, z późn. zm.), zwanej dalej „uOZE”, i reguluje sposób obliczania współczynnika intensywności zużycia energii elektrycznej na </w:t>
      </w:r>
      <w:r w:rsidRPr="001262EA">
        <w:rPr>
          <w:rFonts w:ascii="Arial" w:hAnsi="Arial" w:cs="Arial"/>
        </w:rPr>
        <w:lastRenderedPageBreak/>
        <w:t>potrzeby kwalifikacji odbiorcy jako odbiorcy przemysłowego jak również wartości pomocy publicznej uzyskanej w wyniku skorzystania z uprawnień, o których mowa w art. 53 ust. 1, w art. 96 ust. 2 uOZE oraz w art. 62 ust. 2 ustawy z dnia 14 grudnia 2018 r. o promowaniu energii elektrycznej z wysokosprawnej kogeneracji (Dz.U. z 2025 r. poz. 602), zwanej dalej „uCHP”, biorąc pod uwagę potrzebę ustalenia nienależnie wypłaconej pomocy publicznej.</w:t>
      </w:r>
    </w:p>
    <w:p w14:paraId="3F7C0777" w14:textId="77777777" w:rsidR="001262EA" w:rsidRPr="001262EA" w:rsidRDefault="001262EA" w:rsidP="001262EA">
      <w:pPr>
        <w:spacing w:after="0" w:line="300" w:lineRule="auto"/>
        <w:jc w:val="both"/>
        <w:rPr>
          <w:rFonts w:ascii="Arial" w:hAnsi="Arial" w:cs="Arial"/>
        </w:rPr>
      </w:pPr>
      <w:r w:rsidRPr="001262EA">
        <w:rPr>
          <w:rFonts w:ascii="Arial" w:hAnsi="Arial" w:cs="Arial"/>
        </w:rPr>
        <w:t xml:space="preserve">Z uwagi na komunikat Komisji – Wytyczne w sprawie pomocy państwa na ochronę klimatu i środowiska oraz cele związane z energią z 2022 r. (Dz.U. C 80 z 18.2.2022, str. 1–89), zwany dalej „Wytyczne CEEAG” lub „CEEAG”, niezbędne było wprowadzenie zmian w warunkach, jakie muszą spełnić odbiorcy przemysłowi, by skorzystać z uprawnień przewidzianych w uOZE oraz w ustawie o promowaniu energii elektrycznej z wysokosprawnej kogeneracji (Dz. U. z 2025 r. poz. 602). Zmiany te zostały wprowadzone ustawą z dnia 27 listopada 2024 r. o zmianie ustawy o odnawialnych źródłach energii oraz niektórych innych ustaw (Dz. U. poz. 1847), zwaną dalej „ustawą nowelizującą”. </w:t>
      </w:r>
    </w:p>
    <w:p w14:paraId="143732E1" w14:textId="77777777" w:rsidR="001262EA" w:rsidRPr="001262EA" w:rsidRDefault="001262EA" w:rsidP="001262EA">
      <w:pPr>
        <w:spacing w:after="0" w:line="300" w:lineRule="auto"/>
        <w:jc w:val="both"/>
        <w:rPr>
          <w:rFonts w:ascii="Arial" w:hAnsi="Arial" w:cs="Arial"/>
        </w:rPr>
      </w:pPr>
      <w:r w:rsidRPr="001262EA">
        <w:rPr>
          <w:rFonts w:ascii="Arial" w:hAnsi="Arial" w:cs="Arial"/>
        </w:rPr>
        <w:t xml:space="preserve">Ustawa nowelizująca wprowadziła szereg zmian w zakresie uprawnień odbiorców przemysłowych, przede wszystkim wprowadzając kryteria warunkowości, czyli możliwości skorzystania z uprawnień pod warunkiem, że dany odbiorca spełni co najmniej jeden z poniższych warunków:  </w:t>
      </w:r>
    </w:p>
    <w:p w14:paraId="24A7A2A1" w14:textId="015761F4" w:rsidR="001262EA" w:rsidRPr="001262EA" w:rsidRDefault="001262EA" w:rsidP="001262EA">
      <w:pPr>
        <w:pStyle w:val="Akapitzlist"/>
        <w:numPr>
          <w:ilvl w:val="1"/>
          <w:numId w:val="30"/>
        </w:numPr>
        <w:spacing w:after="0" w:line="300" w:lineRule="auto"/>
        <w:ind w:left="567" w:hanging="283"/>
        <w:jc w:val="both"/>
        <w:rPr>
          <w:rFonts w:ascii="Arial" w:hAnsi="Arial" w:cs="Arial"/>
        </w:rPr>
      </w:pPr>
      <w:r w:rsidRPr="001262EA">
        <w:rPr>
          <w:rFonts w:ascii="Arial" w:hAnsi="Arial" w:cs="Arial"/>
        </w:rPr>
        <w:t>wdrożenia zaleceń z audytu energetycznego, o ile okres zwrotu inwestycji nie przekracza 3 lat, a koszty są proporcjonalne;</w:t>
      </w:r>
    </w:p>
    <w:p w14:paraId="4E16B981" w14:textId="766D8502" w:rsidR="001262EA" w:rsidRPr="001262EA" w:rsidRDefault="001262EA" w:rsidP="001262EA">
      <w:pPr>
        <w:pStyle w:val="Akapitzlist"/>
        <w:numPr>
          <w:ilvl w:val="1"/>
          <w:numId w:val="30"/>
        </w:numPr>
        <w:spacing w:after="0" w:line="300" w:lineRule="auto"/>
        <w:ind w:left="567" w:hanging="283"/>
        <w:jc w:val="both"/>
        <w:rPr>
          <w:rFonts w:ascii="Arial" w:hAnsi="Arial" w:cs="Arial"/>
        </w:rPr>
      </w:pPr>
      <w:r w:rsidRPr="001262EA">
        <w:rPr>
          <w:rFonts w:ascii="Arial" w:hAnsi="Arial" w:cs="Arial"/>
        </w:rPr>
        <w:t xml:space="preserve">ograniczenia śladu węglowego zużycia energii elektrycznej, tak aby co najmniej 30% zużywanej energii pochodziło ze źródeł bezemisyjnych – co w praktyce oznacza m.in. inwestycje we własne instalacje OZE lub zakup energii elektrycznej z OZE;  </w:t>
      </w:r>
    </w:p>
    <w:p w14:paraId="58D75A7C" w14:textId="6CC59B65" w:rsidR="001262EA" w:rsidRPr="001262EA" w:rsidRDefault="001262EA" w:rsidP="001262EA">
      <w:pPr>
        <w:pStyle w:val="Akapitzlist"/>
        <w:numPr>
          <w:ilvl w:val="1"/>
          <w:numId w:val="30"/>
        </w:numPr>
        <w:spacing w:after="0" w:line="300" w:lineRule="auto"/>
        <w:ind w:left="567" w:hanging="283"/>
        <w:jc w:val="both"/>
        <w:rPr>
          <w:rFonts w:ascii="Arial" w:hAnsi="Arial" w:cs="Arial"/>
        </w:rPr>
      </w:pPr>
      <w:r w:rsidRPr="001262EA">
        <w:rPr>
          <w:rFonts w:ascii="Arial" w:hAnsi="Arial" w:cs="Arial"/>
        </w:rPr>
        <w:t>alokacji co najmniej 50% wartości pomocy na inwestycje prowadzące do znacznej redukcji emisji gazów cieplarnianych – w tym modernizacji procesów technologicznych, instalacje OZE lub integrację z magazynami energii.</w:t>
      </w:r>
    </w:p>
    <w:p w14:paraId="58B731F8" w14:textId="77777777" w:rsidR="001262EA" w:rsidRPr="001262EA" w:rsidRDefault="001262EA" w:rsidP="001262EA">
      <w:pPr>
        <w:spacing w:after="0" w:line="300" w:lineRule="auto"/>
        <w:jc w:val="both"/>
        <w:rPr>
          <w:rFonts w:ascii="Arial" w:hAnsi="Arial" w:cs="Arial"/>
        </w:rPr>
      </w:pPr>
      <w:r w:rsidRPr="001262EA">
        <w:rPr>
          <w:rFonts w:ascii="Arial" w:hAnsi="Arial" w:cs="Arial"/>
        </w:rPr>
        <w:t>Brak następczego spełnienia tych warunków może prowadzić do zwrotu nienależnie uzyskanej pomocy publicznej, co wymaga odpowiednich przepisów wykonawczych w zakresie jej obliczenia.</w:t>
      </w:r>
    </w:p>
    <w:p w14:paraId="0704D8A7" w14:textId="77777777" w:rsidR="001262EA" w:rsidRPr="001262EA" w:rsidRDefault="001262EA" w:rsidP="001262EA">
      <w:pPr>
        <w:spacing w:after="0" w:line="300" w:lineRule="auto"/>
        <w:jc w:val="both"/>
        <w:rPr>
          <w:rFonts w:ascii="Arial" w:hAnsi="Arial" w:cs="Arial"/>
        </w:rPr>
      </w:pPr>
      <w:r w:rsidRPr="001262EA">
        <w:rPr>
          <w:rFonts w:ascii="Arial" w:hAnsi="Arial" w:cs="Arial"/>
        </w:rPr>
        <w:t>Dodatkowo projektodawca zdecydował się na przeniesienie z poziomu aktu wykonawczego na poziom ustawowy normy regulującej sytuację ujemnego współczynnika intensywności zużycia energii elektrycznej, co wymaga odpowiedniej zmiany w przepisach rozporządzenia.</w:t>
      </w:r>
    </w:p>
    <w:p w14:paraId="5FF8452D" w14:textId="77777777" w:rsidR="001262EA" w:rsidRPr="001262EA" w:rsidRDefault="001262EA" w:rsidP="001262EA">
      <w:pPr>
        <w:spacing w:after="0" w:line="300" w:lineRule="auto"/>
        <w:jc w:val="both"/>
        <w:rPr>
          <w:rFonts w:ascii="Arial" w:hAnsi="Arial" w:cs="Arial"/>
        </w:rPr>
      </w:pPr>
      <w:r w:rsidRPr="001262EA">
        <w:rPr>
          <w:rFonts w:ascii="Arial" w:hAnsi="Arial" w:cs="Arial"/>
        </w:rPr>
        <w:t>Zgodnie z art. 30 pkt 1 ustawy nowelizującej dotychczasowe przepisy wykonawcze wydane na podstawie art. 53 ust. 4 uOZE zachowują moc do dnia wejścia w życie przepisów wykonawczych wydanych na podstawie art. 53 ust. 4 uOZE w brzmieniu nadanym ustawą nowelizującą nie dłużej jednak niż przez 12 miesięcy od dnia wejścia w życie ustawy nowelizującej, i mogą być zmieniane w granicach określonych w art. 53 ust. 4 uOZE w brzmieniu nadanym ustawą nowelizującą.</w:t>
      </w:r>
    </w:p>
    <w:p w14:paraId="5282A643" w14:textId="77777777" w:rsidR="001262EA" w:rsidRPr="001262EA" w:rsidRDefault="001262EA" w:rsidP="001262EA">
      <w:pPr>
        <w:spacing w:after="0" w:line="300" w:lineRule="auto"/>
        <w:jc w:val="both"/>
        <w:rPr>
          <w:rFonts w:ascii="Arial" w:hAnsi="Arial" w:cs="Arial"/>
        </w:rPr>
      </w:pPr>
      <w:r w:rsidRPr="001262EA">
        <w:rPr>
          <w:rFonts w:ascii="Arial" w:hAnsi="Arial" w:cs="Arial"/>
        </w:rPr>
        <w:t xml:space="preserve">Ustawa nowelizująca weszła w życie z dniem 28 grudnia 2024 r., a zatem dotychczasowe przepisy wykonawcze zachowają moc do dnia 28 grudnia 2025 r. </w:t>
      </w:r>
    </w:p>
    <w:p w14:paraId="79314D26" w14:textId="77777777" w:rsidR="001262EA" w:rsidRPr="001262EA" w:rsidRDefault="001262EA" w:rsidP="001262EA">
      <w:pPr>
        <w:spacing w:after="0" w:line="300" w:lineRule="auto"/>
        <w:jc w:val="both"/>
        <w:rPr>
          <w:rFonts w:ascii="Arial" w:hAnsi="Arial" w:cs="Arial"/>
        </w:rPr>
      </w:pPr>
      <w:r w:rsidRPr="001262EA">
        <w:rPr>
          <w:rFonts w:ascii="Arial" w:hAnsi="Arial" w:cs="Arial"/>
        </w:rPr>
        <w:t>Z uwagi na powyższe wydanie rozporządzenia jest niezbędne do realizacji uprawnień zagwarantowanych przedsiębiorstwom energochłonnym w uOZE oraz w uCHP.</w:t>
      </w:r>
    </w:p>
    <w:p w14:paraId="7369B1D3" w14:textId="77777777" w:rsidR="001262EA" w:rsidRPr="001262EA" w:rsidRDefault="001262EA" w:rsidP="001262EA">
      <w:pPr>
        <w:spacing w:after="0" w:line="300" w:lineRule="auto"/>
        <w:jc w:val="both"/>
        <w:rPr>
          <w:rFonts w:ascii="Arial" w:hAnsi="Arial" w:cs="Arial"/>
        </w:rPr>
      </w:pPr>
      <w:r w:rsidRPr="001262EA">
        <w:rPr>
          <w:rFonts w:ascii="Arial" w:hAnsi="Arial" w:cs="Arial"/>
        </w:rPr>
        <w:t xml:space="preserve">Określenie w drodze rozporządzenia metodologii obliczania współczynnika intensywności zużycia energii elektrycznej oraz wartości pomocy publicznej uzyskanej w wyniku skorzystania z uprawnień w oparciu o metodologię, która jest zgodna z wytycznymi CEEAG, będzie </w:t>
      </w:r>
      <w:r w:rsidRPr="001262EA">
        <w:rPr>
          <w:rFonts w:ascii="Arial" w:hAnsi="Arial" w:cs="Arial"/>
        </w:rPr>
        <w:lastRenderedPageBreak/>
        <w:t>stanowić wypełnienie obowiązku wykonania delegacji ustawowej, a także zapewni zgodność z przepisów krajowych z wytycznymi Komisji Europejskiej i prawem UE.</w:t>
      </w:r>
    </w:p>
    <w:p w14:paraId="0DEA692A" w14:textId="38D7D1C8" w:rsidR="00FE3960" w:rsidRPr="00FE3960" w:rsidRDefault="001262EA" w:rsidP="001262EA">
      <w:pPr>
        <w:spacing w:after="0" w:line="300" w:lineRule="auto"/>
        <w:jc w:val="both"/>
        <w:rPr>
          <w:rFonts w:ascii="Arial" w:hAnsi="Arial" w:cs="Arial"/>
        </w:rPr>
      </w:pPr>
      <w:r w:rsidRPr="001262EA">
        <w:rPr>
          <w:rFonts w:ascii="Arial" w:hAnsi="Arial" w:cs="Arial"/>
        </w:rPr>
        <w:t>Projekt rozporządzenia określa metodologię obliczania współczynnika intensywności zużycia energii elektrycznej na potrzeby kwalifikacji odbiorcy jako odbiorcy przemysłowego oraz metodologię obliczania wartości pomocy publicznej uzyskanej w wyniku skorzystania z uprawnień. Dzięki określeniu powyższej metodologii odbiorca przemysłowy będzie mógł skorzystać z ulg w zakresie wykonania obowiązków i opłat w ramach systemów wsparcia energii elektrycznej z OZE oraz wysokosprawnej kogeneracji jak również policzyć wartość pomocy publicznej, którą uzyskał korzystając z uprawień, w przypadku gdy zobowiązany będzie do jej zwrotu z powodu niewypełnienia mechanizmu warunkowości.</w:t>
      </w:r>
    </w:p>
    <w:p w14:paraId="51F321D3" w14:textId="77777777" w:rsidR="00FE3960" w:rsidRDefault="00FE3960" w:rsidP="00FE3960">
      <w:pPr>
        <w:spacing w:after="0" w:line="300" w:lineRule="auto"/>
        <w:jc w:val="both"/>
        <w:rPr>
          <w:rFonts w:ascii="Arial" w:hAnsi="Arial" w:cs="Arial"/>
        </w:rPr>
      </w:pPr>
    </w:p>
    <w:p w14:paraId="716D5873" w14:textId="77777777" w:rsidR="001262EA" w:rsidRPr="001262EA" w:rsidRDefault="001262EA" w:rsidP="001262EA">
      <w:pPr>
        <w:spacing w:after="0" w:line="300" w:lineRule="auto"/>
        <w:jc w:val="both"/>
        <w:rPr>
          <w:rFonts w:ascii="Arial" w:hAnsi="Arial" w:cs="Arial"/>
        </w:rPr>
      </w:pPr>
      <w:r w:rsidRPr="001262EA">
        <w:rPr>
          <w:rFonts w:ascii="Arial" w:hAnsi="Arial" w:cs="Arial"/>
        </w:rPr>
        <w:t>Przedmiotowy projekt aktu prawnego wraz z Uzasadnieniem oraz Oceną Skutków Regulacji dostępny jest na stronach Rządowego Centrum Legislacji pod adresem:</w:t>
      </w:r>
    </w:p>
    <w:p w14:paraId="6069D417" w14:textId="27A7983D" w:rsidR="001262EA" w:rsidRDefault="001262EA" w:rsidP="001262EA">
      <w:pPr>
        <w:spacing w:after="0" w:line="300" w:lineRule="auto"/>
        <w:jc w:val="both"/>
        <w:rPr>
          <w:rFonts w:ascii="Arial" w:hAnsi="Arial" w:cs="Arial"/>
        </w:rPr>
      </w:pPr>
      <w:hyperlink r:id="rId12" w:history="1">
        <w:r w:rsidRPr="00F727A2">
          <w:rPr>
            <w:rStyle w:val="Hipercze"/>
            <w:rFonts w:ascii="Arial" w:hAnsi="Arial" w:cs="Arial"/>
          </w:rPr>
          <w:t>https://legislacja.rcl.gov.pl/projekt/124</w:t>
        </w:r>
        <w:r w:rsidRPr="00F727A2">
          <w:rPr>
            <w:rStyle w:val="Hipercze"/>
            <w:rFonts w:ascii="Arial" w:hAnsi="Arial" w:cs="Arial"/>
          </w:rPr>
          <w:t>0</w:t>
        </w:r>
        <w:r w:rsidRPr="00F727A2">
          <w:rPr>
            <w:rStyle w:val="Hipercze"/>
            <w:rFonts w:ascii="Arial" w:hAnsi="Arial" w:cs="Arial"/>
          </w:rPr>
          <w:t>2250/katalog/13156964#13156964</w:t>
        </w:r>
      </w:hyperlink>
      <w:r>
        <w:rPr>
          <w:rFonts w:ascii="Arial" w:hAnsi="Arial" w:cs="Arial"/>
        </w:rPr>
        <w:t xml:space="preserve"> </w:t>
      </w:r>
    </w:p>
    <w:p w14:paraId="24EBCAF7" w14:textId="77777777" w:rsidR="001262EA" w:rsidRDefault="001262EA" w:rsidP="001262EA">
      <w:pPr>
        <w:spacing w:after="0" w:line="300" w:lineRule="auto"/>
        <w:jc w:val="both"/>
        <w:rPr>
          <w:rFonts w:ascii="Arial" w:hAnsi="Arial" w:cs="Arial"/>
        </w:rPr>
      </w:pPr>
    </w:p>
    <w:p w14:paraId="28E76602" w14:textId="7FE92523" w:rsidR="001262EA" w:rsidRPr="00042C7F" w:rsidRDefault="001262EA" w:rsidP="001262EA">
      <w:pPr>
        <w:spacing w:after="0" w:line="300" w:lineRule="auto"/>
        <w:jc w:val="both"/>
        <w:rPr>
          <w:rFonts w:ascii="Arial" w:hAnsi="Arial" w:cs="Arial"/>
        </w:rPr>
      </w:pPr>
      <w:r w:rsidRPr="001262EA">
        <w:rPr>
          <w:rFonts w:ascii="Arial" w:hAnsi="Arial" w:cs="Arial"/>
        </w:rPr>
        <w:t>Projekt jest obecnie jednocześnie na etapie uzgodnień, konsultacji publicznych i opiniowania.</w:t>
      </w:r>
    </w:p>
    <w:p w14:paraId="7765726B" w14:textId="77777777" w:rsidR="00FE3960" w:rsidRDefault="00FE3960" w:rsidP="00FE3960">
      <w:pPr>
        <w:spacing w:after="0" w:line="300" w:lineRule="auto"/>
        <w:jc w:val="both"/>
        <w:rPr>
          <w:rFonts w:ascii="Arial" w:hAnsi="Arial" w:cs="Arial"/>
        </w:rPr>
      </w:pPr>
    </w:p>
    <w:p w14:paraId="505AD0FF" w14:textId="77777777" w:rsidR="001262EA" w:rsidRDefault="001262EA" w:rsidP="00FE3960">
      <w:pPr>
        <w:spacing w:after="0" w:line="300" w:lineRule="auto"/>
        <w:jc w:val="both"/>
        <w:rPr>
          <w:rFonts w:ascii="Arial" w:hAnsi="Arial" w:cs="Arial"/>
        </w:rPr>
      </w:pPr>
    </w:p>
    <w:p w14:paraId="71C14750" w14:textId="77777777" w:rsidR="001262EA" w:rsidRPr="001262EA" w:rsidRDefault="001262EA" w:rsidP="001262EA">
      <w:pPr>
        <w:spacing w:after="0" w:line="300" w:lineRule="auto"/>
        <w:jc w:val="both"/>
        <w:rPr>
          <w:rFonts w:ascii="Arial" w:hAnsi="Arial" w:cs="Arial"/>
          <w:b/>
          <w:bCs/>
        </w:rPr>
      </w:pPr>
      <w:r w:rsidRPr="001262EA">
        <w:rPr>
          <w:rFonts w:ascii="Arial" w:hAnsi="Arial" w:cs="Arial"/>
          <w:b/>
          <w:bCs/>
        </w:rPr>
        <w:t>II. Stanowiska Związku Pracodawców Polska Miedź</w:t>
      </w:r>
    </w:p>
    <w:p w14:paraId="1ED9BD7A" w14:textId="77777777" w:rsidR="001262EA" w:rsidRPr="001262EA" w:rsidRDefault="001262EA" w:rsidP="001262EA">
      <w:pPr>
        <w:spacing w:after="0" w:line="300" w:lineRule="auto"/>
        <w:jc w:val="both"/>
        <w:rPr>
          <w:rFonts w:ascii="Arial" w:hAnsi="Arial" w:cs="Arial"/>
        </w:rPr>
      </w:pPr>
    </w:p>
    <w:p w14:paraId="2246BD13" w14:textId="77777777" w:rsidR="001262EA" w:rsidRPr="001262EA" w:rsidRDefault="001262EA" w:rsidP="001262EA">
      <w:pPr>
        <w:spacing w:after="0" w:line="300" w:lineRule="auto"/>
        <w:jc w:val="both"/>
        <w:rPr>
          <w:rFonts w:ascii="Arial" w:hAnsi="Arial" w:cs="Arial"/>
        </w:rPr>
      </w:pPr>
      <w:r w:rsidRPr="001262EA">
        <w:rPr>
          <w:rFonts w:ascii="Arial" w:hAnsi="Arial" w:cs="Arial"/>
        </w:rPr>
        <w:t>Na podstawie opinii i ekspertyz podmiotów członkowskich Związku Pracodawców Polska Miedź przygotowano dwa stanowiska do opublikowanych projektów aktów prawnych oraz dokumentów strategicznych.</w:t>
      </w:r>
    </w:p>
    <w:p w14:paraId="0ED04DE2" w14:textId="77777777" w:rsidR="001262EA" w:rsidRPr="001262EA" w:rsidRDefault="001262EA" w:rsidP="001262EA">
      <w:pPr>
        <w:spacing w:after="0" w:line="300" w:lineRule="auto"/>
        <w:jc w:val="both"/>
        <w:rPr>
          <w:rFonts w:ascii="Arial" w:hAnsi="Arial" w:cs="Arial"/>
        </w:rPr>
      </w:pPr>
    </w:p>
    <w:p w14:paraId="6848919E" w14:textId="5606A389" w:rsidR="001262EA" w:rsidRPr="001262EA" w:rsidRDefault="001262EA" w:rsidP="001262EA">
      <w:pPr>
        <w:pStyle w:val="Akapitzlist"/>
        <w:spacing w:after="0" w:line="300" w:lineRule="auto"/>
        <w:jc w:val="both"/>
        <w:rPr>
          <w:rFonts w:ascii="Arial" w:hAnsi="Arial" w:cs="Arial"/>
        </w:rPr>
      </w:pPr>
      <w:r w:rsidRPr="001262EA">
        <w:rPr>
          <w:rFonts w:ascii="Arial" w:hAnsi="Arial" w:cs="Arial"/>
          <w:b/>
          <w:bCs/>
          <w:u w:val="single"/>
        </w:rPr>
        <w:t>Stanowisko Związku Pracodawców Polska Miedź (uwagi Związku Pracodawców Polska Miedź) do projektu ustawy o zmianie ustawy o Państwowej Inspekcji Pracy oraz niektórych innych ustaw.</w:t>
      </w:r>
      <w:r w:rsidRPr="001262EA">
        <w:rPr>
          <w:rFonts w:ascii="Arial" w:hAnsi="Arial" w:cs="Arial"/>
        </w:rPr>
        <w:t xml:space="preserve">  </w:t>
      </w:r>
    </w:p>
    <w:p w14:paraId="43075548" w14:textId="77777777" w:rsidR="001262EA" w:rsidRPr="001262EA" w:rsidRDefault="001262EA" w:rsidP="001262EA">
      <w:pPr>
        <w:spacing w:after="0" w:line="300" w:lineRule="auto"/>
        <w:jc w:val="both"/>
        <w:rPr>
          <w:rFonts w:ascii="Arial" w:hAnsi="Arial" w:cs="Arial"/>
        </w:rPr>
      </w:pPr>
    </w:p>
    <w:p w14:paraId="0B5F80CE" w14:textId="0C33D370" w:rsidR="001262EA" w:rsidRPr="001262EA" w:rsidRDefault="001262EA" w:rsidP="001262EA">
      <w:pPr>
        <w:spacing w:after="0" w:line="300" w:lineRule="auto"/>
        <w:jc w:val="both"/>
        <w:rPr>
          <w:rFonts w:ascii="Arial" w:hAnsi="Arial" w:cs="Arial"/>
        </w:rPr>
      </w:pPr>
      <w:r w:rsidRPr="001262EA">
        <w:rPr>
          <w:rFonts w:ascii="Arial" w:hAnsi="Arial" w:cs="Arial"/>
        </w:rPr>
        <w:t>Projekt z dnia 1.0</w:t>
      </w:r>
      <w:r w:rsidR="00F20E38">
        <w:rPr>
          <w:rFonts w:ascii="Arial" w:hAnsi="Arial" w:cs="Arial"/>
        </w:rPr>
        <w:t>9</w:t>
      </w:r>
      <w:r w:rsidRPr="001262EA">
        <w:rPr>
          <w:rFonts w:ascii="Arial" w:hAnsi="Arial" w:cs="Arial"/>
        </w:rPr>
        <w:t xml:space="preserve">.2025 roku, opublikowany na stronie BIP Rządowego Centrum Legislacji w dniu </w:t>
      </w:r>
      <w:r w:rsidR="00F20E38">
        <w:rPr>
          <w:rFonts w:ascii="Arial" w:hAnsi="Arial" w:cs="Arial"/>
        </w:rPr>
        <w:t>1</w:t>
      </w:r>
      <w:r w:rsidRPr="001262EA">
        <w:rPr>
          <w:rFonts w:ascii="Arial" w:hAnsi="Arial" w:cs="Arial"/>
        </w:rPr>
        <w:t>.0</w:t>
      </w:r>
      <w:r w:rsidR="00F20E38">
        <w:rPr>
          <w:rFonts w:ascii="Arial" w:hAnsi="Arial" w:cs="Arial"/>
        </w:rPr>
        <w:t>9</w:t>
      </w:r>
      <w:r w:rsidRPr="001262EA">
        <w:rPr>
          <w:rFonts w:ascii="Arial" w:hAnsi="Arial" w:cs="Arial"/>
        </w:rPr>
        <w:t>.2025 roku. (UD</w:t>
      </w:r>
      <w:r w:rsidR="00F20E38">
        <w:rPr>
          <w:rFonts w:ascii="Arial" w:hAnsi="Arial" w:cs="Arial"/>
        </w:rPr>
        <w:t>283</w:t>
      </w:r>
      <w:r w:rsidRPr="001262EA">
        <w:rPr>
          <w:rFonts w:ascii="Arial" w:hAnsi="Arial" w:cs="Arial"/>
        </w:rPr>
        <w:t xml:space="preserve"> w Wykazie prac legislacyjnych i programowych Rady Ministrów).</w:t>
      </w:r>
    </w:p>
    <w:p w14:paraId="63849E84" w14:textId="126E343E" w:rsidR="001262EA" w:rsidRDefault="001262EA" w:rsidP="001262EA">
      <w:pPr>
        <w:spacing w:after="0" w:line="300" w:lineRule="auto"/>
        <w:jc w:val="both"/>
        <w:rPr>
          <w:rFonts w:ascii="Arial" w:hAnsi="Arial" w:cs="Arial"/>
        </w:rPr>
      </w:pPr>
      <w:r w:rsidRPr="001262EA">
        <w:rPr>
          <w:rFonts w:ascii="Arial" w:hAnsi="Arial" w:cs="Arial"/>
        </w:rPr>
        <w:t xml:space="preserve">Przedmiotowe stanowisko zostało przesłane do Ministerstwa </w:t>
      </w:r>
      <w:r w:rsidR="00F20E38">
        <w:rPr>
          <w:rFonts w:ascii="Arial" w:hAnsi="Arial" w:cs="Arial"/>
        </w:rPr>
        <w:t>Rodziny, Pracy i Polityki Społecznej</w:t>
      </w:r>
      <w:r w:rsidRPr="001262EA">
        <w:rPr>
          <w:rFonts w:ascii="Arial" w:hAnsi="Arial" w:cs="Arial"/>
        </w:rPr>
        <w:t xml:space="preserve"> oraz reprezentatywnych organizacji pracodawców, z którymi Związek Pracodawców Polska Miedź współpracuje.</w:t>
      </w:r>
    </w:p>
    <w:p w14:paraId="49BABA10" w14:textId="77777777" w:rsidR="00FE3960" w:rsidRPr="00CC391D" w:rsidRDefault="00FE3960" w:rsidP="00FE3960">
      <w:pPr>
        <w:spacing w:after="0" w:line="300" w:lineRule="auto"/>
        <w:jc w:val="both"/>
        <w:rPr>
          <w:rFonts w:ascii="Arial" w:hAnsi="Arial" w:cs="Arial"/>
          <w:bCs/>
        </w:rPr>
      </w:pPr>
    </w:p>
    <w:p w14:paraId="1B80CF1B" w14:textId="77777777" w:rsidR="00FE3960" w:rsidRPr="00CB4A6E" w:rsidRDefault="00FE3960" w:rsidP="00FE3960">
      <w:pPr>
        <w:spacing w:after="0" w:line="300" w:lineRule="auto"/>
        <w:rPr>
          <w:rFonts w:ascii="Arial" w:hAnsi="Arial" w:cs="Arial"/>
        </w:rPr>
      </w:pPr>
    </w:p>
    <w:p w14:paraId="379609BD" w14:textId="3B432DA7" w:rsidR="00FE3960" w:rsidRDefault="00F20E38" w:rsidP="00FE3960">
      <w:pPr>
        <w:spacing w:after="0" w:line="300" w:lineRule="auto"/>
        <w:jc w:val="both"/>
        <w:rPr>
          <w:rFonts w:ascii="Arial" w:hAnsi="Arial" w:cs="Arial"/>
          <w:b/>
        </w:rPr>
      </w:pPr>
      <w:r>
        <w:rPr>
          <w:rFonts w:ascii="Arial" w:hAnsi="Arial" w:cs="Arial"/>
          <w:b/>
        </w:rPr>
        <w:t>I</w:t>
      </w:r>
      <w:r w:rsidR="00FE3960">
        <w:rPr>
          <w:rFonts w:ascii="Arial" w:hAnsi="Arial" w:cs="Arial"/>
          <w:b/>
        </w:rPr>
        <w:t>II. Ogłoszone akty prawne (Dziennik Ustaw RP)</w:t>
      </w:r>
    </w:p>
    <w:p w14:paraId="120063B7" w14:textId="77777777" w:rsidR="00FE3960" w:rsidRDefault="00FE3960" w:rsidP="00FE3960">
      <w:pPr>
        <w:spacing w:after="0" w:line="300" w:lineRule="auto"/>
        <w:jc w:val="both"/>
        <w:rPr>
          <w:rFonts w:ascii="Arial" w:hAnsi="Arial" w:cs="Arial"/>
        </w:rPr>
      </w:pPr>
    </w:p>
    <w:p w14:paraId="33FE24F8" w14:textId="76FBBF63" w:rsidR="00FE3960" w:rsidRDefault="00FE3960" w:rsidP="00FE3960">
      <w:pPr>
        <w:spacing w:after="0" w:line="300" w:lineRule="auto"/>
        <w:jc w:val="both"/>
        <w:rPr>
          <w:rFonts w:ascii="Arial" w:hAnsi="Arial" w:cs="Arial"/>
        </w:rPr>
      </w:pPr>
      <w:r>
        <w:rPr>
          <w:rFonts w:ascii="Arial" w:hAnsi="Arial" w:cs="Arial"/>
        </w:rPr>
        <w:t xml:space="preserve">W analizowanym okresie ogłoszono </w:t>
      </w:r>
      <w:r w:rsidR="00072A1B">
        <w:rPr>
          <w:rFonts w:ascii="Arial" w:hAnsi="Arial" w:cs="Arial"/>
        </w:rPr>
        <w:t>18</w:t>
      </w:r>
      <w:r>
        <w:rPr>
          <w:rFonts w:ascii="Arial" w:hAnsi="Arial" w:cs="Arial"/>
        </w:rPr>
        <w:t xml:space="preserve"> akt</w:t>
      </w:r>
      <w:r w:rsidR="00072A1B">
        <w:rPr>
          <w:rFonts w:ascii="Arial" w:hAnsi="Arial" w:cs="Arial"/>
        </w:rPr>
        <w:t>ów</w:t>
      </w:r>
      <w:r>
        <w:rPr>
          <w:rFonts w:ascii="Arial" w:hAnsi="Arial" w:cs="Arial"/>
        </w:rPr>
        <w:t xml:space="preserve"> prawn</w:t>
      </w:r>
      <w:r w:rsidR="00072A1B">
        <w:rPr>
          <w:rFonts w:ascii="Arial" w:hAnsi="Arial" w:cs="Arial"/>
        </w:rPr>
        <w:t>ych</w:t>
      </w:r>
      <w:r>
        <w:rPr>
          <w:rFonts w:ascii="Arial" w:hAnsi="Arial" w:cs="Arial"/>
        </w:rPr>
        <w:t>, tzn. ustaw, rozporządze</w:t>
      </w:r>
      <w:r w:rsidR="00072A1B">
        <w:rPr>
          <w:rFonts w:ascii="Arial" w:hAnsi="Arial" w:cs="Arial"/>
        </w:rPr>
        <w:t>ń</w:t>
      </w:r>
      <w:r>
        <w:rPr>
          <w:rFonts w:ascii="Arial" w:hAnsi="Arial" w:cs="Arial"/>
        </w:rPr>
        <w:t xml:space="preserve"> Rady Ministrów, Prezesa Rady Ministrów i poszczególnych ministrów, obwieszcze</w:t>
      </w:r>
      <w:r w:rsidR="00072A1B">
        <w:rPr>
          <w:rFonts w:ascii="Arial" w:hAnsi="Arial" w:cs="Arial"/>
        </w:rPr>
        <w:t>ń</w:t>
      </w:r>
      <w:r>
        <w:rPr>
          <w:rFonts w:ascii="Arial" w:hAnsi="Arial" w:cs="Arial"/>
        </w:rPr>
        <w:t xml:space="preserve"> w sprawie ogłoszenia tekstu jednolitego. Z powyższych publikacji w zainteresowaniu pracodawców i przedsiębiorców znaleźć się mogą następujące akty prawne:</w:t>
      </w:r>
    </w:p>
    <w:p w14:paraId="37DD0E7E" w14:textId="77777777" w:rsidR="00FE3960" w:rsidRDefault="00FE3960" w:rsidP="00FE3960">
      <w:pPr>
        <w:spacing w:after="0" w:line="300" w:lineRule="auto"/>
        <w:jc w:val="both"/>
        <w:rPr>
          <w:rFonts w:ascii="Arial" w:hAnsi="Arial" w:cs="Arial"/>
        </w:rPr>
      </w:pPr>
    </w:p>
    <w:p w14:paraId="43BBB321" w14:textId="77777777" w:rsidR="00FE3960" w:rsidRDefault="00FE3960" w:rsidP="00FE3960">
      <w:pPr>
        <w:spacing w:after="0" w:line="300" w:lineRule="auto"/>
        <w:jc w:val="both"/>
        <w:rPr>
          <w:rFonts w:ascii="Arial" w:hAnsi="Arial" w:cs="Arial"/>
        </w:rPr>
      </w:pPr>
    </w:p>
    <w:p w14:paraId="12D3DAFF" w14:textId="04D5B723" w:rsidR="00FE3960" w:rsidRPr="00834EE9" w:rsidRDefault="00834EE9" w:rsidP="00FE3960">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834EE9">
        <w:rPr>
          <w:rFonts w:ascii="Arial" w:hAnsi="Arial" w:cs="Arial"/>
          <w:b/>
          <w:bCs/>
          <w:u w:val="single"/>
        </w:rPr>
        <w:lastRenderedPageBreak/>
        <w:t>Rozporządzenie Ministra Finansów i Gospodarki z dnia 10 września 2025 r. zmieniające rozporządzenie w sprawie szczegółowej klasyfikacji dochodów, wydatków, przychodów i rozchodów oraz środków pochodzących ze źródeł zagranicznych</w:t>
      </w:r>
      <w:r>
        <w:rPr>
          <w:rFonts w:ascii="Arial" w:hAnsi="Arial" w:cs="Arial"/>
          <w:b/>
          <w:bCs/>
          <w:u w:val="single"/>
        </w:rPr>
        <w:t>.</w:t>
      </w:r>
    </w:p>
    <w:p w14:paraId="2F288F29" w14:textId="77777777" w:rsidR="00834EE9" w:rsidRDefault="00834EE9" w:rsidP="00834EE9">
      <w:pPr>
        <w:spacing w:after="0" w:line="300" w:lineRule="auto"/>
        <w:jc w:val="both"/>
        <w:rPr>
          <w:rFonts w:ascii="Arial" w:eastAsia="Times New Roman" w:hAnsi="Arial" w:cs="Arial"/>
          <w:lang w:eastAsia="pl-PL"/>
        </w:rPr>
      </w:pPr>
    </w:p>
    <w:p w14:paraId="6B9631D2" w14:textId="06331228" w:rsidR="00834EE9" w:rsidRDefault="00834EE9" w:rsidP="00834EE9">
      <w:pPr>
        <w:spacing w:after="0" w:line="300" w:lineRule="auto"/>
        <w:jc w:val="both"/>
        <w:rPr>
          <w:rFonts w:ascii="Arial" w:eastAsia="Times New Roman" w:hAnsi="Arial" w:cs="Arial"/>
          <w:lang w:eastAsia="pl-PL"/>
        </w:rPr>
      </w:pPr>
      <w:r w:rsidRPr="00834EE9">
        <w:rPr>
          <w:rFonts w:ascii="Arial" w:eastAsia="Times New Roman" w:hAnsi="Arial" w:cs="Arial"/>
          <w:lang w:eastAsia="pl-PL"/>
        </w:rPr>
        <w:t>Powyższy akt prawny ogłoszony został 15 września 2025 roku w Dzienniku Ustaw (Dz.U. z 2025, poz. 124</w:t>
      </w:r>
      <w:r>
        <w:rPr>
          <w:rFonts w:ascii="Arial" w:eastAsia="Times New Roman" w:hAnsi="Arial" w:cs="Arial"/>
          <w:lang w:eastAsia="pl-PL"/>
        </w:rPr>
        <w:t>1</w:t>
      </w:r>
      <w:r w:rsidRPr="00834EE9">
        <w:rPr>
          <w:rFonts w:ascii="Arial" w:eastAsia="Times New Roman" w:hAnsi="Arial" w:cs="Arial"/>
          <w:lang w:eastAsia="pl-PL"/>
        </w:rPr>
        <w:t>).</w:t>
      </w:r>
    </w:p>
    <w:p w14:paraId="1186A4D0" w14:textId="77777777" w:rsidR="00834EE9" w:rsidRDefault="00834EE9" w:rsidP="00403FB3">
      <w:pPr>
        <w:spacing w:after="0" w:line="300" w:lineRule="auto"/>
        <w:jc w:val="both"/>
        <w:rPr>
          <w:rStyle w:val="markedcontent"/>
          <w:rFonts w:ascii="Arial" w:eastAsia="Times New Roman" w:hAnsi="Arial" w:cs="Arial"/>
          <w:lang w:eastAsia="pl-PL"/>
        </w:rPr>
      </w:pPr>
    </w:p>
    <w:p w14:paraId="63B3930C" w14:textId="50EF907B"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Na podstawie upoważnienia zawartego w art. 39 ust. 4 pkt 1 i ust. 5 ustawy z dnia 27 sierpnia 2009 r. o finansach publicznych (Dz. U. z 2024 r. poz. 1530, z późn. zm.) Minister Finansów w rozporządzeniu z dnia 2 marca 2010 r. w sprawie szczegółowej klasyfikacji dochodów, wydatków, przychodów i rozchodów oraz środków pochodzących ze źródeł zagranicznych (Dz. U. z 2022 r. poz. 513, z późn. zm.) ustalił szczegółową klasyfikację dochodów, wydatków, przychodów i rozchodów oraz środków pochodzących ze źródeł zagranicznych. </w:t>
      </w:r>
    </w:p>
    <w:p w14:paraId="2A0BE3A7" w14:textId="77777777" w:rsidR="00403FB3" w:rsidRDefault="00403FB3" w:rsidP="00403FB3">
      <w:pPr>
        <w:spacing w:after="0" w:line="300" w:lineRule="auto"/>
        <w:jc w:val="both"/>
        <w:rPr>
          <w:rStyle w:val="markedcontent"/>
          <w:rFonts w:ascii="Arial" w:eastAsia="Times New Roman" w:hAnsi="Arial" w:cs="Arial"/>
          <w:lang w:eastAsia="pl-PL"/>
        </w:rPr>
      </w:pPr>
      <w:r>
        <w:rPr>
          <w:rStyle w:val="markedcontent"/>
          <w:rFonts w:ascii="Arial" w:eastAsia="Times New Roman" w:hAnsi="Arial" w:cs="Arial"/>
          <w:lang w:eastAsia="pl-PL"/>
        </w:rPr>
        <w:t>N</w:t>
      </w:r>
      <w:r w:rsidRPr="00403FB3">
        <w:rPr>
          <w:rStyle w:val="markedcontent"/>
          <w:rFonts w:ascii="Arial" w:eastAsia="Times New Roman" w:hAnsi="Arial" w:cs="Arial"/>
          <w:lang w:eastAsia="pl-PL"/>
        </w:rPr>
        <w:t xml:space="preserve">iniejszym </w:t>
      </w:r>
      <w:r>
        <w:rPr>
          <w:rStyle w:val="markedcontent"/>
          <w:rFonts w:ascii="Arial" w:eastAsia="Times New Roman" w:hAnsi="Arial" w:cs="Arial"/>
          <w:lang w:eastAsia="pl-PL"/>
        </w:rPr>
        <w:t>rozporządzeniem wprowadza następujące zmiany</w:t>
      </w:r>
      <w:r w:rsidRPr="00403FB3">
        <w:rPr>
          <w:rStyle w:val="markedcontent"/>
          <w:rFonts w:ascii="Arial" w:eastAsia="Times New Roman" w:hAnsi="Arial" w:cs="Arial"/>
          <w:lang w:eastAsia="pl-PL"/>
        </w:rPr>
        <w:t xml:space="preserve">: </w:t>
      </w:r>
    </w:p>
    <w:p w14:paraId="3E3A05F5"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1. w załączniku nr 2 do rozporządzenia: </w:t>
      </w:r>
    </w:p>
    <w:p w14:paraId="6FDA82E5" w14:textId="3B532072"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a) uchyl</w:t>
      </w:r>
      <w:r>
        <w:rPr>
          <w:rStyle w:val="markedcontent"/>
          <w:rFonts w:ascii="Arial" w:eastAsia="Times New Roman" w:hAnsi="Arial" w:cs="Arial"/>
          <w:lang w:eastAsia="pl-PL"/>
        </w:rPr>
        <w:t>enie</w:t>
      </w:r>
      <w:r w:rsidRPr="00403FB3">
        <w:rPr>
          <w:rStyle w:val="markedcontent"/>
          <w:rFonts w:ascii="Arial" w:eastAsia="Times New Roman" w:hAnsi="Arial" w:cs="Arial"/>
          <w:lang w:eastAsia="pl-PL"/>
        </w:rPr>
        <w:t xml:space="preserve"> rozdział</w:t>
      </w:r>
      <w:r>
        <w:rPr>
          <w:rStyle w:val="markedcontent"/>
          <w:rFonts w:ascii="Arial" w:eastAsia="Times New Roman" w:hAnsi="Arial" w:cs="Arial"/>
          <w:lang w:eastAsia="pl-PL"/>
        </w:rPr>
        <w:t>ów</w:t>
      </w:r>
      <w:r w:rsidRPr="00403FB3">
        <w:rPr>
          <w:rStyle w:val="markedcontent"/>
          <w:rFonts w:ascii="Arial" w:eastAsia="Times New Roman" w:hAnsi="Arial" w:cs="Arial"/>
          <w:lang w:eastAsia="pl-PL"/>
        </w:rPr>
        <w:t xml:space="preserve"> „15016 Dopłaty do odsetek od kredytów na finansowanie kontraktów eksportowych” i „15018 Rozliczenia związane z systemem dopłat do oprocentowania kredytów eksportowych o stałych stopach procentowych”, gdyż nie są one wykorzystywane. Zmiany te wejdą w życie z dniem następującym po dniu ogłoszenia i będą miały zastosowanie po raz pierwszy do planowania budżetowego i wykonania na rok 2026, </w:t>
      </w:r>
    </w:p>
    <w:p w14:paraId="75FC1938"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b) zmian</w:t>
      </w:r>
      <w:r>
        <w:rPr>
          <w:rStyle w:val="markedcontent"/>
          <w:rFonts w:ascii="Arial" w:eastAsia="Times New Roman" w:hAnsi="Arial" w:cs="Arial"/>
          <w:lang w:eastAsia="pl-PL"/>
        </w:rPr>
        <w:t>a</w:t>
      </w:r>
      <w:r w:rsidRPr="00403FB3">
        <w:rPr>
          <w:rStyle w:val="markedcontent"/>
          <w:rFonts w:ascii="Arial" w:eastAsia="Times New Roman" w:hAnsi="Arial" w:cs="Arial"/>
          <w:lang w:eastAsia="pl-PL"/>
        </w:rPr>
        <w:t xml:space="preserve"> brzmienia rozdziału „15019 Wspieranie polskiego eksportu poprzez udzielanie przez Bank Gospodarstwa Krajowego kredytów eksportowych” na „15019 Wspieranie polskiego eksportu”. Nowe brzmienie rozdziału 15019 lepiej odpowiada instrumentom finansowanym w ramach tych programów, gdzie BGK nie tylko udziela kredytów eksportowych, ale też administruje mechanizmem stabilizacji oprocentowania kredytów eksportowych udzielonych przez inne banki. Zmiana wejdzie w życie z dniem następującym po dniu ogłoszenia i będzie miała zastosowanie po raz pierwszy do planowania budżetowego i wykonania na rok 2026, </w:t>
      </w:r>
    </w:p>
    <w:p w14:paraId="085753D9"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c) dodanie rozdziału „71013 Prace geodezyjne i kartograficzne na potrzeby organów administracji geodezyjnej i kartograficznej” wraz z objaśnieniami przy zachowaniu dotychczasowego rozdziału „71012 Zadania z zakresu geodezji i kartografii”. Celem wprowadzanej zmiany jest ujmowanie w odrębnym rozdziale dochodów i wydatków związanych z realizacją zadań z zakresu geodezji i kartografii na potrzeby organów administracji geodezyjnej i kartograficznej, które są zlecane do wykonania podmiotom zewnętrznym, tj. nie są realizowane w ramach własnych zasobów przez organy administracji geodezyjnej i kartograficznej. Tworzony rozdział 71013 obejmie zadania realizowane w sposób niesystematyczny i zlecane do wykonania podmiotom zewnętrznym (np. wykonawcom prac geodezyjnych). Dotyczą one modernizacji lub aktualizacji prowadzonych przez organy baz danych oraz ich dostosowania do obowiązujących przepisów prawa (np. modernizacja ewidencji gruntów i budynków, modernizacja szczegółowej osnowy geodezyjnej, wdrożenie układu wysokościowego). Natomiast istniejący rozdział 71012 ma obejmować pozostałe zadania organów administracji geodezyjnej i kartograficznej w obszarze zadań zleconych z zakresu geodezji i kartografii, w tym aktualizacje prowadzonych przez organy baz danych poprzez pracę własną lub pracę wyspecjalizowanych samorządowych jednostek </w:t>
      </w:r>
      <w:r w:rsidRPr="00403FB3">
        <w:rPr>
          <w:rStyle w:val="markedcontent"/>
          <w:rFonts w:ascii="Arial" w:eastAsia="Times New Roman" w:hAnsi="Arial" w:cs="Arial"/>
          <w:lang w:eastAsia="pl-PL"/>
        </w:rPr>
        <w:lastRenderedPageBreak/>
        <w:t xml:space="preserve">budżetowych. Projektowana zmiana pozwoli na odpowiednie planowanie środków oraz monitorowanie realizacji wydatków w tym obszarze i ma na celu zwiększenie przejrzystości wydatków. Dodatkowo w konsekwencji wprowadzenia powyższego rozdziału proponuje się także zmianę objaśnień po dziale „926 –  Kultura fizyczna” poprzez dodanie ww. nowo tworzonego rozdziału „71013 Prace geodezyjne i kartograficzne na potrzeby organów administracji geodezyjnej i kartograficznej” do listy rozdziałów, w których ujmuje się wszystkie dochody i wydatki na realizację zadań, bezpośrednio związanych ze świadczeniem usług publicznych. Proponowana zmiana wejdzie w życie z dniem następującym po dniu ogłoszenia i będzie miała zastosowanie po raz pierwszy do planowania budżetowego i wykonania na rok 2026, </w:t>
      </w:r>
    </w:p>
    <w:p w14:paraId="37325ADC"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d) dodanie rozdziałów „75281 Zadania o charakterze obronnym wynikające z ustawy o ochronie ludności i obronie cywilnej” wraz z objaśnieniami i „75282 Zadania o charakterze obronnym wynikające z ustawy o ochronie ludności i obronie cywilnej realizowane przez Państwową Straż Pożarną”. Zmiany wiążą się z wejściem w życie z dniem 1 stycznia 2025 r. ustawy z dnia 5 grudnia 2024 r. o ochronie ludności i obronie cywilnej (Dz. U. poz. 1907) i wprowadzonymi przez nią regulacjami dotyczącymi finansowania zadań z zakresu ochrony ludności i obrony cywilnej, w szczególności wynikającymi z art. 155. Dodawane rozdziały umożliwią wyodrębnienie związanych z tym wydatków ze środków ujętych w ramach limitu wydatków na finansowanie potrzeb obronnych, o którym mowa w art. 40 ust. 1 pkt 2 ustawy z dnia 11 marca 2022 r. o obronie Ojczyzny (Dz. U. z 2025 r. poz. 825, z późn. zm.), zapewniając tym samym możliwość identyfikacji i sprawowania nadzoru nad realizacją wydatków na zadania z zakresu ochrony ludności i obrony cywilnej. Zmiany w zakresie rozdziałów 75281 i 75282 wejdą w życie z dniem następującym po dniu ogłoszenia i będą miały zastosowanie po raz pierwszy do planowania budżetowego i wykonania na rok 2026, </w:t>
      </w:r>
    </w:p>
    <w:p w14:paraId="6D5A4957"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e) dodanie rozdziałów „75666 Wpływy z globalnego podatku wyrównawczego”, „75667 Wpływy z krajowego podatku wyrównawczego” i „75668 Wpływy z podatku wyrównawczego od niedostatecznie opodatkowanych zysków” w związku z wejściem w życie ustawy z dnia 6 listopada 2024 r. o opodatkowaniu wyrównawczym jednostek składowych grup międzynarodowych i krajowych (Dz. U. poz. 1685). Ustawa wprowadziła nowe kategorie dochodów niemieszczących się w obecnie istniejących podziałkach. Wyodrębnienie wpływów z każdego z podatków wyrównawczych w osobnej pozycji jest istotne dla identyfikacji wpływów z poszczególnych tytułów. Zmiany te wejdą w życie z dniem następującym po dniu ogłoszenia i będą miały zastosowanie po raz pierwszy do planowania budżetowego i wykonania na rok 2026, </w:t>
      </w:r>
    </w:p>
    <w:p w14:paraId="371190AB"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f) dodanie rozdziału „75669 Wpłaty fundacji rodzinnej”. W związku z wejściem w życie ustawy z dnia 26 stycznia 2023 r. o fundacji rodzinnej (Dz. U. poz. 326, z późn. zm.) i rosnącą skalą wpływów z tytułu opodatkowania fundacji rodzinnych podatkiem dochodowym od osób prawnych, istnieje konieczność wyodrębnienia rozdziału umożliwiającego bieżące monitorowanie tych wpływów. W celu zachowania jednolitego klasyfikowania dochodów w bieżącym roku w dotychczasowych rozdziałach, zmiana we</w:t>
      </w:r>
      <w:r>
        <w:rPr>
          <w:rStyle w:val="markedcontent"/>
          <w:rFonts w:ascii="Arial" w:eastAsia="Times New Roman" w:hAnsi="Arial" w:cs="Arial"/>
          <w:lang w:eastAsia="pl-PL"/>
        </w:rPr>
        <w:t>jdzie</w:t>
      </w:r>
      <w:r w:rsidRPr="00403FB3">
        <w:rPr>
          <w:rStyle w:val="markedcontent"/>
          <w:rFonts w:ascii="Arial" w:eastAsia="Times New Roman" w:hAnsi="Arial" w:cs="Arial"/>
          <w:lang w:eastAsia="pl-PL"/>
        </w:rPr>
        <w:t xml:space="preserve"> w życie z dniem następującym po dniu ogłoszenia i </w:t>
      </w:r>
      <w:r>
        <w:rPr>
          <w:rStyle w:val="markedcontent"/>
          <w:rFonts w:ascii="Arial" w:eastAsia="Times New Roman" w:hAnsi="Arial" w:cs="Arial"/>
          <w:lang w:eastAsia="pl-PL"/>
        </w:rPr>
        <w:t>zostanie</w:t>
      </w:r>
      <w:r w:rsidRPr="00403FB3">
        <w:rPr>
          <w:rStyle w:val="markedcontent"/>
          <w:rFonts w:ascii="Arial" w:eastAsia="Times New Roman" w:hAnsi="Arial" w:cs="Arial"/>
          <w:lang w:eastAsia="pl-PL"/>
        </w:rPr>
        <w:t xml:space="preserve"> zastosowan</w:t>
      </w:r>
      <w:r>
        <w:rPr>
          <w:rStyle w:val="markedcontent"/>
          <w:rFonts w:ascii="Arial" w:eastAsia="Times New Roman" w:hAnsi="Arial" w:cs="Arial"/>
          <w:lang w:eastAsia="pl-PL"/>
        </w:rPr>
        <w:t>a</w:t>
      </w:r>
      <w:r w:rsidRPr="00403FB3">
        <w:rPr>
          <w:rStyle w:val="markedcontent"/>
          <w:rFonts w:ascii="Arial" w:eastAsia="Times New Roman" w:hAnsi="Arial" w:cs="Arial"/>
          <w:lang w:eastAsia="pl-PL"/>
        </w:rPr>
        <w:t xml:space="preserve"> po raz pierwszy do planowania budżetowego i wykonania na rok 2026, </w:t>
      </w:r>
    </w:p>
    <w:p w14:paraId="4F13F861" w14:textId="77777777" w:rsid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g) dodanie rozdziału „85159 Działalność Centrum e-Zdrowia” w związku z koniecznością zapewnienia przejrzystości finansowania zadań realizowanych przez Centrum e- Zdrowia. </w:t>
      </w:r>
      <w:r w:rsidRPr="00403FB3">
        <w:rPr>
          <w:rStyle w:val="markedcontent"/>
          <w:rFonts w:ascii="Arial" w:eastAsia="Times New Roman" w:hAnsi="Arial" w:cs="Arial"/>
          <w:lang w:eastAsia="pl-PL"/>
        </w:rPr>
        <w:lastRenderedPageBreak/>
        <w:t xml:space="preserve">Zmiana wejdzie w życie z dniem następującym po dniu ogłoszenia i będzie miała zastosowanie po raz pierwszy do planowania budżetowego i wykonania na rok 2026, </w:t>
      </w:r>
    </w:p>
    <w:p w14:paraId="2571BBE5"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h) zmianę nazwy rozdziału na „85220 Jednostki specjalistycznego poradnictwa, mieszkania treningowe i wspomagane oraz ośrodki interwencji kryzysowej” oraz dodanie objaśnień do obecnego rozdziału „85220 Jednostki specjalistycznego poradnictwa, mieszkania chronione i ośrodki interwencji kryzysowej”.  Zmiana ta dostosowuje nazwę rozdziału do nazewnictwa wprowadzonego ustawą z dnia 28 lipca 2023 r. o zmianie ustawy o pomocy społecznej oraz niektórych innych ustaw (Dz. U. poz. 1693) oraz uchwałą Nr 5 Rady Ministrów z dnia 17 stycznia 2025 r. zmieniającą uchwałę w sprawie programu kompleksowego wsparcia dla rodzin „Za życiem” (M. P. z 2025 r. poz. 113). Z uwagi na potrzebę zachowania jednolitego brzmienia nazwy rozdziału w całym roku budżetowym (rozdział ten występuje również w budżetach jednostek samorządu terytorialnego) zmiana nazwy rozdziału wejdzie w życie z dniem następującym po dniu ogłoszenia i będzie miała zastosowanie po raz pierwszy do planowania budżetowego i wykonania na rok 2026. W celu uniknięcia wątpliwości w zakresie stosowania rozdziału 85220 w toku wykonania budżetu państwa i budżetów jednostek samorządu terytorialnego w 2025 r. dodaje się objaśnienia stanowiące, że w rozdziale tym ujmuje się m.in. dochody i wydatki na mieszkania treningowe i wspomagane – zmiana w zakresie objaśnień wejdzie w życie z mocą od dnia 1 stycznia 2025 r.; </w:t>
      </w:r>
    </w:p>
    <w:p w14:paraId="5C77C764"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2. w załączniku nr 3 do rozporządzenia:  </w:t>
      </w:r>
    </w:p>
    <w:p w14:paraId="16A54366"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a) dodanie paragrafu „018 Wpływy z opodatkowania wyrównawczego”, co jest konsekwencją wejścia w życie ustawy z dnia 6 listopada 2024 r. o opodatkowaniu wyrównawczym jednostek składowych grup międzynarodowych i krajowych oraz wiąże się zmianami wprowadzonymi w zakresie rozdziałów (nowe rozdziały 75666, 75667 i 75668). Utworzenie nowego paragrafu wynika z faktu, że podatki wyrównawcze nie mieszczą się w kategorii podatków dochodowych, a w konsekwencji nie jest możliwe ujęcie wpływów z ich tytułu w ramach istniejących już paragrafów. Zgodnie z art. 156 ust. 2 pkt 2 ustawy pierwsze wpływy z tytułu podatków wyrównawczych wystąpią nie wcześniej niż w lipcu 2026 r., w związku z tym zmiana wejdzie w życie z dniem następującym po dniu ogłoszenia i będzie miała zastosowanie do planowania budżetowego i wykonania na rok 2026, </w:t>
      </w:r>
    </w:p>
    <w:p w14:paraId="10607A98"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b) zmiana brzmienia paragrafu „067 Wpływy z opłat za korzystanie z wyżywienia w jednostkach realizujących zadania z zakresu wychowania przedszkolnego” wraz z objaśnieniami na „067 Wpływy z opłat za wyżywienie w żłobku, przedszkolu lub szkole”. W związku ze zgłaszanymi przez jednostki samorządu terytorialn</w:t>
      </w:r>
      <w:r w:rsidR="001113DE">
        <w:rPr>
          <w:rStyle w:val="markedcontent"/>
          <w:rFonts w:ascii="Arial" w:eastAsia="Times New Roman" w:hAnsi="Arial" w:cs="Arial"/>
          <w:lang w:eastAsia="pl-PL"/>
        </w:rPr>
        <w:t>e</w:t>
      </w:r>
      <w:r w:rsidRPr="00403FB3">
        <w:rPr>
          <w:rStyle w:val="markedcontent"/>
          <w:rFonts w:ascii="Arial" w:eastAsia="Times New Roman" w:hAnsi="Arial" w:cs="Arial"/>
          <w:lang w:eastAsia="pl-PL"/>
        </w:rPr>
        <w:t xml:space="preserve">go </w:t>
      </w:r>
      <w:r w:rsidR="001113DE" w:rsidRPr="00403FB3">
        <w:rPr>
          <w:rStyle w:val="markedcontent"/>
          <w:rFonts w:ascii="Arial" w:eastAsia="Times New Roman" w:hAnsi="Arial" w:cs="Arial"/>
          <w:lang w:eastAsia="pl-PL"/>
        </w:rPr>
        <w:t>wątpliwościami</w:t>
      </w:r>
      <w:r w:rsidRPr="00403FB3">
        <w:rPr>
          <w:rStyle w:val="markedcontent"/>
          <w:rFonts w:ascii="Arial" w:eastAsia="Times New Roman" w:hAnsi="Arial" w:cs="Arial"/>
          <w:lang w:eastAsia="pl-PL"/>
        </w:rPr>
        <w:t xml:space="preserve"> dotyczącymi sposobu klasyfikowania opłat za wyżywienie m.in. w żłobkach, zasadne jest dokonanie zmiany brzmienia dotychczasowego paragrafu 067 tak, aby wszystkie opłaty za wyżywienie były ujmowane w jednolity sposób. W wyniku tej zmiany w paragrafie tym klasyfikowane będą opłaty wnoszone za korzystanie z wyżywienia we wszy</w:t>
      </w:r>
      <w:r w:rsidR="001113DE">
        <w:rPr>
          <w:rStyle w:val="markedcontent"/>
          <w:rFonts w:ascii="Arial" w:eastAsia="Times New Roman" w:hAnsi="Arial" w:cs="Arial"/>
          <w:lang w:eastAsia="pl-PL"/>
        </w:rPr>
        <w:t>s</w:t>
      </w:r>
      <w:r w:rsidRPr="00403FB3">
        <w:rPr>
          <w:rStyle w:val="markedcontent"/>
          <w:rFonts w:ascii="Arial" w:eastAsia="Times New Roman" w:hAnsi="Arial" w:cs="Arial"/>
          <w:lang w:eastAsia="pl-PL"/>
        </w:rPr>
        <w:t xml:space="preserve">tkich publicznych szkołach, przedszkolach, żłobkach lub w innych formach opieki nad dziećmi w wieku do lat 3. Rodzaje placówek identyfikowane są za pośrednictwem rozdziałów, zatem nie spowoduje to utraty informacji zawartej w dotychczasowym paragrafie. Zmiana ta wejdzie w życie z dniem następującym po dniu ogłoszenia i będzie miała zastosowanie po raz pierwszy do planowania budżetowego i wykonania na rok 2026. W celu zachowania jednolitego klasyfikowania dochodów w bieżącym roku opłaty za wyżywienie w 2025 r. w żłobku powinny być ujmowane w sposób dotychczasowy, </w:t>
      </w:r>
    </w:p>
    <w:p w14:paraId="59823D1B"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lastRenderedPageBreak/>
        <w:t xml:space="preserve">c) uzupełnienie objaśnień do paragrafu „069 Wpływy z różnych opłat” o wynikające z ustawy z dnia 29 sierpnia 1997 r. – Ordynacja podatkowa (Dz. U. z 2025 r. poz. 111, z późn. zm.) opłaty: </w:t>
      </w:r>
    </w:p>
    <w:p w14:paraId="67A818E6"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 związane z opodatkowaniem wyrównawczym,  </w:t>
      </w:r>
    </w:p>
    <w:p w14:paraId="6B23FE63"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 z tytułu złożenia wniosku o zawarcie porozumienia inwestycyjnego (przy czym opłaty te mogą dotyczyć wniosków o zawarcie porozumienia inwestycyjnego, które będą obejmowały ekwiwalenty opinii w sprawach opodatkowania wyrównawczego zgodnie z art. 20zt pkt 2a ustawy – Ordynacja podatkowa), </w:t>
      </w:r>
    </w:p>
    <w:p w14:paraId="49C22F1C"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 od wniosku o wydanie opinii zabezpieczającej, </w:t>
      </w:r>
    </w:p>
    <w:p w14:paraId="4EEE6ABC"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 od wniosku o wydanie decyzji określającej warunki cofnięcia skutków unikania opodatkowania, </w:t>
      </w:r>
    </w:p>
    <w:p w14:paraId="25F3F9FF"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 od wniosku o wydanie opinii w zakresie transgranicznego przekształcenia, połączenia albo podziału spółki.  </w:t>
      </w:r>
    </w:p>
    <w:p w14:paraId="41F6DBEF"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Otwarty katalog opłat w objaśnieniach do paragrafu 069 uzupełnia się również o opłaty za pobyt dziecka w żłobku lub w innej formie opieki nad dziećmi w wieku do lat 3, w tym finansowane przez rodziców oraz przez Zakład Ubezpieczeń Społecznych na podstawie ustawy z 15 maja 2024 r. o wspieraniu rodziców w aktywności zawodowej oraz w wychowaniu dziecka – „Aktywny rodzic” (Dz. U. poz. 858, z późn. zm.). Pozwoli to na rozwianie wątpliwości dotyczących ujmowania tych opłat. W odniesieniu do objaśnień do paragrafu 069, z uwagi na potrzebę zachowania jednolitego ich brzmienia w całym roku budżetowym, zasadne jest przyjęcie terminu wejścia w życie zmiany z mocą od 1 stycznia 2025 r. Projektowane zmiany stanowią wyłącznie doprecyzowanie zawartości paragrafu (uzupełnienie katalogu opłat, m.in. o opłaty za żłobki i inne formy opieki nad dziećmi w wieku do lat 3) i w związku z tym nie wpływają na jego merytoryczny zakres, </w:t>
      </w:r>
    </w:p>
    <w:p w14:paraId="24EA1C6C"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d) zmianę objaśnień do paragrafu „269 Środki z Funduszu Pracy otrzymane na realizację zadań wynikających z odrębnych ustaw” poprzez: uwzględnienie w tiret pierwszym zmiany podstawy prawnej w związku z wejściem w życie ustawy z dnia 20 marca 2025 r. o rynku pracy i służbach zatrudnienia (Dz. U. poz. 620) oraz nadanie tiret drugiemu brzmienia: „środki Funduszu Pracy przeznaczone na realizację innych zadań wynikających z odrębnych ustaw”. Bardziej ogólne brzmienie tiret drugiego pozwoli na ujmowanie w paragrafie 269 różnych zadań realizowanych ze środków Funduszu Pracy na podstawie innych ustaw (np. ustawy z dnia 4 listopada 2016 r. o wsparciu kobiet w ciąży i rodzin „Za życiem” (Dz. U. z 2024 r. poz. 1829), ustawy z dnia 4 lutego 2011 r. o opiece nad dziećmi w wieku do lat 3 (Dz. U. 2025 r. poz. 798), czy ustawy z dnia 15 maja 2024 r. o wspieraniu rodziców w aktywności zawodowej oraz w wychowaniu dziecka – „Aktywny rodzic” (Dz. U. poz. 858, z późn. zm.)). Projektowane zmiany stanowią wyłącznie doprecyzowanie zawartości paragrafu i nie wpływają na jego merytoryczny zakres. Wejdą one w życie z dniem następującym po dniu ogłoszenia rozporządzenia;  </w:t>
      </w:r>
    </w:p>
    <w:p w14:paraId="7876E234"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3. w załączniku nr 4 do rozporządzenia:  </w:t>
      </w:r>
    </w:p>
    <w:p w14:paraId="041322E7"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a) uzupełnienie grupy wydatków w jednostkach samorządu terytorialnego o symbolu 1610 „Wydatki o charakterze dotacyjnym na inwestycje i zakupy inwestycyjne (art. 236 ust. 4 pkt 1 ustawy) 619 do 623, 630, 647, 656, 657, 659, 661 do 665, 672 do 676, w połączeniu z czwartą cyfrą „0”, „3”, „4” ” o paragraf 625. Zmiana wprowadzana jest w związku z realizacją przez województwa zadań w ramach części pożyczkowej KPO. Środki otrzymywane przez </w:t>
      </w:r>
      <w:r w:rsidRPr="00403FB3">
        <w:rPr>
          <w:rStyle w:val="markedcontent"/>
          <w:rFonts w:ascii="Arial" w:eastAsia="Times New Roman" w:hAnsi="Arial" w:cs="Arial"/>
          <w:lang w:eastAsia="pl-PL"/>
        </w:rPr>
        <w:lastRenderedPageBreak/>
        <w:t xml:space="preserve">województwa z Mnisterstwa Rolnictwa i Rozwoju Wsi oraz przekazywane jednostkom samorządu terytorialnego na realizację projektów w paragrafie wydatkowym „625 Dotacja celowa w ramach programów finansowanych z udziałem środków europejskich oraz środków, o których mowa w art. 5 ust. 3 pkt 5 lit. a i b ustawy lub płatności w ramach budżetu środków europejskich, realizowanych przez jednostki samorządu terytorialnego” powinny być ujmowane w paragrafie z czwartą cyfrą „3”. Zmiana ta pozwoli na właściwe przyporządkowanie tego przepływu do grup wydatków i wejdzie w życie z mocą od 1 stycznia 2025 r.,  </w:t>
      </w:r>
    </w:p>
    <w:p w14:paraId="7EB849A2" w14:textId="7EEDCE60"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b) zmianę objaśnień do paragrafu „269 Środki Funduszu Pracy przekazane na realizację zadań wynikających z odrębnych ustaw”, analogiczną do wprowadzanej do paragrafu dochodowego 269 w załączniku nr 3 (pkt 2d) – zmiana ta wejdzie w życie z dniem następującym po dniu ogłoszenia rozporządzenia, </w:t>
      </w:r>
    </w:p>
    <w:p w14:paraId="15D5FEC0"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c) zmianę brzmienia paragrafu „431 Realizacja zleconych programów poręczeniowo</w:t>
      </w:r>
      <w:r w:rsidR="001113DE">
        <w:rPr>
          <w:rStyle w:val="markedcontent"/>
          <w:rFonts w:ascii="Arial" w:eastAsia="Times New Roman" w:hAnsi="Arial" w:cs="Arial"/>
          <w:lang w:eastAsia="pl-PL"/>
        </w:rPr>
        <w:t>-</w:t>
      </w:r>
      <w:r w:rsidRPr="00403FB3">
        <w:rPr>
          <w:rStyle w:val="markedcontent"/>
          <w:rFonts w:ascii="Arial" w:eastAsia="Times New Roman" w:hAnsi="Arial" w:cs="Arial"/>
          <w:lang w:eastAsia="pl-PL"/>
        </w:rPr>
        <w:t>gwarancyjnych” na „431 Realizacja zleconych programów poręczeniowo</w:t>
      </w:r>
      <w:r w:rsidR="001113DE">
        <w:rPr>
          <w:rStyle w:val="markedcontent"/>
          <w:rFonts w:ascii="Arial" w:eastAsia="Times New Roman" w:hAnsi="Arial" w:cs="Arial"/>
          <w:lang w:eastAsia="pl-PL"/>
        </w:rPr>
        <w:t>-</w:t>
      </w:r>
      <w:r w:rsidRPr="00403FB3">
        <w:rPr>
          <w:rStyle w:val="markedcontent"/>
          <w:rFonts w:ascii="Arial" w:eastAsia="Times New Roman" w:hAnsi="Arial" w:cs="Arial"/>
          <w:lang w:eastAsia="pl-PL"/>
        </w:rPr>
        <w:t xml:space="preserve">gwarancyjnych i wspierania eksportu”. Zmiana umożliwi ujmowanie w tym paragrafie wydatków na realizację programów FWE i DOKE przekazywanych do BGK, które dotychczas ujmowane były w paragrafie „430 Zakup usług pozostałych”. Umożliwi to bardziej przejrzyste ewidencjonowanie tych wydatków. Jednocześnie zmiana ta realizuje zalecenia NIK zawarte w wystąpieniu pokontrolnym (P/25/001 Wykonanie budżetu państwa w 2024 r. w części 19 – Budżet, finanse publiczne i instytucje finansowe), dotyczące podjęcia prac w celu wyodrębnienia w klasyfikacji budżetowej wydatków ponoszonych w ramach wyżej wymienionych programów pomocowych, nie stanowiących zakupu usług. Zmiana ta wejdzie w życie z dniem następującym po dniu ogłoszenia i będzie miała zastosowanie po raz pierwszy do planowania budżetowego i wykonania na rok 2026, </w:t>
      </w:r>
    </w:p>
    <w:p w14:paraId="467890CB"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d) dodanie paragrafu „850 Rezerwy” wraz z objaśnieniami, aby wydatki z tytułu rezerw celowych w grupie ekonomicznej „Środki własne Unii Europejskiej” były planowane w odrębnym paragrafie, analogicznie jak to ma miejsce w przypadku rezerw ujętych w innych grupach ekonomicznych, np. dotacjach i subwencjach, świadczeniach na rzecz osób fizycznych, wydatkach bieżących i majątkowych. Paragraf ten będzie dotyczył tylko rezerw planowanych przez Ministra Finansów. W konsekwencji dostosowano również zakres grupy ekonomicznej „Środki własne Unii Europejskiej”. Zmiana ta wejdzie w życie z dniem następującym po dniu ogłoszenia i będzie miała zastosowanie po raz pierwszy do planowania budżetowego i wykonania na rok 2026; </w:t>
      </w:r>
    </w:p>
    <w:p w14:paraId="2AB10895"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4. w załączniku nr 7 do rozporządzenia: </w:t>
      </w:r>
    </w:p>
    <w:p w14:paraId="5E2FEC8B"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a) dodanie w paragrafie 311 pozycji „311018 Wypłaty z tytułu zbiegu świadczeń z rentą rodzinną”, w związku z wejściem w życie ustawy z dnia 26 lipca 2024 r. o zmianie ustawy o emeryturach i rentach z Funduszu Ubezpieczeń Społecznych oraz niektórych innych ustaw (Dz. U. poz. 1243, z późn. zm.), która wprowadza od 1 lipca 2025 r. wypłaty z tytułu zbiegu świadczeń z rentą rodzinną. Zmiana wejdzie w życie z mocą od 1 lipca 2025 r., </w:t>
      </w:r>
    </w:p>
    <w:p w14:paraId="5F9030B4"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b) zmianę brzmienia pozycji „606006 Sprzęt inżynieryjny oraz kolejowy dla celów wojskowych” na „606006 Sprzęt inżynieryjny i obrony przed bronią masowego rażenia” w paragrafie „606 Wydatki na zakupy inwestycyjne jednostek budżetowych”. Powyższa zmiana wejdzie w życie z dniem następującym po dniu ogłoszenia i będzie miała zastosowanie po raz pierwszy do planowania budżetowego i wykonania na rok 2026, </w:t>
      </w:r>
    </w:p>
    <w:p w14:paraId="325348C1"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lastRenderedPageBreak/>
        <w:t xml:space="preserve">c) dodanie pozycji „606016 Wykup składników majątku, służących do prowadzenia działalności w dziedzinie obronności i bezpieczeństwa państwa na podstawie ustawy z dnia 28 lutego 2003 r. – Prawo upadłościowe (Dz. U. z 2025 r. poz. 614, z późn. zm.)”. Zmiana umożliwia uwzględnienie zdarzeń wynikających z zastosowania art. 311 ustawy – Prawo upadłościowe. Zgodnie z tym przepisem w toku likwidacji masy upadłości poprzez sprzedaż składnków majątkowych Skarbowi Państwa reprezentowanemu przez Ministra Obrony Narodowej przysługuje prawo wykupu składników majątku służących do prowadzenia działalności w dziedzinie obronności i bezpieczeństwa państwa. W związku z tym istnieje potrzeba dostosowania szczegółowego zakresu tego paragrafu. Projektowana zmiana stanowi wyłącznie doprecyzowanie zawartości paragrafu i nie wpływa na jego merytoryczny zakres. Zmiana ta wejdzie w życie z dniem następującym po dniu ogłoszenia rozporządzenia, </w:t>
      </w:r>
    </w:p>
    <w:p w14:paraId="6438BA89"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d) dodanie pozycji 606017–606020:  „606017 Bezzałogowe systemy uzbrojenia i zabezpieczenia działań wojsk 606018 Sprzęt kolejowy dla celów wojskowych 606019 Sprzęt przeładunkowy i mechanizacji prac przeładunkowych 606020 Sprzęt satelitarny”.  Zmiany pozycji 606006 oraz 606017–606020 mają charakter porządkowy, dostosowujący terminologię stosowaną w rozporządzeniu do obowiązującej w resorcie obrony narodowej oraz umożliwiający właściwe klasyfikowanie wydatków w ujęciu zdolności operacyjnych Sił Zbrojnych RP. Projektowana zmiana wejdzie w życie z dniem następującym po dniu ogłoszenia i będzie miała zastosowanie po raz pierwszy do planowania budżetowego i wykonania na rok 2026; </w:t>
      </w:r>
    </w:p>
    <w:p w14:paraId="44806295"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5. w załączniku nr 8 do rozporządzenia dodanie pozycji „311017 Świadczenie pieniężne przysługujące członkom rodziny funkcjonariuszy lub żołnierzy zawodowych, których śmierć nastąpiła w związku ze służbą albo podjęciem poza służbą czynności ratowania życia lub zdrowia ludzkiego albo mienia” w paragrafie „311 Świadczenia społeczne”. Zmiana ta wejdzie w życie z mocą od 1 stycznia 2025 r. </w:t>
      </w:r>
    </w:p>
    <w:p w14:paraId="55C5892F" w14:textId="77777777" w:rsidR="001113DE" w:rsidRDefault="001113DE" w:rsidP="00403FB3">
      <w:pPr>
        <w:spacing w:after="0" w:line="300" w:lineRule="auto"/>
        <w:jc w:val="both"/>
        <w:rPr>
          <w:rStyle w:val="markedcontent"/>
          <w:rFonts w:ascii="Arial" w:eastAsia="Times New Roman" w:hAnsi="Arial" w:cs="Arial"/>
          <w:lang w:eastAsia="pl-PL"/>
        </w:rPr>
      </w:pPr>
      <w:r>
        <w:rPr>
          <w:rStyle w:val="markedcontent"/>
          <w:rFonts w:ascii="Arial" w:eastAsia="Times New Roman" w:hAnsi="Arial" w:cs="Arial"/>
          <w:lang w:eastAsia="pl-PL"/>
        </w:rPr>
        <w:t>R</w:t>
      </w:r>
      <w:r w:rsidR="00403FB3" w:rsidRPr="00403FB3">
        <w:rPr>
          <w:rStyle w:val="markedcontent"/>
          <w:rFonts w:ascii="Arial" w:eastAsia="Times New Roman" w:hAnsi="Arial" w:cs="Arial"/>
          <w:lang w:eastAsia="pl-PL"/>
        </w:rPr>
        <w:t>ozporządzenie we</w:t>
      </w:r>
      <w:r>
        <w:rPr>
          <w:rStyle w:val="markedcontent"/>
          <w:rFonts w:ascii="Arial" w:eastAsia="Times New Roman" w:hAnsi="Arial" w:cs="Arial"/>
          <w:lang w:eastAsia="pl-PL"/>
        </w:rPr>
        <w:t>jdzie</w:t>
      </w:r>
      <w:r w:rsidR="00403FB3" w:rsidRPr="00403FB3">
        <w:rPr>
          <w:rStyle w:val="markedcontent"/>
          <w:rFonts w:ascii="Arial" w:eastAsia="Times New Roman" w:hAnsi="Arial" w:cs="Arial"/>
          <w:lang w:eastAsia="pl-PL"/>
        </w:rPr>
        <w:t xml:space="preserve"> w życie z dniem następującym po dniu ogłoszenia, z wyjątkiem części zmian, które wejdą w życie z mocą od dnia 1 stycznia 2025 r. i z mocą od dnia 1 lipca 2025 r. (co wynika z § 4 rozporządzenia i opisane jest powyżej w uzasadnieniu). </w:t>
      </w:r>
    </w:p>
    <w:p w14:paraId="5ED71A3F"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Wprowadzane zmiany będą miały zastosowanie do wykonania budżetów na rok 2025 i planowania budżetowego na rok 2026, z wyjątkiem zmian określonych w § 3 rozporządzenia.</w:t>
      </w:r>
    </w:p>
    <w:p w14:paraId="722080DB" w14:textId="6C169FF5"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Zgodnie z § 3 zastosowanie po raz pierwszy do planowania na rok 2026 będą miały podziałki nowo tworzone oraz część podziałek, którym nadaje się nowe brzmienie, nie będzie się zaś stosować podziałek uchylanych rozporządzeniem. W związku z tym należy przyjąć, że do wykonania za rok 2025 podziałki zmieniane i uchylane, o których mowa w § 3 stosuje się w dotychczasowym brzmieniu. </w:t>
      </w:r>
    </w:p>
    <w:p w14:paraId="0B1E86ED" w14:textId="77777777" w:rsidR="001113DE"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Terminy wejścia w życie i stosowania przepisów rozporządzenia (opisane powyżej) zostały skorelowane z terminami wejścia w życie przepisów stanowiących podstawę ich wprowadzenia oraz terminami wynikającymi z cyklu budżetowego w celu zapewnienia jednolitego ujęcia środków w trakcie roku. </w:t>
      </w:r>
    </w:p>
    <w:p w14:paraId="33858707" w14:textId="2F1A8EB5" w:rsidR="00403FB3" w:rsidRPr="00403FB3" w:rsidRDefault="00403FB3" w:rsidP="00403FB3">
      <w:pPr>
        <w:spacing w:after="0" w:line="300" w:lineRule="auto"/>
        <w:jc w:val="both"/>
        <w:rPr>
          <w:rStyle w:val="markedcontent"/>
          <w:rFonts w:ascii="Arial" w:eastAsia="Times New Roman" w:hAnsi="Arial" w:cs="Arial"/>
          <w:lang w:eastAsia="pl-PL"/>
        </w:rPr>
      </w:pPr>
      <w:r w:rsidRPr="00403FB3">
        <w:rPr>
          <w:rStyle w:val="markedcontent"/>
          <w:rFonts w:ascii="Arial" w:eastAsia="Times New Roman" w:hAnsi="Arial" w:cs="Arial"/>
          <w:lang w:eastAsia="pl-PL"/>
        </w:rPr>
        <w:t xml:space="preserve">Jednostki samorządu terytorialnego będą miały 3 miesiące od dnia wejścia w życie rozporządzenia na dostosowanie  uchwał budżetowych na rok 2025 do zmian wprowadzonych niniejszym rozporządzeniem. Zasady demokratycznego państwa prawnego nie stoją temu na przeszkodzie. Stosowanie podziałek klasyfikacyjnych odnosi się jedynie do jednostek z </w:t>
      </w:r>
      <w:r w:rsidRPr="00403FB3">
        <w:rPr>
          <w:rStyle w:val="markedcontent"/>
          <w:rFonts w:ascii="Arial" w:eastAsia="Times New Roman" w:hAnsi="Arial" w:cs="Arial"/>
          <w:lang w:eastAsia="pl-PL"/>
        </w:rPr>
        <w:lastRenderedPageBreak/>
        <w:t>sektora finansów publicznych, m.in. do organów administracji publicznej. Przedmiot rozporządzenia nie jest objęty zakresem prawa Unii Europejskiej.</w:t>
      </w:r>
    </w:p>
    <w:p w14:paraId="7DC8AFC8" w14:textId="77777777" w:rsidR="00FE3960" w:rsidRPr="00403FB3" w:rsidRDefault="00FE3960" w:rsidP="00403FB3">
      <w:pPr>
        <w:spacing w:after="0" w:line="300" w:lineRule="auto"/>
        <w:jc w:val="both"/>
        <w:rPr>
          <w:rFonts w:ascii="Arial" w:eastAsia="Times New Roman" w:hAnsi="Arial" w:cs="Arial"/>
          <w:lang w:eastAsia="pl-PL"/>
        </w:rPr>
      </w:pPr>
    </w:p>
    <w:p w14:paraId="2E4FC5E9" w14:textId="5EC8CD61" w:rsidR="00834EE9" w:rsidRPr="00834EE9" w:rsidRDefault="00834EE9" w:rsidP="00834EE9">
      <w:pPr>
        <w:pStyle w:val="Akapitzlist"/>
        <w:numPr>
          <w:ilvl w:val="0"/>
          <w:numId w:val="2"/>
        </w:numPr>
        <w:spacing w:after="0" w:line="300" w:lineRule="auto"/>
        <w:jc w:val="both"/>
        <w:rPr>
          <w:rFonts w:ascii="Arial" w:hAnsi="Arial" w:cs="Arial"/>
          <w:b/>
          <w:bCs/>
          <w:u w:val="single"/>
        </w:rPr>
      </w:pPr>
      <w:r w:rsidRPr="00834EE9">
        <w:rPr>
          <w:rFonts w:ascii="Arial" w:hAnsi="Arial" w:cs="Arial"/>
          <w:b/>
          <w:bCs/>
          <w:u w:val="single"/>
        </w:rPr>
        <w:t>Rozporządzenie Rady Ministrów z dnia 11 września 2025 r. w sprawie wysokości minimalnego wynagrodzenia za pracę oraz wysokości minimalnej stawki godzinowej w 2026 r.</w:t>
      </w:r>
    </w:p>
    <w:p w14:paraId="6D9741EB" w14:textId="77777777" w:rsidR="00834EE9" w:rsidRPr="00834EE9" w:rsidRDefault="00834EE9" w:rsidP="00834EE9">
      <w:pPr>
        <w:spacing w:after="0" w:line="300" w:lineRule="auto"/>
        <w:jc w:val="both"/>
        <w:rPr>
          <w:rFonts w:ascii="Arial" w:hAnsi="Arial" w:cs="Arial"/>
        </w:rPr>
      </w:pPr>
    </w:p>
    <w:p w14:paraId="4AA7D5A1" w14:textId="77777777" w:rsidR="00834EE9" w:rsidRPr="00834EE9" w:rsidRDefault="00834EE9" w:rsidP="00834EE9">
      <w:pPr>
        <w:spacing w:after="0" w:line="300" w:lineRule="auto"/>
        <w:jc w:val="both"/>
        <w:rPr>
          <w:rFonts w:ascii="Arial" w:hAnsi="Arial" w:cs="Arial"/>
        </w:rPr>
      </w:pPr>
      <w:r w:rsidRPr="00834EE9">
        <w:rPr>
          <w:rFonts w:ascii="Arial" w:hAnsi="Arial" w:cs="Arial"/>
        </w:rPr>
        <w:t>Powyższy akt prawny ogłoszony został 15 września 2025 roku w Dzienniku Ustaw (Dz.U. z 2025, poz. 1242).</w:t>
      </w:r>
    </w:p>
    <w:p w14:paraId="23BB600D" w14:textId="77777777" w:rsidR="00834EE9" w:rsidRPr="00834EE9" w:rsidRDefault="00834EE9" w:rsidP="00834EE9">
      <w:pPr>
        <w:spacing w:after="0" w:line="300" w:lineRule="auto"/>
        <w:jc w:val="both"/>
        <w:rPr>
          <w:rFonts w:ascii="Arial" w:hAnsi="Arial" w:cs="Arial"/>
        </w:rPr>
      </w:pPr>
    </w:p>
    <w:p w14:paraId="66608F0A" w14:textId="77777777" w:rsidR="00834EE9" w:rsidRPr="00834EE9" w:rsidRDefault="00834EE9" w:rsidP="00834EE9">
      <w:pPr>
        <w:spacing w:after="0" w:line="300" w:lineRule="auto"/>
        <w:jc w:val="both"/>
        <w:rPr>
          <w:rFonts w:ascii="Arial" w:hAnsi="Arial" w:cs="Arial"/>
        </w:rPr>
      </w:pPr>
      <w:r w:rsidRPr="00834EE9">
        <w:rPr>
          <w:rFonts w:ascii="Arial" w:hAnsi="Arial" w:cs="Arial"/>
        </w:rPr>
        <w:t xml:space="preserve">Od dnia 1 stycznia 2026 r. ustala się minimalne wynagrodzenie za pracę w wysokości 4806 złotych. </w:t>
      </w:r>
    </w:p>
    <w:p w14:paraId="215C54F1" w14:textId="77777777" w:rsidR="00834EE9" w:rsidRPr="00834EE9" w:rsidRDefault="00834EE9" w:rsidP="00834EE9">
      <w:pPr>
        <w:spacing w:after="0" w:line="300" w:lineRule="auto"/>
        <w:jc w:val="both"/>
        <w:rPr>
          <w:rFonts w:ascii="Arial" w:hAnsi="Arial" w:cs="Arial"/>
        </w:rPr>
      </w:pPr>
      <w:r w:rsidRPr="00834EE9">
        <w:rPr>
          <w:rFonts w:ascii="Arial" w:hAnsi="Arial" w:cs="Arial"/>
        </w:rPr>
        <w:t>Od dnia 1 stycznia 2026 r. ustala się minimalną stawkę godzinową w wysokości 31,40 złotych.</w:t>
      </w:r>
    </w:p>
    <w:p w14:paraId="6E336103" w14:textId="77777777" w:rsidR="00834EE9" w:rsidRPr="00834EE9" w:rsidRDefault="00834EE9" w:rsidP="00834EE9">
      <w:pPr>
        <w:spacing w:after="0" w:line="300" w:lineRule="auto"/>
        <w:jc w:val="both"/>
        <w:rPr>
          <w:rFonts w:ascii="Arial" w:hAnsi="Arial" w:cs="Arial"/>
        </w:rPr>
      </w:pPr>
    </w:p>
    <w:p w14:paraId="170C856B" w14:textId="441DAA86" w:rsidR="00FE3960" w:rsidRPr="00403FB3" w:rsidRDefault="00834EE9" w:rsidP="00834EE9">
      <w:pPr>
        <w:spacing w:after="0" w:line="300" w:lineRule="auto"/>
        <w:jc w:val="both"/>
        <w:rPr>
          <w:rFonts w:ascii="Arial" w:hAnsi="Arial" w:cs="Arial"/>
        </w:rPr>
      </w:pPr>
      <w:r w:rsidRPr="00834EE9">
        <w:rPr>
          <w:rFonts w:ascii="Arial" w:hAnsi="Arial" w:cs="Arial"/>
        </w:rPr>
        <w:t>Rozporządzenie wchodzi w życie z dniem 1 stycznia 2026 r.</w:t>
      </w:r>
    </w:p>
    <w:p w14:paraId="2A414D79" w14:textId="77777777" w:rsidR="00580328" w:rsidRPr="00403FB3" w:rsidRDefault="00580328" w:rsidP="00FE3960">
      <w:pPr>
        <w:spacing w:after="0" w:line="300" w:lineRule="auto"/>
      </w:pPr>
    </w:p>
    <w:sectPr w:rsidR="00580328" w:rsidRPr="00403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D25"/>
    <w:multiLevelType w:val="hybridMultilevel"/>
    <w:tmpl w:val="037CFF2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282CE8"/>
    <w:multiLevelType w:val="hybridMultilevel"/>
    <w:tmpl w:val="A052DCEC"/>
    <w:lvl w:ilvl="0" w:tplc="691E2A8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24161"/>
    <w:multiLevelType w:val="hybridMultilevel"/>
    <w:tmpl w:val="B262F5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164D83"/>
    <w:multiLevelType w:val="hybridMultilevel"/>
    <w:tmpl w:val="3564B672"/>
    <w:lvl w:ilvl="0" w:tplc="E67850C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142E4"/>
    <w:multiLevelType w:val="hybridMultilevel"/>
    <w:tmpl w:val="C2246B0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4A55ED"/>
    <w:multiLevelType w:val="hybridMultilevel"/>
    <w:tmpl w:val="3DD465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440A93"/>
    <w:multiLevelType w:val="hybridMultilevel"/>
    <w:tmpl w:val="BC6854E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86478F"/>
    <w:multiLevelType w:val="hybridMultilevel"/>
    <w:tmpl w:val="D72C5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4A6DFC"/>
    <w:multiLevelType w:val="hybridMultilevel"/>
    <w:tmpl w:val="E9E0EB48"/>
    <w:lvl w:ilvl="0" w:tplc="0415000F">
      <w:start w:val="1"/>
      <w:numFmt w:val="decimal"/>
      <w:lvlText w:val="%1."/>
      <w:lvlJc w:val="left"/>
      <w:pPr>
        <w:ind w:left="720" w:hanging="360"/>
      </w:pPr>
    </w:lvl>
    <w:lvl w:ilvl="1" w:tplc="EB92C8BC">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6E1CAC"/>
    <w:multiLevelType w:val="hybridMultilevel"/>
    <w:tmpl w:val="65B653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C3204"/>
    <w:multiLevelType w:val="hybridMultilevel"/>
    <w:tmpl w:val="FAEE4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F27711"/>
    <w:multiLevelType w:val="hybridMultilevel"/>
    <w:tmpl w:val="4418C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2B58CC"/>
    <w:multiLevelType w:val="hybridMultilevel"/>
    <w:tmpl w:val="B164D6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697612"/>
    <w:multiLevelType w:val="hybridMultilevel"/>
    <w:tmpl w:val="A962BAA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05E740C"/>
    <w:multiLevelType w:val="hybridMultilevel"/>
    <w:tmpl w:val="8B8019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AE754A"/>
    <w:multiLevelType w:val="hybridMultilevel"/>
    <w:tmpl w:val="0CBCE66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3F63EE"/>
    <w:multiLevelType w:val="hybridMultilevel"/>
    <w:tmpl w:val="28C0918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DC7223"/>
    <w:multiLevelType w:val="hybridMultilevel"/>
    <w:tmpl w:val="D04EFD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095869"/>
    <w:multiLevelType w:val="hybridMultilevel"/>
    <w:tmpl w:val="EA2080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64115AD"/>
    <w:multiLevelType w:val="hybridMultilevel"/>
    <w:tmpl w:val="97E84C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6DC63CD"/>
    <w:multiLevelType w:val="hybridMultilevel"/>
    <w:tmpl w:val="FD30D2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3BF33F1"/>
    <w:multiLevelType w:val="hybridMultilevel"/>
    <w:tmpl w:val="7A48B76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B12CE"/>
    <w:multiLevelType w:val="hybridMultilevel"/>
    <w:tmpl w:val="349A66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7F0090A"/>
    <w:multiLevelType w:val="hybridMultilevel"/>
    <w:tmpl w:val="F21E332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35F00"/>
    <w:multiLevelType w:val="hybridMultilevel"/>
    <w:tmpl w:val="DC88C896"/>
    <w:lvl w:ilvl="0" w:tplc="70DC005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7C12AA"/>
    <w:multiLevelType w:val="hybridMultilevel"/>
    <w:tmpl w:val="51F80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C265E2"/>
    <w:multiLevelType w:val="hybridMultilevel"/>
    <w:tmpl w:val="BF6E80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8"/>
  </w:num>
  <w:num w:numId="2" w16cid:durableId="3118319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5"/>
  </w:num>
  <w:num w:numId="4" w16cid:durableId="5788216">
    <w:abstractNumId w:val="20"/>
  </w:num>
  <w:num w:numId="5" w16cid:durableId="1820147117">
    <w:abstractNumId w:val="17"/>
  </w:num>
  <w:num w:numId="6" w16cid:durableId="536703194">
    <w:abstractNumId w:val="10"/>
  </w:num>
  <w:num w:numId="7" w16cid:durableId="970743703">
    <w:abstractNumId w:val="3"/>
  </w:num>
  <w:num w:numId="8" w16cid:durableId="943154665">
    <w:abstractNumId w:val="30"/>
  </w:num>
  <w:num w:numId="9" w16cid:durableId="188841072">
    <w:abstractNumId w:val="29"/>
  </w:num>
  <w:num w:numId="10" w16cid:durableId="1589923204">
    <w:abstractNumId w:val="31"/>
  </w:num>
  <w:num w:numId="11" w16cid:durableId="1763447578">
    <w:abstractNumId w:val="18"/>
  </w:num>
  <w:num w:numId="12" w16cid:durableId="602960830">
    <w:abstractNumId w:val="6"/>
  </w:num>
  <w:num w:numId="13" w16cid:durableId="1088186210">
    <w:abstractNumId w:val="24"/>
  </w:num>
  <w:num w:numId="14" w16cid:durableId="375356536">
    <w:abstractNumId w:val="21"/>
  </w:num>
  <w:num w:numId="15" w16cid:durableId="2102405905">
    <w:abstractNumId w:val="27"/>
  </w:num>
  <w:num w:numId="16" w16cid:durableId="296839745">
    <w:abstractNumId w:val="2"/>
  </w:num>
  <w:num w:numId="17" w16cid:durableId="95175132">
    <w:abstractNumId w:val="16"/>
  </w:num>
  <w:num w:numId="18" w16cid:durableId="649016201">
    <w:abstractNumId w:val="14"/>
  </w:num>
  <w:num w:numId="19" w16cid:durableId="1359116615">
    <w:abstractNumId w:val="25"/>
  </w:num>
  <w:num w:numId="20" w16cid:durableId="451828375">
    <w:abstractNumId w:val="9"/>
  </w:num>
  <w:num w:numId="21" w16cid:durableId="1713460234">
    <w:abstractNumId w:val="15"/>
  </w:num>
  <w:num w:numId="22" w16cid:durableId="1550386135">
    <w:abstractNumId w:val="0"/>
  </w:num>
  <w:num w:numId="23" w16cid:durableId="1328940449">
    <w:abstractNumId w:val="11"/>
  </w:num>
  <w:num w:numId="24" w16cid:durableId="1711228374">
    <w:abstractNumId w:val="7"/>
  </w:num>
  <w:num w:numId="25" w16cid:durableId="1144204267">
    <w:abstractNumId w:val="4"/>
  </w:num>
  <w:num w:numId="26" w16cid:durableId="1366834881">
    <w:abstractNumId w:val="26"/>
  </w:num>
  <w:num w:numId="27" w16cid:durableId="657418565">
    <w:abstractNumId w:val="13"/>
  </w:num>
  <w:num w:numId="28" w16cid:durableId="1660689933">
    <w:abstractNumId w:val="19"/>
  </w:num>
  <w:num w:numId="29" w16cid:durableId="14965424">
    <w:abstractNumId w:val="22"/>
  </w:num>
  <w:num w:numId="30" w16cid:durableId="102968819">
    <w:abstractNumId w:val="28"/>
  </w:num>
  <w:num w:numId="31" w16cid:durableId="2133551368">
    <w:abstractNumId w:val="12"/>
  </w:num>
  <w:num w:numId="32" w16cid:durableId="185958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60"/>
    <w:rsid w:val="00071853"/>
    <w:rsid w:val="00072A1B"/>
    <w:rsid w:val="000D45DB"/>
    <w:rsid w:val="001113DE"/>
    <w:rsid w:val="001262EA"/>
    <w:rsid w:val="002F28EF"/>
    <w:rsid w:val="00403FB3"/>
    <w:rsid w:val="00580328"/>
    <w:rsid w:val="005B6A86"/>
    <w:rsid w:val="00681C4D"/>
    <w:rsid w:val="0070355A"/>
    <w:rsid w:val="00834EE9"/>
    <w:rsid w:val="008B20D5"/>
    <w:rsid w:val="008D79F3"/>
    <w:rsid w:val="008F6FED"/>
    <w:rsid w:val="00AB0FAF"/>
    <w:rsid w:val="00B20CA6"/>
    <w:rsid w:val="00D314A4"/>
    <w:rsid w:val="00F20E38"/>
    <w:rsid w:val="00F86BEB"/>
    <w:rsid w:val="00FA1FB5"/>
    <w:rsid w:val="00FE39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9D02"/>
  <w15:chartTrackingRefBased/>
  <w15:docId w15:val="{44EC1A52-3848-4E2D-BB1A-F544877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3960"/>
    <w:pPr>
      <w:spacing w:after="200" w:line="276" w:lineRule="auto"/>
    </w:pPr>
    <w:rPr>
      <w:kern w:val="0"/>
      <w14:ligatures w14:val="none"/>
    </w:rPr>
  </w:style>
  <w:style w:type="paragraph" w:styleId="Nagwek1">
    <w:name w:val="heading 1"/>
    <w:basedOn w:val="Normalny"/>
    <w:next w:val="Normalny"/>
    <w:link w:val="Nagwek1Znak"/>
    <w:uiPriority w:val="9"/>
    <w:qFormat/>
    <w:rsid w:val="00FE3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E3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E3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E3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E3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E3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E3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E3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E3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E3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E3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E3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E3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E3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E3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E3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E3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E3960"/>
    <w:rPr>
      <w:rFonts w:eastAsiaTheme="majorEastAsia" w:cstheme="majorBidi"/>
      <w:color w:val="272727" w:themeColor="text1" w:themeTint="D8"/>
    </w:rPr>
  </w:style>
  <w:style w:type="paragraph" w:styleId="Tytu">
    <w:name w:val="Title"/>
    <w:basedOn w:val="Normalny"/>
    <w:next w:val="Normalny"/>
    <w:link w:val="TytuZnak"/>
    <w:uiPriority w:val="10"/>
    <w:qFormat/>
    <w:rsid w:val="00FE3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E3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E3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E3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E3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FE3960"/>
    <w:rPr>
      <w:i/>
      <w:iCs/>
      <w:color w:val="404040" w:themeColor="text1" w:themeTint="BF"/>
    </w:rPr>
  </w:style>
  <w:style w:type="paragraph" w:styleId="Akapitzlist">
    <w:name w:val="List Paragraph"/>
    <w:basedOn w:val="Normalny"/>
    <w:uiPriority w:val="34"/>
    <w:qFormat/>
    <w:rsid w:val="00FE3960"/>
    <w:pPr>
      <w:ind w:left="720"/>
      <w:contextualSpacing/>
    </w:pPr>
  </w:style>
  <w:style w:type="character" w:styleId="Wyrnienieintensywne">
    <w:name w:val="Intense Emphasis"/>
    <w:basedOn w:val="Domylnaczcionkaakapitu"/>
    <w:uiPriority w:val="21"/>
    <w:qFormat/>
    <w:rsid w:val="00FE3960"/>
    <w:rPr>
      <w:i/>
      <w:iCs/>
      <w:color w:val="0F4761" w:themeColor="accent1" w:themeShade="BF"/>
    </w:rPr>
  </w:style>
  <w:style w:type="paragraph" w:styleId="Cytatintensywny">
    <w:name w:val="Intense Quote"/>
    <w:basedOn w:val="Normalny"/>
    <w:next w:val="Normalny"/>
    <w:link w:val="CytatintensywnyZnak"/>
    <w:uiPriority w:val="30"/>
    <w:qFormat/>
    <w:rsid w:val="00FE3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E3960"/>
    <w:rPr>
      <w:i/>
      <w:iCs/>
      <w:color w:val="0F4761" w:themeColor="accent1" w:themeShade="BF"/>
    </w:rPr>
  </w:style>
  <w:style w:type="character" w:styleId="Odwoanieintensywne">
    <w:name w:val="Intense Reference"/>
    <w:basedOn w:val="Domylnaczcionkaakapitu"/>
    <w:uiPriority w:val="32"/>
    <w:qFormat/>
    <w:rsid w:val="00FE3960"/>
    <w:rPr>
      <w:b/>
      <w:bCs/>
      <w:smallCaps/>
      <w:color w:val="0F4761" w:themeColor="accent1" w:themeShade="BF"/>
      <w:spacing w:val="5"/>
    </w:rPr>
  </w:style>
  <w:style w:type="character" w:customStyle="1" w:styleId="markedcontent">
    <w:name w:val="markedcontent"/>
    <w:basedOn w:val="Domylnaczcionkaakapitu"/>
    <w:rsid w:val="00FE3960"/>
  </w:style>
  <w:style w:type="character" w:styleId="Hipercze">
    <w:name w:val="Hyperlink"/>
    <w:basedOn w:val="Domylnaczcionkaakapitu"/>
    <w:uiPriority w:val="99"/>
    <w:unhideWhenUsed/>
    <w:rsid w:val="000D45DB"/>
    <w:rPr>
      <w:color w:val="467886" w:themeColor="hyperlink"/>
      <w:u w:val="single"/>
    </w:rPr>
  </w:style>
  <w:style w:type="character" w:styleId="Nierozpoznanawzmianka">
    <w:name w:val="Unresolved Mention"/>
    <w:basedOn w:val="Domylnaczcionkaakapitu"/>
    <w:uiPriority w:val="99"/>
    <w:semiHidden/>
    <w:unhideWhenUsed/>
    <w:rsid w:val="000D45DB"/>
    <w:rPr>
      <w:color w:val="605E5C"/>
      <w:shd w:val="clear" w:color="auto" w:fill="E1DFDD"/>
    </w:rPr>
  </w:style>
  <w:style w:type="character" w:styleId="UyteHipercze">
    <w:name w:val="FollowedHyperlink"/>
    <w:basedOn w:val="Domylnaczcionkaakapitu"/>
    <w:uiPriority w:val="99"/>
    <w:semiHidden/>
    <w:unhideWhenUsed/>
    <w:rsid w:val="000D45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2101/katalog/13155957#1315595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cja.rcl.gov.pl/projekt/12402301/katalog/13157422#13157422" TargetMode="External"/><Relationship Id="rId12" Type="http://schemas.openxmlformats.org/officeDocument/2006/relationships/hyperlink" Target="https://legislacja.rcl.gov.pl/projekt/12402250/katalog/13156964#131569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2157/katalog/13156666#13156666" TargetMode="External"/><Relationship Id="rId11" Type="http://schemas.openxmlformats.org/officeDocument/2006/relationships/hyperlink" Target="https://legislacja.rcl.gov.pl/projekt/12402151/katalog/13156357#13156357" TargetMode="External"/><Relationship Id="rId5" Type="http://schemas.openxmlformats.org/officeDocument/2006/relationships/image" Target="media/image1.png"/><Relationship Id="rId10" Type="http://schemas.openxmlformats.org/officeDocument/2006/relationships/hyperlink" Target="https://legislacja.rcl.gov.pl/projekt/12402107/katalog/13156246#13156246" TargetMode="External"/><Relationship Id="rId4" Type="http://schemas.openxmlformats.org/officeDocument/2006/relationships/webSettings" Target="webSettings.xml"/><Relationship Id="rId9" Type="http://schemas.openxmlformats.org/officeDocument/2006/relationships/hyperlink" Target="https://legislacja.rcl.gov.pl/projekt/12402106/katalog/13156187#1315618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37</Pages>
  <Words>16248</Words>
  <Characters>97491</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10</cp:revision>
  <dcterms:created xsi:type="dcterms:W3CDTF">2025-09-25T10:52:00Z</dcterms:created>
  <dcterms:modified xsi:type="dcterms:W3CDTF">2025-09-25T13:02:00Z</dcterms:modified>
</cp:coreProperties>
</file>