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F1C3" w14:textId="77777777" w:rsidR="00E61F1C" w:rsidRPr="00E61F1C" w:rsidRDefault="00E61F1C" w:rsidP="00E61F1C">
      <w:pPr>
        <w:spacing w:after="0" w:line="240" w:lineRule="auto"/>
        <w:jc w:val="center"/>
        <w:rPr>
          <w:rFonts w:ascii="Arial Narrow" w:hAnsi="Arial Narrow" w:cs="Open Sans"/>
          <w:b/>
          <w:bCs/>
        </w:rPr>
      </w:pPr>
      <w:bookmarkStart w:id="0" w:name="_Hlk107398740"/>
      <w:r w:rsidRPr="00E61F1C">
        <w:rPr>
          <w:rFonts w:ascii="Arial Narrow" w:hAnsi="Arial Narrow" w:cs="Open Sans"/>
          <w:b/>
          <w:bCs/>
        </w:rPr>
        <w:t xml:space="preserve">Uwagi do projektu </w:t>
      </w:r>
      <w:r>
        <w:rPr>
          <w:rFonts w:ascii="Arial Narrow" w:hAnsi="Arial Narrow" w:cs="Open Sans"/>
          <w:b/>
          <w:bCs/>
        </w:rPr>
        <w:t xml:space="preserve">ustawy </w:t>
      </w:r>
      <w:r w:rsidRPr="00E61F1C">
        <w:rPr>
          <w:rFonts w:ascii="Arial Narrow" w:hAnsi="Arial Narrow" w:cs="Open Sans"/>
          <w:b/>
          <w:bCs/>
        </w:rPr>
        <w:t xml:space="preserve">o zmianie ustawy o Państwowej Inspekcji Pracy oraz </w:t>
      </w:r>
    </w:p>
    <w:p w14:paraId="670E3D62" w14:textId="2D327772" w:rsidR="00E61F1C" w:rsidRPr="00E61F1C" w:rsidRDefault="00E61F1C" w:rsidP="00E61F1C">
      <w:pPr>
        <w:spacing w:after="0" w:line="240" w:lineRule="auto"/>
        <w:jc w:val="center"/>
        <w:rPr>
          <w:rFonts w:ascii="Arial Narrow" w:hAnsi="Arial Narrow" w:cs="Open Sans"/>
          <w:b/>
          <w:bCs/>
        </w:rPr>
      </w:pPr>
      <w:r w:rsidRPr="00E61F1C">
        <w:rPr>
          <w:rFonts w:ascii="Arial Narrow" w:hAnsi="Arial Narrow" w:cs="Open Sans"/>
          <w:b/>
          <w:bCs/>
        </w:rPr>
        <w:t>niektórych innych ustaw (UD283)</w:t>
      </w:r>
    </w:p>
    <w:p w14:paraId="2855C2B4" w14:textId="77777777" w:rsidR="00E61F1C" w:rsidRPr="00E61F1C" w:rsidRDefault="00E61F1C" w:rsidP="00E61F1C">
      <w:pPr>
        <w:spacing w:after="0" w:line="240" w:lineRule="auto"/>
        <w:rPr>
          <w:rFonts w:ascii="Arial Narrow" w:hAnsi="Arial Narrow" w:cs="Open Sans"/>
        </w:rPr>
      </w:pPr>
    </w:p>
    <w:tbl>
      <w:tblPr>
        <w:tblStyle w:val="Tabela-Siatka"/>
        <w:tblpPr w:leftFromText="142" w:rightFromText="142" w:vertAnchor="text" w:horzAnchor="margin" w:tblpXSpec="center" w:tblpY="58"/>
        <w:tblW w:w="15740" w:type="dxa"/>
        <w:tblLayout w:type="fixed"/>
        <w:tblLook w:val="04A0" w:firstRow="1" w:lastRow="0" w:firstColumn="1" w:lastColumn="0" w:noHBand="0" w:noVBand="1"/>
      </w:tblPr>
      <w:tblGrid>
        <w:gridCol w:w="562"/>
        <w:gridCol w:w="1418"/>
        <w:gridCol w:w="3544"/>
        <w:gridCol w:w="4961"/>
        <w:gridCol w:w="2835"/>
        <w:gridCol w:w="2420"/>
      </w:tblGrid>
      <w:tr w:rsidR="00E61F1C" w:rsidRPr="00E61F1C" w14:paraId="1A13F2BB" w14:textId="77777777" w:rsidTr="00E61F1C">
        <w:trPr>
          <w:trHeight w:val="551"/>
          <w:tblHeader/>
        </w:trPr>
        <w:tc>
          <w:tcPr>
            <w:tcW w:w="562" w:type="dxa"/>
            <w:vAlign w:val="center"/>
          </w:tcPr>
          <w:p w14:paraId="7D1B2EA8" w14:textId="77777777" w:rsidR="00E61F1C" w:rsidRPr="00E61F1C" w:rsidRDefault="00E61F1C" w:rsidP="006A35D0">
            <w:pPr>
              <w:jc w:val="center"/>
              <w:rPr>
                <w:rFonts w:ascii="Arial Narrow" w:hAnsi="Arial Narrow" w:cs="Open Sans"/>
                <w:b/>
                <w:bCs/>
              </w:rPr>
            </w:pPr>
            <w:r w:rsidRPr="00E61F1C">
              <w:rPr>
                <w:rFonts w:ascii="Arial Narrow" w:hAnsi="Arial Narrow" w:cs="Open Sans"/>
                <w:b/>
                <w:bCs/>
              </w:rPr>
              <w:t>Lp.</w:t>
            </w:r>
          </w:p>
        </w:tc>
        <w:tc>
          <w:tcPr>
            <w:tcW w:w="1418" w:type="dxa"/>
            <w:vAlign w:val="center"/>
          </w:tcPr>
          <w:p w14:paraId="16D9D6E0" w14:textId="77777777" w:rsidR="00E61F1C" w:rsidRPr="00E61F1C" w:rsidRDefault="00E61F1C" w:rsidP="006A35D0">
            <w:pPr>
              <w:jc w:val="center"/>
              <w:rPr>
                <w:rFonts w:ascii="Arial Narrow" w:hAnsi="Arial Narrow" w:cs="Open Sans"/>
                <w:b/>
                <w:bCs/>
              </w:rPr>
            </w:pPr>
            <w:r w:rsidRPr="00E61F1C">
              <w:rPr>
                <w:rFonts w:ascii="Arial Narrow" w:hAnsi="Arial Narrow" w:cs="Open Sans"/>
                <w:b/>
                <w:bCs/>
              </w:rPr>
              <w:t>Podmiot wnoszący uwagę</w:t>
            </w:r>
          </w:p>
        </w:tc>
        <w:tc>
          <w:tcPr>
            <w:tcW w:w="3544" w:type="dxa"/>
            <w:vAlign w:val="center"/>
          </w:tcPr>
          <w:p w14:paraId="3E14FBF5" w14:textId="77777777" w:rsidR="00E61F1C" w:rsidRPr="00E61F1C" w:rsidRDefault="00E61F1C" w:rsidP="006A35D0">
            <w:pPr>
              <w:jc w:val="center"/>
              <w:rPr>
                <w:rFonts w:ascii="Arial Narrow" w:hAnsi="Arial Narrow" w:cs="Open Sans"/>
                <w:b/>
                <w:bCs/>
              </w:rPr>
            </w:pPr>
            <w:r w:rsidRPr="00E61F1C">
              <w:rPr>
                <w:rFonts w:ascii="Arial Narrow" w:hAnsi="Arial Narrow" w:cs="Open Sans"/>
                <w:b/>
                <w:bCs/>
              </w:rPr>
              <w:t>Jednostka redakcyjna, do której wnoszona jest uwaga</w:t>
            </w:r>
          </w:p>
        </w:tc>
        <w:tc>
          <w:tcPr>
            <w:tcW w:w="4961" w:type="dxa"/>
            <w:vAlign w:val="center"/>
          </w:tcPr>
          <w:p w14:paraId="4612C2C4" w14:textId="77777777" w:rsidR="00E61F1C" w:rsidRPr="00E61F1C" w:rsidRDefault="00E61F1C" w:rsidP="006A35D0">
            <w:pPr>
              <w:jc w:val="center"/>
              <w:rPr>
                <w:rFonts w:ascii="Arial Narrow" w:hAnsi="Arial Narrow" w:cs="Open Sans"/>
                <w:b/>
                <w:bCs/>
              </w:rPr>
            </w:pPr>
            <w:r w:rsidRPr="00E61F1C">
              <w:rPr>
                <w:rFonts w:ascii="Arial Narrow" w:hAnsi="Arial Narrow" w:cs="Open Sans"/>
                <w:b/>
                <w:bCs/>
              </w:rPr>
              <w:t>Treść uwagi</w:t>
            </w:r>
          </w:p>
        </w:tc>
        <w:tc>
          <w:tcPr>
            <w:tcW w:w="2835" w:type="dxa"/>
            <w:vAlign w:val="center"/>
          </w:tcPr>
          <w:p w14:paraId="58C6AE18" w14:textId="77777777" w:rsidR="00E61F1C" w:rsidRPr="00E61F1C" w:rsidRDefault="00E61F1C" w:rsidP="006A35D0">
            <w:pPr>
              <w:jc w:val="center"/>
              <w:rPr>
                <w:rFonts w:ascii="Arial Narrow" w:hAnsi="Arial Narrow" w:cs="Open Sans"/>
                <w:b/>
                <w:bCs/>
              </w:rPr>
            </w:pPr>
            <w:r w:rsidRPr="00E61F1C">
              <w:rPr>
                <w:rFonts w:ascii="Arial Narrow" w:hAnsi="Arial Narrow" w:cs="Open Sans"/>
                <w:b/>
                <w:bCs/>
              </w:rPr>
              <w:t>Propozycja brzmienia przepisu</w:t>
            </w:r>
          </w:p>
        </w:tc>
        <w:tc>
          <w:tcPr>
            <w:tcW w:w="2420" w:type="dxa"/>
            <w:vAlign w:val="center"/>
          </w:tcPr>
          <w:p w14:paraId="5911C734" w14:textId="77777777" w:rsidR="00E61F1C" w:rsidRPr="00E61F1C" w:rsidRDefault="00E61F1C" w:rsidP="006A35D0">
            <w:pPr>
              <w:jc w:val="center"/>
              <w:rPr>
                <w:rFonts w:ascii="Arial Narrow" w:hAnsi="Arial Narrow" w:cs="Open Sans"/>
                <w:b/>
                <w:bCs/>
              </w:rPr>
            </w:pPr>
            <w:r w:rsidRPr="00E61F1C">
              <w:rPr>
                <w:rFonts w:ascii="Arial Narrow" w:hAnsi="Arial Narrow" w:cs="Open Sans"/>
                <w:b/>
                <w:bCs/>
              </w:rPr>
              <w:t>Stanowisko do uwagi</w:t>
            </w:r>
          </w:p>
        </w:tc>
      </w:tr>
      <w:tr w:rsidR="00E61F1C" w:rsidRPr="00E61F1C" w14:paraId="1568D3E1" w14:textId="77777777" w:rsidTr="00E61F1C">
        <w:tc>
          <w:tcPr>
            <w:tcW w:w="562" w:type="dxa"/>
          </w:tcPr>
          <w:p w14:paraId="0A53A570" w14:textId="77777777" w:rsidR="00E61F1C" w:rsidRPr="00E61F1C" w:rsidRDefault="00E61F1C" w:rsidP="006A35D0">
            <w:pPr>
              <w:jc w:val="center"/>
              <w:rPr>
                <w:rFonts w:ascii="Arial Narrow" w:hAnsi="Arial Narrow" w:cs="Open Sans"/>
              </w:rPr>
            </w:pPr>
            <w:r w:rsidRPr="00E61F1C">
              <w:rPr>
                <w:rFonts w:ascii="Arial Narrow" w:hAnsi="Arial Narrow" w:cs="Open Sans"/>
              </w:rPr>
              <w:t>1</w:t>
            </w:r>
          </w:p>
        </w:tc>
        <w:tc>
          <w:tcPr>
            <w:tcW w:w="1418" w:type="dxa"/>
          </w:tcPr>
          <w:p w14:paraId="45FE6153" w14:textId="2D2F6649" w:rsidR="00E61F1C" w:rsidRPr="00E61F1C" w:rsidRDefault="00E61F1C" w:rsidP="006A35D0">
            <w:pPr>
              <w:jc w:val="both"/>
              <w:rPr>
                <w:rFonts w:ascii="Arial Narrow" w:hAnsi="Arial Narrow" w:cs="Open Sans"/>
              </w:rPr>
            </w:pPr>
            <w:r>
              <w:rPr>
                <w:rFonts w:ascii="Arial Narrow" w:hAnsi="Arial Narrow" w:cs="Open Sans"/>
              </w:rPr>
              <w:t>Związek Pracodawców Polska Miedź</w:t>
            </w:r>
          </w:p>
        </w:tc>
        <w:tc>
          <w:tcPr>
            <w:tcW w:w="3544" w:type="dxa"/>
          </w:tcPr>
          <w:p w14:paraId="4AE88A5D" w14:textId="77777777" w:rsidR="00E61F1C" w:rsidRPr="00E61F1C" w:rsidRDefault="00E61F1C" w:rsidP="006A35D0">
            <w:pPr>
              <w:jc w:val="both"/>
              <w:rPr>
                <w:rFonts w:ascii="Arial Narrow" w:hAnsi="Arial Narrow" w:cs="Open Sans"/>
              </w:rPr>
            </w:pPr>
            <w:r w:rsidRPr="00E61F1C">
              <w:rPr>
                <w:rFonts w:ascii="Arial Narrow" w:hAnsi="Arial Narrow" w:cs="Open Sans"/>
              </w:rPr>
              <w:t xml:space="preserve">Art. 11 projektu Ustawy </w:t>
            </w:r>
          </w:p>
          <w:p w14:paraId="5610EA20" w14:textId="77777777" w:rsidR="00E61F1C" w:rsidRPr="00E61F1C" w:rsidRDefault="00E61F1C" w:rsidP="006A35D0">
            <w:pPr>
              <w:jc w:val="both"/>
              <w:rPr>
                <w:rFonts w:ascii="Arial Narrow" w:hAnsi="Arial Narrow" w:cs="Open Sans"/>
              </w:rPr>
            </w:pPr>
            <w:r w:rsidRPr="00E61F1C">
              <w:rPr>
                <w:rFonts w:ascii="Arial Narrow" w:hAnsi="Arial Narrow" w:cs="Open Sans"/>
              </w:rPr>
              <w:t>a) po pkt 7 dodaje się pkt 7a w brzmieniu:</w:t>
            </w:r>
          </w:p>
          <w:p w14:paraId="35F267B0" w14:textId="69E98D4E" w:rsidR="00E61F1C" w:rsidRPr="00E61F1C" w:rsidRDefault="00E61F1C" w:rsidP="006A35D0">
            <w:pPr>
              <w:jc w:val="both"/>
              <w:rPr>
                <w:rFonts w:ascii="Arial Narrow" w:hAnsi="Arial Narrow" w:cs="Open Sans"/>
              </w:rPr>
            </w:pPr>
            <w:r w:rsidRPr="00E61F1C">
              <w:rPr>
                <w:rFonts w:ascii="Arial Narrow" w:hAnsi="Arial Narrow" w:cs="Open Sans"/>
              </w:rPr>
              <w:t>„7a) stwierdzania istnienia stosunku pracy w sytuacji kiedy zawarto umowę cywilnoprawną w warunkach, w których zgodnie z art. 22 § 1 ustawy z dnia 26</w:t>
            </w:r>
            <w:r>
              <w:rPr>
                <w:rFonts w:ascii="Arial Narrow" w:hAnsi="Arial Narrow" w:cs="Open Sans"/>
              </w:rPr>
              <w:t xml:space="preserve"> </w:t>
            </w:r>
            <w:r w:rsidRPr="00E61F1C">
              <w:rPr>
                <w:rFonts w:ascii="Arial Narrow" w:hAnsi="Arial Narrow" w:cs="Open Sans"/>
              </w:rPr>
              <w:t xml:space="preserve">czerwca 1974 r. – Kodeks pracy, powinna być zawarta umowa o pracę;”,. </w:t>
            </w:r>
          </w:p>
          <w:p w14:paraId="2F8091AC" w14:textId="77777777" w:rsidR="00E61F1C" w:rsidRPr="00E61F1C" w:rsidRDefault="00E61F1C" w:rsidP="006A35D0">
            <w:pPr>
              <w:jc w:val="both"/>
              <w:rPr>
                <w:rFonts w:ascii="Arial Narrow" w:hAnsi="Arial Narrow" w:cs="Open Sans"/>
              </w:rPr>
            </w:pPr>
          </w:p>
        </w:tc>
        <w:tc>
          <w:tcPr>
            <w:tcW w:w="4961" w:type="dxa"/>
          </w:tcPr>
          <w:p w14:paraId="726138F1" w14:textId="6B1F6E02" w:rsidR="00E61F1C" w:rsidRPr="00E61F1C" w:rsidRDefault="00E61F1C" w:rsidP="006A35D0">
            <w:pPr>
              <w:jc w:val="both"/>
              <w:rPr>
                <w:rFonts w:ascii="Arial Narrow" w:hAnsi="Arial Narrow" w:cs="Open Sans"/>
              </w:rPr>
            </w:pPr>
            <w:r w:rsidRPr="00E61F1C">
              <w:rPr>
                <w:rFonts w:ascii="Arial Narrow" w:hAnsi="Arial Narrow" w:cs="Open Sans"/>
              </w:rPr>
              <w:t>Na wstępie należy zauważyć, że aktualne zapisy w Kodeksie pracy nie pozwalają na łatwe odróżnienie umowy o pracę od umowy zlecenia. Wobec powyższego zdaniem</w:t>
            </w:r>
            <w:r>
              <w:rPr>
                <w:rFonts w:ascii="Arial Narrow" w:hAnsi="Arial Narrow" w:cs="Open Sans"/>
              </w:rPr>
              <w:t xml:space="preserve"> Związku Pracodawców Polska Miedź</w:t>
            </w:r>
            <w:r w:rsidRPr="00E61F1C">
              <w:rPr>
                <w:rFonts w:ascii="Arial Narrow" w:hAnsi="Arial Narrow" w:cs="Open Sans"/>
              </w:rPr>
              <w:t xml:space="preserve"> przyznanie powyższego uprawnienia jest zbyt daleko idące. Decyzje mogą być wydawane w sposób arbitralny, </w:t>
            </w:r>
            <w:r w:rsidRPr="00E61F1C">
              <w:rPr>
                <w:rFonts w:ascii="Arial Narrow" w:hAnsi="Arial Narrow" w:cs="Open Sans"/>
                <w:u w:val="single"/>
              </w:rPr>
              <w:t>poza kontrolą sądową</w:t>
            </w:r>
            <w:r w:rsidRPr="00E61F1C">
              <w:rPr>
                <w:rFonts w:ascii="Arial Narrow" w:hAnsi="Arial Narrow" w:cs="Open Sans"/>
              </w:rPr>
              <w:t>, a decyzja zacznie obowiązywać ze skutkiem natychmiastowym.</w:t>
            </w:r>
          </w:p>
          <w:p w14:paraId="16D25E01" w14:textId="77777777" w:rsidR="00E61F1C" w:rsidRPr="00E61F1C" w:rsidRDefault="00E61F1C" w:rsidP="006A35D0">
            <w:pPr>
              <w:jc w:val="both"/>
              <w:rPr>
                <w:rFonts w:ascii="Arial Narrow" w:hAnsi="Arial Narrow" w:cs="Open Sans"/>
              </w:rPr>
            </w:pPr>
            <w:r w:rsidRPr="00E61F1C">
              <w:rPr>
                <w:rFonts w:ascii="Arial Narrow" w:hAnsi="Arial Narrow" w:cs="Open Sans"/>
              </w:rPr>
              <w:t xml:space="preserve"> </w:t>
            </w:r>
          </w:p>
        </w:tc>
        <w:tc>
          <w:tcPr>
            <w:tcW w:w="2835" w:type="dxa"/>
          </w:tcPr>
          <w:p w14:paraId="1F6D07EF" w14:textId="77777777" w:rsidR="00E61F1C" w:rsidRPr="00E61F1C" w:rsidRDefault="00E61F1C" w:rsidP="006A35D0">
            <w:pPr>
              <w:jc w:val="both"/>
              <w:rPr>
                <w:rFonts w:ascii="Arial Narrow" w:hAnsi="Arial Narrow" w:cs="Open Sans"/>
              </w:rPr>
            </w:pPr>
            <w:r w:rsidRPr="00E61F1C">
              <w:rPr>
                <w:rFonts w:ascii="Arial Narrow" w:hAnsi="Arial Narrow" w:cs="Open Sans"/>
              </w:rPr>
              <w:t>Skreślić przedmiotowy zapis</w:t>
            </w:r>
          </w:p>
        </w:tc>
        <w:tc>
          <w:tcPr>
            <w:tcW w:w="2420" w:type="dxa"/>
          </w:tcPr>
          <w:p w14:paraId="34D61ED0" w14:textId="77777777" w:rsidR="00E61F1C" w:rsidRPr="00E61F1C" w:rsidRDefault="00E61F1C" w:rsidP="006A35D0">
            <w:pPr>
              <w:jc w:val="both"/>
              <w:rPr>
                <w:rFonts w:ascii="Arial Narrow" w:hAnsi="Arial Narrow" w:cs="Open Sans"/>
              </w:rPr>
            </w:pPr>
          </w:p>
        </w:tc>
      </w:tr>
      <w:tr w:rsidR="00E61F1C" w:rsidRPr="00E61F1C" w14:paraId="0516C9BE" w14:textId="77777777" w:rsidTr="00E61F1C">
        <w:tc>
          <w:tcPr>
            <w:tcW w:w="562" w:type="dxa"/>
          </w:tcPr>
          <w:p w14:paraId="719508B2" w14:textId="77777777" w:rsidR="00E61F1C" w:rsidRPr="00E61F1C" w:rsidRDefault="00E61F1C" w:rsidP="006A35D0">
            <w:pPr>
              <w:jc w:val="center"/>
              <w:rPr>
                <w:rFonts w:ascii="Arial Narrow" w:hAnsi="Arial Narrow" w:cs="Open Sans"/>
              </w:rPr>
            </w:pPr>
            <w:r w:rsidRPr="00E61F1C">
              <w:rPr>
                <w:rFonts w:ascii="Arial Narrow" w:hAnsi="Arial Narrow" w:cs="Open Sans"/>
              </w:rPr>
              <w:t>2</w:t>
            </w:r>
          </w:p>
        </w:tc>
        <w:tc>
          <w:tcPr>
            <w:tcW w:w="1418" w:type="dxa"/>
          </w:tcPr>
          <w:p w14:paraId="7D7B8A13" w14:textId="0F968429" w:rsidR="00E61F1C" w:rsidRPr="00E61F1C" w:rsidRDefault="00E61F1C" w:rsidP="006A35D0">
            <w:pPr>
              <w:jc w:val="both"/>
              <w:rPr>
                <w:rFonts w:ascii="Arial Narrow" w:hAnsi="Arial Narrow" w:cs="Open Sans"/>
              </w:rPr>
            </w:pPr>
            <w:r>
              <w:rPr>
                <w:rFonts w:ascii="Arial Narrow" w:hAnsi="Arial Narrow" w:cs="Open Sans"/>
              </w:rPr>
              <w:t>Związek Pracodawców Polska Miedź</w:t>
            </w:r>
          </w:p>
        </w:tc>
        <w:tc>
          <w:tcPr>
            <w:tcW w:w="3544" w:type="dxa"/>
          </w:tcPr>
          <w:p w14:paraId="78CDA4DE" w14:textId="63C4D516" w:rsidR="00E61F1C" w:rsidRPr="00E61F1C" w:rsidRDefault="00E61F1C" w:rsidP="006A35D0">
            <w:pPr>
              <w:jc w:val="both"/>
              <w:rPr>
                <w:rFonts w:ascii="Arial Narrow" w:hAnsi="Arial Narrow" w:cs="Open Sans"/>
              </w:rPr>
            </w:pPr>
            <w:r w:rsidRPr="00E61F1C">
              <w:rPr>
                <w:rFonts w:ascii="Arial Narrow" w:hAnsi="Arial Narrow" w:cs="Open Sans"/>
              </w:rPr>
              <w:t xml:space="preserve">Art. 34 ust. 5b </w:t>
            </w:r>
            <w:r w:rsidRPr="00E61F1C">
              <w:rPr>
                <w:rFonts w:ascii="Arial Narrow" w:hAnsi="Arial Narrow" w:cs="TimesNewRomanPSMT"/>
              </w:rPr>
              <w:t xml:space="preserve"> o</w:t>
            </w:r>
            <w:r w:rsidRPr="00E61F1C">
              <w:rPr>
                <w:rFonts w:ascii="Arial Narrow" w:hAnsi="Arial Narrow" w:cs="Open Sans"/>
              </w:rPr>
              <w:t>dwołanie wnosi się na piśmie za pośrednictwem okręgowego inspektora</w:t>
            </w:r>
            <w:r>
              <w:rPr>
                <w:rFonts w:ascii="Arial Narrow" w:hAnsi="Arial Narrow" w:cs="Open Sans"/>
              </w:rPr>
              <w:t xml:space="preserve"> </w:t>
            </w:r>
            <w:r w:rsidRPr="00E61F1C">
              <w:rPr>
                <w:rFonts w:ascii="Arial Narrow" w:hAnsi="Arial Narrow" w:cs="Open Sans"/>
              </w:rPr>
              <w:t>pracy, który wydał decyzję, w terminie 7 dni od dnia doręczenia decyzji.</w:t>
            </w:r>
          </w:p>
        </w:tc>
        <w:tc>
          <w:tcPr>
            <w:tcW w:w="4961" w:type="dxa"/>
          </w:tcPr>
          <w:p w14:paraId="043AC081" w14:textId="77777777" w:rsidR="00E61F1C" w:rsidRPr="00E61F1C" w:rsidRDefault="00E61F1C" w:rsidP="006A35D0">
            <w:pPr>
              <w:jc w:val="both"/>
              <w:rPr>
                <w:rFonts w:ascii="Arial Narrow" w:hAnsi="Arial Narrow" w:cs="Open Sans"/>
              </w:rPr>
            </w:pPr>
            <w:r w:rsidRPr="00E61F1C">
              <w:rPr>
                <w:rFonts w:ascii="Arial Narrow" w:hAnsi="Arial Narrow" w:cs="Open Sans"/>
              </w:rPr>
              <w:t>7 dniowy termin na złożenie odwołania jest zbyt krótki, dlatego można uznać to za naruszenie prawa do sądu.  Standardowy termin na odwołanie się od decyzji administracyjnej wynosi 14 dni od dnia jej doręczenia (decyzje ZUS – 30 dni).</w:t>
            </w:r>
          </w:p>
        </w:tc>
        <w:tc>
          <w:tcPr>
            <w:tcW w:w="2835" w:type="dxa"/>
          </w:tcPr>
          <w:p w14:paraId="5CF7BF0C" w14:textId="77777777" w:rsidR="00E61F1C" w:rsidRPr="00E61F1C" w:rsidRDefault="00E61F1C" w:rsidP="006A35D0">
            <w:pPr>
              <w:jc w:val="both"/>
              <w:rPr>
                <w:rFonts w:ascii="Arial Narrow" w:hAnsi="Arial Narrow" w:cs="Open Sans"/>
              </w:rPr>
            </w:pPr>
            <w:r w:rsidRPr="00E61F1C">
              <w:rPr>
                <w:rFonts w:ascii="Arial Narrow" w:hAnsi="Arial Narrow" w:cs="Open Sans"/>
              </w:rPr>
              <w:t>Wydłużenie terminu na złożenie odwołania.</w:t>
            </w:r>
          </w:p>
        </w:tc>
        <w:tc>
          <w:tcPr>
            <w:tcW w:w="2420" w:type="dxa"/>
          </w:tcPr>
          <w:p w14:paraId="27691351" w14:textId="77777777" w:rsidR="00E61F1C" w:rsidRPr="00E61F1C" w:rsidRDefault="00E61F1C" w:rsidP="006A35D0">
            <w:pPr>
              <w:jc w:val="both"/>
              <w:rPr>
                <w:rFonts w:ascii="Arial Narrow" w:hAnsi="Arial Narrow" w:cs="Open Sans"/>
              </w:rPr>
            </w:pPr>
          </w:p>
        </w:tc>
      </w:tr>
      <w:tr w:rsidR="00E61F1C" w:rsidRPr="00E61F1C" w14:paraId="655BAADD" w14:textId="77777777" w:rsidTr="00E61F1C">
        <w:tc>
          <w:tcPr>
            <w:tcW w:w="562" w:type="dxa"/>
          </w:tcPr>
          <w:p w14:paraId="56464428" w14:textId="77777777" w:rsidR="00E61F1C" w:rsidRPr="00E61F1C" w:rsidRDefault="00E61F1C" w:rsidP="006A35D0">
            <w:pPr>
              <w:jc w:val="center"/>
              <w:rPr>
                <w:rFonts w:ascii="Arial Narrow" w:hAnsi="Arial Narrow" w:cs="Open Sans"/>
              </w:rPr>
            </w:pPr>
            <w:r w:rsidRPr="00E61F1C">
              <w:rPr>
                <w:rFonts w:ascii="Arial Narrow" w:hAnsi="Arial Narrow" w:cs="Open Sans"/>
              </w:rPr>
              <w:t>3</w:t>
            </w:r>
          </w:p>
        </w:tc>
        <w:tc>
          <w:tcPr>
            <w:tcW w:w="1418" w:type="dxa"/>
          </w:tcPr>
          <w:p w14:paraId="60B18CF8" w14:textId="156BACC6" w:rsidR="00E61F1C" w:rsidRPr="00E61F1C" w:rsidRDefault="00E61F1C" w:rsidP="006A35D0">
            <w:pPr>
              <w:jc w:val="both"/>
              <w:rPr>
                <w:rFonts w:ascii="Arial Narrow" w:hAnsi="Arial Narrow" w:cs="Open Sans"/>
              </w:rPr>
            </w:pPr>
            <w:r>
              <w:rPr>
                <w:rFonts w:ascii="Arial Narrow" w:hAnsi="Arial Narrow" w:cs="Open Sans"/>
              </w:rPr>
              <w:t>Związek Pracodawców Polska Miedź</w:t>
            </w:r>
          </w:p>
        </w:tc>
        <w:tc>
          <w:tcPr>
            <w:tcW w:w="3544" w:type="dxa"/>
          </w:tcPr>
          <w:p w14:paraId="1679E927" w14:textId="77777777" w:rsidR="00E61F1C" w:rsidRPr="00E61F1C" w:rsidRDefault="00E61F1C" w:rsidP="006A35D0">
            <w:pPr>
              <w:jc w:val="both"/>
              <w:rPr>
                <w:rFonts w:ascii="Arial Narrow" w:hAnsi="Arial Narrow" w:cs="Open Sans"/>
              </w:rPr>
            </w:pPr>
            <w:r w:rsidRPr="00E61F1C">
              <w:rPr>
                <w:rFonts w:ascii="Arial Narrow" w:hAnsi="Arial Narrow" w:cs="Open Sans"/>
              </w:rPr>
              <w:t>Art. 34 ust. 2d. Decyzja, o której mowa w art. 11 pkt 7a, podlega natychmiastowemu</w:t>
            </w:r>
          </w:p>
          <w:p w14:paraId="0F94C435" w14:textId="65075444" w:rsidR="00E61F1C" w:rsidRPr="00E61F1C" w:rsidRDefault="00E61F1C" w:rsidP="006A35D0">
            <w:pPr>
              <w:jc w:val="both"/>
              <w:rPr>
                <w:rFonts w:ascii="Arial Narrow" w:hAnsi="Arial Narrow" w:cs="Open Sans"/>
              </w:rPr>
            </w:pPr>
            <w:r w:rsidRPr="00E61F1C">
              <w:rPr>
                <w:rFonts w:ascii="Arial Narrow" w:hAnsi="Arial Narrow" w:cs="Open Sans"/>
              </w:rPr>
              <w:t>wykonaniu w zakresie skutków, jakie przepisy prawa pracy wiążą z nawiązaniem</w:t>
            </w:r>
            <w:r>
              <w:rPr>
                <w:rFonts w:ascii="Arial Narrow" w:hAnsi="Arial Narrow" w:cs="Open Sans"/>
              </w:rPr>
              <w:t xml:space="preserve"> </w:t>
            </w:r>
            <w:r w:rsidRPr="00E61F1C">
              <w:rPr>
                <w:rFonts w:ascii="Arial Narrow" w:hAnsi="Arial Narrow" w:cs="Open Sans"/>
              </w:rPr>
              <w:t>stosunku pracy oraz obowiązkami w zakresie podatków i ubezpieczeń społecznych</w:t>
            </w:r>
            <w:r>
              <w:rPr>
                <w:rFonts w:ascii="Arial Narrow" w:hAnsi="Arial Narrow" w:cs="Open Sans"/>
              </w:rPr>
              <w:t xml:space="preserve"> </w:t>
            </w:r>
            <w:r w:rsidRPr="00E61F1C">
              <w:rPr>
                <w:rFonts w:ascii="Arial Narrow" w:hAnsi="Arial Narrow" w:cs="Open Sans"/>
              </w:rPr>
              <w:t>powstałymi od dnia jej wydania. Wniesienie odwołania nie wstrzymuje wykonania</w:t>
            </w:r>
            <w:r>
              <w:rPr>
                <w:rFonts w:ascii="Arial Narrow" w:hAnsi="Arial Narrow" w:cs="Open Sans"/>
              </w:rPr>
              <w:t xml:space="preserve"> </w:t>
            </w:r>
            <w:r w:rsidRPr="00E61F1C">
              <w:rPr>
                <w:rFonts w:ascii="Arial Narrow" w:hAnsi="Arial Narrow" w:cs="Open Sans"/>
              </w:rPr>
              <w:t>decyzji w tym zakresie.</w:t>
            </w:r>
          </w:p>
        </w:tc>
        <w:tc>
          <w:tcPr>
            <w:tcW w:w="4961" w:type="dxa"/>
          </w:tcPr>
          <w:p w14:paraId="5937EEC2" w14:textId="77777777" w:rsidR="00E61F1C" w:rsidRPr="00E61F1C" w:rsidRDefault="00E61F1C" w:rsidP="006A35D0">
            <w:pPr>
              <w:jc w:val="both"/>
              <w:rPr>
                <w:rFonts w:ascii="Arial Narrow" w:hAnsi="Arial Narrow" w:cs="Open Sans"/>
              </w:rPr>
            </w:pPr>
            <w:r w:rsidRPr="00E61F1C">
              <w:rPr>
                <w:rFonts w:ascii="Arial Narrow" w:hAnsi="Arial Narrow" w:cs="Open Sans"/>
              </w:rPr>
              <w:t>Projekt ustawy nie przewiduje żadnych mechanizmów na wypadek, gdyby sąd prawomocnie uchylił decyzję Państwowej Inspekcji Pracy.</w:t>
            </w:r>
          </w:p>
        </w:tc>
        <w:tc>
          <w:tcPr>
            <w:tcW w:w="2835" w:type="dxa"/>
          </w:tcPr>
          <w:p w14:paraId="51CF6995" w14:textId="77777777" w:rsidR="00E61F1C" w:rsidRPr="00E61F1C" w:rsidRDefault="00E61F1C" w:rsidP="006A35D0">
            <w:pPr>
              <w:jc w:val="both"/>
              <w:rPr>
                <w:rFonts w:ascii="Arial Narrow" w:hAnsi="Arial Narrow" w:cs="Open Sans"/>
              </w:rPr>
            </w:pPr>
            <w:r w:rsidRPr="00E61F1C">
              <w:rPr>
                <w:rFonts w:ascii="Arial Narrow" w:hAnsi="Arial Narrow" w:cs="Open Sans"/>
              </w:rPr>
              <w:t>Wnosimy o zmianę zapisów tak, aby wykonanie decyzji inspektora było wstrzymane do rozpatrzenia odwołania, przy jednoczesnym zagwarantowaniu prawa do dochodzenia roszczeń przed sądem pracy.</w:t>
            </w:r>
          </w:p>
        </w:tc>
        <w:tc>
          <w:tcPr>
            <w:tcW w:w="2420" w:type="dxa"/>
          </w:tcPr>
          <w:p w14:paraId="1D12628E" w14:textId="77777777" w:rsidR="00E61F1C" w:rsidRPr="00E61F1C" w:rsidRDefault="00E61F1C" w:rsidP="006A35D0">
            <w:pPr>
              <w:jc w:val="both"/>
              <w:rPr>
                <w:rFonts w:ascii="Arial Narrow" w:hAnsi="Arial Narrow" w:cs="Open Sans"/>
              </w:rPr>
            </w:pPr>
          </w:p>
        </w:tc>
      </w:tr>
      <w:tr w:rsidR="00E61F1C" w:rsidRPr="00E61F1C" w14:paraId="5847C836" w14:textId="77777777" w:rsidTr="00E61F1C">
        <w:tc>
          <w:tcPr>
            <w:tcW w:w="562" w:type="dxa"/>
          </w:tcPr>
          <w:p w14:paraId="08B6D2DB" w14:textId="40211EE7" w:rsidR="00E61F1C" w:rsidRPr="00E61F1C" w:rsidRDefault="00E61F1C" w:rsidP="00E61F1C">
            <w:pPr>
              <w:rPr>
                <w:rFonts w:ascii="Arial Narrow" w:hAnsi="Arial Narrow" w:cs="Open Sans"/>
              </w:rPr>
            </w:pPr>
          </w:p>
        </w:tc>
        <w:tc>
          <w:tcPr>
            <w:tcW w:w="1418" w:type="dxa"/>
          </w:tcPr>
          <w:p w14:paraId="68C3C49E" w14:textId="77777777" w:rsidR="00E61F1C" w:rsidRPr="00E61F1C" w:rsidRDefault="00E61F1C" w:rsidP="006A35D0">
            <w:pPr>
              <w:jc w:val="both"/>
              <w:rPr>
                <w:rFonts w:ascii="Arial Narrow" w:hAnsi="Arial Narrow" w:cs="Open Sans"/>
              </w:rPr>
            </w:pPr>
          </w:p>
        </w:tc>
        <w:tc>
          <w:tcPr>
            <w:tcW w:w="3544" w:type="dxa"/>
          </w:tcPr>
          <w:p w14:paraId="395ACFEB" w14:textId="77777777" w:rsidR="00E61F1C" w:rsidRPr="00E61F1C" w:rsidRDefault="00E61F1C" w:rsidP="006A35D0">
            <w:pPr>
              <w:jc w:val="both"/>
              <w:rPr>
                <w:rFonts w:ascii="Arial Narrow" w:hAnsi="Arial Narrow" w:cs="Open Sans"/>
              </w:rPr>
            </w:pPr>
          </w:p>
        </w:tc>
        <w:tc>
          <w:tcPr>
            <w:tcW w:w="4961" w:type="dxa"/>
          </w:tcPr>
          <w:p w14:paraId="6BE74123" w14:textId="77777777" w:rsidR="00E61F1C" w:rsidRPr="00E61F1C" w:rsidRDefault="00E61F1C" w:rsidP="006A35D0">
            <w:pPr>
              <w:jc w:val="both"/>
              <w:rPr>
                <w:rFonts w:ascii="Arial Narrow" w:hAnsi="Arial Narrow" w:cs="Open Sans"/>
              </w:rPr>
            </w:pPr>
          </w:p>
        </w:tc>
        <w:tc>
          <w:tcPr>
            <w:tcW w:w="2835" w:type="dxa"/>
          </w:tcPr>
          <w:p w14:paraId="21BAC298" w14:textId="77777777" w:rsidR="00E61F1C" w:rsidRPr="00E61F1C" w:rsidRDefault="00E61F1C" w:rsidP="006A35D0">
            <w:pPr>
              <w:jc w:val="both"/>
              <w:rPr>
                <w:rFonts w:ascii="Arial Narrow" w:hAnsi="Arial Narrow" w:cs="Open Sans"/>
              </w:rPr>
            </w:pPr>
          </w:p>
        </w:tc>
        <w:tc>
          <w:tcPr>
            <w:tcW w:w="2420" w:type="dxa"/>
          </w:tcPr>
          <w:p w14:paraId="14C803D5" w14:textId="77777777" w:rsidR="00E61F1C" w:rsidRPr="00E61F1C" w:rsidRDefault="00E61F1C" w:rsidP="006A35D0">
            <w:pPr>
              <w:jc w:val="both"/>
              <w:rPr>
                <w:rFonts w:ascii="Arial Narrow" w:hAnsi="Arial Narrow" w:cs="Open Sans"/>
              </w:rPr>
            </w:pPr>
          </w:p>
        </w:tc>
      </w:tr>
      <w:tr w:rsidR="00E61F1C" w:rsidRPr="00E61F1C" w14:paraId="0F712B89" w14:textId="77777777" w:rsidTr="00E61F1C">
        <w:tc>
          <w:tcPr>
            <w:tcW w:w="562" w:type="dxa"/>
          </w:tcPr>
          <w:p w14:paraId="54D8A48B" w14:textId="51AB4FD2" w:rsidR="00E61F1C" w:rsidRPr="00E61F1C" w:rsidRDefault="00E61F1C" w:rsidP="006A35D0">
            <w:pPr>
              <w:jc w:val="center"/>
              <w:rPr>
                <w:rFonts w:ascii="Arial Narrow" w:hAnsi="Arial Narrow" w:cs="Open Sans"/>
              </w:rPr>
            </w:pPr>
          </w:p>
        </w:tc>
        <w:tc>
          <w:tcPr>
            <w:tcW w:w="1418" w:type="dxa"/>
          </w:tcPr>
          <w:p w14:paraId="162D5C0A" w14:textId="77777777" w:rsidR="00E61F1C" w:rsidRPr="00E61F1C" w:rsidRDefault="00E61F1C" w:rsidP="006A35D0">
            <w:pPr>
              <w:jc w:val="both"/>
              <w:rPr>
                <w:rFonts w:ascii="Arial Narrow" w:hAnsi="Arial Narrow" w:cs="Open Sans"/>
              </w:rPr>
            </w:pPr>
          </w:p>
        </w:tc>
        <w:tc>
          <w:tcPr>
            <w:tcW w:w="3544" w:type="dxa"/>
          </w:tcPr>
          <w:p w14:paraId="6530A28E" w14:textId="77777777" w:rsidR="00E61F1C" w:rsidRPr="00E61F1C" w:rsidRDefault="00E61F1C" w:rsidP="006A35D0">
            <w:pPr>
              <w:jc w:val="both"/>
              <w:rPr>
                <w:rFonts w:ascii="Arial Narrow" w:hAnsi="Arial Narrow" w:cs="Open Sans"/>
              </w:rPr>
            </w:pPr>
          </w:p>
        </w:tc>
        <w:tc>
          <w:tcPr>
            <w:tcW w:w="4961" w:type="dxa"/>
          </w:tcPr>
          <w:p w14:paraId="15D900E6" w14:textId="77777777" w:rsidR="00E61F1C" w:rsidRPr="00E61F1C" w:rsidRDefault="00E61F1C" w:rsidP="006A35D0">
            <w:pPr>
              <w:jc w:val="both"/>
              <w:rPr>
                <w:rFonts w:ascii="Arial Narrow" w:hAnsi="Arial Narrow" w:cs="Open Sans"/>
              </w:rPr>
            </w:pPr>
          </w:p>
        </w:tc>
        <w:tc>
          <w:tcPr>
            <w:tcW w:w="2835" w:type="dxa"/>
          </w:tcPr>
          <w:p w14:paraId="41042CD4" w14:textId="77777777" w:rsidR="00E61F1C" w:rsidRPr="00E61F1C" w:rsidRDefault="00E61F1C" w:rsidP="006A35D0">
            <w:pPr>
              <w:jc w:val="both"/>
              <w:rPr>
                <w:rFonts w:ascii="Arial Narrow" w:hAnsi="Arial Narrow" w:cs="Open Sans"/>
              </w:rPr>
            </w:pPr>
          </w:p>
        </w:tc>
        <w:tc>
          <w:tcPr>
            <w:tcW w:w="2420" w:type="dxa"/>
          </w:tcPr>
          <w:p w14:paraId="5838A079" w14:textId="77777777" w:rsidR="00E61F1C" w:rsidRPr="00E61F1C" w:rsidRDefault="00E61F1C" w:rsidP="006A35D0">
            <w:pPr>
              <w:jc w:val="both"/>
              <w:rPr>
                <w:rFonts w:ascii="Arial Narrow" w:hAnsi="Arial Narrow" w:cs="Open Sans"/>
              </w:rPr>
            </w:pPr>
          </w:p>
        </w:tc>
      </w:tr>
      <w:tr w:rsidR="00E61F1C" w:rsidRPr="009A57CE" w14:paraId="2AA742FE" w14:textId="77777777" w:rsidTr="00E61F1C">
        <w:tc>
          <w:tcPr>
            <w:tcW w:w="562" w:type="dxa"/>
          </w:tcPr>
          <w:p w14:paraId="039FD7A0" w14:textId="34220534" w:rsidR="00E61F1C" w:rsidRPr="009A57CE" w:rsidRDefault="00E61F1C" w:rsidP="006A35D0">
            <w:pPr>
              <w:jc w:val="center"/>
              <w:rPr>
                <w:rFonts w:ascii="Open Sans" w:hAnsi="Open Sans" w:cs="Open Sans"/>
                <w:sz w:val="20"/>
                <w:szCs w:val="20"/>
              </w:rPr>
            </w:pPr>
          </w:p>
        </w:tc>
        <w:tc>
          <w:tcPr>
            <w:tcW w:w="1418" w:type="dxa"/>
          </w:tcPr>
          <w:p w14:paraId="261FD916" w14:textId="77777777" w:rsidR="00E61F1C" w:rsidRPr="009A57CE" w:rsidRDefault="00E61F1C" w:rsidP="006A35D0">
            <w:pPr>
              <w:jc w:val="both"/>
              <w:rPr>
                <w:rFonts w:ascii="Open Sans" w:hAnsi="Open Sans" w:cs="Open Sans"/>
                <w:sz w:val="20"/>
                <w:szCs w:val="20"/>
              </w:rPr>
            </w:pPr>
          </w:p>
        </w:tc>
        <w:tc>
          <w:tcPr>
            <w:tcW w:w="3544" w:type="dxa"/>
          </w:tcPr>
          <w:p w14:paraId="2ED7F12B" w14:textId="77777777" w:rsidR="00E61F1C" w:rsidRPr="009A57CE" w:rsidRDefault="00E61F1C" w:rsidP="006A35D0">
            <w:pPr>
              <w:jc w:val="both"/>
              <w:rPr>
                <w:rFonts w:ascii="Open Sans" w:hAnsi="Open Sans" w:cs="Open Sans"/>
                <w:sz w:val="20"/>
                <w:szCs w:val="20"/>
              </w:rPr>
            </w:pPr>
          </w:p>
        </w:tc>
        <w:tc>
          <w:tcPr>
            <w:tcW w:w="4961" w:type="dxa"/>
          </w:tcPr>
          <w:p w14:paraId="2D4BBFBC" w14:textId="77777777" w:rsidR="00E61F1C" w:rsidRPr="009A57CE" w:rsidRDefault="00E61F1C" w:rsidP="006A35D0">
            <w:pPr>
              <w:jc w:val="both"/>
              <w:rPr>
                <w:rFonts w:ascii="Open Sans" w:hAnsi="Open Sans" w:cs="Open Sans"/>
                <w:sz w:val="20"/>
                <w:szCs w:val="20"/>
              </w:rPr>
            </w:pPr>
          </w:p>
        </w:tc>
        <w:tc>
          <w:tcPr>
            <w:tcW w:w="2835" w:type="dxa"/>
          </w:tcPr>
          <w:p w14:paraId="4E076337" w14:textId="77777777" w:rsidR="00E61F1C" w:rsidRPr="009A57CE" w:rsidRDefault="00E61F1C" w:rsidP="006A35D0">
            <w:pPr>
              <w:jc w:val="both"/>
              <w:rPr>
                <w:rFonts w:ascii="Open Sans" w:hAnsi="Open Sans" w:cs="Open Sans"/>
                <w:sz w:val="20"/>
                <w:szCs w:val="20"/>
              </w:rPr>
            </w:pPr>
          </w:p>
        </w:tc>
        <w:tc>
          <w:tcPr>
            <w:tcW w:w="2420" w:type="dxa"/>
          </w:tcPr>
          <w:p w14:paraId="0C761F9B" w14:textId="77777777" w:rsidR="00E61F1C" w:rsidRPr="009A57CE" w:rsidRDefault="00E61F1C" w:rsidP="006A35D0">
            <w:pPr>
              <w:jc w:val="both"/>
              <w:rPr>
                <w:rFonts w:ascii="Open Sans" w:hAnsi="Open Sans" w:cs="Open Sans"/>
                <w:sz w:val="20"/>
                <w:szCs w:val="20"/>
              </w:rPr>
            </w:pPr>
          </w:p>
        </w:tc>
      </w:tr>
      <w:bookmarkEnd w:id="0"/>
    </w:tbl>
    <w:p w14:paraId="6DC1E143" w14:textId="77777777" w:rsidR="00E61F1C" w:rsidRPr="009A57CE" w:rsidRDefault="00E61F1C" w:rsidP="00E61F1C">
      <w:pPr>
        <w:spacing w:after="0" w:line="240" w:lineRule="auto"/>
        <w:rPr>
          <w:rFonts w:ascii="Open Sans" w:hAnsi="Open Sans" w:cs="Open Sans"/>
          <w:sz w:val="20"/>
          <w:szCs w:val="20"/>
        </w:rPr>
      </w:pPr>
    </w:p>
    <w:p w14:paraId="66A34148" w14:textId="77777777" w:rsidR="00580328" w:rsidRDefault="00580328"/>
    <w:sectPr w:rsidR="00580328" w:rsidSect="00E61F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1C"/>
    <w:rsid w:val="00580328"/>
    <w:rsid w:val="007417A5"/>
    <w:rsid w:val="007B1F77"/>
    <w:rsid w:val="00D4297E"/>
    <w:rsid w:val="00E61F1C"/>
    <w:rsid w:val="00F86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9837"/>
  <w15:chartTrackingRefBased/>
  <w15:docId w15:val="{BF0F45E7-F10C-4DA4-BAE6-2E8D9DBF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F1C"/>
    <w:rPr>
      <w:kern w:val="0"/>
      <w14:ligatures w14:val="none"/>
    </w:rPr>
  </w:style>
  <w:style w:type="paragraph" w:styleId="Nagwek1">
    <w:name w:val="heading 1"/>
    <w:basedOn w:val="Normalny"/>
    <w:next w:val="Normalny"/>
    <w:link w:val="Nagwek1Znak"/>
    <w:uiPriority w:val="9"/>
    <w:qFormat/>
    <w:rsid w:val="00E61F1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E61F1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E61F1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E61F1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E61F1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E61F1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E61F1C"/>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E61F1C"/>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E61F1C"/>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1F1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1F1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1F1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1F1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1F1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1F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1F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1F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1F1C"/>
    <w:rPr>
      <w:rFonts w:eastAsiaTheme="majorEastAsia" w:cstheme="majorBidi"/>
      <w:color w:val="272727" w:themeColor="text1" w:themeTint="D8"/>
    </w:rPr>
  </w:style>
  <w:style w:type="paragraph" w:styleId="Tytu">
    <w:name w:val="Title"/>
    <w:basedOn w:val="Normalny"/>
    <w:next w:val="Normalny"/>
    <w:link w:val="TytuZnak"/>
    <w:uiPriority w:val="10"/>
    <w:qFormat/>
    <w:rsid w:val="00E61F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E61F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1F1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E61F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1F1C"/>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E61F1C"/>
    <w:rPr>
      <w:i/>
      <w:iCs/>
      <w:color w:val="404040" w:themeColor="text1" w:themeTint="BF"/>
    </w:rPr>
  </w:style>
  <w:style w:type="paragraph" w:styleId="Akapitzlist">
    <w:name w:val="List Paragraph"/>
    <w:basedOn w:val="Normalny"/>
    <w:uiPriority w:val="34"/>
    <w:qFormat/>
    <w:rsid w:val="00E61F1C"/>
    <w:pPr>
      <w:ind w:left="720"/>
      <w:contextualSpacing/>
    </w:pPr>
    <w:rPr>
      <w:kern w:val="2"/>
      <w14:ligatures w14:val="standardContextual"/>
    </w:rPr>
  </w:style>
  <w:style w:type="character" w:styleId="Wyrnienieintensywne">
    <w:name w:val="Intense Emphasis"/>
    <w:basedOn w:val="Domylnaczcionkaakapitu"/>
    <w:uiPriority w:val="21"/>
    <w:qFormat/>
    <w:rsid w:val="00E61F1C"/>
    <w:rPr>
      <w:i/>
      <w:iCs/>
      <w:color w:val="0F4761" w:themeColor="accent1" w:themeShade="BF"/>
    </w:rPr>
  </w:style>
  <w:style w:type="paragraph" w:styleId="Cytatintensywny">
    <w:name w:val="Intense Quote"/>
    <w:basedOn w:val="Normalny"/>
    <w:next w:val="Normalny"/>
    <w:link w:val="CytatintensywnyZnak"/>
    <w:uiPriority w:val="30"/>
    <w:qFormat/>
    <w:rsid w:val="00E61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E61F1C"/>
    <w:rPr>
      <w:i/>
      <w:iCs/>
      <w:color w:val="0F4761" w:themeColor="accent1" w:themeShade="BF"/>
    </w:rPr>
  </w:style>
  <w:style w:type="character" w:styleId="Odwoanieintensywne">
    <w:name w:val="Intense Reference"/>
    <w:basedOn w:val="Domylnaczcionkaakapitu"/>
    <w:uiPriority w:val="32"/>
    <w:qFormat/>
    <w:rsid w:val="00E61F1C"/>
    <w:rPr>
      <w:b/>
      <w:bCs/>
      <w:smallCaps/>
      <w:color w:val="0F4761" w:themeColor="accent1" w:themeShade="BF"/>
      <w:spacing w:val="5"/>
    </w:rPr>
  </w:style>
  <w:style w:type="table" w:styleId="Tabela-Siatka">
    <w:name w:val="Table Grid"/>
    <w:basedOn w:val="Standardowy"/>
    <w:uiPriority w:val="39"/>
    <w:rsid w:val="00E61F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310</Words>
  <Characters>1864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Kuydowicz</dc:creator>
  <cp:keywords/>
  <dc:description/>
  <cp:lastModifiedBy>Tomasz Kuydowicz</cp:lastModifiedBy>
  <cp:revision>2</cp:revision>
  <dcterms:created xsi:type="dcterms:W3CDTF">2025-09-17T10:47:00Z</dcterms:created>
  <dcterms:modified xsi:type="dcterms:W3CDTF">2025-09-17T11:06:00Z</dcterms:modified>
</cp:coreProperties>
</file>