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A90D0" w14:textId="77777777" w:rsidR="004C6098" w:rsidRPr="00586923" w:rsidRDefault="004C6098" w:rsidP="004C6098">
      <w:pPr>
        <w:rPr>
          <w:rFonts w:ascii="Arial" w:hAnsi="Arial" w:cs="Arial"/>
        </w:rPr>
      </w:pPr>
      <w:r w:rsidRPr="00586923">
        <w:rPr>
          <w:rFonts w:ascii="Arial" w:hAnsi="Arial" w:cs="Arial"/>
          <w:noProof/>
          <w:lang w:eastAsia="pl-PL"/>
        </w:rPr>
        <w:drawing>
          <wp:inline distT="0" distB="0" distL="0" distR="0" wp14:anchorId="72DB7EAB" wp14:editId="21161608">
            <wp:extent cx="5683910" cy="943559"/>
            <wp:effectExtent l="0" t="0" r="0" b="9525"/>
            <wp:docPr id="2" name="Obraz 2" descr="Obraz zawierający tekst, Czcionka, zrzut ekranu,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Obraz zawierający tekst, Czcionka, zrzut ekranu, logo&#10;&#10;Zawartość wygenerowana przez AI może być niepoprawna."/>
                    <pic:cNvPicPr/>
                  </pic:nvPicPr>
                  <pic:blipFill>
                    <a:blip r:embed="rId5">
                      <a:extLst>
                        <a:ext uri="{28A0092B-C50C-407E-A947-70E740481C1C}">
                          <a14:useLocalDpi xmlns:a14="http://schemas.microsoft.com/office/drawing/2010/main" val="0"/>
                        </a:ext>
                      </a:extLst>
                    </a:blip>
                    <a:stretch>
                      <a:fillRect/>
                    </a:stretch>
                  </pic:blipFill>
                  <pic:spPr>
                    <a:xfrm>
                      <a:off x="0" y="0"/>
                      <a:ext cx="5704187" cy="946925"/>
                    </a:xfrm>
                    <a:prstGeom prst="rect">
                      <a:avLst/>
                    </a:prstGeom>
                  </pic:spPr>
                </pic:pic>
              </a:graphicData>
            </a:graphic>
          </wp:inline>
        </w:drawing>
      </w:r>
    </w:p>
    <w:p w14:paraId="729253D3" w14:textId="77777777" w:rsidR="004C6098" w:rsidRDefault="004C6098" w:rsidP="004C6098">
      <w:pPr>
        <w:spacing w:after="0" w:line="300" w:lineRule="auto"/>
        <w:jc w:val="center"/>
        <w:rPr>
          <w:rFonts w:ascii="Arial" w:hAnsi="Arial" w:cs="Arial"/>
          <w:b/>
        </w:rPr>
      </w:pPr>
      <w:r w:rsidRPr="00586923">
        <w:rPr>
          <w:rFonts w:ascii="Arial" w:hAnsi="Arial" w:cs="Arial"/>
          <w:b/>
        </w:rPr>
        <w:t xml:space="preserve">Konsultacje </w:t>
      </w:r>
      <w:r>
        <w:rPr>
          <w:rFonts w:ascii="Arial" w:hAnsi="Arial" w:cs="Arial"/>
          <w:b/>
        </w:rPr>
        <w:t>projektów</w:t>
      </w:r>
      <w:r w:rsidRPr="00586923">
        <w:rPr>
          <w:rFonts w:ascii="Arial" w:hAnsi="Arial" w:cs="Arial"/>
          <w:b/>
        </w:rPr>
        <w:t xml:space="preserve"> krajowych aktów prawnych </w:t>
      </w:r>
      <w:r>
        <w:rPr>
          <w:rFonts w:ascii="Arial" w:hAnsi="Arial" w:cs="Arial"/>
          <w:b/>
        </w:rPr>
        <w:t xml:space="preserve">i ogłoszone akty prawne </w:t>
      </w:r>
      <w:r>
        <w:rPr>
          <w:rFonts w:ascii="Arial" w:hAnsi="Arial" w:cs="Arial"/>
          <w:b/>
        </w:rPr>
        <w:br/>
        <w:t>w Dzienniku Ustaw</w:t>
      </w:r>
    </w:p>
    <w:p w14:paraId="72A6C4CE" w14:textId="77777777" w:rsidR="004C6098" w:rsidRPr="00586923" w:rsidRDefault="004C6098" w:rsidP="004C6098">
      <w:pPr>
        <w:spacing w:after="0" w:line="300" w:lineRule="auto"/>
        <w:jc w:val="center"/>
        <w:rPr>
          <w:rFonts w:ascii="Arial" w:hAnsi="Arial" w:cs="Arial"/>
          <w:b/>
        </w:rPr>
      </w:pPr>
      <w:r>
        <w:rPr>
          <w:rFonts w:ascii="Arial" w:hAnsi="Arial" w:cs="Arial"/>
          <w:b/>
        </w:rPr>
        <w:t>(</w:t>
      </w:r>
      <w:r w:rsidRPr="00586923">
        <w:rPr>
          <w:rFonts w:ascii="Arial" w:hAnsi="Arial" w:cs="Arial"/>
          <w:b/>
        </w:rPr>
        <w:t xml:space="preserve">monitoring legislacji </w:t>
      </w:r>
      <w:r>
        <w:rPr>
          <w:rFonts w:ascii="Arial" w:hAnsi="Arial" w:cs="Arial"/>
          <w:b/>
        </w:rPr>
        <w:t xml:space="preserve">krajowej </w:t>
      </w:r>
      <w:r w:rsidRPr="00586923">
        <w:rPr>
          <w:rFonts w:ascii="Arial" w:hAnsi="Arial" w:cs="Arial"/>
          <w:b/>
        </w:rPr>
        <w:t>ZPPM</w:t>
      </w:r>
      <w:r>
        <w:rPr>
          <w:rFonts w:ascii="Arial" w:hAnsi="Arial" w:cs="Arial"/>
          <w:b/>
        </w:rPr>
        <w:t>)</w:t>
      </w:r>
    </w:p>
    <w:p w14:paraId="02D8F61F" w14:textId="079ADC13" w:rsidR="004C6098" w:rsidRPr="00586923" w:rsidRDefault="004C6098" w:rsidP="004C6098">
      <w:pPr>
        <w:spacing w:after="0" w:line="300" w:lineRule="auto"/>
        <w:jc w:val="center"/>
        <w:rPr>
          <w:rFonts w:ascii="Arial" w:hAnsi="Arial" w:cs="Arial"/>
        </w:rPr>
      </w:pPr>
      <w:r w:rsidRPr="00586923">
        <w:rPr>
          <w:rFonts w:ascii="Arial" w:hAnsi="Arial" w:cs="Arial"/>
          <w:b/>
        </w:rPr>
        <w:t xml:space="preserve">w okresie od </w:t>
      </w:r>
      <w:r>
        <w:rPr>
          <w:rFonts w:ascii="Arial" w:hAnsi="Arial" w:cs="Arial"/>
          <w:b/>
        </w:rPr>
        <w:t>29 września</w:t>
      </w:r>
      <w:r>
        <w:rPr>
          <w:rFonts w:ascii="Arial" w:hAnsi="Arial" w:cs="Arial"/>
          <w:b/>
        </w:rPr>
        <w:t xml:space="preserve"> </w:t>
      </w:r>
      <w:r w:rsidRPr="00586923">
        <w:rPr>
          <w:rFonts w:ascii="Arial" w:hAnsi="Arial" w:cs="Arial"/>
          <w:b/>
        </w:rPr>
        <w:t xml:space="preserve">do </w:t>
      </w:r>
      <w:r>
        <w:rPr>
          <w:rFonts w:ascii="Arial" w:hAnsi="Arial" w:cs="Arial"/>
          <w:b/>
        </w:rPr>
        <w:t>5 października</w:t>
      </w:r>
      <w:r w:rsidRPr="00586923">
        <w:rPr>
          <w:rFonts w:ascii="Arial" w:hAnsi="Arial" w:cs="Arial"/>
          <w:b/>
        </w:rPr>
        <w:t xml:space="preserve"> 202</w:t>
      </w:r>
      <w:r>
        <w:rPr>
          <w:rFonts w:ascii="Arial" w:hAnsi="Arial" w:cs="Arial"/>
          <w:b/>
        </w:rPr>
        <w:t>5</w:t>
      </w:r>
      <w:r w:rsidRPr="00586923">
        <w:rPr>
          <w:rFonts w:ascii="Arial" w:hAnsi="Arial" w:cs="Arial"/>
          <w:b/>
        </w:rPr>
        <w:t xml:space="preserve"> roku</w:t>
      </w:r>
    </w:p>
    <w:p w14:paraId="5866AA4C" w14:textId="36532E75" w:rsidR="004C6098" w:rsidRPr="00AC3187" w:rsidRDefault="004C6098" w:rsidP="004C6098">
      <w:pPr>
        <w:spacing w:after="0" w:line="300" w:lineRule="auto"/>
        <w:jc w:val="center"/>
        <w:rPr>
          <w:rFonts w:ascii="Arial" w:hAnsi="Arial" w:cs="Arial"/>
        </w:rPr>
      </w:pPr>
      <w:r w:rsidRPr="00AC3187">
        <w:rPr>
          <w:rFonts w:ascii="Arial" w:hAnsi="Arial" w:cs="Arial"/>
        </w:rPr>
        <w:t xml:space="preserve">Raport na dzień </w:t>
      </w:r>
      <w:r>
        <w:rPr>
          <w:rFonts w:ascii="Arial" w:hAnsi="Arial" w:cs="Arial"/>
        </w:rPr>
        <w:t>9 października</w:t>
      </w:r>
      <w:r w:rsidRPr="00AC3187">
        <w:rPr>
          <w:rFonts w:ascii="Arial" w:hAnsi="Arial" w:cs="Arial"/>
        </w:rPr>
        <w:t xml:space="preserve"> 202</w:t>
      </w:r>
      <w:r>
        <w:rPr>
          <w:rFonts w:ascii="Arial" w:hAnsi="Arial" w:cs="Arial"/>
        </w:rPr>
        <w:t>5</w:t>
      </w:r>
      <w:r w:rsidRPr="00AC3187">
        <w:rPr>
          <w:rFonts w:ascii="Arial" w:hAnsi="Arial" w:cs="Arial"/>
        </w:rPr>
        <w:t xml:space="preserve"> roku</w:t>
      </w:r>
    </w:p>
    <w:p w14:paraId="75A017CD" w14:textId="77777777" w:rsidR="004C6098" w:rsidRPr="00586923" w:rsidRDefault="004C6098" w:rsidP="004C6098">
      <w:pPr>
        <w:spacing w:after="0" w:line="300" w:lineRule="auto"/>
        <w:jc w:val="both"/>
        <w:rPr>
          <w:rFonts w:ascii="Arial" w:hAnsi="Arial" w:cs="Arial"/>
        </w:rPr>
      </w:pPr>
    </w:p>
    <w:p w14:paraId="19BDFD6D" w14:textId="77777777" w:rsidR="004C6098" w:rsidRPr="000B65D1" w:rsidRDefault="004C6098" w:rsidP="004C6098">
      <w:pPr>
        <w:pStyle w:val="Akapitzlist"/>
        <w:numPr>
          <w:ilvl w:val="0"/>
          <w:numId w:val="1"/>
        </w:numPr>
        <w:spacing w:after="0" w:line="300" w:lineRule="auto"/>
        <w:ind w:left="284" w:hanging="284"/>
        <w:jc w:val="both"/>
        <w:rPr>
          <w:rFonts w:ascii="Arial" w:hAnsi="Arial" w:cs="Arial"/>
          <w:b/>
        </w:rPr>
      </w:pPr>
      <w:r w:rsidRPr="000B65D1">
        <w:rPr>
          <w:rFonts w:ascii="Arial" w:hAnsi="Arial" w:cs="Arial"/>
          <w:b/>
        </w:rPr>
        <w:t>Projekty aktów prawnych</w:t>
      </w:r>
    </w:p>
    <w:p w14:paraId="28AFEC15" w14:textId="77777777" w:rsidR="004C6098" w:rsidRDefault="004C6098" w:rsidP="004C6098">
      <w:pPr>
        <w:spacing w:after="0" w:line="300" w:lineRule="auto"/>
        <w:jc w:val="both"/>
        <w:rPr>
          <w:rFonts w:ascii="Arial" w:hAnsi="Arial" w:cs="Arial"/>
        </w:rPr>
      </w:pPr>
    </w:p>
    <w:p w14:paraId="00009EED" w14:textId="5A7159A0" w:rsidR="004C6098" w:rsidRPr="00C70674" w:rsidRDefault="004C6098" w:rsidP="004C6098">
      <w:pPr>
        <w:spacing w:after="0" w:line="300" w:lineRule="auto"/>
        <w:jc w:val="both"/>
        <w:rPr>
          <w:rFonts w:ascii="Arial" w:hAnsi="Arial" w:cs="Arial"/>
        </w:rPr>
      </w:pPr>
      <w:r w:rsidRPr="00C70674">
        <w:rPr>
          <w:rFonts w:ascii="Arial" w:hAnsi="Arial" w:cs="Arial"/>
        </w:rPr>
        <w:t xml:space="preserve">W omawianym okresie </w:t>
      </w:r>
      <w:r w:rsidRPr="00C70674">
        <w:rPr>
          <w:rFonts w:ascii="Arial" w:eastAsia="Calibri" w:hAnsi="Arial" w:cs="Arial"/>
          <w:bCs/>
        </w:rPr>
        <w:t xml:space="preserve">Rządowe Centrum Legislacji opublikowało </w:t>
      </w:r>
      <w:r>
        <w:rPr>
          <w:rFonts w:ascii="Arial" w:eastAsia="Calibri" w:hAnsi="Arial" w:cs="Arial"/>
          <w:bCs/>
        </w:rPr>
        <w:t>1</w:t>
      </w:r>
      <w:r w:rsidRPr="00C70674">
        <w:rPr>
          <w:rFonts w:ascii="Arial" w:eastAsia="Calibri" w:hAnsi="Arial" w:cs="Arial"/>
          <w:bCs/>
        </w:rPr>
        <w:t xml:space="preserve"> projekt</w:t>
      </w:r>
      <w:r>
        <w:rPr>
          <w:rFonts w:ascii="Arial" w:eastAsia="Calibri" w:hAnsi="Arial" w:cs="Arial"/>
          <w:bCs/>
        </w:rPr>
        <w:t xml:space="preserve"> ustaw</w:t>
      </w:r>
      <w:r>
        <w:rPr>
          <w:rFonts w:ascii="Arial" w:eastAsia="Calibri" w:hAnsi="Arial" w:cs="Arial"/>
          <w:bCs/>
        </w:rPr>
        <w:t>y</w:t>
      </w:r>
      <w:r w:rsidRPr="00C70674">
        <w:rPr>
          <w:rFonts w:ascii="Arial" w:eastAsia="Calibri" w:hAnsi="Arial" w:cs="Arial"/>
          <w:bCs/>
        </w:rPr>
        <w:t xml:space="preserve"> oraz</w:t>
      </w:r>
      <w:r w:rsidRPr="00C70674">
        <w:rPr>
          <w:rFonts w:ascii="Arial" w:hAnsi="Arial" w:cs="Arial"/>
        </w:rPr>
        <w:t xml:space="preserve"> </w:t>
      </w:r>
      <w:r>
        <w:rPr>
          <w:rFonts w:ascii="Arial" w:hAnsi="Arial" w:cs="Arial"/>
        </w:rPr>
        <w:t>50</w:t>
      </w:r>
      <w:r w:rsidRPr="00C70674">
        <w:rPr>
          <w:rFonts w:ascii="Arial" w:hAnsi="Arial" w:cs="Arial"/>
        </w:rPr>
        <w:t xml:space="preserve"> projekt</w:t>
      </w:r>
      <w:r>
        <w:rPr>
          <w:rFonts w:ascii="Arial" w:hAnsi="Arial" w:cs="Arial"/>
        </w:rPr>
        <w:t>ów</w:t>
      </w:r>
      <w:r w:rsidRPr="00C70674">
        <w:rPr>
          <w:rFonts w:ascii="Arial" w:hAnsi="Arial" w:cs="Arial"/>
        </w:rPr>
        <w:t xml:space="preserve"> rozporządzeń Rady Ministrów, Prezesa Rady Ministrów oraz poszczególnych Ministrów.</w:t>
      </w:r>
    </w:p>
    <w:p w14:paraId="32DD8D8A" w14:textId="77777777" w:rsidR="004C6098" w:rsidRPr="00C70674" w:rsidRDefault="004C6098" w:rsidP="004C6098">
      <w:pPr>
        <w:spacing w:after="0" w:line="300" w:lineRule="auto"/>
        <w:jc w:val="both"/>
        <w:rPr>
          <w:rFonts w:ascii="Arial" w:hAnsi="Arial" w:cs="Arial"/>
        </w:rPr>
      </w:pPr>
    </w:p>
    <w:p w14:paraId="788BBDC0" w14:textId="61084583" w:rsidR="004C6098" w:rsidRDefault="004C6098" w:rsidP="004C6098">
      <w:pPr>
        <w:spacing w:after="0" w:line="300" w:lineRule="auto"/>
        <w:jc w:val="both"/>
        <w:rPr>
          <w:rFonts w:ascii="Arial" w:hAnsi="Arial" w:cs="Arial"/>
        </w:rPr>
      </w:pPr>
      <w:r>
        <w:rPr>
          <w:rFonts w:ascii="Arial" w:hAnsi="Arial" w:cs="Arial"/>
        </w:rPr>
        <w:t xml:space="preserve">Przeprowadzono konsultacje </w:t>
      </w:r>
      <w:r>
        <w:rPr>
          <w:rFonts w:ascii="Arial" w:hAnsi="Arial" w:cs="Arial"/>
        </w:rPr>
        <w:t>jednego</w:t>
      </w:r>
      <w:r>
        <w:rPr>
          <w:rFonts w:ascii="Arial" w:hAnsi="Arial" w:cs="Arial"/>
        </w:rPr>
        <w:t xml:space="preserve"> projekt</w:t>
      </w:r>
      <w:r>
        <w:rPr>
          <w:rFonts w:ascii="Arial" w:hAnsi="Arial" w:cs="Arial"/>
        </w:rPr>
        <w:t>u</w:t>
      </w:r>
      <w:r>
        <w:rPr>
          <w:rFonts w:ascii="Arial" w:hAnsi="Arial" w:cs="Arial"/>
        </w:rPr>
        <w:t xml:space="preserve"> ustawy i </w:t>
      </w:r>
      <w:r>
        <w:rPr>
          <w:rFonts w:ascii="Arial" w:hAnsi="Arial" w:cs="Arial"/>
        </w:rPr>
        <w:t>jednego</w:t>
      </w:r>
      <w:r>
        <w:rPr>
          <w:rFonts w:ascii="Arial" w:hAnsi="Arial" w:cs="Arial"/>
        </w:rPr>
        <w:t xml:space="preserve"> projekt</w:t>
      </w:r>
      <w:r>
        <w:rPr>
          <w:rFonts w:ascii="Arial" w:hAnsi="Arial" w:cs="Arial"/>
        </w:rPr>
        <w:t>u</w:t>
      </w:r>
      <w:r>
        <w:rPr>
          <w:rFonts w:ascii="Arial" w:hAnsi="Arial" w:cs="Arial"/>
        </w:rPr>
        <w:t xml:space="preserve"> rozporządze</w:t>
      </w:r>
      <w:r>
        <w:rPr>
          <w:rFonts w:ascii="Arial" w:hAnsi="Arial" w:cs="Arial"/>
        </w:rPr>
        <w:t>nia</w:t>
      </w:r>
      <w:r>
        <w:rPr>
          <w:rFonts w:ascii="Arial" w:hAnsi="Arial" w:cs="Arial"/>
        </w:rPr>
        <w:t xml:space="preserve"> dotyczących podmiotów członkowskich (pracodawcy, przedsiębiorcy, JST) zrzeszonych w Związku. </w:t>
      </w:r>
    </w:p>
    <w:p w14:paraId="23FB557B" w14:textId="77777777" w:rsidR="004C6098" w:rsidRDefault="004C6098" w:rsidP="004C6098">
      <w:pPr>
        <w:spacing w:after="0" w:line="300" w:lineRule="auto"/>
        <w:jc w:val="both"/>
        <w:rPr>
          <w:rFonts w:ascii="Arial" w:hAnsi="Arial" w:cs="Arial"/>
        </w:rPr>
      </w:pPr>
      <w:r>
        <w:rPr>
          <w:rFonts w:ascii="Arial" w:hAnsi="Arial" w:cs="Arial"/>
        </w:rPr>
        <w:t>Do konsultacji przekazane zostały następujące projekty:</w:t>
      </w:r>
    </w:p>
    <w:p w14:paraId="7C0B045B" w14:textId="77777777" w:rsidR="004C6098" w:rsidRDefault="004C6098" w:rsidP="004C6098">
      <w:pPr>
        <w:spacing w:after="0" w:line="300" w:lineRule="auto"/>
        <w:jc w:val="both"/>
        <w:rPr>
          <w:rFonts w:ascii="Arial" w:hAnsi="Arial" w:cs="Arial"/>
        </w:rPr>
      </w:pPr>
    </w:p>
    <w:p w14:paraId="4DB30B7F" w14:textId="77777777" w:rsidR="004C6098" w:rsidRDefault="004C6098" w:rsidP="004C6098">
      <w:pPr>
        <w:spacing w:after="0" w:line="300" w:lineRule="auto"/>
        <w:jc w:val="both"/>
        <w:rPr>
          <w:rFonts w:ascii="Arial" w:hAnsi="Arial" w:cs="Arial"/>
        </w:rPr>
      </w:pPr>
      <w:r>
        <w:rPr>
          <w:rFonts w:ascii="Arial" w:hAnsi="Arial" w:cs="Arial"/>
        </w:rPr>
        <w:t>Projekty ustaw:</w:t>
      </w:r>
    </w:p>
    <w:p w14:paraId="11D9B8C0" w14:textId="77777777" w:rsidR="004C6098" w:rsidRDefault="004C6098" w:rsidP="004C6098">
      <w:pPr>
        <w:spacing w:after="0" w:line="300" w:lineRule="auto"/>
        <w:jc w:val="both"/>
        <w:rPr>
          <w:rFonts w:ascii="Arial" w:hAnsi="Arial" w:cs="Arial"/>
        </w:rPr>
      </w:pPr>
    </w:p>
    <w:p w14:paraId="68CCEB77" w14:textId="5ABDBD52" w:rsidR="004C6098" w:rsidRPr="004C6098" w:rsidRDefault="004C6098" w:rsidP="004C6098">
      <w:pPr>
        <w:pStyle w:val="Akapitzlist"/>
        <w:spacing w:after="0" w:line="300" w:lineRule="auto"/>
        <w:jc w:val="both"/>
        <w:rPr>
          <w:rFonts w:ascii="Arial" w:hAnsi="Arial" w:cs="Arial"/>
          <w:b/>
          <w:bCs/>
          <w:u w:val="single"/>
        </w:rPr>
      </w:pPr>
      <w:r w:rsidRPr="004C6098">
        <w:rPr>
          <w:rFonts w:ascii="Arial" w:hAnsi="Arial" w:cs="Arial"/>
          <w:b/>
          <w:bCs/>
          <w:u w:val="single"/>
        </w:rPr>
        <w:t>P</w:t>
      </w:r>
      <w:r w:rsidRPr="004C6098">
        <w:rPr>
          <w:rFonts w:ascii="Arial" w:hAnsi="Arial" w:cs="Arial"/>
          <w:b/>
          <w:bCs/>
          <w:u w:val="single"/>
        </w:rPr>
        <w:t>rojekt ustawy o zmianie ustawy o efektywności energetycznej oraz niektórych innych ustaw (numer z wykazu UC77).</w:t>
      </w:r>
    </w:p>
    <w:p w14:paraId="18721664" w14:textId="77777777" w:rsidR="004C6098" w:rsidRDefault="004C6098" w:rsidP="004C6098">
      <w:pPr>
        <w:spacing w:after="0" w:line="300" w:lineRule="auto"/>
        <w:jc w:val="both"/>
        <w:rPr>
          <w:rFonts w:ascii="Arial" w:hAnsi="Arial" w:cs="Arial"/>
        </w:rPr>
      </w:pPr>
    </w:p>
    <w:p w14:paraId="4AC7AB90" w14:textId="77777777" w:rsidR="004C6098" w:rsidRPr="004C6098" w:rsidRDefault="004C6098" w:rsidP="004C6098">
      <w:pPr>
        <w:spacing w:after="0" w:line="300" w:lineRule="auto"/>
        <w:jc w:val="both"/>
        <w:rPr>
          <w:rFonts w:ascii="Arial" w:hAnsi="Arial" w:cs="Arial"/>
        </w:rPr>
      </w:pPr>
      <w:r w:rsidRPr="004C6098">
        <w:rPr>
          <w:rFonts w:ascii="Arial" w:hAnsi="Arial" w:cs="Arial"/>
        </w:rPr>
        <w:t xml:space="preserve">Poprawa efektywności energetycznej dotyczy całego łańcucha energetycznego, tj. obejmuje etapy: wytwarzania, przesyłu, dystrybucji i końcowego zużycia energii. Kompleksowe jej wdrażanie jest korzystne dla środowiska, wpływa pozytywnie na jakość powietrza i tym samym na stan zdrowia w społeczeństwie. Poprawa efektywności energetycznej to także narzędzie redukcji emisji gazów cieplarnianych, a także poprawy bezpieczeństwa energetycznego poprzez zmniejszenie wykorzystania paliw kopalnych, w tym znacząco importowanych. </w:t>
      </w:r>
    </w:p>
    <w:p w14:paraId="690D7D90" w14:textId="77777777" w:rsidR="004C6098" w:rsidRPr="004C6098" w:rsidRDefault="004C6098" w:rsidP="004C6098">
      <w:pPr>
        <w:spacing w:after="0" w:line="300" w:lineRule="auto"/>
        <w:jc w:val="both"/>
        <w:rPr>
          <w:rFonts w:ascii="Arial" w:hAnsi="Arial" w:cs="Arial"/>
        </w:rPr>
      </w:pPr>
      <w:r w:rsidRPr="004C6098">
        <w:rPr>
          <w:rFonts w:ascii="Arial" w:hAnsi="Arial" w:cs="Arial"/>
        </w:rPr>
        <w:t xml:space="preserve">Efektywność energetyczna stanowi zatem niezbędny element transformacji energetycznej, optymalizując jej koszty i wpływając na procesy produkcyjne. Działania na rzecz poprawy efektywności energetycznej wywierają pozytywny wpływ gospodarczy na przedsiębiorstwa, tj. zwiększają ich konkurencyjność oraz przyczyniają się do tworzenia nowych miejsc pracy, szczególnie w sektorach innowacyjnych.  </w:t>
      </w:r>
    </w:p>
    <w:p w14:paraId="4596FDBD" w14:textId="77777777" w:rsidR="004C6098" w:rsidRPr="004C6098" w:rsidRDefault="004C6098" w:rsidP="004C6098">
      <w:pPr>
        <w:spacing w:after="0" w:line="300" w:lineRule="auto"/>
        <w:jc w:val="both"/>
        <w:rPr>
          <w:rFonts w:ascii="Arial" w:hAnsi="Arial" w:cs="Arial"/>
        </w:rPr>
      </w:pPr>
      <w:r w:rsidRPr="004C6098">
        <w:rPr>
          <w:rFonts w:ascii="Arial" w:hAnsi="Arial" w:cs="Arial"/>
        </w:rPr>
        <w:t xml:space="preserve">Należy zauważyć, że polska gospodarka jest znacznie bardziej energochłonna, niż średnia energochłonność UE. W 2022 r. wskaźnik energochłonności dla Polski wynosił 189,71 kilogramów ekwiwalentu ropy naftowej na tysiąc euro (kgoe/1000 EUR) przy średniej UE wynoszącej 107,42 kgoe/1000 EUR.  Efektywność energetyczna, poprzez m.in. obniżenie energochłonności, odgrywa kluczową rolę w obniżaniu kosztów energii dla gospodarstw </w:t>
      </w:r>
      <w:r w:rsidRPr="004C6098">
        <w:rPr>
          <w:rFonts w:ascii="Arial" w:hAnsi="Arial" w:cs="Arial"/>
        </w:rPr>
        <w:lastRenderedPageBreak/>
        <w:t xml:space="preserve">domowych i tym samym staje się głównym narzędziem ograniczającym ubóstwo energetyczne. Z uwagi na szereg ww. korzyści efektywność energetyczną powinno się traktować priorytetowo, jako tzw. „pierwsze paliwo”. </w:t>
      </w:r>
    </w:p>
    <w:p w14:paraId="4C91223D" w14:textId="77777777" w:rsidR="004C6098" w:rsidRPr="004C6098" w:rsidRDefault="004C6098" w:rsidP="004C6098">
      <w:pPr>
        <w:spacing w:after="0" w:line="300" w:lineRule="auto"/>
        <w:jc w:val="both"/>
        <w:rPr>
          <w:rFonts w:ascii="Arial" w:hAnsi="Arial" w:cs="Arial"/>
        </w:rPr>
      </w:pPr>
      <w:r w:rsidRPr="004C6098">
        <w:rPr>
          <w:rFonts w:ascii="Arial" w:hAnsi="Arial" w:cs="Arial"/>
        </w:rPr>
        <w:t>Jednocześnie, w polskim prawie brakuje koniecznych rozwiązań wynikających z dyrektywy Parlamentu Europejskiego i Rady (UE) 2023/1791 z dnia 13 września 2023 r. w sprawie efektywności energetycznej oraz zmieniającej rozporządzenie (UE) 2023/955 (Dz. Urz. UE L 231 z 20.09.2023, str. 1), zwanej dalej „dyrektywą 2023/1791”. Brak jest niezbędnych środków służących wspieraniu efektywności energetycznej, zapewniających osiągnięcie celów w tym zakresie do 2030 r. i w kolejnych dekadach.</w:t>
      </w:r>
    </w:p>
    <w:p w14:paraId="76DB4B2F" w14:textId="77777777" w:rsidR="004C6098" w:rsidRPr="004C6098" w:rsidRDefault="004C6098" w:rsidP="004C6098">
      <w:pPr>
        <w:spacing w:after="0" w:line="300" w:lineRule="auto"/>
        <w:jc w:val="both"/>
        <w:rPr>
          <w:rFonts w:ascii="Arial" w:hAnsi="Arial" w:cs="Arial"/>
        </w:rPr>
      </w:pPr>
      <w:r w:rsidRPr="004C6098">
        <w:rPr>
          <w:rFonts w:ascii="Arial" w:hAnsi="Arial" w:cs="Arial"/>
        </w:rPr>
        <w:t>W szczególności brakuje systemowych rozwiązań w zakresie:</w:t>
      </w:r>
    </w:p>
    <w:p w14:paraId="55E03FC9" w14:textId="3DF06EE9" w:rsidR="004C6098" w:rsidRPr="004C6098" w:rsidRDefault="004C6098" w:rsidP="004C6098">
      <w:pPr>
        <w:pStyle w:val="Akapitzlist"/>
        <w:numPr>
          <w:ilvl w:val="0"/>
          <w:numId w:val="6"/>
        </w:numPr>
        <w:spacing w:after="0" w:line="300" w:lineRule="auto"/>
        <w:jc w:val="both"/>
        <w:rPr>
          <w:rFonts w:ascii="Arial" w:hAnsi="Arial" w:cs="Arial"/>
        </w:rPr>
      </w:pPr>
      <w:r w:rsidRPr="004C6098">
        <w:rPr>
          <w:rFonts w:ascii="Arial" w:hAnsi="Arial" w:cs="Arial"/>
        </w:rPr>
        <w:t xml:space="preserve">stosowania zasady „efektywność energetyczna przede wszystkim”; </w:t>
      </w:r>
    </w:p>
    <w:p w14:paraId="16FBE9A6" w14:textId="6013D840" w:rsidR="004C6098" w:rsidRPr="004C6098" w:rsidRDefault="004C6098" w:rsidP="004C6098">
      <w:pPr>
        <w:pStyle w:val="Akapitzlist"/>
        <w:numPr>
          <w:ilvl w:val="0"/>
          <w:numId w:val="6"/>
        </w:numPr>
        <w:spacing w:after="0" w:line="300" w:lineRule="auto"/>
        <w:jc w:val="both"/>
        <w:rPr>
          <w:rFonts w:ascii="Arial" w:hAnsi="Arial" w:cs="Arial"/>
        </w:rPr>
      </w:pPr>
      <w:r w:rsidRPr="004C6098">
        <w:rPr>
          <w:rFonts w:ascii="Arial" w:hAnsi="Arial" w:cs="Arial"/>
        </w:rPr>
        <w:t>realizacji krajowego celu zmniejszenia zużycia energii finalnej przez instytucje publiczne;</w:t>
      </w:r>
    </w:p>
    <w:p w14:paraId="593F40CC" w14:textId="1F38F840" w:rsidR="004C6098" w:rsidRPr="004C6098" w:rsidRDefault="004C6098" w:rsidP="004C6098">
      <w:pPr>
        <w:pStyle w:val="Akapitzlist"/>
        <w:numPr>
          <w:ilvl w:val="0"/>
          <w:numId w:val="6"/>
        </w:numPr>
        <w:spacing w:after="0" w:line="300" w:lineRule="auto"/>
        <w:jc w:val="both"/>
        <w:rPr>
          <w:rFonts w:ascii="Arial" w:hAnsi="Arial" w:cs="Arial"/>
        </w:rPr>
      </w:pPr>
      <w:r w:rsidRPr="004C6098">
        <w:rPr>
          <w:rFonts w:ascii="Arial" w:hAnsi="Arial" w:cs="Arial"/>
        </w:rPr>
        <w:t>potrzeby ustanowienia podwyższonego krajowego celu oszczędności energii finalnej, w tym podcelu uzyskania oszczędności energii finalnej w obszarze ubóstwa energetycznego;</w:t>
      </w:r>
    </w:p>
    <w:p w14:paraId="6AA5B47D" w14:textId="1702EBC5" w:rsidR="004C6098" w:rsidRPr="004C6098" w:rsidRDefault="004C6098" w:rsidP="004C6098">
      <w:pPr>
        <w:pStyle w:val="Akapitzlist"/>
        <w:numPr>
          <w:ilvl w:val="0"/>
          <w:numId w:val="6"/>
        </w:numPr>
        <w:spacing w:after="0" w:line="300" w:lineRule="auto"/>
        <w:jc w:val="both"/>
        <w:rPr>
          <w:rFonts w:ascii="Arial" w:hAnsi="Arial" w:cs="Arial"/>
        </w:rPr>
      </w:pPr>
      <w:r w:rsidRPr="004C6098">
        <w:rPr>
          <w:rFonts w:ascii="Arial" w:hAnsi="Arial" w:cs="Arial"/>
        </w:rPr>
        <w:t>usprawnienia mechanizmów służących realizacji krajowego celu w zakresie oszczędności energii finalnej, w tym w szczególności systemu świadectw efektywności energetycznej (tj. system tylko częściowo realizuje założony cel w zakresie oszczędności energii finalnej u odbiorcy końcowego);</w:t>
      </w:r>
    </w:p>
    <w:p w14:paraId="720A0C34" w14:textId="37E4E8F3" w:rsidR="004C6098" w:rsidRPr="004C6098" w:rsidRDefault="004C6098" w:rsidP="004C6098">
      <w:pPr>
        <w:pStyle w:val="Akapitzlist"/>
        <w:numPr>
          <w:ilvl w:val="0"/>
          <w:numId w:val="6"/>
        </w:numPr>
        <w:spacing w:after="0" w:line="300" w:lineRule="auto"/>
        <w:jc w:val="both"/>
        <w:rPr>
          <w:rFonts w:ascii="Arial" w:hAnsi="Arial" w:cs="Arial"/>
        </w:rPr>
      </w:pPr>
      <w:r w:rsidRPr="004C6098">
        <w:rPr>
          <w:rFonts w:ascii="Arial" w:hAnsi="Arial" w:cs="Arial"/>
        </w:rPr>
        <w:t>nowych zadań dla przedsiębiorstw w zakresie efektywności energetycznej;</w:t>
      </w:r>
    </w:p>
    <w:p w14:paraId="06831D35" w14:textId="41B4A46C" w:rsidR="004C6098" w:rsidRPr="004C6098" w:rsidRDefault="004C6098" w:rsidP="004C6098">
      <w:pPr>
        <w:pStyle w:val="Akapitzlist"/>
        <w:numPr>
          <w:ilvl w:val="0"/>
          <w:numId w:val="6"/>
        </w:numPr>
        <w:spacing w:after="0" w:line="300" w:lineRule="auto"/>
        <w:jc w:val="both"/>
        <w:rPr>
          <w:rFonts w:ascii="Arial" w:hAnsi="Arial" w:cs="Arial"/>
        </w:rPr>
      </w:pPr>
      <w:r w:rsidRPr="004C6098">
        <w:rPr>
          <w:rFonts w:ascii="Arial" w:hAnsi="Arial" w:cs="Arial"/>
        </w:rPr>
        <w:t>systemu kwalifikacji, akredytacji i certyfikacji dla zawodów związanych z efektywnością energetyczną.</w:t>
      </w:r>
    </w:p>
    <w:p w14:paraId="6F042689" w14:textId="77777777" w:rsidR="004C6098" w:rsidRPr="004C6098" w:rsidRDefault="004C6098" w:rsidP="004C6098">
      <w:pPr>
        <w:spacing w:after="0" w:line="300" w:lineRule="auto"/>
        <w:jc w:val="both"/>
        <w:rPr>
          <w:rFonts w:ascii="Arial" w:hAnsi="Arial" w:cs="Arial"/>
        </w:rPr>
      </w:pPr>
      <w:r w:rsidRPr="004C6098">
        <w:rPr>
          <w:rFonts w:ascii="Arial" w:hAnsi="Arial" w:cs="Arial"/>
        </w:rPr>
        <w:t>ad 1</w:t>
      </w:r>
    </w:p>
    <w:p w14:paraId="0D473D06" w14:textId="77777777" w:rsidR="004C6098" w:rsidRPr="004C6098" w:rsidRDefault="004C6098" w:rsidP="004C6098">
      <w:pPr>
        <w:spacing w:after="0" w:line="300" w:lineRule="auto"/>
        <w:jc w:val="both"/>
        <w:rPr>
          <w:rFonts w:ascii="Arial" w:hAnsi="Arial" w:cs="Arial"/>
        </w:rPr>
      </w:pPr>
      <w:r w:rsidRPr="004C6098">
        <w:rPr>
          <w:rFonts w:ascii="Arial" w:hAnsi="Arial" w:cs="Arial"/>
        </w:rPr>
        <w:t>Na podstawie art. 3 dyrektywy 2023/1791 państwa członkowskie przeprowadzają ocenę rozwiązań w zakresie efektywności energetycznej, w tym zasobów po stronie popytu i elastyczności systemu, przy podejmowaniu decyzji dotyczących planowania, opracowania polityk i większych inwestycji o wartości przekraczającej 100 mln euro i 175 mln euro w przypadku projektów dotyczących infrastruktury transportowej.</w:t>
      </w:r>
    </w:p>
    <w:p w14:paraId="00FCCE59" w14:textId="77777777" w:rsidR="004C6098" w:rsidRPr="004C6098" w:rsidRDefault="004C6098" w:rsidP="004C6098">
      <w:pPr>
        <w:spacing w:after="0" w:line="300" w:lineRule="auto"/>
        <w:jc w:val="both"/>
        <w:rPr>
          <w:rFonts w:ascii="Arial" w:hAnsi="Arial" w:cs="Arial"/>
        </w:rPr>
      </w:pPr>
      <w:r w:rsidRPr="004C6098">
        <w:rPr>
          <w:rFonts w:ascii="Arial" w:hAnsi="Arial" w:cs="Arial"/>
        </w:rPr>
        <w:t xml:space="preserve">Stosowanie zasady „efektywność energetyczna przede wszystkim”, określonej w art. 2 pkt 18 rozporządzenia Parlamentu Europejskiego i Rady (UE) 2018/1999 z dnia 11 grudnia 2018 r. w sprawie zarządzania unią energetyczną i działaniami w dziedzinie klimatu, zmiany rozporządzeń Parlamentu Europejskiego i Rady (WE) nr 663/2009 i (WE) nr 715/2009, dyrektyw Parlamentu Europejskiego i Rady 94/22/WE, 98/70/WE, 2009/31/WE, 2009/73/WE, 2010/31/UE, 2012/27/UE i 2013/30/UE, dyrektyw Rady 2009/119/WE i (EU) 2015/652 oraz uchylenia rozporządzenia Parlamentu Europejskiego i Rady (UE) nr 525/2013, zwanego dalej „rozporządzeniem 2018/1999”, powinno być realizowane w szczególności przez wykonywanie analiz kosztów i korzyści, które umożliwia właściwą ocenę szerszych korzyści płynących z rozwiązań w zakresie efektywności energetycznej oraz wpływu na ubóstwo energetyczne. Państwa członkowskie są zobowiązane do wyznaczenia jednostki lub jednostek odpowiedzialnych za monitorowanie stosowania zasady oraz wpływu ram regulacyjnych na zużycie energii i efektywność energetyczną. </w:t>
      </w:r>
    </w:p>
    <w:p w14:paraId="7D84E486" w14:textId="77777777" w:rsidR="004C6098" w:rsidRPr="004C6098" w:rsidRDefault="004C6098" w:rsidP="004C6098">
      <w:pPr>
        <w:spacing w:after="0" w:line="300" w:lineRule="auto"/>
        <w:jc w:val="both"/>
        <w:rPr>
          <w:rFonts w:ascii="Arial" w:hAnsi="Arial" w:cs="Arial"/>
        </w:rPr>
      </w:pPr>
      <w:r w:rsidRPr="004C6098">
        <w:rPr>
          <w:rFonts w:ascii="Arial" w:hAnsi="Arial" w:cs="Arial"/>
        </w:rPr>
        <w:t xml:space="preserve">W prawie krajowym brak jest rozwiązań w pełni umożliwiających prawidłową i skuteczną implementację dyrektywy 2023/1791 w odniesieniu do stosowania powyższej zasady. </w:t>
      </w:r>
    </w:p>
    <w:p w14:paraId="6E3FF1B9" w14:textId="77777777" w:rsidR="004C6098" w:rsidRPr="004C6098" w:rsidRDefault="004C6098" w:rsidP="004C6098">
      <w:pPr>
        <w:spacing w:after="0" w:line="300" w:lineRule="auto"/>
        <w:jc w:val="both"/>
        <w:rPr>
          <w:rFonts w:ascii="Arial" w:hAnsi="Arial" w:cs="Arial"/>
        </w:rPr>
      </w:pPr>
      <w:r w:rsidRPr="004C6098">
        <w:rPr>
          <w:rFonts w:ascii="Arial" w:hAnsi="Arial" w:cs="Arial"/>
        </w:rPr>
        <w:lastRenderedPageBreak/>
        <w:t>ad 2</w:t>
      </w:r>
    </w:p>
    <w:p w14:paraId="26293421" w14:textId="77777777" w:rsidR="004C6098" w:rsidRPr="004C6098" w:rsidRDefault="004C6098" w:rsidP="004C6098">
      <w:pPr>
        <w:spacing w:after="0" w:line="300" w:lineRule="auto"/>
        <w:jc w:val="both"/>
        <w:rPr>
          <w:rFonts w:ascii="Arial" w:hAnsi="Arial" w:cs="Arial"/>
        </w:rPr>
      </w:pPr>
      <w:r w:rsidRPr="004C6098">
        <w:rPr>
          <w:rFonts w:ascii="Arial" w:hAnsi="Arial" w:cs="Arial"/>
        </w:rPr>
        <w:t>Dyrektywa 2023/1791 znacząco wzmacnia wzorcową rolę sektora publicznego w dziedzinie efektywności energetycznej. Z jednej strony rozszerza zakres podmiotowy jednostek pełniących wzorcową rolę, a z drugiej strony modyfikuje zadania w tym zakresie (art. 5 dyrektywy 2023/1791).</w:t>
      </w:r>
    </w:p>
    <w:p w14:paraId="15C19B73" w14:textId="77777777" w:rsidR="004C6098" w:rsidRPr="004C6098" w:rsidRDefault="004C6098" w:rsidP="004C6098">
      <w:pPr>
        <w:spacing w:after="0" w:line="300" w:lineRule="auto"/>
        <w:jc w:val="both"/>
        <w:rPr>
          <w:rFonts w:ascii="Arial" w:hAnsi="Arial" w:cs="Arial"/>
        </w:rPr>
      </w:pPr>
      <w:r w:rsidRPr="004C6098">
        <w:rPr>
          <w:rFonts w:ascii="Arial" w:hAnsi="Arial" w:cs="Arial"/>
        </w:rPr>
        <w:t xml:space="preserve">Art. 2 pkt 12 dyrektywy 2023/1791 określa definicję „instytucji publicznych”, które oznaczają władze krajowe, regionalne lub lokalne oraz podmioty bezpośrednio finansowane i zarządzane przez te władze, lecz niemające charakteru przemysłowego ani handlowego. Należy zauważyć, że definicja ta nie ma swojego odpowiednika w polskim prawie. W kontekście wzorcowej roli sektora publicznego, ustawa o efektywności energetycznej definiuje termin „jednostka sektora publicznego”, który oznacza zamawiającego publicznego, w rozumieniu art. 4 pkt 1 ustawy z dnia z dnia 11 września 2019 r. — Prawo zamówień publicznych (Dz. U. z 2024 r. poz. 1320). Z uwagi na dużo węższy zakres tej definicji, istnieje potrzeba sformułowania nowej, tak aby zapewnić zgodność z prawem UE. </w:t>
      </w:r>
    </w:p>
    <w:p w14:paraId="3F754CDD" w14:textId="77777777" w:rsidR="004C6098" w:rsidRPr="004C6098" w:rsidRDefault="004C6098" w:rsidP="004C6098">
      <w:pPr>
        <w:spacing w:after="0" w:line="300" w:lineRule="auto"/>
        <w:jc w:val="both"/>
        <w:rPr>
          <w:rFonts w:ascii="Arial" w:hAnsi="Arial" w:cs="Arial"/>
        </w:rPr>
      </w:pPr>
      <w:r w:rsidRPr="004C6098">
        <w:rPr>
          <w:rFonts w:ascii="Arial" w:hAnsi="Arial" w:cs="Arial"/>
        </w:rPr>
        <w:t xml:space="preserve">Co istotne, dyrektywa 2023/1791 nie wymaga już bezpośredniego stosowania środków poprawy efektywności energetycznej przez instytucje publiczne. Państwa członkowskie zobowiązano do osiągnięcia nowego, ilościowego krajowego celu zmniejszenia zużycia energii finalnej w sektorze publicznym o 1,9 % rocznie w porównaniu z rokiem 2021. </w:t>
      </w:r>
    </w:p>
    <w:p w14:paraId="12129C12" w14:textId="77777777" w:rsidR="004C6098" w:rsidRPr="004C6098" w:rsidRDefault="004C6098" w:rsidP="004C6098">
      <w:pPr>
        <w:spacing w:after="0" w:line="300" w:lineRule="auto"/>
        <w:jc w:val="both"/>
        <w:rPr>
          <w:rFonts w:ascii="Arial" w:hAnsi="Arial" w:cs="Arial"/>
        </w:rPr>
      </w:pPr>
      <w:r w:rsidRPr="004C6098">
        <w:rPr>
          <w:rFonts w:ascii="Arial" w:hAnsi="Arial" w:cs="Arial"/>
        </w:rPr>
        <w:t xml:space="preserve">Zgodnie z motywem nr 35 do dyrektywy 2023/1791, państwa członkowskie powinny skupić się na zużyciu energii finalnej przez wszystkie obiekty użyteczności publicznej i obiekty instytucji publicznych. Cel może zostać zrealizowany przez zmniejszenie zużycia energii finalnej w dowolnym obszarze sektora publicznego. </w:t>
      </w:r>
    </w:p>
    <w:p w14:paraId="6EFA1396" w14:textId="77777777" w:rsidR="004C6098" w:rsidRPr="004C6098" w:rsidRDefault="004C6098" w:rsidP="004C6098">
      <w:pPr>
        <w:spacing w:after="0" w:line="300" w:lineRule="auto"/>
        <w:jc w:val="both"/>
        <w:rPr>
          <w:rFonts w:ascii="Arial" w:hAnsi="Arial" w:cs="Arial"/>
        </w:rPr>
      </w:pPr>
      <w:r w:rsidRPr="004C6098">
        <w:rPr>
          <w:rFonts w:ascii="Arial" w:hAnsi="Arial" w:cs="Arial"/>
        </w:rPr>
        <w:t>ad 3</w:t>
      </w:r>
    </w:p>
    <w:p w14:paraId="0ACE526A" w14:textId="77777777" w:rsidR="004C6098" w:rsidRPr="004C6098" w:rsidRDefault="004C6098" w:rsidP="004C6098">
      <w:pPr>
        <w:spacing w:after="0" w:line="300" w:lineRule="auto"/>
        <w:jc w:val="both"/>
        <w:rPr>
          <w:rFonts w:ascii="Arial" w:hAnsi="Arial" w:cs="Arial"/>
        </w:rPr>
      </w:pPr>
      <w:r w:rsidRPr="004C6098">
        <w:rPr>
          <w:rFonts w:ascii="Arial" w:hAnsi="Arial" w:cs="Arial"/>
        </w:rPr>
        <w:t xml:space="preserve">Wartość nowych oszczędności energii finalnej w latach 2021–2030 została określona w art. 18 ust. 2 ustawy z dnia 20 maja 2016 r. o efektywności energetycznej (Dz. U. z 2025 r. poz. 711), zwanej dalej „ustawą o efektywności energetycznej” i wynosi 5580 tys. ton oleju ekwiwalentnego, zwanego dalej „ktoe”. </w:t>
      </w:r>
    </w:p>
    <w:p w14:paraId="283C55CC" w14:textId="77777777" w:rsidR="004C6098" w:rsidRPr="004C6098" w:rsidRDefault="004C6098" w:rsidP="004C6098">
      <w:pPr>
        <w:spacing w:after="0" w:line="300" w:lineRule="auto"/>
        <w:jc w:val="both"/>
        <w:rPr>
          <w:rFonts w:ascii="Arial" w:hAnsi="Arial" w:cs="Arial"/>
        </w:rPr>
      </w:pPr>
      <w:r w:rsidRPr="004C6098">
        <w:rPr>
          <w:rFonts w:ascii="Arial" w:hAnsi="Arial" w:cs="Arial"/>
        </w:rPr>
        <w:t>W informacji dodatkowej przekazanej do Komisji Europejskiej, Polska zobligowała się do uzyskania skumulowanych oszczędności energii finalnej w okresie 2021–2030 w wysokości 30 797 ktoe, tj. oszczędności na poziomie 0,8 % rocznego zużycia energii końcowej, uśrednionego dla ostatnich trzech lat poprzedzających dzień 1 stycznia 2019 r.</w:t>
      </w:r>
    </w:p>
    <w:p w14:paraId="2DB429CF" w14:textId="77777777" w:rsidR="004C6098" w:rsidRPr="004C6098" w:rsidRDefault="004C6098" w:rsidP="004C6098">
      <w:pPr>
        <w:spacing w:after="0" w:line="300" w:lineRule="auto"/>
        <w:jc w:val="both"/>
        <w:rPr>
          <w:rFonts w:ascii="Arial" w:hAnsi="Arial" w:cs="Arial"/>
        </w:rPr>
      </w:pPr>
      <w:r w:rsidRPr="004C6098">
        <w:rPr>
          <w:rFonts w:ascii="Arial" w:hAnsi="Arial" w:cs="Arial"/>
        </w:rPr>
        <w:t>Wraz z wejściem w życie dyrektywy 2023/1791, powyższy cel zwiększył się. Art. 8 ust. 1 lit. b dyrektywy 2023/1791 obliguje do osiągnięcia skumulowanych oszczędności końcowego zużycia energii, o średnio 1,49 % rocznego zużycia energii końcowej, uśrednionego dla ostatnich trzech lat poprzedzających dzień 1 stycznia 2019 r. Zatem skumulowana wartość oszczędności energii finalnej w latach 2021–2030 wyniesie 44 465 ktoe.</w:t>
      </w:r>
    </w:p>
    <w:p w14:paraId="73B4B49A" w14:textId="77777777" w:rsidR="004C6098" w:rsidRPr="004C6098" w:rsidRDefault="004C6098" w:rsidP="004C6098">
      <w:pPr>
        <w:spacing w:after="0" w:line="300" w:lineRule="auto"/>
        <w:jc w:val="both"/>
        <w:rPr>
          <w:rFonts w:ascii="Arial" w:hAnsi="Arial" w:cs="Arial"/>
        </w:rPr>
      </w:pPr>
      <w:r w:rsidRPr="004C6098">
        <w:rPr>
          <w:rFonts w:ascii="Arial" w:hAnsi="Arial" w:cs="Arial"/>
        </w:rPr>
        <w:t>Ponadto, dyrektywa 2023/1791 obliguje państwa członkowskie do wyznaczenia i osiągnięcia określonego odsetka wymaganej wielkości skumulowanych oszczędności końcowego zużycia energii wśród osób dotkniętych ubóstwem energetycznym. Obszar ubóstwa energetycznego jest jednym z priorytetowych obszarów zainteresowania w ramach sprawiedliwej transformacji energetycznej. Rosnące koszty energii ze źródeł konwencjonalnych w połączeniu z kosztem nowych inwestycji w instalacje energii odnawialnej w okresie transformacji, wywierają szczególną presję na gospodarstwa mniej zamożne. Niezbędne jest podejmowanie wszelkich działań, których efektem będzie ograniczenie zasięgu tego negatywnego zjawiska.</w:t>
      </w:r>
    </w:p>
    <w:p w14:paraId="76815FF1" w14:textId="77777777" w:rsidR="004C6098" w:rsidRPr="004C6098" w:rsidRDefault="004C6098" w:rsidP="004C6098">
      <w:pPr>
        <w:spacing w:after="0" w:line="300" w:lineRule="auto"/>
        <w:jc w:val="both"/>
        <w:rPr>
          <w:rFonts w:ascii="Arial" w:hAnsi="Arial" w:cs="Arial"/>
        </w:rPr>
      </w:pPr>
      <w:r w:rsidRPr="004C6098">
        <w:rPr>
          <w:rFonts w:ascii="Arial" w:hAnsi="Arial" w:cs="Arial"/>
        </w:rPr>
        <w:lastRenderedPageBreak/>
        <w:t xml:space="preserve">Zgodnie z art. 8 ust. 3 dyrektywy 2023/1791 udział oszczędności energii finalnej w obszarze ubóstwa energetycznego wynosi 9,05 %, co oznacza potrzebę osiągnięcia skumulowanej wartości oszczędności energii finalnej w latach 2024-2030 na poziomie 2678 ktoe. </w:t>
      </w:r>
    </w:p>
    <w:p w14:paraId="5C4AA53F" w14:textId="77777777" w:rsidR="004C6098" w:rsidRPr="004C6098" w:rsidRDefault="004C6098" w:rsidP="004C6098">
      <w:pPr>
        <w:spacing w:after="0" w:line="300" w:lineRule="auto"/>
        <w:jc w:val="both"/>
        <w:rPr>
          <w:rFonts w:ascii="Arial" w:hAnsi="Arial" w:cs="Arial"/>
        </w:rPr>
      </w:pPr>
      <w:r w:rsidRPr="004C6098">
        <w:rPr>
          <w:rFonts w:ascii="Arial" w:hAnsi="Arial" w:cs="Arial"/>
        </w:rPr>
        <w:t>Zaniechanie działań w tym obszarze będzie utrzymywało wysoki poziom narażenia części gospodarstw domowych na wysokie koszty energii, co odbiega od przyjętych założeń transformacji energetycznej, zgodnie z którymi szczególną ochroną powinny zostać objęte gospodarstwa dotknięte ubóstwem energetycznym.</w:t>
      </w:r>
    </w:p>
    <w:p w14:paraId="36B2561A" w14:textId="77777777" w:rsidR="004C6098" w:rsidRPr="004C6098" w:rsidRDefault="004C6098" w:rsidP="004C6098">
      <w:pPr>
        <w:spacing w:after="0" w:line="300" w:lineRule="auto"/>
        <w:jc w:val="both"/>
        <w:rPr>
          <w:rFonts w:ascii="Arial" w:hAnsi="Arial" w:cs="Arial"/>
        </w:rPr>
      </w:pPr>
      <w:r w:rsidRPr="004C6098">
        <w:rPr>
          <w:rFonts w:ascii="Arial" w:hAnsi="Arial" w:cs="Arial"/>
        </w:rPr>
        <w:t>Należy wskazać, że ustanowienie podcelu w zakresie uzyskania oszczędności energii finalnej w obszarze ubóstwa energetycznego umożliwi ukierunkowanie już dostępnych narzędzi w zakresie poprawy efektywności energetycznej (m.in. białych certyfikatów) na tego typu odbiorców energii. Proponowane rozwiązanie przyczyni się do zmniejszenia kosztów energii, a tym samym pośrednio będzie oddziaływało na redukcję ubóstwa energetycznego w Polsce. Proponowane działanie będzie komplementarne do dyrektywy Parlamentu Europejskiego i Rady (UE) 2024/1275 z dnia 24 kwietnia 2024 r. w sprawie charakterystyki energetycznej budynków (Dz. Urz. UE L 2024/1275 z 08.05.2024), zwaną dalej „dyrektywą 2024/1275”.</w:t>
      </w:r>
    </w:p>
    <w:p w14:paraId="729DF2B7" w14:textId="77777777" w:rsidR="004C6098" w:rsidRPr="004C6098" w:rsidRDefault="004C6098" w:rsidP="004C6098">
      <w:pPr>
        <w:spacing w:after="0" w:line="300" w:lineRule="auto"/>
        <w:jc w:val="both"/>
        <w:rPr>
          <w:rFonts w:ascii="Arial" w:hAnsi="Arial" w:cs="Arial"/>
        </w:rPr>
      </w:pPr>
      <w:r w:rsidRPr="004C6098">
        <w:rPr>
          <w:rFonts w:ascii="Arial" w:hAnsi="Arial" w:cs="Arial"/>
        </w:rPr>
        <w:t>ad 4</w:t>
      </w:r>
    </w:p>
    <w:p w14:paraId="30755D6D" w14:textId="77777777" w:rsidR="004C6098" w:rsidRPr="004C6098" w:rsidRDefault="004C6098" w:rsidP="004C6098">
      <w:pPr>
        <w:spacing w:after="0" w:line="300" w:lineRule="auto"/>
        <w:jc w:val="both"/>
        <w:rPr>
          <w:rFonts w:ascii="Arial" w:hAnsi="Arial" w:cs="Arial"/>
        </w:rPr>
      </w:pPr>
      <w:r w:rsidRPr="004C6098">
        <w:rPr>
          <w:rFonts w:ascii="Arial" w:hAnsi="Arial" w:cs="Arial"/>
        </w:rPr>
        <w:t>System świadectw efektywności energetycznej, zwany potocznie systemem białych certyfikatów, funkcjonuje w Polsce od 2013 r.  Został ustanowiony ustawą z dnia 15 kwietnia 2011 r. o efektywności energetycznej (Dz. U. poz. 551, z późn. zm.). Następnie system świadectw efektywności energetycznej został uregulowany w ustawie o efektywności energetycznej oraz w ustawie z dnia 20 kwietnia 2021 r. o zmianie ustawy o efektywności energetycznej oraz niektórych innych ustaw (Dz. U.  poz. 868).</w:t>
      </w:r>
    </w:p>
    <w:p w14:paraId="218DFDAF" w14:textId="77777777" w:rsidR="004C6098" w:rsidRPr="004C6098" w:rsidRDefault="004C6098" w:rsidP="004C6098">
      <w:pPr>
        <w:spacing w:after="0" w:line="300" w:lineRule="auto"/>
        <w:jc w:val="both"/>
        <w:rPr>
          <w:rFonts w:ascii="Arial" w:hAnsi="Arial" w:cs="Arial"/>
        </w:rPr>
      </w:pPr>
      <w:r w:rsidRPr="004C6098">
        <w:rPr>
          <w:rFonts w:ascii="Arial" w:hAnsi="Arial" w:cs="Arial"/>
        </w:rPr>
        <w:t>System świadectw efektywności energetycznej nakłada coroczny obowiązek oszczędności energii na podmioty zobowiązane. Zgodnie z art. 10 ustawy o efektywności energetycznej podmiotami zobowiązanymi są m.in. przedsiębiorstwa energetyczne sprzedające energię elektryczną, ciepło sieciowe, gaz ziemny odbiorcom końcowym oraz podmioty paliwowe wprowadzające do obrotu paliwa ciekłe.</w:t>
      </w:r>
    </w:p>
    <w:p w14:paraId="5F49E94E" w14:textId="77777777" w:rsidR="004C6098" w:rsidRPr="004C6098" w:rsidRDefault="004C6098" w:rsidP="004C6098">
      <w:pPr>
        <w:spacing w:after="0" w:line="300" w:lineRule="auto"/>
        <w:jc w:val="both"/>
        <w:rPr>
          <w:rFonts w:ascii="Arial" w:hAnsi="Arial" w:cs="Arial"/>
        </w:rPr>
      </w:pPr>
      <w:r w:rsidRPr="004C6098">
        <w:rPr>
          <w:rFonts w:ascii="Arial" w:hAnsi="Arial" w:cs="Arial"/>
        </w:rPr>
        <w:t>Ww. obowiązek może zostać wypełniony przez:</w:t>
      </w:r>
    </w:p>
    <w:p w14:paraId="31884129" w14:textId="75C48A4B" w:rsidR="004C6098" w:rsidRPr="004C6098" w:rsidRDefault="004C6098" w:rsidP="004C6098">
      <w:pPr>
        <w:pStyle w:val="Akapitzlist"/>
        <w:numPr>
          <w:ilvl w:val="0"/>
          <w:numId w:val="8"/>
        </w:numPr>
        <w:spacing w:after="0" w:line="300" w:lineRule="auto"/>
        <w:jc w:val="both"/>
        <w:rPr>
          <w:rFonts w:ascii="Arial" w:hAnsi="Arial" w:cs="Arial"/>
        </w:rPr>
      </w:pPr>
      <w:r w:rsidRPr="004C6098">
        <w:rPr>
          <w:rFonts w:ascii="Arial" w:hAnsi="Arial" w:cs="Arial"/>
        </w:rPr>
        <w:t>zrealizowanie przedsięwzięcia służącego poprawie efektywności energetycznej u odbiorcy końcowego lub</w:t>
      </w:r>
    </w:p>
    <w:p w14:paraId="533883FB" w14:textId="13BC4A10" w:rsidR="004C6098" w:rsidRPr="004C6098" w:rsidRDefault="004C6098" w:rsidP="004C6098">
      <w:pPr>
        <w:pStyle w:val="Akapitzlist"/>
        <w:numPr>
          <w:ilvl w:val="0"/>
          <w:numId w:val="8"/>
        </w:numPr>
        <w:spacing w:after="0" w:line="300" w:lineRule="auto"/>
        <w:jc w:val="both"/>
        <w:rPr>
          <w:rFonts w:ascii="Arial" w:hAnsi="Arial" w:cs="Arial"/>
        </w:rPr>
      </w:pPr>
      <w:r w:rsidRPr="004C6098">
        <w:rPr>
          <w:rFonts w:ascii="Arial" w:hAnsi="Arial" w:cs="Arial"/>
        </w:rPr>
        <w:t>zrealizowanie programu bezzwrotnych dofinansowań w celu współfinansowania przedsięwzięć służących poprawie efektywności energetycznej u odbiorcy końcowego lub</w:t>
      </w:r>
    </w:p>
    <w:p w14:paraId="3A2C15F7" w14:textId="639A04E0" w:rsidR="004C6098" w:rsidRPr="004C6098" w:rsidRDefault="004C6098" w:rsidP="004C6098">
      <w:pPr>
        <w:pStyle w:val="Akapitzlist"/>
        <w:numPr>
          <w:ilvl w:val="0"/>
          <w:numId w:val="8"/>
        </w:numPr>
        <w:spacing w:after="0" w:line="300" w:lineRule="auto"/>
        <w:jc w:val="both"/>
        <w:rPr>
          <w:rFonts w:ascii="Arial" w:hAnsi="Arial" w:cs="Arial"/>
        </w:rPr>
      </w:pPr>
      <w:r w:rsidRPr="004C6098">
        <w:rPr>
          <w:rFonts w:ascii="Arial" w:hAnsi="Arial" w:cs="Arial"/>
        </w:rPr>
        <w:t>uzyskanie i przedstawienie do umorzenia Prezesowi Urzędu Regulacji Energetyki świadectw efektywności energetycznej.</w:t>
      </w:r>
    </w:p>
    <w:p w14:paraId="48538025" w14:textId="77777777" w:rsidR="004C6098" w:rsidRPr="004C6098" w:rsidRDefault="004C6098" w:rsidP="004C6098">
      <w:pPr>
        <w:spacing w:after="0" w:line="300" w:lineRule="auto"/>
        <w:jc w:val="both"/>
        <w:rPr>
          <w:rFonts w:ascii="Arial" w:hAnsi="Arial" w:cs="Arial"/>
        </w:rPr>
      </w:pPr>
      <w:r w:rsidRPr="004C6098">
        <w:rPr>
          <w:rFonts w:ascii="Arial" w:hAnsi="Arial" w:cs="Arial"/>
        </w:rPr>
        <w:t>Alternatywnym sposobem realizacji ustawowego obowiązku jest uiszczenie przez podmiot zobowiązany opłaty zastępczej. Podmiot zobowiązany może zrealizować swój obowiązek przez uiszczenie opłaty zastępczej do Narodowego Funduszu Ochrony Środowiska i Gospodarki Wodnej, ale tylko pod warunkiem spełniania przesłanek ustawowych.</w:t>
      </w:r>
    </w:p>
    <w:p w14:paraId="4667D5FF" w14:textId="77777777" w:rsidR="004C6098" w:rsidRPr="004C6098" w:rsidRDefault="004C6098" w:rsidP="004C6098">
      <w:pPr>
        <w:spacing w:after="0" w:line="300" w:lineRule="auto"/>
        <w:jc w:val="both"/>
        <w:rPr>
          <w:rFonts w:ascii="Arial" w:hAnsi="Arial" w:cs="Arial"/>
        </w:rPr>
      </w:pPr>
      <w:r w:rsidRPr="004C6098">
        <w:rPr>
          <w:rFonts w:ascii="Arial" w:hAnsi="Arial" w:cs="Arial"/>
        </w:rPr>
        <w:t xml:space="preserve">Nowelizacja ustawy o efektywności energetycznej z 2021 roku założyła, że system będzie generował nowe średnioroczne oszczędności energii w wysokości 558 ktoe/rok. Jak wynika ze sprawozdań Prezesa Urzędu Regulacji Energetyki, zwanego dalej „Prezesem URE”, przekazywanych na podstawie art. 22 ust. 3 ustawy o efektywności energetycznej do ministra właściwego do spraw klimatu, oszczędność energii finalnej wyniosła w 2021 r. 143 ktoe, a w </w:t>
      </w:r>
      <w:r w:rsidRPr="004C6098">
        <w:rPr>
          <w:rFonts w:ascii="Arial" w:hAnsi="Arial" w:cs="Arial"/>
        </w:rPr>
        <w:lastRenderedPageBreak/>
        <w:t xml:space="preserve">2022 r. 212 ktoe.  System świadectw efektywności energetycznej nie odzwierciedla zarówno poziomu prowadzonych w Polsce inwestycji w zakresie efektywność energetycznej, jak i rzeczywistych, uzyskanych oszczędności energii, ponieważ nie jest jedynym systemem wspierającym efektywności energetyczną. Przy czym należy podkreślić, że stanowi on aktualnie jeden z kluczowych mechanizmów wsparcia efektywności energetycznej w Polsce i ma duży potencjał do dalszego rozwoju - pod warunkiem wprowadzenia systemowych usprawnień.  </w:t>
      </w:r>
    </w:p>
    <w:p w14:paraId="18896737" w14:textId="77777777" w:rsidR="004C6098" w:rsidRPr="004C6098" w:rsidRDefault="004C6098" w:rsidP="004C6098">
      <w:pPr>
        <w:spacing w:after="0" w:line="300" w:lineRule="auto"/>
        <w:jc w:val="both"/>
        <w:rPr>
          <w:rFonts w:ascii="Arial" w:hAnsi="Arial" w:cs="Arial"/>
        </w:rPr>
      </w:pPr>
      <w:r w:rsidRPr="004C6098">
        <w:rPr>
          <w:rFonts w:ascii="Arial" w:hAnsi="Arial" w:cs="Arial"/>
        </w:rPr>
        <w:t>Obecny wolumen wydawanych świadectw efektywności energetycznej implikuje ich niską podaż i tym samym niewystarczający wolumen wyrażony w tonach oleju ekwiwalentnego (toe) na Towarowej Giełdzie Energii. To z kolei wprowadza utrudnienia w realizacji celu oszczędności energii przez podmioty zobowiązane. Mechanizm ten ma szczególne znaczenie w kontekście rozwoju modelu ESCO oraz ograniczenia ubóstwa energetycznego.</w:t>
      </w:r>
    </w:p>
    <w:p w14:paraId="6A4958B5" w14:textId="77777777" w:rsidR="004C6098" w:rsidRPr="004C6098" w:rsidRDefault="004C6098" w:rsidP="004C6098">
      <w:pPr>
        <w:spacing w:after="0" w:line="300" w:lineRule="auto"/>
        <w:jc w:val="both"/>
        <w:rPr>
          <w:rFonts w:ascii="Arial" w:hAnsi="Arial" w:cs="Arial"/>
        </w:rPr>
      </w:pPr>
      <w:r w:rsidRPr="004C6098">
        <w:rPr>
          <w:rFonts w:ascii="Arial" w:hAnsi="Arial" w:cs="Arial"/>
        </w:rPr>
        <w:t>Jak pokazały dotychczasowe doświadczenia, niewystarczający wolumen oszczędności energii finalnej uzyskiwany w wyniku funkcjonowania systemu białych certyfikatów jest m.in. wynikiem:</w:t>
      </w:r>
    </w:p>
    <w:p w14:paraId="1ADD0CA5" w14:textId="46623A2A" w:rsidR="004C6098" w:rsidRPr="004C6098" w:rsidRDefault="004C6098" w:rsidP="004C6098">
      <w:pPr>
        <w:pStyle w:val="Akapitzlist"/>
        <w:numPr>
          <w:ilvl w:val="0"/>
          <w:numId w:val="9"/>
        </w:numPr>
        <w:spacing w:after="0" w:line="300" w:lineRule="auto"/>
        <w:jc w:val="both"/>
        <w:rPr>
          <w:rFonts w:ascii="Arial" w:hAnsi="Arial" w:cs="Arial"/>
        </w:rPr>
      </w:pPr>
      <w:r w:rsidRPr="004C6098">
        <w:rPr>
          <w:rFonts w:ascii="Arial" w:hAnsi="Arial" w:cs="Arial"/>
        </w:rPr>
        <w:t>nadmiernego obciążenia administracyjnego w zakresie weryfikacji przez Urząd Regulacji Energetyki, zwany dalej „URE” wniosków o wydanie świadectw efektywności energetycznej, co stanowi czynnik zniechęcający potencjalnych inwestorów do składania wniosków;</w:t>
      </w:r>
    </w:p>
    <w:p w14:paraId="2D3AD735" w14:textId="210A053C" w:rsidR="004C6098" w:rsidRPr="004C6098" w:rsidRDefault="004C6098" w:rsidP="004C6098">
      <w:pPr>
        <w:pStyle w:val="Akapitzlist"/>
        <w:numPr>
          <w:ilvl w:val="0"/>
          <w:numId w:val="9"/>
        </w:numPr>
        <w:spacing w:after="0" w:line="300" w:lineRule="auto"/>
        <w:jc w:val="both"/>
        <w:rPr>
          <w:rFonts w:ascii="Arial" w:hAnsi="Arial" w:cs="Arial"/>
        </w:rPr>
      </w:pPr>
      <w:r w:rsidRPr="004C6098">
        <w:rPr>
          <w:rFonts w:ascii="Arial" w:hAnsi="Arial" w:cs="Arial"/>
        </w:rPr>
        <w:t>niewystarczającej jakości audytów efektywności energetycznej;</w:t>
      </w:r>
    </w:p>
    <w:p w14:paraId="455EC7BF" w14:textId="215F044D" w:rsidR="004C6098" w:rsidRPr="004C6098" w:rsidRDefault="004C6098" w:rsidP="004C6098">
      <w:pPr>
        <w:pStyle w:val="Akapitzlist"/>
        <w:numPr>
          <w:ilvl w:val="0"/>
          <w:numId w:val="9"/>
        </w:numPr>
        <w:spacing w:after="0" w:line="300" w:lineRule="auto"/>
        <w:jc w:val="both"/>
        <w:rPr>
          <w:rFonts w:ascii="Arial" w:hAnsi="Arial" w:cs="Arial"/>
        </w:rPr>
      </w:pPr>
      <w:r w:rsidRPr="004C6098">
        <w:rPr>
          <w:rFonts w:ascii="Arial" w:hAnsi="Arial" w:cs="Arial"/>
        </w:rPr>
        <w:t>braku uproszczonych metod obliczania oszczędności energii finalnej dla niektórych przedsięwzięć oraz braku uregulowań dotyczących pomiaru w obliczaniu oszczędności energii finalnej;</w:t>
      </w:r>
    </w:p>
    <w:p w14:paraId="6021CCC4" w14:textId="19F20768" w:rsidR="004C6098" w:rsidRPr="004C6098" w:rsidRDefault="004C6098" w:rsidP="004C6098">
      <w:pPr>
        <w:pStyle w:val="Akapitzlist"/>
        <w:numPr>
          <w:ilvl w:val="0"/>
          <w:numId w:val="9"/>
        </w:numPr>
        <w:spacing w:after="0" w:line="300" w:lineRule="auto"/>
        <w:jc w:val="both"/>
        <w:rPr>
          <w:rFonts w:ascii="Arial" w:hAnsi="Arial" w:cs="Arial"/>
        </w:rPr>
      </w:pPr>
      <w:r w:rsidRPr="004C6098">
        <w:rPr>
          <w:rFonts w:ascii="Arial" w:hAnsi="Arial" w:cs="Arial"/>
        </w:rPr>
        <w:t>braku możliwości złożenia wniosku o świadectwo efektywności energetycznej w formie cyfrowej;</w:t>
      </w:r>
    </w:p>
    <w:p w14:paraId="0BB96801" w14:textId="21B25D17" w:rsidR="004C6098" w:rsidRPr="004C6098" w:rsidRDefault="004C6098" w:rsidP="004C6098">
      <w:pPr>
        <w:pStyle w:val="Akapitzlist"/>
        <w:numPr>
          <w:ilvl w:val="0"/>
          <w:numId w:val="9"/>
        </w:numPr>
        <w:spacing w:after="0" w:line="300" w:lineRule="auto"/>
        <w:jc w:val="both"/>
        <w:rPr>
          <w:rFonts w:ascii="Arial" w:hAnsi="Arial" w:cs="Arial"/>
        </w:rPr>
      </w:pPr>
      <w:r w:rsidRPr="004C6098">
        <w:rPr>
          <w:rFonts w:ascii="Arial" w:hAnsi="Arial" w:cs="Arial"/>
        </w:rPr>
        <w:t>braku wystarczających rozwiązań promujących wykorzystanie modelu finansowania ESCO (skrót od Energy Service Company), w którym firma realizująca inwestycję otrzymuje zwrot nakładów w oparciu o wygenerowane oszczędności energii, zwanego dalej modelem ESCO.</w:t>
      </w:r>
    </w:p>
    <w:p w14:paraId="62D797F2" w14:textId="77777777" w:rsidR="004C6098" w:rsidRPr="004C6098" w:rsidRDefault="004C6098" w:rsidP="004C6098">
      <w:pPr>
        <w:spacing w:after="0" w:line="300" w:lineRule="auto"/>
        <w:jc w:val="both"/>
        <w:rPr>
          <w:rFonts w:ascii="Arial" w:hAnsi="Arial" w:cs="Arial"/>
        </w:rPr>
      </w:pPr>
      <w:r w:rsidRPr="004C6098">
        <w:rPr>
          <w:rFonts w:ascii="Arial" w:hAnsi="Arial" w:cs="Arial"/>
        </w:rPr>
        <w:t>Pokonanie powyższych ograniczeń jest kluczowe dla zwiększenia wolumenu oszczędności energii finalnej uzyskiwanego w wyniku funkcjonowania systemu białych certyfikatów. Dodatkowo zasadne jest zapewnienie, aby środki z opłaty zastępczej były przeznaczane wyłącznie na przedsięwzięcia z zakresu efektywności energetycznej.</w:t>
      </w:r>
    </w:p>
    <w:p w14:paraId="03ED17DA" w14:textId="77777777" w:rsidR="004C6098" w:rsidRPr="004C6098" w:rsidRDefault="004C6098" w:rsidP="004C6098">
      <w:pPr>
        <w:spacing w:after="0" w:line="300" w:lineRule="auto"/>
        <w:jc w:val="both"/>
        <w:rPr>
          <w:rFonts w:ascii="Arial" w:hAnsi="Arial" w:cs="Arial"/>
        </w:rPr>
      </w:pPr>
      <w:r w:rsidRPr="004C6098">
        <w:rPr>
          <w:rFonts w:ascii="Arial" w:hAnsi="Arial" w:cs="Arial"/>
        </w:rPr>
        <w:t>ad 5</w:t>
      </w:r>
    </w:p>
    <w:p w14:paraId="39B8C01E" w14:textId="77777777" w:rsidR="004C6098" w:rsidRPr="004C6098" w:rsidRDefault="004C6098" w:rsidP="004C6098">
      <w:pPr>
        <w:spacing w:after="0" w:line="300" w:lineRule="auto"/>
        <w:jc w:val="both"/>
        <w:rPr>
          <w:rFonts w:ascii="Arial" w:hAnsi="Arial" w:cs="Arial"/>
        </w:rPr>
      </w:pPr>
      <w:r w:rsidRPr="004C6098">
        <w:rPr>
          <w:rFonts w:ascii="Arial" w:hAnsi="Arial" w:cs="Arial"/>
        </w:rPr>
        <w:t xml:space="preserve">Zgodnie z art. 36 ustawy o efektywności energetycznej przedsiębiorca, w rozumieniu ustawy z dnia 6 marca 2018 r. — Prawo przedsiębiorców (Dz. U. z 2024 r. poz. 236, z późn. zm.), z wyjątkiem mikroprzedsiębiorcy, małego lub średniego przedsiębiorcy w rozumieniu tej ustawy, wykonuje co 4 lata audyt energetyczny przedsiębiorstwa. </w:t>
      </w:r>
    </w:p>
    <w:p w14:paraId="7FAF0208" w14:textId="77777777" w:rsidR="004C6098" w:rsidRPr="004C6098" w:rsidRDefault="004C6098" w:rsidP="004C6098">
      <w:pPr>
        <w:spacing w:after="0" w:line="300" w:lineRule="auto"/>
        <w:jc w:val="both"/>
        <w:rPr>
          <w:rFonts w:ascii="Arial" w:hAnsi="Arial" w:cs="Arial"/>
        </w:rPr>
      </w:pPr>
      <w:r w:rsidRPr="004C6098">
        <w:rPr>
          <w:rFonts w:ascii="Arial" w:hAnsi="Arial" w:cs="Arial"/>
        </w:rPr>
        <w:t xml:space="preserve">Art. 11 dyrektywy 2013/1791 modyfikuje zadania przedsiębiorstw w dziedzinie efektywności energetycznej. Przede wszystkim nowe przepisy wzmocnią rolę systemów zarządzania energią, a także kwestię wdrażania zaleceń, wynikających z przeprowadzanego audytu energetycznego przedsiębiorstwa. Zgodnie z wymogami dyrektywy 2023/1791, audyt energetyczny przedsiębiorstwa powinien zostać wykonany przez przedsiębiorstwo, którego średnie roczne zużycie energii w ciągu ostatnich trzech lat, przy uwzględnieniu wszystkich </w:t>
      </w:r>
      <w:r w:rsidRPr="004C6098">
        <w:rPr>
          <w:rFonts w:ascii="Arial" w:hAnsi="Arial" w:cs="Arial"/>
        </w:rPr>
        <w:lastRenderedPageBreak/>
        <w:t>nośników energii, przekracza 10 TJ (co odpowiada 2,778 GWh). Dotyczy to przedsiębiorstw bez wdrożonego systemu zarządzania energią. Ponadto, w przypadku, gdy średnie roczne zużycie energii przedsiębiorstwa w ciągu ostatnich trzech lat, przy uwzględnieniu wszystkich nośników energii, przekracza 85TJ (co odpowiada 23,611 GWh), to zobowiązane jest ono do wdrożenia certyfikowanego systemu zarządzania energią. Wdrożenie nowych rozwiązań dla przedsiębiorstw będzie poprawiało wskaźniki energochłonności, w efekcie czego spadną obciążenia przedsiębiorstw z tytułu kosztów energii, co systematycznie będzie poprawiało ich konkurencyjność.</w:t>
      </w:r>
    </w:p>
    <w:p w14:paraId="77EDE384" w14:textId="77777777" w:rsidR="004C6098" w:rsidRPr="004C6098" w:rsidRDefault="004C6098" w:rsidP="004C6098">
      <w:pPr>
        <w:spacing w:after="0" w:line="300" w:lineRule="auto"/>
        <w:jc w:val="both"/>
        <w:rPr>
          <w:rFonts w:ascii="Arial" w:hAnsi="Arial" w:cs="Arial"/>
        </w:rPr>
      </w:pPr>
      <w:r w:rsidRPr="004C6098">
        <w:rPr>
          <w:rFonts w:ascii="Arial" w:hAnsi="Arial" w:cs="Arial"/>
        </w:rPr>
        <w:t xml:space="preserve">ad 6 </w:t>
      </w:r>
    </w:p>
    <w:p w14:paraId="7C3E2D78" w14:textId="77777777" w:rsidR="004C6098" w:rsidRPr="004C6098" w:rsidRDefault="004C6098" w:rsidP="004C6098">
      <w:pPr>
        <w:spacing w:after="0" w:line="300" w:lineRule="auto"/>
        <w:jc w:val="both"/>
        <w:rPr>
          <w:rFonts w:ascii="Arial" w:hAnsi="Arial" w:cs="Arial"/>
        </w:rPr>
      </w:pPr>
      <w:r w:rsidRPr="004C6098">
        <w:rPr>
          <w:rFonts w:ascii="Arial" w:hAnsi="Arial" w:cs="Arial"/>
        </w:rPr>
        <w:t>Dyrektywa 2023/1791 ustanawia ramy w zakresie zapewnienia odpowiedniego poziomu kompetencji w odniesieniu do zawodów związanych z efektywnością energetyczną. W art. 28 dyrektywy 2023/1791 zostały ustalone wymogi do wprowadzania systemów kwalifikacji, akredytacji i certyfikacji zawodów związanych z efektywnością energetyczną w celu stworzenia sieci zapewniającej odpowiedni poziom kompetencji w państwach członkowskich UE. W Polsce brak jest rozwiązań systemowych w zakresie akredytacji i certyfikacji zawodu związanego z efektywnością energetyczną.</w:t>
      </w:r>
    </w:p>
    <w:p w14:paraId="39470B8D" w14:textId="786351CC" w:rsidR="004C6098" w:rsidRDefault="004C6098" w:rsidP="004C6098">
      <w:pPr>
        <w:spacing w:after="0" w:line="300" w:lineRule="auto"/>
        <w:jc w:val="both"/>
        <w:rPr>
          <w:rFonts w:ascii="Arial" w:hAnsi="Arial" w:cs="Arial"/>
        </w:rPr>
      </w:pPr>
      <w:r w:rsidRPr="004C6098">
        <w:rPr>
          <w:rFonts w:ascii="Arial" w:hAnsi="Arial" w:cs="Arial"/>
        </w:rPr>
        <w:t>Budowa i rozwój kompetencji w dziedzinie efektywności energetycznej jest wyznacznikiem zdolności państwa do wdrażania przyjętych założeń polityki, dlatego proponowane rozwiązania powinny objąć również obszar zawodów, od których zależy jakość i efekty realizowanych wdrożeń i projektów.</w:t>
      </w:r>
    </w:p>
    <w:p w14:paraId="20AFFF16" w14:textId="77777777" w:rsidR="004C6098" w:rsidRDefault="004C6098" w:rsidP="004C6098">
      <w:pPr>
        <w:spacing w:after="0" w:line="300" w:lineRule="auto"/>
        <w:jc w:val="both"/>
        <w:rPr>
          <w:rFonts w:ascii="Arial" w:hAnsi="Arial" w:cs="Arial"/>
        </w:rPr>
      </w:pPr>
    </w:p>
    <w:p w14:paraId="0674BF99" w14:textId="77777777" w:rsidR="0047728F" w:rsidRPr="0047728F" w:rsidRDefault="0047728F" w:rsidP="0047728F">
      <w:pPr>
        <w:spacing w:after="0" w:line="300" w:lineRule="auto"/>
        <w:jc w:val="both"/>
        <w:rPr>
          <w:rFonts w:ascii="Arial" w:hAnsi="Arial" w:cs="Arial"/>
        </w:rPr>
      </w:pPr>
      <w:r w:rsidRPr="0047728F">
        <w:rPr>
          <w:rFonts w:ascii="Arial" w:hAnsi="Arial" w:cs="Arial"/>
        </w:rPr>
        <w:t>Przedmiotowy projekt aktu prawnego wraz z Uzasadnieniem, Oceną Skutków Regulacji, załącznikami do OSR (szt. 4) oraz Tabelą zgodności dostępny jest na stronach Rządowego Centrum Legislacji pod adresem:</w:t>
      </w:r>
    </w:p>
    <w:p w14:paraId="5147FBE6" w14:textId="3A013867" w:rsidR="004C6098" w:rsidRDefault="0047728F" w:rsidP="0047728F">
      <w:pPr>
        <w:spacing w:after="0" w:line="300" w:lineRule="auto"/>
        <w:jc w:val="both"/>
        <w:rPr>
          <w:rFonts w:ascii="Arial" w:hAnsi="Arial" w:cs="Arial"/>
        </w:rPr>
      </w:pPr>
      <w:hyperlink r:id="rId6" w:history="1">
        <w:r w:rsidRPr="00A41C64">
          <w:rPr>
            <w:rStyle w:val="Hipercze"/>
            <w:rFonts w:ascii="Arial" w:hAnsi="Arial" w:cs="Arial"/>
          </w:rPr>
          <w:t>https://legislacja.rcl.gov.pl/projekt/12402653/katalog/1316</w:t>
        </w:r>
        <w:r w:rsidRPr="00A41C64">
          <w:rPr>
            <w:rStyle w:val="Hipercze"/>
            <w:rFonts w:ascii="Arial" w:hAnsi="Arial" w:cs="Arial"/>
          </w:rPr>
          <w:t>0</w:t>
        </w:r>
        <w:r w:rsidRPr="00A41C64">
          <w:rPr>
            <w:rStyle w:val="Hipercze"/>
            <w:rFonts w:ascii="Arial" w:hAnsi="Arial" w:cs="Arial"/>
          </w:rPr>
          <w:t>043#13160043</w:t>
        </w:r>
      </w:hyperlink>
      <w:r>
        <w:rPr>
          <w:rFonts w:ascii="Arial" w:hAnsi="Arial" w:cs="Arial"/>
        </w:rPr>
        <w:t xml:space="preserve"> </w:t>
      </w:r>
    </w:p>
    <w:p w14:paraId="3B8FFB17" w14:textId="77777777" w:rsidR="004C6098" w:rsidRDefault="004C6098" w:rsidP="004C6098">
      <w:pPr>
        <w:spacing w:after="0" w:line="300" w:lineRule="auto"/>
        <w:jc w:val="both"/>
        <w:rPr>
          <w:rFonts w:ascii="Arial" w:hAnsi="Arial" w:cs="Arial"/>
        </w:rPr>
      </w:pPr>
    </w:p>
    <w:p w14:paraId="42F11C35" w14:textId="5B073839" w:rsidR="0047728F" w:rsidRDefault="0047728F" w:rsidP="004C6098">
      <w:pPr>
        <w:spacing w:after="0" w:line="300" w:lineRule="auto"/>
        <w:jc w:val="both"/>
        <w:rPr>
          <w:rFonts w:ascii="Arial" w:hAnsi="Arial" w:cs="Arial"/>
        </w:rPr>
      </w:pPr>
      <w:r w:rsidRPr="0047728F">
        <w:rPr>
          <w:rFonts w:ascii="Arial" w:hAnsi="Arial" w:cs="Arial"/>
        </w:rPr>
        <w:t>Projekt jest obecnie jednocześnie na etapie uzgodnień, konsultacji publicznych i opiniowania.</w:t>
      </w:r>
    </w:p>
    <w:p w14:paraId="7F16CA3B" w14:textId="77777777" w:rsidR="0047728F" w:rsidRDefault="0047728F" w:rsidP="004C6098">
      <w:pPr>
        <w:spacing w:after="0" w:line="300" w:lineRule="auto"/>
        <w:jc w:val="both"/>
        <w:rPr>
          <w:rFonts w:ascii="Arial" w:hAnsi="Arial" w:cs="Arial"/>
        </w:rPr>
      </w:pPr>
    </w:p>
    <w:p w14:paraId="6BD1ABDA" w14:textId="77777777" w:rsidR="004C6098" w:rsidRDefault="004C6098" w:rsidP="004C6098">
      <w:pPr>
        <w:spacing w:after="0" w:line="300" w:lineRule="auto"/>
        <w:jc w:val="both"/>
        <w:rPr>
          <w:rFonts w:ascii="Arial" w:hAnsi="Arial" w:cs="Arial"/>
        </w:rPr>
      </w:pPr>
      <w:r>
        <w:rPr>
          <w:rFonts w:ascii="Arial" w:hAnsi="Arial" w:cs="Arial"/>
        </w:rPr>
        <w:t>Projekty rozporządzeń:</w:t>
      </w:r>
    </w:p>
    <w:p w14:paraId="2C195665" w14:textId="77777777" w:rsidR="004C6098" w:rsidRDefault="004C6098" w:rsidP="004C6098">
      <w:pPr>
        <w:spacing w:after="0" w:line="300" w:lineRule="auto"/>
        <w:jc w:val="both"/>
        <w:rPr>
          <w:rFonts w:ascii="Arial" w:hAnsi="Arial" w:cs="Arial"/>
        </w:rPr>
      </w:pPr>
    </w:p>
    <w:p w14:paraId="65BACCDE" w14:textId="47B9083E" w:rsidR="004C6098" w:rsidRPr="0047728F" w:rsidRDefault="0047728F" w:rsidP="0047728F">
      <w:pPr>
        <w:pStyle w:val="Akapitzlist"/>
        <w:spacing w:after="0" w:line="300" w:lineRule="auto"/>
        <w:jc w:val="both"/>
        <w:rPr>
          <w:rFonts w:ascii="Arial" w:hAnsi="Arial" w:cs="Arial"/>
          <w:b/>
          <w:bCs/>
          <w:u w:val="single"/>
        </w:rPr>
      </w:pPr>
      <w:r w:rsidRPr="0047728F">
        <w:rPr>
          <w:rFonts w:ascii="Arial" w:hAnsi="Arial" w:cs="Arial"/>
          <w:b/>
          <w:bCs/>
          <w:u w:val="single"/>
        </w:rPr>
        <w:t>P</w:t>
      </w:r>
      <w:r w:rsidRPr="0047728F">
        <w:rPr>
          <w:rFonts w:ascii="Arial" w:hAnsi="Arial" w:cs="Arial"/>
          <w:b/>
          <w:bCs/>
          <w:u w:val="single"/>
        </w:rPr>
        <w:t>rojekt rozporządzenia Ministra Finansów i Gospodarki zmieniającego rozporządzenie w sprawie dodatkowych danych, o które należy uzupełnić prowadzone księgi rachunkowe podlegające przekazaniu na podstawie ustawy o podatku dochodowym od osób prawnych (numer z wykazu 1029).</w:t>
      </w:r>
    </w:p>
    <w:p w14:paraId="4A525875" w14:textId="77777777" w:rsidR="004C6098" w:rsidRDefault="004C6098" w:rsidP="004C6098">
      <w:pPr>
        <w:spacing w:after="0" w:line="300" w:lineRule="auto"/>
        <w:jc w:val="both"/>
        <w:rPr>
          <w:rFonts w:ascii="Arial" w:hAnsi="Arial" w:cs="Arial"/>
        </w:rPr>
      </w:pPr>
    </w:p>
    <w:p w14:paraId="6BD4EC97" w14:textId="77777777" w:rsidR="0047728F" w:rsidRPr="0047728F" w:rsidRDefault="0047728F" w:rsidP="0047728F">
      <w:pPr>
        <w:spacing w:after="0" w:line="300" w:lineRule="auto"/>
        <w:jc w:val="both"/>
        <w:rPr>
          <w:rFonts w:ascii="Arial" w:hAnsi="Arial" w:cs="Arial"/>
        </w:rPr>
      </w:pPr>
      <w:r w:rsidRPr="0047728F">
        <w:rPr>
          <w:rFonts w:ascii="Arial" w:hAnsi="Arial" w:cs="Arial"/>
        </w:rPr>
        <w:t xml:space="preserve">Zgodnie z art. 9 ust. 5 pkt 1 ustawy z dnia 15 lutego 1992 r. o podatku dochodowym od osób prawnych (ustawa o CIT), minister właściwy do spraw finansów publicznych może określić, w drodze rozporządzenia, zakres dodatkowych danych, o które należy uzupełnić prowadzone księgi rachunkowe podlegające przekazaniu na podstawie art. 9 ust. 1c i 1e tej ustawy, oraz sposób ich wykazywania w tych księgach. </w:t>
      </w:r>
    </w:p>
    <w:p w14:paraId="62856094" w14:textId="77777777" w:rsidR="0047728F" w:rsidRPr="0047728F" w:rsidRDefault="0047728F" w:rsidP="0047728F">
      <w:pPr>
        <w:spacing w:after="0" w:line="300" w:lineRule="auto"/>
        <w:jc w:val="both"/>
        <w:rPr>
          <w:rFonts w:ascii="Arial" w:hAnsi="Arial" w:cs="Arial"/>
        </w:rPr>
      </w:pPr>
      <w:r w:rsidRPr="0047728F">
        <w:rPr>
          <w:rFonts w:ascii="Arial" w:hAnsi="Arial" w:cs="Arial"/>
        </w:rPr>
        <w:t xml:space="preserve">Stosownie do art. 9 ust. 1c ustawy o CIT podatnicy prowadzący księgi rachunkowe są obowiązani prowadzić te księgi przy użyciu programów komputerowych oraz przesyłać je właściwemu naczelnikowi urzędu skarbowego po zakończeniu roku podatkowego, w terminie do dnia upływu terminu złożenia zeznania, o którym mowa w art. 27 ust. 1 ustawy o CIT albo </w:t>
      </w:r>
      <w:r w:rsidRPr="0047728F">
        <w:rPr>
          <w:rFonts w:ascii="Arial" w:hAnsi="Arial" w:cs="Arial"/>
        </w:rPr>
        <w:lastRenderedPageBreak/>
        <w:t>deklaracji, o której mowa w art. 28r ust. 1 tej ustawy. Niniejszy przepis wskazuje również, że księgi rachunkowe muszą zostać przekazane właściwemu naczelnikowi urzędu skarbowego za pomocą środków komunikacji elektronicznej, w postaci elektronicznej odpowiadającej strukturze logicznej, o której mowa w art. 193a § 2 ustawy z dnia 29 sierpnia 1997 r. ‒ Ordynacja podatkowa oraz przy zastosowaniu zasad dotyczących przesyłania ksiąg podatkowych lub ich części, które zostały określone w przepisach wydanych na podstawie art. 193a § 3 Ordynacji podatkowej.</w:t>
      </w:r>
    </w:p>
    <w:p w14:paraId="31D6F432" w14:textId="77777777" w:rsidR="0047728F" w:rsidRPr="0047728F" w:rsidRDefault="0047728F" w:rsidP="0047728F">
      <w:pPr>
        <w:spacing w:after="0" w:line="300" w:lineRule="auto"/>
        <w:jc w:val="both"/>
        <w:rPr>
          <w:rFonts w:ascii="Arial" w:hAnsi="Arial" w:cs="Arial"/>
        </w:rPr>
      </w:pPr>
      <w:r w:rsidRPr="0047728F">
        <w:rPr>
          <w:rFonts w:ascii="Arial" w:hAnsi="Arial" w:cs="Arial"/>
        </w:rPr>
        <w:t>Rozporządzenie zmienia zapis rozporządzenia Ministra Finansów z dnia 16 sierpnia 2024 r. w sprawie dodatkowych danych, o które należy uzupełnić prowadzone księgi rachunkowe podlegające przekazaniu na podstawie ustawy o podatku dochodowym od osób prawnych, określającego zakres danych, o które należy uzupełnić prowadzone księgi rachunkowe, które podatnicy są obowiązani przesyłać właściwemu naczelnikowi urzędu skarbowego zgodnie z treścią art. 9 ust. 1c ustawy o podatku dochodowym od osób prawnych. Przedmiotowa zmiana ma na celu przedłużenie do dnia 1 stycznia 2028 r. zwolnienia z obowiązku uzupełniania ksiąg rachunkowych o dodatkowe dane w postaci znaczników identyfikujących konta ksiąg rachunkowych przez podatników stosujących Międzynarodowe Standardy Sprawozdawczości Finansowej (§ 5 ust. 2 rozporządzenia w sprawie dodatkowych danych).</w:t>
      </w:r>
    </w:p>
    <w:p w14:paraId="1E62E142" w14:textId="77777777" w:rsidR="0047728F" w:rsidRPr="0047728F" w:rsidRDefault="0047728F" w:rsidP="0047728F">
      <w:pPr>
        <w:spacing w:after="0" w:line="300" w:lineRule="auto"/>
        <w:jc w:val="both"/>
        <w:rPr>
          <w:rFonts w:ascii="Arial" w:hAnsi="Arial" w:cs="Arial"/>
        </w:rPr>
      </w:pPr>
      <w:r w:rsidRPr="0047728F">
        <w:rPr>
          <w:rFonts w:ascii="Arial" w:hAnsi="Arial" w:cs="Arial"/>
        </w:rPr>
        <w:t>Powyższa propozycja podyktowana jest zmianami wprowadzonymi przez MSSF nr 18, który w sposób istotny wpływa na kształt słownika znaczników identyfikujących konta rachunkowe dla podatników stosujących MSSF. Celem zapewnienia zbieżności słownika znaczników identyfikujących konta dla podmiotów stosujących MSSF ze wskazanym wyżej standardem, proponuje się przedłużenie okresu zwolnienia, o którym mowa w § 5 ust. 2 rozporządzenia w sprawie dodatkowych danych, do dnia 1 stycznia 2028 r.</w:t>
      </w:r>
    </w:p>
    <w:p w14:paraId="5043696F" w14:textId="52685234" w:rsidR="0047728F" w:rsidRDefault="0047728F" w:rsidP="0047728F">
      <w:pPr>
        <w:spacing w:after="0" w:line="300" w:lineRule="auto"/>
        <w:jc w:val="both"/>
        <w:rPr>
          <w:rFonts w:ascii="Arial" w:hAnsi="Arial" w:cs="Arial"/>
        </w:rPr>
      </w:pPr>
      <w:r w:rsidRPr="0047728F">
        <w:rPr>
          <w:rFonts w:ascii="Arial" w:hAnsi="Arial" w:cs="Arial"/>
        </w:rPr>
        <w:t>Proponowane zmiany rozporządzenia w pozostałym zakresie mają na celu doprecyzowanie brzmienia niektórych zapisów tego aktu.</w:t>
      </w:r>
    </w:p>
    <w:p w14:paraId="7489E69A" w14:textId="77777777" w:rsidR="0047728F" w:rsidRDefault="0047728F" w:rsidP="004C6098">
      <w:pPr>
        <w:spacing w:after="0" w:line="300" w:lineRule="auto"/>
        <w:jc w:val="both"/>
        <w:rPr>
          <w:rFonts w:ascii="Arial" w:hAnsi="Arial" w:cs="Arial"/>
        </w:rPr>
      </w:pPr>
    </w:p>
    <w:p w14:paraId="2FC72EF0" w14:textId="77777777" w:rsidR="0047728F" w:rsidRPr="0047728F" w:rsidRDefault="0047728F" w:rsidP="0047728F">
      <w:pPr>
        <w:spacing w:after="0" w:line="300" w:lineRule="auto"/>
        <w:jc w:val="both"/>
        <w:rPr>
          <w:rFonts w:ascii="Arial" w:hAnsi="Arial" w:cs="Arial"/>
        </w:rPr>
      </w:pPr>
      <w:r w:rsidRPr="0047728F">
        <w:rPr>
          <w:rFonts w:ascii="Arial" w:hAnsi="Arial" w:cs="Arial"/>
        </w:rPr>
        <w:t>Przedmiotowy projekt aktu prawnego wraz z Uzasadnieniem oraz Oceną Skutków Regulacji dostępny jest na stronach Rządowego Centrum Legislacji pod adresem:</w:t>
      </w:r>
    </w:p>
    <w:p w14:paraId="38707DA0" w14:textId="298C0007" w:rsidR="0047728F" w:rsidRPr="00042C7F" w:rsidRDefault="0047728F" w:rsidP="0047728F">
      <w:pPr>
        <w:spacing w:after="0" w:line="300" w:lineRule="auto"/>
        <w:jc w:val="both"/>
        <w:rPr>
          <w:rFonts w:ascii="Arial" w:hAnsi="Arial" w:cs="Arial"/>
        </w:rPr>
      </w:pPr>
      <w:hyperlink r:id="rId7" w:history="1">
        <w:r w:rsidRPr="00A41C64">
          <w:rPr>
            <w:rStyle w:val="Hipercze"/>
            <w:rFonts w:ascii="Arial" w:hAnsi="Arial" w:cs="Arial"/>
          </w:rPr>
          <w:t>https://legislacja.rcl.gov.pl/projekt/12402800/k</w:t>
        </w:r>
        <w:r w:rsidRPr="00A41C64">
          <w:rPr>
            <w:rStyle w:val="Hipercze"/>
            <w:rFonts w:ascii="Arial" w:hAnsi="Arial" w:cs="Arial"/>
          </w:rPr>
          <w:t>a</w:t>
        </w:r>
        <w:r w:rsidRPr="00A41C64">
          <w:rPr>
            <w:rStyle w:val="Hipercze"/>
            <w:rFonts w:ascii="Arial" w:hAnsi="Arial" w:cs="Arial"/>
          </w:rPr>
          <w:t>talog/13161908#13161908</w:t>
        </w:r>
      </w:hyperlink>
      <w:r>
        <w:rPr>
          <w:rFonts w:ascii="Arial" w:hAnsi="Arial" w:cs="Arial"/>
        </w:rPr>
        <w:t xml:space="preserve"> </w:t>
      </w:r>
    </w:p>
    <w:p w14:paraId="54186B5A" w14:textId="77777777" w:rsidR="004C6098" w:rsidRDefault="004C6098" w:rsidP="004C6098">
      <w:pPr>
        <w:spacing w:after="0" w:line="300" w:lineRule="auto"/>
        <w:jc w:val="both"/>
        <w:rPr>
          <w:rFonts w:ascii="Arial" w:hAnsi="Arial" w:cs="Arial"/>
        </w:rPr>
      </w:pPr>
    </w:p>
    <w:p w14:paraId="3F760A35" w14:textId="61876C46" w:rsidR="0047728F" w:rsidRDefault="0047728F" w:rsidP="004C6098">
      <w:pPr>
        <w:spacing w:after="0" w:line="300" w:lineRule="auto"/>
        <w:jc w:val="both"/>
        <w:rPr>
          <w:rFonts w:ascii="Arial" w:hAnsi="Arial" w:cs="Arial"/>
        </w:rPr>
      </w:pPr>
      <w:r w:rsidRPr="0047728F">
        <w:rPr>
          <w:rFonts w:ascii="Arial" w:hAnsi="Arial" w:cs="Arial"/>
        </w:rPr>
        <w:t>Projekt jest obecnie jednocześnie na etapie uzgodnień</w:t>
      </w:r>
      <w:r>
        <w:rPr>
          <w:rFonts w:ascii="Arial" w:hAnsi="Arial" w:cs="Arial"/>
        </w:rPr>
        <w:t xml:space="preserve"> i</w:t>
      </w:r>
      <w:r w:rsidRPr="0047728F">
        <w:rPr>
          <w:rFonts w:ascii="Arial" w:hAnsi="Arial" w:cs="Arial"/>
        </w:rPr>
        <w:t xml:space="preserve"> konsultacji publicznych.</w:t>
      </w:r>
    </w:p>
    <w:p w14:paraId="790929C8" w14:textId="77777777" w:rsidR="0047728F" w:rsidRDefault="0047728F" w:rsidP="004C6098">
      <w:pPr>
        <w:spacing w:after="0" w:line="300" w:lineRule="auto"/>
        <w:jc w:val="both"/>
        <w:rPr>
          <w:rFonts w:ascii="Arial" w:hAnsi="Arial" w:cs="Arial"/>
        </w:rPr>
      </w:pPr>
    </w:p>
    <w:p w14:paraId="29B6C517" w14:textId="77777777" w:rsidR="004C6098" w:rsidRPr="00CB4A6E" w:rsidRDefault="004C6098" w:rsidP="004C6098">
      <w:pPr>
        <w:spacing w:after="0" w:line="300" w:lineRule="auto"/>
        <w:rPr>
          <w:rFonts w:ascii="Arial" w:hAnsi="Arial" w:cs="Arial"/>
        </w:rPr>
      </w:pPr>
    </w:p>
    <w:p w14:paraId="63B3D853" w14:textId="77777777" w:rsidR="004C6098" w:rsidRDefault="004C6098" w:rsidP="004C6098">
      <w:pPr>
        <w:spacing w:after="0" w:line="300" w:lineRule="auto"/>
        <w:jc w:val="both"/>
        <w:rPr>
          <w:rFonts w:ascii="Arial" w:hAnsi="Arial" w:cs="Arial"/>
          <w:b/>
        </w:rPr>
      </w:pPr>
      <w:r>
        <w:rPr>
          <w:rFonts w:ascii="Arial" w:hAnsi="Arial" w:cs="Arial"/>
          <w:b/>
        </w:rPr>
        <w:t>II. Ogłoszone akty prawne (Dziennik Ustaw RP)</w:t>
      </w:r>
    </w:p>
    <w:p w14:paraId="057EC13F" w14:textId="77777777" w:rsidR="004C6098" w:rsidRDefault="004C6098" w:rsidP="004C6098">
      <w:pPr>
        <w:spacing w:after="0" w:line="300" w:lineRule="auto"/>
        <w:jc w:val="both"/>
        <w:rPr>
          <w:rFonts w:ascii="Arial" w:hAnsi="Arial" w:cs="Arial"/>
        </w:rPr>
      </w:pPr>
    </w:p>
    <w:p w14:paraId="6AC8403C" w14:textId="6E34A9A7" w:rsidR="004C6098" w:rsidRDefault="004C6098" w:rsidP="004C6098">
      <w:pPr>
        <w:spacing w:after="0" w:line="300" w:lineRule="auto"/>
        <w:jc w:val="both"/>
        <w:rPr>
          <w:rFonts w:ascii="Arial" w:hAnsi="Arial" w:cs="Arial"/>
        </w:rPr>
      </w:pPr>
      <w:r>
        <w:rPr>
          <w:rFonts w:ascii="Arial" w:hAnsi="Arial" w:cs="Arial"/>
        </w:rPr>
        <w:t xml:space="preserve">W analizowanym okresie ogłoszono </w:t>
      </w:r>
      <w:r w:rsidR="00EA5B8E">
        <w:rPr>
          <w:rFonts w:ascii="Arial" w:hAnsi="Arial" w:cs="Arial"/>
        </w:rPr>
        <w:t>44</w:t>
      </w:r>
      <w:r>
        <w:rPr>
          <w:rFonts w:ascii="Arial" w:hAnsi="Arial" w:cs="Arial"/>
        </w:rPr>
        <w:t xml:space="preserve"> akt</w:t>
      </w:r>
      <w:r w:rsidR="00EA5B8E">
        <w:rPr>
          <w:rFonts w:ascii="Arial" w:hAnsi="Arial" w:cs="Arial"/>
        </w:rPr>
        <w:t>y</w:t>
      </w:r>
      <w:r>
        <w:rPr>
          <w:rFonts w:ascii="Arial" w:hAnsi="Arial" w:cs="Arial"/>
        </w:rPr>
        <w:t xml:space="preserve"> prawn</w:t>
      </w:r>
      <w:r w:rsidR="00EA5B8E">
        <w:rPr>
          <w:rFonts w:ascii="Arial" w:hAnsi="Arial" w:cs="Arial"/>
        </w:rPr>
        <w:t>e</w:t>
      </w:r>
      <w:r>
        <w:rPr>
          <w:rFonts w:ascii="Arial" w:hAnsi="Arial" w:cs="Arial"/>
        </w:rPr>
        <w:t>, tzn. ustawy, rozporządzenia Rady Ministrów, Prezesa Rady Ministrów i poszczególnych ministrów, obwieszczenia w sprawie ogłoszenia tekstu jednolitego. Z powyższych publikacji w zainteresowaniu pracodawców i przedsiębiorców znaleźć się mogą następujące akty prawne:</w:t>
      </w:r>
    </w:p>
    <w:p w14:paraId="1F554066" w14:textId="77777777" w:rsidR="004C6098" w:rsidRDefault="004C6098" w:rsidP="004C6098">
      <w:pPr>
        <w:spacing w:after="0" w:line="300" w:lineRule="auto"/>
        <w:jc w:val="both"/>
        <w:rPr>
          <w:rFonts w:ascii="Arial" w:hAnsi="Arial" w:cs="Arial"/>
        </w:rPr>
      </w:pPr>
    </w:p>
    <w:p w14:paraId="2494539C" w14:textId="6FAECB5D" w:rsidR="004C6098" w:rsidRPr="00283C6F" w:rsidRDefault="00283C6F" w:rsidP="004C6098">
      <w:pPr>
        <w:pStyle w:val="Akapitzlist"/>
        <w:numPr>
          <w:ilvl w:val="0"/>
          <w:numId w:val="2"/>
        </w:numPr>
        <w:spacing w:after="0" w:line="300" w:lineRule="auto"/>
        <w:ind w:left="426" w:hanging="426"/>
        <w:jc w:val="both"/>
        <w:rPr>
          <w:rFonts w:ascii="Arial" w:hAnsi="Arial" w:cs="Arial"/>
          <w:b/>
          <w:bCs/>
          <w:u w:val="single"/>
        </w:rPr>
      </w:pPr>
      <w:r w:rsidRPr="00283C6F">
        <w:rPr>
          <w:rFonts w:ascii="Arial" w:hAnsi="Arial" w:cs="Arial"/>
          <w:b/>
          <w:bCs/>
          <w:u w:val="single"/>
        </w:rPr>
        <w:t>Rozporządzenie Ministra Finansów i Gospodarki z dnia 6 września 2025 r. w sprawie prowadzenia podatkowej księgi przychodów i rozchodów</w:t>
      </w:r>
      <w:r w:rsidRPr="00283C6F">
        <w:rPr>
          <w:rFonts w:ascii="Arial" w:hAnsi="Arial" w:cs="Arial"/>
          <w:b/>
          <w:bCs/>
          <w:u w:val="single"/>
        </w:rPr>
        <w:t>.</w:t>
      </w:r>
    </w:p>
    <w:p w14:paraId="1E98C1F9" w14:textId="77777777" w:rsidR="00283C6F" w:rsidRDefault="00283C6F" w:rsidP="00283C6F">
      <w:pPr>
        <w:spacing w:after="0" w:line="300" w:lineRule="auto"/>
        <w:jc w:val="both"/>
        <w:rPr>
          <w:rFonts w:ascii="Arial" w:eastAsia="Times New Roman" w:hAnsi="Arial" w:cs="Arial"/>
          <w:lang w:eastAsia="pl-PL"/>
        </w:rPr>
      </w:pPr>
    </w:p>
    <w:p w14:paraId="6958573E" w14:textId="4F4A52F2" w:rsidR="004C6098" w:rsidRPr="00283C6F" w:rsidRDefault="004C6098" w:rsidP="00283C6F">
      <w:pPr>
        <w:spacing w:after="0" w:line="300" w:lineRule="auto"/>
        <w:jc w:val="both"/>
        <w:rPr>
          <w:rFonts w:ascii="Arial" w:eastAsia="Times New Roman" w:hAnsi="Arial" w:cs="Arial"/>
          <w:lang w:eastAsia="pl-PL"/>
        </w:rPr>
      </w:pPr>
      <w:r w:rsidRPr="00283C6F">
        <w:rPr>
          <w:rFonts w:ascii="Arial" w:eastAsia="Times New Roman" w:hAnsi="Arial" w:cs="Arial"/>
          <w:lang w:eastAsia="pl-PL"/>
        </w:rPr>
        <w:lastRenderedPageBreak/>
        <w:t xml:space="preserve">Powyższy akt prawny ogłoszony został </w:t>
      </w:r>
      <w:r w:rsidR="00283C6F">
        <w:rPr>
          <w:rFonts w:ascii="Arial" w:eastAsia="Times New Roman" w:hAnsi="Arial" w:cs="Arial"/>
          <w:lang w:eastAsia="pl-PL"/>
        </w:rPr>
        <w:t>29 września</w:t>
      </w:r>
      <w:r w:rsidRPr="00283C6F">
        <w:rPr>
          <w:rFonts w:ascii="Arial" w:eastAsia="Times New Roman" w:hAnsi="Arial" w:cs="Arial"/>
          <w:lang w:eastAsia="pl-PL"/>
        </w:rPr>
        <w:t xml:space="preserve"> 20</w:t>
      </w:r>
      <w:r w:rsidR="00283C6F">
        <w:rPr>
          <w:rFonts w:ascii="Arial" w:eastAsia="Times New Roman" w:hAnsi="Arial" w:cs="Arial"/>
          <w:lang w:eastAsia="pl-PL"/>
        </w:rPr>
        <w:t>25</w:t>
      </w:r>
      <w:r w:rsidRPr="00283C6F">
        <w:rPr>
          <w:rFonts w:ascii="Arial" w:eastAsia="Times New Roman" w:hAnsi="Arial" w:cs="Arial"/>
          <w:lang w:eastAsia="pl-PL"/>
        </w:rPr>
        <w:t xml:space="preserve"> roku w Dzienniku Ustaw (Dz.U. z 202</w:t>
      </w:r>
      <w:r w:rsidR="00283C6F">
        <w:rPr>
          <w:rFonts w:ascii="Arial" w:eastAsia="Times New Roman" w:hAnsi="Arial" w:cs="Arial"/>
          <w:lang w:eastAsia="pl-PL"/>
        </w:rPr>
        <w:t>5</w:t>
      </w:r>
      <w:r w:rsidRPr="00283C6F">
        <w:rPr>
          <w:rFonts w:ascii="Arial" w:eastAsia="Times New Roman" w:hAnsi="Arial" w:cs="Arial"/>
          <w:lang w:eastAsia="pl-PL"/>
        </w:rPr>
        <w:t xml:space="preserve">, poz. </w:t>
      </w:r>
      <w:r w:rsidR="00283C6F">
        <w:rPr>
          <w:rFonts w:ascii="Arial" w:eastAsia="Times New Roman" w:hAnsi="Arial" w:cs="Arial"/>
          <w:lang w:eastAsia="pl-PL"/>
        </w:rPr>
        <w:t>1299</w:t>
      </w:r>
      <w:r w:rsidRPr="00283C6F">
        <w:rPr>
          <w:rFonts w:ascii="Arial" w:eastAsia="Times New Roman" w:hAnsi="Arial" w:cs="Arial"/>
          <w:lang w:eastAsia="pl-PL"/>
        </w:rPr>
        <w:t>).</w:t>
      </w:r>
    </w:p>
    <w:p w14:paraId="1218679C" w14:textId="77777777" w:rsidR="00283C6F" w:rsidRDefault="00283C6F" w:rsidP="00283C6F">
      <w:pPr>
        <w:spacing w:after="0" w:line="300" w:lineRule="auto"/>
        <w:jc w:val="both"/>
        <w:rPr>
          <w:rFonts w:ascii="Arial" w:eastAsia="Times New Roman" w:hAnsi="Arial" w:cs="Arial"/>
          <w:lang w:eastAsia="pl-PL"/>
        </w:rPr>
      </w:pPr>
    </w:p>
    <w:p w14:paraId="4FF84513" w14:textId="77777777" w:rsidR="00283C6F" w:rsidRPr="00283C6F" w:rsidRDefault="00283C6F" w:rsidP="00283C6F">
      <w:pPr>
        <w:spacing w:after="0" w:line="300" w:lineRule="auto"/>
        <w:jc w:val="both"/>
        <w:rPr>
          <w:rFonts w:ascii="Arial" w:eastAsia="Times New Roman" w:hAnsi="Arial" w:cs="Arial"/>
          <w:lang w:eastAsia="pl-PL"/>
        </w:rPr>
      </w:pPr>
      <w:r w:rsidRPr="00283C6F">
        <w:rPr>
          <w:rFonts w:ascii="Arial" w:eastAsia="Times New Roman" w:hAnsi="Arial" w:cs="Arial"/>
          <w:lang w:eastAsia="pl-PL"/>
        </w:rPr>
        <w:t xml:space="preserve">Na podstawie art. 24a ust. 7 ustawy z dnia 26 lipca 1991 r. o podatku dochodowym od osób fizycznych (Dz. U. z 2025 r. poz. 163, z późn. zm.) – w brzmieniu obowiązującym do 31 grudnia 2025 r.), zwanej dalej „ustawą PIT”, minister właściwy do spraw finansów publicznych został upoważniony do określenia, w drodze rozporządzenia, sposobu prowadzenia podatkowej księgi przychodów i rozchodów, szczegółowych warunków, jakim powinna odpowiadać ta księga, oraz szczegółowego zakresu obowiązków związanych z jej prowadzeniem, w celu umożliwienia wykorzystania tej księgi jako dowodu pozwalającego na określenie zobowiązań podatkowych w prawidłowej wysokości. </w:t>
      </w:r>
    </w:p>
    <w:p w14:paraId="027ECD30" w14:textId="77777777" w:rsidR="00283C6F" w:rsidRPr="00283C6F" w:rsidRDefault="00283C6F" w:rsidP="00283C6F">
      <w:pPr>
        <w:spacing w:after="0" w:line="300" w:lineRule="auto"/>
        <w:jc w:val="both"/>
        <w:rPr>
          <w:rFonts w:ascii="Arial" w:eastAsia="Times New Roman" w:hAnsi="Arial" w:cs="Arial"/>
          <w:lang w:eastAsia="pl-PL"/>
        </w:rPr>
      </w:pPr>
      <w:r w:rsidRPr="00283C6F">
        <w:rPr>
          <w:rFonts w:ascii="Arial" w:eastAsia="Times New Roman" w:hAnsi="Arial" w:cs="Arial"/>
          <w:lang w:eastAsia="pl-PL"/>
        </w:rPr>
        <w:t>Wykonując powyższą delegację, Minister Finansów wydał w dniu 23 grudnia 2019 r. rozporządzenie w sprawie prowadzenia podatkowej księgi przychodów i rozchodów .</w:t>
      </w:r>
    </w:p>
    <w:p w14:paraId="55925166" w14:textId="77777777" w:rsidR="00283C6F" w:rsidRPr="00283C6F" w:rsidRDefault="00283C6F" w:rsidP="00283C6F">
      <w:pPr>
        <w:spacing w:after="0" w:line="300" w:lineRule="auto"/>
        <w:jc w:val="both"/>
        <w:rPr>
          <w:rFonts w:ascii="Arial" w:eastAsia="Times New Roman" w:hAnsi="Arial" w:cs="Arial"/>
          <w:lang w:eastAsia="pl-PL"/>
        </w:rPr>
      </w:pPr>
      <w:r w:rsidRPr="00283C6F">
        <w:rPr>
          <w:rFonts w:ascii="Arial" w:eastAsia="Times New Roman" w:hAnsi="Arial" w:cs="Arial"/>
          <w:lang w:eastAsia="pl-PL"/>
        </w:rPr>
        <w:t xml:space="preserve">Ustawa z dnia 29 października 2021 r. o zmianie ustawy o podatku dochodowym od osób fizycznych, ustawy o podatku dochodowym od osób prawnych oraz niektórych innych ustaw  nadała nowe brzmienie przepisowi art. 24a ust. 7 ustawy PIT. </w:t>
      </w:r>
    </w:p>
    <w:p w14:paraId="6949A147" w14:textId="23CDEAE7" w:rsidR="00283C6F" w:rsidRPr="00283C6F" w:rsidRDefault="00283C6F" w:rsidP="00283C6F">
      <w:pPr>
        <w:spacing w:after="0" w:line="300" w:lineRule="auto"/>
        <w:jc w:val="both"/>
        <w:rPr>
          <w:rFonts w:ascii="Arial" w:eastAsia="Times New Roman" w:hAnsi="Arial" w:cs="Arial"/>
          <w:lang w:eastAsia="pl-PL"/>
        </w:rPr>
      </w:pPr>
      <w:r w:rsidRPr="00283C6F">
        <w:rPr>
          <w:rFonts w:ascii="Arial" w:eastAsia="Times New Roman" w:hAnsi="Arial" w:cs="Arial"/>
          <w:lang w:eastAsia="pl-PL"/>
        </w:rPr>
        <w:t>Na podstawie obowiązującego od dnia 1 stycznia 2026 r. przepisu art. 24a ust. 7 ustawy PIT, minister właściwy do spraw finansów publicznych określi</w:t>
      </w:r>
      <w:r>
        <w:rPr>
          <w:rFonts w:ascii="Arial" w:eastAsia="Times New Roman" w:hAnsi="Arial" w:cs="Arial"/>
          <w:lang w:eastAsia="pl-PL"/>
        </w:rPr>
        <w:t>ł</w:t>
      </w:r>
      <w:r w:rsidRPr="00283C6F">
        <w:rPr>
          <w:rFonts w:ascii="Arial" w:eastAsia="Times New Roman" w:hAnsi="Arial" w:cs="Arial"/>
          <w:lang w:eastAsia="pl-PL"/>
        </w:rPr>
        <w:t>, w drodze rozporządzenia, szczegółowe warunki, jakim powinna odpowiadać podatkowa księga przychodów i rozchodów, oraz szczegółowy zakres obowiązków związanych z jej prowadzeniem, w celu umożliwienia wykorzystania tej księgi jako dowodu pozwalającego na określenie zobowiązań podatkowych w prawidłowej wysokości.</w:t>
      </w:r>
    </w:p>
    <w:p w14:paraId="48BD0EDD" w14:textId="77777777" w:rsidR="00283C6F" w:rsidRPr="00283C6F" w:rsidRDefault="00283C6F" w:rsidP="00283C6F">
      <w:pPr>
        <w:spacing w:after="0" w:line="300" w:lineRule="auto"/>
        <w:jc w:val="both"/>
        <w:rPr>
          <w:rFonts w:ascii="Arial" w:eastAsia="Times New Roman" w:hAnsi="Arial" w:cs="Arial"/>
          <w:lang w:eastAsia="pl-PL"/>
        </w:rPr>
      </w:pPr>
      <w:r w:rsidRPr="00283C6F">
        <w:rPr>
          <w:rFonts w:ascii="Arial" w:eastAsia="Times New Roman" w:hAnsi="Arial" w:cs="Arial"/>
          <w:lang w:eastAsia="pl-PL"/>
        </w:rPr>
        <w:t>Zgodnie z § 32 ust. 2 rozporządzenia Prezesa Rady Ministrów z dnia 20 czerwca 2002 r. w sprawie „Zasad techniki prawodawczej” (Dz. U. z 2016 r. poz. 283), jeżeli zmienia się treść przepisu upoważniającego do wydania aktu wykonawczego w ten sposób, że zmienia się rodzaj aktu wykonawczego, zakres spraw przekazanych do uregulowania aktem wykonawczym lub wytyczne dotyczące treści tego aktu, przyjmuje się, że akt wykonawczy wydany na podstawie tego przepisu upoważniającego traci moc obowiązującą z dniem wejścia w życie przepisu zmieniającego treść przepisu upoważniającego.</w:t>
      </w:r>
    </w:p>
    <w:p w14:paraId="17F0079C" w14:textId="77777777" w:rsidR="00283C6F" w:rsidRPr="00283C6F" w:rsidRDefault="00283C6F" w:rsidP="00283C6F">
      <w:pPr>
        <w:spacing w:after="0" w:line="300" w:lineRule="auto"/>
        <w:jc w:val="both"/>
        <w:rPr>
          <w:rFonts w:ascii="Arial" w:eastAsia="Times New Roman" w:hAnsi="Arial" w:cs="Arial"/>
          <w:lang w:eastAsia="pl-PL"/>
        </w:rPr>
      </w:pPr>
      <w:r w:rsidRPr="00283C6F">
        <w:rPr>
          <w:rFonts w:ascii="Arial" w:eastAsia="Times New Roman" w:hAnsi="Arial" w:cs="Arial"/>
          <w:lang w:eastAsia="pl-PL"/>
        </w:rPr>
        <w:t xml:space="preserve">Ponadto, ustawą z dnia 29 października 2021 r. nakłada się obowiązek prowadzenia w postaci elektronicznej oraz przesyłania do właściwego naczelnika urzędu skarbowego ksiąg podatkowych, prowadzonych na podstawie przepisów o podatku dochodowym od osób fizycznych. </w:t>
      </w:r>
    </w:p>
    <w:p w14:paraId="6E609E8C" w14:textId="77777777" w:rsidR="00283C6F" w:rsidRPr="00283C6F" w:rsidRDefault="00283C6F" w:rsidP="00283C6F">
      <w:pPr>
        <w:spacing w:after="0" w:line="300" w:lineRule="auto"/>
        <w:jc w:val="both"/>
        <w:rPr>
          <w:rFonts w:ascii="Arial" w:eastAsia="Times New Roman" w:hAnsi="Arial" w:cs="Arial"/>
          <w:lang w:eastAsia="pl-PL"/>
        </w:rPr>
      </w:pPr>
      <w:r w:rsidRPr="00283C6F">
        <w:rPr>
          <w:rFonts w:ascii="Arial" w:eastAsia="Times New Roman" w:hAnsi="Arial" w:cs="Arial"/>
          <w:lang w:eastAsia="pl-PL"/>
        </w:rPr>
        <w:t>Biorąc pod uwagę przedstawiony powyżej stan prawny, konieczne jest wydanie przez Ministra Finansów i Gospodarki rozporządzenia w sprawie prowadzenia podatkowej księgi przychodów i rozchodów, zgodnie z zakresem upoważnienia zawartego w art. 24a ust. 7 ustawy PIT w brzmieniu obowiązującym od dnia 1 stycznia 2026 r.</w:t>
      </w:r>
    </w:p>
    <w:p w14:paraId="0BAF4784" w14:textId="026288AB" w:rsidR="00283C6F" w:rsidRPr="00283C6F" w:rsidRDefault="00283C6F" w:rsidP="00283C6F">
      <w:pPr>
        <w:spacing w:after="0" w:line="300" w:lineRule="auto"/>
        <w:jc w:val="both"/>
        <w:rPr>
          <w:rFonts w:ascii="Arial" w:eastAsia="Times New Roman" w:hAnsi="Arial" w:cs="Arial"/>
          <w:lang w:eastAsia="pl-PL"/>
        </w:rPr>
      </w:pPr>
      <w:r w:rsidRPr="00283C6F">
        <w:rPr>
          <w:rFonts w:ascii="Arial" w:eastAsia="Times New Roman" w:hAnsi="Arial" w:cs="Arial"/>
          <w:lang w:eastAsia="pl-PL"/>
        </w:rPr>
        <w:t>Niniejsz</w:t>
      </w:r>
      <w:r w:rsidR="000B1B88">
        <w:rPr>
          <w:rFonts w:ascii="Arial" w:eastAsia="Times New Roman" w:hAnsi="Arial" w:cs="Arial"/>
          <w:lang w:eastAsia="pl-PL"/>
        </w:rPr>
        <w:t xml:space="preserve">e </w:t>
      </w:r>
      <w:r w:rsidRPr="00283C6F">
        <w:rPr>
          <w:rFonts w:ascii="Arial" w:eastAsia="Times New Roman" w:hAnsi="Arial" w:cs="Arial"/>
          <w:lang w:eastAsia="pl-PL"/>
        </w:rPr>
        <w:t>rozporządzeni</w:t>
      </w:r>
      <w:r w:rsidR="000B1B88">
        <w:rPr>
          <w:rFonts w:ascii="Arial" w:eastAsia="Times New Roman" w:hAnsi="Arial" w:cs="Arial"/>
          <w:lang w:eastAsia="pl-PL"/>
        </w:rPr>
        <w:t>e</w:t>
      </w:r>
      <w:r w:rsidRPr="00283C6F">
        <w:rPr>
          <w:rFonts w:ascii="Arial" w:eastAsia="Times New Roman" w:hAnsi="Arial" w:cs="Arial"/>
          <w:lang w:eastAsia="pl-PL"/>
        </w:rPr>
        <w:t>, zwan</w:t>
      </w:r>
      <w:r w:rsidR="000B1B88">
        <w:rPr>
          <w:rFonts w:ascii="Arial" w:eastAsia="Times New Roman" w:hAnsi="Arial" w:cs="Arial"/>
          <w:lang w:eastAsia="pl-PL"/>
        </w:rPr>
        <w:t>e</w:t>
      </w:r>
      <w:r w:rsidRPr="00283C6F">
        <w:rPr>
          <w:rFonts w:ascii="Arial" w:eastAsia="Times New Roman" w:hAnsi="Arial" w:cs="Arial"/>
          <w:lang w:eastAsia="pl-PL"/>
        </w:rPr>
        <w:t xml:space="preserve"> dalej „nowym rozporządzeniem”, w stosunku do rozporządzenia z dnia 23 grudnia 2019 r., zwanego dalej „starym rozporządzeniem”, zawiera w szczególności następujące różnice:</w:t>
      </w:r>
    </w:p>
    <w:p w14:paraId="5E5740BC" w14:textId="77777777" w:rsidR="00283C6F" w:rsidRPr="00283C6F" w:rsidRDefault="00283C6F" w:rsidP="00283C6F">
      <w:pPr>
        <w:spacing w:after="0" w:line="300" w:lineRule="auto"/>
        <w:jc w:val="both"/>
        <w:rPr>
          <w:rFonts w:ascii="Arial" w:eastAsia="Times New Roman" w:hAnsi="Arial" w:cs="Arial"/>
          <w:lang w:eastAsia="pl-PL"/>
        </w:rPr>
      </w:pPr>
      <w:r w:rsidRPr="00283C6F">
        <w:rPr>
          <w:rFonts w:ascii="Arial" w:eastAsia="Times New Roman" w:hAnsi="Arial" w:cs="Arial"/>
          <w:lang w:eastAsia="pl-PL"/>
        </w:rPr>
        <w:t>1.</w:t>
      </w:r>
      <w:r w:rsidRPr="00283C6F">
        <w:rPr>
          <w:rFonts w:ascii="Arial" w:eastAsia="Times New Roman" w:hAnsi="Arial" w:cs="Arial"/>
          <w:lang w:eastAsia="pl-PL"/>
        </w:rPr>
        <w:tab/>
        <w:t xml:space="preserve">Brak preferencji w postaci możliwości prowadzenia uproszczonej księgi przez rolników prowadzących gospodarstwo rolne bez zatrudnienia w nim pracowników, członków rolniczych spółdzielni produkcyjnych oraz pracowników rolnych, wykonujących działalność gospodarczą, osobiście lub z udziałem członków rodziny pozostających we wspólnym gospodarstwie </w:t>
      </w:r>
      <w:r w:rsidRPr="00283C6F">
        <w:rPr>
          <w:rFonts w:ascii="Arial" w:eastAsia="Times New Roman" w:hAnsi="Arial" w:cs="Arial"/>
          <w:lang w:eastAsia="pl-PL"/>
        </w:rPr>
        <w:lastRenderedPageBreak/>
        <w:t xml:space="preserve">domowym, osiągających do 10.000 zł przychodu w roku podatkowym. Ustawa PIT nie przewiduje takiej preferencji dla tej grupy podatników. Możliwość wprowadzenia takiej preferencji nie wchodzi także w zakres spraw przekazanych do uregulowania nowym upoważnieniem określonym w art. 24a ust. 7 ustawy PIT (ust. 2 w § 2 starego rozporządzenia oraz załącznik nr 2 starego rozporządzenia). W konsekwencji rolnik, o którym mowa w usuwanym paragrafie, będzie prowadził księgę na ogólnych zasadach według wzoru określonego w załączniku do niniejszego rozporządzenia. </w:t>
      </w:r>
    </w:p>
    <w:p w14:paraId="545B4576" w14:textId="77777777" w:rsidR="00283C6F" w:rsidRPr="00283C6F" w:rsidRDefault="00283C6F" w:rsidP="00283C6F">
      <w:pPr>
        <w:spacing w:after="0" w:line="300" w:lineRule="auto"/>
        <w:jc w:val="both"/>
        <w:rPr>
          <w:rFonts w:ascii="Arial" w:eastAsia="Times New Roman" w:hAnsi="Arial" w:cs="Arial"/>
          <w:lang w:eastAsia="pl-PL"/>
        </w:rPr>
      </w:pPr>
      <w:r w:rsidRPr="00283C6F">
        <w:rPr>
          <w:rFonts w:ascii="Arial" w:eastAsia="Times New Roman" w:hAnsi="Arial" w:cs="Arial"/>
          <w:lang w:eastAsia="pl-PL"/>
        </w:rPr>
        <w:t>2.</w:t>
      </w:r>
      <w:r w:rsidRPr="00283C6F">
        <w:rPr>
          <w:rFonts w:ascii="Arial" w:eastAsia="Times New Roman" w:hAnsi="Arial" w:cs="Arial"/>
          <w:lang w:eastAsia="pl-PL"/>
        </w:rPr>
        <w:tab/>
        <w:t xml:space="preserve">Z przepisu zawierającego definicje używanych w rozporządzeniu pojęć usunięto pojęcia, które są zdefiniowane na gruncie ustawy PIT, takie jak: przychód, środki trwałe, wartości niematerialne i prawne. Usunięto również definicję biura rachunkowego (§ 2 pkt 5 nowego rozporządzenia). Ponadto w pkt 5 oraz pkt 6 dodano odpowiednio definicję ustawy o podatku dochodowym od osób fizycznych oraz ustawy o podatku od towarów i usług. </w:t>
      </w:r>
    </w:p>
    <w:p w14:paraId="4C849F8D" w14:textId="77777777" w:rsidR="00283C6F" w:rsidRPr="00283C6F" w:rsidRDefault="00283C6F" w:rsidP="00283C6F">
      <w:pPr>
        <w:spacing w:after="0" w:line="300" w:lineRule="auto"/>
        <w:jc w:val="both"/>
        <w:rPr>
          <w:rFonts w:ascii="Arial" w:eastAsia="Times New Roman" w:hAnsi="Arial" w:cs="Arial"/>
          <w:lang w:eastAsia="pl-PL"/>
        </w:rPr>
      </w:pPr>
      <w:r w:rsidRPr="00283C6F">
        <w:rPr>
          <w:rFonts w:ascii="Arial" w:eastAsia="Times New Roman" w:hAnsi="Arial" w:cs="Arial"/>
          <w:lang w:eastAsia="pl-PL"/>
        </w:rPr>
        <w:t>3.</w:t>
      </w:r>
      <w:r w:rsidRPr="00283C6F">
        <w:rPr>
          <w:rFonts w:ascii="Arial" w:eastAsia="Times New Roman" w:hAnsi="Arial" w:cs="Arial"/>
          <w:lang w:eastAsia="pl-PL"/>
        </w:rPr>
        <w:tab/>
        <w:t xml:space="preserve">Brak preferencji w postaci możliwości zwolnienia niektórych podatników, gdy jest to uzasadnione szczególnymi okolicznościami, ze stosowania przepisów rozporządzenia w określonym zakresie. Zwolnienie to było przyznawane przez naczelnika urzędu skarbowego, na wniosek podatnika. Preferencja taka nie wchodzi w zakres spraw przekazanych do uregulowania nowym upoważnieniem określonym w art. 24a ust. 7 ustawy PIT (§ 4 starego rozporządzenia). Jednocześnie przepis przejściowy utrzymuje w mocy przyznane zwolnienia (§ 24 nowego rozporządzenia). </w:t>
      </w:r>
    </w:p>
    <w:p w14:paraId="16E9BC57" w14:textId="77777777" w:rsidR="00283C6F" w:rsidRPr="00283C6F" w:rsidRDefault="00283C6F" w:rsidP="00283C6F">
      <w:pPr>
        <w:spacing w:after="0" w:line="300" w:lineRule="auto"/>
        <w:jc w:val="both"/>
        <w:rPr>
          <w:rFonts w:ascii="Arial" w:eastAsia="Times New Roman" w:hAnsi="Arial" w:cs="Arial"/>
          <w:lang w:eastAsia="pl-PL"/>
        </w:rPr>
      </w:pPr>
      <w:r w:rsidRPr="00283C6F">
        <w:rPr>
          <w:rFonts w:ascii="Arial" w:eastAsia="Times New Roman" w:hAnsi="Arial" w:cs="Arial"/>
          <w:lang w:eastAsia="pl-PL"/>
        </w:rPr>
        <w:t>4.</w:t>
      </w:r>
      <w:r w:rsidRPr="00283C6F">
        <w:rPr>
          <w:rFonts w:ascii="Arial" w:eastAsia="Times New Roman" w:hAnsi="Arial" w:cs="Arial"/>
          <w:lang w:eastAsia="pl-PL"/>
        </w:rPr>
        <w:tab/>
        <w:t>Brak regulacji dotyczących wykorzystywania ewidencji sprzedaży prowadzonej dla potrzeb księgi przez podatników korzystających ze zwolnienia od podatku VAT, nieprowadzących ewidencji sprzedaży, o której mowa w art. 109 ust. 1 ustawy z dnia 11 marca 2004 r. o podatku od towarów i usług  (§ 7 ust. 4 starego rozporządzenia). Rozwiązanie to wykracza poza zakres spraw regulowanych niniejszym rozporządzeniem. Nie zmienia to faktu, że dla potrzeb podatku od towarów i usług zgodnie z art. 109 ust. 1 ustawy o VAT, podatnicy, u których sprzedaż jest zwolniona od podatku na podstawie art. 113 ust. 1 i 9 albo art. 113a ust. 1, są obowiązani prowadzić ewidencję sprzedaży za dany dzień, nie później jednak niż przed dokonaniem sprzedaży w dniu następnym.</w:t>
      </w:r>
    </w:p>
    <w:p w14:paraId="1FEB2076" w14:textId="77777777" w:rsidR="00283C6F" w:rsidRPr="00283C6F" w:rsidRDefault="00283C6F" w:rsidP="00283C6F">
      <w:pPr>
        <w:spacing w:after="0" w:line="300" w:lineRule="auto"/>
        <w:jc w:val="both"/>
        <w:rPr>
          <w:rFonts w:ascii="Arial" w:eastAsia="Times New Roman" w:hAnsi="Arial" w:cs="Arial"/>
          <w:lang w:eastAsia="pl-PL"/>
        </w:rPr>
      </w:pPr>
      <w:r w:rsidRPr="00283C6F">
        <w:rPr>
          <w:rFonts w:ascii="Arial" w:eastAsia="Times New Roman" w:hAnsi="Arial" w:cs="Arial"/>
          <w:lang w:eastAsia="pl-PL"/>
        </w:rPr>
        <w:t>5.</w:t>
      </w:r>
      <w:r w:rsidRPr="00283C6F">
        <w:rPr>
          <w:rFonts w:ascii="Arial" w:eastAsia="Times New Roman" w:hAnsi="Arial" w:cs="Arial"/>
          <w:lang w:eastAsia="pl-PL"/>
        </w:rPr>
        <w:tab/>
        <w:t>Brak regulacji dotyczących miejsca przechowywania księgi oraz dowodów księgowych. Dotychczas rozporządzenie wskazywało wprost, iż księga oraz dowody, na których podstawie są dokonywane w niej zapisy, mają znajdować się na stałe w miejscu wykonywania działalności lub miejscu wskazanym przez podatnika jako siedziba, a jeżeli prowadzenie księgi zostało zlecone biuru rachunkowemu – w miejscu prowadzenia lub przechowywania księgi przez to biuro (§ 8 ust. 2 starego rozporządzenia). Obowiązek przechowywania ksiąg oraz dowodów księgowych wynika bowiem z art. 86 ustawy Ordynacja podatkowa . Zgodnie z tym przepisem podatnicy obowiązani do prowadzenia ksiąg podatkowych przechowują księgi i związane z ich prowadzeniem dokumenty do czasu upływu okresu przedawnienia zobowiązania podatkowego, chyba że ustawy podatkowe stanowią inaczej.</w:t>
      </w:r>
    </w:p>
    <w:p w14:paraId="1A4913F4" w14:textId="77777777" w:rsidR="00283C6F" w:rsidRPr="00283C6F" w:rsidRDefault="00283C6F" w:rsidP="00283C6F">
      <w:pPr>
        <w:spacing w:after="0" w:line="300" w:lineRule="auto"/>
        <w:jc w:val="both"/>
        <w:rPr>
          <w:rFonts w:ascii="Arial" w:eastAsia="Times New Roman" w:hAnsi="Arial" w:cs="Arial"/>
          <w:lang w:eastAsia="pl-PL"/>
        </w:rPr>
      </w:pPr>
      <w:r w:rsidRPr="00283C6F">
        <w:rPr>
          <w:rFonts w:ascii="Arial" w:eastAsia="Times New Roman" w:hAnsi="Arial" w:cs="Arial"/>
          <w:lang w:eastAsia="pl-PL"/>
        </w:rPr>
        <w:t>6.</w:t>
      </w:r>
      <w:r w:rsidRPr="00283C6F">
        <w:rPr>
          <w:rFonts w:ascii="Arial" w:eastAsia="Times New Roman" w:hAnsi="Arial" w:cs="Arial"/>
          <w:lang w:eastAsia="pl-PL"/>
        </w:rPr>
        <w:tab/>
        <w:t>Brak obowiązku posiadania przez przedsiębiorstwa wielozakładowe ksiąg w ramach każdego zakładu oraz obowiązku sporządzania dowodów przesunięć (ust. 3–5 w § 8 starego rozporządzenia).</w:t>
      </w:r>
    </w:p>
    <w:p w14:paraId="008F3D41" w14:textId="77777777" w:rsidR="00283C6F" w:rsidRPr="00283C6F" w:rsidRDefault="00283C6F" w:rsidP="00283C6F">
      <w:pPr>
        <w:spacing w:after="0" w:line="300" w:lineRule="auto"/>
        <w:jc w:val="both"/>
        <w:rPr>
          <w:rFonts w:ascii="Arial" w:eastAsia="Times New Roman" w:hAnsi="Arial" w:cs="Arial"/>
          <w:lang w:eastAsia="pl-PL"/>
        </w:rPr>
      </w:pPr>
      <w:r w:rsidRPr="00283C6F">
        <w:rPr>
          <w:rFonts w:ascii="Arial" w:eastAsia="Times New Roman" w:hAnsi="Arial" w:cs="Arial"/>
          <w:lang w:eastAsia="pl-PL"/>
        </w:rPr>
        <w:t>7.</w:t>
      </w:r>
      <w:r w:rsidRPr="00283C6F">
        <w:rPr>
          <w:rFonts w:ascii="Arial" w:eastAsia="Times New Roman" w:hAnsi="Arial" w:cs="Arial"/>
          <w:lang w:eastAsia="pl-PL"/>
        </w:rPr>
        <w:tab/>
        <w:t xml:space="preserve">Wyłączenie z katalogu dowodów księgowych dziennych zestawień dowodów (faktur dotyczących sprzedaży) sporządzanych do zaksięgowania ich zbiorczym zapisem. Podatnik będzie dokonywał zapisów bezpośrednio w księdze, prowadzonej co do zasady w postaci </w:t>
      </w:r>
      <w:r w:rsidRPr="00283C6F">
        <w:rPr>
          <w:rFonts w:ascii="Arial" w:eastAsia="Times New Roman" w:hAnsi="Arial" w:cs="Arial"/>
          <w:lang w:eastAsia="pl-PL"/>
        </w:rPr>
        <w:lastRenderedPageBreak/>
        <w:t xml:space="preserve">elektronicznej, na podstawie poszczególnych faktur. Podatnik nie będzie już wykazywał tych faktur w odrębnym zestawieniu, a bezpośrednio w księdze, zamiast zbiorczej kwoty (pkt 1 w § 12 starego rozporządzenia oraz ust. 3 i 4 w § 18 starego rozporządzenia). Podstawę zapisów w księdze nie będzie stanowiło również zestawienie sprzedaży sporządzane na podstawie ewidencji sprzedaży VAT, o której mowa w art. 109 ust. 1 lub 3 ustawy o VAT (§ 20 starego rozporządzenia). </w:t>
      </w:r>
    </w:p>
    <w:p w14:paraId="122D9047" w14:textId="77777777" w:rsidR="00283C6F" w:rsidRPr="00283C6F" w:rsidRDefault="00283C6F" w:rsidP="00283C6F">
      <w:pPr>
        <w:spacing w:after="0" w:line="300" w:lineRule="auto"/>
        <w:jc w:val="both"/>
        <w:rPr>
          <w:rFonts w:ascii="Arial" w:eastAsia="Times New Roman" w:hAnsi="Arial" w:cs="Arial"/>
          <w:lang w:eastAsia="pl-PL"/>
        </w:rPr>
      </w:pPr>
      <w:r w:rsidRPr="00283C6F">
        <w:rPr>
          <w:rFonts w:ascii="Arial" w:eastAsia="Times New Roman" w:hAnsi="Arial" w:cs="Arial"/>
          <w:lang w:eastAsia="pl-PL"/>
        </w:rPr>
        <w:t>Zmiana ta podyktowana jest przede wszystkim efektywnością wykorzystania struktur JPK_PKPiR. W przypadku dokonywania zapisów w księdze na podstawie zestawień faktur (zestawień sprzedaży), poszczególne faktury nie byłyby w niej ujęte, co uniemożliwiłoby analizę poszczególnych dokumentów w ramach struktur JPK.</w:t>
      </w:r>
    </w:p>
    <w:p w14:paraId="7904A6F8" w14:textId="77777777" w:rsidR="00283C6F" w:rsidRPr="00283C6F" w:rsidRDefault="00283C6F" w:rsidP="00283C6F">
      <w:pPr>
        <w:spacing w:after="0" w:line="300" w:lineRule="auto"/>
        <w:jc w:val="both"/>
        <w:rPr>
          <w:rFonts w:ascii="Arial" w:eastAsia="Times New Roman" w:hAnsi="Arial" w:cs="Arial"/>
          <w:lang w:eastAsia="pl-PL"/>
        </w:rPr>
      </w:pPr>
      <w:r w:rsidRPr="00283C6F">
        <w:rPr>
          <w:rFonts w:ascii="Arial" w:eastAsia="Times New Roman" w:hAnsi="Arial" w:cs="Arial"/>
          <w:lang w:eastAsia="pl-PL"/>
        </w:rPr>
        <w:t xml:space="preserve">Ponadto, zestawienie faktur jest dodatkowym dokumentem tworzonym w oparciu o wystawione faktury, często automatycznie z systemu rejestracji sprzedaży. </w:t>
      </w:r>
    </w:p>
    <w:p w14:paraId="42865FC2" w14:textId="77777777" w:rsidR="00283C6F" w:rsidRPr="00283C6F" w:rsidRDefault="00283C6F" w:rsidP="00283C6F">
      <w:pPr>
        <w:spacing w:after="0" w:line="300" w:lineRule="auto"/>
        <w:jc w:val="both"/>
        <w:rPr>
          <w:rFonts w:ascii="Arial" w:eastAsia="Times New Roman" w:hAnsi="Arial" w:cs="Arial"/>
          <w:lang w:eastAsia="pl-PL"/>
        </w:rPr>
      </w:pPr>
      <w:r w:rsidRPr="00283C6F">
        <w:rPr>
          <w:rFonts w:ascii="Arial" w:eastAsia="Times New Roman" w:hAnsi="Arial" w:cs="Arial"/>
          <w:lang w:eastAsia="pl-PL"/>
        </w:rPr>
        <w:t>Podobnie w przypadku wykorzystywania ewidencji vatowskiej konieczne jest sporządzenie dodatkowego dokumentu, czyli zestawienia różnic między sprzedażą w rozumieniu przepisów ustawy o podatku od towarów i usług a przychodem w rozumieniu przepisów ustawy o podatku dochodowym.</w:t>
      </w:r>
    </w:p>
    <w:p w14:paraId="381467AC" w14:textId="77777777" w:rsidR="00283C6F" w:rsidRPr="00283C6F" w:rsidRDefault="00283C6F" w:rsidP="00283C6F">
      <w:pPr>
        <w:spacing w:after="0" w:line="300" w:lineRule="auto"/>
        <w:jc w:val="both"/>
        <w:rPr>
          <w:rFonts w:ascii="Arial" w:eastAsia="Times New Roman" w:hAnsi="Arial" w:cs="Arial"/>
          <w:lang w:eastAsia="pl-PL"/>
        </w:rPr>
      </w:pPr>
      <w:r w:rsidRPr="00283C6F">
        <w:rPr>
          <w:rFonts w:ascii="Arial" w:eastAsia="Times New Roman" w:hAnsi="Arial" w:cs="Arial"/>
          <w:lang w:eastAsia="pl-PL"/>
        </w:rPr>
        <w:t xml:space="preserve">Zmiany katalogu dowodów księgowych stanowiących podstawę zapisów w księdze odnoszą się wyłącznie do przychodów osiąganych po 31 grudnia 2025 r.; przedmiotowe rozporządzenie wchodzi w życie 1 stycznia 2026 r. </w:t>
      </w:r>
    </w:p>
    <w:p w14:paraId="01DA154B" w14:textId="77777777" w:rsidR="00283C6F" w:rsidRPr="00283C6F" w:rsidRDefault="00283C6F" w:rsidP="00283C6F">
      <w:pPr>
        <w:spacing w:after="0" w:line="300" w:lineRule="auto"/>
        <w:jc w:val="both"/>
        <w:rPr>
          <w:rFonts w:ascii="Arial" w:eastAsia="Times New Roman" w:hAnsi="Arial" w:cs="Arial"/>
          <w:lang w:eastAsia="pl-PL"/>
        </w:rPr>
      </w:pPr>
      <w:r w:rsidRPr="00283C6F">
        <w:rPr>
          <w:rFonts w:ascii="Arial" w:eastAsia="Times New Roman" w:hAnsi="Arial" w:cs="Arial"/>
          <w:lang w:eastAsia="pl-PL"/>
        </w:rPr>
        <w:t xml:space="preserve">Oznacza to, że jest możliwa korekta przychodów uzyskanych przed 1 stycznia 2026 r. Natomiast analiza rzetelności i niewadliwości księgi dokonywana jest według stanu prawnego obowiązującego w roku podatkowym, za który prowadzona jest księga. Zatem księga prowadzona przed 1 stycznia 2026 r. będzie analizowana z uwzględnieniem katalogu dowodów stanowiących podstawę zapisów w księdze przed tą datą. </w:t>
      </w:r>
    </w:p>
    <w:p w14:paraId="266F8FA0" w14:textId="77777777" w:rsidR="00283C6F" w:rsidRPr="00283C6F" w:rsidRDefault="00283C6F" w:rsidP="00283C6F">
      <w:pPr>
        <w:spacing w:after="0" w:line="300" w:lineRule="auto"/>
        <w:jc w:val="both"/>
        <w:rPr>
          <w:rFonts w:ascii="Arial" w:eastAsia="Times New Roman" w:hAnsi="Arial" w:cs="Arial"/>
          <w:lang w:eastAsia="pl-PL"/>
        </w:rPr>
      </w:pPr>
      <w:r w:rsidRPr="00283C6F">
        <w:rPr>
          <w:rFonts w:ascii="Arial" w:eastAsia="Times New Roman" w:hAnsi="Arial" w:cs="Arial"/>
          <w:lang w:eastAsia="pl-PL"/>
        </w:rPr>
        <w:t>8.</w:t>
      </w:r>
      <w:r w:rsidRPr="00283C6F">
        <w:rPr>
          <w:rFonts w:ascii="Arial" w:eastAsia="Times New Roman" w:hAnsi="Arial" w:cs="Arial"/>
          <w:lang w:eastAsia="pl-PL"/>
        </w:rPr>
        <w:tab/>
        <w:t xml:space="preserve">Wyłączenie możliwości dokumentowania paragonami bez NIP określonych zakupów w jednostkach handlu detalicznego, np. materiałów, środków czystości (§ 13 ust. 4 starego rozporządzenia) oraz możliwości dokumentowania zakupu materiałów pomocniczych w jednostkach handlu detalicznego za pomocą dowodów wewnętrznych (§ 13 ust. 2 pkt 4 starego rozporządzenia). Zakupy takie podatnicy mogą dokumentować fakturą uproszczoną (paragonem z NIP). Bez zmian pozostanie natomiast sposób dokumentowania wydatków poniesionych na zakup paliw oraz olejów za granicą; nadal będą mogły być dokumentowane paragonami lub dowodami kasowymi. Co istotne wyłącznie paragonami lub dowodami kasowymi w postaci papierowej. Podkreślić bowiem należy, że tego rodzaju dokumenty stanowią wyjątek na udokumentowanie wydatku, pomimo że nie zawierają danych przedsiębiorcy. </w:t>
      </w:r>
    </w:p>
    <w:p w14:paraId="20E5BB81" w14:textId="77777777" w:rsidR="00283C6F" w:rsidRPr="00283C6F" w:rsidRDefault="00283C6F" w:rsidP="00283C6F">
      <w:pPr>
        <w:spacing w:after="0" w:line="300" w:lineRule="auto"/>
        <w:jc w:val="both"/>
        <w:rPr>
          <w:rFonts w:ascii="Arial" w:eastAsia="Times New Roman" w:hAnsi="Arial" w:cs="Arial"/>
          <w:lang w:eastAsia="pl-PL"/>
        </w:rPr>
      </w:pPr>
      <w:r w:rsidRPr="00283C6F">
        <w:rPr>
          <w:rFonts w:ascii="Arial" w:eastAsia="Times New Roman" w:hAnsi="Arial" w:cs="Arial"/>
          <w:lang w:eastAsia="pl-PL"/>
        </w:rPr>
        <w:t>9.</w:t>
      </w:r>
      <w:r w:rsidRPr="00283C6F">
        <w:rPr>
          <w:rFonts w:ascii="Arial" w:eastAsia="Times New Roman" w:hAnsi="Arial" w:cs="Arial"/>
          <w:lang w:eastAsia="pl-PL"/>
        </w:rPr>
        <w:tab/>
        <w:t>Modyfikacja terminów dokonywania wpisów do księgi. Niezależnie od tego, czy księga będzie prowadzona przez biuro rachunkowe, czy samodzielnie przez podatnika, wpisy dotyczące przychodów będą dokonywane, co do zasady, najpóźniej do dnia 20. każdego miesiąca, następującego po miesiącu uzyskania przychodu. Natomiast wydatki poniesione na zakup materiałów (surowców) podstawowych i towarów handlowych oraz pozostałe wydatki będą wpisywane do księgi według zasad potrącania kosztów uzyskania przychodów określonych w ustawie o podatku dochodowym (§ 10, § 11 oraz § 14 nowego rozporządzenia). Należą do nich zasady określone m.in. w art. 22 ust. 4 i 4a tej ustawy.</w:t>
      </w:r>
    </w:p>
    <w:p w14:paraId="28570E32" w14:textId="77777777" w:rsidR="00283C6F" w:rsidRPr="00283C6F" w:rsidRDefault="00283C6F" w:rsidP="00283C6F">
      <w:pPr>
        <w:spacing w:after="0" w:line="300" w:lineRule="auto"/>
        <w:jc w:val="both"/>
        <w:rPr>
          <w:rFonts w:ascii="Arial" w:eastAsia="Times New Roman" w:hAnsi="Arial" w:cs="Arial"/>
          <w:lang w:eastAsia="pl-PL"/>
        </w:rPr>
      </w:pPr>
      <w:r w:rsidRPr="00283C6F">
        <w:rPr>
          <w:rFonts w:ascii="Arial" w:eastAsia="Times New Roman" w:hAnsi="Arial" w:cs="Arial"/>
          <w:lang w:eastAsia="pl-PL"/>
        </w:rPr>
        <w:lastRenderedPageBreak/>
        <w:t>10.</w:t>
      </w:r>
      <w:r w:rsidRPr="00283C6F">
        <w:rPr>
          <w:rFonts w:ascii="Arial" w:eastAsia="Times New Roman" w:hAnsi="Arial" w:cs="Arial"/>
          <w:lang w:eastAsia="pl-PL"/>
        </w:rPr>
        <w:tab/>
        <w:t xml:space="preserve">Modyfikacja przepisów dotyczących prowadzenia ewidencji sprzedaży. Po pierwsze projekt zmienia nazwę dokumentu na podstawie, którego dokonywane są wpisy do księgi, na „zestawienie sprzedaży (ewidencja sprzedaży)”. Jest to dokument, o którym mowa w § 11 ust. 1 pkt 3 nowego rozporządzenia. W przypadku przychodów, które nie są dokumentowane fakturami lub raportami fiskalnymi, podatnik będzie dokonywał zapisów na podstawie wystawionego na koniec dnia dowodu wewnętrznego, albo prowadzonego zestawienia sprzedaży (ewidencji sprzedaży). </w:t>
      </w:r>
    </w:p>
    <w:p w14:paraId="2EC84ED6" w14:textId="77777777" w:rsidR="00283C6F" w:rsidRPr="00283C6F" w:rsidRDefault="00283C6F" w:rsidP="00283C6F">
      <w:pPr>
        <w:spacing w:after="0" w:line="300" w:lineRule="auto"/>
        <w:jc w:val="both"/>
        <w:rPr>
          <w:rFonts w:ascii="Arial" w:eastAsia="Times New Roman" w:hAnsi="Arial" w:cs="Arial"/>
          <w:lang w:eastAsia="pl-PL"/>
        </w:rPr>
      </w:pPr>
      <w:r w:rsidRPr="00283C6F">
        <w:rPr>
          <w:rFonts w:ascii="Arial" w:eastAsia="Times New Roman" w:hAnsi="Arial" w:cs="Arial"/>
          <w:lang w:eastAsia="pl-PL"/>
        </w:rPr>
        <w:t>Do prowadzonego zestawienia sprzedaży (ewidencji sprzedaży) podatnik będzie obowiązany, tak jak dotychczas wpisywać przychody nieudokumentowane fakturami, których nie ujmuje w księdze jeden raz dziennie po zakończeniu dnia, nie później niż przed rozpoczęciem działalności w dniu następnym. Z obowiązku tego nadal będą zwolnieni podatnicy prowadzący ewidencję przy użyciu kas rejestrujących w rozumieniu przepisów ustawy o VAT (§ 17 nowego rozporządzenia).</w:t>
      </w:r>
    </w:p>
    <w:p w14:paraId="558523D5" w14:textId="77777777" w:rsidR="00283C6F" w:rsidRPr="00283C6F" w:rsidRDefault="00283C6F" w:rsidP="00283C6F">
      <w:pPr>
        <w:spacing w:after="0" w:line="300" w:lineRule="auto"/>
        <w:jc w:val="both"/>
        <w:rPr>
          <w:rFonts w:ascii="Arial" w:eastAsia="Times New Roman" w:hAnsi="Arial" w:cs="Arial"/>
          <w:lang w:eastAsia="pl-PL"/>
        </w:rPr>
      </w:pPr>
      <w:r w:rsidRPr="00283C6F">
        <w:rPr>
          <w:rFonts w:ascii="Arial" w:eastAsia="Times New Roman" w:hAnsi="Arial" w:cs="Arial"/>
          <w:lang w:eastAsia="pl-PL"/>
        </w:rPr>
        <w:t>11.</w:t>
      </w:r>
      <w:r w:rsidRPr="00283C6F">
        <w:rPr>
          <w:rFonts w:ascii="Arial" w:eastAsia="Times New Roman" w:hAnsi="Arial" w:cs="Arial"/>
          <w:lang w:eastAsia="pl-PL"/>
        </w:rPr>
        <w:tab/>
        <w:t>Brak obowiązku podpisywania spisu z natury przez osoby sporządzające spis. Spis będzie podpisywany jedynie przez właściciela zakładu (wspólników). Ponadto do księgi wpisywana będzie wyłącznie wartość spisu (§ 25 i § 26 starego rozporządzenia).</w:t>
      </w:r>
    </w:p>
    <w:p w14:paraId="6FBC9624" w14:textId="77777777" w:rsidR="00283C6F" w:rsidRPr="00283C6F" w:rsidRDefault="00283C6F" w:rsidP="00283C6F">
      <w:pPr>
        <w:spacing w:after="0" w:line="300" w:lineRule="auto"/>
        <w:jc w:val="both"/>
        <w:rPr>
          <w:rFonts w:ascii="Arial" w:eastAsia="Times New Roman" w:hAnsi="Arial" w:cs="Arial"/>
          <w:lang w:eastAsia="pl-PL"/>
        </w:rPr>
      </w:pPr>
      <w:r w:rsidRPr="00283C6F">
        <w:rPr>
          <w:rFonts w:ascii="Arial" w:eastAsia="Times New Roman" w:hAnsi="Arial" w:cs="Arial"/>
          <w:lang w:eastAsia="pl-PL"/>
        </w:rPr>
        <w:t>12.</w:t>
      </w:r>
      <w:r w:rsidRPr="00283C6F">
        <w:rPr>
          <w:rFonts w:ascii="Arial" w:eastAsia="Times New Roman" w:hAnsi="Arial" w:cs="Arial"/>
          <w:lang w:eastAsia="pl-PL"/>
        </w:rPr>
        <w:tab/>
        <w:t xml:space="preserve">Brak regulacji określających warunki, jakim odpowiadać powinna księga prowadzona w postaci elektronicznej, aby mogła być uznana za prawidłową (§ 28 starego rozporządzenia). </w:t>
      </w:r>
    </w:p>
    <w:p w14:paraId="30D8D545" w14:textId="77777777" w:rsidR="00283C6F" w:rsidRPr="00283C6F" w:rsidRDefault="00283C6F" w:rsidP="00283C6F">
      <w:pPr>
        <w:spacing w:after="0" w:line="300" w:lineRule="auto"/>
        <w:jc w:val="both"/>
        <w:rPr>
          <w:rFonts w:ascii="Arial" w:eastAsia="Times New Roman" w:hAnsi="Arial" w:cs="Arial"/>
          <w:lang w:eastAsia="pl-PL"/>
        </w:rPr>
      </w:pPr>
      <w:r w:rsidRPr="00283C6F">
        <w:rPr>
          <w:rFonts w:ascii="Arial" w:eastAsia="Times New Roman" w:hAnsi="Arial" w:cs="Arial"/>
          <w:lang w:eastAsia="pl-PL"/>
        </w:rPr>
        <w:t>13.</w:t>
      </w:r>
      <w:r w:rsidRPr="00283C6F">
        <w:rPr>
          <w:rFonts w:ascii="Arial" w:eastAsia="Times New Roman" w:hAnsi="Arial" w:cs="Arial"/>
          <w:lang w:eastAsia="pl-PL"/>
        </w:rPr>
        <w:tab/>
        <w:t>Modyfikacja regulacji dotyczących faktur dokumentujących dokonanie sprzedaży uprzednio ujętej w ewidencji prowadzonej przy użyciu kas rejestrujących. Nowe rozporządzenie zachowuje normę stanowiącą, że podatnicy nie wpisują do księgi kwot wynikających z faktur dokumentujących dokonanie sprzedaży, uprzednio ujętej w ewidencji prowadzonej przy użyciu kas rejestrujących. Nie przewiduje natomiast regulacji związanych z przechowywaniem paragonu i faktury w takiej sytuacji, gdyż są one ujęte w przepisach dotyczących VAT (§ 19 ust. 3 starego rozporządzenia i § 12 ust 3 nowego rozporządzenia).</w:t>
      </w:r>
    </w:p>
    <w:p w14:paraId="097A8B04" w14:textId="77777777" w:rsidR="00283C6F" w:rsidRPr="00283C6F" w:rsidRDefault="00283C6F" w:rsidP="00283C6F">
      <w:pPr>
        <w:spacing w:after="0" w:line="300" w:lineRule="auto"/>
        <w:jc w:val="both"/>
        <w:rPr>
          <w:rFonts w:ascii="Arial" w:eastAsia="Times New Roman" w:hAnsi="Arial" w:cs="Arial"/>
          <w:lang w:eastAsia="pl-PL"/>
        </w:rPr>
      </w:pPr>
      <w:r w:rsidRPr="00283C6F">
        <w:rPr>
          <w:rFonts w:ascii="Arial" w:eastAsia="Times New Roman" w:hAnsi="Arial" w:cs="Arial"/>
          <w:lang w:eastAsia="pl-PL"/>
        </w:rPr>
        <w:t>14.</w:t>
      </w:r>
      <w:r w:rsidRPr="00283C6F">
        <w:rPr>
          <w:rFonts w:ascii="Arial" w:eastAsia="Times New Roman" w:hAnsi="Arial" w:cs="Arial"/>
          <w:lang w:eastAsia="pl-PL"/>
        </w:rPr>
        <w:tab/>
        <w:t xml:space="preserve">Modyfikacja sposobu korygowania danych wynikających z raportów fiskalnych dobowych lub okresowych (miesięcznych), które nie podlegają ujęciu w odrębnych ewidencjach. Dotychczas podatnik był obowiązany do opisywania tego rodzaju korekt na odwrocie raportu fiskalnego. Zgodnie z nowymi regulacjami korekty takiej dokona na podstawie dowodu wewnętrznego (§ 19 ust. 4 starego rozporządzenia i § 12 ust. 4 i 5 nowego rozporządzenia). </w:t>
      </w:r>
    </w:p>
    <w:p w14:paraId="3D33CEDA" w14:textId="77777777" w:rsidR="00283C6F" w:rsidRPr="00283C6F" w:rsidRDefault="00283C6F" w:rsidP="00283C6F">
      <w:pPr>
        <w:spacing w:after="0" w:line="300" w:lineRule="auto"/>
        <w:jc w:val="both"/>
        <w:rPr>
          <w:rFonts w:ascii="Arial" w:eastAsia="Times New Roman" w:hAnsi="Arial" w:cs="Arial"/>
          <w:lang w:eastAsia="pl-PL"/>
        </w:rPr>
      </w:pPr>
      <w:r w:rsidRPr="00283C6F">
        <w:rPr>
          <w:rFonts w:ascii="Arial" w:eastAsia="Times New Roman" w:hAnsi="Arial" w:cs="Arial"/>
          <w:lang w:eastAsia="pl-PL"/>
        </w:rPr>
        <w:t>15.</w:t>
      </w:r>
      <w:r w:rsidRPr="00283C6F">
        <w:rPr>
          <w:rFonts w:ascii="Arial" w:eastAsia="Times New Roman" w:hAnsi="Arial" w:cs="Arial"/>
          <w:lang w:eastAsia="pl-PL"/>
        </w:rPr>
        <w:tab/>
        <w:t>Wzór księgi został uzupełniony o dodatkowe kolumny (zmiany w załączniku do rozporządzenia). W dodanej kolumnie nr 3 podatnik będzie wpisywał nr identyfikujący fakturę wystawioną przy użyciu Krajowego Systemu e-Faktur, z kolei w dodanej kolumnie nr 5 – identyfikator podatkowy kontrahenta. Przy podawaniu danych kontrahenta wystarczające będzie wpisanie jego NIP. Oczywiście obowiązek identyfikacji kontrahenta nie obejmuje zapisów dotyczących przychodów dokonywanych na podstawie dowodów wewnętrznych i raportów fiskalnych.</w:t>
      </w:r>
    </w:p>
    <w:p w14:paraId="07935618" w14:textId="7AFD8E2D" w:rsidR="00283C6F" w:rsidRPr="00283C6F" w:rsidRDefault="00283C6F" w:rsidP="00283C6F">
      <w:pPr>
        <w:spacing w:after="0" w:line="300" w:lineRule="auto"/>
        <w:jc w:val="both"/>
        <w:rPr>
          <w:rFonts w:ascii="Arial" w:eastAsia="Times New Roman" w:hAnsi="Arial" w:cs="Arial"/>
          <w:lang w:eastAsia="pl-PL"/>
        </w:rPr>
      </w:pPr>
    </w:p>
    <w:p w14:paraId="3A5A827A" w14:textId="602DD774" w:rsidR="00283C6F" w:rsidRPr="00283C6F" w:rsidRDefault="000B1B88" w:rsidP="00283C6F">
      <w:pPr>
        <w:spacing w:after="0" w:line="300" w:lineRule="auto"/>
        <w:jc w:val="both"/>
        <w:rPr>
          <w:rFonts w:ascii="Arial" w:eastAsia="Times New Roman" w:hAnsi="Arial" w:cs="Arial"/>
          <w:lang w:eastAsia="pl-PL"/>
        </w:rPr>
      </w:pPr>
      <w:r w:rsidRPr="000B1B88">
        <w:rPr>
          <w:rFonts w:ascii="Arial" w:eastAsia="Times New Roman" w:hAnsi="Arial" w:cs="Arial"/>
          <w:lang w:eastAsia="pl-PL"/>
        </w:rPr>
        <w:t xml:space="preserve">Rozporządzenie wchodzi w życie z dniem 1 stycznia 2026 </w:t>
      </w:r>
      <w:r w:rsidR="00283C6F" w:rsidRPr="00283C6F">
        <w:rPr>
          <w:rFonts w:ascii="Arial" w:eastAsia="Times New Roman" w:hAnsi="Arial" w:cs="Arial"/>
          <w:lang w:eastAsia="pl-PL"/>
        </w:rPr>
        <w:t>r</w:t>
      </w:r>
      <w:r>
        <w:rPr>
          <w:rFonts w:ascii="Arial" w:eastAsia="Times New Roman" w:hAnsi="Arial" w:cs="Arial"/>
          <w:lang w:eastAsia="pl-PL"/>
        </w:rPr>
        <w:t>oku</w:t>
      </w:r>
      <w:r w:rsidR="00283C6F" w:rsidRPr="00283C6F">
        <w:rPr>
          <w:rFonts w:ascii="Arial" w:eastAsia="Times New Roman" w:hAnsi="Arial" w:cs="Arial"/>
          <w:lang w:eastAsia="pl-PL"/>
        </w:rPr>
        <w:t xml:space="preserve">. </w:t>
      </w:r>
    </w:p>
    <w:p w14:paraId="184528B6" w14:textId="0581F954" w:rsidR="004C6098" w:rsidRPr="00283C6F" w:rsidRDefault="004C6098" w:rsidP="00283C6F">
      <w:pPr>
        <w:spacing w:after="0" w:line="300" w:lineRule="auto"/>
        <w:jc w:val="both"/>
        <w:rPr>
          <w:rFonts w:ascii="Arial" w:eastAsia="Times New Roman" w:hAnsi="Arial" w:cs="Arial"/>
          <w:lang w:eastAsia="pl-PL"/>
        </w:rPr>
      </w:pPr>
    </w:p>
    <w:p w14:paraId="30378F62" w14:textId="77777777" w:rsidR="004C6098" w:rsidRDefault="004C6098" w:rsidP="004C6098">
      <w:pPr>
        <w:spacing w:after="0" w:line="300" w:lineRule="auto"/>
        <w:jc w:val="both"/>
        <w:rPr>
          <w:rFonts w:ascii="Arial" w:hAnsi="Arial" w:cs="Arial"/>
        </w:rPr>
      </w:pPr>
    </w:p>
    <w:p w14:paraId="5E845E18" w14:textId="775BC32D" w:rsidR="004C6098" w:rsidRPr="0011093D" w:rsidRDefault="0011093D" w:rsidP="004C6098">
      <w:pPr>
        <w:pStyle w:val="Akapitzlist"/>
        <w:numPr>
          <w:ilvl w:val="0"/>
          <w:numId w:val="2"/>
        </w:numPr>
        <w:spacing w:after="0" w:line="300" w:lineRule="auto"/>
        <w:ind w:left="426" w:hanging="426"/>
        <w:jc w:val="both"/>
        <w:rPr>
          <w:rFonts w:ascii="Arial" w:eastAsia="Times New Roman" w:hAnsi="Arial" w:cs="Arial"/>
          <w:b/>
          <w:bCs/>
          <w:u w:val="single"/>
          <w:lang w:eastAsia="pl-PL"/>
        </w:rPr>
      </w:pPr>
      <w:r w:rsidRPr="0011093D">
        <w:rPr>
          <w:rFonts w:ascii="Arial" w:hAnsi="Arial" w:cs="Arial"/>
          <w:b/>
          <w:bCs/>
          <w:u w:val="single"/>
        </w:rPr>
        <w:lastRenderedPageBreak/>
        <w:t>Rozporządzenie Ministra Finansów i Gospodarki z dnia 25 września 2025 r. w sprawie rodzajów podatków, opłat lub niepodatkowych należności budżetowych, których wpłata jest realizowana przy użyciu mikrorachunku podatkowego</w:t>
      </w:r>
      <w:r>
        <w:rPr>
          <w:rFonts w:ascii="Arial" w:hAnsi="Arial" w:cs="Arial"/>
          <w:b/>
          <w:bCs/>
          <w:u w:val="single"/>
        </w:rPr>
        <w:t>.</w:t>
      </w:r>
    </w:p>
    <w:p w14:paraId="482DD507" w14:textId="77777777" w:rsidR="0011093D" w:rsidRDefault="0011093D" w:rsidP="0011093D">
      <w:pPr>
        <w:spacing w:after="0" w:line="300" w:lineRule="auto"/>
        <w:jc w:val="both"/>
        <w:rPr>
          <w:rFonts w:ascii="Arial" w:eastAsia="Times New Roman" w:hAnsi="Arial" w:cs="Arial"/>
          <w:lang w:eastAsia="pl-PL"/>
        </w:rPr>
      </w:pPr>
    </w:p>
    <w:p w14:paraId="171AA11A" w14:textId="44D6CF44" w:rsidR="004C6098" w:rsidRPr="00287656" w:rsidRDefault="004C6098" w:rsidP="0011093D">
      <w:pPr>
        <w:spacing w:after="0" w:line="300" w:lineRule="auto"/>
        <w:jc w:val="both"/>
        <w:rPr>
          <w:rFonts w:ascii="Arial" w:eastAsia="Times New Roman" w:hAnsi="Arial" w:cs="Arial"/>
          <w:lang w:eastAsia="pl-PL"/>
        </w:rPr>
      </w:pPr>
      <w:r w:rsidRPr="00287656">
        <w:rPr>
          <w:rFonts w:ascii="Arial" w:eastAsia="Times New Roman" w:hAnsi="Arial" w:cs="Arial"/>
          <w:lang w:eastAsia="pl-PL"/>
        </w:rPr>
        <w:t>Powyższy akt prawny o</w:t>
      </w:r>
      <w:r>
        <w:rPr>
          <w:rFonts w:ascii="Arial" w:eastAsia="Times New Roman" w:hAnsi="Arial" w:cs="Arial"/>
          <w:lang w:eastAsia="pl-PL"/>
        </w:rPr>
        <w:t>głoszony</w:t>
      </w:r>
      <w:r w:rsidRPr="00287656">
        <w:rPr>
          <w:rFonts w:ascii="Arial" w:eastAsia="Times New Roman" w:hAnsi="Arial" w:cs="Arial"/>
          <w:lang w:eastAsia="pl-PL"/>
        </w:rPr>
        <w:t xml:space="preserve"> został </w:t>
      </w:r>
      <w:r w:rsidR="0011093D">
        <w:rPr>
          <w:rFonts w:ascii="Arial" w:eastAsia="Times New Roman" w:hAnsi="Arial" w:cs="Arial"/>
          <w:lang w:eastAsia="pl-PL"/>
        </w:rPr>
        <w:t>29 września</w:t>
      </w:r>
      <w:r w:rsidRPr="00287656">
        <w:rPr>
          <w:rFonts w:ascii="Arial" w:eastAsia="Times New Roman" w:hAnsi="Arial" w:cs="Arial"/>
          <w:lang w:eastAsia="pl-PL"/>
        </w:rPr>
        <w:t xml:space="preserve"> 20</w:t>
      </w:r>
      <w:r w:rsidR="0011093D">
        <w:rPr>
          <w:rFonts w:ascii="Arial" w:eastAsia="Times New Roman" w:hAnsi="Arial" w:cs="Arial"/>
          <w:lang w:eastAsia="pl-PL"/>
        </w:rPr>
        <w:t>25</w:t>
      </w:r>
      <w:r w:rsidRPr="00287656">
        <w:rPr>
          <w:rFonts w:ascii="Arial" w:eastAsia="Times New Roman" w:hAnsi="Arial" w:cs="Arial"/>
          <w:lang w:eastAsia="pl-PL"/>
        </w:rPr>
        <w:t xml:space="preserve"> roku w Dzienniku Ustaw (Dz.U. z 202</w:t>
      </w:r>
      <w:r w:rsidR="0011093D">
        <w:rPr>
          <w:rFonts w:ascii="Arial" w:eastAsia="Times New Roman" w:hAnsi="Arial" w:cs="Arial"/>
          <w:lang w:eastAsia="pl-PL"/>
        </w:rPr>
        <w:t>5</w:t>
      </w:r>
      <w:r w:rsidRPr="00287656">
        <w:rPr>
          <w:rFonts w:ascii="Arial" w:eastAsia="Times New Roman" w:hAnsi="Arial" w:cs="Arial"/>
          <w:lang w:eastAsia="pl-PL"/>
        </w:rPr>
        <w:t xml:space="preserve">, poz. </w:t>
      </w:r>
      <w:r w:rsidR="0011093D">
        <w:rPr>
          <w:rFonts w:ascii="Arial" w:eastAsia="Times New Roman" w:hAnsi="Arial" w:cs="Arial"/>
          <w:lang w:eastAsia="pl-PL"/>
        </w:rPr>
        <w:t>1305</w:t>
      </w:r>
      <w:r w:rsidRPr="00287656">
        <w:rPr>
          <w:rFonts w:ascii="Arial" w:eastAsia="Times New Roman" w:hAnsi="Arial" w:cs="Arial"/>
          <w:lang w:eastAsia="pl-PL"/>
        </w:rPr>
        <w:t>).</w:t>
      </w:r>
    </w:p>
    <w:p w14:paraId="6E5DD731" w14:textId="77777777" w:rsidR="0011093D" w:rsidRDefault="0011093D" w:rsidP="0011093D">
      <w:pPr>
        <w:spacing w:after="0" w:line="300" w:lineRule="auto"/>
        <w:jc w:val="both"/>
        <w:rPr>
          <w:rFonts w:ascii="Arial" w:eastAsia="Times New Roman" w:hAnsi="Arial" w:cs="Arial"/>
          <w:lang w:eastAsia="pl-PL"/>
        </w:rPr>
      </w:pPr>
    </w:p>
    <w:p w14:paraId="3F45288B" w14:textId="200E0C6F" w:rsidR="0011093D" w:rsidRDefault="0011093D" w:rsidP="0011093D">
      <w:pPr>
        <w:spacing w:after="0" w:line="300" w:lineRule="auto"/>
        <w:jc w:val="both"/>
        <w:rPr>
          <w:rFonts w:ascii="Arial" w:eastAsia="Times New Roman" w:hAnsi="Arial" w:cs="Arial"/>
          <w:lang w:eastAsia="pl-PL"/>
        </w:rPr>
      </w:pPr>
      <w:r w:rsidRPr="0011093D">
        <w:rPr>
          <w:rFonts w:ascii="Arial" w:eastAsia="Times New Roman" w:hAnsi="Arial" w:cs="Arial"/>
          <w:lang w:eastAsia="pl-PL"/>
        </w:rPr>
        <w:t>Wykaz rodzajów podatków, opłat lub niepodatkowych należności budżetowych, których wpłata jest realizowana przy użyciu mikrorachunku podatkowego</w:t>
      </w:r>
      <w:r>
        <w:rPr>
          <w:rFonts w:ascii="Arial" w:eastAsia="Times New Roman" w:hAnsi="Arial" w:cs="Arial"/>
          <w:lang w:eastAsia="pl-PL"/>
        </w:rPr>
        <w:t>, określony został w</w:t>
      </w:r>
      <w:r w:rsidRPr="0011093D">
        <w:rPr>
          <w:rFonts w:ascii="Arial" w:eastAsia="Times New Roman" w:hAnsi="Arial" w:cs="Arial"/>
          <w:lang w:eastAsia="pl-PL"/>
        </w:rPr>
        <w:t xml:space="preserve"> załącznik</w:t>
      </w:r>
      <w:r>
        <w:rPr>
          <w:rFonts w:ascii="Arial" w:eastAsia="Times New Roman" w:hAnsi="Arial" w:cs="Arial"/>
          <w:lang w:eastAsia="pl-PL"/>
        </w:rPr>
        <w:t>u</w:t>
      </w:r>
      <w:r w:rsidRPr="0011093D">
        <w:rPr>
          <w:rFonts w:ascii="Arial" w:eastAsia="Times New Roman" w:hAnsi="Arial" w:cs="Arial"/>
          <w:lang w:eastAsia="pl-PL"/>
        </w:rPr>
        <w:t xml:space="preserve"> do </w:t>
      </w:r>
      <w:r>
        <w:rPr>
          <w:rFonts w:ascii="Arial" w:eastAsia="Times New Roman" w:hAnsi="Arial" w:cs="Arial"/>
          <w:lang w:eastAsia="pl-PL"/>
        </w:rPr>
        <w:t xml:space="preserve">przedmiotowego </w:t>
      </w:r>
      <w:r w:rsidRPr="0011093D">
        <w:rPr>
          <w:rFonts w:ascii="Arial" w:eastAsia="Times New Roman" w:hAnsi="Arial" w:cs="Arial"/>
          <w:lang w:eastAsia="pl-PL"/>
        </w:rPr>
        <w:t>rozporządzenia</w:t>
      </w:r>
      <w:r>
        <w:rPr>
          <w:rFonts w:ascii="Arial" w:eastAsia="Times New Roman" w:hAnsi="Arial" w:cs="Arial"/>
          <w:lang w:eastAsia="pl-PL"/>
        </w:rPr>
        <w:t>.</w:t>
      </w:r>
    </w:p>
    <w:p w14:paraId="5A3D9420" w14:textId="77777777" w:rsidR="0011093D" w:rsidRDefault="0011093D" w:rsidP="0011093D">
      <w:pPr>
        <w:spacing w:after="0" w:line="300" w:lineRule="auto"/>
        <w:jc w:val="both"/>
        <w:rPr>
          <w:rFonts w:ascii="Arial" w:eastAsia="Times New Roman" w:hAnsi="Arial" w:cs="Arial"/>
          <w:lang w:eastAsia="pl-PL"/>
        </w:rPr>
      </w:pPr>
    </w:p>
    <w:p w14:paraId="55640FB0" w14:textId="6FE32051" w:rsidR="004C6098" w:rsidRPr="0011093D" w:rsidRDefault="0011093D" w:rsidP="0011093D">
      <w:pPr>
        <w:spacing w:after="0" w:line="300" w:lineRule="auto"/>
        <w:jc w:val="both"/>
        <w:rPr>
          <w:rStyle w:val="markedcontent"/>
          <w:rFonts w:ascii="Arial" w:hAnsi="Arial" w:cs="Arial"/>
        </w:rPr>
      </w:pPr>
      <w:r w:rsidRPr="0011093D">
        <w:rPr>
          <w:rStyle w:val="markedcontent"/>
          <w:rFonts w:ascii="Arial" w:hAnsi="Arial" w:cs="Arial"/>
        </w:rPr>
        <w:t>Rozporządzenie wchodzi w życie z dniem 1 października 2025 r</w:t>
      </w:r>
      <w:r>
        <w:rPr>
          <w:rStyle w:val="markedcontent"/>
          <w:rFonts w:ascii="Arial" w:hAnsi="Arial" w:cs="Arial"/>
        </w:rPr>
        <w:t>oku</w:t>
      </w:r>
      <w:r w:rsidRPr="0011093D">
        <w:rPr>
          <w:rStyle w:val="markedcontent"/>
          <w:rFonts w:ascii="Arial" w:hAnsi="Arial" w:cs="Arial"/>
        </w:rPr>
        <w:t>.</w:t>
      </w:r>
    </w:p>
    <w:p w14:paraId="7ABAA595" w14:textId="77777777" w:rsidR="004C6098" w:rsidRPr="00287656" w:rsidRDefault="004C6098" w:rsidP="004C6098">
      <w:pPr>
        <w:pStyle w:val="Akapitzlist"/>
        <w:spacing w:after="0" w:line="300" w:lineRule="auto"/>
        <w:ind w:left="426"/>
        <w:jc w:val="both"/>
        <w:rPr>
          <w:rStyle w:val="markedcontent"/>
          <w:rFonts w:ascii="Arial" w:eastAsia="Times New Roman" w:hAnsi="Arial" w:cs="Arial"/>
          <w:u w:val="single"/>
          <w:lang w:eastAsia="pl-PL"/>
        </w:rPr>
      </w:pPr>
    </w:p>
    <w:p w14:paraId="656F2C61" w14:textId="77594FDF" w:rsidR="004C6098" w:rsidRPr="00C5789A" w:rsidRDefault="00C5789A" w:rsidP="004C6098">
      <w:pPr>
        <w:pStyle w:val="Akapitzlist"/>
        <w:numPr>
          <w:ilvl w:val="0"/>
          <w:numId w:val="2"/>
        </w:numPr>
        <w:spacing w:after="0" w:line="300" w:lineRule="auto"/>
        <w:ind w:left="426" w:hanging="426"/>
        <w:jc w:val="both"/>
        <w:rPr>
          <w:rStyle w:val="markedcontent"/>
          <w:rFonts w:ascii="Arial" w:eastAsia="Times New Roman" w:hAnsi="Arial" w:cs="Arial"/>
          <w:b/>
          <w:bCs/>
          <w:u w:val="single"/>
          <w:lang w:eastAsia="pl-PL"/>
        </w:rPr>
      </w:pPr>
      <w:r w:rsidRPr="00C5789A">
        <w:rPr>
          <w:rStyle w:val="markedcontent"/>
          <w:rFonts w:ascii="Arial" w:eastAsia="Times New Roman" w:hAnsi="Arial" w:cs="Arial"/>
          <w:b/>
          <w:bCs/>
          <w:u w:val="single"/>
          <w:lang w:eastAsia="pl-PL"/>
        </w:rPr>
        <w:t>Rozporządzenie Ministra Funduszy i Polityki Regionalnej z dnia 15 września 2025 r. w sprawie pomocy publicznej na realizację projektów w zakresie wyposażenia pojazdów kolejowych z napędem lub z kabiną sterowniczą w system ERTMS w ramach programu Fundusze Europejskie na Infrastrukturę, Klimat, Środowisko 2021–2027</w:t>
      </w:r>
      <w:r w:rsidRPr="00C5789A">
        <w:rPr>
          <w:rStyle w:val="markedcontent"/>
          <w:rFonts w:ascii="Arial" w:eastAsia="Times New Roman" w:hAnsi="Arial" w:cs="Arial"/>
          <w:b/>
          <w:bCs/>
          <w:u w:val="single"/>
          <w:lang w:eastAsia="pl-PL"/>
        </w:rPr>
        <w:t>.</w:t>
      </w:r>
    </w:p>
    <w:p w14:paraId="78562AAA" w14:textId="77777777" w:rsidR="00C5789A" w:rsidRPr="00C5789A" w:rsidRDefault="00C5789A" w:rsidP="00C5789A">
      <w:pPr>
        <w:spacing w:after="0" w:line="300" w:lineRule="auto"/>
        <w:jc w:val="both"/>
        <w:rPr>
          <w:rStyle w:val="markedcontent"/>
          <w:rFonts w:ascii="Arial" w:eastAsia="Times New Roman" w:hAnsi="Arial" w:cs="Arial"/>
          <w:lang w:eastAsia="pl-PL"/>
        </w:rPr>
      </w:pPr>
    </w:p>
    <w:p w14:paraId="78039307" w14:textId="31C17277" w:rsidR="00C5789A" w:rsidRPr="00C5789A" w:rsidRDefault="00C5789A" w:rsidP="00C5789A">
      <w:pPr>
        <w:spacing w:after="0" w:line="300" w:lineRule="auto"/>
        <w:jc w:val="both"/>
        <w:rPr>
          <w:rStyle w:val="markedcontent"/>
          <w:rFonts w:ascii="Arial" w:eastAsia="Times New Roman" w:hAnsi="Arial" w:cs="Arial"/>
          <w:lang w:eastAsia="pl-PL"/>
        </w:rPr>
      </w:pPr>
      <w:r w:rsidRPr="00C5789A">
        <w:rPr>
          <w:rStyle w:val="markedcontent"/>
          <w:rFonts w:ascii="Arial" w:eastAsia="Times New Roman" w:hAnsi="Arial" w:cs="Arial"/>
          <w:lang w:eastAsia="pl-PL"/>
        </w:rPr>
        <w:t xml:space="preserve">Powyższy akt prawny ogłoszony został </w:t>
      </w:r>
      <w:r>
        <w:rPr>
          <w:rStyle w:val="markedcontent"/>
          <w:rFonts w:ascii="Arial" w:eastAsia="Times New Roman" w:hAnsi="Arial" w:cs="Arial"/>
          <w:lang w:eastAsia="pl-PL"/>
        </w:rPr>
        <w:t>30</w:t>
      </w:r>
      <w:r w:rsidRPr="00C5789A">
        <w:rPr>
          <w:rStyle w:val="markedcontent"/>
          <w:rFonts w:ascii="Arial" w:eastAsia="Times New Roman" w:hAnsi="Arial" w:cs="Arial"/>
          <w:lang w:eastAsia="pl-PL"/>
        </w:rPr>
        <w:t xml:space="preserve"> września 2025 roku w Dzienniku Ustaw (Dz.U. z 2025, poz. 13</w:t>
      </w:r>
      <w:r>
        <w:rPr>
          <w:rStyle w:val="markedcontent"/>
          <w:rFonts w:ascii="Arial" w:eastAsia="Times New Roman" w:hAnsi="Arial" w:cs="Arial"/>
          <w:lang w:eastAsia="pl-PL"/>
        </w:rPr>
        <w:t>21</w:t>
      </w:r>
      <w:r w:rsidRPr="00C5789A">
        <w:rPr>
          <w:rStyle w:val="markedcontent"/>
          <w:rFonts w:ascii="Arial" w:eastAsia="Times New Roman" w:hAnsi="Arial" w:cs="Arial"/>
          <w:lang w:eastAsia="pl-PL"/>
        </w:rPr>
        <w:t>).</w:t>
      </w:r>
    </w:p>
    <w:p w14:paraId="0E674EE6" w14:textId="77777777" w:rsidR="00C5789A" w:rsidRDefault="00C5789A" w:rsidP="00C5789A">
      <w:pPr>
        <w:spacing w:after="0" w:line="300" w:lineRule="auto"/>
        <w:jc w:val="both"/>
        <w:rPr>
          <w:rStyle w:val="markedcontent"/>
          <w:rFonts w:ascii="Arial" w:eastAsia="Times New Roman" w:hAnsi="Arial" w:cs="Arial"/>
          <w:lang w:eastAsia="pl-PL"/>
        </w:rPr>
      </w:pPr>
    </w:p>
    <w:p w14:paraId="7C457A8E" w14:textId="77777777" w:rsidR="00DA59B5" w:rsidRDefault="00C5789A" w:rsidP="00C5789A">
      <w:pPr>
        <w:spacing w:after="0" w:line="300" w:lineRule="auto"/>
        <w:jc w:val="both"/>
        <w:rPr>
          <w:rStyle w:val="markedcontent"/>
          <w:rFonts w:ascii="Arial" w:eastAsia="Times New Roman" w:hAnsi="Arial" w:cs="Arial"/>
          <w:lang w:eastAsia="pl-PL"/>
        </w:rPr>
      </w:pPr>
      <w:r w:rsidRPr="00C5789A">
        <w:rPr>
          <w:rStyle w:val="markedcontent"/>
          <w:rFonts w:ascii="Arial" w:eastAsia="Times New Roman" w:hAnsi="Arial" w:cs="Arial"/>
          <w:lang w:eastAsia="pl-PL"/>
        </w:rPr>
        <w:t xml:space="preserve">Rozporządzenie określa szczegółowe przeznaczenie, warunki i tryb udzielania pomocy publicznej na realizację projektów w zakresie wyposażenia według wzorca 4.0.0 wersji 1.1. lub wyższej pojazdów kolejowych z napędem lub z kabiną sterowniczą w Europejski System Zarządzania Ruchem Kolejowym, obejmujący: </w:t>
      </w:r>
    </w:p>
    <w:p w14:paraId="6D60B33D" w14:textId="77777777" w:rsidR="00DA59B5" w:rsidRDefault="00C5789A" w:rsidP="00C5789A">
      <w:pPr>
        <w:spacing w:after="0" w:line="300" w:lineRule="auto"/>
        <w:jc w:val="both"/>
        <w:rPr>
          <w:rStyle w:val="markedcontent"/>
          <w:rFonts w:ascii="Arial" w:eastAsia="Times New Roman" w:hAnsi="Arial" w:cs="Arial"/>
          <w:lang w:eastAsia="pl-PL"/>
        </w:rPr>
      </w:pPr>
      <w:r w:rsidRPr="00C5789A">
        <w:rPr>
          <w:rStyle w:val="markedcontent"/>
          <w:rFonts w:ascii="Arial" w:eastAsia="Times New Roman" w:hAnsi="Arial" w:cs="Arial"/>
          <w:lang w:eastAsia="pl-PL"/>
        </w:rPr>
        <w:t xml:space="preserve">1) urządzenie pokładowe Europejskiego Systemu Sterowania Pociągiem (ETCS) oraz Globalnego Systemu Kolejowej Radiokomunikacji Ruchomej (GSM-R) łącznie albo </w:t>
      </w:r>
    </w:p>
    <w:p w14:paraId="0AE81F43" w14:textId="77777777" w:rsidR="00DA59B5" w:rsidRDefault="00C5789A" w:rsidP="00C5789A">
      <w:pPr>
        <w:spacing w:after="0" w:line="300" w:lineRule="auto"/>
        <w:jc w:val="both"/>
        <w:rPr>
          <w:rStyle w:val="markedcontent"/>
          <w:rFonts w:ascii="Arial" w:eastAsia="Times New Roman" w:hAnsi="Arial" w:cs="Arial"/>
          <w:lang w:eastAsia="pl-PL"/>
        </w:rPr>
      </w:pPr>
      <w:r w:rsidRPr="00C5789A">
        <w:rPr>
          <w:rStyle w:val="markedcontent"/>
          <w:rFonts w:ascii="Arial" w:eastAsia="Times New Roman" w:hAnsi="Arial" w:cs="Arial"/>
          <w:lang w:eastAsia="pl-PL"/>
        </w:rPr>
        <w:t xml:space="preserve">2) tylko urządzenie pokładowe Europejskiego Systemu Sterowania Pociągiem (ETCS) – w przypadku gdy Globalny System Kolejowej Radiokomunikacji Ruchomej (GSM-R) jest już zainstalowany </w:t>
      </w:r>
    </w:p>
    <w:p w14:paraId="61895024" w14:textId="77777777" w:rsidR="00DA59B5" w:rsidRDefault="00C5789A" w:rsidP="00C5789A">
      <w:pPr>
        <w:spacing w:after="0" w:line="300" w:lineRule="auto"/>
        <w:jc w:val="both"/>
        <w:rPr>
          <w:rStyle w:val="markedcontent"/>
          <w:rFonts w:ascii="Arial" w:eastAsia="Times New Roman" w:hAnsi="Arial" w:cs="Arial"/>
          <w:lang w:eastAsia="pl-PL"/>
        </w:rPr>
      </w:pPr>
      <w:r w:rsidRPr="00C5789A">
        <w:rPr>
          <w:rStyle w:val="markedcontent"/>
          <w:rFonts w:ascii="Arial" w:eastAsia="Times New Roman" w:hAnsi="Arial" w:cs="Arial"/>
          <w:lang w:eastAsia="pl-PL"/>
        </w:rPr>
        <w:t xml:space="preserve">– zwany dalej „systemem ERTMS”, w ramach programu Fundusze Europejskie na Infrastrukturę, Klimat, Środowisko 2021–2027, zwanego dalej „programem”, a także podmiot udzielający pomocy. </w:t>
      </w:r>
    </w:p>
    <w:p w14:paraId="5C84C172" w14:textId="77777777" w:rsidR="00DA59B5" w:rsidRDefault="00C5789A" w:rsidP="00C5789A">
      <w:pPr>
        <w:spacing w:after="0" w:line="300" w:lineRule="auto"/>
        <w:jc w:val="both"/>
        <w:rPr>
          <w:rStyle w:val="markedcontent"/>
          <w:rFonts w:ascii="Arial" w:eastAsia="Times New Roman" w:hAnsi="Arial" w:cs="Arial"/>
          <w:lang w:eastAsia="pl-PL"/>
        </w:rPr>
      </w:pPr>
      <w:r w:rsidRPr="00C5789A">
        <w:rPr>
          <w:rStyle w:val="markedcontent"/>
          <w:rFonts w:ascii="Arial" w:eastAsia="Times New Roman" w:hAnsi="Arial" w:cs="Arial"/>
          <w:lang w:eastAsia="pl-PL"/>
        </w:rPr>
        <w:t xml:space="preserve">Pomoc może być udzielona przedsiębiorcy z jednego z państw członkowskich Unii Europejskiej lub Europejskiego Porozumienia o Wolnym Handlu (EFTA), mającemu siedzibę, oddział lub przedstawicielstwo na terytorium Rzeczypospolitej Polskiej, wpisanemu do europejskiego rejestru pojazdów kolejowych (EVR), będącemu właścicielem pojazdu kolejowego z napędem lub z kabiną sterowniczą lub posiadającemu prawo do korzystania z takiego pojazdu kolejowego jako środka transportu, na realizację projektu w zakresie wyposażenia według wzorca 4.0.0 wersji 1.1. lub wyższej pojazdów kolejowych z napędem lub z kabiną sterowniczą w system ERTMS. </w:t>
      </w:r>
    </w:p>
    <w:p w14:paraId="6BD2B095" w14:textId="77777777" w:rsidR="00DA59B5" w:rsidRDefault="00C5789A" w:rsidP="00C5789A">
      <w:pPr>
        <w:spacing w:after="0" w:line="300" w:lineRule="auto"/>
        <w:jc w:val="both"/>
        <w:rPr>
          <w:rStyle w:val="markedcontent"/>
          <w:rFonts w:ascii="Arial" w:eastAsia="Times New Roman" w:hAnsi="Arial" w:cs="Arial"/>
          <w:lang w:eastAsia="pl-PL"/>
        </w:rPr>
      </w:pPr>
      <w:r w:rsidRPr="00C5789A">
        <w:rPr>
          <w:rStyle w:val="markedcontent"/>
          <w:rFonts w:ascii="Arial" w:eastAsia="Times New Roman" w:hAnsi="Arial" w:cs="Arial"/>
          <w:lang w:eastAsia="pl-PL"/>
        </w:rPr>
        <w:t xml:space="preserve">Pomoc może dotyczyć pojazdów kolejowych z napędem lub z kabiną sterowniczą niemających więcej niż 35 lat, licząc od daty ich produkcji, lub więcej niż 10 lat, licząc od daty wykonania: </w:t>
      </w:r>
      <w:r w:rsidRPr="00C5789A">
        <w:rPr>
          <w:rStyle w:val="markedcontent"/>
          <w:rFonts w:ascii="Arial" w:eastAsia="Times New Roman" w:hAnsi="Arial" w:cs="Arial"/>
          <w:lang w:eastAsia="pl-PL"/>
        </w:rPr>
        <w:lastRenderedPageBreak/>
        <w:t xml:space="preserve">1) prac modyfikacyjnych w pojeździe kolejowym, które zmieniają przeznaczenie pojazdu kolejowego lub poprawiają jego ogólne osiągi techniczne, w tym zmiany charakterystyki trakcyjnej, prędkości maksymalnej, mocy oraz zdolności do zasilania w różnych systemach; </w:t>
      </w:r>
    </w:p>
    <w:p w14:paraId="6F6A452E" w14:textId="223BD121" w:rsidR="00C5789A" w:rsidRPr="00C5789A" w:rsidRDefault="00C5789A" w:rsidP="00C5789A">
      <w:pPr>
        <w:spacing w:after="0" w:line="300" w:lineRule="auto"/>
        <w:jc w:val="both"/>
        <w:rPr>
          <w:rStyle w:val="markedcontent"/>
          <w:rFonts w:ascii="Arial" w:eastAsia="Times New Roman" w:hAnsi="Arial" w:cs="Arial"/>
          <w:lang w:eastAsia="pl-PL"/>
        </w:rPr>
      </w:pPr>
      <w:r w:rsidRPr="00C5789A">
        <w:rPr>
          <w:rStyle w:val="markedcontent"/>
          <w:rFonts w:ascii="Arial" w:eastAsia="Times New Roman" w:hAnsi="Arial" w:cs="Arial"/>
          <w:lang w:eastAsia="pl-PL"/>
        </w:rPr>
        <w:t>2) czynności mających na celu podniesienie standardu pojazdu kolejowego lub jego odnowienie wykonywanych w wyspecjalizowanych zakładach lub u producenta na poziomie 5 utrzymania pojazdu kolejowego, o którym mowa w załączniku nr 3 do rozporządzenia Ministra Infrastruktury z dnia 12 października 2005 r. w sprawie ogólnych warunków technicznych eksploatacji pojazdów kolejowych (Dz. U. z 2016 r. poz. 226 oraz z 2017 r. poz. 1525).</w:t>
      </w:r>
    </w:p>
    <w:p w14:paraId="41B4FC89" w14:textId="77777777" w:rsidR="00C5789A" w:rsidRDefault="00C5789A" w:rsidP="00C5789A">
      <w:pPr>
        <w:spacing w:after="0" w:line="300" w:lineRule="auto"/>
        <w:jc w:val="both"/>
        <w:rPr>
          <w:rStyle w:val="markedcontent"/>
          <w:rFonts w:ascii="Arial" w:eastAsia="Times New Roman" w:hAnsi="Arial" w:cs="Arial"/>
          <w:lang w:eastAsia="pl-PL"/>
        </w:rPr>
      </w:pPr>
    </w:p>
    <w:p w14:paraId="38A6AF5B" w14:textId="17F954D6" w:rsidR="00DA59B5" w:rsidRDefault="00DA59B5" w:rsidP="00C5789A">
      <w:pPr>
        <w:spacing w:after="0" w:line="300" w:lineRule="auto"/>
        <w:jc w:val="both"/>
        <w:rPr>
          <w:rStyle w:val="markedcontent"/>
          <w:rFonts w:ascii="Arial" w:eastAsia="Times New Roman" w:hAnsi="Arial" w:cs="Arial"/>
          <w:lang w:eastAsia="pl-PL"/>
        </w:rPr>
      </w:pPr>
      <w:r w:rsidRPr="00DA59B5">
        <w:rPr>
          <w:rStyle w:val="markedcontent"/>
          <w:rFonts w:ascii="Arial" w:eastAsia="Times New Roman" w:hAnsi="Arial" w:cs="Arial"/>
          <w:lang w:eastAsia="pl-PL"/>
        </w:rPr>
        <w:t>Rozporządzenie wchodzi w życie z dniem następującym po dniu ogłoszenia.</w:t>
      </w:r>
    </w:p>
    <w:p w14:paraId="7B1DF52F" w14:textId="77777777" w:rsidR="00DA59B5" w:rsidRPr="00C5789A" w:rsidRDefault="00DA59B5" w:rsidP="00C5789A">
      <w:pPr>
        <w:spacing w:after="0" w:line="300" w:lineRule="auto"/>
        <w:jc w:val="both"/>
        <w:rPr>
          <w:rStyle w:val="markedcontent"/>
          <w:rFonts w:ascii="Arial" w:eastAsia="Times New Roman" w:hAnsi="Arial" w:cs="Arial"/>
          <w:lang w:eastAsia="pl-PL"/>
        </w:rPr>
      </w:pPr>
    </w:p>
    <w:p w14:paraId="4B89769A" w14:textId="7AE0590F" w:rsidR="00C5789A" w:rsidRPr="00DA59B5" w:rsidRDefault="00DA59B5" w:rsidP="004C6098">
      <w:pPr>
        <w:pStyle w:val="Akapitzlist"/>
        <w:numPr>
          <w:ilvl w:val="0"/>
          <w:numId w:val="2"/>
        </w:numPr>
        <w:spacing w:after="0" w:line="300" w:lineRule="auto"/>
        <w:ind w:left="426" w:hanging="426"/>
        <w:jc w:val="both"/>
        <w:rPr>
          <w:rStyle w:val="markedcontent"/>
          <w:rFonts w:ascii="Arial" w:eastAsia="Times New Roman" w:hAnsi="Arial" w:cs="Arial"/>
          <w:b/>
          <w:bCs/>
          <w:u w:val="single"/>
          <w:lang w:eastAsia="pl-PL"/>
        </w:rPr>
      </w:pPr>
      <w:r w:rsidRPr="00DA59B5">
        <w:rPr>
          <w:rStyle w:val="markedcontent"/>
          <w:rFonts w:ascii="Arial" w:eastAsia="Times New Roman" w:hAnsi="Arial" w:cs="Arial"/>
          <w:b/>
          <w:bCs/>
          <w:u w:val="single"/>
          <w:lang w:eastAsia="pl-PL"/>
        </w:rPr>
        <w:t>Rozporządzenie Ministra Klimatu i Środowiska z dnia 25 września 2025 r. w sprawie szczegółowych stawek opłat produktowych dla poszczególnych produktów</w:t>
      </w:r>
      <w:r w:rsidRPr="00DA59B5">
        <w:rPr>
          <w:rStyle w:val="markedcontent"/>
          <w:rFonts w:ascii="Arial" w:eastAsia="Times New Roman" w:hAnsi="Arial" w:cs="Arial"/>
          <w:b/>
          <w:bCs/>
          <w:u w:val="single"/>
          <w:lang w:eastAsia="pl-PL"/>
        </w:rPr>
        <w:t>.</w:t>
      </w:r>
    </w:p>
    <w:p w14:paraId="0352EABE" w14:textId="77777777" w:rsidR="00DA59B5" w:rsidRPr="00DA59B5" w:rsidRDefault="00DA59B5" w:rsidP="00DA59B5">
      <w:pPr>
        <w:spacing w:after="0" w:line="300" w:lineRule="auto"/>
        <w:jc w:val="both"/>
        <w:rPr>
          <w:rStyle w:val="markedcontent"/>
          <w:rFonts w:ascii="Arial" w:eastAsia="Times New Roman" w:hAnsi="Arial" w:cs="Arial"/>
          <w:lang w:eastAsia="pl-PL"/>
        </w:rPr>
      </w:pPr>
    </w:p>
    <w:p w14:paraId="6041366E" w14:textId="7F5A81EC" w:rsidR="00DA59B5" w:rsidRPr="00DA59B5" w:rsidRDefault="00DA59B5" w:rsidP="00DA59B5">
      <w:pPr>
        <w:spacing w:after="0" w:line="300" w:lineRule="auto"/>
        <w:jc w:val="both"/>
        <w:rPr>
          <w:rStyle w:val="markedcontent"/>
          <w:rFonts w:ascii="Arial" w:eastAsia="Times New Roman" w:hAnsi="Arial" w:cs="Arial"/>
          <w:lang w:eastAsia="pl-PL"/>
        </w:rPr>
      </w:pPr>
      <w:r w:rsidRPr="00DA59B5">
        <w:rPr>
          <w:rStyle w:val="markedcontent"/>
          <w:rFonts w:ascii="Arial" w:eastAsia="Times New Roman" w:hAnsi="Arial" w:cs="Arial"/>
          <w:lang w:eastAsia="pl-PL"/>
        </w:rPr>
        <w:t>Powyższy akt prawny ogłoszony został</w:t>
      </w:r>
      <w:r>
        <w:rPr>
          <w:rStyle w:val="markedcontent"/>
          <w:rFonts w:ascii="Arial" w:eastAsia="Times New Roman" w:hAnsi="Arial" w:cs="Arial"/>
          <w:lang w:eastAsia="pl-PL"/>
        </w:rPr>
        <w:t xml:space="preserve"> 2</w:t>
      </w:r>
      <w:r w:rsidRPr="00DA59B5">
        <w:rPr>
          <w:rStyle w:val="markedcontent"/>
          <w:rFonts w:ascii="Arial" w:eastAsia="Times New Roman" w:hAnsi="Arial" w:cs="Arial"/>
          <w:lang w:eastAsia="pl-PL"/>
        </w:rPr>
        <w:t xml:space="preserve"> </w:t>
      </w:r>
      <w:r>
        <w:rPr>
          <w:rStyle w:val="markedcontent"/>
          <w:rFonts w:ascii="Arial" w:eastAsia="Times New Roman" w:hAnsi="Arial" w:cs="Arial"/>
          <w:lang w:eastAsia="pl-PL"/>
        </w:rPr>
        <w:t>października</w:t>
      </w:r>
      <w:r w:rsidRPr="00DA59B5">
        <w:rPr>
          <w:rStyle w:val="markedcontent"/>
          <w:rFonts w:ascii="Arial" w:eastAsia="Times New Roman" w:hAnsi="Arial" w:cs="Arial"/>
          <w:lang w:eastAsia="pl-PL"/>
        </w:rPr>
        <w:t xml:space="preserve"> 2025 roku w Dzienniku Ustaw (Dz.U. z 2025, poz. 13</w:t>
      </w:r>
      <w:r>
        <w:rPr>
          <w:rStyle w:val="markedcontent"/>
          <w:rFonts w:ascii="Arial" w:eastAsia="Times New Roman" w:hAnsi="Arial" w:cs="Arial"/>
          <w:lang w:eastAsia="pl-PL"/>
        </w:rPr>
        <w:t>33</w:t>
      </w:r>
      <w:r w:rsidRPr="00DA59B5">
        <w:rPr>
          <w:rStyle w:val="markedcontent"/>
          <w:rFonts w:ascii="Arial" w:eastAsia="Times New Roman" w:hAnsi="Arial" w:cs="Arial"/>
          <w:lang w:eastAsia="pl-PL"/>
        </w:rPr>
        <w:t>).</w:t>
      </w:r>
    </w:p>
    <w:p w14:paraId="54F82950" w14:textId="77777777" w:rsidR="00DA59B5" w:rsidRPr="00DA59B5" w:rsidRDefault="00DA59B5" w:rsidP="00DA59B5">
      <w:pPr>
        <w:spacing w:after="0" w:line="300" w:lineRule="auto"/>
        <w:jc w:val="both"/>
        <w:rPr>
          <w:rStyle w:val="markedcontent"/>
          <w:rFonts w:ascii="Arial" w:eastAsia="Times New Roman" w:hAnsi="Arial" w:cs="Arial"/>
          <w:lang w:eastAsia="pl-PL"/>
        </w:rPr>
      </w:pPr>
    </w:p>
    <w:p w14:paraId="11CB7F30" w14:textId="77777777" w:rsidR="00DA59B5" w:rsidRDefault="00DA59B5" w:rsidP="00DA59B5">
      <w:pPr>
        <w:spacing w:after="0" w:line="300" w:lineRule="auto"/>
        <w:jc w:val="both"/>
        <w:rPr>
          <w:rStyle w:val="markedcontent"/>
          <w:rFonts w:ascii="Arial" w:eastAsia="Times New Roman" w:hAnsi="Arial" w:cs="Arial"/>
          <w:lang w:eastAsia="pl-PL"/>
        </w:rPr>
      </w:pPr>
      <w:r w:rsidRPr="00DA59B5">
        <w:rPr>
          <w:rStyle w:val="markedcontent"/>
          <w:rFonts w:ascii="Arial" w:eastAsia="Times New Roman" w:hAnsi="Arial" w:cs="Arial"/>
          <w:lang w:eastAsia="pl-PL"/>
        </w:rPr>
        <w:t xml:space="preserve">Rozporządzenie określa szczegółowe stawki opłat produktowych dla: </w:t>
      </w:r>
    </w:p>
    <w:p w14:paraId="5BF96B9C" w14:textId="77777777" w:rsidR="00DA59B5" w:rsidRDefault="00DA59B5" w:rsidP="00DA59B5">
      <w:pPr>
        <w:spacing w:after="0" w:line="300" w:lineRule="auto"/>
        <w:jc w:val="both"/>
        <w:rPr>
          <w:rStyle w:val="markedcontent"/>
          <w:rFonts w:ascii="Arial" w:eastAsia="Times New Roman" w:hAnsi="Arial" w:cs="Arial"/>
          <w:lang w:eastAsia="pl-PL"/>
        </w:rPr>
      </w:pPr>
      <w:r w:rsidRPr="00DA59B5">
        <w:rPr>
          <w:rStyle w:val="markedcontent"/>
          <w:rFonts w:ascii="Arial" w:eastAsia="Times New Roman" w:hAnsi="Arial" w:cs="Arial"/>
          <w:lang w:eastAsia="pl-PL"/>
        </w:rPr>
        <w:t xml:space="preserve">1) poszczególnych produktów wymienionych w załączniku nr 4a do ustawy z dnia 11 maja 2001 r. o obowiązkach przedsiębiorców w zakresie gospodarowania niektórymi odpadami oraz o opłacie produktowej; </w:t>
      </w:r>
    </w:p>
    <w:p w14:paraId="0946366B" w14:textId="77777777" w:rsidR="00DA59B5" w:rsidRDefault="00DA59B5" w:rsidP="00DA59B5">
      <w:pPr>
        <w:spacing w:after="0" w:line="300" w:lineRule="auto"/>
        <w:jc w:val="both"/>
        <w:rPr>
          <w:rStyle w:val="markedcontent"/>
          <w:rFonts w:ascii="Arial" w:eastAsia="Times New Roman" w:hAnsi="Arial" w:cs="Arial"/>
          <w:lang w:eastAsia="pl-PL"/>
        </w:rPr>
      </w:pPr>
      <w:r w:rsidRPr="00DA59B5">
        <w:rPr>
          <w:rStyle w:val="markedcontent"/>
          <w:rFonts w:ascii="Arial" w:eastAsia="Times New Roman" w:hAnsi="Arial" w:cs="Arial"/>
          <w:lang w:eastAsia="pl-PL"/>
        </w:rPr>
        <w:t xml:space="preserve">2) narzędzi połowowych zawierających tworzywa sztuczne. </w:t>
      </w:r>
    </w:p>
    <w:p w14:paraId="2686A50F" w14:textId="17963C0C" w:rsidR="00DA59B5" w:rsidRDefault="00DA59B5" w:rsidP="00DA59B5">
      <w:pPr>
        <w:spacing w:after="0" w:line="300" w:lineRule="auto"/>
        <w:jc w:val="both"/>
        <w:rPr>
          <w:rStyle w:val="markedcontent"/>
          <w:rFonts w:ascii="Arial" w:eastAsia="Times New Roman" w:hAnsi="Arial" w:cs="Arial"/>
          <w:lang w:eastAsia="pl-PL"/>
        </w:rPr>
      </w:pPr>
      <w:r w:rsidRPr="00DA59B5">
        <w:rPr>
          <w:rStyle w:val="markedcontent"/>
          <w:rFonts w:ascii="Arial" w:eastAsia="Times New Roman" w:hAnsi="Arial" w:cs="Arial"/>
          <w:lang w:eastAsia="pl-PL"/>
        </w:rPr>
        <w:t xml:space="preserve">Szczegółowe stawki opłat, o których mowa w § 1, </w:t>
      </w:r>
      <w:r w:rsidR="00BE629C">
        <w:rPr>
          <w:rStyle w:val="markedcontent"/>
          <w:rFonts w:ascii="Arial" w:eastAsia="Times New Roman" w:hAnsi="Arial" w:cs="Arial"/>
          <w:lang w:eastAsia="pl-PL"/>
        </w:rPr>
        <w:t>zostały</w:t>
      </w:r>
      <w:r w:rsidRPr="00DA59B5">
        <w:rPr>
          <w:rStyle w:val="markedcontent"/>
          <w:rFonts w:ascii="Arial" w:eastAsia="Times New Roman" w:hAnsi="Arial" w:cs="Arial"/>
          <w:lang w:eastAsia="pl-PL"/>
        </w:rPr>
        <w:t xml:space="preserve"> określone w załączniku do rozporządzenia.</w:t>
      </w:r>
    </w:p>
    <w:p w14:paraId="37BA5C7D" w14:textId="77777777" w:rsidR="00DA59B5" w:rsidRDefault="00DA59B5" w:rsidP="00DA59B5">
      <w:pPr>
        <w:spacing w:after="0" w:line="300" w:lineRule="auto"/>
        <w:jc w:val="both"/>
        <w:rPr>
          <w:rStyle w:val="markedcontent"/>
          <w:rFonts w:ascii="Arial" w:eastAsia="Times New Roman" w:hAnsi="Arial" w:cs="Arial"/>
          <w:lang w:eastAsia="pl-PL"/>
        </w:rPr>
      </w:pPr>
    </w:p>
    <w:p w14:paraId="75066AC3" w14:textId="6592307B" w:rsidR="004C6098" w:rsidRPr="00BE629C" w:rsidRDefault="00BE629C" w:rsidP="00BE629C">
      <w:pPr>
        <w:spacing w:after="0" w:line="300" w:lineRule="auto"/>
        <w:jc w:val="both"/>
        <w:rPr>
          <w:rFonts w:ascii="Arial" w:eastAsia="Times New Roman" w:hAnsi="Arial" w:cs="Arial"/>
          <w:lang w:eastAsia="pl-PL"/>
        </w:rPr>
      </w:pPr>
      <w:r w:rsidRPr="00BE629C">
        <w:rPr>
          <w:rStyle w:val="markedcontent"/>
          <w:rFonts w:ascii="Arial" w:eastAsia="Times New Roman" w:hAnsi="Arial" w:cs="Arial"/>
          <w:lang w:eastAsia="pl-PL"/>
        </w:rPr>
        <w:t>Rozporządzenie wchodzi w życie z dniem następującym po dniu ogłoszenia</w:t>
      </w:r>
      <w:r>
        <w:rPr>
          <w:rStyle w:val="markedcontent"/>
          <w:rFonts w:ascii="Arial" w:eastAsia="Times New Roman" w:hAnsi="Arial" w:cs="Arial"/>
          <w:lang w:eastAsia="pl-PL"/>
        </w:rPr>
        <w:t>.</w:t>
      </w:r>
    </w:p>
    <w:p w14:paraId="123ABFC4" w14:textId="77777777" w:rsidR="004C6098" w:rsidRDefault="004C6098" w:rsidP="004C6098">
      <w:pPr>
        <w:spacing w:after="0" w:line="300" w:lineRule="auto"/>
        <w:jc w:val="both"/>
        <w:rPr>
          <w:rFonts w:ascii="Arial" w:hAnsi="Arial" w:cs="Arial"/>
        </w:rPr>
      </w:pPr>
    </w:p>
    <w:p w14:paraId="3184B3AE" w14:textId="77777777" w:rsidR="00580328" w:rsidRDefault="00580328" w:rsidP="004C6098">
      <w:pPr>
        <w:spacing w:after="0" w:line="300" w:lineRule="auto"/>
      </w:pPr>
    </w:p>
    <w:sectPr w:rsidR="005803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005F1"/>
    <w:multiLevelType w:val="hybridMultilevel"/>
    <w:tmpl w:val="6F92AF4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C6052D3"/>
    <w:multiLevelType w:val="hybridMultilevel"/>
    <w:tmpl w:val="491C2DA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1C953476"/>
    <w:multiLevelType w:val="hybridMultilevel"/>
    <w:tmpl w:val="8C06591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D201C0A"/>
    <w:multiLevelType w:val="hybridMultilevel"/>
    <w:tmpl w:val="9E50FA74"/>
    <w:lvl w:ilvl="0" w:tplc="22E61382">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7E64FCE"/>
    <w:multiLevelType w:val="hybridMultilevel"/>
    <w:tmpl w:val="ABB0EF4E"/>
    <w:lvl w:ilvl="0" w:tplc="7CDEB80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77939DB"/>
    <w:multiLevelType w:val="hybridMultilevel"/>
    <w:tmpl w:val="B1C8C49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0E4088E"/>
    <w:multiLevelType w:val="hybridMultilevel"/>
    <w:tmpl w:val="CAF21E52"/>
    <w:lvl w:ilvl="0" w:tplc="43D8372A">
      <w:start w:val="1"/>
      <w:numFmt w:val="decimal"/>
      <w:lvlText w:val="%1."/>
      <w:lvlJc w:val="left"/>
      <w:pPr>
        <w:ind w:left="720" w:hanging="360"/>
      </w:pPr>
      <w:rPr>
        <w:rFonts w:hint="default"/>
        <w:u w:val="singl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5C980FD5"/>
    <w:multiLevelType w:val="hybridMultilevel"/>
    <w:tmpl w:val="52A4B3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1ED00C6"/>
    <w:multiLevelType w:val="hybridMultilevel"/>
    <w:tmpl w:val="82C2C7D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6B4E6F57"/>
    <w:multiLevelType w:val="hybridMultilevel"/>
    <w:tmpl w:val="6FDE0154"/>
    <w:lvl w:ilvl="0" w:tplc="8526799A">
      <w:start w:val="1"/>
      <w:numFmt w:val="decimal"/>
      <w:lvlText w:val="%1)"/>
      <w:lvlJc w:val="left"/>
      <w:pPr>
        <w:ind w:left="1068" w:hanging="708"/>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29027726">
    <w:abstractNumId w:val="4"/>
  </w:num>
  <w:num w:numId="2" w16cid:durableId="31183196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0761560">
    <w:abstractNumId w:val="0"/>
  </w:num>
  <w:num w:numId="4" w16cid:durableId="5788216">
    <w:abstractNumId w:val="7"/>
  </w:num>
  <w:num w:numId="5" w16cid:durableId="1820147117">
    <w:abstractNumId w:val="6"/>
  </w:num>
  <w:num w:numId="6" w16cid:durableId="11810192">
    <w:abstractNumId w:val="2"/>
  </w:num>
  <w:num w:numId="7" w16cid:durableId="2073699074">
    <w:abstractNumId w:val="9"/>
  </w:num>
  <w:num w:numId="8" w16cid:durableId="104346697">
    <w:abstractNumId w:val="1"/>
  </w:num>
  <w:num w:numId="9" w16cid:durableId="941843187">
    <w:abstractNumId w:val="5"/>
  </w:num>
  <w:num w:numId="10" w16cid:durableId="1672367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098"/>
    <w:rsid w:val="000B1B88"/>
    <w:rsid w:val="0011093D"/>
    <w:rsid w:val="00283C6F"/>
    <w:rsid w:val="0047728F"/>
    <w:rsid w:val="004C6098"/>
    <w:rsid w:val="00570901"/>
    <w:rsid w:val="00580328"/>
    <w:rsid w:val="0092740E"/>
    <w:rsid w:val="00BE629C"/>
    <w:rsid w:val="00C5789A"/>
    <w:rsid w:val="00DA59B5"/>
    <w:rsid w:val="00EA5B8E"/>
    <w:rsid w:val="00F86B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9FC18"/>
  <w15:chartTrackingRefBased/>
  <w15:docId w15:val="{86BA42AB-AA06-449A-9D9C-B738D3686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C6098"/>
    <w:pPr>
      <w:spacing w:after="200" w:line="276" w:lineRule="auto"/>
    </w:pPr>
    <w:rPr>
      <w:kern w:val="0"/>
      <w14:ligatures w14:val="none"/>
    </w:rPr>
  </w:style>
  <w:style w:type="paragraph" w:styleId="Nagwek1">
    <w:name w:val="heading 1"/>
    <w:basedOn w:val="Normalny"/>
    <w:next w:val="Normalny"/>
    <w:link w:val="Nagwek1Znak"/>
    <w:uiPriority w:val="9"/>
    <w:qFormat/>
    <w:rsid w:val="004C609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4C609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4C6098"/>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4C6098"/>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4C6098"/>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4C609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4C609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4C609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4C609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4C6098"/>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4C6098"/>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4C6098"/>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4C6098"/>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4C6098"/>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4C609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4C609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4C609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4C6098"/>
    <w:rPr>
      <w:rFonts w:eastAsiaTheme="majorEastAsia" w:cstheme="majorBidi"/>
      <w:color w:val="272727" w:themeColor="text1" w:themeTint="D8"/>
    </w:rPr>
  </w:style>
  <w:style w:type="paragraph" w:styleId="Tytu">
    <w:name w:val="Title"/>
    <w:basedOn w:val="Normalny"/>
    <w:next w:val="Normalny"/>
    <w:link w:val="TytuZnak"/>
    <w:uiPriority w:val="10"/>
    <w:qFormat/>
    <w:rsid w:val="004C60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4C609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4C609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4C609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4C6098"/>
    <w:pPr>
      <w:spacing w:before="160"/>
      <w:jc w:val="center"/>
    </w:pPr>
    <w:rPr>
      <w:i/>
      <w:iCs/>
      <w:color w:val="404040" w:themeColor="text1" w:themeTint="BF"/>
    </w:rPr>
  </w:style>
  <w:style w:type="character" w:customStyle="1" w:styleId="CytatZnak">
    <w:name w:val="Cytat Znak"/>
    <w:basedOn w:val="Domylnaczcionkaakapitu"/>
    <w:link w:val="Cytat"/>
    <w:uiPriority w:val="29"/>
    <w:rsid w:val="004C6098"/>
    <w:rPr>
      <w:i/>
      <w:iCs/>
      <w:color w:val="404040" w:themeColor="text1" w:themeTint="BF"/>
    </w:rPr>
  </w:style>
  <w:style w:type="paragraph" w:styleId="Akapitzlist">
    <w:name w:val="List Paragraph"/>
    <w:basedOn w:val="Normalny"/>
    <w:uiPriority w:val="34"/>
    <w:qFormat/>
    <w:rsid w:val="004C6098"/>
    <w:pPr>
      <w:ind w:left="720"/>
      <w:contextualSpacing/>
    </w:pPr>
  </w:style>
  <w:style w:type="character" w:styleId="Wyrnienieintensywne">
    <w:name w:val="Intense Emphasis"/>
    <w:basedOn w:val="Domylnaczcionkaakapitu"/>
    <w:uiPriority w:val="21"/>
    <w:qFormat/>
    <w:rsid w:val="004C6098"/>
    <w:rPr>
      <w:i/>
      <w:iCs/>
      <w:color w:val="0F4761" w:themeColor="accent1" w:themeShade="BF"/>
    </w:rPr>
  </w:style>
  <w:style w:type="paragraph" w:styleId="Cytatintensywny">
    <w:name w:val="Intense Quote"/>
    <w:basedOn w:val="Normalny"/>
    <w:next w:val="Normalny"/>
    <w:link w:val="CytatintensywnyZnak"/>
    <w:uiPriority w:val="30"/>
    <w:qFormat/>
    <w:rsid w:val="004C609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4C6098"/>
    <w:rPr>
      <w:i/>
      <w:iCs/>
      <w:color w:val="0F4761" w:themeColor="accent1" w:themeShade="BF"/>
    </w:rPr>
  </w:style>
  <w:style w:type="character" w:styleId="Odwoanieintensywne">
    <w:name w:val="Intense Reference"/>
    <w:basedOn w:val="Domylnaczcionkaakapitu"/>
    <w:uiPriority w:val="32"/>
    <w:qFormat/>
    <w:rsid w:val="004C6098"/>
    <w:rPr>
      <w:b/>
      <w:bCs/>
      <w:smallCaps/>
      <w:color w:val="0F4761" w:themeColor="accent1" w:themeShade="BF"/>
      <w:spacing w:val="5"/>
    </w:rPr>
  </w:style>
  <w:style w:type="character" w:customStyle="1" w:styleId="markedcontent">
    <w:name w:val="markedcontent"/>
    <w:basedOn w:val="Domylnaczcionkaakapitu"/>
    <w:rsid w:val="004C6098"/>
  </w:style>
  <w:style w:type="character" w:styleId="Hipercze">
    <w:name w:val="Hyperlink"/>
    <w:basedOn w:val="Domylnaczcionkaakapitu"/>
    <w:uiPriority w:val="99"/>
    <w:unhideWhenUsed/>
    <w:rsid w:val="0047728F"/>
    <w:rPr>
      <w:color w:val="467886" w:themeColor="hyperlink"/>
      <w:u w:val="single"/>
    </w:rPr>
  </w:style>
  <w:style w:type="character" w:styleId="Nierozpoznanawzmianka">
    <w:name w:val="Unresolved Mention"/>
    <w:basedOn w:val="Domylnaczcionkaakapitu"/>
    <w:uiPriority w:val="99"/>
    <w:semiHidden/>
    <w:unhideWhenUsed/>
    <w:rsid w:val="0047728F"/>
    <w:rPr>
      <w:color w:val="605E5C"/>
      <w:shd w:val="clear" w:color="auto" w:fill="E1DFDD"/>
    </w:rPr>
  </w:style>
  <w:style w:type="character" w:styleId="UyteHipercze">
    <w:name w:val="FollowedHyperlink"/>
    <w:basedOn w:val="Domylnaczcionkaakapitu"/>
    <w:uiPriority w:val="99"/>
    <w:semiHidden/>
    <w:unhideWhenUsed/>
    <w:rsid w:val="0047728F"/>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egislacja.rcl.gov.pl/projekt/12402800/katalog/13161908#1316190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gislacja.rcl.gov.pl/projekt/12402653/katalog/13160043#13160043"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85</TotalTime>
  <Pages>13</Pages>
  <Words>5498</Words>
  <Characters>32993</Characters>
  <Application>Microsoft Office Word</Application>
  <DocSecurity>0</DocSecurity>
  <Lines>274</Lines>
  <Paragraphs>76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38415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Kuydowicz</dc:creator>
  <cp:keywords/>
  <dc:description/>
  <cp:lastModifiedBy>Tomasz Kuydowicz</cp:lastModifiedBy>
  <cp:revision>5</cp:revision>
  <dcterms:created xsi:type="dcterms:W3CDTF">2025-10-09T08:30:00Z</dcterms:created>
  <dcterms:modified xsi:type="dcterms:W3CDTF">2025-10-09T10:10:00Z</dcterms:modified>
</cp:coreProperties>
</file>