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6F16" w14:textId="77777777" w:rsidR="00AF17DC" w:rsidRPr="00586923" w:rsidRDefault="00AF17DC" w:rsidP="00AF17DC">
      <w:pPr>
        <w:rPr>
          <w:rFonts w:ascii="Arial" w:hAnsi="Arial" w:cs="Arial"/>
        </w:rPr>
      </w:pPr>
      <w:r w:rsidRPr="00586923">
        <w:rPr>
          <w:rFonts w:ascii="Arial" w:hAnsi="Arial" w:cs="Arial"/>
          <w:noProof/>
          <w:lang w:eastAsia="pl-PL"/>
        </w:rPr>
        <w:drawing>
          <wp:inline distT="0" distB="0" distL="0" distR="0" wp14:anchorId="4ADEA088" wp14:editId="1ABB7AD2">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18AB7251" w14:textId="77777777" w:rsidR="00AF17DC" w:rsidRDefault="00AF17DC" w:rsidP="00AF17DC">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044D404E" w14:textId="77777777" w:rsidR="00AF17DC" w:rsidRPr="00586923" w:rsidRDefault="00AF17DC" w:rsidP="00AF17DC">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22A8B0A0" w14:textId="48F745DD" w:rsidR="00AF17DC" w:rsidRPr="00586923" w:rsidRDefault="00AF17DC" w:rsidP="00AF17DC">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 xml:space="preserve">23 lutego </w:t>
      </w:r>
      <w:r w:rsidRPr="00586923">
        <w:rPr>
          <w:rFonts w:ascii="Arial" w:hAnsi="Arial" w:cs="Arial"/>
          <w:b/>
        </w:rPr>
        <w:t xml:space="preserve">do </w:t>
      </w:r>
      <w:r>
        <w:rPr>
          <w:rFonts w:ascii="Arial" w:hAnsi="Arial" w:cs="Arial"/>
          <w:b/>
        </w:rPr>
        <w:t>1 marca</w:t>
      </w:r>
      <w:r w:rsidRPr="00586923">
        <w:rPr>
          <w:rFonts w:ascii="Arial" w:hAnsi="Arial" w:cs="Arial"/>
          <w:b/>
        </w:rPr>
        <w:t xml:space="preserve"> 202</w:t>
      </w:r>
      <w:r>
        <w:rPr>
          <w:rFonts w:ascii="Arial" w:hAnsi="Arial" w:cs="Arial"/>
          <w:b/>
        </w:rPr>
        <w:t>6</w:t>
      </w:r>
      <w:r w:rsidRPr="00586923">
        <w:rPr>
          <w:rFonts w:ascii="Arial" w:hAnsi="Arial" w:cs="Arial"/>
          <w:b/>
        </w:rPr>
        <w:t xml:space="preserve"> roku</w:t>
      </w:r>
    </w:p>
    <w:p w14:paraId="3C8CBE1F" w14:textId="020982B7" w:rsidR="00AF17DC" w:rsidRPr="00AC3187" w:rsidRDefault="00AF17DC" w:rsidP="00AF17DC">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6 marca</w:t>
      </w:r>
      <w:r w:rsidRPr="00AC3187">
        <w:rPr>
          <w:rFonts w:ascii="Arial" w:hAnsi="Arial" w:cs="Arial"/>
        </w:rPr>
        <w:t xml:space="preserve"> 202</w:t>
      </w:r>
      <w:r>
        <w:rPr>
          <w:rFonts w:ascii="Arial" w:hAnsi="Arial" w:cs="Arial"/>
        </w:rPr>
        <w:t>6</w:t>
      </w:r>
      <w:r w:rsidRPr="00AC3187">
        <w:rPr>
          <w:rFonts w:ascii="Arial" w:hAnsi="Arial" w:cs="Arial"/>
        </w:rPr>
        <w:t xml:space="preserve"> roku</w:t>
      </w:r>
    </w:p>
    <w:p w14:paraId="7E66767C" w14:textId="77777777" w:rsidR="00AF17DC" w:rsidRPr="00586923" w:rsidRDefault="00AF17DC" w:rsidP="00AF17DC">
      <w:pPr>
        <w:spacing w:after="0" w:line="300" w:lineRule="auto"/>
        <w:jc w:val="both"/>
        <w:rPr>
          <w:rFonts w:ascii="Arial" w:hAnsi="Arial" w:cs="Arial"/>
        </w:rPr>
      </w:pPr>
    </w:p>
    <w:p w14:paraId="3BDC8156" w14:textId="77777777" w:rsidR="00AF17DC" w:rsidRPr="000B65D1" w:rsidRDefault="00AF17DC" w:rsidP="00AF17DC">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155A97B0" w14:textId="77777777" w:rsidR="00AF17DC" w:rsidRDefault="00AF17DC" w:rsidP="00AF17DC">
      <w:pPr>
        <w:spacing w:after="0" w:line="300" w:lineRule="auto"/>
        <w:jc w:val="both"/>
        <w:rPr>
          <w:rFonts w:ascii="Arial" w:hAnsi="Arial" w:cs="Arial"/>
        </w:rPr>
      </w:pPr>
    </w:p>
    <w:p w14:paraId="4F79ED70" w14:textId="56C0EE6C" w:rsidR="00AF17DC" w:rsidRPr="00C70674" w:rsidRDefault="00AF17DC" w:rsidP="00AF17DC">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Pr>
          <w:rFonts w:ascii="Arial" w:eastAsia="Calibri" w:hAnsi="Arial" w:cs="Arial"/>
          <w:bCs/>
        </w:rPr>
        <w:t>5</w:t>
      </w:r>
      <w:r w:rsidRPr="00C70674">
        <w:rPr>
          <w:rFonts w:ascii="Arial" w:eastAsia="Calibri" w:hAnsi="Arial" w:cs="Arial"/>
          <w:bCs/>
        </w:rPr>
        <w:t xml:space="preserve"> projekt</w:t>
      </w:r>
      <w:r>
        <w:rPr>
          <w:rFonts w:ascii="Arial" w:eastAsia="Calibri" w:hAnsi="Arial" w:cs="Arial"/>
          <w:bCs/>
        </w:rPr>
        <w:t>ów ustaw</w:t>
      </w:r>
      <w:r w:rsidRPr="00C70674">
        <w:rPr>
          <w:rFonts w:ascii="Arial" w:eastAsia="Calibri" w:hAnsi="Arial" w:cs="Arial"/>
          <w:bCs/>
        </w:rPr>
        <w:t xml:space="preserve"> oraz</w:t>
      </w:r>
      <w:r w:rsidRPr="00C70674">
        <w:rPr>
          <w:rFonts w:ascii="Arial" w:hAnsi="Arial" w:cs="Arial"/>
        </w:rPr>
        <w:t xml:space="preserve"> </w:t>
      </w:r>
      <w:r w:rsidR="00E022E4">
        <w:rPr>
          <w:rFonts w:ascii="Arial" w:hAnsi="Arial" w:cs="Arial"/>
        </w:rPr>
        <w:t>18</w:t>
      </w:r>
      <w:r w:rsidRPr="00C70674">
        <w:rPr>
          <w:rFonts w:ascii="Arial" w:hAnsi="Arial" w:cs="Arial"/>
        </w:rPr>
        <w:t xml:space="preserve"> projekt</w:t>
      </w:r>
      <w:r w:rsidR="00E022E4">
        <w:rPr>
          <w:rFonts w:ascii="Arial" w:hAnsi="Arial" w:cs="Arial"/>
        </w:rPr>
        <w:t>ów</w:t>
      </w:r>
      <w:r w:rsidRPr="00C70674">
        <w:rPr>
          <w:rFonts w:ascii="Arial" w:hAnsi="Arial" w:cs="Arial"/>
        </w:rPr>
        <w:t xml:space="preserve"> rozporządzeń Rady Ministrów, Prezesa Rady Ministrów oraz poszczególnych Ministrów.</w:t>
      </w:r>
    </w:p>
    <w:p w14:paraId="1396CBDD" w14:textId="77777777" w:rsidR="00AF17DC" w:rsidRPr="00C70674" w:rsidRDefault="00AF17DC" w:rsidP="00AF17DC">
      <w:pPr>
        <w:spacing w:after="0" w:line="300" w:lineRule="auto"/>
        <w:jc w:val="both"/>
        <w:rPr>
          <w:rFonts w:ascii="Arial" w:hAnsi="Arial" w:cs="Arial"/>
        </w:rPr>
      </w:pPr>
    </w:p>
    <w:p w14:paraId="1B179F86" w14:textId="22A2B903" w:rsidR="00AF17DC" w:rsidRDefault="00AF17DC" w:rsidP="00AF17DC">
      <w:pPr>
        <w:spacing w:after="0" w:line="300" w:lineRule="auto"/>
        <w:jc w:val="both"/>
        <w:rPr>
          <w:rFonts w:ascii="Arial" w:hAnsi="Arial" w:cs="Arial"/>
        </w:rPr>
      </w:pPr>
      <w:r>
        <w:rPr>
          <w:rFonts w:ascii="Arial" w:hAnsi="Arial" w:cs="Arial"/>
        </w:rPr>
        <w:t xml:space="preserve">Przeprowadzono konsultacje </w:t>
      </w:r>
      <w:r w:rsidR="00E022E4">
        <w:rPr>
          <w:rFonts w:ascii="Arial" w:hAnsi="Arial" w:cs="Arial"/>
        </w:rPr>
        <w:t>2</w:t>
      </w:r>
      <w:r>
        <w:rPr>
          <w:rFonts w:ascii="Arial" w:hAnsi="Arial" w:cs="Arial"/>
        </w:rPr>
        <w:t xml:space="preserve"> projekt</w:t>
      </w:r>
      <w:r w:rsidR="00E022E4">
        <w:rPr>
          <w:rFonts w:ascii="Arial" w:hAnsi="Arial" w:cs="Arial"/>
        </w:rPr>
        <w:t xml:space="preserve">ów </w:t>
      </w:r>
      <w:r>
        <w:rPr>
          <w:rFonts w:ascii="Arial" w:hAnsi="Arial" w:cs="Arial"/>
        </w:rPr>
        <w:t xml:space="preserve">ustaw i </w:t>
      </w:r>
      <w:r w:rsidR="00E022E4">
        <w:rPr>
          <w:rFonts w:ascii="Arial" w:hAnsi="Arial" w:cs="Arial"/>
        </w:rPr>
        <w:t>4</w:t>
      </w:r>
      <w:r>
        <w:rPr>
          <w:rFonts w:ascii="Arial" w:hAnsi="Arial" w:cs="Arial"/>
        </w:rPr>
        <w:t xml:space="preserve"> projekt</w:t>
      </w:r>
      <w:r w:rsidR="00E022E4">
        <w:rPr>
          <w:rFonts w:ascii="Arial" w:hAnsi="Arial" w:cs="Arial"/>
        </w:rPr>
        <w:t>ów</w:t>
      </w:r>
      <w:r>
        <w:rPr>
          <w:rFonts w:ascii="Arial" w:hAnsi="Arial" w:cs="Arial"/>
        </w:rPr>
        <w:t xml:space="preserve"> rozporządzeń dotyczących podmiotów członkowskich (pracodawcy, przedsiębiorcy, JST) zrzeszonych w Związku. </w:t>
      </w:r>
    </w:p>
    <w:p w14:paraId="744FA108" w14:textId="77777777" w:rsidR="00AF17DC" w:rsidRDefault="00AF17DC" w:rsidP="00AF17DC">
      <w:pPr>
        <w:spacing w:after="0" w:line="300" w:lineRule="auto"/>
        <w:jc w:val="both"/>
        <w:rPr>
          <w:rFonts w:ascii="Arial" w:hAnsi="Arial" w:cs="Arial"/>
        </w:rPr>
      </w:pPr>
      <w:r>
        <w:rPr>
          <w:rFonts w:ascii="Arial" w:hAnsi="Arial" w:cs="Arial"/>
        </w:rPr>
        <w:t>Do konsultacji przekazane zostały następujące projekty:</w:t>
      </w:r>
    </w:p>
    <w:p w14:paraId="2DE1A971" w14:textId="77777777" w:rsidR="00AF17DC" w:rsidRDefault="00AF17DC" w:rsidP="00AF17DC">
      <w:pPr>
        <w:spacing w:after="0" w:line="300" w:lineRule="auto"/>
        <w:jc w:val="both"/>
        <w:rPr>
          <w:rFonts w:ascii="Arial" w:hAnsi="Arial" w:cs="Arial"/>
        </w:rPr>
      </w:pPr>
    </w:p>
    <w:p w14:paraId="452E1F81" w14:textId="77777777" w:rsidR="00AF17DC" w:rsidRDefault="00AF17DC" w:rsidP="00AF17DC">
      <w:pPr>
        <w:spacing w:after="0" w:line="300" w:lineRule="auto"/>
        <w:jc w:val="both"/>
        <w:rPr>
          <w:rFonts w:ascii="Arial" w:hAnsi="Arial" w:cs="Arial"/>
        </w:rPr>
      </w:pPr>
      <w:r>
        <w:rPr>
          <w:rFonts w:ascii="Arial" w:hAnsi="Arial" w:cs="Arial"/>
        </w:rPr>
        <w:t>Projekty ustaw:</w:t>
      </w:r>
    </w:p>
    <w:p w14:paraId="40E238F2" w14:textId="77777777" w:rsidR="00E022E4" w:rsidRDefault="00E022E4" w:rsidP="00AF17DC">
      <w:pPr>
        <w:spacing w:after="0" w:line="300" w:lineRule="auto"/>
        <w:jc w:val="both"/>
        <w:rPr>
          <w:rFonts w:ascii="Arial" w:hAnsi="Arial" w:cs="Arial"/>
        </w:rPr>
      </w:pPr>
    </w:p>
    <w:p w14:paraId="05A6A35F" w14:textId="584A74C2" w:rsidR="00E022E4" w:rsidRPr="00E022E4" w:rsidRDefault="00E022E4" w:rsidP="00AF17DC">
      <w:pPr>
        <w:pStyle w:val="Akapitzlist"/>
        <w:numPr>
          <w:ilvl w:val="0"/>
          <w:numId w:val="3"/>
        </w:numPr>
        <w:spacing w:after="0" w:line="300" w:lineRule="auto"/>
        <w:jc w:val="both"/>
        <w:rPr>
          <w:rFonts w:ascii="Arial" w:hAnsi="Arial" w:cs="Arial"/>
          <w:b/>
          <w:bCs/>
          <w:u w:val="single"/>
        </w:rPr>
      </w:pPr>
      <w:r w:rsidRPr="00E022E4">
        <w:rPr>
          <w:rFonts w:ascii="Arial" w:hAnsi="Arial" w:cs="Arial"/>
          <w:b/>
          <w:bCs/>
          <w:u w:val="single"/>
        </w:rPr>
        <w:t>Projekt ustawy o zmianie ustawy – Prawo własności przemysłowej oraz niektórych innych ustaw (UC143).</w:t>
      </w:r>
    </w:p>
    <w:p w14:paraId="07DEBB5C" w14:textId="77777777" w:rsidR="00E022E4" w:rsidRDefault="00E022E4" w:rsidP="00E022E4">
      <w:pPr>
        <w:spacing w:after="0" w:line="300" w:lineRule="auto"/>
        <w:jc w:val="both"/>
        <w:rPr>
          <w:rFonts w:ascii="Arial" w:hAnsi="Arial" w:cs="Arial"/>
        </w:rPr>
      </w:pPr>
    </w:p>
    <w:p w14:paraId="3BF7F85A"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Do 2023 roku nie istniała jednolita i zharmonizowana ochrona oznaczenia geograficznego na produkty rzemieślnicze i przemysłowe. Zapewniona była jedynie jednolita ochrona oznaczenia geograficznego w przypadku win, win aromatyzowanych, napojów spirytusowych oraz produktów rolnych i środków spożywczych. </w:t>
      </w:r>
    </w:p>
    <w:p w14:paraId="32FF774D"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Rozporządzenie Parlamentu Europejskiego i Rady (UE) 2023/2411 z dnia 18 października 2023 r. w sprawie ochrony oznaczeń geograficznych produktów rzemieślniczych i przemysłowych oraz zmieniające rozporządzenia (UE) 2017/1001 i (UE) 2019/1753 (Dz. Urz. UE L 2023/2411 z 27.10.2023), zwane dalej „rozporządzeniem 2023/2411”, ustanawia na poziomie UE zharmonizowaną, jednolitą ochronę oznaczeń geograficznych w odniesieniu do produktów rzemieślniczych i przemysłowych. Celem niniejszej regulacji jest dostosowanie polskich regulacji do przepisów rozporządzenia 2023/2411. </w:t>
      </w:r>
    </w:p>
    <w:p w14:paraId="0D90A050" w14:textId="77777777" w:rsidR="00E022E4" w:rsidRPr="00E022E4" w:rsidRDefault="00E022E4" w:rsidP="00E022E4">
      <w:pPr>
        <w:spacing w:after="0" w:line="300" w:lineRule="auto"/>
        <w:jc w:val="both"/>
        <w:rPr>
          <w:rFonts w:ascii="Arial" w:hAnsi="Arial" w:cs="Arial"/>
        </w:rPr>
      </w:pPr>
      <w:r w:rsidRPr="00E022E4">
        <w:rPr>
          <w:rFonts w:ascii="Arial" w:hAnsi="Arial" w:cs="Arial"/>
        </w:rPr>
        <w:t>Obowiązki państw członkowskich wynikające z rozporządzenia 2023/2411 to m.in.:</w:t>
      </w:r>
    </w:p>
    <w:p w14:paraId="0062E0A7" w14:textId="77777777" w:rsidR="00E022E4" w:rsidRPr="00E022E4" w:rsidRDefault="00E022E4" w:rsidP="00E022E4">
      <w:pPr>
        <w:spacing w:after="0" w:line="300" w:lineRule="auto"/>
        <w:jc w:val="both"/>
        <w:rPr>
          <w:rFonts w:ascii="Arial" w:hAnsi="Arial" w:cs="Arial"/>
        </w:rPr>
      </w:pPr>
      <w:r w:rsidRPr="00E022E4">
        <w:rPr>
          <w:rFonts w:ascii="Arial" w:hAnsi="Arial" w:cs="Arial"/>
        </w:rPr>
        <w:t>• wyznaczenie organu krajowego odpowiedzialnego za przyjmowanie i ocenę wniosków o rejestrację oznaczeń geograficznych produktów rzemieślniczych i przemysłowych oraz współpracę z Urzędem Unii Europejskiej do spraw Własności Intelektualnej (EUIPO),</w:t>
      </w:r>
    </w:p>
    <w:p w14:paraId="6C5113FF" w14:textId="77777777" w:rsidR="00E022E4" w:rsidRPr="00E022E4" w:rsidRDefault="00E022E4" w:rsidP="00E022E4">
      <w:pPr>
        <w:spacing w:after="0" w:line="300" w:lineRule="auto"/>
        <w:jc w:val="both"/>
        <w:rPr>
          <w:rFonts w:ascii="Arial" w:hAnsi="Arial" w:cs="Arial"/>
        </w:rPr>
      </w:pPr>
      <w:r w:rsidRPr="00E022E4">
        <w:rPr>
          <w:rFonts w:ascii="Arial" w:hAnsi="Arial" w:cs="Arial"/>
        </w:rPr>
        <w:t>• zapewnienie mechanizmów kontroli i egzekwowania ochrony oznaczenia geograficznego na poziomie krajowym,</w:t>
      </w:r>
    </w:p>
    <w:p w14:paraId="7D7919B7" w14:textId="77777777" w:rsidR="00E022E4" w:rsidRPr="00E022E4" w:rsidRDefault="00E022E4" w:rsidP="00E022E4">
      <w:pPr>
        <w:spacing w:after="0" w:line="300" w:lineRule="auto"/>
        <w:jc w:val="both"/>
        <w:rPr>
          <w:rFonts w:ascii="Arial" w:hAnsi="Arial" w:cs="Arial"/>
        </w:rPr>
      </w:pPr>
      <w:r w:rsidRPr="00E022E4">
        <w:rPr>
          <w:rFonts w:ascii="Arial" w:hAnsi="Arial" w:cs="Arial"/>
        </w:rPr>
        <w:lastRenderedPageBreak/>
        <w:t>• wdrożenie procedur krajowego sprzeciwu wobec wniosku o rejestrację oznaczenia geograficznego.</w:t>
      </w:r>
    </w:p>
    <w:p w14:paraId="29DC8847" w14:textId="77777777" w:rsidR="00E022E4" w:rsidRPr="00E022E4" w:rsidRDefault="00E022E4" w:rsidP="00E022E4">
      <w:pPr>
        <w:spacing w:after="0" w:line="300" w:lineRule="auto"/>
        <w:jc w:val="both"/>
        <w:rPr>
          <w:rFonts w:ascii="Arial" w:hAnsi="Arial" w:cs="Arial"/>
        </w:rPr>
      </w:pPr>
      <w:r w:rsidRPr="00E022E4">
        <w:rPr>
          <w:rFonts w:ascii="Arial" w:hAnsi="Arial" w:cs="Arial"/>
        </w:rPr>
        <w:t>Harmonizacja z unijnym systemem rejestracji oznaczenia geograficznego</w:t>
      </w:r>
    </w:p>
    <w:p w14:paraId="0C64DCF2"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 obecnie w Polsce ochrona oznaczeń geograficznych produktów </w:t>
      </w:r>
      <w:proofErr w:type="spellStart"/>
      <w:r w:rsidRPr="00E022E4">
        <w:rPr>
          <w:rFonts w:ascii="Arial" w:hAnsi="Arial" w:cs="Arial"/>
        </w:rPr>
        <w:t>nierolnych</w:t>
      </w:r>
      <w:proofErr w:type="spellEnd"/>
      <w:r w:rsidRPr="00E022E4">
        <w:rPr>
          <w:rFonts w:ascii="Arial" w:hAnsi="Arial" w:cs="Arial"/>
        </w:rPr>
        <w:t xml:space="preserve"> (np. bursztyn bałtycki, ceramika bolesławiecka) odbywa się na podstawie ustawy z dnia 30 czerwca 2000 r. - Prawo własności przemysłowej,</w:t>
      </w:r>
    </w:p>
    <w:p w14:paraId="147CD887" w14:textId="77777777" w:rsidR="00E022E4" w:rsidRPr="00E022E4" w:rsidRDefault="00E022E4" w:rsidP="00E022E4">
      <w:pPr>
        <w:spacing w:after="0" w:line="300" w:lineRule="auto"/>
        <w:jc w:val="both"/>
        <w:rPr>
          <w:rFonts w:ascii="Arial" w:hAnsi="Arial" w:cs="Arial"/>
        </w:rPr>
      </w:pPr>
      <w:r w:rsidRPr="00E022E4">
        <w:rPr>
          <w:rFonts w:ascii="Arial" w:hAnsi="Arial" w:cs="Arial"/>
        </w:rPr>
        <w:t>• rozporządzenie 2023/2411 wprowadza centralny system rejestracji prowadzony przez EUIPO, co oznacza konieczność dostosowania procedur krajowych do tego systemu.</w:t>
      </w:r>
    </w:p>
    <w:p w14:paraId="148B77C1" w14:textId="77777777" w:rsidR="00E022E4" w:rsidRPr="00E022E4" w:rsidRDefault="00E022E4" w:rsidP="00E022E4">
      <w:pPr>
        <w:spacing w:after="0" w:line="300" w:lineRule="auto"/>
        <w:jc w:val="both"/>
        <w:rPr>
          <w:rFonts w:ascii="Arial" w:hAnsi="Arial" w:cs="Arial"/>
        </w:rPr>
      </w:pPr>
      <w:r w:rsidRPr="00E022E4">
        <w:rPr>
          <w:rFonts w:ascii="Arial" w:hAnsi="Arial" w:cs="Arial"/>
        </w:rPr>
        <w:t>Rola Urzędu Patentowego RP</w:t>
      </w:r>
    </w:p>
    <w:p w14:paraId="457DF03E" w14:textId="77777777" w:rsidR="00E022E4" w:rsidRPr="00E022E4" w:rsidRDefault="00E022E4" w:rsidP="00E022E4">
      <w:pPr>
        <w:spacing w:after="0" w:line="300" w:lineRule="auto"/>
        <w:jc w:val="both"/>
        <w:rPr>
          <w:rFonts w:ascii="Arial" w:hAnsi="Arial" w:cs="Arial"/>
        </w:rPr>
      </w:pPr>
      <w:r w:rsidRPr="00E022E4">
        <w:rPr>
          <w:rFonts w:ascii="Arial" w:hAnsi="Arial" w:cs="Arial"/>
        </w:rPr>
        <w:t>Urząd Patentowy RP będzie pełnił funkcję organu krajowego, który:</w:t>
      </w:r>
    </w:p>
    <w:p w14:paraId="0B765F28" w14:textId="77777777" w:rsidR="00E022E4" w:rsidRPr="00E022E4" w:rsidRDefault="00E022E4" w:rsidP="00E022E4">
      <w:pPr>
        <w:spacing w:after="0" w:line="300" w:lineRule="auto"/>
        <w:jc w:val="both"/>
        <w:rPr>
          <w:rFonts w:ascii="Arial" w:hAnsi="Arial" w:cs="Arial"/>
        </w:rPr>
      </w:pPr>
      <w:r w:rsidRPr="00E022E4">
        <w:rPr>
          <w:rFonts w:ascii="Arial" w:hAnsi="Arial" w:cs="Arial"/>
        </w:rPr>
        <w:t>• przyjmuje wnioski o rejestrację oznaczenia geograficznego i przeprowadza ich ocenę,</w:t>
      </w:r>
    </w:p>
    <w:p w14:paraId="572D32D5" w14:textId="77777777" w:rsidR="00E022E4" w:rsidRPr="00E022E4" w:rsidRDefault="00E022E4" w:rsidP="00E022E4">
      <w:pPr>
        <w:spacing w:after="0" w:line="300" w:lineRule="auto"/>
        <w:jc w:val="both"/>
        <w:rPr>
          <w:rFonts w:ascii="Arial" w:hAnsi="Arial" w:cs="Arial"/>
        </w:rPr>
      </w:pPr>
      <w:r w:rsidRPr="00E022E4">
        <w:rPr>
          <w:rFonts w:ascii="Arial" w:hAnsi="Arial" w:cs="Arial"/>
        </w:rPr>
        <w:t>• rozpatruje krajowe sprzeciwy wobec wniosków o rejestrację oznaczenia geograficznego,</w:t>
      </w:r>
    </w:p>
    <w:p w14:paraId="7C040325"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 przekazuje wnioski o rejestrację oznaczenia geograficznego do EUIPO, </w:t>
      </w:r>
    </w:p>
    <w:p w14:paraId="40F9A69D"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 rozpatruje wnioski o zmianę specyfikacji produktu, </w:t>
      </w:r>
    </w:p>
    <w:p w14:paraId="4479BEC2" w14:textId="77777777" w:rsidR="00E022E4" w:rsidRPr="00E022E4" w:rsidRDefault="00E022E4" w:rsidP="00E022E4">
      <w:pPr>
        <w:spacing w:after="0" w:line="300" w:lineRule="auto"/>
        <w:jc w:val="both"/>
        <w:rPr>
          <w:rFonts w:ascii="Arial" w:hAnsi="Arial" w:cs="Arial"/>
        </w:rPr>
      </w:pPr>
      <w:r w:rsidRPr="00E022E4">
        <w:rPr>
          <w:rFonts w:ascii="Arial" w:hAnsi="Arial" w:cs="Arial"/>
        </w:rPr>
        <w:t>• rozpatruje wnioski o unieważnienie oznaczenia geograficznego.</w:t>
      </w:r>
    </w:p>
    <w:p w14:paraId="0D97FDA2" w14:textId="77777777" w:rsidR="00E022E4" w:rsidRPr="00E022E4" w:rsidRDefault="00E022E4" w:rsidP="00E022E4">
      <w:pPr>
        <w:spacing w:after="0" w:line="300" w:lineRule="auto"/>
        <w:jc w:val="both"/>
        <w:rPr>
          <w:rFonts w:ascii="Arial" w:hAnsi="Arial" w:cs="Arial"/>
        </w:rPr>
      </w:pPr>
      <w:r w:rsidRPr="00E022E4">
        <w:rPr>
          <w:rFonts w:ascii="Arial" w:hAnsi="Arial" w:cs="Arial"/>
        </w:rPr>
        <w:t>Wymaga to zmian organizacyjnych i legislacyjnych, aby zapewnić zgodność z nowymi obowiązkami.</w:t>
      </w:r>
    </w:p>
    <w:p w14:paraId="1AE9EB92"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Kontrola oznaczenia geograficznego </w:t>
      </w:r>
    </w:p>
    <w:p w14:paraId="1AFF10F7"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Inspekcja Handlowa będzie właściwa do wykonywania kontroli, tj. będzie kontrolować: </w:t>
      </w:r>
    </w:p>
    <w:p w14:paraId="463A8DCD"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 czy produkt spełnia wymagania specyfikacji produktu, wydawać poświadczenia zezwolenia na </w:t>
      </w:r>
    </w:p>
    <w:p w14:paraId="4F5EC28B"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stosowanie oznaczenia geograficznego danego produktu, prowadzić kontrolę w celu wykazania dalszej zgodności produktu ze specyfikacją, </w:t>
      </w:r>
    </w:p>
    <w:p w14:paraId="015A3CDF" w14:textId="77777777" w:rsidR="00E022E4" w:rsidRPr="00E022E4" w:rsidRDefault="00E022E4" w:rsidP="00E022E4">
      <w:pPr>
        <w:spacing w:after="0" w:line="300" w:lineRule="auto"/>
        <w:jc w:val="both"/>
        <w:rPr>
          <w:rFonts w:ascii="Arial" w:hAnsi="Arial" w:cs="Arial"/>
        </w:rPr>
      </w:pPr>
      <w:r w:rsidRPr="00E022E4">
        <w:rPr>
          <w:rFonts w:ascii="Arial" w:hAnsi="Arial" w:cs="Arial"/>
        </w:rPr>
        <w:t>• czy produkty dostępne na rynku swoim oznakowaniem, niewłaściwym stosowaniem oznaczenia geograficznego lub przywoływaniem nazwy chronionej nie będą naruszać ochrony oznaczenia geograficznego; jeżeli w toku kontroli zostanie stwierdzone naruszenie ochrony oznaczenia geograficznego organy Inspekcji Handlowej wydawać będą decyzję zakazującą wprowadzania produktu na rynek.</w:t>
      </w:r>
    </w:p>
    <w:p w14:paraId="7DDDD97A" w14:textId="77777777" w:rsidR="00E022E4" w:rsidRPr="00E022E4" w:rsidRDefault="00E022E4" w:rsidP="00E022E4">
      <w:pPr>
        <w:spacing w:after="0" w:line="300" w:lineRule="auto"/>
        <w:jc w:val="both"/>
        <w:rPr>
          <w:rFonts w:ascii="Arial" w:hAnsi="Arial" w:cs="Arial"/>
        </w:rPr>
      </w:pPr>
      <w:r w:rsidRPr="00E022E4">
        <w:rPr>
          <w:rFonts w:ascii="Arial" w:hAnsi="Arial" w:cs="Arial"/>
        </w:rPr>
        <w:t>Prezes Urzędu Ochrony Konkurencji i Konsumentów, zwany dalej „Prezesem UOKiK”, zgodnie z art. 10 ustawy z dnia 15 grudnia  2000 r. o Inspekcji Handlowej (Dz. U. z 2025 r. poz. 229) w zakresie używania oznaczeń geograficznych będzie:</w:t>
      </w:r>
    </w:p>
    <w:p w14:paraId="42ED0C71" w14:textId="77777777" w:rsidR="00E022E4" w:rsidRPr="00E022E4" w:rsidRDefault="00E022E4" w:rsidP="00E022E4">
      <w:pPr>
        <w:spacing w:after="0" w:line="300" w:lineRule="auto"/>
        <w:jc w:val="both"/>
        <w:rPr>
          <w:rFonts w:ascii="Arial" w:hAnsi="Arial" w:cs="Arial"/>
        </w:rPr>
      </w:pPr>
      <w:r w:rsidRPr="00E022E4">
        <w:rPr>
          <w:rFonts w:ascii="Arial" w:hAnsi="Arial" w:cs="Arial"/>
        </w:rPr>
        <w:t>• organizował i koordynował kontrole wykonywane przez organy Inspekcji Handlowej,</w:t>
      </w:r>
    </w:p>
    <w:p w14:paraId="1B031874" w14:textId="77777777" w:rsidR="00E022E4" w:rsidRPr="00E022E4" w:rsidRDefault="00E022E4" w:rsidP="00E022E4">
      <w:pPr>
        <w:spacing w:after="0" w:line="300" w:lineRule="auto"/>
        <w:jc w:val="both"/>
        <w:rPr>
          <w:rFonts w:ascii="Arial" w:hAnsi="Arial" w:cs="Arial"/>
        </w:rPr>
      </w:pPr>
      <w:r w:rsidRPr="00E022E4">
        <w:rPr>
          <w:rFonts w:ascii="Arial" w:hAnsi="Arial" w:cs="Arial"/>
        </w:rPr>
        <w:t>• sprawował nadzór nad kontrolą prowadzoną przez organy Inspekcji Handlowej,</w:t>
      </w:r>
    </w:p>
    <w:p w14:paraId="60CDE5F7" w14:textId="77777777" w:rsidR="00E022E4" w:rsidRPr="00E022E4" w:rsidRDefault="00E022E4" w:rsidP="00E022E4">
      <w:pPr>
        <w:spacing w:after="0" w:line="300" w:lineRule="auto"/>
        <w:jc w:val="both"/>
        <w:rPr>
          <w:rFonts w:ascii="Arial" w:hAnsi="Arial" w:cs="Arial"/>
        </w:rPr>
      </w:pPr>
      <w:r w:rsidRPr="00E022E4">
        <w:rPr>
          <w:rFonts w:ascii="Arial" w:hAnsi="Arial" w:cs="Arial"/>
        </w:rPr>
        <w:t>• wydawał wytyczne i zalecenia zapewniające jednolitość postępowania Inspekcji Handlowej,</w:t>
      </w:r>
    </w:p>
    <w:p w14:paraId="55FC2E0A" w14:textId="77777777" w:rsidR="00E022E4" w:rsidRPr="00E022E4" w:rsidRDefault="00E022E4" w:rsidP="00E022E4">
      <w:pPr>
        <w:spacing w:after="0" w:line="300" w:lineRule="auto"/>
        <w:jc w:val="both"/>
        <w:rPr>
          <w:rFonts w:ascii="Arial" w:hAnsi="Arial" w:cs="Arial"/>
        </w:rPr>
      </w:pPr>
      <w:r w:rsidRPr="00E022E4">
        <w:rPr>
          <w:rFonts w:ascii="Arial" w:hAnsi="Arial" w:cs="Arial"/>
        </w:rPr>
        <w:t>• prowadził postępowania odwoławcze od decyzji wydawanych przez organy Inspekcji Handlowej w zakresie wydania lub odmowy wydania poświadczenia zezwolenia na stosowanie oznaczenia geograficznego oraz zakazu wprowadzania produktów do obrotu w przypadku naruszenia ochrony oznaczeń geograficznych.</w:t>
      </w:r>
    </w:p>
    <w:p w14:paraId="467F1265" w14:textId="77777777" w:rsidR="00E022E4" w:rsidRPr="00E022E4" w:rsidRDefault="00E022E4" w:rsidP="00E022E4">
      <w:pPr>
        <w:spacing w:after="0" w:line="300" w:lineRule="auto"/>
        <w:jc w:val="both"/>
        <w:rPr>
          <w:rFonts w:ascii="Arial" w:hAnsi="Arial" w:cs="Arial"/>
        </w:rPr>
      </w:pPr>
      <w:r w:rsidRPr="00E022E4">
        <w:rPr>
          <w:rFonts w:ascii="Arial" w:hAnsi="Arial" w:cs="Arial"/>
        </w:rPr>
        <w:t>Wymaga to zmian organizacyjnych i legislacyjnych, aby zapewnić zgodność z nowymi obowiązkami.</w:t>
      </w:r>
    </w:p>
    <w:p w14:paraId="13F18197" w14:textId="77777777" w:rsidR="00E022E4" w:rsidRPr="00E022E4" w:rsidRDefault="00E022E4" w:rsidP="00E022E4">
      <w:pPr>
        <w:spacing w:after="0" w:line="300" w:lineRule="auto"/>
        <w:jc w:val="both"/>
        <w:rPr>
          <w:rFonts w:ascii="Arial" w:hAnsi="Arial" w:cs="Arial"/>
        </w:rPr>
      </w:pPr>
      <w:r w:rsidRPr="00E022E4">
        <w:rPr>
          <w:rFonts w:ascii="Arial" w:hAnsi="Arial" w:cs="Arial"/>
        </w:rPr>
        <w:t>Zmiany legislacyjne</w:t>
      </w:r>
    </w:p>
    <w:p w14:paraId="3305299D"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Konieczna będzie nowelizacja ustawy - Prawo własności przemysłowej, celem uwzględnienia ww. regulacji.  Konieczne jest m.in. określenie zasad rozpatrywania wniosków o rejestrację oznaczenia geograficznego na etapie krajowym (badanie wniosków, krajowy sprzeciw wobec </w:t>
      </w:r>
      <w:r w:rsidRPr="00E022E4">
        <w:rPr>
          <w:rFonts w:ascii="Arial" w:hAnsi="Arial" w:cs="Arial"/>
        </w:rPr>
        <w:lastRenderedPageBreak/>
        <w:t xml:space="preserve">wniosku o rejestrację oznaczenia geograficznego) oraz procedur związanych z wnioskiem o zmianę specyfikacji produktu i o unieważnienie oznaczenia geograficznego. Przewidziano także ustanowienie tymczasowej ochrony oznaczeń geograficznych. </w:t>
      </w:r>
    </w:p>
    <w:p w14:paraId="681A48DF" w14:textId="77777777" w:rsidR="00E022E4" w:rsidRPr="00E022E4" w:rsidRDefault="00E022E4" w:rsidP="00E022E4">
      <w:pPr>
        <w:spacing w:after="0" w:line="300" w:lineRule="auto"/>
        <w:jc w:val="both"/>
        <w:rPr>
          <w:rFonts w:ascii="Arial" w:hAnsi="Arial" w:cs="Arial"/>
        </w:rPr>
      </w:pPr>
      <w:r w:rsidRPr="00E022E4">
        <w:rPr>
          <w:rFonts w:ascii="Arial" w:hAnsi="Arial" w:cs="Arial"/>
        </w:rPr>
        <w:t>Konieczna jest również nowelizacja ustawy o Inspekcji Handlowej, celem uwzględnienia wyżej opisanych zadań związanych z kontrolą oznaczenia geograficznego.</w:t>
      </w:r>
    </w:p>
    <w:p w14:paraId="536A6EDF" w14:textId="77777777" w:rsidR="00E022E4" w:rsidRPr="00E022E4" w:rsidRDefault="00E022E4" w:rsidP="00E022E4">
      <w:pPr>
        <w:spacing w:after="0" w:line="300" w:lineRule="auto"/>
        <w:jc w:val="both"/>
        <w:rPr>
          <w:rFonts w:ascii="Arial" w:hAnsi="Arial" w:cs="Arial"/>
        </w:rPr>
      </w:pPr>
      <w:r w:rsidRPr="00E022E4">
        <w:rPr>
          <w:rFonts w:ascii="Arial" w:hAnsi="Arial" w:cs="Arial"/>
        </w:rPr>
        <w:t>Terminy i wdrożenie</w:t>
      </w:r>
    </w:p>
    <w:p w14:paraId="352C5560" w14:textId="77777777" w:rsidR="00E022E4" w:rsidRPr="00E022E4" w:rsidRDefault="00E022E4" w:rsidP="00E022E4">
      <w:pPr>
        <w:spacing w:after="0" w:line="300" w:lineRule="auto"/>
        <w:jc w:val="both"/>
        <w:rPr>
          <w:rFonts w:ascii="Arial" w:hAnsi="Arial" w:cs="Arial"/>
        </w:rPr>
      </w:pPr>
      <w:r w:rsidRPr="00E022E4">
        <w:rPr>
          <w:rFonts w:ascii="Arial" w:hAnsi="Arial" w:cs="Arial"/>
        </w:rPr>
        <w:t>Mimo, że rozporządzenie 2023/2411 weszło w życie z dniem 16 listopada 2023 r., jego pełne stosowanie rozpocznie się z dniem 1 grudnia 2025 r.</w:t>
      </w:r>
    </w:p>
    <w:p w14:paraId="00D42117" w14:textId="77777777" w:rsidR="00E022E4" w:rsidRPr="00E022E4" w:rsidRDefault="00E022E4" w:rsidP="00E022E4">
      <w:pPr>
        <w:spacing w:after="0" w:line="300" w:lineRule="auto"/>
        <w:jc w:val="both"/>
        <w:rPr>
          <w:rFonts w:ascii="Arial" w:hAnsi="Arial" w:cs="Arial"/>
        </w:rPr>
      </w:pPr>
      <w:r w:rsidRPr="00E022E4">
        <w:rPr>
          <w:rFonts w:ascii="Arial" w:hAnsi="Arial" w:cs="Arial"/>
        </w:rPr>
        <w:t>Ochrona istniejących oznaczeń geograficznych</w:t>
      </w:r>
    </w:p>
    <w:p w14:paraId="65062155" w14:textId="77777777" w:rsidR="00E022E4" w:rsidRPr="00E022E4" w:rsidRDefault="00E022E4" w:rsidP="00E022E4">
      <w:pPr>
        <w:spacing w:after="0" w:line="300" w:lineRule="auto"/>
        <w:jc w:val="both"/>
        <w:rPr>
          <w:rFonts w:ascii="Arial" w:hAnsi="Arial" w:cs="Arial"/>
        </w:rPr>
      </w:pPr>
      <w:r w:rsidRPr="00E022E4">
        <w:rPr>
          <w:rFonts w:ascii="Arial" w:hAnsi="Arial" w:cs="Arial"/>
        </w:rPr>
        <w:t>Polska musi zapewnić zasady ochrony istniejących krajowych oznaczeń geograficznych i ewentualnego ich przekształcania w oznaczenia geograficznego w rozumieniu rozporządzenia 2023/2411.</w:t>
      </w:r>
    </w:p>
    <w:p w14:paraId="373999A4"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Projekt wykonuje przepisy rozporządzenia 2023/2411. Rozporządzenie 2023/2411 ustanawia na poziomie UE zharmonizowaną, jednolitą ochronę oznaczeń geograficznych w odniesieniu do produktów rzemieślniczych i przemysłowych. Ustanowienie takiej ochrony poprawi pozycję producentów w zakresie ochrony produktów rzemieślniczych i przemysłowych w całej Unii przed podrabianiem oraz zachęci do inwestowania w te produkty. </w:t>
      </w:r>
    </w:p>
    <w:p w14:paraId="37C7ECC4"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Projekt ustawy wprowadzi rozwiązania dostosowujące przepisy krajowe do rozporządzenia 2023/2411. Projektowane przepisy mają na celu określenie krajowej procedury badania wniosków o rejestrację oraz określenie organów i instytucji właściwych w procesie oceny tych wniosków. Zadania te zostaną powierzone Urzędowi Patentowemu oraz Radzie do Spraw Rejestracji Oznaczeń Geograficznych na Produkty Rzemieślnicze i Przemysłowe. </w:t>
      </w:r>
    </w:p>
    <w:p w14:paraId="0BD2D9EC"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Urząd Patentowy będzie organem właściwym do: </w:t>
      </w:r>
    </w:p>
    <w:p w14:paraId="32FEE77C"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 przyjęcia i rozpatrzenia wniosku o rejestrację oznaczenia geograficznego na etapie krajowym, </w:t>
      </w:r>
    </w:p>
    <w:p w14:paraId="78035516"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 rozpatrzenia krajowego sprzeciwu wobec wniosku o rejestrację oznaczenia geograficznego, </w:t>
      </w:r>
    </w:p>
    <w:p w14:paraId="32E4336A"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 rozpatrzenia wniosku o zmianę specyfikacji produktu, </w:t>
      </w:r>
    </w:p>
    <w:p w14:paraId="77953E40"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 rozpatrzenia wniosku o unieważnienie rejestracji oznaczenia geograficznego. </w:t>
      </w:r>
    </w:p>
    <w:p w14:paraId="338207CD"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Rada do Spraw Rejestracji Oznaczeń Geograficznych na Produkty Rzemieślnicze i Przemysłowe będzie organem opiniodawczo-doradczym Urzędu Patentowego i będzie opiniować: </w:t>
      </w:r>
    </w:p>
    <w:p w14:paraId="1E720257" w14:textId="77777777" w:rsidR="00E022E4" w:rsidRPr="00E022E4" w:rsidRDefault="00E022E4" w:rsidP="00E022E4">
      <w:pPr>
        <w:spacing w:after="0" w:line="300" w:lineRule="auto"/>
        <w:jc w:val="both"/>
        <w:rPr>
          <w:rFonts w:ascii="Arial" w:hAnsi="Arial" w:cs="Arial"/>
        </w:rPr>
      </w:pPr>
      <w:r w:rsidRPr="00E022E4">
        <w:rPr>
          <w:rFonts w:ascii="Arial" w:hAnsi="Arial" w:cs="Arial"/>
        </w:rPr>
        <w:t>• wnioski o rejestrację oznaczenia geograficznego i krajowe sprzeciwy,</w:t>
      </w:r>
    </w:p>
    <w:p w14:paraId="16D0864B" w14:textId="77777777" w:rsidR="00E022E4" w:rsidRPr="00E022E4" w:rsidRDefault="00E022E4" w:rsidP="00E022E4">
      <w:pPr>
        <w:spacing w:after="0" w:line="300" w:lineRule="auto"/>
        <w:jc w:val="both"/>
        <w:rPr>
          <w:rFonts w:ascii="Arial" w:hAnsi="Arial" w:cs="Arial"/>
        </w:rPr>
      </w:pPr>
      <w:r w:rsidRPr="00E022E4">
        <w:rPr>
          <w:rFonts w:ascii="Arial" w:hAnsi="Arial" w:cs="Arial"/>
        </w:rPr>
        <w:t>• wnioski o zmianę specyfikacji produktu i sprzeciwy od wniosku o zatwierdzenie zmiany specyfikacji produktu,</w:t>
      </w:r>
    </w:p>
    <w:p w14:paraId="58BCB80C" w14:textId="77777777" w:rsidR="00E022E4" w:rsidRPr="00E022E4" w:rsidRDefault="00E022E4" w:rsidP="00E022E4">
      <w:pPr>
        <w:spacing w:after="0" w:line="300" w:lineRule="auto"/>
        <w:jc w:val="both"/>
        <w:rPr>
          <w:rFonts w:ascii="Arial" w:hAnsi="Arial" w:cs="Arial"/>
        </w:rPr>
      </w:pPr>
      <w:r w:rsidRPr="00E022E4">
        <w:rPr>
          <w:rFonts w:ascii="Arial" w:hAnsi="Arial" w:cs="Arial"/>
        </w:rPr>
        <w:t>• wnioski o unieważnienie rejestracji oznaczenia geograficznego.</w:t>
      </w:r>
    </w:p>
    <w:p w14:paraId="5AED852A"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W skład Rady, obok przewodniczącego – Prezesa Urzędu Patentowego albo upoważnionej przez Prezesa Urzędu osoby, wejdzie 6 członków wyróżniających się wiedzą w zakresie spraw związanych z produktami regionalnymi i tradycyjnymi, tradycją i kulturą polską oraz etnografią, prawem własności przemysłowej. Członków Rady będzie powoływał Prezes Urzędu Patentowego. Członkom Rady, innym niż Prezes Urzędu Patentowego lub upoważniona przez niego osoba, przysługiwać będzie ryczałtowe wynagrodzenie za udział w posiedzeniu Rady.  </w:t>
      </w:r>
    </w:p>
    <w:p w14:paraId="651A902C"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Przewidziano możliwość przyznania tymczasowej ochrony krajowej, która będzie przyznawana oznaczeniom geograficznym, w odniesieniu do których wnioski o rejestrację </w:t>
      </w:r>
      <w:r w:rsidRPr="00E022E4">
        <w:rPr>
          <w:rFonts w:ascii="Arial" w:hAnsi="Arial" w:cs="Arial"/>
        </w:rPr>
        <w:lastRenderedPageBreak/>
        <w:t xml:space="preserve">zostaną przekazane EUIPO. Tymczasowa ochrona krajowa będzie przyznawana do czasu podjęcia przez EUIPO decyzji w sprawie rejestracji danego oznaczenia geograficznego. </w:t>
      </w:r>
    </w:p>
    <w:p w14:paraId="4719C1C0"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Zgodnie z art. 65 rozporządzenia 2023/2411, państwa członkowskie mogą pobierać opłaty na pokrycie kosztów etapu krajowego procedur przewidzianych tym rozporządzeniem, w tym kosztów związanych z rozpatrywaniem wniosków o rejestrację, sprzeciwów, wniosków o zmianę specyfikacji produktu, wniosków o unieważnienie i </w:t>
      </w:r>
      <w:proofErr w:type="spellStart"/>
      <w:r w:rsidRPr="00E022E4">
        <w:rPr>
          <w:rFonts w:ascii="Arial" w:hAnsi="Arial" w:cs="Arial"/>
        </w:rPr>
        <w:t>odwołań</w:t>
      </w:r>
      <w:proofErr w:type="spellEnd"/>
      <w:r w:rsidRPr="00E022E4">
        <w:rPr>
          <w:rFonts w:ascii="Arial" w:hAnsi="Arial" w:cs="Arial"/>
        </w:rPr>
        <w:t>. Planowane jest wprowadzenie opłat m.in. od wniosku o zmianę specyfikacji, od krajowego sprzeciwu, od sprzeciwu wobec zmiany specyfikacji produktu, czy od wniosku o wydanie decyzji w postępowaniu spornym. Z uwagi na to, że oznaczenia geograficzne są specyficznym przedmiotem ochrony nie planuje się pobierania opłat za zgłoszenie oznaczenia geograficznego. Oznaczenia geograficzne pomagają chronić produkty tradycyjne, o określonej jakości, a także wpływają na zachowywanie lokalnego know-how. Ochrona oznaczeń geograficznych jest także wsparciem dla małych i średnich przedsiębiorców, chroniąc nazwy produktów przed kopiowaniem i wyróżniając je na rynku, ze względu na ich jakoś warunkowaną poprze pochodzenie geograficzne. Opłaty związane z ochroną oznaczeń geograficznych zostaną uregulowane w rozporządzeniu w sprawie opłat związanych z ochroną wynalazków, wzorów użytkowych, wzorów przemysłowych, znaków towarowych, oznaczeń geograficznych i topografii układów scalonych.</w:t>
      </w:r>
    </w:p>
    <w:p w14:paraId="422AAD74"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Uprawnienia kontrolne wynikające z rozporządzenia 2023/2411 powierzone zostaną Inspekcji Handlowej. W związku z powyższym wprowadzone zostaną także stosowne zmiany do ustawy z dnia 15 grudnia 2000 r. o Inspekcji Handlowej. Do zadań organów kontroli należeć będzie: </w:t>
      </w:r>
    </w:p>
    <w:p w14:paraId="7A4D18A6"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 weryfikacja czy produkt objęty oznaczeniem geograficznym jest zgodny ze specyfikacją produktu przez wydanie poświadczenia zezwolenia na stosowanie oznaczenia geograficznego przed wprowadzeniem produktu do obrotu lub odmowę wydania takiego poświadczenia zezwolenia i odnawianie istniejących poświadczeń, </w:t>
      </w:r>
    </w:p>
    <w:p w14:paraId="7AB78C84" w14:textId="77777777" w:rsidR="00E022E4" w:rsidRPr="00E022E4" w:rsidRDefault="00E022E4" w:rsidP="00E022E4">
      <w:pPr>
        <w:spacing w:after="0" w:line="300" w:lineRule="auto"/>
        <w:jc w:val="both"/>
        <w:rPr>
          <w:rFonts w:ascii="Arial" w:hAnsi="Arial" w:cs="Arial"/>
        </w:rPr>
      </w:pPr>
      <w:r w:rsidRPr="00E022E4">
        <w:rPr>
          <w:rFonts w:ascii="Arial" w:hAnsi="Arial" w:cs="Arial"/>
        </w:rPr>
        <w:t>• monitorowanie stosowania oznaczeń geograficznych na rynku, w tym w handlu elektronicznym. Do zadań organów Inspekcji Handlowej należeć będzie również sprawdzanie czy produkty dostępne na rynku swoim oznakowaniem, niewłaściwym stosowaniem oznaczenia geograficznego lub przywoływaniem nazwy chronionej nie będą naruszać ochrony oznaczeń geograficznych.</w:t>
      </w:r>
    </w:p>
    <w:p w14:paraId="6E9699AA"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Postępowania kontrolne, w zakresie kompetencji przyznanych Inspekcji Handlowej, będą przeprowadzane zgodnie z zasadami wynikającymi z ustawy z dnia 15 grudnia 2000 r. o Inspekcji Handlowej (Dz. U. z 2025 r. poz. 229). </w:t>
      </w:r>
    </w:p>
    <w:p w14:paraId="2291F663" w14:textId="77777777" w:rsidR="00E022E4" w:rsidRPr="00E022E4" w:rsidRDefault="00E022E4" w:rsidP="00E022E4">
      <w:pPr>
        <w:spacing w:after="0" w:line="300" w:lineRule="auto"/>
        <w:jc w:val="both"/>
        <w:rPr>
          <w:rFonts w:ascii="Arial" w:hAnsi="Arial" w:cs="Arial"/>
        </w:rPr>
      </w:pPr>
      <w:r w:rsidRPr="00E022E4">
        <w:rPr>
          <w:rFonts w:ascii="Arial" w:hAnsi="Arial" w:cs="Arial"/>
        </w:rPr>
        <w:t>Znowelizowane zostaną również przepisy ustawy – Prawo własności przemysłowej w zakresie roszczeń dotyczących oznaczeń geograficznych. Sprawy te, analogicznie jak jest to obecnie, będą rozpatrywane przez sądy powszechne w postępowaniu w sprawach własności przemysłowej. Zostanie dodany również przepis karny regulujący nieuprawnione wprowadzanie do obrotu produktów oznaczonych zarejestrowanym oznaczeniem geograficznym. Analogicznie, jak to jest w przypadku innych praw własności przemysłowej, ściganie sprawców przestępstw będzie prowadzone na wniosek pokrzywdzonego.</w:t>
      </w:r>
    </w:p>
    <w:p w14:paraId="54A5EF88" w14:textId="77777777" w:rsidR="00E022E4" w:rsidRPr="00E022E4" w:rsidRDefault="00E022E4" w:rsidP="00E022E4">
      <w:pPr>
        <w:spacing w:after="0" w:line="300" w:lineRule="auto"/>
        <w:jc w:val="both"/>
        <w:rPr>
          <w:rFonts w:ascii="Arial" w:hAnsi="Arial" w:cs="Arial"/>
        </w:rPr>
      </w:pPr>
      <w:r w:rsidRPr="00E022E4">
        <w:rPr>
          <w:rFonts w:ascii="Arial" w:hAnsi="Arial" w:cs="Arial"/>
        </w:rPr>
        <w:t xml:space="preserve">Zharmonizowany system dotyczący produktów </w:t>
      </w:r>
      <w:proofErr w:type="spellStart"/>
      <w:r w:rsidRPr="00E022E4">
        <w:rPr>
          <w:rFonts w:ascii="Arial" w:hAnsi="Arial" w:cs="Arial"/>
        </w:rPr>
        <w:t>nierolnych</w:t>
      </w:r>
      <w:proofErr w:type="spellEnd"/>
      <w:r w:rsidRPr="00E022E4">
        <w:rPr>
          <w:rFonts w:ascii="Arial" w:hAnsi="Arial" w:cs="Arial"/>
        </w:rPr>
        <w:t xml:space="preserve"> zapewni konsumentom lepszą znajomość oznaczeń tych produktów, pomoże producentom utrzymać konkurencyjność i współpracować na niszowych rynkach oraz pobudzi regiony najsłabiej rozwinięte.</w:t>
      </w:r>
    </w:p>
    <w:p w14:paraId="2EAF9137" w14:textId="2FF95DCA" w:rsidR="00E022E4" w:rsidRDefault="00E022E4" w:rsidP="00E022E4">
      <w:pPr>
        <w:spacing w:after="0" w:line="300" w:lineRule="auto"/>
        <w:jc w:val="both"/>
        <w:rPr>
          <w:rFonts w:ascii="Arial" w:hAnsi="Arial" w:cs="Arial"/>
        </w:rPr>
      </w:pPr>
      <w:r w:rsidRPr="00E022E4">
        <w:rPr>
          <w:rFonts w:ascii="Arial" w:hAnsi="Arial" w:cs="Arial"/>
        </w:rPr>
        <w:t xml:space="preserve">Brak jest możliwości osiągnięcia celów projektu w ramach działań </w:t>
      </w:r>
      <w:proofErr w:type="spellStart"/>
      <w:r w:rsidRPr="00E022E4">
        <w:rPr>
          <w:rFonts w:ascii="Arial" w:hAnsi="Arial" w:cs="Arial"/>
        </w:rPr>
        <w:t>pozalegislacyjnych</w:t>
      </w:r>
      <w:proofErr w:type="spellEnd"/>
      <w:r>
        <w:rPr>
          <w:rFonts w:ascii="Arial" w:hAnsi="Arial" w:cs="Arial"/>
        </w:rPr>
        <w:t>.</w:t>
      </w:r>
    </w:p>
    <w:p w14:paraId="1911DBB7" w14:textId="77777777" w:rsidR="004E00FE" w:rsidRDefault="004E00FE" w:rsidP="00E022E4">
      <w:pPr>
        <w:spacing w:after="0" w:line="300" w:lineRule="auto"/>
        <w:jc w:val="both"/>
        <w:rPr>
          <w:rFonts w:ascii="Arial" w:hAnsi="Arial" w:cs="Arial"/>
        </w:rPr>
      </w:pPr>
    </w:p>
    <w:p w14:paraId="2CE6CB54" w14:textId="77777777" w:rsidR="004E00FE" w:rsidRPr="004E00FE" w:rsidRDefault="004E00FE" w:rsidP="004E00FE">
      <w:pPr>
        <w:spacing w:after="0" w:line="300" w:lineRule="auto"/>
        <w:jc w:val="both"/>
        <w:rPr>
          <w:rFonts w:ascii="Arial" w:hAnsi="Arial" w:cs="Arial"/>
        </w:rPr>
      </w:pPr>
      <w:r w:rsidRPr="004E00FE">
        <w:rPr>
          <w:rFonts w:ascii="Arial" w:hAnsi="Arial" w:cs="Arial"/>
        </w:rPr>
        <w:t>Przedmiotowy projekt aktu prawnego wraz z Uzasadnieniem oraz Oceną Skutków Regulacji dostępny jest na stronach Rządowego Centrum Legislacji pod adresem:</w:t>
      </w:r>
    </w:p>
    <w:p w14:paraId="34B02986" w14:textId="4EF1BA00" w:rsidR="004E00FE" w:rsidRDefault="004E00FE" w:rsidP="004E00FE">
      <w:pPr>
        <w:spacing w:after="0" w:line="300" w:lineRule="auto"/>
        <w:jc w:val="both"/>
        <w:rPr>
          <w:rFonts w:ascii="Arial" w:hAnsi="Arial" w:cs="Arial"/>
        </w:rPr>
      </w:pPr>
      <w:hyperlink r:id="rId6" w:anchor="13189313" w:history="1">
        <w:r w:rsidRPr="00306E2E">
          <w:rPr>
            <w:rStyle w:val="Hipercze"/>
            <w:rFonts w:ascii="Arial" w:hAnsi="Arial" w:cs="Arial"/>
          </w:rPr>
          <w:t>https://legislacja.rcl.gov.pl/projekt/12407555/katalog/13189313#13189313</w:t>
        </w:r>
      </w:hyperlink>
      <w:r>
        <w:rPr>
          <w:rFonts w:ascii="Arial" w:hAnsi="Arial" w:cs="Arial"/>
        </w:rPr>
        <w:t xml:space="preserve"> </w:t>
      </w:r>
    </w:p>
    <w:p w14:paraId="08C95698" w14:textId="77777777" w:rsidR="00E022E4" w:rsidRDefault="00E022E4" w:rsidP="00E022E4">
      <w:pPr>
        <w:spacing w:after="0" w:line="300" w:lineRule="auto"/>
        <w:jc w:val="both"/>
        <w:rPr>
          <w:rFonts w:ascii="Arial" w:hAnsi="Arial" w:cs="Arial"/>
        </w:rPr>
      </w:pPr>
    </w:p>
    <w:p w14:paraId="5244E86D" w14:textId="023A40DA" w:rsidR="004E00FE" w:rsidRDefault="00A903DC" w:rsidP="00E022E4">
      <w:pPr>
        <w:spacing w:after="0" w:line="300" w:lineRule="auto"/>
        <w:jc w:val="both"/>
        <w:rPr>
          <w:rFonts w:ascii="Arial" w:hAnsi="Arial" w:cs="Arial"/>
        </w:rPr>
      </w:pPr>
      <w:r w:rsidRPr="00A903DC">
        <w:rPr>
          <w:rFonts w:ascii="Arial" w:hAnsi="Arial" w:cs="Arial"/>
        </w:rPr>
        <w:t>Projekt jest obecnie jednocześnie na etapie uzgodnień, konsultacji publicznych i opiniowania.</w:t>
      </w:r>
    </w:p>
    <w:p w14:paraId="6EF2FF42" w14:textId="77777777" w:rsidR="00E022E4" w:rsidRPr="00E022E4" w:rsidRDefault="00E022E4" w:rsidP="00E022E4">
      <w:pPr>
        <w:spacing w:after="0" w:line="300" w:lineRule="auto"/>
        <w:jc w:val="both"/>
        <w:rPr>
          <w:rFonts w:ascii="Arial" w:hAnsi="Arial" w:cs="Arial"/>
        </w:rPr>
      </w:pPr>
    </w:p>
    <w:p w14:paraId="157B6E55" w14:textId="761A5427" w:rsidR="00AF17DC" w:rsidRPr="00A903DC" w:rsidRDefault="00A903DC" w:rsidP="00AF17DC">
      <w:pPr>
        <w:pStyle w:val="Akapitzlist"/>
        <w:numPr>
          <w:ilvl w:val="0"/>
          <w:numId w:val="3"/>
        </w:numPr>
        <w:spacing w:after="0" w:line="300" w:lineRule="auto"/>
        <w:jc w:val="both"/>
        <w:rPr>
          <w:rFonts w:ascii="Arial" w:hAnsi="Arial" w:cs="Arial"/>
          <w:b/>
          <w:bCs/>
          <w:u w:val="single"/>
        </w:rPr>
      </w:pPr>
      <w:r w:rsidRPr="00A903DC">
        <w:rPr>
          <w:rFonts w:ascii="Arial" w:hAnsi="Arial" w:cs="Arial"/>
          <w:b/>
          <w:bCs/>
          <w:u w:val="single"/>
        </w:rPr>
        <w:t>P</w:t>
      </w:r>
      <w:r w:rsidRPr="00A903DC">
        <w:rPr>
          <w:rFonts w:ascii="Arial" w:hAnsi="Arial" w:cs="Arial"/>
          <w:b/>
          <w:bCs/>
          <w:u w:val="single"/>
        </w:rPr>
        <w:t>rojekt ustawy o transgranicznym przemieszczaniu odpadów (UC115).</w:t>
      </w:r>
    </w:p>
    <w:p w14:paraId="3B447DE2" w14:textId="77777777" w:rsidR="00AF17DC" w:rsidRDefault="00AF17DC" w:rsidP="00AF17DC">
      <w:pPr>
        <w:spacing w:after="0" w:line="300" w:lineRule="auto"/>
        <w:jc w:val="both"/>
        <w:rPr>
          <w:rFonts w:ascii="Arial" w:hAnsi="Arial" w:cs="Arial"/>
        </w:rPr>
      </w:pPr>
    </w:p>
    <w:p w14:paraId="36FE3FAC"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Z dniem 20 maja 2024 r. weszło w życie rozporządzenie Parlamentu Europejskiego i Rady (UE) nr 2024/1157 z dnia 11 kwietnia 2024 r. w sprawie przemieszczania odpadów, zmiany rozporządzeń (UE) nr 1257/2013 i (UE) 2020/1056 oraz uchylenia rozporządzenia (WE) nr 1013/2006 (Dz. Urz. UE L 2024/1157 z 30.04.2024, z </w:t>
      </w:r>
      <w:proofErr w:type="spellStart"/>
      <w:r w:rsidRPr="00A903DC">
        <w:rPr>
          <w:rFonts w:ascii="Arial" w:hAnsi="Arial" w:cs="Arial"/>
        </w:rPr>
        <w:t>późn</w:t>
      </w:r>
      <w:proofErr w:type="spellEnd"/>
      <w:r w:rsidRPr="00A903DC">
        <w:rPr>
          <w:rFonts w:ascii="Arial" w:hAnsi="Arial" w:cs="Arial"/>
        </w:rPr>
        <w:t xml:space="preserve">. zm.), dalej jako „rozporządzenie (UE) 2024/1157”, które uchyliło dotychczasowe przepisy regulujące transgraniczne przemieszczanie odpadów, tj. rozporządzenie (WE) nr 1013/2006 Parlamentu Europejskiego i Rady z dnia 14 czerwca 2006 r. w sprawie przemieszczania odpadów (Dz. Urz. UE L 190 z 12.07.2006, str. 1, z </w:t>
      </w:r>
      <w:proofErr w:type="spellStart"/>
      <w:r w:rsidRPr="00A903DC">
        <w:rPr>
          <w:rFonts w:ascii="Arial" w:hAnsi="Arial" w:cs="Arial"/>
        </w:rPr>
        <w:t>późn</w:t>
      </w:r>
      <w:proofErr w:type="spellEnd"/>
      <w:r w:rsidRPr="00A903DC">
        <w:rPr>
          <w:rFonts w:ascii="Arial" w:hAnsi="Arial" w:cs="Arial"/>
        </w:rPr>
        <w:t xml:space="preserve">. zm.), dalej jako „rozporządzenie (WE) 1013/2006”. </w:t>
      </w:r>
    </w:p>
    <w:p w14:paraId="52DD75FC" w14:textId="77777777" w:rsidR="00A903DC" w:rsidRPr="00A903DC" w:rsidRDefault="00A903DC" w:rsidP="00A903DC">
      <w:pPr>
        <w:spacing w:after="0" w:line="300" w:lineRule="auto"/>
        <w:jc w:val="both"/>
        <w:rPr>
          <w:rFonts w:ascii="Arial" w:hAnsi="Arial" w:cs="Arial"/>
        </w:rPr>
      </w:pPr>
      <w:r w:rsidRPr="00A903DC">
        <w:rPr>
          <w:rFonts w:ascii="Arial" w:hAnsi="Arial" w:cs="Arial"/>
        </w:rPr>
        <w:t>W wyniku przeprowadzonych analiz stwierdzono następujące problemy:</w:t>
      </w:r>
    </w:p>
    <w:p w14:paraId="15042FD9"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1) przepisy rozporządzenia (UE) 2024/1157 wprowadzają nowe rozwiązania, nieujęte w obecnie obowiązującej ustawie z dnia 29 czerwca 2007 r. o międzynarodowym przemieszczaniu odpadów (Dz. U. z 2024 r. poz. 746), dalej jako „ustawa </w:t>
      </w:r>
      <w:proofErr w:type="spellStart"/>
      <w:r w:rsidRPr="00A903DC">
        <w:rPr>
          <w:rFonts w:ascii="Arial" w:hAnsi="Arial" w:cs="Arial"/>
        </w:rPr>
        <w:t>mpo</w:t>
      </w:r>
      <w:proofErr w:type="spellEnd"/>
      <w:r w:rsidRPr="00A903DC">
        <w:rPr>
          <w:rFonts w:ascii="Arial" w:hAnsi="Arial" w:cs="Arial"/>
        </w:rPr>
        <w:t>”, tj.:</w:t>
      </w:r>
    </w:p>
    <w:p w14:paraId="5CAC4F81"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a) obligatoryjne przekazywanie oraz wymiana informacji i dokumentów związanych z legalnym transgranicznym przemieszczaniem odpadów za pośrednictwem centralnego systemu wymiany informacji (DIWASS), prowadzonego przez Komisję Europejską; wprowadzenie systemu powoduje niespójność z wymogami dot. wnoszenia, sporządzania, przekazywania, wymiany i doręczania dokumentów oraz informacji wynikających z Kodeksu postępowania administracyjnego; ponadto, stosowanie DIWASS na poziomie krajowym wymaga dopełnienia obowiązków państwa członkowskiego określonych w rozporządzeniu wykonawczym Komisji (UE) </w:t>
      </w:r>
    </w:p>
    <w:p w14:paraId="5972E021" w14:textId="77777777" w:rsidR="00A903DC" w:rsidRPr="00A903DC" w:rsidRDefault="00A903DC" w:rsidP="00A903DC">
      <w:pPr>
        <w:spacing w:after="0" w:line="300" w:lineRule="auto"/>
        <w:jc w:val="both"/>
        <w:rPr>
          <w:rFonts w:ascii="Arial" w:hAnsi="Arial" w:cs="Arial"/>
        </w:rPr>
      </w:pPr>
      <w:r w:rsidRPr="00A903DC">
        <w:rPr>
          <w:rFonts w:ascii="Arial" w:hAnsi="Arial" w:cs="Arial"/>
        </w:rPr>
        <w:t>2025/1290, dot. określenia zasad identyfikacji przez systemy i oprogramowanie podmiotów mających siedzibę na terytorium danego państwa członkowskiego;</w:t>
      </w:r>
    </w:p>
    <w:p w14:paraId="270D2AC8"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b) jednoznaczne wskazanie, że zezwolenie wstępne w trybie art. 14 rozporządzenia może obejmować odpady wymienione w załączniku IV do rozporządzenia (UE) 2024/1157 lub w wykazie odpadów, o którym mowa w art. 7 dyrektywy 2008/98/WE (a zatem również odpady niesklasyfikowanych w załącznikach do rozporządzenia (UE) 2024/1157), podczas gdy aktualna ustawa </w:t>
      </w:r>
      <w:proofErr w:type="spellStart"/>
      <w:r w:rsidRPr="00A903DC">
        <w:rPr>
          <w:rFonts w:ascii="Arial" w:hAnsi="Arial" w:cs="Arial"/>
        </w:rPr>
        <w:t>mpo</w:t>
      </w:r>
      <w:proofErr w:type="spellEnd"/>
      <w:r w:rsidRPr="00A903DC">
        <w:rPr>
          <w:rFonts w:ascii="Arial" w:hAnsi="Arial" w:cs="Arial"/>
        </w:rPr>
        <w:t xml:space="preserve"> umożliwia wydanie zezwolenia wstępnego wyłącznie dla odpadów wymienionych w załączniku III, IV i IVA do rozporządzenia WE 1013/2006 (co wyklucza odpady niesklasyfikowane),</w:t>
      </w:r>
    </w:p>
    <w:p w14:paraId="3F2EF780"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c) ustalenie minimalnego katalogu sankcji, obejmującego m.in. cofnięcie lub tymczasowe zawieszenie zezwolenia na prowadzenie działalności związanej z gospodarowaniem odpadami i ich przemieszczaniem w zakresie, w jakim działalność ta wchodzi w zakres stosowania rozporządzenia (UE) 2024/1157, co nie jest przewidziane w aktualnej ustawie o </w:t>
      </w:r>
      <w:proofErr w:type="spellStart"/>
      <w:r w:rsidRPr="00A903DC">
        <w:rPr>
          <w:rFonts w:ascii="Arial" w:hAnsi="Arial" w:cs="Arial"/>
        </w:rPr>
        <w:t>mpo</w:t>
      </w:r>
      <w:proofErr w:type="spellEnd"/>
      <w:r w:rsidRPr="00A903DC">
        <w:rPr>
          <w:rFonts w:ascii="Arial" w:hAnsi="Arial" w:cs="Arial"/>
        </w:rPr>
        <w:t>,</w:t>
      </w:r>
    </w:p>
    <w:p w14:paraId="07D9AFDD" w14:textId="77777777" w:rsidR="00A903DC" w:rsidRPr="00A903DC" w:rsidRDefault="00A903DC" w:rsidP="00A903DC">
      <w:pPr>
        <w:spacing w:after="0" w:line="300" w:lineRule="auto"/>
        <w:jc w:val="both"/>
        <w:rPr>
          <w:rFonts w:ascii="Arial" w:hAnsi="Arial" w:cs="Arial"/>
        </w:rPr>
      </w:pPr>
      <w:r w:rsidRPr="00A903DC">
        <w:rPr>
          <w:rFonts w:ascii="Arial" w:hAnsi="Arial" w:cs="Arial"/>
        </w:rPr>
        <w:lastRenderedPageBreak/>
        <w:t xml:space="preserve">d) jednoznaczne wskazanie w rozporządzeniu (UE) 2024/1157, że w roli odbiorcy odpadów oraz instalacji odzysku lub unieszkodliwiania mogą występować dwa oddzielne podmioty; aktualnie ustawa o </w:t>
      </w:r>
      <w:proofErr w:type="spellStart"/>
      <w:r w:rsidRPr="00A903DC">
        <w:rPr>
          <w:rFonts w:ascii="Arial" w:hAnsi="Arial" w:cs="Arial"/>
        </w:rPr>
        <w:t>mpo</w:t>
      </w:r>
      <w:proofErr w:type="spellEnd"/>
      <w:r w:rsidRPr="00A903DC">
        <w:rPr>
          <w:rFonts w:ascii="Arial" w:hAnsi="Arial" w:cs="Arial"/>
        </w:rPr>
        <w:t xml:space="preserve"> daje możliwość Głównemu Inspektorowi Ochrony Środowiska (dalej „GIOŚ”) wnioskowania do właściwego organu o informacje dotyczące odbiorcy odpadów, co wskazuje, że odbiorca jest jednocześnie instalacją przetwarzania odpadów; natomiast zgodnie z art. 6 rozporządzenia (UE) 2024/1157 przewiduje się sytuację, w której odbiorca nie jest prowadzącym instalację odzysku lub unieszkodliwiania zgłaszanych odpadów;</w:t>
      </w:r>
    </w:p>
    <w:p w14:paraId="453C53E7"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2) zdiagnozowano, że niektóre rozwiązania zastosowane w ustawie </w:t>
      </w:r>
      <w:proofErr w:type="spellStart"/>
      <w:r w:rsidRPr="00A903DC">
        <w:rPr>
          <w:rFonts w:ascii="Arial" w:hAnsi="Arial" w:cs="Arial"/>
        </w:rPr>
        <w:t>mpo</w:t>
      </w:r>
      <w:proofErr w:type="spellEnd"/>
      <w:r w:rsidRPr="00A903DC">
        <w:rPr>
          <w:rFonts w:ascii="Arial" w:hAnsi="Arial" w:cs="Arial"/>
        </w:rPr>
        <w:t xml:space="preserve"> nie sprawdzają się w praktyce i generują następujące problemy:</w:t>
      </w:r>
    </w:p>
    <w:p w14:paraId="366B9B9C" w14:textId="77777777" w:rsidR="00A903DC" w:rsidRPr="00A903DC" w:rsidRDefault="00A903DC" w:rsidP="00A903DC">
      <w:pPr>
        <w:spacing w:after="0" w:line="300" w:lineRule="auto"/>
        <w:jc w:val="both"/>
        <w:rPr>
          <w:rFonts w:ascii="Arial" w:hAnsi="Arial" w:cs="Arial"/>
        </w:rPr>
      </w:pPr>
      <w:r w:rsidRPr="00A903DC">
        <w:rPr>
          <w:rFonts w:ascii="Arial" w:hAnsi="Arial" w:cs="Arial"/>
        </w:rPr>
        <w:t>a) brak jednoznacznego wskazania możliwości zastosowania przepisów rozporządzenia (UE) 2024/1157 w odniesieniu do wszystkich jednostek organizacyjnych niebędących osobami prawnymi, którym ustawa przyznaje zdolność prawną,</w:t>
      </w:r>
    </w:p>
    <w:p w14:paraId="593D8F94"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b) brak ograniczenia w ustawie </w:t>
      </w:r>
      <w:proofErr w:type="spellStart"/>
      <w:r w:rsidRPr="00A903DC">
        <w:rPr>
          <w:rFonts w:ascii="Arial" w:hAnsi="Arial" w:cs="Arial"/>
        </w:rPr>
        <w:t>mpo</w:t>
      </w:r>
      <w:proofErr w:type="spellEnd"/>
      <w:r w:rsidRPr="00A903DC">
        <w:rPr>
          <w:rFonts w:ascii="Arial" w:hAnsi="Arial" w:cs="Arial"/>
        </w:rPr>
        <w:t xml:space="preserve"> instytucji finansowych, które mogą ustanawiać gwarancję finansową; zgodnie z rozporządzeniem (UE) 2024/1157 gwarancja finansowa może zostać ustanowiona przez instytucję finansową w kraju trzecim, gdzie może istnieć ryzyko trudności w wykorzystaniu sumy gwarancyjnej na zagospodarowanie odpadów w przypadku ich nielegalnego przemieszczania; rozporządzenie (UE) 2024/1157 wprowadziło przepisy, zgodnie z którymi w przypadku przywozu odpadów spoza Unii lub tranzytu przez teren Unii, odpowiednio właściwy organ miejsca przeznaczenia lub tranzytu w Unii może wymagać dodatkowej gwarancji finansowej, zatem skala sytuacji problemowych na obecnym etapie nie jest możliwa do oszacowania; dotychczas, w okresie obowiązywania rozporządzenia (WE) nr 1013/2006, GIOŚ  kilkukrotnie nie przyjął gwarancji, co do których miał zastrzeżenia względem gwaranta,</w:t>
      </w:r>
    </w:p>
    <w:p w14:paraId="29BA0DCA"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c) nałożenie na przedsiębiorców zbędnych obowiązków przekazywania informacji, które są dostępne online, np. danych z Krajowego Rejestru Sądowego, </w:t>
      </w:r>
    </w:p>
    <w:p w14:paraId="61AFBCDF"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d) brak możliwości zmiany wydanych zgód na przemieszczenie odpadów w zakresie niemającym wpływu na ich zagospodarowanie, np. w zakresie pakowania odpadów na czas ich transportu, trasy przewozu odpadów, co powoduje konieczność ponownego przeprowadzenia całej procedury uzyskania zgody; ustawa o </w:t>
      </w:r>
      <w:proofErr w:type="spellStart"/>
      <w:r w:rsidRPr="00A903DC">
        <w:rPr>
          <w:rFonts w:ascii="Arial" w:hAnsi="Arial" w:cs="Arial"/>
        </w:rPr>
        <w:t>mpo</w:t>
      </w:r>
      <w:proofErr w:type="spellEnd"/>
      <w:r w:rsidRPr="00A903DC">
        <w:rPr>
          <w:rFonts w:ascii="Arial" w:hAnsi="Arial" w:cs="Arial"/>
        </w:rPr>
        <w:t xml:space="preserve"> wprost określa, że zmiana wydanego zezwolenia jest możliwa tylko w zakresie przewoźników, w związku z tym  GIOŚ nie otrzymywał oficjalnych wniosków o zmianę wydanych decyzji w innym zakresie i nie jest znana skala zezwoleń, których realizacji zaniechano z powodu braku możliwości zmiany trasy przewozu odpadów lub sposobu ich pakowania. Z roboczych kontaktów wynika, że możliwość zmiany decyzji w zakresie  trasy przewozu odpadów lub ich pakowania stanowiłaby ułatwienie dla przedsiębiorców bez ponoszenia dodatkowych kosztów uzyskania zezwolenia oraz ustanawiania nowej gwarancji finansowej,</w:t>
      </w:r>
    </w:p>
    <w:p w14:paraId="2DEDA396" w14:textId="77777777" w:rsidR="00A903DC" w:rsidRPr="00A903DC" w:rsidRDefault="00A903DC" w:rsidP="00A903DC">
      <w:pPr>
        <w:spacing w:after="0" w:line="300" w:lineRule="auto"/>
        <w:jc w:val="both"/>
        <w:rPr>
          <w:rFonts w:ascii="Arial" w:hAnsi="Arial" w:cs="Arial"/>
        </w:rPr>
      </w:pPr>
      <w:r w:rsidRPr="00A903DC">
        <w:rPr>
          <w:rFonts w:ascii="Arial" w:hAnsi="Arial" w:cs="Arial"/>
        </w:rPr>
        <w:t>e) nałożenie na Głównego Inspektora Ochrony Środowiska obowiązku zgłaszania sprzeciwu wobec zgłoszeń, które mimo wezwania do uzupełnienia dokumentów nie zostały prawidłowo dokonane, jest sprzeczne z przepisami rozporządzenia (UE) 2024/1157, które wśród przesłanek do wydania przez właściwy organ sprzeciwu, nie wymienia nieuzupełnienia zgłoszenia, a wprost określa, że w takich przypadkach organ może zadecydować, że zgłoszenie jest nieważne i nie będzie dalej rozpatrywane; w skali roku GIOŚ odnotowuje od 15 do 20 % zgłoszeń, które pozostają nieuzupełnione przez zgłaszających,</w:t>
      </w:r>
    </w:p>
    <w:p w14:paraId="10A96C8A" w14:textId="77777777" w:rsidR="00A903DC" w:rsidRPr="00A903DC" w:rsidRDefault="00A903DC" w:rsidP="00A903DC">
      <w:pPr>
        <w:spacing w:after="0" w:line="300" w:lineRule="auto"/>
        <w:jc w:val="both"/>
        <w:rPr>
          <w:rFonts w:ascii="Arial" w:hAnsi="Arial" w:cs="Arial"/>
        </w:rPr>
      </w:pPr>
      <w:r w:rsidRPr="00A903DC">
        <w:rPr>
          <w:rFonts w:ascii="Arial" w:hAnsi="Arial" w:cs="Arial"/>
        </w:rPr>
        <w:lastRenderedPageBreak/>
        <w:t xml:space="preserve">f) brak możliwości dochowania terminów na zwrot i zagospodarowanie odpadów pochodzących z nielegalnego przemieszczania, wprost określonych w rozporządzeniu (UE) 2024/1157 z uwagi na długotrwałą procedurę administracyjną, brak regulacji umożliwiających GIOŚ podejmowanie w trybie uproszczonym rozstrzygnięć w przypadkach nielegalnego przemieszczania odpadów i tym samym brak możliwości dotrzymania trzydziestodniowego terminu określonego w rozporządzeniu (UE) 2024/1157 na zwrot odpadów, </w:t>
      </w:r>
    </w:p>
    <w:p w14:paraId="4EB5A2B4"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g) trudność w dochowaniu wynikających z regulacji unijnych terminów na zwrot lub zagospodarowanie odpadów pochodzących z przemieszczenia, które nie może być zakończone zgodnie z planem lub jest nielegalne, wynikająca z długotrwałego postępowania administracyjnego; </w:t>
      </w:r>
    </w:p>
    <w:p w14:paraId="292FB28D" w14:textId="77777777" w:rsidR="00A903DC" w:rsidRPr="00A903DC" w:rsidRDefault="00A903DC" w:rsidP="00A903DC">
      <w:pPr>
        <w:spacing w:after="0" w:line="300" w:lineRule="auto"/>
        <w:jc w:val="both"/>
        <w:rPr>
          <w:rFonts w:ascii="Arial" w:hAnsi="Arial" w:cs="Arial"/>
        </w:rPr>
      </w:pPr>
      <w:r w:rsidRPr="00A903DC">
        <w:rPr>
          <w:rFonts w:ascii="Arial" w:hAnsi="Arial" w:cs="Arial"/>
        </w:rPr>
        <w:t>h) brak regulacji dotyczących przejęcia przez GIOŚ obowiązków dotyczących zwrotu i zagospodarowania odpadów pochodzących z przemieszczenia nieudanego lub nielegalnego, w sytuacji kiedy wykonanie tych obowiązków przez podmiot gospodarczy jest niewykonalne,</w:t>
      </w:r>
    </w:p>
    <w:p w14:paraId="25E198ED"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i) brak regulacji umożliwiających GIOŚ dochodzenie zwrotu poniesionych kosztów zagospodarowania odpadów, w przypadkach gdy GIOŚ przejmuje odpowiedzialność za zwrot i zagospodarowanie odpadów; rozporządzenie (UE) 2024/1157, analogicznie do przepisów dotychczasowych, przewiduje sytuacje, kiedy GIOŚ, jako właściwy organ wysyłki, będzie zobowiązany przejąć koszty wynikające z odbioru i/lub zagospodarowania odpadów pochodzących z przemieszczenia nielegalnego albo takiego, które nie mogło być zakończone zgodnie z planem. Nieuzasadnione jest jednak, że aktualne przepisy nie przewidują możliwości późniejszego dochodzenia zwrotu ww. poniesionych kosztów od podmiotów ponoszących winę za nielegalne lub niezgodne z planem działania. Aktualnie, zgodnie z art. 400a ust. 1 pkt 6 ustawy z dnia 27 kwietnia 2001 r. Prawo ochrony środowiska (Dz. U. z 2025 r. poz. 647 i 1080), ww. zadania GIOŚ są finansowane ze środków NFOŚiGW. Z uwagi na to, że środki na zagospodarowanie odpadów GIOŚ pozyskuje z NFOŚiGW, uzyskane następnie przez GIOŚ środki finansowe w ramach roszczenia zwrotnego powinny stanowić przychód NFOŚiGW. Aktualnie GIOŚ zidentyfikował 21 lokalizacji na terenie kraju, w których znajduje się łącznie ok. 2,5 tys. ton odpadów, pochodzących z nielegalnego przemieszczania, ujawnionych w latach 2017-2020. Wobec braku możliwości wyegzekwowania zagospodarowania odpadów od podmiotów odpowiedzialnych, obowiązek ten, zgodnie z przepisami rozporządzenia (WE) nr 1013/2006 należy do GIOŚ. Dodatkowo, w 5 lokalizacjach na terenie Polski, zalega ok. 15,1 tys. ton odpadów nielegalnie wysłanych z Niemiec w latach 2017-2018. Odpowiedzialność za nielegalną wysyłkę ponoszą podmioty niemieckie. W związku z brakiem realizacji zwrotu odpadów do kraju ich wysyłki Polska złożyła skargę do TSUE przeciwko Republice Federalnej Niemiec. W przypadku negatywnego dla Polski rozstrzygnięcia TSUE, GIOŚ będzie zobowiązany do pokrycia kosztów zagospodarowania odpadów. Ponadto, poza granice Polski zostało nielegalnie przemieszczonych ok. 1042 tony odpadów niebezpiecznych, w tym 703,52 tony do Republiki Litewskiej (ujawnione w 2023 r.) i 338,25 ton do Republiki Czeskiej (ujawnione w 2019 r.). Zgodnie z przepisami rozporządzenia (WE) nr 1013/2006, odpady powinny zostać zwrócone w terminie 30 dni od momentu kiedy właściwy zainteresowany organ dowiedział się lub został powiadomiony o </w:t>
      </w:r>
    </w:p>
    <w:p w14:paraId="5AB47D6F"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nielegalnym przemieszczaniu odpadów. Z uwagi na przedłużające się terminy postępowania egzekucyjnego i tym samym przekroczenie terminu na zwrot odpadów, wskazanego w </w:t>
      </w:r>
      <w:r w:rsidRPr="00A903DC">
        <w:rPr>
          <w:rFonts w:ascii="Arial" w:hAnsi="Arial" w:cs="Arial"/>
        </w:rPr>
        <w:lastRenderedPageBreak/>
        <w:t xml:space="preserve">rozporządzeniu, istnieje ryzyko poniesienia kosztów zwrotu i zagospodarowania odpadów również w tych przypadkach. </w:t>
      </w:r>
    </w:p>
    <w:p w14:paraId="593CF426" w14:textId="77777777" w:rsidR="00A903DC" w:rsidRPr="00A903DC" w:rsidRDefault="00A903DC" w:rsidP="00A903DC">
      <w:pPr>
        <w:spacing w:after="0" w:line="300" w:lineRule="auto"/>
        <w:jc w:val="both"/>
        <w:rPr>
          <w:rFonts w:ascii="Arial" w:hAnsi="Arial" w:cs="Arial"/>
        </w:rPr>
      </w:pPr>
      <w:r w:rsidRPr="00A903DC">
        <w:rPr>
          <w:rFonts w:ascii="Arial" w:hAnsi="Arial" w:cs="Arial"/>
        </w:rPr>
        <w:t>j) brak trybu kierowania wezwania do podmiotów zaangażowanych w przemieszczanie odpadów do przedstawienia dowodów, dokumentów i informacji w terminie określonym przez ten organ w celu ustalenia czy substancja lub przedmioty przemieszczane są odpadami (art. 61 ust. 4 rozporządzenia (UE) 2024/1157),</w:t>
      </w:r>
    </w:p>
    <w:p w14:paraId="126F3411" w14:textId="77777777" w:rsidR="00A903DC" w:rsidRPr="00A903DC" w:rsidRDefault="00A903DC" w:rsidP="00A903DC">
      <w:pPr>
        <w:spacing w:after="0" w:line="300" w:lineRule="auto"/>
        <w:jc w:val="both"/>
        <w:rPr>
          <w:rFonts w:ascii="Arial" w:hAnsi="Arial" w:cs="Arial"/>
        </w:rPr>
      </w:pPr>
      <w:r w:rsidRPr="00A903DC">
        <w:rPr>
          <w:rFonts w:ascii="Arial" w:hAnsi="Arial" w:cs="Arial"/>
        </w:rPr>
        <w:t>k) istnieje konieczność ustalenia dolnej granicy kary w przypadku stwierdzenia nielegalnego przemieszczania odpadów, w kwocie wyższej niż koszty uzyskania zezwolenia na transgraniczne przemieszczanie odpadów w systemie legalnym (obecnie kara minimalna to 10 000 zł, a opłata za uzyskanie zezwolenia – 14 000 zł).</w:t>
      </w:r>
    </w:p>
    <w:p w14:paraId="4F2D36FB" w14:textId="77777777" w:rsidR="00A903DC" w:rsidRPr="00A903DC" w:rsidRDefault="00A903DC" w:rsidP="00A903DC">
      <w:pPr>
        <w:spacing w:after="0" w:line="300" w:lineRule="auto"/>
        <w:jc w:val="both"/>
        <w:rPr>
          <w:rFonts w:ascii="Arial" w:hAnsi="Arial" w:cs="Arial"/>
        </w:rPr>
      </w:pPr>
      <w:r w:rsidRPr="00A903DC">
        <w:rPr>
          <w:rFonts w:ascii="Arial" w:hAnsi="Arial" w:cs="Arial"/>
        </w:rPr>
        <w:t>Większość przepisów rozporządzenia (UE) 2024/1157, w tym przepisy dotyczące obowiązkowej wymiany informacji za pośrednictwem DIWASS, przepisy dotyczące procedur legalnego i nielegalnego transgranicznego przemieszczania odpadów oraz wydawania zezwoleń wstępnych, stosuje się od dnia 21 maja 2026 r. (zgodnie z art. 86 ust. 2 rozporządzenia (UE) 2024/1157 rozporządzenie to stosuje się od  dnia 21 maja 2026 r., z nielicznymi wyjątkami). W celu zagwarantowania pewności prawnej przedsiębiorcom uczestniczącym w transgranicznym przemieszczaniu odpadów oraz zapewnienia ciągłości i skuteczności nadzoru prowadzonego nad ww. działalnością przez organy administracji publicznej, konieczne jest wdrożenie przepisów krajowych, spójnych z rozporządzeniem (UE) 2024/1157 w tym samym terminie.</w:t>
      </w:r>
    </w:p>
    <w:p w14:paraId="14A32DFA" w14:textId="77777777" w:rsidR="00A903DC" w:rsidRPr="00A903DC" w:rsidRDefault="00A903DC" w:rsidP="00A903DC">
      <w:pPr>
        <w:spacing w:after="0" w:line="300" w:lineRule="auto"/>
        <w:jc w:val="both"/>
        <w:rPr>
          <w:rFonts w:ascii="Arial" w:hAnsi="Arial" w:cs="Arial"/>
        </w:rPr>
      </w:pPr>
      <w:r w:rsidRPr="00A903DC">
        <w:rPr>
          <w:rFonts w:ascii="Arial" w:hAnsi="Arial" w:cs="Arial"/>
        </w:rPr>
        <w:t>W odniesieniu do problemów przedstawionych powyżej proponuje się następujące rozwiązania legislacyjne:</w:t>
      </w:r>
    </w:p>
    <w:p w14:paraId="53278DC9" w14:textId="77777777" w:rsidR="00A903DC" w:rsidRPr="00A903DC" w:rsidRDefault="00A903DC" w:rsidP="00A903DC">
      <w:pPr>
        <w:spacing w:after="0" w:line="300" w:lineRule="auto"/>
        <w:jc w:val="both"/>
        <w:rPr>
          <w:rFonts w:ascii="Arial" w:hAnsi="Arial" w:cs="Arial"/>
        </w:rPr>
      </w:pPr>
      <w:r w:rsidRPr="00A903DC">
        <w:rPr>
          <w:rFonts w:ascii="Arial" w:hAnsi="Arial" w:cs="Arial"/>
        </w:rPr>
        <w:t>Ad. 1.</w:t>
      </w:r>
    </w:p>
    <w:p w14:paraId="2F773A2D" w14:textId="77777777" w:rsidR="00A903DC" w:rsidRPr="00A903DC" w:rsidRDefault="00A903DC" w:rsidP="00A903DC">
      <w:pPr>
        <w:spacing w:after="0" w:line="300" w:lineRule="auto"/>
        <w:jc w:val="both"/>
        <w:rPr>
          <w:rFonts w:ascii="Arial" w:hAnsi="Arial" w:cs="Arial"/>
        </w:rPr>
      </w:pPr>
      <w:r w:rsidRPr="00A903DC">
        <w:rPr>
          <w:rFonts w:ascii="Arial" w:hAnsi="Arial" w:cs="Arial"/>
        </w:rPr>
        <w:t>a) określenie, że przekazywanie dokumentów, zarówno między właściwymi organami i przedsiębiorcami, jak i między właściwymi organami odbywa się za pośrednictwem systemu DIWASS, a nie rejestrowanego doręczenia elektronicznego; dodatkowo określono zasady identyfikacji podmiotów mających siedzibę na terytorium Polski przez systemy i oprogramowanie, zgodnie z wymogami rozporządzenia wykonawczego Komisji (UE) 2025/1290; w projektowanym przepisie uwzględniono: przedsiębiorców i inne jednostki organizacyjne posiadające numer EORI (identyfikowane przez numer EORI oraz numer identyfikacji podatkowej NIP, REGON oraz BDO), przedsiębiorców i inne jednostki organizacyjne nieposiadające numeru EORI  (identyfikowane za pomocą numeru NIP, REGON oraz BDO) oraz osoby fizyczne nieobowiązane do posiadania numeru identyfikacji podatkowej NIP (identyfikowane wyłącznie za pomocą numeru PESEL),</w:t>
      </w:r>
    </w:p>
    <w:p w14:paraId="0BFFA83E" w14:textId="77777777" w:rsidR="00A903DC" w:rsidRPr="00A903DC" w:rsidRDefault="00A903DC" w:rsidP="00A903DC">
      <w:pPr>
        <w:spacing w:after="0" w:line="300" w:lineRule="auto"/>
        <w:jc w:val="both"/>
        <w:rPr>
          <w:rFonts w:ascii="Arial" w:hAnsi="Arial" w:cs="Arial"/>
        </w:rPr>
      </w:pPr>
      <w:r w:rsidRPr="00A903DC">
        <w:rPr>
          <w:rFonts w:ascii="Arial" w:hAnsi="Arial" w:cs="Arial"/>
        </w:rPr>
        <w:t>b) wprowadzenie regulacji umożliwiającej wydanie zezwolenia wstępnego, obejmującego odpady wymienione w załączniku IV do  rozporządzenia (UE) 2024/1157 lub w wykazie odpadów, o którym mowa w art. 7 dyrektywy 2008/98/WE,</w:t>
      </w:r>
    </w:p>
    <w:p w14:paraId="69E60878"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c) zmiana ustawy o odpadach wprowadzająca możliwość cofnięcia posiadaczowi odpadów, który narusza przepisy rozporządzenia (UE) 2024/1157, zezwolenia na zbieranie odpadów lub zezwolenia na przetwarzanie odpadów; poszerzenie katalogu naruszeń skutkujących cofnięciem zezwolenia na zbieranie odpadów lub zezwolenia na przetwarzanie odpadów jest wykonaniem dyspozycji zawartej w przepisie art. 63 ust. 3 lit. b) rozporządzenia Parlamentu Europejskiego i Rady (UE) 2024/1157 z dnia 11 kwietnia 2024 r. w sprawie przemieszczania odpadów, zmiany rozporządzeń (UE) nr 1257/2013 i (UE) 2020/1056 oraz uchylenia </w:t>
      </w:r>
      <w:r w:rsidRPr="00A903DC">
        <w:rPr>
          <w:rFonts w:ascii="Arial" w:hAnsi="Arial" w:cs="Arial"/>
        </w:rPr>
        <w:lastRenderedPageBreak/>
        <w:t>rozporządzenia (WE) nr 1013/2006 (Dz.U. L, 2024/1157, 30.4.2024). Z ostatnio powołanego przepisu wynika, że państwa członkowskie, w przypadku naruszeń rozporządzenia 2024/1157, muszą mieć możliwość, w stosownych przypadkach, cofnięcia lub tymczasowego zawieszenia zezwolenia na prowadzenie działalności związanej z gospodarowaniem odpadami i ich przemieszczaniem, w zakresie, w jakim działalność ta wchodzi w zakres stosowania rozporządzenia. W związku z tym, że za wydanie zezwoleń odpowiadają marszałkowie województw, starostowie i prezydenci miast na prawach powiatu uzasadnione jest nadanie takich kompetencji ww. organom. Zaproponowane rozwiązanie pozostaje spójne z przepisami ustawy o odpadach,</w:t>
      </w:r>
    </w:p>
    <w:p w14:paraId="38DFDB68" w14:textId="77777777" w:rsidR="00A903DC" w:rsidRPr="00A903DC" w:rsidRDefault="00A903DC" w:rsidP="00A903DC">
      <w:pPr>
        <w:spacing w:after="0" w:line="300" w:lineRule="auto"/>
        <w:jc w:val="both"/>
        <w:rPr>
          <w:rFonts w:ascii="Arial" w:hAnsi="Arial" w:cs="Arial"/>
        </w:rPr>
      </w:pPr>
      <w:r w:rsidRPr="00A903DC">
        <w:rPr>
          <w:rFonts w:ascii="Arial" w:hAnsi="Arial" w:cs="Arial"/>
        </w:rPr>
        <w:t>d) zapewnienie, że informacja uzyskana od wojewódzkiego inspektora ochrony środowiska przed wydaniem zgody na przywóz odpadów na terytorium kraju, będzie dotyczyć odbiorcy odpadów lub instalacji odzysku lub unieszkodliwiania, w której będą przetwarzane odpady, a nie tylko odbiorcy, który posiada instalację; brak ograniczenia, że odbiorca jest jednocześnie instalacją przetwarzania odpadów zapewni zgodność przepisów krajowych z przepisami rozporządzenia (UE) 2024/1157.</w:t>
      </w:r>
    </w:p>
    <w:p w14:paraId="7EF0E943" w14:textId="77777777" w:rsidR="00A903DC" w:rsidRPr="00A903DC" w:rsidRDefault="00A903DC" w:rsidP="00A903DC">
      <w:pPr>
        <w:spacing w:after="0" w:line="300" w:lineRule="auto"/>
        <w:jc w:val="both"/>
        <w:rPr>
          <w:rFonts w:ascii="Arial" w:hAnsi="Arial" w:cs="Arial"/>
        </w:rPr>
      </w:pPr>
      <w:r w:rsidRPr="00A903DC">
        <w:rPr>
          <w:rFonts w:ascii="Arial" w:hAnsi="Arial" w:cs="Arial"/>
        </w:rPr>
        <w:t>Ad. 2.</w:t>
      </w:r>
    </w:p>
    <w:p w14:paraId="7B31B04A" w14:textId="77777777" w:rsidR="00A903DC" w:rsidRPr="00A903DC" w:rsidRDefault="00A903DC" w:rsidP="00A903DC">
      <w:pPr>
        <w:spacing w:after="0" w:line="300" w:lineRule="auto"/>
        <w:jc w:val="both"/>
        <w:rPr>
          <w:rFonts w:ascii="Arial" w:hAnsi="Arial" w:cs="Arial"/>
        </w:rPr>
      </w:pPr>
      <w:r w:rsidRPr="00A903DC">
        <w:rPr>
          <w:rFonts w:ascii="Arial" w:hAnsi="Arial" w:cs="Arial"/>
        </w:rPr>
        <w:t>a) wskazanie, że przepisy projektowanej ustawy mają zastosowanie również do wszystkich jednostek organizacyjnych niebędących osobami prawnymi, którym ustawa przyznaje zdolność prawną,</w:t>
      </w:r>
    </w:p>
    <w:p w14:paraId="3C44F7F3" w14:textId="77777777" w:rsidR="00A903DC" w:rsidRPr="00A903DC" w:rsidRDefault="00A903DC" w:rsidP="00A903DC">
      <w:pPr>
        <w:spacing w:after="0" w:line="300" w:lineRule="auto"/>
        <w:jc w:val="both"/>
        <w:rPr>
          <w:rFonts w:ascii="Arial" w:hAnsi="Arial" w:cs="Arial"/>
        </w:rPr>
      </w:pPr>
      <w:r w:rsidRPr="00A903DC">
        <w:rPr>
          <w:rFonts w:ascii="Arial" w:hAnsi="Arial" w:cs="Arial"/>
        </w:rPr>
        <w:t>b) wprowadzenie ograniczenia podmiotów ustanawiających gwarancje finansowe do instytucji finansowych zatwierdzonych przez Komisję Nadzoru Finansowego lub przez organ państwa członkowskiego Unii Europejskiej uprawniony do nadzorowania instytucji bankowych lub ubezpieczeniowych; propozycja zastosowania ograniczenia instytucji finansowych w projekcie ustawy wyeliminuje ryzyko zatwierdzenia przez GIOŚ gwarancji ustanowionej przez niewiarygodny podmiot z państwa trzeciego oraz ryzyko problemów z wykorzystaniem sumy gwarancyjnej na zagospodarowanie odpadów w przypadku ich nielegalnego przemieszczania,</w:t>
      </w:r>
    </w:p>
    <w:p w14:paraId="3CE902DD" w14:textId="77777777" w:rsidR="00A903DC" w:rsidRPr="00A903DC" w:rsidRDefault="00A903DC" w:rsidP="00A903DC">
      <w:pPr>
        <w:spacing w:after="0" w:line="300" w:lineRule="auto"/>
        <w:jc w:val="both"/>
        <w:rPr>
          <w:rFonts w:ascii="Arial" w:hAnsi="Arial" w:cs="Arial"/>
        </w:rPr>
      </w:pPr>
      <w:r w:rsidRPr="00A903DC">
        <w:rPr>
          <w:rFonts w:ascii="Arial" w:hAnsi="Arial" w:cs="Arial"/>
        </w:rPr>
        <w:t>c) niepowielanie w przepisach krajowych regulacji unijnych dotyczących dokumentów i informacji żądanych przez GIOŚ od odbiorcy odpadów na terytorium Rzeczypospolitej Polskiej, wynikających z załącznika II do rozporządzenia (UE) 2024/1157 lub znajdujących się w publicznie dostępnych rejestrach,</w:t>
      </w:r>
    </w:p>
    <w:p w14:paraId="521FAD1A" w14:textId="77777777" w:rsidR="00A903DC" w:rsidRPr="00A903DC" w:rsidRDefault="00A903DC" w:rsidP="00A903DC">
      <w:pPr>
        <w:spacing w:after="0" w:line="300" w:lineRule="auto"/>
        <w:jc w:val="both"/>
        <w:rPr>
          <w:rFonts w:ascii="Arial" w:hAnsi="Arial" w:cs="Arial"/>
        </w:rPr>
      </w:pPr>
      <w:r w:rsidRPr="00A903DC">
        <w:rPr>
          <w:rFonts w:ascii="Arial" w:hAnsi="Arial" w:cs="Arial"/>
        </w:rPr>
        <w:t>d) rozszerzenie katalogu informacji i danych, które zostaną określone w zgodzie na przemieszczenie odpadów, a których zmiana nie skutkuje koniecznością dokonania nowego zgłoszenia, lecz wymaga dokonania zmiany zgody w drodze decyzji na wniosek zgłaszającego,</w:t>
      </w:r>
    </w:p>
    <w:p w14:paraId="2440AFF7" w14:textId="77777777" w:rsidR="00A903DC" w:rsidRPr="00A903DC" w:rsidRDefault="00A903DC" w:rsidP="00A903DC">
      <w:pPr>
        <w:spacing w:after="0" w:line="300" w:lineRule="auto"/>
        <w:jc w:val="both"/>
        <w:rPr>
          <w:rFonts w:ascii="Arial" w:hAnsi="Arial" w:cs="Arial"/>
        </w:rPr>
      </w:pPr>
      <w:r w:rsidRPr="00A903DC">
        <w:rPr>
          <w:rFonts w:ascii="Arial" w:hAnsi="Arial" w:cs="Arial"/>
        </w:rPr>
        <w:t>e) umożliwienie GIOŚ pozostawienia bez rozpatrzenia zgłoszenia, które nie zostało dokonane prawidłowo, pomimo wezwania zgłaszającego przez organ do uzupełnienia brakujących informacji i dokumentów,</w:t>
      </w:r>
    </w:p>
    <w:p w14:paraId="60AB5153" w14:textId="77777777" w:rsidR="00A903DC" w:rsidRPr="00A903DC" w:rsidRDefault="00A903DC" w:rsidP="00A903DC">
      <w:pPr>
        <w:spacing w:after="0" w:line="300" w:lineRule="auto"/>
        <w:jc w:val="both"/>
        <w:rPr>
          <w:rFonts w:ascii="Arial" w:hAnsi="Arial" w:cs="Arial"/>
        </w:rPr>
      </w:pPr>
      <w:r w:rsidRPr="00A903DC">
        <w:rPr>
          <w:rFonts w:ascii="Arial" w:hAnsi="Arial" w:cs="Arial"/>
        </w:rPr>
        <w:t>f) wprowadzenie jednoinstancyjności postepowania administracyjnego, prowadzonego przez Głównego Inspektora Ochrony Środowiska w sprawach dotyczących zobowiązania do odbioru i zagospodarowania odpadów w przypadku nielegalnego przemieszczenia odpadów (oraz analogicznie w przypadku braku realizacji przemieszczenia odpadów zgodnie z planem) oraz  umożliwienie GIOŚ wezwania podmiotu, któremu można przypisać odpowiedzialność za nielegalne przemieszczanie odpadów już na początkowym etapie postępowania administracyjnego, do zwrotu lub zagospodarowania tych odpadów,</w:t>
      </w:r>
    </w:p>
    <w:p w14:paraId="275BB8A4" w14:textId="77777777" w:rsidR="00A903DC" w:rsidRPr="00A903DC" w:rsidRDefault="00A903DC" w:rsidP="00A903DC">
      <w:pPr>
        <w:spacing w:after="0" w:line="300" w:lineRule="auto"/>
        <w:jc w:val="both"/>
        <w:rPr>
          <w:rFonts w:ascii="Arial" w:hAnsi="Arial" w:cs="Arial"/>
        </w:rPr>
      </w:pPr>
      <w:r w:rsidRPr="00A903DC">
        <w:rPr>
          <w:rFonts w:ascii="Arial" w:hAnsi="Arial" w:cs="Arial"/>
        </w:rPr>
        <w:lastRenderedPageBreak/>
        <w:t xml:space="preserve">g) wyłączenie możliwości złożenia przez stronę wniosku o ponowne rozpatrzenie sprawy w odniesieniu do decyzji zobowiązujących do odbioru lub zagospodarowania odpadów pochodzących z przemieszczenia, które nie może być zrealizowane zgodnie z planem lub było nielegalne; </w:t>
      </w:r>
    </w:p>
    <w:p w14:paraId="04C73D1B" w14:textId="77777777" w:rsidR="00A903DC" w:rsidRPr="00A903DC" w:rsidRDefault="00A903DC" w:rsidP="00A903DC">
      <w:pPr>
        <w:spacing w:after="0" w:line="300" w:lineRule="auto"/>
        <w:jc w:val="both"/>
        <w:rPr>
          <w:rFonts w:ascii="Arial" w:hAnsi="Arial" w:cs="Arial"/>
        </w:rPr>
      </w:pPr>
      <w:r w:rsidRPr="00A903DC">
        <w:rPr>
          <w:rFonts w:ascii="Arial" w:hAnsi="Arial" w:cs="Arial"/>
        </w:rPr>
        <w:t>h) uregulowanie sposobu przejmowania przez GIOŚ odpowiedzialności za odbiór odpadów pochodzących z nieudanego lub nielegalnego przemieszczenia w sytuacji, kiedy wykonanie tych obowiązków przez podmioty gospodarcze jest niewykonalne, poprzez wskazanie, że takie przejęcie odpowiedzialności odbywa się po uprzednim poinformowaniu pozostałych zainteresowanych organów oraz, odpowiednio, zgłaszającego, osoby, która organizuje przemieszczenie lub odbiorcy,</w:t>
      </w:r>
    </w:p>
    <w:p w14:paraId="6A7FD9E5" w14:textId="77777777" w:rsidR="00A903DC" w:rsidRPr="00A903DC" w:rsidRDefault="00A903DC" w:rsidP="00A903DC">
      <w:pPr>
        <w:spacing w:after="0" w:line="300" w:lineRule="auto"/>
        <w:jc w:val="both"/>
        <w:rPr>
          <w:rFonts w:ascii="Arial" w:hAnsi="Arial" w:cs="Arial"/>
        </w:rPr>
      </w:pPr>
      <w:r w:rsidRPr="00A903DC">
        <w:rPr>
          <w:rFonts w:ascii="Arial" w:hAnsi="Arial" w:cs="Arial"/>
        </w:rPr>
        <w:t>i) wprowadzenie uprawnienia do roszczenia zwrotnego przysługującego GIOŚ, które to roszczenie będzie skierowane wobec podmiotu odpowiedzialnego za przemieszczenie odpadów niezgodnie z planem lub nielegalne przemieszczenie odpadów i stanowić przychód NFOŚiGW,</w:t>
      </w:r>
    </w:p>
    <w:p w14:paraId="45D72306" w14:textId="77777777" w:rsidR="00A903DC" w:rsidRPr="00A903DC" w:rsidRDefault="00A903DC" w:rsidP="00A903DC">
      <w:pPr>
        <w:spacing w:after="0" w:line="300" w:lineRule="auto"/>
        <w:jc w:val="both"/>
        <w:rPr>
          <w:rFonts w:ascii="Arial" w:hAnsi="Arial" w:cs="Arial"/>
        </w:rPr>
      </w:pPr>
      <w:r w:rsidRPr="00A903DC">
        <w:rPr>
          <w:rFonts w:ascii="Arial" w:hAnsi="Arial" w:cs="Arial"/>
        </w:rPr>
        <w:t>j) umożliwienie GIOŚ oraz organom uprawnionym do kontroli przemieszczania odpadów wezwania każdego podmiotu uczestniczącego w międzynarodowym przemieszczaniu towarów do udowodnienia, że przewożone materiały nie stanowią odpadów lub przemieszczanie odpadów nie jest nielegalne,</w:t>
      </w:r>
    </w:p>
    <w:p w14:paraId="6967682E" w14:textId="77777777" w:rsidR="00A903DC" w:rsidRPr="00A903DC" w:rsidRDefault="00A903DC" w:rsidP="00A903DC">
      <w:pPr>
        <w:spacing w:after="0" w:line="300" w:lineRule="auto"/>
        <w:jc w:val="both"/>
        <w:rPr>
          <w:rFonts w:ascii="Arial" w:hAnsi="Arial" w:cs="Arial"/>
        </w:rPr>
      </w:pPr>
      <w:r w:rsidRPr="00A903DC">
        <w:rPr>
          <w:rFonts w:ascii="Arial" w:hAnsi="Arial" w:cs="Arial"/>
        </w:rPr>
        <w:t>k) podwyższenie dolnej granicy kar za nielegalne przemieszczanie odpadów.</w:t>
      </w:r>
    </w:p>
    <w:p w14:paraId="05EA3B65" w14:textId="1634CA74" w:rsidR="00A903DC" w:rsidRDefault="00A903DC" w:rsidP="00A903DC">
      <w:pPr>
        <w:spacing w:after="0" w:line="300" w:lineRule="auto"/>
        <w:jc w:val="both"/>
        <w:rPr>
          <w:rFonts w:ascii="Arial" w:hAnsi="Arial" w:cs="Arial"/>
        </w:rPr>
      </w:pPr>
      <w:r w:rsidRPr="00A903DC">
        <w:rPr>
          <w:rFonts w:ascii="Arial" w:hAnsi="Arial" w:cs="Arial"/>
        </w:rPr>
        <w:t>Odnosząc się do obowiązku zapewnienia bezpiecznego przechowywania odpadów w przypadku ujawnienia ich nielegalnego przemieszczania projektodawca dąży do zachowania spójności proponowanych regulacji z przepisami ustawy o odpadach. Zaproponowane przepisy mają na celu rozszerzenie omawianej nowelizacji poprzez zastąpienie dotychczasowych sformułowań zwrotami o szerszym zakresie przedmiotowym, co będzie skutkować łatwiejszą subsumpcją pod różne stany faktyczne, w oparciu o dotychczasowe doświadczenia. Zmiana w tym zakresie ma za zadanie przede wszystkim usunąć wątpliwości odnośnie do przechowywania odpadów na określony czas również u przedsiębiorców zapewniających odpowiednie warunki, w tym oddziaływania na środowisko</w:t>
      </w:r>
      <w:r>
        <w:rPr>
          <w:rFonts w:ascii="Arial" w:hAnsi="Arial" w:cs="Arial"/>
        </w:rPr>
        <w:t>.</w:t>
      </w:r>
    </w:p>
    <w:p w14:paraId="0968E9B9" w14:textId="77777777" w:rsidR="00A903DC" w:rsidRDefault="00A903DC" w:rsidP="00A903DC">
      <w:pPr>
        <w:spacing w:after="0" w:line="300" w:lineRule="auto"/>
        <w:jc w:val="both"/>
        <w:rPr>
          <w:rFonts w:ascii="Arial" w:hAnsi="Arial" w:cs="Arial"/>
        </w:rPr>
      </w:pPr>
    </w:p>
    <w:p w14:paraId="2723F8E1" w14:textId="77777777" w:rsidR="00A903DC" w:rsidRPr="00A903DC" w:rsidRDefault="00A903DC" w:rsidP="00A903DC">
      <w:pPr>
        <w:spacing w:after="0" w:line="300" w:lineRule="auto"/>
        <w:jc w:val="both"/>
        <w:rPr>
          <w:rFonts w:ascii="Arial" w:hAnsi="Arial" w:cs="Arial"/>
        </w:rPr>
      </w:pPr>
      <w:r w:rsidRPr="00A903DC">
        <w:rPr>
          <w:rFonts w:ascii="Arial" w:hAnsi="Arial" w:cs="Arial"/>
        </w:rPr>
        <w:t>Przedmiotowy projekt aktu prawnego wraz z Uzasadnieniem, Oceną Skutków Regulacji oraz Tabelą zgodności dostępny jest na stronach Rządowego Centrum Legislacji pod adresem:</w:t>
      </w:r>
    </w:p>
    <w:p w14:paraId="272E3026" w14:textId="2303185D" w:rsidR="00A903DC" w:rsidRDefault="00A903DC" w:rsidP="00A903DC">
      <w:pPr>
        <w:spacing w:after="0" w:line="300" w:lineRule="auto"/>
        <w:jc w:val="both"/>
        <w:rPr>
          <w:rFonts w:ascii="Arial" w:hAnsi="Arial" w:cs="Arial"/>
        </w:rPr>
      </w:pPr>
      <w:hyperlink r:id="rId7" w:history="1">
        <w:r w:rsidRPr="00170629">
          <w:rPr>
            <w:rStyle w:val="Hipercze"/>
            <w:rFonts w:ascii="Arial" w:hAnsi="Arial" w:cs="Arial"/>
          </w:rPr>
          <w:t>https://legislacja.rcl.gov.pl/projekt/124</w:t>
        </w:r>
        <w:r w:rsidRPr="00170629">
          <w:rPr>
            <w:rStyle w:val="Hipercze"/>
            <w:rFonts w:ascii="Arial" w:hAnsi="Arial" w:cs="Arial"/>
          </w:rPr>
          <w:t>0</w:t>
        </w:r>
        <w:r w:rsidRPr="00170629">
          <w:rPr>
            <w:rStyle w:val="Hipercze"/>
            <w:rFonts w:ascii="Arial" w:hAnsi="Arial" w:cs="Arial"/>
          </w:rPr>
          <w:t>7554/katalog/13189261#13189261</w:t>
        </w:r>
      </w:hyperlink>
      <w:r>
        <w:rPr>
          <w:rFonts w:ascii="Arial" w:hAnsi="Arial" w:cs="Arial"/>
        </w:rPr>
        <w:t xml:space="preserve"> </w:t>
      </w:r>
    </w:p>
    <w:p w14:paraId="297D7604" w14:textId="77777777" w:rsidR="00A903DC" w:rsidRDefault="00A903DC" w:rsidP="00A903DC">
      <w:pPr>
        <w:spacing w:after="0" w:line="300" w:lineRule="auto"/>
        <w:jc w:val="both"/>
        <w:rPr>
          <w:rFonts w:ascii="Arial" w:hAnsi="Arial" w:cs="Arial"/>
        </w:rPr>
      </w:pPr>
    </w:p>
    <w:p w14:paraId="2B05C36C" w14:textId="41DC9C45" w:rsidR="00A903DC" w:rsidRDefault="00A903DC" w:rsidP="00A903DC">
      <w:pPr>
        <w:spacing w:after="0" w:line="300" w:lineRule="auto"/>
        <w:jc w:val="both"/>
        <w:rPr>
          <w:rFonts w:ascii="Arial" w:hAnsi="Arial" w:cs="Arial"/>
        </w:rPr>
      </w:pPr>
      <w:r w:rsidRPr="00A903DC">
        <w:rPr>
          <w:rFonts w:ascii="Arial" w:hAnsi="Arial" w:cs="Arial"/>
        </w:rPr>
        <w:t>Projekt jest obecnie jednocześnie na etapie uzgodnień, konsultacji publicznych i opiniowania.</w:t>
      </w:r>
    </w:p>
    <w:p w14:paraId="2AEA5122" w14:textId="77777777" w:rsidR="00A903DC" w:rsidRDefault="00A903DC" w:rsidP="00AF17DC">
      <w:pPr>
        <w:spacing w:after="0" w:line="300" w:lineRule="auto"/>
        <w:jc w:val="both"/>
        <w:rPr>
          <w:rFonts w:ascii="Arial" w:hAnsi="Arial" w:cs="Arial"/>
        </w:rPr>
      </w:pPr>
    </w:p>
    <w:p w14:paraId="4D9E1A1F" w14:textId="77777777" w:rsidR="00AF17DC" w:rsidRDefault="00AF17DC" w:rsidP="00AF17DC">
      <w:pPr>
        <w:spacing w:after="0" w:line="300" w:lineRule="auto"/>
        <w:jc w:val="both"/>
        <w:rPr>
          <w:rFonts w:ascii="Arial" w:hAnsi="Arial" w:cs="Arial"/>
        </w:rPr>
      </w:pPr>
      <w:r>
        <w:rPr>
          <w:rFonts w:ascii="Arial" w:hAnsi="Arial" w:cs="Arial"/>
        </w:rPr>
        <w:t>Projekty rozporządzeń:</w:t>
      </w:r>
    </w:p>
    <w:p w14:paraId="73F3C6EA" w14:textId="77777777" w:rsidR="00E022E4" w:rsidRDefault="00E022E4" w:rsidP="00AF17DC">
      <w:pPr>
        <w:spacing w:after="0" w:line="300" w:lineRule="auto"/>
        <w:jc w:val="both"/>
        <w:rPr>
          <w:rFonts w:ascii="Arial" w:hAnsi="Arial" w:cs="Arial"/>
        </w:rPr>
      </w:pPr>
    </w:p>
    <w:p w14:paraId="584CF2E7" w14:textId="1676DECF" w:rsidR="00E022E4" w:rsidRPr="00A903DC" w:rsidRDefault="00A903DC" w:rsidP="00AF17DC">
      <w:pPr>
        <w:pStyle w:val="Akapitzlist"/>
        <w:numPr>
          <w:ilvl w:val="0"/>
          <w:numId w:val="4"/>
        </w:numPr>
        <w:spacing w:after="0" w:line="300" w:lineRule="auto"/>
        <w:jc w:val="both"/>
        <w:rPr>
          <w:rFonts w:ascii="Arial" w:hAnsi="Arial" w:cs="Arial"/>
          <w:b/>
          <w:bCs/>
          <w:u w:val="single"/>
        </w:rPr>
      </w:pPr>
      <w:r w:rsidRPr="00A903DC">
        <w:rPr>
          <w:rFonts w:ascii="Arial" w:hAnsi="Arial" w:cs="Arial"/>
          <w:b/>
          <w:bCs/>
          <w:u w:val="single"/>
        </w:rPr>
        <w:t>P</w:t>
      </w:r>
      <w:r w:rsidRPr="00A903DC">
        <w:rPr>
          <w:rFonts w:ascii="Arial" w:hAnsi="Arial" w:cs="Arial"/>
          <w:b/>
          <w:bCs/>
          <w:u w:val="single"/>
        </w:rPr>
        <w:t>rojekt rozporządzenia Ministra Spraw Wewnętrznych i Administracji w sprawie wniosku o zmianę zezwolenia na pobyt czasowy i pracę (1302).</w:t>
      </w:r>
    </w:p>
    <w:p w14:paraId="6815028E" w14:textId="77777777" w:rsidR="00E022E4" w:rsidRDefault="00E022E4" w:rsidP="00E022E4">
      <w:pPr>
        <w:spacing w:after="0" w:line="300" w:lineRule="auto"/>
        <w:jc w:val="both"/>
        <w:rPr>
          <w:rFonts w:ascii="Arial" w:hAnsi="Arial" w:cs="Arial"/>
        </w:rPr>
      </w:pPr>
    </w:p>
    <w:p w14:paraId="3FD25DFC" w14:textId="77777777" w:rsidR="00A903DC" w:rsidRPr="00A903DC" w:rsidRDefault="00A903DC" w:rsidP="00A903DC">
      <w:pPr>
        <w:spacing w:after="0" w:line="300" w:lineRule="auto"/>
        <w:jc w:val="both"/>
        <w:rPr>
          <w:rFonts w:ascii="Arial" w:hAnsi="Arial" w:cs="Arial"/>
        </w:rPr>
      </w:pPr>
      <w:r w:rsidRPr="00A903DC">
        <w:rPr>
          <w:rFonts w:ascii="Arial" w:hAnsi="Arial" w:cs="Arial"/>
        </w:rPr>
        <w:t xml:space="preserve">Projekt rozporządzenia stanowi wykonanie upoważnienia zawartego w art. 120b ustawy z dnia 12 grudnia 2013 r. o cudzoziemcach. Przepis zobowiązuje ministra właściwego do spraw wewnętrznych do określenia, w drodze rozporządzenia, wzoru formularza wniosku o zmianę zezwolenia na pobyt czasowy i pracę, o którym mowa w art. 120a ust. 1 tej ustawy. </w:t>
      </w:r>
    </w:p>
    <w:p w14:paraId="046C69B0" w14:textId="77777777" w:rsidR="00A903DC" w:rsidRPr="00A903DC" w:rsidRDefault="00A903DC" w:rsidP="00A903DC">
      <w:pPr>
        <w:spacing w:after="0" w:line="300" w:lineRule="auto"/>
        <w:jc w:val="both"/>
        <w:rPr>
          <w:rFonts w:ascii="Arial" w:hAnsi="Arial" w:cs="Arial"/>
        </w:rPr>
      </w:pPr>
      <w:r w:rsidRPr="00A903DC">
        <w:rPr>
          <w:rFonts w:ascii="Arial" w:hAnsi="Arial" w:cs="Arial"/>
        </w:rPr>
        <w:lastRenderedPageBreak/>
        <w:t>Dotychczas przedmiotowa problematyka była uregulowana w rozporządzeniu Ministra Spraw Wewnętrznych i Administracji z dnia 20 stycznia 2022 r. w sprawie wniosku o zmianę zezwolenia na pobyt czasowy i pracę (Dz. U. poz. 198).</w:t>
      </w:r>
    </w:p>
    <w:p w14:paraId="5ECD860D" w14:textId="1D7F3ACC" w:rsidR="00A903DC" w:rsidRDefault="00A903DC" w:rsidP="00A903DC">
      <w:pPr>
        <w:spacing w:after="0" w:line="300" w:lineRule="auto"/>
        <w:jc w:val="both"/>
        <w:rPr>
          <w:rFonts w:ascii="Arial" w:hAnsi="Arial" w:cs="Arial"/>
        </w:rPr>
      </w:pPr>
      <w:r w:rsidRPr="00A903DC">
        <w:rPr>
          <w:rFonts w:ascii="Arial" w:hAnsi="Arial" w:cs="Arial"/>
        </w:rPr>
        <w:t>Konieczność wydania nowego rozporządzenia jest konsekwencją zmian wprowadzanych w ustawie z dnia 12 grudnia 2013 r. o cudzoziemcach ustawą z dnia 21 listopada 2025 r. o zmianie ustawy o cudzoziemcach oraz niektórych innych ustaw, zwaną dalej „ustawą nowelizującą”. Przedmiotową nowelizacją wprowadzono zmiany do ustawy z dnia 12 grudnia 2013 r. o cudzoziemcach w  zakresie przepisów określających zawartość wniosków, które mogą składać cudzoziemcy w celu legalizacji swojego pobytu w Polsce, mające na celu bardziej precyzyjne ukształtowanie katalogu danych i informacji umieszczanych w poszczególnych formularzach wniosków oraz rozszerzono katalog danych i informacji przetwarzanych w rejestrach i ewidencji prowadzonych na podstawie ustawy z dnia 12 grudnia 2013 r. o cudzoziemcach określony w  art.  13 tej ustawy.  Te kompleksowe zmiany objęły również art. 120a  ustawy z dnia 12 grudnia 2013 r. o  cudzoziemcach regulujący katalog danych i informacji, jakie powinny zostać umieszczone w formularzu wniosku o  zmianę zezwolenia na pobyt czasowy i pracę</w:t>
      </w:r>
      <w:r>
        <w:rPr>
          <w:rFonts w:ascii="Arial" w:hAnsi="Arial" w:cs="Arial"/>
        </w:rPr>
        <w:t>.</w:t>
      </w:r>
    </w:p>
    <w:p w14:paraId="438ABEC2" w14:textId="77777777" w:rsidR="00A903DC" w:rsidRDefault="00A903DC" w:rsidP="00A903DC">
      <w:pPr>
        <w:spacing w:after="0" w:line="300" w:lineRule="auto"/>
        <w:jc w:val="both"/>
        <w:rPr>
          <w:rFonts w:ascii="Arial" w:hAnsi="Arial" w:cs="Arial"/>
        </w:rPr>
      </w:pPr>
    </w:p>
    <w:p w14:paraId="045C51F5" w14:textId="77777777" w:rsidR="00331F3F" w:rsidRPr="00331F3F" w:rsidRDefault="00331F3F" w:rsidP="00331F3F">
      <w:pPr>
        <w:spacing w:after="0" w:line="300" w:lineRule="auto"/>
        <w:jc w:val="both"/>
        <w:rPr>
          <w:rFonts w:ascii="Arial" w:hAnsi="Arial" w:cs="Arial"/>
        </w:rPr>
      </w:pPr>
      <w:r w:rsidRPr="00331F3F">
        <w:rPr>
          <w:rFonts w:ascii="Arial" w:hAnsi="Arial" w:cs="Arial"/>
        </w:rPr>
        <w:t>Przedmiotowy projekt aktu prawnego wraz z Załącznikiem, Uzasadnieniem oraz Oceną Skutków Regulacji dostępny jest na stronach Rządowego Centrum Legislacji pod adresem:</w:t>
      </w:r>
    </w:p>
    <w:p w14:paraId="6A997EB5" w14:textId="0BC4ACDA" w:rsidR="00A903DC" w:rsidRDefault="00331F3F" w:rsidP="00331F3F">
      <w:pPr>
        <w:spacing w:after="0" w:line="300" w:lineRule="auto"/>
        <w:jc w:val="both"/>
        <w:rPr>
          <w:rFonts w:ascii="Arial" w:hAnsi="Arial" w:cs="Arial"/>
        </w:rPr>
      </w:pPr>
      <w:hyperlink r:id="rId8" w:history="1">
        <w:r w:rsidRPr="00170629">
          <w:rPr>
            <w:rStyle w:val="Hipercze"/>
            <w:rFonts w:ascii="Arial" w:hAnsi="Arial" w:cs="Arial"/>
          </w:rPr>
          <w:t>https://legislacja.rcl.gov.pl/projekt/12407452/katal</w:t>
        </w:r>
        <w:r w:rsidRPr="00170629">
          <w:rPr>
            <w:rStyle w:val="Hipercze"/>
            <w:rFonts w:ascii="Arial" w:hAnsi="Arial" w:cs="Arial"/>
          </w:rPr>
          <w:t>o</w:t>
        </w:r>
        <w:r w:rsidRPr="00170629">
          <w:rPr>
            <w:rStyle w:val="Hipercze"/>
            <w:rFonts w:ascii="Arial" w:hAnsi="Arial" w:cs="Arial"/>
          </w:rPr>
          <w:t>g/13188809#13188809</w:t>
        </w:r>
      </w:hyperlink>
      <w:r>
        <w:rPr>
          <w:rFonts w:ascii="Arial" w:hAnsi="Arial" w:cs="Arial"/>
        </w:rPr>
        <w:t xml:space="preserve"> </w:t>
      </w:r>
    </w:p>
    <w:p w14:paraId="4600B702" w14:textId="77777777" w:rsidR="00331F3F" w:rsidRDefault="00331F3F" w:rsidP="00331F3F">
      <w:pPr>
        <w:spacing w:after="0" w:line="300" w:lineRule="auto"/>
        <w:jc w:val="both"/>
        <w:rPr>
          <w:rFonts w:ascii="Arial" w:hAnsi="Arial" w:cs="Arial"/>
        </w:rPr>
      </w:pPr>
    </w:p>
    <w:p w14:paraId="689CE755" w14:textId="0F0094E5" w:rsidR="00331F3F" w:rsidRDefault="00331F3F" w:rsidP="00331F3F">
      <w:pPr>
        <w:spacing w:after="0" w:line="300" w:lineRule="auto"/>
        <w:jc w:val="both"/>
        <w:rPr>
          <w:rFonts w:ascii="Arial" w:hAnsi="Arial" w:cs="Arial"/>
        </w:rPr>
      </w:pPr>
      <w:r w:rsidRPr="00331F3F">
        <w:rPr>
          <w:rFonts w:ascii="Arial" w:hAnsi="Arial" w:cs="Arial"/>
        </w:rPr>
        <w:t>Projekt jest obecnie jednocześnie na etapie uzgodnień, konsultacji publicznych i opiniowania.</w:t>
      </w:r>
    </w:p>
    <w:p w14:paraId="46E8BA0E" w14:textId="77777777" w:rsidR="00A903DC" w:rsidRPr="00E022E4" w:rsidRDefault="00A903DC" w:rsidP="00E022E4">
      <w:pPr>
        <w:spacing w:after="0" w:line="300" w:lineRule="auto"/>
        <w:jc w:val="both"/>
        <w:rPr>
          <w:rFonts w:ascii="Arial" w:hAnsi="Arial" w:cs="Arial"/>
        </w:rPr>
      </w:pPr>
    </w:p>
    <w:p w14:paraId="3931751F" w14:textId="1CEFCA4E" w:rsidR="00E022E4" w:rsidRPr="00331F3F" w:rsidRDefault="00331F3F" w:rsidP="00AF17DC">
      <w:pPr>
        <w:pStyle w:val="Akapitzlist"/>
        <w:numPr>
          <w:ilvl w:val="0"/>
          <w:numId w:val="4"/>
        </w:numPr>
        <w:spacing w:after="0" w:line="300" w:lineRule="auto"/>
        <w:jc w:val="both"/>
        <w:rPr>
          <w:rFonts w:ascii="Arial" w:hAnsi="Arial" w:cs="Arial"/>
          <w:b/>
          <w:bCs/>
          <w:u w:val="single"/>
        </w:rPr>
      </w:pPr>
      <w:r w:rsidRPr="00331F3F">
        <w:rPr>
          <w:rFonts w:ascii="Arial" w:hAnsi="Arial" w:cs="Arial"/>
          <w:b/>
          <w:bCs/>
          <w:u w:val="single"/>
        </w:rPr>
        <w:t>P</w:t>
      </w:r>
      <w:r w:rsidRPr="00331F3F">
        <w:rPr>
          <w:rFonts w:ascii="Arial" w:hAnsi="Arial" w:cs="Arial"/>
          <w:b/>
          <w:bCs/>
          <w:u w:val="single"/>
        </w:rPr>
        <w:t>rojekt rozporządzenia Ministra Finansów i Gospodarki w sprawie sposobu postępowania z wnioskiem o certyfikację wykonawców zamówień publicznych, szczegółowego sposobu przeprowadzania procedury certyfikacji, sposobu prowadzenia stałego nadzoru nad aktualnością ważności udzielonej certyfikacji i sposobu przeprowadzania jej aktualizacji oraz sposobu ustalania wynagrodzenia podmiotu certyfikującego związanego z certyfikacją (46).</w:t>
      </w:r>
    </w:p>
    <w:p w14:paraId="41646AA1" w14:textId="77777777" w:rsidR="00E022E4" w:rsidRPr="00C37061" w:rsidRDefault="00E022E4" w:rsidP="00C37061">
      <w:pPr>
        <w:spacing w:after="0" w:line="300" w:lineRule="auto"/>
        <w:jc w:val="both"/>
        <w:rPr>
          <w:rFonts w:ascii="Arial" w:hAnsi="Arial" w:cs="Arial"/>
        </w:rPr>
      </w:pPr>
    </w:p>
    <w:p w14:paraId="7F4A0CCF"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Celem projektowanego rozporządzenia jest wykonanie upoważnienia ustawowego zawartego w art. 25 ustawy z dnia 5 sierpnia 2025 r. o certyfikacji wykonawców zamówień publicznych (Dz. U. poz. 1235).</w:t>
      </w:r>
    </w:p>
    <w:p w14:paraId="56DA520A"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 xml:space="preserve">Minister właściwy do spraw gospodarki został upoważniony do określenia w przedmiotowym rozporządzeniu: </w:t>
      </w:r>
    </w:p>
    <w:p w14:paraId="108A38C1" w14:textId="77777777" w:rsidR="00C37061" w:rsidRPr="00C37061" w:rsidRDefault="00C37061" w:rsidP="00C37061">
      <w:pPr>
        <w:pStyle w:val="Akapitzlist"/>
        <w:numPr>
          <w:ilvl w:val="0"/>
          <w:numId w:val="6"/>
        </w:numPr>
        <w:spacing w:after="0" w:line="300" w:lineRule="auto"/>
        <w:jc w:val="both"/>
        <w:rPr>
          <w:rFonts w:ascii="Arial" w:eastAsia="Calibri" w:hAnsi="Arial" w:cs="Arial"/>
        </w:rPr>
      </w:pPr>
      <w:r w:rsidRPr="00C37061">
        <w:rPr>
          <w:rFonts w:ascii="Arial" w:eastAsia="Calibri" w:hAnsi="Arial" w:cs="Arial"/>
        </w:rPr>
        <w:t>sposobu składania przez wykonawcę wniosku oraz innych dokumentów związanych z udzieleniem certyfikacji, przed rozpoczęciem procedury certyfikacji, a także sposobu postępowania z wnioskiem i dokumentami przez podmiot certyfikujący,</w:t>
      </w:r>
    </w:p>
    <w:p w14:paraId="21B005E7" w14:textId="77777777" w:rsidR="00C37061" w:rsidRPr="00C37061" w:rsidRDefault="00C37061" w:rsidP="00C37061">
      <w:pPr>
        <w:pStyle w:val="Akapitzlist"/>
        <w:numPr>
          <w:ilvl w:val="0"/>
          <w:numId w:val="6"/>
        </w:numPr>
        <w:spacing w:after="0" w:line="300" w:lineRule="auto"/>
        <w:jc w:val="both"/>
        <w:rPr>
          <w:rFonts w:ascii="Arial" w:eastAsia="Calibri" w:hAnsi="Arial" w:cs="Arial"/>
        </w:rPr>
      </w:pPr>
      <w:r w:rsidRPr="00C37061">
        <w:rPr>
          <w:rFonts w:ascii="Arial" w:eastAsia="Calibri" w:hAnsi="Arial" w:cs="Arial"/>
        </w:rPr>
        <w:t xml:space="preserve">szczegółowego sposobu przeprowadzania procedury certyfikacji, w tym czynności wykonywanych w związku z umową zawartą przez podmiot certyfikujący z wykonawcą ubiegającym się o udzielenie certyfikacji, a także </w:t>
      </w:r>
    </w:p>
    <w:p w14:paraId="78DF34D3" w14:textId="77777777" w:rsidR="00C37061" w:rsidRPr="00C37061" w:rsidRDefault="00C37061" w:rsidP="00C37061">
      <w:pPr>
        <w:pStyle w:val="Akapitzlist"/>
        <w:numPr>
          <w:ilvl w:val="0"/>
          <w:numId w:val="6"/>
        </w:numPr>
        <w:spacing w:after="0" w:line="300" w:lineRule="auto"/>
        <w:jc w:val="both"/>
        <w:rPr>
          <w:rFonts w:ascii="Arial" w:eastAsia="Calibri" w:hAnsi="Arial" w:cs="Arial"/>
        </w:rPr>
      </w:pPr>
      <w:r w:rsidRPr="00C37061">
        <w:rPr>
          <w:rFonts w:ascii="Arial" w:eastAsia="Calibri" w:hAnsi="Arial" w:cs="Arial"/>
        </w:rPr>
        <w:t>czynności podejmowanych przez podmiot certyfikujący oraz wykonawcę związanych z prowadzeniem stałego nadzoru nad aktualnością ważności udzielonej certyfikacji, o którym mowa w art. 11 ust. 1 ww. ustawy, już po udzieleniu certyfikacji,</w:t>
      </w:r>
    </w:p>
    <w:p w14:paraId="25FA6E8D" w14:textId="77777777" w:rsidR="00C37061" w:rsidRPr="00C37061" w:rsidRDefault="00C37061" w:rsidP="00C37061">
      <w:pPr>
        <w:pStyle w:val="Akapitzlist"/>
        <w:numPr>
          <w:ilvl w:val="0"/>
          <w:numId w:val="6"/>
        </w:numPr>
        <w:spacing w:after="0" w:line="300" w:lineRule="auto"/>
        <w:jc w:val="both"/>
        <w:rPr>
          <w:rFonts w:ascii="Arial" w:eastAsia="Calibri" w:hAnsi="Arial" w:cs="Arial"/>
        </w:rPr>
      </w:pPr>
      <w:r w:rsidRPr="00C37061">
        <w:rPr>
          <w:rFonts w:ascii="Arial" w:eastAsia="Calibri" w:hAnsi="Arial" w:cs="Arial"/>
        </w:rPr>
        <w:lastRenderedPageBreak/>
        <w:t>sposobu prowadzenia aktualizacji ważności certyfikacji oraz</w:t>
      </w:r>
    </w:p>
    <w:p w14:paraId="136FE048" w14:textId="77777777" w:rsidR="00C37061" w:rsidRPr="00C37061" w:rsidRDefault="00C37061" w:rsidP="00C37061">
      <w:pPr>
        <w:pStyle w:val="Akapitzlist"/>
        <w:numPr>
          <w:ilvl w:val="0"/>
          <w:numId w:val="6"/>
        </w:numPr>
        <w:spacing w:after="0" w:line="300" w:lineRule="auto"/>
        <w:jc w:val="both"/>
        <w:rPr>
          <w:rFonts w:ascii="Arial" w:eastAsia="Calibri" w:hAnsi="Arial" w:cs="Arial"/>
        </w:rPr>
      </w:pPr>
      <w:r w:rsidRPr="00C37061">
        <w:rPr>
          <w:rFonts w:ascii="Arial" w:eastAsia="Calibri" w:hAnsi="Arial" w:cs="Arial"/>
        </w:rPr>
        <w:t>sposobu ustalania wynagrodzenia przysługującego podmiotowi certyfikującemu za czynności związane prowadzeniem procedury certyfikacji, prowadzenia stałego nadzoru nad certyfikacją oraz prowadzenie jej aktualizacji.</w:t>
      </w:r>
    </w:p>
    <w:p w14:paraId="45FBE174"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Rozporządzenie przewiduje, że wniosek wykonawcy o udzielenie certyfikacji w zakresie niepodlegania wykluczeniu lub certyfikacji w zakresie zdolności wykonawcy, o którym mowa w art. 16 ust. 2 ustawy, może być złożony do wybranego przez wykonawcę podmiotu certyfikującego przy użyciu środków komunikacji elektronicznej lub papierowo. Regulacja nie przewiduje sformalizowanego sposobu składania wniosku o udzielenie certyfikacji, zatem sposób kontaktu wykonawcy z podmiotem certyfikującym będzie wynikał z procedur wewnętrznych przejętych w danym podmiocie certyfikującym. Może być to kontakt i złożenie wniosku za pośrednictwem strony internetowej podmiotu certyfikującego, elektronicznego formularza, czy też poczty elektronicznej. Przyjęty w podmiocie certyfikującym sposób kontaktu musi jednak odpowiadać wymaganiom udzielonej akredytacji, o których mowa w art. 34 ustawy.</w:t>
      </w:r>
    </w:p>
    <w:p w14:paraId="6B04FAED"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Analogiczne rozwiązanie przyjęto w przypadku pozostałych dokumentów, w tym oświadczeń wykonawcy, składanych przez wykonawcę przed rozpoczęciem procedury certyfikacji, w toku procedury certyfikacji oraz w toku sprawowania, przez podmiot certyfikujący, stałego nadzoru nad aktualnością ważności certyfikacji, a także w związku z przeprowadzaną aktualizacją ważności certyfikacji.</w:t>
      </w:r>
    </w:p>
    <w:p w14:paraId="391B437E"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Podmiot certyfikujący sprawdza treść złożonego wniosku pod względem zgodności z art. 16 ust. 2 pkt 1-6 ustawy, tj. zawartych we wniosku informacji. Ponadto, podmiot certyfikujący weryfikuje w Bazie Danych o Certyfikacji Wykonawców Zamówień Publicznych, o której mowa w art. 26 ust. 1 ustawy, zwaną dalej „bazą certyfikacji”, treść złożonego przez wykonawcę oświadczenia, o którym mowa w art. 16 ust. 2 pkt 6 ustawy.</w:t>
      </w:r>
    </w:p>
    <w:p w14:paraId="65F91A1A"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Pozytywna weryfikacja wniosku skutkuje nadaniem mu biegu.</w:t>
      </w:r>
    </w:p>
    <w:p w14:paraId="206B55C7"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Podmiot certyfikujący prowadząc procedurę certyfikacji współdziała z wykonawcą. Podejmowane czynności mają pozwolić na potwierdzenie, że wykonawca, w zakresie przez niego wskazanym we wniosku, nie podlega wykluczeniu z postępowania o udzielenie zamówienia, a w przypadku istnienia podstaw wykluczenia, o których mowa w art. 108 ust. 1 pkt 1, 2 i 5 lub w art. 109 ust. 1 pkt 2‒5 i 7‒10 Prawa zamówień publicznych, potwierdzenie spełniania przesłanek określonych w art. 22 ust. 1 ustawy, lub potwierdzenie, że wykonawca, w zakresie przez niego wskazanym, posiada zdolności do należytego wykonania zamówienia.</w:t>
      </w:r>
    </w:p>
    <w:p w14:paraId="50C67035"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W razie wątpliwości dotyczących informacji lub dokumentów uzyskanych od wykonawcy lub uzyskanych samodzielnie w toku prowadzonej procedury certyfikacji, podmiot certyfikujący może zwrócić się do wykonawcy o wyjaśnienie jego sytuacji podmiotowej.</w:t>
      </w:r>
    </w:p>
    <w:p w14:paraId="67CB94F1"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 xml:space="preserve">Po przeprowadzeniu czynności w toku procedury certyfikacji w sytuacji, gdy czynności te kończą się odmową udzielenia certyfikatu, podmiot certyfikujący informuje o odmowie udzielenia certyfikacji w formie pisemnej. Informacja zawiera wskazanie dalszych działań, które może podjąć wykonawca, oraz przysługujących mu uprawnień wynikających z ustawy. </w:t>
      </w:r>
    </w:p>
    <w:p w14:paraId="081DCCC7"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 xml:space="preserve">Stały nadzór nad aktualnością ważności certyfikacji prowadzony przez podmiot certyfikujący na podstawie art. 11 ust. 1 ustawy, wykonuje zespół pracowników powołany przez ten podmiot do przeprowadzenia procedury certyfikacji. W wyjątkowych przypadkach, przewidzianych w </w:t>
      </w:r>
      <w:r w:rsidRPr="00C37061">
        <w:rPr>
          <w:rFonts w:ascii="Arial" w:eastAsia="Calibri" w:hAnsi="Arial" w:cs="Arial"/>
        </w:rPr>
        <w:lastRenderedPageBreak/>
        <w:t>przyjętej w tym podmiocie procedurze postępowania, do prowadzenia stałego nadzoru może zostać wyznaczony inny zespół niż zespół, który przeprowadził procedurę certyfikacji.</w:t>
      </w:r>
    </w:p>
    <w:p w14:paraId="7A459EFE" w14:textId="77777777" w:rsidR="00C37061" w:rsidRPr="00C37061" w:rsidRDefault="00C37061" w:rsidP="00C37061">
      <w:pPr>
        <w:spacing w:after="0" w:line="300" w:lineRule="auto"/>
        <w:jc w:val="both"/>
        <w:rPr>
          <w:rFonts w:ascii="Arial" w:eastAsia="Calibri" w:hAnsi="Arial" w:cs="Arial"/>
        </w:rPr>
      </w:pPr>
      <w:r w:rsidRPr="00C37061">
        <w:rPr>
          <w:rFonts w:ascii="Arial" w:eastAsia="Calibri" w:hAnsi="Arial" w:cs="Arial"/>
        </w:rPr>
        <w:t>W przypadku prowadzenia stałego nadzoru nad aktualnością ważności certyfikacji, który obejmuje monitorowanie sytuacji wykonawcy, podmiot certyfikujący podejmuje bieżące czynności sprawdzających, w szczególności czynności wskazane w przypadku prowadzenia procedury certyfikacji, w terminach określonych w wewnętrznej procedurze podmiotu certyfikującego oraz w umowie. Terminy nie mogą być dłuższe niż terminy obowiązywania podmiotowych środków dowodowych określone w przepisach wydanych na podstawie art. 128 ust. 6 ustawy Prawo zamówień publicznych.</w:t>
      </w:r>
    </w:p>
    <w:p w14:paraId="7689F8BD" w14:textId="00E8D461" w:rsidR="00331F3F" w:rsidRDefault="00C37061" w:rsidP="00C37061">
      <w:pPr>
        <w:spacing w:after="0" w:line="300" w:lineRule="auto"/>
        <w:jc w:val="both"/>
        <w:rPr>
          <w:rFonts w:ascii="Arial" w:eastAsia="Calibri" w:hAnsi="Arial" w:cs="Arial"/>
        </w:rPr>
      </w:pPr>
      <w:r w:rsidRPr="00C37061">
        <w:rPr>
          <w:rFonts w:ascii="Arial" w:eastAsia="Calibri" w:hAnsi="Arial" w:cs="Arial"/>
        </w:rPr>
        <w:t>Rozporządzenie reguluje także postępowanie podmiotu certyfikującego w przypadku zawieszenia ważności certyfikacji. Po zawieszeniu ważności certyfikacji w całości lub w części, podmiot certyfikujący niezwłocznie, lecz nie później niż w terminie trzech dni roboczych od dnia jej zawieszenia, przystępuje do jej aktualizacji w zakresie objętym zawieszeniem. Strony w umowie mogą ustalić inne terminy rozpoczęcia działań aktualizacyjnych przez podmiot certyfikujący</w:t>
      </w:r>
      <w:r w:rsidRPr="00C37061">
        <w:rPr>
          <w:rFonts w:ascii="Arial" w:eastAsia="Calibri" w:hAnsi="Arial" w:cs="Arial"/>
        </w:rPr>
        <w:t>.</w:t>
      </w:r>
    </w:p>
    <w:p w14:paraId="5276B0D1" w14:textId="77777777" w:rsidR="00C37061" w:rsidRDefault="00C37061" w:rsidP="00C37061">
      <w:pPr>
        <w:spacing w:after="0" w:line="300" w:lineRule="auto"/>
        <w:jc w:val="both"/>
        <w:rPr>
          <w:rFonts w:ascii="Arial" w:eastAsia="Calibri" w:hAnsi="Arial" w:cs="Arial"/>
        </w:rPr>
      </w:pPr>
    </w:p>
    <w:p w14:paraId="7BAA3869" w14:textId="77777777" w:rsidR="00C37061" w:rsidRPr="00C37061" w:rsidRDefault="00C37061" w:rsidP="00C37061">
      <w:pPr>
        <w:spacing w:after="0" w:line="300" w:lineRule="auto"/>
        <w:jc w:val="both"/>
        <w:rPr>
          <w:rFonts w:ascii="Arial" w:hAnsi="Arial" w:cs="Arial"/>
        </w:rPr>
      </w:pPr>
      <w:r w:rsidRPr="00C37061">
        <w:rPr>
          <w:rFonts w:ascii="Arial" w:hAnsi="Arial" w:cs="Arial"/>
        </w:rPr>
        <w:t>Przedmiotowy projekt aktu prawnego wraz z Uzasadnieniem oraz Oceną Skutków Regulacji dostępny jest na stronach Rządowego Centrum Legislacji pod adresem:</w:t>
      </w:r>
    </w:p>
    <w:p w14:paraId="39E2C6EA" w14:textId="0A08BF4D" w:rsidR="00C37061" w:rsidRPr="00C37061" w:rsidRDefault="00C37061" w:rsidP="00C37061">
      <w:pPr>
        <w:spacing w:after="0" w:line="300" w:lineRule="auto"/>
        <w:jc w:val="both"/>
        <w:rPr>
          <w:rFonts w:ascii="Arial" w:hAnsi="Arial" w:cs="Arial"/>
        </w:rPr>
      </w:pPr>
      <w:hyperlink r:id="rId9" w:history="1">
        <w:r w:rsidRPr="00170629">
          <w:rPr>
            <w:rStyle w:val="Hipercze"/>
            <w:rFonts w:ascii="Arial" w:hAnsi="Arial" w:cs="Arial"/>
          </w:rPr>
          <w:t>https://legislacja.rcl.gov.pl/projekt/12407453/katalog/13188</w:t>
        </w:r>
        <w:r w:rsidRPr="00170629">
          <w:rPr>
            <w:rStyle w:val="Hipercze"/>
            <w:rFonts w:ascii="Arial" w:hAnsi="Arial" w:cs="Arial"/>
          </w:rPr>
          <w:t>8</w:t>
        </w:r>
        <w:r w:rsidRPr="00170629">
          <w:rPr>
            <w:rStyle w:val="Hipercze"/>
            <w:rFonts w:ascii="Arial" w:hAnsi="Arial" w:cs="Arial"/>
          </w:rPr>
          <w:t>52#13188852</w:t>
        </w:r>
      </w:hyperlink>
      <w:r>
        <w:rPr>
          <w:rFonts w:ascii="Arial" w:hAnsi="Arial" w:cs="Arial"/>
        </w:rPr>
        <w:t xml:space="preserve"> </w:t>
      </w:r>
    </w:p>
    <w:p w14:paraId="10D9DCB2" w14:textId="77777777" w:rsidR="00331F3F" w:rsidRDefault="00331F3F" w:rsidP="00E022E4">
      <w:pPr>
        <w:spacing w:after="0" w:line="300" w:lineRule="auto"/>
        <w:jc w:val="both"/>
        <w:rPr>
          <w:rFonts w:ascii="Arial" w:hAnsi="Arial" w:cs="Arial"/>
        </w:rPr>
      </w:pPr>
    </w:p>
    <w:p w14:paraId="28E64C85" w14:textId="76142485" w:rsidR="00C37061" w:rsidRDefault="00C37061" w:rsidP="00E022E4">
      <w:pPr>
        <w:spacing w:after="0" w:line="300" w:lineRule="auto"/>
        <w:jc w:val="both"/>
        <w:rPr>
          <w:rFonts w:ascii="Arial" w:hAnsi="Arial" w:cs="Arial"/>
        </w:rPr>
      </w:pPr>
      <w:r w:rsidRPr="00C37061">
        <w:rPr>
          <w:rFonts w:ascii="Arial" w:hAnsi="Arial" w:cs="Arial"/>
        </w:rPr>
        <w:t>Projekt jest obecnie jednocześnie na etapie uzgodnień, konsultacji publicznych i opiniowania.</w:t>
      </w:r>
    </w:p>
    <w:p w14:paraId="27F89978" w14:textId="77777777" w:rsidR="00C37061" w:rsidRPr="00E022E4" w:rsidRDefault="00C37061" w:rsidP="00E022E4">
      <w:pPr>
        <w:spacing w:after="0" w:line="300" w:lineRule="auto"/>
        <w:jc w:val="both"/>
        <w:rPr>
          <w:rFonts w:ascii="Arial" w:hAnsi="Arial" w:cs="Arial"/>
        </w:rPr>
      </w:pPr>
    </w:p>
    <w:p w14:paraId="19E66966" w14:textId="48F01510" w:rsidR="00E022E4" w:rsidRPr="00C37061" w:rsidRDefault="00C37061" w:rsidP="00AF17DC">
      <w:pPr>
        <w:pStyle w:val="Akapitzlist"/>
        <w:numPr>
          <w:ilvl w:val="0"/>
          <w:numId w:val="4"/>
        </w:numPr>
        <w:spacing w:after="0" w:line="300" w:lineRule="auto"/>
        <w:jc w:val="both"/>
        <w:rPr>
          <w:rFonts w:ascii="Arial" w:hAnsi="Arial" w:cs="Arial"/>
          <w:b/>
          <w:bCs/>
          <w:u w:val="single"/>
        </w:rPr>
      </w:pPr>
      <w:r w:rsidRPr="00C37061">
        <w:rPr>
          <w:rFonts w:ascii="Arial" w:hAnsi="Arial" w:cs="Arial"/>
          <w:b/>
          <w:bCs/>
          <w:u w:val="single"/>
        </w:rPr>
        <w:t>P</w:t>
      </w:r>
      <w:r w:rsidRPr="00C37061">
        <w:rPr>
          <w:rFonts w:ascii="Arial" w:hAnsi="Arial" w:cs="Arial"/>
          <w:b/>
          <w:bCs/>
          <w:u w:val="single"/>
        </w:rPr>
        <w:t>rojekt rozporządzenia Ministra Energii zmieniającego rozporządzenie w sprawie szczegółowych warunków funkcjonowania systemu elektroenergetycznego (18).</w:t>
      </w:r>
    </w:p>
    <w:p w14:paraId="0694DEFB" w14:textId="77777777" w:rsidR="00E022E4" w:rsidRDefault="00E022E4" w:rsidP="00E022E4">
      <w:pPr>
        <w:spacing w:after="0" w:line="300" w:lineRule="auto"/>
        <w:jc w:val="both"/>
        <w:rPr>
          <w:rFonts w:ascii="Arial" w:hAnsi="Arial" w:cs="Arial"/>
        </w:rPr>
      </w:pPr>
    </w:p>
    <w:p w14:paraId="2524F3C5" w14:textId="77777777" w:rsidR="00C37061" w:rsidRPr="00C37061" w:rsidRDefault="00C37061" w:rsidP="00C37061">
      <w:pPr>
        <w:spacing w:after="0" w:line="300" w:lineRule="auto"/>
        <w:jc w:val="both"/>
        <w:rPr>
          <w:rFonts w:ascii="Arial" w:hAnsi="Arial" w:cs="Arial"/>
        </w:rPr>
      </w:pPr>
      <w:r w:rsidRPr="00C37061">
        <w:rPr>
          <w:rFonts w:ascii="Arial" w:hAnsi="Arial" w:cs="Arial"/>
        </w:rPr>
        <w:t xml:space="preserve">Rozporządzenie w sprawie szczegółowych warunków funkcjonowania systemu elektroenergetycznego (dalej jako: rozporządzenie systemowe) określa ramy udziału operatora systemu przesyłowego elektroenergetycznego (dalej jako: OSP) w platformach bilansujących, w tym ramy zasad przekształcania ofert na potrzeby ich udostępnienia na platformy bilansujące oraz ramy zasad rozliczeń aktywowanej energii bilansującej. </w:t>
      </w:r>
    </w:p>
    <w:p w14:paraId="15A88883" w14:textId="77777777" w:rsidR="00C37061" w:rsidRPr="00C37061" w:rsidRDefault="00C37061" w:rsidP="00C37061">
      <w:pPr>
        <w:spacing w:after="0" w:line="300" w:lineRule="auto"/>
        <w:jc w:val="both"/>
        <w:rPr>
          <w:rFonts w:ascii="Arial" w:hAnsi="Arial" w:cs="Arial"/>
        </w:rPr>
      </w:pPr>
      <w:r w:rsidRPr="00C37061">
        <w:rPr>
          <w:rFonts w:ascii="Arial" w:hAnsi="Arial" w:cs="Arial"/>
        </w:rPr>
        <w:t>W wyniku realizacji obowiązku określonego w art. 21 rozporządzenia Komisji (EU) 2017/2195 ustanawiającego wytyczne dotyczące bilansowania (dalej jako: rozporządzenie 2017/2195) w lipcu 2025 r. Polska przystąpiła do europejskiej platformy wymiany energii bilansującej z rezerw odbudowy częstotliwości z aktywacją automatyczną (</w:t>
      </w:r>
      <w:proofErr w:type="spellStart"/>
      <w:r w:rsidRPr="00C37061">
        <w:rPr>
          <w:rFonts w:ascii="Arial" w:hAnsi="Arial" w:cs="Arial"/>
        </w:rPr>
        <w:t>aFRR</w:t>
      </w:r>
      <w:proofErr w:type="spellEnd"/>
      <w:r w:rsidRPr="00C37061">
        <w:rPr>
          <w:rFonts w:ascii="Arial" w:hAnsi="Arial" w:cs="Arial"/>
        </w:rPr>
        <w:t xml:space="preserve">) – platformy PICASSO (ang. </w:t>
      </w:r>
      <w:r w:rsidRPr="00C37061">
        <w:rPr>
          <w:rFonts w:ascii="Arial" w:hAnsi="Arial" w:cs="Arial"/>
          <w:lang w:val="en-GB"/>
        </w:rPr>
        <w:t xml:space="preserve">Platform for the International Coordination of Automated frequency restoration and Stable System Operation). </w:t>
      </w:r>
      <w:r w:rsidRPr="00C37061">
        <w:rPr>
          <w:rFonts w:ascii="Arial" w:hAnsi="Arial" w:cs="Arial"/>
        </w:rPr>
        <w:t xml:space="preserve">Umożliwia to transgraniczną aktywację mocy bilansujących </w:t>
      </w:r>
      <w:proofErr w:type="spellStart"/>
      <w:r w:rsidRPr="00C37061">
        <w:rPr>
          <w:rFonts w:ascii="Arial" w:hAnsi="Arial" w:cs="Arial"/>
        </w:rPr>
        <w:t>aFRR</w:t>
      </w:r>
      <w:proofErr w:type="spellEnd"/>
      <w:r w:rsidRPr="00C37061">
        <w:rPr>
          <w:rFonts w:ascii="Arial" w:hAnsi="Arial" w:cs="Arial"/>
        </w:rPr>
        <w:t xml:space="preserve"> pomiędzy polskim obszarem rynkowym a innymi obszarami rynkowymi biorącymi udział w platformie PICASSO. Oprócz platformy PICASSO funkcjonuje również europejska platforma wymiany energii bilansującej z rezerw odbudowy częstotliwości z aktywacją nieautomatyczną (</w:t>
      </w:r>
      <w:proofErr w:type="spellStart"/>
      <w:r w:rsidRPr="00C37061">
        <w:rPr>
          <w:rFonts w:ascii="Arial" w:hAnsi="Arial" w:cs="Arial"/>
        </w:rPr>
        <w:t>mFRR</w:t>
      </w:r>
      <w:proofErr w:type="spellEnd"/>
      <w:r w:rsidRPr="00C37061">
        <w:rPr>
          <w:rFonts w:ascii="Arial" w:hAnsi="Arial" w:cs="Arial"/>
        </w:rPr>
        <w:t xml:space="preserve">) – platforma MARI (ang. </w:t>
      </w:r>
      <w:proofErr w:type="spellStart"/>
      <w:r w:rsidRPr="00C37061">
        <w:rPr>
          <w:rFonts w:ascii="Arial" w:hAnsi="Arial" w:cs="Arial"/>
        </w:rPr>
        <w:t>Manually</w:t>
      </w:r>
      <w:proofErr w:type="spellEnd"/>
      <w:r w:rsidRPr="00C37061">
        <w:rPr>
          <w:rFonts w:ascii="Arial" w:hAnsi="Arial" w:cs="Arial"/>
        </w:rPr>
        <w:t xml:space="preserve"> </w:t>
      </w:r>
      <w:proofErr w:type="spellStart"/>
      <w:r w:rsidRPr="00C37061">
        <w:rPr>
          <w:rFonts w:ascii="Arial" w:hAnsi="Arial" w:cs="Arial"/>
        </w:rPr>
        <w:t>Activated</w:t>
      </w:r>
      <w:proofErr w:type="spellEnd"/>
      <w:r w:rsidRPr="00C37061">
        <w:rPr>
          <w:rFonts w:ascii="Arial" w:hAnsi="Arial" w:cs="Arial"/>
        </w:rPr>
        <w:t xml:space="preserve"> </w:t>
      </w:r>
      <w:proofErr w:type="spellStart"/>
      <w:r w:rsidRPr="00C37061">
        <w:rPr>
          <w:rFonts w:ascii="Arial" w:hAnsi="Arial" w:cs="Arial"/>
        </w:rPr>
        <w:t>Reserves</w:t>
      </w:r>
      <w:proofErr w:type="spellEnd"/>
      <w:r w:rsidRPr="00C37061">
        <w:rPr>
          <w:rFonts w:ascii="Arial" w:hAnsi="Arial" w:cs="Arial"/>
        </w:rPr>
        <w:t xml:space="preserve"> </w:t>
      </w:r>
      <w:proofErr w:type="spellStart"/>
      <w:r w:rsidRPr="00C37061">
        <w:rPr>
          <w:rFonts w:ascii="Arial" w:hAnsi="Arial" w:cs="Arial"/>
        </w:rPr>
        <w:t>Initiative</w:t>
      </w:r>
      <w:proofErr w:type="spellEnd"/>
      <w:r w:rsidRPr="00C37061">
        <w:rPr>
          <w:rFonts w:ascii="Arial" w:hAnsi="Arial" w:cs="Arial"/>
        </w:rPr>
        <w:t xml:space="preserve">). Polska planuje przystąpić do platformy MARI w ramach okna wdrożeniowego kończącego się w dniu 15 listopada 2026 r. </w:t>
      </w:r>
    </w:p>
    <w:p w14:paraId="7D89C90D" w14:textId="77777777" w:rsidR="00C37061" w:rsidRPr="00C37061" w:rsidRDefault="00C37061" w:rsidP="00C37061">
      <w:pPr>
        <w:spacing w:after="0" w:line="300" w:lineRule="auto"/>
        <w:jc w:val="both"/>
        <w:rPr>
          <w:rFonts w:ascii="Arial" w:hAnsi="Arial" w:cs="Arial"/>
        </w:rPr>
      </w:pPr>
      <w:r w:rsidRPr="00C37061">
        <w:rPr>
          <w:rFonts w:ascii="Arial" w:hAnsi="Arial" w:cs="Arial"/>
        </w:rPr>
        <w:lastRenderedPageBreak/>
        <w:t xml:space="preserve">Obecnie – tzn. w okresie udziału polskiego OSP wyłącznie w platformie PICASSO – rozwiązania prawne są wystarczające. Wraz z przystąpieniem do platformy MARI złożoność tych rozwiązań istotnie wzrośnie, a w szczególności może wystąpić nieefektywność i niejednoznaczność zasad przekształcania ofert zintegrowanego procesu </w:t>
      </w:r>
      <w:proofErr w:type="spellStart"/>
      <w:r w:rsidRPr="00C37061">
        <w:rPr>
          <w:rFonts w:ascii="Arial" w:hAnsi="Arial" w:cs="Arial"/>
        </w:rPr>
        <w:t>grafikowania</w:t>
      </w:r>
      <w:proofErr w:type="spellEnd"/>
      <w:r w:rsidRPr="00C37061">
        <w:rPr>
          <w:rFonts w:ascii="Arial" w:hAnsi="Arial" w:cs="Arial"/>
        </w:rPr>
        <w:t xml:space="preserve"> na potrzeby udziału w obu platformach. </w:t>
      </w:r>
    </w:p>
    <w:p w14:paraId="61F7193E" w14:textId="29F2F228" w:rsidR="00C37061" w:rsidRDefault="00C37061" w:rsidP="00C37061">
      <w:pPr>
        <w:spacing w:after="0" w:line="300" w:lineRule="auto"/>
        <w:jc w:val="both"/>
        <w:rPr>
          <w:rFonts w:ascii="Arial" w:hAnsi="Arial" w:cs="Arial"/>
        </w:rPr>
      </w:pPr>
      <w:r w:rsidRPr="00C37061">
        <w:rPr>
          <w:rFonts w:ascii="Arial" w:hAnsi="Arial" w:cs="Arial"/>
        </w:rPr>
        <w:t>Biorąc pod uwagę powyższe ryzyka, niezbędne jest skorygowanie zasad udziału OSP w europejskich platformach bilansujących w celu umożliwienia przystąpienia polskiego OSP do platformy MARI.</w:t>
      </w:r>
    </w:p>
    <w:p w14:paraId="3F36E571" w14:textId="77777777" w:rsidR="00C37061" w:rsidRDefault="00C37061" w:rsidP="00E022E4">
      <w:pPr>
        <w:spacing w:after="0" w:line="300" w:lineRule="auto"/>
        <w:jc w:val="both"/>
        <w:rPr>
          <w:rFonts w:ascii="Arial" w:hAnsi="Arial" w:cs="Arial"/>
        </w:rPr>
      </w:pPr>
    </w:p>
    <w:p w14:paraId="30125018" w14:textId="77777777" w:rsidR="00E47504" w:rsidRPr="00E47504" w:rsidRDefault="00E47504" w:rsidP="00E47504">
      <w:pPr>
        <w:spacing w:after="0" w:line="300" w:lineRule="auto"/>
        <w:jc w:val="both"/>
        <w:rPr>
          <w:rFonts w:ascii="Arial" w:hAnsi="Arial" w:cs="Arial"/>
        </w:rPr>
      </w:pPr>
      <w:r w:rsidRPr="00E47504">
        <w:rPr>
          <w:rFonts w:ascii="Arial" w:hAnsi="Arial" w:cs="Arial"/>
        </w:rPr>
        <w:t>Przedmiotowy projekt aktu prawnego wraz z Uzasadnieniem oraz Oceną Skutków Regulacji dostępny jest na stronach Rządowego Centrum Legislacji pod adresem:</w:t>
      </w:r>
    </w:p>
    <w:p w14:paraId="164E151E" w14:textId="1BC1E7A5" w:rsidR="00C37061" w:rsidRDefault="00E47504" w:rsidP="00E47504">
      <w:pPr>
        <w:spacing w:after="0" w:line="300" w:lineRule="auto"/>
        <w:jc w:val="both"/>
        <w:rPr>
          <w:rFonts w:ascii="Arial" w:hAnsi="Arial" w:cs="Arial"/>
        </w:rPr>
      </w:pPr>
      <w:hyperlink r:id="rId10" w:history="1">
        <w:r w:rsidRPr="00170629">
          <w:rPr>
            <w:rStyle w:val="Hipercze"/>
            <w:rFonts w:ascii="Arial" w:hAnsi="Arial" w:cs="Arial"/>
          </w:rPr>
          <w:t>https://legislacja.rcl.gov.pl/projekt/1240755</w:t>
        </w:r>
        <w:r w:rsidRPr="00170629">
          <w:rPr>
            <w:rStyle w:val="Hipercze"/>
            <w:rFonts w:ascii="Arial" w:hAnsi="Arial" w:cs="Arial"/>
          </w:rPr>
          <w:t>1</w:t>
        </w:r>
        <w:r w:rsidRPr="00170629">
          <w:rPr>
            <w:rStyle w:val="Hipercze"/>
            <w:rFonts w:ascii="Arial" w:hAnsi="Arial" w:cs="Arial"/>
          </w:rPr>
          <w:t>/katalog/13189106#13189106</w:t>
        </w:r>
      </w:hyperlink>
      <w:r>
        <w:rPr>
          <w:rFonts w:ascii="Arial" w:hAnsi="Arial" w:cs="Arial"/>
        </w:rPr>
        <w:t xml:space="preserve"> </w:t>
      </w:r>
    </w:p>
    <w:p w14:paraId="6670BF43" w14:textId="77777777" w:rsidR="00C37061" w:rsidRDefault="00C37061" w:rsidP="00E022E4">
      <w:pPr>
        <w:spacing w:after="0" w:line="300" w:lineRule="auto"/>
        <w:jc w:val="both"/>
        <w:rPr>
          <w:rFonts w:ascii="Arial" w:hAnsi="Arial" w:cs="Arial"/>
        </w:rPr>
      </w:pPr>
    </w:p>
    <w:p w14:paraId="019D45F6" w14:textId="0B20A03F" w:rsidR="00E47504" w:rsidRDefault="00E47504" w:rsidP="00E022E4">
      <w:pPr>
        <w:spacing w:after="0" w:line="300" w:lineRule="auto"/>
        <w:jc w:val="both"/>
        <w:rPr>
          <w:rFonts w:ascii="Arial" w:hAnsi="Arial" w:cs="Arial"/>
        </w:rPr>
      </w:pPr>
      <w:r w:rsidRPr="00E47504">
        <w:rPr>
          <w:rFonts w:ascii="Arial" w:hAnsi="Arial" w:cs="Arial"/>
        </w:rPr>
        <w:t>Projekt jest obecnie jednocześnie na etapie uzgodnień, konsultacji publicznych i opiniowania.</w:t>
      </w:r>
    </w:p>
    <w:p w14:paraId="32009865" w14:textId="77777777" w:rsidR="00E47504" w:rsidRPr="00E022E4" w:rsidRDefault="00E47504" w:rsidP="00E022E4">
      <w:pPr>
        <w:spacing w:after="0" w:line="300" w:lineRule="auto"/>
        <w:jc w:val="both"/>
        <w:rPr>
          <w:rFonts w:ascii="Arial" w:hAnsi="Arial" w:cs="Arial"/>
        </w:rPr>
      </w:pPr>
    </w:p>
    <w:p w14:paraId="455CFAFE" w14:textId="0B96004B" w:rsidR="00AF17DC" w:rsidRPr="008068F6" w:rsidRDefault="008068F6" w:rsidP="00AF17DC">
      <w:pPr>
        <w:pStyle w:val="Akapitzlist"/>
        <w:numPr>
          <w:ilvl w:val="0"/>
          <w:numId w:val="4"/>
        </w:numPr>
        <w:spacing w:after="0" w:line="300" w:lineRule="auto"/>
        <w:jc w:val="both"/>
        <w:rPr>
          <w:rFonts w:ascii="Arial" w:hAnsi="Arial" w:cs="Arial"/>
          <w:b/>
          <w:bCs/>
          <w:u w:val="single"/>
        </w:rPr>
      </w:pPr>
      <w:r w:rsidRPr="008068F6">
        <w:rPr>
          <w:rFonts w:ascii="Arial" w:hAnsi="Arial" w:cs="Arial"/>
          <w:b/>
          <w:bCs/>
          <w:u w:val="single"/>
        </w:rPr>
        <w:t>P</w:t>
      </w:r>
      <w:r w:rsidRPr="008068F6">
        <w:rPr>
          <w:rFonts w:ascii="Arial" w:hAnsi="Arial" w:cs="Arial"/>
          <w:b/>
          <w:bCs/>
          <w:u w:val="single"/>
        </w:rPr>
        <w:t>rojekt rozporządzenia Ministra Finansów i Gospodarki w sprawie postępowania w zakresie obejmowania przez Skarb Państwa akcji ze środków Funduszu Reprywatyzacji w roku 2026 (1049).</w:t>
      </w:r>
    </w:p>
    <w:p w14:paraId="1B15B30C" w14:textId="77777777" w:rsidR="00AF17DC" w:rsidRPr="008068F6" w:rsidRDefault="00AF17DC" w:rsidP="008068F6">
      <w:pPr>
        <w:spacing w:after="0" w:line="300" w:lineRule="auto"/>
        <w:jc w:val="both"/>
        <w:rPr>
          <w:rFonts w:ascii="Arial" w:hAnsi="Arial" w:cs="Arial"/>
        </w:rPr>
      </w:pPr>
    </w:p>
    <w:p w14:paraId="4B6DFFDC" w14:textId="77777777" w:rsidR="008068F6" w:rsidRPr="008068F6" w:rsidRDefault="008068F6" w:rsidP="008068F6">
      <w:pPr>
        <w:spacing w:after="0" w:line="300" w:lineRule="auto"/>
        <w:jc w:val="both"/>
        <w:rPr>
          <w:rFonts w:ascii="Arial" w:eastAsia="Calibri" w:hAnsi="Arial" w:cs="Arial"/>
        </w:rPr>
      </w:pPr>
      <w:r w:rsidRPr="008068F6">
        <w:rPr>
          <w:rFonts w:ascii="Arial" w:eastAsia="Calibri" w:hAnsi="Arial" w:cs="Arial"/>
        </w:rPr>
        <w:t>Projektowane rozporządzenie stanowi wykonanie upoważnienia zawartego w art. 69h ust. 4a ustawy z dnia 30 sierpnia 1996 r. o komercjalizacji i niektórych uprawnieniach pracowników dla ministra właściwego do spraw finansów publicznych do określenia, w drodze rozporządzenia, szczegółowego sposobu postępowania w zakresie obejmowania przez Skarb Państwa, reprezentowany przez ministra właściwego do spraw aktywów państwowych, akcji ze środków Funduszu Reprywatyzacji, zwanego dalej „Funduszem”.</w:t>
      </w:r>
    </w:p>
    <w:p w14:paraId="55FD71B0" w14:textId="77777777" w:rsidR="008068F6" w:rsidRPr="008068F6" w:rsidRDefault="008068F6" w:rsidP="008068F6">
      <w:pPr>
        <w:spacing w:after="0" w:line="300" w:lineRule="auto"/>
        <w:jc w:val="both"/>
        <w:rPr>
          <w:rFonts w:ascii="Arial" w:eastAsia="Calibri" w:hAnsi="Arial" w:cs="Arial"/>
        </w:rPr>
      </w:pPr>
      <w:r w:rsidRPr="008068F6">
        <w:rPr>
          <w:rFonts w:ascii="Arial" w:eastAsia="Calibri" w:hAnsi="Arial" w:cs="Arial"/>
        </w:rPr>
        <w:t>Zgodnie z art. 69h ust. 1b tej ustawy, wprowadzonym ustawą z 7 listopada 2025 r. o szczególnych rozwiązaniach służących realizacji ustawy budżetowej na rok 2026 (Dz. U. poz. 1840), środki Funduszu mogą być przeznaczane na obejmowanie akcji w spółkach w roku 2026.</w:t>
      </w:r>
    </w:p>
    <w:p w14:paraId="76FF53D0" w14:textId="77777777" w:rsidR="008068F6" w:rsidRPr="008068F6" w:rsidRDefault="008068F6" w:rsidP="008068F6">
      <w:pPr>
        <w:spacing w:after="0" w:line="300" w:lineRule="auto"/>
        <w:jc w:val="both"/>
        <w:rPr>
          <w:rFonts w:ascii="Arial" w:eastAsia="Calibri" w:hAnsi="Arial" w:cs="Arial"/>
        </w:rPr>
      </w:pPr>
      <w:r w:rsidRPr="008068F6">
        <w:rPr>
          <w:rFonts w:ascii="Arial" w:eastAsia="Calibri" w:hAnsi="Arial" w:cs="Arial"/>
        </w:rPr>
        <w:t>Projektowane rozporządzenie było poprzedzone rozporządzeniem Ministra Finansów z dnia 15 lutego 2025 r. w sprawie szczegółowego sposobu postępowania w zakresie nabywania i obejmowania przez Skarb Państwa akcji ze środków Funduszu Reprywatyzacji w roku 2025 (Dz. U. poz. 215), które obowiązywało do dnia 31 grudnia 2025 r.</w:t>
      </w:r>
    </w:p>
    <w:p w14:paraId="3C3F3B76" w14:textId="77777777" w:rsidR="008068F6" w:rsidRPr="008068F6" w:rsidRDefault="008068F6" w:rsidP="008068F6">
      <w:pPr>
        <w:spacing w:after="0" w:line="300" w:lineRule="auto"/>
        <w:jc w:val="both"/>
        <w:rPr>
          <w:rFonts w:ascii="Arial" w:eastAsia="Calibri" w:hAnsi="Arial" w:cs="Arial"/>
        </w:rPr>
      </w:pPr>
      <w:r w:rsidRPr="008068F6">
        <w:rPr>
          <w:rFonts w:ascii="Arial" w:eastAsia="Calibri" w:hAnsi="Arial" w:cs="Arial"/>
        </w:rPr>
        <w:t>Proponowane rozwiązania na 2026 r. odpowiadają, co do zasady, ukształtowanym w praktyce rozwiązaniom dotyczącym obejmowania akcji przyjętym w roku 2025. W stosunku do dotychczasowych rozwiązań zmiany obejmują zawężenie przeznaczenia środków finansowych uzyskanych przez spółkę do wzmocnienia potencjału militarnego lub bezpieczeństwa energetycznego lub żywnościowego lub zdrowotnego (zgodnie z brzmieniem art. 69h ust 1b ustawy z dnia 30 sierpnia 1996 r. o komercjalizacji i niektórych uprawnieniach pracowników), a także konieczność wystąpienia przez ministra właściwego do spraw aktywów państwowych do dysponenta Funduszu o wyrażenie zgody na objęcie akcji ze środków Funduszu.</w:t>
      </w:r>
    </w:p>
    <w:p w14:paraId="60D90318" w14:textId="77777777" w:rsidR="008068F6" w:rsidRPr="008068F6" w:rsidRDefault="008068F6" w:rsidP="008068F6">
      <w:pPr>
        <w:spacing w:after="0" w:line="300" w:lineRule="auto"/>
        <w:jc w:val="both"/>
        <w:rPr>
          <w:rFonts w:ascii="Arial" w:eastAsia="Calibri" w:hAnsi="Arial" w:cs="Arial"/>
        </w:rPr>
      </w:pPr>
      <w:r w:rsidRPr="008068F6">
        <w:rPr>
          <w:rFonts w:ascii="Arial" w:eastAsia="Calibri" w:hAnsi="Arial" w:cs="Arial"/>
        </w:rPr>
        <w:t>Rekomendowane rozwiązania:</w:t>
      </w:r>
    </w:p>
    <w:p w14:paraId="005898C6" w14:textId="77777777" w:rsidR="008068F6" w:rsidRPr="008068F6" w:rsidRDefault="008068F6" w:rsidP="008068F6">
      <w:pPr>
        <w:pStyle w:val="Akapitzlist"/>
        <w:numPr>
          <w:ilvl w:val="0"/>
          <w:numId w:val="7"/>
        </w:numPr>
        <w:spacing w:after="0" w:line="300" w:lineRule="auto"/>
        <w:jc w:val="both"/>
        <w:rPr>
          <w:rFonts w:ascii="Arial" w:eastAsia="Calibri" w:hAnsi="Arial" w:cs="Arial"/>
        </w:rPr>
      </w:pPr>
      <w:r w:rsidRPr="008068F6">
        <w:rPr>
          <w:rFonts w:ascii="Arial" w:eastAsia="Calibri" w:hAnsi="Arial" w:cs="Arial"/>
        </w:rPr>
        <w:lastRenderedPageBreak/>
        <w:t>Umowę inwestycyjną dotyczącą objęcia akcji przez Skarb Państwa ze środków Funduszu będzie zawierać minister właściwy do spraw aktywów państwowych.</w:t>
      </w:r>
    </w:p>
    <w:p w14:paraId="61E98A5E" w14:textId="77777777" w:rsidR="008068F6" w:rsidRPr="008068F6" w:rsidRDefault="008068F6" w:rsidP="008068F6">
      <w:pPr>
        <w:pStyle w:val="Akapitzlist"/>
        <w:numPr>
          <w:ilvl w:val="0"/>
          <w:numId w:val="7"/>
        </w:numPr>
        <w:spacing w:after="0" w:line="300" w:lineRule="auto"/>
        <w:jc w:val="both"/>
        <w:rPr>
          <w:rFonts w:ascii="Arial" w:eastAsia="Calibri" w:hAnsi="Arial" w:cs="Arial"/>
        </w:rPr>
      </w:pPr>
      <w:r w:rsidRPr="008068F6">
        <w:rPr>
          <w:rFonts w:ascii="Arial" w:eastAsia="Calibri" w:hAnsi="Arial" w:cs="Arial"/>
        </w:rPr>
        <w:t>Użycie środków Funduszu z przeznaczeniem na objęcie akcji będzie możliwe po uzyskaniu zgody dysponenta, środki finansowe uzyskane przez spółkę tytułu objęcia akcji będą przeznaczone na wzmocnienie potencjału militarnego lub bezpieczeństwa energetycznego lub żywnościowego lub zdrowotnego.</w:t>
      </w:r>
    </w:p>
    <w:p w14:paraId="576E18F5" w14:textId="77777777" w:rsidR="008068F6" w:rsidRPr="008068F6" w:rsidRDefault="008068F6" w:rsidP="008068F6">
      <w:pPr>
        <w:pStyle w:val="Akapitzlist"/>
        <w:numPr>
          <w:ilvl w:val="0"/>
          <w:numId w:val="7"/>
        </w:numPr>
        <w:spacing w:after="0" w:line="300" w:lineRule="auto"/>
        <w:jc w:val="both"/>
        <w:rPr>
          <w:rFonts w:ascii="Arial" w:eastAsia="Calibri" w:hAnsi="Arial" w:cs="Arial"/>
        </w:rPr>
      </w:pPr>
      <w:r w:rsidRPr="008068F6">
        <w:rPr>
          <w:rFonts w:ascii="Arial" w:eastAsia="Calibri" w:hAnsi="Arial" w:cs="Arial"/>
        </w:rPr>
        <w:t>W celu stwierdzenia, czy Skarb Państwa obejmując akcje będzie działał na warunkach akceptowalnych dla inwestora prywatnego, niezależny podmiot zewnętrzny o uznanej pozycji na rynku świadczonych usług będzie sporządzał test prywatnego inwestora.</w:t>
      </w:r>
    </w:p>
    <w:p w14:paraId="35C04AF1" w14:textId="77777777" w:rsidR="008068F6" w:rsidRPr="008068F6" w:rsidRDefault="008068F6" w:rsidP="008068F6">
      <w:pPr>
        <w:pStyle w:val="Akapitzlist"/>
        <w:numPr>
          <w:ilvl w:val="0"/>
          <w:numId w:val="7"/>
        </w:numPr>
        <w:spacing w:after="0" w:line="300" w:lineRule="auto"/>
        <w:jc w:val="both"/>
        <w:rPr>
          <w:rFonts w:ascii="Arial" w:eastAsia="Calibri" w:hAnsi="Arial" w:cs="Arial"/>
        </w:rPr>
      </w:pPr>
      <w:r w:rsidRPr="008068F6">
        <w:rPr>
          <w:rFonts w:ascii="Arial" w:eastAsia="Calibri" w:hAnsi="Arial" w:cs="Arial"/>
        </w:rPr>
        <w:t>Dysponent Funduszu będzie prowadził obsługę finansowo-księgową realizacji umowy inwestycyjnej dotyczącej objęcia akcji oraz umowy objęcia akcji ze środków Funduszu.</w:t>
      </w:r>
    </w:p>
    <w:p w14:paraId="13CA70B5" w14:textId="0BDAEDFA" w:rsidR="008068F6" w:rsidRPr="008068F6" w:rsidRDefault="008068F6" w:rsidP="008068F6">
      <w:pPr>
        <w:spacing w:after="0" w:line="300" w:lineRule="auto"/>
        <w:jc w:val="both"/>
        <w:rPr>
          <w:rFonts w:ascii="Arial" w:hAnsi="Arial" w:cs="Arial"/>
        </w:rPr>
      </w:pPr>
      <w:r w:rsidRPr="008068F6">
        <w:rPr>
          <w:rFonts w:ascii="Arial" w:eastAsia="Calibri" w:hAnsi="Arial" w:cs="Arial"/>
        </w:rPr>
        <w:t>Wprowadzone rozwiązania uwzględniają potrzebę zapewnienia prawidłowej gospodarki finansowej Funduszu oraz ochronę interesów Skarbu Państwa</w:t>
      </w:r>
      <w:r w:rsidRPr="008068F6">
        <w:rPr>
          <w:rFonts w:ascii="Arial" w:eastAsia="Calibri" w:hAnsi="Arial" w:cs="Arial"/>
        </w:rPr>
        <w:t>.</w:t>
      </w:r>
    </w:p>
    <w:p w14:paraId="2A82A5DB" w14:textId="77777777" w:rsidR="00AF17DC" w:rsidRDefault="00AF17DC" w:rsidP="00AF17DC">
      <w:pPr>
        <w:spacing w:after="0" w:line="300" w:lineRule="auto"/>
        <w:jc w:val="both"/>
        <w:rPr>
          <w:rFonts w:ascii="Arial" w:hAnsi="Arial" w:cs="Arial"/>
        </w:rPr>
      </w:pPr>
    </w:p>
    <w:p w14:paraId="333253E0" w14:textId="77777777" w:rsidR="008068F6" w:rsidRPr="008068F6" w:rsidRDefault="008068F6" w:rsidP="008068F6">
      <w:pPr>
        <w:spacing w:after="0" w:line="300" w:lineRule="auto"/>
        <w:jc w:val="both"/>
        <w:rPr>
          <w:rFonts w:ascii="Arial" w:hAnsi="Arial" w:cs="Arial"/>
        </w:rPr>
      </w:pPr>
      <w:r w:rsidRPr="008068F6">
        <w:rPr>
          <w:rFonts w:ascii="Arial" w:hAnsi="Arial" w:cs="Arial"/>
        </w:rPr>
        <w:t>Przedmiotowy projekt aktu prawnego wraz z Uzasadnieniem oraz Oceną Skutków Regulacji dostępny jest na stronach Rządowego Centrum Legislacji pod adresem:</w:t>
      </w:r>
    </w:p>
    <w:p w14:paraId="393BC47F" w14:textId="2D70E9A2" w:rsidR="00AF17DC" w:rsidRPr="00A96E77" w:rsidRDefault="008068F6" w:rsidP="008068F6">
      <w:pPr>
        <w:spacing w:after="0" w:line="300" w:lineRule="auto"/>
        <w:jc w:val="both"/>
        <w:rPr>
          <w:rFonts w:ascii="Arial" w:hAnsi="Arial" w:cs="Arial"/>
        </w:rPr>
      </w:pPr>
      <w:hyperlink r:id="rId11" w:history="1">
        <w:r w:rsidRPr="00170629">
          <w:rPr>
            <w:rStyle w:val="Hipercze"/>
            <w:rFonts w:ascii="Arial" w:hAnsi="Arial" w:cs="Arial"/>
          </w:rPr>
          <w:t>https://legislacja.rcl.gov.pl/projekt/12407650/</w:t>
        </w:r>
        <w:r w:rsidRPr="00170629">
          <w:rPr>
            <w:rStyle w:val="Hipercze"/>
            <w:rFonts w:ascii="Arial" w:hAnsi="Arial" w:cs="Arial"/>
          </w:rPr>
          <w:t>k</w:t>
        </w:r>
        <w:r w:rsidRPr="00170629">
          <w:rPr>
            <w:rStyle w:val="Hipercze"/>
            <w:rFonts w:ascii="Arial" w:hAnsi="Arial" w:cs="Arial"/>
          </w:rPr>
          <w:t>atalog/13189514#13189514</w:t>
        </w:r>
      </w:hyperlink>
      <w:r>
        <w:rPr>
          <w:rFonts w:ascii="Arial" w:hAnsi="Arial" w:cs="Arial"/>
        </w:rPr>
        <w:t xml:space="preserve"> </w:t>
      </w:r>
    </w:p>
    <w:p w14:paraId="44EE0438" w14:textId="77777777" w:rsidR="00AF17DC" w:rsidRPr="00042C7F" w:rsidRDefault="00AF17DC" w:rsidP="008068F6">
      <w:pPr>
        <w:spacing w:after="0" w:line="300" w:lineRule="auto"/>
        <w:jc w:val="both"/>
        <w:rPr>
          <w:rFonts w:ascii="Arial" w:hAnsi="Arial" w:cs="Arial"/>
        </w:rPr>
      </w:pPr>
    </w:p>
    <w:p w14:paraId="7A24A824" w14:textId="5A73733F" w:rsidR="00AF17DC" w:rsidRPr="00042C7F" w:rsidRDefault="008068F6" w:rsidP="008068F6">
      <w:pPr>
        <w:spacing w:after="0" w:line="300" w:lineRule="auto"/>
        <w:jc w:val="both"/>
        <w:rPr>
          <w:rFonts w:ascii="Arial" w:hAnsi="Arial" w:cs="Arial"/>
        </w:rPr>
      </w:pPr>
      <w:r w:rsidRPr="008068F6">
        <w:rPr>
          <w:rFonts w:ascii="Arial" w:hAnsi="Arial" w:cs="Arial"/>
        </w:rPr>
        <w:t>Projekt jest obecnie jednocześnie na etapie uzgodnień i opiniowania.</w:t>
      </w:r>
    </w:p>
    <w:p w14:paraId="7766B96D" w14:textId="77777777" w:rsidR="00AF17DC" w:rsidRDefault="00AF17DC" w:rsidP="008068F6">
      <w:pPr>
        <w:spacing w:after="0" w:line="300" w:lineRule="auto"/>
        <w:jc w:val="both"/>
        <w:rPr>
          <w:rFonts w:ascii="Arial" w:hAnsi="Arial" w:cs="Arial"/>
        </w:rPr>
      </w:pPr>
    </w:p>
    <w:p w14:paraId="2F0A3444" w14:textId="77777777" w:rsidR="008068F6" w:rsidRPr="008068F6" w:rsidRDefault="008068F6" w:rsidP="008068F6">
      <w:pPr>
        <w:spacing w:after="0" w:line="300" w:lineRule="auto"/>
        <w:rPr>
          <w:rFonts w:ascii="Arial" w:hAnsi="Arial" w:cs="Arial"/>
          <w:b/>
          <w:bCs/>
        </w:rPr>
      </w:pPr>
      <w:r w:rsidRPr="008068F6">
        <w:rPr>
          <w:rFonts w:ascii="Arial" w:hAnsi="Arial" w:cs="Arial"/>
          <w:b/>
          <w:bCs/>
        </w:rPr>
        <w:t>II. Stanowiska Związku Pracodawców Polska Miedź</w:t>
      </w:r>
    </w:p>
    <w:p w14:paraId="3583EF4B" w14:textId="77777777" w:rsidR="008068F6" w:rsidRPr="008068F6" w:rsidRDefault="008068F6" w:rsidP="008068F6">
      <w:pPr>
        <w:spacing w:after="0" w:line="300" w:lineRule="auto"/>
        <w:rPr>
          <w:rFonts w:ascii="Arial" w:hAnsi="Arial" w:cs="Arial"/>
        </w:rPr>
      </w:pPr>
    </w:p>
    <w:p w14:paraId="217FF1E1" w14:textId="3C981912" w:rsidR="008068F6" w:rsidRPr="008068F6" w:rsidRDefault="008068F6" w:rsidP="008068F6">
      <w:pPr>
        <w:spacing w:after="0" w:line="300" w:lineRule="auto"/>
        <w:jc w:val="both"/>
        <w:rPr>
          <w:rFonts w:ascii="Arial" w:hAnsi="Arial" w:cs="Arial"/>
        </w:rPr>
      </w:pPr>
      <w:r w:rsidRPr="008068F6">
        <w:rPr>
          <w:rFonts w:ascii="Arial" w:hAnsi="Arial" w:cs="Arial"/>
        </w:rPr>
        <w:t xml:space="preserve">Na podstawie opinii i ekspertyz podmiotów członkowskich Związku Pracodawców Polska Miedź przygotowano </w:t>
      </w:r>
      <w:r>
        <w:rPr>
          <w:rFonts w:ascii="Arial" w:hAnsi="Arial" w:cs="Arial"/>
        </w:rPr>
        <w:t>jedno</w:t>
      </w:r>
      <w:r w:rsidRPr="008068F6">
        <w:rPr>
          <w:rFonts w:ascii="Arial" w:hAnsi="Arial" w:cs="Arial"/>
        </w:rPr>
        <w:t xml:space="preserve"> stanowisk</w:t>
      </w:r>
      <w:r>
        <w:rPr>
          <w:rFonts w:ascii="Arial" w:hAnsi="Arial" w:cs="Arial"/>
        </w:rPr>
        <w:t>o</w:t>
      </w:r>
      <w:r w:rsidRPr="008068F6">
        <w:rPr>
          <w:rFonts w:ascii="Arial" w:hAnsi="Arial" w:cs="Arial"/>
        </w:rPr>
        <w:t xml:space="preserve"> do opublikowanych projektów aktów prawnych oraz dokumentów strategicznych.</w:t>
      </w:r>
    </w:p>
    <w:p w14:paraId="446F1237" w14:textId="77777777" w:rsidR="008068F6" w:rsidRPr="008068F6" w:rsidRDefault="008068F6" w:rsidP="008068F6">
      <w:pPr>
        <w:spacing w:after="0" w:line="300" w:lineRule="auto"/>
        <w:jc w:val="both"/>
        <w:rPr>
          <w:rFonts w:ascii="Arial" w:hAnsi="Arial" w:cs="Arial"/>
        </w:rPr>
      </w:pPr>
    </w:p>
    <w:p w14:paraId="741A9AC6" w14:textId="2B038D59" w:rsidR="008068F6" w:rsidRPr="008068F6" w:rsidRDefault="008068F6" w:rsidP="008068F6">
      <w:pPr>
        <w:spacing w:after="0" w:line="300" w:lineRule="auto"/>
        <w:ind w:left="567"/>
        <w:jc w:val="both"/>
        <w:rPr>
          <w:rFonts w:ascii="Arial" w:hAnsi="Arial" w:cs="Arial"/>
          <w:b/>
          <w:bCs/>
          <w:u w:val="single"/>
        </w:rPr>
      </w:pPr>
      <w:r w:rsidRPr="008068F6">
        <w:rPr>
          <w:rFonts w:ascii="Arial" w:hAnsi="Arial" w:cs="Arial"/>
          <w:b/>
          <w:bCs/>
          <w:u w:val="single"/>
        </w:rPr>
        <w:t>Stanowisko Związku Pracodawców Polska Miedź (uwagi Związku Pracodawców Polska Miedź) do projektu rozporządzenia Ministra Klimatu i Środowiska w sprawie korzystania z informacji geologicznej za wynagrodzeniem.</w:t>
      </w:r>
    </w:p>
    <w:p w14:paraId="3BB0931E" w14:textId="77777777" w:rsidR="008068F6" w:rsidRPr="008068F6" w:rsidRDefault="008068F6" w:rsidP="008068F6">
      <w:pPr>
        <w:spacing w:after="0" w:line="300" w:lineRule="auto"/>
        <w:jc w:val="both"/>
        <w:rPr>
          <w:rFonts w:ascii="Arial" w:hAnsi="Arial" w:cs="Arial"/>
        </w:rPr>
      </w:pPr>
    </w:p>
    <w:p w14:paraId="0008C30A" w14:textId="04009853" w:rsidR="008068F6" w:rsidRPr="008068F6" w:rsidRDefault="008068F6" w:rsidP="008068F6">
      <w:pPr>
        <w:spacing w:after="0" w:line="300" w:lineRule="auto"/>
        <w:jc w:val="both"/>
        <w:rPr>
          <w:rFonts w:ascii="Arial" w:hAnsi="Arial" w:cs="Arial"/>
        </w:rPr>
      </w:pPr>
      <w:r w:rsidRPr="008068F6">
        <w:rPr>
          <w:rFonts w:ascii="Arial" w:hAnsi="Arial" w:cs="Arial"/>
        </w:rPr>
        <w:t>Projekt z dnia 2</w:t>
      </w:r>
      <w:r>
        <w:rPr>
          <w:rFonts w:ascii="Arial" w:hAnsi="Arial" w:cs="Arial"/>
        </w:rPr>
        <w:t>2</w:t>
      </w:r>
      <w:r w:rsidRPr="008068F6">
        <w:rPr>
          <w:rFonts w:ascii="Arial" w:hAnsi="Arial" w:cs="Arial"/>
        </w:rPr>
        <w:t xml:space="preserve"> stycznia 2026 roku, opublikowany na stronie BIP Rządowego Centrum Legislacji w dniu </w:t>
      </w:r>
      <w:r>
        <w:rPr>
          <w:rFonts w:ascii="Arial" w:hAnsi="Arial" w:cs="Arial"/>
        </w:rPr>
        <w:t>17 lutego</w:t>
      </w:r>
      <w:r w:rsidRPr="008068F6">
        <w:rPr>
          <w:rFonts w:ascii="Arial" w:hAnsi="Arial" w:cs="Arial"/>
        </w:rPr>
        <w:t xml:space="preserve"> 2026 roku (nr </w:t>
      </w:r>
      <w:r>
        <w:rPr>
          <w:rFonts w:ascii="Arial" w:hAnsi="Arial" w:cs="Arial"/>
        </w:rPr>
        <w:t>1212</w:t>
      </w:r>
      <w:r w:rsidRPr="008068F6">
        <w:rPr>
          <w:rFonts w:ascii="Arial" w:hAnsi="Arial" w:cs="Arial"/>
        </w:rPr>
        <w:t xml:space="preserve"> w Wykazie prac legislacyjnych i programowych Rady Ministrów).</w:t>
      </w:r>
    </w:p>
    <w:p w14:paraId="509E6929" w14:textId="1572BA41" w:rsidR="008068F6" w:rsidRDefault="008068F6" w:rsidP="008068F6">
      <w:pPr>
        <w:spacing w:after="0" w:line="300" w:lineRule="auto"/>
        <w:jc w:val="both"/>
        <w:rPr>
          <w:rFonts w:ascii="Arial" w:hAnsi="Arial" w:cs="Arial"/>
        </w:rPr>
      </w:pPr>
      <w:r w:rsidRPr="008068F6">
        <w:rPr>
          <w:rFonts w:ascii="Arial" w:hAnsi="Arial" w:cs="Arial"/>
        </w:rPr>
        <w:t xml:space="preserve">Przedmiotowe stanowisko zostało przesłane do </w:t>
      </w:r>
      <w:r>
        <w:rPr>
          <w:rFonts w:ascii="Arial" w:hAnsi="Arial" w:cs="Arial"/>
        </w:rPr>
        <w:t>Ministerstwa Klimatu i Środowiska</w:t>
      </w:r>
      <w:r w:rsidRPr="008068F6">
        <w:rPr>
          <w:rFonts w:ascii="Arial" w:hAnsi="Arial" w:cs="Arial"/>
        </w:rPr>
        <w:t xml:space="preserve"> oraz reprezentatywnych organizacji pracodawców, z którymi Związek Pracodawców Polska Miedź współpracuje.</w:t>
      </w:r>
    </w:p>
    <w:p w14:paraId="5C68F548" w14:textId="77777777" w:rsidR="008068F6" w:rsidRPr="00CB4A6E" w:rsidRDefault="008068F6" w:rsidP="00AF17DC">
      <w:pPr>
        <w:spacing w:after="0" w:line="300" w:lineRule="auto"/>
        <w:rPr>
          <w:rFonts w:ascii="Arial" w:hAnsi="Arial" w:cs="Arial"/>
        </w:rPr>
      </w:pPr>
    </w:p>
    <w:p w14:paraId="3AE4736C" w14:textId="4196BEB2" w:rsidR="00AF17DC" w:rsidRDefault="00AF17DC" w:rsidP="00AF17DC">
      <w:pPr>
        <w:spacing w:after="0" w:line="300" w:lineRule="auto"/>
        <w:jc w:val="both"/>
        <w:rPr>
          <w:rFonts w:ascii="Arial" w:hAnsi="Arial" w:cs="Arial"/>
          <w:b/>
        </w:rPr>
      </w:pPr>
      <w:r>
        <w:rPr>
          <w:rFonts w:ascii="Arial" w:hAnsi="Arial" w:cs="Arial"/>
          <w:b/>
        </w:rPr>
        <w:t>I</w:t>
      </w:r>
      <w:r w:rsidR="008068F6">
        <w:rPr>
          <w:rFonts w:ascii="Arial" w:hAnsi="Arial" w:cs="Arial"/>
          <w:b/>
        </w:rPr>
        <w:t>I</w:t>
      </w:r>
      <w:r>
        <w:rPr>
          <w:rFonts w:ascii="Arial" w:hAnsi="Arial" w:cs="Arial"/>
          <w:b/>
        </w:rPr>
        <w:t>I. Ogłoszone akty prawne (Dziennik Ustaw RP)</w:t>
      </w:r>
    </w:p>
    <w:p w14:paraId="692CD491" w14:textId="77777777" w:rsidR="00AF17DC" w:rsidRDefault="00AF17DC" w:rsidP="00AF17DC">
      <w:pPr>
        <w:spacing w:after="0" w:line="300" w:lineRule="auto"/>
        <w:jc w:val="both"/>
        <w:rPr>
          <w:rFonts w:ascii="Arial" w:hAnsi="Arial" w:cs="Arial"/>
        </w:rPr>
      </w:pPr>
    </w:p>
    <w:p w14:paraId="41F0B864" w14:textId="5002FFDE" w:rsidR="00AF17DC" w:rsidRDefault="00AF17DC" w:rsidP="00EB4E47">
      <w:pPr>
        <w:spacing w:after="0" w:line="300" w:lineRule="auto"/>
        <w:jc w:val="both"/>
        <w:rPr>
          <w:rFonts w:ascii="Arial" w:hAnsi="Arial" w:cs="Arial"/>
        </w:rPr>
      </w:pPr>
      <w:r>
        <w:rPr>
          <w:rFonts w:ascii="Arial" w:hAnsi="Arial" w:cs="Arial"/>
        </w:rPr>
        <w:t xml:space="preserve">W analizowanym okresie ogłoszono </w:t>
      </w:r>
      <w:r w:rsidR="00DF7D96">
        <w:rPr>
          <w:rFonts w:ascii="Arial" w:hAnsi="Arial" w:cs="Arial"/>
        </w:rPr>
        <w:t>44</w:t>
      </w:r>
      <w:r>
        <w:rPr>
          <w:rFonts w:ascii="Arial" w:hAnsi="Arial" w:cs="Arial"/>
        </w:rPr>
        <w:t xml:space="preserve"> akt</w:t>
      </w:r>
      <w:r w:rsidR="00DF7D96">
        <w:rPr>
          <w:rFonts w:ascii="Arial" w:hAnsi="Arial" w:cs="Arial"/>
        </w:rPr>
        <w:t>y</w:t>
      </w:r>
      <w:r>
        <w:rPr>
          <w:rFonts w:ascii="Arial" w:hAnsi="Arial" w:cs="Arial"/>
        </w:rPr>
        <w:t xml:space="preserve"> prawn</w:t>
      </w:r>
      <w:r w:rsidR="00DF7D96">
        <w:rPr>
          <w:rFonts w:ascii="Arial" w:hAnsi="Arial" w:cs="Arial"/>
        </w:rPr>
        <w:t>e</w:t>
      </w:r>
      <w:r>
        <w:rPr>
          <w:rFonts w:ascii="Arial" w:hAnsi="Arial" w:cs="Arial"/>
        </w:rPr>
        <w:t xml:space="preserve">, tzn. ustawy, rozporządzenia Rady Ministrów, Prezesa Rady Ministrów i poszczególnych ministrów, obwieszczenia w sprawie ogłoszenia tekstu jednolitego. </w:t>
      </w:r>
    </w:p>
    <w:p w14:paraId="18681FB2" w14:textId="77777777" w:rsidR="00580328" w:rsidRDefault="00580328" w:rsidP="00AF17DC">
      <w:pPr>
        <w:spacing w:after="0" w:line="300" w:lineRule="auto"/>
      </w:pPr>
    </w:p>
    <w:sectPr w:rsidR="0058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C45C31"/>
    <w:multiLevelType w:val="hybridMultilevel"/>
    <w:tmpl w:val="021C5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576195D"/>
    <w:multiLevelType w:val="hybridMultilevel"/>
    <w:tmpl w:val="979836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1"/>
  </w:num>
  <w:num w:numId="2" w16cid:durableId="311831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0"/>
  </w:num>
  <w:num w:numId="4" w16cid:durableId="5788216">
    <w:abstractNumId w:val="4"/>
  </w:num>
  <w:num w:numId="5" w16cid:durableId="1820147117">
    <w:abstractNumId w:val="3"/>
  </w:num>
  <w:num w:numId="6" w16cid:durableId="1751580803">
    <w:abstractNumId w:val="2"/>
  </w:num>
  <w:num w:numId="7" w16cid:durableId="3758589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DC"/>
    <w:rsid w:val="00331F3F"/>
    <w:rsid w:val="004B188E"/>
    <w:rsid w:val="004E00FE"/>
    <w:rsid w:val="00580328"/>
    <w:rsid w:val="005C5564"/>
    <w:rsid w:val="008068F6"/>
    <w:rsid w:val="00A903DC"/>
    <w:rsid w:val="00AF17DC"/>
    <w:rsid w:val="00C37061"/>
    <w:rsid w:val="00C633B8"/>
    <w:rsid w:val="00CC7E4A"/>
    <w:rsid w:val="00DF7D96"/>
    <w:rsid w:val="00E022E4"/>
    <w:rsid w:val="00E47504"/>
    <w:rsid w:val="00EB4E47"/>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E0D8D"/>
  <w15:chartTrackingRefBased/>
  <w15:docId w15:val="{21A51743-6C5E-4901-8434-EA93B86B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17DC"/>
    <w:pPr>
      <w:spacing w:after="200" w:line="276" w:lineRule="auto"/>
    </w:pPr>
    <w:rPr>
      <w:kern w:val="0"/>
      <w14:ligatures w14:val="none"/>
    </w:rPr>
  </w:style>
  <w:style w:type="paragraph" w:styleId="Nagwek1">
    <w:name w:val="heading 1"/>
    <w:basedOn w:val="Normalny"/>
    <w:next w:val="Normalny"/>
    <w:link w:val="Nagwek1Znak"/>
    <w:uiPriority w:val="9"/>
    <w:qFormat/>
    <w:rsid w:val="00AF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F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F17D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F17D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F17D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F17D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F17D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F17D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F17D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F17D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F17D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F17D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F17D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F17D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F17D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F17D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F17D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F17DC"/>
    <w:rPr>
      <w:rFonts w:eastAsiaTheme="majorEastAsia" w:cstheme="majorBidi"/>
      <w:color w:val="272727" w:themeColor="text1" w:themeTint="D8"/>
    </w:rPr>
  </w:style>
  <w:style w:type="paragraph" w:styleId="Tytu">
    <w:name w:val="Title"/>
    <w:basedOn w:val="Normalny"/>
    <w:next w:val="Normalny"/>
    <w:link w:val="TytuZnak"/>
    <w:uiPriority w:val="10"/>
    <w:qFormat/>
    <w:rsid w:val="00AF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F17D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F17D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F17D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F17DC"/>
    <w:pPr>
      <w:spacing w:before="160"/>
      <w:jc w:val="center"/>
    </w:pPr>
    <w:rPr>
      <w:i/>
      <w:iCs/>
      <w:color w:val="404040" w:themeColor="text1" w:themeTint="BF"/>
    </w:rPr>
  </w:style>
  <w:style w:type="character" w:customStyle="1" w:styleId="CytatZnak">
    <w:name w:val="Cytat Znak"/>
    <w:basedOn w:val="Domylnaczcionkaakapitu"/>
    <w:link w:val="Cytat"/>
    <w:uiPriority w:val="29"/>
    <w:rsid w:val="00AF17DC"/>
    <w:rPr>
      <w:i/>
      <w:iCs/>
      <w:color w:val="404040" w:themeColor="text1" w:themeTint="BF"/>
    </w:rPr>
  </w:style>
  <w:style w:type="paragraph" w:styleId="Akapitzlist">
    <w:name w:val="List Paragraph"/>
    <w:basedOn w:val="Normalny"/>
    <w:uiPriority w:val="34"/>
    <w:qFormat/>
    <w:rsid w:val="00AF17DC"/>
    <w:pPr>
      <w:ind w:left="720"/>
      <w:contextualSpacing/>
    </w:pPr>
  </w:style>
  <w:style w:type="character" w:styleId="Wyrnienieintensywne">
    <w:name w:val="Intense Emphasis"/>
    <w:basedOn w:val="Domylnaczcionkaakapitu"/>
    <w:uiPriority w:val="21"/>
    <w:qFormat/>
    <w:rsid w:val="00AF17DC"/>
    <w:rPr>
      <w:i/>
      <w:iCs/>
      <w:color w:val="0F4761" w:themeColor="accent1" w:themeShade="BF"/>
    </w:rPr>
  </w:style>
  <w:style w:type="paragraph" w:styleId="Cytatintensywny">
    <w:name w:val="Intense Quote"/>
    <w:basedOn w:val="Normalny"/>
    <w:next w:val="Normalny"/>
    <w:link w:val="CytatintensywnyZnak"/>
    <w:uiPriority w:val="30"/>
    <w:qFormat/>
    <w:rsid w:val="00AF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F17DC"/>
    <w:rPr>
      <w:i/>
      <w:iCs/>
      <w:color w:val="0F4761" w:themeColor="accent1" w:themeShade="BF"/>
    </w:rPr>
  </w:style>
  <w:style w:type="character" w:styleId="Odwoanieintensywne">
    <w:name w:val="Intense Reference"/>
    <w:basedOn w:val="Domylnaczcionkaakapitu"/>
    <w:uiPriority w:val="32"/>
    <w:qFormat/>
    <w:rsid w:val="00AF17DC"/>
    <w:rPr>
      <w:b/>
      <w:bCs/>
      <w:smallCaps/>
      <w:color w:val="0F4761" w:themeColor="accent1" w:themeShade="BF"/>
      <w:spacing w:val="5"/>
    </w:rPr>
  </w:style>
  <w:style w:type="character" w:customStyle="1" w:styleId="markedcontent">
    <w:name w:val="markedcontent"/>
    <w:basedOn w:val="Domylnaczcionkaakapitu"/>
    <w:rsid w:val="00AF17DC"/>
  </w:style>
  <w:style w:type="character" w:styleId="Hipercze">
    <w:name w:val="Hyperlink"/>
    <w:basedOn w:val="Domylnaczcionkaakapitu"/>
    <w:uiPriority w:val="99"/>
    <w:unhideWhenUsed/>
    <w:rsid w:val="004E00FE"/>
    <w:rPr>
      <w:color w:val="467886" w:themeColor="hyperlink"/>
      <w:u w:val="single"/>
    </w:rPr>
  </w:style>
  <w:style w:type="character" w:styleId="Nierozpoznanawzmianka">
    <w:name w:val="Unresolved Mention"/>
    <w:basedOn w:val="Domylnaczcionkaakapitu"/>
    <w:uiPriority w:val="99"/>
    <w:semiHidden/>
    <w:unhideWhenUsed/>
    <w:rsid w:val="004E00FE"/>
    <w:rPr>
      <w:color w:val="605E5C"/>
      <w:shd w:val="clear" w:color="auto" w:fill="E1DFDD"/>
    </w:rPr>
  </w:style>
  <w:style w:type="character" w:styleId="UyteHipercze">
    <w:name w:val="FollowedHyperlink"/>
    <w:basedOn w:val="Domylnaczcionkaakapitu"/>
    <w:uiPriority w:val="99"/>
    <w:semiHidden/>
    <w:unhideWhenUsed/>
    <w:rsid w:val="004E00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7452/katalog/13188809#131888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cja.rcl.gov.pl/projekt/12407554/katalog/13189261#1318926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7555/katalog/13189313" TargetMode="External"/><Relationship Id="rId11" Type="http://schemas.openxmlformats.org/officeDocument/2006/relationships/hyperlink" Target="https://legislacja.rcl.gov.pl/projekt/12407650/katalog/13189514#13189514" TargetMode="External"/><Relationship Id="rId5" Type="http://schemas.openxmlformats.org/officeDocument/2006/relationships/image" Target="media/image1.png"/><Relationship Id="rId10" Type="http://schemas.openxmlformats.org/officeDocument/2006/relationships/hyperlink" Target="https://legislacja.rcl.gov.pl/projekt/12407551/katalog/13189106#13189106" TargetMode="External"/><Relationship Id="rId4" Type="http://schemas.openxmlformats.org/officeDocument/2006/relationships/webSettings" Target="webSettings.xml"/><Relationship Id="rId9" Type="http://schemas.openxmlformats.org/officeDocument/2006/relationships/hyperlink" Target="https://legislacja.rcl.gov.pl/projekt/12407453/katalog/13188852#1318885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15</Pages>
  <Words>6631</Words>
  <Characters>39791</Characters>
  <Application>Microsoft Office Word</Application>
  <DocSecurity>0</DocSecurity>
  <Lines>331</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8</cp:revision>
  <dcterms:created xsi:type="dcterms:W3CDTF">2026-03-06T08:12:00Z</dcterms:created>
  <dcterms:modified xsi:type="dcterms:W3CDTF">2026-03-06T13:36:00Z</dcterms:modified>
</cp:coreProperties>
</file>