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DBB3" w14:textId="77777777" w:rsidR="00290D61" w:rsidRPr="00586923" w:rsidRDefault="00290D61" w:rsidP="00290D61">
      <w:pPr>
        <w:rPr>
          <w:rFonts w:ascii="Arial" w:hAnsi="Arial" w:cs="Arial"/>
        </w:rPr>
      </w:pPr>
      <w:r w:rsidRPr="00586923">
        <w:rPr>
          <w:rFonts w:ascii="Arial" w:hAnsi="Arial" w:cs="Arial"/>
          <w:noProof/>
          <w:lang w:eastAsia="pl-PL"/>
        </w:rPr>
        <w:drawing>
          <wp:inline distT="0" distB="0" distL="0" distR="0" wp14:anchorId="66CE5598" wp14:editId="57FE751D">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7F751B0B" w14:textId="77777777" w:rsidR="00290D61" w:rsidRDefault="00290D61" w:rsidP="00290D61">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4A9B7DF7" w14:textId="77777777" w:rsidR="00290D61" w:rsidRPr="00586923" w:rsidRDefault="00290D61" w:rsidP="00290D61">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4A3C4811" w14:textId="0E62A550" w:rsidR="00290D61" w:rsidRPr="00586923" w:rsidRDefault="00290D61" w:rsidP="00290D61">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9</w:t>
      </w:r>
      <w:r>
        <w:rPr>
          <w:rFonts w:ascii="Arial" w:hAnsi="Arial" w:cs="Arial"/>
          <w:b/>
        </w:rPr>
        <w:t xml:space="preserve"> </w:t>
      </w:r>
      <w:r w:rsidRPr="00586923">
        <w:rPr>
          <w:rFonts w:ascii="Arial" w:hAnsi="Arial" w:cs="Arial"/>
          <w:b/>
        </w:rPr>
        <w:t xml:space="preserve">do </w:t>
      </w:r>
      <w:r>
        <w:rPr>
          <w:rFonts w:ascii="Arial" w:hAnsi="Arial" w:cs="Arial"/>
          <w:b/>
        </w:rPr>
        <w:t>15 marca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05A59E21" w14:textId="45031C3E" w:rsidR="00290D61" w:rsidRPr="00AC3187" w:rsidRDefault="00290D61" w:rsidP="00290D61">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19 marca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3DB00552" w14:textId="77777777" w:rsidR="00290D61" w:rsidRPr="00586923" w:rsidRDefault="00290D61" w:rsidP="00290D61">
      <w:pPr>
        <w:spacing w:after="0" w:line="300" w:lineRule="auto"/>
        <w:jc w:val="both"/>
        <w:rPr>
          <w:rFonts w:ascii="Arial" w:hAnsi="Arial" w:cs="Arial"/>
        </w:rPr>
      </w:pPr>
    </w:p>
    <w:p w14:paraId="24C8F082" w14:textId="77777777" w:rsidR="00290D61" w:rsidRPr="000B65D1" w:rsidRDefault="00290D61" w:rsidP="00290D61">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4BBF7D46" w14:textId="77777777" w:rsidR="00290D61" w:rsidRDefault="00290D61" w:rsidP="00290D61">
      <w:pPr>
        <w:spacing w:after="0" w:line="300" w:lineRule="auto"/>
        <w:jc w:val="both"/>
        <w:rPr>
          <w:rFonts w:ascii="Arial" w:hAnsi="Arial" w:cs="Arial"/>
        </w:rPr>
      </w:pPr>
    </w:p>
    <w:p w14:paraId="0C35BC4D" w14:textId="3C31036C" w:rsidR="00290D61" w:rsidRPr="00C70674" w:rsidRDefault="00290D61" w:rsidP="00290D61">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3A7B73">
        <w:rPr>
          <w:rFonts w:ascii="Arial" w:eastAsia="Calibri" w:hAnsi="Arial" w:cs="Arial"/>
          <w:bCs/>
        </w:rPr>
        <w:t>2</w:t>
      </w:r>
      <w:r w:rsidRPr="00C70674">
        <w:rPr>
          <w:rFonts w:ascii="Arial" w:eastAsia="Calibri" w:hAnsi="Arial" w:cs="Arial"/>
          <w:bCs/>
        </w:rPr>
        <w:t xml:space="preserve"> projekt</w:t>
      </w:r>
      <w:r w:rsidR="003A7B73">
        <w:rPr>
          <w:rFonts w:ascii="Arial" w:eastAsia="Calibri" w:hAnsi="Arial" w:cs="Arial"/>
          <w:bCs/>
        </w:rPr>
        <w:t>y</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3A7B73">
        <w:rPr>
          <w:rFonts w:ascii="Arial" w:hAnsi="Arial" w:cs="Arial"/>
        </w:rPr>
        <w:t>17</w:t>
      </w:r>
      <w:r w:rsidRPr="00C70674">
        <w:rPr>
          <w:rFonts w:ascii="Arial" w:hAnsi="Arial" w:cs="Arial"/>
        </w:rPr>
        <w:t xml:space="preserve"> projekt</w:t>
      </w:r>
      <w:r w:rsidR="003A7B73">
        <w:rPr>
          <w:rFonts w:ascii="Arial" w:hAnsi="Arial" w:cs="Arial"/>
        </w:rPr>
        <w:t>ów</w:t>
      </w:r>
      <w:r w:rsidRPr="00C70674">
        <w:rPr>
          <w:rFonts w:ascii="Arial" w:hAnsi="Arial" w:cs="Arial"/>
        </w:rPr>
        <w:t xml:space="preserve"> rozporządzeń Rady Ministrów, Prezesa Rady Ministrów oraz poszczególnych Ministrów.</w:t>
      </w:r>
    </w:p>
    <w:p w14:paraId="04858F99" w14:textId="77777777" w:rsidR="00290D61" w:rsidRPr="00C70674" w:rsidRDefault="00290D61" w:rsidP="00290D61">
      <w:pPr>
        <w:spacing w:after="0" w:line="300" w:lineRule="auto"/>
        <w:jc w:val="both"/>
        <w:rPr>
          <w:rFonts w:ascii="Arial" w:hAnsi="Arial" w:cs="Arial"/>
        </w:rPr>
      </w:pPr>
    </w:p>
    <w:p w14:paraId="12E287D9" w14:textId="70CCE5EC" w:rsidR="00290D61" w:rsidRDefault="00290D61" w:rsidP="00290D61">
      <w:pPr>
        <w:spacing w:after="0" w:line="300" w:lineRule="auto"/>
        <w:jc w:val="both"/>
        <w:rPr>
          <w:rFonts w:ascii="Arial" w:hAnsi="Arial" w:cs="Arial"/>
        </w:rPr>
      </w:pPr>
      <w:r>
        <w:rPr>
          <w:rFonts w:ascii="Arial" w:hAnsi="Arial" w:cs="Arial"/>
        </w:rPr>
        <w:t xml:space="preserve">Przeprowadzono konsultacje </w:t>
      </w:r>
      <w:r w:rsidR="003A7B73">
        <w:rPr>
          <w:rFonts w:ascii="Arial" w:hAnsi="Arial" w:cs="Arial"/>
        </w:rPr>
        <w:t>3</w:t>
      </w:r>
      <w:r>
        <w:rPr>
          <w:rFonts w:ascii="Arial" w:hAnsi="Arial" w:cs="Arial"/>
        </w:rPr>
        <w:t xml:space="preserve"> projekt</w:t>
      </w:r>
      <w:r w:rsidR="003A7B73">
        <w:rPr>
          <w:rFonts w:ascii="Arial" w:hAnsi="Arial" w:cs="Arial"/>
        </w:rPr>
        <w:t>ów</w:t>
      </w:r>
      <w:r>
        <w:rPr>
          <w:rFonts w:ascii="Arial" w:hAnsi="Arial" w:cs="Arial"/>
        </w:rPr>
        <w:t xml:space="preserve"> rozporządzeń dotyczących podmiotów członkowskich (pracodawcy, przedsiębiorcy, JST) zrzeszonych w Związku. </w:t>
      </w:r>
    </w:p>
    <w:p w14:paraId="17824A34" w14:textId="77777777" w:rsidR="00290D61" w:rsidRDefault="00290D61" w:rsidP="00290D61">
      <w:pPr>
        <w:spacing w:after="0" w:line="300" w:lineRule="auto"/>
        <w:jc w:val="both"/>
        <w:rPr>
          <w:rFonts w:ascii="Arial" w:hAnsi="Arial" w:cs="Arial"/>
        </w:rPr>
      </w:pPr>
      <w:r>
        <w:rPr>
          <w:rFonts w:ascii="Arial" w:hAnsi="Arial" w:cs="Arial"/>
        </w:rPr>
        <w:t>Do konsultacji przekazane zostały następujące projekty:</w:t>
      </w:r>
    </w:p>
    <w:p w14:paraId="7C657378" w14:textId="77777777" w:rsidR="00290D61" w:rsidRDefault="00290D61" w:rsidP="00290D61">
      <w:pPr>
        <w:spacing w:after="0" w:line="300" w:lineRule="auto"/>
        <w:jc w:val="both"/>
        <w:rPr>
          <w:rFonts w:ascii="Arial" w:hAnsi="Arial" w:cs="Arial"/>
        </w:rPr>
      </w:pPr>
    </w:p>
    <w:p w14:paraId="0C1ABE6E" w14:textId="77777777" w:rsidR="00290D61" w:rsidRDefault="00290D61" w:rsidP="00290D61">
      <w:pPr>
        <w:spacing w:after="0" w:line="300" w:lineRule="auto"/>
        <w:jc w:val="both"/>
        <w:rPr>
          <w:rFonts w:ascii="Arial" w:hAnsi="Arial" w:cs="Arial"/>
        </w:rPr>
      </w:pPr>
      <w:r>
        <w:rPr>
          <w:rFonts w:ascii="Arial" w:hAnsi="Arial" w:cs="Arial"/>
        </w:rPr>
        <w:t>Projekty rozporządzeń:</w:t>
      </w:r>
    </w:p>
    <w:p w14:paraId="5C302347" w14:textId="77777777" w:rsidR="003A7B73" w:rsidRDefault="003A7B73" w:rsidP="00290D61">
      <w:pPr>
        <w:spacing w:after="0" w:line="300" w:lineRule="auto"/>
        <w:jc w:val="both"/>
        <w:rPr>
          <w:rFonts w:ascii="Arial" w:hAnsi="Arial" w:cs="Arial"/>
        </w:rPr>
      </w:pPr>
    </w:p>
    <w:p w14:paraId="56654E44" w14:textId="71E61302" w:rsidR="003A7B73" w:rsidRPr="003A7B73" w:rsidRDefault="003A7B73" w:rsidP="00290D61">
      <w:pPr>
        <w:pStyle w:val="Akapitzlist"/>
        <w:numPr>
          <w:ilvl w:val="0"/>
          <w:numId w:val="4"/>
        </w:numPr>
        <w:spacing w:after="0" w:line="300" w:lineRule="auto"/>
        <w:jc w:val="both"/>
        <w:rPr>
          <w:rFonts w:ascii="Arial" w:hAnsi="Arial" w:cs="Arial"/>
          <w:b/>
          <w:bCs/>
          <w:u w:val="single"/>
        </w:rPr>
      </w:pPr>
      <w:r w:rsidRPr="003A7B73">
        <w:rPr>
          <w:rFonts w:ascii="Arial" w:hAnsi="Arial" w:cs="Arial"/>
          <w:b/>
          <w:bCs/>
          <w:u w:val="single"/>
        </w:rPr>
        <w:t>P</w:t>
      </w:r>
      <w:r w:rsidRPr="003A7B73">
        <w:rPr>
          <w:rFonts w:ascii="Arial" w:hAnsi="Arial" w:cs="Arial"/>
          <w:b/>
          <w:bCs/>
          <w:u w:val="single"/>
        </w:rPr>
        <w:t>rojekt rozporządzenia Ministra Energii w sprawie szczegółowych wymagań technicznych dla punktów bunkrowania skroplonego gazu ziemnego (LNG) oraz badań technicznych, szkoleń i opłat z nimi związanych (22).</w:t>
      </w:r>
    </w:p>
    <w:p w14:paraId="4327AACC" w14:textId="77777777" w:rsidR="003A7B73" w:rsidRDefault="003A7B73" w:rsidP="003A7B73">
      <w:pPr>
        <w:spacing w:after="0" w:line="300" w:lineRule="auto"/>
        <w:jc w:val="both"/>
        <w:rPr>
          <w:rFonts w:ascii="Arial" w:hAnsi="Arial" w:cs="Arial"/>
        </w:rPr>
      </w:pPr>
    </w:p>
    <w:p w14:paraId="3657C5DF" w14:textId="77777777" w:rsidR="003A7B73" w:rsidRPr="003A7B73" w:rsidRDefault="003A7B73" w:rsidP="003A7B73">
      <w:pPr>
        <w:spacing w:after="0" w:line="300" w:lineRule="auto"/>
        <w:jc w:val="both"/>
        <w:rPr>
          <w:rFonts w:ascii="Arial" w:hAnsi="Arial" w:cs="Arial"/>
        </w:rPr>
      </w:pPr>
      <w:r w:rsidRPr="003A7B73">
        <w:rPr>
          <w:rFonts w:ascii="Arial" w:hAnsi="Arial" w:cs="Arial"/>
        </w:rPr>
        <w:t xml:space="preserve">Aktualnie w Polsce rynek bunkrowania skroplonego gazu ziemnego (LNG), tj. napełniania zbiorników jednostek pływających skroplonym gazem ziemnym (LNG) służącym do napędu tych jednostek lub do napędu urządzeń znajdujących się na tych jednostkach, jest w początkowej fazie rozwoju. Nie obowiązuje jedno rozporządzenie dedykowane wprost punktom bunkrowania </w:t>
      </w:r>
    </w:p>
    <w:p w14:paraId="604ED3CA" w14:textId="77777777" w:rsidR="003A7B73" w:rsidRPr="003A7B73" w:rsidRDefault="003A7B73" w:rsidP="003A7B73">
      <w:pPr>
        <w:spacing w:after="0" w:line="300" w:lineRule="auto"/>
        <w:jc w:val="both"/>
        <w:rPr>
          <w:rFonts w:ascii="Arial" w:hAnsi="Arial" w:cs="Arial"/>
        </w:rPr>
      </w:pPr>
      <w:r w:rsidRPr="003A7B73">
        <w:rPr>
          <w:rFonts w:ascii="Arial" w:hAnsi="Arial" w:cs="Arial"/>
        </w:rPr>
        <w:t xml:space="preserve">skroplonego gazu ziemnego (LNG), zwanym dalej „punktami bunkrowania”, które obejmowałoby swym zakresem szczegółowe wymagania techniczne, jakim powinny odpowiadać tego rodzaju instalacje (infrastruktura służąca do bunkrowania tego rodzaju paliwa). </w:t>
      </w:r>
    </w:p>
    <w:p w14:paraId="4B1FD163" w14:textId="77777777" w:rsidR="003A7B73" w:rsidRPr="003A7B73" w:rsidRDefault="003A7B73" w:rsidP="003A7B73">
      <w:pPr>
        <w:spacing w:after="0" w:line="300" w:lineRule="auto"/>
        <w:jc w:val="both"/>
        <w:rPr>
          <w:rFonts w:ascii="Arial" w:hAnsi="Arial" w:cs="Arial"/>
        </w:rPr>
      </w:pPr>
      <w:r w:rsidRPr="003A7B73">
        <w:rPr>
          <w:rFonts w:ascii="Arial" w:hAnsi="Arial" w:cs="Arial"/>
        </w:rPr>
        <w:t xml:space="preserve">Wydanie przepisów określających m.in. szczegółowe wymagania techniczne w zakresie funkcjonowania punktów bunkrowania oraz rodzaje przeprowadzanych badań technicznych punktów bunkrowania, w tym sposób i terminy ich przeprowadzenia, jest niezbędne w celu zapewnienia bezpieczeństwa dla użytkowników jednostek pływających oraz operatorów tych punktów, którzy są narażeni na bezpośrednie niebezpieczeństwo wybuchu gazu. </w:t>
      </w:r>
    </w:p>
    <w:p w14:paraId="1EB0971D" w14:textId="77777777" w:rsidR="003A7B73" w:rsidRPr="003A7B73" w:rsidRDefault="003A7B73" w:rsidP="003A7B73">
      <w:pPr>
        <w:spacing w:after="0" w:line="300" w:lineRule="auto"/>
        <w:jc w:val="both"/>
        <w:rPr>
          <w:rFonts w:ascii="Arial" w:hAnsi="Arial" w:cs="Arial"/>
        </w:rPr>
      </w:pPr>
      <w:r w:rsidRPr="003A7B73">
        <w:rPr>
          <w:rFonts w:ascii="Arial" w:hAnsi="Arial" w:cs="Arial"/>
        </w:rPr>
        <w:lastRenderedPageBreak/>
        <w:t xml:space="preserve">Dodatkowo istnieje obowiązek wykonania upoważnienia ustawowego zawartego w art. 29 ust. 2 ustawy z dnia 11 stycznia 2018 r. o </w:t>
      </w:r>
      <w:proofErr w:type="spellStart"/>
      <w:r w:rsidRPr="003A7B73">
        <w:rPr>
          <w:rFonts w:ascii="Arial" w:hAnsi="Arial" w:cs="Arial"/>
        </w:rPr>
        <w:t>elektromobilności</w:t>
      </w:r>
      <w:proofErr w:type="spellEnd"/>
      <w:r w:rsidRPr="003A7B73">
        <w:rPr>
          <w:rFonts w:ascii="Arial" w:hAnsi="Arial" w:cs="Arial"/>
        </w:rPr>
        <w:t xml:space="preserve"> i paliwach alternatywnych, która weszła w życie z dniem 22 lutego 2018 r.</w:t>
      </w:r>
    </w:p>
    <w:p w14:paraId="77A1E655" w14:textId="77777777" w:rsidR="003A7B73" w:rsidRPr="003A7B73" w:rsidRDefault="003A7B73" w:rsidP="003A7B73">
      <w:pPr>
        <w:spacing w:after="0" w:line="300" w:lineRule="auto"/>
        <w:jc w:val="both"/>
        <w:rPr>
          <w:rFonts w:ascii="Arial" w:hAnsi="Arial" w:cs="Arial"/>
        </w:rPr>
      </w:pPr>
      <w:r w:rsidRPr="003A7B73">
        <w:rPr>
          <w:rFonts w:ascii="Arial" w:hAnsi="Arial" w:cs="Arial"/>
        </w:rPr>
        <w:t xml:space="preserve">Rekomendowanym rozwiązaniem jest wydanie rozporządzenia, które określi: </w:t>
      </w:r>
    </w:p>
    <w:p w14:paraId="190E50EE" w14:textId="29CDE112" w:rsidR="003A7B73" w:rsidRPr="003A7B73" w:rsidRDefault="003A7B73" w:rsidP="003A7B73">
      <w:pPr>
        <w:pStyle w:val="Akapitzlist"/>
        <w:numPr>
          <w:ilvl w:val="0"/>
          <w:numId w:val="6"/>
        </w:numPr>
        <w:spacing w:after="0" w:line="300" w:lineRule="auto"/>
        <w:jc w:val="both"/>
        <w:rPr>
          <w:rFonts w:ascii="Arial" w:hAnsi="Arial" w:cs="Arial"/>
        </w:rPr>
      </w:pPr>
      <w:r w:rsidRPr="003A7B73">
        <w:rPr>
          <w:rFonts w:ascii="Arial" w:hAnsi="Arial" w:cs="Arial"/>
        </w:rPr>
        <w:t xml:space="preserve">szczegółowe wymagania techniczne dotyczące bezpiecznej eksploatacji, naprawy i modernizacji punktów bunkrowania; </w:t>
      </w:r>
    </w:p>
    <w:p w14:paraId="55436C4A" w14:textId="18D7003F" w:rsidR="003A7B73" w:rsidRPr="003A7B73" w:rsidRDefault="003A7B73" w:rsidP="003A7B73">
      <w:pPr>
        <w:pStyle w:val="Akapitzlist"/>
        <w:numPr>
          <w:ilvl w:val="0"/>
          <w:numId w:val="6"/>
        </w:numPr>
        <w:spacing w:after="0" w:line="300" w:lineRule="auto"/>
        <w:jc w:val="both"/>
        <w:rPr>
          <w:rFonts w:ascii="Arial" w:hAnsi="Arial" w:cs="Arial"/>
        </w:rPr>
      </w:pPr>
      <w:r w:rsidRPr="003A7B73">
        <w:rPr>
          <w:rFonts w:ascii="Arial" w:hAnsi="Arial" w:cs="Arial"/>
        </w:rPr>
        <w:t xml:space="preserve">rodzaje badań technicznych punktów bunkrowania przeprowadzanych przez Transportowy Dozór Techniczny oraz sposób i terminy ich przeprowadzania; </w:t>
      </w:r>
    </w:p>
    <w:p w14:paraId="169E24B5" w14:textId="5225D4EA" w:rsidR="003A7B73" w:rsidRPr="003A7B73" w:rsidRDefault="003A7B73" w:rsidP="003A7B73">
      <w:pPr>
        <w:pStyle w:val="Akapitzlist"/>
        <w:numPr>
          <w:ilvl w:val="0"/>
          <w:numId w:val="6"/>
        </w:numPr>
        <w:spacing w:after="0" w:line="300" w:lineRule="auto"/>
        <w:jc w:val="both"/>
        <w:rPr>
          <w:rFonts w:ascii="Arial" w:hAnsi="Arial" w:cs="Arial"/>
        </w:rPr>
      </w:pPr>
      <w:r w:rsidRPr="003A7B73">
        <w:rPr>
          <w:rFonts w:ascii="Arial" w:hAnsi="Arial" w:cs="Arial"/>
        </w:rPr>
        <w:t xml:space="preserve">zakres szkoleń w zakresie zasad bezpieczeństwa bunkrowania skroplonym gazem ziemnym (LNG) jednostek pływających oraz w zakresie czynności wykonywanych przez osoby zaangażowane w bunkrowanie skroplonym gazem ziemnym (LNG); </w:t>
      </w:r>
    </w:p>
    <w:p w14:paraId="4BF2F4B7" w14:textId="68C0C6F3" w:rsidR="003A7B73" w:rsidRPr="003A7B73" w:rsidRDefault="003A7B73" w:rsidP="003A7B73">
      <w:pPr>
        <w:pStyle w:val="Akapitzlist"/>
        <w:numPr>
          <w:ilvl w:val="0"/>
          <w:numId w:val="6"/>
        </w:numPr>
        <w:spacing w:after="0" w:line="300" w:lineRule="auto"/>
        <w:jc w:val="both"/>
        <w:rPr>
          <w:rFonts w:ascii="Arial" w:hAnsi="Arial" w:cs="Arial"/>
        </w:rPr>
      </w:pPr>
      <w:r w:rsidRPr="003A7B73">
        <w:rPr>
          <w:rFonts w:ascii="Arial" w:hAnsi="Arial" w:cs="Arial"/>
        </w:rPr>
        <w:t xml:space="preserve">wysokość opłaty za przeprowadzenie przez Transportowy Dozór Techniczny badań technicznych punktu bunkrowania w zakresie jego bezpiecznej eksploatacji, naprawy i modernizacji oraz za wydanie przez Dyrektora Transportowego Dozoru Technicznego opinii w zakresie zgodności dokumentacji technicznej projektowanego punktu bunkrowania z wymaganiami technicznymi określonymi w art. 25 ustawy z dnia 11 stycznia 2018 r. o </w:t>
      </w:r>
      <w:proofErr w:type="spellStart"/>
      <w:r w:rsidRPr="003A7B73">
        <w:rPr>
          <w:rFonts w:ascii="Arial" w:hAnsi="Arial" w:cs="Arial"/>
        </w:rPr>
        <w:t>elektromobilności</w:t>
      </w:r>
      <w:proofErr w:type="spellEnd"/>
      <w:r w:rsidRPr="003A7B73">
        <w:rPr>
          <w:rFonts w:ascii="Arial" w:hAnsi="Arial" w:cs="Arial"/>
        </w:rPr>
        <w:t xml:space="preserve"> i paliwach alternatywnych oraz w przepisach rozporządzenia. </w:t>
      </w:r>
    </w:p>
    <w:p w14:paraId="42A2FCD4" w14:textId="77777777" w:rsidR="003A7B73" w:rsidRPr="003A7B73" w:rsidRDefault="003A7B73" w:rsidP="003A7B73">
      <w:pPr>
        <w:spacing w:after="0" w:line="300" w:lineRule="auto"/>
        <w:jc w:val="both"/>
        <w:rPr>
          <w:rFonts w:ascii="Arial" w:hAnsi="Arial" w:cs="Arial"/>
        </w:rPr>
      </w:pPr>
      <w:r w:rsidRPr="003A7B73">
        <w:rPr>
          <w:rFonts w:ascii="Arial" w:hAnsi="Arial" w:cs="Arial"/>
        </w:rPr>
        <w:t xml:space="preserve">Projektowane przepisy mają na celu zapewnienie bezpiecznej eksploatacji, naprawy i modernizacji urządzeń służących do bunkrowania skroplonego gazu ziemnego (LNG) przez potencjalnych użytkowników oraz osoby serwisujące te urządzenia. </w:t>
      </w:r>
    </w:p>
    <w:p w14:paraId="085511E5" w14:textId="01CA1D86" w:rsidR="003A7B73" w:rsidRDefault="003A7B73" w:rsidP="003A7B73">
      <w:pPr>
        <w:spacing w:after="0" w:line="300" w:lineRule="auto"/>
        <w:jc w:val="both"/>
        <w:rPr>
          <w:rFonts w:ascii="Arial" w:hAnsi="Arial" w:cs="Arial"/>
        </w:rPr>
      </w:pPr>
      <w:r w:rsidRPr="003A7B73">
        <w:rPr>
          <w:rFonts w:ascii="Arial" w:hAnsi="Arial" w:cs="Arial"/>
        </w:rPr>
        <w:t>Oczekiwanym efektem wydania projektowanego rozporządzenia będzie obowiązywanie jednolitych wymagań, jakie muszą zostać spełnione przez punkty bunkrowania.</w:t>
      </w:r>
    </w:p>
    <w:p w14:paraId="7C91E5A5" w14:textId="77777777" w:rsidR="003A7B73" w:rsidRDefault="003A7B73" w:rsidP="003A7B73">
      <w:pPr>
        <w:spacing w:after="0" w:line="300" w:lineRule="auto"/>
        <w:jc w:val="both"/>
        <w:rPr>
          <w:rFonts w:ascii="Arial" w:hAnsi="Arial" w:cs="Arial"/>
        </w:rPr>
      </w:pPr>
    </w:p>
    <w:p w14:paraId="6C105FF4" w14:textId="77777777" w:rsidR="003A7B73" w:rsidRPr="003A7B73" w:rsidRDefault="003A7B73" w:rsidP="003A7B73">
      <w:pPr>
        <w:spacing w:after="0" w:line="300" w:lineRule="auto"/>
        <w:jc w:val="both"/>
        <w:rPr>
          <w:rFonts w:ascii="Arial" w:hAnsi="Arial" w:cs="Arial"/>
        </w:rPr>
      </w:pPr>
      <w:r w:rsidRPr="003A7B73">
        <w:rPr>
          <w:rFonts w:ascii="Arial" w:hAnsi="Arial" w:cs="Arial"/>
        </w:rPr>
        <w:t>Przedmiotowy projekt aktu prawnego wraz z Uzasadnieniem oraz Oceną Skutków Regulacji dostępny jest na stronach Rządowego Centrum Legislacji pod adresem:</w:t>
      </w:r>
    </w:p>
    <w:p w14:paraId="12A3414A" w14:textId="55E6ABD8" w:rsidR="003A7B73" w:rsidRDefault="003A7B73" w:rsidP="003A7B73">
      <w:pPr>
        <w:spacing w:after="0" w:line="300" w:lineRule="auto"/>
        <w:jc w:val="both"/>
        <w:rPr>
          <w:rFonts w:ascii="Arial" w:hAnsi="Arial" w:cs="Arial"/>
        </w:rPr>
      </w:pPr>
      <w:hyperlink r:id="rId6" w:history="1">
        <w:r w:rsidRPr="00A330C0">
          <w:rPr>
            <w:rStyle w:val="Hipercze"/>
            <w:rFonts w:ascii="Arial" w:hAnsi="Arial" w:cs="Arial"/>
          </w:rPr>
          <w:t>https://legislacja.gov.pl/projekt/12408052/</w:t>
        </w:r>
        <w:r w:rsidRPr="00A330C0">
          <w:rPr>
            <w:rStyle w:val="Hipercze"/>
            <w:rFonts w:ascii="Arial" w:hAnsi="Arial" w:cs="Arial"/>
          </w:rPr>
          <w:t>k</w:t>
        </w:r>
        <w:r w:rsidRPr="00A330C0">
          <w:rPr>
            <w:rStyle w:val="Hipercze"/>
            <w:rFonts w:ascii="Arial" w:hAnsi="Arial" w:cs="Arial"/>
          </w:rPr>
          <w:t>atalog/13</w:t>
        </w:r>
        <w:r w:rsidRPr="00A330C0">
          <w:rPr>
            <w:rStyle w:val="Hipercze"/>
            <w:rFonts w:ascii="Arial" w:hAnsi="Arial" w:cs="Arial"/>
          </w:rPr>
          <w:t>1</w:t>
        </w:r>
        <w:r w:rsidRPr="00A330C0">
          <w:rPr>
            <w:rStyle w:val="Hipercze"/>
            <w:rFonts w:ascii="Arial" w:hAnsi="Arial" w:cs="Arial"/>
          </w:rPr>
          <w:t>91750#13191750</w:t>
        </w:r>
      </w:hyperlink>
      <w:r>
        <w:rPr>
          <w:rFonts w:ascii="Arial" w:hAnsi="Arial" w:cs="Arial"/>
        </w:rPr>
        <w:t xml:space="preserve"> </w:t>
      </w:r>
    </w:p>
    <w:p w14:paraId="261C211C" w14:textId="77777777" w:rsidR="003A7B73" w:rsidRDefault="003A7B73" w:rsidP="003A7B73">
      <w:pPr>
        <w:spacing w:after="0" w:line="300" w:lineRule="auto"/>
        <w:jc w:val="both"/>
        <w:rPr>
          <w:rFonts w:ascii="Arial" w:hAnsi="Arial" w:cs="Arial"/>
        </w:rPr>
      </w:pPr>
    </w:p>
    <w:p w14:paraId="1B0C6127" w14:textId="0EE8B83B" w:rsidR="003A7B73" w:rsidRDefault="003A7B73" w:rsidP="003A7B73">
      <w:pPr>
        <w:spacing w:after="0" w:line="300" w:lineRule="auto"/>
        <w:jc w:val="both"/>
        <w:rPr>
          <w:rFonts w:ascii="Arial" w:hAnsi="Arial" w:cs="Arial"/>
        </w:rPr>
      </w:pPr>
      <w:r w:rsidRPr="003A7B73">
        <w:rPr>
          <w:rFonts w:ascii="Arial" w:hAnsi="Arial" w:cs="Arial"/>
        </w:rPr>
        <w:t xml:space="preserve">Projekt jest obecnie jednocześnie na etapie </w:t>
      </w:r>
      <w:r>
        <w:rPr>
          <w:rFonts w:ascii="Arial" w:hAnsi="Arial" w:cs="Arial"/>
        </w:rPr>
        <w:t xml:space="preserve">uzgodnień, </w:t>
      </w:r>
      <w:r w:rsidRPr="003A7B73">
        <w:rPr>
          <w:rFonts w:ascii="Arial" w:hAnsi="Arial" w:cs="Arial"/>
        </w:rPr>
        <w:t>konsultacji publicznych i opiniowania.</w:t>
      </w:r>
    </w:p>
    <w:p w14:paraId="705D992C" w14:textId="77777777" w:rsidR="003A7B73" w:rsidRPr="003A7B73" w:rsidRDefault="003A7B73" w:rsidP="003A7B73">
      <w:pPr>
        <w:spacing w:after="0" w:line="300" w:lineRule="auto"/>
        <w:jc w:val="both"/>
        <w:rPr>
          <w:rFonts w:ascii="Arial" w:hAnsi="Arial" w:cs="Arial"/>
        </w:rPr>
      </w:pPr>
    </w:p>
    <w:p w14:paraId="32EB25D6" w14:textId="69030F94" w:rsidR="003A7B73" w:rsidRPr="00426DC0" w:rsidRDefault="00426DC0" w:rsidP="00290D61">
      <w:pPr>
        <w:pStyle w:val="Akapitzlist"/>
        <w:numPr>
          <w:ilvl w:val="0"/>
          <w:numId w:val="4"/>
        </w:numPr>
        <w:spacing w:after="0" w:line="300" w:lineRule="auto"/>
        <w:jc w:val="both"/>
        <w:rPr>
          <w:rFonts w:ascii="Arial" w:hAnsi="Arial" w:cs="Arial"/>
          <w:b/>
          <w:bCs/>
          <w:u w:val="single"/>
        </w:rPr>
      </w:pPr>
      <w:r w:rsidRPr="00426DC0">
        <w:rPr>
          <w:rFonts w:ascii="Arial" w:hAnsi="Arial" w:cs="Arial"/>
          <w:b/>
          <w:bCs/>
          <w:u w:val="single"/>
        </w:rPr>
        <w:t>P</w:t>
      </w:r>
      <w:r w:rsidRPr="00426DC0">
        <w:rPr>
          <w:rFonts w:ascii="Arial" w:hAnsi="Arial" w:cs="Arial"/>
          <w:b/>
          <w:bCs/>
          <w:u w:val="single"/>
        </w:rPr>
        <w:t>rojekt rozporządzenia Ministra Finansów i Gospodarki w sprawie szczegółowego zakresu danych zawartych w informacji o opodatkowaniu wyrównawczym (25 / 2026).</w:t>
      </w:r>
    </w:p>
    <w:p w14:paraId="560B0901" w14:textId="77777777" w:rsidR="003A7B73" w:rsidRDefault="003A7B73" w:rsidP="003A7B73">
      <w:pPr>
        <w:spacing w:after="0" w:line="300" w:lineRule="auto"/>
        <w:jc w:val="both"/>
        <w:rPr>
          <w:rFonts w:ascii="Arial" w:hAnsi="Arial" w:cs="Arial"/>
        </w:rPr>
      </w:pPr>
    </w:p>
    <w:p w14:paraId="582A12DA" w14:textId="77777777" w:rsidR="00426DC0" w:rsidRPr="00426DC0" w:rsidRDefault="00426DC0" w:rsidP="00426DC0">
      <w:pPr>
        <w:spacing w:after="0" w:line="300" w:lineRule="auto"/>
        <w:jc w:val="both"/>
        <w:rPr>
          <w:rFonts w:ascii="Arial" w:hAnsi="Arial" w:cs="Arial"/>
        </w:rPr>
      </w:pPr>
      <w:r w:rsidRPr="00426DC0">
        <w:rPr>
          <w:rFonts w:ascii="Arial" w:hAnsi="Arial" w:cs="Arial"/>
        </w:rPr>
        <w:t xml:space="preserve">Ustawa z dnia 6 listopada 2024 r. o opodatkowaniu wyrównawczym jednostek składowych grup międzynarodowych i krajowych (Dz.U. 2024 poz. 1685)(„Ustawa </w:t>
      </w:r>
      <w:proofErr w:type="spellStart"/>
      <w:r w:rsidRPr="00426DC0">
        <w:rPr>
          <w:rFonts w:ascii="Arial" w:hAnsi="Arial" w:cs="Arial"/>
        </w:rPr>
        <w:t>GloBE</w:t>
      </w:r>
      <w:proofErr w:type="spellEnd"/>
      <w:r w:rsidRPr="00426DC0">
        <w:rPr>
          <w:rFonts w:ascii="Arial" w:hAnsi="Arial" w:cs="Arial"/>
        </w:rPr>
        <w:t xml:space="preserve">”) zaimplementowała do polskiego porządku prawnego przepisy dyrektywy Rady (UE) 2022/2523 z dnia 15 grudnia 2022 r. w sprawie zapewnienia globalnego minimalnego poziomu opodatkowania międzynarodowych grup przedsiębiorstw oraz dużych grup krajowych w Unii Europejskiej. Celem Dyrektywy było wdrożenie w Unii Europejskiej (UE) Globalnych zasad przeciwdziałania erozji podstawy opodatkowania („Zasad </w:t>
      </w:r>
      <w:proofErr w:type="spellStart"/>
      <w:r w:rsidRPr="00426DC0">
        <w:rPr>
          <w:rFonts w:ascii="Arial" w:hAnsi="Arial" w:cs="Arial"/>
        </w:rPr>
        <w:t>GloBE</w:t>
      </w:r>
      <w:proofErr w:type="spellEnd"/>
      <w:r w:rsidRPr="00426DC0">
        <w:rPr>
          <w:rFonts w:ascii="Arial" w:hAnsi="Arial" w:cs="Arial"/>
        </w:rPr>
        <w:t xml:space="preserve">”), tj. głównej części tzw. Filaru II OECD. </w:t>
      </w:r>
    </w:p>
    <w:p w14:paraId="61221E78" w14:textId="77777777" w:rsidR="00426DC0" w:rsidRPr="00426DC0" w:rsidRDefault="00426DC0" w:rsidP="00426DC0">
      <w:pPr>
        <w:spacing w:after="0" w:line="300" w:lineRule="auto"/>
        <w:jc w:val="both"/>
        <w:rPr>
          <w:rFonts w:ascii="Arial" w:hAnsi="Arial" w:cs="Arial"/>
        </w:rPr>
      </w:pPr>
      <w:r w:rsidRPr="00426DC0">
        <w:rPr>
          <w:rFonts w:ascii="Arial" w:hAnsi="Arial" w:cs="Arial"/>
        </w:rPr>
        <w:t xml:space="preserve">Zgodnie z art. 133. Ust. 1 Ustawy </w:t>
      </w:r>
      <w:proofErr w:type="spellStart"/>
      <w:r w:rsidRPr="00426DC0">
        <w:rPr>
          <w:rFonts w:ascii="Arial" w:hAnsi="Arial" w:cs="Arial"/>
        </w:rPr>
        <w:t>GloBE</w:t>
      </w:r>
      <w:proofErr w:type="spellEnd"/>
      <w:r w:rsidRPr="00426DC0">
        <w:rPr>
          <w:rFonts w:ascii="Arial" w:hAnsi="Arial" w:cs="Arial"/>
        </w:rPr>
        <w:t xml:space="preserve"> jednostka składowa grupy zlokalizowana na terytorium Rzeczypospolitej Polskiej jest obowiązana składać do właściwego naczelnika </w:t>
      </w:r>
      <w:r w:rsidRPr="00426DC0">
        <w:rPr>
          <w:rFonts w:ascii="Arial" w:hAnsi="Arial" w:cs="Arial"/>
        </w:rPr>
        <w:lastRenderedPageBreak/>
        <w:t xml:space="preserve">urzędu skarbowego, według ustalonego wzoru, informację o opodatkowaniu wyrównawczym za rok podatkowy, w terminie do końca 15. miesiąca następującego po zakończeniu tego roku podatkowego.  </w:t>
      </w:r>
    </w:p>
    <w:p w14:paraId="74F7C34C" w14:textId="77777777" w:rsidR="00426DC0" w:rsidRPr="00426DC0" w:rsidRDefault="00426DC0" w:rsidP="00426DC0">
      <w:pPr>
        <w:spacing w:after="0" w:line="300" w:lineRule="auto"/>
        <w:jc w:val="both"/>
        <w:rPr>
          <w:rFonts w:ascii="Arial" w:hAnsi="Arial" w:cs="Arial"/>
        </w:rPr>
      </w:pPr>
      <w:r w:rsidRPr="00426DC0">
        <w:rPr>
          <w:rFonts w:ascii="Arial" w:hAnsi="Arial" w:cs="Arial"/>
        </w:rPr>
        <w:t xml:space="preserve">Zgodnie z art. 133 ust. 11 Ustawy </w:t>
      </w:r>
      <w:proofErr w:type="spellStart"/>
      <w:r w:rsidRPr="00426DC0">
        <w:rPr>
          <w:rFonts w:ascii="Arial" w:hAnsi="Arial" w:cs="Arial"/>
        </w:rPr>
        <w:t>GloBE</w:t>
      </w:r>
      <w:proofErr w:type="spellEnd"/>
      <w:r w:rsidRPr="00426DC0">
        <w:rPr>
          <w:rFonts w:ascii="Arial" w:hAnsi="Arial" w:cs="Arial"/>
        </w:rPr>
        <w:t xml:space="preserve"> Minister właściwy do spraw finansów publicznych określi, w drodze rozporządzenia, szczegółowy zakres danych zawartych w informacji o opodatkowaniu wyrównawczym. </w:t>
      </w:r>
    </w:p>
    <w:p w14:paraId="600C356A" w14:textId="77777777" w:rsidR="00426DC0" w:rsidRPr="00426DC0" w:rsidRDefault="00426DC0" w:rsidP="00426DC0">
      <w:pPr>
        <w:spacing w:after="0" w:line="300" w:lineRule="auto"/>
        <w:jc w:val="both"/>
        <w:rPr>
          <w:rFonts w:ascii="Arial" w:hAnsi="Arial" w:cs="Arial"/>
        </w:rPr>
      </w:pPr>
      <w:r w:rsidRPr="00426DC0">
        <w:rPr>
          <w:rFonts w:ascii="Arial" w:hAnsi="Arial" w:cs="Arial"/>
        </w:rPr>
        <w:t xml:space="preserve">Niniejsze rozporządzenie wypełnia delegację ustawową zawartą w art. 133 ust. 11 Ustawy </w:t>
      </w:r>
      <w:proofErr w:type="spellStart"/>
      <w:r w:rsidRPr="00426DC0">
        <w:rPr>
          <w:rFonts w:ascii="Arial" w:hAnsi="Arial" w:cs="Arial"/>
        </w:rPr>
        <w:t>GloBE</w:t>
      </w:r>
      <w:proofErr w:type="spellEnd"/>
      <w:r w:rsidRPr="00426DC0">
        <w:rPr>
          <w:rFonts w:ascii="Arial" w:hAnsi="Arial" w:cs="Arial"/>
        </w:rPr>
        <w:t xml:space="preserve"> zawierając szczegółowy zakres danych zawartych w informacji o opodatkowaniu wyrównawczym.</w:t>
      </w:r>
    </w:p>
    <w:p w14:paraId="13B9F772" w14:textId="4F6A189F" w:rsidR="00426DC0" w:rsidRDefault="00426DC0" w:rsidP="00426DC0">
      <w:pPr>
        <w:spacing w:after="0" w:line="300" w:lineRule="auto"/>
        <w:jc w:val="both"/>
        <w:rPr>
          <w:rFonts w:ascii="Arial" w:hAnsi="Arial" w:cs="Arial"/>
        </w:rPr>
      </w:pPr>
      <w:r w:rsidRPr="00426DC0">
        <w:rPr>
          <w:rFonts w:ascii="Arial" w:hAnsi="Arial" w:cs="Arial"/>
        </w:rPr>
        <w:t>Rozporządzenie zawiera informacje o danych, które powinny zostać wskazane w informacji o opodatkowaniu wyrównawczym. Ma na celu zapewnienie umocowania prawnego dla danych wymaganych w składnej informacji o opodatkowaniu wyrównawczym.</w:t>
      </w:r>
    </w:p>
    <w:p w14:paraId="7E9CBCF3" w14:textId="77777777" w:rsidR="00426DC0" w:rsidRDefault="00426DC0" w:rsidP="00426DC0">
      <w:pPr>
        <w:spacing w:after="0" w:line="300" w:lineRule="auto"/>
        <w:jc w:val="both"/>
        <w:rPr>
          <w:rFonts w:ascii="Arial" w:hAnsi="Arial" w:cs="Arial"/>
        </w:rPr>
      </w:pPr>
    </w:p>
    <w:p w14:paraId="243832E4" w14:textId="77777777" w:rsidR="00426DC0" w:rsidRPr="00426DC0" w:rsidRDefault="00426DC0" w:rsidP="00426DC0">
      <w:pPr>
        <w:spacing w:after="0" w:line="300" w:lineRule="auto"/>
        <w:jc w:val="both"/>
        <w:rPr>
          <w:rFonts w:ascii="Arial" w:hAnsi="Arial" w:cs="Arial"/>
        </w:rPr>
      </w:pPr>
      <w:r w:rsidRPr="00426DC0">
        <w:rPr>
          <w:rFonts w:ascii="Arial" w:hAnsi="Arial" w:cs="Arial"/>
        </w:rPr>
        <w:t>Przedmiotowy projekt aktu prawnego wraz z Uzasadnieniem oraz Oceną Skutków Regulacji dostępny jest na stronach Rządowego Centrum Legislacji pod adresem:</w:t>
      </w:r>
    </w:p>
    <w:p w14:paraId="371D2DAC" w14:textId="6F46A902" w:rsidR="00426DC0" w:rsidRDefault="00426DC0" w:rsidP="00426DC0">
      <w:pPr>
        <w:spacing w:after="0" w:line="300" w:lineRule="auto"/>
        <w:jc w:val="both"/>
        <w:rPr>
          <w:rFonts w:ascii="Arial" w:hAnsi="Arial" w:cs="Arial"/>
        </w:rPr>
      </w:pPr>
      <w:hyperlink r:id="rId7" w:history="1">
        <w:r w:rsidRPr="00A330C0">
          <w:rPr>
            <w:rStyle w:val="Hipercze"/>
            <w:rFonts w:ascii="Arial" w:hAnsi="Arial" w:cs="Arial"/>
          </w:rPr>
          <w:t>https://legislacja.gov.pl/projekt/12408102/k</w:t>
        </w:r>
        <w:r w:rsidRPr="00A330C0">
          <w:rPr>
            <w:rStyle w:val="Hipercze"/>
            <w:rFonts w:ascii="Arial" w:hAnsi="Arial" w:cs="Arial"/>
          </w:rPr>
          <w:t>a</w:t>
        </w:r>
        <w:r w:rsidRPr="00A330C0">
          <w:rPr>
            <w:rStyle w:val="Hipercze"/>
            <w:rFonts w:ascii="Arial" w:hAnsi="Arial" w:cs="Arial"/>
          </w:rPr>
          <w:t>talog/13191894#13191894</w:t>
        </w:r>
      </w:hyperlink>
      <w:r>
        <w:rPr>
          <w:rFonts w:ascii="Arial" w:hAnsi="Arial" w:cs="Arial"/>
        </w:rPr>
        <w:t xml:space="preserve"> </w:t>
      </w:r>
    </w:p>
    <w:p w14:paraId="71EC150D" w14:textId="77777777" w:rsidR="00426DC0" w:rsidRDefault="00426DC0" w:rsidP="003A7B73">
      <w:pPr>
        <w:spacing w:after="0" w:line="300" w:lineRule="auto"/>
        <w:jc w:val="both"/>
        <w:rPr>
          <w:rFonts w:ascii="Arial" w:hAnsi="Arial" w:cs="Arial"/>
        </w:rPr>
      </w:pPr>
    </w:p>
    <w:p w14:paraId="682F5573" w14:textId="4853DEB5" w:rsidR="00426DC0" w:rsidRDefault="00426DC0" w:rsidP="003A7B73">
      <w:pPr>
        <w:spacing w:after="0" w:line="300" w:lineRule="auto"/>
        <w:jc w:val="both"/>
        <w:rPr>
          <w:rFonts w:ascii="Arial" w:hAnsi="Arial" w:cs="Arial"/>
        </w:rPr>
      </w:pPr>
      <w:r w:rsidRPr="00426DC0">
        <w:rPr>
          <w:rFonts w:ascii="Arial" w:hAnsi="Arial" w:cs="Arial"/>
        </w:rPr>
        <w:t>Projekt jest obecnie jednocześnie na etapie uzgodnień, konsultacji publicznych i opiniowania.</w:t>
      </w:r>
    </w:p>
    <w:p w14:paraId="18F7DC18" w14:textId="77777777" w:rsidR="00426DC0" w:rsidRPr="003A7B73" w:rsidRDefault="00426DC0" w:rsidP="003A7B73">
      <w:pPr>
        <w:spacing w:after="0" w:line="300" w:lineRule="auto"/>
        <w:jc w:val="both"/>
        <w:rPr>
          <w:rFonts w:ascii="Arial" w:hAnsi="Arial" w:cs="Arial"/>
        </w:rPr>
      </w:pPr>
    </w:p>
    <w:p w14:paraId="7908295F" w14:textId="6C2EA089" w:rsidR="00290D61" w:rsidRPr="00B149C0" w:rsidRDefault="00B149C0" w:rsidP="00290D61">
      <w:pPr>
        <w:pStyle w:val="Akapitzlist"/>
        <w:numPr>
          <w:ilvl w:val="0"/>
          <w:numId w:val="4"/>
        </w:numPr>
        <w:spacing w:after="0" w:line="300" w:lineRule="auto"/>
        <w:jc w:val="both"/>
        <w:rPr>
          <w:rFonts w:ascii="Arial" w:hAnsi="Arial" w:cs="Arial"/>
          <w:b/>
          <w:bCs/>
          <w:u w:val="single"/>
        </w:rPr>
      </w:pPr>
      <w:r w:rsidRPr="00B149C0">
        <w:rPr>
          <w:rFonts w:ascii="Arial" w:hAnsi="Arial" w:cs="Arial"/>
          <w:b/>
          <w:bCs/>
          <w:u w:val="single"/>
        </w:rPr>
        <w:t>P</w:t>
      </w:r>
      <w:r w:rsidRPr="00B149C0">
        <w:rPr>
          <w:rFonts w:ascii="Arial" w:hAnsi="Arial" w:cs="Arial"/>
          <w:b/>
          <w:bCs/>
          <w:u w:val="single"/>
        </w:rPr>
        <w:t>rojekt rozporządzenia Ministra Zdrowia zmieniającego rozporządzenie w sprawie bezpieczeństwa i higieny pracy związanej z występowaniem w miejscu pracy czynników chemicznych (MZ1882)</w:t>
      </w:r>
      <w:r>
        <w:rPr>
          <w:rFonts w:ascii="Arial" w:hAnsi="Arial" w:cs="Arial"/>
          <w:b/>
          <w:bCs/>
          <w:u w:val="single"/>
        </w:rPr>
        <w:t>.</w:t>
      </w:r>
    </w:p>
    <w:p w14:paraId="4928102E" w14:textId="77777777" w:rsidR="00290D61" w:rsidRPr="00042C7F" w:rsidRDefault="00290D61" w:rsidP="00290D61">
      <w:pPr>
        <w:spacing w:after="0" w:line="300" w:lineRule="auto"/>
        <w:jc w:val="both"/>
        <w:rPr>
          <w:rFonts w:ascii="Arial" w:hAnsi="Arial" w:cs="Arial"/>
        </w:rPr>
      </w:pPr>
    </w:p>
    <w:p w14:paraId="12134954" w14:textId="77777777" w:rsidR="00B149C0" w:rsidRPr="00B149C0" w:rsidRDefault="00B149C0" w:rsidP="00B149C0">
      <w:pPr>
        <w:spacing w:after="0" w:line="300" w:lineRule="auto"/>
        <w:jc w:val="both"/>
        <w:rPr>
          <w:rFonts w:ascii="Arial" w:hAnsi="Arial" w:cs="Arial"/>
        </w:rPr>
      </w:pPr>
      <w:r w:rsidRPr="00B149C0">
        <w:rPr>
          <w:rFonts w:ascii="Arial" w:hAnsi="Arial" w:cs="Arial"/>
        </w:rPr>
        <w:t xml:space="preserve">Projekt rozporządzenia Ministra Zdrowia zmieniający rozporządzenie z dnia 30 grudnia 2004 r. w sprawie bezpieczeństwa i higieny pracy związanej z występowaniem w miejscu pracy czynników chemicznych (Dz. U. z 2025 r. poz. 836) jest wydawany na podstawie art. 23715 § 2 ustawy z dnia 26 czerwca 1974 r. – Kodeks pracy i wdraża dyrektywę Parlamentu Europejskiego i Rady (UE) 2024/869 z dnia 13 marca 2024 r. w sprawie zmiany dyrektywy 2004/37/WE Parlamentu Europejskiego i Rady i dyrektywy Rady 98/24/WE w odniesieniu do wartości dopuszczalnych dla ołowiu i jego związków nieorganicznych oraz dla </w:t>
      </w:r>
      <w:proofErr w:type="spellStart"/>
      <w:r w:rsidRPr="00B149C0">
        <w:rPr>
          <w:rFonts w:ascii="Arial" w:hAnsi="Arial" w:cs="Arial"/>
        </w:rPr>
        <w:t>diizocyjanianów</w:t>
      </w:r>
      <w:proofErr w:type="spellEnd"/>
      <w:r w:rsidRPr="00B149C0">
        <w:rPr>
          <w:rFonts w:ascii="Arial" w:hAnsi="Arial" w:cs="Arial"/>
        </w:rPr>
        <w:t xml:space="preserve"> (Dz. Urz. UE L 2024/869 z 19.03.2024), zwanej dalej „dyrektywą 2024/869”.</w:t>
      </w:r>
    </w:p>
    <w:p w14:paraId="08F0D776" w14:textId="77777777" w:rsidR="00B149C0" w:rsidRPr="00B149C0" w:rsidRDefault="00B149C0" w:rsidP="00B149C0">
      <w:pPr>
        <w:spacing w:after="0" w:line="300" w:lineRule="auto"/>
        <w:jc w:val="both"/>
        <w:rPr>
          <w:rFonts w:ascii="Arial" w:hAnsi="Arial" w:cs="Arial"/>
        </w:rPr>
      </w:pPr>
      <w:r w:rsidRPr="00B149C0">
        <w:rPr>
          <w:rFonts w:ascii="Arial" w:hAnsi="Arial" w:cs="Arial"/>
        </w:rPr>
        <w:t xml:space="preserve">Ołów i jego związki nieorganiczne są kluczowymi substancjami </w:t>
      </w:r>
      <w:proofErr w:type="spellStart"/>
      <w:r w:rsidRPr="00B149C0">
        <w:rPr>
          <w:rFonts w:ascii="Arial" w:hAnsi="Arial" w:cs="Arial"/>
        </w:rPr>
        <w:t>reprotoksycznymi</w:t>
      </w:r>
      <w:proofErr w:type="spellEnd"/>
      <w:r w:rsidRPr="00B149C0">
        <w:rPr>
          <w:rFonts w:ascii="Arial" w:hAnsi="Arial" w:cs="Arial"/>
        </w:rPr>
        <w:t xml:space="preserve"> w środowisku pracy, które mogą wywierać niekorzystny wpływ zarówno na płodność, jak i na rozwój płodu, a także spełniają kryteria klasyfikacji jako substancje działające szkodliwie na rozrodczość kategorii 1A zgodnie z rozporządzeniem Parlamentu Europejskiego i Rady (WE) nr 1272/2008 z dnia 16 grudnia 2008 r. w sprawie klasyfikacji, oznakowania i pakowania substancji i mieszanin, zmieniające i uchylające dyrektywy 67/548/EWG i 1999/45/WE oraz zmieniające rozporządzenie (WE) nr 1907/2006 (Dz. Urz. UE L 353 z 31.12.2008, str. 1, z </w:t>
      </w:r>
      <w:proofErr w:type="spellStart"/>
      <w:r w:rsidRPr="00B149C0">
        <w:rPr>
          <w:rFonts w:ascii="Arial" w:hAnsi="Arial" w:cs="Arial"/>
        </w:rPr>
        <w:t>późn</w:t>
      </w:r>
      <w:proofErr w:type="spellEnd"/>
      <w:r w:rsidRPr="00B149C0">
        <w:rPr>
          <w:rFonts w:ascii="Arial" w:hAnsi="Arial" w:cs="Arial"/>
        </w:rPr>
        <w:t xml:space="preserve">. zm.), a zatem są substancjami </w:t>
      </w:r>
      <w:proofErr w:type="spellStart"/>
      <w:r w:rsidRPr="00B149C0">
        <w:rPr>
          <w:rFonts w:ascii="Arial" w:hAnsi="Arial" w:cs="Arial"/>
        </w:rPr>
        <w:t>reprotoksycznymi</w:t>
      </w:r>
      <w:proofErr w:type="spellEnd"/>
      <w:r w:rsidRPr="00B149C0">
        <w:rPr>
          <w:rFonts w:ascii="Arial" w:hAnsi="Arial" w:cs="Arial"/>
        </w:rPr>
        <w:t xml:space="preserve"> zdefiniowanymi w art. 2 lit. ba) dyrektywy 2004/37/WE Parlamentu Europejskiego i Rady z dnia 29 kwietnia 2004 r. w sprawie ochrony pracowników przed zagrożeniem dotyczącym narażenia na działanie czynników rakotwórczych lub mutagenów podczas pracy (szósta dyrektywa szczegółowa w rozumieniu art. 16 ust. 1 dyrektywy Rady 89/391/EWG) (Dz. Urz. UE L 158 z 30.04.2004, str. 50, z </w:t>
      </w:r>
      <w:proofErr w:type="spellStart"/>
      <w:r w:rsidRPr="00B149C0">
        <w:rPr>
          <w:rFonts w:ascii="Arial" w:hAnsi="Arial" w:cs="Arial"/>
        </w:rPr>
        <w:t>późn</w:t>
      </w:r>
      <w:proofErr w:type="spellEnd"/>
      <w:r w:rsidRPr="00B149C0">
        <w:rPr>
          <w:rFonts w:ascii="Arial" w:hAnsi="Arial" w:cs="Arial"/>
        </w:rPr>
        <w:t>. zm.).</w:t>
      </w:r>
    </w:p>
    <w:p w14:paraId="1A868956" w14:textId="77777777" w:rsidR="00B149C0" w:rsidRPr="00B149C0" w:rsidRDefault="00B149C0" w:rsidP="00B149C0">
      <w:pPr>
        <w:spacing w:after="0" w:line="300" w:lineRule="auto"/>
        <w:jc w:val="both"/>
        <w:rPr>
          <w:rFonts w:ascii="Arial" w:hAnsi="Arial" w:cs="Arial"/>
        </w:rPr>
      </w:pPr>
      <w:r w:rsidRPr="00B149C0">
        <w:rPr>
          <w:rFonts w:ascii="Arial" w:hAnsi="Arial" w:cs="Arial"/>
        </w:rPr>
        <w:lastRenderedPageBreak/>
        <w:t xml:space="preserve">Jak stanowi w preambule dyrektywa 2024/869 badania pokazują, że ołów odpowiada za około połowę całego narażenia zawodowego na działanie substancji </w:t>
      </w:r>
      <w:proofErr w:type="spellStart"/>
      <w:r w:rsidRPr="00B149C0">
        <w:rPr>
          <w:rFonts w:ascii="Arial" w:hAnsi="Arial" w:cs="Arial"/>
        </w:rPr>
        <w:t>reprotoksycznych</w:t>
      </w:r>
      <w:proofErr w:type="spellEnd"/>
      <w:r w:rsidRPr="00B149C0">
        <w:rPr>
          <w:rFonts w:ascii="Arial" w:hAnsi="Arial" w:cs="Arial"/>
        </w:rPr>
        <w:t>. Nie można naukowo określić poziomu, poniżej którego narażenie na działanie ołowiu i jego związków nieorganicznych byłoby bezpieczne dla rozwoju potomstwa pracownic w wieku rozrodczym. Należy zatem wprowadzić notację „</w:t>
      </w:r>
      <w:proofErr w:type="spellStart"/>
      <w:r w:rsidRPr="00B149C0">
        <w:rPr>
          <w:rFonts w:ascii="Arial" w:hAnsi="Arial" w:cs="Arial"/>
        </w:rPr>
        <w:t>nieprogowa</w:t>
      </w:r>
      <w:proofErr w:type="spellEnd"/>
      <w:r w:rsidRPr="00B149C0">
        <w:rPr>
          <w:rFonts w:ascii="Arial" w:hAnsi="Arial" w:cs="Arial"/>
        </w:rPr>
        <w:t xml:space="preserve"> substancja </w:t>
      </w:r>
      <w:proofErr w:type="spellStart"/>
      <w:r w:rsidRPr="00B149C0">
        <w:rPr>
          <w:rFonts w:ascii="Arial" w:hAnsi="Arial" w:cs="Arial"/>
        </w:rPr>
        <w:t>reprotoksyczna</w:t>
      </w:r>
      <w:proofErr w:type="spellEnd"/>
      <w:r w:rsidRPr="00B149C0">
        <w:rPr>
          <w:rFonts w:ascii="Arial" w:hAnsi="Arial" w:cs="Arial"/>
        </w:rPr>
        <w:t xml:space="preserve">” w odniesieniu do ołowiu i jego związków nieorganicznych, a pracodawcy powinni zapewnić, aby narażenie zawodowe pracowników na działanie ołowiu i jego związków nieorganicznych zmniejszyło się do tak niskiego poziomu, jak to technicznie możliwe. Narażenie drogą doustną i oddechową to istotne drogi wchłaniania ołowiu i jego związków nieorganicznych do organizmu ludzkiego. Ze względu na najnowsze dane naukowe oraz nowe ustalenia dotyczące ołowiu i jego związków nieorganicznych konieczna jest poprawa ochrony pracowników narażonych na potencjalne zagrożenie dla zdrowia polegająca na obniżeniu zarówno dopuszczalnej wartości biologicznej, jak i dopuszczalnej wartości narażenia zawodowego dla ołowiu i jego związków nieorganicznych. W związku z tym należy ustanowić zmienioną dopuszczalną wartość biologiczną równą 15 </w:t>
      </w:r>
      <w:proofErr w:type="spellStart"/>
      <w:r w:rsidRPr="00B149C0">
        <w:rPr>
          <w:rFonts w:ascii="Arial" w:hAnsi="Arial" w:cs="Arial"/>
        </w:rPr>
        <w:t>μg</w:t>
      </w:r>
      <w:proofErr w:type="spellEnd"/>
      <w:r w:rsidRPr="00B149C0">
        <w:rPr>
          <w:rFonts w:ascii="Arial" w:hAnsi="Arial" w:cs="Arial"/>
        </w:rPr>
        <w:t xml:space="preserve"> Pb/100 ml krwi wraz ze zmienioną dopuszczalną wartością narażenia zawodowego wynoszącą 0,03 mg/m3 jako średnia ważona w czasie w ośmiogodzinnym okresie odniesienia. Przestrzeganie znacznego obniżenia dopuszczalnej wartości biologicznej do poziomu 15 </w:t>
      </w:r>
      <w:proofErr w:type="spellStart"/>
      <w:r w:rsidRPr="00B149C0">
        <w:rPr>
          <w:rFonts w:ascii="Arial" w:hAnsi="Arial" w:cs="Arial"/>
        </w:rPr>
        <w:t>μg</w:t>
      </w:r>
      <w:proofErr w:type="spellEnd"/>
      <w:r w:rsidRPr="00B149C0">
        <w:rPr>
          <w:rFonts w:ascii="Arial" w:hAnsi="Arial" w:cs="Arial"/>
        </w:rPr>
        <w:t xml:space="preserve"> Pb/100 ml krwi może być trudne w perspektywie krótkoterminowej ze względu na czas potrzebny na wdrożenie środków zarządzania ryzykiem i kosztowne dostosowanie procesów produkcyjnych. W związku z tym należy wprowadzić okres przejściowy do dnia 31 grudnia 2028 r., podczas którego obowiązywać będzie dopuszczalna wartość biologiczna wynosząca 30 </w:t>
      </w:r>
      <w:proofErr w:type="spellStart"/>
      <w:r w:rsidRPr="00B149C0">
        <w:rPr>
          <w:rFonts w:ascii="Arial" w:hAnsi="Arial" w:cs="Arial"/>
        </w:rPr>
        <w:t>μg</w:t>
      </w:r>
      <w:proofErr w:type="spellEnd"/>
      <w:r w:rsidRPr="00B149C0">
        <w:rPr>
          <w:rFonts w:ascii="Arial" w:hAnsi="Arial" w:cs="Arial"/>
        </w:rPr>
        <w:t xml:space="preserve"> Pb/100 ml krwi.</w:t>
      </w:r>
    </w:p>
    <w:p w14:paraId="364F55F3" w14:textId="77777777" w:rsidR="00B149C0" w:rsidRPr="00B149C0" w:rsidRDefault="00B149C0" w:rsidP="00B149C0">
      <w:pPr>
        <w:spacing w:after="0" w:line="300" w:lineRule="auto"/>
        <w:jc w:val="both"/>
        <w:rPr>
          <w:rFonts w:ascii="Arial" w:hAnsi="Arial" w:cs="Arial"/>
        </w:rPr>
      </w:pPr>
      <w:r w:rsidRPr="00B149C0">
        <w:rPr>
          <w:rFonts w:ascii="Arial" w:hAnsi="Arial" w:cs="Arial"/>
        </w:rPr>
        <w:t xml:space="preserve">Wobec powyższego konieczne jest uchylenie w § 13 ust. 2 zmienianego rozporządzenia obecnie określającego, że dopuszczalne stężenie ołowiu w materiale biologicznym dla ołowiu wynosi 50 µg Pb/100 ml krwi i dodanie ust. 3, określającego, że do dnia 31 grudnia 2028 r. wiążąca dopuszczalna wartość biologiczna wynosi 30 </w:t>
      </w:r>
      <w:proofErr w:type="spellStart"/>
      <w:r w:rsidRPr="00B149C0">
        <w:rPr>
          <w:rFonts w:ascii="Arial" w:hAnsi="Arial" w:cs="Arial"/>
        </w:rPr>
        <w:t>μg</w:t>
      </w:r>
      <w:proofErr w:type="spellEnd"/>
      <w:r w:rsidRPr="00B149C0">
        <w:rPr>
          <w:rFonts w:ascii="Arial" w:hAnsi="Arial" w:cs="Arial"/>
        </w:rPr>
        <w:t xml:space="preserve"> Pb/100 ml krwi.</w:t>
      </w:r>
    </w:p>
    <w:p w14:paraId="1CA11D7A" w14:textId="77777777" w:rsidR="00B149C0" w:rsidRPr="00B149C0" w:rsidRDefault="00B149C0" w:rsidP="00B149C0">
      <w:pPr>
        <w:spacing w:after="0" w:line="300" w:lineRule="auto"/>
        <w:jc w:val="both"/>
        <w:rPr>
          <w:rFonts w:ascii="Arial" w:hAnsi="Arial" w:cs="Arial"/>
        </w:rPr>
      </w:pPr>
      <w:r w:rsidRPr="00B149C0">
        <w:rPr>
          <w:rFonts w:ascii="Arial" w:hAnsi="Arial" w:cs="Arial"/>
        </w:rPr>
        <w:t>Jednocześnie należy wskazać, że przepisy dyrektywy 2024/869 w zakresie załącznika IIIA dotyczącego dopuszczalnych wartości biologicznych i środków kontroli zdrowia, będą wdrażane w dwóch rozporządzeniach Ministra Zdrowia, tj.:</w:t>
      </w:r>
    </w:p>
    <w:p w14:paraId="6BF48EC2" w14:textId="574E4961" w:rsidR="00B149C0" w:rsidRPr="00B149C0" w:rsidRDefault="00B149C0" w:rsidP="00B149C0">
      <w:pPr>
        <w:pStyle w:val="Akapitzlist"/>
        <w:numPr>
          <w:ilvl w:val="0"/>
          <w:numId w:val="8"/>
        </w:numPr>
        <w:spacing w:after="0" w:line="300" w:lineRule="auto"/>
        <w:jc w:val="both"/>
        <w:rPr>
          <w:rFonts w:ascii="Arial" w:hAnsi="Arial" w:cs="Arial"/>
        </w:rPr>
      </w:pPr>
      <w:r w:rsidRPr="00B149C0">
        <w:rPr>
          <w:rFonts w:ascii="Arial" w:hAnsi="Arial" w:cs="Arial"/>
        </w:rPr>
        <w:t>projektowanym rozporządzeniu Ministra Zdrowia zmieniającym rozporządzenie w sprawie bezpieczeństwa i higieny pracy związanej z występowaniem w miejscu pracy czynników chemicznych;</w:t>
      </w:r>
    </w:p>
    <w:p w14:paraId="2101997E" w14:textId="45D1BE0D" w:rsidR="00290D61" w:rsidRPr="00B149C0" w:rsidRDefault="00B149C0" w:rsidP="00B149C0">
      <w:pPr>
        <w:pStyle w:val="Akapitzlist"/>
        <w:numPr>
          <w:ilvl w:val="0"/>
          <w:numId w:val="8"/>
        </w:numPr>
        <w:spacing w:after="0" w:line="300" w:lineRule="auto"/>
        <w:jc w:val="both"/>
        <w:rPr>
          <w:rFonts w:ascii="Arial" w:hAnsi="Arial" w:cs="Arial"/>
        </w:rPr>
      </w:pPr>
      <w:r w:rsidRPr="00B149C0">
        <w:rPr>
          <w:rFonts w:ascii="Arial" w:hAnsi="Arial" w:cs="Arial"/>
        </w:rPr>
        <w:t xml:space="preserve">a także rozporządzeniu Ministra Zdrowia w sprawie przeprowadzania badań lekarskich pracowników, zakresu profilaktycznej opieki zdrowotnej nad pracownikami oraz orzeczeń lekarskich wydawanych do celów przewidzianych w Kodeksie pracy określając, że od dnia 1 stycznia 2029 r. wiążąca dopuszczalna wartość biologiczna będzie wynosić: 15 </w:t>
      </w:r>
      <w:proofErr w:type="spellStart"/>
      <w:r w:rsidRPr="00B149C0">
        <w:rPr>
          <w:rFonts w:ascii="Arial" w:hAnsi="Arial" w:cs="Arial"/>
        </w:rPr>
        <w:t>μg</w:t>
      </w:r>
      <w:proofErr w:type="spellEnd"/>
      <w:r w:rsidRPr="00B149C0">
        <w:rPr>
          <w:rFonts w:ascii="Arial" w:hAnsi="Arial" w:cs="Arial"/>
        </w:rPr>
        <w:t xml:space="preserve"> Pb/100 ml krwi.</w:t>
      </w:r>
    </w:p>
    <w:p w14:paraId="2B68412D" w14:textId="77777777" w:rsidR="00B149C0" w:rsidRDefault="00B149C0" w:rsidP="00290D61">
      <w:pPr>
        <w:spacing w:after="0" w:line="300" w:lineRule="auto"/>
        <w:jc w:val="both"/>
        <w:rPr>
          <w:rFonts w:ascii="Arial" w:hAnsi="Arial" w:cs="Arial"/>
        </w:rPr>
      </w:pPr>
    </w:p>
    <w:p w14:paraId="06972650" w14:textId="77777777" w:rsidR="00B149C0" w:rsidRPr="00B149C0" w:rsidRDefault="00B149C0" w:rsidP="00B149C0">
      <w:pPr>
        <w:spacing w:after="0" w:line="300" w:lineRule="auto"/>
        <w:jc w:val="both"/>
        <w:rPr>
          <w:rFonts w:ascii="Arial" w:hAnsi="Arial" w:cs="Arial"/>
        </w:rPr>
      </w:pPr>
      <w:r w:rsidRPr="00B149C0">
        <w:rPr>
          <w:rFonts w:ascii="Arial" w:hAnsi="Arial" w:cs="Arial"/>
        </w:rPr>
        <w:t>Przedmiotowy projekt aktu prawnego wraz z Uzasadnieniem, Oceną Skutków Regulacji oraz Tabelą zgodności dostępny jest na stronach Rządowego Centrum Legislacji pod adresem:</w:t>
      </w:r>
    </w:p>
    <w:p w14:paraId="6BD82679" w14:textId="706E6208" w:rsidR="00B149C0" w:rsidRDefault="00B149C0" w:rsidP="00B149C0">
      <w:pPr>
        <w:spacing w:after="0" w:line="300" w:lineRule="auto"/>
        <w:jc w:val="both"/>
        <w:rPr>
          <w:rFonts w:ascii="Arial" w:hAnsi="Arial" w:cs="Arial"/>
        </w:rPr>
      </w:pPr>
      <w:hyperlink r:id="rId8" w:history="1">
        <w:r w:rsidRPr="00A330C0">
          <w:rPr>
            <w:rStyle w:val="Hipercze"/>
            <w:rFonts w:ascii="Arial" w:hAnsi="Arial" w:cs="Arial"/>
          </w:rPr>
          <w:t>https://legislacja.gov.pl/projekt/1240815</w:t>
        </w:r>
        <w:r w:rsidRPr="00A330C0">
          <w:rPr>
            <w:rStyle w:val="Hipercze"/>
            <w:rFonts w:ascii="Arial" w:hAnsi="Arial" w:cs="Arial"/>
          </w:rPr>
          <w:t>0</w:t>
        </w:r>
        <w:r w:rsidRPr="00A330C0">
          <w:rPr>
            <w:rStyle w:val="Hipercze"/>
            <w:rFonts w:ascii="Arial" w:hAnsi="Arial" w:cs="Arial"/>
          </w:rPr>
          <w:t>/katalog/13191958#13191958</w:t>
        </w:r>
      </w:hyperlink>
      <w:r>
        <w:rPr>
          <w:rFonts w:ascii="Arial" w:hAnsi="Arial" w:cs="Arial"/>
        </w:rPr>
        <w:t xml:space="preserve"> </w:t>
      </w:r>
    </w:p>
    <w:p w14:paraId="0BC6F50E" w14:textId="77777777" w:rsidR="00290D61" w:rsidRDefault="00290D61" w:rsidP="00290D61">
      <w:pPr>
        <w:spacing w:after="0" w:line="300" w:lineRule="auto"/>
        <w:rPr>
          <w:rFonts w:ascii="Arial" w:hAnsi="Arial" w:cs="Arial"/>
        </w:rPr>
      </w:pPr>
    </w:p>
    <w:p w14:paraId="4485E083" w14:textId="390F10E7" w:rsidR="00B149C0" w:rsidRDefault="00B149C0" w:rsidP="00290D61">
      <w:pPr>
        <w:spacing w:after="0" w:line="300" w:lineRule="auto"/>
        <w:rPr>
          <w:rFonts w:ascii="Arial" w:hAnsi="Arial" w:cs="Arial"/>
        </w:rPr>
      </w:pPr>
      <w:r w:rsidRPr="00B149C0">
        <w:rPr>
          <w:rFonts w:ascii="Arial" w:hAnsi="Arial" w:cs="Arial"/>
        </w:rPr>
        <w:t>Projekt jest obecnie jednocześnie na etapie uzgodnień</w:t>
      </w:r>
      <w:r>
        <w:rPr>
          <w:rFonts w:ascii="Arial" w:hAnsi="Arial" w:cs="Arial"/>
        </w:rPr>
        <w:t xml:space="preserve"> i</w:t>
      </w:r>
      <w:r w:rsidRPr="00B149C0">
        <w:rPr>
          <w:rFonts w:ascii="Arial" w:hAnsi="Arial" w:cs="Arial"/>
        </w:rPr>
        <w:t xml:space="preserve"> konsultacji publicznych.</w:t>
      </w:r>
    </w:p>
    <w:p w14:paraId="0AE5656E" w14:textId="77777777" w:rsidR="00B149C0" w:rsidRPr="00CB4A6E" w:rsidRDefault="00B149C0" w:rsidP="00290D61">
      <w:pPr>
        <w:spacing w:after="0" w:line="300" w:lineRule="auto"/>
        <w:rPr>
          <w:rFonts w:ascii="Arial" w:hAnsi="Arial" w:cs="Arial"/>
        </w:rPr>
      </w:pPr>
    </w:p>
    <w:p w14:paraId="6AB3CD69" w14:textId="77777777" w:rsidR="00290D61" w:rsidRDefault="00290D61" w:rsidP="00290D61">
      <w:pPr>
        <w:spacing w:after="0" w:line="300" w:lineRule="auto"/>
        <w:jc w:val="both"/>
        <w:rPr>
          <w:rFonts w:ascii="Arial" w:hAnsi="Arial" w:cs="Arial"/>
          <w:b/>
        </w:rPr>
      </w:pPr>
      <w:r>
        <w:rPr>
          <w:rFonts w:ascii="Arial" w:hAnsi="Arial" w:cs="Arial"/>
          <w:b/>
        </w:rPr>
        <w:lastRenderedPageBreak/>
        <w:t>II. Ogłoszone akty prawne (Dziennik Ustaw RP)</w:t>
      </w:r>
    </w:p>
    <w:p w14:paraId="0EDC1F3F" w14:textId="77777777" w:rsidR="00290D61" w:rsidRDefault="00290D61" w:rsidP="00290D61">
      <w:pPr>
        <w:spacing w:after="0" w:line="300" w:lineRule="auto"/>
        <w:jc w:val="both"/>
        <w:rPr>
          <w:rFonts w:ascii="Arial" w:hAnsi="Arial" w:cs="Arial"/>
        </w:rPr>
      </w:pPr>
    </w:p>
    <w:p w14:paraId="2DA76F28" w14:textId="7F3762BE" w:rsidR="00290D61" w:rsidRDefault="00290D61" w:rsidP="00290D61">
      <w:pPr>
        <w:spacing w:after="0" w:line="300" w:lineRule="auto"/>
        <w:jc w:val="both"/>
        <w:rPr>
          <w:rFonts w:ascii="Arial" w:hAnsi="Arial" w:cs="Arial"/>
        </w:rPr>
      </w:pPr>
      <w:r>
        <w:rPr>
          <w:rFonts w:ascii="Arial" w:hAnsi="Arial" w:cs="Arial"/>
        </w:rPr>
        <w:t xml:space="preserve">W analizowanym okresie ogłoszono </w:t>
      </w:r>
      <w:r w:rsidR="003E0436">
        <w:rPr>
          <w:rFonts w:ascii="Arial" w:hAnsi="Arial" w:cs="Arial"/>
        </w:rPr>
        <w:t>54</w:t>
      </w:r>
      <w:r>
        <w:rPr>
          <w:rFonts w:ascii="Arial" w:hAnsi="Arial" w:cs="Arial"/>
        </w:rPr>
        <w:t xml:space="preserve"> akt</w:t>
      </w:r>
      <w:r w:rsidR="003E0436">
        <w:rPr>
          <w:rFonts w:ascii="Arial" w:hAnsi="Arial" w:cs="Arial"/>
        </w:rPr>
        <w:t>y</w:t>
      </w:r>
      <w:r>
        <w:rPr>
          <w:rFonts w:ascii="Arial" w:hAnsi="Arial" w:cs="Arial"/>
        </w:rPr>
        <w:t xml:space="preserve"> praw</w:t>
      </w:r>
      <w:r w:rsidR="003E0436">
        <w:rPr>
          <w:rFonts w:ascii="Arial" w:hAnsi="Arial" w:cs="Arial"/>
        </w:rPr>
        <w:t>ne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0B601F03" w14:textId="77777777" w:rsidR="00290D61" w:rsidRDefault="00290D61" w:rsidP="00290D61">
      <w:pPr>
        <w:spacing w:after="0" w:line="300" w:lineRule="auto"/>
        <w:jc w:val="both"/>
        <w:rPr>
          <w:rFonts w:ascii="Arial" w:hAnsi="Arial" w:cs="Arial"/>
        </w:rPr>
      </w:pPr>
    </w:p>
    <w:p w14:paraId="01926287" w14:textId="64E51DAC" w:rsidR="00290D61" w:rsidRPr="00AE5B8F" w:rsidRDefault="00AE5B8F" w:rsidP="00AE5B8F">
      <w:pPr>
        <w:pStyle w:val="Akapitzlist"/>
        <w:spacing w:after="0" w:line="300" w:lineRule="auto"/>
        <w:ind w:left="426"/>
        <w:jc w:val="both"/>
        <w:rPr>
          <w:rFonts w:ascii="Arial" w:hAnsi="Arial" w:cs="Arial"/>
          <w:b/>
          <w:bCs/>
          <w:u w:val="single"/>
        </w:rPr>
      </w:pPr>
      <w:r w:rsidRPr="00AE5B8F">
        <w:rPr>
          <w:rFonts w:ascii="Arial" w:hAnsi="Arial" w:cs="Arial"/>
          <w:b/>
          <w:bCs/>
          <w:u w:val="single"/>
        </w:rPr>
        <w:t>Ustawa z dnia 27 lutego 2026 r. o zmianie ustawy o rachunkowości</w:t>
      </w:r>
      <w:r w:rsidRPr="00AE5B8F">
        <w:rPr>
          <w:rFonts w:ascii="Arial" w:hAnsi="Arial" w:cs="Arial"/>
          <w:b/>
          <w:bCs/>
          <w:u w:val="single"/>
        </w:rPr>
        <w:t>.</w:t>
      </w:r>
    </w:p>
    <w:p w14:paraId="21F8F507" w14:textId="77777777" w:rsidR="00AE5B8F" w:rsidRDefault="00AE5B8F" w:rsidP="00AE5B8F">
      <w:pPr>
        <w:spacing w:after="0" w:line="300" w:lineRule="auto"/>
        <w:jc w:val="both"/>
        <w:rPr>
          <w:rFonts w:ascii="Arial" w:eastAsia="Times New Roman" w:hAnsi="Arial" w:cs="Arial"/>
          <w:lang w:eastAsia="pl-PL"/>
        </w:rPr>
      </w:pPr>
    </w:p>
    <w:p w14:paraId="67DA7D81" w14:textId="6988EF21" w:rsidR="00290D61" w:rsidRPr="00AE5B8F" w:rsidRDefault="00290D61" w:rsidP="00AE5B8F">
      <w:pPr>
        <w:spacing w:after="0" w:line="300" w:lineRule="auto"/>
        <w:jc w:val="both"/>
        <w:rPr>
          <w:rFonts w:ascii="Arial" w:eastAsia="Times New Roman" w:hAnsi="Arial" w:cs="Arial"/>
          <w:lang w:eastAsia="pl-PL"/>
        </w:rPr>
      </w:pPr>
      <w:r w:rsidRPr="00AE5B8F">
        <w:rPr>
          <w:rFonts w:ascii="Arial" w:eastAsia="Times New Roman" w:hAnsi="Arial" w:cs="Arial"/>
          <w:lang w:eastAsia="pl-PL"/>
        </w:rPr>
        <w:t xml:space="preserve">Powyższy akt prawny ogłoszony został </w:t>
      </w:r>
      <w:r w:rsidR="00AE5B8F">
        <w:rPr>
          <w:rFonts w:ascii="Arial" w:eastAsia="Times New Roman" w:hAnsi="Arial" w:cs="Arial"/>
          <w:lang w:eastAsia="pl-PL"/>
        </w:rPr>
        <w:t>13 marca</w:t>
      </w:r>
      <w:r w:rsidRPr="00AE5B8F">
        <w:rPr>
          <w:rFonts w:ascii="Arial" w:eastAsia="Times New Roman" w:hAnsi="Arial" w:cs="Arial"/>
          <w:lang w:eastAsia="pl-PL"/>
        </w:rPr>
        <w:t xml:space="preserve"> 20</w:t>
      </w:r>
      <w:r w:rsidR="00AE5B8F">
        <w:rPr>
          <w:rFonts w:ascii="Arial" w:eastAsia="Times New Roman" w:hAnsi="Arial" w:cs="Arial"/>
          <w:lang w:eastAsia="pl-PL"/>
        </w:rPr>
        <w:t>26</w:t>
      </w:r>
      <w:r w:rsidRPr="00AE5B8F">
        <w:rPr>
          <w:rFonts w:ascii="Arial" w:eastAsia="Times New Roman" w:hAnsi="Arial" w:cs="Arial"/>
          <w:lang w:eastAsia="pl-PL"/>
        </w:rPr>
        <w:t xml:space="preserve"> roku w Dzienniku Ustaw (Dz.U. z 202</w:t>
      </w:r>
      <w:r w:rsidR="00AE5B8F">
        <w:rPr>
          <w:rFonts w:ascii="Arial" w:eastAsia="Times New Roman" w:hAnsi="Arial" w:cs="Arial"/>
          <w:lang w:eastAsia="pl-PL"/>
        </w:rPr>
        <w:t>6</w:t>
      </w:r>
      <w:r w:rsidRPr="00AE5B8F">
        <w:rPr>
          <w:rFonts w:ascii="Arial" w:eastAsia="Times New Roman" w:hAnsi="Arial" w:cs="Arial"/>
          <w:lang w:eastAsia="pl-PL"/>
        </w:rPr>
        <w:t xml:space="preserve">, poz. </w:t>
      </w:r>
      <w:r w:rsidR="00AE5B8F">
        <w:rPr>
          <w:rFonts w:ascii="Arial" w:eastAsia="Times New Roman" w:hAnsi="Arial" w:cs="Arial"/>
          <w:lang w:eastAsia="pl-PL"/>
        </w:rPr>
        <w:t>333</w:t>
      </w:r>
      <w:r w:rsidRPr="00AE5B8F">
        <w:rPr>
          <w:rFonts w:ascii="Arial" w:eastAsia="Times New Roman" w:hAnsi="Arial" w:cs="Arial"/>
          <w:lang w:eastAsia="pl-PL"/>
        </w:rPr>
        <w:t>).</w:t>
      </w:r>
    </w:p>
    <w:p w14:paraId="6DA92EE0" w14:textId="77777777" w:rsidR="00AE5B8F" w:rsidRDefault="00AE5B8F" w:rsidP="00AE5B8F">
      <w:pPr>
        <w:spacing w:after="0" w:line="300" w:lineRule="auto"/>
        <w:jc w:val="both"/>
        <w:rPr>
          <w:rFonts w:ascii="Arial" w:eastAsia="Times New Roman" w:hAnsi="Arial" w:cs="Arial"/>
          <w:lang w:eastAsia="pl-PL"/>
        </w:rPr>
      </w:pPr>
    </w:p>
    <w:p w14:paraId="355F04A0" w14:textId="77777777" w:rsidR="00AE5B8F" w:rsidRDefault="00AE5B8F" w:rsidP="00AE5B8F">
      <w:pPr>
        <w:spacing w:after="0" w:line="300" w:lineRule="auto"/>
        <w:jc w:val="both"/>
        <w:rPr>
          <w:rFonts w:ascii="Arial" w:eastAsia="Times New Roman" w:hAnsi="Arial" w:cs="Arial"/>
          <w:lang w:eastAsia="pl-PL"/>
        </w:rPr>
      </w:pPr>
      <w:r w:rsidRPr="00AE5B8F">
        <w:rPr>
          <w:rFonts w:ascii="Arial" w:eastAsia="Times New Roman" w:hAnsi="Arial" w:cs="Arial"/>
          <w:lang w:eastAsia="pl-PL"/>
        </w:rPr>
        <w:t xml:space="preserve">Nowelizacja wprowadza zmiany w ustawie z dnia 29 września 1994 r. o rachunkowości (Dz.U. z 2023 r. poz. 120, z </w:t>
      </w:r>
      <w:proofErr w:type="spellStart"/>
      <w:r w:rsidRPr="00AE5B8F">
        <w:rPr>
          <w:rFonts w:ascii="Arial" w:eastAsia="Times New Roman" w:hAnsi="Arial" w:cs="Arial"/>
          <w:lang w:eastAsia="pl-PL"/>
        </w:rPr>
        <w:t>późn</w:t>
      </w:r>
      <w:proofErr w:type="spellEnd"/>
      <w:r w:rsidRPr="00AE5B8F">
        <w:rPr>
          <w:rFonts w:ascii="Arial" w:eastAsia="Times New Roman" w:hAnsi="Arial" w:cs="Arial"/>
          <w:lang w:eastAsia="pl-PL"/>
        </w:rPr>
        <w:t xml:space="preserve">. zm.). Zasadniczym celem ustawy jest wdrożenie do przepisów krajowych opcji dla państwa członkowskiego przewidzianej w dyrektywie Parlamentu Europejskiego i Rady (UE) 2026/470 w sprawie zmiany dyrektyw 2006/43/WE, 2013/34/UE, (UE) 2022/2464 i (UE) 2024/1760 w odniesieniu do niektórych wymogów dotyczących sprawozdawczości przedsiębiorstw w zakresie zrównoważonego rozwoju i niektórych wymogów w zakresie należytej staranności przedsiębiorstw w zakresie zrównoważonego rozwoju (Dz.U.UE.L.2026.470 z dnia 2026.02.26). Dyrektywa ta wprowadza m.in. zmiany do art. 5(2) dyrektywy Parlamentu Europejskiego i Rady (UE) 2022/2464 z dnia 14 grudnia 2022 r. w sprawie zmiany rozporządzenia (UE) nr 537/2014, dyrektywy 2004/109/WE, dyrektywy 2006/43/WE oraz dyrektywy 2013/34/UE w odniesieniu do sprawozdawczości przedsiębiorstw w zakresie zrównoważonego rozwoju (Dz. Urz. UE L 322 z 16.12.2022, str. 15, z </w:t>
      </w:r>
      <w:proofErr w:type="spellStart"/>
      <w:r w:rsidRPr="00AE5B8F">
        <w:rPr>
          <w:rFonts w:ascii="Arial" w:eastAsia="Times New Roman" w:hAnsi="Arial" w:cs="Arial"/>
          <w:lang w:eastAsia="pl-PL"/>
        </w:rPr>
        <w:t>późn</w:t>
      </w:r>
      <w:proofErr w:type="spellEnd"/>
      <w:r w:rsidRPr="00AE5B8F">
        <w:rPr>
          <w:rFonts w:ascii="Arial" w:eastAsia="Times New Roman" w:hAnsi="Arial" w:cs="Arial"/>
          <w:lang w:eastAsia="pl-PL"/>
        </w:rPr>
        <w:t xml:space="preserve">. zm.), tzw. CSRD.  </w:t>
      </w:r>
    </w:p>
    <w:p w14:paraId="796135AA" w14:textId="77777777" w:rsidR="00AE5B8F" w:rsidRDefault="00AE5B8F" w:rsidP="00AE5B8F">
      <w:pPr>
        <w:spacing w:after="0" w:line="300" w:lineRule="auto"/>
        <w:jc w:val="both"/>
        <w:rPr>
          <w:rFonts w:ascii="Arial" w:eastAsia="Times New Roman" w:hAnsi="Arial" w:cs="Arial"/>
          <w:lang w:eastAsia="pl-PL"/>
        </w:rPr>
      </w:pPr>
      <w:r w:rsidRPr="00AE5B8F">
        <w:rPr>
          <w:rFonts w:ascii="Arial" w:eastAsia="Times New Roman" w:hAnsi="Arial" w:cs="Arial"/>
          <w:lang w:eastAsia="pl-PL"/>
        </w:rPr>
        <w:t xml:space="preserve">CSRD została wdrożona do przepisów krajowych ustawą z dnia 6 grudnia 2024 r. o zmianie ustawy o rachunkowości, ustawy o biegłych rewidentach, firmach audytorskich oraz nadzorze publicznym oraz niektórych innych ustaw (Dz. U. poz. 1863, z </w:t>
      </w:r>
      <w:proofErr w:type="spellStart"/>
      <w:r w:rsidRPr="00AE5B8F">
        <w:rPr>
          <w:rFonts w:ascii="Arial" w:eastAsia="Times New Roman" w:hAnsi="Arial" w:cs="Arial"/>
          <w:lang w:eastAsia="pl-PL"/>
        </w:rPr>
        <w:t>późn</w:t>
      </w:r>
      <w:proofErr w:type="spellEnd"/>
      <w:r w:rsidRPr="00AE5B8F">
        <w:rPr>
          <w:rFonts w:ascii="Arial" w:eastAsia="Times New Roman" w:hAnsi="Arial" w:cs="Arial"/>
          <w:lang w:eastAsia="pl-PL"/>
        </w:rPr>
        <w:t xml:space="preserve">. zm.). Ustawa ta wprowadziła obowiązek przedstawiania informacji o wpływie działalności jednostki na obszar środowiskowy, spraw społecznych, w tym praw człowieka, oraz ładu korporacyjnego, a także wpływu tych trzech obszarów na rozwój, wyniki i sytuację jednostki (tzw. sprawozdawczość zrównoważonego rozwoju lub sprawozdawczość ESG). Do sporządzania tej sprawozdawczości są obowiązane obecnie jednostki duże oraz małe i średnie jednostki będące emitentami papierów wartościowych dopuszczonych do obrotu na jednym z rynków regulowanych Europejskiego Obszaru Gospodarczego, a także jednostki dominujące dużych grup. W myśl obowiązujących przepisów obowiązek raportowania po raz pierwszy – zgodnie z wymogami CSR – został rozłożony na trzy etapy. W pierwszej kolejności, w 2025 r. za rok obrotowy 2024, zaraportowały największe jednostki zainteresowania publicznego zatrudniające ponad 500 pracowników i przekraczające co najmniej jeden z progów finansowych dla jednostki dużej, a także jednostki zainteresowania publicznego stojące na czele grupy, w której zatrudnienie przekracza 500 osób, oraz która przekracza co najmniej jeden z progów finansowych dla dużej grupy. Obowiązek raportowania w drugiej turze, w 2028 r. za rok obrotowy 2027, dotyczy pozostałych jednostek dużych i pozostałych dużych grup. Obowiązek raportowania w trzeciej turze (w 2029 r. za rok obrotowy 2028) dotyczy małych i </w:t>
      </w:r>
      <w:r w:rsidRPr="00AE5B8F">
        <w:rPr>
          <w:rFonts w:ascii="Arial" w:eastAsia="Times New Roman" w:hAnsi="Arial" w:cs="Arial"/>
          <w:lang w:eastAsia="pl-PL"/>
        </w:rPr>
        <w:lastRenderedPageBreak/>
        <w:t>średnich emitentów z rynku regulowanego. Pierwotne terminy pierwszego raportowania dla jednostek z drugiej i trzeciej tury zostały przesunięte o dwa lata zgodnie z dyrektywą Parlamentu Europejskiego i Rady (UE) 2025/794 z dnia 14 kwietnia 2025 r. w sprawie zmiany dyrektywy (UE) 2022/2464 i (UE) 2024/1760 w odniesieniu do dat, od których państwa członkowskie mają stosować niektóre wymogi dotyczące sprawozdawczości przedsiębiorstw w zakresie zrównoważonego rozwoju i niektóre wymogi w zakresie należytej staranności przedsiębiorstw w zakresie zrównoważonego rozwoju (Dz. Urz. UE L 2025/794 z 16.04.2025) - (tzw. „stop-the-</w:t>
      </w:r>
      <w:proofErr w:type="spellStart"/>
      <w:r w:rsidRPr="00AE5B8F">
        <w:rPr>
          <w:rFonts w:ascii="Arial" w:eastAsia="Times New Roman" w:hAnsi="Arial" w:cs="Arial"/>
          <w:lang w:eastAsia="pl-PL"/>
        </w:rPr>
        <w:t>clock</w:t>
      </w:r>
      <w:proofErr w:type="spellEnd"/>
      <w:r w:rsidRPr="00AE5B8F">
        <w:rPr>
          <w:rFonts w:ascii="Arial" w:eastAsia="Times New Roman" w:hAnsi="Arial" w:cs="Arial"/>
          <w:lang w:eastAsia="pl-PL"/>
        </w:rPr>
        <w:t xml:space="preserve">”). Dyrektywa ta została implementowana do przepisów krajowych ustawą z dnia 9 lipca 2025 r. zmieniającą ustawę o zmianie ustawy o rachunkowości, ustawy o biegłych rewidentach, firmach audytorskich oraz nadzorze publicznym oraz niektórych innych ustaw (Dz. U. poz. 1020).  </w:t>
      </w:r>
    </w:p>
    <w:p w14:paraId="4AFF9C41" w14:textId="77777777" w:rsidR="00AE5B8F" w:rsidRDefault="00AE5B8F" w:rsidP="00AE5B8F">
      <w:pPr>
        <w:spacing w:after="0" w:line="300" w:lineRule="auto"/>
        <w:jc w:val="both"/>
        <w:rPr>
          <w:rFonts w:ascii="Arial" w:eastAsia="Times New Roman" w:hAnsi="Arial" w:cs="Arial"/>
          <w:lang w:eastAsia="pl-PL"/>
        </w:rPr>
      </w:pPr>
      <w:r w:rsidRPr="00AE5B8F">
        <w:rPr>
          <w:rFonts w:ascii="Arial" w:eastAsia="Times New Roman" w:hAnsi="Arial" w:cs="Arial"/>
          <w:lang w:eastAsia="pl-PL"/>
        </w:rPr>
        <w:t xml:space="preserve">Implementowana dyrektywa m.in. znacząco zawęża zakres jednostek zobowiązanych do sporządzania sprawozdawczości zrównoważonego rozwoju – do jednostek, w których zatrudnienie przekracza 1000 osób, a przychody netto ze sprzedaży przekraczają 450 mln euro. Wskazuje także, że jednostki z pierwszej tury (tj. sporządzające sprawozdawczość ESG po raz pierwszy za 2024 r.) mają raportować za lata obrotowe 2024, 2025 i 2026. Jednocześnie jednak umożliwia ona państwom członkowskim zwolnienie tych jednostek z pierwszej tury, które znajdą się poza nowym zakresem jednostek zobowiązanych do raportowania, z raportowania za lata obrotowe 2025 i 2026. Zgodnie z deklaracją projektodawcy przedłożona ustawa ma na celu jak najszybsze wdrożenie ww. opcji, aby jednostki, które mają rok obrotowy równy kalendarzowemu, mogły z niej ewentualnie skorzystać przed terminem sporządzenia sprawozdania z działalności za 2025 r., który przypada z końcem marca 2026 r. Jednostki, których rok obrotowy jest inny niż rok kalendarzowy, będą mogły skorzystać z opcji przed terminem sporządzenia sprawozdania z działalności, który przypada 3 miesiące od końca roku obrotowego. Decyzja o skorzystaniu z opcji będzie podejmowana przez kierownika jednostki.  </w:t>
      </w:r>
    </w:p>
    <w:p w14:paraId="49AEA9E8" w14:textId="77777777" w:rsidR="00AE5B8F" w:rsidRDefault="00AE5B8F" w:rsidP="00AE5B8F">
      <w:pPr>
        <w:spacing w:after="0" w:line="300" w:lineRule="auto"/>
        <w:jc w:val="both"/>
        <w:rPr>
          <w:rFonts w:ascii="Arial" w:eastAsia="Times New Roman" w:hAnsi="Arial" w:cs="Arial"/>
          <w:lang w:eastAsia="pl-PL"/>
        </w:rPr>
      </w:pPr>
    </w:p>
    <w:p w14:paraId="62DD8622" w14:textId="27876941" w:rsidR="00AE5B8F" w:rsidRDefault="00AE5B8F" w:rsidP="00AE5B8F">
      <w:pPr>
        <w:spacing w:after="0" w:line="300" w:lineRule="auto"/>
        <w:jc w:val="both"/>
        <w:rPr>
          <w:rStyle w:val="markedcontent"/>
          <w:rFonts w:ascii="Arial" w:hAnsi="Arial" w:cs="Arial"/>
        </w:rPr>
      </w:pPr>
      <w:r w:rsidRPr="00AE5B8F">
        <w:rPr>
          <w:rFonts w:ascii="Arial" w:eastAsia="Times New Roman" w:hAnsi="Arial" w:cs="Arial"/>
          <w:lang w:eastAsia="pl-PL"/>
        </w:rPr>
        <w:t>Ustawa w</w:t>
      </w:r>
      <w:r>
        <w:rPr>
          <w:rFonts w:ascii="Arial" w:eastAsia="Times New Roman" w:hAnsi="Arial" w:cs="Arial"/>
          <w:lang w:eastAsia="pl-PL"/>
        </w:rPr>
        <w:t>eszła</w:t>
      </w:r>
      <w:r w:rsidRPr="00AE5B8F">
        <w:rPr>
          <w:rFonts w:ascii="Arial" w:eastAsia="Times New Roman" w:hAnsi="Arial" w:cs="Arial"/>
          <w:lang w:eastAsia="pl-PL"/>
        </w:rPr>
        <w:t xml:space="preserve"> w życie z dniem następującym po dniu ogłoszenia.</w:t>
      </w:r>
    </w:p>
    <w:p w14:paraId="769E8C9A" w14:textId="77777777" w:rsidR="00290D61" w:rsidRDefault="00290D61" w:rsidP="00290D61">
      <w:pPr>
        <w:spacing w:after="0" w:line="300" w:lineRule="auto"/>
        <w:jc w:val="both"/>
        <w:rPr>
          <w:rFonts w:ascii="Arial" w:hAnsi="Arial" w:cs="Arial"/>
        </w:rPr>
      </w:pPr>
    </w:p>
    <w:sectPr w:rsidR="00290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DF6"/>
    <w:multiLevelType w:val="hybridMultilevel"/>
    <w:tmpl w:val="C088C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707043"/>
    <w:multiLevelType w:val="hybridMultilevel"/>
    <w:tmpl w:val="14E61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6140B0"/>
    <w:multiLevelType w:val="hybridMultilevel"/>
    <w:tmpl w:val="EBE42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5204134"/>
    <w:multiLevelType w:val="hybridMultilevel"/>
    <w:tmpl w:val="78722970"/>
    <w:lvl w:ilvl="0" w:tplc="71FE8504">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2"/>
  </w:num>
  <w:num w:numId="2" w16cid:durableId="311831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1"/>
  </w:num>
  <w:num w:numId="4" w16cid:durableId="5788216">
    <w:abstractNumId w:val="6"/>
  </w:num>
  <w:num w:numId="5" w16cid:durableId="1820147117">
    <w:abstractNumId w:val="5"/>
  </w:num>
  <w:num w:numId="6" w16cid:durableId="1226916669">
    <w:abstractNumId w:val="3"/>
  </w:num>
  <w:num w:numId="7" w16cid:durableId="376856356">
    <w:abstractNumId w:val="8"/>
  </w:num>
  <w:num w:numId="8" w16cid:durableId="1757704299">
    <w:abstractNumId w:val="0"/>
  </w:num>
  <w:num w:numId="9" w16cid:durableId="673151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61"/>
    <w:rsid w:val="00290D61"/>
    <w:rsid w:val="003A7B73"/>
    <w:rsid w:val="003E0436"/>
    <w:rsid w:val="00426DC0"/>
    <w:rsid w:val="00525EDB"/>
    <w:rsid w:val="00580328"/>
    <w:rsid w:val="00AE5B8F"/>
    <w:rsid w:val="00B149C0"/>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9B57"/>
  <w15:chartTrackingRefBased/>
  <w15:docId w15:val="{491A690B-53CA-40CF-8831-76E17B30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D61"/>
    <w:pPr>
      <w:spacing w:after="200" w:line="276" w:lineRule="auto"/>
    </w:pPr>
    <w:rPr>
      <w:kern w:val="0"/>
      <w14:ligatures w14:val="none"/>
    </w:rPr>
  </w:style>
  <w:style w:type="paragraph" w:styleId="Nagwek1">
    <w:name w:val="heading 1"/>
    <w:basedOn w:val="Normalny"/>
    <w:next w:val="Normalny"/>
    <w:link w:val="Nagwek1Znak"/>
    <w:uiPriority w:val="9"/>
    <w:qFormat/>
    <w:rsid w:val="0029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0D6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0D6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90D6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90D6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0D6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0D6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0D6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0D6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0D6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0D6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0D6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90D6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90D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0D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0D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0D61"/>
    <w:rPr>
      <w:rFonts w:eastAsiaTheme="majorEastAsia" w:cstheme="majorBidi"/>
      <w:color w:val="272727" w:themeColor="text1" w:themeTint="D8"/>
    </w:rPr>
  </w:style>
  <w:style w:type="paragraph" w:styleId="Tytu">
    <w:name w:val="Title"/>
    <w:basedOn w:val="Normalny"/>
    <w:next w:val="Normalny"/>
    <w:link w:val="TytuZnak"/>
    <w:uiPriority w:val="10"/>
    <w:qFormat/>
    <w:rsid w:val="00290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0D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0D6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0D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0D61"/>
    <w:pPr>
      <w:spacing w:before="160"/>
      <w:jc w:val="center"/>
    </w:pPr>
    <w:rPr>
      <w:i/>
      <w:iCs/>
      <w:color w:val="404040" w:themeColor="text1" w:themeTint="BF"/>
    </w:rPr>
  </w:style>
  <w:style w:type="character" w:customStyle="1" w:styleId="CytatZnak">
    <w:name w:val="Cytat Znak"/>
    <w:basedOn w:val="Domylnaczcionkaakapitu"/>
    <w:link w:val="Cytat"/>
    <w:uiPriority w:val="29"/>
    <w:rsid w:val="00290D61"/>
    <w:rPr>
      <w:i/>
      <w:iCs/>
      <w:color w:val="404040" w:themeColor="text1" w:themeTint="BF"/>
    </w:rPr>
  </w:style>
  <w:style w:type="paragraph" w:styleId="Akapitzlist">
    <w:name w:val="List Paragraph"/>
    <w:basedOn w:val="Normalny"/>
    <w:uiPriority w:val="34"/>
    <w:qFormat/>
    <w:rsid w:val="00290D61"/>
    <w:pPr>
      <w:ind w:left="720"/>
      <w:contextualSpacing/>
    </w:pPr>
  </w:style>
  <w:style w:type="character" w:styleId="Wyrnienieintensywne">
    <w:name w:val="Intense Emphasis"/>
    <w:basedOn w:val="Domylnaczcionkaakapitu"/>
    <w:uiPriority w:val="21"/>
    <w:qFormat/>
    <w:rsid w:val="00290D61"/>
    <w:rPr>
      <w:i/>
      <w:iCs/>
      <w:color w:val="0F4761" w:themeColor="accent1" w:themeShade="BF"/>
    </w:rPr>
  </w:style>
  <w:style w:type="paragraph" w:styleId="Cytatintensywny">
    <w:name w:val="Intense Quote"/>
    <w:basedOn w:val="Normalny"/>
    <w:next w:val="Normalny"/>
    <w:link w:val="CytatintensywnyZnak"/>
    <w:uiPriority w:val="30"/>
    <w:qFormat/>
    <w:rsid w:val="0029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90D61"/>
    <w:rPr>
      <w:i/>
      <w:iCs/>
      <w:color w:val="0F4761" w:themeColor="accent1" w:themeShade="BF"/>
    </w:rPr>
  </w:style>
  <w:style w:type="character" w:styleId="Odwoanieintensywne">
    <w:name w:val="Intense Reference"/>
    <w:basedOn w:val="Domylnaczcionkaakapitu"/>
    <w:uiPriority w:val="32"/>
    <w:qFormat/>
    <w:rsid w:val="00290D61"/>
    <w:rPr>
      <w:b/>
      <w:bCs/>
      <w:smallCaps/>
      <w:color w:val="0F4761" w:themeColor="accent1" w:themeShade="BF"/>
      <w:spacing w:val="5"/>
    </w:rPr>
  </w:style>
  <w:style w:type="character" w:customStyle="1" w:styleId="markedcontent">
    <w:name w:val="markedcontent"/>
    <w:basedOn w:val="Domylnaczcionkaakapitu"/>
    <w:rsid w:val="00290D61"/>
  </w:style>
  <w:style w:type="character" w:styleId="Hipercze">
    <w:name w:val="Hyperlink"/>
    <w:basedOn w:val="Domylnaczcionkaakapitu"/>
    <w:uiPriority w:val="99"/>
    <w:unhideWhenUsed/>
    <w:rsid w:val="003A7B73"/>
    <w:rPr>
      <w:color w:val="467886" w:themeColor="hyperlink"/>
      <w:u w:val="single"/>
    </w:rPr>
  </w:style>
  <w:style w:type="character" w:styleId="Nierozpoznanawzmianka">
    <w:name w:val="Unresolved Mention"/>
    <w:basedOn w:val="Domylnaczcionkaakapitu"/>
    <w:uiPriority w:val="99"/>
    <w:semiHidden/>
    <w:unhideWhenUsed/>
    <w:rsid w:val="003A7B73"/>
    <w:rPr>
      <w:color w:val="605E5C"/>
      <w:shd w:val="clear" w:color="auto" w:fill="E1DFDD"/>
    </w:rPr>
  </w:style>
  <w:style w:type="character" w:styleId="UyteHipercze">
    <w:name w:val="FollowedHyperlink"/>
    <w:basedOn w:val="Domylnaczcionkaakapitu"/>
    <w:uiPriority w:val="99"/>
    <w:semiHidden/>
    <w:unhideWhenUsed/>
    <w:rsid w:val="003A7B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gov.pl/projekt/12408150/katalog/13191958#13191958" TargetMode="External"/><Relationship Id="rId3" Type="http://schemas.openxmlformats.org/officeDocument/2006/relationships/settings" Target="settings.xml"/><Relationship Id="rId7" Type="http://schemas.openxmlformats.org/officeDocument/2006/relationships/hyperlink" Target="https://legislacja.gov.pl/projekt/12408102/katalog/13191894#131918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gov.pl/projekt/12408052/katalog/13191750#1319175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2391</Words>
  <Characters>14347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5</cp:revision>
  <dcterms:created xsi:type="dcterms:W3CDTF">2026-03-19T11:42:00Z</dcterms:created>
  <dcterms:modified xsi:type="dcterms:W3CDTF">2026-03-19T12:27:00Z</dcterms:modified>
</cp:coreProperties>
</file>