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3FB3E" w14:textId="77777777" w:rsidR="009A28EF" w:rsidRPr="00586923" w:rsidRDefault="009A28EF" w:rsidP="009A28EF">
      <w:pPr>
        <w:rPr>
          <w:rFonts w:ascii="Arial" w:hAnsi="Arial" w:cs="Arial"/>
        </w:rPr>
      </w:pPr>
      <w:r w:rsidRPr="00586923">
        <w:rPr>
          <w:rFonts w:ascii="Arial" w:hAnsi="Arial" w:cs="Arial"/>
          <w:noProof/>
          <w:lang w:eastAsia="pl-PL"/>
        </w:rPr>
        <w:drawing>
          <wp:inline distT="0" distB="0" distL="0" distR="0" wp14:anchorId="49456C3A" wp14:editId="34E41722">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23EA5B02" w14:textId="77777777" w:rsidR="009A28EF" w:rsidRPr="00266AE9" w:rsidRDefault="009A28EF" w:rsidP="00266AE9">
      <w:pPr>
        <w:spacing w:after="0" w:line="300" w:lineRule="auto"/>
        <w:jc w:val="center"/>
        <w:rPr>
          <w:rFonts w:ascii="Arial" w:hAnsi="Arial" w:cs="Arial"/>
          <w:b/>
        </w:rPr>
      </w:pPr>
      <w:r w:rsidRPr="00266AE9">
        <w:rPr>
          <w:rFonts w:ascii="Arial" w:hAnsi="Arial" w:cs="Arial"/>
          <w:b/>
        </w:rPr>
        <w:t xml:space="preserve">Konsultacje projektów krajowych aktów prawnych i ogłoszone akty prawne </w:t>
      </w:r>
      <w:r w:rsidRPr="00266AE9">
        <w:rPr>
          <w:rFonts w:ascii="Arial" w:hAnsi="Arial" w:cs="Arial"/>
          <w:b/>
        </w:rPr>
        <w:br/>
        <w:t>w Dzienniku Ustaw</w:t>
      </w:r>
    </w:p>
    <w:p w14:paraId="70B21B57" w14:textId="77777777" w:rsidR="009A28EF" w:rsidRPr="00266AE9" w:rsidRDefault="009A28EF" w:rsidP="00266AE9">
      <w:pPr>
        <w:spacing w:after="0" w:line="300" w:lineRule="auto"/>
        <w:jc w:val="center"/>
        <w:rPr>
          <w:rFonts w:ascii="Arial" w:hAnsi="Arial" w:cs="Arial"/>
          <w:b/>
        </w:rPr>
      </w:pPr>
      <w:r w:rsidRPr="00266AE9">
        <w:rPr>
          <w:rFonts w:ascii="Arial" w:hAnsi="Arial" w:cs="Arial"/>
          <w:b/>
        </w:rPr>
        <w:t>(monitoring legislacji krajowej ZPPM)</w:t>
      </w:r>
    </w:p>
    <w:p w14:paraId="7BCFBA9C" w14:textId="15495791" w:rsidR="009A28EF" w:rsidRPr="00266AE9" w:rsidRDefault="009A28EF" w:rsidP="00266AE9">
      <w:pPr>
        <w:spacing w:after="0" w:line="300" w:lineRule="auto"/>
        <w:jc w:val="center"/>
        <w:rPr>
          <w:rFonts w:ascii="Arial" w:hAnsi="Arial" w:cs="Arial"/>
        </w:rPr>
      </w:pPr>
      <w:r w:rsidRPr="00266AE9">
        <w:rPr>
          <w:rFonts w:ascii="Arial" w:hAnsi="Arial" w:cs="Arial"/>
          <w:b/>
        </w:rPr>
        <w:t xml:space="preserve">w okresie od </w:t>
      </w:r>
      <w:r w:rsidRPr="00266AE9">
        <w:rPr>
          <w:rFonts w:ascii="Arial" w:hAnsi="Arial" w:cs="Arial"/>
          <w:b/>
        </w:rPr>
        <w:t>16</w:t>
      </w:r>
      <w:r w:rsidRPr="00266AE9">
        <w:rPr>
          <w:rFonts w:ascii="Arial" w:hAnsi="Arial" w:cs="Arial"/>
          <w:b/>
        </w:rPr>
        <w:t xml:space="preserve"> do </w:t>
      </w:r>
      <w:r w:rsidRPr="00266AE9">
        <w:rPr>
          <w:rFonts w:ascii="Arial" w:hAnsi="Arial" w:cs="Arial"/>
          <w:b/>
        </w:rPr>
        <w:t>22</w:t>
      </w:r>
      <w:r w:rsidRPr="00266AE9">
        <w:rPr>
          <w:rFonts w:ascii="Arial" w:hAnsi="Arial" w:cs="Arial"/>
          <w:b/>
        </w:rPr>
        <w:t xml:space="preserve"> </w:t>
      </w:r>
      <w:r w:rsidRPr="00266AE9">
        <w:rPr>
          <w:rFonts w:ascii="Arial" w:hAnsi="Arial" w:cs="Arial"/>
          <w:b/>
        </w:rPr>
        <w:t>marca</w:t>
      </w:r>
      <w:r w:rsidRPr="00266AE9">
        <w:rPr>
          <w:rFonts w:ascii="Arial" w:hAnsi="Arial" w:cs="Arial"/>
          <w:b/>
        </w:rPr>
        <w:t xml:space="preserve"> 202</w:t>
      </w:r>
      <w:r w:rsidRPr="00266AE9">
        <w:rPr>
          <w:rFonts w:ascii="Arial" w:hAnsi="Arial" w:cs="Arial"/>
          <w:b/>
        </w:rPr>
        <w:t>6</w:t>
      </w:r>
      <w:r w:rsidRPr="00266AE9">
        <w:rPr>
          <w:rFonts w:ascii="Arial" w:hAnsi="Arial" w:cs="Arial"/>
          <w:b/>
        </w:rPr>
        <w:t xml:space="preserve"> roku</w:t>
      </w:r>
    </w:p>
    <w:p w14:paraId="6B36E2FD" w14:textId="3A515637" w:rsidR="009A28EF" w:rsidRPr="00266AE9" w:rsidRDefault="009A28EF" w:rsidP="00266AE9">
      <w:pPr>
        <w:spacing w:after="0" w:line="300" w:lineRule="auto"/>
        <w:jc w:val="center"/>
        <w:rPr>
          <w:rFonts w:ascii="Arial" w:hAnsi="Arial" w:cs="Arial"/>
        </w:rPr>
      </w:pPr>
      <w:r w:rsidRPr="00266AE9">
        <w:rPr>
          <w:rFonts w:ascii="Arial" w:hAnsi="Arial" w:cs="Arial"/>
        </w:rPr>
        <w:t xml:space="preserve">Raport na dzień </w:t>
      </w:r>
      <w:r w:rsidRPr="00266AE9">
        <w:rPr>
          <w:rFonts w:ascii="Arial" w:hAnsi="Arial" w:cs="Arial"/>
        </w:rPr>
        <w:t>27 marca</w:t>
      </w:r>
      <w:r w:rsidRPr="00266AE9">
        <w:rPr>
          <w:rFonts w:ascii="Arial" w:hAnsi="Arial" w:cs="Arial"/>
        </w:rPr>
        <w:t xml:space="preserve"> 202</w:t>
      </w:r>
      <w:r w:rsidRPr="00266AE9">
        <w:rPr>
          <w:rFonts w:ascii="Arial" w:hAnsi="Arial" w:cs="Arial"/>
        </w:rPr>
        <w:t>6</w:t>
      </w:r>
      <w:r w:rsidRPr="00266AE9">
        <w:rPr>
          <w:rFonts w:ascii="Arial" w:hAnsi="Arial" w:cs="Arial"/>
        </w:rPr>
        <w:t xml:space="preserve"> roku</w:t>
      </w:r>
    </w:p>
    <w:p w14:paraId="33AEE88A" w14:textId="77777777" w:rsidR="009A28EF" w:rsidRPr="00266AE9" w:rsidRDefault="009A28EF" w:rsidP="00266AE9">
      <w:pPr>
        <w:spacing w:after="0" w:line="300" w:lineRule="auto"/>
        <w:jc w:val="both"/>
        <w:rPr>
          <w:rFonts w:ascii="Arial" w:hAnsi="Arial" w:cs="Arial"/>
        </w:rPr>
      </w:pPr>
    </w:p>
    <w:p w14:paraId="581BCDDF" w14:textId="77777777" w:rsidR="009A28EF" w:rsidRPr="00266AE9" w:rsidRDefault="009A28EF" w:rsidP="00266AE9">
      <w:pPr>
        <w:pStyle w:val="Akapitzlist"/>
        <w:numPr>
          <w:ilvl w:val="0"/>
          <w:numId w:val="1"/>
        </w:numPr>
        <w:spacing w:after="0" w:line="300" w:lineRule="auto"/>
        <w:ind w:left="284" w:hanging="284"/>
        <w:jc w:val="both"/>
        <w:rPr>
          <w:rFonts w:ascii="Arial" w:hAnsi="Arial" w:cs="Arial"/>
          <w:b/>
        </w:rPr>
      </w:pPr>
      <w:r w:rsidRPr="00266AE9">
        <w:rPr>
          <w:rFonts w:ascii="Arial" w:hAnsi="Arial" w:cs="Arial"/>
          <w:b/>
        </w:rPr>
        <w:t>Projekty aktów prawnych</w:t>
      </w:r>
    </w:p>
    <w:p w14:paraId="3DB5D8C0" w14:textId="77777777" w:rsidR="009A28EF" w:rsidRPr="00266AE9" w:rsidRDefault="009A28EF" w:rsidP="00266AE9">
      <w:pPr>
        <w:spacing w:after="0" w:line="300" w:lineRule="auto"/>
        <w:jc w:val="both"/>
        <w:rPr>
          <w:rFonts w:ascii="Arial" w:hAnsi="Arial" w:cs="Arial"/>
        </w:rPr>
      </w:pPr>
    </w:p>
    <w:p w14:paraId="04491771" w14:textId="1D8E0A25" w:rsidR="009A28EF" w:rsidRPr="00266AE9" w:rsidRDefault="009A28EF" w:rsidP="00266AE9">
      <w:pPr>
        <w:spacing w:after="0" w:line="300" w:lineRule="auto"/>
        <w:jc w:val="both"/>
        <w:rPr>
          <w:rFonts w:ascii="Arial" w:hAnsi="Arial" w:cs="Arial"/>
        </w:rPr>
      </w:pPr>
      <w:r w:rsidRPr="00266AE9">
        <w:rPr>
          <w:rFonts w:ascii="Arial" w:hAnsi="Arial" w:cs="Arial"/>
        </w:rPr>
        <w:t xml:space="preserve">W omawianym okresie </w:t>
      </w:r>
      <w:r w:rsidRPr="00266AE9">
        <w:rPr>
          <w:rFonts w:ascii="Arial" w:eastAsia="Calibri" w:hAnsi="Arial" w:cs="Arial"/>
          <w:bCs/>
        </w:rPr>
        <w:t>Rządowe Centrum Legislacji opublikowało</w:t>
      </w:r>
      <w:r w:rsidRPr="00266AE9">
        <w:rPr>
          <w:rFonts w:ascii="Arial" w:eastAsia="Calibri" w:hAnsi="Arial" w:cs="Arial"/>
          <w:bCs/>
        </w:rPr>
        <w:t xml:space="preserve"> 2</w:t>
      </w:r>
      <w:r w:rsidRPr="00266AE9">
        <w:rPr>
          <w:rFonts w:ascii="Arial" w:eastAsia="Calibri" w:hAnsi="Arial" w:cs="Arial"/>
          <w:bCs/>
        </w:rPr>
        <w:t xml:space="preserve"> projekt</w:t>
      </w:r>
      <w:r w:rsidRPr="00266AE9">
        <w:rPr>
          <w:rFonts w:ascii="Arial" w:eastAsia="Calibri" w:hAnsi="Arial" w:cs="Arial"/>
          <w:bCs/>
        </w:rPr>
        <w:t>y</w:t>
      </w:r>
      <w:r w:rsidRPr="00266AE9">
        <w:rPr>
          <w:rFonts w:ascii="Arial" w:eastAsia="Calibri" w:hAnsi="Arial" w:cs="Arial"/>
          <w:bCs/>
        </w:rPr>
        <w:t xml:space="preserve"> ustaw oraz</w:t>
      </w:r>
      <w:r w:rsidRPr="00266AE9">
        <w:rPr>
          <w:rFonts w:ascii="Arial" w:hAnsi="Arial" w:cs="Arial"/>
        </w:rPr>
        <w:t xml:space="preserve"> </w:t>
      </w:r>
      <w:r w:rsidR="0059531E" w:rsidRPr="00266AE9">
        <w:rPr>
          <w:rFonts w:ascii="Arial" w:hAnsi="Arial" w:cs="Arial"/>
        </w:rPr>
        <w:t>24</w:t>
      </w:r>
      <w:r w:rsidRPr="00266AE9">
        <w:rPr>
          <w:rFonts w:ascii="Arial" w:hAnsi="Arial" w:cs="Arial"/>
        </w:rPr>
        <w:t xml:space="preserve"> projekt</w:t>
      </w:r>
      <w:r w:rsidR="0059531E" w:rsidRPr="00266AE9">
        <w:rPr>
          <w:rFonts w:ascii="Arial" w:hAnsi="Arial" w:cs="Arial"/>
        </w:rPr>
        <w:t>y</w:t>
      </w:r>
      <w:r w:rsidRPr="00266AE9">
        <w:rPr>
          <w:rFonts w:ascii="Arial" w:hAnsi="Arial" w:cs="Arial"/>
        </w:rPr>
        <w:t xml:space="preserve"> rozporządzeń Rady Ministrów, Prezesa Rady Ministrów oraz poszczególnych Ministrów.</w:t>
      </w:r>
    </w:p>
    <w:p w14:paraId="03150DCA" w14:textId="77777777" w:rsidR="009A28EF" w:rsidRPr="00266AE9" w:rsidRDefault="009A28EF" w:rsidP="00266AE9">
      <w:pPr>
        <w:spacing w:after="0" w:line="300" w:lineRule="auto"/>
        <w:jc w:val="both"/>
        <w:rPr>
          <w:rFonts w:ascii="Arial" w:hAnsi="Arial" w:cs="Arial"/>
        </w:rPr>
      </w:pPr>
    </w:p>
    <w:p w14:paraId="59BEB9A6" w14:textId="27171513" w:rsidR="009A28EF" w:rsidRPr="00266AE9" w:rsidRDefault="009A28EF" w:rsidP="00266AE9">
      <w:pPr>
        <w:spacing w:after="0" w:line="300" w:lineRule="auto"/>
        <w:jc w:val="both"/>
        <w:rPr>
          <w:rFonts w:ascii="Arial" w:hAnsi="Arial" w:cs="Arial"/>
        </w:rPr>
      </w:pPr>
      <w:r w:rsidRPr="00266AE9">
        <w:rPr>
          <w:rFonts w:ascii="Arial" w:hAnsi="Arial" w:cs="Arial"/>
        </w:rPr>
        <w:t xml:space="preserve">Przeprowadzono konsultacje </w:t>
      </w:r>
      <w:r w:rsidR="0059531E" w:rsidRPr="00266AE9">
        <w:rPr>
          <w:rFonts w:ascii="Arial" w:hAnsi="Arial" w:cs="Arial"/>
        </w:rPr>
        <w:t>2</w:t>
      </w:r>
      <w:r w:rsidRPr="00266AE9">
        <w:rPr>
          <w:rFonts w:ascii="Arial" w:hAnsi="Arial" w:cs="Arial"/>
        </w:rPr>
        <w:t xml:space="preserve"> projekt</w:t>
      </w:r>
      <w:r w:rsidR="0059531E" w:rsidRPr="00266AE9">
        <w:rPr>
          <w:rFonts w:ascii="Arial" w:hAnsi="Arial" w:cs="Arial"/>
        </w:rPr>
        <w:t>ów</w:t>
      </w:r>
      <w:r w:rsidRPr="00266AE9">
        <w:rPr>
          <w:rFonts w:ascii="Arial" w:hAnsi="Arial" w:cs="Arial"/>
        </w:rPr>
        <w:t xml:space="preserve"> ustaw i </w:t>
      </w:r>
      <w:r w:rsidR="0059531E" w:rsidRPr="00266AE9">
        <w:rPr>
          <w:rFonts w:ascii="Arial" w:hAnsi="Arial" w:cs="Arial"/>
        </w:rPr>
        <w:t>4</w:t>
      </w:r>
      <w:r w:rsidRPr="00266AE9">
        <w:rPr>
          <w:rFonts w:ascii="Arial" w:hAnsi="Arial" w:cs="Arial"/>
        </w:rPr>
        <w:t xml:space="preserve"> projekt</w:t>
      </w:r>
      <w:r w:rsidR="0059531E" w:rsidRPr="00266AE9">
        <w:rPr>
          <w:rFonts w:ascii="Arial" w:hAnsi="Arial" w:cs="Arial"/>
        </w:rPr>
        <w:t>ów</w:t>
      </w:r>
      <w:r w:rsidRPr="00266AE9">
        <w:rPr>
          <w:rFonts w:ascii="Arial" w:hAnsi="Arial" w:cs="Arial"/>
        </w:rPr>
        <w:t xml:space="preserve"> rozporządzeń dotyczących podmiotów członkowskich (pracodawcy, przedsiębiorcy, JST) zrzeszonych w Związku. </w:t>
      </w:r>
    </w:p>
    <w:p w14:paraId="04E50926" w14:textId="77777777" w:rsidR="009A28EF" w:rsidRPr="00266AE9" w:rsidRDefault="009A28EF" w:rsidP="00266AE9">
      <w:pPr>
        <w:spacing w:after="0" w:line="300" w:lineRule="auto"/>
        <w:jc w:val="both"/>
        <w:rPr>
          <w:rFonts w:ascii="Arial" w:hAnsi="Arial" w:cs="Arial"/>
        </w:rPr>
      </w:pPr>
      <w:r w:rsidRPr="00266AE9">
        <w:rPr>
          <w:rFonts w:ascii="Arial" w:hAnsi="Arial" w:cs="Arial"/>
        </w:rPr>
        <w:t>Do konsultacji przekazane zostały następujące projekty:</w:t>
      </w:r>
    </w:p>
    <w:p w14:paraId="619CBA3D" w14:textId="77777777" w:rsidR="009A28EF" w:rsidRPr="00266AE9" w:rsidRDefault="009A28EF" w:rsidP="00266AE9">
      <w:pPr>
        <w:spacing w:after="0" w:line="300" w:lineRule="auto"/>
        <w:jc w:val="both"/>
        <w:rPr>
          <w:rFonts w:ascii="Arial" w:hAnsi="Arial" w:cs="Arial"/>
        </w:rPr>
      </w:pPr>
    </w:p>
    <w:p w14:paraId="54A1A248" w14:textId="77777777" w:rsidR="009A28EF" w:rsidRPr="00266AE9" w:rsidRDefault="009A28EF" w:rsidP="00266AE9">
      <w:pPr>
        <w:spacing w:after="0" w:line="300" w:lineRule="auto"/>
        <w:jc w:val="both"/>
        <w:rPr>
          <w:rFonts w:ascii="Arial" w:hAnsi="Arial" w:cs="Arial"/>
        </w:rPr>
      </w:pPr>
      <w:r w:rsidRPr="00266AE9">
        <w:rPr>
          <w:rFonts w:ascii="Arial" w:hAnsi="Arial" w:cs="Arial"/>
        </w:rPr>
        <w:t>Projekty ustaw:</w:t>
      </w:r>
    </w:p>
    <w:p w14:paraId="27461B99" w14:textId="77777777" w:rsidR="0059531E" w:rsidRPr="00266AE9" w:rsidRDefault="0059531E" w:rsidP="00266AE9">
      <w:pPr>
        <w:spacing w:after="0" w:line="300" w:lineRule="auto"/>
        <w:jc w:val="both"/>
        <w:rPr>
          <w:rFonts w:ascii="Arial" w:hAnsi="Arial" w:cs="Arial"/>
        </w:rPr>
      </w:pPr>
    </w:p>
    <w:p w14:paraId="026FCC9E" w14:textId="639C7484" w:rsidR="0059531E" w:rsidRPr="00266AE9" w:rsidRDefault="00266AE9" w:rsidP="00266AE9">
      <w:pPr>
        <w:pStyle w:val="Akapitzlist"/>
        <w:numPr>
          <w:ilvl w:val="0"/>
          <w:numId w:val="3"/>
        </w:numPr>
        <w:spacing w:after="0" w:line="300" w:lineRule="auto"/>
        <w:jc w:val="both"/>
        <w:rPr>
          <w:rFonts w:ascii="Arial" w:hAnsi="Arial" w:cs="Arial"/>
          <w:b/>
          <w:bCs/>
          <w:u w:val="single"/>
        </w:rPr>
      </w:pPr>
      <w:r w:rsidRPr="00266AE9">
        <w:rPr>
          <w:rFonts w:ascii="Arial" w:hAnsi="Arial" w:cs="Arial"/>
          <w:b/>
          <w:bCs/>
          <w:u w:val="single"/>
        </w:rPr>
        <w:t>P</w:t>
      </w:r>
      <w:r w:rsidRPr="00266AE9">
        <w:rPr>
          <w:rFonts w:ascii="Arial" w:hAnsi="Arial" w:cs="Arial"/>
          <w:b/>
          <w:bCs/>
          <w:u w:val="single"/>
        </w:rPr>
        <w:t>rojekt ustawy o zmianie ustawy – Prawo ochrony środowiska oraz niektórych innych ustaw (UC99).</w:t>
      </w:r>
    </w:p>
    <w:p w14:paraId="07305639" w14:textId="77777777" w:rsidR="0059531E" w:rsidRPr="00266AE9" w:rsidRDefault="0059531E" w:rsidP="00266AE9">
      <w:pPr>
        <w:spacing w:after="0" w:line="300" w:lineRule="auto"/>
        <w:jc w:val="both"/>
        <w:rPr>
          <w:rFonts w:ascii="Arial" w:hAnsi="Arial" w:cs="Arial"/>
        </w:rPr>
      </w:pPr>
    </w:p>
    <w:p w14:paraId="38D74F1A" w14:textId="77777777" w:rsidR="00266AE9" w:rsidRPr="00266AE9" w:rsidRDefault="00266AE9" w:rsidP="00266AE9">
      <w:pPr>
        <w:spacing w:after="0" w:line="300" w:lineRule="auto"/>
        <w:jc w:val="both"/>
        <w:rPr>
          <w:rFonts w:ascii="Arial" w:eastAsia="Calibri" w:hAnsi="Arial" w:cs="Arial"/>
        </w:rPr>
      </w:pPr>
      <w:bookmarkStart w:id="0" w:name="_Hlk157673922"/>
      <w:r w:rsidRPr="00266AE9">
        <w:rPr>
          <w:rFonts w:ascii="Arial" w:eastAsia="Calibri" w:hAnsi="Arial" w:cs="Arial"/>
        </w:rPr>
        <w:t xml:space="preserve">Inicjatywa ta ma na celu usprawnienie funkcjonujących obecnie przepisów dotyczących emisji przemysłowych. Ewaluacja dyrektywy 2010/75/UE w sprawie emisji przemysłowych (IED) wskazała na kilka obszarów gdzie dotychczasowe regulacje prawne są nieefektywne, zbyt skomplikowane lub w sposób niewystarczający odnoszą się do zagadnień istotnych dla eliminacji lub dalszego ograniczania szeroko rozumianych presji środowiskowych związanych z eksploatacją instalacji przemysłowych. </w:t>
      </w:r>
    </w:p>
    <w:p w14:paraId="37025C68" w14:textId="77777777" w:rsidR="00266AE9" w:rsidRPr="00266AE9" w:rsidRDefault="00266AE9" w:rsidP="00266AE9">
      <w:pPr>
        <w:spacing w:after="0" w:line="300" w:lineRule="auto"/>
        <w:jc w:val="both"/>
        <w:rPr>
          <w:rFonts w:ascii="Arial" w:eastAsia="Calibri" w:hAnsi="Arial" w:cs="Arial"/>
          <w:bCs/>
        </w:rPr>
      </w:pPr>
      <w:r w:rsidRPr="00266AE9">
        <w:rPr>
          <w:rFonts w:ascii="Arial" w:eastAsia="Calibri" w:hAnsi="Arial" w:cs="Arial"/>
        </w:rPr>
        <w:t xml:space="preserve">W efekcie opublikowana została </w:t>
      </w:r>
      <w:bookmarkStart w:id="1" w:name="_Hlk188347995"/>
      <w:r w:rsidRPr="00266AE9">
        <w:rPr>
          <w:rFonts w:ascii="Arial" w:eastAsia="Calibri" w:hAnsi="Arial" w:cs="Arial"/>
        </w:rPr>
        <w:t xml:space="preserve">dyrektywa </w:t>
      </w:r>
      <w:r w:rsidRPr="00266AE9">
        <w:rPr>
          <w:rFonts w:ascii="Arial" w:eastAsia="Calibri" w:hAnsi="Arial" w:cs="Arial"/>
          <w:bCs/>
        </w:rPr>
        <w:t xml:space="preserve">2024/1785 z dnia 24 kwietnia 2024 r. dotycząca zmiany dyrektywy 2010/75/UE w sprawie emisji przemysłowych i dyrektywy Rady 1999/31/WE w sprawie składowania odpadów (Dz. U. L 1785 z 15.07.2024 s.1). W ślad za zmianami w przepisach UE konieczne jest odpowiednie dostosowanie regulacji krajowych koncentrujących się przede wszystkim wokół ustawy - Prawo ochrony środowiska ale obejmujących także inne akty prawne. </w:t>
      </w:r>
    </w:p>
    <w:bookmarkEnd w:id="1"/>
    <w:p w14:paraId="709FD1F4"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bCs/>
        </w:rPr>
        <w:t xml:space="preserve">Nowelizacja przepisów obok dalszego ograniczania emisji, ma przede wszystkim poprawić spójność obowiązujących wymagań z zakresu ochrony środowiska, zwiększyć odporność na trudne do przewidzenia kryzysy, jak również </w:t>
      </w:r>
      <w:r w:rsidRPr="00266AE9">
        <w:rPr>
          <w:rFonts w:ascii="Arial" w:eastAsia="Calibri" w:hAnsi="Arial" w:cs="Arial"/>
        </w:rPr>
        <w:t>ustanowić bardziej przyszłościowe i elastyczne ramy wspierające innowacje oraz transformację przemysłu w kierunku zrównoważonej, cyrkularnej i neutralnej klimatycznie gospodarki.</w:t>
      </w:r>
    </w:p>
    <w:p w14:paraId="3E46651E"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lastRenderedPageBreak/>
        <w:t>Zidentyfikowane problemy odnoszą się do następujących kwestii ogólnych:</w:t>
      </w:r>
    </w:p>
    <w:p w14:paraId="2DA203E5" w14:textId="77777777" w:rsidR="00266AE9" w:rsidRPr="00266AE9" w:rsidRDefault="00266AE9" w:rsidP="00266AE9">
      <w:pPr>
        <w:numPr>
          <w:ilvl w:val="0"/>
          <w:numId w:val="6"/>
        </w:numPr>
        <w:spacing w:after="0" w:line="300" w:lineRule="auto"/>
        <w:jc w:val="both"/>
        <w:rPr>
          <w:rFonts w:ascii="Arial" w:eastAsia="Calibri" w:hAnsi="Arial" w:cs="Arial"/>
        </w:rPr>
      </w:pPr>
      <w:r w:rsidRPr="00266AE9">
        <w:rPr>
          <w:rFonts w:ascii="Arial" w:eastAsia="Calibri" w:hAnsi="Arial" w:cs="Arial"/>
          <w:b/>
        </w:rPr>
        <w:t>skuteczność:</w:t>
      </w:r>
      <w:r w:rsidRPr="00266AE9">
        <w:rPr>
          <w:rFonts w:ascii="Arial" w:eastAsia="Calibri" w:hAnsi="Arial" w:cs="Arial"/>
        </w:rPr>
        <w:t xml:space="preserve"> sposób określania wielkości dopuszczalnej emisji w niepełnym zakresie przyczynia się do skutecznego wykorzystania potencjału BAT w zakresie redukcji emisji; wymagania określane w pozwoleniach są niejednorodne i niekiedy mało ambitne; </w:t>
      </w:r>
    </w:p>
    <w:p w14:paraId="3B7C336C" w14:textId="77777777" w:rsidR="00266AE9" w:rsidRPr="00266AE9" w:rsidRDefault="00266AE9" w:rsidP="00266AE9">
      <w:pPr>
        <w:numPr>
          <w:ilvl w:val="0"/>
          <w:numId w:val="6"/>
        </w:numPr>
        <w:spacing w:after="0" w:line="300" w:lineRule="auto"/>
        <w:jc w:val="both"/>
        <w:rPr>
          <w:rFonts w:ascii="Arial" w:eastAsia="Calibri" w:hAnsi="Arial" w:cs="Arial"/>
        </w:rPr>
      </w:pPr>
      <w:r w:rsidRPr="00266AE9">
        <w:rPr>
          <w:rFonts w:ascii="Arial" w:eastAsia="Calibri" w:hAnsi="Arial" w:cs="Arial"/>
          <w:b/>
        </w:rPr>
        <w:t>uproszczenie procedur:</w:t>
      </w:r>
      <w:r w:rsidRPr="00266AE9">
        <w:rPr>
          <w:rFonts w:ascii="Arial" w:eastAsia="Calibri" w:hAnsi="Arial" w:cs="Arial"/>
        </w:rPr>
        <w:t xml:space="preserve"> obowiązujące regulacje są w niektórych aspektach nad wyraz skomplikowane i mało efektywne powodując znaczne obciążenia zarówno na prowadzących instalacje, jak i organów administracji nie mając przy tym wymiernego przełożenia na korzyści dla środowiska;</w:t>
      </w:r>
    </w:p>
    <w:p w14:paraId="26CD77CC" w14:textId="77777777" w:rsidR="00266AE9" w:rsidRPr="00266AE9" w:rsidRDefault="00266AE9" w:rsidP="00266AE9">
      <w:pPr>
        <w:numPr>
          <w:ilvl w:val="0"/>
          <w:numId w:val="6"/>
        </w:numPr>
        <w:spacing w:after="0" w:line="300" w:lineRule="auto"/>
        <w:jc w:val="both"/>
        <w:rPr>
          <w:rFonts w:ascii="Arial" w:eastAsia="Calibri" w:hAnsi="Arial" w:cs="Arial"/>
          <w:b/>
        </w:rPr>
      </w:pPr>
      <w:r w:rsidRPr="00266AE9">
        <w:rPr>
          <w:rFonts w:ascii="Arial" w:eastAsia="Calibri" w:hAnsi="Arial" w:cs="Arial"/>
          <w:b/>
        </w:rPr>
        <w:t>innowacje:</w:t>
      </w:r>
      <w:r w:rsidRPr="00266AE9">
        <w:rPr>
          <w:rFonts w:ascii="Arial" w:eastAsia="Calibri" w:hAnsi="Arial" w:cs="Arial"/>
        </w:rPr>
        <w:t xml:space="preserve"> dotychczasowe podejście do określania wymagań BAT nie sprzyja wdrażaniu innowacji w przemyśle, jak również nie motywuje prowadzących instalacje do transformacji w kierunku zeroemisyjnej i neutralnej klimatycznie gospodarki; </w:t>
      </w:r>
    </w:p>
    <w:p w14:paraId="3379A47A" w14:textId="77777777" w:rsidR="00266AE9" w:rsidRPr="00266AE9" w:rsidRDefault="00266AE9" w:rsidP="00266AE9">
      <w:pPr>
        <w:numPr>
          <w:ilvl w:val="0"/>
          <w:numId w:val="6"/>
        </w:numPr>
        <w:spacing w:after="0" w:line="300" w:lineRule="auto"/>
        <w:jc w:val="both"/>
        <w:rPr>
          <w:rFonts w:ascii="Arial" w:eastAsia="Calibri" w:hAnsi="Arial" w:cs="Arial"/>
        </w:rPr>
      </w:pPr>
      <w:r w:rsidRPr="00266AE9">
        <w:rPr>
          <w:rFonts w:ascii="Arial" w:eastAsia="Calibri" w:hAnsi="Arial" w:cs="Arial"/>
          <w:b/>
        </w:rPr>
        <w:t xml:space="preserve">zużycie zasobów i chemikalia: </w:t>
      </w:r>
      <w:r w:rsidRPr="00266AE9">
        <w:rPr>
          <w:rFonts w:ascii="Arial" w:eastAsia="Calibri" w:hAnsi="Arial" w:cs="Arial"/>
          <w:bCs/>
        </w:rPr>
        <w:t xml:space="preserve">obowiązujące </w:t>
      </w:r>
      <w:r w:rsidRPr="00266AE9">
        <w:rPr>
          <w:rFonts w:ascii="Arial" w:eastAsia="Calibri" w:hAnsi="Arial" w:cs="Arial"/>
        </w:rPr>
        <w:t xml:space="preserve">regulacje tylko w ograniczonym stopniu wspierają </w:t>
      </w:r>
      <w:r w:rsidRPr="00266AE9">
        <w:rPr>
          <w:rFonts w:ascii="Arial" w:eastAsia="Calibri" w:hAnsi="Arial" w:cs="Arial"/>
          <w:bCs/>
        </w:rPr>
        <w:t>stosowanie w przemyśle</w:t>
      </w:r>
      <w:r w:rsidRPr="00266AE9">
        <w:rPr>
          <w:rFonts w:ascii="Arial" w:eastAsia="Calibri" w:hAnsi="Arial" w:cs="Arial"/>
          <w:b/>
        </w:rPr>
        <w:t xml:space="preserve"> </w:t>
      </w:r>
      <w:r w:rsidRPr="00266AE9">
        <w:rPr>
          <w:rFonts w:ascii="Arial" w:eastAsia="Calibri" w:hAnsi="Arial" w:cs="Arial"/>
        </w:rPr>
        <w:t>gospodarki w obiegu zamkniętym oraz oszczędnego gospodarowania zasobami w tym energią,  ponadto brak jest skutecznych ograniczeń w stosowaniu toksycznych chemikaliów oraz wystarczającej spójności między warunkami pozwolenia a systemami  zarządzania środowiskowego;</w:t>
      </w:r>
    </w:p>
    <w:p w14:paraId="5CA7AE37" w14:textId="77777777" w:rsidR="00266AE9" w:rsidRPr="00266AE9" w:rsidRDefault="00266AE9" w:rsidP="00266AE9">
      <w:pPr>
        <w:numPr>
          <w:ilvl w:val="0"/>
          <w:numId w:val="6"/>
        </w:numPr>
        <w:spacing w:after="0" w:line="300" w:lineRule="auto"/>
        <w:jc w:val="both"/>
        <w:rPr>
          <w:rFonts w:ascii="Arial" w:eastAsia="Calibri" w:hAnsi="Arial" w:cs="Arial"/>
        </w:rPr>
      </w:pPr>
      <w:r w:rsidRPr="00266AE9">
        <w:rPr>
          <w:rFonts w:ascii="Arial" w:eastAsia="Calibri" w:hAnsi="Arial" w:cs="Arial"/>
          <w:b/>
          <w:bCs/>
        </w:rPr>
        <w:t>udział społeczeństwa i nadzór nad przestrzeganiem wymagań:</w:t>
      </w:r>
      <w:r w:rsidRPr="00266AE9">
        <w:rPr>
          <w:rFonts w:ascii="Arial" w:eastAsia="Calibri" w:hAnsi="Arial" w:cs="Arial"/>
        </w:rPr>
        <w:t xml:space="preserve"> obowiązujące procedury mogą ograniczać zakres praw publicznych w odniesieniu do udziału w postępowaniach administracyjnych oraz możliwości ubiegania się o odszkodowania w przypadku wystąpienia uszczerbku na zdrowiu spowodowanego niezgodnym z prawem funkcjonowaniem instalacji przemysłowej; </w:t>
      </w:r>
    </w:p>
    <w:p w14:paraId="27D36247" w14:textId="77777777" w:rsidR="00266AE9" w:rsidRPr="00266AE9" w:rsidRDefault="00266AE9" w:rsidP="00266AE9">
      <w:pPr>
        <w:numPr>
          <w:ilvl w:val="0"/>
          <w:numId w:val="6"/>
        </w:numPr>
        <w:spacing w:after="0" w:line="300" w:lineRule="auto"/>
        <w:jc w:val="both"/>
        <w:rPr>
          <w:rFonts w:ascii="Arial" w:eastAsia="Calibri" w:hAnsi="Arial" w:cs="Arial"/>
        </w:rPr>
      </w:pPr>
      <w:r w:rsidRPr="00266AE9">
        <w:rPr>
          <w:rFonts w:ascii="Arial" w:eastAsia="Calibri" w:hAnsi="Arial" w:cs="Arial"/>
          <w:b/>
        </w:rPr>
        <w:t xml:space="preserve">zakres sektorowy: </w:t>
      </w:r>
      <w:r w:rsidRPr="00266AE9">
        <w:rPr>
          <w:rFonts w:ascii="Arial" w:eastAsia="Calibri" w:hAnsi="Arial" w:cs="Arial"/>
          <w:bCs/>
        </w:rPr>
        <w:t>poza zakresem regulacji pozostaje kilka rodzajów działalności, które mogą w sposób istotny oddziaływać na środowisko</w:t>
      </w:r>
      <w:r w:rsidRPr="00266AE9">
        <w:rPr>
          <w:rFonts w:ascii="Arial" w:eastAsia="Calibri" w:hAnsi="Arial" w:cs="Arial"/>
        </w:rPr>
        <w:t xml:space="preserve">. </w:t>
      </w:r>
    </w:p>
    <w:p w14:paraId="736DFFA7"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Niezbędne jest także uwzględnienie zarzutów formalnych Komisji Europejskiej wystosowanych na podstawie art. 258 Traktatu o funkcjonowaniu Unii Europejskiej w związku z nieprawidłową transpozycją dyrektywy Parlamentu Europejskiego i Rady 2010/75/UE z dnia 24 listopada 2010 r. w sprawie emisji przemysłowych ((naruszenie nr 2023/2173).</w:t>
      </w:r>
    </w:p>
    <w:p w14:paraId="5DF59CE8"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Najważniejsze kwestie, które zostaną szczegółowo rozwiązane w projekcie ustawy o zmianie ustawy – Prawo ochrony środowiska oraz niektórych innych ustaw:</w:t>
      </w:r>
      <w:bookmarkEnd w:id="0"/>
    </w:p>
    <w:p w14:paraId="32915835" w14:textId="77777777" w:rsidR="00266AE9" w:rsidRPr="00266AE9" w:rsidRDefault="00266AE9" w:rsidP="00266AE9">
      <w:pPr>
        <w:numPr>
          <w:ilvl w:val="0"/>
          <w:numId w:val="7"/>
        </w:numPr>
        <w:spacing w:after="0" w:line="300" w:lineRule="auto"/>
        <w:jc w:val="both"/>
        <w:rPr>
          <w:rFonts w:ascii="Arial" w:eastAsia="Calibri" w:hAnsi="Arial" w:cs="Arial"/>
          <w:b/>
          <w:bCs/>
        </w:rPr>
      </w:pPr>
      <w:r w:rsidRPr="00266AE9">
        <w:rPr>
          <w:rFonts w:ascii="Arial" w:eastAsia="Calibri" w:hAnsi="Arial" w:cs="Arial"/>
          <w:b/>
          <w:bCs/>
        </w:rPr>
        <w:t>Kwestie wynikające z konieczności wdrożenia przepisów unijnych - dyrektywa 2024/1785:</w:t>
      </w:r>
    </w:p>
    <w:p w14:paraId="0CF1C0A0" w14:textId="77777777" w:rsidR="00266AE9" w:rsidRPr="00266AE9" w:rsidRDefault="00266AE9" w:rsidP="00266AE9">
      <w:pPr>
        <w:numPr>
          <w:ilvl w:val="0"/>
          <w:numId w:val="8"/>
        </w:numPr>
        <w:spacing w:after="0" w:line="300" w:lineRule="auto"/>
        <w:jc w:val="both"/>
        <w:rPr>
          <w:rFonts w:ascii="Arial" w:eastAsia="Calibri" w:hAnsi="Arial" w:cs="Arial"/>
          <w:b/>
          <w:bCs/>
          <w:u w:val="single"/>
        </w:rPr>
      </w:pPr>
      <w:r w:rsidRPr="00266AE9">
        <w:rPr>
          <w:rFonts w:ascii="Arial" w:eastAsia="Calibri" w:hAnsi="Arial" w:cs="Arial"/>
          <w:b/>
          <w:bCs/>
          <w:u w:val="single"/>
        </w:rPr>
        <w:t xml:space="preserve">Wprowadzenie obowiązku wykonania analizy w celu określenia najostrzejszych możliwych do osiągnięcia granicznych wielkości emisyjnych (ang. BAT </w:t>
      </w:r>
      <w:proofErr w:type="spellStart"/>
      <w:r w:rsidRPr="00266AE9">
        <w:rPr>
          <w:rFonts w:ascii="Arial" w:eastAsia="Calibri" w:hAnsi="Arial" w:cs="Arial"/>
          <w:b/>
          <w:bCs/>
          <w:u w:val="single"/>
        </w:rPr>
        <w:t>AELs</w:t>
      </w:r>
      <w:proofErr w:type="spellEnd"/>
      <w:r w:rsidRPr="00266AE9">
        <w:rPr>
          <w:rFonts w:ascii="Arial" w:eastAsia="Calibri" w:hAnsi="Arial" w:cs="Arial"/>
          <w:b/>
          <w:bCs/>
          <w:u w:val="single"/>
        </w:rPr>
        <w:t>)</w:t>
      </w:r>
    </w:p>
    <w:p w14:paraId="317765A9"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Graniczne wielkości emisyjne (BAT </w:t>
      </w:r>
      <w:proofErr w:type="spellStart"/>
      <w:r w:rsidRPr="00266AE9">
        <w:rPr>
          <w:rFonts w:ascii="Arial" w:eastAsia="Calibri" w:hAnsi="Arial" w:cs="Arial"/>
        </w:rPr>
        <w:t>AELs</w:t>
      </w:r>
      <w:proofErr w:type="spellEnd"/>
      <w:r w:rsidRPr="00266AE9">
        <w:rPr>
          <w:rFonts w:ascii="Arial" w:eastAsia="Calibri" w:hAnsi="Arial" w:cs="Arial"/>
        </w:rPr>
        <w:t xml:space="preserve">) stanowią wielkości emisji określane w decyzjach wykonawczych Komisji ustanawiających konkluzje BAT dla branż przemysłowych objętych obowiązkiem uzyskania pozwolenia zintegrowanego. Wielkości te określane są każdorazowo w formie przedziałów m.in. aby odzwierciedlić różną skuteczność technik ograniczania emisji czy specyfikę poszczególnych instalacji, które zazwyczaj różnią się od siebie nawet w ramach tej samej branży. Przeprowadzone przez KE analizy wskazują, że 85% pozwoleń w całej UE określa najwyższe ze wskazanych w konkluzjach BAT wartości, co negatywnie wpływa na potencjał obowiązujących regulacji w zakresie ograniczania emisji. Dlatego też proponowane zmiany położą nacisk na konieczność uwzględniania całego przedziału BAT </w:t>
      </w:r>
      <w:proofErr w:type="spellStart"/>
      <w:r w:rsidRPr="00266AE9">
        <w:rPr>
          <w:rFonts w:ascii="Arial" w:eastAsia="Calibri" w:hAnsi="Arial" w:cs="Arial"/>
        </w:rPr>
        <w:t>AELs</w:t>
      </w:r>
      <w:proofErr w:type="spellEnd"/>
      <w:r w:rsidRPr="00266AE9">
        <w:rPr>
          <w:rFonts w:ascii="Arial" w:eastAsia="Calibri" w:hAnsi="Arial" w:cs="Arial"/>
        </w:rPr>
        <w:t xml:space="preserve"> podczas ustalania wielkości dopuszczalnej emisji w pozwoleniach zintegrowanych, aby odpowiednio odzwierciedlić możliwości danej instalacji w zakresie ograniczania emisji, wynikające ze </w:t>
      </w:r>
      <w:r w:rsidRPr="00266AE9">
        <w:rPr>
          <w:rFonts w:ascii="Arial" w:eastAsia="Calibri" w:hAnsi="Arial" w:cs="Arial"/>
        </w:rPr>
        <w:lastRenderedPageBreak/>
        <w:t>stosowania najlepszych dostępnych technik BAT. Obok uwarunkowań technicznych wpływ na wielkości emisji ustalane w pozwoleniach będą mieć także wzajemne powiązania między poszczególnymi komponentami środowiska tak by ograniczanie odziaływań na jeden komponent nie wpływało w nadmierny/negatywny sposób na pozostałe. Ponadto dotychczasowa, dziesięcioletnia praktyka stosowania obowiązujących przepisów dotyczących pozwoleń zintegrowanych wskazuje, że niektóre regulacje mogą zostać uproszczone bez uszczerbku dla jakości wydawanych decyzji. Obowiązujące procedury są niekiedy mało efektywne co może się pogłębić w wyniku wprowadzenia zmian wynikających z dyrektywy 2024/1785</w:t>
      </w:r>
    </w:p>
    <w:p w14:paraId="4C83CC53" w14:textId="77777777" w:rsidR="00266AE9" w:rsidRPr="00266AE9" w:rsidRDefault="00266AE9" w:rsidP="00266AE9">
      <w:pPr>
        <w:numPr>
          <w:ilvl w:val="0"/>
          <w:numId w:val="8"/>
        </w:numPr>
        <w:spacing w:after="0" w:line="300" w:lineRule="auto"/>
        <w:jc w:val="both"/>
        <w:rPr>
          <w:rFonts w:ascii="Arial" w:eastAsia="Calibri" w:hAnsi="Arial" w:cs="Arial"/>
          <w:b/>
          <w:bCs/>
          <w:u w:val="single"/>
        </w:rPr>
      </w:pPr>
      <w:bookmarkStart w:id="2" w:name="_Hlk157674052"/>
      <w:r w:rsidRPr="00266AE9">
        <w:rPr>
          <w:rFonts w:ascii="Arial" w:eastAsia="Calibri" w:hAnsi="Arial" w:cs="Arial"/>
          <w:b/>
          <w:bCs/>
          <w:u w:val="single"/>
        </w:rPr>
        <w:t xml:space="preserve">Doprecyzowanie w zakresie metodyki oceny zasadności udzielania odstępstw od BAT </w:t>
      </w:r>
      <w:proofErr w:type="spellStart"/>
      <w:r w:rsidRPr="00266AE9">
        <w:rPr>
          <w:rFonts w:ascii="Arial" w:eastAsia="Calibri" w:hAnsi="Arial" w:cs="Arial"/>
          <w:b/>
          <w:bCs/>
          <w:u w:val="single"/>
        </w:rPr>
        <w:t>AELs</w:t>
      </w:r>
      <w:proofErr w:type="spellEnd"/>
      <w:r w:rsidRPr="00266AE9">
        <w:rPr>
          <w:rFonts w:ascii="Arial" w:eastAsia="Calibri" w:hAnsi="Arial" w:cs="Arial"/>
          <w:b/>
          <w:bCs/>
          <w:u w:val="single"/>
        </w:rPr>
        <w:t xml:space="preserve"> </w:t>
      </w:r>
    </w:p>
    <w:p w14:paraId="77427460"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Odstępstwa od granicznych wielkości emisyjnych mogą by udzielane w oparciu o ogólne ramy prawne wynikające z art. 204 ust 2 i 3 ustawy z dnia 27 kwietnia 2001 r. – Prawo ochrony środowiska (Dz. U. z 2025 r. poz. 647 ze zm.), dalej: </w:t>
      </w:r>
      <w:proofErr w:type="spellStart"/>
      <w:r w:rsidRPr="00266AE9">
        <w:rPr>
          <w:rFonts w:ascii="Arial" w:eastAsia="Calibri" w:hAnsi="Arial" w:cs="Arial"/>
        </w:rPr>
        <w:t>Poś</w:t>
      </w:r>
      <w:proofErr w:type="spellEnd"/>
      <w:r w:rsidRPr="00266AE9">
        <w:rPr>
          <w:rFonts w:ascii="Arial" w:eastAsia="Calibri" w:hAnsi="Arial" w:cs="Arial"/>
        </w:rPr>
        <w:t xml:space="preserve">. Kluczowym elementem tej procedury jest wykazanie, że koszty dostosowania instalacji, tak by emisje nie powodowały przekroczenia BAT </w:t>
      </w:r>
      <w:proofErr w:type="spellStart"/>
      <w:r w:rsidRPr="00266AE9">
        <w:rPr>
          <w:rFonts w:ascii="Arial" w:eastAsia="Calibri" w:hAnsi="Arial" w:cs="Arial"/>
        </w:rPr>
        <w:t>AELs</w:t>
      </w:r>
      <w:proofErr w:type="spellEnd"/>
      <w:r w:rsidRPr="00266AE9">
        <w:rPr>
          <w:rFonts w:ascii="Arial" w:eastAsia="Calibri" w:hAnsi="Arial" w:cs="Arial"/>
        </w:rPr>
        <w:t xml:space="preserve">, są nieproporcjonalnie wysokie w stosunku do (utraconych) korzyści środowiskowych jakie zostałyby osiągnięte w przypadku pełnego i terminowego dostosowania. Szczegóły związane z wnioskowaniem o odstępstwo jak również oceną zasadności jego udzielenia zawarte są w ogólnie dostępnym poradniku opracowanym na zlecenie Ministerstwa Klimatu i Środowiska pt.: „Wytyczne w zakresie odstępstw od granicznych wielkości emisyjnych dla instalacji przemysłowych wymienionych w Aneksie I Dyrektywy IED” (www.ekoportal.gov.pl). Wytyczne nie stanowią jednak przepisów prawa co powoduje, że odstępstwa mogą być udzielane w oparciu o niejednolite kryteria, co z kolei może niekorzystanie wpływać na zasady konkurencyjności przedsiębiorstw. Odpowiedzią może być doszczegółowienie istniejących ram prawnych poprzez dookreślenie, jakie są najważniejsze kryteria dla analizy zasadności udzielenia odstępstwa od granicznych wielkości emisyjnych. Pewne szczegóły związane z analizą kosztów i korzyści doprecyzuje też decyzja wykonawcza Komisji. </w:t>
      </w:r>
    </w:p>
    <w:p w14:paraId="4B777A1D" w14:textId="77777777" w:rsidR="00266AE9" w:rsidRPr="00266AE9" w:rsidRDefault="00266AE9" w:rsidP="00266AE9">
      <w:pPr>
        <w:numPr>
          <w:ilvl w:val="0"/>
          <w:numId w:val="8"/>
        </w:numPr>
        <w:spacing w:after="0" w:line="300" w:lineRule="auto"/>
        <w:jc w:val="both"/>
        <w:rPr>
          <w:rFonts w:ascii="Arial" w:eastAsia="Calibri" w:hAnsi="Arial" w:cs="Arial"/>
          <w:b/>
          <w:bCs/>
          <w:u w:val="single"/>
        </w:rPr>
      </w:pPr>
      <w:r w:rsidRPr="00266AE9">
        <w:rPr>
          <w:rFonts w:ascii="Arial" w:eastAsia="Calibri" w:hAnsi="Arial" w:cs="Arial"/>
          <w:b/>
          <w:bCs/>
          <w:u w:val="single"/>
        </w:rPr>
        <w:t xml:space="preserve">Ocena wpływu udzielonych odstępstw od BAT </w:t>
      </w:r>
      <w:proofErr w:type="spellStart"/>
      <w:r w:rsidRPr="00266AE9">
        <w:rPr>
          <w:rFonts w:ascii="Arial" w:eastAsia="Calibri" w:hAnsi="Arial" w:cs="Arial"/>
          <w:b/>
          <w:bCs/>
          <w:u w:val="single"/>
        </w:rPr>
        <w:t>AELs</w:t>
      </w:r>
      <w:proofErr w:type="spellEnd"/>
      <w:r w:rsidRPr="00266AE9">
        <w:rPr>
          <w:rFonts w:ascii="Arial" w:eastAsia="Calibri" w:hAnsi="Arial" w:cs="Arial"/>
          <w:b/>
          <w:bCs/>
          <w:u w:val="single"/>
        </w:rPr>
        <w:t xml:space="preserve"> na stan środowiska</w:t>
      </w:r>
    </w:p>
    <w:p w14:paraId="41949276"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Odstępstwa od BAT </w:t>
      </w:r>
      <w:proofErr w:type="spellStart"/>
      <w:r w:rsidRPr="00266AE9">
        <w:rPr>
          <w:rFonts w:ascii="Arial" w:eastAsia="Calibri" w:hAnsi="Arial" w:cs="Arial"/>
        </w:rPr>
        <w:t>AELs</w:t>
      </w:r>
      <w:proofErr w:type="spellEnd"/>
      <w:r w:rsidRPr="00266AE9">
        <w:rPr>
          <w:rFonts w:ascii="Arial" w:eastAsia="Calibri" w:hAnsi="Arial" w:cs="Arial"/>
        </w:rPr>
        <w:t xml:space="preserve"> udzielane są w oparciu o wyniki analizy porównawczej kosztów dostosowania instalacji oraz korzyści dla środowiska. Zakres odstępstwa jest dodatkowo ograniczony bezwzględną koniecznością dotrzymywania standardów emisyjnych zgodnie z rozporządzeniem Ministra Klimatu z dnia 24 września 2020 r. w sprawie standardów emisyjnych dla niektórych rodzajów instalacji, źródeł spalania paliw oraz urządzeń spalania lub współspalania odpadów (Dz. U. 2020 poz. 1860). Kolejnym warunkiem umożliwiającym uzyskanie odstępstwa od BAT </w:t>
      </w:r>
      <w:proofErr w:type="spellStart"/>
      <w:r w:rsidRPr="00266AE9">
        <w:rPr>
          <w:rFonts w:ascii="Arial" w:eastAsia="Calibri" w:hAnsi="Arial" w:cs="Arial"/>
        </w:rPr>
        <w:t>AELs</w:t>
      </w:r>
      <w:proofErr w:type="spellEnd"/>
      <w:r w:rsidRPr="00266AE9">
        <w:rPr>
          <w:rFonts w:ascii="Arial" w:eastAsia="Calibri" w:hAnsi="Arial" w:cs="Arial"/>
        </w:rPr>
        <w:t xml:space="preserve"> (jak i pozwolenia zintegrowanego w ogóle) jest konieczność wykazania, że eksploatacja instalacji nie powoduje przekroczenia standardów jakości środowiska. O ile pierwszy z warunków dotyczy tylko wybranych rodzajów instalacji objętych zakresem przywołanego rozporządzenia to warunek drugi ma powszechne zastosowanie obejmując każdą z instalacji, także te wymagające uzyskania pozwolenia zintegrowanego. Tym niemniej sam fakt nieprzekraczania standardów jakości środowiska nie pozwala na ocenę wpływu udzielonego odstępstwa na jakość środowiska. Dlatego też wszędzie tam gdzie można udowodnić wpływ zwiększonej emisji na stan środowiska prowadzony będzie stosowny monitoring. </w:t>
      </w:r>
    </w:p>
    <w:p w14:paraId="7BC3903B" w14:textId="77777777" w:rsidR="00266AE9" w:rsidRPr="00266AE9" w:rsidRDefault="00266AE9" w:rsidP="00266AE9">
      <w:pPr>
        <w:numPr>
          <w:ilvl w:val="0"/>
          <w:numId w:val="8"/>
        </w:numPr>
        <w:spacing w:after="0" w:line="300" w:lineRule="auto"/>
        <w:jc w:val="both"/>
        <w:rPr>
          <w:rFonts w:ascii="Arial" w:eastAsia="Calibri" w:hAnsi="Arial" w:cs="Arial"/>
          <w:b/>
          <w:bCs/>
          <w:u w:val="single"/>
        </w:rPr>
      </w:pPr>
      <w:r w:rsidRPr="00266AE9">
        <w:rPr>
          <w:rFonts w:ascii="Arial" w:eastAsia="Calibri" w:hAnsi="Arial" w:cs="Arial"/>
          <w:b/>
          <w:bCs/>
          <w:u w:val="single"/>
        </w:rPr>
        <w:lastRenderedPageBreak/>
        <w:t xml:space="preserve">Ujednolicenie zasad ustalania wielkości dopuszczalnej emisji </w:t>
      </w:r>
    </w:p>
    <w:p w14:paraId="18811FB2"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W odniesieniu do dużych obiektów spalania (LCP) oraz instalacji do termicznego przekształcania odpadów (WI) wymagających uzyskania pozwolenia zintegrowanego, wielkości dopuszczalnej emisji ustalane są w sposób zapewniający dotrzymywanie zarówno standardów emisyjnych, jak i BAT </w:t>
      </w:r>
      <w:proofErr w:type="spellStart"/>
      <w:r w:rsidRPr="00266AE9">
        <w:rPr>
          <w:rFonts w:ascii="Arial" w:eastAsia="Calibri" w:hAnsi="Arial" w:cs="Arial"/>
        </w:rPr>
        <w:t>AELs</w:t>
      </w:r>
      <w:proofErr w:type="spellEnd"/>
      <w:r w:rsidRPr="00266AE9">
        <w:rPr>
          <w:rFonts w:ascii="Arial" w:eastAsia="Calibri" w:hAnsi="Arial" w:cs="Arial"/>
        </w:rPr>
        <w:t xml:space="preserve">. W praktyce, zwłaszcza tam gdzie prowadzony jest pomiar ciągły, oznacza to kontrolę kilku wartości odnoszonych do różnych okresów uśredniania np. średniej jednogodzinnej, dobowej, miesięcznej i rocznej. Dla pozostałych branż zastosowanie mają jeden lub maksymalnie dwa okresy uśredniania. W takiej sytuacji uzasadnione jest uproszczenie regulacji dla LCP i WI poprzez wskazanie, że w przypadku dotrzymywania BAT </w:t>
      </w:r>
      <w:proofErr w:type="spellStart"/>
      <w:r w:rsidRPr="00266AE9">
        <w:rPr>
          <w:rFonts w:ascii="Arial" w:eastAsia="Calibri" w:hAnsi="Arial" w:cs="Arial"/>
        </w:rPr>
        <w:t>AELs</w:t>
      </w:r>
      <w:proofErr w:type="spellEnd"/>
      <w:r w:rsidRPr="00266AE9">
        <w:rPr>
          <w:rFonts w:ascii="Arial" w:eastAsia="Calibri" w:hAnsi="Arial" w:cs="Arial"/>
        </w:rPr>
        <w:t xml:space="preserve"> (są to wartości ostrzejsze) nie ma potrzeby kontroli dotrzymywania (łagodniejszych) standardów emisyjnych. </w:t>
      </w:r>
    </w:p>
    <w:p w14:paraId="2CA9B7AC" w14:textId="77777777" w:rsidR="00266AE9" w:rsidRPr="00266AE9" w:rsidRDefault="00266AE9" w:rsidP="00266AE9">
      <w:pPr>
        <w:numPr>
          <w:ilvl w:val="0"/>
          <w:numId w:val="8"/>
        </w:numPr>
        <w:spacing w:after="0" w:line="300" w:lineRule="auto"/>
        <w:jc w:val="both"/>
        <w:rPr>
          <w:rFonts w:ascii="Arial" w:eastAsia="Calibri" w:hAnsi="Arial" w:cs="Arial"/>
          <w:b/>
          <w:bCs/>
          <w:u w:val="single"/>
        </w:rPr>
      </w:pPr>
      <w:r w:rsidRPr="00266AE9">
        <w:rPr>
          <w:rFonts w:ascii="Arial" w:eastAsia="Calibri" w:hAnsi="Arial" w:cs="Arial"/>
          <w:b/>
          <w:bCs/>
          <w:u w:val="single"/>
        </w:rPr>
        <w:t xml:space="preserve">Wsparcie dla innowacji </w:t>
      </w:r>
    </w:p>
    <w:p w14:paraId="05F80A52"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Ocena skutków regulacji wykazała, że obowiązujące przepisy z zakresu ochrony środowiska w sposób niewystarczający wspierają prowadzących instalacje przemysłowe we wdrażaniu innowacji. Nawet w zakresie stosowania najlepszych dostępnych technik (BAT) są to zazwyczaj dobrze znane rozwiązania podlegające, na przestrzeni lat, co najwyżej drobnym modyfikacjom. </w:t>
      </w:r>
    </w:p>
    <w:p w14:paraId="17B08E2F" w14:textId="77777777" w:rsidR="00266AE9" w:rsidRPr="00266AE9" w:rsidRDefault="00266AE9" w:rsidP="00266AE9">
      <w:pPr>
        <w:numPr>
          <w:ilvl w:val="0"/>
          <w:numId w:val="8"/>
        </w:numPr>
        <w:spacing w:after="0" w:line="300" w:lineRule="auto"/>
        <w:jc w:val="both"/>
        <w:rPr>
          <w:rFonts w:ascii="Arial" w:eastAsia="Calibri" w:hAnsi="Arial" w:cs="Arial"/>
          <w:b/>
          <w:bCs/>
          <w:u w:val="single"/>
        </w:rPr>
      </w:pPr>
      <w:r w:rsidRPr="00266AE9">
        <w:rPr>
          <w:rFonts w:ascii="Arial" w:eastAsia="Calibri" w:hAnsi="Arial" w:cs="Arial"/>
          <w:b/>
          <w:bCs/>
          <w:u w:val="single"/>
        </w:rPr>
        <w:t>Wprowadzenie wiążących poziomów efektywności środowiskowej (BAT AEPL)</w:t>
      </w:r>
    </w:p>
    <w:p w14:paraId="6B4B62DC"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Dotychczasowe regulacje w zakresie ograniczania oddziaływań na środowisko powodowanych przez instalacje przemysłowe kładły nacisk przede wszystkim na interwencje poprzez wiążące wielkości dopuszczalnej emisji, określone w pozwoleniach. Regulacje związane z tzw. </w:t>
      </w:r>
      <w:proofErr w:type="spellStart"/>
      <w:r w:rsidRPr="00266AE9">
        <w:rPr>
          <w:rFonts w:ascii="Arial" w:eastAsia="Calibri" w:hAnsi="Arial" w:cs="Arial"/>
        </w:rPr>
        <w:t>zasobooszczędnością</w:t>
      </w:r>
      <w:proofErr w:type="spellEnd"/>
      <w:r w:rsidRPr="00266AE9">
        <w:rPr>
          <w:rFonts w:ascii="Arial" w:eastAsia="Calibri" w:hAnsi="Arial" w:cs="Arial"/>
        </w:rPr>
        <w:t xml:space="preserve"> czyli racjonalnym gospodarowaniem surowcami i minimalizowanie powstawania odpadów miały charakter opisowy lub materializowały się w formie niewiążących poziomów efektywności środowiskowej.  </w:t>
      </w:r>
    </w:p>
    <w:p w14:paraId="461C7E31" w14:textId="77777777" w:rsidR="00266AE9" w:rsidRPr="00266AE9" w:rsidRDefault="00266AE9" w:rsidP="00266AE9">
      <w:pPr>
        <w:numPr>
          <w:ilvl w:val="0"/>
          <w:numId w:val="8"/>
        </w:numPr>
        <w:spacing w:after="0" w:line="300" w:lineRule="auto"/>
        <w:jc w:val="both"/>
        <w:rPr>
          <w:rFonts w:ascii="Arial" w:eastAsia="Calibri" w:hAnsi="Arial" w:cs="Arial"/>
        </w:rPr>
      </w:pPr>
      <w:r w:rsidRPr="00266AE9">
        <w:rPr>
          <w:rFonts w:ascii="Arial" w:eastAsia="Calibri" w:hAnsi="Arial" w:cs="Arial"/>
          <w:b/>
          <w:bCs/>
          <w:u w:val="single"/>
        </w:rPr>
        <w:t>System zarządzania środowiskowego (EMS)</w:t>
      </w:r>
    </w:p>
    <w:p w14:paraId="4E2209C6"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Systemy zarządzania środowiskowego (EMS) funkcjonują w znakomitej większości instalacji przemysłowych posiadających pozwolenie zintegrowane. Jest to m.in. efekt dostosowania do konkluzji BAT gdzie każdorazowo jest mowa o konieczności opracowania i wdrożenia systemu zrządzania środowiskowego spełniającego określone kryteria (wskazane zazwyczaj w BAT 1). Tym niemniej w tym zakresie funkcjonowała pewna dowolność co do faktycznej zawartości EMS, jak również nie było obowiązku jego weryfikacji. </w:t>
      </w:r>
    </w:p>
    <w:p w14:paraId="0ADDC0F5" w14:textId="77777777" w:rsidR="00266AE9" w:rsidRPr="00266AE9" w:rsidRDefault="00266AE9" w:rsidP="00266AE9">
      <w:pPr>
        <w:numPr>
          <w:ilvl w:val="0"/>
          <w:numId w:val="8"/>
        </w:numPr>
        <w:spacing w:after="0" w:line="300" w:lineRule="auto"/>
        <w:jc w:val="both"/>
        <w:rPr>
          <w:rFonts w:ascii="Arial" w:eastAsia="Calibri" w:hAnsi="Arial" w:cs="Arial"/>
          <w:b/>
          <w:bCs/>
          <w:u w:val="single"/>
        </w:rPr>
      </w:pPr>
      <w:bookmarkStart w:id="3" w:name="_Hlk157678007"/>
      <w:bookmarkEnd w:id="2"/>
      <w:r w:rsidRPr="00266AE9">
        <w:rPr>
          <w:rFonts w:ascii="Arial" w:eastAsia="Calibri" w:hAnsi="Arial" w:cs="Arial"/>
          <w:b/>
          <w:bCs/>
          <w:u w:val="single"/>
        </w:rPr>
        <w:t>Udział społeczeństwa w procesie podejmowania decyzji</w:t>
      </w:r>
    </w:p>
    <w:p w14:paraId="78402A2D"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Udział społeczeństwa w postępowaniach dotyczących pozwoleń zintegrowanych ograniczony jest obecnie do następujących przypadków:</w:t>
      </w:r>
    </w:p>
    <w:p w14:paraId="509F02DF"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 udzielenie pozwolenia dla nowej instalacji, </w:t>
      </w:r>
    </w:p>
    <w:p w14:paraId="7F3E0F08"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 istotna zmiana pozwolenia, </w:t>
      </w:r>
    </w:p>
    <w:p w14:paraId="0AD3A6F0"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postępowanie obejmujące odstępstwo od granicznych wielkości emisyjnych.</w:t>
      </w:r>
    </w:p>
    <w:p w14:paraId="74B7F091"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Takie podejście, w ocenie organizacji pozarządowych zajmujących się ochroną środowiska, w sposób nieuprawniony ograniczało zakres udziału społeczeństwa w procesie podejmowania decyzji wynikający z Konwencji z </w:t>
      </w:r>
      <w:proofErr w:type="spellStart"/>
      <w:r w:rsidRPr="00266AE9">
        <w:rPr>
          <w:rFonts w:ascii="Arial" w:eastAsia="Calibri" w:hAnsi="Arial" w:cs="Arial"/>
        </w:rPr>
        <w:t>Aarhus</w:t>
      </w:r>
      <w:proofErr w:type="spellEnd"/>
      <w:r w:rsidRPr="00266AE9">
        <w:rPr>
          <w:rFonts w:ascii="Arial" w:eastAsia="Calibri" w:hAnsi="Arial" w:cs="Arial"/>
        </w:rPr>
        <w:t xml:space="preserve">. Podobną opinię zaprezentował Sekretariat Konwencji wskazując, że społeczeństwo powinno móc wypowiedzieć się w sprawach gdzie określane są istotne wymagania związane z funkcjonowaniem instalacji przemysłowych. </w:t>
      </w:r>
    </w:p>
    <w:p w14:paraId="4F94F165" w14:textId="77777777" w:rsidR="00266AE9" w:rsidRPr="00266AE9" w:rsidRDefault="00266AE9" w:rsidP="00266AE9">
      <w:pPr>
        <w:numPr>
          <w:ilvl w:val="0"/>
          <w:numId w:val="8"/>
        </w:numPr>
        <w:spacing w:after="0" w:line="300" w:lineRule="auto"/>
        <w:jc w:val="both"/>
        <w:rPr>
          <w:rFonts w:ascii="Arial" w:eastAsia="Calibri" w:hAnsi="Arial" w:cs="Arial"/>
          <w:b/>
          <w:bCs/>
          <w:u w:val="single"/>
        </w:rPr>
      </w:pPr>
      <w:r w:rsidRPr="00266AE9">
        <w:rPr>
          <w:rFonts w:ascii="Arial" w:eastAsia="Calibri" w:hAnsi="Arial" w:cs="Arial"/>
          <w:b/>
          <w:bCs/>
          <w:u w:val="single"/>
        </w:rPr>
        <w:t>Możliwość wnioskowania o odszkodowania</w:t>
      </w:r>
    </w:p>
    <w:p w14:paraId="1FFDA050"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lastRenderedPageBreak/>
        <w:t xml:space="preserve">Ponadnormatywne oddziaływania instalacji przemysłowych mogą mieć wymierne przełożenie na obniżenie jakości życia, a w skrajnych przypadkach powodować uszczerbek na zdrowiu lub nawet przedwczesne zgony u najbardziej narażonej część społeczeństwa. Obywatele, których zdrowie ucierpiało w skutek działalności przemysłowej niezgodnej z warunkami określonymi w pozwoleniu zintegrowanym, powinni mieć zapewnioną możliwość swobodnego dostępu do wymiaru sprawiedliwości celem uzyskania odszkodowania od podmiotu, który dopuścił się takiego naruszenia. </w:t>
      </w:r>
    </w:p>
    <w:bookmarkEnd w:id="3"/>
    <w:p w14:paraId="5FFBD0C3" w14:textId="77777777" w:rsidR="00266AE9" w:rsidRPr="00266AE9" w:rsidRDefault="00266AE9" w:rsidP="00266AE9">
      <w:pPr>
        <w:numPr>
          <w:ilvl w:val="0"/>
          <w:numId w:val="8"/>
        </w:numPr>
        <w:spacing w:after="0" w:line="300" w:lineRule="auto"/>
        <w:jc w:val="both"/>
        <w:rPr>
          <w:rFonts w:ascii="Arial" w:eastAsia="Calibri" w:hAnsi="Arial" w:cs="Arial"/>
          <w:b/>
          <w:bCs/>
          <w:u w:val="single"/>
        </w:rPr>
      </w:pPr>
      <w:r w:rsidRPr="00266AE9">
        <w:rPr>
          <w:rFonts w:ascii="Arial" w:eastAsia="Calibri" w:hAnsi="Arial" w:cs="Arial"/>
          <w:b/>
          <w:bCs/>
          <w:u w:val="single"/>
        </w:rPr>
        <w:t xml:space="preserve">Sankcje i kary </w:t>
      </w:r>
    </w:p>
    <w:p w14:paraId="5A84AF6A"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Nieprzestrzeganie wymagań z zakresu ochrony środowiska np. tych określonych w pozwoleniach zintegrowanych wiąże się z ryzykiem nałożenia na prowadzącego instalację administracyjnych kar pieniężnych. Krajowe przepisy w tym zakresie skonstruowane są kompleksowo, a dzięki działaniom Inspekcji Ochrony Środowiska zapewniają odpowiedni nadzór nad zgodną z przepisami eksploatacją instalacji przemysłowych. </w:t>
      </w:r>
    </w:p>
    <w:p w14:paraId="2F4A68E6" w14:textId="77777777" w:rsidR="00266AE9" w:rsidRPr="00266AE9" w:rsidRDefault="00266AE9" w:rsidP="00266AE9">
      <w:pPr>
        <w:numPr>
          <w:ilvl w:val="0"/>
          <w:numId w:val="8"/>
        </w:numPr>
        <w:spacing w:after="0" w:line="300" w:lineRule="auto"/>
        <w:jc w:val="both"/>
        <w:rPr>
          <w:rFonts w:ascii="Arial" w:eastAsia="Calibri" w:hAnsi="Arial" w:cs="Arial"/>
        </w:rPr>
      </w:pPr>
      <w:r w:rsidRPr="00266AE9">
        <w:rPr>
          <w:rFonts w:ascii="Arial" w:eastAsia="Calibri" w:hAnsi="Arial" w:cs="Arial"/>
          <w:b/>
          <w:bCs/>
          <w:u w:val="single"/>
        </w:rPr>
        <w:t>Objęcie obowiązkiem uzyskania pozwolenia zintegrowanego nowych rodzajów instalacji. Rodzaje instalacji objęte obowiązkiem uzyskania pozwolenia zintegrowanego wymienione w załączniku I do dyrektywy 2024/1785</w:t>
      </w:r>
    </w:p>
    <w:p w14:paraId="54A70EE7"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W ramach Europejskiego Zielonego Ładu przeprowadzony został przegląd środków dotyczących rozwiązania problemu zanieczyszczeń pochodzących z dużych instalacji przemysłowych. Wyniki wskazują na potrzebę rozszerzenia katalogu instalacji objętych obecnie obowiązkiem uzyskania pozwolenia zintegrowanego przede wszystkim o następujące rodzaje działalności:</w:t>
      </w:r>
    </w:p>
    <w:p w14:paraId="27F39B78"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 Wytwarzanie baterii, inne niż wyłącznie montaż, o zdolności produkcyjnej co najmniej 15 000 ton ogniw baterii (katoda, anoda, elektrolit, separator, osłona) rocznie. </w:t>
      </w:r>
    </w:p>
    <w:p w14:paraId="47A0257B"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 Wydobycie, w tym przetwarzanie na miejscu, takie jak rozdrabnianie, kontrola wielkości, wzbogacanie i uszlachetnianie, następujących rud na skalę przemysłową: boksyt, chrom, kobalt, miedź, złoto, żelazo, ołów, lit, mangan, nikiel, pallad, platyna, cyna, wolfram i cynk. </w:t>
      </w:r>
    </w:p>
    <w:p w14:paraId="65CAC62F"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Zasadne jest wprowadzenie drobnych zmian w zakresie opisu branż objętych już obowiązkiem uzyskania pozwolenia zintegrowanego na podstawie dyrektywy 2010/75/UE aby objąć procesy technologiczne istotne z punktu widzenia ochrony środowiska. </w:t>
      </w:r>
    </w:p>
    <w:p w14:paraId="2F21E57F"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Z rodzajami instalacji wymagającymi uzyskania pozwolenia zintegrowanego ściśle powiązana jest kwestia kompetencji organów ochrony środowiska, w zakresie wydawania tych pozwoleń. Dodanie nowych branż jak również zmiana sposobu liczenia wielkości obsady instalacji do chowu drobiu lub świń może dodatkowo skomplikować wskazanie organu właściwego do wydania pozwolenia zintegrowanego w oparciu o istniejące przepisy. Kompetencje organów ochrony środowiska w zakresie wydawania pozwoleń zintegrowanych oparte są na kwalifikacji instalacji, do któregoś z rodzajów przedsięwzięć wymienionych w rozporządzeniu Rady Ministrów z dnia 10 września 2019 r. w sprawie przedsięwzięć mogących znacząco oddziaływać na środowisko (Dz. U. z 2019 r. poz. 1839). Natomiast rodzaje instalacji wymagających uzyskania pozwolenia zintegrowanego wskazano w rozporządzeniu Ministra Środowiska z dnia 27 sierpnia 2014 r. w sprawie rodzajów instalacji mogących powodować znaczne zanieczyszczenie poszczególnych elementów przyrodniczych albo środowiska jako całości (Dz. U. z 2014 r. poz. 1169). Zmiany następujące na przestrzeni lat w przepisach UE powodują, że zakresy tych dwóch aktów prawnych stają się coraz mniej spójne, co z kolei prowadzi do wątpliwości w zakresie właściwości organu do wydania pozwolenia </w:t>
      </w:r>
      <w:r w:rsidRPr="00266AE9">
        <w:rPr>
          <w:rFonts w:ascii="Arial" w:eastAsia="Calibri" w:hAnsi="Arial" w:cs="Arial"/>
        </w:rPr>
        <w:lastRenderedPageBreak/>
        <w:t>zintegrowanego. Taki stan rzeczy może prowadzić do sporów kompetencyjnych, wydłużających czas trwania postępowania administracyjnego lub nawet udzielenia pozwolenia przez niewłaściwy organ, co z kolei  jest podstawą do stwierdzenia nieważności takiej decyzji</w:t>
      </w:r>
    </w:p>
    <w:p w14:paraId="426E0C9B" w14:textId="77777777" w:rsidR="00266AE9" w:rsidRPr="00266AE9" w:rsidRDefault="00266AE9" w:rsidP="00266AE9">
      <w:pPr>
        <w:numPr>
          <w:ilvl w:val="0"/>
          <w:numId w:val="8"/>
        </w:numPr>
        <w:spacing w:after="0" w:line="300" w:lineRule="auto"/>
        <w:jc w:val="both"/>
        <w:rPr>
          <w:rFonts w:ascii="Arial" w:eastAsia="Calibri" w:hAnsi="Arial" w:cs="Arial"/>
          <w:b/>
          <w:bCs/>
          <w:u w:val="single"/>
        </w:rPr>
      </w:pPr>
      <w:bookmarkStart w:id="4" w:name="_Hlk157678059"/>
      <w:r w:rsidRPr="00266AE9">
        <w:rPr>
          <w:rFonts w:ascii="Arial" w:eastAsia="Calibri" w:hAnsi="Arial" w:cs="Arial"/>
          <w:b/>
          <w:bCs/>
          <w:u w:val="single"/>
        </w:rPr>
        <w:t>Szczególne przepisy dot. chowu i hodowli świń i drobiu</w:t>
      </w:r>
    </w:p>
    <w:p w14:paraId="12E67D7D"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Obowiązujące przepisy dotyczące pozwoleń zintegrowanych obejmują także wielkoskalowy chów lub hodowlę drobiu lub świń. Instalacje te mogą w sposób istotny oddziaływać na środowisko jednak charakter działalności odbiega od typowych procesów przemysłowych. Dlatego też aby umożliwić ukierunkowane podejście do ograniczania presji środowiskowych powodowanych przez instalacje chowu lub hodowli opracowane zostaną jednolite (dla całej UE) zasady operacyjne określające wymagania dla operatorów takich instalacji. Należy też zwrócić uwagę, że instalacje do chowu lub hodowli zwierząt stanowią najliczniejszą branżę spośród tych objętych obowiązkiem uzyskania pozwolenia zintegrowanego, co przekłada się w istotny sposób na obciążenia dla organów wydających pozwolenia zintegrowane. </w:t>
      </w:r>
    </w:p>
    <w:p w14:paraId="2F68DC75" w14:textId="77777777" w:rsidR="00266AE9" w:rsidRPr="00266AE9" w:rsidRDefault="00266AE9" w:rsidP="00266AE9">
      <w:pPr>
        <w:numPr>
          <w:ilvl w:val="0"/>
          <w:numId w:val="8"/>
        </w:numPr>
        <w:spacing w:after="0" w:line="300" w:lineRule="auto"/>
        <w:jc w:val="both"/>
        <w:rPr>
          <w:rFonts w:ascii="Arial" w:eastAsia="Calibri" w:hAnsi="Arial" w:cs="Arial"/>
          <w:b/>
          <w:bCs/>
          <w:u w:val="single"/>
        </w:rPr>
      </w:pPr>
      <w:r w:rsidRPr="00266AE9">
        <w:rPr>
          <w:rFonts w:ascii="Arial" w:eastAsia="Calibri" w:hAnsi="Arial" w:cs="Arial"/>
          <w:b/>
          <w:bCs/>
          <w:u w:val="single"/>
        </w:rPr>
        <w:t>Odstępstwa w sytuacjach kryzysowych/ siły wyższej</w:t>
      </w:r>
      <w:bookmarkEnd w:id="4"/>
    </w:p>
    <w:p w14:paraId="64DE493F"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W ostatnich latach Polskę, jak i całą Unię Europejską dotknęły sytuacje kryzysowe takiej jak pandemia COVID-19 i napaść zbrojna Rosji na Ukrainę. Kryzysy te wpłynęły na dostawy energii i zasobów, materiałów lub sprzętu. </w:t>
      </w:r>
      <w:r w:rsidRPr="00266AE9">
        <w:rPr>
          <w:rFonts w:ascii="Arial" w:eastAsia="Calibri" w:hAnsi="Arial" w:cs="Arial"/>
        </w:rPr>
        <w:br/>
        <w:t>W przypadku takich kryzysów niezbędne było zapewnienie ciągłości eksploatacji instalacji, co skutkowało koniecznością ustalenia dopuszczalnych wielkości emisji na niższym poziomie.</w:t>
      </w:r>
    </w:p>
    <w:p w14:paraId="3EACE06F" w14:textId="77777777" w:rsidR="00266AE9" w:rsidRPr="00266AE9" w:rsidRDefault="00266AE9" w:rsidP="00266AE9">
      <w:pPr>
        <w:numPr>
          <w:ilvl w:val="0"/>
          <w:numId w:val="8"/>
        </w:numPr>
        <w:spacing w:after="0" w:line="300" w:lineRule="auto"/>
        <w:jc w:val="both"/>
        <w:rPr>
          <w:rFonts w:ascii="Arial" w:eastAsia="Calibri" w:hAnsi="Arial" w:cs="Arial"/>
          <w:b/>
          <w:bCs/>
          <w:u w:val="single"/>
        </w:rPr>
      </w:pPr>
      <w:r w:rsidRPr="00266AE9">
        <w:rPr>
          <w:rFonts w:ascii="Arial" w:eastAsia="Calibri" w:hAnsi="Arial" w:cs="Arial"/>
          <w:b/>
          <w:bCs/>
          <w:u w:val="single"/>
        </w:rPr>
        <w:t>Inne zmiany doprecyzowujące funkcjonujące już  definicje i procedury</w:t>
      </w:r>
    </w:p>
    <w:p w14:paraId="092AE768" w14:textId="77777777" w:rsidR="00266AE9" w:rsidRPr="00266AE9" w:rsidRDefault="00266AE9" w:rsidP="00266AE9">
      <w:pPr>
        <w:spacing w:after="0" w:line="300" w:lineRule="auto"/>
        <w:jc w:val="both"/>
        <w:rPr>
          <w:rFonts w:ascii="Arial" w:eastAsia="Calibri" w:hAnsi="Arial" w:cs="Arial"/>
          <w:bCs/>
        </w:rPr>
      </w:pPr>
      <w:r w:rsidRPr="00266AE9">
        <w:rPr>
          <w:rFonts w:ascii="Arial" w:eastAsia="Calibri" w:hAnsi="Arial" w:cs="Arial"/>
        </w:rPr>
        <w:t xml:space="preserve">Zidentyfikowano m.in. konieczność doprecyzowania definicji zanieczyszczenia jak również zasad oceny jakie emisje są znaczące i kiedy należy je regulować w pozwoleniu zintegrowanym. </w:t>
      </w:r>
    </w:p>
    <w:p w14:paraId="4DFC3588"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b/>
          <w:bCs/>
          <w:u w:val="single"/>
        </w:rPr>
        <w:t>II. Zmiany wynikające z naruszenia nr 2023/2173:</w:t>
      </w:r>
    </w:p>
    <w:p w14:paraId="5F9E7773"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7 lutego 2024 r. Komisja Europejska wystosowała zarzuty formalne (naruszenie nr 2023/2173) dotyczące uchybienia zobowiązaniom wynikającym z przepisów dyrektywy 2010/75/UE. Po dokonanej analizie zarzutów Polska na tym etapie przychyliła się do zmiany przepisów ustawy – Prawo ochrony środowiska w zakresie następujących zarzutów:</w:t>
      </w:r>
    </w:p>
    <w:p w14:paraId="5D5956D5"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b/>
          <w:bCs/>
        </w:rPr>
        <w:t xml:space="preserve">Zarzut nr 3.24. Brak transpozycji art. 14 ust. 5 akapit pierwszy dyrektywy 2010/75/UE </w:t>
      </w:r>
      <w:r w:rsidRPr="00266AE9">
        <w:rPr>
          <w:rFonts w:ascii="Arial" w:eastAsia="Calibri" w:hAnsi="Arial" w:cs="Arial"/>
        </w:rPr>
        <w:t xml:space="preserve">- art. 14 ust. 5 akapit pierwszy dyrektywy 2010/75/UE został transponowany do art. 207 ust. 1 pkt 1–5 i ust. 1a ustawy </w:t>
      </w:r>
      <w:proofErr w:type="spellStart"/>
      <w:r w:rsidRPr="00266AE9">
        <w:rPr>
          <w:rFonts w:ascii="Arial" w:eastAsia="Calibri" w:hAnsi="Arial" w:cs="Arial"/>
        </w:rPr>
        <w:t>Poś</w:t>
      </w:r>
      <w:proofErr w:type="spellEnd"/>
      <w:r w:rsidRPr="00266AE9">
        <w:rPr>
          <w:rFonts w:ascii="Arial" w:eastAsia="Calibri" w:hAnsi="Arial" w:cs="Arial"/>
        </w:rPr>
        <w:t xml:space="preserve">, zgodnie z którym przy określaniu najlepszych dostępnych technik bierze się pod uwagę wymagania, o których mowa w art. 143 </w:t>
      </w:r>
      <w:proofErr w:type="spellStart"/>
      <w:r w:rsidRPr="00266AE9">
        <w:rPr>
          <w:rFonts w:ascii="Arial" w:eastAsia="Calibri" w:hAnsi="Arial" w:cs="Arial"/>
        </w:rPr>
        <w:t>Poś</w:t>
      </w:r>
      <w:proofErr w:type="spellEnd"/>
      <w:r w:rsidRPr="00266AE9">
        <w:rPr>
          <w:rFonts w:ascii="Arial" w:eastAsia="Calibri" w:hAnsi="Arial" w:cs="Arial"/>
        </w:rPr>
        <w:t xml:space="preserve">. Oba te przepisy zawierają kryteria wymienione w załączniku III dyrektywy 2010/75/UE. Zgodność z wymogami art. 15 dyrektywy 2010/75/UE określono w art. 204 ust. 1 i ust. 4 </w:t>
      </w:r>
      <w:proofErr w:type="spellStart"/>
      <w:r w:rsidRPr="00266AE9">
        <w:rPr>
          <w:rFonts w:ascii="Arial" w:eastAsia="Calibri" w:hAnsi="Arial" w:cs="Arial"/>
        </w:rPr>
        <w:t>Poś</w:t>
      </w:r>
      <w:proofErr w:type="spellEnd"/>
      <w:r w:rsidRPr="00266AE9">
        <w:rPr>
          <w:rFonts w:ascii="Arial" w:eastAsia="Calibri" w:hAnsi="Arial" w:cs="Arial"/>
        </w:rPr>
        <w:t xml:space="preserve">. </w:t>
      </w:r>
    </w:p>
    <w:p w14:paraId="47652456"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t xml:space="preserve">Zarzut nr 3.25. Nieprawidłowa transpozycja art. 14 ust. 6 dyrektywy 2010/75/UE </w:t>
      </w:r>
      <w:r w:rsidRPr="00266AE9">
        <w:rPr>
          <w:rFonts w:ascii="Arial" w:eastAsia="Calibri" w:hAnsi="Arial" w:cs="Arial"/>
        </w:rPr>
        <w:t xml:space="preserve">- Przepis ten został przetransponowany do polskiego prawa w art. 204 ust. 1 </w:t>
      </w:r>
      <w:proofErr w:type="spellStart"/>
      <w:r w:rsidRPr="00266AE9">
        <w:rPr>
          <w:rFonts w:ascii="Arial" w:eastAsia="Calibri" w:hAnsi="Arial" w:cs="Arial"/>
        </w:rPr>
        <w:t>Poś</w:t>
      </w:r>
      <w:proofErr w:type="spellEnd"/>
      <w:r w:rsidRPr="00266AE9">
        <w:rPr>
          <w:rFonts w:ascii="Arial" w:eastAsia="Calibri" w:hAnsi="Arial" w:cs="Arial"/>
        </w:rPr>
        <w:t xml:space="preserve">, natomiast kryteria ustalania najlepszych dostępnych technik zamieszczone w załączniku III dyrektywy 2010/75/UE zostały transponowane do art. 207 ust. 1 i ust 1a </w:t>
      </w:r>
      <w:proofErr w:type="spellStart"/>
      <w:r w:rsidRPr="00266AE9">
        <w:rPr>
          <w:rFonts w:ascii="Arial" w:eastAsia="Calibri" w:hAnsi="Arial" w:cs="Arial"/>
        </w:rPr>
        <w:t>Poś</w:t>
      </w:r>
      <w:proofErr w:type="spellEnd"/>
      <w:r w:rsidRPr="00266AE9">
        <w:rPr>
          <w:rFonts w:ascii="Arial" w:eastAsia="Calibri" w:hAnsi="Arial" w:cs="Arial"/>
        </w:rPr>
        <w:t xml:space="preserve">. Art. 207 ust. 1a odwołuje się do art. 143. </w:t>
      </w:r>
    </w:p>
    <w:p w14:paraId="0E2FD3DB"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t>Zarzut nr 3.28. Nieprawidłowa transpozycja art. 15 ust. 4 lit a) i b) dyrektywy 2010/75/UE</w:t>
      </w:r>
      <w:r w:rsidRPr="00266AE9">
        <w:rPr>
          <w:rFonts w:ascii="Arial" w:eastAsia="Calibri" w:hAnsi="Arial" w:cs="Arial"/>
        </w:rPr>
        <w:t xml:space="preserve"> -</w:t>
      </w:r>
      <w:r w:rsidRPr="00266AE9">
        <w:rPr>
          <w:rFonts w:ascii="Arial" w:eastAsia="Calibri" w:hAnsi="Arial" w:cs="Arial"/>
          <w:b/>
          <w:bCs/>
        </w:rPr>
        <w:t xml:space="preserve"> </w:t>
      </w:r>
      <w:r w:rsidRPr="00266AE9">
        <w:rPr>
          <w:rFonts w:ascii="Arial" w:eastAsia="Calibri" w:hAnsi="Arial" w:cs="Arial"/>
        </w:rPr>
        <w:t xml:space="preserve">wątpliwość Komisji Europejskiej dotyczy dodania kryterium oceny udzielenia odstępstwa przez organ właściwy do wydania pozwolenia zintegrowanego, jakim są inne czynniki mające wpływ na funkcjonowanie instalacji i środowisko jako całość. </w:t>
      </w:r>
    </w:p>
    <w:p w14:paraId="5BDF3F84"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lastRenderedPageBreak/>
        <w:t xml:space="preserve">Zarzut nr 3.33. Brak transpozycji art. 21 ust. 2 akapit drugi dyrektywy 2010/75/UE </w:t>
      </w:r>
      <w:r w:rsidRPr="00266AE9">
        <w:rPr>
          <w:rFonts w:ascii="Arial" w:eastAsia="Calibri" w:hAnsi="Arial" w:cs="Arial"/>
        </w:rPr>
        <w:t xml:space="preserve">- Zgodnie z art. 215 ust. 2 pkt 2 </w:t>
      </w:r>
      <w:proofErr w:type="spellStart"/>
      <w:r w:rsidRPr="00266AE9">
        <w:rPr>
          <w:rFonts w:ascii="Arial" w:eastAsia="Calibri" w:hAnsi="Arial" w:cs="Arial"/>
        </w:rPr>
        <w:t>Poś</w:t>
      </w:r>
      <w:proofErr w:type="spellEnd"/>
      <w:r w:rsidRPr="00266AE9">
        <w:rPr>
          <w:rFonts w:ascii="Arial" w:eastAsia="Calibri" w:hAnsi="Arial" w:cs="Arial"/>
        </w:rPr>
        <w:t xml:space="preserve"> organ w celu przeprowadzenia analizy może zażądać od prowadzącego instalację przedłożenia niezbędnych informacji, w szczególności wyników monitorowania procesów technologicznych. </w:t>
      </w:r>
    </w:p>
    <w:p w14:paraId="1E948552"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t xml:space="preserve">Zarzut nr 3.36. Brak transpozycji art. 24 ust. 2 lit. d)–e) dyrektywy 2010/75/UE </w:t>
      </w:r>
      <w:r w:rsidRPr="00266AE9">
        <w:rPr>
          <w:rFonts w:ascii="Arial" w:eastAsia="Calibri" w:hAnsi="Arial" w:cs="Arial"/>
        </w:rPr>
        <w:t>- brak jest przepisu odnoszącego się wprost do zamieszczenia nazwy dokumentu referencyjnego BAT dla danej instalacji lub działalności, jednakże nie zdarzyło się, żeby organ właściwy takiej informacji nie zamieścił w uzasadnieniu decyzji przy wydawaniu decyzji mającej na celu uwzględnienie konkluzji BAT.</w:t>
      </w:r>
    </w:p>
    <w:p w14:paraId="42CB5083"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t xml:space="preserve">Zarzut nr 3.69. Brak transpozycji pkt 6.4 lit. b) akapit trzeci załącznika I do dyrektywy 2010/75/UE </w:t>
      </w:r>
      <w:r w:rsidRPr="00266AE9">
        <w:rPr>
          <w:rFonts w:ascii="Arial" w:eastAsia="Calibri" w:hAnsi="Arial" w:cs="Arial"/>
        </w:rPr>
        <w:t>– konieczność dokonania zmiany w rozporządzeniu Ministra Środowiska z dnia 27 sierpnia 2014 r., celem zapewnienia prawidłowej i pełnej transpozycji pkt 6.4 lit. b) akapit trzeci załącznika I do dyrektywy 2010/75/UE.</w:t>
      </w:r>
    </w:p>
    <w:p w14:paraId="0CDC9480"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b/>
          <w:bCs/>
        </w:rPr>
        <w:t>Zarzut nr 3.70. Nieprawidłowa transpozycja pkt 3 załącznika III do dyrektywy 2010/75/UE</w:t>
      </w:r>
      <w:r w:rsidRPr="00266AE9">
        <w:rPr>
          <w:rFonts w:ascii="Arial" w:eastAsia="Calibri" w:hAnsi="Arial" w:cs="Arial"/>
        </w:rPr>
        <w:t xml:space="preserve"> –</w:t>
      </w:r>
      <w:r w:rsidRPr="00266AE9">
        <w:rPr>
          <w:rFonts w:ascii="Arial" w:eastAsia="Calibri" w:hAnsi="Arial" w:cs="Arial"/>
          <w:b/>
          <w:bCs/>
        </w:rPr>
        <w:t xml:space="preserve"> </w:t>
      </w:r>
      <w:r w:rsidRPr="00266AE9">
        <w:rPr>
          <w:rFonts w:ascii="Arial" w:eastAsia="Calibri" w:hAnsi="Arial" w:cs="Arial"/>
        </w:rPr>
        <w:t xml:space="preserve">niniejszy przepis został transponowany do polskiego prawa w przepisie art. 143 ust. 4 pkt 4 </w:t>
      </w:r>
      <w:proofErr w:type="spellStart"/>
      <w:r w:rsidRPr="00266AE9">
        <w:rPr>
          <w:rFonts w:ascii="Arial" w:eastAsia="Calibri" w:hAnsi="Arial" w:cs="Arial"/>
        </w:rPr>
        <w:t>Poś</w:t>
      </w:r>
      <w:proofErr w:type="spellEnd"/>
      <w:r w:rsidRPr="00266AE9">
        <w:rPr>
          <w:rFonts w:ascii="Arial" w:eastAsia="Calibri" w:hAnsi="Arial" w:cs="Arial"/>
        </w:rPr>
        <w:t>, zgodnie z którym technologia stosowana w nowo uruchamianych lub zmienianych w sposób istotny instalacjach i urządzeniach powinna spełniać wymagania, przy których określaniu uwzględnia się w szczególności stosowanie technologii bezodpadowych i małoodpadowych oraz możliwość odzysku powstających odpadów. W przepisie tym brakuje jednak odniesienia do sformułowania dotyczącego zwiększania odzysku i recyklingu „substancji wytwarzanych i wykorzystywanych w procesie”.</w:t>
      </w:r>
    </w:p>
    <w:p w14:paraId="05399CFD"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t xml:space="preserve">Zarzut nr 3.71. Nieprawidłowa transpozycja pkt 4 załącznika III do dyrektywy 2010/75/UE </w:t>
      </w:r>
      <w:r w:rsidRPr="00266AE9">
        <w:rPr>
          <w:rFonts w:ascii="Arial" w:eastAsia="Calibri" w:hAnsi="Arial" w:cs="Arial"/>
        </w:rPr>
        <w:t xml:space="preserve">– przedmiotowy przepis został transponowany do polskiego prawa w art. 143 pkt 6 </w:t>
      </w:r>
      <w:proofErr w:type="spellStart"/>
      <w:r w:rsidRPr="00266AE9">
        <w:rPr>
          <w:rFonts w:ascii="Arial" w:eastAsia="Calibri" w:hAnsi="Arial" w:cs="Arial"/>
        </w:rPr>
        <w:t>Poś</w:t>
      </w:r>
      <w:proofErr w:type="spellEnd"/>
      <w:r w:rsidRPr="00266AE9">
        <w:rPr>
          <w:rFonts w:ascii="Arial" w:eastAsia="Calibri" w:hAnsi="Arial" w:cs="Arial"/>
        </w:rPr>
        <w:t>, zgodnie z którym technologia stosowana w nowo uruchamianych lub zmienianych w sposób istotny instalacjach i urządzeniach powinna spełniać wymagania, przy których określaniu uwzględnia się w szczególności wykorzystywanie porównywalnych procesów i metod, które zostały skutecznie zastosowane w skali przemysłowej. W ww. przepisie brakuje odniesienia do sformułowania dotyczącego wykorzystania porównywalnych urządzeń jako jednego z wymogów ustalania technologii, która ma być stosowana</w:t>
      </w:r>
    </w:p>
    <w:p w14:paraId="0E484904"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t>Zarzut nr 3.72. Nieprawidłowa transpozycja pkt 9 załącznika III do dyrektywy 2010/75/UE</w:t>
      </w:r>
      <w:r w:rsidRPr="00266AE9">
        <w:rPr>
          <w:rFonts w:ascii="Arial" w:eastAsia="Calibri" w:hAnsi="Arial" w:cs="Arial"/>
        </w:rPr>
        <w:t xml:space="preserve"> –</w:t>
      </w:r>
      <w:r w:rsidRPr="00266AE9">
        <w:rPr>
          <w:rFonts w:ascii="Arial" w:eastAsia="Calibri" w:hAnsi="Arial" w:cs="Arial"/>
          <w:b/>
          <w:bCs/>
        </w:rPr>
        <w:t xml:space="preserve"> </w:t>
      </w:r>
      <w:r w:rsidRPr="00266AE9">
        <w:rPr>
          <w:rFonts w:ascii="Arial" w:eastAsia="Calibri" w:hAnsi="Arial" w:cs="Arial"/>
        </w:rPr>
        <w:t xml:space="preserve">przepis został transponowany do polskiego prawa w art. 143 ust. 2 i 3 </w:t>
      </w:r>
      <w:proofErr w:type="spellStart"/>
      <w:r w:rsidRPr="00266AE9">
        <w:rPr>
          <w:rFonts w:ascii="Arial" w:eastAsia="Calibri" w:hAnsi="Arial" w:cs="Arial"/>
        </w:rPr>
        <w:t>Poś</w:t>
      </w:r>
      <w:proofErr w:type="spellEnd"/>
      <w:r w:rsidRPr="00266AE9">
        <w:rPr>
          <w:rFonts w:ascii="Arial" w:eastAsia="Calibri" w:hAnsi="Arial" w:cs="Arial"/>
        </w:rPr>
        <w:t>, zgodnie z którym technologia stosowana w nowo uruchamianych lub zmienianych w sposób istotny instalacjach i urządzeniach powinna spełniać wymagania, przy których określaniu uwzględnia się w szczególności efektywne wytwarzanie oraz wykorzystanie energii, a także zapewnienie racjonalnego zużycia wody i innych surowców oraz materiałów i paliw. W ww. przepisie brakuje odniesienia do sformułowania dotyczącego właściwości surowców.</w:t>
      </w:r>
    </w:p>
    <w:p w14:paraId="0625CD4A"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b/>
          <w:bCs/>
        </w:rPr>
        <w:t xml:space="preserve">Zarzut nr 3.73. Nieprawidłowa transpozycja pkt 5 załącznika IV do dyrektywy 2010/75/UE w związku z art. 6 ust. 3 konwencji z </w:t>
      </w:r>
      <w:proofErr w:type="spellStart"/>
      <w:r w:rsidRPr="00266AE9">
        <w:rPr>
          <w:rFonts w:ascii="Arial" w:eastAsia="Calibri" w:hAnsi="Arial" w:cs="Arial"/>
          <w:b/>
          <w:bCs/>
        </w:rPr>
        <w:t>Aarhus</w:t>
      </w:r>
      <w:proofErr w:type="spellEnd"/>
      <w:r w:rsidRPr="00266AE9">
        <w:rPr>
          <w:rFonts w:ascii="Arial" w:eastAsia="Calibri" w:hAnsi="Arial" w:cs="Arial"/>
          <w:b/>
          <w:bCs/>
        </w:rPr>
        <w:t xml:space="preserve"> </w:t>
      </w:r>
      <w:r w:rsidRPr="00266AE9">
        <w:rPr>
          <w:rFonts w:ascii="Arial" w:eastAsia="Calibri" w:hAnsi="Arial" w:cs="Arial"/>
        </w:rPr>
        <w:t>– w przepisach krajowych określone są rygorystyczne ramy czasowe odnoszące się do udziału społeczeństwa, czyli brak transpozycji przepisu dającego wystarczającą ilość czasu na poinformowanie społeczeństwa oraz członków zainteresowanej społeczności, aby przygotowali się i skutecznie uczestniczyli w podejmowaniu decyzji dotyczących środowiska.</w:t>
      </w:r>
    </w:p>
    <w:p w14:paraId="73413126"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lastRenderedPageBreak/>
        <w:t>I. Proponowane rozwiązania wdrażające przepisy unijne - dyrektywę 2024/1785, które będą uwzględnione w projekcie ustawy o zmianie ustawy – Prawo ochrony środowiska oraz niektórych innych ustaw:</w:t>
      </w:r>
    </w:p>
    <w:p w14:paraId="27077186" w14:textId="77777777" w:rsidR="00266AE9" w:rsidRPr="00266AE9" w:rsidRDefault="00266AE9" w:rsidP="00266AE9">
      <w:pPr>
        <w:numPr>
          <w:ilvl w:val="0"/>
          <w:numId w:val="9"/>
        </w:numPr>
        <w:spacing w:after="0" w:line="300" w:lineRule="auto"/>
        <w:jc w:val="both"/>
        <w:rPr>
          <w:rFonts w:ascii="Arial" w:eastAsia="Calibri" w:hAnsi="Arial" w:cs="Arial"/>
          <w:b/>
          <w:bCs/>
          <w:u w:val="single"/>
        </w:rPr>
      </w:pPr>
      <w:r w:rsidRPr="00266AE9">
        <w:rPr>
          <w:rFonts w:ascii="Arial" w:eastAsia="Calibri" w:hAnsi="Arial" w:cs="Arial"/>
          <w:b/>
          <w:bCs/>
          <w:u w:val="single"/>
        </w:rPr>
        <w:t xml:space="preserve">Wprowadzenie obowiązku wykonania analizy w celu określenia najostrzejszych możliwych do osiągnięcia granicznych wielkości emisyjnych (BAT </w:t>
      </w:r>
      <w:proofErr w:type="spellStart"/>
      <w:r w:rsidRPr="00266AE9">
        <w:rPr>
          <w:rFonts w:ascii="Arial" w:eastAsia="Calibri" w:hAnsi="Arial" w:cs="Arial"/>
          <w:b/>
          <w:bCs/>
          <w:u w:val="single"/>
        </w:rPr>
        <w:t>AELs</w:t>
      </w:r>
      <w:proofErr w:type="spellEnd"/>
      <w:r w:rsidRPr="00266AE9">
        <w:rPr>
          <w:rFonts w:ascii="Arial" w:eastAsia="Calibri" w:hAnsi="Arial" w:cs="Arial"/>
          <w:b/>
          <w:bCs/>
          <w:u w:val="single"/>
        </w:rPr>
        <w:t>)</w:t>
      </w:r>
    </w:p>
    <w:p w14:paraId="639AD8C0"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Przepisami ustawy zostanie wprowadzony obowiązek analizy, która wartość z przedziału wielkości emisji (BAT </w:t>
      </w:r>
      <w:proofErr w:type="spellStart"/>
      <w:r w:rsidRPr="00266AE9">
        <w:rPr>
          <w:rFonts w:ascii="Arial" w:eastAsia="Calibri" w:hAnsi="Arial" w:cs="Arial"/>
        </w:rPr>
        <w:t>AELs</w:t>
      </w:r>
      <w:proofErr w:type="spellEnd"/>
      <w:r w:rsidRPr="00266AE9">
        <w:rPr>
          <w:rFonts w:ascii="Arial" w:eastAsia="Calibri" w:hAnsi="Arial" w:cs="Arial"/>
        </w:rPr>
        <w:t>) będzie w sposób najwłaściwszy odzwierciedlała możliwości danej instalacji w zakresie ograniczania emisji. Analiza ta będzie dokonywana przez prowadzącego instalację. Niezwykle istotne jest aby w ramach ustalanych w pozwoleniach wielkości emisji były one oparte na wzajemnych powiązaniach między poszczególnymi komponentami środowiska. Organ właściwy do zmiany lub wydania pozwolenia zintegrowanego dokonuje oceny czy wskazane w ww. analizie przez prowadzącego instalację wielkości emisji przy technice stosowanej w danej instalacji uwzględniają potencjał danej instalacji do osiągnięcia jak najniższych możliwych do osiągnięcia wielkości emisji. W celu umożliwienia organowi właściwemu dokonanie ww. oceny konkluzje BAT powinny zawierać informacje na temat okoliczności umożliwiających osiągnięcie niższych emisji w zakresie BAT-AEL ustalonych dla kategorii instalacji o podobnych właściwościach. Zmiana przepisów w zakresie usprawnienia obowiązujących procedur dotyczących pozwoleń zintegrowanych może być dokonana   poprzez wprowadzenie fakultatywnego upoważnienia do wydawania rozporządzeń transponujących w całości lub części postanowienia konkluzji BAT. Oznaczałoby to możliwość wprowadzenia tzw. ogólnie wiążących zasad oraz przyspieszenie procesu wydawania pozwoleń zintegrowanych.</w:t>
      </w:r>
    </w:p>
    <w:p w14:paraId="467A2AFF" w14:textId="77777777" w:rsidR="00266AE9" w:rsidRPr="00266AE9" w:rsidRDefault="00266AE9" w:rsidP="00266AE9">
      <w:pPr>
        <w:numPr>
          <w:ilvl w:val="0"/>
          <w:numId w:val="9"/>
        </w:numPr>
        <w:spacing w:after="0" w:line="300" w:lineRule="auto"/>
        <w:jc w:val="both"/>
        <w:rPr>
          <w:rFonts w:ascii="Arial" w:eastAsia="Calibri" w:hAnsi="Arial" w:cs="Arial"/>
          <w:b/>
          <w:bCs/>
          <w:u w:val="single"/>
        </w:rPr>
      </w:pPr>
      <w:r w:rsidRPr="00266AE9">
        <w:rPr>
          <w:rFonts w:ascii="Arial" w:eastAsia="Calibri" w:hAnsi="Arial" w:cs="Arial"/>
          <w:b/>
          <w:bCs/>
          <w:u w:val="single"/>
        </w:rPr>
        <w:t xml:space="preserve">Doprecyzowanie w zakresie metodyki oceny zasadności udzielania odstępstw od BAT </w:t>
      </w:r>
      <w:proofErr w:type="spellStart"/>
      <w:r w:rsidRPr="00266AE9">
        <w:rPr>
          <w:rFonts w:ascii="Arial" w:eastAsia="Calibri" w:hAnsi="Arial" w:cs="Arial"/>
          <w:b/>
          <w:bCs/>
          <w:u w:val="single"/>
        </w:rPr>
        <w:t>AELs</w:t>
      </w:r>
      <w:proofErr w:type="spellEnd"/>
      <w:r w:rsidRPr="00266AE9">
        <w:rPr>
          <w:rFonts w:ascii="Arial" w:eastAsia="Calibri" w:hAnsi="Arial" w:cs="Arial"/>
          <w:b/>
          <w:bCs/>
          <w:u w:val="single"/>
        </w:rPr>
        <w:t xml:space="preserve"> </w:t>
      </w:r>
    </w:p>
    <w:p w14:paraId="57D04C08" w14:textId="77777777" w:rsidR="00266AE9" w:rsidRPr="00266AE9" w:rsidRDefault="00266AE9" w:rsidP="00266AE9">
      <w:pPr>
        <w:spacing w:after="0" w:line="300" w:lineRule="auto"/>
        <w:jc w:val="both"/>
        <w:rPr>
          <w:rFonts w:ascii="Arial" w:eastAsia="Calibri" w:hAnsi="Arial" w:cs="Arial"/>
          <w:b/>
          <w:bCs/>
          <w:u w:val="single"/>
        </w:rPr>
      </w:pPr>
      <w:r w:rsidRPr="00266AE9">
        <w:rPr>
          <w:rFonts w:ascii="Arial" w:eastAsia="Calibri" w:hAnsi="Arial" w:cs="Arial"/>
        </w:rPr>
        <w:t>Odstępstwa powinny być udzielane zgodnie z zasadami odnoszącymi się do ogólnych kryteriów oceny zasadności udzielenia odstępstwa. Określone zostanie szczegółowo jakie elementy należy uwzględniać w zakresie kosztów i korzyści, a także ogólnych wskazówek w zakresie sposobu postępowania w przypadku nieproporcjonalności kosztów względem korzyści dla środowiska. Komisja opracuje i przyjmie akt implementacyjny zawierający metodykę oceny dysproporcjonalności kosztów w stosunku do korzyści środowiskowych. Szczegółowa metodyka w tym zakresie pozwoli na dokładniejsze określenie wzajemnych relacji pomiędzy kosztami a korzyściami. Organy właściwe do wydawania pozwoleń będą zobowiązane do ponownej oceny zasadności udzielonego odstępstwa co 4 lata lub podczas zmiany warunków pozwolenia wynikającej z przesłanek takich jak: powodowanie przez instalację zanieczyszczenia środowiska w znacznych rozmiarach, zastosowanie innych technik ze względu na zapewnienie bezpieczeństwa procesu, konieczność dotrzymania standardów jakości środowiska.</w:t>
      </w:r>
    </w:p>
    <w:p w14:paraId="6D01AF1D" w14:textId="77777777" w:rsidR="00266AE9" w:rsidRPr="00266AE9" w:rsidRDefault="00266AE9" w:rsidP="00266AE9">
      <w:pPr>
        <w:numPr>
          <w:ilvl w:val="0"/>
          <w:numId w:val="9"/>
        </w:numPr>
        <w:spacing w:after="0" w:line="300" w:lineRule="auto"/>
        <w:jc w:val="both"/>
        <w:rPr>
          <w:rFonts w:ascii="Arial" w:eastAsia="Calibri" w:hAnsi="Arial" w:cs="Arial"/>
          <w:b/>
          <w:bCs/>
          <w:u w:val="single"/>
        </w:rPr>
      </w:pPr>
      <w:r w:rsidRPr="00266AE9">
        <w:rPr>
          <w:rFonts w:ascii="Arial" w:eastAsia="Calibri" w:hAnsi="Arial" w:cs="Arial"/>
          <w:b/>
          <w:bCs/>
          <w:u w:val="single"/>
        </w:rPr>
        <w:t xml:space="preserve">Ocena wpływu udzielonych odstępstw od BAT </w:t>
      </w:r>
      <w:proofErr w:type="spellStart"/>
      <w:r w:rsidRPr="00266AE9">
        <w:rPr>
          <w:rFonts w:ascii="Arial" w:eastAsia="Calibri" w:hAnsi="Arial" w:cs="Arial"/>
          <w:b/>
          <w:bCs/>
          <w:u w:val="single"/>
        </w:rPr>
        <w:t>AELs</w:t>
      </w:r>
      <w:proofErr w:type="spellEnd"/>
      <w:r w:rsidRPr="00266AE9">
        <w:rPr>
          <w:rFonts w:ascii="Arial" w:eastAsia="Calibri" w:hAnsi="Arial" w:cs="Arial"/>
          <w:b/>
          <w:bCs/>
          <w:u w:val="single"/>
        </w:rPr>
        <w:t xml:space="preserve"> na stan środowiska</w:t>
      </w:r>
    </w:p>
    <w:p w14:paraId="74A7CE10"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Wprowadzenie obowiązku monitorowania wpływu odstępstw na stan środowiska w przypadkach możliwości powiązania zwiększonej emisji danego zanieczyszczenia na jakość danego komponentu środowiska. Obowiązek ten będzie, co do zasady, nakładany na prowadzących instalację, jednak w miejscach gdzie funkcjonują już stacje pomiarowe zasadne wydaje się wykorzystanie danych z tych istniejących urządzeń – o ile ich lokalizacja będzie odpowiednia do oceny wpływu emisji z danego źródła na jakość powietrza.</w:t>
      </w:r>
    </w:p>
    <w:p w14:paraId="6499369E" w14:textId="77777777" w:rsidR="00266AE9" w:rsidRPr="00266AE9" w:rsidRDefault="00266AE9" w:rsidP="00266AE9">
      <w:pPr>
        <w:numPr>
          <w:ilvl w:val="0"/>
          <w:numId w:val="9"/>
        </w:numPr>
        <w:spacing w:after="0" w:line="300" w:lineRule="auto"/>
        <w:jc w:val="both"/>
        <w:rPr>
          <w:rFonts w:ascii="Arial" w:eastAsia="Calibri" w:hAnsi="Arial" w:cs="Arial"/>
          <w:b/>
          <w:bCs/>
          <w:u w:val="single"/>
        </w:rPr>
      </w:pPr>
      <w:r w:rsidRPr="00266AE9">
        <w:rPr>
          <w:rFonts w:ascii="Arial" w:eastAsia="Calibri" w:hAnsi="Arial" w:cs="Arial"/>
          <w:b/>
          <w:bCs/>
          <w:u w:val="single"/>
        </w:rPr>
        <w:lastRenderedPageBreak/>
        <w:t xml:space="preserve">Ujednolicenie zasad ustalania wielkości dopuszczalnej emisji </w:t>
      </w:r>
    </w:p>
    <w:p w14:paraId="64D14082" w14:textId="77777777" w:rsidR="00266AE9" w:rsidRPr="00266AE9" w:rsidRDefault="00266AE9" w:rsidP="00266AE9">
      <w:pPr>
        <w:spacing w:after="0" w:line="300" w:lineRule="auto"/>
        <w:jc w:val="both"/>
        <w:rPr>
          <w:rFonts w:ascii="Arial" w:eastAsia="Calibri" w:hAnsi="Arial" w:cs="Arial"/>
          <w:b/>
          <w:bCs/>
          <w:u w:val="single"/>
        </w:rPr>
      </w:pPr>
      <w:r w:rsidRPr="00266AE9">
        <w:rPr>
          <w:rFonts w:ascii="Arial" w:eastAsia="Calibri" w:hAnsi="Arial" w:cs="Arial"/>
        </w:rPr>
        <w:t xml:space="preserve">W przypadku pozytywnej oceny dotrzymywania BAT </w:t>
      </w:r>
      <w:proofErr w:type="spellStart"/>
      <w:r w:rsidRPr="00266AE9">
        <w:rPr>
          <w:rFonts w:ascii="Arial" w:eastAsia="Calibri" w:hAnsi="Arial" w:cs="Arial"/>
        </w:rPr>
        <w:t>AELs</w:t>
      </w:r>
      <w:proofErr w:type="spellEnd"/>
      <w:r w:rsidRPr="00266AE9">
        <w:rPr>
          <w:rFonts w:ascii="Arial" w:eastAsia="Calibri" w:hAnsi="Arial" w:cs="Arial"/>
        </w:rPr>
        <w:t xml:space="preserve"> będzie możliwe uznanie, że dotrzymane są także </w:t>
      </w:r>
      <w:proofErr w:type="spellStart"/>
      <w:r w:rsidRPr="00266AE9">
        <w:rPr>
          <w:rFonts w:ascii="Arial" w:eastAsia="Calibri" w:hAnsi="Arial" w:cs="Arial"/>
        </w:rPr>
        <w:t>ELVs</w:t>
      </w:r>
      <w:proofErr w:type="spellEnd"/>
      <w:r w:rsidRPr="00266AE9">
        <w:rPr>
          <w:rFonts w:ascii="Arial" w:eastAsia="Calibri" w:hAnsi="Arial" w:cs="Arial"/>
        </w:rPr>
        <w:t xml:space="preserve"> z Załącznika V i VI, a więc standardy emisyjne dla dużych obiektów spalania (LCP) i instalacji do termicznego przekształcania odpadów (WI).</w:t>
      </w:r>
    </w:p>
    <w:p w14:paraId="4AA4B7C2" w14:textId="77777777" w:rsidR="00266AE9" w:rsidRPr="00266AE9" w:rsidRDefault="00266AE9" w:rsidP="00266AE9">
      <w:pPr>
        <w:numPr>
          <w:ilvl w:val="0"/>
          <w:numId w:val="9"/>
        </w:numPr>
        <w:spacing w:after="0" w:line="300" w:lineRule="auto"/>
        <w:jc w:val="both"/>
        <w:rPr>
          <w:rFonts w:ascii="Arial" w:eastAsia="Calibri" w:hAnsi="Arial" w:cs="Arial"/>
          <w:b/>
          <w:bCs/>
          <w:u w:val="single"/>
        </w:rPr>
      </w:pPr>
      <w:r w:rsidRPr="00266AE9">
        <w:rPr>
          <w:rFonts w:ascii="Arial" w:eastAsia="Calibri" w:hAnsi="Arial" w:cs="Arial"/>
          <w:b/>
          <w:bCs/>
          <w:u w:val="single"/>
        </w:rPr>
        <w:t xml:space="preserve">Wsparcie dla innowacji </w:t>
      </w:r>
    </w:p>
    <w:p w14:paraId="2C2A62F9"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Projektowane przepisy dostarczą zachęt dla przedsiębiorców, którzy zdecydują się na wdrożenie rozwiązań innowacyjnych lub głęboką transformację swojej działalności pozwalającą na drastyczną redukcję emisji gazów cieplarnianych. Dodatkowo nowo przyjmowane decyzje wykonawcze Komisji ustanawiające konkluzje BAT dla poszczególnych branż przemysłowych powinny wskazywać rodzaje innowacyjnych technik oraz kierunki transformacji przemysłowej.</w:t>
      </w:r>
    </w:p>
    <w:p w14:paraId="7123A799" w14:textId="77777777" w:rsidR="00266AE9" w:rsidRPr="00266AE9" w:rsidRDefault="00266AE9" w:rsidP="00266AE9">
      <w:pPr>
        <w:numPr>
          <w:ilvl w:val="0"/>
          <w:numId w:val="9"/>
        </w:numPr>
        <w:spacing w:after="0" w:line="300" w:lineRule="auto"/>
        <w:jc w:val="both"/>
        <w:rPr>
          <w:rFonts w:ascii="Arial" w:eastAsia="Calibri" w:hAnsi="Arial" w:cs="Arial"/>
          <w:b/>
          <w:bCs/>
          <w:u w:val="single"/>
        </w:rPr>
      </w:pPr>
      <w:r w:rsidRPr="00266AE9">
        <w:rPr>
          <w:rFonts w:ascii="Arial" w:eastAsia="Calibri" w:hAnsi="Arial" w:cs="Arial"/>
          <w:b/>
          <w:bCs/>
          <w:u w:val="single"/>
        </w:rPr>
        <w:t>Wprowadzenie wiążących poziomów efektywności środowiskowej (BAT AEPL)</w:t>
      </w:r>
    </w:p>
    <w:p w14:paraId="7FE17ACF"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W celu wzmocnienia roli warunków pozwoleń takich jak poziomy efektywności środowiskowej zasadne jest nadanie im, w uzasadnionych przypadkach, charakteru wiążącego prawnie, a tam gdzie okaże się to niemożliwe pozostanie przy wartościach wskaźnikowych określanych w systemie zarządzania środowiskowego instalacji. Ocena tego czy dla danego kryterium </w:t>
      </w:r>
      <w:proofErr w:type="spellStart"/>
      <w:r w:rsidRPr="00266AE9">
        <w:rPr>
          <w:rFonts w:ascii="Arial" w:eastAsia="Calibri" w:hAnsi="Arial" w:cs="Arial"/>
        </w:rPr>
        <w:t>zasobooszczędności</w:t>
      </w:r>
      <w:proofErr w:type="spellEnd"/>
      <w:r w:rsidRPr="00266AE9">
        <w:rPr>
          <w:rFonts w:ascii="Arial" w:eastAsia="Calibri" w:hAnsi="Arial" w:cs="Arial"/>
        </w:rPr>
        <w:t xml:space="preserve"> ustalone zostaną wiążące poziomy będzie każdorazowo dokonywana na etapie tworzenia konkluzji BAT.</w:t>
      </w:r>
    </w:p>
    <w:p w14:paraId="08315C80" w14:textId="77777777" w:rsidR="00266AE9" w:rsidRPr="00266AE9" w:rsidRDefault="00266AE9" w:rsidP="00266AE9">
      <w:pPr>
        <w:numPr>
          <w:ilvl w:val="0"/>
          <w:numId w:val="9"/>
        </w:numPr>
        <w:spacing w:after="0" w:line="300" w:lineRule="auto"/>
        <w:jc w:val="both"/>
        <w:rPr>
          <w:rFonts w:ascii="Arial" w:eastAsia="Calibri" w:hAnsi="Arial" w:cs="Arial"/>
        </w:rPr>
      </w:pPr>
      <w:r w:rsidRPr="00266AE9">
        <w:rPr>
          <w:rFonts w:ascii="Arial" w:eastAsia="Calibri" w:hAnsi="Arial" w:cs="Arial"/>
          <w:b/>
          <w:bCs/>
          <w:u w:val="single"/>
        </w:rPr>
        <w:t>System zarządzania środowiskowego (EMS)</w:t>
      </w:r>
    </w:p>
    <w:p w14:paraId="68B6535E"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W celu zapewnienia, że każdy EMS będzie obejmował elementy istotne z punktu widzenia skutecznego przeciwdziałania zanieczyszczeniom powodowanym przez instalacje przemysłowe, zasadne jest wskazanie ich bezpośrednio w przepisach ustawowych. Obejmowałoby to także obowiązek okresowej oceny zgodności EMS przez akredytowanych weryfikatorów. Jednym z istotnych elementów wymaganych w ramach EMS byłaby inwentaryzacja niebezpiecznych substancji chemicznych wykorzystywanych lub emitowanych przez instalację, ocena ich wpływu na zdrowie ludzkie i środowisko oraz ocena możliwości zastąpienia ich bezpieczniejszymi odpowiednikami. Ponadto wprowadzenie EMS jako dokumentu towarzyszącego w stosunku do pozwolenia zintegrowanego pozwoli na określanie w nim wymagań o charakterze wskaźnikowym (niewiążącym) niedotrzymanie których, co do zasady, nie powoduje stosowania sankcji np. w postaci administracyjnych kar pieniężnych. </w:t>
      </w:r>
    </w:p>
    <w:p w14:paraId="35A9382F" w14:textId="77777777" w:rsidR="00266AE9" w:rsidRPr="00266AE9" w:rsidRDefault="00266AE9" w:rsidP="00266AE9">
      <w:pPr>
        <w:numPr>
          <w:ilvl w:val="0"/>
          <w:numId w:val="9"/>
        </w:numPr>
        <w:spacing w:after="0" w:line="300" w:lineRule="auto"/>
        <w:jc w:val="both"/>
        <w:rPr>
          <w:rFonts w:ascii="Arial" w:eastAsia="Calibri" w:hAnsi="Arial" w:cs="Arial"/>
          <w:b/>
          <w:bCs/>
          <w:u w:val="single"/>
        </w:rPr>
      </w:pPr>
      <w:r w:rsidRPr="00266AE9">
        <w:rPr>
          <w:rFonts w:ascii="Arial" w:eastAsia="Calibri" w:hAnsi="Arial" w:cs="Arial"/>
          <w:b/>
          <w:bCs/>
          <w:u w:val="single"/>
        </w:rPr>
        <w:t>Udział społeczeństwa w procesie podejmowania decyzji</w:t>
      </w:r>
    </w:p>
    <w:p w14:paraId="37DD204B"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Zasadne jest rozszerzenie katalogu określającego udział społeczeństwa w postępowaniach dotyczących pozwoleń zintegrowanych o przypadki dostosowania pozwoleń zintegrowanych do konkluzji BAT, niezależnie od tego czy prowadzący instalację wnioskuje o odstępstwo, zgodnie z art. 204 ust. 2 </w:t>
      </w:r>
      <w:proofErr w:type="spellStart"/>
      <w:r w:rsidRPr="00266AE9">
        <w:rPr>
          <w:rFonts w:ascii="Arial" w:eastAsia="Calibri" w:hAnsi="Arial" w:cs="Arial"/>
        </w:rPr>
        <w:t>Poś</w:t>
      </w:r>
      <w:proofErr w:type="spellEnd"/>
      <w:r w:rsidRPr="00266AE9">
        <w:rPr>
          <w:rFonts w:ascii="Arial" w:eastAsia="Calibri" w:hAnsi="Arial" w:cs="Arial"/>
        </w:rPr>
        <w:t xml:space="preserve">. </w:t>
      </w:r>
    </w:p>
    <w:p w14:paraId="392CA015" w14:textId="77777777" w:rsidR="00266AE9" w:rsidRPr="00266AE9" w:rsidRDefault="00266AE9" w:rsidP="00266AE9">
      <w:pPr>
        <w:numPr>
          <w:ilvl w:val="0"/>
          <w:numId w:val="9"/>
        </w:numPr>
        <w:spacing w:after="0" w:line="300" w:lineRule="auto"/>
        <w:jc w:val="both"/>
        <w:rPr>
          <w:rFonts w:ascii="Arial" w:eastAsia="Calibri" w:hAnsi="Arial" w:cs="Arial"/>
          <w:b/>
          <w:bCs/>
          <w:u w:val="single"/>
        </w:rPr>
      </w:pPr>
      <w:r w:rsidRPr="00266AE9">
        <w:rPr>
          <w:rFonts w:ascii="Arial" w:eastAsia="Calibri" w:hAnsi="Arial" w:cs="Arial"/>
          <w:b/>
          <w:bCs/>
          <w:u w:val="single"/>
        </w:rPr>
        <w:t>Możliwość wnioskowania o odszkodowania</w:t>
      </w:r>
    </w:p>
    <w:p w14:paraId="0006205F" w14:textId="77777777" w:rsidR="00266AE9" w:rsidRPr="00266AE9" w:rsidRDefault="00266AE9" w:rsidP="00266AE9">
      <w:pPr>
        <w:spacing w:after="0" w:line="300" w:lineRule="auto"/>
        <w:jc w:val="both"/>
        <w:rPr>
          <w:rFonts w:ascii="Arial" w:eastAsia="Calibri" w:hAnsi="Arial" w:cs="Arial"/>
          <w:iCs/>
        </w:rPr>
      </w:pPr>
      <w:r w:rsidRPr="00266AE9">
        <w:rPr>
          <w:rFonts w:ascii="Arial" w:eastAsia="Calibri" w:hAnsi="Arial" w:cs="Arial"/>
          <w:iCs/>
        </w:rPr>
        <w:t>Zmiany przepisów powinny zapewnić, że w przypadku wystąpienia uszczerbku na zdrowiu wynikającego z naruszania zasad określonych w dyrektywie 2024/1785, osoby dotknięte tą szkodą miały prawo do wystąpienia o odszkodowanie od prowadzącego instalację. Powinno zostać zapewnione, aby przepisy i procedury krajowe dotyczące roszczeń odszkodowawczych były opracowywane i stosowane w taki sposób, aby nie uniemożliwiały ani nadmiernie nie utrudniały wykonywania prawa do odszkodowania. Aktualnie przepisy obowiązujące w tym zakresie to art. 435, 444 i 445 ustawy z dnia 23 kwietnia 1964 r. - Kodeks cywilny i tytuł VI dział I ustawy z dnia 27 kwietnia 2001 r. – Prawo ochrony środowiska.</w:t>
      </w:r>
    </w:p>
    <w:p w14:paraId="06148EB8" w14:textId="77777777" w:rsidR="00266AE9" w:rsidRPr="00266AE9" w:rsidRDefault="00266AE9" w:rsidP="00266AE9">
      <w:pPr>
        <w:numPr>
          <w:ilvl w:val="0"/>
          <w:numId w:val="9"/>
        </w:numPr>
        <w:spacing w:after="0" w:line="300" w:lineRule="auto"/>
        <w:jc w:val="both"/>
        <w:rPr>
          <w:rFonts w:ascii="Arial" w:eastAsia="Calibri" w:hAnsi="Arial" w:cs="Arial"/>
          <w:b/>
          <w:bCs/>
          <w:u w:val="single"/>
        </w:rPr>
      </w:pPr>
      <w:r w:rsidRPr="00266AE9">
        <w:rPr>
          <w:rFonts w:ascii="Arial" w:eastAsia="Calibri" w:hAnsi="Arial" w:cs="Arial"/>
          <w:b/>
          <w:bCs/>
          <w:u w:val="single"/>
        </w:rPr>
        <w:lastRenderedPageBreak/>
        <w:t xml:space="preserve">Sankcje i kary </w:t>
      </w:r>
    </w:p>
    <w:p w14:paraId="5DB3D0C8" w14:textId="77777777" w:rsidR="00266AE9" w:rsidRPr="00266AE9" w:rsidRDefault="00266AE9" w:rsidP="00266AE9">
      <w:pPr>
        <w:spacing w:after="0" w:line="300" w:lineRule="auto"/>
        <w:jc w:val="both"/>
        <w:rPr>
          <w:rFonts w:ascii="Arial" w:eastAsia="Calibri" w:hAnsi="Arial" w:cs="Arial"/>
          <w:b/>
          <w:bCs/>
          <w:u w:val="single"/>
        </w:rPr>
      </w:pPr>
      <w:r w:rsidRPr="00266AE9">
        <w:rPr>
          <w:rFonts w:ascii="Arial" w:eastAsia="Calibri" w:hAnsi="Arial" w:cs="Arial"/>
        </w:rPr>
        <w:t xml:space="preserve">Uzasadniony wydaje się przegląd obowiązujących regulacji dotyczących szeroko rozumianych sankcji za nieprzestrzeganie wymagań prawnych z zakresu ochrony środowiska aby zapewnić, że są one skuteczne, proporcjonalne oraz pełnią rolę odstraszającą. Dotyczy to chociażby przypadków kar za najpoważniejsze i powtarzające się wykroczenia/nieprawidłowości, gdzie wysokość kary powinna być uzależniona m.in. od przychodów podmiotu, który takiego wykroczenia się dopuścił. Ponadto należy zapewnić spójność pomiędzy sankcjami wynikającymi z ustawy </w:t>
      </w:r>
      <w:proofErr w:type="spellStart"/>
      <w:r w:rsidRPr="00266AE9">
        <w:rPr>
          <w:rFonts w:ascii="Arial" w:eastAsia="Calibri" w:hAnsi="Arial" w:cs="Arial"/>
        </w:rPr>
        <w:t>Poś</w:t>
      </w:r>
      <w:proofErr w:type="spellEnd"/>
      <w:r w:rsidRPr="00266AE9">
        <w:rPr>
          <w:rFonts w:ascii="Arial" w:eastAsia="Calibri" w:hAnsi="Arial" w:cs="Arial"/>
        </w:rPr>
        <w:t>, a tymi wynikającymi z przepisów odrębnych obejmujących przestępstwa przeciwko środowisku.</w:t>
      </w:r>
    </w:p>
    <w:p w14:paraId="565D6908" w14:textId="77777777" w:rsidR="00266AE9" w:rsidRPr="00266AE9" w:rsidRDefault="00266AE9" w:rsidP="00266AE9">
      <w:pPr>
        <w:numPr>
          <w:ilvl w:val="0"/>
          <w:numId w:val="9"/>
        </w:numPr>
        <w:spacing w:after="0" w:line="300" w:lineRule="auto"/>
        <w:jc w:val="both"/>
        <w:rPr>
          <w:rFonts w:ascii="Arial" w:eastAsia="Calibri" w:hAnsi="Arial" w:cs="Arial"/>
          <w:b/>
          <w:bCs/>
          <w:u w:val="single"/>
        </w:rPr>
      </w:pPr>
      <w:r w:rsidRPr="00266AE9">
        <w:rPr>
          <w:rFonts w:ascii="Arial" w:eastAsia="Calibri" w:hAnsi="Arial" w:cs="Arial"/>
          <w:b/>
          <w:bCs/>
          <w:u w:val="single"/>
        </w:rPr>
        <w:t>Objęcie obowiązkiem uzyskania pozwolenia zintegrowanego nowych rodzajów instalacji. Rodzaje instalacji objęte obowiązkiem uzyskania pozwolenia zintegrowanego wymienione w załączniku I do dyrektywy 2024/1785</w:t>
      </w:r>
    </w:p>
    <w:p w14:paraId="58934081"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Wprowadzony zostanie wymóg uzyskania pozwolenia zintegrowanego dla następujących instalacji, których rodzaje nie były dotychczas objęte przepisami dyrektywy 2010/75/UE: instalacje do wytwarzania baterii, wydobycie następujących rud metali: boksyt, chrom, kobalt, miedź, złoto, żelazo, ołów, lit, mangan, nikiel, pallad, platyna, cyna, wolfram i cynk, a także elektroliza wody do produkcji wodoru. Wymogiem uzyskania pozwolenia objęte zostaną również instalacje, których rodzaj był objęty zakresem dyrektywy 2010/75/UE, ale dokonano jego zmiany. Są to następujące instalacje: piroliza węgla lub innych paliw, eksploatacja walcowni zimnych o wydajności przekraczającej 10 ton surówki na godzinę, eksploatacja kuźni z młotami o energii przekraczającej 50 kilodżuli na młot, eksploatacja kuźni z prasami kuźniczymi o sile nacisku przekraczającej 30 meganiutonów na prasę, wykańczanie włókien. </w:t>
      </w:r>
    </w:p>
    <w:p w14:paraId="241E8495"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Zmiany w ww. zakresie zostaną wprowadzone poprzez zmianę rozporządzenia Ministra Środowiska z dnia 27 sierpnia 2014 r. w sprawie rodzajów instalacji mogących powodować znaczne zanieczyszczenie poszczególnych elementów przyrodniczych albo środowiska jako całości (Dz. U. z 2014 r. poz. 1169). W ustawie natomiast planowane jest wprowadzenie dwóch kategorii instalacji, w celu wprowadzenia podziału kompetencji organów właściwych do wydania pozwolenia zintegrowanego nie powiązanego z rozporządzeniem Rady Ministrów z dnia 10 września 2019 r. w sprawie rodzajów przedsięwzięć mogących znacząco oddziaływać na środowisko (Dz. U. z 2019 r. poz. 1839).</w:t>
      </w:r>
    </w:p>
    <w:p w14:paraId="41D11B4D"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Zmiana ta ma zapewnić jasność co do właściwości organu, który powinien wydać pozwolenie zintegrowane dla danego rodzaju instalacji i pozwoli precyzyjnie odnieść się do konkretnych rodzajów instalacji lub grup instalacji, uwzględniając przy tym także nowe branże objęte obowiązkiem uzyskania pozwolenia zintegrowanego w związku ze zmianą IED. </w:t>
      </w:r>
    </w:p>
    <w:p w14:paraId="0E112447" w14:textId="77777777" w:rsidR="00266AE9" w:rsidRPr="00266AE9" w:rsidRDefault="00266AE9" w:rsidP="00266AE9">
      <w:pPr>
        <w:numPr>
          <w:ilvl w:val="0"/>
          <w:numId w:val="9"/>
        </w:numPr>
        <w:spacing w:after="0" w:line="300" w:lineRule="auto"/>
        <w:jc w:val="both"/>
        <w:rPr>
          <w:rFonts w:ascii="Arial" w:eastAsia="Calibri" w:hAnsi="Arial" w:cs="Arial"/>
          <w:b/>
          <w:bCs/>
          <w:u w:val="single"/>
        </w:rPr>
      </w:pPr>
      <w:r w:rsidRPr="00266AE9">
        <w:rPr>
          <w:rFonts w:ascii="Arial" w:eastAsia="Calibri" w:hAnsi="Arial" w:cs="Arial"/>
          <w:b/>
          <w:u w:val="single"/>
        </w:rPr>
        <w:t>Szczególne przepisy dot. chowu i hodowli świń i drobiu</w:t>
      </w:r>
    </w:p>
    <w:p w14:paraId="42A98053" w14:textId="77777777" w:rsidR="00266AE9" w:rsidRPr="00266AE9" w:rsidRDefault="00266AE9" w:rsidP="00266AE9">
      <w:pPr>
        <w:spacing w:after="0" w:line="300" w:lineRule="auto"/>
        <w:jc w:val="both"/>
        <w:rPr>
          <w:rFonts w:ascii="Arial" w:eastAsia="Calibri" w:hAnsi="Arial" w:cs="Arial"/>
          <w:bCs/>
        </w:rPr>
      </w:pPr>
      <w:r w:rsidRPr="00266AE9">
        <w:rPr>
          <w:rFonts w:ascii="Arial" w:eastAsia="Calibri" w:hAnsi="Arial" w:cs="Arial"/>
          <w:bCs/>
        </w:rPr>
        <w:t xml:space="preserve">W ślad za zmianami w dyrektywie kwalifikacja do obowiązku uzyskania pozwolenia zintegrowanego zostanie uzależniona od ilości jednostek przeliczeniowych, co będzie mieć przełożenie także na pewne zwiększenie ilości instalacji wymagających uzyskania tego typu decyzji. Jednocześnie w IED zastosowano jednostki przeliczeniowe odmienne od tych wynikających z innych regulacji EU i wykorzystywanych np. w rozporządzeniu Rady Ministrów z dnia 10 września 2019 r. w sprawie przedsięwzięć mogących znacząco oddziaływać na środowisko (Dz.U. poz. 1839 ze zm.). W celu ujednolicenia przepisów krajowych zasadne wydaje się podjęcie próby przeliczenia wskaźników z IED jednak może to istotnie utrudnić odmienne zróżnicowanie rodzajów zwierząt w poszczególnych aktach prawnych. Ponadto, </w:t>
      </w:r>
      <w:r w:rsidRPr="00266AE9">
        <w:rPr>
          <w:rFonts w:ascii="Arial" w:eastAsia="Calibri" w:hAnsi="Arial" w:cs="Arial"/>
          <w:bCs/>
        </w:rPr>
        <w:lastRenderedPageBreak/>
        <w:t>wprowadzone zostaną zapisy dotyczące sumowania obsad instalacji zlokalizowanych w bezpośrednim sąsiedztwie aby nie dochodziło do ich fragmentacji, która w efekcie powoduje, że instalacja nie wymaga uzyskania pozwolenia zintegrowanego.</w:t>
      </w:r>
    </w:p>
    <w:p w14:paraId="7BACC365" w14:textId="77777777" w:rsidR="00266AE9" w:rsidRPr="00266AE9" w:rsidRDefault="00266AE9" w:rsidP="00266AE9">
      <w:pPr>
        <w:numPr>
          <w:ilvl w:val="0"/>
          <w:numId w:val="9"/>
        </w:numPr>
        <w:spacing w:after="0" w:line="300" w:lineRule="auto"/>
        <w:jc w:val="both"/>
        <w:rPr>
          <w:rFonts w:ascii="Arial" w:eastAsia="Calibri" w:hAnsi="Arial" w:cs="Arial"/>
          <w:b/>
          <w:bCs/>
          <w:u w:val="single"/>
        </w:rPr>
      </w:pPr>
      <w:r w:rsidRPr="00266AE9">
        <w:rPr>
          <w:rFonts w:ascii="Arial" w:eastAsia="Calibri" w:hAnsi="Arial" w:cs="Arial"/>
          <w:b/>
          <w:bCs/>
          <w:u w:val="single"/>
        </w:rPr>
        <w:t>Odstępstwa w sytuacjach kryzysowych/ siły wyższej</w:t>
      </w:r>
      <w:r w:rsidRPr="00266AE9">
        <w:rPr>
          <w:rFonts w:ascii="Arial" w:eastAsia="Calibri" w:hAnsi="Arial" w:cs="Arial"/>
        </w:rPr>
        <w:t xml:space="preserve"> </w:t>
      </w:r>
    </w:p>
    <w:p w14:paraId="2DD0F254"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Polska przyjęła niezbędne zmiany w prawie krajowym mające na celu zapewnienie możliwości funkcjonowania tego typu instalacji w sytuacji kryzysowej. Przepisy te miały jednak charakter tymczasowy, dlatego też konieczne jest zapewnienie stałej podstawy prawnej w tego typu sytuacjach.</w:t>
      </w:r>
    </w:p>
    <w:p w14:paraId="43ED4513" w14:textId="77777777" w:rsidR="00266AE9" w:rsidRPr="00266AE9" w:rsidRDefault="00266AE9" w:rsidP="00266AE9">
      <w:pPr>
        <w:numPr>
          <w:ilvl w:val="0"/>
          <w:numId w:val="9"/>
        </w:numPr>
        <w:spacing w:after="0" w:line="300" w:lineRule="auto"/>
        <w:jc w:val="both"/>
        <w:rPr>
          <w:rFonts w:ascii="Arial" w:eastAsia="Calibri" w:hAnsi="Arial" w:cs="Arial"/>
          <w:b/>
          <w:bCs/>
          <w:u w:val="single"/>
        </w:rPr>
      </w:pPr>
      <w:r w:rsidRPr="00266AE9">
        <w:rPr>
          <w:rFonts w:ascii="Arial" w:eastAsia="Calibri" w:hAnsi="Arial" w:cs="Arial"/>
        </w:rPr>
        <w:t xml:space="preserve"> </w:t>
      </w:r>
      <w:r w:rsidRPr="00266AE9">
        <w:rPr>
          <w:rFonts w:ascii="Arial" w:eastAsia="Calibri" w:hAnsi="Arial" w:cs="Arial"/>
          <w:b/>
          <w:bCs/>
          <w:u w:val="single"/>
        </w:rPr>
        <w:t xml:space="preserve">Inne zmiany </w:t>
      </w:r>
    </w:p>
    <w:p w14:paraId="007FCB77" w14:textId="77777777" w:rsidR="00266AE9" w:rsidRPr="00266AE9" w:rsidRDefault="00266AE9" w:rsidP="00266AE9">
      <w:pPr>
        <w:spacing w:after="0" w:line="300" w:lineRule="auto"/>
        <w:jc w:val="both"/>
        <w:rPr>
          <w:rFonts w:ascii="Arial" w:eastAsia="Calibri" w:hAnsi="Arial" w:cs="Arial"/>
          <w:bCs/>
        </w:rPr>
      </w:pPr>
      <w:r w:rsidRPr="00266AE9">
        <w:rPr>
          <w:rFonts w:ascii="Arial" w:eastAsia="Calibri" w:hAnsi="Arial" w:cs="Arial"/>
        </w:rPr>
        <w:t xml:space="preserve">Doprecyzowana zostanie definicja zanieczyszczenia poprzez uwzględnienie odorów. Należy jednak zaznaczyć, że dyrektywa </w:t>
      </w:r>
      <w:r w:rsidRPr="00266AE9">
        <w:rPr>
          <w:rFonts w:ascii="Arial" w:eastAsia="Calibri" w:hAnsi="Arial" w:cs="Arial"/>
          <w:bCs/>
        </w:rPr>
        <w:t>2024/1785 jak i przedmiotowa nowelizacja nie zmieniają funkcjonujących dotychczas wymagań, mogących obejmować także ograniczanie lub monitorowanie emisji odorów.</w:t>
      </w:r>
    </w:p>
    <w:p w14:paraId="41AD3460" w14:textId="77777777" w:rsidR="00266AE9" w:rsidRPr="00266AE9" w:rsidRDefault="00266AE9" w:rsidP="00266AE9">
      <w:pPr>
        <w:spacing w:after="0" w:line="300" w:lineRule="auto"/>
        <w:jc w:val="both"/>
        <w:rPr>
          <w:rFonts w:ascii="Arial" w:eastAsia="Calibri" w:hAnsi="Arial" w:cs="Arial"/>
          <w:bCs/>
        </w:rPr>
      </w:pPr>
      <w:r w:rsidRPr="00266AE9">
        <w:rPr>
          <w:rFonts w:ascii="Arial" w:eastAsia="Calibri" w:hAnsi="Arial" w:cs="Arial"/>
          <w:bCs/>
        </w:rPr>
        <w:t xml:space="preserve">Zaproponowane zostaną zmiany dotyczące oceny kiedy emisja danego zanieczyszczenia do powietrza jest istotna na tyle aby określić dla niego dopuszczalną wielkość emisji w pozwoleniu zintegrowanym. Będą to zanieczyszczenia, dla których w Konkluzjach BAT określono BAT </w:t>
      </w:r>
      <w:proofErr w:type="spellStart"/>
      <w:r w:rsidRPr="00266AE9">
        <w:rPr>
          <w:rFonts w:ascii="Arial" w:eastAsia="Calibri" w:hAnsi="Arial" w:cs="Arial"/>
          <w:bCs/>
        </w:rPr>
        <w:t>AELs</w:t>
      </w:r>
      <w:proofErr w:type="spellEnd"/>
      <w:r w:rsidRPr="00266AE9">
        <w:rPr>
          <w:rFonts w:ascii="Arial" w:eastAsia="Calibri" w:hAnsi="Arial" w:cs="Arial"/>
          <w:bCs/>
        </w:rPr>
        <w:t xml:space="preserve"> lub poziomy wskaźnikowe jak również (dodatkowo) te spośród wprowadzanych do powietrza substancji, które spełnią kryterium wskazane w art 224 ust. 3 ustawy </w:t>
      </w:r>
      <w:proofErr w:type="spellStart"/>
      <w:r w:rsidRPr="00266AE9">
        <w:rPr>
          <w:rFonts w:ascii="Arial" w:eastAsia="Calibri" w:hAnsi="Arial" w:cs="Arial"/>
          <w:bCs/>
        </w:rPr>
        <w:t>Poś</w:t>
      </w:r>
      <w:proofErr w:type="spellEnd"/>
      <w:r w:rsidRPr="00266AE9">
        <w:rPr>
          <w:rFonts w:ascii="Arial" w:eastAsia="Calibri" w:hAnsi="Arial" w:cs="Arial"/>
          <w:bCs/>
        </w:rPr>
        <w:t xml:space="preserve">. </w:t>
      </w:r>
    </w:p>
    <w:p w14:paraId="2CBF1DCB"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b/>
          <w:bCs/>
        </w:rPr>
        <w:t>II. Zmiany wynikające z zarzutów formalnych Komisji Europejskiej określonych w naruszeniu nr 2023/2173</w:t>
      </w:r>
    </w:p>
    <w:p w14:paraId="3AE6CEA9"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b/>
          <w:bCs/>
        </w:rPr>
        <w:t xml:space="preserve">Zarzut nr 3.24. Brak transpozycji art. 14 ust. 5 akapit pierwszy dyrektywy 2010/75/UE </w:t>
      </w:r>
      <w:r w:rsidRPr="00266AE9">
        <w:rPr>
          <w:rFonts w:ascii="Arial" w:eastAsia="Calibri" w:hAnsi="Arial" w:cs="Arial"/>
        </w:rPr>
        <w:t xml:space="preserve">- Po dokonanej analizie należy przyznać, iż brak jest w przepisie art. 143 pkt 4, 6 oraz 2 i 3 </w:t>
      </w:r>
      <w:proofErr w:type="spellStart"/>
      <w:r w:rsidRPr="00266AE9">
        <w:rPr>
          <w:rFonts w:ascii="Arial" w:eastAsia="Calibri" w:hAnsi="Arial" w:cs="Arial"/>
        </w:rPr>
        <w:t>Poś</w:t>
      </w:r>
      <w:proofErr w:type="spellEnd"/>
      <w:r w:rsidRPr="00266AE9">
        <w:rPr>
          <w:rFonts w:ascii="Arial" w:eastAsia="Calibri" w:hAnsi="Arial" w:cs="Arial"/>
        </w:rPr>
        <w:t xml:space="preserve"> transponującym odpowiednio z załącznika III pkt 3, 4 i 9 dyrektywy 2010/75/UE odpowiednich sformułowań w pełni transponujących przepisy dyrektywy, co pośrednio wpływa na brak transpozycji tego przepisu. Dokonana zostanie odpowiednia zmiana w ww. przepisach </w:t>
      </w:r>
      <w:proofErr w:type="spellStart"/>
      <w:r w:rsidRPr="00266AE9">
        <w:rPr>
          <w:rFonts w:ascii="Arial" w:eastAsia="Calibri" w:hAnsi="Arial" w:cs="Arial"/>
        </w:rPr>
        <w:t>Poś</w:t>
      </w:r>
      <w:proofErr w:type="spellEnd"/>
      <w:r w:rsidRPr="00266AE9">
        <w:rPr>
          <w:rFonts w:ascii="Arial" w:eastAsia="Calibri" w:hAnsi="Arial" w:cs="Arial"/>
        </w:rPr>
        <w:t>.</w:t>
      </w:r>
    </w:p>
    <w:p w14:paraId="43930209"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t xml:space="preserve">Zarzut nr 3.25. Nieprawidłowa transpozycja art. 14 ust. 6 dyrektywy 2010/75/UE </w:t>
      </w:r>
      <w:r w:rsidRPr="00266AE9">
        <w:rPr>
          <w:rFonts w:ascii="Arial" w:eastAsia="Calibri" w:hAnsi="Arial" w:cs="Arial"/>
        </w:rPr>
        <w:t xml:space="preserve">- Po dokonanej analizie należy przyznać, iż brak jest w przepisie art. 143 pkt 4, 6 oraz 2 i 3 transponującym odpowiednio z załącznika III pkt 3, 4 i 9 dyrektywy 2010/75/UE odpowiednich sformułowań w pełni transponujących przepisy dyrektywy, co pośrednio wpływa na brak transpozycji tego przepisu. Dokonana zostanie odpowiednia zmiana w ww. przepisach </w:t>
      </w:r>
      <w:proofErr w:type="spellStart"/>
      <w:r w:rsidRPr="00266AE9">
        <w:rPr>
          <w:rFonts w:ascii="Arial" w:eastAsia="Calibri" w:hAnsi="Arial" w:cs="Arial"/>
        </w:rPr>
        <w:t>Poś</w:t>
      </w:r>
      <w:proofErr w:type="spellEnd"/>
      <w:r w:rsidRPr="00266AE9">
        <w:rPr>
          <w:rFonts w:ascii="Arial" w:eastAsia="Calibri" w:hAnsi="Arial" w:cs="Arial"/>
        </w:rPr>
        <w:t>.</w:t>
      </w:r>
    </w:p>
    <w:p w14:paraId="79C1E889"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t>Zarzut nr 3.28. Nieprawidłowa transpozycja art. 15 ust. 4 lit a) i b) dyrektywy 2010/75/UE</w:t>
      </w:r>
      <w:r w:rsidRPr="00266AE9">
        <w:rPr>
          <w:rFonts w:ascii="Arial" w:eastAsia="Calibri" w:hAnsi="Arial" w:cs="Arial"/>
        </w:rPr>
        <w:t xml:space="preserve"> -</w:t>
      </w:r>
      <w:r w:rsidRPr="00266AE9">
        <w:rPr>
          <w:rFonts w:ascii="Arial" w:eastAsia="Calibri" w:hAnsi="Arial" w:cs="Arial"/>
          <w:b/>
          <w:bCs/>
        </w:rPr>
        <w:t xml:space="preserve"> </w:t>
      </w:r>
      <w:r w:rsidRPr="00266AE9">
        <w:rPr>
          <w:rFonts w:ascii="Arial" w:eastAsia="Calibri" w:hAnsi="Arial" w:cs="Arial"/>
        </w:rPr>
        <w:t>Uznane zostało stanowisko Komisji Europejskiej, iż zapis o dodatkowym kryterium „inne czynniki mające wpływ na funkcjonowanie instalacji i środowisko jako całość” jest zbędny, gdyż może sugerować, że inne niż wskazane w dyrektywie kryteria miały znaczenie dla procedury udzielania odstępstw. Zapis „inne czynniki mające wpływ na funkcjonowanie instalacji i środowisko jako całość” należy wykreślić ze względu na ryzyko błędnej interpretacji.</w:t>
      </w:r>
    </w:p>
    <w:p w14:paraId="1F02C4BC"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t xml:space="preserve">Zarzut nr 3.33. Brak transpozycji art. 21 ust. 2 akapit drugi dyrektywy 2010/75/UE </w:t>
      </w:r>
      <w:r w:rsidRPr="00266AE9">
        <w:rPr>
          <w:rFonts w:ascii="Arial" w:eastAsia="Calibri" w:hAnsi="Arial" w:cs="Arial"/>
        </w:rPr>
        <w:t>- W praktyce właściwy organ bierze pod uwagę wyniki kontroli. Tym niemniej w celu zapewnienia pełnej zgodności z dyrektywą transpozycja przepisu art. 21 ust. 2 akapit drugi dyrektywy 2010/75/UE w zakresie dotyczącym kontroli zostanie uzupełniona w przepisach krajowych.</w:t>
      </w:r>
    </w:p>
    <w:p w14:paraId="4842289A"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t xml:space="preserve">Zarzut nr 3.36. Brak transpozycji art. 24 ust. 2 lit. d)–e) dyrektywy 2010/75/UE </w:t>
      </w:r>
      <w:r w:rsidRPr="00266AE9">
        <w:rPr>
          <w:rFonts w:ascii="Arial" w:eastAsia="Calibri" w:hAnsi="Arial" w:cs="Arial"/>
        </w:rPr>
        <w:t>- Dodany zostanie przepis określający konieczność zamieszczenia nazwy dokumentu referencyjnego BAT dla danej instalacji lub działalności.</w:t>
      </w:r>
    </w:p>
    <w:p w14:paraId="2D1C80A7"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lastRenderedPageBreak/>
        <w:t xml:space="preserve">Zarzut nr 3.69. Brak transpozycji pkt 6.4 lit. b) akapit trzeci załącznika I do dyrektywy 2010/75/UE </w:t>
      </w:r>
      <w:r w:rsidRPr="00266AE9">
        <w:rPr>
          <w:rFonts w:ascii="Arial" w:eastAsia="Calibri" w:hAnsi="Arial" w:cs="Arial"/>
        </w:rPr>
        <w:t>– zmiany do rozporządzenia Ministra Środowiska z dnia 27 sierpnia 2014 r., celem zapewnienia prawidłowej i pełnej transpozycji pkt 6.4 lit. b) akapit trzeci załącznika I do dyrektywy 2010/75/UE.</w:t>
      </w:r>
    </w:p>
    <w:p w14:paraId="39803EF1"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b/>
          <w:bCs/>
        </w:rPr>
        <w:t>Zarzut nr 3.70. Nieprawidłowa transpozycja pkt 3 załącznika III do dyrektywy 2010/75/UE</w:t>
      </w:r>
      <w:r w:rsidRPr="00266AE9">
        <w:rPr>
          <w:rFonts w:ascii="Arial" w:eastAsia="Calibri" w:hAnsi="Arial" w:cs="Arial"/>
        </w:rPr>
        <w:t xml:space="preserve"> –W art. 143 ust. 4 pkt 4 </w:t>
      </w:r>
      <w:proofErr w:type="spellStart"/>
      <w:r w:rsidRPr="00266AE9">
        <w:rPr>
          <w:rFonts w:ascii="Arial" w:eastAsia="Calibri" w:hAnsi="Arial" w:cs="Arial"/>
        </w:rPr>
        <w:t>Poś</w:t>
      </w:r>
      <w:proofErr w:type="spellEnd"/>
      <w:r w:rsidRPr="00266AE9">
        <w:rPr>
          <w:rFonts w:ascii="Arial" w:eastAsia="Calibri" w:hAnsi="Arial" w:cs="Arial"/>
        </w:rPr>
        <w:t xml:space="preserve"> brakuje jednak odniesienia do sformułowania dotyczącego zwiększania odzysku i recyklingu „substancji wytwarzanych i wykorzystywanych w procesie”. Dokonana zostanie stosowna zmiana w przepisach </w:t>
      </w:r>
      <w:proofErr w:type="spellStart"/>
      <w:r w:rsidRPr="00266AE9">
        <w:rPr>
          <w:rFonts w:ascii="Arial" w:eastAsia="Calibri" w:hAnsi="Arial" w:cs="Arial"/>
        </w:rPr>
        <w:t>Poś</w:t>
      </w:r>
      <w:proofErr w:type="spellEnd"/>
      <w:r w:rsidRPr="00266AE9">
        <w:rPr>
          <w:rFonts w:ascii="Arial" w:eastAsia="Calibri" w:hAnsi="Arial" w:cs="Arial"/>
        </w:rPr>
        <w:t>.</w:t>
      </w:r>
    </w:p>
    <w:p w14:paraId="07FB66D7"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t xml:space="preserve">Zarzut nr 3.71. Nieprawidłowa transpozycja pkt 4 załącznika III do dyrektywy 2010/75/UE </w:t>
      </w:r>
      <w:r w:rsidRPr="00266AE9">
        <w:rPr>
          <w:rFonts w:ascii="Arial" w:eastAsia="Calibri" w:hAnsi="Arial" w:cs="Arial"/>
        </w:rPr>
        <w:t xml:space="preserve">– W art. 143 pkt 6 </w:t>
      </w:r>
      <w:proofErr w:type="spellStart"/>
      <w:r w:rsidRPr="00266AE9">
        <w:rPr>
          <w:rFonts w:ascii="Arial" w:eastAsia="Calibri" w:hAnsi="Arial" w:cs="Arial"/>
        </w:rPr>
        <w:t>Poś</w:t>
      </w:r>
      <w:proofErr w:type="spellEnd"/>
      <w:r w:rsidRPr="00266AE9">
        <w:rPr>
          <w:rFonts w:ascii="Arial" w:eastAsia="Calibri" w:hAnsi="Arial" w:cs="Arial"/>
        </w:rPr>
        <w:t xml:space="preserve"> brakuje odniesienia do sformułowania dotyczącego wykorzystania porównywalnych urządzeń jako jednego z wymogów ustalania technologii, która ma być stosowana. Dokonana zostanie stosowna zmiana w przepisach </w:t>
      </w:r>
      <w:proofErr w:type="spellStart"/>
      <w:r w:rsidRPr="00266AE9">
        <w:rPr>
          <w:rFonts w:ascii="Arial" w:eastAsia="Calibri" w:hAnsi="Arial" w:cs="Arial"/>
        </w:rPr>
        <w:t>Poś</w:t>
      </w:r>
      <w:proofErr w:type="spellEnd"/>
      <w:r w:rsidRPr="00266AE9">
        <w:rPr>
          <w:rFonts w:ascii="Arial" w:eastAsia="Calibri" w:hAnsi="Arial" w:cs="Arial"/>
        </w:rPr>
        <w:t>.</w:t>
      </w:r>
    </w:p>
    <w:p w14:paraId="52A4FDED" w14:textId="77777777" w:rsidR="00266AE9" w:rsidRPr="00266AE9" w:rsidRDefault="00266AE9" w:rsidP="00266AE9">
      <w:pPr>
        <w:spacing w:after="0" w:line="300" w:lineRule="auto"/>
        <w:jc w:val="both"/>
        <w:rPr>
          <w:rFonts w:ascii="Arial" w:eastAsia="Calibri" w:hAnsi="Arial" w:cs="Arial"/>
          <w:b/>
          <w:bCs/>
        </w:rPr>
      </w:pPr>
      <w:r w:rsidRPr="00266AE9">
        <w:rPr>
          <w:rFonts w:ascii="Arial" w:eastAsia="Calibri" w:hAnsi="Arial" w:cs="Arial"/>
          <w:b/>
          <w:bCs/>
        </w:rPr>
        <w:t>Zarzut nr 3.72. Nieprawidłowa transpozycja pkt 9 załącznika III do dyrektywy 2010/75/UE</w:t>
      </w:r>
      <w:r w:rsidRPr="00266AE9">
        <w:rPr>
          <w:rFonts w:ascii="Arial" w:eastAsia="Calibri" w:hAnsi="Arial" w:cs="Arial"/>
        </w:rPr>
        <w:t xml:space="preserve"> – W art. 143 ust. 2 i 3 </w:t>
      </w:r>
      <w:proofErr w:type="spellStart"/>
      <w:r w:rsidRPr="00266AE9">
        <w:rPr>
          <w:rFonts w:ascii="Arial" w:eastAsia="Calibri" w:hAnsi="Arial" w:cs="Arial"/>
        </w:rPr>
        <w:t>Poś</w:t>
      </w:r>
      <w:proofErr w:type="spellEnd"/>
      <w:r w:rsidRPr="00266AE9">
        <w:rPr>
          <w:rFonts w:ascii="Arial" w:eastAsia="Calibri" w:hAnsi="Arial" w:cs="Arial"/>
        </w:rPr>
        <w:t xml:space="preserve"> brakuje odniesienia do sformułowania dotyczącego właściwości surowców. Dokonana zostanie stosowna zmiana w przepisach </w:t>
      </w:r>
      <w:proofErr w:type="spellStart"/>
      <w:r w:rsidRPr="00266AE9">
        <w:rPr>
          <w:rFonts w:ascii="Arial" w:eastAsia="Calibri" w:hAnsi="Arial" w:cs="Arial"/>
        </w:rPr>
        <w:t>Poś</w:t>
      </w:r>
      <w:proofErr w:type="spellEnd"/>
      <w:r w:rsidRPr="00266AE9">
        <w:rPr>
          <w:rFonts w:ascii="Arial" w:eastAsia="Calibri" w:hAnsi="Arial" w:cs="Arial"/>
        </w:rPr>
        <w:t>.</w:t>
      </w:r>
    </w:p>
    <w:p w14:paraId="25773C00" w14:textId="1EAE534D" w:rsidR="0059531E" w:rsidRPr="00266AE9" w:rsidRDefault="00266AE9" w:rsidP="00266AE9">
      <w:pPr>
        <w:spacing w:after="0" w:line="300" w:lineRule="auto"/>
        <w:jc w:val="both"/>
        <w:rPr>
          <w:rFonts w:ascii="Arial" w:hAnsi="Arial" w:cs="Arial"/>
        </w:rPr>
      </w:pPr>
      <w:r w:rsidRPr="00266AE9">
        <w:rPr>
          <w:rFonts w:ascii="Arial" w:eastAsia="Calibri" w:hAnsi="Arial" w:cs="Arial"/>
          <w:b/>
          <w:bCs/>
        </w:rPr>
        <w:t xml:space="preserve">Zarzut nr 3.73. Nieprawidłowa transpozycja pkt 5 załącznika IV do dyrektywy 2010/75/UE w związku z art. 6 ust. 3 konwencji z </w:t>
      </w:r>
      <w:proofErr w:type="spellStart"/>
      <w:r w:rsidRPr="00266AE9">
        <w:rPr>
          <w:rFonts w:ascii="Arial" w:eastAsia="Calibri" w:hAnsi="Arial" w:cs="Arial"/>
          <w:b/>
          <w:bCs/>
        </w:rPr>
        <w:t>Aarhus</w:t>
      </w:r>
      <w:proofErr w:type="spellEnd"/>
      <w:r w:rsidRPr="00266AE9">
        <w:rPr>
          <w:rFonts w:ascii="Arial" w:eastAsia="Calibri" w:hAnsi="Arial" w:cs="Arial"/>
          <w:b/>
          <w:bCs/>
        </w:rPr>
        <w:t xml:space="preserve"> </w:t>
      </w:r>
      <w:r w:rsidRPr="00266AE9">
        <w:rPr>
          <w:rFonts w:ascii="Arial" w:eastAsia="Calibri" w:hAnsi="Arial" w:cs="Arial"/>
        </w:rPr>
        <w:t>– w związku z określonymi rygorystycznymi ramami czasowymi przewidzianymi w prawie polskim odnoszącymi się do udziału społeczeństwa dokonane zostaną stosowne zmiany w przepisach polskich.</w:t>
      </w:r>
    </w:p>
    <w:p w14:paraId="02BEE300" w14:textId="77777777" w:rsidR="00266AE9" w:rsidRDefault="00266AE9" w:rsidP="00266AE9">
      <w:pPr>
        <w:spacing w:after="0" w:line="300" w:lineRule="auto"/>
        <w:jc w:val="both"/>
        <w:rPr>
          <w:rFonts w:ascii="Arial" w:hAnsi="Arial" w:cs="Arial"/>
        </w:rPr>
      </w:pPr>
    </w:p>
    <w:p w14:paraId="14656CB3" w14:textId="77777777" w:rsidR="00266AE9" w:rsidRPr="00266AE9" w:rsidRDefault="00266AE9" w:rsidP="00266AE9">
      <w:pPr>
        <w:spacing w:after="0" w:line="300" w:lineRule="auto"/>
        <w:jc w:val="both"/>
        <w:rPr>
          <w:rFonts w:ascii="Arial" w:hAnsi="Arial" w:cs="Arial"/>
        </w:rPr>
      </w:pPr>
      <w:r w:rsidRPr="00266AE9">
        <w:rPr>
          <w:rFonts w:ascii="Arial" w:hAnsi="Arial" w:cs="Arial"/>
        </w:rPr>
        <w:t>Przedmiotowy projekt aktu prawnego wraz z projektami dwóch rozporządzeń wykonawczych,  Uzasadnieniem, Ocenami Skutków Regulacji (szt.3), Tabelą zgodności i Odwróconą tabelą zgodności dostępny jest na stronach Rządowego Centrum Legislacji pod adresem:</w:t>
      </w:r>
    </w:p>
    <w:p w14:paraId="28F2FDBD" w14:textId="336D38AE" w:rsidR="00266AE9" w:rsidRDefault="00266AE9" w:rsidP="00266AE9">
      <w:pPr>
        <w:spacing w:after="0" w:line="300" w:lineRule="auto"/>
        <w:jc w:val="both"/>
        <w:rPr>
          <w:rFonts w:ascii="Arial" w:hAnsi="Arial" w:cs="Arial"/>
        </w:rPr>
      </w:pPr>
      <w:hyperlink r:id="rId6" w:history="1">
        <w:r w:rsidRPr="00A90791">
          <w:rPr>
            <w:rStyle w:val="Hipercze"/>
            <w:rFonts w:ascii="Arial" w:hAnsi="Arial" w:cs="Arial"/>
          </w:rPr>
          <w:t>https://legislacja.gov.pl/pr</w:t>
        </w:r>
        <w:r w:rsidRPr="00A90791">
          <w:rPr>
            <w:rStyle w:val="Hipercze"/>
            <w:rFonts w:ascii="Arial" w:hAnsi="Arial" w:cs="Arial"/>
          </w:rPr>
          <w:t>o</w:t>
        </w:r>
        <w:r w:rsidRPr="00A90791">
          <w:rPr>
            <w:rStyle w:val="Hipercze"/>
            <w:rFonts w:ascii="Arial" w:hAnsi="Arial" w:cs="Arial"/>
          </w:rPr>
          <w:t>jekt/12408200/katalog/13192264#13192264</w:t>
        </w:r>
      </w:hyperlink>
      <w:r>
        <w:rPr>
          <w:rFonts w:ascii="Arial" w:hAnsi="Arial" w:cs="Arial"/>
        </w:rPr>
        <w:t xml:space="preserve"> </w:t>
      </w:r>
    </w:p>
    <w:p w14:paraId="622EF831" w14:textId="77777777" w:rsidR="00266AE9" w:rsidRDefault="00266AE9" w:rsidP="00266AE9">
      <w:pPr>
        <w:spacing w:after="0" w:line="300" w:lineRule="auto"/>
        <w:jc w:val="both"/>
        <w:rPr>
          <w:rFonts w:ascii="Arial" w:hAnsi="Arial" w:cs="Arial"/>
        </w:rPr>
      </w:pPr>
    </w:p>
    <w:p w14:paraId="4054EAA9" w14:textId="1164381D" w:rsidR="00266AE9" w:rsidRDefault="00266AE9" w:rsidP="00266AE9">
      <w:pPr>
        <w:spacing w:after="0" w:line="300" w:lineRule="auto"/>
        <w:jc w:val="both"/>
        <w:rPr>
          <w:rFonts w:ascii="Arial" w:hAnsi="Arial" w:cs="Arial"/>
        </w:rPr>
      </w:pPr>
      <w:r w:rsidRPr="00266AE9">
        <w:rPr>
          <w:rFonts w:ascii="Arial" w:hAnsi="Arial" w:cs="Arial"/>
        </w:rPr>
        <w:t>Projekt jest obecnie jednocześnie na etapie uzgodnień, konsultacji publicznych i opiniowania.</w:t>
      </w:r>
    </w:p>
    <w:p w14:paraId="6E0F8B72" w14:textId="77777777" w:rsidR="00266AE9" w:rsidRPr="00266AE9" w:rsidRDefault="00266AE9" w:rsidP="00266AE9">
      <w:pPr>
        <w:spacing w:after="0" w:line="300" w:lineRule="auto"/>
        <w:jc w:val="both"/>
        <w:rPr>
          <w:rFonts w:ascii="Arial" w:hAnsi="Arial" w:cs="Arial"/>
        </w:rPr>
      </w:pPr>
    </w:p>
    <w:p w14:paraId="57DB821D" w14:textId="4B5E2004" w:rsidR="009A28EF" w:rsidRPr="00266AE9" w:rsidRDefault="00266AE9" w:rsidP="00266AE9">
      <w:pPr>
        <w:pStyle w:val="Akapitzlist"/>
        <w:numPr>
          <w:ilvl w:val="0"/>
          <w:numId w:val="3"/>
        </w:numPr>
        <w:spacing w:after="0" w:line="300" w:lineRule="auto"/>
        <w:jc w:val="both"/>
        <w:rPr>
          <w:rFonts w:ascii="Arial" w:hAnsi="Arial" w:cs="Arial"/>
          <w:b/>
          <w:bCs/>
          <w:u w:val="single"/>
        </w:rPr>
      </w:pPr>
      <w:r w:rsidRPr="00266AE9">
        <w:rPr>
          <w:rFonts w:ascii="Arial" w:hAnsi="Arial" w:cs="Arial"/>
          <w:b/>
          <w:bCs/>
          <w:u w:val="single"/>
        </w:rPr>
        <w:t>P</w:t>
      </w:r>
      <w:r w:rsidRPr="00266AE9">
        <w:rPr>
          <w:rFonts w:ascii="Arial" w:hAnsi="Arial" w:cs="Arial"/>
          <w:b/>
          <w:bCs/>
          <w:u w:val="single"/>
        </w:rPr>
        <w:t xml:space="preserve">rojekt ustawy o zmianie ustawy – Ordynacja podatkowa (UC138).  </w:t>
      </w:r>
    </w:p>
    <w:p w14:paraId="1B1B8A33" w14:textId="77777777" w:rsidR="009A28EF" w:rsidRPr="00266AE9" w:rsidRDefault="009A28EF" w:rsidP="00266AE9">
      <w:pPr>
        <w:spacing w:after="0" w:line="300" w:lineRule="auto"/>
        <w:jc w:val="both"/>
        <w:rPr>
          <w:rFonts w:ascii="Arial" w:hAnsi="Arial" w:cs="Arial"/>
        </w:rPr>
      </w:pPr>
    </w:p>
    <w:p w14:paraId="701D1EDF"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Celem projektu jest dostosowanie zasad odpowiedzialności osób trzecich za zaległości podatkowe spółki kapitałowej (art. 116 ustawy z dnia 29 sierpnia 1997 r. – Ordynacja podatkowa, Dz.U. z 2025 r. poz. 111, z </w:t>
      </w:r>
      <w:proofErr w:type="spellStart"/>
      <w:r w:rsidRPr="00266AE9">
        <w:rPr>
          <w:rFonts w:ascii="Arial" w:eastAsia="Calibri" w:hAnsi="Arial" w:cs="Arial"/>
        </w:rPr>
        <w:t>późn</w:t>
      </w:r>
      <w:proofErr w:type="spellEnd"/>
      <w:r w:rsidRPr="00266AE9">
        <w:rPr>
          <w:rFonts w:ascii="Arial" w:eastAsia="Calibri" w:hAnsi="Arial" w:cs="Arial"/>
        </w:rPr>
        <w:t xml:space="preserve">. zm.; dalej: </w:t>
      </w:r>
      <w:proofErr w:type="spellStart"/>
      <w:r w:rsidRPr="00266AE9">
        <w:rPr>
          <w:rFonts w:ascii="Arial" w:eastAsia="Calibri" w:hAnsi="Arial" w:cs="Arial"/>
        </w:rPr>
        <w:t>o.p</w:t>
      </w:r>
      <w:proofErr w:type="spellEnd"/>
      <w:r w:rsidRPr="00266AE9">
        <w:rPr>
          <w:rFonts w:ascii="Arial" w:eastAsia="Calibri" w:hAnsi="Arial" w:cs="Arial"/>
        </w:rPr>
        <w:t>.) do wymogów prawa unijnego wynikających z wyroków Trybunału Sprawiedliwości Unii Europejskiej z dnia 27 lutego 2025 r. w sprawie C-277/24 (</w:t>
      </w:r>
      <w:proofErr w:type="spellStart"/>
      <w:r w:rsidRPr="00266AE9">
        <w:rPr>
          <w:rFonts w:ascii="Arial" w:eastAsia="Calibri" w:hAnsi="Arial" w:cs="Arial"/>
        </w:rPr>
        <w:t>Adjak</w:t>
      </w:r>
      <w:proofErr w:type="spellEnd"/>
      <w:r w:rsidRPr="00266AE9">
        <w:rPr>
          <w:rFonts w:ascii="Arial" w:eastAsia="Calibri" w:hAnsi="Arial" w:cs="Arial"/>
        </w:rPr>
        <w:t>) oraz z dnia 30 kwietnia 2025 r. w sprawie C-278/24 (</w:t>
      </w:r>
      <w:proofErr w:type="spellStart"/>
      <w:r w:rsidRPr="00266AE9">
        <w:rPr>
          <w:rFonts w:ascii="Arial" w:eastAsia="Calibri" w:hAnsi="Arial" w:cs="Arial"/>
        </w:rPr>
        <w:t>Genzyński</w:t>
      </w:r>
      <w:proofErr w:type="spellEnd"/>
      <w:r w:rsidRPr="00266AE9">
        <w:rPr>
          <w:rFonts w:ascii="Arial" w:eastAsia="Calibri" w:hAnsi="Arial" w:cs="Arial"/>
        </w:rPr>
        <w:t xml:space="preserve">). Na tle art. 116 </w:t>
      </w:r>
      <w:proofErr w:type="spellStart"/>
      <w:r w:rsidRPr="00266AE9">
        <w:rPr>
          <w:rFonts w:ascii="Arial" w:eastAsia="Calibri" w:hAnsi="Arial" w:cs="Arial"/>
        </w:rPr>
        <w:t>o.p</w:t>
      </w:r>
      <w:proofErr w:type="spellEnd"/>
      <w:r w:rsidRPr="00266AE9">
        <w:rPr>
          <w:rFonts w:ascii="Arial" w:eastAsia="Calibri" w:hAnsi="Arial" w:cs="Arial"/>
        </w:rPr>
        <w:t>. pojawiły się wątpliwości będące przedmiotem wyroków TSUE, które dotyczyły:</w:t>
      </w:r>
    </w:p>
    <w:p w14:paraId="28363F15" w14:textId="77777777" w:rsidR="00266AE9" w:rsidRPr="00266AE9" w:rsidRDefault="00266AE9" w:rsidP="00266AE9">
      <w:pPr>
        <w:pStyle w:val="Akapitzlist"/>
        <w:numPr>
          <w:ilvl w:val="0"/>
          <w:numId w:val="10"/>
        </w:numPr>
        <w:spacing w:after="0" w:line="300" w:lineRule="auto"/>
        <w:jc w:val="both"/>
        <w:rPr>
          <w:rFonts w:ascii="Arial" w:eastAsia="Calibri" w:hAnsi="Arial" w:cs="Arial"/>
        </w:rPr>
      </w:pPr>
      <w:r w:rsidRPr="00266AE9">
        <w:rPr>
          <w:rFonts w:ascii="Arial" w:eastAsia="Calibri" w:hAnsi="Arial" w:cs="Arial"/>
        </w:rPr>
        <w:t xml:space="preserve">możliwości kwestionowania przez członka zarządu ustaleń organu podatkowego dotyczących wysokości i istnienia zaległości podatkowej spółki, za którą ma on odpowiadać (problem analizowany w wyroku w sprawie </w:t>
      </w:r>
      <w:proofErr w:type="spellStart"/>
      <w:r w:rsidRPr="00266AE9">
        <w:rPr>
          <w:rFonts w:ascii="Arial" w:eastAsia="Calibri" w:hAnsi="Arial" w:cs="Arial"/>
        </w:rPr>
        <w:t>Adjak</w:t>
      </w:r>
      <w:proofErr w:type="spellEnd"/>
      <w:r w:rsidRPr="00266AE9">
        <w:rPr>
          <w:rFonts w:ascii="Arial" w:eastAsia="Calibri" w:hAnsi="Arial" w:cs="Arial"/>
        </w:rPr>
        <w:t>);</w:t>
      </w:r>
    </w:p>
    <w:p w14:paraId="441EDC06" w14:textId="77777777" w:rsidR="00266AE9" w:rsidRPr="00266AE9" w:rsidRDefault="00266AE9" w:rsidP="00266AE9">
      <w:pPr>
        <w:pStyle w:val="Akapitzlist"/>
        <w:numPr>
          <w:ilvl w:val="0"/>
          <w:numId w:val="10"/>
        </w:numPr>
        <w:spacing w:after="0" w:line="300" w:lineRule="auto"/>
        <w:jc w:val="both"/>
        <w:rPr>
          <w:rFonts w:ascii="Arial" w:eastAsia="Calibri" w:hAnsi="Arial" w:cs="Arial"/>
        </w:rPr>
      </w:pPr>
      <w:r w:rsidRPr="00266AE9">
        <w:rPr>
          <w:rFonts w:ascii="Arial" w:eastAsia="Calibri" w:hAnsi="Arial" w:cs="Arial"/>
        </w:rPr>
        <w:t xml:space="preserve">dostępu członka zarządu do akt postępowania wymiarowego prowadzonego w stosunku do spółki kapitałowej (problem analizowany w wyroku w sprawie </w:t>
      </w:r>
      <w:proofErr w:type="spellStart"/>
      <w:r w:rsidRPr="00266AE9">
        <w:rPr>
          <w:rFonts w:ascii="Arial" w:eastAsia="Calibri" w:hAnsi="Arial" w:cs="Arial"/>
        </w:rPr>
        <w:t>Adjak</w:t>
      </w:r>
      <w:proofErr w:type="spellEnd"/>
      <w:r w:rsidRPr="00266AE9">
        <w:rPr>
          <w:rFonts w:ascii="Arial" w:eastAsia="Calibri" w:hAnsi="Arial" w:cs="Arial"/>
        </w:rPr>
        <w:t>);</w:t>
      </w:r>
    </w:p>
    <w:p w14:paraId="6EEBB263" w14:textId="77777777" w:rsidR="00266AE9" w:rsidRPr="00266AE9" w:rsidRDefault="00266AE9" w:rsidP="00266AE9">
      <w:pPr>
        <w:pStyle w:val="Akapitzlist"/>
        <w:numPr>
          <w:ilvl w:val="0"/>
          <w:numId w:val="10"/>
        </w:numPr>
        <w:spacing w:after="0" w:line="300" w:lineRule="auto"/>
        <w:jc w:val="both"/>
        <w:rPr>
          <w:rFonts w:ascii="Arial" w:eastAsia="Calibri" w:hAnsi="Arial" w:cs="Arial"/>
        </w:rPr>
      </w:pPr>
      <w:r w:rsidRPr="00266AE9">
        <w:rPr>
          <w:rFonts w:ascii="Arial" w:eastAsia="Calibri" w:hAnsi="Arial" w:cs="Arial"/>
        </w:rPr>
        <w:t xml:space="preserve">zasady przypisania odpowiedzialności członkowi zarządu w kontekście jego winy w niezłożeniu wniosku o ogłoszenie upadłości spółki (problem analizowany w wyroku w sprawie </w:t>
      </w:r>
      <w:proofErr w:type="spellStart"/>
      <w:r w:rsidRPr="00266AE9">
        <w:rPr>
          <w:rFonts w:ascii="Arial" w:eastAsia="Calibri" w:hAnsi="Arial" w:cs="Arial"/>
        </w:rPr>
        <w:t>Genzyński</w:t>
      </w:r>
      <w:proofErr w:type="spellEnd"/>
      <w:r w:rsidRPr="00266AE9">
        <w:rPr>
          <w:rFonts w:ascii="Arial" w:eastAsia="Calibri" w:hAnsi="Arial" w:cs="Arial"/>
        </w:rPr>
        <w:t>).</w:t>
      </w:r>
    </w:p>
    <w:p w14:paraId="6327627E"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lastRenderedPageBreak/>
        <w:t xml:space="preserve">W przytoczonych orzeczeniach TSUE potwierdził, że prawo unijne nie stoi na przeszkodzie takiemu ukształtowaniu odpowiedzialności członka zarządu za zaległości podatkowe spółki, jak ma to miejsce w art. 116 </w:t>
      </w:r>
      <w:proofErr w:type="spellStart"/>
      <w:r w:rsidRPr="00266AE9">
        <w:rPr>
          <w:rFonts w:ascii="Arial" w:eastAsia="Calibri" w:hAnsi="Arial" w:cs="Arial"/>
        </w:rPr>
        <w:t>o.p</w:t>
      </w:r>
      <w:proofErr w:type="spellEnd"/>
      <w:r w:rsidRPr="00266AE9">
        <w:rPr>
          <w:rFonts w:ascii="Arial" w:eastAsia="Calibri" w:hAnsi="Arial" w:cs="Arial"/>
        </w:rPr>
        <w:t>., o ile przepis ten jest wykładany w określony sposób. Po pierwsze, TSUE orzekł, że członek zarządu w toku ewentualnie prowadzonego wobec niego postępowania w przedmiocie odpowiedzialności solidarnej mógł skutecznie podważyć ustalenia faktyczne i kwalifikacje prawne dokonane przez organ podatkowy w ramach postępowania wymiarowego prowadzonego w stosunku do spółki, jak również mieć dostęp do jego akt, z poszanowaniem praw wspomnianej spółki lub innych osób trzecich. Po drugie, TSUE orzekł, że członek zarządu musi mieć możliwość wykazania braku winy w niezłożeniu wniosku o ogłoszenia upadłości spółki kapitałowej na tej podstawie, że dochował wszelkiej staranności wymaganej przy prowadzeniu spraw danej spółki, przy czym wspomniany członek lub były członek nie może w tym celu ograniczyć się do podniesienia, że w chwili stwierdzenia trwałej niewypłacalności jedynym wierzycielem tej spółki był Skarb Państwa (w takim przypadku złożenie wniosku o ogłoszenie upadłości spółki kapitałowej nie okaże się skuteczne na gruncie prawa upadłościowego ze względu na brak co najmniej dwóch wierzycieli, mimo to w ocenie TSUE członkowie zarządu powinni składać taki wniosek, gdyż inaczej członkowie zarządu spółek mających tylko jednego wierzyciela byliby uprzywilejowani w kontekście odpowiedzialności podatkowej za zaległości podatkowe spółek kapitałowych w stosunku do członków zarządu w spółkach mających co najmniej dwóch wierzycieli).</w:t>
      </w:r>
    </w:p>
    <w:p w14:paraId="78FA7694"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 xml:space="preserve">W przedstawionym kontekście przywołać należy także spostrzeżenia przedstawione w wystąpieniu pokontrolnym Najwyższej Izby Kontroli z dnia 15 grudnia 2025 r. „Zarządzanie zaległościami podatkowymi przez Krajową Administrację Skarbową” znak KBF.410.5.2.2025, w którym zwrócono uwagę na niską skuteczność przepisów o odpowiedzialności podatkowej osób trzecich. W wystąpieniu szczególną uwagę zwrócono na odpowiedzialność członków zarządu za zaległości podatkowe spółek kapitałowych, wskazując na problem występowania tzw. słupów, czyli osób, które jedynie fikcyjnie pełnią funkcje członków zarządu. Jest to okoliczność o tyle istotna, że analiza porównawcza wykazała, iż w wielu państwach członkowskich Unii Europejskiej faktycznie obowiązują przepisy przewidujące odpowiedzialność podatkową nie tylko członków zarządu, ale także osób faktycznie zarządzających spółkami kapitałowymi. Na zasadność uwzględnienia nie tylko stosunków prawnych, ale także faktycznych łączących daną osobę trzecią z podatnikiem wskazał także TSUE w wyroku w sprawie </w:t>
      </w:r>
      <w:proofErr w:type="spellStart"/>
      <w:r w:rsidRPr="00266AE9">
        <w:rPr>
          <w:rFonts w:ascii="Arial" w:eastAsia="Calibri" w:hAnsi="Arial" w:cs="Arial"/>
        </w:rPr>
        <w:t>Genzyński</w:t>
      </w:r>
      <w:proofErr w:type="spellEnd"/>
      <w:r w:rsidRPr="00266AE9">
        <w:rPr>
          <w:rFonts w:ascii="Arial" w:eastAsia="Calibri" w:hAnsi="Arial" w:cs="Arial"/>
        </w:rPr>
        <w:t xml:space="preserve"> (pkt 62 wraz z cytowanym orzecznictwem). Podobnie polskie sądy administracyjne odnotowały problem osób faktycznie zarządzających spółkami kapitałowymi bez odpowiedniego tytułu prawnego (zob. np. wyrok Naczelnego Sądu Administracyjnego z dnia 5 listopada 2025 r., III FSK 675/25). Z tego powodu, celem projektu jest uszczelnienie systemu odpowiedzialności osób trzecich za zaległości podatkowe spółek kapitałowych poprzez dodanie kategorii faktycznego zarządcy spółki, co ma przeciwdziałać próbom obchodzenia art. 116 </w:t>
      </w:r>
      <w:proofErr w:type="spellStart"/>
      <w:r w:rsidRPr="00266AE9">
        <w:rPr>
          <w:rFonts w:ascii="Arial" w:eastAsia="Calibri" w:hAnsi="Arial" w:cs="Arial"/>
        </w:rPr>
        <w:t>o.p</w:t>
      </w:r>
      <w:proofErr w:type="spellEnd"/>
      <w:r w:rsidRPr="00266AE9">
        <w:rPr>
          <w:rFonts w:ascii="Arial" w:eastAsia="Calibri" w:hAnsi="Arial" w:cs="Arial"/>
        </w:rPr>
        <w:t xml:space="preserve">. metodą np. na tzw. „słupa”. Obecna regulacja nie umożliwia pociągnięcia takiej osoby do odpowiedzialności podatkowej za zaległości podatkowe spółki kapitałowej. Wysoce niekorzystnym zjawiskiem jest brak możliwości pociągnięcia do odpowiedzialności podatkowej za zaległości spółki kapitałowej osób, które nie pełnią nominalnie żadnej funkcji w jej organie zarządzającym, a faktycznie wywierają wpływ na jej działalność. </w:t>
      </w:r>
    </w:p>
    <w:p w14:paraId="3BA400CE"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lastRenderedPageBreak/>
        <w:t>Istotnym mankamentem obowiązujących przepisów, który wymaga poprawienia, jest brak prawnej możliwości dokonania wymiaru zobowiązania podatkowego po zlikwidowaniu spółki kapitałowej (ustaniu bytu prawnego innej osoby prawnej), co z kolei stanowi przeszkodę do orzeczenia odpowiedzialności osób trzecich za zaległości takiego podmiotu.</w:t>
      </w:r>
    </w:p>
    <w:p w14:paraId="1DBFAE30" w14:textId="77777777" w:rsidR="00266AE9" w:rsidRPr="00266AE9" w:rsidRDefault="00266AE9" w:rsidP="00266AE9">
      <w:pPr>
        <w:spacing w:after="0" w:line="300" w:lineRule="auto"/>
        <w:jc w:val="both"/>
        <w:rPr>
          <w:rFonts w:ascii="Arial" w:eastAsia="Calibri" w:hAnsi="Arial" w:cs="Arial"/>
        </w:rPr>
      </w:pPr>
      <w:r w:rsidRPr="00266AE9">
        <w:rPr>
          <w:rFonts w:ascii="Arial" w:eastAsia="Calibri" w:hAnsi="Arial" w:cs="Arial"/>
        </w:rPr>
        <w:t>W projekcie proponuje się wprowadzenia następujących zmian:</w:t>
      </w:r>
    </w:p>
    <w:p w14:paraId="5D8A28A0" w14:textId="77777777" w:rsidR="00266AE9" w:rsidRPr="00266AE9" w:rsidRDefault="00266AE9" w:rsidP="00266AE9">
      <w:pPr>
        <w:pStyle w:val="Akapitzlist"/>
        <w:numPr>
          <w:ilvl w:val="0"/>
          <w:numId w:val="11"/>
        </w:numPr>
        <w:spacing w:after="0" w:line="300" w:lineRule="auto"/>
        <w:jc w:val="both"/>
        <w:rPr>
          <w:rFonts w:ascii="Arial" w:eastAsia="Calibri" w:hAnsi="Arial" w:cs="Arial"/>
        </w:rPr>
      </w:pPr>
      <w:r w:rsidRPr="00266AE9">
        <w:rPr>
          <w:rFonts w:ascii="Arial" w:eastAsia="Calibri" w:hAnsi="Arial" w:cs="Arial"/>
        </w:rPr>
        <w:t xml:space="preserve">Wyartykułowanie prawa osoby trzeciej odpowiadającej za zaległości podatkowe spółki kapitałowej do kwestionowania ustaleń faktycznych i kwalifikacji prawnych dokonanych przez organy podatkowe w postępowaniu wymiarowym skierowanym do spółki (projektowany art. 116 § 6 oraz art. 194 § 4 </w:t>
      </w:r>
      <w:proofErr w:type="spellStart"/>
      <w:r w:rsidRPr="00266AE9">
        <w:rPr>
          <w:rFonts w:ascii="Arial" w:eastAsia="Calibri" w:hAnsi="Arial" w:cs="Arial"/>
        </w:rPr>
        <w:t>o.p</w:t>
      </w:r>
      <w:proofErr w:type="spellEnd"/>
      <w:r w:rsidRPr="00266AE9">
        <w:rPr>
          <w:rFonts w:ascii="Arial" w:eastAsia="Calibri" w:hAnsi="Arial" w:cs="Arial"/>
        </w:rPr>
        <w:t xml:space="preserve">.), które zostało poświadczone we wskazanych powyżej wyrokach Trybunału Sprawiedliwości Unii Europejskiej Zmiana ma charakter doprecyzowujący (uprawnienie to musi być respektowane już obecnie w praktyce stosowania art. 116 </w:t>
      </w:r>
      <w:proofErr w:type="spellStart"/>
      <w:r w:rsidRPr="00266AE9">
        <w:rPr>
          <w:rFonts w:ascii="Arial" w:eastAsia="Calibri" w:hAnsi="Arial" w:cs="Arial"/>
        </w:rPr>
        <w:t>o.p</w:t>
      </w:r>
      <w:proofErr w:type="spellEnd"/>
      <w:r w:rsidRPr="00266AE9">
        <w:rPr>
          <w:rFonts w:ascii="Arial" w:eastAsia="Calibri" w:hAnsi="Arial" w:cs="Arial"/>
        </w:rPr>
        <w:t>.).</w:t>
      </w:r>
    </w:p>
    <w:p w14:paraId="18455D04" w14:textId="77777777" w:rsidR="00266AE9" w:rsidRPr="00266AE9" w:rsidRDefault="00266AE9" w:rsidP="00266AE9">
      <w:pPr>
        <w:pStyle w:val="Akapitzlist"/>
        <w:numPr>
          <w:ilvl w:val="0"/>
          <w:numId w:val="11"/>
        </w:numPr>
        <w:spacing w:after="0" w:line="300" w:lineRule="auto"/>
        <w:jc w:val="both"/>
        <w:rPr>
          <w:rFonts w:ascii="Arial" w:eastAsia="Calibri" w:hAnsi="Arial" w:cs="Arial"/>
        </w:rPr>
      </w:pPr>
      <w:r w:rsidRPr="00266AE9">
        <w:rPr>
          <w:rFonts w:ascii="Arial" w:eastAsia="Calibri" w:hAnsi="Arial" w:cs="Arial"/>
        </w:rPr>
        <w:t xml:space="preserve">2.Wydłużenie o 2 lata podstawowego terminu na wydanie decyzji o odpowiedzialności osoby trzeciej w przypadku (projektowany art. 118 § 1 </w:t>
      </w:r>
      <w:proofErr w:type="spellStart"/>
      <w:r w:rsidRPr="00266AE9">
        <w:rPr>
          <w:rFonts w:ascii="Arial" w:eastAsia="Calibri" w:hAnsi="Arial" w:cs="Arial"/>
        </w:rPr>
        <w:t>o.p</w:t>
      </w:r>
      <w:proofErr w:type="spellEnd"/>
      <w:r w:rsidRPr="00266AE9">
        <w:rPr>
          <w:rFonts w:ascii="Arial" w:eastAsia="Calibri" w:hAnsi="Arial" w:cs="Arial"/>
        </w:rPr>
        <w:t>.). Zmiana uwzględnia rozszerzenie zakresu przedmiotowego postępowań w sprawie odpowiedzialności osób trzecich za zaległości podatkowe spółek kapitałowych i ma zapewnić realną możliwość orzekania o takiej odpowiedzialności.</w:t>
      </w:r>
    </w:p>
    <w:p w14:paraId="380E2298" w14:textId="77777777" w:rsidR="00266AE9" w:rsidRPr="00266AE9" w:rsidRDefault="00266AE9" w:rsidP="00266AE9">
      <w:pPr>
        <w:pStyle w:val="Akapitzlist"/>
        <w:numPr>
          <w:ilvl w:val="0"/>
          <w:numId w:val="11"/>
        </w:numPr>
        <w:spacing w:after="0" w:line="300" w:lineRule="auto"/>
        <w:jc w:val="both"/>
        <w:rPr>
          <w:rFonts w:ascii="Arial" w:eastAsia="Calibri" w:hAnsi="Arial" w:cs="Arial"/>
        </w:rPr>
      </w:pPr>
      <w:r w:rsidRPr="00266AE9">
        <w:rPr>
          <w:rFonts w:ascii="Arial" w:eastAsia="Calibri" w:hAnsi="Arial" w:cs="Arial"/>
        </w:rPr>
        <w:t xml:space="preserve">Wyartykułowanie prawa osoby trzeciej do dostępu do akt postępowania wymiarowego prowadzonego w stosunku do spółki kapitałowej, co pełni funkcję instrumentalną względem przysługującego mu prawa do podnoszenia zarzutów (projektowane art. 178 § 1a i art. 179 § 1a-1c, a także zmiana dostosowawcza w art. 179 § 2 </w:t>
      </w:r>
      <w:proofErr w:type="spellStart"/>
      <w:r w:rsidRPr="00266AE9">
        <w:rPr>
          <w:rFonts w:ascii="Arial" w:eastAsia="Calibri" w:hAnsi="Arial" w:cs="Arial"/>
        </w:rPr>
        <w:t>o.p</w:t>
      </w:r>
      <w:proofErr w:type="spellEnd"/>
      <w:r w:rsidRPr="00266AE9">
        <w:rPr>
          <w:rFonts w:ascii="Arial" w:eastAsia="Calibri" w:hAnsi="Arial" w:cs="Arial"/>
        </w:rPr>
        <w:t xml:space="preserve">.). Zmiana implementuje uprawnienie wskazane wprost w sentencji wyroku TSUE w sprawie </w:t>
      </w:r>
      <w:proofErr w:type="spellStart"/>
      <w:r w:rsidRPr="00266AE9">
        <w:rPr>
          <w:rFonts w:ascii="Arial" w:eastAsia="Calibri" w:hAnsi="Arial" w:cs="Arial"/>
        </w:rPr>
        <w:t>Adjak</w:t>
      </w:r>
      <w:proofErr w:type="spellEnd"/>
      <w:r w:rsidRPr="00266AE9">
        <w:rPr>
          <w:rFonts w:ascii="Arial" w:eastAsia="Calibri" w:hAnsi="Arial" w:cs="Arial"/>
        </w:rPr>
        <w:t xml:space="preserve"> i ma umożliwić osobom trzecim realną możliwość korzystania z uprawnienia, o którym mowa w pkt 1 powyżej.</w:t>
      </w:r>
    </w:p>
    <w:p w14:paraId="1151E748" w14:textId="77777777" w:rsidR="00266AE9" w:rsidRPr="00266AE9" w:rsidRDefault="00266AE9" w:rsidP="00266AE9">
      <w:pPr>
        <w:pStyle w:val="Akapitzlist"/>
        <w:numPr>
          <w:ilvl w:val="0"/>
          <w:numId w:val="11"/>
        </w:numPr>
        <w:spacing w:after="0" w:line="300" w:lineRule="auto"/>
        <w:jc w:val="both"/>
        <w:rPr>
          <w:rFonts w:ascii="Arial" w:eastAsia="Calibri" w:hAnsi="Arial" w:cs="Arial"/>
        </w:rPr>
      </w:pPr>
      <w:r w:rsidRPr="00266AE9">
        <w:rPr>
          <w:rFonts w:ascii="Arial" w:eastAsia="Calibri" w:hAnsi="Arial" w:cs="Arial"/>
        </w:rPr>
        <w:t xml:space="preserve">Uwzględnienie odpowiedzialności osób faktycznie zarządzających spółką (projektowany art. 116 § 1 w zw. z § 8 lit. e </w:t>
      </w:r>
      <w:proofErr w:type="spellStart"/>
      <w:r w:rsidRPr="00266AE9">
        <w:rPr>
          <w:rFonts w:ascii="Arial" w:eastAsia="Calibri" w:hAnsi="Arial" w:cs="Arial"/>
        </w:rPr>
        <w:t>o.p</w:t>
      </w:r>
      <w:proofErr w:type="spellEnd"/>
      <w:r w:rsidRPr="00266AE9">
        <w:rPr>
          <w:rFonts w:ascii="Arial" w:eastAsia="Calibri" w:hAnsi="Arial" w:cs="Arial"/>
        </w:rPr>
        <w:t>.). Zmiana ma na celu rozszerzenie zakresu podmiotowego odpowiedzialności za zaległości podatkowe i przeciwdziałanie problemowi tzw. słupów – sytuacji, w których osoba faktycznie kierująca sprawami spółki nie pełni formalnie funkcji zarządzających w danej spółce (ukrywając się za tzw. słupami). Zmiana ma charakter uszczelniający.</w:t>
      </w:r>
    </w:p>
    <w:p w14:paraId="0E226244" w14:textId="77777777" w:rsidR="00266AE9" w:rsidRPr="00266AE9" w:rsidRDefault="00266AE9" w:rsidP="00266AE9">
      <w:pPr>
        <w:pStyle w:val="Akapitzlist"/>
        <w:numPr>
          <w:ilvl w:val="0"/>
          <w:numId w:val="11"/>
        </w:numPr>
        <w:spacing w:after="0" w:line="300" w:lineRule="auto"/>
        <w:jc w:val="both"/>
        <w:rPr>
          <w:rFonts w:ascii="Arial" w:eastAsia="Calibri" w:hAnsi="Arial" w:cs="Arial"/>
        </w:rPr>
      </w:pPr>
      <w:r w:rsidRPr="00266AE9">
        <w:rPr>
          <w:rFonts w:ascii="Arial" w:eastAsia="Calibri" w:hAnsi="Arial" w:cs="Arial"/>
        </w:rPr>
        <w:t xml:space="preserve">Dookreślenie zasady przypisania członkowi zarządu odpowiedzialności za zaległości podatkowe spółki, celem zapewnienia zgodności polskich przepisów z wymogami prawa unijnego (projektowane art. 116 § 2 i 3 </w:t>
      </w:r>
      <w:proofErr w:type="spellStart"/>
      <w:r w:rsidRPr="00266AE9">
        <w:rPr>
          <w:rFonts w:ascii="Arial" w:eastAsia="Calibri" w:hAnsi="Arial" w:cs="Arial"/>
        </w:rPr>
        <w:t>o.p</w:t>
      </w:r>
      <w:proofErr w:type="spellEnd"/>
      <w:r w:rsidRPr="00266AE9">
        <w:rPr>
          <w:rFonts w:ascii="Arial" w:eastAsia="Calibri" w:hAnsi="Arial" w:cs="Arial"/>
        </w:rPr>
        <w:t>.).  Przepisy wskazują jednoznacznie, jaka postać winy uzasadnia pociągnięcie osoby trzeciej do odpowiedzialności za zaległości podatkowe spółki kapitałowej (niedochowanie należytej staranności) oraz czego ma dotyczyć (dopuszczenia przez osobę trzecią do powstania zaległości podatkowej spółki kapitałowej). Doprecyzowano w jaki sposób ustala się abstrakcyjny wzorzec należytej staranności, której oczekuje się od osób kierujących sprawami spółki. Projektowany mechanizm ma stanowić klucz rozgraniczenia praw i interesów osób trzecich i budżetu, służąc identyfikacji tych przypadków, w których osoba trzecia powinna ponosić odpowiedzialność za zaległości podatkowe spółki kapitałowej, oraz tych przypadków,  w których nie byłoby to zasadne.</w:t>
      </w:r>
    </w:p>
    <w:p w14:paraId="58208B84" w14:textId="77777777" w:rsidR="00266AE9" w:rsidRPr="00266AE9" w:rsidRDefault="00266AE9" w:rsidP="00266AE9">
      <w:pPr>
        <w:pStyle w:val="Akapitzlist"/>
        <w:numPr>
          <w:ilvl w:val="0"/>
          <w:numId w:val="11"/>
        </w:numPr>
        <w:spacing w:after="0" w:line="300" w:lineRule="auto"/>
        <w:jc w:val="both"/>
        <w:rPr>
          <w:rFonts w:ascii="Arial" w:eastAsia="Calibri" w:hAnsi="Arial" w:cs="Arial"/>
        </w:rPr>
      </w:pPr>
      <w:r w:rsidRPr="00266AE9">
        <w:rPr>
          <w:rFonts w:ascii="Arial" w:eastAsia="Calibri" w:hAnsi="Arial" w:cs="Arial"/>
        </w:rPr>
        <w:t xml:space="preserve">Uwzględnienie sytuacji spółek, które wykreślono z rejestru w trakcie postępowania „wymiarowego” celem zmniejszenia ryzyka oszustw podatkowym metodą na tzw. </w:t>
      </w:r>
      <w:r w:rsidRPr="00266AE9">
        <w:rPr>
          <w:rFonts w:ascii="Arial" w:eastAsia="Calibri" w:hAnsi="Arial" w:cs="Arial"/>
        </w:rPr>
        <w:lastRenderedPageBreak/>
        <w:t xml:space="preserve">„znikającego podatnika” (projektowany art. 116 § 5 pkt 1 </w:t>
      </w:r>
      <w:proofErr w:type="spellStart"/>
      <w:r w:rsidRPr="00266AE9">
        <w:rPr>
          <w:rFonts w:ascii="Arial" w:eastAsia="Calibri" w:hAnsi="Arial" w:cs="Arial"/>
        </w:rPr>
        <w:t>o.p</w:t>
      </w:r>
      <w:proofErr w:type="spellEnd"/>
      <w:r w:rsidRPr="00266AE9">
        <w:rPr>
          <w:rFonts w:ascii="Arial" w:eastAsia="Calibri" w:hAnsi="Arial" w:cs="Arial"/>
        </w:rPr>
        <w:t>.). Projektowana zmiana umożliwia władcze określenie przez organ podatkowy wysokości zobowiązania podatkowego spółki kapitałowej bezpośrednio w decyzji adresowanej do osoby trzeciej, pomimo wykreślenia spółki z rejestru.</w:t>
      </w:r>
    </w:p>
    <w:p w14:paraId="7A5A217B" w14:textId="7395255C" w:rsidR="00266AE9" w:rsidRPr="00266AE9" w:rsidRDefault="00266AE9" w:rsidP="00266AE9">
      <w:pPr>
        <w:spacing w:after="0" w:line="300" w:lineRule="auto"/>
        <w:jc w:val="both"/>
        <w:rPr>
          <w:rFonts w:ascii="Arial" w:hAnsi="Arial" w:cs="Arial"/>
        </w:rPr>
      </w:pPr>
      <w:r w:rsidRPr="00266AE9">
        <w:rPr>
          <w:rFonts w:ascii="Arial" w:eastAsia="Calibri" w:hAnsi="Arial" w:cs="Arial"/>
        </w:rPr>
        <w:t xml:space="preserve">Wprowadzenie możliwości wydawania decyzji o zabezpieczeniu już w trakcie postępowania w sprawie odpowiedzialności osób trzecich za zaległości podatkowe spółek lub innych osób prawnych – obecnie jest to możliwe dopiero po wydaniu decyzji orzekającej o odpowiedzialności osoby trzeciej (art. 33b pkt 2 </w:t>
      </w:r>
      <w:proofErr w:type="spellStart"/>
      <w:r w:rsidRPr="00266AE9">
        <w:rPr>
          <w:rFonts w:ascii="Arial" w:eastAsia="Calibri" w:hAnsi="Arial" w:cs="Arial"/>
        </w:rPr>
        <w:t>o.p</w:t>
      </w:r>
      <w:proofErr w:type="spellEnd"/>
      <w:r w:rsidRPr="00266AE9">
        <w:rPr>
          <w:rFonts w:ascii="Arial" w:eastAsia="Calibri" w:hAnsi="Arial" w:cs="Arial"/>
        </w:rPr>
        <w:t>.). Zmiana ma charakter uszczelniający i ma uniemożliwić osobom trzecim wyzbywanie się majątku na szkodę budżetu w trakcie postępowania zmierzającego do orzeczenia o jej odpowiedzialności za zaległości podatkowe spółki kapitałowej.</w:t>
      </w:r>
    </w:p>
    <w:p w14:paraId="5A25B42D" w14:textId="77777777" w:rsidR="00266AE9" w:rsidRDefault="00266AE9" w:rsidP="00266AE9">
      <w:pPr>
        <w:spacing w:after="0" w:line="300" w:lineRule="auto"/>
        <w:jc w:val="both"/>
        <w:rPr>
          <w:rFonts w:ascii="Arial" w:hAnsi="Arial" w:cs="Arial"/>
        </w:rPr>
      </w:pPr>
    </w:p>
    <w:p w14:paraId="17E24338" w14:textId="77777777" w:rsidR="00266AE9" w:rsidRPr="00266AE9" w:rsidRDefault="00266AE9" w:rsidP="00266AE9">
      <w:pPr>
        <w:spacing w:after="0" w:line="300" w:lineRule="auto"/>
        <w:jc w:val="both"/>
        <w:rPr>
          <w:rFonts w:ascii="Arial" w:hAnsi="Arial" w:cs="Arial"/>
        </w:rPr>
      </w:pPr>
      <w:r w:rsidRPr="00266AE9">
        <w:rPr>
          <w:rFonts w:ascii="Arial" w:hAnsi="Arial" w:cs="Arial"/>
        </w:rPr>
        <w:t>Przedmiotowy projekt aktu prawnego wraz z Uzasadnieniem oraz Oceną Skutków Regulacji dostępny jest na stronach Rządowego Centrum Legislacji pod adresem:</w:t>
      </w:r>
    </w:p>
    <w:p w14:paraId="7492DE06" w14:textId="19466CC3" w:rsidR="00266AE9" w:rsidRDefault="00266AE9" w:rsidP="00266AE9">
      <w:pPr>
        <w:spacing w:after="0" w:line="300" w:lineRule="auto"/>
        <w:jc w:val="both"/>
        <w:rPr>
          <w:rFonts w:ascii="Arial" w:hAnsi="Arial" w:cs="Arial"/>
        </w:rPr>
      </w:pPr>
      <w:hyperlink r:id="rId7" w:history="1">
        <w:r w:rsidRPr="00A90791">
          <w:rPr>
            <w:rStyle w:val="Hipercze"/>
            <w:rFonts w:ascii="Arial" w:hAnsi="Arial" w:cs="Arial"/>
          </w:rPr>
          <w:t>https://legislacja.gov.pl/projekt/12408</w:t>
        </w:r>
        <w:r w:rsidRPr="00A90791">
          <w:rPr>
            <w:rStyle w:val="Hipercze"/>
            <w:rFonts w:ascii="Arial" w:hAnsi="Arial" w:cs="Arial"/>
          </w:rPr>
          <w:t>3</w:t>
        </w:r>
        <w:r w:rsidRPr="00A90791">
          <w:rPr>
            <w:rStyle w:val="Hipercze"/>
            <w:rFonts w:ascii="Arial" w:hAnsi="Arial" w:cs="Arial"/>
          </w:rPr>
          <w:t>50/katalog/13192858#13192858</w:t>
        </w:r>
      </w:hyperlink>
      <w:r>
        <w:rPr>
          <w:rFonts w:ascii="Arial" w:hAnsi="Arial" w:cs="Arial"/>
        </w:rPr>
        <w:t xml:space="preserve"> </w:t>
      </w:r>
    </w:p>
    <w:p w14:paraId="1312C4ED" w14:textId="77777777" w:rsidR="00266AE9" w:rsidRDefault="00266AE9" w:rsidP="00266AE9">
      <w:pPr>
        <w:spacing w:after="0" w:line="300" w:lineRule="auto"/>
        <w:jc w:val="both"/>
        <w:rPr>
          <w:rFonts w:ascii="Arial" w:hAnsi="Arial" w:cs="Arial"/>
        </w:rPr>
      </w:pPr>
    </w:p>
    <w:p w14:paraId="6F272ED5" w14:textId="78FC9E6E" w:rsidR="00266AE9" w:rsidRDefault="00266AE9" w:rsidP="00266AE9">
      <w:pPr>
        <w:spacing w:after="0" w:line="300" w:lineRule="auto"/>
        <w:jc w:val="both"/>
        <w:rPr>
          <w:rFonts w:ascii="Arial" w:hAnsi="Arial" w:cs="Arial"/>
        </w:rPr>
      </w:pPr>
      <w:r w:rsidRPr="00266AE9">
        <w:rPr>
          <w:rFonts w:ascii="Arial" w:hAnsi="Arial" w:cs="Arial"/>
        </w:rPr>
        <w:t>Projekt jest obecnie jednocześnie na etapie uzgodnień, konsultacji publicznych i opiniowania.</w:t>
      </w:r>
    </w:p>
    <w:p w14:paraId="2732A3C8" w14:textId="77777777" w:rsidR="00266AE9" w:rsidRPr="00266AE9" w:rsidRDefault="00266AE9" w:rsidP="00266AE9">
      <w:pPr>
        <w:spacing w:after="0" w:line="300" w:lineRule="auto"/>
        <w:jc w:val="both"/>
        <w:rPr>
          <w:rFonts w:ascii="Arial" w:hAnsi="Arial" w:cs="Arial"/>
        </w:rPr>
      </w:pPr>
    </w:p>
    <w:p w14:paraId="0A917D14" w14:textId="77777777" w:rsidR="009A28EF" w:rsidRPr="00266AE9" w:rsidRDefault="009A28EF" w:rsidP="00266AE9">
      <w:pPr>
        <w:spacing w:after="0" w:line="300" w:lineRule="auto"/>
        <w:jc w:val="both"/>
        <w:rPr>
          <w:rFonts w:ascii="Arial" w:hAnsi="Arial" w:cs="Arial"/>
        </w:rPr>
      </w:pPr>
      <w:r w:rsidRPr="00266AE9">
        <w:rPr>
          <w:rFonts w:ascii="Arial" w:hAnsi="Arial" w:cs="Arial"/>
        </w:rPr>
        <w:t>Projekty rozporządzeń:</w:t>
      </w:r>
    </w:p>
    <w:p w14:paraId="08D06AA2" w14:textId="77777777" w:rsidR="0059531E" w:rsidRPr="00266AE9" w:rsidRDefault="0059531E" w:rsidP="005158CC">
      <w:pPr>
        <w:spacing w:after="0" w:line="300" w:lineRule="auto"/>
        <w:jc w:val="both"/>
        <w:rPr>
          <w:rFonts w:ascii="Arial" w:hAnsi="Arial" w:cs="Arial"/>
        </w:rPr>
      </w:pPr>
    </w:p>
    <w:p w14:paraId="530285C6" w14:textId="6C231C3A" w:rsidR="0059531E" w:rsidRPr="005158CC" w:rsidRDefault="005158CC" w:rsidP="005158CC">
      <w:pPr>
        <w:pStyle w:val="Akapitzlist"/>
        <w:numPr>
          <w:ilvl w:val="0"/>
          <w:numId w:val="4"/>
        </w:numPr>
        <w:spacing w:after="0" w:line="300" w:lineRule="auto"/>
        <w:jc w:val="both"/>
        <w:rPr>
          <w:rFonts w:ascii="Arial" w:hAnsi="Arial" w:cs="Arial"/>
          <w:b/>
          <w:bCs/>
          <w:u w:val="single"/>
        </w:rPr>
      </w:pPr>
      <w:r w:rsidRPr="005158CC">
        <w:rPr>
          <w:rFonts w:ascii="Arial" w:hAnsi="Arial" w:cs="Arial"/>
          <w:b/>
          <w:bCs/>
          <w:u w:val="single"/>
        </w:rPr>
        <w:t>P</w:t>
      </w:r>
      <w:r w:rsidRPr="005158CC">
        <w:rPr>
          <w:rFonts w:ascii="Arial" w:hAnsi="Arial" w:cs="Arial"/>
          <w:b/>
          <w:bCs/>
          <w:u w:val="single"/>
        </w:rPr>
        <w:t>rojekt rozporządzenia Ministra Finansów i Gospodarki zmieniającego rozporządzenie w sprawie sposobu przesyłania deklaracji i podań oraz rodzajów podpisu elektronicznego, którymi powinny być opatrzone (24 / 2026).</w:t>
      </w:r>
    </w:p>
    <w:p w14:paraId="30CEBE67" w14:textId="77777777" w:rsidR="0059531E" w:rsidRPr="005158CC" w:rsidRDefault="0059531E" w:rsidP="005158CC">
      <w:pPr>
        <w:spacing w:after="0" w:line="300" w:lineRule="auto"/>
        <w:jc w:val="both"/>
        <w:rPr>
          <w:rFonts w:ascii="Arial" w:hAnsi="Arial" w:cs="Arial"/>
        </w:rPr>
      </w:pPr>
    </w:p>
    <w:p w14:paraId="5B58D52B" w14:textId="77777777" w:rsidR="005158CC" w:rsidRPr="005158CC" w:rsidRDefault="005158CC" w:rsidP="005158CC">
      <w:pPr>
        <w:spacing w:after="0" w:line="300" w:lineRule="auto"/>
        <w:jc w:val="both"/>
        <w:rPr>
          <w:rFonts w:ascii="Arial" w:eastAsia="Calibri" w:hAnsi="Arial" w:cs="Arial"/>
        </w:rPr>
      </w:pPr>
      <w:r w:rsidRPr="005158CC">
        <w:rPr>
          <w:rFonts w:ascii="Arial" w:eastAsia="Calibri" w:hAnsi="Arial" w:cs="Arial"/>
        </w:rPr>
        <w:t>Zdiagnozowane problemy:</w:t>
      </w:r>
    </w:p>
    <w:p w14:paraId="79F6B4EC" w14:textId="77777777" w:rsidR="005158CC" w:rsidRPr="005158CC" w:rsidRDefault="005158CC" w:rsidP="005158CC">
      <w:pPr>
        <w:pStyle w:val="Akapitzlist"/>
        <w:numPr>
          <w:ilvl w:val="0"/>
          <w:numId w:val="12"/>
        </w:numPr>
        <w:spacing w:after="0" w:line="300" w:lineRule="auto"/>
        <w:ind w:left="426" w:hanging="284"/>
        <w:jc w:val="both"/>
        <w:rPr>
          <w:rFonts w:ascii="Arial" w:eastAsia="Calibri" w:hAnsi="Arial" w:cs="Arial"/>
        </w:rPr>
      </w:pPr>
      <w:r w:rsidRPr="005158CC">
        <w:rPr>
          <w:rFonts w:ascii="Arial" w:eastAsia="Calibri" w:hAnsi="Arial" w:cs="Arial"/>
        </w:rPr>
        <w:t>Brak jednolitości przepisów regulujących sposób przesyłania dokumentów elektronicznych do organów Krajowej Administracji Skarbowej.</w:t>
      </w:r>
    </w:p>
    <w:p w14:paraId="0887CDEE" w14:textId="77777777" w:rsidR="005158CC" w:rsidRPr="005158CC" w:rsidRDefault="005158CC" w:rsidP="005158CC">
      <w:pPr>
        <w:pStyle w:val="Akapitzlist"/>
        <w:numPr>
          <w:ilvl w:val="0"/>
          <w:numId w:val="12"/>
        </w:numPr>
        <w:spacing w:after="0" w:line="300" w:lineRule="auto"/>
        <w:ind w:left="426" w:hanging="284"/>
        <w:jc w:val="both"/>
        <w:rPr>
          <w:rFonts w:ascii="Arial" w:eastAsia="Calibri" w:hAnsi="Arial" w:cs="Arial"/>
        </w:rPr>
      </w:pPr>
      <w:r w:rsidRPr="005158CC">
        <w:rPr>
          <w:rFonts w:ascii="Arial" w:eastAsia="Calibri" w:hAnsi="Arial" w:cs="Arial"/>
        </w:rPr>
        <w:t>Występujące wątpliwości interpretacyjne w zakresie przesyłania deklaracji i podań za pośrednictwem e-Urzędu Skarbowego.</w:t>
      </w:r>
    </w:p>
    <w:p w14:paraId="5CF3D13E" w14:textId="77777777" w:rsidR="005158CC" w:rsidRPr="005158CC" w:rsidRDefault="005158CC" w:rsidP="005158CC">
      <w:pPr>
        <w:pStyle w:val="Akapitzlist"/>
        <w:numPr>
          <w:ilvl w:val="0"/>
          <w:numId w:val="12"/>
        </w:numPr>
        <w:spacing w:after="0" w:line="300" w:lineRule="auto"/>
        <w:ind w:left="426" w:hanging="284"/>
        <w:jc w:val="both"/>
        <w:rPr>
          <w:rFonts w:ascii="Arial" w:eastAsia="Calibri" w:hAnsi="Arial" w:cs="Arial"/>
        </w:rPr>
      </w:pPr>
      <w:r w:rsidRPr="005158CC">
        <w:rPr>
          <w:rFonts w:ascii="Arial" w:eastAsia="Calibri" w:hAnsi="Arial" w:cs="Arial"/>
        </w:rPr>
        <w:t xml:space="preserve">Od dnia 1 kwietnia 2026 r. podatnicy będą uprawnieni do przesyłania do organu podatkowego informacji o opodatkowaniu wyrównawczym (GIR-1). Przyjęte rozwiązania techniczne umożliwiają opatrzenie tej informacji podpisem zaufanym, jeżeli będzie przesyłana za pomocą oprogramowania interfejsowego dostępnego na stronie, której adres jest podany w Biuletynie Informacji Publicznej na stronie podmiotowej urzędu obsługującego ministra właściwego do spraw finansów publicznych. Rozporządzenie Ministra Rozwoju i Finansów z dnia 19 września 2017 r. w sprawie sposobu przesyłania deklaracji i podań oraz rodzajów podpisu elektronicznego, którymi powinny być opatrzone (Dz. U. z 2025 r. poz. 327, z </w:t>
      </w:r>
      <w:proofErr w:type="spellStart"/>
      <w:r w:rsidRPr="005158CC">
        <w:rPr>
          <w:rFonts w:ascii="Arial" w:eastAsia="Calibri" w:hAnsi="Arial" w:cs="Arial"/>
        </w:rPr>
        <w:t>późn</w:t>
      </w:r>
      <w:proofErr w:type="spellEnd"/>
      <w:r w:rsidRPr="005158CC">
        <w:rPr>
          <w:rFonts w:ascii="Arial" w:eastAsia="Calibri" w:hAnsi="Arial" w:cs="Arial"/>
        </w:rPr>
        <w:t>. zm.) w swojej treści, w części dotyczącej podpisu zaufanego, nie uwzględnia nowej deklaracji GIR-1.</w:t>
      </w:r>
    </w:p>
    <w:p w14:paraId="10AF10B1" w14:textId="77777777" w:rsidR="005158CC" w:rsidRPr="005158CC" w:rsidRDefault="005158CC" w:rsidP="005158CC">
      <w:pPr>
        <w:pStyle w:val="Akapitzlist"/>
        <w:numPr>
          <w:ilvl w:val="0"/>
          <w:numId w:val="12"/>
        </w:numPr>
        <w:spacing w:after="0" w:line="300" w:lineRule="auto"/>
        <w:ind w:left="426" w:hanging="284"/>
        <w:jc w:val="both"/>
        <w:rPr>
          <w:rFonts w:ascii="Arial" w:eastAsia="Calibri" w:hAnsi="Arial" w:cs="Arial"/>
        </w:rPr>
      </w:pPr>
      <w:r w:rsidRPr="005158CC">
        <w:rPr>
          <w:rFonts w:ascii="Arial" w:eastAsia="Calibri" w:hAnsi="Arial" w:cs="Arial"/>
        </w:rPr>
        <w:t>Nieaktualna nazwa formularza PIT-8C przywołana w treści rozporządzenia.</w:t>
      </w:r>
    </w:p>
    <w:p w14:paraId="27200F9F" w14:textId="77777777" w:rsidR="005158CC" w:rsidRPr="005158CC" w:rsidRDefault="005158CC" w:rsidP="005158CC">
      <w:pPr>
        <w:spacing w:after="0" w:line="300" w:lineRule="auto"/>
        <w:jc w:val="both"/>
        <w:rPr>
          <w:rFonts w:ascii="Arial" w:eastAsia="Calibri" w:hAnsi="Arial" w:cs="Arial"/>
        </w:rPr>
      </w:pPr>
      <w:r w:rsidRPr="005158CC">
        <w:rPr>
          <w:rFonts w:ascii="Arial" w:eastAsia="Calibri" w:hAnsi="Arial" w:cs="Arial"/>
        </w:rPr>
        <w:t>Proponowane rozwiązania:</w:t>
      </w:r>
    </w:p>
    <w:p w14:paraId="14041EE1" w14:textId="77777777" w:rsidR="005158CC" w:rsidRPr="005158CC" w:rsidRDefault="005158CC" w:rsidP="005158CC">
      <w:pPr>
        <w:spacing w:after="0" w:line="300" w:lineRule="auto"/>
        <w:jc w:val="both"/>
        <w:rPr>
          <w:rFonts w:ascii="Arial" w:eastAsia="Calibri" w:hAnsi="Arial" w:cs="Arial"/>
        </w:rPr>
      </w:pPr>
      <w:r w:rsidRPr="005158CC">
        <w:rPr>
          <w:rFonts w:ascii="Arial" w:eastAsia="Calibri" w:hAnsi="Arial" w:cs="Arial"/>
        </w:rPr>
        <w:t>Ad 1)</w:t>
      </w:r>
    </w:p>
    <w:p w14:paraId="7D216897" w14:textId="77777777" w:rsidR="005158CC" w:rsidRPr="005158CC" w:rsidRDefault="005158CC" w:rsidP="005158CC">
      <w:pPr>
        <w:spacing w:after="0" w:line="300" w:lineRule="auto"/>
        <w:jc w:val="both"/>
        <w:rPr>
          <w:rFonts w:ascii="Arial" w:eastAsia="Calibri" w:hAnsi="Arial" w:cs="Arial"/>
        </w:rPr>
      </w:pPr>
      <w:r w:rsidRPr="005158CC">
        <w:rPr>
          <w:rFonts w:ascii="Arial" w:eastAsia="Calibri" w:hAnsi="Arial" w:cs="Arial"/>
        </w:rPr>
        <w:t xml:space="preserve">Uzupełnienie regulacji dotyczących sposobu przesyłania dokumentów elektronicznych do organów KAS poprzez wskazanie miejsca udostępniania wzorów dokumentów </w:t>
      </w:r>
      <w:r w:rsidRPr="005158CC">
        <w:rPr>
          <w:rFonts w:ascii="Arial" w:eastAsia="Calibri" w:hAnsi="Arial" w:cs="Arial"/>
        </w:rPr>
        <w:lastRenderedPageBreak/>
        <w:t xml:space="preserve">elektronicznych przesyłanych za pomocą oprogramowania interfejsowego w sposób analogiczny do przepisów ustawy z dnia 16 listopada 2016 r. o Krajowej Administracji Skarbowej (Dz. U. z 2025 r. poz. 1131, z </w:t>
      </w:r>
      <w:proofErr w:type="spellStart"/>
      <w:r w:rsidRPr="005158CC">
        <w:rPr>
          <w:rFonts w:ascii="Arial" w:eastAsia="Calibri" w:hAnsi="Arial" w:cs="Arial"/>
        </w:rPr>
        <w:t>późn</w:t>
      </w:r>
      <w:proofErr w:type="spellEnd"/>
      <w:r w:rsidRPr="005158CC">
        <w:rPr>
          <w:rFonts w:ascii="Arial" w:eastAsia="Calibri" w:hAnsi="Arial" w:cs="Arial"/>
        </w:rPr>
        <w:t>. zm.).</w:t>
      </w:r>
    </w:p>
    <w:p w14:paraId="05B6544E" w14:textId="77777777" w:rsidR="005158CC" w:rsidRPr="005158CC" w:rsidRDefault="005158CC" w:rsidP="005158CC">
      <w:pPr>
        <w:spacing w:after="0" w:line="300" w:lineRule="auto"/>
        <w:jc w:val="both"/>
        <w:rPr>
          <w:rFonts w:ascii="Arial" w:eastAsia="Calibri" w:hAnsi="Arial" w:cs="Arial"/>
        </w:rPr>
      </w:pPr>
      <w:r w:rsidRPr="005158CC">
        <w:rPr>
          <w:rFonts w:ascii="Arial" w:eastAsia="Calibri" w:hAnsi="Arial" w:cs="Arial"/>
        </w:rPr>
        <w:t>Ad 2)</w:t>
      </w:r>
    </w:p>
    <w:p w14:paraId="3ECCFA18" w14:textId="77777777" w:rsidR="005158CC" w:rsidRPr="005158CC" w:rsidRDefault="005158CC" w:rsidP="005158CC">
      <w:pPr>
        <w:spacing w:after="0" w:line="300" w:lineRule="auto"/>
        <w:jc w:val="both"/>
        <w:rPr>
          <w:rFonts w:ascii="Arial" w:eastAsia="Calibri" w:hAnsi="Arial" w:cs="Arial"/>
        </w:rPr>
      </w:pPr>
      <w:r w:rsidRPr="005158CC">
        <w:rPr>
          <w:rFonts w:ascii="Arial" w:eastAsia="Calibri" w:hAnsi="Arial" w:cs="Arial"/>
        </w:rPr>
        <w:t>Dodanie odesłania wskazującego, że sposób przesyłania deklaracji i podań za pośrednictwem e-Urzędu Skarbowego określają odrębne przepisy i nie reguluje tego sposobu przesyłania niniejsze rozporządzenie.</w:t>
      </w:r>
    </w:p>
    <w:p w14:paraId="58A348AD" w14:textId="77777777" w:rsidR="005158CC" w:rsidRPr="005158CC" w:rsidRDefault="005158CC" w:rsidP="005158CC">
      <w:pPr>
        <w:spacing w:after="0" w:line="300" w:lineRule="auto"/>
        <w:jc w:val="both"/>
        <w:rPr>
          <w:rFonts w:ascii="Arial" w:eastAsia="Calibri" w:hAnsi="Arial" w:cs="Arial"/>
        </w:rPr>
      </w:pPr>
      <w:r w:rsidRPr="005158CC">
        <w:rPr>
          <w:rFonts w:ascii="Arial" w:eastAsia="Calibri" w:hAnsi="Arial" w:cs="Arial"/>
        </w:rPr>
        <w:t>Ad 3)</w:t>
      </w:r>
    </w:p>
    <w:p w14:paraId="0B280C83" w14:textId="77777777" w:rsidR="005158CC" w:rsidRPr="005158CC" w:rsidRDefault="005158CC" w:rsidP="005158CC">
      <w:pPr>
        <w:spacing w:after="0" w:line="300" w:lineRule="auto"/>
        <w:jc w:val="both"/>
        <w:rPr>
          <w:rFonts w:ascii="Arial" w:eastAsia="Calibri" w:hAnsi="Arial" w:cs="Arial"/>
        </w:rPr>
      </w:pPr>
      <w:r w:rsidRPr="005158CC">
        <w:rPr>
          <w:rFonts w:ascii="Arial" w:eastAsia="Calibri" w:hAnsi="Arial" w:cs="Arial"/>
        </w:rPr>
        <w:t>Poszerzenie katalogu dokumentów, które mogą być opatrywane podpisem zaufanym, o nową deklarację „Informacja o opodatkowaniu wyrównawczym (GIR-1)”.</w:t>
      </w:r>
    </w:p>
    <w:p w14:paraId="1A74B424" w14:textId="77777777" w:rsidR="005158CC" w:rsidRPr="005158CC" w:rsidRDefault="005158CC" w:rsidP="005158CC">
      <w:pPr>
        <w:spacing w:after="0" w:line="300" w:lineRule="auto"/>
        <w:jc w:val="both"/>
        <w:rPr>
          <w:rFonts w:ascii="Arial" w:eastAsia="Calibri" w:hAnsi="Arial" w:cs="Arial"/>
        </w:rPr>
      </w:pPr>
      <w:r w:rsidRPr="005158CC">
        <w:rPr>
          <w:rFonts w:ascii="Arial" w:eastAsia="Calibri" w:hAnsi="Arial" w:cs="Arial"/>
        </w:rPr>
        <w:t>Ad 4)</w:t>
      </w:r>
    </w:p>
    <w:p w14:paraId="0A2F858D" w14:textId="77777777" w:rsidR="005158CC" w:rsidRPr="005158CC" w:rsidRDefault="005158CC" w:rsidP="005158CC">
      <w:pPr>
        <w:spacing w:after="0" w:line="300" w:lineRule="auto"/>
        <w:jc w:val="both"/>
        <w:rPr>
          <w:rFonts w:ascii="Arial" w:eastAsia="Calibri" w:hAnsi="Arial" w:cs="Arial"/>
        </w:rPr>
      </w:pPr>
      <w:r w:rsidRPr="005158CC">
        <w:rPr>
          <w:rFonts w:ascii="Arial" w:eastAsia="Calibri" w:hAnsi="Arial" w:cs="Arial"/>
        </w:rPr>
        <w:t>Modyfikacja nazwy formularza PIT-8C w § 11 pkt 23 rozporządzenia.</w:t>
      </w:r>
    </w:p>
    <w:p w14:paraId="46083DD1" w14:textId="77777777" w:rsidR="005158CC" w:rsidRDefault="005158CC" w:rsidP="005158CC">
      <w:pPr>
        <w:spacing w:after="0" w:line="300" w:lineRule="auto"/>
        <w:jc w:val="both"/>
        <w:rPr>
          <w:rFonts w:ascii="Arial" w:hAnsi="Arial" w:cs="Arial"/>
        </w:rPr>
      </w:pPr>
    </w:p>
    <w:p w14:paraId="595A5873" w14:textId="77777777" w:rsidR="005158CC" w:rsidRPr="005158CC" w:rsidRDefault="005158CC" w:rsidP="005158CC">
      <w:pPr>
        <w:spacing w:after="0" w:line="300" w:lineRule="auto"/>
        <w:jc w:val="both"/>
        <w:rPr>
          <w:rFonts w:ascii="Arial" w:hAnsi="Arial" w:cs="Arial"/>
        </w:rPr>
      </w:pPr>
      <w:r w:rsidRPr="005158CC">
        <w:rPr>
          <w:rFonts w:ascii="Arial" w:hAnsi="Arial" w:cs="Arial"/>
        </w:rPr>
        <w:t>Przedmiotowy projekt aktu prawnego wraz z Uzasadnieniem oraz Oceną Skutków Regulacji dostępny jest na stronach Rządowego Centrum Legislacji pod adresem:</w:t>
      </w:r>
    </w:p>
    <w:p w14:paraId="51ED6B15" w14:textId="3D3C7282" w:rsidR="005158CC" w:rsidRPr="005158CC" w:rsidRDefault="005158CC" w:rsidP="005158CC">
      <w:pPr>
        <w:spacing w:after="0" w:line="300" w:lineRule="auto"/>
        <w:jc w:val="both"/>
        <w:rPr>
          <w:rFonts w:ascii="Arial" w:hAnsi="Arial" w:cs="Arial"/>
        </w:rPr>
      </w:pPr>
      <w:hyperlink r:id="rId8" w:history="1">
        <w:r w:rsidRPr="00A90791">
          <w:rPr>
            <w:rStyle w:val="Hipercze"/>
            <w:rFonts w:ascii="Arial" w:hAnsi="Arial" w:cs="Arial"/>
          </w:rPr>
          <w:t>https://legislacja.gov.pl/projekt/1240825</w:t>
        </w:r>
        <w:r w:rsidRPr="00A90791">
          <w:rPr>
            <w:rStyle w:val="Hipercze"/>
            <w:rFonts w:ascii="Arial" w:hAnsi="Arial" w:cs="Arial"/>
          </w:rPr>
          <w:t>1</w:t>
        </w:r>
        <w:r w:rsidRPr="00A90791">
          <w:rPr>
            <w:rStyle w:val="Hipercze"/>
            <w:rFonts w:ascii="Arial" w:hAnsi="Arial" w:cs="Arial"/>
          </w:rPr>
          <w:t>/katalog/13192451#13192451</w:t>
        </w:r>
      </w:hyperlink>
      <w:r>
        <w:rPr>
          <w:rFonts w:ascii="Arial" w:hAnsi="Arial" w:cs="Arial"/>
        </w:rPr>
        <w:t xml:space="preserve"> </w:t>
      </w:r>
    </w:p>
    <w:p w14:paraId="14577A72" w14:textId="77777777" w:rsidR="0059531E" w:rsidRDefault="0059531E" w:rsidP="005158CC">
      <w:pPr>
        <w:spacing w:after="0" w:line="300" w:lineRule="auto"/>
        <w:jc w:val="both"/>
        <w:rPr>
          <w:rFonts w:ascii="Arial" w:hAnsi="Arial" w:cs="Arial"/>
        </w:rPr>
      </w:pPr>
    </w:p>
    <w:p w14:paraId="1B5A13A1" w14:textId="0EFFA8F0" w:rsidR="005158CC" w:rsidRDefault="005158CC" w:rsidP="005158CC">
      <w:pPr>
        <w:spacing w:after="0" w:line="300" w:lineRule="auto"/>
        <w:jc w:val="both"/>
        <w:rPr>
          <w:rFonts w:ascii="Arial" w:hAnsi="Arial" w:cs="Arial"/>
        </w:rPr>
      </w:pPr>
      <w:r w:rsidRPr="005158CC">
        <w:rPr>
          <w:rFonts w:ascii="Arial" w:hAnsi="Arial" w:cs="Arial"/>
        </w:rPr>
        <w:t>Projekt jest obecnie jednocześnie na etapie uzgodnień</w:t>
      </w:r>
      <w:r>
        <w:rPr>
          <w:rFonts w:ascii="Arial" w:hAnsi="Arial" w:cs="Arial"/>
        </w:rPr>
        <w:t xml:space="preserve"> i </w:t>
      </w:r>
      <w:r w:rsidRPr="005158CC">
        <w:rPr>
          <w:rFonts w:ascii="Arial" w:hAnsi="Arial" w:cs="Arial"/>
        </w:rPr>
        <w:t>konsultacji publicznych.</w:t>
      </w:r>
    </w:p>
    <w:p w14:paraId="176A92F9" w14:textId="77777777" w:rsidR="005158CC" w:rsidRPr="005158CC" w:rsidRDefault="005158CC" w:rsidP="005158CC">
      <w:pPr>
        <w:spacing w:after="0" w:line="300" w:lineRule="auto"/>
        <w:jc w:val="both"/>
        <w:rPr>
          <w:rFonts w:ascii="Arial" w:hAnsi="Arial" w:cs="Arial"/>
        </w:rPr>
      </w:pPr>
    </w:p>
    <w:p w14:paraId="10F5ADAB" w14:textId="712DE08E" w:rsidR="0059531E" w:rsidRPr="00BD7A44" w:rsidRDefault="00BD7A44" w:rsidP="00266AE9">
      <w:pPr>
        <w:pStyle w:val="Akapitzlist"/>
        <w:numPr>
          <w:ilvl w:val="0"/>
          <w:numId w:val="4"/>
        </w:numPr>
        <w:spacing w:after="0" w:line="300" w:lineRule="auto"/>
        <w:jc w:val="both"/>
        <w:rPr>
          <w:rFonts w:ascii="Arial" w:hAnsi="Arial" w:cs="Arial"/>
          <w:b/>
          <w:bCs/>
          <w:u w:val="single"/>
        </w:rPr>
      </w:pPr>
      <w:r w:rsidRPr="00BD7A44">
        <w:rPr>
          <w:rFonts w:ascii="Arial" w:hAnsi="Arial" w:cs="Arial"/>
          <w:b/>
          <w:bCs/>
          <w:u w:val="single"/>
        </w:rPr>
        <w:t>P</w:t>
      </w:r>
      <w:r w:rsidRPr="00BD7A44">
        <w:rPr>
          <w:rFonts w:ascii="Arial" w:hAnsi="Arial" w:cs="Arial"/>
          <w:b/>
          <w:bCs/>
          <w:u w:val="single"/>
        </w:rPr>
        <w:t xml:space="preserve">rojekt rozporządzenia Rady Ministrów w sprawie planu działań przedsiębiorcy telekomunikacyjnego w sytuacji szczególnego zagrożenia (RD282).  </w:t>
      </w:r>
    </w:p>
    <w:p w14:paraId="28EED20E" w14:textId="77777777" w:rsidR="0059531E" w:rsidRPr="00BD7A44" w:rsidRDefault="0059531E" w:rsidP="00BD7A44">
      <w:pPr>
        <w:spacing w:after="0" w:line="300" w:lineRule="auto"/>
        <w:jc w:val="both"/>
        <w:rPr>
          <w:rFonts w:ascii="Arial" w:hAnsi="Arial" w:cs="Arial"/>
        </w:rPr>
      </w:pPr>
    </w:p>
    <w:p w14:paraId="10846DE8" w14:textId="77777777" w:rsidR="00BD7A44" w:rsidRPr="00BD7A44" w:rsidRDefault="00BD7A44" w:rsidP="00BD7A44">
      <w:pPr>
        <w:spacing w:after="0" w:line="300" w:lineRule="auto"/>
        <w:jc w:val="both"/>
        <w:rPr>
          <w:rFonts w:ascii="Arial" w:eastAsia="Calibri" w:hAnsi="Arial" w:cs="Arial"/>
        </w:rPr>
      </w:pPr>
      <w:r w:rsidRPr="00BD7A44">
        <w:rPr>
          <w:rFonts w:ascii="Arial" w:eastAsia="Calibri" w:hAnsi="Arial" w:cs="Arial"/>
        </w:rPr>
        <w:t>Projekt rozporządzenia reguluje kwestie związane ze sporządzaniem, uzgadnianiem i aktualizacją planu działania przedsiębiorcy telekomunikacyjnego w sytuacji szczególnego zagrożenia, na podstawie upoważnienia ustawowego zawartego w art. 39 ust. 11 ustawy z dnia 12 lipca 2024 r. – Prawo komunikacji elektronicznej, zwanej dalej „ustawą”. Plany sporządzane przez przedsiębiorców telekomunikacyjnych mają na celu przygotowanie się przedsiębiorcy telekomunikacyjnego do reagowania w przypadku wystąpienia sytuacji szczególnego zagrożenia, o której mowa w art. 2 pkt 65 ustawy, głównie w zakresie ochrony własnej infrastruktury telekomunikacyjnej, współpracy z innymi przedsiębiorcami telekomunikacyjnymi, przygotowania się do wprowadzenia określonych ograniczeń w wykonywaniu działalności telekomunikacyjnej, współpracy z podmiotami:</w:t>
      </w:r>
    </w:p>
    <w:p w14:paraId="43790D16" w14:textId="77777777" w:rsidR="00BD7A44" w:rsidRPr="00BD7A44" w:rsidRDefault="00BD7A44" w:rsidP="00BD7A44">
      <w:pPr>
        <w:pStyle w:val="Akapitzlist"/>
        <w:numPr>
          <w:ilvl w:val="0"/>
          <w:numId w:val="13"/>
        </w:numPr>
        <w:spacing w:after="0" w:line="300" w:lineRule="auto"/>
        <w:jc w:val="both"/>
        <w:rPr>
          <w:rFonts w:ascii="Arial" w:eastAsia="Calibri" w:hAnsi="Arial" w:cs="Arial"/>
        </w:rPr>
      </w:pPr>
      <w:r w:rsidRPr="00BD7A44">
        <w:rPr>
          <w:rFonts w:ascii="Arial" w:eastAsia="Calibri" w:hAnsi="Arial" w:cs="Arial"/>
        </w:rPr>
        <w:t>wykonującymi zadania w zakresie ratownictwa oraz niesienia pomocy ludności,</w:t>
      </w:r>
    </w:p>
    <w:p w14:paraId="15F7DA7D" w14:textId="77777777" w:rsidR="00BD7A44" w:rsidRPr="00BD7A44" w:rsidRDefault="00BD7A44" w:rsidP="00BD7A44">
      <w:pPr>
        <w:pStyle w:val="Akapitzlist"/>
        <w:numPr>
          <w:ilvl w:val="0"/>
          <w:numId w:val="13"/>
        </w:numPr>
        <w:spacing w:after="0" w:line="300" w:lineRule="auto"/>
        <w:jc w:val="both"/>
        <w:rPr>
          <w:rFonts w:ascii="Arial" w:eastAsia="Calibri" w:hAnsi="Arial" w:cs="Arial"/>
        </w:rPr>
      </w:pPr>
      <w:r w:rsidRPr="00BD7A44">
        <w:rPr>
          <w:rFonts w:ascii="Arial" w:eastAsia="Calibri" w:hAnsi="Arial" w:cs="Arial"/>
        </w:rPr>
        <w:t xml:space="preserve">zadania na rzecz obronności, </w:t>
      </w:r>
      <w:proofErr w:type="spellStart"/>
      <w:r w:rsidRPr="00BD7A44">
        <w:rPr>
          <w:rFonts w:ascii="Arial" w:eastAsia="Calibri" w:hAnsi="Arial" w:cs="Arial"/>
        </w:rPr>
        <w:t>cyberbezpieczeństwa</w:t>
      </w:r>
      <w:proofErr w:type="spellEnd"/>
      <w:r w:rsidRPr="00BD7A44">
        <w:rPr>
          <w:rFonts w:ascii="Arial" w:eastAsia="Calibri" w:hAnsi="Arial" w:cs="Arial"/>
        </w:rPr>
        <w:t>, bezpieczeństwa państwa oraz bezpieczeństwa i porządku publicznego,</w:t>
      </w:r>
    </w:p>
    <w:p w14:paraId="6085AA8D" w14:textId="77777777" w:rsidR="00BD7A44" w:rsidRPr="00BD7A44" w:rsidRDefault="00BD7A44" w:rsidP="00BD7A44">
      <w:pPr>
        <w:pStyle w:val="Akapitzlist"/>
        <w:numPr>
          <w:ilvl w:val="0"/>
          <w:numId w:val="13"/>
        </w:numPr>
        <w:spacing w:after="0" w:line="300" w:lineRule="auto"/>
        <w:jc w:val="both"/>
        <w:rPr>
          <w:rFonts w:ascii="Arial" w:eastAsia="Calibri" w:hAnsi="Arial" w:cs="Arial"/>
        </w:rPr>
      </w:pPr>
      <w:r w:rsidRPr="00BD7A44">
        <w:rPr>
          <w:rFonts w:ascii="Arial" w:eastAsia="Calibri" w:hAnsi="Arial" w:cs="Arial"/>
        </w:rPr>
        <w:t>właściwymi w sprawach zarządzania kryzysowego</w:t>
      </w:r>
    </w:p>
    <w:p w14:paraId="02ECC575" w14:textId="77777777" w:rsidR="00BD7A44" w:rsidRPr="00BD7A44" w:rsidRDefault="00BD7A44" w:rsidP="00BD7A44">
      <w:pPr>
        <w:spacing w:after="0" w:line="300" w:lineRule="auto"/>
        <w:jc w:val="both"/>
        <w:rPr>
          <w:rFonts w:ascii="Arial" w:eastAsia="Calibri" w:hAnsi="Arial" w:cs="Arial"/>
        </w:rPr>
      </w:pPr>
      <w:r w:rsidRPr="00BD7A44">
        <w:rPr>
          <w:rFonts w:ascii="Arial" w:eastAsia="Calibri" w:hAnsi="Arial" w:cs="Arial"/>
        </w:rPr>
        <w:t>- oraz zapewnienia dostarczania sieci telekomunikacyjnych i ciągłości świadczenia usług telekomunikacyjnych, w tym z uwzględnieniem pierwszeństwa dla podmiotów wymienionych powyżej.</w:t>
      </w:r>
    </w:p>
    <w:p w14:paraId="505FD200" w14:textId="77777777" w:rsidR="00BD7A44" w:rsidRPr="00BD7A44" w:rsidRDefault="00BD7A44" w:rsidP="00BD7A44">
      <w:pPr>
        <w:spacing w:after="0" w:line="300" w:lineRule="auto"/>
        <w:jc w:val="both"/>
        <w:rPr>
          <w:rFonts w:ascii="Arial" w:eastAsia="Calibri" w:hAnsi="Arial" w:cs="Arial"/>
        </w:rPr>
      </w:pPr>
      <w:r w:rsidRPr="00BD7A44">
        <w:rPr>
          <w:rFonts w:ascii="Arial" w:eastAsia="Calibri" w:hAnsi="Arial" w:cs="Arial"/>
        </w:rPr>
        <w:t xml:space="preserve">Zgodne z art. 39 ust. 1 ustawy przedsiębiorca telekomunikacyjny, w celu zapewnienia ciągłości świadczenia usług telekomunikacyjnych lub dostarczania sieci telekomunikacyjnej, jest obowiązany uwzględniać możliwość wystąpienia sytuacji szczególnego zagrożenia. Z wyjątkiem przypadków, o których mowa w projekcie rozporządzenia, jest on obowiązany </w:t>
      </w:r>
      <w:r w:rsidRPr="00BD7A44">
        <w:rPr>
          <w:rFonts w:ascii="Arial" w:eastAsia="Calibri" w:hAnsi="Arial" w:cs="Arial"/>
        </w:rPr>
        <w:lastRenderedPageBreak/>
        <w:t>posiadać aktualny i uzgodniony oraz wprowadzony do stosowania plan działań w sytuacji szczególnego zagrożenia.</w:t>
      </w:r>
    </w:p>
    <w:p w14:paraId="07082232" w14:textId="77777777" w:rsidR="00BD7A44" w:rsidRPr="00BD7A44" w:rsidRDefault="00BD7A44" w:rsidP="00BD7A44">
      <w:pPr>
        <w:spacing w:after="0" w:line="300" w:lineRule="auto"/>
        <w:jc w:val="both"/>
        <w:rPr>
          <w:rFonts w:ascii="Arial" w:eastAsia="Calibri" w:hAnsi="Arial" w:cs="Arial"/>
        </w:rPr>
      </w:pPr>
      <w:r w:rsidRPr="00BD7A44">
        <w:rPr>
          <w:rFonts w:ascii="Arial" w:eastAsia="Calibri" w:hAnsi="Arial" w:cs="Arial"/>
        </w:rPr>
        <w:t>Projekt rozporządzenia reguluje:</w:t>
      </w:r>
    </w:p>
    <w:p w14:paraId="5E149AA0" w14:textId="77777777" w:rsidR="00BD7A44" w:rsidRPr="00BD7A44" w:rsidRDefault="00BD7A44" w:rsidP="00BD7A44">
      <w:pPr>
        <w:pStyle w:val="Akapitzlist"/>
        <w:numPr>
          <w:ilvl w:val="0"/>
          <w:numId w:val="14"/>
        </w:numPr>
        <w:spacing w:after="0" w:line="300" w:lineRule="auto"/>
        <w:jc w:val="both"/>
        <w:rPr>
          <w:rFonts w:ascii="Arial" w:eastAsia="Calibri" w:hAnsi="Arial" w:cs="Arial"/>
        </w:rPr>
      </w:pPr>
      <w:r w:rsidRPr="00BD7A44">
        <w:rPr>
          <w:rFonts w:ascii="Arial" w:eastAsia="Calibri" w:hAnsi="Arial" w:cs="Arial"/>
        </w:rPr>
        <w:t>szczegółową zawartość planu działań przedsiębiorcy telekomunikacyjnego w sytuacji szczególnego zagrożenia oraz tryb jego sporządzania (przepisy te powielają zasadniczo istniejący stan prawny, ze zmianami wynikającymi z obecnego brzmienia art. 39 ust. 2 ustawy oraz przeniesienia obowiązku w zakresie zawartości planu);</w:t>
      </w:r>
    </w:p>
    <w:p w14:paraId="577CCA62" w14:textId="77777777" w:rsidR="00BD7A44" w:rsidRPr="00BD7A44" w:rsidRDefault="00BD7A44" w:rsidP="00BD7A44">
      <w:pPr>
        <w:pStyle w:val="Akapitzlist"/>
        <w:numPr>
          <w:ilvl w:val="0"/>
          <w:numId w:val="14"/>
        </w:numPr>
        <w:spacing w:after="0" w:line="300" w:lineRule="auto"/>
        <w:jc w:val="both"/>
        <w:rPr>
          <w:rFonts w:ascii="Arial" w:eastAsia="Calibri" w:hAnsi="Arial" w:cs="Arial"/>
        </w:rPr>
      </w:pPr>
      <w:r w:rsidRPr="00BD7A44">
        <w:rPr>
          <w:rFonts w:ascii="Arial" w:eastAsia="Calibri" w:hAnsi="Arial" w:cs="Arial"/>
        </w:rPr>
        <w:t>zakres danych udostępnianych przedsiębiorcy telekomunikacyjnemu przez organy uzgadniające plan lub przez organy administracji rządowej właściwe do ich udostępnienia (regulacja analogiczna do § 5 ust. 1 i 2 dotychczas obowiązującego rozporządzenia Rady Ministrów z dnia 19 sierpnia 2020 r. w sprawie planu działań przedsiębiorcy telekomunikacyjnego w sytuacjach szczególnych zagrożeń (Dz. U. z 2024 r. poz. 921), dotyczącą udostępniania przez organy uzgadniające plan przedsiębiorcy telekomunikacyjnemu danych, które mają być ujęte w planie i określa jakie dane udostępniają organy uzgadniające plan przedsiębiorcy telekomunikacyjnemu. Przepis nie zawiera natomiast treści obecnie obowiązującego ust. 3 wskazującego na obowiązek organów udostępnienia danych w terminie 14 dni od wystąpienia o to przez przedsiębiorcę telekomunikacyjnego. Regulacja ta bowiem została przeniesiona do art. 39 ust. 5 ustawy);</w:t>
      </w:r>
    </w:p>
    <w:p w14:paraId="696CFEC5" w14:textId="77777777" w:rsidR="00BD7A44" w:rsidRPr="00BD7A44" w:rsidRDefault="00BD7A44" w:rsidP="00BD7A44">
      <w:pPr>
        <w:pStyle w:val="Akapitzlist"/>
        <w:numPr>
          <w:ilvl w:val="0"/>
          <w:numId w:val="14"/>
        </w:numPr>
        <w:spacing w:after="0" w:line="300" w:lineRule="auto"/>
        <w:jc w:val="both"/>
        <w:rPr>
          <w:rFonts w:ascii="Arial" w:eastAsia="Calibri" w:hAnsi="Arial" w:cs="Arial"/>
        </w:rPr>
      </w:pPr>
      <w:r w:rsidRPr="00BD7A44">
        <w:rPr>
          <w:rFonts w:ascii="Arial" w:eastAsia="Calibri" w:hAnsi="Arial" w:cs="Arial"/>
        </w:rPr>
        <w:t>tryb uzgadniania planu, jego uzupełnienia w przypadku braku kompletności oraz wprowadzenia do stosowania przez przedsiębiorcę telekomunikacyjnego (przedsiębiorca telekomunikacyjny przesyła projekt planu organom uzgadniającym plan w formie elektronicznej w zakresie wskazanym § 7 projektu rozporządzenia, następnie po uzgodnieniu planu przesyła go Prezesowi Urzędu Komunikacji Elektronicznej, który oprócz uzgodnienia sprawdza dodatkowo kompletność planu);</w:t>
      </w:r>
    </w:p>
    <w:p w14:paraId="1576BE5C" w14:textId="77777777" w:rsidR="00BD7A44" w:rsidRPr="00BD7A44" w:rsidRDefault="00BD7A44" w:rsidP="00BD7A44">
      <w:pPr>
        <w:pStyle w:val="Akapitzlist"/>
        <w:numPr>
          <w:ilvl w:val="0"/>
          <w:numId w:val="14"/>
        </w:numPr>
        <w:spacing w:after="0" w:line="300" w:lineRule="auto"/>
        <w:jc w:val="both"/>
        <w:rPr>
          <w:rFonts w:ascii="Arial" w:eastAsia="Calibri" w:hAnsi="Arial" w:cs="Arial"/>
        </w:rPr>
      </w:pPr>
      <w:r w:rsidRPr="00BD7A44">
        <w:rPr>
          <w:rFonts w:ascii="Arial" w:eastAsia="Calibri" w:hAnsi="Arial" w:cs="Arial"/>
        </w:rPr>
        <w:t>szczegółowe okoliczności aktualizacji planu oraz jej tryb (zawiera regulacje analogicznie do obowiązującego rozporządzenia, doprecyzowano jedynie w pkt 3 na czym miałaby polegać „istotna” zmiana skutkująca aktualizacją planu – dotyczyłoby to sytuacji mogących w sposób istotny wpływać na bezpieczeństwo sieci i usług telekomunikacyjnych);</w:t>
      </w:r>
    </w:p>
    <w:p w14:paraId="07718D64" w14:textId="77777777" w:rsidR="00BD7A44" w:rsidRPr="00BD7A44" w:rsidRDefault="00BD7A44" w:rsidP="00BD7A44">
      <w:pPr>
        <w:pStyle w:val="Akapitzlist"/>
        <w:numPr>
          <w:ilvl w:val="0"/>
          <w:numId w:val="14"/>
        </w:numPr>
        <w:spacing w:after="0" w:line="300" w:lineRule="auto"/>
        <w:jc w:val="both"/>
        <w:rPr>
          <w:rFonts w:ascii="Arial" w:eastAsia="Calibri" w:hAnsi="Arial" w:cs="Arial"/>
        </w:rPr>
      </w:pPr>
      <w:r w:rsidRPr="00BD7A44">
        <w:rPr>
          <w:rFonts w:ascii="Arial" w:eastAsia="Calibri" w:hAnsi="Arial" w:cs="Arial"/>
        </w:rPr>
        <w:t>organy uzgadniające plan oraz zakres tych uzgodnień (tryb ten dotyczy tylko treści planu, o której mowa w § 3 ust. 1 pkt 8 projektu rozporządzenia, to znaczy procedur współpracy przedsiębiorcy telekomunikacyjnego z organami uzgadniającymi plan oraz z właściwymi podmiotami wskazanymi przez organy uzgadniające plan. Natomiast w przypadku, gdy przedsiębiorca telekomunikacyjny realizuje zadania, o których mowa w art. 648 ustawy z dnia 11 marca 2022 r. o obronie Ojczyzny (Dz.U. z 2025 r. poz. 825, 1014 i 1080 oraz z 2026 r. poz. 26), uzgadnia projekt planu także w zakresie wykazów obiektów i elementów infrastruktury, a także sieci telekomunikacyjnej na potrzeby podmiotów Sił Zbrojnych Rzeczpospolitej Polskiej, zwanych dalej „SZ RP”);</w:t>
      </w:r>
    </w:p>
    <w:p w14:paraId="2A49F11F" w14:textId="77777777" w:rsidR="00BD7A44" w:rsidRPr="00BD7A44" w:rsidRDefault="00BD7A44" w:rsidP="00BD7A44">
      <w:pPr>
        <w:pStyle w:val="Akapitzlist"/>
        <w:numPr>
          <w:ilvl w:val="0"/>
          <w:numId w:val="14"/>
        </w:numPr>
        <w:spacing w:after="0" w:line="300" w:lineRule="auto"/>
        <w:jc w:val="both"/>
        <w:rPr>
          <w:rFonts w:ascii="Arial" w:eastAsia="Calibri" w:hAnsi="Arial" w:cs="Arial"/>
        </w:rPr>
      </w:pPr>
      <w:r w:rsidRPr="00BD7A44">
        <w:rPr>
          <w:rFonts w:ascii="Arial" w:eastAsia="Calibri" w:hAnsi="Arial" w:cs="Arial"/>
        </w:rPr>
        <w:t>sposób i zakres przekazywania planu organom uzgadniającym plan (sposób określa § 9 projektu rozporządzenia, natomiast zakres jest określony w § 7 projektu rozporządzenia);</w:t>
      </w:r>
    </w:p>
    <w:p w14:paraId="71B40A26" w14:textId="77777777" w:rsidR="00BD7A44" w:rsidRPr="00BD7A44" w:rsidRDefault="00BD7A44" w:rsidP="00BD7A44">
      <w:pPr>
        <w:pStyle w:val="Akapitzlist"/>
        <w:numPr>
          <w:ilvl w:val="0"/>
          <w:numId w:val="14"/>
        </w:numPr>
        <w:spacing w:after="0" w:line="300" w:lineRule="auto"/>
        <w:jc w:val="both"/>
        <w:rPr>
          <w:rFonts w:ascii="Arial" w:eastAsia="Calibri" w:hAnsi="Arial" w:cs="Arial"/>
        </w:rPr>
      </w:pPr>
      <w:r w:rsidRPr="00BD7A44">
        <w:rPr>
          <w:rFonts w:ascii="Arial" w:eastAsia="Calibri" w:hAnsi="Arial" w:cs="Arial"/>
        </w:rPr>
        <w:t xml:space="preserve">rodzaje działalności telekomunikacyjnej lub rodzaje przedsiębiorców telekomunikacyjnych niepodlegających obowiązkowi sporządzania planu (przepis § 17 </w:t>
      </w:r>
      <w:r w:rsidRPr="00BD7A44">
        <w:rPr>
          <w:rFonts w:ascii="Arial" w:eastAsia="Calibri" w:hAnsi="Arial" w:cs="Arial"/>
        </w:rPr>
        <w:lastRenderedPageBreak/>
        <w:t>projektu rozporządzenia zawiera treść analogiczną do § 2 dotychczas obowiązującego rozporządzenia i reguluje rodzaje przedsiębiorców telekomunikacyjnych niepodlegających obowiązkom sporządzenia planu działań. Wskazano również, tak jak w aktualnych przepisach, że kryteria wyłączające obowiązek sporządzenia planu nie mają zastosowania do przedsiębiorców telekomunikacyjnych realizujących zadania na rzecz SZ RP, o których mowa w art. 648 ustawy z dnia 11 marca 2022 r. o obronie Ojczyzny w przypadku, gdy organem nakładającym zadania jest minister właściwy do spraw informatyzacji lub Minister Obrony Narodowej).</w:t>
      </w:r>
    </w:p>
    <w:p w14:paraId="22F6567B" w14:textId="77777777" w:rsidR="00BD7A44" w:rsidRPr="00BD7A44" w:rsidRDefault="00BD7A44" w:rsidP="00BD7A44">
      <w:pPr>
        <w:spacing w:after="0" w:line="300" w:lineRule="auto"/>
        <w:jc w:val="both"/>
        <w:rPr>
          <w:rFonts w:ascii="Arial" w:eastAsia="Calibri" w:hAnsi="Arial" w:cs="Arial"/>
        </w:rPr>
      </w:pPr>
      <w:r w:rsidRPr="00BD7A44">
        <w:rPr>
          <w:rFonts w:ascii="Arial" w:eastAsia="Calibri" w:hAnsi="Arial" w:cs="Arial"/>
        </w:rPr>
        <w:t>W porównaniu z aktualnie obowiązującym rozporządzeniem wydanym na podstawi art. 176a ust. 5 ustawy z dnia 16 lipca 2004 r. – Prawo telekomunikacyjne (Dz. U. z 2024 r. poz. 34, 731 i 834) nie ulegają zasadniczo zmianie warunki sporządzania planu (którzy przedsiębiorcy telekomunikacyjni go sporządzają i na jakich zasadach) oraz jego zakres merytoryczny.</w:t>
      </w:r>
    </w:p>
    <w:p w14:paraId="5F607E21" w14:textId="77777777" w:rsidR="00BD7A44" w:rsidRPr="00BD7A44" w:rsidRDefault="00BD7A44" w:rsidP="00BD7A44">
      <w:pPr>
        <w:spacing w:after="0" w:line="300" w:lineRule="auto"/>
        <w:jc w:val="both"/>
        <w:rPr>
          <w:rFonts w:ascii="Arial" w:eastAsia="Calibri" w:hAnsi="Arial" w:cs="Arial"/>
        </w:rPr>
      </w:pPr>
      <w:r w:rsidRPr="00BD7A44">
        <w:rPr>
          <w:rFonts w:ascii="Arial" w:eastAsia="Calibri" w:hAnsi="Arial" w:cs="Arial"/>
        </w:rPr>
        <w:t>Doprecyzowano procedury związane z uzgadnianiem i aktualizacją planu:</w:t>
      </w:r>
    </w:p>
    <w:p w14:paraId="13D3A2D7" w14:textId="77777777" w:rsidR="00BD7A44" w:rsidRPr="00BD7A44" w:rsidRDefault="00BD7A44" w:rsidP="00BD7A44">
      <w:pPr>
        <w:pStyle w:val="Akapitzlist"/>
        <w:numPr>
          <w:ilvl w:val="0"/>
          <w:numId w:val="15"/>
        </w:numPr>
        <w:spacing w:after="0" w:line="300" w:lineRule="auto"/>
        <w:jc w:val="both"/>
        <w:rPr>
          <w:rFonts w:ascii="Arial" w:eastAsia="Calibri" w:hAnsi="Arial" w:cs="Arial"/>
        </w:rPr>
      </w:pPr>
      <w:r w:rsidRPr="00BD7A44">
        <w:rPr>
          <w:rFonts w:ascii="Arial" w:eastAsia="Calibri" w:hAnsi="Arial" w:cs="Arial"/>
        </w:rPr>
        <w:t>na etapie przesyłania do uzgodnień do organów uzgadniających zrezygnowano z możliwości przesyłania projektów planów w postaci papierowej, co usprawnia i przyspiesza sam proces uzgadniania oraz obniża koszty wytworzenia projektu planu;</w:t>
      </w:r>
    </w:p>
    <w:p w14:paraId="391AC655" w14:textId="77777777" w:rsidR="00BD7A44" w:rsidRPr="00BD7A44" w:rsidRDefault="00BD7A44" w:rsidP="00BD7A44">
      <w:pPr>
        <w:pStyle w:val="Akapitzlist"/>
        <w:numPr>
          <w:ilvl w:val="0"/>
          <w:numId w:val="15"/>
        </w:numPr>
        <w:spacing w:after="0" w:line="300" w:lineRule="auto"/>
        <w:jc w:val="both"/>
        <w:rPr>
          <w:rFonts w:ascii="Arial" w:eastAsia="Calibri" w:hAnsi="Arial" w:cs="Arial"/>
        </w:rPr>
      </w:pPr>
      <w:r w:rsidRPr="00BD7A44">
        <w:rPr>
          <w:rFonts w:ascii="Arial" w:eastAsia="Calibri" w:hAnsi="Arial" w:cs="Arial"/>
        </w:rPr>
        <w:t>wprowadzono obowiązek przesłania kompletnego i podpisanego planu także ministrowi właściwemu do spraw informatyzacji, w dotychczas obowiązujących przepisach, plan otrzymuje tylko Prezes Urzędu Komunikacji Elektronicznej;</w:t>
      </w:r>
    </w:p>
    <w:p w14:paraId="53377582" w14:textId="77777777" w:rsidR="00BD7A44" w:rsidRPr="00BD7A44" w:rsidRDefault="00BD7A44" w:rsidP="00BD7A44">
      <w:pPr>
        <w:pStyle w:val="Akapitzlist"/>
        <w:numPr>
          <w:ilvl w:val="0"/>
          <w:numId w:val="15"/>
        </w:numPr>
        <w:spacing w:after="0" w:line="300" w:lineRule="auto"/>
        <w:jc w:val="both"/>
        <w:rPr>
          <w:rFonts w:ascii="Arial" w:eastAsia="Calibri" w:hAnsi="Arial" w:cs="Arial"/>
        </w:rPr>
      </w:pPr>
      <w:r w:rsidRPr="00BD7A44">
        <w:rPr>
          <w:rFonts w:ascii="Arial" w:eastAsia="Calibri" w:hAnsi="Arial" w:cs="Arial"/>
        </w:rPr>
        <w:t>wprowadzono możliwość wnioskowania organów uzgadniających plan o nieodpłatne przekazanie wyciągu zawierającego wskazany we wniosku zakres wprowadzonego do stosowania planu; dotychczas organ uzgadniający mógł wnioskować o wyciąg obejmujący wyłącznie zakres planu podlegający uzgodnieniom z tym organem;</w:t>
      </w:r>
    </w:p>
    <w:p w14:paraId="7742EE09" w14:textId="11A3D2C6" w:rsidR="0059531E" w:rsidRPr="00BD7A44" w:rsidRDefault="00BD7A44" w:rsidP="00BD7A44">
      <w:pPr>
        <w:spacing w:after="0" w:line="300" w:lineRule="auto"/>
        <w:jc w:val="both"/>
        <w:rPr>
          <w:rFonts w:ascii="Arial" w:hAnsi="Arial" w:cs="Arial"/>
        </w:rPr>
      </w:pPr>
      <w:r w:rsidRPr="00BD7A44">
        <w:rPr>
          <w:rFonts w:ascii="Arial" w:eastAsia="Calibri" w:hAnsi="Arial" w:cs="Arial"/>
        </w:rPr>
        <w:t>wprowadzono - zgodnie z art. 39 ust. 9 pkt 1 ustawy, obowiązkową aktualizację planu po upłynięciu określonego czasu jego obowiązywania.</w:t>
      </w:r>
    </w:p>
    <w:p w14:paraId="533C6024" w14:textId="77777777" w:rsidR="00BD7A44" w:rsidRDefault="00BD7A44" w:rsidP="00266AE9">
      <w:pPr>
        <w:spacing w:after="0" w:line="300" w:lineRule="auto"/>
        <w:jc w:val="both"/>
        <w:rPr>
          <w:rFonts w:ascii="Arial" w:hAnsi="Arial" w:cs="Arial"/>
        </w:rPr>
      </w:pPr>
    </w:p>
    <w:p w14:paraId="2F5ABF43" w14:textId="77777777" w:rsidR="0022774C" w:rsidRPr="0022774C" w:rsidRDefault="0022774C" w:rsidP="0022774C">
      <w:pPr>
        <w:spacing w:after="0" w:line="300" w:lineRule="auto"/>
        <w:jc w:val="both"/>
        <w:rPr>
          <w:rFonts w:ascii="Arial" w:hAnsi="Arial" w:cs="Arial"/>
        </w:rPr>
      </w:pPr>
      <w:r w:rsidRPr="0022774C">
        <w:rPr>
          <w:rFonts w:ascii="Arial" w:hAnsi="Arial" w:cs="Arial"/>
        </w:rPr>
        <w:t>Przedmiotowy projekt aktu prawnego wraz z Uzasadnieniem oraz Oceną Skutków Regulacji dostępny jest na stronach Rządowego Centrum Legislacji pod adresem:</w:t>
      </w:r>
    </w:p>
    <w:p w14:paraId="603A5621" w14:textId="669BD693" w:rsidR="00BD7A44" w:rsidRDefault="0022774C" w:rsidP="0022774C">
      <w:pPr>
        <w:spacing w:after="0" w:line="300" w:lineRule="auto"/>
        <w:jc w:val="both"/>
        <w:rPr>
          <w:rFonts w:ascii="Arial" w:hAnsi="Arial" w:cs="Arial"/>
        </w:rPr>
      </w:pPr>
      <w:hyperlink r:id="rId9" w:history="1">
        <w:r w:rsidRPr="00A90791">
          <w:rPr>
            <w:rStyle w:val="Hipercze"/>
            <w:rFonts w:ascii="Arial" w:hAnsi="Arial" w:cs="Arial"/>
          </w:rPr>
          <w:t>https://legislacja.gov.pl/projekt/12408300/kata</w:t>
        </w:r>
        <w:r w:rsidRPr="00A90791">
          <w:rPr>
            <w:rStyle w:val="Hipercze"/>
            <w:rFonts w:ascii="Arial" w:hAnsi="Arial" w:cs="Arial"/>
          </w:rPr>
          <w:t>l</w:t>
        </w:r>
        <w:r w:rsidRPr="00A90791">
          <w:rPr>
            <w:rStyle w:val="Hipercze"/>
            <w:rFonts w:ascii="Arial" w:hAnsi="Arial" w:cs="Arial"/>
          </w:rPr>
          <w:t>o</w:t>
        </w:r>
        <w:r w:rsidRPr="00A90791">
          <w:rPr>
            <w:rStyle w:val="Hipercze"/>
            <w:rFonts w:ascii="Arial" w:hAnsi="Arial" w:cs="Arial"/>
          </w:rPr>
          <w:t>g/13192664#13192664</w:t>
        </w:r>
      </w:hyperlink>
      <w:r>
        <w:rPr>
          <w:rFonts w:ascii="Arial" w:hAnsi="Arial" w:cs="Arial"/>
        </w:rPr>
        <w:t xml:space="preserve"> </w:t>
      </w:r>
    </w:p>
    <w:p w14:paraId="62EAA3D1" w14:textId="77777777" w:rsidR="00BD7A44" w:rsidRDefault="00BD7A44" w:rsidP="00266AE9">
      <w:pPr>
        <w:spacing w:after="0" w:line="300" w:lineRule="auto"/>
        <w:jc w:val="both"/>
        <w:rPr>
          <w:rFonts w:ascii="Arial" w:hAnsi="Arial" w:cs="Arial"/>
        </w:rPr>
      </w:pPr>
    </w:p>
    <w:p w14:paraId="1D1B95B5" w14:textId="1B4D8F15" w:rsidR="0022774C" w:rsidRDefault="0022774C" w:rsidP="00266AE9">
      <w:pPr>
        <w:spacing w:after="0" w:line="300" w:lineRule="auto"/>
        <w:jc w:val="both"/>
        <w:rPr>
          <w:rFonts w:ascii="Arial" w:hAnsi="Arial" w:cs="Arial"/>
        </w:rPr>
      </w:pPr>
      <w:r w:rsidRPr="0022774C">
        <w:rPr>
          <w:rFonts w:ascii="Arial" w:hAnsi="Arial" w:cs="Arial"/>
        </w:rPr>
        <w:t>Projekt jest obecnie jednocześnie na etapie uzgodnień, konsultacji publicznych i opiniowania.</w:t>
      </w:r>
    </w:p>
    <w:p w14:paraId="4745AD8D" w14:textId="77777777" w:rsidR="0022774C" w:rsidRPr="00266AE9" w:rsidRDefault="0022774C" w:rsidP="00266AE9">
      <w:pPr>
        <w:spacing w:after="0" w:line="300" w:lineRule="auto"/>
        <w:jc w:val="both"/>
        <w:rPr>
          <w:rFonts w:ascii="Arial" w:hAnsi="Arial" w:cs="Arial"/>
        </w:rPr>
      </w:pPr>
    </w:p>
    <w:p w14:paraId="6DAC337E" w14:textId="5B2296C2" w:rsidR="0059531E" w:rsidRPr="0022774C" w:rsidRDefault="0022774C" w:rsidP="00266AE9">
      <w:pPr>
        <w:pStyle w:val="Akapitzlist"/>
        <w:numPr>
          <w:ilvl w:val="0"/>
          <w:numId w:val="4"/>
        </w:numPr>
        <w:spacing w:after="0" w:line="300" w:lineRule="auto"/>
        <w:jc w:val="both"/>
        <w:rPr>
          <w:rFonts w:ascii="Arial" w:hAnsi="Arial" w:cs="Arial"/>
          <w:b/>
          <w:bCs/>
          <w:u w:val="single"/>
        </w:rPr>
      </w:pPr>
      <w:r w:rsidRPr="0022774C">
        <w:rPr>
          <w:rFonts w:ascii="Arial" w:hAnsi="Arial" w:cs="Arial"/>
          <w:b/>
          <w:bCs/>
          <w:u w:val="single"/>
        </w:rPr>
        <w:t>P</w:t>
      </w:r>
      <w:r w:rsidRPr="0022774C">
        <w:rPr>
          <w:rFonts w:ascii="Arial" w:hAnsi="Arial" w:cs="Arial"/>
          <w:b/>
          <w:bCs/>
          <w:u w:val="single"/>
        </w:rPr>
        <w:t xml:space="preserve">rojekt rozporządzenia Ministra Infrastruktury zmieniającego rozporządzenie w sprawie bezpieczeństwa i higieny pracy w komunikacji miejskiej oraz autobusowej komunikacji międzymiastowej (159).  </w:t>
      </w:r>
    </w:p>
    <w:p w14:paraId="79676ED3" w14:textId="77777777" w:rsidR="0059531E" w:rsidRDefault="0059531E" w:rsidP="00266AE9">
      <w:pPr>
        <w:spacing w:after="0" w:line="300" w:lineRule="auto"/>
        <w:jc w:val="both"/>
        <w:rPr>
          <w:rFonts w:ascii="Arial" w:hAnsi="Arial" w:cs="Arial"/>
        </w:rPr>
      </w:pPr>
    </w:p>
    <w:p w14:paraId="42317467" w14:textId="77777777" w:rsidR="0022774C" w:rsidRPr="0022774C" w:rsidRDefault="0022774C" w:rsidP="0022774C">
      <w:pPr>
        <w:spacing w:after="0" w:line="300" w:lineRule="auto"/>
        <w:jc w:val="both"/>
        <w:rPr>
          <w:rFonts w:ascii="Arial" w:hAnsi="Arial" w:cs="Arial"/>
        </w:rPr>
      </w:pPr>
      <w:r w:rsidRPr="0022774C">
        <w:rPr>
          <w:rFonts w:ascii="Arial" w:hAnsi="Arial" w:cs="Arial"/>
        </w:rPr>
        <w:t xml:space="preserve">Projektowane rozporządzenie zmienia rozporządzenie Ministra Infrastruktury z dnia 16 grudnia 2021 r. w sprawie bezpieczeństwa i higieny pracy w komunikacji miejskiej oraz autobusowej komunikacji międzymiastowej (Dz. U. z 2022 r. poz. 125, z </w:t>
      </w:r>
      <w:proofErr w:type="spellStart"/>
      <w:r w:rsidRPr="0022774C">
        <w:rPr>
          <w:rFonts w:ascii="Arial" w:hAnsi="Arial" w:cs="Arial"/>
        </w:rPr>
        <w:t>późn</w:t>
      </w:r>
      <w:proofErr w:type="spellEnd"/>
      <w:r w:rsidRPr="0022774C">
        <w:rPr>
          <w:rFonts w:ascii="Arial" w:hAnsi="Arial" w:cs="Arial"/>
        </w:rPr>
        <w:t>. zm.).</w:t>
      </w:r>
    </w:p>
    <w:p w14:paraId="7E4B5E7E" w14:textId="77777777" w:rsidR="0022774C" w:rsidRPr="0022774C" w:rsidRDefault="0022774C" w:rsidP="0022774C">
      <w:pPr>
        <w:spacing w:after="0" w:line="300" w:lineRule="auto"/>
        <w:jc w:val="both"/>
        <w:rPr>
          <w:rFonts w:ascii="Arial" w:hAnsi="Arial" w:cs="Arial"/>
        </w:rPr>
      </w:pPr>
      <w:r w:rsidRPr="0022774C">
        <w:rPr>
          <w:rFonts w:ascii="Arial" w:hAnsi="Arial" w:cs="Arial"/>
        </w:rPr>
        <w:t xml:space="preserve">Stosownie do § 52 rozporządzenia Ministra Infrastruktury z dnia 16 grudnia 2021 r. w sprawie bezpieczeństwa i higieny pracy w komunikacji miejskiej oraz autobusowej komunikacji międzymiastowej (Dz. U. z 2022 r. poz. 125 oraz z 2025 r. poz. 510), pracodawca będący operatorem lub przewoźnikiem publicznego transportu zbiorowego w terminie do dnia 30 kwietnia 2026 r. powinien dostosować znajdujące się na krańcach linii komunikacyjnych </w:t>
      </w:r>
      <w:r w:rsidRPr="0022774C">
        <w:rPr>
          <w:rFonts w:ascii="Arial" w:hAnsi="Arial" w:cs="Arial"/>
        </w:rPr>
        <w:lastRenderedPageBreak/>
        <w:t>pomieszczenia do spożywania posiłków oraz pomieszczenia sanitarne do wymagań określonych w § 46 rozporządzenia.</w:t>
      </w:r>
    </w:p>
    <w:p w14:paraId="2C751397" w14:textId="77777777" w:rsidR="0022774C" w:rsidRPr="0022774C" w:rsidRDefault="0022774C" w:rsidP="0022774C">
      <w:pPr>
        <w:spacing w:after="0" w:line="300" w:lineRule="auto"/>
        <w:jc w:val="both"/>
        <w:rPr>
          <w:rFonts w:ascii="Arial" w:hAnsi="Arial" w:cs="Arial"/>
        </w:rPr>
      </w:pPr>
      <w:r w:rsidRPr="0022774C">
        <w:rPr>
          <w:rFonts w:ascii="Arial" w:hAnsi="Arial" w:cs="Arial"/>
        </w:rPr>
        <w:t xml:space="preserve">Z informacji, które wpływają do resortu infrastruktury wynika, że pomimo podjęcia działań mających na celu realizację ww. obowiązku w wielu miejscach infrastruktura ta nie zostanie dostosowana do wymagań określonych w przepisach rozporządzenia, w wymaganym terminie do dnia 30 kwietnia 2026 r. co może spowodować konieczność wprowadzenia korekt trasowania linii lub wprowadzenie innych zmian w organizacji pracy kierowców. Taka sytuacja niewątpliwie może </w:t>
      </w:r>
    </w:p>
    <w:p w14:paraId="227D5F99" w14:textId="77777777" w:rsidR="0022774C" w:rsidRPr="0022774C" w:rsidRDefault="0022774C" w:rsidP="0022774C">
      <w:pPr>
        <w:spacing w:after="0" w:line="300" w:lineRule="auto"/>
        <w:jc w:val="both"/>
        <w:rPr>
          <w:rFonts w:ascii="Arial" w:hAnsi="Arial" w:cs="Arial"/>
        </w:rPr>
      </w:pPr>
      <w:r w:rsidRPr="0022774C">
        <w:rPr>
          <w:rFonts w:ascii="Arial" w:hAnsi="Arial" w:cs="Arial"/>
        </w:rPr>
        <w:t>negatywnie wpłynąć na organizację publicznego transportu w Polsce, a nawet ograniczyć dostępność wskazanego transportu dla mieszkańców. W związku z tym poprzez projektowane rozporządzenie ten termin zostanie wydłużony do dnia 31 grudnia 2026 r.</w:t>
      </w:r>
    </w:p>
    <w:p w14:paraId="3EC93EF5" w14:textId="77777777" w:rsidR="0022774C" w:rsidRPr="0022774C" w:rsidRDefault="0022774C" w:rsidP="0022774C">
      <w:pPr>
        <w:spacing w:after="0" w:line="300" w:lineRule="auto"/>
        <w:jc w:val="both"/>
        <w:rPr>
          <w:rFonts w:ascii="Arial" w:hAnsi="Arial" w:cs="Arial"/>
        </w:rPr>
      </w:pPr>
      <w:r w:rsidRPr="0022774C">
        <w:rPr>
          <w:rFonts w:ascii="Arial" w:hAnsi="Arial" w:cs="Arial"/>
        </w:rPr>
        <w:t>Jednocześnie projekt rozporządzenia przewiduje wprowadzenie możliwości stosowania obiektów nie będących budynkami, tj. tymczasowych obiektów budowlanych (np. kontenery modułowe), w miejscach, gdzie posadowienie budynku trwale związanego z gruntem nie jest możliwe. Takie rozwiązanie w połączeniu z wydłużeniem terminu na dostosowanie znajdujących się na krańcach linii komunikacyjnych pomieszczeń do spożywania posiłków oraz pomieszczeń sanitarnych do wymagań określonych w § 46 rozporządzenia powinno przyczynić się do poprawy warunków socjalnych dla kierowców publicznego transportu zbiorowego, jak i ułatwić a wręcz umożliwić pracodawcom spełnienie tego wymogu.</w:t>
      </w:r>
    </w:p>
    <w:p w14:paraId="498116B1" w14:textId="77777777" w:rsidR="0022774C" w:rsidRPr="0022774C" w:rsidRDefault="0022774C" w:rsidP="0022774C">
      <w:pPr>
        <w:spacing w:after="0" w:line="300" w:lineRule="auto"/>
        <w:jc w:val="both"/>
        <w:rPr>
          <w:rFonts w:ascii="Arial" w:hAnsi="Arial" w:cs="Arial"/>
        </w:rPr>
      </w:pPr>
      <w:r w:rsidRPr="0022774C">
        <w:rPr>
          <w:rFonts w:ascii="Arial" w:hAnsi="Arial" w:cs="Arial"/>
        </w:rPr>
        <w:t xml:space="preserve">Poprzez projekt rozporządzenia przewiduje się wydłużenie odległości lokalizacji toalety podstawowej i pomieszczenia socjalnego od miejsca wyznaczonego do postoju pojazdu, mierzonej po najkrótszej trasie dojścia od pojazdu do toalety z 250 metrów do 350 metrów. Takie rozwiązanie powinno ułatwić pracodawcom zapewnienie należytego dostępu do tych obiektów kierowcom publicznego transportu zbiorowego (§ 1 lit. a i lit. d projektu rozporządzenia). </w:t>
      </w:r>
    </w:p>
    <w:p w14:paraId="78506E65" w14:textId="77777777" w:rsidR="0022774C" w:rsidRPr="0022774C" w:rsidRDefault="0022774C" w:rsidP="0022774C">
      <w:pPr>
        <w:spacing w:after="0" w:line="300" w:lineRule="auto"/>
        <w:jc w:val="both"/>
        <w:rPr>
          <w:rFonts w:ascii="Arial" w:hAnsi="Arial" w:cs="Arial"/>
        </w:rPr>
      </w:pPr>
      <w:r w:rsidRPr="0022774C">
        <w:rPr>
          <w:rFonts w:ascii="Arial" w:hAnsi="Arial" w:cs="Arial"/>
        </w:rPr>
        <w:t xml:space="preserve">Jednocześnie obecnie obowiązujące przepisy rozporządzenia Ministra Infrastruktury z dnia 16 grudnia 2021 r. w sprawie bezpieczeństwa i higieny pracy w komunikacji miejskiej oraz autobusowej komunikacji międzymiastowej, w przypadku kiedy umieszczanie na krańcu linii komunikacyjnej odrębnej toalety podstawowej lub pomieszczenia socjalnego jest niemożliwe, dopuszcza możliwość zawarcia przez pracodawcę umowy z innym podmiotem, która umożliwi korzystanie przez kierujących pojazdami z toalety lub pomieszczenia socjalnego wraz z toaletą w odległości nie większej niż 250 m od miejsca wyznaczonego do postoju pojazdów. Projektowane rozporządzenie przewiduje wydłużenie tej odległości do 350 m (§ 1 lit. e projektu rozporządzenia). </w:t>
      </w:r>
    </w:p>
    <w:p w14:paraId="40A820B0" w14:textId="77777777" w:rsidR="0022774C" w:rsidRPr="0022774C" w:rsidRDefault="0022774C" w:rsidP="0022774C">
      <w:pPr>
        <w:spacing w:after="0" w:line="300" w:lineRule="auto"/>
        <w:jc w:val="both"/>
        <w:rPr>
          <w:rFonts w:ascii="Arial" w:hAnsi="Arial" w:cs="Arial"/>
        </w:rPr>
      </w:pPr>
      <w:r w:rsidRPr="0022774C">
        <w:rPr>
          <w:rFonts w:ascii="Arial" w:hAnsi="Arial" w:cs="Arial"/>
        </w:rPr>
        <w:t xml:space="preserve">Projekt rozporządzenia przewiduje również, w przypadku braku możliwości przyłączenia toalety do sieci wodociągowej zgodnie z wymaganiami rozporządzenia Ministra Infrastruktury z dnia 12 kwietnia 2002 r. w sprawie warunków technicznych, jakim powinny odpowiadać budynki i ich usytuowanie (Dz. U. z 2022 r. poz. 1225, z </w:t>
      </w:r>
      <w:proofErr w:type="spellStart"/>
      <w:r w:rsidRPr="0022774C">
        <w:rPr>
          <w:rFonts w:ascii="Arial" w:hAnsi="Arial" w:cs="Arial"/>
        </w:rPr>
        <w:t>późn</w:t>
      </w:r>
      <w:proofErr w:type="spellEnd"/>
      <w:r w:rsidRPr="0022774C">
        <w:rPr>
          <w:rFonts w:ascii="Arial" w:hAnsi="Arial" w:cs="Arial"/>
        </w:rPr>
        <w:t>. zm.) dopuszczenie stosowania innych rozwiązań zapewniających dostęp dla kierowców do wody zdatnej do celów socjalno-bytowych. Takie rozwiązanie pozwoli na stosowanie obiektów nie będących budynkami, w miejscach, gdzie posadowienie budynku trwale związanego z gruntem z różnych względów nie jest możliwe (§ 1 lit. b projektu rozporządzenia).</w:t>
      </w:r>
    </w:p>
    <w:p w14:paraId="0CFACD7E" w14:textId="77777777" w:rsidR="0022774C" w:rsidRPr="0022774C" w:rsidRDefault="0022774C" w:rsidP="0022774C">
      <w:pPr>
        <w:spacing w:after="0" w:line="300" w:lineRule="auto"/>
        <w:jc w:val="both"/>
        <w:rPr>
          <w:rFonts w:ascii="Arial" w:hAnsi="Arial" w:cs="Arial"/>
        </w:rPr>
      </w:pPr>
      <w:r w:rsidRPr="0022774C">
        <w:rPr>
          <w:rFonts w:ascii="Arial" w:hAnsi="Arial" w:cs="Arial"/>
        </w:rPr>
        <w:t xml:space="preserve">Jednocześnie w § 46 rozporządzenia Ministra Infrastruktury z dnia 16 grudnia 2021 r. w sprawie bezpieczeństwa i higieny pracy w komunikacji miejskiej oraz autobusowej komunikacji </w:t>
      </w:r>
      <w:r w:rsidRPr="0022774C">
        <w:rPr>
          <w:rFonts w:ascii="Arial" w:hAnsi="Arial" w:cs="Arial"/>
        </w:rPr>
        <w:lastRenderedPageBreak/>
        <w:t xml:space="preserve">międzymiastowej zmieniono brzmienie ust. 5, w celu zapewnienia dostępu do nieskanalizowanych ustępów dla kierujących pojazdami na liniach komunikacyjnych w przypadkach, gdy ze względów technicznych nie jest możliwe zapewnienie dostępu do toalet w inny sposób. Zmiana brzmienia ust. 6 ma na celu, aby na krańcach linii komunikacyjnych, na których są zlokalizowane obiekty posiadające pomieszczenie socjalne, toalety mogły być wyposażone w wodę zdatną do celów socjalno-bytowych. Zmiana ta ma na celu wprowadzenie alternatywy wobec konieczności przyłączenia pomieszczenia socjalnego do sieci wodociągowej, co pozwoli pracodawcom na łatwiejsze spełnienie wymogów w zakresie zapewnienia kierowcom warunków do wykonywania pracy (§1 lit. c projektu rozporządzenia).  </w:t>
      </w:r>
    </w:p>
    <w:p w14:paraId="0CAA0E2D" w14:textId="77777777" w:rsidR="0022774C" w:rsidRPr="0022774C" w:rsidRDefault="0022774C" w:rsidP="0022774C">
      <w:pPr>
        <w:spacing w:after="0" w:line="300" w:lineRule="auto"/>
        <w:jc w:val="both"/>
        <w:rPr>
          <w:rFonts w:ascii="Arial" w:hAnsi="Arial" w:cs="Arial"/>
        </w:rPr>
      </w:pPr>
      <w:r w:rsidRPr="0022774C">
        <w:rPr>
          <w:rFonts w:ascii="Arial" w:hAnsi="Arial" w:cs="Arial"/>
        </w:rPr>
        <w:t>Zmiana przepisów w zakresie dopuszczenia możliwości stosowania tymczasowych obiektów (przenośnych kontenerów sanitarnych) zapewniających dostęp do pomieszczeń do spożywania posiłków, wody do celów socjalno-bytowych i toalet w miejscach gdzie infrastruktura sanitarna jest ograniczona lub niedostępna oraz wydłużenie ww. terminu do dnia 31 grudnia 2026 roku powinno pozwolić na dostosowanie pomieszczeń socjalno-sanitarnych do wymagań określonych w przepisach rozporządzenia Ministra Infrastruktury z dnia 16 grudnia 2021 r. w sprawie bezpieczeństwa i higieny pracy w komunikacji miejskiej oraz autobusowej komunikacji międzymiastowej.</w:t>
      </w:r>
    </w:p>
    <w:p w14:paraId="72EE9F0C" w14:textId="77777777" w:rsidR="0022774C" w:rsidRPr="0022774C" w:rsidRDefault="0022774C" w:rsidP="0022774C">
      <w:pPr>
        <w:spacing w:after="0" w:line="300" w:lineRule="auto"/>
        <w:jc w:val="both"/>
        <w:rPr>
          <w:rFonts w:ascii="Arial" w:hAnsi="Arial" w:cs="Arial"/>
        </w:rPr>
      </w:pPr>
      <w:r w:rsidRPr="0022774C">
        <w:rPr>
          <w:rFonts w:ascii="Arial" w:hAnsi="Arial" w:cs="Arial"/>
        </w:rPr>
        <w:t xml:space="preserve">Proponuje się, aby projektowane rozporządzenie weszło w życie z dniem następującym po dniu ogłoszenia. </w:t>
      </w:r>
    </w:p>
    <w:p w14:paraId="71A5EA6B" w14:textId="4758933C" w:rsidR="0022774C" w:rsidRDefault="0022774C" w:rsidP="0022774C">
      <w:pPr>
        <w:spacing w:after="0" w:line="300" w:lineRule="auto"/>
        <w:jc w:val="both"/>
        <w:rPr>
          <w:rFonts w:ascii="Arial" w:hAnsi="Arial" w:cs="Arial"/>
        </w:rPr>
      </w:pPr>
      <w:r w:rsidRPr="0022774C">
        <w:rPr>
          <w:rFonts w:ascii="Arial" w:hAnsi="Arial" w:cs="Arial"/>
        </w:rPr>
        <w:t>Z przeprowadzonej analizy wynika, że wprowadzenie wskazanych zmian nie jest możliwe za pomocą innych środków niż projektowane rozporządzeni.</w:t>
      </w:r>
    </w:p>
    <w:p w14:paraId="4444D994" w14:textId="77777777" w:rsidR="0022774C" w:rsidRDefault="0022774C" w:rsidP="0022774C">
      <w:pPr>
        <w:spacing w:after="0" w:line="300" w:lineRule="auto"/>
        <w:jc w:val="both"/>
        <w:rPr>
          <w:rFonts w:ascii="Arial" w:hAnsi="Arial" w:cs="Arial"/>
        </w:rPr>
      </w:pPr>
    </w:p>
    <w:p w14:paraId="28C07899" w14:textId="77777777" w:rsidR="0022774C" w:rsidRPr="0022774C" w:rsidRDefault="0022774C" w:rsidP="0022774C">
      <w:pPr>
        <w:spacing w:after="0" w:line="300" w:lineRule="auto"/>
        <w:jc w:val="both"/>
        <w:rPr>
          <w:rFonts w:ascii="Arial" w:hAnsi="Arial" w:cs="Arial"/>
        </w:rPr>
      </w:pPr>
      <w:r w:rsidRPr="0022774C">
        <w:rPr>
          <w:rFonts w:ascii="Arial" w:hAnsi="Arial" w:cs="Arial"/>
        </w:rPr>
        <w:t>Przedmiotowy projekt aktu prawnego wraz z Uzasadnieniem oraz Oceną Skutków Regulacji dostępny jest na stronach Rządowego Centrum Legislacji pod adresem:</w:t>
      </w:r>
    </w:p>
    <w:p w14:paraId="002DAC58" w14:textId="29A2B7BA" w:rsidR="0022774C" w:rsidRPr="00266AE9" w:rsidRDefault="0022774C" w:rsidP="0022774C">
      <w:pPr>
        <w:spacing w:after="0" w:line="300" w:lineRule="auto"/>
        <w:jc w:val="both"/>
        <w:rPr>
          <w:rFonts w:ascii="Arial" w:hAnsi="Arial" w:cs="Arial"/>
        </w:rPr>
      </w:pPr>
      <w:hyperlink r:id="rId10" w:history="1">
        <w:r w:rsidRPr="00A90791">
          <w:rPr>
            <w:rStyle w:val="Hipercze"/>
            <w:rFonts w:ascii="Arial" w:hAnsi="Arial" w:cs="Arial"/>
          </w:rPr>
          <w:t>https://legislacja.gov.pl/projekt/12408353/kata</w:t>
        </w:r>
        <w:r w:rsidRPr="00A90791">
          <w:rPr>
            <w:rStyle w:val="Hipercze"/>
            <w:rFonts w:ascii="Arial" w:hAnsi="Arial" w:cs="Arial"/>
          </w:rPr>
          <w:t>l</w:t>
        </w:r>
        <w:r w:rsidRPr="00A90791">
          <w:rPr>
            <w:rStyle w:val="Hipercze"/>
            <w:rFonts w:ascii="Arial" w:hAnsi="Arial" w:cs="Arial"/>
          </w:rPr>
          <w:t>og/13193002#13193002</w:t>
        </w:r>
      </w:hyperlink>
      <w:r>
        <w:rPr>
          <w:rFonts w:ascii="Arial" w:hAnsi="Arial" w:cs="Arial"/>
        </w:rPr>
        <w:t xml:space="preserve"> </w:t>
      </w:r>
    </w:p>
    <w:p w14:paraId="2FF664E5" w14:textId="77777777" w:rsidR="0059531E" w:rsidRDefault="0059531E" w:rsidP="00266AE9">
      <w:pPr>
        <w:spacing w:after="0" w:line="300" w:lineRule="auto"/>
        <w:jc w:val="both"/>
        <w:rPr>
          <w:rFonts w:ascii="Arial" w:hAnsi="Arial" w:cs="Arial"/>
        </w:rPr>
      </w:pPr>
    </w:p>
    <w:p w14:paraId="62275F91" w14:textId="602DDE08" w:rsidR="0022774C" w:rsidRDefault="00CE5649" w:rsidP="00266AE9">
      <w:pPr>
        <w:spacing w:after="0" w:line="300" w:lineRule="auto"/>
        <w:jc w:val="both"/>
        <w:rPr>
          <w:rFonts w:ascii="Arial" w:hAnsi="Arial" w:cs="Arial"/>
        </w:rPr>
      </w:pPr>
      <w:r w:rsidRPr="00CE5649">
        <w:rPr>
          <w:rFonts w:ascii="Arial" w:hAnsi="Arial" w:cs="Arial"/>
        </w:rPr>
        <w:t>Projekt jest obecnie jednocześnie na etapie uzgodnień</w:t>
      </w:r>
      <w:r>
        <w:rPr>
          <w:rFonts w:ascii="Arial" w:hAnsi="Arial" w:cs="Arial"/>
        </w:rPr>
        <w:t xml:space="preserve"> i</w:t>
      </w:r>
      <w:r w:rsidRPr="00CE5649">
        <w:rPr>
          <w:rFonts w:ascii="Arial" w:hAnsi="Arial" w:cs="Arial"/>
        </w:rPr>
        <w:t xml:space="preserve"> konsultacji publicznych.</w:t>
      </w:r>
    </w:p>
    <w:p w14:paraId="202A2149" w14:textId="77777777" w:rsidR="0022774C" w:rsidRPr="00266AE9" w:rsidRDefault="0022774C" w:rsidP="00266AE9">
      <w:pPr>
        <w:spacing w:after="0" w:line="300" w:lineRule="auto"/>
        <w:jc w:val="both"/>
        <w:rPr>
          <w:rFonts w:ascii="Arial" w:hAnsi="Arial" w:cs="Arial"/>
        </w:rPr>
      </w:pPr>
    </w:p>
    <w:p w14:paraId="0A7824BD" w14:textId="55EF77CB" w:rsidR="009A28EF" w:rsidRPr="00783733" w:rsidRDefault="00783733" w:rsidP="00266AE9">
      <w:pPr>
        <w:pStyle w:val="Akapitzlist"/>
        <w:numPr>
          <w:ilvl w:val="0"/>
          <w:numId w:val="4"/>
        </w:numPr>
        <w:spacing w:after="0" w:line="300" w:lineRule="auto"/>
        <w:jc w:val="both"/>
        <w:rPr>
          <w:rFonts w:ascii="Arial" w:hAnsi="Arial" w:cs="Arial"/>
          <w:b/>
          <w:bCs/>
          <w:u w:val="single"/>
        </w:rPr>
      </w:pPr>
      <w:r w:rsidRPr="00783733">
        <w:rPr>
          <w:rFonts w:ascii="Arial" w:hAnsi="Arial" w:cs="Arial"/>
          <w:b/>
          <w:bCs/>
          <w:u w:val="single"/>
        </w:rPr>
        <w:t>P</w:t>
      </w:r>
      <w:r w:rsidRPr="00783733">
        <w:rPr>
          <w:rFonts w:ascii="Arial" w:hAnsi="Arial" w:cs="Arial"/>
          <w:b/>
          <w:bCs/>
          <w:u w:val="single"/>
        </w:rPr>
        <w:t xml:space="preserve">rojekt rozporządzenia Ministra Zdrowia zmieniającego rozporządzenie w sprawie przeprowadzania badań lekarskich pracowników, zakresu profilaktycznej opieki zdrowotnej nad pracownikami oraz orzeczeń lekarskich wydawanych do celów przewidzianych w Kodeksie pracy (MZ1885).  </w:t>
      </w:r>
    </w:p>
    <w:p w14:paraId="3E260A2D" w14:textId="77777777" w:rsidR="009A28EF" w:rsidRDefault="009A28EF" w:rsidP="00266AE9">
      <w:pPr>
        <w:spacing w:after="0" w:line="300" w:lineRule="auto"/>
        <w:jc w:val="both"/>
        <w:rPr>
          <w:rFonts w:ascii="Arial" w:hAnsi="Arial" w:cs="Arial"/>
        </w:rPr>
      </w:pPr>
    </w:p>
    <w:p w14:paraId="0FEE6CBB" w14:textId="77777777" w:rsidR="00783733" w:rsidRPr="00783733" w:rsidRDefault="00783733" w:rsidP="00783733">
      <w:pPr>
        <w:spacing w:after="0" w:line="300" w:lineRule="auto"/>
        <w:jc w:val="both"/>
        <w:rPr>
          <w:rFonts w:ascii="Arial" w:hAnsi="Arial" w:cs="Arial"/>
        </w:rPr>
      </w:pPr>
      <w:r w:rsidRPr="00783733">
        <w:rPr>
          <w:rFonts w:ascii="Arial" w:hAnsi="Arial" w:cs="Arial"/>
        </w:rPr>
        <w:t xml:space="preserve">Projektowane rozporządzenie jest wydawane na podstawie art. 229 § 8 ustawy z dnia 26 czerwca 1974 r. – Kodeks pracy i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2023 r. poz. 607) oraz wdraża dyrektywę Parlamentu Europejskiego i Rady (UE) 2024/869 z dnia 13 marca 2024 r. w sprawie zmiany dyrektywy 2004/37/WE Parlamentu Europejskiego i Rady i dyrektywy Rady 98/24/WE w odniesieniu do wartości dopuszczalnych dla ołowiu i jego związków nieorganicznych oraz dla </w:t>
      </w:r>
      <w:proofErr w:type="spellStart"/>
      <w:r w:rsidRPr="00783733">
        <w:rPr>
          <w:rFonts w:ascii="Arial" w:hAnsi="Arial" w:cs="Arial"/>
        </w:rPr>
        <w:t>diizocyjanianów</w:t>
      </w:r>
      <w:proofErr w:type="spellEnd"/>
      <w:r w:rsidRPr="00783733">
        <w:rPr>
          <w:rFonts w:ascii="Arial" w:hAnsi="Arial" w:cs="Arial"/>
        </w:rPr>
        <w:t xml:space="preserve"> (Dz. Urz. UE L 2024/869 z 19.03.2024), zwanej dalej „dyrektywą 2024/869”.</w:t>
      </w:r>
    </w:p>
    <w:p w14:paraId="48CDF3C3" w14:textId="77777777" w:rsidR="00783733" w:rsidRPr="00783733" w:rsidRDefault="00783733" w:rsidP="00783733">
      <w:pPr>
        <w:spacing w:after="0" w:line="300" w:lineRule="auto"/>
        <w:jc w:val="both"/>
        <w:rPr>
          <w:rFonts w:ascii="Arial" w:hAnsi="Arial" w:cs="Arial"/>
        </w:rPr>
      </w:pPr>
      <w:r w:rsidRPr="00783733">
        <w:rPr>
          <w:rFonts w:ascii="Arial" w:hAnsi="Arial" w:cs="Arial"/>
        </w:rPr>
        <w:t xml:space="preserve">Ołów i jego związki nieorganiczne są kluczowymi substancjami </w:t>
      </w:r>
      <w:proofErr w:type="spellStart"/>
      <w:r w:rsidRPr="00783733">
        <w:rPr>
          <w:rFonts w:ascii="Arial" w:hAnsi="Arial" w:cs="Arial"/>
        </w:rPr>
        <w:t>reprotoksycznymi</w:t>
      </w:r>
      <w:proofErr w:type="spellEnd"/>
      <w:r w:rsidRPr="00783733">
        <w:rPr>
          <w:rFonts w:ascii="Arial" w:hAnsi="Arial" w:cs="Arial"/>
        </w:rPr>
        <w:t xml:space="preserve"> w środowisku pracy, które mogą wywierać niekorzystny wpływ zarówno na płodność, jak i na </w:t>
      </w:r>
      <w:r w:rsidRPr="00783733">
        <w:rPr>
          <w:rFonts w:ascii="Arial" w:hAnsi="Arial" w:cs="Arial"/>
        </w:rPr>
        <w:lastRenderedPageBreak/>
        <w:t xml:space="preserve">rozwój płodu, a także spełniają kryteria klasyfikacji jako substancje działające szkodliwie na rozrodczość kategorii 1A zgodnie z rozporządzeniem Parlamentu Europejskiego i Rady (WE) nr 1272/2008 z dnia 16 grudnia 2008 r. w sprawie klasyfikacji, oznakowania i pakowania substancji i mieszanin, zmieniające i uchylające dyrektywy 67/548/EWG i 1999/45/WE oraz zmieniające rozporządzenie (WE) nr 1907/2006 (Dz. Urz. UE L 353 z 31.12.2008, str. 1, z </w:t>
      </w:r>
      <w:proofErr w:type="spellStart"/>
      <w:r w:rsidRPr="00783733">
        <w:rPr>
          <w:rFonts w:ascii="Arial" w:hAnsi="Arial" w:cs="Arial"/>
        </w:rPr>
        <w:t>późn</w:t>
      </w:r>
      <w:proofErr w:type="spellEnd"/>
      <w:r w:rsidRPr="00783733">
        <w:rPr>
          <w:rFonts w:ascii="Arial" w:hAnsi="Arial" w:cs="Arial"/>
        </w:rPr>
        <w:t xml:space="preserve">. zm.), a zatem są substancjami </w:t>
      </w:r>
      <w:proofErr w:type="spellStart"/>
      <w:r w:rsidRPr="00783733">
        <w:rPr>
          <w:rFonts w:ascii="Arial" w:hAnsi="Arial" w:cs="Arial"/>
        </w:rPr>
        <w:t>reprotoksycznymi</w:t>
      </w:r>
      <w:proofErr w:type="spellEnd"/>
      <w:r w:rsidRPr="00783733">
        <w:rPr>
          <w:rFonts w:ascii="Arial" w:hAnsi="Arial" w:cs="Arial"/>
        </w:rPr>
        <w:t xml:space="preserve"> zdefiniowanymi w art. 2 lit. ba) dyrektywy 2004/37/WE Parlamentu Europejskiego i Rady z dnia 29 kwietnia 2004 r. w sprawie ochrony pracowników przed zagrożeniem dotyczącym narażenia na działanie czynników rakotwórczych lub mutagenów podczas pracy (szósta dyrektywa szczegółowa w rozumieniu art. 16 ust. 1 dyrektywy Rady 89/391/EWG) (Dz. Urz. UE L 158 z 30.04.2004, str. 50, z </w:t>
      </w:r>
      <w:proofErr w:type="spellStart"/>
      <w:r w:rsidRPr="00783733">
        <w:rPr>
          <w:rFonts w:ascii="Arial" w:hAnsi="Arial" w:cs="Arial"/>
        </w:rPr>
        <w:t>późn</w:t>
      </w:r>
      <w:proofErr w:type="spellEnd"/>
      <w:r w:rsidRPr="00783733">
        <w:rPr>
          <w:rFonts w:ascii="Arial" w:hAnsi="Arial" w:cs="Arial"/>
        </w:rPr>
        <w:t>. zm.).</w:t>
      </w:r>
    </w:p>
    <w:p w14:paraId="200D51AA" w14:textId="77777777" w:rsidR="00783733" w:rsidRPr="00783733" w:rsidRDefault="00783733" w:rsidP="00783733">
      <w:pPr>
        <w:spacing w:after="0" w:line="300" w:lineRule="auto"/>
        <w:jc w:val="both"/>
        <w:rPr>
          <w:rFonts w:ascii="Arial" w:hAnsi="Arial" w:cs="Arial"/>
        </w:rPr>
      </w:pPr>
      <w:r w:rsidRPr="00783733">
        <w:rPr>
          <w:rFonts w:ascii="Arial" w:hAnsi="Arial" w:cs="Arial"/>
        </w:rPr>
        <w:t xml:space="preserve">Jak stanowi dyrektywa 2024/869 badania pokazują, że ołów odpowiada za około połowę całego narażenia zawodowego na działanie substancji </w:t>
      </w:r>
      <w:proofErr w:type="spellStart"/>
      <w:r w:rsidRPr="00783733">
        <w:rPr>
          <w:rFonts w:ascii="Arial" w:hAnsi="Arial" w:cs="Arial"/>
        </w:rPr>
        <w:t>reprotoksycznych</w:t>
      </w:r>
      <w:proofErr w:type="spellEnd"/>
      <w:r w:rsidRPr="00783733">
        <w:rPr>
          <w:rFonts w:ascii="Arial" w:hAnsi="Arial" w:cs="Arial"/>
        </w:rPr>
        <w:t>. Nie można naukowo określić poziomu, poniżej którego narażenie na działanie ołowiu i jego związków nieorganicznych byłoby bezpieczne dla rozwoju potomstwa pracownic w wieku rozrodczym. Należy zatem wprowadzić notację „</w:t>
      </w:r>
      <w:proofErr w:type="spellStart"/>
      <w:r w:rsidRPr="00783733">
        <w:rPr>
          <w:rFonts w:ascii="Arial" w:hAnsi="Arial" w:cs="Arial"/>
        </w:rPr>
        <w:t>nieprogowa</w:t>
      </w:r>
      <w:proofErr w:type="spellEnd"/>
      <w:r w:rsidRPr="00783733">
        <w:rPr>
          <w:rFonts w:ascii="Arial" w:hAnsi="Arial" w:cs="Arial"/>
        </w:rPr>
        <w:t xml:space="preserve"> substancja </w:t>
      </w:r>
      <w:proofErr w:type="spellStart"/>
      <w:r w:rsidRPr="00783733">
        <w:rPr>
          <w:rFonts w:ascii="Arial" w:hAnsi="Arial" w:cs="Arial"/>
        </w:rPr>
        <w:t>reprotoksyczna</w:t>
      </w:r>
      <w:proofErr w:type="spellEnd"/>
      <w:r w:rsidRPr="00783733">
        <w:rPr>
          <w:rFonts w:ascii="Arial" w:hAnsi="Arial" w:cs="Arial"/>
        </w:rPr>
        <w:t xml:space="preserve">” w odniesieniu do ołowiu i jego związków nieorganicznych, a pracodawcy powinni zapewnić, aby narażenie zawodowe pracowników na działanie ołowiu i jego związków nieorganicznych zmniejszyło się do tak niskiego poziomu, jak to technicznie możliwe. Narażenie drogą doustną i oddechową to istotne drogi wchłaniania ołowiu i jego związków nieorganicznych do organizmu ludzkiego. Ze względu na najnowsze dane naukowe oraz nowe ustalenia dotyczące ołowiu i jego związków nieorganicznych konieczna jest poprawa ochrony pracowników narażonych na potencjalne zagrożenie dla zdrowia polegająca na obniżeniu zarówno dopuszczalnej wartości biologicznej, jak i dopuszczalnej wartości narażenia zawodowego dla ołowiu i jego związków nieorganicznych. </w:t>
      </w:r>
    </w:p>
    <w:p w14:paraId="3A02A7B9" w14:textId="77777777" w:rsidR="00783733" w:rsidRPr="00783733" w:rsidRDefault="00783733" w:rsidP="00783733">
      <w:pPr>
        <w:spacing w:after="0" w:line="300" w:lineRule="auto"/>
        <w:jc w:val="both"/>
        <w:rPr>
          <w:rFonts w:ascii="Arial" w:hAnsi="Arial" w:cs="Arial"/>
        </w:rPr>
      </w:pPr>
      <w:r w:rsidRPr="00783733">
        <w:rPr>
          <w:rFonts w:ascii="Arial" w:hAnsi="Arial" w:cs="Arial"/>
        </w:rPr>
        <w:t xml:space="preserve">W związku z powyższym od dnia 1 stycznia 2029 r. wiążąca dopuszczalna wartość biologiczna wynosi 15 </w:t>
      </w:r>
      <w:proofErr w:type="spellStart"/>
      <w:r w:rsidRPr="00783733">
        <w:rPr>
          <w:rFonts w:ascii="Arial" w:hAnsi="Arial" w:cs="Arial"/>
        </w:rPr>
        <w:t>μg</w:t>
      </w:r>
      <w:proofErr w:type="spellEnd"/>
      <w:r w:rsidRPr="00783733">
        <w:rPr>
          <w:rFonts w:ascii="Arial" w:hAnsi="Arial" w:cs="Arial"/>
        </w:rPr>
        <w:t xml:space="preserve"> Pb/100 ml krwi. W przypadku pracowników, u których stężenie ołowiu we krwi przekracza dopuszczalną wartość biologiczną 15 </w:t>
      </w:r>
      <w:proofErr w:type="spellStart"/>
      <w:r w:rsidRPr="00783733">
        <w:rPr>
          <w:rFonts w:ascii="Arial" w:hAnsi="Arial" w:cs="Arial"/>
        </w:rPr>
        <w:t>μg</w:t>
      </w:r>
      <w:proofErr w:type="spellEnd"/>
      <w:r w:rsidRPr="00783733">
        <w:rPr>
          <w:rFonts w:ascii="Arial" w:hAnsi="Arial" w:cs="Arial"/>
        </w:rPr>
        <w:t xml:space="preserve"> Pb/100 ml krwi w wyniku narażenia, do którego doszło przed dniem 9 kwietnia 2026 r., ale jest niższe niż 30 </w:t>
      </w:r>
      <w:proofErr w:type="spellStart"/>
      <w:r w:rsidRPr="00783733">
        <w:rPr>
          <w:rFonts w:ascii="Arial" w:hAnsi="Arial" w:cs="Arial"/>
        </w:rPr>
        <w:t>μg</w:t>
      </w:r>
      <w:proofErr w:type="spellEnd"/>
      <w:r w:rsidRPr="00783733">
        <w:rPr>
          <w:rFonts w:ascii="Arial" w:hAnsi="Arial" w:cs="Arial"/>
        </w:rPr>
        <w:t xml:space="preserve"> Pb/100 ml, przeprowadza się regularne badania medyczne. Jeżeli u tych pracowników stwierdzi się tendencję spadkową w kierunku wartości dopuszczalnej 15 </w:t>
      </w:r>
      <w:proofErr w:type="spellStart"/>
      <w:r w:rsidRPr="00783733">
        <w:rPr>
          <w:rFonts w:ascii="Arial" w:hAnsi="Arial" w:cs="Arial"/>
        </w:rPr>
        <w:t>μg</w:t>
      </w:r>
      <w:proofErr w:type="spellEnd"/>
      <w:r w:rsidRPr="00783733">
        <w:rPr>
          <w:rFonts w:ascii="Arial" w:hAnsi="Arial" w:cs="Arial"/>
        </w:rPr>
        <w:t xml:space="preserve"> Pb/100 ml krwi, można im zezwolić na dalszą pracę wiążącą się z narażeniem na działanie ołowiu. Odpowiednie zmiany zostały wprowadzone także w załączniku w Lp. 32 w części III czynniki chemiczne.</w:t>
      </w:r>
    </w:p>
    <w:p w14:paraId="12E92A31" w14:textId="77777777" w:rsidR="00783733" w:rsidRPr="00783733" w:rsidRDefault="00783733" w:rsidP="00783733">
      <w:pPr>
        <w:spacing w:after="0" w:line="300" w:lineRule="auto"/>
        <w:jc w:val="both"/>
        <w:rPr>
          <w:rFonts w:ascii="Arial" w:hAnsi="Arial" w:cs="Arial"/>
        </w:rPr>
      </w:pPr>
      <w:r w:rsidRPr="00783733">
        <w:rPr>
          <w:rFonts w:ascii="Arial" w:hAnsi="Arial" w:cs="Arial"/>
        </w:rPr>
        <w:t>Jednocześnie należy wskazać, że przepisy dyrektywy 2024/869 w zakresie załącznika IIIA dotyczącego dopuszczalnych wartości biologicznych i środków kontroli zdrowia, będą wdrażane w dwóch rozporządzeniach Ministra Zdrowia, tj.:</w:t>
      </w:r>
    </w:p>
    <w:p w14:paraId="1604664E" w14:textId="77777777" w:rsidR="00783733" w:rsidRPr="00783733" w:rsidRDefault="00783733" w:rsidP="00783733">
      <w:pPr>
        <w:spacing w:after="0" w:line="300" w:lineRule="auto"/>
        <w:jc w:val="both"/>
        <w:rPr>
          <w:rFonts w:ascii="Arial" w:hAnsi="Arial" w:cs="Arial"/>
        </w:rPr>
      </w:pPr>
      <w:r w:rsidRPr="00783733">
        <w:rPr>
          <w:rFonts w:ascii="Arial" w:hAnsi="Arial" w:cs="Arial"/>
        </w:rPr>
        <w:t>1) projektowanym rozporządzeniu Ministra Zdrowia zmieniającym rozporządzenie w sprawie przeprowadzania badań lekarskich pracowników, zakresu profilaktycznej opieki zdrowotnej nad pracownikami oraz orzeczeń lekarskich wydawanych do celów przewidzianych w Kodeksie pracy,</w:t>
      </w:r>
    </w:p>
    <w:p w14:paraId="7617E835" w14:textId="41D58345" w:rsidR="00783733" w:rsidRDefault="00783733" w:rsidP="00783733">
      <w:pPr>
        <w:spacing w:after="0" w:line="300" w:lineRule="auto"/>
        <w:jc w:val="both"/>
        <w:rPr>
          <w:rFonts w:ascii="Arial" w:hAnsi="Arial" w:cs="Arial"/>
        </w:rPr>
      </w:pPr>
      <w:r w:rsidRPr="00783733">
        <w:rPr>
          <w:rFonts w:ascii="Arial" w:hAnsi="Arial" w:cs="Arial"/>
        </w:rPr>
        <w:t xml:space="preserve">2) a także rozporządzeniu Ministra Zdrowia zmieniającym rozporządzenie w sprawie bezpieczeństwa i higieny pracy związanej z występowaniem w miejscu pracy czynników chemicznych, określającym, że do dnia 31 grudnia 2028 r. wiążąca dopuszczalna wartość biologiczna wynosi 30 </w:t>
      </w:r>
      <w:proofErr w:type="spellStart"/>
      <w:r w:rsidRPr="00783733">
        <w:rPr>
          <w:rFonts w:ascii="Arial" w:hAnsi="Arial" w:cs="Arial"/>
        </w:rPr>
        <w:t>μg</w:t>
      </w:r>
      <w:proofErr w:type="spellEnd"/>
      <w:r w:rsidRPr="00783733">
        <w:rPr>
          <w:rFonts w:ascii="Arial" w:hAnsi="Arial" w:cs="Arial"/>
        </w:rPr>
        <w:t xml:space="preserve"> Pb/100 ml krwi.</w:t>
      </w:r>
    </w:p>
    <w:p w14:paraId="73B7D9B5" w14:textId="77777777" w:rsidR="00783733" w:rsidRDefault="00783733" w:rsidP="00783733">
      <w:pPr>
        <w:spacing w:after="0" w:line="300" w:lineRule="auto"/>
        <w:jc w:val="both"/>
        <w:rPr>
          <w:rFonts w:ascii="Arial" w:hAnsi="Arial" w:cs="Arial"/>
        </w:rPr>
      </w:pPr>
    </w:p>
    <w:p w14:paraId="1B5D5D72" w14:textId="77777777" w:rsidR="00783733" w:rsidRPr="00783733" w:rsidRDefault="00783733" w:rsidP="00783733">
      <w:pPr>
        <w:spacing w:after="0" w:line="300" w:lineRule="auto"/>
        <w:jc w:val="both"/>
        <w:rPr>
          <w:rFonts w:ascii="Arial" w:hAnsi="Arial" w:cs="Arial"/>
        </w:rPr>
      </w:pPr>
      <w:r w:rsidRPr="00783733">
        <w:rPr>
          <w:rFonts w:ascii="Arial" w:hAnsi="Arial" w:cs="Arial"/>
        </w:rPr>
        <w:t>Przedmiotowy projekt aktu prawnego wraz z Uzasadnieniem, Oceną Skutków Regulacji oraz Tabelą zgodności dostępny jest na stronach Rządowego Centrum Legislacji pod adresem:</w:t>
      </w:r>
    </w:p>
    <w:p w14:paraId="6AC4EE8F" w14:textId="0FA47238" w:rsidR="00783733" w:rsidRDefault="00783733" w:rsidP="00783733">
      <w:pPr>
        <w:spacing w:after="0" w:line="300" w:lineRule="auto"/>
        <w:jc w:val="both"/>
        <w:rPr>
          <w:rFonts w:ascii="Arial" w:hAnsi="Arial" w:cs="Arial"/>
        </w:rPr>
      </w:pPr>
      <w:hyperlink r:id="rId11" w:history="1">
        <w:r w:rsidRPr="00A90791">
          <w:rPr>
            <w:rStyle w:val="Hipercze"/>
            <w:rFonts w:ascii="Arial" w:hAnsi="Arial" w:cs="Arial"/>
          </w:rPr>
          <w:t>https://legislacja.gov.pl/projekt/12408352/katalog/</w:t>
        </w:r>
        <w:r w:rsidRPr="00A90791">
          <w:rPr>
            <w:rStyle w:val="Hipercze"/>
            <w:rFonts w:ascii="Arial" w:hAnsi="Arial" w:cs="Arial"/>
          </w:rPr>
          <w:t>1</w:t>
        </w:r>
        <w:r w:rsidRPr="00A90791">
          <w:rPr>
            <w:rStyle w:val="Hipercze"/>
            <w:rFonts w:ascii="Arial" w:hAnsi="Arial" w:cs="Arial"/>
          </w:rPr>
          <w:t>3192959#13192959</w:t>
        </w:r>
      </w:hyperlink>
      <w:r>
        <w:rPr>
          <w:rFonts w:ascii="Arial" w:hAnsi="Arial" w:cs="Arial"/>
        </w:rPr>
        <w:t xml:space="preserve"> </w:t>
      </w:r>
    </w:p>
    <w:p w14:paraId="054506FA" w14:textId="77777777" w:rsidR="00783733" w:rsidRDefault="00783733" w:rsidP="00266AE9">
      <w:pPr>
        <w:spacing w:after="0" w:line="300" w:lineRule="auto"/>
        <w:jc w:val="both"/>
        <w:rPr>
          <w:rFonts w:ascii="Arial" w:hAnsi="Arial" w:cs="Arial"/>
        </w:rPr>
      </w:pPr>
    </w:p>
    <w:p w14:paraId="02DF39C2" w14:textId="27AA62C2" w:rsidR="00783733" w:rsidRPr="00266AE9" w:rsidRDefault="00783733" w:rsidP="00266AE9">
      <w:pPr>
        <w:spacing w:after="0" w:line="300" w:lineRule="auto"/>
        <w:jc w:val="both"/>
        <w:rPr>
          <w:rFonts w:ascii="Arial" w:hAnsi="Arial" w:cs="Arial"/>
        </w:rPr>
      </w:pPr>
      <w:r w:rsidRPr="00783733">
        <w:rPr>
          <w:rFonts w:ascii="Arial" w:hAnsi="Arial" w:cs="Arial"/>
        </w:rPr>
        <w:t>Projekt jest obecnie jednocześnie na etapie uzgodnień</w:t>
      </w:r>
      <w:r>
        <w:rPr>
          <w:rFonts w:ascii="Arial" w:hAnsi="Arial" w:cs="Arial"/>
        </w:rPr>
        <w:t xml:space="preserve"> i</w:t>
      </w:r>
      <w:r w:rsidRPr="00783733">
        <w:rPr>
          <w:rFonts w:ascii="Arial" w:hAnsi="Arial" w:cs="Arial"/>
        </w:rPr>
        <w:t xml:space="preserve"> konsultacji publicznych.</w:t>
      </w:r>
    </w:p>
    <w:p w14:paraId="54613DEF" w14:textId="77777777" w:rsidR="009A28EF" w:rsidRPr="00266AE9" w:rsidRDefault="009A28EF" w:rsidP="00266AE9">
      <w:pPr>
        <w:spacing w:after="0" w:line="300" w:lineRule="auto"/>
        <w:jc w:val="both"/>
        <w:rPr>
          <w:rFonts w:ascii="Arial" w:hAnsi="Arial" w:cs="Arial"/>
        </w:rPr>
      </w:pPr>
    </w:p>
    <w:p w14:paraId="1475CEA3" w14:textId="77777777" w:rsidR="009A28EF" w:rsidRPr="00266AE9" w:rsidRDefault="009A28EF" w:rsidP="00266AE9">
      <w:pPr>
        <w:spacing w:after="0" w:line="300" w:lineRule="auto"/>
        <w:rPr>
          <w:rFonts w:ascii="Arial" w:hAnsi="Arial" w:cs="Arial"/>
        </w:rPr>
      </w:pPr>
    </w:p>
    <w:p w14:paraId="0684EF47" w14:textId="77777777" w:rsidR="009A28EF" w:rsidRPr="00266AE9" w:rsidRDefault="009A28EF" w:rsidP="00266AE9">
      <w:pPr>
        <w:spacing w:after="0" w:line="300" w:lineRule="auto"/>
        <w:jc w:val="both"/>
        <w:rPr>
          <w:rFonts w:ascii="Arial" w:hAnsi="Arial" w:cs="Arial"/>
          <w:b/>
        </w:rPr>
      </w:pPr>
      <w:r w:rsidRPr="00266AE9">
        <w:rPr>
          <w:rFonts w:ascii="Arial" w:hAnsi="Arial" w:cs="Arial"/>
          <w:b/>
        </w:rPr>
        <w:t>II. Ogłoszone akty prawne (Dziennik Ustaw RP)</w:t>
      </w:r>
    </w:p>
    <w:p w14:paraId="34DC22C7" w14:textId="77777777" w:rsidR="009A28EF" w:rsidRPr="00266AE9" w:rsidRDefault="009A28EF" w:rsidP="00266AE9">
      <w:pPr>
        <w:spacing w:after="0" w:line="300" w:lineRule="auto"/>
        <w:jc w:val="both"/>
        <w:rPr>
          <w:rFonts w:ascii="Arial" w:hAnsi="Arial" w:cs="Arial"/>
        </w:rPr>
      </w:pPr>
    </w:p>
    <w:p w14:paraId="7C2EF7AB" w14:textId="02F13467" w:rsidR="009A28EF" w:rsidRPr="00266AE9" w:rsidRDefault="009A28EF" w:rsidP="00266AE9">
      <w:pPr>
        <w:spacing w:after="0" w:line="300" w:lineRule="auto"/>
        <w:jc w:val="both"/>
        <w:rPr>
          <w:rFonts w:ascii="Arial" w:hAnsi="Arial" w:cs="Arial"/>
        </w:rPr>
      </w:pPr>
      <w:r w:rsidRPr="00266AE9">
        <w:rPr>
          <w:rFonts w:ascii="Arial" w:hAnsi="Arial" w:cs="Arial"/>
        </w:rPr>
        <w:t xml:space="preserve">W analizowanym okresie ogłoszono </w:t>
      </w:r>
      <w:r w:rsidR="003343B5">
        <w:rPr>
          <w:rFonts w:ascii="Arial" w:hAnsi="Arial" w:cs="Arial"/>
        </w:rPr>
        <w:t xml:space="preserve">45 </w:t>
      </w:r>
      <w:r w:rsidRPr="00266AE9">
        <w:rPr>
          <w:rFonts w:ascii="Arial" w:hAnsi="Arial" w:cs="Arial"/>
        </w:rPr>
        <w:t>akt</w:t>
      </w:r>
      <w:r w:rsidR="003343B5">
        <w:rPr>
          <w:rFonts w:ascii="Arial" w:hAnsi="Arial" w:cs="Arial"/>
        </w:rPr>
        <w:t>ów</w:t>
      </w:r>
      <w:r w:rsidRPr="00266AE9">
        <w:rPr>
          <w:rFonts w:ascii="Arial" w:hAnsi="Arial" w:cs="Arial"/>
        </w:rPr>
        <w:t xml:space="preserve"> prawn</w:t>
      </w:r>
      <w:r w:rsidR="003343B5">
        <w:rPr>
          <w:rFonts w:ascii="Arial" w:hAnsi="Arial" w:cs="Arial"/>
        </w:rPr>
        <w:t>ych</w:t>
      </w:r>
      <w:r w:rsidRPr="00266AE9">
        <w:rPr>
          <w:rFonts w:ascii="Arial" w:hAnsi="Arial" w:cs="Arial"/>
        </w:rPr>
        <w:t>, tzn. ustaw, rozporządze</w:t>
      </w:r>
      <w:r w:rsidR="003343B5">
        <w:rPr>
          <w:rFonts w:ascii="Arial" w:hAnsi="Arial" w:cs="Arial"/>
        </w:rPr>
        <w:t>ń</w:t>
      </w:r>
      <w:r w:rsidRPr="00266AE9">
        <w:rPr>
          <w:rFonts w:ascii="Arial" w:hAnsi="Arial" w:cs="Arial"/>
        </w:rPr>
        <w:t xml:space="preserve"> Rady Ministrów, Prezesa Rady Ministrów i poszczególnych ministrów, obwieszcze</w:t>
      </w:r>
      <w:r w:rsidR="003343B5">
        <w:rPr>
          <w:rFonts w:ascii="Arial" w:hAnsi="Arial" w:cs="Arial"/>
        </w:rPr>
        <w:t>ń</w:t>
      </w:r>
      <w:r w:rsidRPr="00266AE9">
        <w:rPr>
          <w:rFonts w:ascii="Arial" w:hAnsi="Arial" w:cs="Arial"/>
        </w:rPr>
        <w:t xml:space="preserve"> w sprawie ogłoszenia tekstu jednolitego. Z powyższych publikacji w zainteresowaniu pracodawców i przedsiębiorców znaleźć się mogą następujące akty prawne:</w:t>
      </w:r>
    </w:p>
    <w:p w14:paraId="30E050FC" w14:textId="77777777" w:rsidR="009A28EF" w:rsidRPr="00266AE9" w:rsidRDefault="009A28EF" w:rsidP="00266AE9">
      <w:pPr>
        <w:spacing w:after="0" w:line="300" w:lineRule="auto"/>
        <w:jc w:val="both"/>
        <w:rPr>
          <w:rFonts w:ascii="Arial" w:hAnsi="Arial" w:cs="Arial"/>
        </w:rPr>
      </w:pPr>
    </w:p>
    <w:p w14:paraId="288FA2BF" w14:textId="304825EF" w:rsidR="009A28EF" w:rsidRPr="00023395" w:rsidRDefault="00023395" w:rsidP="00266AE9">
      <w:pPr>
        <w:pStyle w:val="Akapitzlist"/>
        <w:numPr>
          <w:ilvl w:val="0"/>
          <w:numId w:val="2"/>
        </w:numPr>
        <w:spacing w:after="0" w:line="300" w:lineRule="auto"/>
        <w:ind w:left="426" w:hanging="426"/>
        <w:jc w:val="both"/>
        <w:rPr>
          <w:rFonts w:ascii="Arial" w:hAnsi="Arial" w:cs="Arial"/>
          <w:b/>
          <w:bCs/>
          <w:u w:val="single"/>
        </w:rPr>
      </w:pPr>
      <w:r w:rsidRPr="00023395">
        <w:rPr>
          <w:rFonts w:ascii="Arial" w:hAnsi="Arial" w:cs="Arial"/>
          <w:b/>
          <w:bCs/>
          <w:u w:val="single"/>
        </w:rPr>
        <w:t>Ustawa z dnia 23 stycznia 2026 r. o zmianie niektórych ustaw związanych z funkcjonowaniem rynku finansowego oraz ochroną uczestników tego rynku</w:t>
      </w:r>
      <w:r w:rsidRPr="00023395">
        <w:rPr>
          <w:rFonts w:ascii="Arial" w:hAnsi="Arial" w:cs="Arial"/>
          <w:b/>
          <w:bCs/>
          <w:u w:val="single"/>
        </w:rPr>
        <w:t>.</w:t>
      </w:r>
    </w:p>
    <w:p w14:paraId="0CD6A227" w14:textId="77777777" w:rsidR="00023395" w:rsidRDefault="00023395" w:rsidP="00023395">
      <w:pPr>
        <w:spacing w:after="0" w:line="300" w:lineRule="auto"/>
        <w:jc w:val="both"/>
        <w:rPr>
          <w:rFonts w:ascii="Arial" w:eastAsia="Times New Roman" w:hAnsi="Arial" w:cs="Arial"/>
          <w:lang w:eastAsia="pl-PL"/>
        </w:rPr>
      </w:pPr>
    </w:p>
    <w:p w14:paraId="29635301" w14:textId="61C70D02" w:rsidR="009A28EF" w:rsidRPr="00023395" w:rsidRDefault="009A28EF" w:rsidP="00023395">
      <w:pPr>
        <w:spacing w:after="0" w:line="300" w:lineRule="auto"/>
        <w:jc w:val="both"/>
        <w:rPr>
          <w:rFonts w:ascii="Arial" w:eastAsia="Times New Roman" w:hAnsi="Arial" w:cs="Arial"/>
          <w:lang w:eastAsia="pl-PL"/>
        </w:rPr>
      </w:pPr>
      <w:r w:rsidRPr="00023395">
        <w:rPr>
          <w:rFonts w:ascii="Arial" w:eastAsia="Times New Roman" w:hAnsi="Arial" w:cs="Arial"/>
          <w:lang w:eastAsia="pl-PL"/>
        </w:rPr>
        <w:t xml:space="preserve">Powyższy akt prawny ogłoszony został </w:t>
      </w:r>
      <w:r w:rsidR="00023395">
        <w:rPr>
          <w:rFonts w:ascii="Arial" w:eastAsia="Times New Roman" w:hAnsi="Arial" w:cs="Arial"/>
          <w:lang w:eastAsia="pl-PL"/>
        </w:rPr>
        <w:t>16 marca</w:t>
      </w:r>
      <w:r w:rsidRPr="00023395">
        <w:rPr>
          <w:rFonts w:ascii="Arial" w:eastAsia="Times New Roman" w:hAnsi="Arial" w:cs="Arial"/>
          <w:lang w:eastAsia="pl-PL"/>
        </w:rPr>
        <w:t xml:space="preserve"> 20</w:t>
      </w:r>
      <w:r w:rsidR="00023395">
        <w:rPr>
          <w:rFonts w:ascii="Arial" w:eastAsia="Times New Roman" w:hAnsi="Arial" w:cs="Arial"/>
          <w:lang w:eastAsia="pl-PL"/>
        </w:rPr>
        <w:t>26</w:t>
      </w:r>
      <w:r w:rsidRPr="00023395">
        <w:rPr>
          <w:rFonts w:ascii="Arial" w:eastAsia="Times New Roman" w:hAnsi="Arial" w:cs="Arial"/>
          <w:lang w:eastAsia="pl-PL"/>
        </w:rPr>
        <w:t xml:space="preserve"> roku w Dzienniku Ustaw (Dz.U. z 202</w:t>
      </w:r>
      <w:r w:rsidR="00023395">
        <w:rPr>
          <w:rFonts w:ascii="Arial" w:eastAsia="Times New Roman" w:hAnsi="Arial" w:cs="Arial"/>
          <w:lang w:eastAsia="pl-PL"/>
        </w:rPr>
        <w:t>6</w:t>
      </w:r>
      <w:r w:rsidRPr="00023395">
        <w:rPr>
          <w:rFonts w:ascii="Arial" w:eastAsia="Times New Roman" w:hAnsi="Arial" w:cs="Arial"/>
          <w:lang w:eastAsia="pl-PL"/>
        </w:rPr>
        <w:t xml:space="preserve">, poz. </w:t>
      </w:r>
      <w:r w:rsidR="00023395">
        <w:rPr>
          <w:rFonts w:ascii="Arial" w:eastAsia="Times New Roman" w:hAnsi="Arial" w:cs="Arial"/>
          <w:lang w:eastAsia="pl-PL"/>
        </w:rPr>
        <w:t>340</w:t>
      </w:r>
      <w:r w:rsidRPr="00023395">
        <w:rPr>
          <w:rFonts w:ascii="Arial" w:eastAsia="Times New Roman" w:hAnsi="Arial" w:cs="Arial"/>
          <w:lang w:eastAsia="pl-PL"/>
        </w:rPr>
        <w:t>).</w:t>
      </w:r>
    </w:p>
    <w:p w14:paraId="2878311C" w14:textId="77777777" w:rsidR="00023395" w:rsidRDefault="00023395" w:rsidP="00023395">
      <w:pPr>
        <w:spacing w:after="0" w:line="300" w:lineRule="auto"/>
        <w:jc w:val="both"/>
        <w:rPr>
          <w:rFonts w:ascii="Arial" w:eastAsia="Times New Roman" w:hAnsi="Arial" w:cs="Arial"/>
          <w:lang w:eastAsia="pl-PL"/>
        </w:rPr>
      </w:pPr>
    </w:p>
    <w:p w14:paraId="048B142B"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Ustawa z dnia 23 stycznia 2026 r. o zmianie niektórych ustaw związanych z funkcjonowaniem rynku finansowego oraz ochroną uczestników tego rynku:  </w:t>
      </w:r>
    </w:p>
    <w:p w14:paraId="70D07467"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1) wdraża dyrektywę Parlamentu Europejskiego i Rady (UE) 2024/1174 z dnia 11 kwietnia 2024 r. zmieniającą dyrektywę 2014/59/UE i rozporządzenie (UE) nr 806/2014 w odniesieniu do niektórych aspektów minimalnego wymogu w zakresie funduszy własnych i zobowiązań kwalifikowalnych (dalej: „dyrektywa 2024/1174”); </w:t>
      </w:r>
    </w:p>
    <w:p w14:paraId="2F149109"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2) uzupełnia wdrożenie dyrektywy Parlamentu Europejskiego i Rady (UE) 2019/879 z dnia 20 maja 2019 r. zmieniającej dyrektywę 2014/59/UE w odniesieniu do zdolności do pokrycia strat i dokapitalizowania instytucji kredytowych i firm inwestycyjnych oraz dyrektywę 98/26/WE (dalej: „dyrektywa BRR2”); </w:t>
      </w:r>
    </w:p>
    <w:p w14:paraId="5C7AAC52" w14:textId="7058BAA2"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3) uzupełnia wdrożenie dyrektywy Parlamentu Europejskiego i Rady 2014/59/UE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648/2012 dalej: („dyrektywa BRR1”);</w:t>
      </w:r>
    </w:p>
    <w:p w14:paraId="33496CAF"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4) uzupełnia wdrożenie dyrektywy Parlamentu Europejskiego i Rady 2014/92/UE z dnia 23 lipca 2014 r. w sprawie porównywalności opłat związanych z rachunkami płatniczymi, przenoszenia rachunku płatniczego oraz dostępu do podstawowego rachunku płatniczego; </w:t>
      </w:r>
    </w:p>
    <w:p w14:paraId="7A625F63"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5) służy stosowaniu: </w:t>
      </w:r>
    </w:p>
    <w:p w14:paraId="2AC46171"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a) rozporządzenia Parlamentu Europejskiego i Rady (UE) 2024/886 z dnia 13 marca 2024 r. w sprawie zmiany rozporządzeń (UE) nr 260/2012 i (UE) 2021/1230 oraz dyrektyw 98/26/WE </w:t>
      </w:r>
      <w:r w:rsidRPr="00E1343C">
        <w:rPr>
          <w:rFonts w:ascii="Arial" w:eastAsia="Times New Roman" w:hAnsi="Arial" w:cs="Arial"/>
          <w:lang w:eastAsia="pl-PL"/>
        </w:rPr>
        <w:lastRenderedPageBreak/>
        <w:t xml:space="preserve">i (UE) 2015/2366 w odniesieniu do poleceń przelewu natychmiastowego w euro (dalej: „rozporządzenie IPR”), </w:t>
      </w:r>
    </w:p>
    <w:p w14:paraId="4C1114F2"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b) rozporządzenia Parlamentu Europejskiego i Rady (UE) 2016/1011 z dnia 8 czerwca 2016 r. w sprawie indeksów stosowanych jako wskaźniki referencyjne w instrumentach finansowych i umowach finansowych lub do pomiaru wyników funduszy inwestycyjnych i zmieniającego dyrektywy 2008/48/WE i 2014/17/UE oraz rozporządzenie (UE) nr 596/2014. </w:t>
      </w:r>
    </w:p>
    <w:p w14:paraId="060EEB37"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Ustawą zmienia się następujące ustawy: </w:t>
      </w:r>
    </w:p>
    <w:p w14:paraId="2596229F"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1) ustawę z dnia 29 sierpnia 1997 r. – Prawo bankowe, </w:t>
      </w:r>
    </w:p>
    <w:p w14:paraId="1D0BFF91"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2) ustawę z dnia 29 sierpnia 1997 r. o Narodowym Banku Polskim, </w:t>
      </w:r>
    </w:p>
    <w:p w14:paraId="00F8DA0D"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3) ustawę z dnia 24 sierpnia 2001 r. o ostateczności rozrachunku w systemach płatności i systemach rozrachunku papierów wartościowych oraz zasadach nadzoru nad tymi systemami,</w:t>
      </w:r>
    </w:p>
    <w:p w14:paraId="3C6EA493"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4) ustawę z dnia 28 lutego 2003 r. – Prawo upadłościowe, </w:t>
      </w:r>
    </w:p>
    <w:p w14:paraId="215CE5BC"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5) ustawę z dnia 29 lipca 2005 r. o nadzorze nad rynkiem kapitałowym, </w:t>
      </w:r>
    </w:p>
    <w:p w14:paraId="2C91486E"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6) ustawę z dnia 29 lipca 2005 r. o obrocie instrumentami finansowymi, </w:t>
      </w:r>
    </w:p>
    <w:p w14:paraId="45E4C794"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7) ustawę z dnia 19 sierpnia 2011 r. o usługach płatniczych oraz </w:t>
      </w:r>
    </w:p>
    <w:p w14:paraId="6A395891"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8) ustawę z dnia 10 czerwca 2016 r. o Bankowym Funduszu Gwarancyjnym, systemie gwarantowania depozytów oraz przymusowej restrukturyzacji. </w:t>
      </w:r>
    </w:p>
    <w:p w14:paraId="7E756C4F"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Do najważniejszych zmian w tych ustawach należy zaliczyć: </w:t>
      </w:r>
    </w:p>
    <w:p w14:paraId="335CA8DA"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W ustawie z dnia 10 czerwca 2016 r. o Bankowym Funduszu Gwarancyjnym, systemie gwarantowania depozytów oraz przymusowej restrukturyzacji, ustawie z dnia 29 sierpnia 1997 r. – Prawo bankowe oraz ustawie z dnia 28 lutego 2003 r. – Prawo upadłościowe: </w:t>
      </w:r>
    </w:p>
    <w:p w14:paraId="514E163B"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a) w odniesieniu do wdrożenia przepisów dyrektywy nr 2024/1174 zmiany wynikające z tej dyrektywy w obszarze MREL są wprowadzane przez modyfikację przepisów dotyczących mechanizmów ustalania wewnętrznego MREL i dokonywania odliczeń; wdrożeniu podlegają także rozwiązania, które pozwalają na odstąpienie (możliwe wyjątki) od ustalania przez BFG wymogu MREL dla podmiotów, które w razie zagrożenia upadłością podlegać będą procedurze upadłości – a nie resolution; w praktyce pozwoli to na obniżenie kosztów funkcjonowania tych podmiotów oraz zmniejszy obowiązki administracyjne po stronie BFG; </w:t>
      </w:r>
    </w:p>
    <w:p w14:paraId="14413A46"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b) w odniesieniu do dyrektyw BRR1 i BRR2 uchwalone regulacje polegają na zmianach doprecyzowujących. </w:t>
      </w:r>
    </w:p>
    <w:p w14:paraId="3834D66C" w14:textId="77777777" w:rsidR="00E1343C"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W ustawie z dnia 19 sierpnia 2011 r. o usługach płatniczych, ustawie o ostateczności rozrachunku oraz ustawie z dnia 29 sierpnia 1997 r. o Narodowym Banku Polskim: </w:t>
      </w:r>
    </w:p>
    <w:p w14:paraId="00EFA4E4" w14:textId="77777777" w:rsidR="004051DA"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a) zmiany służą zapewnieniu stosowania rozporządzenia IPR, które reguluje kwestie przelewu natychmiastowego w euro w krajach UE, a jego głównym celem jest rozpowszechnienie płatności natychmiastowych w euro (w ciągu 10 sekund) przez nałożenie na dostawców usług płatniczych obowiązku oferowania tych płatności w systemie 24/7 (24 godziny na dobę przez 7 dni w tygodniu); </w:t>
      </w:r>
    </w:p>
    <w:p w14:paraId="752F21EB" w14:textId="77777777" w:rsidR="004051DA"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b) zapewnienie stosowania rozporządzenia IPR ma również na celu otwarcie bezpośredniego dostępu do wyznaczonych systemów płatności dla </w:t>
      </w:r>
      <w:proofErr w:type="spellStart"/>
      <w:r w:rsidRPr="00E1343C">
        <w:rPr>
          <w:rFonts w:ascii="Arial" w:eastAsia="Times New Roman" w:hAnsi="Arial" w:cs="Arial"/>
          <w:lang w:eastAsia="pl-PL"/>
        </w:rPr>
        <w:t>niebankowych</w:t>
      </w:r>
      <w:proofErr w:type="spellEnd"/>
      <w:r w:rsidRPr="00E1343C">
        <w:rPr>
          <w:rFonts w:ascii="Arial" w:eastAsia="Times New Roman" w:hAnsi="Arial" w:cs="Arial"/>
          <w:lang w:eastAsia="pl-PL"/>
        </w:rPr>
        <w:t xml:space="preserve"> dostawców (tj. instytucji płatniczych oraz instytucji pieniądza elektronicznego); </w:t>
      </w:r>
    </w:p>
    <w:p w14:paraId="280FD787" w14:textId="77777777" w:rsidR="004051DA"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c) wprowadzone zostały przepisy ustanawiające sankcje za nieprzestrzeganie przepisów rozporządzenia IPR oraz warunków prowadzenia przez NBP rachunków dla instytucji płatniczych oraz instytucji pieniądza elektronicznego przez NBP; </w:t>
      </w:r>
    </w:p>
    <w:p w14:paraId="6967DB8C" w14:textId="77777777" w:rsidR="004051DA"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lastRenderedPageBreak/>
        <w:t xml:space="preserve">d) wprowadzone zostały przepisy zobowiązujące instytucje płatnicze oraz instytucje pieniądza elektronicznego – w przypadku ubiegania się o uczestnictwo w wyznaczonych systemach płatności – do posiadania dokumentu stwierdzającego zgodność z przepisem art. 9a ustawy o usługach płatniczych, który stanowi implementację art. 35a dyrektywy PSD2. </w:t>
      </w:r>
    </w:p>
    <w:p w14:paraId="50FB4901" w14:textId="77777777" w:rsidR="004051DA" w:rsidRDefault="00E1343C" w:rsidP="00023395">
      <w:pPr>
        <w:spacing w:after="0" w:line="300" w:lineRule="auto"/>
        <w:jc w:val="both"/>
        <w:rPr>
          <w:rFonts w:ascii="Arial" w:eastAsia="Times New Roman" w:hAnsi="Arial" w:cs="Arial"/>
          <w:lang w:eastAsia="pl-PL"/>
        </w:rPr>
      </w:pPr>
      <w:r w:rsidRPr="00E1343C">
        <w:rPr>
          <w:rFonts w:ascii="Arial" w:eastAsia="Times New Roman" w:hAnsi="Arial" w:cs="Arial"/>
          <w:lang w:eastAsia="pl-PL"/>
        </w:rPr>
        <w:t xml:space="preserve">W ustawie z dnia 29 lipca 2005 r. o nadzorze nad rynkiem kapitałowym oraz ustawie z dnia 29 lipca 2005 r. o obrocie instrumentami finansowymi uchwalone przepisy wprowadzają m.in. podstawę prawną do nakładania sankcji i innych środków administracyjnych w przypadku naruszeń wybranych przepisów rozporządzenia BMR oraz rozszerzają katalog podmiotów, od których organ nadzoru może wymagać lub żądać stosownych informacji, w celu zapewnienia pełnego stosowania art. 41 ust. 1 lit. b rozporządzenia BMR, a jednocześnie mają charakter doprecyzowujący i porządkujący. </w:t>
      </w:r>
    </w:p>
    <w:p w14:paraId="6C3E81BC" w14:textId="77777777" w:rsidR="004051DA" w:rsidRDefault="004051DA" w:rsidP="00023395">
      <w:pPr>
        <w:spacing w:after="0" w:line="300" w:lineRule="auto"/>
        <w:jc w:val="both"/>
        <w:rPr>
          <w:rFonts w:ascii="Arial" w:eastAsia="Times New Roman" w:hAnsi="Arial" w:cs="Arial"/>
          <w:lang w:eastAsia="pl-PL"/>
        </w:rPr>
      </w:pPr>
    </w:p>
    <w:p w14:paraId="19FCF4AD" w14:textId="532C7983" w:rsidR="00023395" w:rsidRPr="00E1343C" w:rsidRDefault="00E1343C" w:rsidP="00023395">
      <w:pPr>
        <w:spacing w:after="0" w:line="300" w:lineRule="auto"/>
        <w:jc w:val="both"/>
        <w:rPr>
          <w:rStyle w:val="markedcontent"/>
          <w:rFonts w:ascii="Arial" w:eastAsia="Times New Roman" w:hAnsi="Arial" w:cs="Arial"/>
          <w:lang w:eastAsia="pl-PL"/>
        </w:rPr>
      </w:pPr>
      <w:r w:rsidRPr="00E1343C">
        <w:rPr>
          <w:rFonts w:ascii="Arial" w:eastAsia="Times New Roman" w:hAnsi="Arial" w:cs="Arial"/>
          <w:lang w:eastAsia="pl-PL"/>
        </w:rPr>
        <w:t>Ustawa wejdzie w życie w po upływie 14 dni od dnia ogłoszenia, za wyjątkiem przepisów służących stosowaniu rozporządzenia IPR, które wejdą w życie z dnia 9 stycznia 2027 r.</w:t>
      </w:r>
    </w:p>
    <w:p w14:paraId="050C3B21" w14:textId="77777777" w:rsidR="009A28EF" w:rsidRPr="00266AE9" w:rsidRDefault="009A28EF" w:rsidP="00266AE9">
      <w:pPr>
        <w:spacing w:after="0" w:line="300" w:lineRule="auto"/>
        <w:jc w:val="both"/>
        <w:rPr>
          <w:rFonts w:ascii="Arial" w:hAnsi="Arial" w:cs="Arial"/>
        </w:rPr>
      </w:pPr>
    </w:p>
    <w:p w14:paraId="414510F1" w14:textId="1017DBFC" w:rsidR="009A28EF" w:rsidRPr="00C8451D" w:rsidRDefault="00C8451D" w:rsidP="00266AE9">
      <w:pPr>
        <w:pStyle w:val="Akapitzlist"/>
        <w:numPr>
          <w:ilvl w:val="0"/>
          <w:numId w:val="2"/>
        </w:numPr>
        <w:spacing w:after="0" w:line="300" w:lineRule="auto"/>
        <w:ind w:left="426" w:hanging="426"/>
        <w:jc w:val="both"/>
        <w:rPr>
          <w:rFonts w:ascii="Arial" w:eastAsia="Times New Roman" w:hAnsi="Arial" w:cs="Arial"/>
          <w:b/>
          <w:bCs/>
          <w:u w:val="single"/>
          <w:lang w:eastAsia="pl-PL"/>
        </w:rPr>
      </w:pPr>
      <w:r w:rsidRPr="00C8451D">
        <w:rPr>
          <w:rFonts w:ascii="Arial" w:hAnsi="Arial" w:cs="Arial"/>
          <w:b/>
          <w:bCs/>
          <w:u w:val="single"/>
        </w:rPr>
        <w:t>Ustawa z dnia 13 lutego 2026 r. o zmianie ustawy o wymianie informacji podatkowych z innymi państwami oraz niektórych innych ustaw</w:t>
      </w:r>
      <w:r w:rsidRPr="00C8451D">
        <w:rPr>
          <w:rFonts w:ascii="Arial" w:hAnsi="Arial" w:cs="Arial"/>
          <w:b/>
          <w:bCs/>
          <w:u w:val="single"/>
        </w:rPr>
        <w:t>.</w:t>
      </w:r>
    </w:p>
    <w:p w14:paraId="44043304" w14:textId="77777777" w:rsidR="00C8451D" w:rsidRDefault="00C8451D" w:rsidP="00C8451D">
      <w:pPr>
        <w:spacing w:after="0" w:line="300" w:lineRule="auto"/>
        <w:jc w:val="both"/>
        <w:rPr>
          <w:rFonts w:ascii="Arial" w:eastAsia="Times New Roman" w:hAnsi="Arial" w:cs="Arial"/>
          <w:lang w:eastAsia="pl-PL"/>
        </w:rPr>
      </w:pPr>
    </w:p>
    <w:p w14:paraId="11A7D0FC" w14:textId="37434F4E" w:rsidR="009A28EF" w:rsidRPr="00266AE9" w:rsidRDefault="009A28EF" w:rsidP="00C8451D">
      <w:pPr>
        <w:spacing w:after="0" w:line="300" w:lineRule="auto"/>
        <w:jc w:val="both"/>
        <w:rPr>
          <w:rFonts w:ascii="Arial" w:eastAsia="Times New Roman" w:hAnsi="Arial" w:cs="Arial"/>
          <w:lang w:eastAsia="pl-PL"/>
        </w:rPr>
      </w:pPr>
      <w:r w:rsidRPr="00266AE9">
        <w:rPr>
          <w:rFonts w:ascii="Arial" w:eastAsia="Times New Roman" w:hAnsi="Arial" w:cs="Arial"/>
          <w:lang w:eastAsia="pl-PL"/>
        </w:rPr>
        <w:t xml:space="preserve">Powyższy akt prawny ogłoszony został </w:t>
      </w:r>
      <w:r w:rsidR="00C8451D">
        <w:rPr>
          <w:rFonts w:ascii="Arial" w:eastAsia="Times New Roman" w:hAnsi="Arial" w:cs="Arial"/>
          <w:lang w:eastAsia="pl-PL"/>
        </w:rPr>
        <w:t>17 marca</w:t>
      </w:r>
      <w:r w:rsidRPr="00266AE9">
        <w:rPr>
          <w:rFonts w:ascii="Arial" w:eastAsia="Times New Roman" w:hAnsi="Arial" w:cs="Arial"/>
          <w:lang w:eastAsia="pl-PL"/>
        </w:rPr>
        <w:t xml:space="preserve"> 20</w:t>
      </w:r>
      <w:r w:rsidR="00C8451D">
        <w:rPr>
          <w:rFonts w:ascii="Arial" w:eastAsia="Times New Roman" w:hAnsi="Arial" w:cs="Arial"/>
          <w:lang w:eastAsia="pl-PL"/>
        </w:rPr>
        <w:t>26</w:t>
      </w:r>
      <w:r w:rsidRPr="00266AE9">
        <w:rPr>
          <w:rFonts w:ascii="Arial" w:eastAsia="Times New Roman" w:hAnsi="Arial" w:cs="Arial"/>
          <w:lang w:eastAsia="pl-PL"/>
        </w:rPr>
        <w:t xml:space="preserve"> roku w Dzienniku Ustaw (Dz.U. z 202</w:t>
      </w:r>
      <w:r w:rsidR="00C8451D">
        <w:rPr>
          <w:rFonts w:ascii="Arial" w:eastAsia="Times New Roman" w:hAnsi="Arial" w:cs="Arial"/>
          <w:lang w:eastAsia="pl-PL"/>
        </w:rPr>
        <w:t>6</w:t>
      </w:r>
      <w:r w:rsidRPr="00266AE9">
        <w:rPr>
          <w:rFonts w:ascii="Arial" w:eastAsia="Times New Roman" w:hAnsi="Arial" w:cs="Arial"/>
          <w:lang w:eastAsia="pl-PL"/>
        </w:rPr>
        <w:t xml:space="preserve">, poz. </w:t>
      </w:r>
      <w:r w:rsidR="00C8451D">
        <w:rPr>
          <w:rFonts w:ascii="Arial" w:eastAsia="Times New Roman" w:hAnsi="Arial" w:cs="Arial"/>
          <w:lang w:eastAsia="pl-PL"/>
        </w:rPr>
        <w:t>347</w:t>
      </w:r>
      <w:r w:rsidRPr="00266AE9">
        <w:rPr>
          <w:rFonts w:ascii="Arial" w:eastAsia="Times New Roman" w:hAnsi="Arial" w:cs="Arial"/>
          <w:lang w:eastAsia="pl-PL"/>
        </w:rPr>
        <w:t>).</w:t>
      </w:r>
    </w:p>
    <w:p w14:paraId="7A7BD260" w14:textId="77777777" w:rsidR="00C8451D" w:rsidRDefault="00C8451D" w:rsidP="00C8451D">
      <w:pPr>
        <w:spacing w:after="0" w:line="300" w:lineRule="auto"/>
        <w:jc w:val="both"/>
        <w:rPr>
          <w:rFonts w:ascii="Arial" w:eastAsia="Times New Roman" w:hAnsi="Arial" w:cs="Arial"/>
          <w:lang w:eastAsia="pl-PL"/>
        </w:rPr>
      </w:pPr>
    </w:p>
    <w:p w14:paraId="34AA203B" w14:textId="77777777" w:rsidR="00C8451D" w:rsidRDefault="00C8451D" w:rsidP="00C8451D">
      <w:pPr>
        <w:spacing w:after="0" w:line="300" w:lineRule="auto"/>
        <w:jc w:val="both"/>
        <w:rPr>
          <w:rFonts w:ascii="Arial" w:eastAsia="Times New Roman" w:hAnsi="Arial" w:cs="Arial"/>
          <w:lang w:val="en-GB" w:eastAsia="pl-PL"/>
        </w:rPr>
      </w:pPr>
      <w:r w:rsidRPr="00C8451D">
        <w:rPr>
          <w:rFonts w:ascii="Arial" w:eastAsia="Times New Roman" w:hAnsi="Arial" w:cs="Arial"/>
          <w:lang w:eastAsia="pl-PL"/>
        </w:rPr>
        <w:t xml:space="preserve">Zasadniczym celem ustawy jest implementacja do polskiego porządku prawnego dyrektywy Rady (UE) 2023/2226 z dnia 17 października 2023 r. zmieniającej dyrektywę 2011/16/UE w sprawie współpracy administracyjnej w dziedzinie opodatkowania (Dz. Urz. UE L 2023/2226 z 24 października 2023 r., zwaną dalej: „DAC8”) oraz „Ram sprawozdawczości w zakresie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i zmian w standardzie wymiany informacji o rachunkach finansowych” (ang. </w:t>
      </w:r>
      <w:r w:rsidRPr="00C8451D">
        <w:rPr>
          <w:rFonts w:ascii="Arial" w:eastAsia="Times New Roman" w:hAnsi="Arial" w:cs="Arial"/>
          <w:lang w:val="en-GB" w:eastAsia="pl-PL"/>
        </w:rPr>
        <w:t xml:space="preserve">Crypto-Asset Reporting Framework and Amendments to the Common Reporting Standard, </w:t>
      </w:r>
      <w:proofErr w:type="spellStart"/>
      <w:r w:rsidRPr="00C8451D">
        <w:rPr>
          <w:rFonts w:ascii="Arial" w:eastAsia="Times New Roman" w:hAnsi="Arial" w:cs="Arial"/>
          <w:lang w:val="en-GB" w:eastAsia="pl-PL"/>
        </w:rPr>
        <w:t>dalej</w:t>
      </w:r>
      <w:proofErr w:type="spellEnd"/>
      <w:r w:rsidRPr="00C8451D">
        <w:rPr>
          <w:rFonts w:ascii="Arial" w:eastAsia="Times New Roman" w:hAnsi="Arial" w:cs="Arial"/>
          <w:lang w:val="en-GB" w:eastAsia="pl-PL"/>
        </w:rPr>
        <w:t xml:space="preserve"> </w:t>
      </w:r>
      <w:proofErr w:type="spellStart"/>
      <w:r w:rsidRPr="00C8451D">
        <w:rPr>
          <w:rFonts w:ascii="Arial" w:eastAsia="Times New Roman" w:hAnsi="Arial" w:cs="Arial"/>
          <w:lang w:val="en-GB" w:eastAsia="pl-PL"/>
        </w:rPr>
        <w:t>odpowiednio</w:t>
      </w:r>
      <w:proofErr w:type="spellEnd"/>
      <w:r w:rsidRPr="00C8451D">
        <w:rPr>
          <w:rFonts w:ascii="Arial" w:eastAsia="Times New Roman" w:hAnsi="Arial" w:cs="Arial"/>
          <w:lang w:val="en-GB" w:eastAsia="pl-PL"/>
        </w:rPr>
        <w:t xml:space="preserve"> </w:t>
      </w:r>
      <w:proofErr w:type="spellStart"/>
      <w:r w:rsidRPr="00C8451D">
        <w:rPr>
          <w:rFonts w:ascii="Arial" w:eastAsia="Times New Roman" w:hAnsi="Arial" w:cs="Arial"/>
          <w:lang w:val="en-GB" w:eastAsia="pl-PL"/>
        </w:rPr>
        <w:t>jako</w:t>
      </w:r>
      <w:proofErr w:type="spellEnd"/>
      <w:r w:rsidRPr="00C8451D">
        <w:rPr>
          <w:rFonts w:ascii="Arial" w:eastAsia="Times New Roman" w:hAnsi="Arial" w:cs="Arial"/>
          <w:lang w:val="en-GB" w:eastAsia="pl-PL"/>
        </w:rPr>
        <w:t xml:space="preserve">: CARF, </w:t>
      </w:r>
      <w:proofErr w:type="spellStart"/>
      <w:r w:rsidRPr="00C8451D">
        <w:rPr>
          <w:rFonts w:ascii="Arial" w:eastAsia="Times New Roman" w:hAnsi="Arial" w:cs="Arial"/>
          <w:lang w:val="en-GB" w:eastAsia="pl-PL"/>
        </w:rPr>
        <w:t>zmiany</w:t>
      </w:r>
      <w:proofErr w:type="spellEnd"/>
      <w:r w:rsidRPr="00C8451D">
        <w:rPr>
          <w:rFonts w:ascii="Arial" w:eastAsia="Times New Roman" w:hAnsi="Arial" w:cs="Arial"/>
          <w:lang w:val="en-GB" w:eastAsia="pl-PL"/>
        </w:rPr>
        <w:t xml:space="preserve"> CRS).  </w:t>
      </w:r>
    </w:p>
    <w:p w14:paraId="7DB0F941" w14:textId="77777777" w:rsidR="00C8451D" w:rsidRDefault="00C8451D" w:rsidP="00C8451D">
      <w:pPr>
        <w:spacing w:after="0" w:line="300" w:lineRule="auto"/>
        <w:jc w:val="both"/>
        <w:rPr>
          <w:rFonts w:ascii="Arial" w:eastAsia="Times New Roman" w:hAnsi="Arial" w:cs="Arial"/>
          <w:lang w:eastAsia="pl-PL"/>
        </w:rPr>
      </w:pPr>
      <w:r w:rsidRPr="00C8451D">
        <w:rPr>
          <w:rFonts w:ascii="Arial" w:eastAsia="Times New Roman" w:hAnsi="Arial" w:cs="Arial"/>
          <w:lang w:eastAsia="pl-PL"/>
        </w:rPr>
        <w:t xml:space="preserve">Nowelizacja wprowadza zmiany w: ustawie z dnia 9 marca 2017 r. o wymianie informacji podatkowych z innymi państwami (Dz.U. z 2025 r. poz. 1379), ustawie z dnia 29 sierpnia 1997 r. – Ordynacja podatkowa (Dz.U. z 2025 r. poz. 111, z </w:t>
      </w:r>
      <w:proofErr w:type="spellStart"/>
      <w:r w:rsidRPr="00C8451D">
        <w:rPr>
          <w:rFonts w:ascii="Arial" w:eastAsia="Times New Roman" w:hAnsi="Arial" w:cs="Arial"/>
          <w:lang w:eastAsia="pl-PL"/>
        </w:rPr>
        <w:t>późn</w:t>
      </w:r>
      <w:proofErr w:type="spellEnd"/>
      <w:r w:rsidRPr="00C8451D">
        <w:rPr>
          <w:rFonts w:ascii="Arial" w:eastAsia="Times New Roman" w:hAnsi="Arial" w:cs="Arial"/>
          <w:lang w:eastAsia="pl-PL"/>
        </w:rPr>
        <w:t xml:space="preserve">. zm.), ustawie z dnia 10 września 1999 r. – Kodeks karny skarbowy (Dz.U. z 2025 r. poz. 633) oraz w ustawie z dnia 6 listopada 2024 r. o opodatkowaniu wyrównawczym jednostek składowych grup międzynarodowych i krajowych (Dz.U. poz. 1685).  </w:t>
      </w:r>
    </w:p>
    <w:p w14:paraId="6F1D6680" w14:textId="77777777" w:rsidR="00C8451D" w:rsidRDefault="00C8451D" w:rsidP="00C8451D">
      <w:pPr>
        <w:spacing w:after="0" w:line="300" w:lineRule="auto"/>
        <w:jc w:val="both"/>
        <w:rPr>
          <w:rFonts w:ascii="Arial" w:eastAsia="Times New Roman" w:hAnsi="Arial" w:cs="Arial"/>
          <w:lang w:eastAsia="pl-PL"/>
        </w:rPr>
      </w:pPr>
      <w:r w:rsidRPr="00C8451D">
        <w:rPr>
          <w:rFonts w:ascii="Arial" w:eastAsia="Times New Roman" w:hAnsi="Arial" w:cs="Arial"/>
          <w:lang w:eastAsia="pl-PL"/>
        </w:rPr>
        <w:t xml:space="preserve">Przepisy DAC8 odzwierciedlają zmiany na rynku wewnętrznym (wprowadzone rozporządzeniem Parlamentu Europejskiego i Rady (UE) 2023/1114) oraz na poziomie międzynarodowym (zmiany CRS). DAC8, obok regulacji przewidującej rozciągnięcie wymiany informacji podatkowej na </w:t>
      </w:r>
      <w:proofErr w:type="spellStart"/>
      <w:r w:rsidRPr="00C8451D">
        <w:rPr>
          <w:rFonts w:ascii="Arial" w:eastAsia="Times New Roman" w:hAnsi="Arial" w:cs="Arial"/>
          <w:lang w:eastAsia="pl-PL"/>
        </w:rPr>
        <w:t>kryptoaktywa</w:t>
      </w:r>
      <w:proofErr w:type="spellEnd"/>
      <w:r w:rsidRPr="00C8451D">
        <w:rPr>
          <w:rFonts w:ascii="Arial" w:eastAsia="Times New Roman" w:hAnsi="Arial" w:cs="Arial"/>
          <w:lang w:eastAsia="pl-PL"/>
        </w:rPr>
        <w:t>, obejmuje również najnowsze zmiany standardu wymiany informacji o rachunkach finansowych, w tym włączenie przepisów dotyczących pieniądza elektronicznego i cyfrowej waluty banku centralnego. Co do zasady, przepisy DAC8 powinny być przez państwa członkowskie transponowane do dnia 31 grudnia 2025 roku. Podstawę dla wymiany z państwami spoza UE stanowią podpisane w dniu 14 listopada 2024 roku przez Ministra Finansów wielostronne porozumienia właściwych organów (</w:t>
      </w:r>
      <w:proofErr w:type="spellStart"/>
      <w:r w:rsidRPr="00C8451D">
        <w:rPr>
          <w:rFonts w:ascii="Arial" w:eastAsia="Times New Roman" w:hAnsi="Arial" w:cs="Arial"/>
          <w:lang w:eastAsia="pl-PL"/>
        </w:rPr>
        <w:t>Multilateral</w:t>
      </w:r>
      <w:proofErr w:type="spellEnd"/>
      <w:r w:rsidRPr="00C8451D">
        <w:rPr>
          <w:rFonts w:ascii="Arial" w:eastAsia="Times New Roman" w:hAnsi="Arial" w:cs="Arial"/>
          <w:lang w:eastAsia="pl-PL"/>
        </w:rPr>
        <w:t xml:space="preserve"> </w:t>
      </w:r>
      <w:proofErr w:type="spellStart"/>
      <w:r w:rsidRPr="00C8451D">
        <w:rPr>
          <w:rFonts w:ascii="Arial" w:eastAsia="Times New Roman" w:hAnsi="Arial" w:cs="Arial"/>
          <w:lang w:eastAsia="pl-PL"/>
        </w:rPr>
        <w:t>Competent</w:t>
      </w:r>
      <w:proofErr w:type="spellEnd"/>
      <w:r w:rsidRPr="00C8451D">
        <w:rPr>
          <w:rFonts w:ascii="Arial" w:eastAsia="Times New Roman" w:hAnsi="Arial" w:cs="Arial"/>
          <w:lang w:eastAsia="pl-PL"/>
        </w:rPr>
        <w:t xml:space="preserve"> Authority Agreement, zwane dalej: MCAA), tj. zmiany do CRS MCAA oraz CARF </w:t>
      </w:r>
      <w:r w:rsidRPr="00C8451D">
        <w:rPr>
          <w:rFonts w:ascii="Arial" w:eastAsia="Times New Roman" w:hAnsi="Arial" w:cs="Arial"/>
          <w:lang w:eastAsia="pl-PL"/>
        </w:rPr>
        <w:lastRenderedPageBreak/>
        <w:t xml:space="preserve">MCAA. Z treści uzasadnienia do projektu przedłożonej ustawy wynika, że co do zasady pierwsza wymiana informacji na gruncie zmienionego CRS jak i CARF planowana jest na rok 2027 i obejmować ma swym zakresem rok 2026 jako okres sprawozdawczy. </w:t>
      </w:r>
    </w:p>
    <w:p w14:paraId="47E1C4CB" w14:textId="77777777" w:rsidR="00C8451D" w:rsidRDefault="00C8451D" w:rsidP="00C8451D">
      <w:pPr>
        <w:spacing w:after="0" w:line="300" w:lineRule="auto"/>
        <w:jc w:val="both"/>
        <w:rPr>
          <w:rFonts w:ascii="Arial" w:eastAsia="Times New Roman" w:hAnsi="Arial" w:cs="Arial"/>
          <w:lang w:eastAsia="pl-PL"/>
        </w:rPr>
      </w:pPr>
      <w:r w:rsidRPr="00C8451D">
        <w:rPr>
          <w:rFonts w:ascii="Arial" w:eastAsia="Times New Roman" w:hAnsi="Arial" w:cs="Arial"/>
          <w:lang w:eastAsia="pl-PL"/>
        </w:rPr>
        <w:t xml:space="preserve">Dyrektywa Rady (UE) 2025/872 z dnia 14 kwietnia 2025 r. zmieniająca dyrektywę 2011/16/UE w sprawie współpracy administracyjnej w dziedzinie opodatkowania (Dz. Urz. UE L 2025/872 z 6 maja 2025 r., zwana dalej: „DAC9”) umożliwia centralne raportowanie przewidziane w art. 44 dyrektywy </w:t>
      </w:r>
      <w:proofErr w:type="spellStart"/>
      <w:r w:rsidRPr="00C8451D">
        <w:rPr>
          <w:rFonts w:ascii="Arial" w:eastAsia="Times New Roman" w:hAnsi="Arial" w:cs="Arial"/>
          <w:lang w:eastAsia="pl-PL"/>
        </w:rPr>
        <w:t>GloBE</w:t>
      </w:r>
      <w:proofErr w:type="spellEnd"/>
      <w:r w:rsidRPr="00C8451D">
        <w:rPr>
          <w:rFonts w:ascii="Arial" w:eastAsia="Times New Roman" w:hAnsi="Arial" w:cs="Arial"/>
          <w:lang w:eastAsia="pl-PL"/>
        </w:rPr>
        <w:t xml:space="preserve"> w odniesieniu do państw członkowskich Unii Europejskiej. Dyrektywa ta określa także zasady dokonywania wymiany informacji pochodzących z deklaracji dotyczących podatku wyrównawczego oraz reguluje szereg kwestii związanych z tym obszarem wymiany. </w:t>
      </w:r>
    </w:p>
    <w:p w14:paraId="3DF0F99B" w14:textId="77777777" w:rsidR="00C8451D" w:rsidRDefault="00C8451D" w:rsidP="00C8451D">
      <w:pPr>
        <w:spacing w:after="0" w:line="300" w:lineRule="auto"/>
        <w:jc w:val="both"/>
        <w:rPr>
          <w:rFonts w:ascii="Arial" w:eastAsia="Times New Roman" w:hAnsi="Arial" w:cs="Arial"/>
          <w:lang w:eastAsia="pl-PL"/>
        </w:rPr>
      </w:pPr>
      <w:r w:rsidRPr="00C8451D">
        <w:rPr>
          <w:rFonts w:ascii="Arial" w:eastAsia="Times New Roman" w:hAnsi="Arial" w:cs="Arial"/>
          <w:lang w:eastAsia="pl-PL"/>
        </w:rPr>
        <w:t xml:space="preserve">Zgodnie z deklaracją Rady Ministrów celem przedłożonej ustawy jest również doprecyzowanie treści przepisów implementujących dyrektywę Rady (UE) 2021/514 z dnia 22 marca 2021 r. zmieniającą dyrektywę 2011/16/UE w sprawie współpracy administracyjnej w dziedzinie opodatkowania (Dz. Urz. UE L 104 z 25.03.2021, str. 1, zwaną dalej: „DAC7”). </w:t>
      </w:r>
    </w:p>
    <w:p w14:paraId="24DA9535" w14:textId="77777777" w:rsidR="00C8451D" w:rsidRDefault="00C8451D" w:rsidP="00C8451D">
      <w:pPr>
        <w:spacing w:after="0" w:line="300" w:lineRule="auto"/>
        <w:jc w:val="both"/>
        <w:rPr>
          <w:rFonts w:ascii="Arial" w:eastAsia="Times New Roman" w:hAnsi="Arial" w:cs="Arial"/>
          <w:lang w:eastAsia="pl-PL"/>
        </w:rPr>
      </w:pPr>
      <w:r w:rsidRPr="00C8451D">
        <w:rPr>
          <w:rFonts w:ascii="Arial" w:eastAsia="Times New Roman" w:hAnsi="Arial" w:cs="Arial"/>
          <w:lang w:eastAsia="pl-PL"/>
        </w:rPr>
        <w:t xml:space="preserve">Zmiany w ustawie o wymianie informacji podatkowych z innymi państwami polegają m.in. na: (1) nałożeniu na raportujących dostawców usług w zakresie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obowiązków administratorów danych w rozumieniu rozporządzenia (UE) 2016/679; (2) rozgraniczeniu regulacji dotyczących sprawozdawczości w zakresie raportowanych rachunków (CRS) oraz sprawozdawczości dla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(CARF); (3) modyfikacji definicji legalnej podmiotu inwestującego w celu objęcia zakresem tej definicji również inwestycji w </w:t>
      </w:r>
      <w:proofErr w:type="spellStart"/>
      <w:r w:rsidRPr="00C8451D">
        <w:rPr>
          <w:rFonts w:ascii="Arial" w:eastAsia="Times New Roman" w:hAnsi="Arial" w:cs="Arial"/>
          <w:lang w:eastAsia="pl-PL"/>
        </w:rPr>
        <w:t>kryptoaktywa</w:t>
      </w:r>
      <w:proofErr w:type="spellEnd"/>
      <w:r w:rsidRPr="00C8451D">
        <w:rPr>
          <w:rFonts w:ascii="Arial" w:eastAsia="Times New Roman" w:hAnsi="Arial" w:cs="Arial"/>
          <w:lang w:eastAsia="pl-PL"/>
        </w:rPr>
        <w:t xml:space="preserve">; (4) rozszerzeniu zakresu elementów, jakie zawierać powinna informacja o rachunkach raportowanych. Ustawa dokonuje ponadto transpozycji DAC9 w części dotyczącej automatycznej wymiany informacji podatkowych pochodzących z deklaracji dotyczących podatku wyrównawczego, określając m.in. zakres i terminy wymiany informacji, państwa, z którymi należy wymienić informacje, a także zasady współpracy z innymi państwami w omawianym obszarze wymiany informacji. Automatyczna wymiana informacji będzie się odbywać: za pomocą środków komunikacji elektronicznej, według formatu określonego w rozporządzeniu Komisji (UE) nr 2015/2378 (w przypadku państw członkowskich) lub za pomocą środków komunikacji elektronicznej, według formatu ustalonego przez ministra właściwego do spraw finansów publicznych (w przypadku państw uczestniczących innych niż państwa członkowskie). </w:t>
      </w:r>
    </w:p>
    <w:p w14:paraId="0246478F" w14:textId="77777777" w:rsidR="00C8451D" w:rsidRDefault="00C8451D" w:rsidP="00C8451D">
      <w:pPr>
        <w:spacing w:after="0" w:line="300" w:lineRule="auto"/>
        <w:jc w:val="both"/>
        <w:rPr>
          <w:rFonts w:ascii="Arial" w:eastAsia="Times New Roman" w:hAnsi="Arial" w:cs="Arial"/>
          <w:lang w:eastAsia="pl-PL"/>
        </w:rPr>
      </w:pPr>
      <w:r w:rsidRPr="00C8451D">
        <w:rPr>
          <w:rFonts w:ascii="Arial" w:eastAsia="Times New Roman" w:hAnsi="Arial" w:cs="Arial"/>
          <w:lang w:eastAsia="pl-PL"/>
        </w:rPr>
        <w:t xml:space="preserve">Ustawa wprowadza także nowy Dział VB Automatyczna wymiana informacji o użytkownikach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W myśl dodawanych przepisów raportujący dostawca usług w zakresie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będzie obowiązany do stosowania procedur należytej staranności oraz procedur sprawozdawczych, rejestrowania czynności podejmowanych w ramach procedur należytej staranności oraz gromadzenia dokumentacji wymaganej w ramach stosowania procedur należytej staranności, w szczególności oświadczeń o rezydencji podatkowej użytkowników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oraz osób kontrolujących. Rejestrowanie czynności będzie obejmować rejestrację daty, rodzaju oraz opisu przeprowadzonej czynności i będzie mogło następować z wykorzystaniem innych rejestrów prowadzonych w szczególności na potrzeby procedur z zakresu przeciwdziałania praniu pieniędzy i finansowaniu terroryzmu. Obowiązkiem raportowania będą objęci użytkownicy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którzy są użytkownikami raportowanymi lub posiadają co najmniej jedną osobę kontrolującą będącą osobą raportowaną. Raportujący dostawca usług w zakresie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będzie przekazywać </w:t>
      </w:r>
      <w:r w:rsidRPr="00C8451D">
        <w:rPr>
          <w:rFonts w:ascii="Arial" w:eastAsia="Times New Roman" w:hAnsi="Arial" w:cs="Arial"/>
          <w:lang w:eastAsia="pl-PL"/>
        </w:rPr>
        <w:lastRenderedPageBreak/>
        <w:t xml:space="preserve">Szefowi KAS informację o użytkownikach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objętych obowiązkiem raportowania za okres roku kalendarzowego w terminie do dnia 30 czerwca roku następnego. Informacja ta będzie tworzona na podstawie wzoru dokumentu elektronicznego zamieszczonego w BIP Ministerstwa Finansów i przekazywana za pomocą oprogramowania interfejsowego, o którym mowa w ustawie o informatyzacji działalności podmiotów realizujących zadania publiczne. Nowelizacja wprowadza również przepisy dotyczące kontroli raportujących dostawców usług w zakresie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Kontrolę wykonywania przez raportującego dostawcę usług w zakresie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obowiązków w zakresie stosowania procedur należytej staranności oraz procedur sprawozdawczych będzie przeprowadzać Szef KAS. W treści dodawanego Działu VB określono także obowiązki organów związane z wymianą informacji o użytkownikach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W myśl tych przepisów Szef KAS będzie przekazywać właściwemu organowi państwa uczestniczącego informacje o użytkownikach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będących rezydentami tych państw, uzyskane od raportujących dostawców usług w zakresie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Informacje te będą przekazywane raz w roku, w terminie do dnia 30 września roku następującego po roku kalendarzowym, którego dotyczą. Na Szefa KAS nałożono także obowiązek powiadamiania właściwych organów państw członkowskich oraz Komisji Europejskiej o indywidualnym numerze operatora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Ustawa wprowadza również kary pieniężne w odniesieniu do raportujących dostawców usług w zakresie </w:t>
      </w:r>
      <w:proofErr w:type="spellStart"/>
      <w:r w:rsidRPr="00C8451D">
        <w:rPr>
          <w:rFonts w:ascii="Arial" w:eastAsia="Times New Roman" w:hAnsi="Arial" w:cs="Arial"/>
          <w:lang w:eastAsia="pl-PL"/>
        </w:rPr>
        <w:t>kryptoaktywów</w:t>
      </w:r>
      <w:proofErr w:type="spellEnd"/>
      <w:r w:rsidRPr="00C8451D">
        <w:rPr>
          <w:rFonts w:ascii="Arial" w:eastAsia="Times New Roman" w:hAnsi="Arial" w:cs="Arial"/>
          <w:lang w:eastAsia="pl-PL"/>
        </w:rPr>
        <w:t xml:space="preserve">, którzy nie wywiązują się z ciążących na nich obowiązków.  </w:t>
      </w:r>
    </w:p>
    <w:p w14:paraId="2BC2A61E" w14:textId="77777777" w:rsidR="00C8451D" w:rsidRDefault="00C8451D" w:rsidP="00C8451D">
      <w:pPr>
        <w:spacing w:after="0" w:line="300" w:lineRule="auto"/>
        <w:jc w:val="both"/>
        <w:rPr>
          <w:rFonts w:ascii="Arial" w:eastAsia="Times New Roman" w:hAnsi="Arial" w:cs="Arial"/>
          <w:lang w:eastAsia="pl-PL"/>
        </w:rPr>
      </w:pPr>
    </w:p>
    <w:p w14:paraId="241AD700" w14:textId="6C446433" w:rsidR="00C8451D" w:rsidRDefault="00C8451D" w:rsidP="00C8451D">
      <w:pPr>
        <w:spacing w:after="0" w:line="300" w:lineRule="auto"/>
        <w:jc w:val="both"/>
        <w:rPr>
          <w:rStyle w:val="markedcontent"/>
          <w:rFonts w:ascii="Arial" w:hAnsi="Arial" w:cs="Arial"/>
        </w:rPr>
      </w:pPr>
      <w:r w:rsidRPr="00C8451D">
        <w:rPr>
          <w:rFonts w:ascii="Arial" w:eastAsia="Times New Roman" w:hAnsi="Arial" w:cs="Arial"/>
          <w:lang w:eastAsia="pl-PL"/>
        </w:rPr>
        <w:t>Ustawa w</w:t>
      </w:r>
      <w:r>
        <w:rPr>
          <w:rFonts w:ascii="Arial" w:eastAsia="Times New Roman" w:hAnsi="Arial" w:cs="Arial"/>
          <w:lang w:eastAsia="pl-PL"/>
        </w:rPr>
        <w:t>eszła</w:t>
      </w:r>
      <w:r w:rsidRPr="00C8451D">
        <w:rPr>
          <w:rFonts w:ascii="Arial" w:eastAsia="Times New Roman" w:hAnsi="Arial" w:cs="Arial"/>
          <w:lang w:eastAsia="pl-PL"/>
        </w:rPr>
        <w:t xml:space="preserve"> w życie z dniem następującym po dniu ogłoszenia.  </w:t>
      </w:r>
    </w:p>
    <w:sectPr w:rsidR="00C84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306"/>
    <w:multiLevelType w:val="hybridMultilevel"/>
    <w:tmpl w:val="736A441E"/>
    <w:lvl w:ilvl="0" w:tplc="1D3AB67E">
      <w:start w:val="1"/>
      <w:numFmt w:val="decimal"/>
      <w:lvlText w:val="%1."/>
      <w:lvlJc w:val="left"/>
      <w:pPr>
        <w:ind w:left="384"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2D73A5"/>
    <w:multiLevelType w:val="hybridMultilevel"/>
    <w:tmpl w:val="96B4121C"/>
    <w:lvl w:ilvl="0" w:tplc="FFFFFFFF">
      <w:start w:val="1"/>
      <w:numFmt w:val="decimal"/>
      <w:lvlText w:val="%1."/>
      <w:lvlJc w:val="left"/>
      <w:pPr>
        <w:tabs>
          <w:tab w:val="num" w:pos="360"/>
        </w:tabs>
        <w:ind w:left="36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3D7E01"/>
    <w:multiLevelType w:val="hybridMultilevel"/>
    <w:tmpl w:val="947002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CA0635"/>
    <w:multiLevelType w:val="hybridMultilevel"/>
    <w:tmpl w:val="9C3655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F05903"/>
    <w:multiLevelType w:val="hybridMultilevel"/>
    <w:tmpl w:val="2F7E69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682158"/>
    <w:multiLevelType w:val="hybridMultilevel"/>
    <w:tmpl w:val="EC30B6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FD0D51"/>
    <w:multiLevelType w:val="hybridMultilevel"/>
    <w:tmpl w:val="FBF0ADAA"/>
    <w:lvl w:ilvl="0" w:tplc="EA822D9A">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87E33D7"/>
    <w:multiLevelType w:val="hybridMultilevel"/>
    <w:tmpl w:val="002AB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26766D4"/>
    <w:multiLevelType w:val="hybridMultilevel"/>
    <w:tmpl w:val="2D6CDB36"/>
    <w:lvl w:ilvl="0" w:tplc="04150011">
      <w:start w:val="1"/>
      <w:numFmt w:val="decimal"/>
      <w:lvlText w:val="%1)"/>
      <w:lvlJc w:val="left"/>
      <w:pPr>
        <w:ind w:left="384" w:hanging="360"/>
      </w:pPr>
      <w:rPr>
        <w:b w:val="0"/>
        <w:bCs w:val="0"/>
      </w:rPr>
    </w:lvl>
    <w:lvl w:ilvl="1" w:tplc="FFFFFFFF">
      <w:start w:val="1"/>
      <w:numFmt w:val="lowerLetter"/>
      <w:lvlText w:val="%2."/>
      <w:lvlJc w:val="left"/>
      <w:pPr>
        <w:ind w:left="1104" w:hanging="360"/>
      </w:pPr>
    </w:lvl>
    <w:lvl w:ilvl="2" w:tplc="FFFFFFFF">
      <w:start w:val="1"/>
      <w:numFmt w:val="lowerRoman"/>
      <w:lvlText w:val="%3."/>
      <w:lvlJc w:val="right"/>
      <w:pPr>
        <w:ind w:left="1824" w:hanging="180"/>
      </w:pPr>
    </w:lvl>
    <w:lvl w:ilvl="3" w:tplc="FFFFFFFF">
      <w:start w:val="1"/>
      <w:numFmt w:val="decimal"/>
      <w:lvlText w:val="%4."/>
      <w:lvlJc w:val="left"/>
      <w:pPr>
        <w:ind w:left="2544" w:hanging="360"/>
      </w:pPr>
    </w:lvl>
    <w:lvl w:ilvl="4" w:tplc="FFFFFFFF">
      <w:start w:val="1"/>
      <w:numFmt w:val="lowerLetter"/>
      <w:lvlText w:val="%5."/>
      <w:lvlJc w:val="left"/>
      <w:pPr>
        <w:ind w:left="3264" w:hanging="360"/>
      </w:pPr>
    </w:lvl>
    <w:lvl w:ilvl="5" w:tplc="FFFFFFFF">
      <w:start w:val="1"/>
      <w:numFmt w:val="lowerRoman"/>
      <w:lvlText w:val="%6."/>
      <w:lvlJc w:val="right"/>
      <w:pPr>
        <w:ind w:left="3984" w:hanging="180"/>
      </w:pPr>
    </w:lvl>
    <w:lvl w:ilvl="6" w:tplc="FFFFFFFF">
      <w:start w:val="1"/>
      <w:numFmt w:val="decimal"/>
      <w:lvlText w:val="%7."/>
      <w:lvlJc w:val="left"/>
      <w:pPr>
        <w:ind w:left="4704" w:hanging="360"/>
      </w:pPr>
    </w:lvl>
    <w:lvl w:ilvl="7" w:tplc="FFFFFFFF">
      <w:start w:val="1"/>
      <w:numFmt w:val="lowerLetter"/>
      <w:lvlText w:val="%8."/>
      <w:lvlJc w:val="left"/>
      <w:pPr>
        <w:ind w:left="5424" w:hanging="360"/>
      </w:pPr>
    </w:lvl>
    <w:lvl w:ilvl="8" w:tplc="FFFFFFFF">
      <w:start w:val="1"/>
      <w:numFmt w:val="lowerRoman"/>
      <w:lvlText w:val="%9."/>
      <w:lvlJc w:val="right"/>
      <w:pPr>
        <w:ind w:left="6144" w:hanging="180"/>
      </w:pPr>
    </w:lvl>
  </w:abstractNum>
  <w:abstractNum w:abstractNumId="14" w15:restartNumberingAfterBreak="0">
    <w:nsid w:val="66535112"/>
    <w:multiLevelType w:val="hybridMultilevel"/>
    <w:tmpl w:val="B53A1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027726">
    <w:abstractNumId w:val="4"/>
  </w:num>
  <w:num w:numId="2" w16cid:durableId="311831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2"/>
  </w:num>
  <w:num w:numId="4" w16cid:durableId="5788216">
    <w:abstractNumId w:val="11"/>
  </w:num>
  <w:num w:numId="5" w16cid:durableId="1820147117">
    <w:abstractNumId w:val="8"/>
  </w:num>
  <w:num w:numId="6" w16cid:durableId="1082795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3347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0639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5112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9668754">
    <w:abstractNumId w:val="6"/>
  </w:num>
  <w:num w:numId="11" w16cid:durableId="834682518">
    <w:abstractNumId w:val="5"/>
  </w:num>
  <w:num w:numId="12" w16cid:durableId="234977670">
    <w:abstractNumId w:val="10"/>
  </w:num>
  <w:num w:numId="13" w16cid:durableId="1059212083">
    <w:abstractNumId w:val="3"/>
  </w:num>
  <w:num w:numId="14" w16cid:durableId="1947538811">
    <w:abstractNumId w:val="7"/>
  </w:num>
  <w:num w:numId="15" w16cid:durableId="9284612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EF"/>
    <w:rsid w:val="00023395"/>
    <w:rsid w:val="0022774C"/>
    <w:rsid w:val="00266AE9"/>
    <w:rsid w:val="003343B5"/>
    <w:rsid w:val="004051DA"/>
    <w:rsid w:val="005158CC"/>
    <w:rsid w:val="00580328"/>
    <w:rsid w:val="0059531E"/>
    <w:rsid w:val="00783733"/>
    <w:rsid w:val="009A28EF"/>
    <w:rsid w:val="00A07DA2"/>
    <w:rsid w:val="00BD7A44"/>
    <w:rsid w:val="00C8451D"/>
    <w:rsid w:val="00CE5649"/>
    <w:rsid w:val="00D20B59"/>
    <w:rsid w:val="00E1343C"/>
    <w:rsid w:val="00F86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CE26"/>
  <w15:chartTrackingRefBased/>
  <w15:docId w15:val="{2C022562-B4E0-44DA-964D-755E8463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28EF"/>
    <w:pPr>
      <w:spacing w:after="200" w:line="276" w:lineRule="auto"/>
    </w:pPr>
    <w:rPr>
      <w:kern w:val="0"/>
      <w14:ligatures w14:val="none"/>
    </w:rPr>
  </w:style>
  <w:style w:type="paragraph" w:styleId="Nagwek1">
    <w:name w:val="heading 1"/>
    <w:basedOn w:val="Normalny"/>
    <w:next w:val="Normalny"/>
    <w:link w:val="Nagwek1Znak"/>
    <w:uiPriority w:val="9"/>
    <w:qFormat/>
    <w:rsid w:val="009A2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A2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A28E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A28E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A28E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A28E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A28E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A28E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A28E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28E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A28E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A28E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A28E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A28E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A28E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A28E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A28E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A28EF"/>
    <w:rPr>
      <w:rFonts w:eastAsiaTheme="majorEastAsia" w:cstheme="majorBidi"/>
      <w:color w:val="272727" w:themeColor="text1" w:themeTint="D8"/>
    </w:rPr>
  </w:style>
  <w:style w:type="paragraph" w:styleId="Tytu">
    <w:name w:val="Title"/>
    <w:basedOn w:val="Normalny"/>
    <w:next w:val="Normalny"/>
    <w:link w:val="TytuZnak"/>
    <w:uiPriority w:val="10"/>
    <w:qFormat/>
    <w:rsid w:val="009A2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A28E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A28E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A28E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A28EF"/>
    <w:pPr>
      <w:spacing w:before="160"/>
      <w:jc w:val="center"/>
    </w:pPr>
    <w:rPr>
      <w:i/>
      <w:iCs/>
      <w:color w:val="404040" w:themeColor="text1" w:themeTint="BF"/>
    </w:rPr>
  </w:style>
  <w:style w:type="character" w:customStyle="1" w:styleId="CytatZnak">
    <w:name w:val="Cytat Znak"/>
    <w:basedOn w:val="Domylnaczcionkaakapitu"/>
    <w:link w:val="Cytat"/>
    <w:uiPriority w:val="29"/>
    <w:rsid w:val="009A28EF"/>
    <w:rPr>
      <w:i/>
      <w:iCs/>
      <w:color w:val="404040" w:themeColor="text1" w:themeTint="BF"/>
    </w:rPr>
  </w:style>
  <w:style w:type="paragraph" w:styleId="Akapitzlist">
    <w:name w:val="List Paragraph"/>
    <w:basedOn w:val="Normalny"/>
    <w:uiPriority w:val="34"/>
    <w:qFormat/>
    <w:rsid w:val="009A28EF"/>
    <w:pPr>
      <w:ind w:left="720"/>
      <w:contextualSpacing/>
    </w:pPr>
  </w:style>
  <w:style w:type="character" w:styleId="Wyrnienieintensywne">
    <w:name w:val="Intense Emphasis"/>
    <w:basedOn w:val="Domylnaczcionkaakapitu"/>
    <w:uiPriority w:val="21"/>
    <w:qFormat/>
    <w:rsid w:val="009A28EF"/>
    <w:rPr>
      <w:i/>
      <w:iCs/>
      <w:color w:val="0F4761" w:themeColor="accent1" w:themeShade="BF"/>
    </w:rPr>
  </w:style>
  <w:style w:type="paragraph" w:styleId="Cytatintensywny">
    <w:name w:val="Intense Quote"/>
    <w:basedOn w:val="Normalny"/>
    <w:next w:val="Normalny"/>
    <w:link w:val="CytatintensywnyZnak"/>
    <w:uiPriority w:val="30"/>
    <w:qFormat/>
    <w:rsid w:val="009A2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A28EF"/>
    <w:rPr>
      <w:i/>
      <w:iCs/>
      <w:color w:val="0F4761" w:themeColor="accent1" w:themeShade="BF"/>
    </w:rPr>
  </w:style>
  <w:style w:type="character" w:styleId="Odwoanieintensywne">
    <w:name w:val="Intense Reference"/>
    <w:basedOn w:val="Domylnaczcionkaakapitu"/>
    <w:uiPriority w:val="32"/>
    <w:qFormat/>
    <w:rsid w:val="009A28EF"/>
    <w:rPr>
      <w:b/>
      <w:bCs/>
      <w:smallCaps/>
      <w:color w:val="0F4761" w:themeColor="accent1" w:themeShade="BF"/>
      <w:spacing w:val="5"/>
    </w:rPr>
  </w:style>
  <w:style w:type="character" w:customStyle="1" w:styleId="markedcontent">
    <w:name w:val="markedcontent"/>
    <w:basedOn w:val="Domylnaczcionkaakapitu"/>
    <w:rsid w:val="009A28EF"/>
  </w:style>
  <w:style w:type="character" w:styleId="Hipercze">
    <w:name w:val="Hyperlink"/>
    <w:basedOn w:val="Domylnaczcionkaakapitu"/>
    <w:uiPriority w:val="99"/>
    <w:unhideWhenUsed/>
    <w:rsid w:val="00266AE9"/>
    <w:rPr>
      <w:color w:val="467886" w:themeColor="hyperlink"/>
      <w:u w:val="single"/>
    </w:rPr>
  </w:style>
  <w:style w:type="character" w:styleId="Nierozpoznanawzmianka">
    <w:name w:val="Unresolved Mention"/>
    <w:basedOn w:val="Domylnaczcionkaakapitu"/>
    <w:uiPriority w:val="99"/>
    <w:semiHidden/>
    <w:unhideWhenUsed/>
    <w:rsid w:val="00266AE9"/>
    <w:rPr>
      <w:color w:val="605E5C"/>
      <w:shd w:val="clear" w:color="auto" w:fill="E1DFDD"/>
    </w:rPr>
  </w:style>
  <w:style w:type="character" w:styleId="UyteHipercze">
    <w:name w:val="FollowedHyperlink"/>
    <w:basedOn w:val="Domylnaczcionkaakapitu"/>
    <w:uiPriority w:val="99"/>
    <w:semiHidden/>
    <w:unhideWhenUsed/>
    <w:rsid w:val="00266A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gov.pl/projekt/12408251/katalog/13192451#131924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slacja.gov.pl/projekt/12408350/katalog/13192858#131928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gov.pl/projekt/12408200/katalog/13192264#13192264" TargetMode="External"/><Relationship Id="rId11" Type="http://schemas.openxmlformats.org/officeDocument/2006/relationships/hyperlink" Target="https://legislacja.gov.pl/projekt/12408352/katalog/13192959#13192959" TargetMode="External"/><Relationship Id="rId5" Type="http://schemas.openxmlformats.org/officeDocument/2006/relationships/image" Target="media/image1.png"/><Relationship Id="rId10" Type="http://schemas.openxmlformats.org/officeDocument/2006/relationships/hyperlink" Target="https://legislacja.gov.pl/projekt/12408353/katalog/13193002#13193002" TargetMode="External"/><Relationship Id="rId4" Type="http://schemas.openxmlformats.org/officeDocument/2006/relationships/webSettings" Target="webSettings.xml"/><Relationship Id="rId9" Type="http://schemas.openxmlformats.org/officeDocument/2006/relationships/hyperlink" Target="https://legislacja.gov.pl/projekt/12408300/katalog/13192664#1319266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26</Pages>
  <Words>11826</Words>
  <Characters>70956</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11</cp:revision>
  <dcterms:created xsi:type="dcterms:W3CDTF">2026-03-27T09:31:00Z</dcterms:created>
  <dcterms:modified xsi:type="dcterms:W3CDTF">2026-03-27T10:55:00Z</dcterms:modified>
</cp:coreProperties>
</file>