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4896" w14:textId="77777777" w:rsidR="00E04AF0" w:rsidRPr="00586923" w:rsidRDefault="00E04AF0" w:rsidP="00E04AF0">
      <w:pPr>
        <w:rPr>
          <w:rFonts w:ascii="Arial" w:hAnsi="Arial" w:cs="Arial"/>
        </w:rPr>
      </w:pPr>
      <w:r w:rsidRPr="00586923">
        <w:rPr>
          <w:rFonts w:ascii="Arial" w:hAnsi="Arial" w:cs="Arial"/>
          <w:noProof/>
          <w:lang w:eastAsia="pl-PL"/>
        </w:rPr>
        <w:drawing>
          <wp:inline distT="0" distB="0" distL="0" distR="0" wp14:anchorId="009323E8" wp14:editId="62A85F29">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6C90840C" w14:textId="77777777" w:rsidR="00E04AF0" w:rsidRDefault="00E04AF0" w:rsidP="00E04AF0">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7F26AD3A" w14:textId="77777777" w:rsidR="00E04AF0" w:rsidRPr="00586923" w:rsidRDefault="00E04AF0" w:rsidP="00E04AF0">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09D0876E" w14:textId="5E3E9301" w:rsidR="00E04AF0" w:rsidRPr="00586923" w:rsidRDefault="00E04AF0" w:rsidP="00E04AF0">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30</w:t>
      </w:r>
      <w:r>
        <w:rPr>
          <w:rFonts w:ascii="Arial" w:hAnsi="Arial" w:cs="Arial"/>
          <w:b/>
        </w:rPr>
        <w:t xml:space="preserve"> </w:t>
      </w:r>
      <w:r>
        <w:rPr>
          <w:rFonts w:ascii="Arial" w:hAnsi="Arial" w:cs="Arial"/>
          <w:b/>
        </w:rPr>
        <w:t xml:space="preserve">marca </w:t>
      </w:r>
      <w:r w:rsidRPr="00586923">
        <w:rPr>
          <w:rFonts w:ascii="Arial" w:hAnsi="Arial" w:cs="Arial"/>
          <w:b/>
        </w:rPr>
        <w:t xml:space="preserve">do </w:t>
      </w:r>
      <w:r>
        <w:rPr>
          <w:rFonts w:ascii="Arial" w:hAnsi="Arial" w:cs="Arial"/>
          <w:b/>
        </w:rPr>
        <w:t>5 kwietnia</w:t>
      </w:r>
      <w:r w:rsidRPr="00586923">
        <w:rPr>
          <w:rFonts w:ascii="Arial" w:hAnsi="Arial" w:cs="Arial"/>
          <w:b/>
        </w:rPr>
        <w:t xml:space="preserve"> 202</w:t>
      </w:r>
      <w:r>
        <w:rPr>
          <w:rFonts w:ascii="Arial" w:hAnsi="Arial" w:cs="Arial"/>
          <w:b/>
        </w:rPr>
        <w:t>6</w:t>
      </w:r>
      <w:r w:rsidRPr="00586923">
        <w:rPr>
          <w:rFonts w:ascii="Arial" w:hAnsi="Arial" w:cs="Arial"/>
          <w:b/>
        </w:rPr>
        <w:t xml:space="preserve"> roku</w:t>
      </w:r>
    </w:p>
    <w:p w14:paraId="1FE83618" w14:textId="211A79DB" w:rsidR="00E04AF0" w:rsidRPr="00AC3187" w:rsidRDefault="00E04AF0" w:rsidP="00E04AF0">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10 kwietnia</w:t>
      </w:r>
      <w:r w:rsidRPr="00AC3187">
        <w:rPr>
          <w:rFonts w:ascii="Arial" w:hAnsi="Arial" w:cs="Arial"/>
        </w:rPr>
        <w:t xml:space="preserve"> 202</w:t>
      </w:r>
      <w:r>
        <w:rPr>
          <w:rFonts w:ascii="Arial" w:hAnsi="Arial" w:cs="Arial"/>
        </w:rPr>
        <w:t>6</w:t>
      </w:r>
      <w:r w:rsidRPr="00AC3187">
        <w:rPr>
          <w:rFonts w:ascii="Arial" w:hAnsi="Arial" w:cs="Arial"/>
        </w:rPr>
        <w:t xml:space="preserve"> roku</w:t>
      </w:r>
    </w:p>
    <w:p w14:paraId="2A6FF3DD" w14:textId="77777777" w:rsidR="00E04AF0" w:rsidRPr="00586923" w:rsidRDefault="00E04AF0" w:rsidP="00E04AF0">
      <w:pPr>
        <w:spacing w:after="0" w:line="300" w:lineRule="auto"/>
        <w:jc w:val="both"/>
        <w:rPr>
          <w:rFonts w:ascii="Arial" w:hAnsi="Arial" w:cs="Arial"/>
        </w:rPr>
      </w:pPr>
    </w:p>
    <w:p w14:paraId="23EB2128" w14:textId="77777777" w:rsidR="00E04AF0" w:rsidRPr="000B65D1" w:rsidRDefault="00E04AF0" w:rsidP="00E04AF0">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0E63B408" w14:textId="77777777" w:rsidR="00E04AF0" w:rsidRDefault="00E04AF0" w:rsidP="00E04AF0">
      <w:pPr>
        <w:spacing w:after="0" w:line="300" w:lineRule="auto"/>
        <w:jc w:val="both"/>
        <w:rPr>
          <w:rFonts w:ascii="Arial" w:hAnsi="Arial" w:cs="Arial"/>
        </w:rPr>
      </w:pPr>
    </w:p>
    <w:p w14:paraId="21FE48BC" w14:textId="18EBD5F2" w:rsidR="00E04AF0" w:rsidRPr="00C70674" w:rsidRDefault="00E04AF0" w:rsidP="00E04AF0">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sidR="001B1452">
        <w:rPr>
          <w:rFonts w:ascii="Arial" w:eastAsia="Calibri" w:hAnsi="Arial" w:cs="Arial"/>
          <w:bCs/>
        </w:rPr>
        <w:t>9</w:t>
      </w:r>
      <w:r w:rsidRPr="00C70674">
        <w:rPr>
          <w:rFonts w:ascii="Arial" w:eastAsia="Calibri" w:hAnsi="Arial" w:cs="Arial"/>
          <w:bCs/>
        </w:rPr>
        <w:t xml:space="preserve"> projekt</w:t>
      </w:r>
      <w:r w:rsidR="001B1452">
        <w:rPr>
          <w:rFonts w:ascii="Arial" w:eastAsia="Calibri" w:hAnsi="Arial" w:cs="Arial"/>
          <w:bCs/>
        </w:rPr>
        <w:t>ów</w:t>
      </w:r>
      <w:r>
        <w:rPr>
          <w:rFonts w:ascii="Arial" w:eastAsia="Calibri" w:hAnsi="Arial" w:cs="Arial"/>
          <w:bCs/>
        </w:rPr>
        <w:t xml:space="preserve"> ustaw</w:t>
      </w:r>
      <w:r w:rsidRPr="00C70674">
        <w:rPr>
          <w:rFonts w:ascii="Arial" w:eastAsia="Calibri" w:hAnsi="Arial" w:cs="Arial"/>
          <w:bCs/>
        </w:rPr>
        <w:t xml:space="preserve"> oraz</w:t>
      </w:r>
      <w:r w:rsidRPr="00C70674">
        <w:rPr>
          <w:rFonts w:ascii="Arial" w:hAnsi="Arial" w:cs="Arial"/>
        </w:rPr>
        <w:t xml:space="preserve"> </w:t>
      </w:r>
      <w:r w:rsidR="001B1452">
        <w:rPr>
          <w:rFonts w:ascii="Arial" w:hAnsi="Arial" w:cs="Arial"/>
        </w:rPr>
        <w:t>16</w:t>
      </w:r>
      <w:r w:rsidRPr="00C70674">
        <w:rPr>
          <w:rFonts w:ascii="Arial" w:hAnsi="Arial" w:cs="Arial"/>
        </w:rPr>
        <w:t xml:space="preserve"> projekt</w:t>
      </w:r>
      <w:r w:rsidR="001B1452">
        <w:rPr>
          <w:rFonts w:ascii="Arial" w:hAnsi="Arial" w:cs="Arial"/>
        </w:rPr>
        <w:t>ów</w:t>
      </w:r>
      <w:r w:rsidRPr="00C70674">
        <w:rPr>
          <w:rFonts w:ascii="Arial" w:hAnsi="Arial" w:cs="Arial"/>
        </w:rPr>
        <w:t xml:space="preserve"> rozporządzeń Rady Ministrów, Prezesa Rady Ministrów oraz poszczególnych Ministrów.</w:t>
      </w:r>
    </w:p>
    <w:p w14:paraId="3339261F" w14:textId="77777777" w:rsidR="00E04AF0" w:rsidRPr="00C70674" w:rsidRDefault="00E04AF0" w:rsidP="00E04AF0">
      <w:pPr>
        <w:spacing w:after="0" w:line="300" w:lineRule="auto"/>
        <w:jc w:val="both"/>
        <w:rPr>
          <w:rFonts w:ascii="Arial" w:hAnsi="Arial" w:cs="Arial"/>
        </w:rPr>
      </w:pPr>
    </w:p>
    <w:p w14:paraId="3278343A" w14:textId="7DDBDB2E" w:rsidR="00E04AF0" w:rsidRDefault="00E04AF0" w:rsidP="00E04AF0">
      <w:pPr>
        <w:spacing w:after="0" w:line="300" w:lineRule="auto"/>
        <w:jc w:val="both"/>
        <w:rPr>
          <w:rFonts w:ascii="Arial" w:hAnsi="Arial" w:cs="Arial"/>
        </w:rPr>
      </w:pPr>
      <w:r>
        <w:rPr>
          <w:rFonts w:ascii="Arial" w:hAnsi="Arial" w:cs="Arial"/>
        </w:rPr>
        <w:t xml:space="preserve">Przeprowadzono konsultacje </w:t>
      </w:r>
      <w:r w:rsidR="001B1452">
        <w:rPr>
          <w:rFonts w:ascii="Arial" w:hAnsi="Arial" w:cs="Arial"/>
        </w:rPr>
        <w:t>3</w:t>
      </w:r>
      <w:r>
        <w:rPr>
          <w:rFonts w:ascii="Arial" w:hAnsi="Arial" w:cs="Arial"/>
        </w:rPr>
        <w:t xml:space="preserve"> projekt</w:t>
      </w:r>
      <w:r w:rsidR="001B1452">
        <w:rPr>
          <w:rFonts w:ascii="Arial" w:hAnsi="Arial" w:cs="Arial"/>
        </w:rPr>
        <w:t>ów</w:t>
      </w:r>
      <w:r>
        <w:rPr>
          <w:rFonts w:ascii="Arial" w:hAnsi="Arial" w:cs="Arial"/>
        </w:rPr>
        <w:t xml:space="preserve"> ustaw dotyczących podmiotów członkowskich (pracodawcy, przedsiębiorcy, JST) zrzeszonych w Związku. </w:t>
      </w:r>
    </w:p>
    <w:p w14:paraId="48785B0E" w14:textId="77777777" w:rsidR="00E04AF0" w:rsidRDefault="00E04AF0" w:rsidP="00E04AF0">
      <w:pPr>
        <w:spacing w:after="0" w:line="300" w:lineRule="auto"/>
        <w:jc w:val="both"/>
        <w:rPr>
          <w:rFonts w:ascii="Arial" w:hAnsi="Arial" w:cs="Arial"/>
        </w:rPr>
      </w:pPr>
      <w:r>
        <w:rPr>
          <w:rFonts w:ascii="Arial" w:hAnsi="Arial" w:cs="Arial"/>
        </w:rPr>
        <w:t>Do konsultacji przekazane zostały następujące projekty:</w:t>
      </w:r>
    </w:p>
    <w:p w14:paraId="4C49F496" w14:textId="77777777" w:rsidR="00E04AF0" w:rsidRDefault="00E04AF0" w:rsidP="00E04AF0">
      <w:pPr>
        <w:spacing w:after="0" w:line="300" w:lineRule="auto"/>
        <w:jc w:val="both"/>
        <w:rPr>
          <w:rFonts w:ascii="Arial" w:hAnsi="Arial" w:cs="Arial"/>
        </w:rPr>
      </w:pPr>
    </w:p>
    <w:p w14:paraId="4C3909CA" w14:textId="77777777" w:rsidR="00E04AF0" w:rsidRDefault="00E04AF0" w:rsidP="00E04AF0">
      <w:pPr>
        <w:spacing w:after="0" w:line="300" w:lineRule="auto"/>
        <w:jc w:val="both"/>
        <w:rPr>
          <w:rFonts w:ascii="Arial" w:hAnsi="Arial" w:cs="Arial"/>
        </w:rPr>
      </w:pPr>
      <w:r>
        <w:rPr>
          <w:rFonts w:ascii="Arial" w:hAnsi="Arial" w:cs="Arial"/>
        </w:rPr>
        <w:t>Projekty ustaw:</w:t>
      </w:r>
    </w:p>
    <w:p w14:paraId="1F2E08A1" w14:textId="77777777" w:rsidR="001B1452" w:rsidRDefault="001B1452" w:rsidP="00E04AF0">
      <w:pPr>
        <w:spacing w:after="0" w:line="300" w:lineRule="auto"/>
        <w:jc w:val="both"/>
        <w:rPr>
          <w:rFonts w:ascii="Arial" w:hAnsi="Arial" w:cs="Arial"/>
        </w:rPr>
      </w:pPr>
    </w:p>
    <w:p w14:paraId="2955A562" w14:textId="73EF226E" w:rsidR="001B1452" w:rsidRPr="00EC5668" w:rsidRDefault="001B1452" w:rsidP="00E04AF0">
      <w:pPr>
        <w:pStyle w:val="Akapitzlist"/>
        <w:numPr>
          <w:ilvl w:val="0"/>
          <w:numId w:val="3"/>
        </w:numPr>
        <w:spacing w:after="0" w:line="300" w:lineRule="auto"/>
        <w:jc w:val="both"/>
        <w:rPr>
          <w:rFonts w:ascii="Arial" w:hAnsi="Arial" w:cs="Arial"/>
          <w:b/>
          <w:bCs/>
          <w:u w:val="single"/>
        </w:rPr>
      </w:pPr>
      <w:r w:rsidRPr="00EC5668">
        <w:rPr>
          <w:rFonts w:ascii="Arial" w:hAnsi="Arial" w:cs="Arial"/>
          <w:b/>
          <w:bCs/>
          <w:u w:val="single"/>
        </w:rPr>
        <w:t>P</w:t>
      </w:r>
      <w:r w:rsidRPr="00EC5668">
        <w:rPr>
          <w:rFonts w:ascii="Arial" w:hAnsi="Arial" w:cs="Arial"/>
          <w:b/>
          <w:bCs/>
          <w:u w:val="single"/>
        </w:rPr>
        <w:t>rojekt ustawy o zmianie niektórych ustaw w związku z uprawnieniniem funkcjonowania rynku kapitałowego (UC137)</w:t>
      </w:r>
      <w:r w:rsidRPr="00EC5668">
        <w:rPr>
          <w:rFonts w:ascii="Arial" w:hAnsi="Arial" w:cs="Arial"/>
          <w:b/>
          <w:bCs/>
          <w:u w:val="single"/>
        </w:rPr>
        <w:t>.</w:t>
      </w:r>
    </w:p>
    <w:p w14:paraId="617A3BAA" w14:textId="77777777" w:rsidR="001B1452" w:rsidRDefault="001B1452" w:rsidP="001B1452">
      <w:pPr>
        <w:spacing w:after="0" w:line="300" w:lineRule="auto"/>
        <w:jc w:val="both"/>
        <w:rPr>
          <w:rFonts w:ascii="Arial" w:hAnsi="Arial" w:cs="Arial"/>
        </w:rPr>
      </w:pPr>
    </w:p>
    <w:p w14:paraId="7E2BFD63" w14:textId="77777777" w:rsidR="001B1452" w:rsidRPr="001B1452" w:rsidRDefault="001B1452" w:rsidP="001B1452">
      <w:pPr>
        <w:spacing w:after="0" w:line="300" w:lineRule="auto"/>
        <w:jc w:val="both"/>
        <w:rPr>
          <w:rFonts w:ascii="Arial" w:hAnsi="Arial" w:cs="Arial"/>
        </w:rPr>
      </w:pPr>
      <w:r w:rsidRPr="001B1452">
        <w:rPr>
          <w:rFonts w:ascii="Arial" w:hAnsi="Arial" w:cs="Arial"/>
        </w:rPr>
        <w:t>Zasadniczym celem projektowanej ustawy jest implementacja do krajowego porządku prawnego dyrektywy PE i Rady (UE) 2024/2811 z dnia 23 października 2024 r. w sprawie zmiany dyrektywy 2014/65/UE w celu zwiększenia atrakcyjności publicznych rynków kapitałowych w Unii dla spółek i ułatwienia małym i średnim przedsiębiorstwom dostępu do kapitału oraz uchylenia dyrektywy 2001/34/WE (dalej: „dyrektywa 2024/2811), a także zapewnienie stosowania rozporządzenia PE i Rady (UE) 2024/2809 z dnia 23 października 2024 r. w sprawie zmiany rozporządzeń (UE) 2017/1129, (UE) nr 596/2014 i (UE) nr 600/2014 w celu zwiększenia atrakcyjności publicznych rynków kapitałowych w Unii dla spółek oraz ułatwienia małym i średnim przedsiębiorstwom dostępu do kapitału (dalej: „rozporządzenie 2024/2809”). Celem wskazanych europejskich aktów prawnych jest rozwiązanie problemu zbyt wysokich kosztów i nadmiernych wymogów formalnych dla spółek, zwłaszcza małych i średnich (dalej: „MŚP”), które zamierzają pozyskać kapitał na rynku publicznym w Unii Europejskiej. Najważniejsze cele pośrednie to uproszczenie prospektów emisyjnych i zmiana nieproporcjonalnych obowiązków informacyjnych, które skutkują utrudnieniami w dostępie do kapitału przez MŚP, a w dłuższym terminie niską atrakcyjnością unijnych rynków kapitałowych.</w:t>
      </w:r>
    </w:p>
    <w:p w14:paraId="78A4C4B5" w14:textId="77777777" w:rsidR="001B1452" w:rsidRPr="001B1452" w:rsidRDefault="001B1452" w:rsidP="001B1452">
      <w:pPr>
        <w:spacing w:after="0" w:line="300" w:lineRule="auto"/>
        <w:jc w:val="both"/>
        <w:rPr>
          <w:rFonts w:ascii="Arial" w:hAnsi="Arial" w:cs="Arial"/>
        </w:rPr>
      </w:pPr>
      <w:r w:rsidRPr="001B1452">
        <w:rPr>
          <w:rFonts w:ascii="Arial" w:hAnsi="Arial" w:cs="Arial"/>
        </w:rPr>
        <w:t xml:space="preserve">Projektowana ustawa służy również stosowaniu rozporządzenia Parlamentu Europejskiego i Rady (UE) 2024/3005 z dnia 27 listopada 2024 r. w sprawie przejrzystości i rzetelności </w:t>
      </w:r>
      <w:r w:rsidRPr="001B1452">
        <w:rPr>
          <w:rFonts w:ascii="Arial" w:hAnsi="Arial" w:cs="Arial"/>
        </w:rPr>
        <w:lastRenderedPageBreak/>
        <w:t>działalności ratingowej z zakresu ochrony środowiska, polityki społecznej i ładu korporacyjnego (ESG) oraz zmiany rozporządzeń (UE) 2019/2088 i (UE) 2023/2859 (Dz. Urz. UE L 2024/3005 z 12.12.2024). Rozporządzenie to wprowadza wymogi dotyczące przejrzystości ratingów ESG oraz zasad organizacji i postępowania dostawców ratingów ESG, co ma służyć podwyższeniu poziomu ochrony konsumentów i inwestorów poprzez zapobieganie oferowania pseudoekologicznych produktów inwestycyjnych.</w:t>
      </w:r>
    </w:p>
    <w:p w14:paraId="641B5CCC" w14:textId="77777777" w:rsidR="001B1452" w:rsidRPr="001B1452" w:rsidRDefault="001B1452" w:rsidP="001B1452">
      <w:pPr>
        <w:spacing w:after="0" w:line="300" w:lineRule="auto"/>
        <w:jc w:val="both"/>
        <w:rPr>
          <w:rFonts w:ascii="Arial" w:hAnsi="Arial" w:cs="Arial"/>
        </w:rPr>
      </w:pPr>
      <w:r w:rsidRPr="001B1452">
        <w:rPr>
          <w:rFonts w:ascii="Arial" w:hAnsi="Arial" w:cs="Arial"/>
        </w:rPr>
        <w:t xml:space="preserve">Ponadto, projektowana ustawa wdraża rozwiązania służące zwiększeniu poziomu ochrony interesów akcjonariuszy mniejszościowych w procesie przymusowego wykupu akcji spółek publicznych dostosowując go do przepisów art. 15 ust. 2 lit. b dyrektywy 2004/25/WE Parlamentu Europejskiego i Rady z dnia 21 kwietnia 2004 r. w sprawie ofert przejęcia (Dz. Urz. UE L 142 z 30.4.2004, str. 12), zwanej dalej „dyrektywą 2004/25/WE”. Obowiązujące obecnie zasady ustalania ceny przymusowego wykupu w oparciu o cenę ukształtowaną podczas notowań giełdowych nie zawsze obiektywnie odzwierciedlają aktualną wartość danej spółki, np. w sytuacji niskiego wolumenu obrotów. </w:t>
      </w:r>
    </w:p>
    <w:p w14:paraId="08C3E07E" w14:textId="77777777" w:rsidR="001B1452" w:rsidRPr="001B1452" w:rsidRDefault="001B1452" w:rsidP="001B1452">
      <w:pPr>
        <w:spacing w:after="0" w:line="300" w:lineRule="auto"/>
        <w:jc w:val="both"/>
        <w:rPr>
          <w:rFonts w:ascii="Arial" w:hAnsi="Arial" w:cs="Arial"/>
        </w:rPr>
      </w:pPr>
      <w:r w:rsidRPr="001B1452">
        <w:rPr>
          <w:rFonts w:ascii="Arial" w:hAnsi="Arial" w:cs="Arial"/>
        </w:rPr>
        <w:t xml:space="preserve">Jednocześnie w projekcie ustawy przewidziano rezygnację z niektórych wymogów przewidzianych w prawie krajowym z zakresu obrotu instrumentami finansowymi, które nie wynikają z prawa Unii Europejskiej i mogą stanowić tzw. </w:t>
      </w:r>
      <w:proofErr w:type="spellStart"/>
      <w:r w:rsidRPr="001B1452">
        <w:rPr>
          <w:rFonts w:ascii="Arial" w:hAnsi="Arial" w:cs="Arial"/>
        </w:rPr>
        <w:t>gold-plating</w:t>
      </w:r>
      <w:proofErr w:type="spellEnd"/>
      <w:r w:rsidRPr="001B1452">
        <w:rPr>
          <w:rFonts w:ascii="Arial" w:hAnsi="Arial" w:cs="Arial"/>
        </w:rPr>
        <w:t>, a zarazem generować niepotrzebne koszty, które obniżają konkurencyjność krajowego rynku kapitałowego.</w:t>
      </w:r>
    </w:p>
    <w:p w14:paraId="5D880834" w14:textId="77777777" w:rsidR="001B1452" w:rsidRPr="001B1452" w:rsidRDefault="001B1452" w:rsidP="001B1452">
      <w:pPr>
        <w:spacing w:after="0" w:line="300" w:lineRule="auto"/>
        <w:jc w:val="both"/>
        <w:rPr>
          <w:rFonts w:ascii="Arial" w:hAnsi="Arial" w:cs="Arial"/>
        </w:rPr>
      </w:pPr>
      <w:r w:rsidRPr="001B1452">
        <w:rPr>
          <w:rFonts w:ascii="Arial" w:hAnsi="Arial" w:cs="Arial"/>
        </w:rPr>
        <w:t xml:space="preserve">Projektowana ustawa zakłada, w ślad za implementowaną dyrektywą 2024/2811, wprowadzenie nowych zasad dotyczących analiz inwestycyjnych, w tym nowych reguł oddzielania opłat za takie analizy od opłat za wykonywanie transakcji. Umożliwione zostanie, w odniesieniu do wszystkich spółek, niezależnie od ich kapitalizacji rynkowej, łączenie opłat za wykonywanie transakcji i przeprowadzenie analiz. Powinno się to przyczynić do usunięcia barier utrudniających dostęp do analiz inwestycyjnych i zwiększenia ich liczby, a pośrednio do ożywienia rynku kapitałowego. Wprowadza się również nowe zasady dotyczące sposobu sporządzania analiz – każdy dokument tego typu, sporządzony przez podmioty trzecie na rzecz firm inwestycyjnych, będzie podlegał określonym wymaganiom. Dodatkowo, bardziej rygorystyczne zasady będą dotyczyć analiz, które zostaną oznaczone jako zgodne z wprowadzanym przez implementowaną dyrektywę „unijnym kodeksem postępowania dotyczącym badań sponsorowanych przez emitenta”. Celem tych rozwiązań jest zapewnienie, aby analizy inwestycyjne były bardziej obiektywne i wiarygodne, co poprawi ich dostępność i zwiększy zaufanie inwestorów, zwłaszcza w odniesieniu do mniejszych emitentów, którzy aktualnie są mniej rozpoznawalni na rynku. </w:t>
      </w:r>
    </w:p>
    <w:p w14:paraId="46AFA934" w14:textId="77777777" w:rsidR="001B1452" w:rsidRPr="001B1452" w:rsidRDefault="001B1452" w:rsidP="001B1452">
      <w:pPr>
        <w:spacing w:after="0" w:line="300" w:lineRule="auto"/>
        <w:jc w:val="both"/>
        <w:rPr>
          <w:rFonts w:ascii="Arial" w:hAnsi="Arial" w:cs="Arial"/>
        </w:rPr>
      </w:pPr>
      <w:r w:rsidRPr="001B1452">
        <w:rPr>
          <w:rFonts w:ascii="Arial" w:hAnsi="Arial" w:cs="Arial"/>
        </w:rPr>
        <w:t>W związku z implementacją dyrektywy 2024/2811 nastąpi również dostosowanie zasady funkcjonowania segmentów giełdowych dedykowanych spółkom małym i średnim, co powinno ułatwić tym przedsiębiorstwom wejście na publiczny rynek kapitałowy. Dzięki nowym rozwiązaniom mniejsze spółki będą mogą korzystać z giełdy na bardziej elastycznych warunkach, co powinno zwiększyć ich skłonność do uzyskiwania finansowania za pośrednictwem rynku kapitałowego.</w:t>
      </w:r>
    </w:p>
    <w:p w14:paraId="5BFB0276" w14:textId="77777777" w:rsidR="001B1452" w:rsidRPr="001B1452" w:rsidRDefault="001B1452" w:rsidP="001B1452">
      <w:pPr>
        <w:spacing w:after="0" w:line="300" w:lineRule="auto"/>
        <w:jc w:val="both"/>
        <w:rPr>
          <w:rFonts w:ascii="Arial" w:hAnsi="Arial" w:cs="Arial"/>
        </w:rPr>
      </w:pPr>
      <w:r w:rsidRPr="001B1452">
        <w:rPr>
          <w:rFonts w:ascii="Arial" w:hAnsi="Arial" w:cs="Arial"/>
        </w:rPr>
        <w:t xml:space="preserve">Implementowana dyrektywa uchyla również dyrektywę 2001/34/WE Parlamentu Europejskiego i Rady z dnia 28 maja 2001 r. w sprawie dopuszczenia papierów wartościowych do publicznego obrotu giełdowego oraz informacji dotyczących tych papierów wartościowych, które podlegają publikacji (Dz. Urz. UE L 184 06.07.2001, str. 1, z </w:t>
      </w:r>
      <w:proofErr w:type="spellStart"/>
      <w:r w:rsidRPr="001B1452">
        <w:rPr>
          <w:rFonts w:ascii="Arial" w:hAnsi="Arial" w:cs="Arial"/>
        </w:rPr>
        <w:t>późn</w:t>
      </w:r>
      <w:proofErr w:type="spellEnd"/>
      <w:r w:rsidRPr="001B1452">
        <w:rPr>
          <w:rFonts w:ascii="Arial" w:hAnsi="Arial" w:cs="Arial"/>
        </w:rPr>
        <w:t xml:space="preserve">. zm.) pozostawiając kwestie związane z dopuszczeniem papierów wartościowych do obrotu na rynku regulowanym </w:t>
      </w:r>
      <w:r w:rsidRPr="001B1452">
        <w:rPr>
          <w:rFonts w:ascii="Arial" w:hAnsi="Arial" w:cs="Arial"/>
        </w:rPr>
        <w:lastRenderedPageBreak/>
        <w:t xml:space="preserve">wyłącznie regulacjom przewidzianym w dyrektywie Parlamentu Europejskiego i Rady 2014/65/UE z dnia 15 maja 2014 r. w sprawie rynków instrumentów finansowych oraz zmieniającej dyrektywę 2002/92/WE i dyrektywę 2011/61/UE (Dz. Urz. UE L 173 z 12.06.2014, str. 349, z </w:t>
      </w:r>
      <w:proofErr w:type="spellStart"/>
      <w:r w:rsidRPr="001B1452">
        <w:rPr>
          <w:rFonts w:ascii="Arial" w:hAnsi="Arial" w:cs="Arial"/>
        </w:rPr>
        <w:t>późn</w:t>
      </w:r>
      <w:proofErr w:type="spellEnd"/>
      <w:r w:rsidRPr="001B1452">
        <w:rPr>
          <w:rFonts w:ascii="Arial" w:hAnsi="Arial" w:cs="Arial"/>
        </w:rPr>
        <w:t>. zm.). W kontekście tej zmiany uznano, że przewidziany w dyrektywie 2001/34/WE wymóg, aby co najmniej 20% akcji spółek publicznych znajdowało się w wolnym obrocie, jest wymogiem nadmiernym. W celu zapewnienia emitentom większej elastyczności i zwiększenia konkurencyjności unijnych rynków kapitałowych, wymóg ten został zatem obniżony do poziomu 10% i wynika wprost z dyrektywy 2014/65/UE. Jednocześnie, aby lepiej uwzględnić cechy i wielkość lokalnych ofert akcji, państwa członkowskie uzyskały możliwość ustanowienia alternatywnych sposobów mierzenia, czy inwestorom została przydzielona dostateczna liczba akcji. Sprawy znajdują swoje odzwierciedlenie w projektowanej ustawie.</w:t>
      </w:r>
    </w:p>
    <w:p w14:paraId="479A4926" w14:textId="77777777" w:rsidR="001B1452" w:rsidRPr="001B1452" w:rsidRDefault="001B1452" w:rsidP="001B1452">
      <w:pPr>
        <w:spacing w:after="0" w:line="300" w:lineRule="auto"/>
        <w:jc w:val="both"/>
        <w:rPr>
          <w:rFonts w:ascii="Arial" w:hAnsi="Arial" w:cs="Arial"/>
        </w:rPr>
      </w:pPr>
      <w:r w:rsidRPr="001B1452">
        <w:rPr>
          <w:rFonts w:ascii="Arial" w:hAnsi="Arial" w:cs="Arial"/>
        </w:rPr>
        <w:t>Uchylenie dyrektywy 2001/34/WE sprawiło również, że nie znajduje dalszego uzasadnienia przewidziany w prawie krajowym obowiązek wyodrębnienia w ramach rynku regulowanego rynku oficjalnych notowań. Pozwoli to na uproszczenie struktury krajowego rynku regulowanego (Giełdy Papierów Wartościowych w Warszawie), ujednolicenie obowiązków informacyjnych spółek notowanych na tym rynku oraz wymagań w zakresie ich wprowadzania do obrotu.</w:t>
      </w:r>
    </w:p>
    <w:p w14:paraId="04F5204F" w14:textId="77777777" w:rsidR="001B1452" w:rsidRPr="001B1452" w:rsidRDefault="001B1452" w:rsidP="001B1452">
      <w:pPr>
        <w:spacing w:after="0" w:line="300" w:lineRule="auto"/>
        <w:jc w:val="both"/>
        <w:rPr>
          <w:rFonts w:ascii="Arial" w:hAnsi="Arial" w:cs="Arial"/>
        </w:rPr>
      </w:pPr>
      <w:r w:rsidRPr="001B1452">
        <w:rPr>
          <w:rFonts w:ascii="Arial" w:hAnsi="Arial" w:cs="Arial"/>
        </w:rPr>
        <w:t xml:space="preserve">W projekcie wprowadzony został również wymóg minimalnej wartości przewidywanej kapitalizacji rynkowej spółki, której dotyczy wniosek o dopuszczenie do obrotu, w wysokości 1 mln euro. Jest to minimalna wartość przewidywanej kapitalizacji, a jeśli nie można jej ocenić, kapitału i rezerw spółki, z uwzględnieniem zysków i strat za ostatni rok obrotowy. Celem wprowadzenia tego wymogu w dyrektywie 2024/2811 jest przede wszystkim uporządkowanie i ujednolicenie standardów dopuszczania emitentów do obrotu na rynkach regulowanych w całej Unii. </w:t>
      </w:r>
    </w:p>
    <w:p w14:paraId="4AE52095" w14:textId="77777777" w:rsidR="001B1452" w:rsidRPr="001B1452" w:rsidRDefault="001B1452" w:rsidP="001B1452">
      <w:pPr>
        <w:spacing w:after="0" w:line="300" w:lineRule="auto"/>
        <w:jc w:val="both"/>
        <w:rPr>
          <w:rFonts w:ascii="Arial" w:hAnsi="Arial" w:cs="Arial"/>
        </w:rPr>
      </w:pPr>
      <w:r w:rsidRPr="001B1452">
        <w:rPr>
          <w:rFonts w:ascii="Arial" w:hAnsi="Arial" w:cs="Arial"/>
        </w:rPr>
        <w:t>Istotne zmiany zostały zawarte w nowelizacjach rozporządzeń unijnych – rozporządzeniu PE i Rady (UE) 2017/1129 z dnia 14 czerwca 2017 r. w sprawie prospektu, który ma być publikowany w związku z ofertą publiczną papierów wartościowych lub dopuszczeniem ich do obrotu na rynku regulowanym (dalej: „rozporządzenie 2017/1129”) oraz rozporządzeniu PE i Rady (UE) nr 596/2014 z dnia 16 kwietnia 2014 r. w sprawie nadużyć na rynku. Celem tych zmian jest przede wszystkim zmniejszenie obciążeń związanych z przygotowaniem prospektu, a także obciążeń związanych z późniejszym raportowaniem. Rozwiązania te powinny obniżyć koszty dla wszystkich emitentów, ze szczególnym uwzględnieniem MŚP. Jakkolwiek rozporządzenia wiążą w całości i są bezpośrednio stosowane we wszystkich państwach członkowskich, wprowadzane zmiany wymagają dostosowania regulacji zawartych w ustawie z dnia 29 lipca 2005 r. o ofercie publicznej i warunkach wprowadzania instrumentów finansowych do zorganizowanego systemu obrotu oraz o spółkach publicznych, która reguluje zasady przeprowadzania oferty publicznej w zakresie nieuregulowanym przepisami rozporządzenia 2017/1129, a także obowiązki podmiotów uczestniczących w obrocie instrumentami finansowymi i obowiązki związane z uzyskaniem statusu spółki publicznej.</w:t>
      </w:r>
    </w:p>
    <w:p w14:paraId="531FE293" w14:textId="77777777" w:rsidR="001B1452" w:rsidRPr="001B1452" w:rsidRDefault="001B1452" w:rsidP="001B1452">
      <w:pPr>
        <w:spacing w:after="0" w:line="300" w:lineRule="auto"/>
        <w:jc w:val="both"/>
        <w:rPr>
          <w:rFonts w:ascii="Arial" w:hAnsi="Arial" w:cs="Arial"/>
        </w:rPr>
      </w:pPr>
      <w:r w:rsidRPr="001B1452">
        <w:rPr>
          <w:rFonts w:ascii="Arial" w:hAnsi="Arial" w:cs="Arial"/>
        </w:rPr>
        <w:t>W rozporządzeniu 2024/3005 przyjęto, że nadzór nad dostawcami ratingów ESG będzie sprawowany przez Europejski Urząd Nadzoru Giełd i Papierów Wartościowych (ESMA). Niezależnie od tego art. 30 rozporządzenia 2024/3005 zobowiązuje państwa członkowskie do wyznaczenia właściwego organu na potrzeby tego rozporządzenia, przy czym jak wynika z treści rozporządzenia organ ten jest wyznaczany na potrzeby wymiany informacji nadzorczo-</w:t>
      </w:r>
      <w:r w:rsidRPr="001B1452">
        <w:rPr>
          <w:rFonts w:ascii="Arial" w:hAnsi="Arial" w:cs="Arial"/>
        </w:rPr>
        <w:lastRenderedPageBreak/>
        <w:t>kontrolnych, czy też współpracy przy wykonywaniu kontroli przez ESMA. Mając na uwadze, że krajowy nadzór nad rynkiem finansowym został powierzony Komisji Nadzoru Finansowego w projekcie przyjęto, że organ ten zostanie wskazana jako właściwy organ w rozumieniu rozporządzenia 2024/3005.</w:t>
      </w:r>
    </w:p>
    <w:p w14:paraId="0943F134" w14:textId="77777777" w:rsidR="001B1452" w:rsidRPr="001B1452" w:rsidRDefault="001B1452" w:rsidP="001B1452">
      <w:pPr>
        <w:spacing w:after="0" w:line="300" w:lineRule="auto"/>
        <w:jc w:val="both"/>
        <w:rPr>
          <w:rFonts w:ascii="Arial" w:hAnsi="Arial" w:cs="Arial"/>
        </w:rPr>
      </w:pPr>
      <w:r w:rsidRPr="001B1452">
        <w:rPr>
          <w:rFonts w:ascii="Arial" w:hAnsi="Arial" w:cs="Arial"/>
        </w:rPr>
        <w:t xml:space="preserve">Zmiany służące zwiększeniu poziomu ochrony interesów akcjonariuszy mniejszościowych w procesie przymusowego wykupu akcji spółek publicznych w głównej mierze będą polegać na oparciu tego procesu o przepisy art. 15 ust. 2 lit. b dyrektywy 2004/25/WE Parlamentu Europejskiego i Rady z dnia 21 kwietnia 2004 r. w sprawie ofert przejęcia (Dz. Urz. UE L 142 30.04.2004, str. 12, z </w:t>
      </w:r>
      <w:proofErr w:type="spellStart"/>
      <w:r w:rsidRPr="001B1452">
        <w:rPr>
          <w:rFonts w:ascii="Arial" w:hAnsi="Arial" w:cs="Arial"/>
        </w:rPr>
        <w:t>późn</w:t>
      </w:r>
      <w:proofErr w:type="spellEnd"/>
      <w:r w:rsidRPr="001B1452">
        <w:rPr>
          <w:rFonts w:ascii="Arial" w:hAnsi="Arial" w:cs="Arial"/>
        </w:rPr>
        <w:t>. zm.). Opcja ta powinna umożliwiać akcjonariuszom mniejszościowym podjęcie decyzji dotyczącej przyszłości inwestycji na etapie odpowiedzi na wezwanie. Z kolei mechanizm bazujący na wezwaniu oraz odpowiednio wysokiej partycypacji w nim akcjonariuszy powinien przyczynić się do ustalenia ceny, która odzwierciedli oczekiwania akcjonariuszy mniejszościowych. Z kolei akceptacja ceny przymusowego wykupu przez akcjonariuszy mniejszościowych będzie stanowić potwierdzenie jej wartości na poziomie godziwym.</w:t>
      </w:r>
    </w:p>
    <w:p w14:paraId="66889848" w14:textId="0E891C87" w:rsidR="001B1452" w:rsidRDefault="001B1452" w:rsidP="001B1452">
      <w:pPr>
        <w:spacing w:after="0" w:line="300" w:lineRule="auto"/>
        <w:jc w:val="both"/>
        <w:rPr>
          <w:rFonts w:ascii="Arial" w:hAnsi="Arial" w:cs="Arial"/>
        </w:rPr>
      </w:pPr>
      <w:r w:rsidRPr="001B1452">
        <w:rPr>
          <w:rFonts w:ascii="Arial" w:hAnsi="Arial" w:cs="Arial"/>
        </w:rPr>
        <w:t xml:space="preserve">Przewidziane projektem zmiany </w:t>
      </w:r>
      <w:proofErr w:type="spellStart"/>
      <w:r w:rsidRPr="001B1452">
        <w:rPr>
          <w:rFonts w:ascii="Arial" w:hAnsi="Arial" w:cs="Arial"/>
        </w:rPr>
        <w:t>deregulacyjne</w:t>
      </w:r>
      <w:proofErr w:type="spellEnd"/>
      <w:r w:rsidRPr="001B1452">
        <w:rPr>
          <w:rFonts w:ascii="Arial" w:hAnsi="Arial" w:cs="Arial"/>
        </w:rPr>
        <w:t xml:space="preserve"> mają różnoraki charakter i przewidują między innymi zniesienie obowiązku załączania odpisu z KRS do wniosku o zatwierdzenie prospektu lub dokumentu rejestracyjnego, rezygnację z obowiązku posiadania przez firmę inwestycyjną adekwatnych i skutecznych rozwiązań zabezpieczających pokrycie roszczeń klientów lub osób trzecich o naprawienie szkody wyrządzonej wskutek niewykonania lub nienależytego wykonania umowy outsourcingu, czy rezygnację z obowiązków przekazywania klientom sprawozdań związanych z usługami maklerskimi, takimi jak przyjmowanie i przekazywanie zleceń, doradztwo inwestycyjne. Wskazane wymogi nie wynikają z przepisów prawa Unii Europejskiej i obniżają konkurencyjność krajowego rynku kapitałowego.</w:t>
      </w:r>
    </w:p>
    <w:p w14:paraId="39CE10A4" w14:textId="77777777" w:rsidR="001B1452" w:rsidRDefault="001B1452" w:rsidP="001B1452">
      <w:pPr>
        <w:spacing w:after="0" w:line="300" w:lineRule="auto"/>
        <w:jc w:val="both"/>
        <w:rPr>
          <w:rFonts w:ascii="Arial" w:hAnsi="Arial" w:cs="Arial"/>
        </w:rPr>
      </w:pPr>
    </w:p>
    <w:p w14:paraId="03C8CBC1" w14:textId="77777777" w:rsidR="00EC5668" w:rsidRPr="00EC5668" w:rsidRDefault="00EC5668" w:rsidP="00EC5668">
      <w:pPr>
        <w:spacing w:after="0" w:line="300" w:lineRule="auto"/>
        <w:jc w:val="both"/>
        <w:rPr>
          <w:rFonts w:ascii="Arial" w:hAnsi="Arial" w:cs="Arial"/>
        </w:rPr>
      </w:pPr>
      <w:r w:rsidRPr="00EC5668">
        <w:rPr>
          <w:rFonts w:ascii="Arial" w:hAnsi="Arial" w:cs="Arial"/>
        </w:rPr>
        <w:t>Przedmiotowy projekt aktu prawnego wraz z Uzasadnieniem, Oceną Skutków Regulacji oraz Tabelą zgodności dostępny jest na stronach Rządowego Centrum Legislacji pod adresem:</w:t>
      </w:r>
    </w:p>
    <w:p w14:paraId="539A9585" w14:textId="77A04000" w:rsidR="00EC5668" w:rsidRDefault="00EC5668" w:rsidP="00EC5668">
      <w:pPr>
        <w:spacing w:after="0" w:line="300" w:lineRule="auto"/>
        <w:jc w:val="both"/>
        <w:rPr>
          <w:rFonts w:ascii="Arial" w:hAnsi="Arial" w:cs="Arial"/>
        </w:rPr>
      </w:pPr>
      <w:hyperlink r:id="rId6" w:history="1">
        <w:r w:rsidRPr="005446B2">
          <w:rPr>
            <w:rStyle w:val="Hipercze"/>
            <w:rFonts w:ascii="Arial" w:hAnsi="Arial" w:cs="Arial"/>
          </w:rPr>
          <w:t>https://legislacja.rcl.gov.pl/projekt/1240</w:t>
        </w:r>
        <w:r w:rsidRPr="005446B2">
          <w:rPr>
            <w:rStyle w:val="Hipercze"/>
            <w:rFonts w:ascii="Arial" w:hAnsi="Arial" w:cs="Arial"/>
          </w:rPr>
          <w:t>8</w:t>
        </w:r>
        <w:r w:rsidRPr="005446B2">
          <w:rPr>
            <w:rStyle w:val="Hipercze"/>
            <w:rFonts w:ascii="Arial" w:hAnsi="Arial" w:cs="Arial"/>
          </w:rPr>
          <w:t>751/katalog/13195472#13195472</w:t>
        </w:r>
      </w:hyperlink>
      <w:r>
        <w:rPr>
          <w:rFonts w:ascii="Arial" w:hAnsi="Arial" w:cs="Arial"/>
        </w:rPr>
        <w:t xml:space="preserve"> </w:t>
      </w:r>
    </w:p>
    <w:p w14:paraId="428FDAC4" w14:textId="77777777" w:rsidR="00EC5668" w:rsidRDefault="00EC5668" w:rsidP="001B1452">
      <w:pPr>
        <w:spacing w:after="0" w:line="300" w:lineRule="auto"/>
        <w:jc w:val="both"/>
        <w:rPr>
          <w:rFonts w:ascii="Arial" w:hAnsi="Arial" w:cs="Arial"/>
        </w:rPr>
      </w:pPr>
    </w:p>
    <w:p w14:paraId="2A7D83DB" w14:textId="1D90537E" w:rsidR="00EC5668" w:rsidRDefault="00EC5668" w:rsidP="001B1452">
      <w:pPr>
        <w:spacing w:after="0" w:line="300" w:lineRule="auto"/>
        <w:jc w:val="both"/>
        <w:rPr>
          <w:rFonts w:ascii="Arial" w:hAnsi="Arial" w:cs="Arial"/>
        </w:rPr>
      </w:pPr>
      <w:r w:rsidRPr="00EC5668">
        <w:rPr>
          <w:rFonts w:ascii="Arial" w:hAnsi="Arial" w:cs="Arial"/>
        </w:rPr>
        <w:t xml:space="preserve">Projekt jest obecnie jednocześnie na etapie </w:t>
      </w:r>
      <w:r>
        <w:rPr>
          <w:rFonts w:ascii="Arial" w:hAnsi="Arial" w:cs="Arial"/>
        </w:rPr>
        <w:t xml:space="preserve">uzgodnień, </w:t>
      </w:r>
      <w:r w:rsidRPr="00EC5668">
        <w:rPr>
          <w:rFonts w:ascii="Arial" w:hAnsi="Arial" w:cs="Arial"/>
        </w:rPr>
        <w:t>konsultacji publicznych i opiniowania.</w:t>
      </w:r>
    </w:p>
    <w:p w14:paraId="041BE2F5" w14:textId="77777777" w:rsidR="00EC5668" w:rsidRPr="001B1452" w:rsidRDefault="00EC5668" w:rsidP="001B1452">
      <w:pPr>
        <w:spacing w:after="0" w:line="300" w:lineRule="auto"/>
        <w:jc w:val="both"/>
        <w:rPr>
          <w:rFonts w:ascii="Arial" w:hAnsi="Arial" w:cs="Arial"/>
        </w:rPr>
      </w:pPr>
    </w:p>
    <w:p w14:paraId="2242F736" w14:textId="3754B237" w:rsidR="001B1452" w:rsidRPr="008A0FE4" w:rsidRDefault="008A0FE4" w:rsidP="001B1452">
      <w:pPr>
        <w:pStyle w:val="Akapitzlist"/>
        <w:numPr>
          <w:ilvl w:val="0"/>
          <w:numId w:val="3"/>
        </w:numPr>
        <w:spacing w:after="0" w:line="300" w:lineRule="auto"/>
        <w:jc w:val="both"/>
        <w:rPr>
          <w:rFonts w:ascii="Arial" w:hAnsi="Arial" w:cs="Arial"/>
          <w:b/>
          <w:bCs/>
          <w:u w:val="single"/>
        </w:rPr>
      </w:pPr>
      <w:r w:rsidRPr="008A0FE4">
        <w:rPr>
          <w:rFonts w:ascii="Arial" w:hAnsi="Arial" w:cs="Arial"/>
          <w:b/>
          <w:bCs/>
          <w:u w:val="single"/>
        </w:rPr>
        <w:t>P</w:t>
      </w:r>
      <w:r w:rsidRPr="008A0FE4">
        <w:rPr>
          <w:rFonts w:ascii="Arial" w:hAnsi="Arial" w:cs="Arial"/>
          <w:b/>
          <w:bCs/>
          <w:u w:val="single"/>
        </w:rPr>
        <w:t>rojekt ustawy o zmianie ustawy o podatku dochodowym od osób fizycznych, ustawy o podatku dochodowym od osób prawnych oraz ustawy – Kodeks karny skarbowy (UDER107).</w:t>
      </w:r>
    </w:p>
    <w:p w14:paraId="74C68F4B" w14:textId="77777777" w:rsidR="001B1452" w:rsidRPr="008A0FE4" w:rsidRDefault="001B1452" w:rsidP="008A0FE4">
      <w:pPr>
        <w:spacing w:after="0" w:line="300" w:lineRule="auto"/>
        <w:jc w:val="both"/>
        <w:rPr>
          <w:rFonts w:ascii="Arial" w:hAnsi="Arial" w:cs="Arial"/>
        </w:rPr>
      </w:pPr>
    </w:p>
    <w:p w14:paraId="01A3697E" w14:textId="77777777" w:rsidR="008A0FE4" w:rsidRPr="008A0FE4" w:rsidRDefault="008A0FE4" w:rsidP="008A0FE4">
      <w:pPr>
        <w:spacing w:after="0" w:line="300" w:lineRule="auto"/>
        <w:jc w:val="both"/>
        <w:rPr>
          <w:rFonts w:ascii="Arial" w:eastAsia="Calibri" w:hAnsi="Arial" w:cs="Arial"/>
        </w:rPr>
      </w:pPr>
      <w:r w:rsidRPr="008A0FE4">
        <w:rPr>
          <w:rFonts w:ascii="Arial" w:eastAsia="Calibri" w:hAnsi="Arial" w:cs="Arial"/>
        </w:rPr>
        <w:t xml:space="preserve">W ramach inicjatywy </w:t>
      </w:r>
      <w:proofErr w:type="spellStart"/>
      <w:r w:rsidRPr="008A0FE4">
        <w:rPr>
          <w:rFonts w:ascii="Arial" w:eastAsia="Calibri" w:hAnsi="Arial" w:cs="Arial"/>
        </w:rPr>
        <w:t>SprawdzaMY</w:t>
      </w:r>
      <w:proofErr w:type="spellEnd"/>
      <w:r w:rsidRPr="008A0FE4">
        <w:rPr>
          <w:rFonts w:ascii="Arial" w:eastAsia="Calibri" w:hAnsi="Arial" w:cs="Arial"/>
        </w:rPr>
        <w:t xml:space="preserve"> zgłoszono postulaty dotyczące zniesienia ograniczenia zaliczania do kosztów uzyskania przychodów wydatków związanych z dokonaniem płatności na rachunek niezamieszczony w wykazie podmiotów, o którym mowa w art. 96b ustawy o podatku od towarów i usług lub z pominięciem mechanizmu podzielonej płatności, zniesienia wymogu podpisywania informacji o cenach transferowych (dalej: „Informacja TPR”) wyłącznie przez członków zarządu lub tzw. profesjonalnych pełnomocników, zniesienia obowiązku raportowania wskaźników ogólnych spółki na potrzeby Informacji TPR (uwzględnionego w odniesieniu do mikro i małych przedsiębiorców).</w:t>
      </w:r>
    </w:p>
    <w:p w14:paraId="7512B6A6" w14:textId="77777777" w:rsidR="008A0FE4" w:rsidRPr="008A0FE4" w:rsidRDefault="008A0FE4" w:rsidP="008A0FE4">
      <w:pPr>
        <w:spacing w:after="0" w:line="300" w:lineRule="auto"/>
        <w:jc w:val="both"/>
        <w:rPr>
          <w:rFonts w:ascii="Arial" w:eastAsia="Calibri" w:hAnsi="Arial" w:cs="Arial"/>
        </w:rPr>
      </w:pPr>
      <w:r w:rsidRPr="008A0FE4">
        <w:rPr>
          <w:rFonts w:ascii="Arial" w:eastAsia="Calibri" w:hAnsi="Arial" w:cs="Arial"/>
        </w:rPr>
        <w:lastRenderedPageBreak/>
        <w:t>Ponadto, obecne przepisy w zakresie cen transferowych dotyczące korekt kompensacyjnych są nieprecyzyjne i powodują wątpliwości interpretacyjne co do możliwości ich stosowania między podmiotami krajowymi. Dodatkowo wprowadza się odpowiedzialność karno-skarbową za sporządzenie lokalnej dokumentacji niezgodnie z art. 23zc ustawy PIT lub z art. 11q ustawy CIT.</w:t>
      </w:r>
    </w:p>
    <w:p w14:paraId="69F60121" w14:textId="77777777" w:rsidR="008A0FE4" w:rsidRPr="008A0FE4" w:rsidRDefault="008A0FE4" w:rsidP="008A0FE4">
      <w:pPr>
        <w:spacing w:after="0" w:line="300" w:lineRule="auto"/>
        <w:jc w:val="both"/>
        <w:rPr>
          <w:rFonts w:ascii="Arial" w:eastAsia="Calibri" w:hAnsi="Arial" w:cs="Arial"/>
        </w:rPr>
      </w:pPr>
      <w:r w:rsidRPr="008A0FE4">
        <w:rPr>
          <w:rFonts w:ascii="Arial" w:eastAsia="Calibri" w:hAnsi="Arial" w:cs="Arial"/>
        </w:rPr>
        <w:t>Mając na uwadze powyższe, zasadne jest dokonanie rewizji przepisów dotyczących:</w:t>
      </w:r>
    </w:p>
    <w:p w14:paraId="1D9639EA" w14:textId="77777777" w:rsidR="008A0FE4" w:rsidRPr="008A0FE4" w:rsidRDefault="008A0FE4" w:rsidP="008A0FE4">
      <w:pPr>
        <w:pStyle w:val="Akapitzlist"/>
        <w:numPr>
          <w:ilvl w:val="0"/>
          <w:numId w:val="6"/>
        </w:numPr>
        <w:spacing w:after="0" w:line="300" w:lineRule="auto"/>
        <w:jc w:val="both"/>
        <w:rPr>
          <w:rFonts w:ascii="Arial" w:eastAsia="Calibri" w:hAnsi="Arial" w:cs="Arial"/>
        </w:rPr>
      </w:pPr>
      <w:r w:rsidRPr="008A0FE4">
        <w:rPr>
          <w:rFonts w:ascii="Arial" w:eastAsia="Calibri" w:hAnsi="Arial" w:cs="Arial"/>
        </w:rPr>
        <w:t>sankcji w podatkach dochodowych (PIT i CIT) przewidzianych dla podatników przeprowadzających transakcje z podatnikiem VAT czynnym, którzy dokonują płatności przelewem na rachunek inny niż zawarty w wykazie podmiotów, o którym mowa w art. 96b ust. 1 ustawy o VAT lub z pominięciem mechanizmu podzielonej płatności. Sankcje z tytułu zapłaty z pominięciem mechanizmu podzielonej płatności przewiduje również ustawa o VAT. W podatkach dochodowych sankcje te zostały wprowadzone w początkowym okresie obowiązkowego stosowania mechanizmu podzielonej płatności i miały za zadanie wyeliminowanie sytuacji pomijania tego uszczelniającego narzędzia;</w:t>
      </w:r>
    </w:p>
    <w:p w14:paraId="27388134" w14:textId="77777777" w:rsidR="008A0FE4" w:rsidRPr="008A0FE4" w:rsidRDefault="008A0FE4" w:rsidP="008A0FE4">
      <w:pPr>
        <w:pStyle w:val="Akapitzlist"/>
        <w:numPr>
          <w:ilvl w:val="0"/>
          <w:numId w:val="6"/>
        </w:numPr>
        <w:spacing w:after="0" w:line="300" w:lineRule="auto"/>
        <w:jc w:val="both"/>
        <w:rPr>
          <w:rFonts w:ascii="Arial" w:eastAsia="Calibri" w:hAnsi="Arial" w:cs="Arial"/>
        </w:rPr>
      </w:pPr>
      <w:r w:rsidRPr="008A0FE4">
        <w:rPr>
          <w:rFonts w:ascii="Arial" w:eastAsia="Calibri" w:hAnsi="Arial" w:cs="Arial"/>
        </w:rPr>
        <w:t>podpisywania Informacji TPR m.in. przez członków zarządu lub profesjonalnych pełnomocników, co ogranicza możliwość podpisywania Informacji TPR przez inne osoby, a także utrudnia podpisywanie informacji TPR przez osoby zagraniczne pełniące funkcję kierownika jednostki;</w:t>
      </w:r>
    </w:p>
    <w:p w14:paraId="3DC16E66" w14:textId="77777777" w:rsidR="008A0FE4" w:rsidRPr="008A0FE4" w:rsidRDefault="008A0FE4" w:rsidP="008A0FE4">
      <w:pPr>
        <w:pStyle w:val="Akapitzlist"/>
        <w:numPr>
          <w:ilvl w:val="0"/>
          <w:numId w:val="6"/>
        </w:numPr>
        <w:spacing w:after="0" w:line="300" w:lineRule="auto"/>
        <w:jc w:val="both"/>
        <w:rPr>
          <w:rFonts w:ascii="Arial" w:eastAsia="Calibri" w:hAnsi="Arial" w:cs="Arial"/>
        </w:rPr>
      </w:pPr>
      <w:r w:rsidRPr="008A0FE4">
        <w:rPr>
          <w:rFonts w:ascii="Arial" w:eastAsia="Calibri" w:hAnsi="Arial" w:cs="Arial"/>
        </w:rPr>
        <w:t>obowiązku wskazywania przez mikro/małego przedsiębiorcę w Informacji TPR wartości wskaźników ogólnych mierzących sytuację finansową, co wiąże się z trudnością obliczenia tych wskaźników przez te podmioty;</w:t>
      </w:r>
    </w:p>
    <w:p w14:paraId="40B515F9" w14:textId="77777777" w:rsidR="008A0FE4" w:rsidRPr="008A0FE4" w:rsidRDefault="008A0FE4" w:rsidP="008A0FE4">
      <w:pPr>
        <w:pStyle w:val="Akapitzlist"/>
        <w:numPr>
          <w:ilvl w:val="0"/>
          <w:numId w:val="6"/>
        </w:numPr>
        <w:spacing w:after="0" w:line="300" w:lineRule="auto"/>
        <w:jc w:val="both"/>
        <w:rPr>
          <w:rFonts w:ascii="Arial" w:eastAsia="Calibri" w:hAnsi="Arial" w:cs="Arial"/>
        </w:rPr>
      </w:pPr>
      <w:r w:rsidRPr="008A0FE4">
        <w:rPr>
          <w:rFonts w:ascii="Arial" w:eastAsia="Calibri" w:hAnsi="Arial" w:cs="Arial"/>
        </w:rPr>
        <w:t>korekty cen transferowych (tzw. korekta kompensacyjna) w związku z tym obecne brzmienie przepisów wskazuje, że tego typu korekta nie jest dopuszczalna w przypadku podmiotów krajowych, ponieważ nie istnieje podstawa prawna do wymiany informacji podatkowej z krajem kontrahenta;</w:t>
      </w:r>
    </w:p>
    <w:p w14:paraId="7E18BFE7" w14:textId="77777777" w:rsidR="008A0FE4" w:rsidRPr="008A0FE4" w:rsidRDefault="008A0FE4" w:rsidP="008A0FE4">
      <w:pPr>
        <w:pStyle w:val="Akapitzlist"/>
        <w:numPr>
          <w:ilvl w:val="0"/>
          <w:numId w:val="6"/>
        </w:numPr>
        <w:spacing w:after="0" w:line="300" w:lineRule="auto"/>
        <w:jc w:val="both"/>
        <w:rPr>
          <w:rFonts w:ascii="Arial" w:eastAsia="Calibri" w:hAnsi="Arial" w:cs="Arial"/>
        </w:rPr>
      </w:pPr>
      <w:r w:rsidRPr="008A0FE4">
        <w:rPr>
          <w:rFonts w:ascii="Arial" w:eastAsia="Calibri" w:hAnsi="Arial" w:cs="Arial"/>
        </w:rPr>
        <w:t>przepisów Kodeksu karnego skarbowego w zakresie dopuszczalności stosowania sankcji za nieprawidłową realizację obowiązków dotyczących sporządzenia lokalnej dokumentacji cen transferowych (dalej: „lokalna dokumentacja”).</w:t>
      </w:r>
    </w:p>
    <w:p w14:paraId="168707F1" w14:textId="77777777" w:rsidR="008A0FE4" w:rsidRPr="008A0FE4" w:rsidRDefault="008A0FE4" w:rsidP="008A0FE4">
      <w:pPr>
        <w:spacing w:after="0" w:line="300" w:lineRule="auto"/>
        <w:jc w:val="both"/>
        <w:rPr>
          <w:rFonts w:ascii="Arial" w:eastAsia="Calibri" w:hAnsi="Arial" w:cs="Arial"/>
        </w:rPr>
      </w:pPr>
      <w:r w:rsidRPr="008A0FE4">
        <w:rPr>
          <w:rFonts w:ascii="Arial" w:eastAsia="Calibri" w:hAnsi="Arial" w:cs="Arial"/>
        </w:rPr>
        <w:t>Rozwiązania przewidziane w projekcie ustawy mają na celu zmniejszenie obciążeń podatników, co ułatwi prowadzenie działalności gospodarczej, uprości realizację obowiązków informacyjnych względem organów podatkowych, zapewni prawidłową interpretację przepisów prawa podatkowego.</w:t>
      </w:r>
    </w:p>
    <w:p w14:paraId="55486850" w14:textId="77777777" w:rsidR="008A0FE4" w:rsidRPr="008A0FE4" w:rsidRDefault="008A0FE4" w:rsidP="008A0FE4">
      <w:pPr>
        <w:spacing w:after="0" w:line="300" w:lineRule="auto"/>
        <w:jc w:val="both"/>
        <w:rPr>
          <w:rFonts w:ascii="Arial" w:eastAsia="Calibri" w:hAnsi="Arial" w:cs="Arial"/>
        </w:rPr>
      </w:pPr>
      <w:r w:rsidRPr="008A0FE4">
        <w:rPr>
          <w:rFonts w:ascii="Arial" w:eastAsia="Calibri" w:hAnsi="Arial" w:cs="Arial"/>
        </w:rPr>
        <w:t>Przedmiotowy projekt przewiduje wprowadzenie następujących zmian w ustawie z dnia 26 lipca 1991 roku o podatku dochodowym od osób fizycznych (ustawa PIT) oraz w ustawie z dnia 15 lutego 1992 roku o podatku dochodowym od osób prawnych (ustawa CIT):</w:t>
      </w:r>
    </w:p>
    <w:p w14:paraId="55D6B501" w14:textId="77777777" w:rsidR="008A0FE4" w:rsidRPr="008A0FE4" w:rsidRDefault="008A0FE4" w:rsidP="008A0FE4">
      <w:pPr>
        <w:pStyle w:val="Akapitzlist"/>
        <w:numPr>
          <w:ilvl w:val="0"/>
          <w:numId w:val="7"/>
        </w:numPr>
        <w:spacing w:after="0" w:line="300" w:lineRule="auto"/>
        <w:jc w:val="both"/>
        <w:rPr>
          <w:rFonts w:ascii="Arial" w:eastAsia="Calibri" w:hAnsi="Arial" w:cs="Arial"/>
        </w:rPr>
      </w:pPr>
      <w:r w:rsidRPr="008A0FE4">
        <w:rPr>
          <w:rFonts w:ascii="Arial" w:eastAsia="Calibri" w:hAnsi="Arial" w:cs="Arial"/>
        </w:rPr>
        <w:t xml:space="preserve">Zniesienie sankcji w PIT i CIT polegających na nieuznawaniu za koszty uzyskania przychodów wydatków z tytułu płatności dokonanych przelewem w ramach transakcji z podatnikiem VAT czynnym na rachunek inny niż zawarty w wykazie podmiotów, o którym mowa w art. 96b ust. 1 ustawy o VAT, lub z pominięciem mechanizmu podzielonej płatności. Analogicznie, proponuje się zniesienie sankcji dotyczących zlecenia przelewu związanego z tzw. factoringiem i umów podobnych, w przypadku podatników, którzy na podstawie obowiązujących przepisów (art. 14 ust. 2h i 2i ustawy PIT oraz art. 12 ust. 4i i 4j ustawy CIT) są obowiązani rozpoznać przychód w związku </w:t>
      </w:r>
      <w:r w:rsidRPr="008A0FE4">
        <w:rPr>
          <w:rFonts w:ascii="Arial" w:eastAsia="Calibri" w:hAnsi="Arial" w:cs="Arial"/>
        </w:rPr>
        <w:lastRenderedPageBreak/>
        <w:t xml:space="preserve">z dokonaniem płatności na rachunek niezamieszczony w wykazie. Obecnie wydaje się, że pozostawienie wyłącznie sankcji z tytułu zapłaty z pominięciem mechanizmu podzielonej płatności przewidzianej w ustawie o VAT jest wystarczające dla zapewnienia szczelności tego rozwiązania. </w:t>
      </w:r>
    </w:p>
    <w:p w14:paraId="28EACF71" w14:textId="77777777" w:rsidR="008A0FE4" w:rsidRPr="008A0FE4" w:rsidRDefault="008A0FE4" w:rsidP="008A0FE4">
      <w:pPr>
        <w:pStyle w:val="Akapitzlist"/>
        <w:spacing w:after="0" w:line="300" w:lineRule="auto"/>
        <w:jc w:val="both"/>
        <w:rPr>
          <w:rFonts w:ascii="Arial" w:eastAsia="Calibri" w:hAnsi="Arial" w:cs="Arial"/>
        </w:rPr>
      </w:pPr>
      <w:r w:rsidRPr="008A0FE4">
        <w:rPr>
          <w:rFonts w:ascii="Arial" w:eastAsia="Calibri" w:hAnsi="Arial" w:cs="Arial"/>
        </w:rPr>
        <w:t xml:space="preserve">Po uchyleniu sankcji w podatkach dochodowych podatnicy, którzy dokonają zapłaty na rachunek spoza wykazu podatników będą wciąż ponosić odpowiedzialność solidarną, całym swoim majątkiem wraz z podmiotem dokonującym dostawy lub świadczącym usługę zarejestrowanym na potrzeby podatku od towarów i usług jako podatnik VAT czynny, za jego zaległości podatkowe w części podatku od towarów i usług proporcjonalnie przypadającej na dostawę lub usługę. </w:t>
      </w:r>
    </w:p>
    <w:p w14:paraId="5324E0FD" w14:textId="77777777" w:rsidR="008A0FE4" w:rsidRPr="008A0FE4" w:rsidRDefault="008A0FE4" w:rsidP="008A0FE4">
      <w:pPr>
        <w:pStyle w:val="Akapitzlist"/>
        <w:spacing w:after="0" w:line="300" w:lineRule="auto"/>
        <w:jc w:val="both"/>
        <w:rPr>
          <w:rFonts w:ascii="Arial" w:eastAsia="Calibri" w:hAnsi="Arial" w:cs="Arial"/>
        </w:rPr>
      </w:pPr>
      <w:r w:rsidRPr="008A0FE4">
        <w:rPr>
          <w:rFonts w:ascii="Arial" w:eastAsia="Calibri" w:hAnsi="Arial" w:cs="Arial"/>
        </w:rPr>
        <w:t>Natomiast podatnicy, którzy pomimo takiego obowiązku dokonają zapłaty z pominięciem mechanizmu podzielonej płatności będą mieli ustalane przez naczelnika urzędu skarbowego lub naczelnika urzędu celno-skarbowego dodatkowe zobowiązanie podatkowe w wysokości odpowiadającej 30% kwoty podatku przypadającej na nabyte towary lub usługi wymienione w załączniku nr 15 do ustawy, wykazane na fakturze, której dotyczy płatność.</w:t>
      </w:r>
    </w:p>
    <w:p w14:paraId="48D839EE" w14:textId="77777777" w:rsidR="008A0FE4" w:rsidRPr="008A0FE4" w:rsidRDefault="008A0FE4" w:rsidP="008A0FE4">
      <w:pPr>
        <w:pStyle w:val="Akapitzlist"/>
        <w:spacing w:after="0" w:line="300" w:lineRule="auto"/>
        <w:jc w:val="both"/>
        <w:rPr>
          <w:rFonts w:ascii="Arial" w:eastAsia="Calibri" w:hAnsi="Arial" w:cs="Arial"/>
        </w:rPr>
      </w:pPr>
      <w:r w:rsidRPr="008A0FE4">
        <w:rPr>
          <w:rFonts w:ascii="Arial" w:eastAsia="Calibri" w:hAnsi="Arial" w:cs="Arial"/>
        </w:rPr>
        <w:t xml:space="preserve">Dotychczasowe konsekwencje w PIT i CIT za płatności dokonywane przelewem na rachunki niezamieszczone w wykazie i związane z brakiem zapłaty w mechanizmie podzielonej płatności będą obowiązywały do dnia 31 grudnia 2026 r., po którym to dniu wejdą w życie kary finansowe za wystawianie faktur niezgodnie z wymogami  dotyczącymi </w:t>
      </w:r>
      <w:proofErr w:type="spellStart"/>
      <w:r w:rsidRPr="008A0FE4">
        <w:rPr>
          <w:rFonts w:ascii="Arial" w:eastAsia="Calibri" w:hAnsi="Arial" w:cs="Arial"/>
        </w:rPr>
        <w:t>KSeF</w:t>
      </w:r>
      <w:proofErr w:type="spellEnd"/>
      <w:r w:rsidRPr="008A0FE4">
        <w:rPr>
          <w:rFonts w:ascii="Arial" w:eastAsia="Calibri" w:hAnsi="Arial" w:cs="Arial"/>
        </w:rPr>
        <w:t>.</w:t>
      </w:r>
    </w:p>
    <w:p w14:paraId="2A332825" w14:textId="77777777" w:rsidR="008A0FE4" w:rsidRPr="008A0FE4" w:rsidRDefault="008A0FE4" w:rsidP="008A0FE4">
      <w:pPr>
        <w:pStyle w:val="Akapitzlist"/>
        <w:numPr>
          <w:ilvl w:val="0"/>
          <w:numId w:val="7"/>
        </w:numPr>
        <w:spacing w:after="0" w:line="300" w:lineRule="auto"/>
        <w:jc w:val="both"/>
        <w:rPr>
          <w:rFonts w:ascii="Arial" w:eastAsia="Calibri" w:hAnsi="Arial" w:cs="Arial"/>
        </w:rPr>
      </w:pPr>
      <w:r w:rsidRPr="008A0FE4">
        <w:rPr>
          <w:rFonts w:ascii="Arial" w:eastAsia="Calibri" w:hAnsi="Arial" w:cs="Arial"/>
        </w:rPr>
        <w:t>Zniesienie wymogu podpisywania Informacji TPR m.in. przez członków zarządu lub tzw. profesjonalnych pełnomocników oraz umożliwienie podpisywania Informacji TPR na zasadach określonych w Ordynacji podatkowej (w tym przez pełnomocnika do podpisywania deklaracji). Obecnie, ustawa PIT oraz ustawa CIT szczegółowo określa osoby obowiązane do podpisania Informacji TPR (art. 23zf ust. 5 ustawy PIT; art. 11t ust. 5 ustawy CIT). Jest nim m.in. kierownik jednostki w rozumieniu art. 3 ust. 1 pkt 6 ustawy o rachunkowości, a w przypadku, gdy jednostką kieruje organ wieloosobowy - wyznaczona osoba wchodząca w skład tego organu. Specjalne zasady podpisywania Informacji TPR wynikają z faktu, że częścią Informacji TPR jest oświadczenie podmiotu o tym, że lokalna dokumentacja cen transferowych została sporządzona zgodnie ze stanem rzeczywistym, a ceny transferowe objęte tą dokumentacją są ustalane na warunkach, które ustaliłyby między sobą podmioty niepowiązane z informacji o cenach transferowych (dalej: oświadczenie”). W związku z tym przewidziane jest wyłączenie oświadczenia z Informacji TPR. Oświadczenie zostanie natomiast włączone do lokalnej dokumentacji cen transferowych. W celu zapewnienia możliwości egzekwowania wykonywania obowiązków w tym zakresie przez organy podatkowe konieczne jest jednocześnie wprowadzenie zmian w przepisach ustawy z dnia 10 września 1999 r. Kodeks karny skarbowy (KKS). Z tego powodu, do obecnie obowiązujących przepisów KKS wprowadza się odpowiedzialność karno-skarbową za sporządzenie lokalnej dokumentacji niezgodnie z art. 23zc ustawy PIT lub z art. 11q ustawy CIT, czyli odpowiedzialność m.in. za niedołączenie oświadczenia do lokalnej dokumentacji.</w:t>
      </w:r>
    </w:p>
    <w:p w14:paraId="0797CE44" w14:textId="77777777" w:rsidR="008A0FE4" w:rsidRDefault="008A0FE4" w:rsidP="008A0FE4">
      <w:pPr>
        <w:pStyle w:val="Akapitzlist"/>
        <w:numPr>
          <w:ilvl w:val="0"/>
          <w:numId w:val="7"/>
        </w:numPr>
        <w:spacing w:after="0" w:line="300" w:lineRule="auto"/>
        <w:jc w:val="both"/>
        <w:rPr>
          <w:rFonts w:ascii="Arial" w:eastAsia="Calibri" w:hAnsi="Arial" w:cs="Arial"/>
        </w:rPr>
      </w:pPr>
      <w:r w:rsidRPr="008A0FE4">
        <w:rPr>
          <w:rFonts w:ascii="Arial" w:eastAsia="Calibri" w:hAnsi="Arial" w:cs="Arial"/>
        </w:rPr>
        <w:lastRenderedPageBreak/>
        <w:t>Zniesienie obowiązku wskazywania w Informacji TPR składanej przez mikro/małego przedsiębiorcę wartości wskaźników ogólnych mierzących sytuację finansową tych podmiotów, co uprości i przyśpieszy sporządzanie Informacji TPR przez te podmioty.</w:t>
      </w:r>
    </w:p>
    <w:p w14:paraId="0295BF99" w14:textId="0AE65310" w:rsidR="008A0FE4" w:rsidRPr="008A0FE4" w:rsidRDefault="008A0FE4" w:rsidP="008A0FE4">
      <w:pPr>
        <w:pStyle w:val="Akapitzlist"/>
        <w:numPr>
          <w:ilvl w:val="0"/>
          <w:numId w:val="7"/>
        </w:numPr>
        <w:spacing w:after="0" w:line="300" w:lineRule="auto"/>
        <w:jc w:val="both"/>
        <w:rPr>
          <w:rFonts w:ascii="Arial" w:eastAsia="Calibri" w:hAnsi="Arial" w:cs="Arial"/>
        </w:rPr>
      </w:pPr>
      <w:r w:rsidRPr="008A0FE4">
        <w:rPr>
          <w:rFonts w:ascii="Arial" w:eastAsia="Calibri" w:hAnsi="Arial" w:cs="Arial"/>
        </w:rPr>
        <w:t>Doprecyzowanie, że korekty cen transferowych (tzw. korekty kompensacyjne) są dopuszczalne pomiędzy podmiotami z siedzibą na terytorium kraju. Nowa redakcja przepisu będzie zawierać doprecyzowanie, że warunek określony w art. 23q pkt 4 ustawy PIT (art. 11e pkt 4 ustawy CIT), tj. istnienie podstawy prawnej do wymiany informacji podatkowej z krajem kontrahenta dotyczy podmiotów (kontrahentów), które nie mają miejsca zamieszkania, siedziby lub zarządu na terytorium Rzeczypospolitej Polskiej. Dzięki temu będzie jasne, że w przypadku korekt pomiędzy podmiotami krajowymi nie musi być spełniony ten warunek i podmioty krajowe będą mogły korzystać z rozwiązania zawartego w tym przepisie, co pozwoli ograniczać/uniknąć wątpliwości i ew. sporów w tym zakresie.</w:t>
      </w:r>
    </w:p>
    <w:p w14:paraId="5873BA00" w14:textId="77777777" w:rsidR="008A0FE4" w:rsidRDefault="008A0FE4" w:rsidP="001B1452">
      <w:pPr>
        <w:spacing w:after="0" w:line="300" w:lineRule="auto"/>
        <w:jc w:val="both"/>
        <w:rPr>
          <w:rFonts w:ascii="Arial" w:hAnsi="Arial" w:cs="Arial"/>
        </w:rPr>
      </w:pPr>
    </w:p>
    <w:p w14:paraId="16F73B9D" w14:textId="77777777" w:rsidR="00E356F7" w:rsidRPr="00E356F7" w:rsidRDefault="00E356F7" w:rsidP="00E356F7">
      <w:pPr>
        <w:spacing w:after="0" w:line="300" w:lineRule="auto"/>
        <w:jc w:val="both"/>
        <w:rPr>
          <w:rFonts w:ascii="Arial" w:hAnsi="Arial" w:cs="Arial"/>
        </w:rPr>
      </w:pPr>
      <w:r w:rsidRPr="00E356F7">
        <w:rPr>
          <w:rFonts w:ascii="Arial" w:hAnsi="Arial" w:cs="Arial"/>
        </w:rPr>
        <w:t>Przedmiotowy projekt aktu prawnego wraz z Uzasadnieniem oraz Oceną Skutków Regulacji dostępny jest na stronach Rządowego Centrum Legislacji pod adresem:</w:t>
      </w:r>
    </w:p>
    <w:p w14:paraId="1A1516A4" w14:textId="567D4F11" w:rsidR="00E356F7" w:rsidRDefault="00E356F7" w:rsidP="00E356F7">
      <w:pPr>
        <w:spacing w:after="0" w:line="300" w:lineRule="auto"/>
        <w:jc w:val="both"/>
        <w:rPr>
          <w:rFonts w:ascii="Arial" w:hAnsi="Arial" w:cs="Arial"/>
        </w:rPr>
      </w:pPr>
      <w:hyperlink r:id="rId7" w:history="1">
        <w:r w:rsidRPr="005446B2">
          <w:rPr>
            <w:rStyle w:val="Hipercze"/>
            <w:rFonts w:ascii="Arial" w:hAnsi="Arial" w:cs="Arial"/>
          </w:rPr>
          <w:t>https://legislacja.rcl.gov.pl/projekt/12408752/katalog/131</w:t>
        </w:r>
        <w:r w:rsidRPr="005446B2">
          <w:rPr>
            <w:rStyle w:val="Hipercze"/>
            <w:rFonts w:ascii="Arial" w:hAnsi="Arial" w:cs="Arial"/>
          </w:rPr>
          <w:t>9</w:t>
        </w:r>
        <w:r w:rsidRPr="005446B2">
          <w:rPr>
            <w:rStyle w:val="Hipercze"/>
            <w:rFonts w:ascii="Arial" w:hAnsi="Arial" w:cs="Arial"/>
          </w:rPr>
          <w:t>5530#13195530</w:t>
        </w:r>
      </w:hyperlink>
      <w:r>
        <w:rPr>
          <w:rFonts w:ascii="Arial" w:hAnsi="Arial" w:cs="Arial"/>
        </w:rPr>
        <w:t xml:space="preserve"> </w:t>
      </w:r>
    </w:p>
    <w:p w14:paraId="77F84459" w14:textId="77777777" w:rsidR="00E356F7" w:rsidRDefault="00E356F7" w:rsidP="001B1452">
      <w:pPr>
        <w:spacing w:after="0" w:line="300" w:lineRule="auto"/>
        <w:jc w:val="both"/>
        <w:rPr>
          <w:rFonts w:ascii="Arial" w:hAnsi="Arial" w:cs="Arial"/>
        </w:rPr>
      </w:pPr>
    </w:p>
    <w:p w14:paraId="4B5EDF59" w14:textId="72D38E41" w:rsidR="00E356F7" w:rsidRDefault="00E356F7" w:rsidP="001B1452">
      <w:pPr>
        <w:spacing w:after="0" w:line="300" w:lineRule="auto"/>
        <w:jc w:val="both"/>
        <w:rPr>
          <w:rFonts w:ascii="Arial" w:hAnsi="Arial" w:cs="Arial"/>
        </w:rPr>
      </w:pPr>
      <w:r w:rsidRPr="00EC5668">
        <w:rPr>
          <w:rFonts w:ascii="Arial" w:hAnsi="Arial" w:cs="Arial"/>
        </w:rPr>
        <w:t xml:space="preserve">Projekt jest obecnie jednocześnie na etapie </w:t>
      </w:r>
      <w:r>
        <w:rPr>
          <w:rFonts w:ascii="Arial" w:hAnsi="Arial" w:cs="Arial"/>
        </w:rPr>
        <w:t xml:space="preserve">uzgodnień, </w:t>
      </w:r>
      <w:r w:rsidRPr="00EC5668">
        <w:rPr>
          <w:rFonts w:ascii="Arial" w:hAnsi="Arial" w:cs="Arial"/>
        </w:rPr>
        <w:t>konsultacji publicznych i opiniowania</w:t>
      </w:r>
      <w:r>
        <w:rPr>
          <w:rFonts w:ascii="Arial" w:hAnsi="Arial" w:cs="Arial"/>
        </w:rPr>
        <w:t>.</w:t>
      </w:r>
    </w:p>
    <w:p w14:paraId="023F71A2" w14:textId="77777777" w:rsidR="008A0FE4" w:rsidRPr="001B1452" w:rsidRDefault="008A0FE4" w:rsidP="001B1452">
      <w:pPr>
        <w:spacing w:after="0" w:line="300" w:lineRule="auto"/>
        <w:jc w:val="both"/>
        <w:rPr>
          <w:rFonts w:ascii="Arial" w:hAnsi="Arial" w:cs="Arial"/>
        </w:rPr>
      </w:pPr>
    </w:p>
    <w:p w14:paraId="4339686B" w14:textId="097CE364" w:rsidR="00E04AF0" w:rsidRPr="000E3448" w:rsidRDefault="000E3448" w:rsidP="00E04AF0">
      <w:pPr>
        <w:pStyle w:val="Akapitzlist"/>
        <w:numPr>
          <w:ilvl w:val="0"/>
          <w:numId w:val="3"/>
        </w:numPr>
        <w:spacing w:after="0" w:line="300" w:lineRule="auto"/>
        <w:jc w:val="both"/>
        <w:rPr>
          <w:rFonts w:ascii="Arial" w:hAnsi="Arial" w:cs="Arial"/>
          <w:b/>
          <w:bCs/>
          <w:u w:val="single"/>
        </w:rPr>
      </w:pPr>
      <w:r w:rsidRPr="000E3448">
        <w:rPr>
          <w:rFonts w:ascii="Arial" w:hAnsi="Arial" w:cs="Arial"/>
          <w:b/>
          <w:bCs/>
          <w:u w:val="single"/>
        </w:rPr>
        <w:t>P</w:t>
      </w:r>
      <w:r w:rsidRPr="000E3448">
        <w:rPr>
          <w:rFonts w:ascii="Arial" w:hAnsi="Arial" w:cs="Arial"/>
          <w:b/>
          <w:bCs/>
          <w:u w:val="single"/>
        </w:rPr>
        <w:t>rojekt ustawy o zmianie ustawy o funduszach inwestycyjnych i zarządzaniu alternatywnymi funduszami inwestycyjnymi (UDER109).</w:t>
      </w:r>
    </w:p>
    <w:p w14:paraId="0C67A924" w14:textId="77777777" w:rsidR="00E04AF0" w:rsidRDefault="00E04AF0" w:rsidP="00E04AF0">
      <w:pPr>
        <w:spacing w:after="0" w:line="300" w:lineRule="auto"/>
        <w:jc w:val="both"/>
        <w:rPr>
          <w:rFonts w:ascii="Arial" w:hAnsi="Arial" w:cs="Arial"/>
        </w:rPr>
      </w:pPr>
    </w:p>
    <w:p w14:paraId="7B2C671F" w14:textId="77777777" w:rsidR="000E3448" w:rsidRPr="000E3448" w:rsidRDefault="000E3448" w:rsidP="000E3448">
      <w:pPr>
        <w:spacing w:after="0" w:line="300" w:lineRule="auto"/>
        <w:jc w:val="both"/>
        <w:rPr>
          <w:rFonts w:ascii="Arial" w:hAnsi="Arial" w:cs="Arial"/>
        </w:rPr>
      </w:pPr>
      <w:r w:rsidRPr="000E3448">
        <w:rPr>
          <w:rFonts w:ascii="Arial" w:hAnsi="Arial" w:cs="Arial"/>
        </w:rPr>
        <w:t xml:space="preserve">Celem projektu ustawy jest usunięcie </w:t>
      </w:r>
      <w:proofErr w:type="spellStart"/>
      <w:r w:rsidRPr="000E3448">
        <w:rPr>
          <w:rFonts w:ascii="Arial" w:hAnsi="Arial" w:cs="Arial"/>
        </w:rPr>
        <w:t>nadregulacji</w:t>
      </w:r>
      <w:proofErr w:type="spellEnd"/>
      <w:r w:rsidRPr="000E3448">
        <w:rPr>
          <w:rFonts w:ascii="Arial" w:hAnsi="Arial" w:cs="Arial"/>
        </w:rPr>
        <w:t xml:space="preserve"> w zakresie minimalnej jednostkowej wartości certyfikatu inwestycyjnego niepublicznych funduszy inwestycyjnych zamkniętych, dalej „niepubliczne FIZ”, która w sposób pośredni negatywnie wpływa na możliwość elastycznego zarządzania przez osoby fizyczne swoim zaangażowaniem finansowym w tego rodzaju funduszach.</w:t>
      </w:r>
    </w:p>
    <w:p w14:paraId="717D1568" w14:textId="77777777" w:rsidR="000E3448" w:rsidRPr="000E3448" w:rsidRDefault="000E3448" w:rsidP="000E3448">
      <w:pPr>
        <w:spacing w:after="0" w:line="300" w:lineRule="auto"/>
        <w:jc w:val="both"/>
        <w:rPr>
          <w:rFonts w:ascii="Arial" w:hAnsi="Arial" w:cs="Arial"/>
        </w:rPr>
      </w:pPr>
      <w:r w:rsidRPr="000E3448">
        <w:rPr>
          <w:rFonts w:ascii="Arial" w:hAnsi="Arial" w:cs="Arial"/>
        </w:rPr>
        <w:t xml:space="preserve">Obowiązujące przepisy ustawy z dnia 27 maja 2004 r. o funduszach inwestycyjnych i zarządzaniu alternatywnymi funduszami inwestycyjnymi (Dz. U. z 2026 r. poz. 60, z </w:t>
      </w:r>
      <w:proofErr w:type="spellStart"/>
      <w:r w:rsidRPr="000E3448">
        <w:rPr>
          <w:rFonts w:ascii="Arial" w:hAnsi="Arial" w:cs="Arial"/>
        </w:rPr>
        <w:t>późn</w:t>
      </w:r>
      <w:proofErr w:type="spellEnd"/>
      <w:r w:rsidRPr="000E3448">
        <w:rPr>
          <w:rFonts w:ascii="Arial" w:hAnsi="Arial" w:cs="Arial"/>
        </w:rPr>
        <w:t>. zm.) zabraniają osobom fizycznym nabywania certyfikatów inwestycyjnych niepublicznego FIZ jeżeli wartość certyfikatu jest mniejsza niż równowartość w złotych kwoty 40 000 euro. Dodatkowo ustawa ta zakazuje niepublicznym FIZ podziału certyfikatów inwestycyjnych, jeżeli po podziale wartość aktywów netto tego funduszu przypadająca na certyfikat inwestycyjna będzie niższa niż równowartość w złotych kwoty 40 000 euro. W praktyce, w przypadku gdy uczestnikiem niepublicznego FIZ jest osoba fizyczna, nawet gdy jest uznawana za inwestora profesjonalnego, wartość certyfikatu inwestycyjnego tego funduszu nie może być niższa niż równowartość w złotych kwoty 40 000 euro.</w:t>
      </w:r>
    </w:p>
    <w:p w14:paraId="66AB2E71" w14:textId="77777777" w:rsidR="000E3448" w:rsidRPr="000E3448" w:rsidRDefault="000E3448" w:rsidP="000E3448">
      <w:pPr>
        <w:spacing w:after="0" w:line="300" w:lineRule="auto"/>
        <w:jc w:val="both"/>
        <w:rPr>
          <w:rFonts w:ascii="Arial" w:hAnsi="Arial" w:cs="Arial"/>
        </w:rPr>
      </w:pPr>
      <w:r w:rsidRPr="000E3448">
        <w:rPr>
          <w:rFonts w:ascii="Arial" w:hAnsi="Arial" w:cs="Arial"/>
        </w:rPr>
        <w:t xml:space="preserve">Wymóg utrzymania minimalnej jednostkowej wartości certyfikatu inwestycyjnego na poziomie równowartości w złotych 40 000 euro, prowadzi do skutków wykraczających poza zamierzony cel ochrony inwestorów detalicznych. Każde zwiększenie przez osobę fizyczną swojego zaangażowania w niepubliczny FIZ wiąże się z koniecznością wydatkowania wielokrotności w złotych 40 000 euro. W praktyce uniemożliwia to sprawne przeprowadzanie wykupów certyfikatów na żądanie uczestników, ogranicza możliwość elastycznego zwiększania lub </w:t>
      </w:r>
      <w:r w:rsidRPr="000E3448">
        <w:rPr>
          <w:rFonts w:ascii="Arial" w:hAnsi="Arial" w:cs="Arial"/>
        </w:rPr>
        <w:lastRenderedPageBreak/>
        <w:t xml:space="preserve">zmniejszania zaangażowania inwestycyjnego przez osoby fizyczne, a także </w:t>
      </w:r>
      <w:proofErr w:type="spellStart"/>
      <w:r w:rsidRPr="000E3448">
        <w:rPr>
          <w:rFonts w:ascii="Arial" w:hAnsi="Arial" w:cs="Arial"/>
        </w:rPr>
        <w:t>utrudniaja</w:t>
      </w:r>
      <w:proofErr w:type="spellEnd"/>
      <w:r w:rsidRPr="000E3448">
        <w:rPr>
          <w:rFonts w:ascii="Arial" w:hAnsi="Arial" w:cs="Arial"/>
        </w:rPr>
        <w:t xml:space="preserve"> </w:t>
      </w:r>
      <w:proofErr w:type="spellStart"/>
      <w:r w:rsidRPr="000E3448">
        <w:rPr>
          <w:rFonts w:ascii="Arial" w:hAnsi="Arial" w:cs="Arial"/>
        </w:rPr>
        <w:t>rebalancing</w:t>
      </w:r>
      <w:proofErr w:type="spellEnd"/>
      <w:r w:rsidRPr="000E3448">
        <w:rPr>
          <w:rFonts w:ascii="Arial" w:hAnsi="Arial" w:cs="Arial"/>
        </w:rPr>
        <w:t xml:space="preserve"> portfeli inwestycyjnych. Skutkiem jest faktyczne „zamrożenie” inwestycji w niepubliczne FIZ po dokonaniu pierwszej inwestycji.</w:t>
      </w:r>
    </w:p>
    <w:p w14:paraId="50218209" w14:textId="77777777" w:rsidR="000E3448" w:rsidRPr="000E3448" w:rsidRDefault="000E3448" w:rsidP="000E3448">
      <w:pPr>
        <w:spacing w:after="0" w:line="300" w:lineRule="auto"/>
        <w:jc w:val="both"/>
        <w:rPr>
          <w:rFonts w:ascii="Arial" w:hAnsi="Arial" w:cs="Arial"/>
        </w:rPr>
      </w:pPr>
      <w:r w:rsidRPr="000E3448">
        <w:rPr>
          <w:rFonts w:ascii="Arial" w:hAnsi="Arial" w:cs="Arial"/>
        </w:rPr>
        <w:t>Proponuje się zniesienie wymogu utrzymywania minimalnej ceny emisyjnej pierwszej emisji na poziomie 40 000 euro i zniesienie zakazu podziału certyfikatu inwestycyjnego skutkującego spadkiem wartości certyfikatu inwestycyjnego po podziale poniżej wartości 40 000 euro. Dzięki temu osoba fizyczna chcąc zwiększyć swoje zaangażowanie w niepublicznym FIZ nie będzie musiała wydatkować kolejnych środków finansowych w kwocie odpowiadającej 40 000 euro, a jedynie kwotę odpowiadającą wartości danego certyfikatu inwestycyjnego. Podobnie w przypadku zmniejszenia swojego zaangażowania osoba fizyczna będzie mogła je obniżyć w kwocie odpowiadającej wartości certyfikatu inwestycyjnego, a nie jak obecnie poprzez wielokrotność kwoty odpowiadającej 40 000 euro. Rozwiązanie to pozwoli osobom fizycznym na większą elastyczność w zarządzaniu swoim inwestycjami w niepubliczne FIZ.</w:t>
      </w:r>
    </w:p>
    <w:p w14:paraId="30867D12" w14:textId="77777777" w:rsidR="000E3448" w:rsidRPr="000E3448" w:rsidRDefault="000E3448" w:rsidP="000E3448">
      <w:pPr>
        <w:spacing w:after="0" w:line="300" w:lineRule="auto"/>
        <w:jc w:val="both"/>
        <w:rPr>
          <w:rFonts w:ascii="Arial" w:hAnsi="Arial" w:cs="Arial"/>
        </w:rPr>
      </w:pPr>
      <w:r w:rsidRPr="000E3448">
        <w:rPr>
          <w:rFonts w:ascii="Arial" w:hAnsi="Arial" w:cs="Arial"/>
        </w:rPr>
        <w:t xml:space="preserve">Jednocześnie w celu zagwarantowania ochrony inwestorów detalicznych proponuje się utrzymanie minimalnego progu wejścia – łącznej wartości pierwszej inwestycji osoby fizycznej w certyfikaty inwestycyjne niepublicznego FIZ na poziomie nie niższym niż równowartość w złotych kwoty 40 000 euro – aby stać się uczestnikiem takiego funduszu, osoba fizyczna będzie musiała dokonać jednorazowej inwestycji na poziomie dotychczasowego progu kwotowego (równowartość w złotych 40 000 euro), przy czym za tę kwotę będzie mogła nabyć więcej niż jeden certyfikat inwestycyjny, którego wartość może być niższa od równowartości w złotych kwoty 40 000 euro. Przykładowo, obecnie chcąc nabyć dwa certyfikaty niepublicznego FIZ osoba fizyczna musiała zainwestować środki w kwocie odpowiadającej 80 000 euro, natomiast po zmianie w zależności od wartości certyfikatów inwestycyjnych będzie mogła nabyć te certyfikaty np. za kwotę odpowiadającą 50 000 euro, byle kwota ta nie była niższa niż równowartość 40 000 euro. </w:t>
      </w:r>
    </w:p>
    <w:p w14:paraId="6F254401" w14:textId="3278E14C" w:rsidR="000E3448" w:rsidRDefault="000E3448" w:rsidP="000E3448">
      <w:pPr>
        <w:spacing w:after="0" w:line="300" w:lineRule="auto"/>
        <w:jc w:val="both"/>
        <w:rPr>
          <w:rFonts w:ascii="Arial" w:hAnsi="Arial" w:cs="Arial"/>
        </w:rPr>
      </w:pPr>
      <w:r w:rsidRPr="000E3448">
        <w:rPr>
          <w:rFonts w:ascii="Arial" w:hAnsi="Arial" w:cs="Arial"/>
        </w:rPr>
        <w:t>Ponadto proponuje się wprowadzenie wymogu uzyskania zgody funduszu na zbycie certyfikatów inwestycyjnych niepublicznego FIZ na rzecz osoby fizycznej lub przez osobę fizyczną dokonywaną na rynku wtórnym, wraz z mechanizmem zapewniającym weryfikację posiadania takiej zgody, co pozwoli na utrzymanie kontroli nad strukturą uczestników funduszu oraz ograniczenie ryzyka obejmowania certyfikatów przez podmioty nieposiadające odpowiedniego doświadczenia lub zdolności finansowej. Jednocześnie zagwarantuje to, że zaangażowanie osoby fizycznej w niepublicznym FIZ będzie niemniejsze niż równowartość 40 000 euro, co wyeliminuje sytuację, w której osoby fizyczne będą zachęcane do obejmowania certyfikatów niepublicznych FIZ, poprzez gwarantowanie im możliwości szybkiego obniżenia tego zaangażowania poprzez odsprzedaż części z nabytych pierwotnie certyfikatów inwestycyjnych.</w:t>
      </w:r>
    </w:p>
    <w:p w14:paraId="65124949" w14:textId="77777777" w:rsidR="000E3448" w:rsidRDefault="000E3448" w:rsidP="00E04AF0">
      <w:pPr>
        <w:spacing w:after="0" w:line="300" w:lineRule="auto"/>
        <w:jc w:val="both"/>
        <w:rPr>
          <w:rFonts w:ascii="Arial" w:hAnsi="Arial" w:cs="Arial"/>
        </w:rPr>
      </w:pPr>
    </w:p>
    <w:p w14:paraId="45478425" w14:textId="77777777" w:rsidR="000E3448" w:rsidRPr="000E3448" w:rsidRDefault="000E3448" w:rsidP="000E3448">
      <w:pPr>
        <w:spacing w:after="0" w:line="300" w:lineRule="auto"/>
        <w:jc w:val="both"/>
        <w:rPr>
          <w:rFonts w:ascii="Arial" w:hAnsi="Arial" w:cs="Arial"/>
        </w:rPr>
      </w:pPr>
      <w:r w:rsidRPr="000E3448">
        <w:rPr>
          <w:rFonts w:ascii="Arial" w:hAnsi="Arial" w:cs="Arial"/>
        </w:rPr>
        <w:t>Przedmiotowy projekt aktu prawnego wraz z Uzasadnieniem oraz Oceną Skutków Regulacji dostępny jest na stronach Rządowego Centrum Legislacji pod adresem:</w:t>
      </w:r>
    </w:p>
    <w:p w14:paraId="4A9DF856" w14:textId="54A87128" w:rsidR="000E3448" w:rsidRDefault="000E3448" w:rsidP="000E3448">
      <w:pPr>
        <w:spacing w:after="0" w:line="300" w:lineRule="auto"/>
        <w:jc w:val="both"/>
        <w:rPr>
          <w:rFonts w:ascii="Arial" w:hAnsi="Arial" w:cs="Arial"/>
        </w:rPr>
      </w:pPr>
      <w:hyperlink r:id="rId8" w:history="1">
        <w:r w:rsidRPr="005446B2">
          <w:rPr>
            <w:rStyle w:val="Hipercze"/>
            <w:rFonts w:ascii="Arial" w:hAnsi="Arial" w:cs="Arial"/>
          </w:rPr>
          <w:t>https://legislacja.rcl.gov.pl/projekt/12408853/katalog/</w:t>
        </w:r>
        <w:r w:rsidRPr="005446B2">
          <w:rPr>
            <w:rStyle w:val="Hipercze"/>
            <w:rFonts w:ascii="Arial" w:hAnsi="Arial" w:cs="Arial"/>
          </w:rPr>
          <w:t>1</w:t>
        </w:r>
        <w:r w:rsidRPr="005446B2">
          <w:rPr>
            <w:rStyle w:val="Hipercze"/>
            <w:rFonts w:ascii="Arial" w:hAnsi="Arial" w:cs="Arial"/>
          </w:rPr>
          <w:t>3196093#13196093</w:t>
        </w:r>
      </w:hyperlink>
      <w:r>
        <w:rPr>
          <w:rFonts w:ascii="Arial" w:hAnsi="Arial" w:cs="Arial"/>
        </w:rPr>
        <w:t xml:space="preserve"> </w:t>
      </w:r>
    </w:p>
    <w:p w14:paraId="2D343C9C" w14:textId="77777777" w:rsidR="00E04AF0" w:rsidRDefault="00E04AF0" w:rsidP="00E04AF0">
      <w:pPr>
        <w:spacing w:after="0" w:line="300" w:lineRule="auto"/>
        <w:jc w:val="both"/>
        <w:rPr>
          <w:rFonts w:ascii="Arial" w:hAnsi="Arial" w:cs="Arial"/>
        </w:rPr>
      </w:pPr>
    </w:p>
    <w:p w14:paraId="7CF34D34" w14:textId="2FA7B5F0" w:rsidR="000E3448" w:rsidRDefault="000E3448" w:rsidP="00E04AF0">
      <w:pPr>
        <w:spacing w:after="0" w:line="300" w:lineRule="auto"/>
        <w:jc w:val="both"/>
        <w:rPr>
          <w:rFonts w:ascii="Arial" w:hAnsi="Arial" w:cs="Arial"/>
        </w:rPr>
      </w:pPr>
      <w:r w:rsidRPr="000E3448">
        <w:rPr>
          <w:rFonts w:ascii="Arial" w:hAnsi="Arial" w:cs="Arial"/>
        </w:rPr>
        <w:t>Projekt jest obecnie jednocześnie na etapie uzgodnień, konsultacji publicznych i opiniowania.</w:t>
      </w:r>
    </w:p>
    <w:p w14:paraId="3253847D" w14:textId="77777777" w:rsidR="000E3448" w:rsidRDefault="000E3448" w:rsidP="00E04AF0">
      <w:pPr>
        <w:spacing w:after="0" w:line="300" w:lineRule="auto"/>
        <w:jc w:val="both"/>
        <w:rPr>
          <w:rFonts w:ascii="Arial" w:hAnsi="Arial" w:cs="Arial"/>
        </w:rPr>
      </w:pPr>
    </w:p>
    <w:p w14:paraId="6452B3BF" w14:textId="77777777" w:rsidR="00987C28" w:rsidRDefault="00987C28" w:rsidP="00E04AF0">
      <w:pPr>
        <w:spacing w:after="0" w:line="300" w:lineRule="auto"/>
        <w:jc w:val="both"/>
        <w:rPr>
          <w:rFonts w:ascii="Arial" w:hAnsi="Arial" w:cs="Arial"/>
        </w:rPr>
      </w:pPr>
    </w:p>
    <w:p w14:paraId="5F247328" w14:textId="77777777" w:rsidR="00987C28" w:rsidRPr="00987C28" w:rsidRDefault="00987C28" w:rsidP="00987C28">
      <w:pPr>
        <w:spacing w:after="0" w:line="300" w:lineRule="auto"/>
        <w:jc w:val="both"/>
        <w:rPr>
          <w:rFonts w:ascii="Arial" w:hAnsi="Arial" w:cs="Arial"/>
          <w:b/>
          <w:bCs/>
        </w:rPr>
      </w:pPr>
      <w:r w:rsidRPr="00987C28">
        <w:rPr>
          <w:rFonts w:ascii="Arial" w:hAnsi="Arial" w:cs="Arial"/>
          <w:b/>
          <w:bCs/>
        </w:rPr>
        <w:lastRenderedPageBreak/>
        <w:t>II. Stanowiska Związku Pracodawców Polska Miedź</w:t>
      </w:r>
    </w:p>
    <w:p w14:paraId="1462C1C4" w14:textId="77777777" w:rsidR="00987C28" w:rsidRPr="00987C28" w:rsidRDefault="00987C28" w:rsidP="00987C28">
      <w:pPr>
        <w:spacing w:after="0" w:line="300" w:lineRule="auto"/>
        <w:jc w:val="both"/>
        <w:rPr>
          <w:rFonts w:ascii="Arial" w:hAnsi="Arial" w:cs="Arial"/>
        </w:rPr>
      </w:pPr>
    </w:p>
    <w:p w14:paraId="2BB035D3" w14:textId="77777777" w:rsidR="00987C28" w:rsidRPr="00987C28" w:rsidRDefault="00987C28" w:rsidP="00987C28">
      <w:pPr>
        <w:spacing w:after="0" w:line="300" w:lineRule="auto"/>
        <w:jc w:val="both"/>
        <w:rPr>
          <w:rFonts w:ascii="Arial" w:hAnsi="Arial" w:cs="Arial"/>
        </w:rPr>
      </w:pPr>
      <w:r w:rsidRPr="00987C28">
        <w:rPr>
          <w:rFonts w:ascii="Arial" w:hAnsi="Arial" w:cs="Arial"/>
        </w:rPr>
        <w:t>Na podstawie opinii i ekspertyz podmiotów członkowskich Związku Pracodawców Polska Miedź przygotowano dwa stanowiska do opublikowanych projektów aktów prawnych oraz dokumentów strategicznych.</w:t>
      </w:r>
    </w:p>
    <w:p w14:paraId="220DAD48" w14:textId="77777777" w:rsidR="00987C28" w:rsidRPr="00987C28" w:rsidRDefault="00987C28" w:rsidP="00987C28">
      <w:pPr>
        <w:spacing w:after="0" w:line="300" w:lineRule="auto"/>
        <w:jc w:val="both"/>
        <w:rPr>
          <w:rFonts w:ascii="Arial" w:hAnsi="Arial" w:cs="Arial"/>
        </w:rPr>
      </w:pPr>
    </w:p>
    <w:p w14:paraId="01BD5D88" w14:textId="23D29A2C" w:rsidR="00987C28" w:rsidRPr="00987C28" w:rsidRDefault="00987C28" w:rsidP="00987C28">
      <w:pPr>
        <w:spacing w:after="0" w:line="300" w:lineRule="auto"/>
        <w:ind w:left="567"/>
        <w:jc w:val="both"/>
        <w:rPr>
          <w:rFonts w:ascii="Arial" w:hAnsi="Arial" w:cs="Arial"/>
          <w:b/>
          <w:bCs/>
          <w:u w:val="single"/>
        </w:rPr>
      </w:pPr>
      <w:r w:rsidRPr="00987C28">
        <w:rPr>
          <w:rFonts w:ascii="Arial" w:hAnsi="Arial" w:cs="Arial"/>
          <w:b/>
          <w:bCs/>
          <w:u w:val="single"/>
        </w:rPr>
        <w:t>Stanowisko Związku Pracodawców Polska Miedź (uwagi Związku Pracodawców Polska Miedź) do projektu rozporządzenia Ministra Zdrowia zmieniający rozporządzenie w sprawie bezpieczeństwa i higieny pracy związanej z występowaniem w miejscu pracy czynników chemicznych.</w:t>
      </w:r>
    </w:p>
    <w:p w14:paraId="58B9CAA0" w14:textId="77777777" w:rsidR="00987C28" w:rsidRPr="00987C28" w:rsidRDefault="00987C28" w:rsidP="00987C28">
      <w:pPr>
        <w:spacing w:after="0" w:line="300" w:lineRule="auto"/>
        <w:jc w:val="both"/>
        <w:rPr>
          <w:rFonts w:ascii="Arial" w:hAnsi="Arial" w:cs="Arial"/>
        </w:rPr>
      </w:pPr>
    </w:p>
    <w:p w14:paraId="6A9F3A03" w14:textId="41434126" w:rsidR="00987C28" w:rsidRPr="00987C28" w:rsidRDefault="00987C28" w:rsidP="00987C28">
      <w:pPr>
        <w:spacing w:after="0" w:line="300" w:lineRule="auto"/>
        <w:jc w:val="both"/>
        <w:rPr>
          <w:rFonts w:ascii="Arial" w:hAnsi="Arial" w:cs="Arial"/>
        </w:rPr>
      </w:pPr>
      <w:r w:rsidRPr="00987C28">
        <w:rPr>
          <w:rFonts w:ascii="Arial" w:hAnsi="Arial" w:cs="Arial"/>
        </w:rPr>
        <w:t xml:space="preserve">Projekt z dnia </w:t>
      </w:r>
      <w:r>
        <w:rPr>
          <w:rFonts w:ascii="Arial" w:hAnsi="Arial" w:cs="Arial"/>
        </w:rPr>
        <w:t>11 marca</w:t>
      </w:r>
      <w:r w:rsidRPr="00987C28">
        <w:rPr>
          <w:rFonts w:ascii="Arial" w:hAnsi="Arial" w:cs="Arial"/>
        </w:rPr>
        <w:t xml:space="preserve"> 2026 roku, opublikowany na stronie BIP Rządowego Centrum Legislacji w dniu 13 </w:t>
      </w:r>
      <w:r>
        <w:rPr>
          <w:rFonts w:ascii="Arial" w:hAnsi="Arial" w:cs="Arial"/>
        </w:rPr>
        <w:t>marca</w:t>
      </w:r>
      <w:r w:rsidRPr="00987C28">
        <w:rPr>
          <w:rFonts w:ascii="Arial" w:hAnsi="Arial" w:cs="Arial"/>
        </w:rPr>
        <w:t xml:space="preserve"> 2026 roku (nr </w:t>
      </w:r>
      <w:r w:rsidR="00F14873">
        <w:rPr>
          <w:rFonts w:ascii="Arial" w:hAnsi="Arial" w:cs="Arial"/>
        </w:rPr>
        <w:t>MZ</w:t>
      </w:r>
      <w:r>
        <w:rPr>
          <w:rFonts w:ascii="Arial" w:hAnsi="Arial" w:cs="Arial"/>
        </w:rPr>
        <w:t>1882</w:t>
      </w:r>
      <w:r w:rsidRPr="00987C28">
        <w:rPr>
          <w:rFonts w:ascii="Arial" w:hAnsi="Arial" w:cs="Arial"/>
        </w:rPr>
        <w:t xml:space="preserve"> w Wykazie prac legislacyjnych i programowych Rady Ministrów).</w:t>
      </w:r>
    </w:p>
    <w:p w14:paraId="7981666B" w14:textId="0D461A9B" w:rsidR="00987C28" w:rsidRPr="00987C28" w:rsidRDefault="00987C28" w:rsidP="00987C28">
      <w:pPr>
        <w:spacing w:after="0" w:line="300" w:lineRule="auto"/>
        <w:jc w:val="both"/>
        <w:rPr>
          <w:rFonts w:ascii="Arial" w:hAnsi="Arial" w:cs="Arial"/>
        </w:rPr>
      </w:pPr>
      <w:r w:rsidRPr="00987C28">
        <w:rPr>
          <w:rFonts w:ascii="Arial" w:hAnsi="Arial" w:cs="Arial"/>
        </w:rPr>
        <w:t xml:space="preserve">Przedmiotowe stanowisko zostało przesłane do Ministerstwa </w:t>
      </w:r>
      <w:r>
        <w:rPr>
          <w:rFonts w:ascii="Arial" w:hAnsi="Arial" w:cs="Arial"/>
        </w:rPr>
        <w:t>Zdrowia</w:t>
      </w:r>
      <w:r w:rsidRPr="00987C28">
        <w:rPr>
          <w:rFonts w:ascii="Arial" w:hAnsi="Arial" w:cs="Arial"/>
        </w:rPr>
        <w:t xml:space="preserve"> oraz reprezentatywnych organizacji pracodawców, z którymi Związek Pracodawców Polska Miedź współpracuje.</w:t>
      </w:r>
    </w:p>
    <w:p w14:paraId="74431533" w14:textId="77777777" w:rsidR="00987C28" w:rsidRPr="00987C28" w:rsidRDefault="00987C28" w:rsidP="00987C28">
      <w:pPr>
        <w:spacing w:after="0" w:line="300" w:lineRule="auto"/>
        <w:jc w:val="both"/>
        <w:rPr>
          <w:rFonts w:ascii="Arial" w:hAnsi="Arial" w:cs="Arial"/>
        </w:rPr>
      </w:pPr>
    </w:p>
    <w:p w14:paraId="4C9128F5" w14:textId="31B20957" w:rsidR="00987C28" w:rsidRPr="00987C28" w:rsidRDefault="00987C28" w:rsidP="00987C28">
      <w:pPr>
        <w:spacing w:after="0" w:line="300" w:lineRule="auto"/>
        <w:ind w:left="567"/>
        <w:jc w:val="both"/>
        <w:rPr>
          <w:rFonts w:ascii="Arial" w:hAnsi="Arial" w:cs="Arial"/>
          <w:b/>
          <w:bCs/>
          <w:u w:val="single"/>
        </w:rPr>
      </w:pPr>
      <w:r w:rsidRPr="00987C28">
        <w:rPr>
          <w:rFonts w:ascii="Arial" w:hAnsi="Arial" w:cs="Arial"/>
          <w:b/>
          <w:bCs/>
          <w:u w:val="single"/>
        </w:rPr>
        <w:t>Stanowisko Związku Pracodawców Polska Miedź (uwagi Związku Pracodawców Polska Miedź) do projektu ustawy o zmianie ustawy – Prawo ochrony środowiska oraz niektórych innych ustaw.</w:t>
      </w:r>
    </w:p>
    <w:p w14:paraId="77DD1A57" w14:textId="77777777" w:rsidR="00987C28" w:rsidRPr="00987C28" w:rsidRDefault="00987C28" w:rsidP="00987C28">
      <w:pPr>
        <w:spacing w:after="0" w:line="300" w:lineRule="auto"/>
        <w:jc w:val="both"/>
        <w:rPr>
          <w:rFonts w:ascii="Arial" w:hAnsi="Arial" w:cs="Arial"/>
        </w:rPr>
      </w:pPr>
    </w:p>
    <w:p w14:paraId="7848658D" w14:textId="209EBC95" w:rsidR="00987C28" w:rsidRPr="00987C28" w:rsidRDefault="00987C28" w:rsidP="00987C28">
      <w:pPr>
        <w:spacing w:after="0" w:line="300" w:lineRule="auto"/>
        <w:jc w:val="both"/>
        <w:rPr>
          <w:rFonts w:ascii="Arial" w:hAnsi="Arial" w:cs="Arial"/>
        </w:rPr>
      </w:pPr>
      <w:r w:rsidRPr="00987C28">
        <w:rPr>
          <w:rFonts w:ascii="Arial" w:hAnsi="Arial" w:cs="Arial"/>
        </w:rPr>
        <w:t>Projekt z dnia 1</w:t>
      </w:r>
      <w:r>
        <w:rPr>
          <w:rFonts w:ascii="Arial" w:hAnsi="Arial" w:cs="Arial"/>
        </w:rPr>
        <w:t>0 marca</w:t>
      </w:r>
      <w:r w:rsidRPr="00987C28">
        <w:rPr>
          <w:rFonts w:ascii="Arial" w:hAnsi="Arial" w:cs="Arial"/>
        </w:rPr>
        <w:t xml:space="preserve"> 2026 roku, opublikowany na stronie BIP Rządowego Centrum Legislacji w dniu </w:t>
      </w:r>
      <w:r>
        <w:rPr>
          <w:rFonts w:ascii="Arial" w:hAnsi="Arial" w:cs="Arial"/>
        </w:rPr>
        <w:t>16 marca</w:t>
      </w:r>
      <w:r w:rsidRPr="00987C28">
        <w:rPr>
          <w:rFonts w:ascii="Arial" w:hAnsi="Arial" w:cs="Arial"/>
        </w:rPr>
        <w:t xml:space="preserve"> 2026 roku (nr </w:t>
      </w:r>
      <w:r>
        <w:rPr>
          <w:rFonts w:ascii="Arial" w:hAnsi="Arial" w:cs="Arial"/>
        </w:rPr>
        <w:t>UC99</w:t>
      </w:r>
      <w:r w:rsidRPr="00987C28">
        <w:rPr>
          <w:rFonts w:ascii="Arial" w:hAnsi="Arial" w:cs="Arial"/>
        </w:rPr>
        <w:t xml:space="preserve"> w Wykazie prac legislacyjnych i programowych Rady Ministrów).</w:t>
      </w:r>
    </w:p>
    <w:p w14:paraId="669806E2" w14:textId="7ED023CD" w:rsidR="00E04AF0" w:rsidRPr="00CC391D" w:rsidRDefault="00987C28" w:rsidP="00987C28">
      <w:pPr>
        <w:spacing w:after="0" w:line="300" w:lineRule="auto"/>
        <w:jc w:val="both"/>
        <w:rPr>
          <w:rFonts w:ascii="Arial" w:hAnsi="Arial" w:cs="Arial"/>
          <w:bCs/>
        </w:rPr>
      </w:pPr>
      <w:r w:rsidRPr="00987C28">
        <w:rPr>
          <w:rFonts w:ascii="Arial" w:hAnsi="Arial" w:cs="Arial"/>
        </w:rPr>
        <w:t xml:space="preserve">Przedmiotowe stanowisko zostało przesłane do Ministerstwa </w:t>
      </w:r>
      <w:r>
        <w:rPr>
          <w:rFonts w:ascii="Arial" w:hAnsi="Arial" w:cs="Arial"/>
        </w:rPr>
        <w:t>Klimatu i Środowiska</w:t>
      </w:r>
      <w:r w:rsidRPr="00987C28">
        <w:rPr>
          <w:rFonts w:ascii="Arial" w:hAnsi="Arial" w:cs="Arial"/>
        </w:rPr>
        <w:t xml:space="preserve"> oraz reprezentatywnych organizacji pracodawców, z którymi Związek Pracodawców Polska Miedź współpracuje.</w:t>
      </w:r>
    </w:p>
    <w:p w14:paraId="714D0AE1" w14:textId="77777777" w:rsidR="00E04AF0" w:rsidRDefault="00E04AF0" w:rsidP="00E04AF0">
      <w:pPr>
        <w:spacing w:after="0" w:line="300" w:lineRule="auto"/>
        <w:rPr>
          <w:rFonts w:ascii="Arial" w:hAnsi="Arial" w:cs="Arial"/>
        </w:rPr>
      </w:pPr>
    </w:p>
    <w:p w14:paraId="4F9B1198" w14:textId="77777777" w:rsidR="00987C28" w:rsidRPr="00CB4A6E" w:rsidRDefault="00987C28" w:rsidP="00E04AF0">
      <w:pPr>
        <w:spacing w:after="0" w:line="300" w:lineRule="auto"/>
        <w:rPr>
          <w:rFonts w:ascii="Arial" w:hAnsi="Arial" w:cs="Arial"/>
        </w:rPr>
      </w:pPr>
    </w:p>
    <w:p w14:paraId="33A74077" w14:textId="0AFED495" w:rsidR="00E04AF0" w:rsidRDefault="00E04AF0" w:rsidP="00E04AF0">
      <w:pPr>
        <w:spacing w:after="0" w:line="300" w:lineRule="auto"/>
        <w:jc w:val="both"/>
        <w:rPr>
          <w:rFonts w:ascii="Arial" w:hAnsi="Arial" w:cs="Arial"/>
          <w:b/>
        </w:rPr>
      </w:pPr>
      <w:r>
        <w:rPr>
          <w:rFonts w:ascii="Arial" w:hAnsi="Arial" w:cs="Arial"/>
          <w:b/>
        </w:rPr>
        <w:t>I</w:t>
      </w:r>
      <w:r w:rsidR="00987C28">
        <w:rPr>
          <w:rFonts w:ascii="Arial" w:hAnsi="Arial" w:cs="Arial"/>
          <w:b/>
        </w:rPr>
        <w:t>I</w:t>
      </w:r>
      <w:r>
        <w:rPr>
          <w:rFonts w:ascii="Arial" w:hAnsi="Arial" w:cs="Arial"/>
          <w:b/>
        </w:rPr>
        <w:t>I. Ogłoszone akty prawne (Dziennik Ustaw RP)</w:t>
      </w:r>
    </w:p>
    <w:p w14:paraId="3260F045" w14:textId="77777777" w:rsidR="00E04AF0" w:rsidRDefault="00E04AF0" w:rsidP="00E04AF0">
      <w:pPr>
        <w:spacing w:after="0" w:line="300" w:lineRule="auto"/>
        <w:jc w:val="both"/>
        <w:rPr>
          <w:rFonts w:ascii="Arial" w:hAnsi="Arial" w:cs="Arial"/>
        </w:rPr>
      </w:pPr>
    </w:p>
    <w:p w14:paraId="4BEE5524" w14:textId="2C49AEB7" w:rsidR="00E04AF0" w:rsidRDefault="00E04AF0" w:rsidP="00E04AF0">
      <w:pPr>
        <w:spacing w:after="0" w:line="300" w:lineRule="auto"/>
        <w:jc w:val="both"/>
        <w:rPr>
          <w:rFonts w:ascii="Arial" w:hAnsi="Arial" w:cs="Arial"/>
        </w:rPr>
      </w:pPr>
      <w:r>
        <w:rPr>
          <w:rFonts w:ascii="Arial" w:hAnsi="Arial" w:cs="Arial"/>
        </w:rPr>
        <w:t xml:space="preserve">W analizowanym okresie ogłoszono </w:t>
      </w:r>
      <w:r w:rsidR="008F0BE4">
        <w:rPr>
          <w:rFonts w:ascii="Arial" w:hAnsi="Arial" w:cs="Arial"/>
        </w:rPr>
        <w:t>48</w:t>
      </w:r>
      <w:r>
        <w:rPr>
          <w:rFonts w:ascii="Arial" w:hAnsi="Arial" w:cs="Arial"/>
        </w:rPr>
        <w:t xml:space="preserve"> ak</w:t>
      </w:r>
      <w:r w:rsidR="008F0BE4">
        <w:rPr>
          <w:rFonts w:ascii="Arial" w:hAnsi="Arial" w:cs="Arial"/>
        </w:rPr>
        <w:t>tów</w:t>
      </w:r>
      <w:r>
        <w:rPr>
          <w:rFonts w:ascii="Arial" w:hAnsi="Arial" w:cs="Arial"/>
        </w:rPr>
        <w:t xml:space="preserve"> prawn</w:t>
      </w:r>
      <w:r w:rsidR="008F0BE4">
        <w:rPr>
          <w:rFonts w:ascii="Arial" w:hAnsi="Arial" w:cs="Arial"/>
        </w:rPr>
        <w:t>ych</w:t>
      </w:r>
      <w:r>
        <w:rPr>
          <w:rFonts w:ascii="Arial" w:hAnsi="Arial" w:cs="Arial"/>
        </w:rPr>
        <w:t>, tzn. ustaw, rozporządze</w:t>
      </w:r>
      <w:r w:rsidR="008F0BE4">
        <w:rPr>
          <w:rFonts w:ascii="Arial" w:hAnsi="Arial" w:cs="Arial"/>
        </w:rPr>
        <w:t>ń</w:t>
      </w:r>
      <w:r>
        <w:rPr>
          <w:rFonts w:ascii="Arial" w:hAnsi="Arial" w:cs="Arial"/>
        </w:rPr>
        <w:t xml:space="preserve"> Rady Ministrów, Prezesa Rady Ministrów i poszczególnych ministrów, obwieszcze</w:t>
      </w:r>
      <w:r w:rsidR="008F0BE4">
        <w:rPr>
          <w:rFonts w:ascii="Arial" w:hAnsi="Arial" w:cs="Arial"/>
        </w:rPr>
        <w:t>ń</w:t>
      </w:r>
      <w:r>
        <w:rPr>
          <w:rFonts w:ascii="Arial" w:hAnsi="Arial" w:cs="Arial"/>
        </w:rPr>
        <w:t xml:space="preserve"> w sprawie ogłoszenia tekstu jednolitego. Z powyższych publikacji w zainteresowaniu pracodawców i przedsiębiorców znaleźć się mogą następujące akty prawne:</w:t>
      </w:r>
    </w:p>
    <w:p w14:paraId="11452A43" w14:textId="77777777" w:rsidR="00E04AF0" w:rsidRDefault="00E04AF0" w:rsidP="00E04AF0">
      <w:pPr>
        <w:spacing w:after="0" w:line="300" w:lineRule="auto"/>
        <w:jc w:val="both"/>
        <w:rPr>
          <w:rFonts w:ascii="Arial" w:hAnsi="Arial" w:cs="Arial"/>
        </w:rPr>
      </w:pPr>
    </w:p>
    <w:p w14:paraId="2572FA33" w14:textId="7933EB52" w:rsidR="00E04AF0" w:rsidRPr="00E7508B" w:rsidRDefault="00E7508B" w:rsidP="00E04AF0">
      <w:pPr>
        <w:pStyle w:val="Akapitzlist"/>
        <w:numPr>
          <w:ilvl w:val="0"/>
          <w:numId w:val="2"/>
        </w:numPr>
        <w:spacing w:after="0" w:line="300" w:lineRule="auto"/>
        <w:ind w:left="426" w:hanging="426"/>
        <w:jc w:val="both"/>
        <w:rPr>
          <w:rFonts w:ascii="Arial" w:hAnsi="Arial" w:cs="Arial"/>
          <w:b/>
          <w:bCs/>
          <w:u w:val="single"/>
        </w:rPr>
      </w:pPr>
      <w:r w:rsidRPr="00E7508B">
        <w:rPr>
          <w:rFonts w:ascii="Arial" w:hAnsi="Arial" w:cs="Arial"/>
          <w:b/>
          <w:bCs/>
          <w:u w:val="single"/>
        </w:rPr>
        <w:t>Rozporządzenie Ministra Rodziny, Pracy i Polityki Społecznej z dnia 26 marca 2026 r. zmieniające rozporządzenie w sprawie najwyższych dopuszczalnych stężeń i natężeń czynników szkodliwych dla zdrowia w środowisku pracy</w:t>
      </w:r>
      <w:r w:rsidRPr="00E7508B">
        <w:rPr>
          <w:rFonts w:ascii="Arial" w:hAnsi="Arial" w:cs="Arial"/>
          <w:b/>
          <w:bCs/>
          <w:u w:val="single"/>
        </w:rPr>
        <w:t>.</w:t>
      </w:r>
    </w:p>
    <w:p w14:paraId="078CB7DB" w14:textId="77777777" w:rsidR="00E7508B" w:rsidRDefault="00E7508B" w:rsidP="00E7508B">
      <w:pPr>
        <w:spacing w:after="0" w:line="300" w:lineRule="auto"/>
        <w:jc w:val="both"/>
        <w:rPr>
          <w:rFonts w:ascii="Arial" w:eastAsia="Times New Roman" w:hAnsi="Arial" w:cs="Arial"/>
          <w:lang w:eastAsia="pl-PL"/>
        </w:rPr>
      </w:pPr>
    </w:p>
    <w:p w14:paraId="46F5304C" w14:textId="5B75205F" w:rsidR="00E04AF0" w:rsidRPr="00E7508B" w:rsidRDefault="00E04AF0" w:rsidP="00E7508B">
      <w:pPr>
        <w:spacing w:after="0" w:line="300" w:lineRule="auto"/>
        <w:jc w:val="both"/>
        <w:rPr>
          <w:rFonts w:ascii="Arial" w:eastAsia="Times New Roman" w:hAnsi="Arial" w:cs="Arial"/>
          <w:lang w:eastAsia="pl-PL"/>
        </w:rPr>
      </w:pPr>
      <w:r w:rsidRPr="00E7508B">
        <w:rPr>
          <w:rFonts w:ascii="Arial" w:eastAsia="Times New Roman" w:hAnsi="Arial" w:cs="Arial"/>
          <w:lang w:eastAsia="pl-PL"/>
        </w:rPr>
        <w:t xml:space="preserve">Powyższy akt prawny ogłoszony został </w:t>
      </w:r>
      <w:r w:rsidR="00E7508B">
        <w:rPr>
          <w:rFonts w:ascii="Arial" w:eastAsia="Times New Roman" w:hAnsi="Arial" w:cs="Arial"/>
          <w:lang w:eastAsia="pl-PL"/>
        </w:rPr>
        <w:t>1 kwietnia</w:t>
      </w:r>
      <w:r w:rsidRPr="00E7508B">
        <w:rPr>
          <w:rFonts w:ascii="Arial" w:eastAsia="Times New Roman" w:hAnsi="Arial" w:cs="Arial"/>
          <w:lang w:eastAsia="pl-PL"/>
        </w:rPr>
        <w:t xml:space="preserve"> 20</w:t>
      </w:r>
      <w:r w:rsidR="00E7508B">
        <w:rPr>
          <w:rFonts w:ascii="Arial" w:eastAsia="Times New Roman" w:hAnsi="Arial" w:cs="Arial"/>
          <w:lang w:eastAsia="pl-PL"/>
        </w:rPr>
        <w:t>26</w:t>
      </w:r>
      <w:r w:rsidRPr="00E7508B">
        <w:rPr>
          <w:rFonts w:ascii="Arial" w:eastAsia="Times New Roman" w:hAnsi="Arial" w:cs="Arial"/>
          <w:lang w:eastAsia="pl-PL"/>
        </w:rPr>
        <w:t xml:space="preserve"> roku w Dzienniku Ustaw (Dz.U. z 202</w:t>
      </w:r>
      <w:r w:rsidR="00E7508B">
        <w:rPr>
          <w:rFonts w:ascii="Arial" w:eastAsia="Times New Roman" w:hAnsi="Arial" w:cs="Arial"/>
          <w:lang w:eastAsia="pl-PL"/>
        </w:rPr>
        <w:t>6</w:t>
      </w:r>
      <w:r w:rsidRPr="00E7508B">
        <w:rPr>
          <w:rFonts w:ascii="Arial" w:eastAsia="Times New Roman" w:hAnsi="Arial" w:cs="Arial"/>
          <w:lang w:eastAsia="pl-PL"/>
        </w:rPr>
        <w:t xml:space="preserve">, poz. </w:t>
      </w:r>
      <w:r w:rsidR="00E7508B">
        <w:rPr>
          <w:rFonts w:ascii="Arial" w:eastAsia="Times New Roman" w:hAnsi="Arial" w:cs="Arial"/>
          <w:lang w:eastAsia="pl-PL"/>
        </w:rPr>
        <w:t>447</w:t>
      </w:r>
      <w:r w:rsidRPr="00E7508B">
        <w:rPr>
          <w:rFonts w:ascii="Arial" w:eastAsia="Times New Roman" w:hAnsi="Arial" w:cs="Arial"/>
          <w:lang w:eastAsia="pl-PL"/>
        </w:rPr>
        <w:t>).</w:t>
      </w:r>
    </w:p>
    <w:p w14:paraId="23291183" w14:textId="77777777" w:rsidR="00E7508B" w:rsidRDefault="00E7508B" w:rsidP="00E7508B">
      <w:pPr>
        <w:spacing w:after="0" w:line="300" w:lineRule="auto"/>
        <w:jc w:val="both"/>
        <w:rPr>
          <w:rFonts w:ascii="Arial" w:eastAsia="Times New Roman" w:hAnsi="Arial" w:cs="Arial"/>
          <w:lang w:eastAsia="pl-PL"/>
        </w:rPr>
      </w:pPr>
    </w:p>
    <w:p w14:paraId="2C4ECF4A" w14:textId="61B3DD24" w:rsidR="00E7508B" w:rsidRDefault="00E7508B" w:rsidP="00E7508B">
      <w:pPr>
        <w:spacing w:after="0" w:line="300" w:lineRule="auto"/>
        <w:jc w:val="both"/>
        <w:rPr>
          <w:rFonts w:ascii="Arial" w:eastAsia="Times New Roman" w:hAnsi="Arial" w:cs="Arial"/>
          <w:lang w:eastAsia="pl-PL"/>
        </w:rPr>
      </w:pPr>
      <w:r w:rsidRPr="00E7508B">
        <w:rPr>
          <w:rFonts w:ascii="Arial" w:eastAsia="Times New Roman" w:hAnsi="Arial" w:cs="Arial"/>
          <w:lang w:eastAsia="pl-PL"/>
        </w:rPr>
        <w:lastRenderedPageBreak/>
        <w:t>Rozporządzenie wydane zostało na podstawie</w:t>
      </w:r>
      <w:r w:rsidRPr="00E7508B">
        <w:t xml:space="preserve"> </w:t>
      </w:r>
      <w:r w:rsidRPr="00E7508B">
        <w:rPr>
          <w:rFonts w:ascii="Arial" w:eastAsia="Times New Roman" w:hAnsi="Arial" w:cs="Arial"/>
          <w:lang w:eastAsia="pl-PL"/>
        </w:rPr>
        <w:t>art. 228 § 3 ustawy z dnia 26 czerwca 1974 r. – Kodeks pracy (Dz. U. z 2025 r. poz. 277, 807, 1423 i 1661 oraz z 2026 r. poz. 25)</w:t>
      </w:r>
      <w:r>
        <w:rPr>
          <w:rFonts w:ascii="Arial" w:eastAsia="Times New Roman" w:hAnsi="Arial" w:cs="Arial"/>
          <w:lang w:eastAsia="pl-PL"/>
        </w:rPr>
        <w:t>.</w:t>
      </w:r>
    </w:p>
    <w:p w14:paraId="30583B35" w14:textId="0858CA04" w:rsidR="00E7508B" w:rsidRDefault="00E7508B" w:rsidP="00E7508B">
      <w:pPr>
        <w:spacing w:after="0" w:line="300" w:lineRule="auto"/>
        <w:jc w:val="both"/>
        <w:rPr>
          <w:rFonts w:ascii="Arial" w:eastAsia="Times New Roman" w:hAnsi="Arial" w:cs="Arial"/>
          <w:lang w:eastAsia="pl-PL"/>
        </w:rPr>
      </w:pPr>
      <w:r>
        <w:rPr>
          <w:rFonts w:ascii="Arial" w:eastAsia="Times New Roman" w:hAnsi="Arial" w:cs="Arial"/>
          <w:lang w:eastAsia="pl-PL"/>
        </w:rPr>
        <w:t xml:space="preserve">Rozporządzenie wprowadza nowe regulacje wartości NDS oraz </w:t>
      </w:r>
      <w:proofErr w:type="spellStart"/>
      <w:r>
        <w:rPr>
          <w:rFonts w:ascii="Arial" w:eastAsia="Times New Roman" w:hAnsi="Arial" w:cs="Arial"/>
          <w:lang w:eastAsia="pl-PL"/>
        </w:rPr>
        <w:t>NDSCh</w:t>
      </w:r>
      <w:proofErr w:type="spellEnd"/>
      <w:r>
        <w:rPr>
          <w:rFonts w:ascii="Arial" w:eastAsia="Times New Roman" w:hAnsi="Arial" w:cs="Arial"/>
          <w:lang w:eastAsia="pl-PL"/>
        </w:rPr>
        <w:t xml:space="preserve"> oraz termi</w:t>
      </w:r>
      <w:r w:rsidR="00C05BD9">
        <w:rPr>
          <w:rFonts w:ascii="Arial" w:eastAsia="Times New Roman" w:hAnsi="Arial" w:cs="Arial"/>
          <w:lang w:eastAsia="pl-PL"/>
        </w:rPr>
        <w:t>ny</w:t>
      </w:r>
      <w:r>
        <w:rPr>
          <w:rFonts w:ascii="Arial" w:eastAsia="Times New Roman" w:hAnsi="Arial" w:cs="Arial"/>
          <w:lang w:eastAsia="pl-PL"/>
        </w:rPr>
        <w:t xml:space="preserve"> ich stosowania </w:t>
      </w:r>
      <w:r w:rsidR="00C05BD9">
        <w:rPr>
          <w:rFonts w:ascii="Arial" w:eastAsia="Times New Roman" w:hAnsi="Arial" w:cs="Arial"/>
          <w:lang w:eastAsia="pl-PL"/>
        </w:rPr>
        <w:t>w odniesieniu do</w:t>
      </w:r>
      <w:r>
        <w:rPr>
          <w:rFonts w:ascii="Arial" w:eastAsia="Times New Roman" w:hAnsi="Arial" w:cs="Arial"/>
          <w:lang w:eastAsia="pl-PL"/>
        </w:rPr>
        <w:t xml:space="preserve"> szeregu substancji szkodliwych dla zdrowia</w:t>
      </w:r>
      <w:r w:rsidR="00C05BD9">
        <w:rPr>
          <w:rFonts w:ascii="Arial" w:eastAsia="Times New Roman" w:hAnsi="Arial" w:cs="Arial"/>
          <w:lang w:eastAsia="pl-PL"/>
        </w:rPr>
        <w:t xml:space="preserve"> wymienionych w przedmiotowym rozporządzeniu</w:t>
      </w:r>
      <w:r>
        <w:rPr>
          <w:rFonts w:ascii="Arial" w:eastAsia="Times New Roman" w:hAnsi="Arial" w:cs="Arial"/>
          <w:lang w:eastAsia="pl-PL"/>
        </w:rPr>
        <w:t xml:space="preserve">. </w:t>
      </w:r>
    </w:p>
    <w:p w14:paraId="6A79D873" w14:textId="77777777" w:rsidR="004B142A" w:rsidRDefault="00E7508B" w:rsidP="00E7508B">
      <w:pPr>
        <w:spacing w:after="0" w:line="300" w:lineRule="auto"/>
        <w:jc w:val="both"/>
        <w:rPr>
          <w:rFonts w:ascii="Arial" w:eastAsia="Times New Roman" w:hAnsi="Arial" w:cs="Arial"/>
          <w:lang w:eastAsia="pl-PL"/>
        </w:rPr>
      </w:pPr>
      <w:r>
        <w:rPr>
          <w:rFonts w:ascii="Arial" w:eastAsia="Times New Roman" w:hAnsi="Arial" w:cs="Arial"/>
          <w:lang w:eastAsia="pl-PL"/>
        </w:rPr>
        <w:t>Nowe brzmienie otrzymuje również załącznik nr 1 do rozporządzenia (</w:t>
      </w:r>
      <w:r w:rsidRPr="00E7508B">
        <w:rPr>
          <w:rFonts w:ascii="Arial" w:eastAsia="Times New Roman" w:hAnsi="Arial" w:cs="Arial"/>
          <w:lang w:eastAsia="pl-PL"/>
        </w:rPr>
        <w:t>WYKAZ WARTOŚCI NAJWYŻSZYCH DOPUSZCZALNYCH STĘŻEŃ CHEMICZNYCH I PYŁOWYCH CZYNNIKÓW SZKODLIWYCH DLA ZDROWIA W ŚRODOWISKU PRACY</w:t>
      </w:r>
      <w:r>
        <w:rPr>
          <w:rFonts w:ascii="Arial" w:eastAsia="Times New Roman" w:hAnsi="Arial" w:cs="Arial"/>
          <w:lang w:eastAsia="pl-PL"/>
        </w:rPr>
        <w:t xml:space="preserve">). </w:t>
      </w:r>
    </w:p>
    <w:p w14:paraId="228C8AA2" w14:textId="5595B573" w:rsidR="00E7508B" w:rsidRDefault="00E7508B" w:rsidP="00E7508B">
      <w:pPr>
        <w:spacing w:after="0" w:line="300" w:lineRule="auto"/>
        <w:jc w:val="both"/>
        <w:rPr>
          <w:rFonts w:ascii="Arial" w:eastAsia="Times New Roman" w:hAnsi="Arial" w:cs="Arial"/>
          <w:lang w:eastAsia="pl-PL"/>
        </w:rPr>
      </w:pPr>
      <w:r>
        <w:rPr>
          <w:rFonts w:ascii="Arial" w:eastAsia="Times New Roman" w:hAnsi="Arial" w:cs="Arial"/>
          <w:lang w:eastAsia="pl-PL"/>
        </w:rPr>
        <w:t xml:space="preserve">Wprowadzane są </w:t>
      </w:r>
      <w:r w:rsidR="007D3E44">
        <w:rPr>
          <w:rFonts w:ascii="Arial" w:eastAsia="Times New Roman" w:hAnsi="Arial" w:cs="Arial"/>
          <w:lang w:eastAsia="pl-PL"/>
        </w:rPr>
        <w:t>także</w:t>
      </w:r>
      <w:r>
        <w:rPr>
          <w:rFonts w:ascii="Arial" w:eastAsia="Times New Roman" w:hAnsi="Arial" w:cs="Arial"/>
          <w:lang w:eastAsia="pl-PL"/>
        </w:rPr>
        <w:t xml:space="preserve"> zmiany do załącznika nr 2 do rozporządzenia.</w:t>
      </w:r>
    </w:p>
    <w:p w14:paraId="21F2264B" w14:textId="77777777" w:rsidR="00E7508B" w:rsidRDefault="00E7508B" w:rsidP="00E7508B">
      <w:pPr>
        <w:spacing w:after="0" w:line="300" w:lineRule="auto"/>
        <w:jc w:val="both"/>
        <w:rPr>
          <w:rStyle w:val="markedcontent"/>
          <w:rFonts w:ascii="Arial" w:hAnsi="Arial" w:cs="Arial"/>
        </w:rPr>
      </w:pPr>
    </w:p>
    <w:p w14:paraId="172F037A" w14:textId="34ED38CF" w:rsidR="00E04AF0" w:rsidRPr="00E7508B" w:rsidRDefault="004B142A" w:rsidP="00E7508B">
      <w:pPr>
        <w:spacing w:after="0" w:line="300" w:lineRule="auto"/>
        <w:jc w:val="both"/>
        <w:rPr>
          <w:rFonts w:ascii="Arial" w:eastAsia="Times New Roman" w:hAnsi="Arial" w:cs="Arial"/>
          <w:lang w:eastAsia="pl-PL"/>
        </w:rPr>
      </w:pPr>
      <w:r w:rsidRPr="004B142A">
        <w:rPr>
          <w:rStyle w:val="markedcontent"/>
          <w:rFonts w:ascii="Arial" w:hAnsi="Arial" w:cs="Arial"/>
        </w:rPr>
        <w:t>Rozporządzenie w</w:t>
      </w:r>
      <w:r>
        <w:rPr>
          <w:rStyle w:val="markedcontent"/>
          <w:rFonts w:ascii="Arial" w:hAnsi="Arial" w:cs="Arial"/>
        </w:rPr>
        <w:t>eszło</w:t>
      </w:r>
      <w:r w:rsidRPr="004B142A">
        <w:rPr>
          <w:rStyle w:val="markedcontent"/>
          <w:rFonts w:ascii="Arial" w:hAnsi="Arial" w:cs="Arial"/>
        </w:rPr>
        <w:t xml:space="preserve"> w życie z dniem następującym po dniu ogłoszenia</w:t>
      </w:r>
      <w:r w:rsidR="00E04AF0" w:rsidRPr="00E7508B">
        <w:rPr>
          <w:rStyle w:val="markedcontent"/>
          <w:rFonts w:ascii="Arial" w:hAnsi="Arial" w:cs="Arial"/>
        </w:rPr>
        <w:t>.</w:t>
      </w:r>
    </w:p>
    <w:p w14:paraId="01A526A8" w14:textId="77777777" w:rsidR="00E04AF0" w:rsidRDefault="00E04AF0" w:rsidP="00E04AF0">
      <w:pPr>
        <w:spacing w:after="0" w:line="300" w:lineRule="auto"/>
        <w:jc w:val="both"/>
        <w:rPr>
          <w:rFonts w:ascii="Arial" w:hAnsi="Arial" w:cs="Arial"/>
        </w:rPr>
      </w:pPr>
    </w:p>
    <w:p w14:paraId="37C8AB83" w14:textId="0BD56DAD" w:rsidR="00E04AF0" w:rsidRPr="007F0199" w:rsidRDefault="007F0199" w:rsidP="00E04AF0">
      <w:pPr>
        <w:pStyle w:val="Akapitzlist"/>
        <w:numPr>
          <w:ilvl w:val="0"/>
          <w:numId w:val="2"/>
        </w:numPr>
        <w:spacing w:after="0" w:line="300" w:lineRule="auto"/>
        <w:ind w:left="426" w:hanging="426"/>
        <w:jc w:val="both"/>
        <w:rPr>
          <w:rFonts w:ascii="Arial" w:eastAsia="Times New Roman" w:hAnsi="Arial" w:cs="Arial"/>
          <w:b/>
          <w:bCs/>
          <w:u w:val="single"/>
          <w:lang w:eastAsia="pl-PL"/>
        </w:rPr>
      </w:pPr>
      <w:r w:rsidRPr="007F0199">
        <w:rPr>
          <w:rFonts w:ascii="Arial" w:hAnsi="Arial" w:cs="Arial"/>
          <w:b/>
          <w:bCs/>
          <w:u w:val="single"/>
        </w:rPr>
        <w:t>Ustawa z dnia 13 lutego 2026 r. o działalności kosmicznej</w:t>
      </w:r>
    </w:p>
    <w:p w14:paraId="616BC827" w14:textId="77777777" w:rsidR="007F0199" w:rsidRDefault="007F0199" w:rsidP="007F0199">
      <w:pPr>
        <w:spacing w:after="0" w:line="300" w:lineRule="auto"/>
        <w:jc w:val="both"/>
        <w:rPr>
          <w:rFonts w:ascii="Arial" w:eastAsia="Times New Roman" w:hAnsi="Arial" w:cs="Arial"/>
          <w:lang w:eastAsia="pl-PL"/>
        </w:rPr>
      </w:pPr>
    </w:p>
    <w:p w14:paraId="28688813" w14:textId="0631A476" w:rsidR="00E04AF0" w:rsidRPr="00287656" w:rsidRDefault="00E04AF0" w:rsidP="007F0199">
      <w:pPr>
        <w:spacing w:after="0" w:line="300" w:lineRule="auto"/>
        <w:jc w:val="both"/>
        <w:rPr>
          <w:rFonts w:ascii="Arial" w:eastAsia="Times New Roman" w:hAnsi="Arial" w:cs="Arial"/>
          <w:lang w:eastAsia="pl-PL"/>
        </w:rPr>
      </w:pPr>
      <w:r w:rsidRPr="00287656">
        <w:rPr>
          <w:rFonts w:ascii="Arial" w:eastAsia="Times New Roman" w:hAnsi="Arial" w:cs="Arial"/>
          <w:lang w:eastAsia="pl-PL"/>
        </w:rPr>
        <w:t>Powyższy akt prawny o</w:t>
      </w:r>
      <w:r>
        <w:rPr>
          <w:rFonts w:ascii="Arial" w:eastAsia="Times New Roman" w:hAnsi="Arial" w:cs="Arial"/>
          <w:lang w:eastAsia="pl-PL"/>
        </w:rPr>
        <w:t>głoszony</w:t>
      </w:r>
      <w:r w:rsidRPr="00287656">
        <w:rPr>
          <w:rFonts w:ascii="Arial" w:eastAsia="Times New Roman" w:hAnsi="Arial" w:cs="Arial"/>
          <w:lang w:eastAsia="pl-PL"/>
        </w:rPr>
        <w:t xml:space="preserve"> został </w:t>
      </w:r>
      <w:r w:rsidR="00A00065">
        <w:rPr>
          <w:rFonts w:ascii="Arial" w:eastAsia="Times New Roman" w:hAnsi="Arial" w:cs="Arial"/>
          <w:lang w:eastAsia="pl-PL"/>
        </w:rPr>
        <w:t>3 kwietnia</w:t>
      </w:r>
      <w:r w:rsidRPr="00287656">
        <w:rPr>
          <w:rFonts w:ascii="Arial" w:eastAsia="Times New Roman" w:hAnsi="Arial" w:cs="Arial"/>
          <w:lang w:eastAsia="pl-PL"/>
        </w:rPr>
        <w:t xml:space="preserve"> 20</w:t>
      </w:r>
      <w:r w:rsidR="00A00065">
        <w:rPr>
          <w:rFonts w:ascii="Arial" w:eastAsia="Times New Roman" w:hAnsi="Arial" w:cs="Arial"/>
          <w:lang w:eastAsia="pl-PL"/>
        </w:rPr>
        <w:t>26</w:t>
      </w:r>
      <w:r w:rsidRPr="00287656">
        <w:rPr>
          <w:rFonts w:ascii="Arial" w:eastAsia="Times New Roman" w:hAnsi="Arial" w:cs="Arial"/>
          <w:lang w:eastAsia="pl-PL"/>
        </w:rPr>
        <w:t xml:space="preserve"> roku w Dzienniku Ustaw (Dz.U. z 202</w:t>
      </w:r>
      <w:r w:rsidR="00A00065">
        <w:rPr>
          <w:rFonts w:ascii="Arial" w:eastAsia="Times New Roman" w:hAnsi="Arial" w:cs="Arial"/>
          <w:lang w:eastAsia="pl-PL"/>
        </w:rPr>
        <w:t>6</w:t>
      </w:r>
      <w:r w:rsidRPr="00287656">
        <w:rPr>
          <w:rFonts w:ascii="Arial" w:eastAsia="Times New Roman" w:hAnsi="Arial" w:cs="Arial"/>
          <w:lang w:eastAsia="pl-PL"/>
        </w:rPr>
        <w:t xml:space="preserve">, poz. </w:t>
      </w:r>
      <w:r w:rsidR="00A00065">
        <w:rPr>
          <w:rFonts w:ascii="Arial" w:eastAsia="Times New Roman" w:hAnsi="Arial" w:cs="Arial"/>
          <w:lang w:eastAsia="pl-PL"/>
        </w:rPr>
        <w:t>465</w:t>
      </w:r>
      <w:r w:rsidRPr="00287656">
        <w:rPr>
          <w:rFonts w:ascii="Arial" w:eastAsia="Times New Roman" w:hAnsi="Arial" w:cs="Arial"/>
          <w:lang w:eastAsia="pl-PL"/>
        </w:rPr>
        <w:t>).</w:t>
      </w:r>
    </w:p>
    <w:p w14:paraId="01BF370E" w14:textId="77777777" w:rsidR="007F0199" w:rsidRDefault="007F0199" w:rsidP="007F0199">
      <w:pPr>
        <w:spacing w:after="0" w:line="300" w:lineRule="auto"/>
        <w:jc w:val="both"/>
        <w:rPr>
          <w:rFonts w:ascii="Arial" w:eastAsia="Times New Roman" w:hAnsi="Arial" w:cs="Arial"/>
          <w:lang w:eastAsia="pl-PL"/>
        </w:rPr>
      </w:pPr>
    </w:p>
    <w:p w14:paraId="3D7F8D6E" w14:textId="77777777" w:rsidR="00A00065" w:rsidRDefault="00A00065" w:rsidP="007F0199">
      <w:pPr>
        <w:spacing w:after="0" w:line="300" w:lineRule="auto"/>
        <w:jc w:val="both"/>
        <w:rPr>
          <w:rFonts w:ascii="Arial" w:eastAsia="Times New Roman" w:hAnsi="Arial" w:cs="Arial"/>
          <w:lang w:eastAsia="pl-PL"/>
        </w:rPr>
      </w:pPr>
      <w:r w:rsidRPr="00A00065">
        <w:rPr>
          <w:rFonts w:ascii="Arial" w:eastAsia="Times New Roman" w:hAnsi="Arial" w:cs="Arial"/>
          <w:lang w:eastAsia="pl-PL"/>
        </w:rPr>
        <w:t xml:space="preserve">Głównym celem ustawy jest uregulowanie: </w:t>
      </w:r>
    </w:p>
    <w:p w14:paraId="763D2551" w14:textId="1C91B660" w:rsidR="00A00065" w:rsidRPr="00A00065" w:rsidRDefault="00A00065" w:rsidP="00A00065">
      <w:pPr>
        <w:pStyle w:val="Akapitzlist"/>
        <w:numPr>
          <w:ilvl w:val="0"/>
          <w:numId w:val="8"/>
        </w:numPr>
        <w:spacing w:after="0" w:line="300" w:lineRule="auto"/>
        <w:ind w:left="567" w:hanging="283"/>
        <w:jc w:val="both"/>
        <w:rPr>
          <w:rFonts w:ascii="Arial" w:eastAsia="Times New Roman" w:hAnsi="Arial" w:cs="Arial"/>
          <w:lang w:eastAsia="pl-PL"/>
        </w:rPr>
      </w:pPr>
      <w:r w:rsidRPr="00A00065">
        <w:rPr>
          <w:rFonts w:ascii="Arial" w:eastAsia="Times New Roman" w:hAnsi="Arial" w:cs="Arial"/>
          <w:lang w:eastAsia="pl-PL"/>
        </w:rPr>
        <w:t xml:space="preserve">zasad wykonywania działalności kosmicznej dotyczące: </w:t>
      </w:r>
    </w:p>
    <w:p w14:paraId="3FAFA592" w14:textId="208A48B0" w:rsidR="00A00065" w:rsidRPr="00A00065" w:rsidRDefault="00A00065" w:rsidP="00A00065">
      <w:pPr>
        <w:pStyle w:val="Akapitzlist"/>
        <w:numPr>
          <w:ilvl w:val="1"/>
          <w:numId w:val="8"/>
        </w:numPr>
        <w:spacing w:after="0" w:line="300" w:lineRule="auto"/>
        <w:ind w:left="851" w:hanging="284"/>
        <w:jc w:val="both"/>
        <w:rPr>
          <w:rFonts w:ascii="Arial" w:eastAsia="Times New Roman" w:hAnsi="Arial" w:cs="Arial"/>
          <w:lang w:eastAsia="pl-PL"/>
        </w:rPr>
      </w:pPr>
      <w:r w:rsidRPr="00A00065">
        <w:rPr>
          <w:rFonts w:ascii="Arial" w:eastAsia="Times New Roman" w:hAnsi="Arial" w:cs="Arial"/>
          <w:lang w:eastAsia="pl-PL"/>
        </w:rPr>
        <w:t xml:space="preserve">udzielania zezwolenia na wykonywanie działalności kosmicznej, </w:t>
      </w:r>
    </w:p>
    <w:p w14:paraId="642DAA6C" w14:textId="38A4CBD2" w:rsidR="00A00065" w:rsidRPr="00A00065" w:rsidRDefault="00A00065" w:rsidP="00A00065">
      <w:pPr>
        <w:pStyle w:val="Akapitzlist"/>
        <w:numPr>
          <w:ilvl w:val="1"/>
          <w:numId w:val="8"/>
        </w:numPr>
        <w:spacing w:after="0" w:line="300" w:lineRule="auto"/>
        <w:ind w:left="851" w:hanging="284"/>
        <w:jc w:val="both"/>
        <w:rPr>
          <w:rFonts w:ascii="Arial" w:eastAsia="Times New Roman" w:hAnsi="Arial" w:cs="Arial"/>
          <w:lang w:eastAsia="pl-PL"/>
        </w:rPr>
      </w:pPr>
      <w:r w:rsidRPr="00A00065">
        <w:rPr>
          <w:rFonts w:ascii="Arial" w:eastAsia="Times New Roman" w:hAnsi="Arial" w:cs="Arial"/>
          <w:lang w:eastAsia="pl-PL"/>
        </w:rPr>
        <w:t xml:space="preserve">kontroli wykonywania działalności kosmicznej, </w:t>
      </w:r>
    </w:p>
    <w:p w14:paraId="79AFF9AA" w14:textId="71AA81A5" w:rsidR="00A00065" w:rsidRPr="00A00065" w:rsidRDefault="00A00065" w:rsidP="00A00065">
      <w:pPr>
        <w:pStyle w:val="Akapitzlist"/>
        <w:numPr>
          <w:ilvl w:val="1"/>
          <w:numId w:val="8"/>
        </w:numPr>
        <w:spacing w:after="0" w:line="300" w:lineRule="auto"/>
        <w:ind w:left="851" w:hanging="284"/>
        <w:jc w:val="both"/>
        <w:rPr>
          <w:rFonts w:ascii="Arial" w:eastAsia="Times New Roman" w:hAnsi="Arial" w:cs="Arial"/>
          <w:lang w:eastAsia="pl-PL"/>
        </w:rPr>
      </w:pPr>
      <w:r w:rsidRPr="00A00065">
        <w:rPr>
          <w:rFonts w:ascii="Arial" w:eastAsia="Times New Roman" w:hAnsi="Arial" w:cs="Arial"/>
          <w:lang w:eastAsia="pl-PL"/>
        </w:rPr>
        <w:t xml:space="preserve">odpowiedzialności za szkody wyrządzone przez obiekt kosmiczny, </w:t>
      </w:r>
    </w:p>
    <w:p w14:paraId="67F538AB" w14:textId="125A638A" w:rsidR="00A00065" w:rsidRPr="00A00065" w:rsidRDefault="00A00065" w:rsidP="00A00065">
      <w:pPr>
        <w:pStyle w:val="Akapitzlist"/>
        <w:numPr>
          <w:ilvl w:val="1"/>
          <w:numId w:val="8"/>
        </w:numPr>
        <w:spacing w:after="0" w:line="300" w:lineRule="auto"/>
        <w:ind w:left="851" w:hanging="284"/>
        <w:jc w:val="both"/>
        <w:rPr>
          <w:rFonts w:ascii="Arial" w:eastAsia="Times New Roman" w:hAnsi="Arial" w:cs="Arial"/>
          <w:lang w:eastAsia="pl-PL"/>
        </w:rPr>
      </w:pPr>
      <w:r w:rsidRPr="00A00065">
        <w:rPr>
          <w:rFonts w:ascii="Arial" w:eastAsia="Times New Roman" w:hAnsi="Arial" w:cs="Arial"/>
          <w:lang w:eastAsia="pl-PL"/>
        </w:rPr>
        <w:t xml:space="preserve">odpowiedzialności za naruszenie przepisów ustawy;  </w:t>
      </w:r>
    </w:p>
    <w:p w14:paraId="42FCD17D" w14:textId="3A0A9EB4" w:rsidR="00A00065" w:rsidRPr="00A00065" w:rsidRDefault="00A00065" w:rsidP="00A00065">
      <w:pPr>
        <w:pStyle w:val="Akapitzlist"/>
        <w:numPr>
          <w:ilvl w:val="0"/>
          <w:numId w:val="8"/>
        </w:numPr>
        <w:spacing w:after="0" w:line="300" w:lineRule="auto"/>
        <w:ind w:left="567" w:hanging="283"/>
        <w:jc w:val="both"/>
        <w:rPr>
          <w:rFonts w:ascii="Arial" w:eastAsia="Times New Roman" w:hAnsi="Arial" w:cs="Arial"/>
          <w:lang w:eastAsia="pl-PL"/>
        </w:rPr>
      </w:pPr>
      <w:r w:rsidRPr="00A00065">
        <w:rPr>
          <w:rFonts w:ascii="Arial" w:eastAsia="Times New Roman" w:hAnsi="Arial" w:cs="Arial"/>
          <w:lang w:eastAsia="pl-PL"/>
        </w:rPr>
        <w:t xml:space="preserve">zasad prowadzenia Krajowego Rejestru Obiektów Kosmicznych; </w:t>
      </w:r>
    </w:p>
    <w:p w14:paraId="42A81C58" w14:textId="7A694251" w:rsidR="00A00065" w:rsidRPr="00A00065" w:rsidRDefault="00A00065" w:rsidP="00A00065">
      <w:pPr>
        <w:pStyle w:val="Akapitzlist"/>
        <w:numPr>
          <w:ilvl w:val="0"/>
          <w:numId w:val="8"/>
        </w:numPr>
        <w:spacing w:after="0" w:line="300" w:lineRule="auto"/>
        <w:ind w:left="567" w:hanging="283"/>
        <w:jc w:val="both"/>
        <w:rPr>
          <w:rFonts w:ascii="Arial" w:eastAsia="Times New Roman" w:hAnsi="Arial" w:cs="Arial"/>
          <w:lang w:eastAsia="pl-PL"/>
        </w:rPr>
      </w:pPr>
      <w:r w:rsidRPr="00A00065">
        <w:rPr>
          <w:rFonts w:ascii="Arial" w:eastAsia="Times New Roman" w:hAnsi="Arial" w:cs="Arial"/>
          <w:lang w:eastAsia="pl-PL"/>
        </w:rPr>
        <w:t xml:space="preserve">postępowania w przypadku wystąpienia: </w:t>
      </w:r>
    </w:p>
    <w:p w14:paraId="2681A4CE" w14:textId="47F9F821" w:rsidR="00A00065" w:rsidRPr="00A00065" w:rsidRDefault="00A00065" w:rsidP="00A00065">
      <w:pPr>
        <w:pStyle w:val="Akapitzlist"/>
        <w:numPr>
          <w:ilvl w:val="1"/>
          <w:numId w:val="8"/>
        </w:numPr>
        <w:spacing w:after="0" w:line="300" w:lineRule="auto"/>
        <w:ind w:left="851" w:hanging="283"/>
        <w:jc w:val="both"/>
        <w:rPr>
          <w:rFonts w:ascii="Arial" w:eastAsia="Times New Roman" w:hAnsi="Arial" w:cs="Arial"/>
          <w:lang w:eastAsia="pl-PL"/>
        </w:rPr>
      </w:pPr>
      <w:r w:rsidRPr="00A00065">
        <w:rPr>
          <w:rFonts w:ascii="Arial" w:eastAsia="Times New Roman" w:hAnsi="Arial" w:cs="Arial"/>
          <w:lang w:eastAsia="pl-PL"/>
        </w:rPr>
        <w:t xml:space="preserve">nieprzewidzianego zdarzenia związanego z wykonywaniem działalności kosmicznej, </w:t>
      </w:r>
    </w:p>
    <w:p w14:paraId="43A9AC5E" w14:textId="5787B95F" w:rsidR="00A00065" w:rsidRPr="00A00065" w:rsidRDefault="00A00065" w:rsidP="00A00065">
      <w:pPr>
        <w:pStyle w:val="Akapitzlist"/>
        <w:numPr>
          <w:ilvl w:val="1"/>
          <w:numId w:val="8"/>
        </w:numPr>
        <w:spacing w:after="0" w:line="300" w:lineRule="auto"/>
        <w:ind w:left="851" w:hanging="283"/>
        <w:jc w:val="both"/>
        <w:rPr>
          <w:rFonts w:ascii="Arial" w:eastAsia="Times New Roman" w:hAnsi="Arial" w:cs="Arial"/>
          <w:lang w:eastAsia="pl-PL"/>
        </w:rPr>
      </w:pPr>
      <w:r w:rsidRPr="00A00065">
        <w:rPr>
          <w:rFonts w:ascii="Arial" w:eastAsia="Times New Roman" w:hAnsi="Arial" w:cs="Arial"/>
          <w:lang w:eastAsia="pl-PL"/>
        </w:rPr>
        <w:t xml:space="preserve">znalezienia rzeczy, co do której istnieje podejrzenie, że jest śmieciem kosmicznym. </w:t>
      </w:r>
    </w:p>
    <w:p w14:paraId="18B52883" w14:textId="77777777" w:rsidR="00A00065" w:rsidRDefault="00A00065" w:rsidP="007F0199">
      <w:pPr>
        <w:spacing w:after="0" w:line="300" w:lineRule="auto"/>
        <w:jc w:val="both"/>
        <w:rPr>
          <w:rFonts w:ascii="Arial" w:eastAsia="Times New Roman" w:hAnsi="Arial" w:cs="Arial"/>
          <w:lang w:eastAsia="pl-PL"/>
        </w:rPr>
      </w:pPr>
      <w:r w:rsidRPr="00A00065">
        <w:rPr>
          <w:rFonts w:ascii="Arial" w:eastAsia="Times New Roman" w:hAnsi="Arial" w:cs="Arial"/>
          <w:lang w:eastAsia="pl-PL"/>
        </w:rPr>
        <w:t xml:space="preserve">Ustawa wprowadza ustawowe definicje: </w:t>
      </w:r>
    </w:p>
    <w:p w14:paraId="41896BD2" w14:textId="01E8BB00" w:rsidR="00A00065" w:rsidRPr="00FE0D93" w:rsidRDefault="00A00065" w:rsidP="00FE0D93">
      <w:pPr>
        <w:pStyle w:val="Akapitzlist"/>
        <w:numPr>
          <w:ilvl w:val="0"/>
          <w:numId w:val="12"/>
        </w:numPr>
        <w:spacing w:after="0" w:line="300" w:lineRule="auto"/>
        <w:ind w:left="709" w:hanging="425"/>
        <w:jc w:val="both"/>
        <w:rPr>
          <w:rFonts w:ascii="Arial" w:eastAsia="Times New Roman" w:hAnsi="Arial" w:cs="Arial"/>
          <w:lang w:eastAsia="pl-PL"/>
        </w:rPr>
      </w:pPr>
      <w:proofErr w:type="spellStart"/>
      <w:r w:rsidRPr="00FE0D93">
        <w:rPr>
          <w:rFonts w:ascii="Arial" w:eastAsia="Times New Roman" w:hAnsi="Arial" w:cs="Arial"/>
          <w:lang w:eastAsia="pl-PL"/>
        </w:rPr>
        <w:t>deorbitacji</w:t>
      </w:r>
      <w:proofErr w:type="spellEnd"/>
      <w:r w:rsidRPr="00FE0D93">
        <w:rPr>
          <w:rFonts w:ascii="Arial" w:eastAsia="Times New Roman" w:hAnsi="Arial" w:cs="Arial"/>
          <w:lang w:eastAsia="pl-PL"/>
        </w:rPr>
        <w:t xml:space="preserve"> obiektu kosmicznego, </w:t>
      </w:r>
    </w:p>
    <w:p w14:paraId="49952F2E" w14:textId="126A8CFA" w:rsidR="00A00065" w:rsidRPr="00FE0D93" w:rsidRDefault="00A00065" w:rsidP="00FE0D93">
      <w:pPr>
        <w:pStyle w:val="Akapitzlist"/>
        <w:numPr>
          <w:ilvl w:val="0"/>
          <w:numId w:val="12"/>
        </w:numPr>
        <w:spacing w:after="0" w:line="300" w:lineRule="auto"/>
        <w:ind w:left="709" w:hanging="425"/>
        <w:jc w:val="both"/>
        <w:rPr>
          <w:rFonts w:ascii="Arial" w:eastAsia="Times New Roman" w:hAnsi="Arial" w:cs="Arial"/>
          <w:lang w:eastAsia="pl-PL"/>
        </w:rPr>
      </w:pPr>
      <w:r w:rsidRPr="00FE0D93">
        <w:rPr>
          <w:rFonts w:ascii="Arial" w:eastAsia="Times New Roman" w:hAnsi="Arial" w:cs="Arial"/>
          <w:lang w:eastAsia="pl-PL"/>
        </w:rPr>
        <w:t xml:space="preserve">eksploatacji obiektu kosmicznego, </w:t>
      </w:r>
    </w:p>
    <w:p w14:paraId="5C4B0964" w14:textId="447D9991" w:rsidR="00A00065" w:rsidRPr="00FE0D93" w:rsidRDefault="00A00065" w:rsidP="00FE0D93">
      <w:pPr>
        <w:pStyle w:val="Akapitzlist"/>
        <w:numPr>
          <w:ilvl w:val="0"/>
          <w:numId w:val="12"/>
        </w:numPr>
        <w:spacing w:after="0" w:line="300" w:lineRule="auto"/>
        <w:ind w:left="709" w:hanging="425"/>
        <w:jc w:val="both"/>
        <w:rPr>
          <w:rFonts w:ascii="Arial" w:eastAsia="Times New Roman" w:hAnsi="Arial" w:cs="Arial"/>
          <w:lang w:eastAsia="pl-PL"/>
        </w:rPr>
      </w:pPr>
      <w:r w:rsidRPr="00FE0D93">
        <w:rPr>
          <w:rFonts w:ascii="Arial" w:eastAsia="Times New Roman" w:hAnsi="Arial" w:cs="Arial"/>
          <w:lang w:eastAsia="pl-PL"/>
        </w:rPr>
        <w:t xml:space="preserve">kontrolowania obiektu kosmicznego, </w:t>
      </w:r>
    </w:p>
    <w:p w14:paraId="2B37FEA3" w14:textId="79AC87A9" w:rsidR="00A00065" w:rsidRPr="00FE0D93" w:rsidRDefault="00A00065" w:rsidP="00FE0D93">
      <w:pPr>
        <w:pStyle w:val="Akapitzlist"/>
        <w:numPr>
          <w:ilvl w:val="0"/>
          <w:numId w:val="12"/>
        </w:numPr>
        <w:spacing w:after="0" w:line="300" w:lineRule="auto"/>
        <w:ind w:left="709" w:hanging="425"/>
        <w:jc w:val="both"/>
        <w:rPr>
          <w:rFonts w:ascii="Arial" w:eastAsia="Times New Roman" w:hAnsi="Arial" w:cs="Arial"/>
          <w:lang w:eastAsia="pl-PL"/>
        </w:rPr>
      </w:pPr>
      <w:r w:rsidRPr="00FE0D93">
        <w:rPr>
          <w:rFonts w:ascii="Arial" w:eastAsia="Times New Roman" w:hAnsi="Arial" w:cs="Arial"/>
          <w:lang w:eastAsia="pl-PL"/>
        </w:rPr>
        <w:t xml:space="preserve">obiektu kosmicznego, </w:t>
      </w:r>
    </w:p>
    <w:p w14:paraId="45ABFA43" w14:textId="427C9CB4" w:rsidR="00A00065" w:rsidRPr="00FE0D93" w:rsidRDefault="00A00065" w:rsidP="00FE0D93">
      <w:pPr>
        <w:pStyle w:val="Akapitzlist"/>
        <w:numPr>
          <w:ilvl w:val="0"/>
          <w:numId w:val="12"/>
        </w:numPr>
        <w:spacing w:after="0" w:line="300" w:lineRule="auto"/>
        <w:ind w:left="709" w:hanging="425"/>
        <w:jc w:val="both"/>
        <w:rPr>
          <w:rFonts w:ascii="Arial" w:eastAsia="Times New Roman" w:hAnsi="Arial" w:cs="Arial"/>
          <w:lang w:eastAsia="pl-PL"/>
        </w:rPr>
      </w:pPr>
      <w:r w:rsidRPr="00FE0D93">
        <w:rPr>
          <w:rFonts w:ascii="Arial" w:eastAsia="Times New Roman" w:hAnsi="Arial" w:cs="Arial"/>
          <w:lang w:eastAsia="pl-PL"/>
        </w:rPr>
        <w:t xml:space="preserve">operatora, </w:t>
      </w:r>
    </w:p>
    <w:p w14:paraId="07FE6999" w14:textId="74330D91" w:rsidR="00A00065" w:rsidRPr="00FE0D93" w:rsidRDefault="00A00065" w:rsidP="00FE0D93">
      <w:pPr>
        <w:pStyle w:val="Akapitzlist"/>
        <w:numPr>
          <w:ilvl w:val="0"/>
          <w:numId w:val="12"/>
        </w:numPr>
        <w:spacing w:after="0" w:line="300" w:lineRule="auto"/>
        <w:ind w:left="709" w:hanging="425"/>
        <w:jc w:val="both"/>
        <w:rPr>
          <w:rFonts w:ascii="Arial" w:eastAsia="Times New Roman" w:hAnsi="Arial" w:cs="Arial"/>
          <w:lang w:eastAsia="pl-PL"/>
        </w:rPr>
      </w:pPr>
      <w:r w:rsidRPr="00FE0D93">
        <w:rPr>
          <w:rFonts w:ascii="Arial" w:eastAsia="Times New Roman" w:hAnsi="Arial" w:cs="Arial"/>
          <w:lang w:eastAsia="pl-PL"/>
        </w:rPr>
        <w:t xml:space="preserve">orbity okołoziemskiej, </w:t>
      </w:r>
    </w:p>
    <w:p w14:paraId="2FED18FD" w14:textId="0CB3D727" w:rsidR="00A00065" w:rsidRPr="00FE0D93" w:rsidRDefault="00A00065" w:rsidP="00FE0D93">
      <w:pPr>
        <w:pStyle w:val="Akapitzlist"/>
        <w:numPr>
          <w:ilvl w:val="0"/>
          <w:numId w:val="12"/>
        </w:numPr>
        <w:spacing w:after="0" w:line="300" w:lineRule="auto"/>
        <w:ind w:left="709" w:hanging="425"/>
        <w:jc w:val="both"/>
        <w:rPr>
          <w:rFonts w:ascii="Arial" w:eastAsia="Times New Roman" w:hAnsi="Arial" w:cs="Arial"/>
          <w:lang w:eastAsia="pl-PL"/>
        </w:rPr>
      </w:pPr>
      <w:r w:rsidRPr="00FE0D93">
        <w:rPr>
          <w:rFonts w:ascii="Arial" w:eastAsia="Times New Roman" w:hAnsi="Arial" w:cs="Arial"/>
          <w:lang w:eastAsia="pl-PL"/>
        </w:rPr>
        <w:t xml:space="preserve">państwa wynoszącego, </w:t>
      </w:r>
    </w:p>
    <w:p w14:paraId="16642958" w14:textId="0BC68428" w:rsidR="00A00065" w:rsidRPr="00FE0D93" w:rsidRDefault="00A00065" w:rsidP="00FE0D93">
      <w:pPr>
        <w:pStyle w:val="Akapitzlist"/>
        <w:numPr>
          <w:ilvl w:val="0"/>
          <w:numId w:val="12"/>
        </w:numPr>
        <w:spacing w:after="0" w:line="300" w:lineRule="auto"/>
        <w:ind w:left="709" w:hanging="425"/>
        <w:jc w:val="both"/>
        <w:rPr>
          <w:rFonts w:ascii="Arial" w:eastAsia="Times New Roman" w:hAnsi="Arial" w:cs="Arial"/>
          <w:lang w:eastAsia="pl-PL"/>
        </w:rPr>
      </w:pPr>
      <w:r w:rsidRPr="00FE0D93">
        <w:rPr>
          <w:rFonts w:ascii="Arial" w:eastAsia="Times New Roman" w:hAnsi="Arial" w:cs="Arial"/>
          <w:lang w:eastAsia="pl-PL"/>
        </w:rPr>
        <w:t xml:space="preserve">pojazdu suborbitalnego, </w:t>
      </w:r>
    </w:p>
    <w:p w14:paraId="69150F9A" w14:textId="54ECD4E5" w:rsidR="00A00065" w:rsidRPr="00FE0D93" w:rsidRDefault="00A00065" w:rsidP="00FE0D93">
      <w:pPr>
        <w:pStyle w:val="Akapitzlist"/>
        <w:numPr>
          <w:ilvl w:val="0"/>
          <w:numId w:val="12"/>
        </w:numPr>
        <w:spacing w:after="0" w:line="300" w:lineRule="auto"/>
        <w:ind w:left="709" w:hanging="425"/>
        <w:jc w:val="both"/>
        <w:rPr>
          <w:rFonts w:ascii="Arial" w:eastAsia="Times New Roman" w:hAnsi="Arial" w:cs="Arial"/>
          <w:lang w:eastAsia="pl-PL"/>
        </w:rPr>
      </w:pPr>
      <w:r w:rsidRPr="00FE0D93">
        <w:rPr>
          <w:rFonts w:ascii="Arial" w:eastAsia="Times New Roman" w:hAnsi="Arial" w:cs="Arial"/>
          <w:lang w:eastAsia="pl-PL"/>
        </w:rPr>
        <w:t xml:space="preserve">pojazdu wynoszącego, </w:t>
      </w:r>
    </w:p>
    <w:p w14:paraId="0D68F505" w14:textId="2D2C3B0B" w:rsidR="00A00065" w:rsidRPr="00FE0D93" w:rsidRDefault="00A00065" w:rsidP="00FE0D93">
      <w:pPr>
        <w:pStyle w:val="Akapitzlist"/>
        <w:numPr>
          <w:ilvl w:val="0"/>
          <w:numId w:val="12"/>
        </w:numPr>
        <w:spacing w:after="0" w:line="300" w:lineRule="auto"/>
        <w:ind w:left="709" w:hanging="425"/>
        <w:jc w:val="both"/>
        <w:rPr>
          <w:rFonts w:ascii="Arial" w:eastAsia="Times New Roman" w:hAnsi="Arial" w:cs="Arial"/>
          <w:lang w:eastAsia="pl-PL"/>
        </w:rPr>
      </w:pPr>
      <w:r w:rsidRPr="00FE0D93">
        <w:rPr>
          <w:rFonts w:ascii="Arial" w:eastAsia="Times New Roman" w:hAnsi="Arial" w:cs="Arial"/>
          <w:lang w:eastAsia="pl-PL"/>
        </w:rPr>
        <w:t xml:space="preserve">przestrzeni kosmicznej, </w:t>
      </w:r>
    </w:p>
    <w:p w14:paraId="3D5632EB" w14:textId="5379E527" w:rsidR="00A00065" w:rsidRPr="00FE0D93" w:rsidRDefault="00A00065" w:rsidP="00FE0D93">
      <w:pPr>
        <w:pStyle w:val="Akapitzlist"/>
        <w:numPr>
          <w:ilvl w:val="0"/>
          <w:numId w:val="12"/>
        </w:numPr>
        <w:spacing w:after="0" w:line="300" w:lineRule="auto"/>
        <w:ind w:left="709" w:hanging="425"/>
        <w:jc w:val="both"/>
        <w:rPr>
          <w:rFonts w:ascii="Arial" w:eastAsia="Times New Roman" w:hAnsi="Arial" w:cs="Arial"/>
          <w:lang w:eastAsia="pl-PL"/>
        </w:rPr>
      </w:pPr>
      <w:r w:rsidRPr="00FE0D93">
        <w:rPr>
          <w:rFonts w:ascii="Arial" w:eastAsia="Times New Roman" w:hAnsi="Arial" w:cs="Arial"/>
          <w:lang w:eastAsia="pl-PL"/>
        </w:rPr>
        <w:t xml:space="preserve">śmieci kosmicznych, </w:t>
      </w:r>
    </w:p>
    <w:p w14:paraId="37971911" w14:textId="434BB581" w:rsidR="00A00065" w:rsidRPr="00FE0D93" w:rsidRDefault="00A00065" w:rsidP="00FE0D93">
      <w:pPr>
        <w:pStyle w:val="Akapitzlist"/>
        <w:numPr>
          <w:ilvl w:val="0"/>
          <w:numId w:val="12"/>
        </w:numPr>
        <w:spacing w:after="0" w:line="300" w:lineRule="auto"/>
        <w:ind w:left="709" w:hanging="425"/>
        <w:jc w:val="both"/>
        <w:rPr>
          <w:rFonts w:ascii="Arial" w:eastAsia="Times New Roman" w:hAnsi="Arial" w:cs="Arial"/>
          <w:lang w:eastAsia="pl-PL"/>
        </w:rPr>
      </w:pPr>
      <w:r w:rsidRPr="00FE0D93">
        <w:rPr>
          <w:rFonts w:ascii="Arial" w:eastAsia="Times New Roman" w:hAnsi="Arial" w:cs="Arial"/>
          <w:lang w:eastAsia="pl-PL"/>
        </w:rPr>
        <w:t xml:space="preserve">usuwania obiektu kosmicznego, </w:t>
      </w:r>
    </w:p>
    <w:p w14:paraId="10C4B271" w14:textId="7C9FDB99" w:rsidR="00A00065" w:rsidRPr="00FE0D93" w:rsidRDefault="00A00065" w:rsidP="00FE0D93">
      <w:pPr>
        <w:pStyle w:val="Akapitzlist"/>
        <w:numPr>
          <w:ilvl w:val="0"/>
          <w:numId w:val="12"/>
        </w:numPr>
        <w:spacing w:after="0" w:line="300" w:lineRule="auto"/>
        <w:ind w:left="709" w:hanging="425"/>
        <w:jc w:val="both"/>
        <w:rPr>
          <w:rFonts w:ascii="Arial" w:eastAsia="Times New Roman" w:hAnsi="Arial" w:cs="Arial"/>
          <w:lang w:eastAsia="pl-PL"/>
        </w:rPr>
      </w:pPr>
      <w:r w:rsidRPr="00FE0D93">
        <w:rPr>
          <w:rFonts w:ascii="Arial" w:eastAsia="Times New Roman" w:hAnsi="Arial" w:cs="Arial"/>
          <w:lang w:eastAsia="pl-PL"/>
        </w:rPr>
        <w:t xml:space="preserve">wyniesienia obiektu kosmicznego w przestrzeń kosmiczną. </w:t>
      </w:r>
    </w:p>
    <w:p w14:paraId="0BD8DC90" w14:textId="77777777" w:rsidR="00A00065" w:rsidRDefault="00A00065" w:rsidP="007F0199">
      <w:pPr>
        <w:spacing w:after="0" w:line="300" w:lineRule="auto"/>
        <w:jc w:val="both"/>
        <w:rPr>
          <w:rFonts w:ascii="Arial" w:eastAsia="Times New Roman" w:hAnsi="Arial" w:cs="Arial"/>
          <w:lang w:eastAsia="pl-PL"/>
        </w:rPr>
      </w:pPr>
      <w:r w:rsidRPr="00A00065">
        <w:rPr>
          <w:rFonts w:ascii="Arial" w:eastAsia="Times New Roman" w:hAnsi="Arial" w:cs="Arial"/>
          <w:lang w:eastAsia="pl-PL"/>
        </w:rPr>
        <w:t xml:space="preserve">Przepisy ustawy stosuje się do działalności kosmicznej wykonywanej: </w:t>
      </w:r>
    </w:p>
    <w:p w14:paraId="1838A54D" w14:textId="2250AEF8" w:rsidR="00A00065" w:rsidRPr="00A00065" w:rsidRDefault="00A00065" w:rsidP="00A00065">
      <w:pPr>
        <w:pStyle w:val="Akapitzlist"/>
        <w:numPr>
          <w:ilvl w:val="0"/>
          <w:numId w:val="10"/>
        </w:numPr>
        <w:spacing w:after="0" w:line="300" w:lineRule="auto"/>
        <w:ind w:left="567" w:hanging="283"/>
        <w:jc w:val="both"/>
        <w:rPr>
          <w:rFonts w:ascii="Arial" w:eastAsia="Times New Roman" w:hAnsi="Arial" w:cs="Arial"/>
          <w:lang w:eastAsia="pl-PL"/>
        </w:rPr>
      </w:pPr>
      <w:r w:rsidRPr="00A00065">
        <w:rPr>
          <w:rFonts w:ascii="Arial" w:eastAsia="Times New Roman" w:hAnsi="Arial" w:cs="Arial"/>
          <w:lang w:eastAsia="pl-PL"/>
        </w:rPr>
        <w:t xml:space="preserve">na terytorium RP, </w:t>
      </w:r>
    </w:p>
    <w:p w14:paraId="7D4A8330" w14:textId="2EF82A1A" w:rsidR="00A00065" w:rsidRPr="00A00065" w:rsidRDefault="00A00065" w:rsidP="00A00065">
      <w:pPr>
        <w:pStyle w:val="Akapitzlist"/>
        <w:numPr>
          <w:ilvl w:val="0"/>
          <w:numId w:val="10"/>
        </w:numPr>
        <w:spacing w:after="0" w:line="300" w:lineRule="auto"/>
        <w:ind w:left="567" w:hanging="283"/>
        <w:jc w:val="both"/>
        <w:rPr>
          <w:rFonts w:ascii="Arial" w:eastAsia="Times New Roman" w:hAnsi="Arial" w:cs="Arial"/>
          <w:lang w:eastAsia="pl-PL"/>
        </w:rPr>
      </w:pPr>
      <w:r w:rsidRPr="00A00065">
        <w:rPr>
          <w:rFonts w:ascii="Arial" w:eastAsia="Times New Roman" w:hAnsi="Arial" w:cs="Arial"/>
          <w:lang w:eastAsia="pl-PL"/>
        </w:rPr>
        <w:t xml:space="preserve">z zarejestrowanego w RP: </w:t>
      </w:r>
    </w:p>
    <w:p w14:paraId="0EAB9C54" w14:textId="4F4EBCB0" w:rsidR="00A00065" w:rsidRPr="00A00065" w:rsidRDefault="00A00065" w:rsidP="00A00065">
      <w:pPr>
        <w:pStyle w:val="Akapitzlist"/>
        <w:numPr>
          <w:ilvl w:val="1"/>
          <w:numId w:val="10"/>
        </w:numPr>
        <w:spacing w:after="0" w:line="300" w:lineRule="auto"/>
        <w:ind w:left="851" w:hanging="284"/>
        <w:jc w:val="both"/>
        <w:rPr>
          <w:rFonts w:ascii="Arial" w:eastAsia="Times New Roman" w:hAnsi="Arial" w:cs="Arial"/>
          <w:lang w:eastAsia="pl-PL"/>
        </w:rPr>
      </w:pPr>
      <w:r w:rsidRPr="00A00065">
        <w:rPr>
          <w:rFonts w:ascii="Arial" w:eastAsia="Times New Roman" w:hAnsi="Arial" w:cs="Arial"/>
          <w:lang w:eastAsia="pl-PL"/>
        </w:rPr>
        <w:lastRenderedPageBreak/>
        <w:t xml:space="preserve">statku morskiego w rozumieniu art. 2 § 1 Kodeksu morskiego, </w:t>
      </w:r>
    </w:p>
    <w:p w14:paraId="52C2592C" w14:textId="4CA67F50" w:rsidR="00A00065" w:rsidRPr="00A00065" w:rsidRDefault="00A00065" w:rsidP="00A00065">
      <w:pPr>
        <w:pStyle w:val="Akapitzlist"/>
        <w:numPr>
          <w:ilvl w:val="1"/>
          <w:numId w:val="10"/>
        </w:numPr>
        <w:spacing w:after="0" w:line="300" w:lineRule="auto"/>
        <w:ind w:left="851" w:hanging="284"/>
        <w:jc w:val="both"/>
        <w:rPr>
          <w:rFonts w:ascii="Arial" w:eastAsia="Times New Roman" w:hAnsi="Arial" w:cs="Arial"/>
          <w:lang w:eastAsia="pl-PL"/>
        </w:rPr>
      </w:pPr>
      <w:r w:rsidRPr="00A00065">
        <w:rPr>
          <w:rFonts w:ascii="Arial" w:eastAsia="Times New Roman" w:hAnsi="Arial" w:cs="Arial"/>
          <w:lang w:eastAsia="pl-PL"/>
        </w:rPr>
        <w:t xml:space="preserve">statku powietrznego w rozumieniu art. 2 pkt 1 Prawa lotniczego, </w:t>
      </w:r>
    </w:p>
    <w:p w14:paraId="32FBAB0E" w14:textId="4C38D67F" w:rsidR="00A00065" w:rsidRPr="00A00065" w:rsidRDefault="00A00065" w:rsidP="00A00065">
      <w:pPr>
        <w:pStyle w:val="Akapitzlist"/>
        <w:numPr>
          <w:ilvl w:val="1"/>
          <w:numId w:val="10"/>
        </w:numPr>
        <w:spacing w:after="0" w:line="300" w:lineRule="auto"/>
        <w:ind w:left="851" w:hanging="284"/>
        <w:jc w:val="both"/>
        <w:rPr>
          <w:rFonts w:ascii="Arial" w:eastAsia="Times New Roman" w:hAnsi="Arial" w:cs="Arial"/>
          <w:lang w:eastAsia="pl-PL"/>
        </w:rPr>
      </w:pPr>
      <w:r w:rsidRPr="00A00065">
        <w:rPr>
          <w:rFonts w:ascii="Arial" w:eastAsia="Times New Roman" w:hAnsi="Arial" w:cs="Arial"/>
          <w:lang w:eastAsia="pl-PL"/>
        </w:rPr>
        <w:t xml:space="preserve">polskiego państwowego statku powietrznego w rozumieniu art. 2 pkt 2 Prawa lotniczego, a także do działalności kosmicznej wykonywanej przez operatora z terytorium państwa obcego lub z obszaru niepodlegającego zwierzchnictwu żadnego państwa. </w:t>
      </w:r>
    </w:p>
    <w:p w14:paraId="1148A3F0" w14:textId="77777777" w:rsidR="00A00065" w:rsidRDefault="00A00065" w:rsidP="007F0199">
      <w:pPr>
        <w:spacing w:after="0" w:line="300" w:lineRule="auto"/>
        <w:jc w:val="both"/>
        <w:rPr>
          <w:rFonts w:ascii="Arial" w:eastAsia="Times New Roman" w:hAnsi="Arial" w:cs="Arial"/>
          <w:lang w:eastAsia="pl-PL"/>
        </w:rPr>
      </w:pPr>
      <w:r w:rsidRPr="00A00065">
        <w:rPr>
          <w:rFonts w:ascii="Arial" w:eastAsia="Times New Roman" w:hAnsi="Arial" w:cs="Arial"/>
          <w:lang w:eastAsia="pl-PL"/>
        </w:rPr>
        <w:t xml:space="preserve">W rozumieniu ustawy działalność kosmiczna polega na: </w:t>
      </w:r>
    </w:p>
    <w:p w14:paraId="042FCB47" w14:textId="77777777" w:rsidR="00A00065" w:rsidRDefault="00A00065" w:rsidP="00A00065">
      <w:pPr>
        <w:spacing w:after="0" w:line="300" w:lineRule="auto"/>
        <w:ind w:left="567" w:hanging="283"/>
        <w:jc w:val="both"/>
        <w:rPr>
          <w:rFonts w:ascii="Arial" w:eastAsia="Times New Roman" w:hAnsi="Arial" w:cs="Arial"/>
          <w:lang w:eastAsia="pl-PL"/>
        </w:rPr>
      </w:pPr>
      <w:r w:rsidRPr="00A00065">
        <w:rPr>
          <w:rFonts w:ascii="Arial" w:eastAsia="Times New Roman" w:hAnsi="Arial" w:cs="Arial"/>
          <w:lang w:eastAsia="pl-PL"/>
        </w:rPr>
        <w:t xml:space="preserve">1) wyniesieniu lub próbie wyniesienia obiektu kosmicznego w przestrzeń kosmiczną, </w:t>
      </w:r>
    </w:p>
    <w:p w14:paraId="72E68F75" w14:textId="77777777" w:rsidR="00A00065" w:rsidRDefault="00A00065" w:rsidP="00A00065">
      <w:pPr>
        <w:spacing w:after="0" w:line="300" w:lineRule="auto"/>
        <w:ind w:left="567" w:hanging="283"/>
        <w:jc w:val="both"/>
        <w:rPr>
          <w:rFonts w:ascii="Arial" w:eastAsia="Times New Roman" w:hAnsi="Arial" w:cs="Arial"/>
          <w:lang w:eastAsia="pl-PL"/>
        </w:rPr>
      </w:pPr>
      <w:r w:rsidRPr="00A00065">
        <w:rPr>
          <w:rFonts w:ascii="Arial" w:eastAsia="Times New Roman" w:hAnsi="Arial" w:cs="Arial"/>
          <w:lang w:eastAsia="pl-PL"/>
        </w:rPr>
        <w:t xml:space="preserve">2) eksploatacji obiektu kosmicznego w przestrzeni kosmicznej, </w:t>
      </w:r>
    </w:p>
    <w:p w14:paraId="1B08F786" w14:textId="77777777" w:rsidR="00A00065" w:rsidRDefault="00A00065" w:rsidP="00A00065">
      <w:pPr>
        <w:spacing w:after="0" w:line="300" w:lineRule="auto"/>
        <w:ind w:left="567" w:hanging="283"/>
        <w:jc w:val="both"/>
        <w:rPr>
          <w:rFonts w:ascii="Arial" w:eastAsia="Times New Roman" w:hAnsi="Arial" w:cs="Arial"/>
          <w:lang w:eastAsia="pl-PL"/>
        </w:rPr>
      </w:pPr>
      <w:r w:rsidRPr="00A00065">
        <w:rPr>
          <w:rFonts w:ascii="Arial" w:eastAsia="Times New Roman" w:hAnsi="Arial" w:cs="Arial"/>
          <w:lang w:eastAsia="pl-PL"/>
        </w:rPr>
        <w:t xml:space="preserve">3) kontrolowaniu obiektu kosmicznego w przestrzeni kosmicznej, </w:t>
      </w:r>
    </w:p>
    <w:p w14:paraId="76BCB3EE" w14:textId="77777777" w:rsidR="00A00065" w:rsidRDefault="00A00065" w:rsidP="00A00065">
      <w:pPr>
        <w:spacing w:after="0" w:line="300" w:lineRule="auto"/>
        <w:ind w:left="567" w:hanging="283"/>
        <w:jc w:val="both"/>
        <w:rPr>
          <w:rFonts w:ascii="Arial" w:eastAsia="Times New Roman" w:hAnsi="Arial" w:cs="Arial"/>
          <w:lang w:eastAsia="pl-PL"/>
        </w:rPr>
      </w:pPr>
      <w:r w:rsidRPr="00A00065">
        <w:rPr>
          <w:rFonts w:ascii="Arial" w:eastAsia="Times New Roman" w:hAnsi="Arial" w:cs="Arial"/>
          <w:lang w:eastAsia="pl-PL"/>
        </w:rPr>
        <w:t xml:space="preserve">4) usuwaniu obiektu kosmicznego, w tym przez jego </w:t>
      </w:r>
      <w:proofErr w:type="spellStart"/>
      <w:r w:rsidRPr="00A00065">
        <w:rPr>
          <w:rFonts w:ascii="Arial" w:eastAsia="Times New Roman" w:hAnsi="Arial" w:cs="Arial"/>
          <w:lang w:eastAsia="pl-PL"/>
        </w:rPr>
        <w:t>deorbitację</w:t>
      </w:r>
      <w:proofErr w:type="spellEnd"/>
      <w:r w:rsidRPr="00A00065">
        <w:rPr>
          <w:rFonts w:ascii="Arial" w:eastAsia="Times New Roman" w:hAnsi="Arial" w:cs="Arial"/>
          <w:lang w:eastAsia="pl-PL"/>
        </w:rPr>
        <w:t xml:space="preserve">. </w:t>
      </w:r>
    </w:p>
    <w:p w14:paraId="4C45B9BE" w14:textId="77777777" w:rsidR="00A00065" w:rsidRDefault="00A00065" w:rsidP="007F0199">
      <w:pPr>
        <w:spacing w:after="0" w:line="300" w:lineRule="auto"/>
        <w:jc w:val="both"/>
        <w:rPr>
          <w:rFonts w:ascii="Arial" w:eastAsia="Times New Roman" w:hAnsi="Arial" w:cs="Arial"/>
          <w:lang w:eastAsia="pl-PL"/>
        </w:rPr>
      </w:pPr>
      <w:r w:rsidRPr="00A00065">
        <w:rPr>
          <w:rFonts w:ascii="Arial" w:eastAsia="Times New Roman" w:hAnsi="Arial" w:cs="Arial"/>
          <w:lang w:eastAsia="pl-PL"/>
        </w:rPr>
        <w:t xml:space="preserve">Wskazano, że za działalność kosmiczną w rozumieniu ustawy nie uznaje się eksploatacji oraz kontrolowania obiektu kosmicznego w ramach służby radiokomunikacyjnej amatorskiej w rozumieniu art. 2 pkt 60 Prawa komunikacji elektronicznej. </w:t>
      </w:r>
    </w:p>
    <w:p w14:paraId="008485E2" w14:textId="77777777" w:rsidR="00A00065" w:rsidRDefault="00A00065" w:rsidP="007F0199">
      <w:pPr>
        <w:spacing w:after="0" w:line="300" w:lineRule="auto"/>
        <w:jc w:val="both"/>
        <w:rPr>
          <w:rFonts w:ascii="Arial" w:eastAsia="Times New Roman" w:hAnsi="Arial" w:cs="Arial"/>
          <w:lang w:eastAsia="pl-PL"/>
        </w:rPr>
      </w:pPr>
      <w:r w:rsidRPr="00A00065">
        <w:rPr>
          <w:rFonts w:ascii="Arial" w:eastAsia="Times New Roman" w:hAnsi="Arial" w:cs="Arial"/>
          <w:lang w:eastAsia="pl-PL"/>
        </w:rPr>
        <w:t xml:space="preserve">Ponadto ustawa nowelizuje ustawę z dnia 26 września 2014 r. o Polskiej Agencji Kosmicznej dostosowując jej brzmienie do ustawy o działalności kosmicznej. </w:t>
      </w:r>
    </w:p>
    <w:p w14:paraId="5AD19BF8" w14:textId="77777777" w:rsidR="00A00065" w:rsidRDefault="00A00065" w:rsidP="007F0199">
      <w:pPr>
        <w:spacing w:after="0" w:line="300" w:lineRule="auto"/>
        <w:jc w:val="both"/>
        <w:rPr>
          <w:rFonts w:ascii="Arial" w:eastAsia="Times New Roman" w:hAnsi="Arial" w:cs="Arial"/>
          <w:lang w:eastAsia="pl-PL"/>
        </w:rPr>
      </w:pPr>
    </w:p>
    <w:p w14:paraId="74AC0860" w14:textId="7710CE92" w:rsidR="007F0199" w:rsidRDefault="00A00065" w:rsidP="007F0199">
      <w:pPr>
        <w:spacing w:after="0" w:line="300" w:lineRule="auto"/>
        <w:jc w:val="both"/>
        <w:rPr>
          <w:rStyle w:val="markedcontent"/>
          <w:rFonts w:ascii="Arial" w:hAnsi="Arial" w:cs="Arial"/>
        </w:rPr>
      </w:pPr>
      <w:r w:rsidRPr="00A00065">
        <w:rPr>
          <w:rFonts w:ascii="Arial" w:eastAsia="Times New Roman" w:hAnsi="Arial" w:cs="Arial"/>
          <w:lang w:eastAsia="pl-PL"/>
        </w:rPr>
        <w:t>Ustawa wejdzie w życie po upływie 14 dni od dnia ogłoszenia.</w:t>
      </w:r>
    </w:p>
    <w:p w14:paraId="78EB93D4" w14:textId="77777777" w:rsidR="00E04AF0" w:rsidRDefault="00E04AF0" w:rsidP="00E04AF0">
      <w:pPr>
        <w:spacing w:after="0" w:line="300" w:lineRule="auto"/>
        <w:jc w:val="both"/>
        <w:rPr>
          <w:rFonts w:ascii="Arial" w:hAnsi="Arial" w:cs="Arial"/>
        </w:rPr>
      </w:pPr>
    </w:p>
    <w:sectPr w:rsidR="00E04A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6E2A"/>
    <w:multiLevelType w:val="hybridMultilevel"/>
    <w:tmpl w:val="691CEE0E"/>
    <w:lvl w:ilvl="0" w:tplc="04150011">
      <w:start w:val="1"/>
      <w:numFmt w:val="decimal"/>
      <w:lvlText w:val="%1)"/>
      <w:lvlJc w:val="left"/>
      <w:pPr>
        <w:ind w:left="720" w:hanging="360"/>
      </w:pPr>
      <w:rPr>
        <w:rFonts w:hint="default"/>
      </w:rPr>
    </w:lvl>
    <w:lvl w:ilvl="1" w:tplc="229887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741687"/>
    <w:multiLevelType w:val="hybridMultilevel"/>
    <w:tmpl w:val="0E122A16"/>
    <w:lvl w:ilvl="0" w:tplc="04150011">
      <w:start w:val="1"/>
      <w:numFmt w:val="decimal"/>
      <w:lvlText w:val="%1)"/>
      <w:lvlJc w:val="left"/>
      <w:pPr>
        <w:ind w:left="720" w:hanging="360"/>
      </w:pPr>
      <w:rPr>
        <w:rFonts w:hint="default"/>
      </w:rPr>
    </w:lvl>
    <w:lvl w:ilvl="1" w:tplc="DCD6841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9472CE"/>
    <w:multiLevelType w:val="hybridMultilevel"/>
    <w:tmpl w:val="324C01F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386F9D"/>
    <w:multiLevelType w:val="hybridMultilevel"/>
    <w:tmpl w:val="47C6CE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0E20A9"/>
    <w:multiLevelType w:val="hybridMultilevel"/>
    <w:tmpl w:val="4BDE0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DF5356"/>
    <w:multiLevelType w:val="hybridMultilevel"/>
    <w:tmpl w:val="A62465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D76ECE"/>
    <w:multiLevelType w:val="hybridMultilevel"/>
    <w:tmpl w:val="3326A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B53269D"/>
    <w:multiLevelType w:val="hybridMultilevel"/>
    <w:tmpl w:val="3F5E6920"/>
    <w:lvl w:ilvl="0" w:tplc="E4726A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529027726">
    <w:abstractNumId w:val="4"/>
  </w:num>
  <w:num w:numId="2" w16cid:durableId="3118319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1"/>
  </w:num>
  <w:num w:numId="4" w16cid:durableId="5788216">
    <w:abstractNumId w:val="10"/>
  </w:num>
  <w:num w:numId="5" w16cid:durableId="1820147117">
    <w:abstractNumId w:val="7"/>
  </w:num>
  <w:num w:numId="6" w16cid:durableId="1184784736">
    <w:abstractNumId w:val="9"/>
  </w:num>
  <w:num w:numId="7" w16cid:durableId="636229077">
    <w:abstractNumId w:val="6"/>
  </w:num>
  <w:num w:numId="8" w16cid:durableId="1317684893">
    <w:abstractNumId w:val="5"/>
  </w:num>
  <w:num w:numId="9" w16cid:durableId="1099956446">
    <w:abstractNumId w:val="2"/>
  </w:num>
  <w:num w:numId="10" w16cid:durableId="135732254">
    <w:abstractNumId w:val="8"/>
  </w:num>
  <w:num w:numId="11" w16cid:durableId="1898779146">
    <w:abstractNumId w:val="0"/>
  </w:num>
  <w:num w:numId="12" w16cid:durableId="1042823175">
    <w:abstractNumId w:val="3"/>
  </w:num>
  <w:num w:numId="13" w16cid:durableId="1100487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F0"/>
    <w:rsid w:val="000E3448"/>
    <w:rsid w:val="001B1452"/>
    <w:rsid w:val="004B142A"/>
    <w:rsid w:val="00580328"/>
    <w:rsid w:val="007D3E44"/>
    <w:rsid w:val="007F0199"/>
    <w:rsid w:val="008A0FE4"/>
    <w:rsid w:val="008F0BE4"/>
    <w:rsid w:val="00987C28"/>
    <w:rsid w:val="00A00065"/>
    <w:rsid w:val="00AE2CB7"/>
    <w:rsid w:val="00C05BD9"/>
    <w:rsid w:val="00E04AF0"/>
    <w:rsid w:val="00E356F7"/>
    <w:rsid w:val="00E7508B"/>
    <w:rsid w:val="00EC5668"/>
    <w:rsid w:val="00F14873"/>
    <w:rsid w:val="00F86BEB"/>
    <w:rsid w:val="00FE0D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32EE"/>
  <w15:chartTrackingRefBased/>
  <w15:docId w15:val="{543D530A-5BB7-4860-AB92-C469A935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4AF0"/>
    <w:pPr>
      <w:spacing w:after="200" w:line="276" w:lineRule="auto"/>
    </w:pPr>
    <w:rPr>
      <w:kern w:val="0"/>
      <w14:ligatures w14:val="none"/>
    </w:rPr>
  </w:style>
  <w:style w:type="paragraph" w:styleId="Nagwek1">
    <w:name w:val="heading 1"/>
    <w:basedOn w:val="Normalny"/>
    <w:next w:val="Normalny"/>
    <w:link w:val="Nagwek1Znak"/>
    <w:uiPriority w:val="9"/>
    <w:qFormat/>
    <w:rsid w:val="00E04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04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04AF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04AF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04AF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04AF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4AF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4AF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4AF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4AF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04AF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04AF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04AF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04AF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04AF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4AF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4AF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4AF0"/>
    <w:rPr>
      <w:rFonts w:eastAsiaTheme="majorEastAsia" w:cstheme="majorBidi"/>
      <w:color w:val="272727" w:themeColor="text1" w:themeTint="D8"/>
    </w:rPr>
  </w:style>
  <w:style w:type="paragraph" w:styleId="Tytu">
    <w:name w:val="Title"/>
    <w:basedOn w:val="Normalny"/>
    <w:next w:val="Normalny"/>
    <w:link w:val="TytuZnak"/>
    <w:uiPriority w:val="10"/>
    <w:qFormat/>
    <w:rsid w:val="00E04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4AF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4AF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4AF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4AF0"/>
    <w:pPr>
      <w:spacing w:before="160"/>
      <w:jc w:val="center"/>
    </w:pPr>
    <w:rPr>
      <w:i/>
      <w:iCs/>
      <w:color w:val="404040" w:themeColor="text1" w:themeTint="BF"/>
    </w:rPr>
  </w:style>
  <w:style w:type="character" w:customStyle="1" w:styleId="CytatZnak">
    <w:name w:val="Cytat Znak"/>
    <w:basedOn w:val="Domylnaczcionkaakapitu"/>
    <w:link w:val="Cytat"/>
    <w:uiPriority w:val="29"/>
    <w:rsid w:val="00E04AF0"/>
    <w:rPr>
      <w:i/>
      <w:iCs/>
      <w:color w:val="404040" w:themeColor="text1" w:themeTint="BF"/>
    </w:rPr>
  </w:style>
  <w:style w:type="paragraph" w:styleId="Akapitzlist">
    <w:name w:val="List Paragraph"/>
    <w:basedOn w:val="Normalny"/>
    <w:uiPriority w:val="34"/>
    <w:qFormat/>
    <w:rsid w:val="00E04AF0"/>
    <w:pPr>
      <w:ind w:left="720"/>
      <w:contextualSpacing/>
    </w:pPr>
  </w:style>
  <w:style w:type="character" w:styleId="Wyrnienieintensywne">
    <w:name w:val="Intense Emphasis"/>
    <w:basedOn w:val="Domylnaczcionkaakapitu"/>
    <w:uiPriority w:val="21"/>
    <w:qFormat/>
    <w:rsid w:val="00E04AF0"/>
    <w:rPr>
      <w:i/>
      <w:iCs/>
      <w:color w:val="0F4761" w:themeColor="accent1" w:themeShade="BF"/>
    </w:rPr>
  </w:style>
  <w:style w:type="paragraph" w:styleId="Cytatintensywny">
    <w:name w:val="Intense Quote"/>
    <w:basedOn w:val="Normalny"/>
    <w:next w:val="Normalny"/>
    <w:link w:val="CytatintensywnyZnak"/>
    <w:uiPriority w:val="30"/>
    <w:qFormat/>
    <w:rsid w:val="00E04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04AF0"/>
    <w:rPr>
      <w:i/>
      <w:iCs/>
      <w:color w:val="0F4761" w:themeColor="accent1" w:themeShade="BF"/>
    </w:rPr>
  </w:style>
  <w:style w:type="character" w:styleId="Odwoanieintensywne">
    <w:name w:val="Intense Reference"/>
    <w:basedOn w:val="Domylnaczcionkaakapitu"/>
    <w:uiPriority w:val="32"/>
    <w:qFormat/>
    <w:rsid w:val="00E04AF0"/>
    <w:rPr>
      <w:b/>
      <w:bCs/>
      <w:smallCaps/>
      <w:color w:val="0F4761" w:themeColor="accent1" w:themeShade="BF"/>
      <w:spacing w:val="5"/>
    </w:rPr>
  </w:style>
  <w:style w:type="character" w:customStyle="1" w:styleId="markedcontent">
    <w:name w:val="markedcontent"/>
    <w:basedOn w:val="Domylnaczcionkaakapitu"/>
    <w:rsid w:val="00E04AF0"/>
  </w:style>
  <w:style w:type="character" w:styleId="Hipercze">
    <w:name w:val="Hyperlink"/>
    <w:basedOn w:val="Domylnaczcionkaakapitu"/>
    <w:uiPriority w:val="99"/>
    <w:unhideWhenUsed/>
    <w:rsid w:val="00EC5668"/>
    <w:rPr>
      <w:color w:val="467886" w:themeColor="hyperlink"/>
      <w:u w:val="single"/>
    </w:rPr>
  </w:style>
  <w:style w:type="character" w:styleId="Nierozpoznanawzmianka">
    <w:name w:val="Unresolved Mention"/>
    <w:basedOn w:val="Domylnaczcionkaakapitu"/>
    <w:uiPriority w:val="99"/>
    <w:semiHidden/>
    <w:unhideWhenUsed/>
    <w:rsid w:val="00EC5668"/>
    <w:rPr>
      <w:color w:val="605E5C"/>
      <w:shd w:val="clear" w:color="auto" w:fill="E1DFDD"/>
    </w:rPr>
  </w:style>
  <w:style w:type="character" w:styleId="UyteHipercze">
    <w:name w:val="FollowedHyperlink"/>
    <w:basedOn w:val="Domylnaczcionkaakapitu"/>
    <w:uiPriority w:val="99"/>
    <w:semiHidden/>
    <w:unhideWhenUsed/>
    <w:rsid w:val="00EC56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08853/katalog/13196093#13196093" TargetMode="External"/><Relationship Id="rId3" Type="http://schemas.openxmlformats.org/officeDocument/2006/relationships/settings" Target="settings.xml"/><Relationship Id="rId7" Type="http://schemas.openxmlformats.org/officeDocument/2006/relationships/hyperlink" Target="https://legislacja.rcl.gov.pl/projekt/12408752/katalog/13195530#131955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08751/katalog/13195472#1319547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11</Pages>
  <Words>4405</Words>
  <Characters>26434</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14</cp:revision>
  <dcterms:created xsi:type="dcterms:W3CDTF">2026-04-10T09:53:00Z</dcterms:created>
  <dcterms:modified xsi:type="dcterms:W3CDTF">2026-04-10T11:13:00Z</dcterms:modified>
</cp:coreProperties>
</file>