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3664FC" w14:textId="77777777" w:rsidR="00AB3E3C" w:rsidRPr="00586923" w:rsidRDefault="00AB3E3C" w:rsidP="00AB3E3C">
      <w:pPr>
        <w:rPr>
          <w:rFonts w:ascii="Arial" w:hAnsi="Arial" w:cs="Arial"/>
        </w:rPr>
      </w:pPr>
      <w:r w:rsidRPr="00586923">
        <w:rPr>
          <w:rFonts w:ascii="Arial" w:hAnsi="Arial" w:cs="Arial"/>
          <w:noProof/>
          <w:lang w:eastAsia="pl-PL"/>
        </w:rPr>
        <w:drawing>
          <wp:inline distT="0" distB="0" distL="0" distR="0" wp14:anchorId="6EF60758" wp14:editId="4E0F489E">
            <wp:extent cx="5683910" cy="943559"/>
            <wp:effectExtent l="0" t="0" r="0" b="9525"/>
            <wp:docPr id="2" name="Obraz 2" descr="Obraz zawierający tekst, Czcionka, zrzut ekranu, logo&#10;&#10;Zawartość wygenerowana przez AI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2" descr="Obraz zawierający tekst, Czcionka, zrzut ekranu, logo&#10;&#10;Zawartość wygenerowana przez AI może być niepoprawna."/>
                    <pic:cNvPicPr/>
                  </pic:nvPicPr>
                  <pic:blipFill>
                    <a:blip r:embed="rId5">
                      <a:extLst>
                        <a:ext uri="{28A0092B-C50C-407E-A947-70E740481C1C}">
                          <a14:useLocalDpi xmlns:a14="http://schemas.microsoft.com/office/drawing/2010/main" val="0"/>
                        </a:ext>
                      </a:extLst>
                    </a:blip>
                    <a:stretch>
                      <a:fillRect/>
                    </a:stretch>
                  </pic:blipFill>
                  <pic:spPr>
                    <a:xfrm>
                      <a:off x="0" y="0"/>
                      <a:ext cx="5704187" cy="946925"/>
                    </a:xfrm>
                    <a:prstGeom prst="rect">
                      <a:avLst/>
                    </a:prstGeom>
                  </pic:spPr>
                </pic:pic>
              </a:graphicData>
            </a:graphic>
          </wp:inline>
        </w:drawing>
      </w:r>
    </w:p>
    <w:p w14:paraId="2ECCFF54" w14:textId="77777777" w:rsidR="00AB3E3C" w:rsidRDefault="00AB3E3C" w:rsidP="00AB3E3C">
      <w:pPr>
        <w:spacing w:after="0" w:line="300" w:lineRule="auto"/>
        <w:jc w:val="center"/>
        <w:rPr>
          <w:rFonts w:ascii="Arial" w:hAnsi="Arial" w:cs="Arial"/>
          <w:b/>
        </w:rPr>
      </w:pPr>
      <w:r w:rsidRPr="00586923">
        <w:rPr>
          <w:rFonts w:ascii="Arial" w:hAnsi="Arial" w:cs="Arial"/>
          <w:b/>
        </w:rPr>
        <w:t xml:space="preserve">Konsultacje </w:t>
      </w:r>
      <w:r>
        <w:rPr>
          <w:rFonts w:ascii="Arial" w:hAnsi="Arial" w:cs="Arial"/>
          <w:b/>
        </w:rPr>
        <w:t>projektów</w:t>
      </w:r>
      <w:r w:rsidRPr="00586923">
        <w:rPr>
          <w:rFonts w:ascii="Arial" w:hAnsi="Arial" w:cs="Arial"/>
          <w:b/>
        </w:rPr>
        <w:t xml:space="preserve"> krajowych aktów prawnych </w:t>
      </w:r>
      <w:r>
        <w:rPr>
          <w:rFonts w:ascii="Arial" w:hAnsi="Arial" w:cs="Arial"/>
          <w:b/>
        </w:rPr>
        <w:t xml:space="preserve">i ogłoszone akty prawne </w:t>
      </w:r>
      <w:r>
        <w:rPr>
          <w:rFonts w:ascii="Arial" w:hAnsi="Arial" w:cs="Arial"/>
          <w:b/>
        </w:rPr>
        <w:br/>
        <w:t>w Dzienniku Ustaw</w:t>
      </w:r>
    </w:p>
    <w:p w14:paraId="096BF397" w14:textId="77777777" w:rsidR="00AB3E3C" w:rsidRPr="00586923" w:rsidRDefault="00AB3E3C" w:rsidP="00AB3E3C">
      <w:pPr>
        <w:spacing w:after="0" w:line="300" w:lineRule="auto"/>
        <w:jc w:val="center"/>
        <w:rPr>
          <w:rFonts w:ascii="Arial" w:hAnsi="Arial" w:cs="Arial"/>
          <w:b/>
        </w:rPr>
      </w:pPr>
      <w:r>
        <w:rPr>
          <w:rFonts w:ascii="Arial" w:hAnsi="Arial" w:cs="Arial"/>
          <w:b/>
        </w:rPr>
        <w:t>(</w:t>
      </w:r>
      <w:r w:rsidRPr="00586923">
        <w:rPr>
          <w:rFonts w:ascii="Arial" w:hAnsi="Arial" w:cs="Arial"/>
          <w:b/>
        </w:rPr>
        <w:t xml:space="preserve">monitoring legislacji </w:t>
      </w:r>
      <w:r>
        <w:rPr>
          <w:rFonts w:ascii="Arial" w:hAnsi="Arial" w:cs="Arial"/>
          <w:b/>
        </w:rPr>
        <w:t xml:space="preserve">krajowej </w:t>
      </w:r>
      <w:r w:rsidRPr="00586923">
        <w:rPr>
          <w:rFonts w:ascii="Arial" w:hAnsi="Arial" w:cs="Arial"/>
          <w:b/>
        </w:rPr>
        <w:t>ZPPM</w:t>
      </w:r>
      <w:r>
        <w:rPr>
          <w:rFonts w:ascii="Arial" w:hAnsi="Arial" w:cs="Arial"/>
          <w:b/>
        </w:rPr>
        <w:t>)</w:t>
      </w:r>
    </w:p>
    <w:p w14:paraId="0D6C9291" w14:textId="1D6A961A" w:rsidR="00AB3E3C" w:rsidRPr="00586923" w:rsidRDefault="00AB3E3C" w:rsidP="00AB3E3C">
      <w:pPr>
        <w:spacing w:after="0" w:line="300" w:lineRule="auto"/>
        <w:jc w:val="center"/>
        <w:rPr>
          <w:rFonts w:ascii="Arial" w:hAnsi="Arial" w:cs="Arial"/>
        </w:rPr>
      </w:pPr>
      <w:r w:rsidRPr="00586923">
        <w:rPr>
          <w:rFonts w:ascii="Arial" w:hAnsi="Arial" w:cs="Arial"/>
          <w:b/>
        </w:rPr>
        <w:t xml:space="preserve">w okresie od </w:t>
      </w:r>
      <w:r>
        <w:rPr>
          <w:rFonts w:ascii="Arial" w:hAnsi="Arial" w:cs="Arial"/>
          <w:b/>
        </w:rPr>
        <w:t>13</w:t>
      </w:r>
      <w:r>
        <w:rPr>
          <w:rFonts w:ascii="Arial" w:hAnsi="Arial" w:cs="Arial"/>
          <w:b/>
        </w:rPr>
        <w:t xml:space="preserve"> </w:t>
      </w:r>
      <w:r w:rsidRPr="00586923">
        <w:rPr>
          <w:rFonts w:ascii="Arial" w:hAnsi="Arial" w:cs="Arial"/>
          <w:b/>
        </w:rPr>
        <w:t xml:space="preserve">do </w:t>
      </w:r>
      <w:r>
        <w:rPr>
          <w:rFonts w:ascii="Arial" w:hAnsi="Arial" w:cs="Arial"/>
          <w:b/>
        </w:rPr>
        <w:t>19 kwietnia</w:t>
      </w:r>
      <w:r w:rsidRPr="00586923">
        <w:rPr>
          <w:rFonts w:ascii="Arial" w:hAnsi="Arial" w:cs="Arial"/>
          <w:b/>
        </w:rPr>
        <w:t xml:space="preserve"> 202</w:t>
      </w:r>
      <w:r>
        <w:rPr>
          <w:rFonts w:ascii="Arial" w:hAnsi="Arial" w:cs="Arial"/>
          <w:b/>
        </w:rPr>
        <w:t>6</w:t>
      </w:r>
      <w:r w:rsidRPr="00586923">
        <w:rPr>
          <w:rFonts w:ascii="Arial" w:hAnsi="Arial" w:cs="Arial"/>
          <w:b/>
        </w:rPr>
        <w:t xml:space="preserve"> roku</w:t>
      </w:r>
    </w:p>
    <w:p w14:paraId="193F8CAF" w14:textId="3D459BDD" w:rsidR="00AB3E3C" w:rsidRPr="00AC3187" w:rsidRDefault="00AB3E3C" w:rsidP="00AB3E3C">
      <w:pPr>
        <w:spacing w:after="0" w:line="300" w:lineRule="auto"/>
        <w:jc w:val="center"/>
        <w:rPr>
          <w:rFonts w:ascii="Arial" w:hAnsi="Arial" w:cs="Arial"/>
        </w:rPr>
      </w:pPr>
      <w:r w:rsidRPr="00AC3187">
        <w:rPr>
          <w:rFonts w:ascii="Arial" w:hAnsi="Arial" w:cs="Arial"/>
        </w:rPr>
        <w:t xml:space="preserve">Raport na dzień </w:t>
      </w:r>
      <w:r>
        <w:rPr>
          <w:rFonts w:ascii="Arial" w:hAnsi="Arial" w:cs="Arial"/>
        </w:rPr>
        <w:t>22 kwietnia</w:t>
      </w:r>
      <w:r w:rsidRPr="00AC3187">
        <w:rPr>
          <w:rFonts w:ascii="Arial" w:hAnsi="Arial" w:cs="Arial"/>
        </w:rPr>
        <w:t xml:space="preserve"> 202</w:t>
      </w:r>
      <w:r>
        <w:rPr>
          <w:rFonts w:ascii="Arial" w:hAnsi="Arial" w:cs="Arial"/>
        </w:rPr>
        <w:t>6</w:t>
      </w:r>
      <w:r w:rsidRPr="00AC3187">
        <w:rPr>
          <w:rFonts w:ascii="Arial" w:hAnsi="Arial" w:cs="Arial"/>
        </w:rPr>
        <w:t xml:space="preserve"> roku</w:t>
      </w:r>
    </w:p>
    <w:p w14:paraId="3604DE68" w14:textId="77777777" w:rsidR="00AB3E3C" w:rsidRPr="00586923" w:rsidRDefault="00AB3E3C" w:rsidP="00AB3E3C">
      <w:pPr>
        <w:spacing w:after="0" w:line="300" w:lineRule="auto"/>
        <w:jc w:val="both"/>
        <w:rPr>
          <w:rFonts w:ascii="Arial" w:hAnsi="Arial" w:cs="Arial"/>
        </w:rPr>
      </w:pPr>
    </w:p>
    <w:p w14:paraId="73D50489" w14:textId="77777777" w:rsidR="00AB3E3C" w:rsidRPr="000B65D1" w:rsidRDefault="00AB3E3C" w:rsidP="00AB3E3C">
      <w:pPr>
        <w:pStyle w:val="Akapitzlist"/>
        <w:numPr>
          <w:ilvl w:val="0"/>
          <w:numId w:val="1"/>
        </w:numPr>
        <w:spacing w:after="0" w:line="300" w:lineRule="auto"/>
        <w:ind w:left="284" w:hanging="284"/>
        <w:jc w:val="both"/>
        <w:rPr>
          <w:rFonts w:ascii="Arial" w:hAnsi="Arial" w:cs="Arial"/>
          <w:b/>
        </w:rPr>
      </w:pPr>
      <w:r w:rsidRPr="000B65D1">
        <w:rPr>
          <w:rFonts w:ascii="Arial" w:hAnsi="Arial" w:cs="Arial"/>
          <w:b/>
        </w:rPr>
        <w:t>Projekty aktów prawnych</w:t>
      </w:r>
    </w:p>
    <w:p w14:paraId="4E1BE3EB" w14:textId="77777777" w:rsidR="00AB3E3C" w:rsidRDefault="00AB3E3C" w:rsidP="00AB3E3C">
      <w:pPr>
        <w:spacing w:after="0" w:line="300" w:lineRule="auto"/>
        <w:jc w:val="both"/>
        <w:rPr>
          <w:rFonts w:ascii="Arial" w:hAnsi="Arial" w:cs="Arial"/>
        </w:rPr>
      </w:pPr>
    </w:p>
    <w:p w14:paraId="1F039ACB" w14:textId="01BAE426" w:rsidR="00AB3E3C" w:rsidRPr="00C70674" w:rsidRDefault="00AB3E3C" w:rsidP="00AB3E3C">
      <w:pPr>
        <w:spacing w:after="0" w:line="300" w:lineRule="auto"/>
        <w:jc w:val="both"/>
        <w:rPr>
          <w:rFonts w:ascii="Arial" w:hAnsi="Arial" w:cs="Arial"/>
        </w:rPr>
      </w:pPr>
      <w:r w:rsidRPr="00C70674">
        <w:rPr>
          <w:rFonts w:ascii="Arial" w:hAnsi="Arial" w:cs="Arial"/>
        </w:rPr>
        <w:t xml:space="preserve">W omawianym okresie </w:t>
      </w:r>
      <w:r w:rsidRPr="00C70674">
        <w:rPr>
          <w:rFonts w:ascii="Arial" w:eastAsia="Calibri" w:hAnsi="Arial" w:cs="Arial"/>
          <w:bCs/>
        </w:rPr>
        <w:t>Rządowe Centrum Legislacji opublikowało</w:t>
      </w:r>
      <w:r>
        <w:rPr>
          <w:rFonts w:ascii="Arial" w:eastAsia="Calibri" w:hAnsi="Arial" w:cs="Arial"/>
          <w:bCs/>
        </w:rPr>
        <w:t xml:space="preserve"> 4</w:t>
      </w:r>
      <w:r w:rsidRPr="00C70674">
        <w:rPr>
          <w:rFonts w:ascii="Arial" w:eastAsia="Calibri" w:hAnsi="Arial" w:cs="Arial"/>
          <w:bCs/>
        </w:rPr>
        <w:t xml:space="preserve"> projekt</w:t>
      </w:r>
      <w:r>
        <w:rPr>
          <w:rFonts w:ascii="Arial" w:eastAsia="Calibri" w:hAnsi="Arial" w:cs="Arial"/>
          <w:bCs/>
        </w:rPr>
        <w:t>y</w:t>
      </w:r>
      <w:r>
        <w:rPr>
          <w:rFonts w:ascii="Arial" w:eastAsia="Calibri" w:hAnsi="Arial" w:cs="Arial"/>
          <w:bCs/>
        </w:rPr>
        <w:t xml:space="preserve"> ustaw</w:t>
      </w:r>
      <w:r w:rsidRPr="00C70674">
        <w:rPr>
          <w:rFonts w:ascii="Arial" w:eastAsia="Calibri" w:hAnsi="Arial" w:cs="Arial"/>
          <w:bCs/>
        </w:rPr>
        <w:t xml:space="preserve"> oraz</w:t>
      </w:r>
      <w:r w:rsidRPr="00C70674">
        <w:rPr>
          <w:rFonts w:ascii="Arial" w:hAnsi="Arial" w:cs="Arial"/>
        </w:rPr>
        <w:t xml:space="preserve"> </w:t>
      </w:r>
      <w:r>
        <w:rPr>
          <w:rFonts w:ascii="Arial" w:hAnsi="Arial" w:cs="Arial"/>
        </w:rPr>
        <w:t>22</w:t>
      </w:r>
      <w:r w:rsidRPr="00C70674">
        <w:rPr>
          <w:rFonts w:ascii="Arial" w:hAnsi="Arial" w:cs="Arial"/>
        </w:rPr>
        <w:t xml:space="preserve"> projekt</w:t>
      </w:r>
      <w:r>
        <w:rPr>
          <w:rFonts w:ascii="Arial" w:hAnsi="Arial" w:cs="Arial"/>
        </w:rPr>
        <w:t>y</w:t>
      </w:r>
      <w:r w:rsidRPr="00C70674">
        <w:rPr>
          <w:rFonts w:ascii="Arial" w:hAnsi="Arial" w:cs="Arial"/>
        </w:rPr>
        <w:t xml:space="preserve"> rozporządzeń Rady Ministrów, Prezesa Rady Ministrów oraz poszczególnych Ministrów.</w:t>
      </w:r>
    </w:p>
    <w:p w14:paraId="68563137" w14:textId="77777777" w:rsidR="00AB3E3C" w:rsidRPr="00C70674" w:rsidRDefault="00AB3E3C" w:rsidP="00AB3E3C">
      <w:pPr>
        <w:spacing w:after="0" w:line="300" w:lineRule="auto"/>
        <w:jc w:val="both"/>
        <w:rPr>
          <w:rFonts w:ascii="Arial" w:hAnsi="Arial" w:cs="Arial"/>
        </w:rPr>
      </w:pPr>
    </w:p>
    <w:p w14:paraId="4DAAF228" w14:textId="06480EF3" w:rsidR="00AB3E3C" w:rsidRDefault="00AB3E3C" w:rsidP="00AB3E3C">
      <w:pPr>
        <w:spacing w:after="0" w:line="300" w:lineRule="auto"/>
        <w:jc w:val="both"/>
        <w:rPr>
          <w:rFonts w:ascii="Arial" w:hAnsi="Arial" w:cs="Arial"/>
        </w:rPr>
      </w:pPr>
      <w:r>
        <w:rPr>
          <w:rFonts w:ascii="Arial" w:hAnsi="Arial" w:cs="Arial"/>
        </w:rPr>
        <w:t xml:space="preserve">Przeprowadzono konsultacje </w:t>
      </w:r>
      <w:r w:rsidR="00E87889">
        <w:rPr>
          <w:rFonts w:ascii="Arial" w:hAnsi="Arial" w:cs="Arial"/>
        </w:rPr>
        <w:t>2</w:t>
      </w:r>
      <w:r>
        <w:rPr>
          <w:rFonts w:ascii="Arial" w:hAnsi="Arial" w:cs="Arial"/>
        </w:rPr>
        <w:t xml:space="preserve"> projekt</w:t>
      </w:r>
      <w:r w:rsidR="00E87889">
        <w:rPr>
          <w:rFonts w:ascii="Arial" w:hAnsi="Arial" w:cs="Arial"/>
        </w:rPr>
        <w:t>ów</w:t>
      </w:r>
      <w:r>
        <w:rPr>
          <w:rFonts w:ascii="Arial" w:hAnsi="Arial" w:cs="Arial"/>
        </w:rPr>
        <w:t xml:space="preserve"> ustaw i </w:t>
      </w:r>
      <w:r w:rsidR="00E87889">
        <w:rPr>
          <w:rFonts w:ascii="Arial" w:hAnsi="Arial" w:cs="Arial"/>
        </w:rPr>
        <w:t>2</w:t>
      </w:r>
      <w:r>
        <w:rPr>
          <w:rFonts w:ascii="Arial" w:hAnsi="Arial" w:cs="Arial"/>
        </w:rPr>
        <w:t xml:space="preserve"> projekt</w:t>
      </w:r>
      <w:r w:rsidR="00E87889">
        <w:rPr>
          <w:rFonts w:ascii="Arial" w:hAnsi="Arial" w:cs="Arial"/>
        </w:rPr>
        <w:t>ów</w:t>
      </w:r>
      <w:r>
        <w:rPr>
          <w:rFonts w:ascii="Arial" w:hAnsi="Arial" w:cs="Arial"/>
        </w:rPr>
        <w:t xml:space="preserve"> rozporządzeń dotyczących podmiotów członkowskich (pracodawcy, przedsiębiorcy, JST) zrzeszonych w Związku. </w:t>
      </w:r>
    </w:p>
    <w:p w14:paraId="3218C6F1" w14:textId="77777777" w:rsidR="00AB3E3C" w:rsidRDefault="00AB3E3C" w:rsidP="00AB3E3C">
      <w:pPr>
        <w:spacing w:after="0" w:line="300" w:lineRule="auto"/>
        <w:jc w:val="both"/>
        <w:rPr>
          <w:rFonts w:ascii="Arial" w:hAnsi="Arial" w:cs="Arial"/>
        </w:rPr>
      </w:pPr>
      <w:r>
        <w:rPr>
          <w:rFonts w:ascii="Arial" w:hAnsi="Arial" w:cs="Arial"/>
        </w:rPr>
        <w:t>Do konsultacji przekazane zostały następujące projekty:</w:t>
      </w:r>
    </w:p>
    <w:p w14:paraId="7B94E04B" w14:textId="77777777" w:rsidR="00AB3E3C" w:rsidRDefault="00AB3E3C" w:rsidP="00AB3E3C">
      <w:pPr>
        <w:spacing w:after="0" w:line="300" w:lineRule="auto"/>
        <w:jc w:val="both"/>
        <w:rPr>
          <w:rFonts w:ascii="Arial" w:hAnsi="Arial" w:cs="Arial"/>
        </w:rPr>
      </w:pPr>
    </w:p>
    <w:p w14:paraId="196D87CC" w14:textId="77777777" w:rsidR="00AB3E3C" w:rsidRDefault="00AB3E3C" w:rsidP="00AB3E3C">
      <w:pPr>
        <w:spacing w:after="0" w:line="300" w:lineRule="auto"/>
        <w:jc w:val="both"/>
        <w:rPr>
          <w:rFonts w:ascii="Arial" w:hAnsi="Arial" w:cs="Arial"/>
        </w:rPr>
      </w:pPr>
      <w:r>
        <w:rPr>
          <w:rFonts w:ascii="Arial" w:hAnsi="Arial" w:cs="Arial"/>
        </w:rPr>
        <w:t>Projekty ustaw:</w:t>
      </w:r>
    </w:p>
    <w:p w14:paraId="57EAD3C9" w14:textId="77777777" w:rsidR="00E87889" w:rsidRDefault="00E87889" w:rsidP="00AB3E3C">
      <w:pPr>
        <w:spacing w:after="0" w:line="300" w:lineRule="auto"/>
        <w:jc w:val="both"/>
        <w:rPr>
          <w:rFonts w:ascii="Arial" w:hAnsi="Arial" w:cs="Arial"/>
        </w:rPr>
      </w:pPr>
    </w:p>
    <w:p w14:paraId="2F55AEDA" w14:textId="5A9D72D9" w:rsidR="00E87889" w:rsidRPr="00A17A17" w:rsidRDefault="00A17A17" w:rsidP="00AB3E3C">
      <w:pPr>
        <w:pStyle w:val="Akapitzlist"/>
        <w:numPr>
          <w:ilvl w:val="0"/>
          <w:numId w:val="3"/>
        </w:numPr>
        <w:spacing w:after="0" w:line="300" w:lineRule="auto"/>
        <w:jc w:val="both"/>
        <w:rPr>
          <w:rFonts w:ascii="Arial" w:hAnsi="Arial" w:cs="Arial"/>
          <w:b/>
          <w:bCs/>
          <w:u w:val="single"/>
        </w:rPr>
      </w:pPr>
      <w:r w:rsidRPr="00A17A17">
        <w:rPr>
          <w:rFonts w:ascii="Arial" w:hAnsi="Arial" w:cs="Arial"/>
          <w:b/>
          <w:bCs/>
          <w:u w:val="single"/>
        </w:rPr>
        <w:t>P</w:t>
      </w:r>
      <w:r w:rsidRPr="00A17A17">
        <w:rPr>
          <w:rFonts w:ascii="Arial" w:hAnsi="Arial" w:cs="Arial"/>
          <w:b/>
          <w:bCs/>
          <w:u w:val="single"/>
        </w:rPr>
        <w:t xml:space="preserve">rojekt ustawy zmieniającej ustawę o zmianie ustawy </w:t>
      </w:r>
      <w:r>
        <w:rPr>
          <w:rFonts w:ascii="Arial" w:hAnsi="Arial" w:cs="Arial"/>
          <w:b/>
          <w:bCs/>
          <w:u w:val="single"/>
        </w:rPr>
        <w:t>–</w:t>
      </w:r>
      <w:r w:rsidRPr="00A17A17">
        <w:rPr>
          <w:rFonts w:ascii="Arial" w:hAnsi="Arial" w:cs="Arial"/>
          <w:b/>
          <w:bCs/>
          <w:u w:val="single"/>
        </w:rPr>
        <w:t xml:space="preserve"> Prawo</w:t>
      </w:r>
      <w:r>
        <w:rPr>
          <w:rFonts w:ascii="Arial" w:hAnsi="Arial" w:cs="Arial"/>
          <w:b/>
          <w:bCs/>
          <w:u w:val="single"/>
        </w:rPr>
        <w:t xml:space="preserve"> </w:t>
      </w:r>
      <w:r w:rsidRPr="00A17A17">
        <w:rPr>
          <w:rFonts w:ascii="Arial" w:hAnsi="Arial" w:cs="Arial"/>
          <w:b/>
          <w:bCs/>
          <w:u w:val="single"/>
        </w:rPr>
        <w:t xml:space="preserve">ochrony środowiska (UD343).  </w:t>
      </w:r>
    </w:p>
    <w:p w14:paraId="75EF4988" w14:textId="77777777" w:rsidR="00E87889" w:rsidRPr="0087272B" w:rsidRDefault="00E87889" w:rsidP="0087272B">
      <w:pPr>
        <w:spacing w:after="0" w:line="300" w:lineRule="auto"/>
        <w:jc w:val="both"/>
        <w:rPr>
          <w:rFonts w:ascii="Arial" w:hAnsi="Arial" w:cs="Arial"/>
        </w:rPr>
      </w:pPr>
    </w:p>
    <w:p w14:paraId="217EF889" w14:textId="77777777" w:rsidR="0087272B" w:rsidRPr="0087272B" w:rsidRDefault="0087272B" w:rsidP="0087272B">
      <w:pPr>
        <w:spacing w:after="0" w:line="300" w:lineRule="auto"/>
        <w:jc w:val="both"/>
        <w:rPr>
          <w:rFonts w:ascii="Arial" w:eastAsia="Calibri" w:hAnsi="Arial" w:cs="Arial"/>
        </w:rPr>
      </w:pPr>
      <w:r w:rsidRPr="0087272B">
        <w:rPr>
          <w:rFonts w:ascii="Arial" w:eastAsia="Calibri" w:hAnsi="Arial" w:cs="Arial"/>
        </w:rPr>
        <w:t>Ustawa z dnia 30 sierpnia 2019 r. o zmianie ustawy – Prawo ochrony środowiska (Dz. U. poz. 2087 oraz z 2020 r. poz. 1086) (dalej: „ustawa zmieniająca”), została uchwalona w związku z koniecznością:</w:t>
      </w:r>
    </w:p>
    <w:p w14:paraId="1F11762A" w14:textId="77777777" w:rsidR="0087272B" w:rsidRPr="0087272B" w:rsidRDefault="0087272B" w:rsidP="0087272B">
      <w:pPr>
        <w:pStyle w:val="Akapitzlist"/>
        <w:numPr>
          <w:ilvl w:val="0"/>
          <w:numId w:val="6"/>
        </w:numPr>
        <w:spacing w:after="0" w:line="300" w:lineRule="auto"/>
        <w:ind w:left="567" w:hanging="283"/>
        <w:jc w:val="both"/>
        <w:rPr>
          <w:rFonts w:ascii="Arial" w:eastAsia="Calibri" w:hAnsi="Arial" w:cs="Arial"/>
        </w:rPr>
      </w:pPr>
      <w:r w:rsidRPr="0087272B">
        <w:rPr>
          <w:rFonts w:ascii="Arial" w:eastAsia="Calibri" w:hAnsi="Arial" w:cs="Arial"/>
        </w:rPr>
        <w:t>transpozycji do polskiego prawa, w terminie do 31 grudnia 2018 r., dyrektywy Komisji (UE) 2015/996 z dnia 19 maja 2015 r. ustanawiającej wspólne metody oceny hałasu zgodnie z dyrektywą 2002/49/WE Parlamentu Europejskiego i Rady,</w:t>
      </w:r>
    </w:p>
    <w:p w14:paraId="7BEEED4A" w14:textId="77777777" w:rsidR="0087272B" w:rsidRPr="0087272B" w:rsidRDefault="0087272B" w:rsidP="0087272B">
      <w:pPr>
        <w:pStyle w:val="Akapitzlist"/>
        <w:numPr>
          <w:ilvl w:val="0"/>
          <w:numId w:val="6"/>
        </w:numPr>
        <w:spacing w:after="0" w:line="300" w:lineRule="auto"/>
        <w:ind w:left="567" w:hanging="283"/>
        <w:jc w:val="both"/>
        <w:rPr>
          <w:rFonts w:ascii="Arial" w:eastAsia="Calibri" w:hAnsi="Arial" w:cs="Arial"/>
        </w:rPr>
      </w:pPr>
      <w:r w:rsidRPr="0087272B">
        <w:rPr>
          <w:rFonts w:ascii="Arial" w:eastAsia="Calibri" w:hAnsi="Arial" w:cs="Arial"/>
        </w:rPr>
        <w:t xml:space="preserve">usunięcia uchybień w transpozycji i stosowaniu dyrektywy 2002/49/WE Parlamentu Europejskiego i Rady z dnia 25 czerwca 2002 r. odnoszącej się do oceny i zarządzania poziomem hałasu w środowisku. </w:t>
      </w:r>
    </w:p>
    <w:p w14:paraId="18122D64" w14:textId="77777777" w:rsidR="0087272B" w:rsidRPr="0087272B" w:rsidRDefault="0087272B" w:rsidP="0087272B">
      <w:pPr>
        <w:spacing w:after="0" w:line="300" w:lineRule="auto"/>
        <w:jc w:val="both"/>
        <w:rPr>
          <w:rFonts w:ascii="Arial" w:eastAsia="Calibri" w:hAnsi="Arial" w:cs="Arial"/>
        </w:rPr>
      </w:pPr>
      <w:r w:rsidRPr="0087272B">
        <w:rPr>
          <w:rFonts w:ascii="Arial" w:eastAsia="Calibri" w:hAnsi="Arial" w:cs="Arial"/>
        </w:rPr>
        <w:t>Komisja Europejska (dalej: „KE”) w wezwaniu do usunięcia uchybień wskazała m.in., że na gruncie polskich przepisów obowiązek sporządzania programów ochrony środowiska przed hałasem dotyczy jedynie terenów, na których poziom hałasu przekracza poziom dopuszczalny (art. 119 ust. 1 ustawy z dnia 27 kwietnia 2001 r. – Prawo ochrony środowiska, dalej: „POŚ”) podczas, gdy powinien on dotyczyć także terenów, na których poziom hałasu nie jest przekroczony oraz obszarów cichych (zgodnie z art. 8 ust. 1 i 2 oraz załącznikiem V ust. 1 tiret dziewiąte dyrektywy 2002/49/WE).</w:t>
      </w:r>
    </w:p>
    <w:p w14:paraId="0C641266" w14:textId="77777777" w:rsidR="0087272B" w:rsidRPr="0087272B" w:rsidRDefault="0087272B" w:rsidP="0087272B">
      <w:pPr>
        <w:spacing w:after="0" w:line="300" w:lineRule="auto"/>
        <w:jc w:val="both"/>
        <w:rPr>
          <w:rFonts w:ascii="Arial" w:eastAsia="Calibri" w:hAnsi="Arial" w:cs="Arial"/>
        </w:rPr>
      </w:pPr>
      <w:r w:rsidRPr="0087272B">
        <w:rPr>
          <w:rFonts w:ascii="Arial" w:eastAsia="Calibri" w:hAnsi="Arial" w:cs="Arial"/>
        </w:rPr>
        <w:lastRenderedPageBreak/>
        <w:t>Ponadto, zmiana ustawy miała rozwiązać szereg problemów związanych ze sporządzaniem map akustycznych, opracowywaniem programów ochrony środowiska przed hałasem, a następnie przekazywaniem Komisji Europejskiej danych z tych dokumentów. Kompleksowa i terminowa realizacja tych zadań była szczególnie istotna w kontekście wyroku Trybunału Sprawiedliwości Unii Europejskiej z dnia 20 kwietnia 2023 r., w sprawie C-602/21 Komisja Europejska przeciwko Rzeczypospolitej Polskiej, stwierdzającego, że Polska uchybiła zobowiązaniom ciążącym na niej na mocy art. 8 ust. 1 i 2 dyrektywy 2002/49/WE Parlamentu Europejskiego i Rady z dnia 25 czerwca 2002 r. odnoszącej się do oceny i zarządzania poziomem hałasu w środowisku.</w:t>
      </w:r>
    </w:p>
    <w:p w14:paraId="762287F3" w14:textId="77777777" w:rsidR="0087272B" w:rsidRPr="0087272B" w:rsidRDefault="0087272B" w:rsidP="0087272B">
      <w:pPr>
        <w:spacing w:after="0" w:line="300" w:lineRule="auto"/>
        <w:jc w:val="both"/>
        <w:rPr>
          <w:rFonts w:ascii="Arial" w:eastAsia="Calibri" w:hAnsi="Arial" w:cs="Arial"/>
        </w:rPr>
      </w:pPr>
      <w:r w:rsidRPr="0087272B">
        <w:rPr>
          <w:rFonts w:ascii="Arial" w:eastAsia="Calibri" w:hAnsi="Arial" w:cs="Arial"/>
        </w:rPr>
        <w:t>Ustawa zmieniająca m.in.:</w:t>
      </w:r>
    </w:p>
    <w:p w14:paraId="25C67E9F" w14:textId="77777777" w:rsidR="0087272B" w:rsidRPr="0087272B" w:rsidRDefault="0087272B" w:rsidP="0087272B">
      <w:pPr>
        <w:pStyle w:val="Akapitzlist"/>
        <w:numPr>
          <w:ilvl w:val="0"/>
          <w:numId w:val="7"/>
        </w:numPr>
        <w:spacing w:after="0" w:line="300" w:lineRule="auto"/>
        <w:ind w:left="567" w:hanging="283"/>
        <w:jc w:val="both"/>
        <w:rPr>
          <w:rFonts w:ascii="Arial" w:eastAsia="Calibri" w:hAnsi="Arial" w:cs="Arial"/>
        </w:rPr>
      </w:pPr>
      <w:r w:rsidRPr="0087272B">
        <w:rPr>
          <w:rFonts w:ascii="Arial" w:eastAsia="Calibri" w:hAnsi="Arial" w:cs="Arial"/>
        </w:rPr>
        <w:t>zlikwidowała problem nieterminowego przekazywania danych ze strategicznych map hałasu i programów ochrony środowiska przed hałasem,</w:t>
      </w:r>
    </w:p>
    <w:p w14:paraId="4AF471A7" w14:textId="77777777" w:rsidR="0087272B" w:rsidRPr="0087272B" w:rsidRDefault="0087272B" w:rsidP="0087272B">
      <w:pPr>
        <w:pStyle w:val="Akapitzlist"/>
        <w:numPr>
          <w:ilvl w:val="0"/>
          <w:numId w:val="7"/>
        </w:numPr>
        <w:spacing w:after="0" w:line="300" w:lineRule="auto"/>
        <w:ind w:left="567" w:hanging="283"/>
        <w:jc w:val="both"/>
        <w:rPr>
          <w:rFonts w:ascii="Arial" w:eastAsia="Calibri" w:hAnsi="Arial" w:cs="Arial"/>
        </w:rPr>
      </w:pPr>
      <w:r w:rsidRPr="0087272B">
        <w:rPr>
          <w:rFonts w:ascii="Arial" w:eastAsia="Calibri" w:hAnsi="Arial" w:cs="Arial"/>
        </w:rPr>
        <w:t>ujednoliciła sposób sporządzania programów ochrony środowiska przed hałasem, przekazując marszałkom województw sporządzanie tych programów dla całego województwa (przed nowelizacją POŚ programy ochrony środowiska dla aglomeracji o liczbie mieszkańców przekraczającej 100 tysięcy były sporządzane przez prezydentów miast na prawach powiatów),</w:t>
      </w:r>
    </w:p>
    <w:p w14:paraId="1EB8EFFB" w14:textId="77777777" w:rsidR="0087272B" w:rsidRPr="0087272B" w:rsidRDefault="0087272B" w:rsidP="0087272B">
      <w:pPr>
        <w:pStyle w:val="Akapitzlist"/>
        <w:numPr>
          <w:ilvl w:val="0"/>
          <w:numId w:val="7"/>
        </w:numPr>
        <w:spacing w:after="0" w:line="300" w:lineRule="auto"/>
        <w:ind w:left="567" w:hanging="283"/>
        <w:jc w:val="both"/>
        <w:rPr>
          <w:rFonts w:ascii="Arial" w:eastAsia="Calibri" w:hAnsi="Arial" w:cs="Arial"/>
        </w:rPr>
      </w:pPr>
      <w:r w:rsidRPr="0087272B">
        <w:rPr>
          <w:rFonts w:ascii="Arial" w:eastAsia="Calibri" w:hAnsi="Arial" w:cs="Arial"/>
        </w:rPr>
        <w:t xml:space="preserve">umożliwiła zintegrowanie zwalidowanych i uporządkowanych danych z map akustycznych, jak i z wykonanych na ich podstawie programów, w celu ich terminowego przekazania do KE. </w:t>
      </w:r>
    </w:p>
    <w:p w14:paraId="37DB41A2" w14:textId="77777777" w:rsidR="0087272B" w:rsidRPr="0087272B" w:rsidRDefault="0087272B" w:rsidP="0087272B">
      <w:pPr>
        <w:spacing w:after="0" w:line="300" w:lineRule="auto"/>
        <w:jc w:val="both"/>
        <w:rPr>
          <w:rFonts w:ascii="Arial" w:eastAsia="Calibri" w:hAnsi="Arial" w:cs="Arial"/>
        </w:rPr>
      </w:pPr>
      <w:r w:rsidRPr="0087272B">
        <w:rPr>
          <w:rFonts w:ascii="Arial" w:eastAsia="Calibri" w:hAnsi="Arial" w:cs="Arial"/>
        </w:rPr>
        <w:t>Zmiana przepisów umożliwiła efektywne funkcjonowanie systemu sporządzania i agregacji danych z map i programów oraz zapewniła odpowiednią jakość informacji przekazywanych do KE.</w:t>
      </w:r>
    </w:p>
    <w:p w14:paraId="7171A855" w14:textId="77777777" w:rsidR="0087272B" w:rsidRPr="0087272B" w:rsidRDefault="0087272B" w:rsidP="0087272B">
      <w:pPr>
        <w:spacing w:after="0" w:line="300" w:lineRule="auto"/>
        <w:jc w:val="both"/>
        <w:rPr>
          <w:rFonts w:ascii="Arial" w:eastAsia="Calibri" w:hAnsi="Arial" w:cs="Arial"/>
        </w:rPr>
      </w:pPr>
      <w:r w:rsidRPr="0087272B">
        <w:rPr>
          <w:rFonts w:ascii="Arial" w:eastAsia="Calibri" w:hAnsi="Arial" w:cs="Arial"/>
        </w:rPr>
        <w:t>Ustawa zmieniająca zakładała finansowanie z budżetu państwa zadań Głównego Inspektora Ochrony Środowiska (dalej: „GIOŚ”), polegających na agregacji danych ze strategicznych map hałasu i programów ochrony środowiska przed hałasem oraz na rozpatrywaniu odwołań od decyzji wojewódzkich inspektorów ochrony środowiska (dalej: „wioś”) wymierzających kary, wprowadzone ustawą zmieniającą, za nieterminowe przekazanie tych danych.</w:t>
      </w:r>
    </w:p>
    <w:p w14:paraId="3053C5D5" w14:textId="77777777" w:rsidR="0087272B" w:rsidRPr="0087272B" w:rsidRDefault="0087272B" w:rsidP="0087272B">
      <w:pPr>
        <w:spacing w:after="0" w:line="300" w:lineRule="auto"/>
        <w:jc w:val="both"/>
        <w:rPr>
          <w:rFonts w:ascii="Arial" w:eastAsia="Calibri" w:hAnsi="Arial" w:cs="Arial"/>
        </w:rPr>
      </w:pPr>
      <w:r w:rsidRPr="0087272B">
        <w:rPr>
          <w:rFonts w:ascii="Arial" w:eastAsia="Calibri" w:hAnsi="Arial" w:cs="Arial"/>
        </w:rPr>
        <w:t>Ponadto, mając na uwadze, że zgodnie z art. 378 ust. 4 POŚ, sporządzanie programów ochrony środowiska przez marszałków województw jest zadaniem z zakresu administracji rządowej, przewidziano dodatkowe środki dla marszałków w związku ze zwiększeniem zakresu programów przez nich sporządzanych o aglomeracje o liczbie mieszkańców przekraczającej 100 tysięcy.</w:t>
      </w:r>
    </w:p>
    <w:p w14:paraId="46D6F067" w14:textId="18D94716" w:rsidR="00A17A17" w:rsidRPr="0087272B" w:rsidRDefault="0087272B" w:rsidP="0087272B">
      <w:pPr>
        <w:spacing w:after="0" w:line="300" w:lineRule="auto"/>
        <w:jc w:val="both"/>
        <w:rPr>
          <w:rFonts w:ascii="Arial" w:hAnsi="Arial" w:cs="Arial"/>
        </w:rPr>
      </w:pPr>
      <w:r w:rsidRPr="0087272B">
        <w:rPr>
          <w:rFonts w:ascii="Arial" w:eastAsia="Calibri" w:hAnsi="Arial" w:cs="Arial"/>
        </w:rPr>
        <w:t>W związku ze zbliżającym się upływem 10-letniego okresu, na jaki zostały określone limity wydatków z budżetu państwa, konieczna jest nowelizacja art. 14 ustawy zmieniającej, w celu zapewnienia środków finansowych na ww. zadania.</w:t>
      </w:r>
    </w:p>
    <w:p w14:paraId="5F2ECE52" w14:textId="77777777" w:rsidR="00E87889" w:rsidRDefault="00E87889" w:rsidP="00E87889">
      <w:pPr>
        <w:spacing w:after="0" w:line="300" w:lineRule="auto"/>
        <w:jc w:val="both"/>
        <w:rPr>
          <w:rFonts w:ascii="Arial" w:hAnsi="Arial" w:cs="Arial"/>
        </w:rPr>
      </w:pPr>
    </w:p>
    <w:p w14:paraId="0805F93D" w14:textId="77777777" w:rsidR="0087272B" w:rsidRPr="0087272B" w:rsidRDefault="0087272B" w:rsidP="0087272B">
      <w:pPr>
        <w:spacing w:after="0" w:line="300" w:lineRule="auto"/>
        <w:jc w:val="both"/>
        <w:rPr>
          <w:rFonts w:ascii="Arial" w:hAnsi="Arial" w:cs="Arial"/>
        </w:rPr>
      </w:pPr>
      <w:r w:rsidRPr="0087272B">
        <w:rPr>
          <w:rFonts w:ascii="Arial" w:hAnsi="Arial" w:cs="Arial"/>
        </w:rPr>
        <w:t>Przedmiotowy projekt aktu prawnego wraz z Uzasadnieniem, Oceną Skutków Regulacji, oraz załącznikami do OSR (szt.4) dostępny jest na stronach Rządowego Centrum Legislacji pod adresem:</w:t>
      </w:r>
    </w:p>
    <w:p w14:paraId="10F8BFF0" w14:textId="7D2546AA" w:rsidR="0087272B" w:rsidRDefault="0087272B" w:rsidP="0087272B">
      <w:pPr>
        <w:spacing w:after="0" w:line="300" w:lineRule="auto"/>
        <w:jc w:val="both"/>
        <w:rPr>
          <w:rFonts w:ascii="Arial" w:hAnsi="Arial" w:cs="Arial"/>
        </w:rPr>
      </w:pPr>
      <w:hyperlink r:id="rId6" w:history="1">
        <w:r w:rsidRPr="00D82204">
          <w:rPr>
            <w:rStyle w:val="Hipercze"/>
            <w:rFonts w:ascii="Arial" w:hAnsi="Arial" w:cs="Arial"/>
          </w:rPr>
          <w:t>https://legislacja.rcl.gov.pl/projekt/</w:t>
        </w:r>
        <w:r w:rsidRPr="00D82204">
          <w:rPr>
            <w:rStyle w:val="Hipercze"/>
            <w:rFonts w:ascii="Arial" w:hAnsi="Arial" w:cs="Arial"/>
          </w:rPr>
          <w:t>1</w:t>
        </w:r>
        <w:r w:rsidRPr="00D82204">
          <w:rPr>
            <w:rStyle w:val="Hipercze"/>
            <w:rFonts w:ascii="Arial" w:hAnsi="Arial" w:cs="Arial"/>
          </w:rPr>
          <w:t>2409201/katalog/13197351#13197351</w:t>
        </w:r>
      </w:hyperlink>
      <w:r>
        <w:rPr>
          <w:rFonts w:ascii="Arial" w:hAnsi="Arial" w:cs="Arial"/>
        </w:rPr>
        <w:t xml:space="preserve"> </w:t>
      </w:r>
    </w:p>
    <w:p w14:paraId="3112E565" w14:textId="77777777" w:rsidR="0087272B" w:rsidRDefault="0087272B" w:rsidP="00E87889">
      <w:pPr>
        <w:spacing w:after="0" w:line="300" w:lineRule="auto"/>
        <w:jc w:val="both"/>
        <w:rPr>
          <w:rFonts w:ascii="Arial" w:hAnsi="Arial" w:cs="Arial"/>
        </w:rPr>
      </w:pPr>
    </w:p>
    <w:p w14:paraId="759116EA" w14:textId="0E3D9B2B" w:rsidR="0087272B" w:rsidRDefault="0087272B" w:rsidP="00E87889">
      <w:pPr>
        <w:spacing w:after="0" w:line="300" w:lineRule="auto"/>
        <w:jc w:val="both"/>
        <w:rPr>
          <w:rFonts w:ascii="Arial" w:hAnsi="Arial" w:cs="Arial"/>
        </w:rPr>
      </w:pPr>
      <w:r w:rsidRPr="0087272B">
        <w:rPr>
          <w:rFonts w:ascii="Arial" w:hAnsi="Arial" w:cs="Arial"/>
        </w:rPr>
        <w:t>Projekt jest obecnie jednocześnie na etapie uzgodnień</w:t>
      </w:r>
      <w:r>
        <w:rPr>
          <w:rFonts w:ascii="Arial" w:hAnsi="Arial" w:cs="Arial"/>
        </w:rPr>
        <w:t xml:space="preserve"> i</w:t>
      </w:r>
      <w:r w:rsidRPr="0087272B">
        <w:rPr>
          <w:rFonts w:ascii="Arial" w:hAnsi="Arial" w:cs="Arial"/>
        </w:rPr>
        <w:t xml:space="preserve"> konsultacji publicznych</w:t>
      </w:r>
      <w:r>
        <w:rPr>
          <w:rFonts w:ascii="Arial" w:hAnsi="Arial" w:cs="Arial"/>
        </w:rPr>
        <w:t>.</w:t>
      </w:r>
    </w:p>
    <w:p w14:paraId="71BE1904" w14:textId="77777777" w:rsidR="0087272B" w:rsidRPr="00E87889" w:rsidRDefault="0087272B" w:rsidP="00E87889">
      <w:pPr>
        <w:spacing w:after="0" w:line="300" w:lineRule="auto"/>
        <w:jc w:val="both"/>
        <w:rPr>
          <w:rFonts w:ascii="Arial" w:hAnsi="Arial" w:cs="Arial"/>
        </w:rPr>
      </w:pPr>
    </w:p>
    <w:p w14:paraId="19FF5BFA" w14:textId="21FF22CD" w:rsidR="00AB3E3C" w:rsidRPr="0087272B" w:rsidRDefault="0087272B" w:rsidP="00AB3E3C">
      <w:pPr>
        <w:pStyle w:val="Akapitzlist"/>
        <w:numPr>
          <w:ilvl w:val="0"/>
          <w:numId w:val="3"/>
        </w:numPr>
        <w:spacing w:after="0" w:line="300" w:lineRule="auto"/>
        <w:jc w:val="both"/>
        <w:rPr>
          <w:rFonts w:ascii="Arial" w:hAnsi="Arial" w:cs="Arial"/>
          <w:b/>
          <w:bCs/>
          <w:u w:val="single"/>
        </w:rPr>
      </w:pPr>
      <w:r w:rsidRPr="0087272B">
        <w:rPr>
          <w:rFonts w:ascii="Arial" w:hAnsi="Arial" w:cs="Arial"/>
          <w:b/>
          <w:bCs/>
          <w:u w:val="single"/>
        </w:rPr>
        <w:lastRenderedPageBreak/>
        <w:t>P</w:t>
      </w:r>
      <w:r w:rsidRPr="0087272B">
        <w:rPr>
          <w:rFonts w:ascii="Arial" w:hAnsi="Arial" w:cs="Arial"/>
          <w:b/>
          <w:bCs/>
          <w:u w:val="single"/>
        </w:rPr>
        <w:t>rojekt ustawy o zmianie ustawy - Kodeks karny oraz niektórych innych ustaw (m.in. Prawa geologicznego i górniczego – UC148).</w:t>
      </w:r>
    </w:p>
    <w:p w14:paraId="74784881" w14:textId="77777777" w:rsidR="00AB3E3C" w:rsidRPr="0087272B" w:rsidRDefault="00AB3E3C" w:rsidP="0087272B">
      <w:pPr>
        <w:spacing w:after="0" w:line="300" w:lineRule="auto"/>
        <w:jc w:val="both"/>
        <w:rPr>
          <w:rFonts w:ascii="Arial" w:hAnsi="Arial" w:cs="Arial"/>
        </w:rPr>
      </w:pPr>
    </w:p>
    <w:p w14:paraId="714C6470" w14:textId="77777777" w:rsidR="0087272B" w:rsidRPr="0087272B" w:rsidRDefault="0087272B" w:rsidP="0087272B">
      <w:pPr>
        <w:spacing w:after="0" w:line="300" w:lineRule="auto"/>
        <w:jc w:val="both"/>
        <w:rPr>
          <w:rFonts w:ascii="Arial" w:eastAsia="Calibri" w:hAnsi="Arial" w:cs="Arial"/>
        </w:rPr>
      </w:pPr>
      <w:r w:rsidRPr="0087272B">
        <w:rPr>
          <w:rFonts w:ascii="Arial" w:eastAsia="Calibri" w:hAnsi="Arial" w:cs="Arial"/>
        </w:rPr>
        <w:t>Projekt ustawy ma na celu pełne wdrożenie postanowień Dyrektywy Parlamentu Europejskiego i Rady (UE) 2024/1203 z dnia 11 kwietnia 2024 r. w sprawie ochrony środowiska poprzez prawo karne i zastępującej dyrektywy 2008/99/WE i 2009/123/WE, a ponadto ma na celu zapewnienie wysokiego poziomu ochrony środowiska naturalnego. W świetle kryzysu klimatycznego i bioróżnorodności, przestępstwa przeciwko środowisku stanowią jedno z najpoważniejszych zagrożeń globalnych. Degradacja środowiska stanowi nie tylko zagrożenie dla życia i zdrowia ludzkiego, ale również stworzyła przestrzeń do nadużyć i działań przestępczych związanych m. in. z nieodpowiednim gospodarowaniem odpadami. W ostatnim czasie obserwowany jest wzrost liczby przestępstw przeciwko środowisku, także o charakterze transgranicznym, wykraczających poza granice państw członkowskich, w których są popełniane. Takie przestępstwa stanowią zagrożenie dla środowiska i w związku z tym wymagają stosownej i skutecznej reakcji, wiążącej się często z koniecznością efektywnej współpracy transgranicznej. Dyrektywa Parlamentu Europejskiego i Rady (UE) 2024/1203 wprowadziła i ujednoliciła nowe definicje przestępstw, co przyczyni się do skutecznej walki z przestępczością środowiskową na terenie całej Unii Europejskiej, z uwagi na m. in. spełnienie wymogu podwójnej karalności. Wdrożenie postanowień dyrektywy ułatwi również polskim organom ścigania współpracę z innymi organami ścigania w krajach UE. Ponadto wspólne unijne standardy co do wysokości kar za przestępstwa środowiskowe sprawią, że przestępcy nie będą mogli uciekać z działalnością do krajów o łagodniejszych karach.</w:t>
      </w:r>
    </w:p>
    <w:p w14:paraId="1AB61925" w14:textId="77777777" w:rsidR="0087272B" w:rsidRPr="0087272B" w:rsidRDefault="0087272B" w:rsidP="0087272B">
      <w:pPr>
        <w:spacing w:after="0" w:line="300" w:lineRule="auto"/>
        <w:jc w:val="both"/>
        <w:rPr>
          <w:rFonts w:ascii="Arial" w:eastAsia="Calibri" w:hAnsi="Arial" w:cs="Arial"/>
        </w:rPr>
      </w:pPr>
      <w:r w:rsidRPr="0087272B">
        <w:rPr>
          <w:rFonts w:ascii="Arial" w:eastAsia="Calibri" w:hAnsi="Arial" w:cs="Arial"/>
        </w:rPr>
        <w:t>Nie ma możliwości zapewnienia transpozycji wymogów 2024/1203 bez nowelizacji przepisów rangi ustawowej, ponieważ w polskim porządku prawnym kwestie te są regulowane na poziomie ustawowym.</w:t>
      </w:r>
    </w:p>
    <w:p w14:paraId="56EF6F0A" w14:textId="77777777" w:rsidR="0087272B" w:rsidRPr="0087272B" w:rsidRDefault="0087272B" w:rsidP="0087272B">
      <w:pPr>
        <w:spacing w:after="0" w:line="300" w:lineRule="auto"/>
        <w:jc w:val="both"/>
        <w:rPr>
          <w:rFonts w:ascii="Arial" w:eastAsia="Calibri" w:hAnsi="Arial" w:cs="Arial"/>
        </w:rPr>
      </w:pPr>
      <w:r w:rsidRPr="0087272B">
        <w:rPr>
          <w:rFonts w:ascii="Arial" w:eastAsia="Calibri" w:hAnsi="Arial" w:cs="Arial"/>
        </w:rPr>
        <w:t>Zmiany w ustawie z dnia 6 czerwca 1997 r. - Kodeks karny</w:t>
      </w:r>
    </w:p>
    <w:p w14:paraId="3A83C13A" w14:textId="77777777" w:rsidR="0087272B" w:rsidRPr="0087272B" w:rsidRDefault="0087272B" w:rsidP="0087272B">
      <w:pPr>
        <w:spacing w:after="0" w:line="300" w:lineRule="auto"/>
        <w:jc w:val="both"/>
        <w:rPr>
          <w:rFonts w:ascii="Arial" w:eastAsia="Calibri" w:hAnsi="Arial" w:cs="Arial"/>
        </w:rPr>
      </w:pPr>
      <w:r w:rsidRPr="0087272B">
        <w:rPr>
          <w:rFonts w:ascii="Arial" w:eastAsia="Calibri" w:hAnsi="Arial" w:cs="Arial"/>
        </w:rPr>
        <w:t>Projekt przewiduje modyfikację dyspozycji obowiązującego art. 171 k.k., zgodnie z którym penalizowane będzie, wyrabianie, przetwarzanie, gromadzenie, posiadanie, przywożenie, wywożenie, posługiwanie się lub handel – wbrew zakazowi, bez wymaganego zezwolenia lub wbrew jego warunkom – produktem, substancją lub przyrządem wybuchowym, materiałem radioaktywnym, urządzeniem emitującym promienie jonizujące lub innym przedmiotem lub inną substancją, która może sprowadzić niebezpieczeństwo dla życia lub zdrowia wielu osób, mienia w wielkich rozmiarach, albo może spowodować istotne obniżenie jakości wody, powietrza, powierzchni ziemi, lub zniszczenie lub istotną szkodę ekosystemu albo w świecie roślinnym lub zwierzęcym. Wprowadzone zostaną również dodatkowe formy popełnienia przestępstwa: forma nieumyślna, typ kwalifikowany, w którym projektodawca, w celu zapewnienia spójności z innymi przepisami części szczególnej k.k., wprowadził także znamię ciężkiego uszczerbku na zdrowiu wielu osób, a także typ kwalifikowany względem formy nieumyślnej, zagrożony maksymalną karą przynajmniej 5 lat pozbawienia wolności, a wyróżniony ze względu na następstwo w postaci śmierci człowieka.</w:t>
      </w:r>
    </w:p>
    <w:p w14:paraId="6B98ABCE" w14:textId="77777777" w:rsidR="0087272B" w:rsidRPr="0087272B" w:rsidRDefault="0087272B" w:rsidP="0087272B">
      <w:pPr>
        <w:spacing w:after="0" w:line="300" w:lineRule="auto"/>
        <w:jc w:val="both"/>
        <w:rPr>
          <w:rFonts w:ascii="Arial" w:eastAsia="Calibri" w:hAnsi="Arial" w:cs="Arial"/>
        </w:rPr>
      </w:pPr>
      <w:r w:rsidRPr="0087272B">
        <w:rPr>
          <w:rFonts w:ascii="Arial" w:eastAsia="Calibri" w:hAnsi="Arial" w:cs="Arial"/>
        </w:rPr>
        <w:t xml:space="preserve">Poczynić w tym miejscu należy uwagę o charakterze przekrojowym. Projektodawca posłużył się występującą już dotychczas w kodeksie karnym formułą „woda, powietrze lub powierzchnia ziemi” (art. 182 § 1, art. 183 § 1, art. 184 § 1, art. 185 § 1), pomimo iż dyrektywa w przepisie art. 3 ust. 2 stosuje formułę „powietrza, gleby lub wody”. Wskazać zatem trzeba, że pojęcie </w:t>
      </w:r>
      <w:r w:rsidRPr="0087272B">
        <w:rPr>
          <w:rFonts w:ascii="Arial" w:eastAsia="Calibri" w:hAnsi="Arial" w:cs="Arial"/>
        </w:rPr>
        <w:lastRenderedPageBreak/>
        <w:t>„gleby” w krajowym porządku prawnym zawiera się w pojęciu „powierzchni ziemi”. Zgodnie bowiem z art. 3 pkt 25 ustawy z dnia 27 kwietnia 2001 – Prawo ochrony środowiska (Dz. U. z 2025 r. poz. 647, 1080, 1812 i 1863 oraz z 2026 r. poz. 176 i 426) przez powierzchnię ziemi rozumie się „ukształtowanie terenu, glebę, ziemię oraz wody gruntowe”. Przepis ten w dalszej swojej treści wskazuje na rozróżnienie pomiędzy glebą i ziemią, co jednak istotne, oba te pojęcia (jak również ukształtowanie ternu i wody gruntowe) znajdują się w zakresie definicji powierzchni ziemi.</w:t>
      </w:r>
    </w:p>
    <w:p w14:paraId="5B03E097" w14:textId="77777777" w:rsidR="0087272B" w:rsidRPr="0087272B" w:rsidRDefault="0087272B" w:rsidP="0087272B">
      <w:pPr>
        <w:spacing w:after="0" w:line="300" w:lineRule="auto"/>
        <w:jc w:val="both"/>
        <w:rPr>
          <w:rFonts w:ascii="Arial" w:eastAsia="Calibri" w:hAnsi="Arial" w:cs="Arial"/>
        </w:rPr>
      </w:pPr>
      <w:r w:rsidRPr="0087272B">
        <w:rPr>
          <w:rFonts w:ascii="Arial" w:eastAsia="Calibri" w:hAnsi="Arial" w:cs="Arial"/>
        </w:rPr>
        <w:t>Na zasadność stosowania definicji wynikającej z art. 3 pkt 25 Prawa ochrony środowiska wskazują przedstawiciele doktryny prawa. Dlatego też zarówno w projektowanych przepisach kodeksu karnego, jak i w pozakodeksowych przepisach o charakterze prawnokarnym projektodawca zdecydował się posłużyć odwołaniem do powierzchni ziemi, nie zaś gleby.</w:t>
      </w:r>
    </w:p>
    <w:p w14:paraId="3ECBEA48" w14:textId="77777777" w:rsidR="0087272B" w:rsidRPr="0087272B" w:rsidRDefault="0087272B" w:rsidP="0087272B">
      <w:pPr>
        <w:spacing w:after="0" w:line="300" w:lineRule="auto"/>
        <w:jc w:val="both"/>
        <w:rPr>
          <w:rFonts w:ascii="Arial" w:eastAsia="Calibri" w:hAnsi="Arial" w:cs="Arial"/>
        </w:rPr>
      </w:pPr>
      <w:r w:rsidRPr="0087272B">
        <w:rPr>
          <w:rFonts w:ascii="Arial" w:eastAsia="Calibri" w:hAnsi="Arial" w:cs="Arial"/>
        </w:rPr>
        <w:t>Działania bezpośrednio ingerujące w gatunki objęte ochroną w ich środowisku naturalnym, takie jak zabijanie/niszczenie, chwytanie/zrywanie, ranienie/uszkadzanie, będą spenalizowane na podstawie zmienianego art. 181 k.k. Przepis ten zostanie także skorygowany językowo, poprzez odwołanie się do zabijania lub ranienia zwierząt, a nie niszczenia lub uszkadzania. Czyny zabronione związane z działaniami już po usunięciu okazów chronionych ze środowiska, takie jak wchodzenie w ich posiadanie czy handel nimi, zostaną spenalizowane w znowelizowanym art. 127a ustawy o ochronie przyrody, a siedliska przyrodnicze będą podlegały ochronie prawnokarnej na mocy projektowanego art. 127b ustawy o ochronie przyrody.</w:t>
      </w:r>
    </w:p>
    <w:p w14:paraId="2FE79570" w14:textId="77777777" w:rsidR="0087272B" w:rsidRPr="0087272B" w:rsidRDefault="0087272B" w:rsidP="0087272B">
      <w:pPr>
        <w:spacing w:after="0" w:line="300" w:lineRule="auto"/>
        <w:jc w:val="both"/>
        <w:rPr>
          <w:rFonts w:ascii="Arial" w:eastAsia="Calibri" w:hAnsi="Arial" w:cs="Arial"/>
        </w:rPr>
      </w:pPr>
      <w:r w:rsidRPr="0087272B">
        <w:rPr>
          <w:rFonts w:ascii="Arial" w:eastAsia="Calibri" w:hAnsi="Arial" w:cs="Arial"/>
        </w:rPr>
        <w:t>W art. 181 § 2 k.k. zagrożenie karą zostanie zmienione na pozbawienie wolności od 3 miesięcy do lat 5. Ma to zapewnić spójność wewnętrzną aktu prawnego poprzez dostosowanie wymiaru kary do systematyki kar w Kodeksie karnym. Jednocześnie, zgodnie z art. 37a k.k., takie zagrożenie karą w dalszym ciągu pozwala sądowi na wymierzenie kary wolnościowej (grzywny albo ograniczenia wolności), w miejsce pozbawienia wolności.</w:t>
      </w:r>
    </w:p>
    <w:p w14:paraId="625CB5E3" w14:textId="77777777" w:rsidR="0087272B" w:rsidRPr="0087272B" w:rsidRDefault="0087272B" w:rsidP="0087272B">
      <w:pPr>
        <w:spacing w:after="0" w:line="300" w:lineRule="auto"/>
        <w:jc w:val="both"/>
        <w:rPr>
          <w:rFonts w:ascii="Arial" w:eastAsia="Calibri" w:hAnsi="Arial" w:cs="Arial"/>
        </w:rPr>
      </w:pPr>
      <w:r w:rsidRPr="0087272B">
        <w:rPr>
          <w:rFonts w:ascii="Arial" w:eastAsia="Calibri" w:hAnsi="Arial" w:cs="Arial"/>
        </w:rPr>
        <w:t>Zmiany w art. 182 k.k. polegają na dodaniu znamienia wprowadzania do powierzchni ziemi w § 1 oraz dodanie § 1a, który obejmuje wszystkie inne przypadki zanieczyszczenia wody, powietrza lub powierzchni ziemi, to znaczy pole elektromagnetyczne, hałas lub światło. Dodana zostanie także nieumyślna forma popełnienia przestępstwa stypizowana w art. 182 § 2 k.k. oraz typ kwalifikowany stypizowany w art. 182 § 3 k.k.</w:t>
      </w:r>
    </w:p>
    <w:p w14:paraId="19BABB41" w14:textId="77777777" w:rsidR="0087272B" w:rsidRPr="0087272B" w:rsidRDefault="0087272B" w:rsidP="0087272B">
      <w:pPr>
        <w:spacing w:after="0" w:line="300" w:lineRule="auto"/>
        <w:jc w:val="both"/>
        <w:rPr>
          <w:rFonts w:ascii="Arial" w:eastAsia="Calibri" w:hAnsi="Arial" w:cs="Arial"/>
        </w:rPr>
      </w:pPr>
      <w:r w:rsidRPr="0087272B">
        <w:rPr>
          <w:rFonts w:ascii="Arial" w:eastAsia="Calibri" w:hAnsi="Arial" w:cs="Arial"/>
        </w:rPr>
        <w:t>W art. 183 k.k. rozszerzony zostanie katalog przesłanek bezprawnego postępowania z odpadami niebezpiecznymi określony w art. 183 § 5a k.k. Będzie on obejmował te same czynności, które zostały wskazane w art. 183 § 1 k.k. W art. 185 § 5a pozostawiono także dotychczasowe znamię porzucania odpadów niebezpiecznych w nieprzeznaczonym do tego miejscu, aby nie ograniczać zakresu kryminalizacji względem stanu dotychczasowego, co byłoby sprzeczne z założeniami dyrektywy. Jednocześnie do art. 183 § 5a k.k. wprowadzono rozróżnienie na składowanie i magazynowanie. W celu zapewnienia spójności przepisów i usunięcia obaw o niejednolity zakres kryminalizacji, odwołanie do magazynowania zostało dodane także do art. 183 § 1 k.k.</w:t>
      </w:r>
    </w:p>
    <w:p w14:paraId="2BAE74C5" w14:textId="77777777" w:rsidR="0087272B" w:rsidRPr="0087272B" w:rsidRDefault="0087272B" w:rsidP="0087272B">
      <w:pPr>
        <w:spacing w:after="0" w:line="300" w:lineRule="auto"/>
        <w:jc w:val="both"/>
        <w:rPr>
          <w:rFonts w:ascii="Arial" w:eastAsia="Calibri" w:hAnsi="Arial" w:cs="Arial"/>
        </w:rPr>
      </w:pPr>
      <w:r w:rsidRPr="0087272B">
        <w:rPr>
          <w:rFonts w:ascii="Arial" w:eastAsia="Calibri" w:hAnsi="Arial" w:cs="Arial"/>
        </w:rPr>
        <w:t xml:space="preserve">Konieczna jest także korekta wymiaru kary za czyn z art. 183 § 6 k.k. z takich samych powodów, jakie zostały przywołane w przypadku art. 181 § 2 k.k., przy czym w tym wypadku niespójność systemowa jest jeszcze większa, bowiem żaden inny przepis nie przewiduje kary w wymiarze grzywny, ograniczenia wolności albo pozbawienia wolności do lat 5. Wprowadzenie kary pozbawienia wolności od 3 miesięcy do lat 5 nie wyeliminuje możliwości </w:t>
      </w:r>
      <w:r w:rsidRPr="0087272B">
        <w:rPr>
          <w:rFonts w:ascii="Arial" w:eastAsia="Calibri" w:hAnsi="Arial" w:cs="Arial"/>
        </w:rPr>
        <w:lastRenderedPageBreak/>
        <w:t>wymierzenia kary wolnościowej, która w dalszym ciągu będzie mogła zostać orzeczona na podstawie art. 37a k.k.</w:t>
      </w:r>
    </w:p>
    <w:p w14:paraId="5EC28055" w14:textId="77777777" w:rsidR="0087272B" w:rsidRPr="0087272B" w:rsidRDefault="0087272B" w:rsidP="0087272B">
      <w:pPr>
        <w:spacing w:after="0" w:line="300" w:lineRule="auto"/>
        <w:jc w:val="both"/>
        <w:rPr>
          <w:rFonts w:ascii="Arial" w:eastAsia="Calibri" w:hAnsi="Arial" w:cs="Arial"/>
        </w:rPr>
      </w:pPr>
      <w:r w:rsidRPr="0087272B">
        <w:rPr>
          <w:rFonts w:ascii="Arial" w:eastAsia="Calibri" w:hAnsi="Arial" w:cs="Arial"/>
        </w:rPr>
        <w:t>W celu wdrożenia art. 3 ust. 2 lit. l dyrektywy projekt przewiduje rozszerzenie przesłanek określonych w art. 184 § 1 k.k. poprzez rozróżnienie materiałów od substancji oraz wytwarzania od produkcji. Dodany zostanie także typ kwalifikowany do nieumyślnej formy popełnienia opisywanego czynu zabronionego, zagrożony maksymalną karą w wymiarze przynajmniej 5 lat pozbawienia wolności.</w:t>
      </w:r>
    </w:p>
    <w:p w14:paraId="66C223C1" w14:textId="77777777" w:rsidR="0087272B" w:rsidRPr="0087272B" w:rsidRDefault="0087272B" w:rsidP="0087272B">
      <w:pPr>
        <w:spacing w:after="0" w:line="300" w:lineRule="auto"/>
        <w:jc w:val="both"/>
        <w:rPr>
          <w:rFonts w:ascii="Arial" w:eastAsia="Calibri" w:hAnsi="Arial" w:cs="Arial"/>
        </w:rPr>
      </w:pPr>
      <w:r w:rsidRPr="0087272B">
        <w:rPr>
          <w:rFonts w:ascii="Arial" w:eastAsia="Calibri" w:hAnsi="Arial" w:cs="Arial"/>
        </w:rPr>
        <w:t>Typ kwalifikowany w zakresie odnoszącym się do art. 182 – 184 k.k. będzie, podobnie jak dotychczas, wyróżniany ze względu na wystąpienie określonego skutku, podczas gdy typ podstawowy będzie typizowany ze względu już na samo zagrożenie jego wystąpienia. Wprowadzony będzie także odrębny typu kwalifikowany, wyróżniany ze względu na analogiczne okoliczności, względem czynów stypizowanych w art. 183 § 5 i 5a (projektowany art. 185 § 1a k.k.), bowiem już w typie podstawowym są one zagrożone karą identyczną jak przewidziana w art. 185 § 1 k.k. Wprowadzanie zaś typu kwalifikowanego, który nie pociąga za sobą surowszej odpowiedzialności byłoby niezgodne z charakterem tej instytucji prawnej.</w:t>
      </w:r>
    </w:p>
    <w:p w14:paraId="40E28C03" w14:textId="77777777" w:rsidR="0087272B" w:rsidRPr="0087272B" w:rsidRDefault="0087272B" w:rsidP="0087272B">
      <w:pPr>
        <w:spacing w:after="0" w:line="300" w:lineRule="auto"/>
        <w:jc w:val="both"/>
        <w:rPr>
          <w:rFonts w:ascii="Arial" w:eastAsia="Calibri" w:hAnsi="Arial" w:cs="Arial"/>
        </w:rPr>
      </w:pPr>
      <w:r w:rsidRPr="0087272B">
        <w:rPr>
          <w:rFonts w:ascii="Arial" w:eastAsia="Calibri" w:hAnsi="Arial" w:cs="Arial"/>
        </w:rPr>
        <w:t>W odniesieniu do czynów z art. 181 § 2 i 3 k.k., które nie polegają na spowodowaniu zagrożenia, a wystąpieniu określonych zdarzeń, typ kwalifikowany określony w art. 185 § 1 k.k. będzie wyróżniany ze względu na rozmiary wyrządzonego zniszczenia, przy jednoczesnym wyeliminowaniu warunku istotności wyrządzonej szkody z typu podstawowego, co spowoduje, że przesłanki popełnienia tych czynów w typie podstawowym i kwalifikowanym będą jednoznacznie rozróżnione.</w:t>
      </w:r>
    </w:p>
    <w:p w14:paraId="4E223451" w14:textId="77777777" w:rsidR="0087272B" w:rsidRPr="0087272B" w:rsidRDefault="0087272B" w:rsidP="0087272B">
      <w:pPr>
        <w:spacing w:after="0" w:line="300" w:lineRule="auto"/>
        <w:jc w:val="both"/>
        <w:rPr>
          <w:rFonts w:ascii="Arial" w:eastAsia="Calibri" w:hAnsi="Arial" w:cs="Arial"/>
        </w:rPr>
      </w:pPr>
      <w:r w:rsidRPr="0087272B">
        <w:rPr>
          <w:rFonts w:ascii="Arial" w:eastAsia="Calibri" w:hAnsi="Arial" w:cs="Arial"/>
        </w:rPr>
        <w:t>Zmiana w art. 186 § 1 k.k. jest konsekwencją zmian w zakresie sankcji wprowadzonych w art. 181 § 2 oraz art. 183 § 6 k.k. i ma na celu dostosowanie tego zagrożenia do systematyki Kodeksu karnego. W tym przypadku także możliwość orzeczenia kary wolnościowej na podstawie art. 37a k.k. zostanie pozostawiona.</w:t>
      </w:r>
    </w:p>
    <w:p w14:paraId="113DF07A" w14:textId="77777777" w:rsidR="0087272B" w:rsidRPr="0087272B" w:rsidRDefault="0087272B" w:rsidP="0087272B">
      <w:pPr>
        <w:spacing w:after="0" w:line="300" w:lineRule="auto"/>
        <w:jc w:val="both"/>
        <w:rPr>
          <w:rFonts w:ascii="Arial" w:eastAsia="Calibri" w:hAnsi="Arial" w:cs="Arial"/>
        </w:rPr>
      </w:pPr>
      <w:r w:rsidRPr="0087272B">
        <w:rPr>
          <w:rFonts w:ascii="Arial" w:eastAsia="Calibri" w:hAnsi="Arial" w:cs="Arial"/>
        </w:rPr>
        <w:t>Zmiany w ustawie z dnia 6 kwietnia 1990 r. o Policji (Dz. U. z 2025 r. poz. 636, 718 i 1366 oraz z 2026 r. poz. 187 i 421)</w:t>
      </w:r>
    </w:p>
    <w:p w14:paraId="103F4520" w14:textId="77777777" w:rsidR="0087272B" w:rsidRPr="0087272B" w:rsidRDefault="0087272B" w:rsidP="0087272B">
      <w:pPr>
        <w:spacing w:after="0" w:line="300" w:lineRule="auto"/>
        <w:jc w:val="both"/>
        <w:rPr>
          <w:rFonts w:ascii="Arial" w:eastAsia="Calibri" w:hAnsi="Arial" w:cs="Arial"/>
        </w:rPr>
      </w:pPr>
      <w:r w:rsidRPr="0087272B">
        <w:rPr>
          <w:rFonts w:ascii="Arial" w:eastAsia="Calibri" w:hAnsi="Arial" w:cs="Arial"/>
        </w:rPr>
        <w:t>Projekt przewiduje uzupełnienie katalogu przestępstw, w których możliwe jest zarządzenie kontroli operacyjnej, o przestępstwa z art. 171 § 1-3, 5 i 6, art. 183, art. 184 § 1, 2 i 4, art. 185 k.k. oraz z art. 36 i art. 36a ustawy z dnia 25 lutego 2011 r. o substancjach chemicznych i ich mieszaninach.</w:t>
      </w:r>
    </w:p>
    <w:p w14:paraId="664B9711" w14:textId="77777777" w:rsidR="0087272B" w:rsidRPr="0087272B" w:rsidRDefault="0087272B" w:rsidP="0087272B">
      <w:pPr>
        <w:spacing w:after="0" w:line="300" w:lineRule="auto"/>
        <w:jc w:val="both"/>
        <w:rPr>
          <w:rFonts w:ascii="Arial" w:eastAsia="Calibri" w:hAnsi="Arial" w:cs="Arial"/>
        </w:rPr>
      </w:pPr>
      <w:r w:rsidRPr="0087272B">
        <w:rPr>
          <w:rFonts w:ascii="Arial" w:eastAsia="Calibri" w:hAnsi="Arial" w:cs="Arial"/>
        </w:rPr>
        <w:t>Zmiany w ustawie z dnia 16 marca 1995 r. o zapobieganiu zanieczyszczaniu morza przez statki.</w:t>
      </w:r>
    </w:p>
    <w:p w14:paraId="7CEF5B16" w14:textId="77777777" w:rsidR="0087272B" w:rsidRPr="0087272B" w:rsidRDefault="0087272B" w:rsidP="0087272B">
      <w:pPr>
        <w:spacing w:after="0" w:line="300" w:lineRule="auto"/>
        <w:jc w:val="both"/>
        <w:rPr>
          <w:rFonts w:ascii="Arial" w:eastAsia="Calibri" w:hAnsi="Arial" w:cs="Arial"/>
        </w:rPr>
      </w:pPr>
      <w:r w:rsidRPr="0087272B">
        <w:rPr>
          <w:rFonts w:ascii="Arial" w:eastAsia="Calibri" w:hAnsi="Arial" w:cs="Arial"/>
        </w:rPr>
        <w:t>Nowelizacja art. 35a ust. 1, poszerza katalog substancji zanieczyszczających o substancje wymienione w załącznikach: III (substancje szkodliwe przewożone morzem w opakowaniach), IV (ścieki ze statków) i V (odpady ze statków) do Konwencji MARPOL, których nielegalne usuwanie ze statku podlega karze. Zgodnie z dyrektywą 2005/35/WE do substancji zanieczyszczających zalicza się także pozostałości pochodzące z systemów oczyszczania gazów spalinowych, stąd konieczność uwzględnienia ich w projektowanym przepisie. Sankcja karna określona w tym przepisie w wymiarze od 3 miesięcy do lat 5 pozostaje bez zmian.</w:t>
      </w:r>
    </w:p>
    <w:p w14:paraId="05865B20" w14:textId="77777777" w:rsidR="0087272B" w:rsidRPr="0087272B" w:rsidRDefault="0087272B" w:rsidP="0087272B">
      <w:pPr>
        <w:spacing w:after="0" w:line="300" w:lineRule="auto"/>
        <w:jc w:val="both"/>
        <w:rPr>
          <w:rFonts w:ascii="Arial" w:eastAsia="Calibri" w:hAnsi="Arial" w:cs="Arial"/>
        </w:rPr>
      </w:pPr>
      <w:r w:rsidRPr="0087272B">
        <w:rPr>
          <w:rFonts w:ascii="Arial" w:eastAsia="Calibri" w:hAnsi="Arial" w:cs="Arial"/>
        </w:rPr>
        <w:t xml:space="preserve">Wprowadzenie nowego art. 35b, penalizującego recykling statków, w sposób niezgodny z wymogami unijnymi (rozporządzenie 1257/2013), jest realizacją art. 3 ust. 2 lit h) dyrektywy i stanowi odpowiedź na narastający problem nielegalnego złomowania jednostek, które odbywa się z rażącym naruszeniem norm bezpieczeństwa i ochrony środowiska. Jednocześnie motyw </w:t>
      </w:r>
      <w:r w:rsidRPr="0087272B">
        <w:rPr>
          <w:rFonts w:ascii="Arial" w:eastAsia="Calibri" w:hAnsi="Arial" w:cs="Arial"/>
        </w:rPr>
        <w:lastRenderedPageBreak/>
        <w:t>19 dyrektywy określa, że na mocy prawa Unii obowiązki określone w tym rozporządzeniu mają zastosowanie wyłącznie do właścicieli statków, zgodnie z definicją zawartą w tym rozporządzeniu.</w:t>
      </w:r>
    </w:p>
    <w:p w14:paraId="0E627F1E" w14:textId="77777777" w:rsidR="0087272B" w:rsidRPr="0087272B" w:rsidRDefault="0087272B" w:rsidP="0087272B">
      <w:pPr>
        <w:spacing w:after="0" w:line="300" w:lineRule="auto"/>
        <w:jc w:val="both"/>
        <w:rPr>
          <w:rFonts w:ascii="Arial" w:eastAsia="Calibri" w:hAnsi="Arial" w:cs="Arial"/>
        </w:rPr>
      </w:pPr>
      <w:r w:rsidRPr="0087272B">
        <w:rPr>
          <w:rFonts w:ascii="Arial" w:eastAsia="Calibri" w:hAnsi="Arial" w:cs="Arial"/>
        </w:rPr>
        <w:t>Wprowadzenie typów kwalifikowanych czynów określonych w art. 35a ust. 1 i art. 35b wynika z koniczność realizacji art. 3 ust. 3 dyrektywy. Konieczność wprowadzenia karalności formy nieumyślnej wynika z kolei z art. 3 ust. 4 dyrektywy.</w:t>
      </w:r>
    </w:p>
    <w:p w14:paraId="73B366FB" w14:textId="77777777" w:rsidR="0087272B" w:rsidRPr="0087272B" w:rsidRDefault="0087272B" w:rsidP="0087272B">
      <w:pPr>
        <w:spacing w:after="0" w:line="300" w:lineRule="auto"/>
        <w:jc w:val="both"/>
        <w:rPr>
          <w:rFonts w:ascii="Arial" w:eastAsia="Calibri" w:hAnsi="Arial" w:cs="Arial"/>
        </w:rPr>
      </w:pPr>
      <w:r w:rsidRPr="0087272B">
        <w:rPr>
          <w:rFonts w:ascii="Arial" w:eastAsia="Calibri" w:hAnsi="Arial" w:cs="Arial"/>
        </w:rPr>
        <w:t>Zmiana w art. 36aa ust. 4 ma charakter wynikowy i związana jest z wprowadzeniem art. 35b. Czyn polegający na recyclingu statków wbrew wymogom rozporządzenia 1257/2013 będzie przestępstwem, nie zaś, jak dotychczas, deliktem administracyjnym. Zmiana ma na celu unikniecie podwójnej karalności za to samo zachowanie.</w:t>
      </w:r>
    </w:p>
    <w:p w14:paraId="44829728" w14:textId="77777777" w:rsidR="0087272B" w:rsidRPr="0087272B" w:rsidRDefault="0087272B" w:rsidP="0087272B">
      <w:pPr>
        <w:spacing w:after="0" w:line="300" w:lineRule="auto"/>
        <w:jc w:val="both"/>
        <w:rPr>
          <w:rFonts w:ascii="Arial" w:eastAsia="Calibri" w:hAnsi="Arial" w:cs="Arial"/>
        </w:rPr>
      </w:pPr>
      <w:r w:rsidRPr="0087272B">
        <w:rPr>
          <w:rFonts w:ascii="Arial" w:eastAsia="Calibri" w:hAnsi="Arial" w:cs="Arial"/>
        </w:rPr>
        <w:t>Zmiany w ustawie z dnia 27 kwietnia 2001 r. - Prawo ochrony środowiska</w:t>
      </w:r>
    </w:p>
    <w:p w14:paraId="60EDA9A1" w14:textId="77777777" w:rsidR="0087272B" w:rsidRPr="0087272B" w:rsidRDefault="0087272B" w:rsidP="0087272B">
      <w:pPr>
        <w:spacing w:after="0" w:line="300" w:lineRule="auto"/>
        <w:jc w:val="both"/>
        <w:rPr>
          <w:rFonts w:ascii="Arial" w:eastAsia="Calibri" w:hAnsi="Arial" w:cs="Arial"/>
        </w:rPr>
      </w:pPr>
      <w:r w:rsidRPr="0087272B">
        <w:rPr>
          <w:rFonts w:ascii="Arial" w:eastAsia="Calibri" w:hAnsi="Arial" w:cs="Arial"/>
        </w:rPr>
        <w:t>Projektowany art. 329a penalizuje eksploatację lub zamykanie instalacji, w której prowadzona jest działalność negatywnie oddziaływująca na środowisko lub w której przechowywane lub stosowane są niebezpieczne substancje lub mieszaniny, w sposób który może zagrozić życiu lub zdrowiu człowieka lub może spowodować istotne obniżenie jakości wody, powietrza, powierzchni ziemi lub istotne zniszczenie w świecie roślinnym lub zwierzęcym albo innym ekosystemie. Typ podstawowy wprowadza karalność za działania, które stwarzają realne niebezpieczeństwo wystąpienia powyższych skutków, wobec tego możliwe będzie pociągnięcie do odpowiedzialności karnej osób odpowiedzialnych za eksploatację instalacji zanim dojdzie do skutku w postaci skażenia.</w:t>
      </w:r>
    </w:p>
    <w:p w14:paraId="18916600" w14:textId="77777777" w:rsidR="0087272B" w:rsidRPr="0087272B" w:rsidRDefault="0087272B" w:rsidP="0087272B">
      <w:pPr>
        <w:spacing w:after="0" w:line="300" w:lineRule="auto"/>
        <w:jc w:val="both"/>
        <w:rPr>
          <w:rFonts w:ascii="Arial" w:eastAsia="Calibri" w:hAnsi="Arial" w:cs="Arial"/>
        </w:rPr>
      </w:pPr>
      <w:r w:rsidRPr="0087272B">
        <w:rPr>
          <w:rFonts w:ascii="Arial" w:eastAsia="Calibri" w:hAnsi="Arial" w:cs="Arial"/>
        </w:rPr>
        <w:t>Projekt przewiduje łagodniejszą odpowiedzialność dla sprawców działających nieumyślnie, gdy skutek nie nastąpił, co jest istotne w kontekście skomplikowanych procesów technologicznych.</w:t>
      </w:r>
    </w:p>
    <w:p w14:paraId="1D02BFAE" w14:textId="77777777" w:rsidR="0087272B" w:rsidRPr="0087272B" w:rsidRDefault="0087272B" w:rsidP="0087272B">
      <w:pPr>
        <w:spacing w:after="0" w:line="300" w:lineRule="auto"/>
        <w:jc w:val="both"/>
        <w:rPr>
          <w:rFonts w:ascii="Arial" w:eastAsia="Calibri" w:hAnsi="Arial" w:cs="Arial"/>
        </w:rPr>
      </w:pPr>
      <w:r w:rsidRPr="0087272B">
        <w:rPr>
          <w:rFonts w:ascii="Arial" w:eastAsia="Calibri" w:hAnsi="Arial" w:cs="Arial"/>
        </w:rPr>
        <w:t>Art. 329a ust. 3-6 wprowadza typy kwalifikowane. Przepis przewiduje surowsze kary, jeżeli w następstwie czynu skutek już nastąpił. Jeżeli skutkiem będzie zniszczenie lub rozległa szkoda dla ekosystemu, wartości środowiskowej lub dla siedliska na terenie chronionym, lub długotrwała szkoda dla jakości wody, powietrza, powierzchni ziemi, sprawca będzie podlegał karze pozbawienia wolności od 6 miesięcy do lat 8. Natomiast jeżeli skutkiem będzie śmierć człowieka, sprawca będzie podlegał karze pozbawienia wolności od roku do lat 10.</w:t>
      </w:r>
    </w:p>
    <w:p w14:paraId="0D803A19" w14:textId="77777777" w:rsidR="0087272B" w:rsidRPr="0087272B" w:rsidRDefault="0087272B" w:rsidP="0087272B">
      <w:pPr>
        <w:spacing w:after="0" w:line="300" w:lineRule="auto"/>
        <w:jc w:val="both"/>
        <w:rPr>
          <w:rFonts w:ascii="Arial" w:eastAsia="Calibri" w:hAnsi="Arial" w:cs="Arial"/>
        </w:rPr>
      </w:pPr>
      <w:r w:rsidRPr="0087272B">
        <w:rPr>
          <w:rFonts w:ascii="Arial" w:eastAsia="Calibri" w:hAnsi="Arial" w:cs="Arial"/>
        </w:rPr>
        <w:t>Nowy art. 329b ma na celu zwalczanie tzw. „samowoli inwestycyjnych” o dużej skali oddziaływania na środowisko. Karalne stanie się wykonywanie prac budowlanych, montowanie instalacji lub systemu lub interwencje w otoczenie naturalne i krajobraz, które podlegają ocenie oddziaływania na środowisko, bez wymaganego zezwolenia i w taki sposób, że może to zagrozić życiu lub zdrowiu człowieka lub może spowodować istotne obniżenie jakości wody, powietrza, powierzchni ziemi lub istotne zniszczenie w świecie roślinnym lub zwierzęcym albo innym ekosystemie.</w:t>
      </w:r>
    </w:p>
    <w:p w14:paraId="0B419A4A" w14:textId="77777777" w:rsidR="0087272B" w:rsidRPr="0087272B" w:rsidRDefault="0087272B" w:rsidP="0087272B">
      <w:pPr>
        <w:spacing w:after="0" w:line="300" w:lineRule="auto"/>
        <w:jc w:val="both"/>
        <w:rPr>
          <w:rFonts w:ascii="Arial" w:eastAsia="Calibri" w:hAnsi="Arial" w:cs="Arial"/>
        </w:rPr>
      </w:pPr>
      <w:r w:rsidRPr="0087272B">
        <w:rPr>
          <w:rFonts w:ascii="Arial" w:eastAsia="Calibri" w:hAnsi="Arial" w:cs="Arial"/>
        </w:rPr>
        <w:t>Typy kwalifikowane przewidziane w art. 329b ust. 2 i 3, zaostrzą odpowiedzialność karną w przypadku, gdy następstwem czynu będą nieodwracalne zniszczenia, rozległe lub długotrwałe szkody. Najsurowszy wymiar kary, od roku do lat 10 pozbawienia wolności, przewidziano, w sytuacji, gdy następstwem „samowoli inwestycyjnej” jest śmierć człowieka.</w:t>
      </w:r>
    </w:p>
    <w:p w14:paraId="6EC8CE1D" w14:textId="77777777" w:rsidR="0087272B" w:rsidRPr="0087272B" w:rsidRDefault="0087272B" w:rsidP="0087272B">
      <w:pPr>
        <w:spacing w:after="0" w:line="300" w:lineRule="auto"/>
        <w:jc w:val="both"/>
        <w:rPr>
          <w:rFonts w:ascii="Arial" w:eastAsia="Calibri" w:hAnsi="Arial" w:cs="Arial"/>
        </w:rPr>
      </w:pPr>
      <w:r w:rsidRPr="0087272B">
        <w:rPr>
          <w:rFonts w:ascii="Arial" w:eastAsia="Calibri" w:hAnsi="Arial" w:cs="Arial"/>
        </w:rPr>
        <w:t>Zmiany w ustawie z dnia 28 października 2002 r. o odpowiedzialności podmiotów zbiorowych za czyny zabronione pod groźbą kary</w:t>
      </w:r>
    </w:p>
    <w:p w14:paraId="28982872" w14:textId="77777777" w:rsidR="0087272B" w:rsidRPr="0087272B" w:rsidRDefault="0087272B" w:rsidP="0087272B">
      <w:pPr>
        <w:spacing w:after="0" w:line="300" w:lineRule="auto"/>
        <w:jc w:val="both"/>
        <w:rPr>
          <w:rFonts w:ascii="Arial" w:eastAsia="Calibri" w:hAnsi="Arial" w:cs="Arial"/>
        </w:rPr>
      </w:pPr>
      <w:r w:rsidRPr="0087272B">
        <w:rPr>
          <w:rFonts w:ascii="Arial" w:eastAsia="Calibri" w:hAnsi="Arial" w:cs="Arial"/>
        </w:rPr>
        <w:t xml:space="preserve">Zmiana w art. 7a u.o.p.z. przewiduje wprowadzenie jednego, wspólnego zakresu możliwej do wymierzenia kary pieniężnej dla wszystkich czynów zabronionych przeciwko środowisku. W </w:t>
      </w:r>
      <w:r w:rsidRPr="0087272B">
        <w:rPr>
          <w:rFonts w:ascii="Arial" w:eastAsia="Calibri" w:hAnsi="Arial" w:cs="Arial"/>
        </w:rPr>
        <w:lastRenderedPageBreak/>
        <w:t>każdym wypadku wysokość nakładanej sankcji będzie indywidualnie określana przez sąd, jej minimalna wysokość nie ulegnie zmianie, pozostając na poziomie 10.000 złotych a maksymalna wyniesie 200 000 000 złotych lub nie więcej niż 5% przychodu osiągniętego w roku obrotowym, w którym popełniono czyn zabroniony będący podstawą odpowiedzialności podmiotu zbiorowego.</w:t>
      </w:r>
    </w:p>
    <w:p w14:paraId="70546545" w14:textId="77777777" w:rsidR="0087272B" w:rsidRPr="0087272B" w:rsidRDefault="0087272B" w:rsidP="0087272B">
      <w:pPr>
        <w:spacing w:after="0" w:line="300" w:lineRule="auto"/>
        <w:jc w:val="both"/>
        <w:rPr>
          <w:rFonts w:ascii="Arial" w:eastAsia="Calibri" w:hAnsi="Arial" w:cs="Arial"/>
        </w:rPr>
      </w:pPr>
      <w:r w:rsidRPr="0087272B">
        <w:rPr>
          <w:rFonts w:ascii="Arial" w:eastAsia="Calibri" w:hAnsi="Arial" w:cs="Arial"/>
        </w:rPr>
        <w:t>Zmiana w art. 7a ustawy o odpowiedzialności podmiotów zbiorowych za czyny zabronione pod groźbą kary (dalej: „u.o.p.z.”) podyktowana jest implementacją art. 7 ust. 3 dyrektywy. Przepis ten już dotychczas określał wysokość kary pieniężnej możliwej do nałożenia na podmiot zbiorowy za czyn zabroniony, wymieniony w art. 16 ust. 1 pkt 8 u.o.p.z. (tj. właśnie czyny zabronione przeciwko środowisku naturalnemu), odmiennie od zasad ogólnych określonych w art. 7 u.o.p.z. Nawet jednak ta zmodyfikowana sankcja nie odpowiada wymogom dyrektywy, stąd konieczna jest interwencja ustawodawcy.</w:t>
      </w:r>
    </w:p>
    <w:p w14:paraId="70BDE952" w14:textId="77777777" w:rsidR="0087272B" w:rsidRPr="0087272B" w:rsidRDefault="0087272B" w:rsidP="0087272B">
      <w:pPr>
        <w:spacing w:after="0" w:line="300" w:lineRule="auto"/>
        <w:jc w:val="both"/>
        <w:rPr>
          <w:rFonts w:ascii="Arial" w:eastAsia="Calibri" w:hAnsi="Arial" w:cs="Arial"/>
        </w:rPr>
      </w:pPr>
      <w:r w:rsidRPr="0087272B">
        <w:rPr>
          <w:rFonts w:ascii="Arial" w:eastAsia="Calibri" w:hAnsi="Arial" w:cs="Arial"/>
        </w:rPr>
        <w:t>Art. 7 ust. 3 dyrektywy wprowadza wymóg, aby maksymalna wysokość możliwej do wymierzenia kary pieniężnej odpowiadała pewnym warunkom, różnicując jedocześnie wymaganą maksymalną wysokość w zależności od typu przestępstwa (art. 7 ust. 3 lit. a i b). Przenoszenie jednak tego rozróżnienia na grunt prawa krajowego nie znajduje uzasadnienia, stanowiłoby bowiem przejaw zbędnej kazuistyki. Już obecnie, w związku z koniecznością implementacji prawa unijnego, na gruncie u.o.p.z. funkcjonują dwa różne zakresy zagrożenia karą (art. 7 i 7a u.o.p.z.), niecelowe zatem byłoby jeszcze dalsze fragmentaryzowanie tych zakresów poprzez wprowadzanie rozróżnienia uzależnionego od tego, jaki rodzaj czynu zabronionego przeciwko środowisku został popełniony. Projektodawca zdecydował się zatem na wprowadzenie jednego, wspólnego zakresu dla wszystkich czynów zabronionych przeciwko środowisku, odpowiadającego surowszemu z wymaganych przez art. 7 ust. 3 dyrektywy (tj. art. 7 ust. 3 lit a). Przypomnieć należy, że w każdym wypadku wysokość nakładanej sankcji będzie indywidualnie określana przez sąd, zaś jej minimalna wysokość nie ulega zmianie, pozostając na poziomie 10.000 zł.</w:t>
      </w:r>
    </w:p>
    <w:p w14:paraId="40ACE64D" w14:textId="77777777" w:rsidR="0087272B" w:rsidRPr="0087272B" w:rsidRDefault="0087272B" w:rsidP="0087272B">
      <w:pPr>
        <w:spacing w:after="0" w:line="300" w:lineRule="auto"/>
        <w:jc w:val="both"/>
        <w:rPr>
          <w:rFonts w:ascii="Arial" w:eastAsia="Calibri" w:hAnsi="Arial" w:cs="Arial"/>
        </w:rPr>
      </w:pPr>
      <w:r w:rsidRPr="0087272B">
        <w:rPr>
          <w:rFonts w:ascii="Arial" w:eastAsia="Calibri" w:hAnsi="Arial" w:cs="Arial"/>
        </w:rPr>
        <w:t>Jednocześnie dyrektywa daje państwom członkowskim wybór co do sposobu określenia maksymalnego wymiaru kary pieniężnej przez odwołanie do całkowitego światowego obrotu podmiotu zbiorowego w roku poprzedzającym lub przez odniesienie do określonej kwoty (motyw 33). Projektodawca zdecydował się jednak na zastosowanie obu tych przesłanek kumulatywnie według zasad ogólnych obowiązujących na gruncie ustawy, na analogicznej zasadzie, jak ma to miejsce w art. 7 u.o.p.z., tj. poprzez odwołanie do konkretnej kwoty (stanowiącej przybliżony, zaokrąglony odpowiednik wymaganej przez dyrektywę w art. 7 ust. 3 lit a kwoty 40.000.000 euro), lecz z zastrzeżeniem, że będzie to kwota nie wyższa, niż 5% przychodu osiągniętego w poprzednim roku obrotowym.</w:t>
      </w:r>
    </w:p>
    <w:p w14:paraId="440BE706" w14:textId="77777777" w:rsidR="0087272B" w:rsidRPr="0087272B" w:rsidRDefault="0087272B" w:rsidP="0087272B">
      <w:pPr>
        <w:spacing w:after="0" w:line="300" w:lineRule="auto"/>
        <w:jc w:val="both"/>
        <w:rPr>
          <w:rFonts w:ascii="Arial" w:eastAsia="Calibri" w:hAnsi="Arial" w:cs="Arial"/>
        </w:rPr>
      </w:pPr>
      <w:r w:rsidRPr="0087272B">
        <w:rPr>
          <w:rFonts w:ascii="Arial" w:eastAsia="Calibri" w:hAnsi="Arial" w:cs="Arial"/>
        </w:rPr>
        <w:t>Zmiana art. 16 ust. 1 pkt 8 u.o.p.z. przewiduje odpowiedzialność podmiotów zbiorowych za czyny zabronione przeciwko środowisku o nowo wprowadzone typy przestępstw, zgodnie z wymogami art. 6 ust. 1 i 2 dyrektywy.</w:t>
      </w:r>
    </w:p>
    <w:p w14:paraId="17AA9CDC" w14:textId="77777777" w:rsidR="0087272B" w:rsidRPr="0087272B" w:rsidRDefault="0087272B" w:rsidP="0087272B">
      <w:pPr>
        <w:spacing w:after="0" w:line="300" w:lineRule="auto"/>
        <w:jc w:val="both"/>
        <w:rPr>
          <w:rFonts w:ascii="Arial" w:eastAsia="Calibri" w:hAnsi="Arial" w:cs="Arial"/>
        </w:rPr>
      </w:pPr>
      <w:r w:rsidRPr="0087272B">
        <w:rPr>
          <w:rFonts w:ascii="Arial" w:eastAsia="Calibri" w:hAnsi="Arial" w:cs="Arial"/>
        </w:rPr>
        <w:t>Zmiany w ustawie z dnia 16 kwietnia 2004 r. o ochronie przyrody</w:t>
      </w:r>
    </w:p>
    <w:p w14:paraId="075068EF" w14:textId="77777777" w:rsidR="0087272B" w:rsidRPr="0087272B" w:rsidRDefault="0087272B" w:rsidP="0087272B">
      <w:pPr>
        <w:spacing w:after="0" w:line="300" w:lineRule="auto"/>
        <w:jc w:val="both"/>
        <w:rPr>
          <w:rFonts w:ascii="Arial" w:eastAsia="Calibri" w:hAnsi="Arial" w:cs="Arial"/>
        </w:rPr>
      </w:pPr>
      <w:r w:rsidRPr="0087272B">
        <w:rPr>
          <w:rFonts w:ascii="Arial" w:eastAsia="Calibri" w:hAnsi="Arial" w:cs="Arial"/>
        </w:rPr>
        <w:t xml:space="preserve">W ustawie z dnia 16 kwietnia 2004 r. o ochronie przyrody konieczne jest dodanie w art. 5 pkt 30, w którym zdefiniowano „ekosystem” jako dynamiczny zespół roślin, zwierząt, grzybów i mikroorganizmów oraz ich nieożywione środowisko, wspólnie tworzące jednostkę funkcjonalną, i obejmuje siedliska przyrodnicze, siedliska gatunków i populacje gatunków. Zmiana wynika z art. 2 ust. 2 lit. c dyrektywy 2024/1203, gdyż nowelizowane przepisy odnoszą </w:t>
      </w:r>
      <w:r w:rsidRPr="0087272B">
        <w:rPr>
          <w:rFonts w:ascii="Arial" w:eastAsia="Calibri" w:hAnsi="Arial" w:cs="Arial"/>
        </w:rPr>
        <w:lastRenderedPageBreak/>
        <w:t>się do tego pojęcia i jednocześnie obowiązujące przepisy nie wprowadzają tego terminu. W projektowanym przepisie zaproponowano definicję zgodną z definicją zawartą w art. 2 lit. c dyrektywy 2024/1203.</w:t>
      </w:r>
    </w:p>
    <w:p w14:paraId="32D65777" w14:textId="77777777" w:rsidR="0087272B" w:rsidRPr="0087272B" w:rsidRDefault="0087272B" w:rsidP="0087272B">
      <w:pPr>
        <w:spacing w:after="0" w:line="300" w:lineRule="auto"/>
        <w:jc w:val="both"/>
        <w:rPr>
          <w:rFonts w:ascii="Arial" w:eastAsia="Calibri" w:hAnsi="Arial" w:cs="Arial"/>
        </w:rPr>
      </w:pPr>
      <w:r w:rsidRPr="0087272B">
        <w:rPr>
          <w:rFonts w:ascii="Arial" w:eastAsia="Calibri" w:hAnsi="Arial" w:cs="Arial"/>
        </w:rPr>
        <w:t>Ponadto przewidziane są zmiany w rozdziale 11 - Przepisy karne - ustawy z dnia 16 kwietnia 2004 r. o ochronie przyrody z uwagi na konieczność dostosowania przepisów tej ustawy do wymogów dyrektywy nr 2024/1203, która obliguje państwa członkowskie do wprowadzenia określonych działań prawnych we wskazanych w dyrektywie obszarach, w tym surowszych kar za przestępstwa kwalifikowane.</w:t>
      </w:r>
    </w:p>
    <w:p w14:paraId="63E64460" w14:textId="77777777" w:rsidR="0087272B" w:rsidRPr="0087272B" w:rsidRDefault="0087272B" w:rsidP="0087272B">
      <w:pPr>
        <w:spacing w:after="0" w:line="300" w:lineRule="auto"/>
        <w:jc w:val="both"/>
        <w:rPr>
          <w:rFonts w:ascii="Arial" w:eastAsia="Calibri" w:hAnsi="Arial" w:cs="Arial"/>
        </w:rPr>
      </w:pPr>
      <w:r w:rsidRPr="0087272B">
        <w:rPr>
          <w:rFonts w:ascii="Arial" w:eastAsia="Calibri" w:hAnsi="Arial" w:cs="Arial"/>
        </w:rPr>
        <w:t>Proponuje się zwiększenie przejrzystości oraz skuteczności egzekwowania przepisów karnych dotyczących naruszeń z zakresu CITES. Projektowane przepisy art. 127a, 128a i 128b ustawy o ochronie przyrody przewidują usunięcie warunkowości uznania danego czynu za kwalifikujący się jako czyn zabroniony, związanej z warunkami lub sposobem, mającym wpływ na zachowanie właściwego stanu ochrony gatunku. Obecne brzmienie ww. regulacji w ocenie służb egzekwujących przepisy CITES uniemożliwia w praktyce ich stosowanie. Ponadto, wątpliwości wzbudza ocenność znamion czynu zabronionego w aktualnym brzmieniu ww. przepisów.</w:t>
      </w:r>
    </w:p>
    <w:p w14:paraId="13D9F00B" w14:textId="77777777" w:rsidR="0087272B" w:rsidRPr="0087272B" w:rsidRDefault="0087272B" w:rsidP="0087272B">
      <w:pPr>
        <w:spacing w:after="0" w:line="300" w:lineRule="auto"/>
        <w:jc w:val="both"/>
        <w:rPr>
          <w:rFonts w:ascii="Arial" w:eastAsia="Calibri" w:hAnsi="Arial" w:cs="Arial"/>
        </w:rPr>
      </w:pPr>
      <w:r w:rsidRPr="0087272B">
        <w:rPr>
          <w:rFonts w:ascii="Arial" w:eastAsia="Calibri" w:hAnsi="Arial" w:cs="Arial"/>
        </w:rPr>
        <w:t>Art. 127a ustawy z dnia 16 kwietnia 2004 r. o ochronie przyrody który penalizować będzie działania naruszające przepisy odnoszące się do dziko występujących zwierząt, roślin i grzybów objętych ochroną gatunkową. Karane będzie posiadanie, zbywanie lub oferowanie do sprzedaży chociażby jednego okazu, również nieumyślnie. Wprowadzenie przepisu wynika z treści art. 3 ust. 2 lit n dyrektywy nr 2024/1203, nakładającego obowiązek zapewnienia by te czyny objęte były penalizacją.</w:t>
      </w:r>
    </w:p>
    <w:p w14:paraId="2ADA8F51" w14:textId="77777777" w:rsidR="0087272B" w:rsidRPr="0087272B" w:rsidRDefault="0087272B" w:rsidP="0087272B">
      <w:pPr>
        <w:spacing w:after="0" w:line="300" w:lineRule="auto"/>
        <w:jc w:val="both"/>
        <w:rPr>
          <w:rFonts w:ascii="Arial" w:eastAsia="Calibri" w:hAnsi="Arial" w:cs="Arial"/>
        </w:rPr>
      </w:pPr>
      <w:r w:rsidRPr="0087272B">
        <w:rPr>
          <w:rFonts w:ascii="Arial" w:eastAsia="Calibri" w:hAnsi="Arial" w:cs="Arial"/>
        </w:rPr>
        <w:t>Dodaje się nowy art. 127b ustawy z dnia 16 kwietnia 2004 r. o ochronie przyrody penalizujący działania negatywnie oddziałujące na przedmioty ochrony obszarów Natura 2000 z uwagi na przepis art. 3 ust. 2 lit q dyrektywy nr 2024/1203. W przepisie określono także, że od strony podmiotowej czyn zabroniony może być popełniony umyślnie, jak i nieumyślnie.</w:t>
      </w:r>
    </w:p>
    <w:p w14:paraId="1DB8EE8B" w14:textId="77777777" w:rsidR="0087272B" w:rsidRPr="0087272B" w:rsidRDefault="0087272B" w:rsidP="0087272B">
      <w:pPr>
        <w:spacing w:after="0" w:line="300" w:lineRule="auto"/>
        <w:jc w:val="both"/>
        <w:rPr>
          <w:rFonts w:ascii="Arial" w:eastAsia="Calibri" w:hAnsi="Arial" w:cs="Arial"/>
        </w:rPr>
      </w:pPr>
      <w:r w:rsidRPr="0087272B">
        <w:rPr>
          <w:rFonts w:ascii="Arial" w:eastAsia="Calibri" w:hAnsi="Arial" w:cs="Arial"/>
        </w:rPr>
        <w:t>Art. 128a ust. 1 ustawy z dnia 16 kwietnia 2004 r. o ochronie przyrody otrzymuje nowe brzmienie w związku z koniecznością dostosowania jego treści do art. art. 3 ust. 2 lit o dyrektywy nr 2024/1203. Projekt przewiduje odstąpienie od wymogu badania, czy dany czyn miał wpływ na zachowanie właściwego stanu ochrony gatunku. Ustawodawca zdecydował o utrzymaniu warunku karalności za handel okazami w liczbie „większej niż znikoma”. Jednocześnie zdecydował się na zmodyfikowanie przesłanki z „większej niż nieznaczna” na „większej niż znikoma”, co ma związek z koniecznością zapewnienia spójności z przepisami Kodeksu karnego.</w:t>
      </w:r>
    </w:p>
    <w:p w14:paraId="5AA41559" w14:textId="77777777" w:rsidR="0087272B" w:rsidRPr="0087272B" w:rsidRDefault="0087272B" w:rsidP="0087272B">
      <w:pPr>
        <w:spacing w:after="0" w:line="300" w:lineRule="auto"/>
        <w:jc w:val="both"/>
        <w:rPr>
          <w:rFonts w:ascii="Arial" w:eastAsia="Calibri" w:hAnsi="Arial" w:cs="Arial"/>
        </w:rPr>
      </w:pPr>
      <w:r w:rsidRPr="0087272B">
        <w:rPr>
          <w:rFonts w:ascii="Arial" w:eastAsia="Calibri" w:hAnsi="Arial" w:cs="Arial"/>
        </w:rPr>
        <w:t>Dodaje się nowy art. 128b ustawy z dnia 16 kwietnia 2004 r. o ochronie przyrody z uwagi na przepis art. 3 ust. 2 lit p dyrektywy nr 2024/1203. Przewiduje on kryminalizację czynów dotyczących wprowadzania, udostępniania na rynek Unii Europejskiej lub wywożenia z tego rynku towarów i produktów związanych z wylesianiem i degradacją lasów.</w:t>
      </w:r>
    </w:p>
    <w:p w14:paraId="63D3E2C7" w14:textId="77777777" w:rsidR="0087272B" w:rsidRPr="0087272B" w:rsidRDefault="0087272B" w:rsidP="0087272B">
      <w:pPr>
        <w:spacing w:after="0" w:line="300" w:lineRule="auto"/>
        <w:jc w:val="both"/>
        <w:rPr>
          <w:rFonts w:ascii="Arial" w:eastAsia="Calibri" w:hAnsi="Arial" w:cs="Arial"/>
        </w:rPr>
      </w:pPr>
      <w:r w:rsidRPr="0087272B">
        <w:rPr>
          <w:rFonts w:ascii="Arial" w:eastAsia="Calibri" w:hAnsi="Arial" w:cs="Arial"/>
        </w:rPr>
        <w:t>Art. 128c ustawy z dnia 16 kwietnia 2004 r. o ochronie przyrody stanowi, że jeżeli następstwem czynu określonego w art. 127a ust. 2, art. 128a ust. 2 lub art. 128b ust. 2 jest nieodwracalne albo długotrwałe zniszczenie ekosystemu lub nieodwracalne albo długotrwałe zniszczenie w świecie roślinnym lub zwierzęcym lub nieodwracalne albo długotrwałe istotne obniżenie jakości wody, powietrza, powierzchni ziemi, sprawca podlega karze pozbawienia wolności do lat 3.</w:t>
      </w:r>
    </w:p>
    <w:p w14:paraId="52AFD844" w14:textId="77777777" w:rsidR="0087272B" w:rsidRPr="0087272B" w:rsidRDefault="0087272B" w:rsidP="0087272B">
      <w:pPr>
        <w:spacing w:after="0" w:line="300" w:lineRule="auto"/>
        <w:jc w:val="both"/>
        <w:rPr>
          <w:rFonts w:ascii="Arial" w:eastAsia="Calibri" w:hAnsi="Arial" w:cs="Arial"/>
        </w:rPr>
      </w:pPr>
      <w:r w:rsidRPr="0087272B">
        <w:rPr>
          <w:rFonts w:ascii="Arial" w:eastAsia="Calibri" w:hAnsi="Arial" w:cs="Arial"/>
        </w:rPr>
        <w:lastRenderedPageBreak/>
        <w:t>Zmiany w ustawie z dnia 25 lutego 2011 r. o substancjach chemicznych i ich mieszaninach</w:t>
      </w:r>
    </w:p>
    <w:p w14:paraId="3F0878BA" w14:textId="77777777" w:rsidR="0087272B" w:rsidRPr="0087272B" w:rsidRDefault="0087272B" w:rsidP="0087272B">
      <w:pPr>
        <w:spacing w:after="0" w:line="300" w:lineRule="auto"/>
        <w:jc w:val="both"/>
        <w:rPr>
          <w:rFonts w:ascii="Arial" w:eastAsia="Calibri" w:hAnsi="Arial" w:cs="Arial"/>
        </w:rPr>
      </w:pPr>
      <w:r w:rsidRPr="0087272B">
        <w:rPr>
          <w:rFonts w:ascii="Arial" w:eastAsia="Calibri" w:hAnsi="Arial" w:cs="Arial"/>
        </w:rPr>
        <w:t>Art. 36 ust. 1 został uzupełniony o znamię czynu zabronionego w postaci wywozu substancji stwarzającej zagrożenie, mieszaniny stwarzającej zagrożenie lub wyrobu zawierającego taką substancję lub mieszaninę. Zaproponowana kara pozbawienia wolności od 3 miesięcy do lat 5, wynika z konieczności jej dostosowania do art. 5 ust. 2 lit d) dyrektywy. Zmiana ust. 2 tego przepisu wynika z konieczności dostosowania jego brzmienia do art. 3 ust. 2 lit c) ppkt (i) i (ii) dyrektywy, natomiast dodanie ust. 3 z konieczności wdrożenia art. 3 ust. 2 lit c) ppkt (iv), (v) i (vi) dyrektywy.</w:t>
      </w:r>
    </w:p>
    <w:p w14:paraId="430C511C" w14:textId="77777777" w:rsidR="0087272B" w:rsidRPr="0087272B" w:rsidRDefault="0087272B" w:rsidP="0087272B">
      <w:pPr>
        <w:spacing w:after="0" w:line="300" w:lineRule="auto"/>
        <w:jc w:val="both"/>
        <w:rPr>
          <w:rFonts w:ascii="Arial" w:eastAsia="Calibri" w:hAnsi="Arial" w:cs="Arial"/>
        </w:rPr>
      </w:pPr>
      <w:r w:rsidRPr="0087272B">
        <w:rPr>
          <w:rFonts w:ascii="Arial" w:eastAsia="Calibri" w:hAnsi="Arial" w:cs="Arial"/>
        </w:rPr>
        <w:t>Odpowiedzialność za skutki kwalifikowane popełnienia czynów określonych w art. 36 ust. 1-3 została uregulowana w art. 36 ust. 4 i 5. W przypadku wystąpienia skutku w postaci nieodwracalnego albo długotrwałego zniszczenia ekosystemu lub nieodwracalnego albo długotrwałego zniszczenia w świecie roślinnym lub zwierzęcym lub nieodwracalnego albo długotrwałego, istotnego obniżenia jakości wody, powietrza, powierzchni ziemi, sprawca będzie podlegał karze pozbawienia wolności od 6 miesięcy do lat 8. Natomiast najsurowszy wymiar kary za popełnienie czynów określonych ust. 1-3, przewidziano w ust. 5. W takim przypadku, gdy następstwem będzie śmierć człowieka, sprawca będzie podlegał karze pozbawienia wolności od roku do lat 10. Wprowadzenie tak ukształtowanego zagrożenia karnego ma na celu zapewnienie proporcjonalności sankcji do stopnia wyrządzonej szkody oraz realizację wymogu zapewnienia kar o charakterze odstraszającym w przypadku najpoważniejszych przestępstw.</w:t>
      </w:r>
    </w:p>
    <w:p w14:paraId="4A907B55" w14:textId="77777777" w:rsidR="0087272B" w:rsidRPr="0087272B" w:rsidRDefault="0087272B" w:rsidP="0087272B">
      <w:pPr>
        <w:spacing w:after="0" w:line="300" w:lineRule="auto"/>
        <w:jc w:val="both"/>
        <w:rPr>
          <w:rFonts w:ascii="Arial" w:eastAsia="Calibri" w:hAnsi="Arial" w:cs="Arial"/>
        </w:rPr>
      </w:pPr>
      <w:r w:rsidRPr="0087272B">
        <w:rPr>
          <w:rFonts w:ascii="Arial" w:eastAsia="Calibri" w:hAnsi="Arial" w:cs="Arial"/>
        </w:rPr>
        <w:t>Dodawany art. 36a ust. 1 przewiduje karalność produkcji, stosowania, składowania, przywozu lub wywozu rtęci, związków rtęci, mieszanin rtęci oraz produktów z dodatkiem rtęci, wbrew przepisom rozporządzenia Parlamentu Europejskiego i Rady (UE) 2017/852. W ust. 2-3 uregulowano typy kwalifikowane tego przestępstwa z uwagi na wystąpienie skutków w postaci nieodwracalnych albo długotrwałych zniszczeń w świecie roślinnym, zwierzęcym lub istotnego obniżenia jakości wody, powietrza, powierzchni ziemi. Podobnie jak w innych przepisach projektu najsurowszy wymiar kary przewidziano za skutki w postaci śmierci człowieka. W ust. 4-6 tego przepisu wprowadzono karalność formy nieumyślnej.</w:t>
      </w:r>
    </w:p>
    <w:p w14:paraId="23D855C1" w14:textId="77777777" w:rsidR="0087272B" w:rsidRPr="0087272B" w:rsidRDefault="0087272B" w:rsidP="0087272B">
      <w:pPr>
        <w:spacing w:after="0" w:line="300" w:lineRule="auto"/>
        <w:jc w:val="both"/>
        <w:rPr>
          <w:rFonts w:ascii="Arial" w:eastAsia="Calibri" w:hAnsi="Arial" w:cs="Arial"/>
        </w:rPr>
      </w:pPr>
      <w:r w:rsidRPr="0087272B">
        <w:rPr>
          <w:rFonts w:ascii="Arial" w:eastAsia="Calibri" w:hAnsi="Arial" w:cs="Arial"/>
        </w:rPr>
        <w:t>Zmiany w ustawie z dnia 9 czerwca 2011 r. - Prawo geologiczne i górnicze</w:t>
      </w:r>
    </w:p>
    <w:p w14:paraId="3D5E99D7" w14:textId="77777777" w:rsidR="0087272B" w:rsidRPr="0087272B" w:rsidRDefault="0087272B" w:rsidP="0087272B">
      <w:pPr>
        <w:spacing w:after="0" w:line="300" w:lineRule="auto"/>
        <w:jc w:val="both"/>
        <w:rPr>
          <w:rFonts w:ascii="Arial" w:eastAsia="Calibri" w:hAnsi="Arial" w:cs="Arial"/>
        </w:rPr>
      </w:pPr>
      <w:r w:rsidRPr="0087272B">
        <w:rPr>
          <w:rFonts w:ascii="Arial" w:eastAsia="Calibri" w:hAnsi="Arial" w:cs="Arial"/>
        </w:rPr>
        <w:t>Zgodnie z wymogami dyrektywy, art. 176 ust. 1 P.g.g. przewiduje karalność czynu polegającego na wyrządzeniu znacznej szkody w mieniu lub poważnej szkody w środowisku, popełnionego w warunkach działania sprawcy bez wymaganej koncesji lub zatwierdzonego projektu robót geologicznych, lub z naruszeniem określonych w nich warunków, w zakresie:</w:t>
      </w:r>
    </w:p>
    <w:p w14:paraId="7140A6F1" w14:textId="77777777" w:rsidR="0087272B" w:rsidRPr="0087272B" w:rsidRDefault="0087272B" w:rsidP="0087272B">
      <w:pPr>
        <w:pStyle w:val="Akapitzlist"/>
        <w:numPr>
          <w:ilvl w:val="0"/>
          <w:numId w:val="8"/>
        </w:numPr>
        <w:spacing w:after="0" w:line="300" w:lineRule="auto"/>
        <w:jc w:val="both"/>
        <w:rPr>
          <w:rFonts w:ascii="Arial" w:eastAsia="Calibri" w:hAnsi="Arial" w:cs="Arial"/>
        </w:rPr>
      </w:pPr>
      <w:r w:rsidRPr="0087272B">
        <w:rPr>
          <w:rFonts w:ascii="Arial" w:eastAsia="Calibri" w:hAnsi="Arial" w:cs="Arial"/>
        </w:rPr>
        <w:t>poszukiwania lub rozpoznawania złóż kopalin albo poszukiwania lub rozpoznawania kompleksu podziemnego składowania dwutlenku węgla,</w:t>
      </w:r>
    </w:p>
    <w:p w14:paraId="58516396" w14:textId="77777777" w:rsidR="0087272B" w:rsidRPr="0087272B" w:rsidRDefault="0087272B" w:rsidP="0087272B">
      <w:pPr>
        <w:pStyle w:val="Akapitzlist"/>
        <w:numPr>
          <w:ilvl w:val="0"/>
          <w:numId w:val="8"/>
        </w:numPr>
        <w:spacing w:after="0" w:line="300" w:lineRule="auto"/>
        <w:jc w:val="both"/>
        <w:rPr>
          <w:rFonts w:ascii="Arial" w:eastAsia="Calibri" w:hAnsi="Arial" w:cs="Arial"/>
        </w:rPr>
      </w:pPr>
      <w:r w:rsidRPr="0087272B">
        <w:rPr>
          <w:rFonts w:ascii="Arial" w:eastAsia="Calibri" w:hAnsi="Arial" w:cs="Arial"/>
        </w:rPr>
        <w:t>wydobywania kopalin ze złóż,</w:t>
      </w:r>
    </w:p>
    <w:p w14:paraId="45664B08" w14:textId="77777777" w:rsidR="0087272B" w:rsidRPr="0087272B" w:rsidRDefault="0087272B" w:rsidP="0087272B">
      <w:pPr>
        <w:pStyle w:val="Akapitzlist"/>
        <w:numPr>
          <w:ilvl w:val="0"/>
          <w:numId w:val="8"/>
        </w:numPr>
        <w:spacing w:after="0" w:line="300" w:lineRule="auto"/>
        <w:jc w:val="both"/>
        <w:rPr>
          <w:rFonts w:ascii="Arial" w:eastAsia="Calibri" w:hAnsi="Arial" w:cs="Arial"/>
        </w:rPr>
      </w:pPr>
      <w:r w:rsidRPr="0087272B">
        <w:rPr>
          <w:rFonts w:ascii="Arial" w:eastAsia="Calibri" w:hAnsi="Arial" w:cs="Arial"/>
        </w:rPr>
        <w:t xml:space="preserve">podziemnego bezzbiornikowego magazynowania substancji albo podziemnego składowania odpadów, albo podziemnego składowania dwutlenku węgla, </w:t>
      </w:r>
    </w:p>
    <w:p w14:paraId="00594E12" w14:textId="77777777" w:rsidR="0087272B" w:rsidRPr="0087272B" w:rsidRDefault="0087272B" w:rsidP="0087272B">
      <w:pPr>
        <w:spacing w:after="0" w:line="300" w:lineRule="auto"/>
        <w:jc w:val="both"/>
        <w:rPr>
          <w:rFonts w:ascii="Arial" w:eastAsia="Calibri" w:hAnsi="Arial" w:cs="Arial"/>
        </w:rPr>
      </w:pPr>
      <w:r w:rsidRPr="0087272B">
        <w:rPr>
          <w:rFonts w:ascii="Arial" w:eastAsia="Calibri" w:hAnsi="Arial" w:cs="Arial"/>
        </w:rPr>
        <w:t xml:space="preserve">w sposób, który może zagrozić życiu lub zdrowiu człowieka, może spowodować istotne obniżenie jakości wody, powietrza lub powierzchni ziemi, lub zniszczenie lub istotną szkodę ekosystemu albo w świecie roślinnym lub zwierzęcym. </w:t>
      </w:r>
    </w:p>
    <w:p w14:paraId="7D14CC0C" w14:textId="77777777" w:rsidR="0087272B" w:rsidRPr="0087272B" w:rsidRDefault="0087272B" w:rsidP="0087272B">
      <w:pPr>
        <w:spacing w:after="0" w:line="300" w:lineRule="auto"/>
        <w:jc w:val="both"/>
        <w:rPr>
          <w:rFonts w:ascii="Arial" w:eastAsia="Calibri" w:hAnsi="Arial" w:cs="Arial"/>
        </w:rPr>
      </w:pPr>
      <w:r w:rsidRPr="0087272B">
        <w:rPr>
          <w:rFonts w:ascii="Arial" w:eastAsia="Calibri" w:hAnsi="Arial" w:cs="Arial"/>
        </w:rPr>
        <w:t xml:space="preserve">Zmiana art. 176 ust. 1 przewiduje uzupełnienie tego przepisu o znamiona podejmowania i kończenia działalności w zakresie poszukiwania zasobów naturalnych, ich wydobywania lub składowania bez wymaganych koncesji. Typy kwalifikowane (ust. 2a i 2b) zostały, podobnie </w:t>
      </w:r>
      <w:r w:rsidRPr="0087272B">
        <w:rPr>
          <w:rFonts w:ascii="Arial" w:eastAsia="Calibri" w:hAnsi="Arial" w:cs="Arial"/>
        </w:rPr>
        <w:lastRenderedPageBreak/>
        <w:t>jak dotychczas, wyróżniane ze względu na wystąpienie określonego skutku. Konieczność wprowadzenia karalności formy nieumyślnej w ust. 3, wynika z art. 3 ust. 4 dyrektywy. Natomiast wprowadzenie typów kwalifikowanych względem formy nieumyślnej popełnienia omawianego przestępstwa (ust. 4-5), zagrożonego maksymalną karą do 5 lat pozbawienia wolności, jak już wyżej wskazywano, stanowi wykonanie art. 5 ust. 2 lit c w zw. z art. 3 ust. 4 dyrektywy.</w:t>
      </w:r>
    </w:p>
    <w:p w14:paraId="21E4DB74" w14:textId="77777777" w:rsidR="0087272B" w:rsidRPr="0087272B" w:rsidRDefault="0087272B" w:rsidP="0087272B">
      <w:pPr>
        <w:spacing w:after="0" w:line="300" w:lineRule="auto"/>
        <w:jc w:val="both"/>
        <w:rPr>
          <w:rFonts w:ascii="Arial" w:eastAsia="Calibri" w:hAnsi="Arial" w:cs="Arial"/>
        </w:rPr>
      </w:pPr>
      <w:r w:rsidRPr="0087272B">
        <w:rPr>
          <w:rFonts w:ascii="Arial" w:eastAsia="Calibri" w:hAnsi="Arial" w:cs="Arial"/>
        </w:rPr>
        <w:t>Zmiany w ustawie z dnia 8 marca 2013 r. o środkach ochrony roślin</w:t>
      </w:r>
    </w:p>
    <w:p w14:paraId="63C3B300" w14:textId="77777777" w:rsidR="0087272B" w:rsidRPr="0087272B" w:rsidRDefault="0087272B" w:rsidP="0087272B">
      <w:pPr>
        <w:spacing w:after="0" w:line="300" w:lineRule="auto"/>
        <w:jc w:val="both"/>
        <w:rPr>
          <w:rFonts w:ascii="Arial" w:eastAsia="Calibri" w:hAnsi="Arial" w:cs="Arial"/>
        </w:rPr>
      </w:pPr>
      <w:r w:rsidRPr="0087272B">
        <w:rPr>
          <w:rFonts w:ascii="Arial" w:eastAsia="Calibri" w:hAnsi="Arial" w:cs="Arial"/>
        </w:rPr>
        <w:t>W zaproponowanym art. 75c ust. 1-3 sankcji podlega wytwarzanie, konfekcjonowanie, wprowadzanie do obrotu, przemieszczenie, składowanie lub stosowanie środka ochrony roślin, który nie uzyskał zezwolenia na dopuszczenie do stosowania w żadnym państwie członkowskim Unii Europejskiej, lub produktu, który imituje środek ochrony roślin, lub podrobionego środka ochrony roślin. Podobnie jak w innych przepisach zmienianych ustaw, wyróżniono typy kwalifikowane tego przestępstwa, które zostały wyróżnione ze względu na wystąpienie określonego skutku. Nie będzie podlegał karze za przestępstwo określone w tym przepisie ten, kto wytwarza środek ochrony roślin, który nie został dopuszczony do stosowania w żadnym państwie członkowskim Unii Europejskiej w ramach prac nad nowymi środkami ochrony roślin lub przemieszcza, przechowuje taki środek w celu jego unieszkodliwienia.</w:t>
      </w:r>
    </w:p>
    <w:p w14:paraId="65B6FA3D" w14:textId="77777777" w:rsidR="0087272B" w:rsidRPr="0087272B" w:rsidRDefault="0087272B" w:rsidP="0087272B">
      <w:pPr>
        <w:spacing w:after="0" w:line="300" w:lineRule="auto"/>
        <w:jc w:val="both"/>
        <w:rPr>
          <w:rFonts w:ascii="Arial" w:eastAsia="Calibri" w:hAnsi="Arial" w:cs="Arial"/>
        </w:rPr>
      </w:pPr>
      <w:r w:rsidRPr="0087272B">
        <w:rPr>
          <w:rFonts w:ascii="Arial" w:eastAsia="Calibri" w:hAnsi="Arial" w:cs="Arial"/>
        </w:rPr>
        <w:t>Zmiany w ustawie z dnia 15 maja 2015 r. o substancjach zubożających warstwę ozonową oraz o niektórych fluorowanych gazach cieplarnianych</w:t>
      </w:r>
    </w:p>
    <w:p w14:paraId="37AADDF0" w14:textId="77777777" w:rsidR="0087272B" w:rsidRPr="0087272B" w:rsidRDefault="0087272B" w:rsidP="0087272B">
      <w:pPr>
        <w:spacing w:after="0" w:line="300" w:lineRule="auto"/>
        <w:jc w:val="both"/>
        <w:rPr>
          <w:rFonts w:ascii="Arial" w:eastAsia="Calibri" w:hAnsi="Arial" w:cs="Arial"/>
        </w:rPr>
      </w:pPr>
      <w:r w:rsidRPr="0087272B">
        <w:rPr>
          <w:rFonts w:ascii="Arial" w:eastAsia="Calibri" w:hAnsi="Arial" w:cs="Arial"/>
        </w:rPr>
        <w:t>Istotna zmiana polega na wprowadzeniu przepisów karnych w odniesieniu nieprawidłowości w zakresie fluorowanych gazów cieplarnianych, które są szkodliwe dla ochrony środowiska i klimatu. Wdrażane przepisy mają na celu doprowadzenie do ograniczenia, a następnie usunięcia występujących nieprawidłowości w tym zakresie.</w:t>
      </w:r>
    </w:p>
    <w:p w14:paraId="3111099E" w14:textId="77777777" w:rsidR="0087272B" w:rsidRPr="0087272B" w:rsidRDefault="0087272B" w:rsidP="0087272B">
      <w:pPr>
        <w:spacing w:after="0" w:line="300" w:lineRule="auto"/>
        <w:jc w:val="both"/>
        <w:rPr>
          <w:rFonts w:ascii="Arial" w:eastAsia="Calibri" w:hAnsi="Arial" w:cs="Arial"/>
        </w:rPr>
      </w:pPr>
      <w:r w:rsidRPr="0087272B">
        <w:rPr>
          <w:rFonts w:ascii="Arial" w:eastAsia="Calibri" w:hAnsi="Arial" w:cs="Arial"/>
        </w:rPr>
        <w:t>Projektowany art. 52a zawiera analogiczne rozwiązania odnoszące się do fluorowanych gazów cieplarnianych, co z kolei stanowi implementację art. 3 ust. 2 lit. t) dyrektywy.</w:t>
      </w:r>
    </w:p>
    <w:p w14:paraId="75AACC89" w14:textId="77777777" w:rsidR="0087272B" w:rsidRPr="0087272B" w:rsidRDefault="0087272B" w:rsidP="0087272B">
      <w:pPr>
        <w:spacing w:after="0" w:line="300" w:lineRule="auto"/>
        <w:jc w:val="both"/>
        <w:rPr>
          <w:rFonts w:ascii="Arial" w:eastAsia="Calibri" w:hAnsi="Arial" w:cs="Arial"/>
        </w:rPr>
      </w:pPr>
      <w:r w:rsidRPr="0087272B">
        <w:rPr>
          <w:rFonts w:ascii="Arial" w:eastAsia="Calibri" w:hAnsi="Arial" w:cs="Arial"/>
        </w:rPr>
        <w:t>Zmiany w ustawie z dnia 20 lipca 2017 r. - Prawo wodne</w:t>
      </w:r>
    </w:p>
    <w:p w14:paraId="34759151" w14:textId="77777777" w:rsidR="0087272B" w:rsidRPr="0087272B" w:rsidRDefault="0087272B" w:rsidP="0087272B">
      <w:pPr>
        <w:spacing w:after="0" w:line="300" w:lineRule="auto"/>
        <w:jc w:val="both"/>
        <w:rPr>
          <w:rFonts w:ascii="Arial" w:eastAsia="Calibri" w:hAnsi="Arial" w:cs="Arial"/>
        </w:rPr>
      </w:pPr>
      <w:r w:rsidRPr="0087272B">
        <w:rPr>
          <w:rFonts w:ascii="Arial" w:eastAsia="Calibri" w:hAnsi="Arial" w:cs="Arial"/>
        </w:rPr>
        <w:t>Projektowany art. 473a ust. 1 Prawa wodnego penalizuje takie przypadki bezprawnego poboru wód, które – ze względu na swój charakter, intensywność lub skalę – mogą powodować znaczną szkodę dla środowiska wodnego, rozumianego zgodnie z pojęciami i kryteriami wynikającymi z dyrektywy 2000/60/WE. Rozwiązanie to jest komplementarne z administracyjnoprawnym systemem ochrony wód, opartym na pozwoleniach wodnoprawnych, planach gospodarowania wodami oraz programach działań, w zakresie o którym mowa w ustawie z dnia 20 lipca 2017 r. - Prawo wodne.</w:t>
      </w:r>
    </w:p>
    <w:p w14:paraId="1D54997C" w14:textId="77777777" w:rsidR="0087272B" w:rsidRPr="0087272B" w:rsidRDefault="0087272B" w:rsidP="0087272B">
      <w:pPr>
        <w:spacing w:after="0" w:line="300" w:lineRule="auto"/>
        <w:jc w:val="both"/>
        <w:rPr>
          <w:rFonts w:ascii="Arial" w:eastAsia="Calibri" w:hAnsi="Arial" w:cs="Arial"/>
        </w:rPr>
      </w:pPr>
      <w:r w:rsidRPr="0087272B">
        <w:rPr>
          <w:rFonts w:ascii="Arial" w:eastAsia="Calibri" w:hAnsi="Arial" w:cs="Arial"/>
        </w:rPr>
        <w:t>W ust. 1 projektowanego art. 473a określono podstawowy typ czynu zabronionego polegający na poborze wód powierzchniowych lub wód podziemnych z naruszeniem przepisów ustawy, jeżeli działanie to może powodować znaczną szkodę dla stanu ekologicznego lub potencjału ekologicznego jednolitych części wód powierzchniowych albo dla stanu ilościowego jednolitych części wód podziemnych.</w:t>
      </w:r>
    </w:p>
    <w:p w14:paraId="5190E158" w14:textId="77777777" w:rsidR="0087272B" w:rsidRPr="0087272B" w:rsidRDefault="0087272B" w:rsidP="0087272B">
      <w:pPr>
        <w:spacing w:after="0" w:line="300" w:lineRule="auto"/>
        <w:jc w:val="both"/>
        <w:rPr>
          <w:rFonts w:ascii="Arial" w:eastAsia="Calibri" w:hAnsi="Arial" w:cs="Arial"/>
        </w:rPr>
      </w:pPr>
      <w:r w:rsidRPr="0087272B">
        <w:rPr>
          <w:rFonts w:ascii="Arial" w:eastAsia="Calibri" w:hAnsi="Arial" w:cs="Arial"/>
        </w:rPr>
        <w:t>Przewidziana w ust. 1 sankcja w postaci kary pozbawienia wolności do lat 3 ma charakter proporcjonalny do wagi czynu oraz pozostaje w zgodzie z systematyką sankcji karnych przewidzianych w ustawie – Prawo wodne oraz w kodeksie karnym. Ukształtowanie sankcji na tym poziomie realizuje również wymóg skuteczności, proporcjonalności i odstraszającego charakteru sankcji karnych, o którym mowa w dyrektywie.</w:t>
      </w:r>
    </w:p>
    <w:p w14:paraId="3E21C8C2" w14:textId="77777777" w:rsidR="0087272B" w:rsidRPr="0087272B" w:rsidRDefault="0087272B" w:rsidP="0087272B">
      <w:pPr>
        <w:spacing w:after="0" w:line="300" w:lineRule="auto"/>
        <w:jc w:val="both"/>
        <w:rPr>
          <w:rFonts w:ascii="Arial" w:eastAsia="Calibri" w:hAnsi="Arial" w:cs="Arial"/>
        </w:rPr>
      </w:pPr>
      <w:r w:rsidRPr="0087272B">
        <w:rPr>
          <w:rFonts w:ascii="Arial" w:eastAsia="Calibri" w:hAnsi="Arial" w:cs="Arial"/>
        </w:rPr>
        <w:lastRenderedPageBreak/>
        <w:t>Wprowadzany w ust. 2 projektowanego przepisu wymóg karalności formy nieumyślnej pozostaje w zgodzie z art. 3 ust. 4 dyrektywy, który wymaga objęcia odpowiedzialnością karną również zachowań wynikających co najmniej z rażącego niedbalstwa, jeżeli mogą one prowadzić do poważnych szkód środowiskowych.</w:t>
      </w:r>
    </w:p>
    <w:p w14:paraId="311F8183" w14:textId="77777777" w:rsidR="0087272B" w:rsidRPr="0087272B" w:rsidRDefault="0087272B" w:rsidP="0087272B">
      <w:pPr>
        <w:spacing w:after="0" w:line="300" w:lineRule="auto"/>
        <w:jc w:val="both"/>
        <w:rPr>
          <w:rFonts w:ascii="Arial" w:eastAsia="Calibri" w:hAnsi="Arial" w:cs="Arial"/>
        </w:rPr>
      </w:pPr>
      <w:r w:rsidRPr="0087272B">
        <w:rPr>
          <w:rFonts w:ascii="Arial" w:eastAsia="Calibri" w:hAnsi="Arial" w:cs="Arial"/>
        </w:rPr>
        <w:t>Projektowany ust. 3 art. 473a wprowadza typ kwalifikowany odnoszący się do sytuacji, w których bezprawny pobór wód nie tylko stwarza zagrożenie dla środowiska wodnego, lecz prowadzi do faktycznego wystąpienia szczególnie poważnych następstw w postaci nieodwracalnego albo długotrwałego zniszczenia ekosystemu albo nieodwracalnego albo długotrwałego istotnego obniżenia jakości elementów środowiska. Przepis ten obejmuje zatem przypadki, w których szkoda środowiskowa już się zmaterializowała i ma charakter trwały lub długofalowy, a jej skutki nie mogą zostać usunięte w drodze zwykłych działań naprawczych albo wymagają wieloletnich procesów renaturyzacyjnych.</w:t>
      </w:r>
    </w:p>
    <w:p w14:paraId="20B83990" w14:textId="77777777" w:rsidR="0087272B" w:rsidRPr="0087272B" w:rsidRDefault="0087272B" w:rsidP="0087272B">
      <w:pPr>
        <w:spacing w:after="0" w:line="300" w:lineRule="auto"/>
        <w:jc w:val="both"/>
        <w:rPr>
          <w:rFonts w:ascii="Arial" w:eastAsia="Calibri" w:hAnsi="Arial" w:cs="Arial"/>
        </w:rPr>
      </w:pPr>
      <w:r w:rsidRPr="0087272B">
        <w:rPr>
          <w:rFonts w:ascii="Arial" w:eastAsia="Calibri" w:hAnsi="Arial" w:cs="Arial"/>
        </w:rPr>
        <w:t>Zmiany w ustawie z dnia 11 sierpnia 2021 r. o gatunkach obcych</w:t>
      </w:r>
    </w:p>
    <w:p w14:paraId="5684FAEA" w14:textId="77777777" w:rsidR="0087272B" w:rsidRPr="0087272B" w:rsidRDefault="0087272B" w:rsidP="0087272B">
      <w:pPr>
        <w:spacing w:after="0" w:line="300" w:lineRule="auto"/>
        <w:jc w:val="both"/>
        <w:rPr>
          <w:rFonts w:ascii="Arial" w:eastAsia="Calibri" w:hAnsi="Arial" w:cs="Arial"/>
        </w:rPr>
      </w:pPr>
      <w:r w:rsidRPr="0087272B">
        <w:rPr>
          <w:rFonts w:ascii="Arial" w:eastAsia="Calibri" w:hAnsi="Arial" w:cs="Arial"/>
        </w:rPr>
        <w:t xml:space="preserve">Konieczne są zmiany w ustawie poprzez dodanie w art. 34 ust. 2a-2d określających kwalifikowany typ przestępstwa stypizowanego w art. 34 ust. 1. Projektowane ust. 2a i 2c art. 34 wprowadzają typy kwalifikowane czynów już penalizowanych w ust. 1 i 2 tego przepisu, powiązane z wystąpieniem szczególnie poważnych skutków środowiskowych, takich jak nieodwracalne albo długotrwałe zniszczenie ekosystemu, świata roślinnego lub zwierzęcego albo istotne obniżenie jakości elementów środowiska. </w:t>
      </w:r>
    </w:p>
    <w:p w14:paraId="469AC64A" w14:textId="77777777" w:rsidR="0087272B" w:rsidRPr="0087272B" w:rsidRDefault="0087272B" w:rsidP="0087272B">
      <w:pPr>
        <w:spacing w:after="0" w:line="300" w:lineRule="auto"/>
        <w:jc w:val="both"/>
        <w:rPr>
          <w:rFonts w:ascii="Arial" w:eastAsia="Calibri" w:hAnsi="Arial" w:cs="Arial"/>
        </w:rPr>
      </w:pPr>
      <w:r w:rsidRPr="0087272B">
        <w:rPr>
          <w:rFonts w:ascii="Arial" w:eastAsia="Calibri" w:hAnsi="Arial" w:cs="Arial"/>
        </w:rPr>
        <w:t>Natomiast projektowane ust. 2b i 2d wprowadzają kwalifikację czynu ze względu na następstwo w postaci śmierci człowieka, co pozostaje w zgodzie z art. 3 ust. 2 dyrektywy, przewidującym, że przestępstwa przeciwko środowisku, które skutkują najpoważniejszymi naruszeniami dóbr prawnych o charakterze osobistym, muszą podlegać surowszej odpowiedzialności karnej.</w:t>
      </w:r>
    </w:p>
    <w:p w14:paraId="3AB5D236" w14:textId="77777777" w:rsidR="0087272B" w:rsidRPr="0087272B" w:rsidRDefault="0087272B" w:rsidP="0087272B">
      <w:pPr>
        <w:spacing w:after="0" w:line="300" w:lineRule="auto"/>
        <w:jc w:val="both"/>
        <w:rPr>
          <w:rFonts w:ascii="Arial" w:eastAsia="Calibri" w:hAnsi="Arial" w:cs="Arial"/>
        </w:rPr>
      </w:pPr>
      <w:r w:rsidRPr="0087272B">
        <w:rPr>
          <w:rFonts w:ascii="Arial" w:eastAsia="Calibri" w:hAnsi="Arial" w:cs="Arial"/>
        </w:rPr>
        <w:t>Wskazać należy, że wprowadzenie powyższych zmian jest konieczne z uwagi na przepisy dyrektywy nr 2024/1203, a wskazany wymiar kary jest zgodny z art. 5 ust. 2 lit b ww. dyrektywy nr 2024/1203.</w:t>
      </w:r>
    </w:p>
    <w:p w14:paraId="7CB9CB16" w14:textId="6C4E2679" w:rsidR="0087272B" w:rsidRPr="0087272B" w:rsidRDefault="0087272B" w:rsidP="0087272B">
      <w:pPr>
        <w:spacing w:after="0" w:line="300" w:lineRule="auto"/>
        <w:jc w:val="both"/>
        <w:rPr>
          <w:rFonts w:ascii="Arial" w:hAnsi="Arial" w:cs="Arial"/>
        </w:rPr>
      </w:pPr>
      <w:r w:rsidRPr="0087272B">
        <w:rPr>
          <w:rFonts w:ascii="Arial" w:eastAsia="Calibri" w:hAnsi="Arial" w:cs="Arial"/>
        </w:rPr>
        <w:t>Ocena Skutków Regulacji zawiera tabelę ze szczegółowym zestawieniem zmian legislacyjnych.</w:t>
      </w:r>
    </w:p>
    <w:p w14:paraId="6929CD5B" w14:textId="77777777" w:rsidR="0087272B" w:rsidRDefault="0087272B" w:rsidP="00AB3E3C">
      <w:pPr>
        <w:spacing w:after="0" w:line="300" w:lineRule="auto"/>
        <w:jc w:val="both"/>
        <w:rPr>
          <w:rFonts w:ascii="Arial" w:hAnsi="Arial" w:cs="Arial"/>
        </w:rPr>
      </w:pPr>
    </w:p>
    <w:p w14:paraId="257D4A35" w14:textId="77777777" w:rsidR="0087272B" w:rsidRPr="0087272B" w:rsidRDefault="0087272B" w:rsidP="0087272B">
      <w:pPr>
        <w:spacing w:after="0" w:line="300" w:lineRule="auto"/>
        <w:jc w:val="both"/>
        <w:rPr>
          <w:rFonts w:ascii="Arial" w:hAnsi="Arial" w:cs="Arial"/>
        </w:rPr>
      </w:pPr>
      <w:r w:rsidRPr="0087272B">
        <w:rPr>
          <w:rFonts w:ascii="Arial" w:hAnsi="Arial" w:cs="Arial"/>
        </w:rPr>
        <w:t>Przedmiotowy projekt aktu prawnego wraz z Uzasadnieniem, Oceną Skutków Regulacji oraz Tabelą zgodności dostępny jest na stronach Rządowego Centrum Legislacji pod adresem:</w:t>
      </w:r>
    </w:p>
    <w:p w14:paraId="7A0CE8B8" w14:textId="49224AFD" w:rsidR="0087272B" w:rsidRDefault="0087272B" w:rsidP="0087272B">
      <w:pPr>
        <w:spacing w:after="0" w:line="300" w:lineRule="auto"/>
        <w:jc w:val="both"/>
        <w:rPr>
          <w:rFonts w:ascii="Arial" w:hAnsi="Arial" w:cs="Arial"/>
        </w:rPr>
      </w:pPr>
      <w:hyperlink r:id="rId7" w:history="1">
        <w:r w:rsidRPr="00D82204">
          <w:rPr>
            <w:rStyle w:val="Hipercze"/>
            <w:rFonts w:ascii="Arial" w:hAnsi="Arial" w:cs="Arial"/>
          </w:rPr>
          <w:t>https://legislacja.rcl.gov.pl/projekt/12409350/katal</w:t>
        </w:r>
        <w:r w:rsidRPr="00D82204">
          <w:rPr>
            <w:rStyle w:val="Hipercze"/>
            <w:rFonts w:ascii="Arial" w:hAnsi="Arial" w:cs="Arial"/>
          </w:rPr>
          <w:t>o</w:t>
        </w:r>
        <w:r w:rsidRPr="00D82204">
          <w:rPr>
            <w:rStyle w:val="Hipercze"/>
            <w:rFonts w:ascii="Arial" w:hAnsi="Arial" w:cs="Arial"/>
          </w:rPr>
          <w:t>g/13198008#13198008</w:t>
        </w:r>
      </w:hyperlink>
      <w:r>
        <w:rPr>
          <w:rFonts w:ascii="Arial" w:hAnsi="Arial" w:cs="Arial"/>
        </w:rPr>
        <w:t xml:space="preserve"> </w:t>
      </w:r>
    </w:p>
    <w:p w14:paraId="0B7F7FB5" w14:textId="77777777" w:rsidR="0087272B" w:rsidRDefault="0087272B" w:rsidP="0087272B">
      <w:pPr>
        <w:spacing w:after="0" w:line="300" w:lineRule="auto"/>
        <w:jc w:val="both"/>
        <w:rPr>
          <w:rFonts w:ascii="Arial" w:hAnsi="Arial" w:cs="Arial"/>
        </w:rPr>
      </w:pPr>
    </w:p>
    <w:p w14:paraId="494757EB" w14:textId="006E4416" w:rsidR="0087272B" w:rsidRDefault="0087272B" w:rsidP="0087272B">
      <w:pPr>
        <w:spacing w:after="0" w:line="300" w:lineRule="auto"/>
        <w:jc w:val="both"/>
        <w:rPr>
          <w:rFonts w:ascii="Arial" w:hAnsi="Arial" w:cs="Arial"/>
        </w:rPr>
      </w:pPr>
      <w:r w:rsidRPr="0087272B">
        <w:rPr>
          <w:rFonts w:ascii="Arial" w:hAnsi="Arial" w:cs="Arial"/>
        </w:rPr>
        <w:t>Projekt jest obecnie jednocześnie na etapie uzgodnień, konsultacji publicznych i opiniowania.</w:t>
      </w:r>
    </w:p>
    <w:p w14:paraId="48748FC5" w14:textId="77777777" w:rsidR="0087272B" w:rsidRDefault="0087272B" w:rsidP="00AB3E3C">
      <w:pPr>
        <w:spacing w:after="0" w:line="300" w:lineRule="auto"/>
        <w:jc w:val="both"/>
        <w:rPr>
          <w:rFonts w:ascii="Arial" w:hAnsi="Arial" w:cs="Arial"/>
        </w:rPr>
      </w:pPr>
    </w:p>
    <w:p w14:paraId="45827007" w14:textId="77777777" w:rsidR="00AB3E3C" w:rsidRDefault="00AB3E3C" w:rsidP="00AB3E3C">
      <w:pPr>
        <w:spacing w:after="0" w:line="300" w:lineRule="auto"/>
        <w:jc w:val="both"/>
        <w:rPr>
          <w:rFonts w:ascii="Arial" w:hAnsi="Arial" w:cs="Arial"/>
        </w:rPr>
      </w:pPr>
      <w:r>
        <w:rPr>
          <w:rFonts w:ascii="Arial" w:hAnsi="Arial" w:cs="Arial"/>
        </w:rPr>
        <w:t>Projekty rozporządzeń:</w:t>
      </w:r>
    </w:p>
    <w:p w14:paraId="2BBB76BD" w14:textId="77777777" w:rsidR="00E87889" w:rsidRDefault="00E87889" w:rsidP="00AB3E3C">
      <w:pPr>
        <w:spacing w:after="0" w:line="300" w:lineRule="auto"/>
        <w:jc w:val="both"/>
        <w:rPr>
          <w:rFonts w:ascii="Arial" w:hAnsi="Arial" w:cs="Arial"/>
        </w:rPr>
      </w:pPr>
    </w:p>
    <w:p w14:paraId="5827AD7F" w14:textId="50598ACD" w:rsidR="00E87889" w:rsidRPr="00A93A3C" w:rsidRDefault="00A93A3C" w:rsidP="00AB3E3C">
      <w:pPr>
        <w:pStyle w:val="Akapitzlist"/>
        <w:numPr>
          <w:ilvl w:val="0"/>
          <w:numId w:val="4"/>
        </w:numPr>
        <w:spacing w:after="0" w:line="300" w:lineRule="auto"/>
        <w:jc w:val="both"/>
        <w:rPr>
          <w:rFonts w:ascii="Arial" w:hAnsi="Arial" w:cs="Arial"/>
          <w:b/>
          <w:bCs/>
          <w:u w:val="single"/>
        </w:rPr>
      </w:pPr>
      <w:r w:rsidRPr="00A93A3C">
        <w:rPr>
          <w:rFonts w:ascii="Arial" w:hAnsi="Arial" w:cs="Arial"/>
          <w:b/>
          <w:bCs/>
          <w:u w:val="single"/>
        </w:rPr>
        <w:t>P</w:t>
      </w:r>
      <w:r w:rsidRPr="00A93A3C">
        <w:rPr>
          <w:rFonts w:ascii="Arial" w:hAnsi="Arial" w:cs="Arial"/>
          <w:b/>
          <w:bCs/>
          <w:u w:val="single"/>
        </w:rPr>
        <w:t>rojekt rozporządzenia Ministra Finansów i Gospodarki zmieniającego rozporządzenie w sprawie ewidencji gruntów i budynków (55).</w:t>
      </w:r>
    </w:p>
    <w:p w14:paraId="45E77C2C" w14:textId="77777777" w:rsidR="00E87889" w:rsidRDefault="00E87889" w:rsidP="00E87889">
      <w:pPr>
        <w:spacing w:after="0" w:line="300" w:lineRule="auto"/>
        <w:jc w:val="both"/>
        <w:rPr>
          <w:rFonts w:ascii="Arial" w:hAnsi="Arial" w:cs="Arial"/>
        </w:rPr>
      </w:pPr>
    </w:p>
    <w:p w14:paraId="006B5005" w14:textId="77777777" w:rsidR="00A93A3C" w:rsidRPr="00A93A3C" w:rsidRDefault="00A93A3C" w:rsidP="00A93A3C">
      <w:pPr>
        <w:spacing w:after="0" w:line="300" w:lineRule="auto"/>
        <w:jc w:val="both"/>
        <w:rPr>
          <w:rFonts w:ascii="Arial" w:hAnsi="Arial" w:cs="Arial"/>
        </w:rPr>
      </w:pPr>
      <w:r w:rsidRPr="00A93A3C">
        <w:rPr>
          <w:rFonts w:ascii="Arial" w:hAnsi="Arial" w:cs="Arial"/>
        </w:rPr>
        <w:t xml:space="preserve">Zgodnie z art. 7d pkt 1 lit. b ustawy z dnia 17 maja 1989 r. – Prawo geodezyjne i kartograficzne (Dz. U. z 2024 r. poz. 1151, z późn. zm.) starosta jest zobowiązany do tworzenia, prowadzenia i udostępniania dla obszaru powiatu bazy danych rejestru cen nieruchomości, o którym mowa </w:t>
      </w:r>
      <w:r w:rsidRPr="00A93A3C">
        <w:rPr>
          <w:rFonts w:ascii="Arial" w:hAnsi="Arial" w:cs="Arial"/>
        </w:rPr>
        <w:lastRenderedPageBreak/>
        <w:t xml:space="preserve">w art. 4 ust. 1a pkt 7 ww. ustawy (zwanego dalej „RCN”). Dodatkowo udostępnianie danych RCN za pośrednictwem usług sieciowych wynika z § 40 ust. 11 rozporządzenia z dnia 27 lipca 2021 r. w sprawie ewidencji gruntów i budynków (Dz. U. z 2024 r. poz. 219, z późn. zm.). Obecnie zakres danych publikowanych w usługach sieciowych RCN jest ograniczony przepisami załącznika nr 10 do ww. rozporządzenia. Zgodnie ze specyfikacją usług sieciowych dotyczących udostępniania danych z RCN zawartą w pkt 9 ww. załącznika – są udostępniane w usłudze sieciowej wybrane atrybuty transakcji: </w:t>
      </w:r>
    </w:p>
    <w:p w14:paraId="2FE97582" w14:textId="77777777" w:rsidR="00A93A3C" w:rsidRPr="00A93A3C" w:rsidRDefault="00A93A3C" w:rsidP="00A93A3C">
      <w:pPr>
        <w:spacing w:after="0" w:line="300" w:lineRule="auto"/>
        <w:jc w:val="both"/>
        <w:rPr>
          <w:rFonts w:ascii="Arial" w:hAnsi="Arial" w:cs="Arial"/>
        </w:rPr>
      </w:pPr>
      <w:r w:rsidRPr="00A93A3C">
        <w:rPr>
          <w:rFonts w:ascii="Arial" w:hAnsi="Arial" w:cs="Arial"/>
        </w:rPr>
        <w:t xml:space="preserve">− teryt – teryt powiatu, </w:t>
      </w:r>
    </w:p>
    <w:p w14:paraId="2A4DBDB7" w14:textId="77777777" w:rsidR="00A93A3C" w:rsidRPr="00A93A3C" w:rsidRDefault="00A93A3C" w:rsidP="00A93A3C">
      <w:pPr>
        <w:spacing w:after="0" w:line="300" w:lineRule="auto"/>
        <w:jc w:val="both"/>
        <w:rPr>
          <w:rFonts w:ascii="Arial" w:hAnsi="Arial" w:cs="Arial"/>
        </w:rPr>
      </w:pPr>
      <w:r w:rsidRPr="00A93A3C">
        <w:rPr>
          <w:rFonts w:ascii="Arial" w:hAnsi="Arial" w:cs="Arial"/>
        </w:rPr>
        <w:t xml:space="preserve">− lokalnyId – identyfikator „lokalny” transakcji z serwisu powiatowego, </w:t>
      </w:r>
    </w:p>
    <w:p w14:paraId="0373F162" w14:textId="77777777" w:rsidR="00A93A3C" w:rsidRPr="00A93A3C" w:rsidRDefault="00A93A3C" w:rsidP="00A93A3C">
      <w:pPr>
        <w:spacing w:after="0" w:line="300" w:lineRule="auto"/>
        <w:jc w:val="both"/>
        <w:rPr>
          <w:rFonts w:ascii="Arial" w:hAnsi="Arial" w:cs="Arial"/>
        </w:rPr>
      </w:pPr>
      <w:r w:rsidRPr="00A93A3C">
        <w:rPr>
          <w:rFonts w:ascii="Arial" w:hAnsi="Arial" w:cs="Arial"/>
        </w:rPr>
        <w:t xml:space="preserve">− dataTransakcji – data zawarcia transakcji, </w:t>
      </w:r>
    </w:p>
    <w:p w14:paraId="11FFFAE8" w14:textId="77777777" w:rsidR="00A93A3C" w:rsidRPr="00A93A3C" w:rsidRDefault="00A93A3C" w:rsidP="00A93A3C">
      <w:pPr>
        <w:spacing w:after="0" w:line="300" w:lineRule="auto"/>
        <w:jc w:val="both"/>
        <w:rPr>
          <w:rFonts w:ascii="Arial" w:hAnsi="Arial" w:cs="Arial"/>
        </w:rPr>
      </w:pPr>
      <w:r w:rsidRPr="00A93A3C">
        <w:rPr>
          <w:rFonts w:ascii="Arial" w:hAnsi="Arial" w:cs="Arial"/>
        </w:rPr>
        <w:t xml:space="preserve">− rodzajTransakcji – rodzaj zawartej transakcji, </w:t>
      </w:r>
    </w:p>
    <w:p w14:paraId="24495E40" w14:textId="77777777" w:rsidR="00A93A3C" w:rsidRPr="00A93A3C" w:rsidRDefault="00A93A3C" w:rsidP="00A93A3C">
      <w:pPr>
        <w:spacing w:after="0" w:line="300" w:lineRule="auto"/>
        <w:jc w:val="both"/>
        <w:rPr>
          <w:rFonts w:ascii="Arial" w:hAnsi="Arial" w:cs="Arial"/>
        </w:rPr>
      </w:pPr>
      <w:r w:rsidRPr="00A93A3C">
        <w:rPr>
          <w:rFonts w:ascii="Arial" w:hAnsi="Arial" w:cs="Arial"/>
        </w:rPr>
        <w:t xml:space="preserve">− rodzajNieruchomosci – rodzaj sprzedawanej nieruchomości. </w:t>
      </w:r>
    </w:p>
    <w:p w14:paraId="2DB195C7" w14:textId="77777777" w:rsidR="00A93A3C" w:rsidRPr="00A93A3C" w:rsidRDefault="00A93A3C" w:rsidP="00A93A3C">
      <w:pPr>
        <w:spacing w:after="0" w:line="300" w:lineRule="auto"/>
        <w:jc w:val="both"/>
        <w:rPr>
          <w:rFonts w:ascii="Arial" w:hAnsi="Arial" w:cs="Arial"/>
        </w:rPr>
      </w:pPr>
      <w:r w:rsidRPr="00A93A3C">
        <w:rPr>
          <w:rFonts w:ascii="Arial" w:hAnsi="Arial" w:cs="Arial"/>
        </w:rPr>
        <w:t xml:space="preserve">Dodatkowo są udostępniane atrybuty zawierające informacje o serwisie (usłudze) udostępniającym informacje o transakcji oraz opcjonalnie bezpośredni link pozwalający na zakup danych dotyczących pojedynczej transakcji. </w:t>
      </w:r>
    </w:p>
    <w:p w14:paraId="10CBD14B" w14:textId="77777777" w:rsidR="00A93A3C" w:rsidRPr="00A93A3C" w:rsidRDefault="00A93A3C" w:rsidP="00A93A3C">
      <w:pPr>
        <w:spacing w:after="0" w:line="300" w:lineRule="auto"/>
        <w:jc w:val="both"/>
        <w:rPr>
          <w:rFonts w:ascii="Arial" w:hAnsi="Arial" w:cs="Arial"/>
        </w:rPr>
      </w:pPr>
      <w:r w:rsidRPr="00A93A3C">
        <w:rPr>
          <w:rFonts w:ascii="Arial" w:hAnsi="Arial" w:cs="Arial"/>
        </w:rPr>
        <w:t xml:space="preserve">Na mocy art. 1 pkt. 1 ustawy z dnia 26 września 2025 r. o zmianie ustawy – Prawo geodezyjne i kartograficzne (Dz. U. poz. 1542), od dnia 13 lutego 2026 r. pełen zakres danych RCN jest udostępniany nieodpłatnie. Zmiana ta powoduje konieczność rozszerzenia struktury danych publikowanych w usługach i zapewnienia odpowiedniej infrastruktury do obsługi zwiększonego wolumenu danych oraz ujednolicenia sposobu wystawiania usług w skali kraju. </w:t>
      </w:r>
    </w:p>
    <w:p w14:paraId="7628EBD8" w14:textId="77777777" w:rsidR="00A93A3C" w:rsidRPr="00A93A3C" w:rsidRDefault="00A93A3C" w:rsidP="00A93A3C">
      <w:pPr>
        <w:spacing w:after="0" w:line="300" w:lineRule="auto"/>
        <w:jc w:val="both"/>
        <w:rPr>
          <w:rFonts w:ascii="Arial" w:hAnsi="Arial" w:cs="Arial"/>
        </w:rPr>
      </w:pPr>
      <w:r w:rsidRPr="00A93A3C">
        <w:rPr>
          <w:rFonts w:ascii="Arial" w:hAnsi="Arial" w:cs="Arial"/>
        </w:rPr>
        <w:t xml:space="preserve">Brak odpowiedniej zmiany załącznika nr 10 do rozporządzenia Ministra Rozwoju, Pracy i Technologii z dnia 27 lipca 2021 r. w sprawie ewidencji gruntów i budynków będzie skutkował udostępnianiem tylko części danych RCN dotyczących transakcji przez usługi sieciowe, niejednolitym sposobem wdrażania usług przez poszczególne starostwa, wysokimi kosztami lokalnych implementacji oraz ryzykiem braku zapewnienia ciągłości świadczenia usług publicznych od dnia wejścia w życie nowych przepisów. </w:t>
      </w:r>
    </w:p>
    <w:p w14:paraId="1AECAB81" w14:textId="77777777" w:rsidR="00A93A3C" w:rsidRPr="00A93A3C" w:rsidRDefault="00A93A3C" w:rsidP="00A93A3C">
      <w:pPr>
        <w:spacing w:after="0" w:line="300" w:lineRule="auto"/>
        <w:jc w:val="both"/>
        <w:rPr>
          <w:rFonts w:ascii="Arial" w:hAnsi="Arial" w:cs="Arial"/>
        </w:rPr>
      </w:pPr>
      <w:r w:rsidRPr="00A93A3C">
        <w:rPr>
          <w:rFonts w:ascii="Arial" w:hAnsi="Arial" w:cs="Arial"/>
        </w:rPr>
        <w:t xml:space="preserve">Jednocześnie należy zauważyć, że znaczna część starostw nie dysponuje zasobami kadrowymi ani technicznymi umożliwiającymi samodzielne zaprojektowanie, wdrożenie i utrzymanie zaawansowanych usług sieciowych obejmujących pełny zakres danych RCN. </w:t>
      </w:r>
    </w:p>
    <w:p w14:paraId="047C30A2" w14:textId="77777777" w:rsidR="00A93A3C" w:rsidRPr="00A93A3C" w:rsidRDefault="00A93A3C" w:rsidP="00A93A3C">
      <w:pPr>
        <w:spacing w:after="0" w:line="300" w:lineRule="auto"/>
        <w:jc w:val="both"/>
        <w:rPr>
          <w:rFonts w:ascii="Arial" w:hAnsi="Arial" w:cs="Arial"/>
        </w:rPr>
      </w:pPr>
      <w:r w:rsidRPr="00A93A3C">
        <w:rPr>
          <w:rFonts w:ascii="Arial" w:hAnsi="Arial" w:cs="Arial"/>
        </w:rPr>
        <w:t>W wielu przypadkach w bazie danych ewidencji gruntów i budynków (zwanej dalej „bazą EGiB”) są dostępne informacje przestrzenne dotyczące działek ewidencyjnych, budynków oraz georeferencji lokali. Dotychczasowe przepisy nie określają jednoznacznie, w jakich przypadkach dane te powinny być uwzględniane w strukturze danych RCN, co prowadzi do niejednolitego sposobu ich publikacji przez poszczególne podmioty prowadzące rejestr oraz utrudnia ich wykorzystanie w analizach przestrzennych.</w:t>
      </w:r>
    </w:p>
    <w:p w14:paraId="2B62763E" w14:textId="77777777" w:rsidR="00A93A3C" w:rsidRPr="00A93A3C" w:rsidRDefault="00A93A3C" w:rsidP="00A93A3C">
      <w:pPr>
        <w:spacing w:after="0" w:line="300" w:lineRule="auto"/>
        <w:jc w:val="both"/>
        <w:rPr>
          <w:rFonts w:ascii="Arial" w:hAnsi="Arial" w:cs="Arial"/>
        </w:rPr>
      </w:pPr>
      <w:r w:rsidRPr="00A93A3C">
        <w:rPr>
          <w:rFonts w:ascii="Arial" w:hAnsi="Arial" w:cs="Arial"/>
        </w:rPr>
        <w:t xml:space="preserve">Ponadto, brak jednoznacznej informacji o czasie wprowadzenia danych do rejestru utrudnia weryfikację terminowości wprowadzania informacji o transakcjach do RCN. </w:t>
      </w:r>
    </w:p>
    <w:p w14:paraId="7B5EF59F" w14:textId="77777777" w:rsidR="00A93A3C" w:rsidRPr="00A93A3C" w:rsidRDefault="00A93A3C" w:rsidP="00A93A3C">
      <w:pPr>
        <w:spacing w:after="0" w:line="300" w:lineRule="auto"/>
        <w:jc w:val="both"/>
        <w:rPr>
          <w:rFonts w:ascii="Arial" w:hAnsi="Arial" w:cs="Arial"/>
        </w:rPr>
      </w:pPr>
      <w:r w:rsidRPr="00A93A3C">
        <w:rPr>
          <w:rFonts w:ascii="Arial" w:hAnsi="Arial" w:cs="Arial"/>
        </w:rPr>
        <w:t xml:space="preserve">W dotychczasowym modelu danych występowała niespójność dotycząca sposobu reprezentacji geometrii budynku. W schemacie danych przewidziano zapis geometrii budynku jako obiektu typu GM_Surface, podczas gdy w bazie EGiB geometria budynku jest zapisywana jako GM_MultiSurface. W praktyce wiele budynków składa się z kilku powierzchni geometrycznych, co uniemożliwiało ich bezpośrednie odwzorowanie w modelu danych bez wcześniejszego przekształcenia geometrii. Powodowało to konieczność stosowania </w:t>
      </w:r>
      <w:r w:rsidRPr="00A93A3C">
        <w:rPr>
          <w:rFonts w:ascii="Arial" w:hAnsi="Arial" w:cs="Arial"/>
        </w:rPr>
        <w:lastRenderedPageBreak/>
        <w:t>dodatkowych operacji przetwarzania danych oraz utrudniało integrację danych przestrzennych pomiędzy systemami.</w:t>
      </w:r>
    </w:p>
    <w:p w14:paraId="0501D172" w14:textId="77777777" w:rsidR="00A93A3C" w:rsidRPr="00A93A3C" w:rsidRDefault="00A93A3C" w:rsidP="00A93A3C">
      <w:pPr>
        <w:spacing w:after="0" w:line="300" w:lineRule="auto"/>
        <w:jc w:val="both"/>
        <w:rPr>
          <w:rFonts w:ascii="Arial" w:hAnsi="Arial" w:cs="Arial"/>
        </w:rPr>
      </w:pPr>
      <w:r w:rsidRPr="00A93A3C">
        <w:rPr>
          <w:rFonts w:ascii="Arial" w:hAnsi="Arial" w:cs="Arial"/>
        </w:rPr>
        <w:t xml:space="preserve">Planowane jest udostępnianie przez starostów kompletu danych RCN przez API w formie usług sieciowych w standardach Web Map Service (WMS) i Web Feature Service (WFS). Główny Urząd Geodezji i Kartografii (GUGiK) planuje wsparcie starostów w procesie publikacji usług sieciowych RCN przez przygotowanie narzędzia pozwalającego na import danych RCN z pliku w standardowym formacie wymiany danych przestrzennych (GML) a następnie ich publikację za pomocą usług sieciowych. W efekcie dla podmiotów prowadzących RCN zostanie udostępniony kompletny i gotowy do wdrożenia proces technologiczny wystawiania usług RCN w jednolitym standardzie krajowym. </w:t>
      </w:r>
    </w:p>
    <w:p w14:paraId="31CCBF7B" w14:textId="77777777" w:rsidR="00A93A3C" w:rsidRPr="00A93A3C" w:rsidRDefault="00A93A3C" w:rsidP="00A93A3C">
      <w:pPr>
        <w:spacing w:after="0" w:line="300" w:lineRule="auto"/>
        <w:jc w:val="both"/>
        <w:rPr>
          <w:rFonts w:ascii="Arial" w:hAnsi="Arial" w:cs="Arial"/>
        </w:rPr>
      </w:pPr>
      <w:r w:rsidRPr="00A93A3C">
        <w:rPr>
          <w:rFonts w:ascii="Arial" w:hAnsi="Arial" w:cs="Arial"/>
        </w:rPr>
        <w:t xml:space="preserve">Dodatkowo pojawi się obowiązek cyklicznego udostępniania kompletu danych w formacie GML w portalu danych, o którym mowa w art. 32 ustawy z dnia 11 sierpnia 2021 r. o otwartych danych i ponownym wykorzystywaniu informacji sektora publicznego (Dz. U. z 2023 r. poz. 1524). </w:t>
      </w:r>
    </w:p>
    <w:p w14:paraId="16DAACF3" w14:textId="77777777" w:rsidR="00A93A3C" w:rsidRPr="00A93A3C" w:rsidRDefault="00A93A3C" w:rsidP="00A93A3C">
      <w:pPr>
        <w:spacing w:after="0" w:line="300" w:lineRule="auto"/>
        <w:jc w:val="both"/>
        <w:rPr>
          <w:rFonts w:ascii="Arial" w:hAnsi="Arial" w:cs="Arial"/>
        </w:rPr>
      </w:pPr>
      <w:r w:rsidRPr="00A93A3C">
        <w:rPr>
          <w:rFonts w:ascii="Arial" w:hAnsi="Arial" w:cs="Arial"/>
        </w:rPr>
        <w:t xml:space="preserve">Docelowo wszystkie 385 podmiotów (380 starostw oraz 5 gmin) prowadzących RCN będzie udostępniać nieodpłatnie przedmiotowy rejestr za pomocą powyższych metod. </w:t>
      </w:r>
    </w:p>
    <w:p w14:paraId="5E29A2E5" w14:textId="77777777" w:rsidR="00A93A3C" w:rsidRPr="00A93A3C" w:rsidRDefault="00A93A3C" w:rsidP="00A93A3C">
      <w:pPr>
        <w:spacing w:after="0" w:line="300" w:lineRule="auto"/>
        <w:jc w:val="both"/>
        <w:rPr>
          <w:rFonts w:ascii="Arial" w:hAnsi="Arial" w:cs="Arial"/>
        </w:rPr>
      </w:pPr>
      <w:r w:rsidRPr="00A93A3C">
        <w:rPr>
          <w:rFonts w:ascii="Arial" w:hAnsi="Arial" w:cs="Arial"/>
        </w:rPr>
        <w:t xml:space="preserve">Dodatkowo GUGiK planuje wsparcie starostów w procesie publikacji usług RCN przez przygotowanie narzędzia pozwalającego na import danych RCN z pliku GML a następnie ich publikację za pomocą usług sieciowych. W efekcie dla podmiotów prowadzących RCN zostanie udostępniony kompletny i gotowy do wdrożenia proces technologiczny wystawiania usług RCN w jednolitym standardzie krajowym. </w:t>
      </w:r>
    </w:p>
    <w:p w14:paraId="7E5B0301" w14:textId="77777777" w:rsidR="00A93A3C" w:rsidRPr="00A93A3C" w:rsidRDefault="00A93A3C" w:rsidP="00A93A3C">
      <w:pPr>
        <w:spacing w:after="0" w:line="300" w:lineRule="auto"/>
        <w:jc w:val="both"/>
        <w:rPr>
          <w:rFonts w:ascii="Arial" w:hAnsi="Arial" w:cs="Arial"/>
        </w:rPr>
      </w:pPr>
      <w:r w:rsidRPr="00A93A3C">
        <w:rPr>
          <w:rFonts w:ascii="Arial" w:hAnsi="Arial" w:cs="Arial"/>
        </w:rPr>
        <w:t xml:space="preserve">Projekt przewiduje również doprecyzowanie zasad dotyczących publikacji geometrii działek ewidencyjnych oraz budynków, a także georeferencji lokali w przypadkach, gdy dane te występują w bazie EGiB.  </w:t>
      </w:r>
    </w:p>
    <w:p w14:paraId="048F3913" w14:textId="77777777" w:rsidR="00A93A3C" w:rsidRPr="00A93A3C" w:rsidRDefault="00A93A3C" w:rsidP="00A93A3C">
      <w:pPr>
        <w:spacing w:after="0" w:line="300" w:lineRule="auto"/>
        <w:jc w:val="both"/>
        <w:rPr>
          <w:rFonts w:ascii="Arial" w:hAnsi="Arial" w:cs="Arial"/>
        </w:rPr>
      </w:pPr>
      <w:r w:rsidRPr="00A93A3C">
        <w:rPr>
          <w:rFonts w:ascii="Arial" w:hAnsi="Arial" w:cs="Arial"/>
        </w:rPr>
        <w:t xml:space="preserve">Rozwiązanie to zwiększy użyteczność danych RCN oraz umożliwi ich analizę w kontekście przestrzennym. </w:t>
      </w:r>
    </w:p>
    <w:p w14:paraId="058D3D30" w14:textId="77777777" w:rsidR="00A93A3C" w:rsidRPr="00A93A3C" w:rsidRDefault="00A93A3C" w:rsidP="00A93A3C">
      <w:pPr>
        <w:spacing w:after="0" w:line="300" w:lineRule="auto"/>
        <w:jc w:val="both"/>
        <w:rPr>
          <w:rFonts w:ascii="Arial" w:hAnsi="Arial" w:cs="Arial"/>
        </w:rPr>
      </w:pPr>
      <w:r w:rsidRPr="00A93A3C">
        <w:rPr>
          <w:rFonts w:ascii="Arial" w:hAnsi="Arial" w:cs="Arial"/>
        </w:rPr>
        <w:t xml:space="preserve">Projekt przewiduje również zmianę typu geometrii budynku z GM_Surface na GM_MultiSurface, co pozwoli na bezpośrednie odwzorowanie geometrii budynków zgodnie z modelem danych stosowanym w bazie EGiB. Rozwiązanie to eliminuje konieczność dodatkowego przetwarzania geometrii budynków przy wymianie danych pomiędzy systemami oraz zwiększa interoperacyjność danych przestrzennych wykorzystywanych w rejestrach publicznych. Poza tym, wprowadzono wymagalność atrybutu wersjaId w obiekcie RCN_IdentyfikatorIIP, który umożliwia jednoznaczne określenie momentu wprowadzenia informacji o transakcji do bazy danych. Pozwoli to na weryfikację czasu pomiędzy sporządzeniem aktu notarialnego a wprowadzeniem informacji do rejestru. </w:t>
      </w:r>
    </w:p>
    <w:p w14:paraId="184C984C" w14:textId="1670FF28" w:rsidR="00A93A3C" w:rsidRDefault="00A93A3C" w:rsidP="00A93A3C">
      <w:pPr>
        <w:spacing w:after="0" w:line="300" w:lineRule="auto"/>
        <w:jc w:val="both"/>
        <w:rPr>
          <w:rFonts w:ascii="Arial" w:hAnsi="Arial" w:cs="Arial"/>
        </w:rPr>
      </w:pPr>
      <w:r w:rsidRPr="00A93A3C">
        <w:rPr>
          <w:rFonts w:ascii="Arial" w:hAnsi="Arial" w:cs="Arial"/>
        </w:rPr>
        <w:t>Wprowadzono także wymagalność atrybutu numerPorzadkowy w obiekcie RCN_Adres. Brak numeru porządkowego powoduje, że nie ma możliwości jednoznacznego określenia adresu działki, budynku lub lokalu, co w praktyce uniemożliwia jego poprawne wykorzystanie. Wprowadzenie tej zmiany ma na celu zapewnienie kompletności i jednoznaczności danych adresowych oraz ich zgodności z obowiązującymi przepisami.</w:t>
      </w:r>
    </w:p>
    <w:p w14:paraId="7D41D3BD" w14:textId="77777777" w:rsidR="00E87889" w:rsidRDefault="00E87889" w:rsidP="00E87889">
      <w:pPr>
        <w:spacing w:after="0" w:line="300" w:lineRule="auto"/>
        <w:jc w:val="both"/>
        <w:rPr>
          <w:rFonts w:ascii="Arial" w:hAnsi="Arial" w:cs="Arial"/>
        </w:rPr>
      </w:pPr>
    </w:p>
    <w:p w14:paraId="7ABC2E0F" w14:textId="77777777" w:rsidR="00C30FAC" w:rsidRPr="00C30FAC" w:rsidRDefault="00C30FAC" w:rsidP="00C30FAC">
      <w:pPr>
        <w:spacing w:after="0" w:line="300" w:lineRule="auto"/>
        <w:jc w:val="both"/>
        <w:rPr>
          <w:rFonts w:ascii="Arial" w:hAnsi="Arial" w:cs="Arial"/>
        </w:rPr>
      </w:pPr>
      <w:r w:rsidRPr="00C30FAC">
        <w:rPr>
          <w:rFonts w:ascii="Arial" w:hAnsi="Arial" w:cs="Arial"/>
        </w:rPr>
        <w:t>Przedmiotowy projekt aktu prawnego wraz z załącznikami (szt. 2), Uzasadnieniem oraz Oceną Skutków Regulacji dostępny jest na stronach Rządowego Centrum Legislacji pod adresem:</w:t>
      </w:r>
    </w:p>
    <w:p w14:paraId="0344BF25" w14:textId="475672E5" w:rsidR="00A93A3C" w:rsidRDefault="00C30FAC" w:rsidP="00C30FAC">
      <w:pPr>
        <w:spacing w:after="0" w:line="300" w:lineRule="auto"/>
        <w:jc w:val="both"/>
        <w:rPr>
          <w:rFonts w:ascii="Arial" w:hAnsi="Arial" w:cs="Arial"/>
        </w:rPr>
      </w:pPr>
      <w:hyperlink r:id="rId8" w:history="1">
        <w:r w:rsidRPr="00D82204">
          <w:rPr>
            <w:rStyle w:val="Hipercze"/>
            <w:rFonts w:ascii="Arial" w:hAnsi="Arial" w:cs="Arial"/>
          </w:rPr>
          <w:t>https://legislacja.gov.pl/projekt/12409300/katalog/13</w:t>
        </w:r>
        <w:r w:rsidRPr="00D82204">
          <w:rPr>
            <w:rStyle w:val="Hipercze"/>
            <w:rFonts w:ascii="Arial" w:hAnsi="Arial" w:cs="Arial"/>
          </w:rPr>
          <w:t>1</w:t>
        </w:r>
        <w:r w:rsidRPr="00D82204">
          <w:rPr>
            <w:rStyle w:val="Hipercze"/>
            <w:rFonts w:ascii="Arial" w:hAnsi="Arial" w:cs="Arial"/>
          </w:rPr>
          <w:t>97764#13197764</w:t>
        </w:r>
      </w:hyperlink>
      <w:r>
        <w:rPr>
          <w:rFonts w:ascii="Arial" w:hAnsi="Arial" w:cs="Arial"/>
        </w:rPr>
        <w:t xml:space="preserve"> </w:t>
      </w:r>
    </w:p>
    <w:p w14:paraId="3E4EE3D5" w14:textId="77777777" w:rsidR="00C30FAC" w:rsidRDefault="00C30FAC" w:rsidP="00E87889">
      <w:pPr>
        <w:spacing w:after="0" w:line="300" w:lineRule="auto"/>
        <w:jc w:val="both"/>
        <w:rPr>
          <w:rFonts w:ascii="Arial" w:hAnsi="Arial" w:cs="Arial"/>
        </w:rPr>
      </w:pPr>
    </w:p>
    <w:p w14:paraId="77B4150B" w14:textId="15C84013" w:rsidR="00A93A3C" w:rsidRDefault="00C30FAC" w:rsidP="00E87889">
      <w:pPr>
        <w:spacing w:after="0" w:line="300" w:lineRule="auto"/>
        <w:jc w:val="both"/>
        <w:rPr>
          <w:rFonts w:ascii="Arial" w:hAnsi="Arial" w:cs="Arial"/>
        </w:rPr>
      </w:pPr>
      <w:r w:rsidRPr="00C30FAC">
        <w:rPr>
          <w:rFonts w:ascii="Arial" w:hAnsi="Arial" w:cs="Arial"/>
        </w:rPr>
        <w:t>Projekt jest obecnie jednocześnie na etapie uzgodnień, konsultacji publicznych i opiniowania.</w:t>
      </w:r>
    </w:p>
    <w:p w14:paraId="3BCBE2AE" w14:textId="77777777" w:rsidR="00C30FAC" w:rsidRPr="00E87889" w:rsidRDefault="00C30FAC" w:rsidP="00E87889">
      <w:pPr>
        <w:spacing w:after="0" w:line="300" w:lineRule="auto"/>
        <w:jc w:val="both"/>
        <w:rPr>
          <w:rFonts w:ascii="Arial" w:hAnsi="Arial" w:cs="Arial"/>
        </w:rPr>
      </w:pPr>
    </w:p>
    <w:p w14:paraId="38109D6D" w14:textId="610C2DFC" w:rsidR="00AB3E3C" w:rsidRPr="0023409E" w:rsidRDefault="0023409E" w:rsidP="00AB3E3C">
      <w:pPr>
        <w:pStyle w:val="Akapitzlist"/>
        <w:numPr>
          <w:ilvl w:val="0"/>
          <w:numId w:val="4"/>
        </w:numPr>
        <w:spacing w:after="0" w:line="300" w:lineRule="auto"/>
        <w:jc w:val="both"/>
        <w:rPr>
          <w:rFonts w:ascii="Arial" w:hAnsi="Arial" w:cs="Arial"/>
          <w:b/>
          <w:bCs/>
          <w:u w:val="single"/>
        </w:rPr>
      </w:pPr>
      <w:r w:rsidRPr="0023409E">
        <w:rPr>
          <w:rFonts w:ascii="Arial" w:hAnsi="Arial" w:cs="Arial"/>
          <w:b/>
          <w:bCs/>
          <w:u w:val="single"/>
        </w:rPr>
        <w:t>P</w:t>
      </w:r>
      <w:r w:rsidRPr="0023409E">
        <w:rPr>
          <w:rFonts w:ascii="Arial" w:hAnsi="Arial" w:cs="Arial"/>
          <w:b/>
          <w:bCs/>
          <w:u w:val="single"/>
        </w:rPr>
        <w:t>rojekt rozporządzenia Ministra Finansów i Gospodarki w sprawie wniosku o wydanie interpretacji ogólnej (28 / 2026).</w:t>
      </w:r>
    </w:p>
    <w:p w14:paraId="7074331D" w14:textId="77777777" w:rsidR="00AB3E3C" w:rsidRPr="0023409E" w:rsidRDefault="00AB3E3C" w:rsidP="0023409E">
      <w:pPr>
        <w:spacing w:after="0" w:line="300" w:lineRule="auto"/>
        <w:jc w:val="both"/>
        <w:rPr>
          <w:rFonts w:ascii="Arial" w:hAnsi="Arial" w:cs="Arial"/>
        </w:rPr>
      </w:pPr>
    </w:p>
    <w:p w14:paraId="472BDD0C" w14:textId="77777777" w:rsidR="0023409E" w:rsidRPr="0023409E" w:rsidRDefault="0023409E" w:rsidP="0023409E">
      <w:pPr>
        <w:spacing w:after="0" w:line="300" w:lineRule="auto"/>
        <w:jc w:val="both"/>
        <w:rPr>
          <w:rFonts w:ascii="Arial" w:eastAsia="Calibri" w:hAnsi="Arial" w:cs="Arial"/>
        </w:rPr>
      </w:pPr>
      <w:r w:rsidRPr="0023409E">
        <w:rPr>
          <w:rFonts w:ascii="Arial" w:eastAsia="Calibri" w:hAnsi="Arial" w:cs="Arial"/>
        </w:rPr>
        <w:t>Projektowane rozporządzenie Ministra Finansów i Gospodarki w sprawie wniosku o wydanie interpretacji ogólnej stanowi wykonanie delegacji ustawowej określonej w art. 14a § 11 ustawy z dnia 29 sierpnia 1997 r. – Ordynacja podatkowa (Dz.U. z 2025 r. poz. 111 z późn. zm.) zwanej dalej „OP”. Przepis ten upoważnia ministra właściwego do spraw finansów publicznych do określenia, w drodze rozporządzenia, wzoru wniosku o wydanie interpretacji ogólnej przepisów prawa podatkowego.</w:t>
      </w:r>
    </w:p>
    <w:p w14:paraId="78CBE275" w14:textId="77777777" w:rsidR="0023409E" w:rsidRPr="0023409E" w:rsidRDefault="0023409E" w:rsidP="0023409E">
      <w:pPr>
        <w:spacing w:after="0" w:line="300" w:lineRule="auto"/>
        <w:jc w:val="both"/>
        <w:rPr>
          <w:rFonts w:ascii="Arial" w:eastAsia="Calibri" w:hAnsi="Arial" w:cs="Arial"/>
        </w:rPr>
      </w:pPr>
      <w:r w:rsidRPr="0023409E">
        <w:rPr>
          <w:rFonts w:ascii="Arial" w:eastAsia="Calibri" w:hAnsi="Arial" w:cs="Arial"/>
        </w:rPr>
        <w:t>Projektowane rozporządzenie zastąpi obowiązujące rozporządzenie Ministra Finansów z dnia 31 lipca 2024 r. w sprawie wniosku o wydanie interpretacji ogólnej (Dz.U. z 2024 r. poz. 1200).</w:t>
      </w:r>
    </w:p>
    <w:p w14:paraId="40BB9F2F" w14:textId="77777777" w:rsidR="0023409E" w:rsidRPr="0023409E" w:rsidRDefault="0023409E" w:rsidP="0023409E">
      <w:pPr>
        <w:spacing w:after="0" w:line="300" w:lineRule="auto"/>
        <w:jc w:val="both"/>
        <w:rPr>
          <w:rFonts w:ascii="Arial" w:eastAsia="Calibri" w:hAnsi="Arial" w:cs="Arial"/>
        </w:rPr>
      </w:pPr>
      <w:r w:rsidRPr="0023409E">
        <w:rPr>
          <w:rFonts w:ascii="Arial" w:eastAsia="Calibri" w:hAnsi="Arial" w:cs="Arial"/>
        </w:rPr>
        <w:t>Projekt zawiera zmiany dostosowawcze związane z zakończeniem z dniem 31 grudnia 2025 r. okresu przejściowego, w którym możliwe było skuteczne składanie przez osoby fizyczne i podmioty niepubliczne podań na adres skrytki ePUAP podmiotu publicznego i doręczanie pism przez podmiot publiczny osobom fizycznym i podmiotom niepublicznym na adres skrytki ePUAP. Kwestie okresu przejściowego są regulowane w art. 147 ust. 2 i 3 ustawy z dnia 18 listopada 2020 r. o doręczeniach elektronicznych (Dz. U. z 2026 r. poz. 3). Po zakończeniu okresu przejściowego wnoszenie podań, w tym wniosków o wydanie interpretacji ogólnej, przez osoby fizyczne i podmioty niepubliczne na adres skrytki ePUAP podmiotu publicznego stało się prawnie nieskuteczne, w związku z czym jego podawanie przez wnioskodawcę jest bezcelowe. Natomiast wskazanie przez wnioskodawcę i pełnomocnika adresu do doręczeń elektronicznych jest zbędne, ponieważ organy podatkowe mają obowiązek sprawdzenia tego adresu w publicznie dostępnej Bazie Adresów Elektronicznych. W związku z tym pozycje formularza ORD-OG dotyczące podawania adresu skrytki ePUAP lub adresu do doręczeń elektronicznych zostały usunięte.</w:t>
      </w:r>
    </w:p>
    <w:p w14:paraId="78D6B180" w14:textId="77777777" w:rsidR="0023409E" w:rsidRPr="0023409E" w:rsidRDefault="0023409E" w:rsidP="0023409E">
      <w:pPr>
        <w:spacing w:after="0" w:line="300" w:lineRule="auto"/>
        <w:jc w:val="both"/>
        <w:rPr>
          <w:rFonts w:ascii="Arial" w:eastAsia="Calibri" w:hAnsi="Arial" w:cs="Arial"/>
        </w:rPr>
      </w:pPr>
      <w:r w:rsidRPr="0023409E">
        <w:rPr>
          <w:rFonts w:ascii="Arial" w:eastAsia="Calibri" w:hAnsi="Arial" w:cs="Arial"/>
        </w:rPr>
        <w:t xml:space="preserve">W projekcie zawarto także doprecyzowanie, że w części C.1. formularza informacje o pełnomocniku do doręczeń podaje się tylko w sytuacji określonej w art. 138g OP (wskazanie pełnomocnika do doręczeń w przypadku ustanowienia kilku pełnomocników szczególnych lub pełnomocnika ogólnego). Jeżeli spełnione zostały przesłanki ustanowienia pełnomocnika do doręczeń (art. 138f OP), dane te są bowiem przekazywane organowi w załączonym do wniosku pełnomocnictwie do doręczeń. </w:t>
      </w:r>
    </w:p>
    <w:p w14:paraId="5F647D20" w14:textId="77777777" w:rsidR="0023409E" w:rsidRPr="0023409E" w:rsidRDefault="0023409E" w:rsidP="0023409E">
      <w:pPr>
        <w:spacing w:after="0" w:line="300" w:lineRule="auto"/>
        <w:jc w:val="both"/>
        <w:rPr>
          <w:rFonts w:ascii="Arial" w:eastAsia="Calibri" w:hAnsi="Arial" w:cs="Arial"/>
        </w:rPr>
      </w:pPr>
      <w:r w:rsidRPr="0023409E">
        <w:rPr>
          <w:rFonts w:ascii="Arial" w:eastAsia="Calibri" w:hAnsi="Arial" w:cs="Arial"/>
        </w:rPr>
        <w:t>Projekt zawiera również zmiany porządkujące w zakresie:</w:t>
      </w:r>
    </w:p>
    <w:p w14:paraId="2D2117C2" w14:textId="77777777" w:rsidR="0023409E" w:rsidRPr="0023409E" w:rsidRDefault="0023409E" w:rsidP="0023409E">
      <w:pPr>
        <w:pStyle w:val="Akapitzlist"/>
        <w:numPr>
          <w:ilvl w:val="0"/>
          <w:numId w:val="9"/>
        </w:numPr>
        <w:spacing w:after="0" w:line="300" w:lineRule="auto"/>
        <w:ind w:left="567" w:hanging="283"/>
        <w:jc w:val="both"/>
        <w:rPr>
          <w:rFonts w:ascii="Arial" w:eastAsia="Calibri" w:hAnsi="Arial" w:cs="Arial"/>
        </w:rPr>
      </w:pPr>
      <w:r w:rsidRPr="0023409E">
        <w:rPr>
          <w:rFonts w:ascii="Arial" w:eastAsia="Calibri" w:hAnsi="Arial" w:cs="Arial"/>
        </w:rPr>
        <w:t>usunięcia części formularza dotyczącej podawania przez wnioskodawcę liczby ustanowionych pełnomocników szczególnych (C.3.), gdyż informacja o liczbie pełnomocników szczególnych wynika bezpośrednio z ilości złożonych pełnomocnictw;</w:t>
      </w:r>
    </w:p>
    <w:p w14:paraId="69992CDD" w14:textId="77777777" w:rsidR="0023409E" w:rsidRPr="0023409E" w:rsidRDefault="0023409E" w:rsidP="0023409E">
      <w:pPr>
        <w:pStyle w:val="Akapitzlist"/>
        <w:numPr>
          <w:ilvl w:val="0"/>
          <w:numId w:val="9"/>
        </w:numPr>
        <w:spacing w:after="0" w:line="300" w:lineRule="auto"/>
        <w:ind w:left="567" w:hanging="283"/>
        <w:jc w:val="both"/>
        <w:rPr>
          <w:rFonts w:ascii="Arial" w:eastAsia="Calibri" w:hAnsi="Arial" w:cs="Arial"/>
        </w:rPr>
      </w:pPr>
      <w:r w:rsidRPr="0023409E">
        <w:rPr>
          <w:rFonts w:ascii="Arial" w:eastAsia="Calibri" w:hAnsi="Arial" w:cs="Arial"/>
        </w:rPr>
        <w:t>usunięcia publikatorów aktów prawnych, które nie posiadają istotnego waloru informacyjnego dla wnioskodawcy i mogą czynić wniosek mniej czytelnym;</w:t>
      </w:r>
    </w:p>
    <w:p w14:paraId="345B0DC0" w14:textId="77777777" w:rsidR="0023409E" w:rsidRPr="0023409E" w:rsidRDefault="0023409E" w:rsidP="0023409E">
      <w:pPr>
        <w:pStyle w:val="Akapitzlist"/>
        <w:numPr>
          <w:ilvl w:val="0"/>
          <w:numId w:val="9"/>
        </w:numPr>
        <w:spacing w:after="0" w:line="300" w:lineRule="auto"/>
        <w:ind w:left="567" w:hanging="283"/>
        <w:jc w:val="both"/>
        <w:rPr>
          <w:rFonts w:ascii="Arial" w:eastAsia="Calibri" w:hAnsi="Arial" w:cs="Arial"/>
        </w:rPr>
      </w:pPr>
      <w:r w:rsidRPr="0023409E">
        <w:rPr>
          <w:rFonts w:ascii="Arial" w:eastAsia="Calibri" w:hAnsi="Arial" w:cs="Arial"/>
        </w:rPr>
        <w:t>dodania pozycji w części B formularza ORD-OG i części A formularza ORD-OG/A umożliwiających podanie nazwy rejestru, do którego wpisany jest zainteresowany niebędący osobą fizyczną;</w:t>
      </w:r>
    </w:p>
    <w:p w14:paraId="242B5512" w14:textId="77777777" w:rsidR="0023409E" w:rsidRPr="0023409E" w:rsidRDefault="0023409E" w:rsidP="0023409E">
      <w:pPr>
        <w:pStyle w:val="Akapitzlist"/>
        <w:numPr>
          <w:ilvl w:val="0"/>
          <w:numId w:val="9"/>
        </w:numPr>
        <w:spacing w:after="0" w:line="300" w:lineRule="auto"/>
        <w:ind w:left="567" w:hanging="283"/>
        <w:jc w:val="both"/>
        <w:rPr>
          <w:rFonts w:ascii="Arial" w:eastAsia="Calibri" w:hAnsi="Arial" w:cs="Arial"/>
        </w:rPr>
      </w:pPr>
      <w:r w:rsidRPr="0023409E">
        <w:rPr>
          <w:rFonts w:ascii="Arial" w:eastAsia="Calibri" w:hAnsi="Arial" w:cs="Arial"/>
        </w:rPr>
        <w:lastRenderedPageBreak/>
        <w:t>usunięcia możliwości podawania numeru faksu jako środka komunikacji z wnioskodawcą w związku z tym, że rozwiązanie to ma obecnie marginalne zastosowanie.</w:t>
      </w:r>
    </w:p>
    <w:p w14:paraId="2D6B509B" w14:textId="77777777" w:rsidR="0023409E" w:rsidRPr="0023409E" w:rsidRDefault="0023409E" w:rsidP="0023409E">
      <w:pPr>
        <w:spacing w:after="0" w:line="300" w:lineRule="auto"/>
        <w:jc w:val="both"/>
        <w:rPr>
          <w:rFonts w:ascii="Arial" w:eastAsia="Calibri" w:hAnsi="Arial" w:cs="Arial"/>
        </w:rPr>
      </w:pPr>
      <w:r w:rsidRPr="0023409E">
        <w:rPr>
          <w:rFonts w:ascii="Arial" w:eastAsia="Calibri" w:hAnsi="Arial" w:cs="Arial"/>
        </w:rPr>
        <w:t>Nowy wzór ORD-OG (wraz ze wzorem załącznika ORD-OG/A) oparto na dotychczas obowiązującym wzorze. Przepis § 5 projektu rozporządzenia przewiduje, że wejdzie ono w życie po upływie 30 dni od dnia ogłoszenia rozporządzenia, co zapewnieni przestrzeń czasową dla przeprowadzenia prac informatycznych dotyczących usługi składania wniosku ORD-OG w systemie e-Urząd Skarbowy.</w:t>
      </w:r>
    </w:p>
    <w:p w14:paraId="34D9DB8B" w14:textId="09002593" w:rsidR="00AB3E3C" w:rsidRPr="0023409E" w:rsidRDefault="0023409E" w:rsidP="0023409E">
      <w:pPr>
        <w:spacing w:after="0" w:line="300" w:lineRule="auto"/>
        <w:jc w:val="both"/>
        <w:rPr>
          <w:rFonts w:ascii="Arial" w:hAnsi="Arial" w:cs="Arial"/>
        </w:rPr>
      </w:pPr>
      <w:r w:rsidRPr="0023409E">
        <w:rPr>
          <w:rFonts w:ascii="Arial" w:eastAsia="Calibri" w:hAnsi="Arial" w:cs="Arial"/>
        </w:rPr>
        <w:t>Od dnia wejścia w życie rozporządzenia możliwe będzie skorzystanie z nowego wzoru ORD-OG. W przypadku spraw w toku nie będzie konieczności ponownego przedłożenia wniosku na nowym wzorze.</w:t>
      </w:r>
    </w:p>
    <w:p w14:paraId="42F4E7A7" w14:textId="77777777" w:rsidR="0023409E" w:rsidRDefault="0023409E" w:rsidP="00AB3E3C">
      <w:pPr>
        <w:spacing w:after="0" w:line="300" w:lineRule="auto"/>
        <w:jc w:val="both"/>
        <w:rPr>
          <w:rFonts w:ascii="Arial" w:hAnsi="Arial" w:cs="Arial"/>
        </w:rPr>
      </w:pPr>
    </w:p>
    <w:p w14:paraId="0D5A3848" w14:textId="77777777" w:rsidR="0023409E" w:rsidRPr="0023409E" w:rsidRDefault="0023409E" w:rsidP="0023409E">
      <w:pPr>
        <w:spacing w:after="0" w:line="300" w:lineRule="auto"/>
        <w:jc w:val="both"/>
        <w:rPr>
          <w:rFonts w:ascii="Arial" w:hAnsi="Arial" w:cs="Arial"/>
        </w:rPr>
      </w:pPr>
      <w:r w:rsidRPr="0023409E">
        <w:rPr>
          <w:rFonts w:ascii="Arial" w:hAnsi="Arial" w:cs="Arial"/>
        </w:rPr>
        <w:t>Przedmiotowy projekt aktu prawnego wraz z załącznikami (szt. 2), Uzasadnieniem oraz Oceną Skutków Regulacji dostępny jest na stronach Rządowego Centrum Legislacji pod adresem:</w:t>
      </w:r>
    </w:p>
    <w:p w14:paraId="5AB34B23" w14:textId="4B53B607" w:rsidR="0023409E" w:rsidRDefault="0023409E" w:rsidP="0023409E">
      <w:pPr>
        <w:spacing w:after="0" w:line="300" w:lineRule="auto"/>
        <w:jc w:val="both"/>
        <w:rPr>
          <w:rFonts w:ascii="Arial" w:hAnsi="Arial" w:cs="Arial"/>
        </w:rPr>
      </w:pPr>
      <w:hyperlink r:id="rId9" w:history="1">
        <w:r w:rsidRPr="00D82204">
          <w:rPr>
            <w:rStyle w:val="Hipercze"/>
            <w:rFonts w:ascii="Arial" w:hAnsi="Arial" w:cs="Arial"/>
          </w:rPr>
          <w:t>https://legislacja.rcl.gov.pl/projekt/</w:t>
        </w:r>
        <w:r w:rsidRPr="00D82204">
          <w:rPr>
            <w:rStyle w:val="Hipercze"/>
            <w:rFonts w:ascii="Arial" w:hAnsi="Arial" w:cs="Arial"/>
          </w:rPr>
          <w:t>1</w:t>
        </w:r>
        <w:r w:rsidRPr="00D82204">
          <w:rPr>
            <w:rStyle w:val="Hipercze"/>
            <w:rFonts w:ascii="Arial" w:hAnsi="Arial" w:cs="Arial"/>
          </w:rPr>
          <w:t>2409351/katalog/13198066#13198066</w:t>
        </w:r>
      </w:hyperlink>
      <w:r>
        <w:rPr>
          <w:rFonts w:ascii="Arial" w:hAnsi="Arial" w:cs="Arial"/>
        </w:rPr>
        <w:t xml:space="preserve"> </w:t>
      </w:r>
    </w:p>
    <w:p w14:paraId="2C218079" w14:textId="77777777" w:rsidR="0023409E" w:rsidRDefault="0023409E" w:rsidP="00AB3E3C">
      <w:pPr>
        <w:spacing w:after="0" w:line="300" w:lineRule="auto"/>
        <w:jc w:val="both"/>
        <w:rPr>
          <w:rFonts w:ascii="Arial" w:hAnsi="Arial" w:cs="Arial"/>
        </w:rPr>
      </w:pPr>
    </w:p>
    <w:p w14:paraId="6DE9D065" w14:textId="2B863194" w:rsidR="0023409E" w:rsidRDefault="0023409E" w:rsidP="00AB3E3C">
      <w:pPr>
        <w:spacing w:after="0" w:line="300" w:lineRule="auto"/>
        <w:jc w:val="both"/>
        <w:rPr>
          <w:rFonts w:ascii="Arial" w:hAnsi="Arial" w:cs="Arial"/>
        </w:rPr>
      </w:pPr>
      <w:r w:rsidRPr="0023409E">
        <w:rPr>
          <w:rFonts w:ascii="Arial" w:hAnsi="Arial" w:cs="Arial"/>
        </w:rPr>
        <w:t>Projekt jest obecnie jednocześnie na etapie uzgodnień, konsultacji publicznych i opiniowania.</w:t>
      </w:r>
    </w:p>
    <w:p w14:paraId="3A394827" w14:textId="77777777" w:rsidR="0023409E" w:rsidRDefault="0023409E" w:rsidP="00AB3E3C">
      <w:pPr>
        <w:spacing w:after="0" w:line="300" w:lineRule="auto"/>
        <w:jc w:val="both"/>
        <w:rPr>
          <w:rFonts w:ascii="Arial" w:hAnsi="Arial" w:cs="Arial"/>
        </w:rPr>
      </w:pPr>
    </w:p>
    <w:p w14:paraId="76AAB8E7" w14:textId="77777777" w:rsidR="0023409E" w:rsidRDefault="0023409E" w:rsidP="00AB3E3C">
      <w:pPr>
        <w:spacing w:after="0" w:line="300" w:lineRule="auto"/>
        <w:jc w:val="both"/>
        <w:rPr>
          <w:rFonts w:ascii="Arial" w:hAnsi="Arial" w:cs="Arial"/>
        </w:rPr>
      </w:pPr>
    </w:p>
    <w:p w14:paraId="4D76D744" w14:textId="77777777" w:rsidR="0023409E" w:rsidRPr="0023409E" w:rsidRDefault="0023409E" w:rsidP="0023409E">
      <w:pPr>
        <w:spacing w:after="0" w:line="300" w:lineRule="auto"/>
        <w:jc w:val="both"/>
        <w:rPr>
          <w:rFonts w:ascii="Arial" w:hAnsi="Arial" w:cs="Arial"/>
          <w:b/>
          <w:bCs/>
        </w:rPr>
      </w:pPr>
      <w:r w:rsidRPr="0023409E">
        <w:rPr>
          <w:rFonts w:ascii="Arial" w:hAnsi="Arial" w:cs="Arial"/>
          <w:b/>
          <w:bCs/>
        </w:rPr>
        <w:t>II. Stanowiska Związku Pracodawców Polska Miedź</w:t>
      </w:r>
    </w:p>
    <w:p w14:paraId="632D374C" w14:textId="77777777" w:rsidR="0023409E" w:rsidRPr="0023409E" w:rsidRDefault="0023409E" w:rsidP="0023409E">
      <w:pPr>
        <w:spacing w:after="0" w:line="300" w:lineRule="auto"/>
        <w:jc w:val="both"/>
        <w:rPr>
          <w:rFonts w:ascii="Arial" w:hAnsi="Arial" w:cs="Arial"/>
        </w:rPr>
      </w:pPr>
    </w:p>
    <w:p w14:paraId="58AF5884" w14:textId="185F27FE" w:rsidR="0023409E" w:rsidRPr="0023409E" w:rsidRDefault="0023409E" w:rsidP="0023409E">
      <w:pPr>
        <w:spacing w:after="0" w:line="300" w:lineRule="auto"/>
        <w:jc w:val="both"/>
        <w:rPr>
          <w:rFonts w:ascii="Arial" w:hAnsi="Arial" w:cs="Arial"/>
        </w:rPr>
      </w:pPr>
      <w:r w:rsidRPr="0023409E">
        <w:rPr>
          <w:rFonts w:ascii="Arial" w:hAnsi="Arial" w:cs="Arial"/>
        </w:rPr>
        <w:t xml:space="preserve">Na podstawie opinii i ekspertyz podmiotów członkowskich Związku Pracodawców Polska Miedź przygotowano </w:t>
      </w:r>
      <w:r>
        <w:rPr>
          <w:rFonts w:ascii="Arial" w:hAnsi="Arial" w:cs="Arial"/>
        </w:rPr>
        <w:t>jedno</w:t>
      </w:r>
      <w:r w:rsidRPr="0023409E">
        <w:rPr>
          <w:rFonts w:ascii="Arial" w:hAnsi="Arial" w:cs="Arial"/>
        </w:rPr>
        <w:t xml:space="preserve"> stanowisk</w:t>
      </w:r>
      <w:r>
        <w:rPr>
          <w:rFonts w:ascii="Arial" w:hAnsi="Arial" w:cs="Arial"/>
        </w:rPr>
        <w:t>o</w:t>
      </w:r>
      <w:r w:rsidRPr="0023409E">
        <w:rPr>
          <w:rFonts w:ascii="Arial" w:hAnsi="Arial" w:cs="Arial"/>
        </w:rPr>
        <w:t xml:space="preserve"> do opublikowanych projektów aktów prawnych oraz dokumentów strategicznych.</w:t>
      </w:r>
    </w:p>
    <w:p w14:paraId="59E3AE19" w14:textId="77777777" w:rsidR="0023409E" w:rsidRPr="0023409E" w:rsidRDefault="0023409E" w:rsidP="0023409E">
      <w:pPr>
        <w:spacing w:after="0" w:line="300" w:lineRule="auto"/>
        <w:jc w:val="both"/>
        <w:rPr>
          <w:rFonts w:ascii="Arial" w:hAnsi="Arial" w:cs="Arial"/>
        </w:rPr>
      </w:pPr>
    </w:p>
    <w:p w14:paraId="0E9ACF60" w14:textId="3039F752" w:rsidR="0023409E" w:rsidRPr="0023409E" w:rsidRDefault="0023409E" w:rsidP="0023409E">
      <w:pPr>
        <w:spacing w:after="0" w:line="300" w:lineRule="auto"/>
        <w:ind w:left="567"/>
        <w:jc w:val="both"/>
        <w:rPr>
          <w:rFonts w:ascii="Arial" w:hAnsi="Arial" w:cs="Arial"/>
          <w:b/>
          <w:bCs/>
          <w:u w:val="single"/>
        </w:rPr>
      </w:pPr>
      <w:r w:rsidRPr="0023409E">
        <w:rPr>
          <w:rFonts w:ascii="Arial" w:hAnsi="Arial" w:cs="Arial"/>
          <w:b/>
          <w:bCs/>
          <w:u w:val="single"/>
        </w:rPr>
        <w:t xml:space="preserve">Stanowisko Związku Pracodawców Polska Miedź (uwagi Związku Pracodawców Polska Miedź) do projektu </w:t>
      </w:r>
      <w:r w:rsidR="00E63B2D" w:rsidRPr="00E63B2D">
        <w:rPr>
          <w:rFonts w:ascii="Arial" w:hAnsi="Arial" w:cs="Arial"/>
          <w:b/>
          <w:bCs/>
          <w:u w:val="single"/>
        </w:rPr>
        <w:t>ustawy o zmianie ustawy o podatku dochodowym od osób fizycznych, ustawy o podatku dochodowym od osób prawnych oraz ustawy – Kodeks karny skarbowy</w:t>
      </w:r>
      <w:r w:rsidRPr="0023409E">
        <w:rPr>
          <w:rFonts w:ascii="Arial" w:hAnsi="Arial" w:cs="Arial"/>
          <w:b/>
          <w:bCs/>
          <w:u w:val="single"/>
        </w:rPr>
        <w:t>.</w:t>
      </w:r>
    </w:p>
    <w:p w14:paraId="641244A1" w14:textId="77777777" w:rsidR="0023409E" w:rsidRPr="0023409E" w:rsidRDefault="0023409E" w:rsidP="0023409E">
      <w:pPr>
        <w:spacing w:after="0" w:line="300" w:lineRule="auto"/>
        <w:jc w:val="both"/>
        <w:rPr>
          <w:rFonts w:ascii="Arial" w:hAnsi="Arial" w:cs="Arial"/>
        </w:rPr>
      </w:pPr>
    </w:p>
    <w:p w14:paraId="2BDFBB84" w14:textId="7160DA45" w:rsidR="0023409E" w:rsidRPr="0023409E" w:rsidRDefault="0023409E" w:rsidP="0023409E">
      <w:pPr>
        <w:spacing w:after="0" w:line="300" w:lineRule="auto"/>
        <w:jc w:val="both"/>
        <w:rPr>
          <w:rFonts w:ascii="Arial" w:hAnsi="Arial" w:cs="Arial"/>
        </w:rPr>
      </w:pPr>
      <w:r w:rsidRPr="0023409E">
        <w:rPr>
          <w:rFonts w:ascii="Arial" w:hAnsi="Arial" w:cs="Arial"/>
        </w:rPr>
        <w:t xml:space="preserve">Projekt z dnia </w:t>
      </w:r>
      <w:r w:rsidR="00E63B2D">
        <w:rPr>
          <w:rFonts w:ascii="Arial" w:hAnsi="Arial" w:cs="Arial"/>
        </w:rPr>
        <w:t>24 lutego</w:t>
      </w:r>
      <w:r w:rsidRPr="0023409E">
        <w:rPr>
          <w:rFonts w:ascii="Arial" w:hAnsi="Arial" w:cs="Arial"/>
        </w:rPr>
        <w:t xml:space="preserve"> 2026 roku, opublikowany na stronie BIP Rządowego Centrum Legislacji w dniu </w:t>
      </w:r>
      <w:r w:rsidR="00E63B2D">
        <w:rPr>
          <w:rFonts w:ascii="Arial" w:hAnsi="Arial" w:cs="Arial"/>
        </w:rPr>
        <w:t>3</w:t>
      </w:r>
      <w:r w:rsidRPr="0023409E">
        <w:rPr>
          <w:rFonts w:ascii="Arial" w:hAnsi="Arial" w:cs="Arial"/>
        </w:rPr>
        <w:t xml:space="preserve">1 marca 2026 roku (nr </w:t>
      </w:r>
      <w:r w:rsidR="00E63B2D">
        <w:rPr>
          <w:rFonts w:ascii="Arial" w:hAnsi="Arial" w:cs="Arial"/>
        </w:rPr>
        <w:t>UDER107</w:t>
      </w:r>
      <w:r w:rsidRPr="0023409E">
        <w:rPr>
          <w:rFonts w:ascii="Arial" w:hAnsi="Arial" w:cs="Arial"/>
        </w:rPr>
        <w:t xml:space="preserve"> w Wykazie prac legislacyjnych i programowych Rady Ministrów).</w:t>
      </w:r>
    </w:p>
    <w:p w14:paraId="224A5A89" w14:textId="7F966AFB" w:rsidR="00AB3E3C" w:rsidRPr="00042C7F" w:rsidRDefault="0023409E" w:rsidP="0023409E">
      <w:pPr>
        <w:spacing w:after="0" w:line="300" w:lineRule="auto"/>
        <w:jc w:val="both"/>
        <w:rPr>
          <w:rFonts w:ascii="Arial" w:hAnsi="Arial" w:cs="Arial"/>
        </w:rPr>
      </w:pPr>
      <w:r w:rsidRPr="0023409E">
        <w:rPr>
          <w:rFonts w:ascii="Arial" w:hAnsi="Arial" w:cs="Arial"/>
        </w:rPr>
        <w:t xml:space="preserve">Przedmiotowe stanowisko zostało przesłane do Ministerstwa </w:t>
      </w:r>
      <w:r w:rsidR="00E63B2D">
        <w:rPr>
          <w:rFonts w:ascii="Arial" w:hAnsi="Arial" w:cs="Arial"/>
        </w:rPr>
        <w:t>Fin</w:t>
      </w:r>
      <w:r w:rsidRPr="0023409E">
        <w:rPr>
          <w:rFonts w:ascii="Arial" w:hAnsi="Arial" w:cs="Arial"/>
        </w:rPr>
        <w:t>a</w:t>
      </w:r>
      <w:r w:rsidR="00E63B2D">
        <w:rPr>
          <w:rFonts w:ascii="Arial" w:hAnsi="Arial" w:cs="Arial"/>
        </w:rPr>
        <w:t>nsów</w:t>
      </w:r>
      <w:r w:rsidRPr="0023409E">
        <w:rPr>
          <w:rFonts w:ascii="Arial" w:hAnsi="Arial" w:cs="Arial"/>
        </w:rPr>
        <w:t xml:space="preserve"> oraz reprezentatywnych organizacji pracodawców, z którymi Związek Pracodawców Polska Miedź współpracuje.</w:t>
      </w:r>
    </w:p>
    <w:p w14:paraId="5D38CA7C" w14:textId="77777777" w:rsidR="00AB3E3C" w:rsidRPr="00CC391D" w:rsidRDefault="00AB3E3C" w:rsidP="00AB3E3C">
      <w:pPr>
        <w:spacing w:after="0" w:line="300" w:lineRule="auto"/>
        <w:jc w:val="both"/>
        <w:rPr>
          <w:rFonts w:ascii="Arial" w:hAnsi="Arial" w:cs="Arial"/>
          <w:bCs/>
        </w:rPr>
      </w:pPr>
    </w:p>
    <w:p w14:paraId="66BCEFE7" w14:textId="77777777" w:rsidR="00AB3E3C" w:rsidRPr="00CB4A6E" w:rsidRDefault="00AB3E3C" w:rsidP="00AB3E3C">
      <w:pPr>
        <w:spacing w:after="0" w:line="300" w:lineRule="auto"/>
        <w:rPr>
          <w:rFonts w:ascii="Arial" w:hAnsi="Arial" w:cs="Arial"/>
        </w:rPr>
      </w:pPr>
    </w:p>
    <w:p w14:paraId="794C7098" w14:textId="0EFD34F1" w:rsidR="00AB3E3C" w:rsidRDefault="0023409E" w:rsidP="00AB3E3C">
      <w:pPr>
        <w:spacing w:after="0" w:line="300" w:lineRule="auto"/>
        <w:jc w:val="both"/>
        <w:rPr>
          <w:rFonts w:ascii="Arial" w:hAnsi="Arial" w:cs="Arial"/>
          <w:b/>
        </w:rPr>
      </w:pPr>
      <w:r>
        <w:rPr>
          <w:rFonts w:ascii="Arial" w:hAnsi="Arial" w:cs="Arial"/>
          <w:b/>
        </w:rPr>
        <w:t>I</w:t>
      </w:r>
      <w:r w:rsidR="00AB3E3C">
        <w:rPr>
          <w:rFonts w:ascii="Arial" w:hAnsi="Arial" w:cs="Arial"/>
          <w:b/>
        </w:rPr>
        <w:t>II. Ogłoszone akty prawne (Dziennik Ustaw RP)</w:t>
      </w:r>
    </w:p>
    <w:p w14:paraId="048864D8" w14:textId="77777777" w:rsidR="00AB3E3C" w:rsidRDefault="00AB3E3C" w:rsidP="00AB3E3C">
      <w:pPr>
        <w:spacing w:after="0" w:line="300" w:lineRule="auto"/>
        <w:jc w:val="both"/>
        <w:rPr>
          <w:rFonts w:ascii="Arial" w:hAnsi="Arial" w:cs="Arial"/>
        </w:rPr>
      </w:pPr>
    </w:p>
    <w:p w14:paraId="7F915C0D" w14:textId="204D1460" w:rsidR="00AB3E3C" w:rsidRDefault="00AB3E3C" w:rsidP="00AB3E3C">
      <w:pPr>
        <w:spacing w:after="0" w:line="300" w:lineRule="auto"/>
        <w:jc w:val="both"/>
        <w:rPr>
          <w:rFonts w:ascii="Arial" w:hAnsi="Arial" w:cs="Arial"/>
        </w:rPr>
      </w:pPr>
      <w:r>
        <w:rPr>
          <w:rFonts w:ascii="Arial" w:hAnsi="Arial" w:cs="Arial"/>
        </w:rPr>
        <w:t xml:space="preserve">W analizowanym okresie ogłoszono </w:t>
      </w:r>
      <w:r w:rsidR="009407CF">
        <w:rPr>
          <w:rFonts w:ascii="Arial" w:hAnsi="Arial" w:cs="Arial"/>
        </w:rPr>
        <w:t>32</w:t>
      </w:r>
      <w:r>
        <w:rPr>
          <w:rFonts w:ascii="Arial" w:hAnsi="Arial" w:cs="Arial"/>
        </w:rPr>
        <w:t xml:space="preserve"> akt</w:t>
      </w:r>
      <w:r w:rsidR="009407CF">
        <w:rPr>
          <w:rFonts w:ascii="Arial" w:hAnsi="Arial" w:cs="Arial"/>
        </w:rPr>
        <w:t>y</w:t>
      </w:r>
      <w:r>
        <w:rPr>
          <w:rFonts w:ascii="Arial" w:hAnsi="Arial" w:cs="Arial"/>
        </w:rPr>
        <w:t xml:space="preserve"> prawn</w:t>
      </w:r>
      <w:r w:rsidR="009407CF">
        <w:rPr>
          <w:rFonts w:ascii="Arial" w:hAnsi="Arial" w:cs="Arial"/>
        </w:rPr>
        <w:t>e</w:t>
      </w:r>
      <w:r>
        <w:rPr>
          <w:rFonts w:ascii="Arial" w:hAnsi="Arial" w:cs="Arial"/>
        </w:rPr>
        <w:t>, tzn. ustawy, rozporządzenia Rady Ministrów, Prezesa Rady Ministrów i poszczególnych ministrów, obwieszczenia w sprawie ogłoszenia tekstu jednolitego. Z powyższych publikacji w zainteresowaniu pracodawców i przedsiębiorców znaleźć się mogą następujące akty prawne:</w:t>
      </w:r>
    </w:p>
    <w:p w14:paraId="068557A9" w14:textId="77777777" w:rsidR="00AB3E3C" w:rsidRDefault="00AB3E3C" w:rsidP="00AB3E3C">
      <w:pPr>
        <w:spacing w:after="0" w:line="300" w:lineRule="auto"/>
        <w:jc w:val="both"/>
        <w:rPr>
          <w:rFonts w:ascii="Arial" w:hAnsi="Arial" w:cs="Arial"/>
        </w:rPr>
      </w:pPr>
    </w:p>
    <w:p w14:paraId="4480A877" w14:textId="5F7F1426" w:rsidR="00AB3E3C" w:rsidRPr="007779CF" w:rsidRDefault="00BC0206" w:rsidP="00AB3E3C">
      <w:pPr>
        <w:pStyle w:val="Akapitzlist"/>
        <w:numPr>
          <w:ilvl w:val="0"/>
          <w:numId w:val="2"/>
        </w:numPr>
        <w:spacing w:after="0" w:line="300" w:lineRule="auto"/>
        <w:ind w:left="426" w:hanging="426"/>
        <w:jc w:val="both"/>
        <w:rPr>
          <w:rFonts w:ascii="Arial" w:hAnsi="Arial" w:cs="Arial"/>
          <w:b/>
          <w:bCs/>
          <w:u w:val="single"/>
        </w:rPr>
      </w:pPr>
      <w:r w:rsidRPr="007779CF">
        <w:rPr>
          <w:rFonts w:ascii="Arial" w:hAnsi="Arial" w:cs="Arial"/>
          <w:b/>
          <w:bCs/>
          <w:u w:val="single"/>
        </w:rPr>
        <w:lastRenderedPageBreak/>
        <w:t>Ustawa z dnia 13 marca 2026 r. o zmianie ustawy o Centralnej Ewidencji i Informacji o Działalności Gospodarczej i Punkcie Informacji dla Przedsiębiorcy oraz niektórych innych ustaw</w:t>
      </w:r>
      <w:r w:rsidR="007779CF" w:rsidRPr="007779CF">
        <w:rPr>
          <w:rFonts w:ascii="Arial" w:hAnsi="Arial" w:cs="Arial"/>
          <w:b/>
          <w:bCs/>
          <w:u w:val="single"/>
        </w:rPr>
        <w:t>.</w:t>
      </w:r>
    </w:p>
    <w:p w14:paraId="31037FDA" w14:textId="77777777" w:rsidR="00BC0206" w:rsidRDefault="00BC0206" w:rsidP="00BC0206">
      <w:pPr>
        <w:spacing w:after="0" w:line="300" w:lineRule="auto"/>
        <w:jc w:val="both"/>
        <w:rPr>
          <w:rFonts w:ascii="Arial" w:eastAsia="Times New Roman" w:hAnsi="Arial" w:cs="Arial"/>
          <w:lang w:eastAsia="pl-PL"/>
        </w:rPr>
      </w:pPr>
    </w:p>
    <w:p w14:paraId="16CBAE4E" w14:textId="0B2BFFA2" w:rsidR="00AB3E3C" w:rsidRPr="00BC0206" w:rsidRDefault="00AB3E3C" w:rsidP="00BC0206">
      <w:pPr>
        <w:spacing w:after="0" w:line="300" w:lineRule="auto"/>
        <w:jc w:val="both"/>
        <w:rPr>
          <w:rFonts w:ascii="Arial" w:eastAsia="Times New Roman" w:hAnsi="Arial" w:cs="Arial"/>
          <w:lang w:eastAsia="pl-PL"/>
        </w:rPr>
      </w:pPr>
      <w:r w:rsidRPr="00BC0206">
        <w:rPr>
          <w:rFonts w:ascii="Arial" w:eastAsia="Times New Roman" w:hAnsi="Arial" w:cs="Arial"/>
          <w:lang w:eastAsia="pl-PL"/>
        </w:rPr>
        <w:t xml:space="preserve">Powyższy akt prawny ogłoszony został </w:t>
      </w:r>
      <w:r w:rsidR="00BC0206">
        <w:rPr>
          <w:rFonts w:ascii="Arial" w:eastAsia="Times New Roman" w:hAnsi="Arial" w:cs="Arial"/>
          <w:lang w:eastAsia="pl-PL"/>
        </w:rPr>
        <w:t xml:space="preserve">13 kwietnia </w:t>
      </w:r>
      <w:r w:rsidRPr="00BC0206">
        <w:rPr>
          <w:rFonts w:ascii="Arial" w:eastAsia="Times New Roman" w:hAnsi="Arial" w:cs="Arial"/>
          <w:lang w:eastAsia="pl-PL"/>
        </w:rPr>
        <w:t>202</w:t>
      </w:r>
      <w:r w:rsidR="00BC0206">
        <w:rPr>
          <w:rFonts w:ascii="Arial" w:eastAsia="Times New Roman" w:hAnsi="Arial" w:cs="Arial"/>
          <w:lang w:eastAsia="pl-PL"/>
        </w:rPr>
        <w:t>6</w:t>
      </w:r>
      <w:r w:rsidRPr="00BC0206">
        <w:rPr>
          <w:rFonts w:ascii="Arial" w:eastAsia="Times New Roman" w:hAnsi="Arial" w:cs="Arial"/>
          <w:lang w:eastAsia="pl-PL"/>
        </w:rPr>
        <w:t xml:space="preserve"> roku w Dzienniku Ustaw (Dz.U. z 202</w:t>
      </w:r>
      <w:r w:rsidR="00BC0206">
        <w:rPr>
          <w:rFonts w:ascii="Arial" w:eastAsia="Times New Roman" w:hAnsi="Arial" w:cs="Arial"/>
          <w:lang w:eastAsia="pl-PL"/>
        </w:rPr>
        <w:t>6</w:t>
      </w:r>
      <w:r w:rsidRPr="00BC0206">
        <w:rPr>
          <w:rFonts w:ascii="Arial" w:eastAsia="Times New Roman" w:hAnsi="Arial" w:cs="Arial"/>
          <w:lang w:eastAsia="pl-PL"/>
        </w:rPr>
        <w:t xml:space="preserve">, poz. </w:t>
      </w:r>
      <w:r w:rsidR="00BC0206">
        <w:rPr>
          <w:rFonts w:ascii="Arial" w:eastAsia="Times New Roman" w:hAnsi="Arial" w:cs="Arial"/>
          <w:lang w:eastAsia="pl-PL"/>
        </w:rPr>
        <w:t>507</w:t>
      </w:r>
      <w:r w:rsidRPr="00BC0206">
        <w:rPr>
          <w:rFonts w:ascii="Arial" w:eastAsia="Times New Roman" w:hAnsi="Arial" w:cs="Arial"/>
          <w:lang w:eastAsia="pl-PL"/>
        </w:rPr>
        <w:t>).</w:t>
      </w:r>
    </w:p>
    <w:p w14:paraId="46A29FE7" w14:textId="77777777" w:rsidR="00BC0206" w:rsidRDefault="00BC0206" w:rsidP="00BC0206">
      <w:pPr>
        <w:spacing w:after="0" w:line="300" w:lineRule="auto"/>
        <w:jc w:val="both"/>
        <w:rPr>
          <w:rFonts w:ascii="Arial" w:eastAsia="Times New Roman" w:hAnsi="Arial" w:cs="Arial"/>
          <w:lang w:eastAsia="pl-PL"/>
        </w:rPr>
      </w:pPr>
    </w:p>
    <w:p w14:paraId="49C04F68" w14:textId="77777777" w:rsidR="00BC0206" w:rsidRDefault="00BC0206" w:rsidP="00BC0206">
      <w:pPr>
        <w:spacing w:after="0" w:line="300" w:lineRule="auto"/>
        <w:jc w:val="both"/>
        <w:rPr>
          <w:rFonts w:ascii="Arial" w:eastAsia="Times New Roman" w:hAnsi="Arial" w:cs="Arial"/>
          <w:lang w:eastAsia="pl-PL"/>
        </w:rPr>
      </w:pPr>
      <w:r w:rsidRPr="00BC0206">
        <w:rPr>
          <w:rFonts w:ascii="Arial" w:eastAsia="Times New Roman" w:hAnsi="Arial" w:cs="Arial"/>
          <w:lang w:eastAsia="pl-PL"/>
        </w:rPr>
        <w:t xml:space="preserve">Głównym celem ustawy jest: </w:t>
      </w:r>
    </w:p>
    <w:p w14:paraId="7F300BD8" w14:textId="26B04DBB" w:rsidR="00BC0206" w:rsidRPr="00BC0206" w:rsidRDefault="00BC0206" w:rsidP="00BC0206">
      <w:pPr>
        <w:pStyle w:val="Akapitzlist"/>
        <w:numPr>
          <w:ilvl w:val="0"/>
          <w:numId w:val="10"/>
        </w:numPr>
        <w:spacing w:after="0" w:line="300" w:lineRule="auto"/>
        <w:jc w:val="both"/>
        <w:rPr>
          <w:rFonts w:ascii="Arial" w:eastAsia="Times New Roman" w:hAnsi="Arial" w:cs="Arial"/>
          <w:lang w:eastAsia="pl-PL"/>
        </w:rPr>
      </w:pPr>
      <w:r w:rsidRPr="00BC0206">
        <w:rPr>
          <w:rFonts w:ascii="Arial" w:eastAsia="Times New Roman" w:hAnsi="Arial" w:cs="Arial"/>
          <w:lang w:eastAsia="pl-PL"/>
        </w:rPr>
        <w:t>ułatwienie procedury zakładania oraz prowadzenia działalności gospodarczej przez osoby fizyczne będące przedsiębiorcami;</w:t>
      </w:r>
    </w:p>
    <w:p w14:paraId="422DCD0E" w14:textId="4B3949C4" w:rsidR="00BC0206" w:rsidRPr="00BC0206" w:rsidRDefault="00BC0206" w:rsidP="00BC0206">
      <w:pPr>
        <w:pStyle w:val="Akapitzlist"/>
        <w:numPr>
          <w:ilvl w:val="0"/>
          <w:numId w:val="10"/>
        </w:numPr>
        <w:spacing w:after="0" w:line="300" w:lineRule="auto"/>
        <w:jc w:val="both"/>
        <w:rPr>
          <w:rFonts w:ascii="Arial" w:eastAsia="Times New Roman" w:hAnsi="Arial" w:cs="Arial"/>
          <w:lang w:eastAsia="pl-PL"/>
        </w:rPr>
      </w:pPr>
      <w:r w:rsidRPr="00BC0206">
        <w:rPr>
          <w:rFonts w:ascii="Arial" w:eastAsia="Times New Roman" w:hAnsi="Arial" w:cs="Arial"/>
          <w:lang w:eastAsia="pl-PL"/>
        </w:rPr>
        <w:t>wprowadzenie regulacji stanowiącej podstawę do zamieszczania w Centralnej Ewidencji i Informacji o Działalności Gospodarczej (CEiDG) informacji o spółce cywilnej, której wspólnikiem jest przedsiębiorca podlegający wpisowi do CEIDG;</w:t>
      </w:r>
    </w:p>
    <w:p w14:paraId="633A995A" w14:textId="794CB3FD" w:rsidR="00BC0206" w:rsidRPr="00BC0206" w:rsidRDefault="00BC0206" w:rsidP="00BC0206">
      <w:pPr>
        <w:pStyle w:val="Akapitzlist"/>
        <w:numPr>
          <w:ilvl w:val="0"/>
          <w:numId w:val="10"/>
        </w:numPr>
        <w:spacing w:after="0" w:line="300" w:lineRule="auto"/>
        <w:jc w:val="both"/>
        <w:rPr>
          <w:rFonts w:ascii="Arial" w:eastAsia="Times New Roman" w:hAnsi="Arial" w:cs="Arial"/>
          <w:lang w:eastAsia="pl-PL"/>
        </w:rPr>
      </w:pPr>
      <w:r w:rsidRPr="00BC0206">
        <w:rPr>
          <w:rFonts w:ascii="Arial" w:eastAsia="Times New Roman" w:hAnsi="Arial" w:cs="Arial"/>
          <w:lang w:eastAsia="pl-PL"/>
        </w:rPr>
        <w:t>odejście od papierowej na rzecz wyłącznie elektronicznej formy składania wniosków o wpis do CEIDG;</w:t>
      </w:r>
    </w:p>
    <w:p w14:paraId="3DAB3C6E" w14:textId="0A9EF9F7" w:rsidR="00BC0206" w:rsidRPr="00BC0206" w:rsidRDefault="00BC0206" w:rsidP="00BC0206">
      <w:pPr>
        <w:pStyle w:val="Akapitzlist"/>
        <w:numPr>
          <w:ilvl w:val="0"/>
          <w:numId w:val="10"/>
        </w:numPr>
        <w:spacing w:after="0" w:line="300" w:lineRule="auto"/>
        <w:jc w:val="both"/>
        <w:rPr>
          <w:rFonts w:ascii="Arial" w:eastAsia="Times New Roman" w:hAnsi="Arial" w:cs="Arial"/>
          <w:lang w:eastAsia="pl-PL"/>
        </w:rPr>
      </w:pPr>
      <w:r w:rsidRPr="00BC0206">
        <w:rPr>
          <w:rFonts w:ascii="Arial" w:eastAsia="Times New Roman" w:hAnsi="Arial" w:cs="Arial"/>
          <w:lang w:eastAsia="pl-PL"/>
        </w:rPr>
        <w:t xml:space="preserve">integracja systemów CEIDG z innymi systemami teleinformatycznymi; </w:t>
      </w:r>
    </w:p>
    <w:p w14:paraId="57FFF3FC" w14:textId="068A6EEA" w:rsidR="00BC0206" w:rsidRPr="00BC0206" w:rsidRDefault="00BC0206" w:rsidP="00BC0206">
      <w:pPr>
        <w:pStyle w:val="Akapitzlist"/>
        <w:numPr>
          <w:ilvl w:val="0"/>
          <w:numId w:val="10"/>
        </w:numPr>
        <w:spacing w:after="0" w:line="300" w:lineRule="auto"/>
        <w:jc w:val="both"/>
        <w:rPr>
          <w:rFonts w:ascii="Arial" w:eastAsia="Times New Roman" w:hAnsi="Arial" w:cs="Arial"/>
          <w:lang w:eastAsia="pl-PL"/>
        </w:rPr>
      </w:pPr>
      <w:r w:rsidRPr="00BC0206">
        <w:rPr>
          <w:rFonts w:ascii="Arial" w:eastAsia="Times New Roman" w:hAnsi="Arial" w:cs="Arial"/>
          <w:lang w:eastAsia="pl-PL"/>
        </w:rPr>
        <w:t>uszczegółowienie zakresu danych przekazywanych przez organy koncesyjne oraz izby rzemieślnicze;</w:t>
      </w:r>
    </w:p>
    <w:p w14:paraId="5D2EE45B" w14:textId="6C2574D2" w:rsidR="00BC0206" w:rsidRPr="00BC0206" w:rsidRDefault="00BC0206" w:rsidP="00BC0206">
      <w:pPr>
        <w:pStyle w:val="Akapitzlist"/>
        <w:numPr>
          <w:ilvl w:val="0"/>
          <w:numId w:val="10"/>
        </w:numPr>
        <w:spacing w:after="0" w:line="300" w:lineRule="auto"/>
        <w:jc w:val="both"/>
        <w:rPr>
          <w:rFonts w:ascii="Arial" w:eastAsia="Times New Roman" w:hAnsi="Arial" w:cs="Arial"/>
          <w:lang w:eastAsia="pl-PL"/>
        </w:rPr>
      </w:pPr>
      <w:r w:rsidRPr="00BC0206">
        <w:rPr>
          <w:rFonts w:ascii="Arial" w:eastAsia="Times New Roman" w:hAnsi="Arial" w:cs="Arial"/>
          <w:lang w:eastAsia="pl-PL"/>
        </w:rPr>
        <w:t>umożliwienie składania wniosków do CEIDG o założenie działalności gospodarczej za pośrednictwem aplikacja mObywatel;</w:t>
      </w:r>
    </w:p>
    <w:p w14:paraId="2379FF0D" w14:textId="69E4C241" w:rsidR="00BC0206" w:rsidRPr="00BC0206" w:rsidRDefault="00BC0206" w:rsidP="00BC0206">
      <w:pPr>
        <w:pStyle w:val="Akapitzlist"/>
        <w:numPr>
          <w:ilvl w:val="0"/>
          <w:numId w:val="10"/>
        </w:numPr>
        <w:spacing w:after="0" w:line="300" w:lineRule="auto"/>
        <w:jc w:val="both"/>
        <w:rPr>
          <w:rFonts w:ascii="Arial" w:eastAsia="Times New Roman" w:hAnsi="Arial" w:cs="Arial"/>
          <w:lang w:eastAsia="pl-PL"/>
        </w:rPr>
      </w:pPr>
      <w:r w:rsidRPr="00BC0206">
        <w:rPr>
          <w:rFonts w:ascii="Arial" w:eastAsia="Times New Roman" w:hAnsi="Arial" w:cs="Arial"/>
          <w:lang w:eastAsia="pl-PL"/>
        </w:rPr>
        <w:t xml:space="preserve">doprecyzowanie przepisów m.in. w zakresie: zarządu sukcesyjnego, udostępniania danych w CEIDG, syndyka, informacji o kwalifikacjach rzemieślniczych, przesłanek sprostowania wpisu w CEIDG, dokonywania wpisu w CEIDG przez małoletnich. </w:t>
      </w:r>
    </w:p>
    <w:p w14:paraId="4D444B17" w14:textId="77777777" w:rsidR="00BC0206" w:rsidRDefault="00BC0206" w:rsidP="00BC0206">
      <w:pPr>
        <w:spacing w:after="0" w:line="300" w:lineRule="auto"/>
        <w:jc w:val="both"/>
        <w:rPr>
          <w:rFonts w:ascii="Arial" w:eastAsia="Times New Roman" w:hAnsi="Arial" w:cs="Arial"/>
          <w:lang w:eastAsia="pl-PL"/>
        </w:rPr>
      </w:pPr>
    </w:p>
    <w:p w14:paraId="42A01D28" w14:textId="1A3A6513" w:rsidR="00BC0206" w:rsidRDefault="00BC0206" w:rsidP="00BC0206">
      <w:pPr>
        <w:spacing w:after="0" w:line="300" w:lineRule="auto"/>
        <w:jc w:val="both"/>
        <w:rPr>
          <w:rStyle w:val="markedcontent"/>
          <w:rFonts w:ascii="Arial" w:hAnsi="Arial" w:cs="Arial"/>
        </w:rPr>
      </w:pPr>
      <w:r w:rsidRPr="00BC0206">
        <w:rPr>
          <w:rFonts w:ascii="Arial" w:eastAsia="Times New Roman" w:hAnsi="Arial" w:cs="Arial"/>
          <w:lang w:eastAsia="pl-PL"/>
        </w:rPr>
        <w:t>Ustawa wejdzie w życie po upływie 6 miesięcy od dnia ogłoszenia, z wyjątkiem przepisów dotyczących wprowadzenia możliwości składania wniosków o wpis do CEIDG z wykorzystaniem aplikacji mObywatel oraz informacji w związku z usługami lub zadaniami publicznymi realizowanymi na rzecz przedsiębiorcy będącego użytkownikiem aplikacji mObywatel (7 dni od dnia ogłoszenia), spółki cywilnej (1 listopada 2028 r.), elektronizacji wniosków (I etap – 1 listopada 2026 r., II etap – 1 listopada 2028 r.) oraz niektórych zmian w ustawie o statystyce publicznej (18 grudnia 2026 r.).</w:t>
      </w:r>
    </w:p>
    <w:p w14:paraId="2923373B" w14:textId="77777777" w:rsidR="00AB3E3C" w:rsidRDefault="00AB3E3C" w:rsidP="00AB3E3C">
      <w:pPr>
        <w:spacing w:after="0" w:line="300" w:lineRule="auto"/>
        <w:jc w:val="both"/>
        <w:rPr>
          <w:rFonts w:ascii="Arial" w:hAnsi="Arial" w:cs="Arial"/>
        </w:rPr>
      </w:pPr>
    </w:p>
    <w:p w14:paraId="470A9438" w14:textId="35AE803C" w:rsidR="00AB3E3C" w:rsidRPr="007779CF" w:rsidRDefault="007779CF" w:rsidP="00AB3E3C">
      <w:pPr>
        <w:pStyle w:val="Akapitzlist"/>
        <w:numPr>
          <w:ilvl w:val="0"/>
          <w:numId w:val="2"/>
        </w:numPr>
        <w:spacing w:after="0" w:line="300" w:lineRule="auto"/>
        <w:ind w:left="426" w:hanging="426"/>
        <w:jc w:val="both"/>
        <w:rPr>
          <w:rFonts w:ascii="Arial" w:eastAsia="Times New Roman" w:hAnsi="Arial" w:cs="Arial"/>
          <w:b/>
          <w:bCs/>
          <w:u w:val="single"/>
          <w:lang w:eastAsia="pl-PL"/>
        </w:rPr>
      </w:pPr>
      <w:r w:rsidRPr="007779CF">
        <w:rPr>
          <w:rFonts w:ascii="Arial" w:hAnsi="Arial" w:cs="Arial"/>
          <w:b/>
          <w:bCs/>
          <w:u w:val="single"/>
        </w:rPr>
        <w:t>Rozporządzenie Rady Ministrów z dnia 3 kwietnia 2026 r. w sprawie szczegółowego trybu i sposobu nieodpłatnego udostępniania w sytuacji szczególnego zagrożenia urządzeń telekomunikacyjnych oraz radiowych urządzeń nadawczych lub nadawczo-odbiorczych oraz szczegółowego trybu i sposobu ich zwrotu</w:t>
      </w:r>
      <w:r w:rsidRPr="007779CF">
        <w:rPr>
          <w:rFonts w:ascii="Arial" w:hAnsi="Arial" w:cs="Arial"/>
          <w:b/>
          <w:bCs/>
          <w:u w:val="single"/>
        </w:rPr>
        <w:t>.</w:t>
      </w:r>
    </w:p>
    <w:p w14:paraId="326A5694" w14:textId="77777777" w:rsidR="007779CF" w:rsidRDefault="007779CF" w:rsidP="007779CF">
      <w:pPr>
        <w:spacing w:after="0" w:line="300" w:lineRule="auto"/>
        <w:jc w:val="both"/>
        <w:rPr>
          <w:rFonts w:ascii="Arial" w:eastAsia="Times New Roman" w:hAnsi="Arial" w:cs="Arial"/>
          <w:lang w:eastAsia="pl-PL"/>
        </w:rPr>
      </w:pPr>
    </w:p>
    <w:p w14:paraId="7BE5149D" w14:textId="1E565E5F" w:rsidR="00AB3E3C" w:rsidRPr="00287656" w:rsidRDefault="00AB3E3C" w:rsidP="007779CF">
      <w:pPr>
        <w:spacing w:after="0" w:line="300" w:lineRule="auto"/>
        <w:jc w:val="both"/>
        <w:rPr>
          <w:rFonts w:ascii="Arial" w:eastAsia="Times New Roman" w:hAnsi="Arial" w:cs="Arial"/>
          <w:lang w:eastAsia="pl-PL"/>
        </w:rPr>
      </w:pPr>
      <w:r w:rsidRPr="00287656">
        <w:rPr>
          <w:rFonts w:ascii="Arial" w:eastAsia="Times New Roman" w:hAnsi="Arial" w:cs="Arial"/>
          <w:lang w:eastAsia="pl-PL"/>
        </w:rPr>
        <w:t>Powyższy akt prawny o</w:t>
      </w:r>
      <w:r>
        <w:rPr>
          <w:rFonts w:ascii="Arial" w:eastAsia="Times New Roman" w:hAnsi="Arial" w:cs="Arial"/>
          <w:lang w:eastAsia="pl-PL"/>
        </w:rPr>
        <w:t>głoszony</w:t>
      </w:r>
      <w:r w:rsidRPr="00287656">
        <w:rPr>
          <w:rFonts w:ascii="Arial" w:eastAsia="Times New Roman" w:hAnsi="Arial" w:cs="Arial"/>
          <w:lang w:eastAsia="pl-PL"/>
        </w:rPr>
        <w:t xml:space="preserve"> został </w:t>
      </w:r>
      <w:r w:rsidR="007779CF">
        <w:rPr>
          <w:rFonts w:ascii="Arial" w:eastAsia="Times New Roman" w:hAnsi="Arial" w:cs="Arial"/>
          <w:lang w:eastAsia="pl-PL"/>
        </w:rPr>
        <w:t>14 kwietnia</w:t>
      </w:r>
      <w:r w:rsidRPr="00287656">
        <w:rPr>
          <w:rFonts w:ascii="Arial" w:eastAsia="Times New Roman" w:hAnsi="Arial" w:cs="Arial"/>
          <w:lang w:eastAsia="pl-PL"/>
        </w:rPr>
        <w:t xml:space="preserve"> 20</w:t>
      </w:r>
      <w:r>
        <w:rPr>
          <w:rFonts w:ascii="Arial" w:eastAsia="Times New Roman" w:hAnsi="Arial" w:cs="Arial"/>
          <w:lang w:eastAsia="pl-PL"/>
        </w:rPr>
        <w:t>2</w:t>
      </w:r>
      <w:r w:rsidR="007779CF">
        <w:rPr>
          <w:rFonts w:ascii="Arial" w:eastAsia="Times New Roman" w:hAnsi="Arial" w:cs="Arial"/>
          <w:lang w:eastAsia="pl-PL"/>
        </w:rPr>
        <w:t>6</w:t>
      </w:r>
      <w:r w:rsidRPr="00287656">
        <w:rPr>
          <w:rFonts w:ascii="Arial" w:eastAsia="Times New Roman" w:hAnsi="Arial" w:cs="Arial"/>
          <w:lang w:eastAsia="pl-PL"/>
        </w:rPr>
        <w:t xml:space="preserve"> roku w Dzienniku Ustaw (Dz.U. z 202</w:t>
      </w:r>
      <w:r w:rsidR="007779CF">
        <w:rPr>
          <w:rFonts w:ascii="Arial" w:eastAsia="Times New Roman" w:hAnsi="Arial" w:cs="Arial"/>
          <w:lang w:eastAsia="pl-PL"/>
        </w:rPr>
        <w:t>6</w:t>
      </w:r>
      <w:r w:rsidRPr="00287656">
        <w:rPr>
          <w:rFonts w:ascii="Arial" w:eastAsia="Times New Roman" w:hAnsi="Arial" w:cs="Arial"/>
          <w:lang w:eastAsia="pl-PL"/>
        </w:rPr>
        <w:t xml:space="preserve">, poz. </w:t>
      </w:r>
      <w:r w:rsidR="007779CF">
        <w:rPr>
          <w:rFonts w:ascii="Arial" w:eastAsia="Times New Roman" w:hAnsi="Arial" w:cs="Arial"/>
          <w:lang w:eastAsia="pl-PL"/>
        </w:rPr>
        <w:t>510</w:t>
      </w:r>
      <w:r w:rsidRPr="00287656">
        <w:rPr>
          <w:rFonts w:ascii="Arial" w:eastAsia="Times New Roman" w:hAnsi="Arial" w:cs="Arial"/>
          <w:lang w:eastAsia="pl-PL"/>
        </w:rPr>
        <w:t>).</w:t>
      </w:r>
    </w:p>
    <w:p w14:paraId="2A475C7A" w14:textId="77777777" w:rsidR="007779CF" w:rsidRDefault="007779CF" w:rsidP="007779CF">
      <w:pPr>
        <w:spacing w:after="0" w:line="300" w:lineRule="auto"/>
        <w:jc w:val="both"/>
        <w:rPr>
          <w:rFonts w:ascii="Arial" w:eastAsia="Times New Roman" w:hAnsi="Arial" w:cs="Arial"/>
          <w:lang w:eastAsia="pl-PL"/>
        </w:rPr>
      </w:pPr>
    </w:p>
    <w:p w14:paraId="5894CE0B" w14:textId="09A34C78" w:rsidR="007779CF" w:rsidRDefault="007779CF" w:rsidP="007779CF">
      <w:pPr>
        <w:spacing w:after="0" w:line="300" w:lineRule="auto"/>
        <w:jc w:val="both"/>
        <w:rPr>
          <w:rFonts w:ascii="Arial" w:eastAsia="Times New Roman" w:hAnsi="Arial" w:cs="Arial"/>
          <w:lang w:eastAsia="pl-PL"/>
        </w:rPr>
      </w:pPr>
      <w:r w:rsidRPr="007779CF">
        <w:rPr>
          <w:rFonts w:ascii="Arial" w:eastAsia="Times New Roman" w:hAnsi="Arial" w:cs="Arial"/>
          <w:lang w:eastAsia="pl-PL"/>
        </w:rPr>
        <w:t>Rozporządzenie wydane zostało na podstawie</w:t>
      </w:r>
      <w:r>
        <w:rPr>
          <w:rFonts w:ascii="Arial" w:eastAsia="Times New Roman" w:hAnsi="Arial" w:cs="Arial"/>
          <w:lang w:eastAsia="pl-PL"/>
        </w:rPr>
        <w:t xml:space="preserve"> </w:t>
      </w:r>
      <w:r w:rsidRPr="007779CF">
        <w:rPr>
          <w:rFonts w:ascii="Arial" w:eastAsia="Times New Roman" w:hAnsi="Arial" w:cs="Arial"/>
          <w:lang w:eastAsia="pl-PL"/>
        </w:rPr>
        <w:t>art. 41 ust. 9 ustawy z dnia 12 lipca 2024 r. – Prawo komunikacji elektronicznej (Dz. U. poz. 1221, z 2025 r. poz. 637 i 820 oraz z 2026 r. poz. 252</w:t>
      </w:r>
      <w:r>
        <w:rPr>
          <w:rFonts w:ascii="Arial" w:eastAsia="Times New Roman" w:hAnsi="Arial" w:cs="Arial"/>
          <w:lang w:eastAsia="pl-PL"/>
        </w:rPr>
        <w:t>).</w:t>
      </w:r>
    </w:p>
    <w:p w14:paraId="747977D9" w14:textId="77777777" w:rsidR="007779CF" w:rsidRDefault="007779CF" w:rsidP="007779CF">
      <w:pPr>
        <w:spacing w:after="0" w:line="300" w:lineRule="auto"/>
        <w:jc w:val="both"/>
        <w:rPr>
          <w:rFonts w:ascii="Arial" w:eastAsia="Times New Roman" w:hAnsi="Arial" w:cs="Arial"/>
          <w:lang w:eastAsia="pl-PL"/>
        </w:rPr>
      </w:pPr>
      <w:r>
        <w:rPr>
          <w:rFonts w:ascii="Arial" w:eastAsia="Times New Roman" w:hAnsi="Arial" w:cs="Arial"/>
          <w:lang w:eastAsia="pl-PL"/>
        </w:rPr>
        <w:t xml:space="preserve">Rozporządzenie </w:t>
      </w:r>
      <w:r w:rsidRPr="007779CF">
        <w:rPr>
          <w:rFonts w:ascii="Arial" w:eastAsia="Times New Roman" w:hAnsi="Arial" w:cs="Arial"/>
          <w:lang w:eastAsia="pl-PL"/>
        </w:rPr>
        <w:t xml:space="preserve">określa szczegółowy tryb i sposób: </w:t>
      </w:r>
    </w:p>
    <w:p w14:paraId="25E24731" w14:textId="77777777" w:rsidR="007779CF" w:rsidRDefault="007779CF" w:rsidP="007779CF">
      <w:pPr>
        <w:spacing w:after="0" w:line="300" w:lineRule="auto"/>
        <w:jc w:val="both"/>
        <w:rPr>
          <w:rFonts w:ascii="Arial" w:eastAsia="Times New Roman" w:hAnsi="Arial" w:cs="Arial"/>
          <w:lang w:eastAsia="pl-PL"/>
        </w:rPr>
      </w:pPr>
      <w:r w:rsidRPr="007779CF">
        <w:rPr>
          <w:rFonts w:ascii="Arial" w:eastAsia="Times New Roman" w:hAnsi="Arial" w:cs="Arial"/>
          <w:lang w:eastAsia="pl-PL"/>
        </w:rPr>
        <w:lastRenderedPageBreak/>
        <w:t xml:space="preserve">1) nieodpłatnego udostępniania w sytuacji szczególnego zagrożenia, o której mowa w art. 2 pkt 65 ustawy z dnia 12 lipca 2024 r. – Prawo komunikacji elektronicznej, zwanej dalej „ustawą”, przez przedsiębiorcę telekomunikacyjnego, urządzeń telekomunikacyjnych niezbędnych do przeprowadzenia akcji ratowniczej: </w:t>
      </w:r>
    </w:p>
    <w:p w14:paraId="361DF987" w14:textId="4EA61201" w:rsidR="007779CF" w:rsidRPr="007779CF" w:rsidRDefault="007779CF" w:rsidP="007779CF">
      <w:pPr>
        <w:pStyle w:val="Akapitzlist"/>
        <w:numPr>
          <w:ilvl w:val="1"/>
          <w:numId w:val="13"/>
        </w:numPr>
        <w:spacing w:after="0" w:line="300" w:lineRule="auto"/>
        <w:ind w:left="567" w:hanging="283"/>
        <w:jc w:val="both"/>
        <w:rPr>
          <w:rFonts w:ascii="Arial" w:eastAsia="Times New Roman" w:hAnsi="Arial" w:cs="Arial"/>
          <w:lang w:eastAsia="pl-PL"/>
        </w:rPr>
      </w:pPr>
      <w:r w:rsidRPr="007779CF">
        <w:rPr>
          <w:rFonts w:ascii="Arial" w:eastAsia="Times New Roman" w:hAnsi="Arial" w:cs="Arial"/>
          <w:lang w:eastAsia="pl-PL"/>
        </w:rPr>
        <w:t xml:space="preserve">innemu przedsiębiorcy telekomunikacyjnemu lub </w:t>
      </w:r>
    </w:p>
    <w:p w14:paraId="43C4FD91" w14:textId="114D28BC" w:rsidR="007779CF" w:rsidRPr="007779CF" w:rsidRDefault="007779CF" w:rsidP="007779CF">
      <w:pPr>
        <w:pStyle w:val="Akapitzlist"/>
        <w:numPr>
          <w:ilvl w:val="1"/>
          <w:numId w:val="13"/>
        </w:numPr>
        <w:spacing w:after="0" w:line="300" w:lineRule="auto"/>
        <w:ind w:left="567" w:hanging="283"/>
        <w:jc w:val="both"/>
        <w:rPr>
          <w:rFonts w:ascii="Arial" w:eastAsia="Times New Roman" w:hAnsi="Arial" w:cs="Arial"/>
          <w:lang w:eastAsia="pl-PL"/>
        </w:rPr>
      </w:pPr>
      <w:r w:rsidRPr="007779CF">
        <w:rPr>
          <w:rFonts w:ascii="Arial" w:eastAsia="Times New Roman" w:hAnsi="Arial" w:cs="Arial"/>
          <w:lang w:eastAsia="pl-PL"/>
        </w:rPr>
        <w:t xml:space="preserve">podmiotom wskazanym przez organy uzgadniające plany działań przedsiębiorcy telekomunikacyjnego w sytuacji szczególnego zagrożenia: </w:t>
      </w:r>
    </w:p>
    <w:p w14:paraId="01CB2F3B" w14:textId="16D64C7D" w:rsidR="007779CF" w:rsidRPr="007779CF" w:rsidRDefault="007779CF" w:rsidP="007779CF">
      <w:pPr>
        <w:pStyle w:val="Akapitzlist"/>
        <w:numPr>
          <w:ilvl w:val="0"/>
          <w:numId w:val="14"/>
        </w:numPr>
        <w:spacing w:after="0" w:line="300" w:lineRule="auto"/>
        <w:ind w:left="851" w:hanging="284"/>
        <w:jc w:val="both"/>
        <w:rPr>
          <w:rFonts w:ascii="Arial" w:eastAsia="Times New Roman" w:hAnsi="Arial" w:cs="Arial"/>
          <w:lang w:eastAsia="pl-PL"/>
        </w:rPr>
      </w:pPr>
      <w:r w:rsidRPr="007779CF">
        <w:rPr>
          <w:rFonts w:ascii="Arial" w:eastAsia="Times New Roman" w:hAnsi="Arial" w:cs="Arial"/>
          <w:lang w:eastAsia="pl-PL"/>
        </w:rPr>
        <w:t xml:space="preserve">wykonującym zadania w zakresie ratownictwa oraz niesienia pomocy ludności, </w:t>
      </w:r>
    </w:p>
    <w:p w14:paraId="1F01CD99" w14:textId="7911CF36" w:rsidR="007779CF" w:rsidRPr="007779CF" w:rsidRDefault="007779CF" w:rsidP="007779CF">
      <w:pPr>
        <w:pStyle w:val="Akapitzlist"/>
        <w:numPr>
          <w:ilvl w:val="0"/>
          <w:numId w:val="14"/>
        </w:numPr>
        <w:spacing w:after="0" w:line="300" w:lineRule="auto"/>
        <w:ind w:left="851" w:hanging="284"/>
        <w:jc w:val="both"/>
        <w:rPr>
          <w:rFonts w:ascii="Arial" w:eastAsia="Times New Roman" w:hAnsi="Arial" w:cs="Arial"/>
          <w:lang w:eastAsia="pl-PL"/>
        </w:rPr>
      </w:pPr>
      <w:r w:rsidRPr="007779CF">
        <w:rPr>
          <w:rFonts w:ascii="Arial" w:eastAsia="Times New Roman" w:hAnsi="Arial" w:cs="Arial"/>
          <w:lang w:eastAsia="pl-PL"/>
        </w:rPr>
        <w:t>wykonującym zadania na rzecz obronności, cyberbezpieczeństwa, bezpieczeństw</w:t>
      </w:r>
      <w:r>
        <w:rPr>
          <w:rFonts w:ascii="Arial" w:eastAsia="Times New Roman" w:hAnsi="Arial" w:cs="Arial"/>
          <w:lang w:eastAsia="pl-PL"/>
        </w:rPr>
        <w:t xml:space="preserve"> </w:t>
      </w:r>
      <w:r w:rsidRPr="007779CF">
        <w:rPr>
          <w:rFonts w:ascii="Arial" w:eastAsia="Times New Roman" w:hAnsi="Arial" w:cs="Arial"/>
          <w:lang w:eastAsia="pl-PL"/>
        </w:rPr>
        <w:t xml:space="preserve">państwa oraz bezpieczeństwa i porządku publicznego, </w:t>
      </w:r>
    </w:p>
    <w:p w14:paraId="6355A457" w14:textId="369E682D" w:rsidR="007779CF" w:rsidRPr="007779CF" w:rsidRDefault="007779CF" w:rsidP="007779CF">
      <w:pPr>
        <w:pStyle w:val="Akapitzlist"/>
        <w:numPr>
          <w:ilvl w:val="0"/>
          <w:numId w:val="14"/>
        </w:numPr>
        <w:spacing w:after="0" w:line="300" w:lineRule="auto"/>
        <w:ind w:left="851" w:hanging="284"/>
        <w:jc w:val="both"/>
        <w:rPr>
          <w:rFonts w:ascii="Arial" w:eastAsia="Times New Roman" w:hAnsi="Arial" w:cs="Arial"/>
          <w:lang w:eastAsia="pl-PL"/>
        </w:rPr>
      </w:pPr>
      <w:r w:rsidRPr="007779CF">
        <w:rPr>
          <w:rFonts w:ascii="Arial" w:eastAsia="Times New Roman" w:hAnsi="Arial" w:cs="Arial"/>
          <w:lang w:eastAsia="pl-PL"/>
        </w:rPr>
        <w:t xml:space="preserve">właściwym w sprawach zarządzania kryzysowego; </w:t>
      </w:r>
    </w:p>
    <w:p w14:paraId="61F60626" w14:textId="77777777" w:rsidR="007779CF" w:rsidRDefault="007779CF" w:rsidP="007779CF">
      <w:pPr>
        <w:spacing w:after="0" w:line="300" w:lineRule="auto"/>
        <w:jc w:val="both"/>
        <w:rPr>
          <w:rFonts w:ascii="Arial" w:eastAsia="Times New Roman" w:hAnsi="Arial" w:cs="Arial"/>
          <w:lang w:eastAsia="pl-PL"/>
        </w:rPr>
      </w:pPr>
      <w:r w:rsidRPr="007779CF">
        <w:rPr>
          <w:rFonts w:ascii="Arial" w:eastAsia="Times New Roman" w:hAnsi="Arial" w:cs="Arial"/>
          <w:lang w:eastAsia="pl-PL"/>
        </w:rPr>
        <w:t xml:space="preserve">2) nieodpłatnego udostępniania w sytuacji szczególnego zagrożenia, o której mowa w art. 2 pkt 65 ustawy, przez podmioty niebędące przedsiębiorcami telekomunikacyjnymi, radiowych urządzeń nadawczych lub nadawczo-odbiorczych stosowanych w służbach radiokomunikacyjnych niezbędnych do przeprowadzenia akcji ratowniczej: </w:t>
      </w:r>
    </w:p>
    <w:p w14:paraId="3CA04CA0" w14:textId="6542867F" w:rsidR="007779CF" w:rsidRPr="007779CF" w:rsidRDefault="007779CF" w:rsidP="007779CF">
      <w:pPr>
        <w:pStyle w:val="Akapitzlist"/>
        <w:numPr>
          <w:ilvl w:val="1"/>
          <w:numId w:val="16"/>
        </w:numPr>
        <w:spacing w:after="0" w:line="300" w:lineRule="auto"/>
        <w:ind w:left="567" w:hanging="283"/>
        <w:jc w:val="both"/>
        <w:rPr>
          <w:rFonts w:ascii="Arial" w:eastAsia="Times New Roman" w:hAnsi="Arial" w:cs="Arial"/>
          <w:lang w:eastAsia="pl-PL"/>
        </w:rPr>
      </w:pPr>
      <w:r w:rsidRPr="007779CF">
        <w:rPr>
          <w:rFonts w:ascii="Arial" w:eastAsia="Times New Roman" w:hAnsi="Arial" w:cs="Arial"/>
          <w:lang w:eastAsia="pl-PL"/>
        </w:rPr>
        <w:t xml:space="preserve">podmiotom koordynującym działania ratownicze, </w:t>
      </w:r>
    </w:p>
    <w:p w14:paraId="13BCB557" w14:textId="64451DE9" w:rsidR="007779CF" w:rsidRPr="007779CF" w:rsidRDefault="007779CF" w:rsidP="007779CF">
      <w:pPr>
        <w:pStyle w:val="Akapitzlist"/>
        <w:numPr>
          <w:ilvl w:val="1"/>
          <w:numId w:val="16"/>
        </w:numPr>
        <w:spacing w:after="0" w:line="300" w:lineRule="auto"/>
        <w:ind w:left="567" w:hanging="283"/>
        <w:jc w:val="both"/>
        <w:rPr>
          <w:rFonts w:ascii="Arial" w:eastAsia="Times New Roman" w:hAnsi="Arial" w:cs="Arial"/>
          <w:lang w:eastAsia="pl-PL"/>
        </w:rPr>
      </w:pPr>
      <w:r w:rsidRPr="007779CF">
        <w:rPr>
          <w:rFonts w:ascii="Arial" w:eastAsia="Times New Roman" w:hAnsi="Arial" w:cs="Arial"/>
          <w:lang w:eastAsia="pl-PL"/>
        </w:rPr>
        <w:t xml:space="preserve">podmiotom właściwym w sprawach zarządzania kryzysowego, </w:t>
      </w:r>
    </w:p>
    <w:p w14:paraId="1FBBCEE4" w14:textId="4B93FE20" w:rsidR="007779CF" w:rsidRPr="007779CF" w:rsidRDefault="007779CF" w:rsidP="007779CF">
      <w:pPr>
        <w:pStyle w:val="Akapitzlist"/>
        <w:numPr>
          <w:ilvl w:val="1"/>
          <w:numId w:val="16"/>
        </w:numPr>
        <w:spacing w:after="0" w:line="300" w:lineRule="auto"/>
        <w:ind w:left="567" w:hanging="283"/>
        <w:jc w:val="both"/>
        <w:rPr>
          <w:rFonts w:ascii="Arial" w:eastAsia="Times New Roman" w:hAnsi="Arial" w:cs="Arial"/>
          <w:lang w:eastAsia="pl-PL"/>
        </w:rPr>
      </w:pPr>
      <w:r w:rsidRPr="007779CF">
        <w:rPr>
          <w:rFonts w:ascii="Arial" w:eastAsia="Times New Roman" w:hAnsi="Arial" w:cs="Arial"/>
          <w:lang w:eastAsia="pl-PL"/>
        </w:rPr>
        <w:t xml:space="preserve">służbom ustawowo powołanym do niesienia pomocy, </w:t>
      </w:r>
    </w:p>
    <w:p w14:paraId="370D7E6F" w14:textId="2EE97BC5" w:rsidR="007779CF" w:rsidRPr="007779CF" w:rsidRDefault="007779CF" w:rsidP="007779CF">
      <w:pPr>
        <w:pStyle w:val="Akapitzlist"/>
        <w:numPr>
          <w:ilvl w:val="1"/>
          <w:numId w:val="16"/>
        </w:numPr>
        <w:spacing w:after="0" w:line="300" w:lineRule="auto"/>
        <w:ind w:left="567" w:hanging="283"/>
        <w:jc w:val="both"/>
        <w:rPr>
          <w:rFonts w:ascii="Arial" w:eastAsia="Times New Roman" w:hAnsi="Arial" w:cs="Arial"/>
          <w:lang w:eastAsia="pl-PL"/>
        </w:rPr>
      </w:pPr>
      <w:r w:rsidRPr="007779CF">
        <w:rPr>
          <w:rFonts w:ascii="Arial" w:eastAsia="Times New Roman" w:hAnsi="Arial" w:cs="Arial"/>
          <w:lang w:eastAsia="pl-PL"/>
        </w:rPr>
        <w:t xml:space="preserve">innym podmiotom realizującym zadania na rzecz obronności, bezpieczeństwa państwa oraz bezpieczeństwa i porządku publicznego; </w:t>
      </w:r>
    </w:p>
    <w:p w14:paraId="5656D0A9" w14:textId="02FCCB3C" w:rsidR="007779CF" w:rsidRDefault="007779CF" w:rsidP="007779CF">
      <w:pPr>
        <w:spacing w:after="0" w:line="300" w:lineRule="auto"/>
        <w:jc w:val="both"/>
        <w:rPr>
          <w:rFonts w:ascii="Arial" w:eastAsia="Times New Roman" w:hAnsi="Arial" w:cs="Arial"/>
          <w:lang w:eastAsia="pl-PL"/>
        </w:rPr>
      </w:pPr>
      <w:r w:rsidRPr="007779CF">
        <w:rPr>
          <w:rFonts w:ascii="Arial" w:eastAsia="Times New Roman" w:hAnsi="Arial" w:cs="Arial"/>
          <w:lang w:eastAsia="pl-PL"/>
        </w:rPr>
        <w:t>3) zwrotu urządzeń, o których mowa w pkt 1 i 2.</w:t>
      </w:r>
    </w:p>
    <w:p w14:paraId="0395AA37" w14:textId="77777777" w:rsidR="007779CF" w:rsidRDefault="007779CF" w:rsidP="007779CF">
      <w:pPr>
        <w:spacing w:after="0" w:line="300" w:lineRule="auto"/>
        <w:jc w:val="both"/>
        <w:rPr>
          <w:rStyle w:val="markedcontent"/>
          <w:rFonts w:ascii="Arial" w:hAnsi="Arial" w:cs="Arial"/>
        </w:rPr>
      </w:pPr>
    </w:p>
    <w:p w14:paraId="32FAB7E1" w14:textId="7ECC1335" w:rsidR="00AB3E3C" w:rsidRPr="007779CF" w:rsidRDefault="007779CF" w:rsidP="007779CF">
      <w:pPr>
        <w:spacing w:after="0" w:line="300" w:lineRule="auto"/>
        <w:jc w:val="both"/>
        <w:rPr>
          <w:rStyle w:val="markedcontent"/>
          <w:rFonts w:ascii="Arial" w:eastAsia="Times New Roman" w:hAnsi="Arial" w:cs="Arial"/>
          <w:u w:val="single"/>
          <w:lang w:eastAsia="pl-PL"/>
        </w:rPr>
      </w:pPr>
      <w:r w:rsidRPr="007779CF">
        <w:rPr>
          <w:rStyle w:val="markedcontent"/>
          <w:rFonts w:ascii="Arial" w:hAnsi="Arial" w:cs="Arial"/>
        </w:rPr>
        <w:t>Rozporządzenie wchodzi w życie po upływie 14 dni od dnia ogłoszenia</w:t>
      </w:r>
      <w:r w:rsidR="00AB3E3C" w:rsidRPr="007779CF">
        <w:rPr>
          <w:rStyle w:val="markedcontent"/>
          <w:rFonts w:ascii="Arial" w:hAnsi="Arial" w:cs="Arial"/>
        </w:rPr>
        <w:t>.</w:t>
      </w:r>
    </w:p>
    <w:p w14:paraId="576D1066" w14:textId="77777777" w:rsidR="00AB3E3C" w:rsidRPr="00287656" w:rsidRDefault="00AB3E3C" w:rsidP="00AB3E3C">
      <w:pPr>
        <w:pStyle w:val="Akapitzlist"/>
        <w:spacing w:after="0" w:line="300" w:lineRule="auto"/>
        <w:ind w:left="426"/>
        <w:jc w:val="both"/>
        <w:rPr>
          <w:rStyle w:val="markedcontent"/>
          <w:rFonts w:ascii="Arial" w:eastAsia="Times New Roman" w:hAnsi="Arial" w:cs="Arial"/>
          <w:u w:val="single"/>
          <w:lang w:eastAsia="pl-PL"/>
        </w:rPr>
      </w:pPr>
    </w:p>
    <w:p w14:paraId="0E1AF4D8" w14:textId="38C680DE" w:rsidR="00AB3E3C" w:rsidRPr="00383222" w:rsidRDefault="00383222" w:rsidP="00AB3E3C">
      <w:pPr>
        <w:pStyle w:val="Akapitzlist"/>
        <w:numPr>
          <w:ilvl w:val="0"/>
          <w:numId w:val="2"/>
        </w:numPr>
        <w:spacing w:after="0" w:line="300" w:lineRule="auto"/>
        <w:ind w:left="426" w:hanging="426"/>
        <w:jc w:val="both"/>
        <w:rPr>
          <w:rStyle w:val="markedcontent"/>
          <w:rFonts w:ascii="Arial" w:eastAsia="Times New Roman" w:hAnsi="Arial" w:cs="Arial"/>
          <w:b/>
          <w:bCs/>
          <w:u w:val="single"/>
          <w:lang w:eastAsia="pl-PL"/>
        </w:rPr>
      </w:pPr>
      <w:r w:rsidRPr="00383222">
        <w:rPr>
          <w:rStyle w:val="markedcontent"/>
          <w:rFonts w:ascii="Arial" w:eastAsia="Times New Roman" w:hAnsi="Arial" w:cs="Arial"/>
          <w:b/>
          <w:bCs/>
          <w:u w:val="single"/>
          <w:lang w:eastAsia="pl-PL"/>
        </w:rPr>
        <w:t>Ustawa z dnia 13 marca 2026 r. o zmianie ustawy – Prawo energetyczne oraz niektórych innych ustaw</w:t>
      </w:r>
      <w:r w:rsidRPr="00383222">
        <w:rPr>
          <w:rStyle w:val="markedcontent"/>
          <w:rFonts w:ascii="Arial" w:eastAsia="Times New Roman" w:hAnsi="Arial" w:cs="Arial"/>
          <w:b/>
          <w:bCs/>
          <w:u w:val="single"/>
          <w:lang w:eastAsia="pl-PL"/>
        </w:rPr>
        <w:t>.</w:t>
      </w:r>
    </w:p>
    <w:p w14:paraId="0D90F0DB" w14:textId="77777777" w:rsidR="00383222" w:rsidRPr="00383222" w:rsidRDefault="00383222" w:rsidP="00383222">
      <w:pPr>
        <w:spacing w:after="0" w:line="300" w:lineRule="auto"/>
        <w:jc w:val="both"/>
        <w:rPr>
          <w:rStyle w:val="markedcontent"/>
          <w:rFonts w:ascii="Arial" w:eastAsia="Times New Roman" w:hAnsi="Arial" w:cs="Arial"/>
          <w:lang w:eastAsia="pl-PL"/>
        </w:rPr>
      </w:pPr>
    </w:p>
    <w:p w14:paraId="2FAB3300" w14:textId="1A8C7CCF" w:rsidR="00383222" w:rsidRPr="00383222" w:rsidRDefault="00383222" w:rsidP="00383222">
      <w:pPr>
        <w:spacing w:after="0" w:line="300" w:lineRule="auto"/>
        <w:jc w:val="both"/>
        <w:rPr>
          <w:rStyle w:val="markedcontent"/>
          <w:rFonts w:ascii="Arial" w:eastAsia="Times New Roman" w:hAnsi="Arial" w:cs="Arial"/>
          <w:lang w:eastAsia="pl-PL"/>
        </w:rPr>
      </w:pPr>
      <w:r w:rsidRPr="00383222">
        <w:rPr>
          <w:rStyle w:val="markedcontent"/>
          <w:rFonts w:ascii="Arial" w:eastAsia="Times New Roman" w:hAnsi="Arial" w:cs="Arial"/>
          <w:lang w:eastAsia="pl-PL"/>
        </w:rPr>
        <w:t>Powyższy akt prawny ogłoszony został 1</w:t>
      </w:r>
      <w:r>
        <w:rPr>
          <w:rStyle w:val="markedcontent"/>
          <w:rFonts w:ascii="Arial" w:eastAsia="Times New Roman" w:hAnsi="Arial" w:cs="Arial"/>
          <w:lang w:eastAsia="pl-PL"/>
        </w:rPr>
        <w:t>5</w:t>
      </w:r>
      <w:r w:rsidRPr="00383222">
        <w:rPr>
          <w:rStyle w:val="markedcontent"/>
          <w:rFonts w:ascii="Arial" w:eastAsia="Times New Roman" w:hAnsi="Arial" w:cs="Arial"/>
          <w:lang w:eastAsia="pl-PL"/>
        </w:rPr>
        <w:t xml:space="preserve"> kwietnia 2026 roku w Dzienniku Ustaw (Dz.U. z 2026, poz. 51</w:t>
      </w:r>
      <w:r>
        <w:rPr>
          <w:rStyle w:val="markedcontent"/>
          <w:rFonts w:ascii="Arial" w:eastAsia="Times New Roman" w:hAnsi="Arial" w:cs="Arial"/>
          <w:lang w:eastAsia="pl-PL"/>
        </w:rPr>
        <w:t>6</w:t>
      </w:r>
      <w:r w:rsidRPr="00383222">
        <w:rPr>
          <w:rStyle w:val="markedcontent"/>
          <w:rFonts w:ascii="Arial" w:eastAsia="Times New Roman" w:hAnsi="Arial" w:cs="Arial"/>
          <w:lang w:eastAsia="pl-PL"/>
        </w:rPr>
        <w:t>).</w:t>
      </w:r>
    </w:p>
    <w:p w14:paraId="362B6943" w14:textId="77777777" w:rsidR="00383222" w:rsidRPr="00383222" w:rsidRDefault="00383222" w:rsidP="00383222">
      <w:pPr>
        <w:spacing w:after="0" w:line="300" w:lineRule="auto"/>
        <w:jc w:val="both"/>
        <w:rPr>
          <w:rStyle w:val="markedcontent"/>
          <w:rFonts w:ascii="Arial" w:eastAsia="Times New Roman" w:hAnsi="Arial" w:cs="Arial"/>
          <w:lang w:eastAsia="pl-PL"/>
        </w:rPr>
      </w:pPr>
    </w:p>
    <w:p w14:paraId="7C679C10" w14:textId="77777777" w:rsidR="00383222" w:rsidRDefault="00383222" w:rsidP="00383222">
      <w:pPr>
        <w:spacing w:after="0" w:line="300" w:lineRule="auto"/>
        <w:jc w:val="both"/>
        <w:rPr>
          <w:rStyle w:val="markedcontent"/>
          <w:rFonts w:ascii="Arial" w:eastAsia="Times New Roman" w:hAnsi="Arial" w:cs="Arial"/>
          <w:lang w:eastAsia="pl-PL"/>
        </w:rPr>
      </w:pPr>
      <w:r w:rsidRPr="00383222">
        <w:rPr>
          <w:rStyle w:val="markedcontent"/>
          <w:rFonts w:ascii="Arial" w:eastAsia="Times New Roman" w:hAnsi="Arial" w:cs="Arial"/>
          <w:lang w:eastAsia="pl-PL"/>
        </w:rPr>
        <w:t xml:space="preserve">Uchwalona ustawa zmienia przepisy obowiązującej ustawy z dnia 10 kwietnia 1997 r. – Prawo energetyczne (Dz. U. z 2026 r. poz. 43) w zakresie kilku istotnych celów związanych z funkcjonowaniem rynku energetycznego w Polsce, tj. w części dotyczącej: </w:t>
      </w:r>
    </w:p>
    <w:p w14:paraId="49E739C3" w14:textId="77777777" w:rsidR="00383222" w:rsidRDefault="00383222" w:rsidP="00383222">
      <w:pPr>
        <w:spacing w:after="0" w:line="300" w:lineRule="auto"/>
        <w:jc w:val="both"/>
        <w:rPr>
          <w:rStyle w:val="markedcontent"/>
          <w:rFonts w:ascii="Arial" w:eastAsia="Times New Roman" w:hAnsi="Arial" w:cs="Arial"/>
          <w:lang w:eastAsia="pl-PL"/>
        </w:rPr>
      </w:pPr>
      <w:r w:rsidRPr="00383222">
        <w:rPr>
          <w:rStyle w:val="markedcontent"/>
          <w:rFonts w:ascii="Arial" w:eastAsia="Times New Roman" w:hAnsi="Arial" w:cs="Arial"/>
          <w:lang w:eastAsia="pl-PL"/>
        </w:rPr>
        <w:t xml:space="preserve">1) zasad przyłączeń źródeł wytwórczych do sieci elektroenergetycznej,  </w:t>
      </w:r>
    </w:p>
    <w:p w14:paraId="7D992EE7" w14:textId="77777777" w:rsidR="00383222" w:rsidRDefault="00383222" w:rsidP="00383222">
      <w:pPr>
        <w:spacing w:after="0" w:line="300" w:lineRule="auto"/>
        <w:jc w:val="both"/>
        <w:rPr>
          <w:rStyle w:val="markedcontent"/>
          <w:rFonts w:ascii="Arial" w:eastAsia="Times New Roman" w:hAnsi="Arial" w:cs="Arial"/>
          <w:lang w:eastAsia="pl-PL"/>
        </w:rPr>
      </w:pPr>
      <w:r w:rsidRPr="00383222">
        <w:rPr>
          <w:rStyle w:val="markedcontent"/>
          <w:rFonts w:ascii="Arial" w:eastAsia="Times New Roman" w:hAnsi="Arial" w:cs="Arial"/>
          <w:lang w:eastAsia="pl-PL"/>
        </w:rPr>
        <w:t xml:space="preserve">2) wzmocnienia pozycji odbiorcy na rynku energii elektrycznej, </w:t>
      </w:r>
    </w:p>
    <w:p w14:paraId="10B9F5B5" w14:textId="77777777" w:rsidR="00383222" w:rsidRDefault="00383222" w:rsidP="00383222">
      <w:pPr>
        <w:spacing w:after="0" w:line="300" w:lineRule="auto"/>
        <w:jc w:val="both"/>
        <w:rPr>
          <w:rStyle w:val="markedcontent"/>
          <w:rFonts w:ascii="Arial" w:eastAsia="Times New Roman" w:hAnsi="Arial" w:cs="Arial"/>
          <w:lang w:eastAsia="pl-PL"/>
        </w:rPr>
      </w:pPr>
      <w:r w:rsidRPr="00383222">
        <w:rPr>
          <w:rStyle w:val="markedcontent"/>
          <w:rFonts w:ascii="Arial" w:eastAsia="Times New Roman" w:hAnsi="Arial" w:cs="Arial"/>
          <w:lang w:eastAsia="pl-PL"/>
        </w:rPr>
        <w:t xml:space="preserve">3) usprawnienia procesu planowania rozwoju sieci elektroenergetycznej (przesyłowej i dystrybucyjnej) oraz czasu przyłączenia przy równoczesnej optymalizacji kosztów i nakładów związanych z przyłączeniem się do sieci.  </w:t>
      </w:r>
    </w:p>
    <w:p w14:paraId="1A0F1E1B" w14:textId="77777777" w:rsidR="00383222" w:rsidRDefault="00383222" w:rsidP="00383222">
      <w:pPr>
        <w:spacing w:after="0" w:line="300" w:lineRule="auto"/>
        <w:jc w:val="both"/>
        <w:rPr>
          <w:rStyle w:val="markedcontent"/>
          <w:rFonts w:ascii="Arial" w:eastAsia="Times New Roman" w:hAnsi="Arial" w:cs="Arial"/>
          <w:lang w:eastAsia="pl-PL"/>
        </w:rPr>
      </w:pPr>
      <w:r w:rsidRPr="00383222">
        <w:rPr>
          <w:rStyle w:val="markedcontent"/>
          <w:rFonts w:ascii="Arial" w:eastAsia="Times New Roman" w:hAnsi="Arial" w:cs="Arial"/>
          <w:lang w:eastAsia="pl-PL"/>
        </w:rPr>
        <w:t xml:space="preserve">Zasadniczym celem ustawy jest odblokowanie niewykorzystywanych i nierealizowanych wydanych warunków przyłączenia źródeł wytwórczych energii do sieci elektroenergetycznej, których moc przyłączeniowa kilkukrotnie przekracza już możliwości odbioru i zużycia energii w krajowym systemie energetycznym.  </w:t>
      </w:r>
    </w:p>
    <w:p w14:paraId="7093D045" w14:textId="77777777" w:rsidR="00383222" w:rsidRDefault="00383222" w:rsidP="00383222">
      <w:pPr>
        <w:spacing w:after="0" w:line="300" w:lineRule="auto"/>
        <w:jc w:val="both"/>
        <w:rPr>
          <w:rStyle w:val="markedcontent"/>
          <w:rFonts w:ascii="Arial" w:eastAsia="Times New Roman" w:hAnsi="Arial" w:cs="Arial"/>
          <w:lang w:eastAsia="pl-PL"/>
        </w:rPr>
      </w:pPr>
      <w:r w:rsidRPr="00383222">
        <w:rPr>
          <w:rStyle w:val="markedcontent"/>
          <w:rFonts w:ascii="Arial" w:eastAsia="Times New Roman" w:hAnsi="Arial" w:cs="Arial"/>
          <w:lang w:eastAsia="pl-PL"/>
        </w:rPr>
        <w:t xml:space="preserve">Planowane zmiany w Prawie energetycznym mają wpłynąć pozytywnie na przyspieszenie procesu transformacji energetycznej i zwiększenie bezpieczeństwa dostaw energii </w:t>
      </w:r>
      <w:r w:rsidRPr="00383222">
        <w:rPr>
          <w:rStyle w:val="markedcontent"/>
          <w:rFonts w:ascii="Arial" w:eastAsia="Times New Roman" w:hAnsi="Arial" w:cs="Arial"/>
          <w:lang w:eastAsia="pl-PL"/>
        </w:rPr>
        <w:lastRenderedPageBreak/>
        <w:t xml:space="preserve">elektrycznej – gdyż sam proces przyłączenia źródeł wytwórczych do sieci ma być bardziej sprawny, przejrzysty i mniej podatny na działania spekulacyjne. Istniejąca sieć elektroenergetyczna będzie wykorzystywana w bardziej adekwatny sposób, co pozwoli na zwiększenie liczby obiektów możliwych do przyłączenia. W praktyce chodzi głównie nowe moce wytwórcze w energetyce wiatrowej i słonecznej oraz moce przyłączeniowe dla magazynów energii. Dzięki wprowadzanym rozwiązaniom ma zmniejszyć się kolejka podmiotów ubiegających się o możliwość przyłączenia do sieci, dzięki temu łatwiej będzie uzyskać warunki przyłączenia, a sam proces przyłączenia będzie mógł zostać zrealizowany szybciej. To z kolei zwiększy pewności otrzymania warunków przyłączenia i przyłączenia do sieci w możliwie nieodległym terminie, dzięki czemu ogólne koszty dla inwestorów będą niższe. </w:t>
      </w:r>
    </w:p>
    <w:p w14:paraId="7743A3DE" w14:textId="77777777" w:rsidR="00383222" w:rsidRDefault="00383222" w:rsidP="00383222">
      <w:pPr>
        <w:spacing w:after="0" w:line="300" w:lineRule="auto"/>
        <w:jc w:val="both"/>
        <w:rPr>
          <w:rStyle w:val="markedcontent"/>
          <w:rFonts w:ascii="Arial" w:eastAsia="Times New Roman" w:hAnsi="Arial" w:cs="Arial"/>
          <w:lang w:eastAsia="pl-PL"/>
        </w:rPr>
      </w:pPr>
      <w:r w:rsidRPr="00383222">
        <w:rPr>
          <w:rStyle w:val="markedcontent"/>
          <w:rFonts w:ascii="Arial" w:eastAsia="Times New Roman" w:hAnsi="Arial" w:cs="Arial"/>
          <w:lang w:eastAsia="pl-PL"/>
        </w:rPr>
        <w:t>Wejście w życie ustawy jest również niezbędne dla terminowej realizacji zobowiązań wynikających z Krajowego Planu Odbudowy (KPO). Wpisując się w realizację reformy zapisanej w KPO a dotyczącej wprowadzenia rozwiązań regulacyjnych dla przyspieszenia integracji OZE z sieciami dystrybucyjnymi – reforma G1.2.2 Usuwanie barier dla integracji odnawialnych źródeł energii z sieciami elektroenergetycznymi, kamień milowy G14G.</w:t>
      </w:r>
    </w:p>
    <w:p w14:paraId="07C2E053" w14:textId="77777777" w:rsidR="00383222" w:rsidRDefault="00383222" w:rsidP="00383222">
      <w:pPr>
        <w:spacing w:after="0" w:line="300" w:lineRule="auto"/>
        <w:jc w:val="both"/>
        <w:rPr>
          <w:rStyle w:val="markedcontent"/>
          <w:rFonts w:ascii="Arial" w:eastAsia="Times New Roman" w:hAnsi="Arial" w:cs="Arial"/>
          <w:lang w:eastAsia="pl-PL"/>
        </w:rPr>
      </w:pPr>
      <w:r w:rsidRPr="00383222">
        <w:rPr>
          <w:rStyle w:val="markedcontent"/>
          <w:rFonts w:ascii="Arial" w:eastAsia="Times New Roman" w:hAnsi="Arial" w:cs="Arial"/>
          <w:lang w:eastAsia="pl-PL"/>
        </w:rPr>
        <w:t xml:space="preserve">Jednocześnie uchwalona nowelizacja stanowi element pakietu antyblackoutowego – proponowana ustawa zwiększa odporność Krajowego Systemu Elektroenergetycznego na zakłócenia, awarie i cyberataki, co jest odpowiedzią na ryzyko blackoutów w Europie. </w:t>
      </w:r>
    </w:p>
    <w:p w14:paraId="65522E29" w14:textId="1C8FC8CB" w:rsidR="00383222" w:rsidRDefault="00383222" w:rsidP="00383222">
      <w:pPr>
        <w:spacing w:after="0" w:line="300" w:lineRule="auto"/>
        <w:jc w:val="both"/>
        <w:rPr>
          <w:rStyle w:val="markedcontent"/>
          <w:rFonts w:ascii="Arial" w:eastAsia="Times New Roman" w:hAnsi="Arial" w:cs="Arial"/>
          <w:lang w:eastAsia="pl-PL"/>
        </w:rPr>
      </w:pPr>
      <w:r w:rsidRPr="00383222">
        <w:rPr>
          <w:rStyle w:val="markedcontent"/>
          <w:rFonts w:ascii="Arial" w:eastAsia="Times New Roman" w:hAnsi="Arial" w:cs="Arial"/>
          <w:lang w:eastAsia="pl-PL"/>
        </w:rPr>
        <w:t xml:space="preserve">Ustawa ma też na celu wdrożenia przepisów prawa europejskiego, tj. wdrożenie postanowień dyrektywy Parlamentu Europejskiego i Rady (UE) 2024/1711 z dnia 13 czerwca 2024 r. zmieniającej dyrektywy (UE) 2018/2001 i (UE) 2019/944 w odniesieniu do poprawy struktury unijnego rynku energii elektrycznej (Dz. Urz. UE L 2024/1711 z 26.06.2024), która zobowiązuje m. przyłączeniowego.  in. do zwiększenia elastyczności i transparentności procesu </w:t>
      </w:r>
      <w:r>
        <w:rPr>
          <w:rStyle w:val="markedcontent"/>
          <w:rFonts w:ascii="Arial" w:eastAsia="Times New Roman" w:hAnsi="Arial" w:cs="Arial"/>
          <w:lang w:eastAsia="pl-PL"/>
        </w:rPr>
        <w:t>przyłączeniowego.</w:t>
      </w:r>
    </w:p>
    <w:p w14:paraId="471C7AAD" w14:textId="6A554C04" w:rsidR="00383222" w:rsidRDefault="00383222" w:rsidP="00383222">
      <w:pPr>
        <w:spacing w:after="0" w:line="300" w:lineRule="auto"/>
        <w:jc w:val="both"/>
        <w:rPr>
          <w:rStyle w:val="markedcontent"/>
          <w:rFonts w:ascii="Arial" w:eastAsia="Times New Roman" w:hAnsi="Arial" w:cs="Arial"/>
          <w:lang w:eastAsia="pl-PL"/>
        </w:rPr>
      </w:pPr>
      <w:r w:rsidRPr="00383222">
        <w:rPr>
          <w:rStyle w:val="markedcontent"/>
          <w:rFonts w:ascii="Arial" w:eastAsia="Times New Roman" w:hAnsi="Arial" w:cs="Arial"/>
          <w:lang w:eastAsia="pl-PL"/>
        </w:rPr>
        <w:t xml:space="preserve">Ustawa przyczyni się również do zwiększenia transparentności funkcjonowania rynku energii elektrycznej poprzez zapewnienie stosowania rozporządzenia Parlamentu Europejskiego i Rady (UE) 2024/1106 z dnia 11 kwietnia 2024 r. w sprawie zmiany rozporządzeń (UE) nr 1227/2011 i (UE) 2019/942 w odniesieniu do poprawy ochrony Unii przed manipulacjami na hurtowym rynku energii (Dz. Urz. UE L 2024/1106 z 17.04.2024). </w:t>
      </w:r>
    </w:p>
    <w:p w14:paraId="2E4A02D6" w14:textId="77777777" w:rsidR="00383222" w:rsidRDefault="00383222" w:rsidP="00383222">
      <w:pPr>
        <w:spacing w:after="0" w:line="300" w:lineRule="auto"/>
        <w:jc w:val="both"/>
        <w:rPr>
          <w:rStyle w:val="markedcontent"/>
          <w:rFonts w:ascii="Arial" w:eastAsia="Times New Roman" w:hAnsi="Arial" w:cs="Arial"/>
          <w:lang w:eastAsia="pl-PL"/>
        </w:rPr>
      </w:pPr>
    </w:p>
    <w:p w14:paraId="414D589C" w14:textId="5316D72F" w:rsidR="00383222" w:rsidRPr="00383222" w:rsidRDefault="00383222" w:rsidP="00383222">
      <w:pPr>
        <w:spacing w:after="0" w:line="300" w:lineRule="auto"/>
        <w:jc w:val="both"/>
        <w:rPr>
          <w:rStyle w:val="markedcontent"/>
          <w:rFonts w:ascii="Arial" w:eastAsia="Times New Roman" w:hAnsi="Arial" w:cs="Arial"/>
          <w:lang w:eastAsia="pl-PL"/>
        </w:rPr>
      </w:pPr>
      <w:r w:rsidRPr="00383222">
        <w:rPr>
          <w:rStyle w:val="markedcontent"/>
          <w:rFonts w:ascii="Arial" w:eastAsia="Times New Roman" w:hAnsi="Arial" w:cs="Arial"/>
          <w:lang w:eastAsia="pl-PL"/>
        </w:rPr>
        <w:t xml:space="preserve">Ustawa </w:t>
      </w:r>
      <w:r>
        <w:rPr>
          <w:rStyle w:val="markedcontent"/>
          <w:rFonts w:ascii="Arial" w:eastAsia="Times New Roman" w:hAnsi="Arial" w:cs="Arial"/>
          <w:lang w:eastAsia="pl-PL"/>
        </w:rPr>
        <w:t>wejdzie</w:t>
      </w:r>
      <w:r w:rsidRPr="00383222">
        <w:rPr>
          <w:rStyle w:val="markedcontent"/>
          <w:rFonts w:ascii="Arial" w:eastAsia="Times New Roman" w:hAnsi="Arial" w:cs="Arial"/>
          <w:lang w:eastAsia="pl-PL"/>
        </w:rPr>
        <w:t xml:space="preserve"> w życie co do zasady po upływie 14 dni od dnia ogłoszenia za wyjątkiem części przepisów, które w</w:t>
      </w:r>
      <w:r>
        <w:rPr>
          <w:rStyle w:val="markedcontent"/>
          <w:rFonts w:ascii="Arial" w:eastAsia="Times New Roman" w:hAnsi="Arial" w:cs="Arial"/>
          <w:lang w:eastAsia="pl-PL"/>
        </w:rPr>
        <w:t>eszły</w:t>
      </w:r>
      <w:r w:rsidRPr="00383222">
        <w:rPr>
          <w:rStyle w:val="markedcontent"/>
          <w:rFonts w:ascii="Arial" w:eastAsia="Times New Roman" w:hAnsi="Arial" w:cs="Arial"/>
          <w:lang w:eastAsia="pl-PL"/>
        </w:rPr>
        <w:t xml:space="preserve"> w życie z dniem następujących po dniu ogłoszenia oraz części przepisów, które wejdą w życie po upływie 6 miesięcy od dnia ogłoszenia (art. 38 ustawy).  </w:t>
      </w:r>
    </w:p>
    <w:p w14:paraId="611E8BAC" w14:textId="77777777" w:rsidR="00383222" w:rsidRPr="00383222" w:rsidRDefault="00383222" w:rsidP="00383222">
      <w:pPr>
        <w:spacing w:after="0" w:line="300" w:lineRule="auto"/>
        <w:jc w:val="both"/>
        <w:rPr>
          <w:rStyle w:val="markedcontent"/>
          <w:rFonts w:ascii="Arial" w:eastAsia="Times New Roman" w:hAnsi="Arial" w:cs="Arial"/>
          <w:lang w:eastAsia="pl-PL"/>
        </w:rPr>
      </w:pPr>
    </w:p>
    <w:p w14:paraId="117FF1DD" w14:textId="64F7D3D0" w:rsidR="00383222" w:rsidRPr="00CC0CE4" w:rsidRDefault="00CC0CE4" w:rsidP="00AB3E3C">
      <w:pPr>
        <w:pStyle w:val="Akapitzlist"/>
        <w:numPr>
          <w:ilvl w:val="0"/>
          <w:numId w:val="2"/>
        </w:numPr>
        <w:spacing w:after="0" w:line="300" w:lineRule="auto"/>
        <w:ind w:left="426" w:hanging="426"/>
        <w:jc w:val="both"/>
        <w:rPr>
          <w:rStyle w:val="markedcontent"/>
          <w:rFonts w:ascii="Arial" w:eastAsia="Times New Roman" w:hAnsi="Arial" w:cs="Arial"/>
          <w:b/>
          <w:bCs/>
          <w:u w:val="single"/>
          <w:lang w:eastAsia="pl-PL"/>
        </w:rPr>
      </w:pPr>
      <w:r w:rsidRPr="00CC0CE4">
        <w:rPr>
          <w:rStyle w:val="markedcontent"/>
          <w:rFonts w:ascii="Arial" w:eastAsia="Times New Roman" w:hAnsi="Arial" w:cs="Arial"/>
          <w:b/>
          <w:bCs/>
          <w:u w:val="single"/>
          <w:lang w:eastAsia="pl-PL"/>
        </w:rPr>
        <w:t>Rozporządzenie Ministra Rodziny, Pracy i Polityki Społecznej z dnia 9 kwietnia 2026 r. w sprawie określenia wzorów zgłoszeń do ubezpieczeń społecznych i ubezpieczenia zdrowotnego, imiennych raportów miesięcznych i imiennych raportów miesięcznych korygujących, zgłoszeń płatnika składek, deklaracji rozliczeniowych i deklaracji rozliczeniowych korygujących, zgłoszeń danych o pracy w szczególnych warunkach lub o szczególnym charakterze, raportów informacyjnych, oświadczeń o zamiarze przekazania raportów informacyjnych, informacji o zawartych umowach o dzieło oraz innych dokumentów</w:t>
      </w:r>
      <w:r w:rsidRPr="00CC0CE4">
        <w:rPr>
          <w:rStyle w:val="markedcontent"/>
          <w:rFonts w:ascii="Arial" w:eastAsia="Times New Roman" w:hAnsi="Arial" w:cs="Arial"/>
          <w:b/>
          <w:bCs/>
          <w:u w:val="single"/>
          <w:lang w:eastAsia="pl-PL"/>
        </w:rPr>
        <w:t>.</w:t>
      </w:r>
    </w:p>
    <w:p w14:paraId="444D288F" w14:textId="77777777" w:rsidR="00CC0CE4" w:rsidRDefault="00CC0CE4" w:rsidP="00CC0CE4">
      <w:pPr>
        <w:spacing w:after="0" w:line="300" w:lineRule="auto"/>
        <w:jc w:val="both"/>
        <w:rPr>
          <w:rStyle w:val="markedcontent"/>
          <w:rFonts w:ascii="Arial" w:eastAsia="Times New Roman" w:hAnsi="Arial" w:cs="Arial"/>
          <w:lang w:eastAsia="pl-PL"/>
        </w:rPr>
      </w:pPr>
    </w:p>
    <w:p w14:paraId="30361A6F" w14:textId="34FFB7B2" w:rsidR="00CC0CE4" w:rsidRPr="00CC0CE4" w:rsidRDefault="00CC0CE4" w:rsidP="00CC0CE4">
      <w:pPr>
        <w:spacing w:after="0" w:line="300" w:lineRule="auto"/>
        <w:jc w:val="both"/>
        <w:rPr>
          <w:rStyle w:val="markedcontent"/>
          <w:rFonts w:ascii="Arial" w:eastAsia="Times New Roman" w:hAnsi="Arial" w:cs="Arial"/>
          <w:lang w:eastAsia="pl-PL"/>
        </w:rPr>
      </w:pPr>
      <w:r w:rsidRPr="00CC0CE4">
        <w:rPr>
          <w:rStyle w:val="markedcontent"/>
          <w:rFonts w:ascii="Arial" w:eastAsia="Times New Roman" w:hAnsi="Arial" w:cs="Arial"/>
          <w:lang w:eastAsia="pl-PL"/>
        </w:rPr>
        <w:lastRenderedPageBreak/>
        <w:t>Powyższy akt prawny ogłoszony został 15 kwietnia 2026 roku w Dzienniku Ustaw (Dz.U. z 2026, poz. 51</w:t>
      </w:r>
      <w:r>
        <w:rPr>
          <w:rStyle w:val="markedcontent"/>
          <w:rFonts w:ascii="Arial" w:eastAsia="Times New Roman" w:hAnsi="Arial" w:cs="Arial"/>
          <w:lang w:eastAsia="pl-PL"/>
        </w:rPr>
        <w:t>8</w:t>
      </w:r>
      <w:r w:rsidRPr="00CC0CE4">
        <w:rPr>
          <w:rStyle w:val="markedcontent"/>
          <w:rFonts w:ascii="Arial" w:eastAsia="Times New Roman" w:hAnsi="Arial" w:cs="Arial"/>
          <w:lang w:eastAsia="pl-PL"/>
        </w:rPr>
        <w:t>).</w:t>
      </w:r>
    </w:p>
    <w:p w14:paraId="66009B41" w14:textId="77777777" w:rsidR="00CC0CE4" w:rsidRPr="00CC0CE4" w:rsidRDefault="00CC0CE4" w:rsidP="00CC0CE4">
      <w:pPr>
        <w:spacing w:after="0" w:line="300" w:lineRule="auto"/>
        <w:jc w:val="both"/>
        <w:rPr>
          <w:rStyle w:val="markedcontent"/>
          <w:rFonts w:ascii="Arial" w:eastAsia="Times New Roman" w:hAnsi="Arial" w:cs="Arial"/>
          <w:lang w:eastAsia="pl-PL"/>
        </w:rPr>
      </w:pPr>
    </w:p>
    <w:p w14:paraId="7F1DCE56" w14:textId="0D50A4D7" w:rsidR="00CC0CE4" w:rsidRDefault="00C35AC2" w:rsidP="00CC0CE4">
      <w:pPr>
        <w:spacing w:after="0" w:line="300" w:lineRule="auto"/>
        <w:jc w:val="both"/>
        <w:rPr>
          <w:rStyle w:val="markedcontent"/>
          <w:rFonts w:ascii="Arial" w:eastAsia="Times New Roman" w:hAnsi="Arial" w:cs="Arial"/>
          <w:lang w:eastAsia="pl-PL"/>
        </w:rPr>
      </w:pPr>
      <w:r w:rsidRPr="00C35AC2">
        <w:rPr>
          <w:rStyle w:val="markedcontent"/>
          <w:rFonts w:ascii="Arial" w:eastAsia="Times New Roman" w:hAnsi="Arial" w:cs="Arial"/>
          <w:lang w:eastAsia="pl-PL"/>
        </w:rPr>
        <w:t>Rozporządzenie wydane zostało na podstawie</w:t>
      </w:r>
      <w:r w:rsidRPr="00C35AC2">
        <w:t xml:space="preserve"> </w:t>
      </w:r>
      <w:r w:rsidRPr="00C35AC2">
        <w:rPr>
          <w:rStyle w:val="markedcontent"/>
          <w:rFonts w:ascii="Arial" w:eastAsia="Times New Roman" w:hAnsi="Arial" w:cs="Arial"/>
          <w:lang w:eastAsia="pl-PL"/>
        </w:rPr>
        <w:t>art. 49 ust. 2 i 4 ustawy z dnia 13 października 1998 r. o systemie ubezpieczeń społecznych (Dz. U. z 2026 r. poz. 199, 252, 426, 473 i 507)</w:t>
      </w:r>
      <w:r>
        <w:rPr>
          <w:rStyle w:val="markedcontent"/>
          <w:rFonts w:ascii="Arial" w:eastAsia="Times New Roman" w:hAnsi="Arial" w:cs="Arial"/>
          <w:lang w:eastAsia="pl-PL"/>
        </w:rPr>
        <w:t>.</w:t>
      </w:r>
    </w:p>
    <w:p w14:paraId="1535CEE3" w14:textId="77777777" w:rsidR="00C35AC2" w:rsidRDefault="00C35AC2" w:rsidP="00CC0CE4">
      <w:pPr>
        <w:spacing w:after="0" w:line="300" w:lineRule="auto"/>
        <w:jc w:val="both"/>
        <w:rPr>
          <w:rStyle w:val="markedcontent"/>
          <w:rFonts w:ascii="Arial" w:eastAsia="Times New Roman" w:hAnsi="Arial" w:cs="Arial"/>
          <w:lang w:eastAsia="pl-PL"/>
        </w:rPr>
      </w:pPr>
      <w:r>
        <w:rPr>
          <w:rStyle w:val="markedcontent"/>
          <w:rFonts w:ascii="Arial" w:eastAsia="Times New Roman" w:hAnsi="Arial" w:cs="Arial"/>
          <w:lang w:eastAsia="pl-PL"/>
        </w:rPr>
        <w:t>Rozporządzenie o</w:t>
      </w:r>
      <w:r w:rsidRPr="00C35AC2">
        <w:rPr>
          <w:rStyle w:val="markedcontent"/>
          <w:rFonts w:ascii="Arial" w:eastAsia="Times New Roman" w:hAnsi="Arial" w:cs="Arial"/>
          <w:lang w:eastAsia="pl-PL"/>
        </w:rPr>
        <w:t xml:space="preserve">kreśla wzory </w:t>
      </w:r>
      <w:r>
        <w:rPr>
          <w:rStyle w:val="markedcontent"/>
          <w:rFonts w:ascii="Arial" w:eastAsia="Times New Roman" w:hAnsi="Arial" w:cs="Arial"/>
          <w:lang w:eastAsia="pl-PL"/>
        </w:rPr>
        <w:t xml:space="preserve">następujących </w:t>
      </w:r>
      <w:r w:rsidRPr="00C35AC2">
        <w:rPr>
          <w:rStyle w:val="markedcontent"/>
          <w:rFonts w:ascii="Arial" w:eastAsia="Times New Roman" w:hAnsi="Arial" w:cs="Arial"/>
          <w:lang w:eastAsia="pl-PL"/>
        </w:rPr>
        <w:t xml:space="preserve">dokumentów: </w:t>
      </w:r>
    </w:p>
    <w:p w14:paraId="7F8DC6DA" w14:textId="439CA478" w:rsidR="00C35AC2" w:rsidRPr="00C35AC2" w:rsidRDefault="00C35AC2" w:rsidP="00C35AC2">
      <w:pPr>
        <w:pStyle w:val="Akapitzlist"/>
        <w:numPr>
          <w:ilvl w:val="3"/>
          <w:numId w:val="25"/>
        </w:numPr>
        <w:spacing w:after="0" w:line="300" w:lineRule="auto"/>
        <w:ind w:left="709" w:hanging="425"/>
        <w:jc w:val="both"/>
        <w:rPr>
          <w:rStyle w:val="markedcontent"/>
          <w:rFonts w:ascii="Arial" w:eastAsia="Times New Roman" w:hAnsi="Arial" w:cs="Arial"/>
          <w:lang w:eastAsia="pl-PL"/>
        </w:rPr>
      </w:pPr>
      <w:r w:rsidRPr="00C35AC2">
        <w:rPr>
          <w:rStyle w:val="markedcontent"/>
          <w:rFonts w:ascii="Arial" w:eastAsia="Times New Roman" w:hAnsi="Arial" w:cs="Arial"/>
          <w:lang w:eastAsia="pl-PL"/>
        </w:rPr>
        <w:t xml:space="preserve">zgłoszenie do ubezpieczeń/zgłoszenie zmiany danych osoby ubezpieczonej – o symbolu ZUS ZUA, stanowiące załącznik nr 1 do rozporządzenia; </w:t>
      </w:r>
    </w:p>
    <w:p w14:paraId="4F261DB2" w14:textId="147DB27C" w:rsidR="00C35AC2" w:rsidRPr="00C35AC2" w:rsidRDefault="00C35AC2" w:rsidP="00C35AC2">
      <w:pPr>
        <w:pStyle w:val="Akapitzlist"/>
        <w:numPr>
          <w:ilvl w:val="3"/>
          <w:numId w:val="25"/>
        </w:numPr>
        <w:spacing w:after="0" w:line="300" w:lineRule="auto"/>
        <w:ind w:left="709" w:hanging="425"/>
        <w:jc w:val="both"/>
        <w:rPr>
          <w:rStyle w:val="markedcontent"/>
          <w:rFonts w:ascii="Arial" w:eastAsia="Times New Roman" w:hAnsi="Arial" w:cs="Arial"/>
          <w:lang w:eastAsia="pl-PL"/>
        </w:rPr>
      </w:pPr>
      <w:r w:rsidRPr="00C35AC2">
        <w:rPr>
          <w:rStyle w:val="markedcontent"/>
          <w:rFonts w:ascii="Arial" w:eastAsia="Times New Roman" w:hAnsi="Arial" w:cs="Arial"/>
          <w:lang w:eastAsia="pl-PL"/>
        </w:rPr>
        <w:t>zgłoszenie danych o członkach rodziny, dla celów ubezpieczenia zdrowotnego – o symbolu ZUS ZCNA, stanowiące załącznik nr 2 do rozporządzenia;</w:t>
      </w:r>
    </w:p>
    <w:p w14:paraId="427910BE" w14:textId="6A010E25" w:rsidR="00C35AC2" w:rsidRPr="00C35AC2" w:rsidRDefault="00C35AC2" w:rsidP="00C35AC2">
      <w:pPr>
        <w:pStyle w:val="Akapitzlist"/>
        <w:numPr>
          <w:ilvl w:val="3"/>
          <w:numId w:val="25"/>
        </w:numPr>
        <w:spacing w:after="0" w:line="300" w:lineRule="auto"/>
        <w:ind w:left="709" w:hanging="425"/>
        <w:jc w:val="both"/>
        <w:rPr>
          <w:rStyle w:val="markedcontent"/>
          <w:rFonts w:ascii="Arial" w:eastAsia="Times New Roman" w:hAnsi="Arial" w:cs="Arial"/>
          <w:lang w:eastAsia="pl-PL"/>
        </w:rPr>
      </w:pPr>
      <w:r w:rsidRPr="00C35AC2">
        <w:rPr>
          <w:rStyle w:val="markedcontent"/>
          <w:rFonts w:ascii="Arial" w:eastAsia="Times New Roman" w:hAnsi="Arial" w:cs="Arial"/>
          <w:lang w:eastAsia="pl-PL"/>
        </w:rPr>
        <w:t>zgłoszenie do ubezpieczenia zdrowotnego/zgłoszenie zmiany danych – o symbolu ZUS ZZA, stanowiące załącznik nr 3 do rozporządzenia;</w:t>
      </w:r>
    </w:p>
    <w:p w14:paraId="1B689EE9" w14:textId="0E43575B" w:rsidR="00C35AC2" w:rsidRPr="00C35AC2" w:rsidRDefault="00C35AC2" w:rsidP="00C35AC2">
      <w:pPr>
        <w:pStyle w:val="Akapitzlist"/>
        <w:numPr>
          <w:ilvl w:val="3"/>
          <w:numId w:val="25"/>
        </w:numPr>
        <w:spacing w:after="0" w:line="300" w:lineRule="auto"/>
        <w:ind w:left="709" w:hanging="425"/>
        <w:jc w:val="both"/>
        <w:rPr>
          <w:rStyle w:val="markedcontent"/>
          <w:rFonts w:ascii="Arial" w:eastAsia="Times New Roman" w:hAnsi="Arial" w:cs="Arial"/>
          <w:lang w:eastAsia="pl-PL"/>
        </w:rPr>
      </w:pPr>
      <w:r w:rsidRPr="00C35AC2">
        <w:rPr>
          <w:rStyle w:val="markedcontent"/>
          <w:rFonts w:ascii="Arial" w:eastAsia="Times New Roman" w:hAnsi="Arial" w:cs="Arial"/>
          <w:lang w:eastAsia="pl-PL"/>
        </w:rPr>
        <w:t>zgłoszenie zmiany danych identyfikacyjnych osoby ubezpieczonej – o symbolu ZUS ZIUA, stanowiące załącznik nr 4 do rozporządzenia;</w:t>
      </w:r>
    </w:p>
    <w:p w14:paraId="32DAD112" w14:textId="0A6E90B9" w:rsidR="00C35AC2" w:rsidRPr="00C35AC2" w:rsidRDefault="00C35AC2" w:rsidP="00C35AC2">
      <w:pPr>
        <w:pStyle w:val="Akapitzlist"/>
        <w:numPr>
          <w:ilvl w:val="3"/>
          <w:numId w:val="25"/>
        </w:numPr>
        <w:spacing w:after="0" w:line="300" w:lineRule="auto"/>
        <w:ind w:left="709" w:hanging="425"/>
        <w:jc w:val="both"/>
        <w:rPr>
          <w:rStyle w:val="markedcontent"/>
          <w:rFonts w:ascii="Arial" w:eastAsia="Times New Roman" w:hAnsi="Arial" w:cs="Arial"/>
          <w:lang w:eastAsia="pl-PL"/>
        </w:rPr>
      </w:pPr>
      <w:r w:rsidRPr="00C35AC2">
        <w:rPr>
          <w:rStyle w:val="markedcontent"/>
          <w:rFonts w:ascii="Arial" w:eastAsia="Times New Roman" w:hAnsi="Arial" w:cs="Arial"/>
          <w:lang w:eastAsia="pl-PL"/>
        </w:rPr>
        <w:t>wyrejestrowanie z ubezpieczeń – o symbolu ZUS ZWUA, stanowiące załącznik nr 5 do rozporządzenia;</w:t>
      </w:r>
    </w:p>
    <w:p w14:paraId="24CA30C3" w14:textId="7CD46295" w:rsidR="00C35AC2" w:rsidRPr="00C35AC2" w:rsidRDefault="00C35AC2" w:rsidP="00C35AC2">
      <w:pPr>
        <w:pStyle w:val="Akapitzlist"/>
        <w:numPr>
          <w:ilvl w:val="3"/>
          <w:numId w:val="25"/>
        </w:numPr>
        <w:spacing w:after="0" w:line="300" w:lineRule="auto"/>
        <w:ind w:left="709" w:hanging="425"/>
        <w:jc w:val="both"/>
        <w:rPr>
          <w:rStyle w:val="markedcontent"/>
          <w:rFonts w:ascii="Arial" w:eastAsia="Times New Roman" w:hAnsi="Arial" w:cs="Arial"/>
          <w:lang w:eastAsia="pl-PL"/>
        </w:rPr>
      </w:pPr>
      <w:r w:rsidRPr="00C35AC2">
        <w:rPr>
          <w:rStyle w:val="markedcontent"/>
          <w:rFonts w:ascii="Arial" w:eastAsia="Times New Roman" w:hAnsi="Arial" w:cs="Arial"/>
          <w:lang w:eastAsia="pl-PL"/>
        </w:rPr>
        <w:t>zgłoszenie/zmiana danych płatnika składek – osoby prawnej lub jednostki organizacyjnej nieposiadającej osobowości prawnej – o symbolu ZUS ZPA, stanowiące załącznik nr 6 do rozporządzenia;</w:t>
      </w:r>
    </w:p>
    <w:p w14:paraId="2C1DCEFE" w14:textId="44AF7D1F" w:rsidR="00C35AC2" w:rsidRPr="00C35AC2" w:rsidRDefault="00C35AC2" w:rsidP="00C35AC2">
      <w:pPr>
        <w:pStyle w:val="Akapitzlist"/>
        <w:numPr>
          <w:ilvl w:val="3"/>
          <w:numId w:val="25"/>
        </w:numPr>
        <w:spacing w:after="0" w:line="300" w:lineRule="auto"/>
        <w:ind w:left="709" w:hanging="425"/>
        <w:jc w:val="both"/>
        <w:rPr>
          <w:rStyle w:val="markedcontent"/>
          <w:rFonts w:ascii="Arial" w:eastAsia="Times New Roman" w:hAnsi="Arial" w:cs="Arial"/>
          <w:lang w:eastAsia="pl-PL"/>
        </w:rPr>
      </w:pPr>
      <w:r w:rsidRPr="00C35AC2">
        <w:rPr>
          <w:rStyle w:val="markedcontent"/>
          <w:rFonts w:ascii="Arial" w:eastAsia="Times New Roman" w:hAnsi="Arial" w:cs="Arial"/>
          <w:lang w:eastAsia="pl-PL"/>
        </w:rPr>
        <w:t>zgłoszenie/zmiana danych płatnika składek – osoby fizycznej – o symbolu ZUS ZFA, stanowiące załącznik nr 7 do rozporządzenia;</w:t>
      </w:r>
    </w:p>
    <w:p w14:paraId="6B23D431" w14:textId="63FA126B" w:rsidR="00C35AC2" w:rsidRPr="00C35AC2" w:rsidRDefault="00C35AC2" w:rsidP="00C35AC2">
      <w:pPr>
        <w:pStyle w:val="Akapitzlist"/>
        <w:numPr>
          <w:ilvl w:val="3"/>
          <w:numId w:val="25"/>
        </w:numPr>
        <w:spacing w:after="0" w:line="300" w:lineRule="auto"/>
        <w:ind w:left="709" w:hanging="425"/>
        <w:jc w:val="both"/>
        <w:rPr>
          <w:rStyle w:val="markedcontent"/>
          <w:rFonts w:ascii="Arial" w:eastAsia="Times New Roman" w:hAnsi="Arial" w:cs="Arial"/>
          <w:lang w:eastAsia="pl-PL"/>
        </w:rPr>
      </w:pPr>
      <w:r w:rsidRPr="00C35AC2">
        <w:rPr>
          <w:rStyle w:val="markedcontent"/>
          <w:rFonts w:ascii="Arial" w:eastAsia="Times New Roman" w:hAnsi="Arial" w:cs="Arial"/>
          <w:lang w:eastAsia="pl-PL"/>
        </w:rPr>
        <w:t>zgłoszenie zmiany danych identyfikacyjnych płatnika składek – o symbolu ZUS ZIPA, stanowiące załącznik nr 8 do rozporządzenia;</w:t>
      </w:r>
    </w:p>
    <w:p w14:paraId="41094164" w14:textId="10F0846B" w:rsidR="00C35AC2" w:rsidRPr="00C35AC2" w:rsidRDefault="00C35AC2" w:rsidP="00C35AC2">
      <w:pPr>
        <w:pStyle w:val="Akapitzlist"/>
        <w:numPr>
          <w:ilvl w:val="3"/>
          <w:numId w:val="25"/>
        </w:numPr>
        <w:spacing w:after="0" w:line="300" w:lineRule="auto"/>
        <w:ind w:left="709" w:hanging="425"/>
        <w:jc w:val="both"/>
        <w:rPr>
          <w:rStyle w:val="markedcontent"/>
          <w:rFonts w:ascii="Arial" w:eastAsia="Times New Roman" w:hAnsi="Arial" w:cs="Arial"/>
          <w:lang w:eastAsia="pl-PL"/>
        </w:rPr>
      </w:pPr>
      <w:r w:rsidRPr="00C35AC2">
        <w:rPr>
          <w:rStyle w:val="markedcontent"/>
          <w:rFonts w:ascii="Arial" w:eastAsia="Times New Roman" w:hAnsi="Arial" w:cs="Arial"/>
          <w:lang w:eastAsia="pl-PL"/>
        </w:rPr>
        <w:t xml:space="preserve">wyrejestrowanie płatnika składek – o symbolu ZUS ZWPA, stanowiące załącznik nr 9 do rozporządzenia; </w:t>
      </w:r>
    </w:p>
    <w:p w14:paraId="78D65A11" w14:textId="73DFEE10" w:rsidR="00C35AC2" w:rsidRPr="00C35AC2" w:rsidRDefault="00C35AC2" w:rsidP="00C35AC2">
      <w:pPr>
        <w:pStyle w:val="Akapitzlist"/>
        <w:numPr>
          <w:ilvl w:val="3"/>
          <w:numId w:val="25"/>
        </w:numPr>
        <w:spacing w:after="0" w:line="300" w:lineRule="auto"/>
        <w:ind w:left="709" w:hanging="425"/>
        <w:jc w:val="both"/>
        <w:rPr>
          <w:rStyle w:val="markedcontent"/>
          <w:rFonts w:ascii="Arial" w:eastAsia="Times New Roman" w:hAnsi="Arial" w:cs="Arial"/>
          <w:lang w:eastAsia="pl-PL"/>
        </w:rPr>
      </w:pPr>
      <w:r w:rsidRPr="00C35AC2">
        <w:rPr>
          <w:rStyle w:val="markedcontent"/>
          <w:rFonts w:ascii="Arial" w:eastAsia="Times New Roman" w:hAnsi="Arial" w:cs="Arial"/>
          <w:lang w:eastAsia="pl-PL"/>
        </w:rPr>
        <w:t xml:space="preserve">informacja o numerach rachunków bankowych płatnika składek – o symbolu ZUS ZBA, stanowiąca załącznik nr 10 do rozporządzenia; </w:t>
      </w:r>
    </w:p>
    <w:p w14:paraId="01A0E770" w14:textId="42EBD010" w:rsidR="00C35AC2" w:rsidRPr="00C35AC2" w:rsidRDefault="00C35AC2" w:rsidP="00C35AC2">
      <w:pPr>
        <w:pStyle w:val="Akapitzlist"/>
        <w:numPr>
          <w:ilvl w:val="3"/>
          <w:numId w:val="25"/>
        </w:numPr>
        <w:spacing w:after="0" w:line="300" w:lineRule="auto"/>
        <w:ind w:left="709" w:hanging="425"/>
        <w:jc w:val="both"/>
        <w:rPr>
          <w:rStyle w:val="markedcontent"/>
          <w:rFonts w:ascii="Arial" w:eastAsia="Times New Roman" w:hAnsi="Arial" w:cs="Arial"/>
          <w:lang w:eastAsia="pl-PL"/>
        </w:rPr>
      </w:pPr>
      <w:r w:rsidRPr="00C35AC2">
        <w:rPr>
          <w:rStyle w:val="markedcontent"/>
          <w:rFonts w:ascii="Arial" w:eastAsia="Times New Roman" w:hAnsi="Arial" w:cs="Arial"/>
          <w:lang w:eastAsia="pl-PL"/>
        </w:rPr>
        <w:t>adresy prowadzenia działalności gospodarczej przez płatnika składek – o symbolu ZUS ZAA, stanowiące załącznik nr 11 do rozporządzenia;</w:t>
      </w:r>
    </w:p>
    <w:p w14:paraId="7A5A618B" w14:textId="26706432" w:rsidR="00C35AC2" w:rsidRPr="00C35AC2" w:rsidRDefault="00C35AC2" w:rsidP="00C35AC2">
      <w:pPr>
        <w:pStyle w:val="Akapitzlist"/>
        <w:numPr>
          <w:ilvl w:val="3"/>
          <w:numId w:val="25"/>
        </w:numPr>
        <w:spacing w:after="0" w:line="300" w:lineRule="auto"/>
        <w:ind w:left="709" w:hanging="425"/>
        <w:jc w:val="both"/>
        <w:rPr>
          <w:rStyle w:val="markedcontent"/>
          <w:rFonts w:ascii="Arial" w:eastAsia="Times New Roman" w:hAnsi="Arial" w:cs="Arial"/>
          <w:lang w:eastAsia="pl-PL"/>
        </w:rPr>
      </w:pPr>
      <w:r w:rsidRPr="00C35AC2">
        <w:rPr>
          <w:rStyle w:val="markedcontent"/>
          <w:rFonts w:ascii="Arial" w:eastAsia="Times New Roman" w:hAnsi="Arial" w:cs="Arial"/>
          <w:lang w:eastAsia="pl-PL"/>
        </w:rPr>
        <w:t xml:space="preserve">imienny raport miesięczny o należnych składkach i wypłaconych świadczeniach – o symbolu ZUS RCA, stanowiący załącznik nr 12 do rozporządzenia; </w:t>
      </w:r>
    </w:p>
    <w:p w14:paraId="26ECC139" w14:textId="7935A559" w:rsidR="00C35AC2" w:rsidRPr="00C35AC2" w:rsidRDefault="00C35AC2" w:rsidP="00C35AC2">
      <w:pPr>
        <w:pStyle w:val="Akapitzlist"/>
        <w:numPr>
          <w:ilvl w:val="3"/>
          <w:numId w:val="25"/>
        </w:numPr>
        <w:spacing w:after="0" w:line="300" w:lineRule="auto"/>
        <w:ind w:left="709" w:hanging="425"/>
        <w:jc w:val="both"/>
        <w:rPr>
          <w:rStyle w:val="markedcontent"/>
          <w:rFonts w:ascii="Arial" w:eastAsia="Times New Roman" w:hAnsi="Arial" w:cs="Arial"/>
          <w:lang w:eastAsia="pl-PL"/>
        </w:rPr>
      </w:pPr>
      <w:r w:rsidRPr="00C35AC2">
        <w:rPr>
          <w:rStyle w:val="markedcontent"/>
          <w:rFonts w:ascii="Arial" w:eastAsia="Times New Roman" w:hAnsi="Arial" w:cs="Arial"/>
          <w:lang w:eastAsia="pl-PL"/>
        </w:rPr>
        <w:t xml:space="preserve">imienny raport cz. II dla osoby fizycznej wykonującej działalność gospodarczą na mniejszą skalę, która korzysta z obniżenia składek na ubezpieczenia społeczne – o symbolu ZUS RCA cz. II, stanowiący załącznik nr 13 do rozporządzenia; </w:t>
      </w:r>
    </w:p>
    <w:p w14:paraId="74CCCFCF" w14:textId="268F7D5B" w:rsidR="00C35AC2" w:rsidRPr="00C35AC2" w:rsidRDefault="00C35AC2" w:rsidP="00C35AC2">
      <w:pPr>
        <w:pStyle w:val="Akapitzlist"/>
        <w:numPr>
          <w:ilvl w:val="3"/>
          <w:numId w:val="25"/>
        </w:numPr>
        <w:spacing w:after="0" w:line="300" w:lineRule="auto"/>
        <w:ind w:left="709" w:hanging="425"/>
        <w:jc w:val="both"/>
        <w:rPr>
          <w:rStyle w:val="markedcontent"/>
          <w:rFonts w:ascii="Arial" w:eastAsia="Times New Roman" w:hAnsi="Arial" w:cs="Arial"/>
          <w:lang w:eastAsia="pl-PL"/>
        </w:rPr>
      </w:pPr>
      <w:r w:rsidRPr="00C35AC2">
        <w:rPr>
          <w:rStyle w:val="markedcontent"/>
          <w:rFonts w:ascii="Arial" w:eastAsia="Times New Roman" w:hAnsi="Arial" w:cs="Arial"/>
          <w:lang w:eastAsia="pl-PL"/>
        </w:rPr>
        <w:t xml:space="preserve">imienny raport miesięczny o wypłaconych świadczeniach i przerwach w opłacaniu składek – o symbolu ZUS RSA, stanowiący załącznik nr 14 do rozporządzenia; </w:t>
      </w:r>
    </w:p>
    <w:p w14:paraId="5C3D6764" w14:textId="3E3DD317" w:rsidR="00C35AC2" w:rsidRPr="00C35AC2" w:rsidRDefault="00C35AC2" w:rsidP="00C35AC2">
      <w:pPr>
        <w:pStyle w:val="Akapitzlist"/>
        <w:numPr>
          <w:ilvl w:val="3"/>
          <w:numId w:val="25"/>
        </w:numPr>
        <w:spacing w:after="0" w:line="300" w:lineRule="auto"/>
        <w:ind w:left="709" w:hanging="425"/>
        <w:jc w:val="both"/>
        <w:rPr>
          <w:rStyle w:val="markedcontent"/>
          <w:rFonts w:ascii="Arial" w:eastAsia="Times New Roman" w:hAnsi="Arial" w:cs="Arial"/>
          <w:lang w:eastAsia="pl-PL"/>
        </w:rPr>
      </w:pPr>
      <w:r w:rsidRPr="00C35AC2">
        <w:rPr>
          <w:rStyle w:val="markedcontent"/>
          <w:rFonts w:ascii="Arial" w:eastAsia="Times New Roman" w:hAnsi="Arial" w:cs="Arial"/>
          <w:lang w:eastAsia="pl-PL"/>
        </w:rPr>
        <w:t xml:space="preserve">imienny raport miesięczny o przychodach ubezpieczonego/okresach pracy nauczycielskiej – o symbolu ZUS RPA, stanowiący załącznik nr 15 do rozporządzenia; </w:t>
      </w:r>
    </w:p>
    <w:p w14:paraId="3023A112" w14:textId="42AE83DD" w:rsidR="00C35AC2" w:rsidRPr="00C35AC2" w:rsidRDefault="00C35AC2" w:rsidP="00C35AC2">
      <w:pPr>
        <w:pStyle w:val="Akapitzlist"/>
        <w:numPr>
          <w:ilvl w:val="3"/>
          <w:numId w:val="25"/>
        </w:numPr>
        <w:spacing w:after="0" w:line="300" w:lineRule="auto"/>
        <w:ind w:left="709" w:hanging="425"/>
        <w:jc w:val="both"/>
        <w:rPr>
          <w:rStyle w:val="markedcontent"/>
          <w:rFonts w:ascii="Arial" w:eastAsia="Times New Roman" w:hAnsi="Arial" w:cs="Arial"/>
          <w:lang w:eastAsia="pl-PL"/>
        </w:rPr>
      </w:pPr>
      <w:r w:rsidRPr="00C35AC2">
        <w:rPr>
          <w:rStyle w:val="markedcontent"/>
          <w:rFonts w:ascii="Arial" w:eastAsia="Times New Roman" w:hAnsi="Arial" w:cs="Arial"/>
          <w:lang w:eastAsia="pl-PL"/>
        </w:rPr>
        <w:t xml:space="preserve">deklaracja rozliczeniowa – o symbolu ZUS DRA, stanowiąca załącznik nr 16 do rozporządzenia; </w:t>
      </w:r>
    </w:p>
    <w:p w14:paraId="75433838" w14:textId="5F7B0F8C" w:rsidR="00C35AC2" w:rsidRPr="00C35AC2" w:rsidRDefault="00C35AC2" w:rsidP="00C35AC2">
      <w:pPr>
        <w:pStyle w:val="Akapitzlist"/>
        <w:numPr>
          <w:ilvl w:val="3"/>
          <w:numId w:val="25"/>
        </w:numPr>
        <w:spacing w:after="0" w:line="300" w:lineRule="auto"/>
        <w:ind w:left="709" w:hanging="425"/>
        <w:jc w:val="both"/>
        <w:rPr>
          <w:rStyle w:val="markedcontent"/>
          <w:rFonts w:ascii="Arial" w:eastAsia="Times New Roman" w:hAnsi="Arial" w:cs="Arial"/>
          <w:lang w:eastAsia="pl-PL"/>
        </w:rPr>
      </w:pPr>
      <w:r w:rsidRPr="00C35AC2">
        <w:rPr>
          <w:rStyle w:val="markedcontent"/>
          <w:rFonts w:ascii="Arial" w:eastAsia="Times New Roman" w:hAnsi="Arial" w:cs="Arial"/>
          <w:lang w:eastAsia="pl-PL"/>
        </w:rPr>
        <w:t xml:space="preserve">deklaracja rozliczeniowa cz. II dla osoby fizycznej wykonującej działalność gospodarczą na mniejszą skalę, która korzysta z obniżenia składek na ubezpieczenia społeczne i opłaca składki wyłącznie za siebie – o symbolu ZUS DRA cz. II, stanowiąca załącznik nr 17 do rozporządzenia; </w:t>
      </w:r>
    </w:p>
    <w:p w14:paraId="19EC4C74" w14:textId="6941F8D8" w:rsidR="00C35AC2" w:rsidRPr="00C35AC2" w:rsidRDefault="00C35AC2" w:rsidP="00C35AC2">
      <w:pPr>
        <w:pStyle w:val="Akapitzlist"/>
        <w:numPr>
          <w:ilvl w:val="3"/>
          <w:numId w:val="25"/>
        </w:numPr>
        <w:spacing w:after="0" w:line="300" w:lineRule="auto"/>
        <w:ind w:left="709" w:hanging="425"/>
        <w:jc w:val="both"/>
        <w:rPr>
          <w:rStyle w:val="markedcontent"/>
          <w:rFonts w:ascii="Arial" w:eastAsia="Times New Roman" w:hAnsi="Arial" w:cs="Arial"/>
          <w:lang w:eastAsia="pl-PL"/>
        </w:rPr>
      </w:pPr>
      <w:r w:rsidRPr="00C35AC2">
        <w:rPr>
          <w:rStyle w:val="markedcontent"/>
          <w:rFonts w:ascii="Arial" w:eastAsia="Times New Roman" w:hAnsi="Arial" w:cs="Arial"/>
          <w:lang w:eastAsia="pl-PL"/>
        </w:rPr>
        <w:lastRenderedPageBreak/>
        <w:t xml:space="preserve">informacja miesięczna dla osoby ubezpieczonej – stanowiąca załącznik nr 18 do rozporządzenia; </w:t>
      </w:r>
    </w:p>
    <w:p w14:paraId="6F3E2748" w14:textId="3E2FBE38" w:rsidR="00C35AC2" w:rsidRPr="00C35AC2" w:rsidRDefault="00C35AC2" w:rsidP="00C35AC2">
      <w:pPr>
        <w:pStyle w:val="Akapitzlist"/>
        <w:numPr>
          <w:ilvl w:val="3"/>
          <w:numId w:val="25"/>
        </w:numPr>
        <w:spacing w:after="0" w:line="300" w:lineRule="auto"/>
        <w:ind w:left="709" w:hanging="425"/>
        <w:jc w:val="both"/>
        <w:rPr>
          <w:rStyle w:val="markedcontent"/>
          <w:rFonts w:ascii="Arial" w:eastAsia="Times New Roman" w:hAnsi="Arial" w:cs="Arial"/>
          <w:lang w:eastAsia="pl-PL"/>
        </w:rPr>
      </w:pPr>
      <w:r w:rsidRPr="00C35AC2">
        <w:rPr>
          <w:rStyle w:val="markedcontent"/>
          <w:rFonts w:ascii="Arial" w:eastAsia="Times New Roman" w:hAnsi="Arial" w:cs="Arial"/>
          <w:lang w:eastAsia="pl-PL"/>
        </w:rPr>
        <w:t xml:space="preserve">informacja roczna dla osoby ubezpieczonej – stanowiąca załącznik nr 19 do rozporządzenia; </w:t>
      </w:r>
    </w:p>
    <w:p w14:paraId="4E66BB56" w14:textId="62F77639" w:rsidR="00C35AC2" w:rsidRPr="00C35AC2" w:rsidRDefault="00C35AC2" w:rsidP="00C35AC2">
      <w:pPr>
        <w:pStyle w:val="Akapitzlist"/>
        <w:numPr>
          <w:ilvl w:val="3"/>
          <w:numId w:val="25"/>
        </w:numPr>
        <w:spacing w:after="0" w:line="300" w:lineRule="auto"/>
        <w:ind w:left="709" w:hanging="425"/>
        <w:jc w:val="both"/>
        <w:rPr>
          <w:rStyle w:val="markedcontent"/>
          <w:rFonts w:ascii="Arial" w:eastAsia="Times New Roman" w:hAnsi="Arial" w:cs="Arial"/>
          <w:lang w:eastAsia="pl-PL"/>
        </w:rPr>
      </w:pPr>
      <w:r w:rsidRPr="00C35AC2">
        <w:rPr>
          <w:rStyle w:val="markedcontent"/>
          <w:rFonts w:ascii="Arial" w:eastAsia="Times New Roman" w:hAnsi="Arial" w:cs="Arial"/>
          <w:lang w:eastAsia="pl-PL"/>
        </w:rPr>
        <w:t xml:space="preserve">zgłoszenie/korekta danych o pracy w szczególnych warunkach lub o szczególnym charakterze – o symbolu ZUS ZSWA, stanowiące załącznik nr 20 do rozporządzenia; </w:t>
      </w:r>
    </w:p>
    <w:p w14:paraId="42D826CC" w14:textId="2354CBAD" w:rsidR="00C35AC2" w:rsidRPr="00C35AC2" w:rsidRDefault="00C35AC2" w:rsidP="00C35AC2">
      <w:pPr>
        <w:pStyle w:val="Akapitzlist"/>
        <w:numPr>
          <w:ilvl w:val="3"/>
          <w:numId w:val="25"/>
        </w:numPr>
        <w:spacing w:after="0" w:line="300" w:lineRule="auto"/>
        <w:ind w:left="709" w:hanging="425"/>
        <w:jc w:val="both"/>
        <w:rPr>
          <w:rStyle w:val="markedcontent"/>
          <w:rFonts w:ascii="Arial" w:eastAsia="Times New Roman" w:hAnsi="Arial" w:cs="Arial"/>
          <w:lang w:eastAsia="pl-PL"/>
        </w:rPr>
      </w:pPr>
      <w:r w:rsidRPr="00C35AC2">
        <w:rPr>
          <w:rStyle w:val="markedcontent"/>
          <w:rFonts w:ascii="Arial" w:eastAsia="Times New Roman" w:hAnsi="Arial" w:cs="Arial"/>
          <w:lang w:eastAsia="pl-PL"/>
        </w:rPr>
        <w:t>raport informacyjny – o symbolu ZUS RIA, stanowiący załącznik nr 21 do rozporządzenia;</w:t>
      </w:r>
    </w:p>
    <w:p w14:paraId="53DC8520" w14:textId="2E46E3A2" w:rsidR="00C35AC2" w:rsidRPr="00C35AC2" w:rsidRDefault="00C35AC2" w:rsidP="00C35AC2">
      <w:pPr>
        <w:pStyle w:val="Akapitzlist"/>
        <w:numPr>
          <w:ilvl w:val="3"/>
          <w:numId w:val="25"/>
        </w:numPr>
        <w:spacing w:after="0" w:line="300" w:lineRule="auto"/>
        <w:ind w:left="709" w:hanging="425"/>
        <w:jc w:val="both"/>
        <w:rPr>
          <w:rStyle w:val="markedcontent"/>
          <w:rFonts w:ascii="Arial" w:eastAsia="Times New Roman" w:hAnsi="Arial" w:cs="Arial"/>
          <w:lang w:eastAsia="pl-PL"/>
        </w:rPr>
      </w:pPr>
      <w:r w:rsidRPr="00C35AC2">
        <w:rPr>
          <w:rStyle w:val="markedcontent"/>
          <w:rFonts w:ascii="Arial" w:eastAsia="Times New Roman" w:hAnsi="Arial" w:cs="Arial"/>
          <w:lang w:eastAsia="pl-PL"/>
        </w:rPr>
        <w:t xml:space="preserve">oświadczenie o zamiarze przekazania raportów informacyjnych – o symbolu ZUS OSW, stanowiące załącznik nr 22 do rozporządzenia; </w:t>
      </w:r>
    </w:p>
    <w:p w14:paraId="7DCC271D" w14:textId="72A2EA03" w:rsidR="00C35AC2" w:rsidRPr="00C35AC2" w:rsidRDefault="00C35AC2" w:rsidP="00C35AC2">
      <w:pPr>
        <w:pStyle w:val="Akapitzlist"/>
        <w:numPr>
          <w:ilvl w:val="3"/>
          <w:numId w:val="25"/>
        </w:numPr>
        <w:spacing w:after="0" w:line="300" w:lineRule="auto"/>
        <w:ind w:left="709" w:hanging="425"/>
        <w:jc w:val="both"/>
        <w:rPr>
          <w:rStyle w:val="markedcontent"/>
          <w:rFonts w:ascii="Arial" w:eastAsia="Times New Roman" w:hAnsi="Arial" w:cs="Arial"/>
          <w:lang w:eastAsia="pl-PL"/>
        </w:rPr>
      </w:pPr>
      <w:r w:rsidRPr="00C35AC2">
        <w:rPr>
          <w:rStyle w:val="markedcontent"/>
          <w:rFonts w:ascii="Arial" w:eastAsia="Times New Roman" w:hAnsi="Arial" w:cs="Arial"/>
          <w:lang w:eastAsia="pl-PL"/>
        </w:rPr>
        <w:t>zgłoszenie umowy o dzieło – o symbolu RUD, stanowiące załącznik nr 23 do rozporządzenia.</w:t>
      </w:r>
    </w:p>
    <w:p w14:paraId="41A3F5D3" w14:textId="77777777" w:rsidR="00C35AC2" w:rsidRPr="00CC0CE4" w:rsidRDefault="00C35AC2" w:rsidP="00C35AC2">
      <w:pPr>
        <w:spacing w:after="0" w:line="300" w:lineRule="auto"/>
        <w:jc w:val="both"/>
        <w:rPr>
          <w:rStyle w:val="markedcontent"/>
          <w:rFonts w:ascii="Arial" w:eastAsia="Times New Roman" w:hAnsi="Arial" w:cs="Arial"/>
          <w:lang w:eastAsia="pl-PL"/>
        </w:rPr>
      </w:pPr>
    </w:p>
    <w:p w14:paraId="4E0D0CA4" w14:textId="6773C895" w:rsidR="00CC0CE4" w:rsidRDefault="00C35AC2" w:rsidP="00CC0CE4">
      <w:pPr>
        <w:spacing w:after="0" w:line="300" w:lineRule="auto"/>
        <w:jc w:val="both"/>
        <w:rPr>
          <w:rStyle w:val="markedcontent"/>
          <w:rFonts w:ascii="Arial" w:eastAsia="Times New Roman" w:hAnsi="Arial" w:cs="Arial"/>
          <w:lang w:eastAsia="pl-PL"/>
        </w:rPr>
      </w:pPr>
      <w:r w:rsidRPr="00C35AC2">
        <w:rPr>
          <w:rStyle w:val="markedcontent"/>
          <w:rFonts w:ascii="Arial" w:eastAsia="Times New Roman" w:hAnsi="Arial" w:cs="Arial"/>
          <w:lang w:eastAsia="pl-PL"/>
        </w:rPr>
        <w:t>Rozporządzenie wchodzi w życie po upływie 14 dni od dnia ogłoszenia, z wyjątkiem § 1 ust. 1 pkt 12 i 16 oraz ust. 3 i § 3 ust. 2, które wchodzą w życie z dniem 1 maja 2026 r</w:t>
      </w:r>
      <w:r>
        <w:rPr>
          <w:rStyle w:val="markedcontent"/>
          <w:rFonts w:ascii="Arial" w:eastAsia="Times New Roman" w:hAnsi="Arial" w:cs="Arial"/>
          <w:lang w:eastAsia="pl-PL"/>
        </w:rPr>
        <w:t>oku</w:t>
      </w:r>
      <w:r w:rsidR="00134EDD">
        <w:rPr>
          <w:rStyle w:val="markedcontent"/>
          <w:rFonts w:ascii="Arial" w:eastAsia="Times New Roman" w:hAnsi="Arial" w:cs="Arial"/>
          <w:lang w:eastAsia="pl-PL"/>
        </w:rPr>
        <w:t>.</w:t>
      </w:r>
    </w:p>
    <w:p w14:paraId="3B2FC980" w14:textId="77777777" w:rsidR="00AB3E3C" w:rsidRDefault="00AB3E3C" w:rsidP="00AB3E3C">
      <w:pPr>
        <w:pStyle w:val="Akapitzlist"/>
        <w:spacing w:after="0" w:line="300" w:lineRule="auto"/>
        <w:ind w:left="426"/>
        <w:jc w:val="both"/>
        <w:rPr>
          <w:rFonts w:ascii="Arial" w:eastAsia="Times New Roman" w:hAnsi="Arial" w:cs="Arial"/>
          <w:lang w:eastAsia="pl-PL"/>
        </w:rPr>
      </w:pPr>
    </w:p>
    <w:p w14:paraId="335214D5" w14:textId="77777777" w:rsidR="00AB3E3C" w:rsidRDefault="00AB3E3C" w:rsidP="00AB3E3C">
      <w:pPr>
        <w:spacing w:after="0" w:line="300" w:lineRule="auto"/>
        <w:jc w:val="both"/>
        <w:rPr>
          <w:rFonts w:ascii="Arial" w:hAnsi="Arial" w:cs="Arial"/>
        </w:rPr>
      </w:pPr>
    </w:p>
    <w:p w14:paraId="2F21FB00" w14:textId="77777777" w:rsidR="00580328" w:rsidRDefault="00580328" w:rsidP="00AB3E3C">
      <w:pPr>
        <w:spacing w:after="0" w:line="300" w:lineRule="auto"/>
      </w:pPr>
    </w:p>
    <w:sectPr w:rsidR="0058032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118ED"/>
    <w:multiLevelType w:val="hybridMultilevel"/>
    <w:tmpl w:val="EB1E921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F666A31"/>
    <w:multiLevelType w:val="hybridMultilevel"/>
    <w:tmpl w:val="3C029F3C"/>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6642677"/>
    <w:multiLevelType w:val="hybridMultilevel"/>
    <w:tmpl w:val="3DA0943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6C005F1"/>
    <w:multiLevelType w:val="hybridMultilevel"/>
    <w:tmpl w:val="6F92AF4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7E64FCE"/>
    <w:multiLevelType w:val="hybridMultilevel"/>
    <w:tmpl w:val="ABB0EF4E"/>
    <w:lvl w:ilvl="0" w:tplc="7CDEB808">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F0176AE"/>
    <w:multiLevelType w:val="hybridMultilevel"/>
    <w:tmpl w:val="7A14D31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0AB5B63"/>
    <w:multiLevelType w:val="hybridMultilevel"/>
    <w:tmpl w:val="821CDA00"/>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638428D"/>
    <w:multiLevelType w:val="hybridMultilevel"/>
    <w:tmpl w:val="8F1A51F6"/>
    <w:lvl w:ilvl="0" w:tplc="FFFFFFFF">
      <w:start w:val="1"/>
      <w:numFmt w:val="lowerLetter"/>
      <w:lvlText w:val="%1)"/>
      <w:lvlJc w:val="left"/>
      <w:pPr>
        <w:ind w:left="720" w:hanging="360"/>
      </w:pPr>
    </w:lvl>
    <w:lvl w:ilvl="1" w:tplc="04150017">
      <w:start w:val="1"/>
      <w:numFmt w:val="lowerLetter"/>
      <w:lvlText w:val="%2)"/>
      <w:lvlJc w:val="left"/>
      <w:pPr>
        <w:ind w:left="1440" w:hanging="360"/>
      </w:pPr>
    </w:lvl>
    <w:lvl w:ilvl="2" w:tplc="BE8A2BAA">
      <w:start w:val="1"/>
      <w:numFmt w:val="decimal"/>
      <w:lvlText w:val="%3)"/>
      <w:lvlJc w:val="left"/>
      <w:pPr>
        <w:ind w:left="2364" w:hanging="384"/>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6DE7020"/>
    <w:multiLevelType w:val="hybridMultilevel"/>
    <w:tmpl w:val="AC665F8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50E4088E"/>
    <w:multiLevelType w:val="hybridMultilevel"/>
    <w:tmpl w:val="CAF21E52"/>
    <w:lvl w:ilvl="0" w:tplc="43D8372A">
      <w:start w:val="1"/>
      <w:numFmt w:val="decimal"/>
      <w:lvlText w:val="%1."/>
      <w:lvlJc w:val="left"/>
      <w:pPr>
        <w:ind w:left="720" w:hanging="360"/>
      </w:pPr>
      <w:rPr>
        <w:rFonts w:hint="default"/>
        <w:u w:val="singl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564431B6"/>
    <w:multiLevelType w:val="hybridMultilevel"/>
    <w:tmpl w:val="B158FF5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57B34216"/>
    <w:multiLevelType w:val="hybridMultilevel"/>
    <w:tmpl w:val="1A6886C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5C980FD5"/>
    <w:multiLevelType w:val="hybridMultilevel"/>
    <w:tmpl w:val="52A4B32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5CDF0E0A"/>
    <w:multiLevelType w:val="hybridMultilevel"/>
    <w:tmpl w:val="AAD08DB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5D640204"/>
    <w:multiLevelType w:val="hybridMultilevel"/>
    <w:tmpl w:val="1428C1A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61913F4F"/>
    <w:multiLevelType w:val="hybridMultilevel"/>
    <w:tmpl w:val="753E48F2"/>
    <w:lvl w:ilvl="0" w:tplc="FFFFFFFF">
      <w:start w:val="1"/>
      <w:numFmt w:val="lowerLetter"/>
      <w:lvlText w:val="%1)"/>
      <w:lvlJc w:val="left"/>
      <w:pPr>
        <w:ind w:left="720" w:hanging="360"/>
      </w:pPr>
    </w:lvl>
    <w:lvl w:ilvl="1" w:tplc="0415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1ED00C6"/>
    <w:multiLevelType w:val="hybridMultilevel"/>
    <w:tmpl w:val="82C2C7D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 w15:restartNumberingAfterBreak="0">
    <w:nsid w:val="6A6033DD"/>
    <w:multiLevelType w:val="hybridMultilevel"/>
    <w:tmpl w:val="AECC70A0"/>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8" w15:restartNumberingAfterBreak="0">
    <w:nsid w:val="6F881534"/>
    <w:multiLevelType w:val="hybridMultilevel"/>
    <w:tmpl w:val="4F42197E"/>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9" w15:restartNumberingAfterBreak="0">
    <w:nsid w:val="727A043B"/>
    <w:multiLevelType w:val="hybridMultilevel"/>
    <w:tmpl w:val="ECAADBCC"/>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20" w15:restartNumberingAfterBreak="0">
    <w:nsid w:val="77677FAF"/>
    <w:multiLevelType w:val="hybridMultilevel"/>
    <w:tmpl w:val="483C9AA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7A1C6042"/>
    <w:multiLevelType w:val="hybridMultilevel"/>
    <w:tmpl w:val="38AA614A"/>
    <w:lvl w:ilvl="0" w:tplc="04150011">
      <w:start w:val="1"/>
      <w:numFmt w:val="decimal"/>
      <w:lvlText w:val="%1)"/>
      <w:lvlJc w:val="left"/>
      <w:pPr>
        <w:ind w:left="720" w:hanging="360"/>
      </w:pPr>
    </w:lvl>
    <w:lvl w:ilvl="1" w:tplc="F1A0185C">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7A6243EC"/>
    <w:multiLevelType w:val="hybridMultilevel"/>
    <w:tmpl w:val="0B1E01B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7AD934D2"/>
    <w:multiLevelType w:val="hybridMultilevel"/>
    <w:tmpl w:val="31A4E93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7C9A797C"/>
    <w:multiLevelType w:val="hybridMultilevel"/>
    <w:tmpl w:val="C3E01B6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529027726">
    <w:abstractNumId w:val="4"/>
  </w:num>
  <w:num w:numId="2" w16cid:durableId="31183196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60761560">
    <w:abstractNumId w:val="3"/>
  </w:num>
  <w:num w:numId="4" w16cid:durableId="5788216">
    <w:abstractNumId w:val="12"/>
  </w:num>
  <w:num w:numId="5" w16cid:durableId="1820147117">
    <w:abstractNumId w:val="9"/>
  </w:num>
  <w:num w:numId="6" w16cid:durableId="1248227642">
    <w:abstractNumId w:val="24"/>
  </w:num>
  <w:num w:numId="7" w16cid:durableId="1126311207">
    <w:abstractNumId w:val="0"/>
  </w:num>
  <w:num w:numId="8" w16cid:durableId="1157302167">
    <w:abstractNumId w:val="13"/>
  </w:num>
  <w:num w:numId="9" w16cid:durableId="334917568">
    <w:abstractNumId w:val="11"/>
  </w:num>
  <w:num w:numId="10" w16cid:durableId="1125851801">
    <w:abstractNumId w:val="21"/>
  </w:num>
  <w:num w:numId="11" w16cid:durableId="61216579">
    <w:abstractNumId w:val="2"/>
  </w:num>
  <w:num w:numId="12" w16cid:durableId="1810202375">
    <w:abstractNumId w:val="1"/>
  </w:num>
  <w:num w:numId="13" w16cid:durableId="1561015122">
    <w:abstractNumId w:val="7"/>
  </w:num>
  <w:num w:numId="14" w16cid:durableId="1343897049">
    <w:abstractNumId w:val="18"/>
  </w:num>
  <w:num w:numId="15" w16cid:durableId="1608662641">
    <w:abstractNumId w:val="6"/>
  </w:num>
  <w:num w:numId="16" w16cid:durableId="2110277821">
    <w:abstractNumId w:val="15"/>
  </w:num>
  <w:num w:numId="17" w16cid:durableId="1039276880">
    <w:abstractNumId w:val="23"/>
  </w:num>
  <w:num w:numId="18" w16cid:durableId="1535921793">
    <w:abstractNumId w:val="22"/>
  </w:num>
  <w:num w:numId="19" w16cid:durableId="783383328">
    <w:abstractNumId w:val="10"/>
  </w:num>
  <w:num w:numId="20" w16cid:durableId="19933786">
    <w:abstractNumId w:val="19"/>
  </w:num>
  <w:num w:numId="21" w16cid:durableId="1956865506">
    <w:abstractNumId w:val="14"/>
  </w:num>
  <w:num w:numId="22" w16cid:durableId="813302988">
    <w:abstractNumId w:val="8"/>
  </w:num>
  <w:num w:numId="23" w16cid:durableId="1426654590">
    <w:abstractNumId w:val="17"/>
  </w:num>
  <w:num w:numId="24" w16cid:durableId="1092551405">
    <w:abstractNumId w:val="20"/>
  </w:num>
  <w:num w:numId="25" w16cid:durableId="87419759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3E3C"/>
    <w:rsid w:val="00134EDD"/>
    <w:rsid w:val="0023409E"/>
    <w:rsid w:val="00383222"/>
    <w:rsid w:val="00580328"/>
    <w:rsid w:val="0076473C"/>
    <w:rsid w:val="007779CF"/>
    <w:rsid w:val="0087272B"/>
    <w:rsid w:val="009407CF"/>
    <w:rsid w:val="00A17A17"/>
    <w:rsid w:val="00A93A3C"/>
    <w:rsid w:val="00AB3E3C"/>
    <w:rsid w:val="00BC0206"/>
    <w:rsid w:val="00C30FAC"/>
    <w:rsid w:val="00C35AC2"/>
    <w:rsid w:val="00C85014"/>
    <w:rsid w:val="00CC0CE4"/>
    <w:rsid w:val="00E63B2D"/>
    <w:rsid w:val="00E87889"/>
    <w:rsid w:val="00F86BE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5A5FB9"/>
  <w15:chartTrackingRefBased/>
  <w15:docId w15:val="{B64D30B6-CD9A-4E24-983B-AEC28B249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B3E3C"/>
    <w:pPr>
      <w:spacing w:after="200" w:line="276" w:lineRule="auto"/>
    </w:pPr>
    <w:rPr>
      <w:kern w:val="0"/>
      <w14:ligatures w14:val="none"/>
    </w:rPr>
  </w:style>
  <w:style w:type="paragraph" w:styleId="Nagwek1">
    <w:name w:val="heading 1"/>
    <w:basedOn w:val="Normalny"/>
    <w:next w:val="Normalny"/>
    <w:link w:val="Nagwek1Znak"/>
    <w:uiPriority w:val="9"/>
    <w:qFormat/>
    <w:rsid w:val="00AB3E3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AB3E3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AB3E3C"/>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AB3E3C"/>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AB3E3C"/>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AB3E3C"/>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AB3E3C"/>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AB3E3C"/>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AB3E3C"/>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AB3E3C"/>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AB3E3C"/>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AB3E3C"/>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AB3E3C"/>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AB3E3C"/>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AB3E3C"/>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AB3E3C"/>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AB3E3C"/>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AB3E3C"/>
    <w:rPr>
      <w:rFonts w:eastAsiaTheme="majorEastAsia" w:cstheme="majorBidi"/>
      <w:color w:val="272727" w:themeColor="text1" w:themeTint="D8"/>
    </w:rPr>
  </w:style>
  <w:style w:type="paragraph" w:styleId="Tytu">
    <w:name w:val="Title"/>
    <w:basedOn w:val="Normalny"/>
    <w:next w:val="Normalny"/>
    <w:link w:val="TytuZnak"/>
    <w:uiPriority w:val="10"/>
    <w:qFormat/>
    <w:rsid w:val="00AB3E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AB3E3C"/>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AB3E3C"/>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AB3E3C"/>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AB3E3C"/>
    <w:pPr>
      <w:spacing w:before="160"/>
      <w:jc w:val="center"/>
    </w:pPr>
    <w:rPr>
      <w:i/>
      <w:iCs/>
      <w:color w:val="404040" w:themeColor="text1" w:themeTint="BF"/>
    </w:rPr>
  </w:style>
  <w:style w:type="character" w:customStyle="1" w:styleId="CytatZnak">
    <w:name w:val="Cytat Znak"/>
    <w:basedOn w:val="Domylnaczcionkaakapitu"/>
    <w:link w:val="Cytat"/>
    <w:uiPriority w:val="29"/>
    <w:rsid w:val="00AB3E3C"/>
    <w:rPr>
      <w:i/>
      <w:iCs/>
      <w:color w:val="404040" w:themeColor="text1" w:themeTint="BF"/>
    </w:rPr>
  </w:style>
  <w:style w:type="paragraph" w:styleId="Akapitzlist">
    <w:name w:val="List Paragraph"/>
    <w:basedOn w:val="Normalny"/>
    <w:uiPriority w:val="34"/>
    <w:qFormat/>
    <w:rsid w:val="00AB3E3C"/>
    <w:pPr>
      <w:ind w:left="720"/>
      <w:contextualSpacing/>
    </w:pPr>
  </w:style>
  <w:style w:type="character" w:styleId="Wyrnienieintensywne">
    <w:name w:val="Intense Emphasis"/>
    <w:basedOn w:val="Domylnaczcionkaakapitu"/>
    <w:uiPriority w:val="21"/>
    <w:qFormat/>
    <w:rsid w:val="00AB3E3C"/>
    <w:rPr>
      <w:i/>
      <w:iCs/>
      <w:color w:val="0F4761" w:themeColor="accent1" w:themeShade="BF"/>
    </w:rPr>
  </w:style>
  <w:style w:type="paragraph" w:styleId="Cytatintensywny">
    <w:name w:val="Intense Quote"/>
    <w:basedOn w:val="Normalny"/>
    <w:next w:val="Normalny"/>
    <w:link w:val="CytatintensywnyZnak"/>
    <w:uiPriority w:val="30"/>
    <w:qFormat/>
    <w:rsid w:val="00AB3E3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AB3E3C"/>
    <w:rPr>
      <w:i/>
      <w:iCs/>
      <w:color w:val="0F4761" w:themeColor="accent1" w:themeShade="BF"/>
    </w:rPr>
  </w:style>
  <w:style w:type="character" w:styleId="Odwoanieintensywne">
    <w:name w:val="Intense Reference"/>
    <w:basedOn w:val="Domylnaczcionkaakapitu"/>
    <w:uiPriority w:val="32"/>
    <w:qFormat/>
    <w:rsid w:val="00AB3E3C"/>
    <w:rPr>
      <w:b/>
      <w:bCs/>
      <w:smallCaps/>
      <w:color w:val="0F4761" w:themeColor="accent1" w:themeShade="BF"/>
      <w:spacing w:val="5"/>
    </w:rPr>
  </w:style>
  <w:style w:type="character" w:customStyle="1" w:styleId="markedcontent">
    <w:name w:val="markedcontent"/>
    <w:basedOn w:val="Domylnaczcionkaakapitu"/>
    <w:rsid w:val="00AB3E3C"/>
  </w:style>
  <w:style w:type="character" w:styleId="Hipercze">
    <w:name w:val="Hyperlink"/>
    <w:basedOn w:val="Domylnaczcionkaakapitu"/>
    <w:uiPriority w:val="99"/>
    <w:unhideWhenUsed/>
    <w:rsid w:val="0087272B"/>
    <w:rPr>
      <w:color w:val="467886" w:themeColor="hyperlink"/>
      <w:u w:val="single"/>
    </w:rPr>
  </w:style>
  <w:style w:type="character" w:styleId="Nierozpoznanawzmianka">
    <w:name w:val="Unresolved Mention"/>
    <w:basedOn w:val="Domylnaczcionkaakapitu"/>
    <w:uiPriority w:val="99"/>
    <w:semiHidden/>
    <w:unhideWhenUsed/>
    <w:rsid w:val="0087272B"/>
    <w:rPr>
      <w:color w:val="605E5C"/>
      <w:shd w:val="clear" w:color="auto" w:fill="E1DFDD"/>
    </w:rPr>
  </w:style>
  <w:style w:type="character" w:styleId="UyteHipercze">
    <w:name w:val="FollowedHyperlink"/>
    <w:basedOn w:val="Domylnaczcionkaakapitu"/>
    <w:uiPriority w:val="99"/>
    <w:semiHidden/>
    <w:unhideWhenUsed/>
    <w:rsid w:val="0087272B"/>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gislacja.gov.pl/projekt/12409300/katalog/13197764#13197764" TargetMode="External"/><Relationship Id="rId3" Type="http://schemas.openxmlformats.org/officeDocument/2006/relationships/settings" Target="settings.xml"/><Relationship Id="rId7" Type="http://schemas.openxmlformats.org/officeDocument/2006/relationships/hyperlink" Target="https://legislacja.rcl.gov.pl/projekt/12409350/katalog/13198008#1319800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egislacja.rcl.gov.pl/projekt/12409201/katalog/13197351#13197351"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legislacja.rcl.gov.pl/projekt/12409351/katalog/13198066#13198066"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104</TotalTime>
  <Pages>20</Pages>
  <Words>8606</Words>
  <Characters>51636</Characters>
  <Application>Microsoft Office Word</Application>
  <DocSecurity>0</DocSecurity>
  <Lines>430</Lines>
  <Paragraphs>120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60122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 Kuydowicz</dc:creator>
  <cp:keywords/>
  <dc:description/>
  <cp:lastModifiedBy>Tomasz Kuydowicz</cp:lastModifiedBy>
  <cp:revision>15</cp:revision>
  <dcterms:created xsi:type="dcterms:W3CDTF">2026-04-22T09:59:00Z</dcterms:created>
  <dcterms:modified xsi:type="dcterms:W3CDTF">2026-04-22T11:51:00Z</dcterms:modified>
</cp:coreProperties>
</file>