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9B19" w14:textId="32A2ADD6" w:rsidR="009448E1" w:rsidRPr="009448E1" w:rsidRDefault="009C5268" w:rsidP="009448E1">
      <w:pPr>
        <w:spacing w:after="0" w:line="300" w:lineRule="auto"/>
        <w:jc w:val="both"/>
        <w:rPr>
          <w:rFonts w:ascii="Arial Narrow" w:hAnsi="Arial Narrow"/>
        </w:rPr>
      </w:pPr>
      <w:r w:rsidRPr="009448E1">
        <w:rPr>
          <w:rFonts w:ascii="Arial Narrow" w:hAnsi="Arial Narrow"/>
          <w:b/>
          <w:bCs/>
        </w:rPr>
        <w:t>Dotyczy:</w:t>
      </w:r>
      <w:r w:rsidRPr="009448E1">
        <w:rPr>
          <w:rFonts w:ascii="Arial Narrow" w:hAnsi="Arial Narrow"/>
        </w:rPr>
        <w:t xml:space="preserve"> Konsultacji publicznych projektu rozporządzenia Ministra Zdrowia zmieniającego rozporządzenie w sprawie bezpieczeństwa i higieny pracy związanej z występowaniem w miejscu pracy czynników chemicznych</w:t>
      </w:r>
      <w:r w:rsidR="009448E1">
        <w:rPr>
          <w:rFonts w:ascii="Arial Narrow" w:hAnsi="Arial Narrow"/>
        </w:rPr>
        <w:t>.</w:t>
      </w:r>
    </w:p>
    <w:p w14:paraId="2237EC94" w14:textId="0F5F6AA6" w:rsidR="009C5268" w:rsidRPr="009448E1" w:rsidRDefault="009448E1" w:rsidP="009448E1">
      <w:pPr>
        <w:spacing w:after="0" w:line="30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Przedmiotowy projekt opublikowano na stronach RCL </w:t>
      </w:r>
      <w:r w:rsidRPr="009448E1">
        <w:rPr>
          <w:rFonts w:ascii="Arial Narrow" w:hAnsi="Arial Narrow"/>
        </w:rPr>
        <w:t>w wykazie prac legislacyjnych</w:t>
      </w:r>
      <w:r>
        <w:rPr>
          <w:rFonts w:ascii="Arial Narrow" w:hAnsi="Arial Narrow"/>
        </w:rPr>
        <w:t xml:space="preserve"> pod </w:t>
      </w:r>
      <w:r w:rsidR="009C5268" w:rsidRPr="009448E1">
        <w:rPr>
          <w:rFonts w:ascii="Arial Narrow" w:hAnsi="Arial Narrow"/>
        </w:rPr>
        <w:t>n</w:t>
      </w:r>
      <w:r>
        <w:rPr>
          <w:rFonts w:ascii="Arial Narrow" w:hAnsi="Arial Narrow"/>
        </w:rPr>
        <w:t>umerem</w:t>
      </w:r>
      <w:r w:rsidR="009C5268" w:rsidRPr="009448E1">
        <w:rPr>
          <w:rFonts w:ascii="Arial Narrow" w:hAnsi="Arial Narrow"/>
        </w:rPr>
        <w:t xml:space="preserve"> MZ1882; </w:t>
      </w:r>
      <w:r>
        <w:rPr>
          <w:rFonts w:ascii="Arial Narrow" w:hAnsi="Arial Narrow"/>
        </w:rPr>
        <w:t xml:space="preserve">sygn. akt </w:t>
      </w:r>
      <w:r w:rsidR="009C5268" w:rsidRPr="009448E1">
        <w:rPr>
          <w:rFonts w:ascii="Arial Narrow" w:hAnsi="Arial Narrow"/>
        </w:rPr>
        <w:t xml:space="preserve">ZPM.0210.6.2025.AO </w:t>
      </w:r>
      <w:r>
        <w:rPr>
          <w:rFonts w:ascii="Arial Narrow" w:hAnsi="Arial Narrow"/>
        </w:rPr>
        <w:t>(</w:t>
      </w:r>
      <w:r w:rsidR="009C5268" w:rsidRPr="009448E1">
        <w:rPr>
          <w:rFonts w:ascii="Arial Narrow" w:hAnsi="Arial Narrow"/>
        </w:rPr>
        <w:t>dalej: projekt MZ1882</w:t>
      </w:r>
      <w:r>
        <w:rPr>
          <w:rFonts w:ascii="Arial Narrow" w:hAnsi="Arial Narrow"/>
        </w:rPr>
        <w:t>).</w:t>
      </w:r>
    </w:p>
    <w:p w14:paraId="236D7B1F" w14:textId="77777777" w:rsidR="009448E1" w:rsidRDefault="009448E1" w:rsidP="009448E1">
      <w:pPr>
        <w:spacing w:after="0" w:line="300" w:lineRule="auto"/>
        <w:jc w:val="both"/>
        <w:rPr>
          <w:rFonts w:ascii="Arial Narrow" w:hAnsi="Arial Narrow"/>
          <w:b/>
          <w:bCs/>
        </w:rPr>
      </w:pPr>
    </w:p>
    <w:p w14:paraId="567B9F7D" w14:textId="4B0E5C12" w:rsidR="009C5268" w:rsidRPr="009448E1" w:rsidRDefault="009C5268" w:rsidP="009448E1">
      <w:pPr>
        <w:spacing w:after="0" w:line="300" w:lineRule="auto"/>
        <w:jc w:val="center"/>
        <w:rPr>
          <w:rFonts w:ascii="Arial Narrow" w:hAnsi="Arial Narrow"/>
          <w:b/>
          <w:bCs/>
        </w:rPr>
      </w:pPr>
      <w:r w:rsidRPr="009448E1">
        <w:rPr>
          <w:rFonts w:ascii="Arial Narrow" w:hAnsi="Arial Narrow"/>
          <w:b/>
          <w:bCs/>
        </w:rPr>
        <w:t xml:space="preserve">STANOWISKO </w:t>
      </w:r>
      <w:r w:rsidR="009448E1">
        <w:rPr>
          <w:rFonts w:ascii="Arial Narrow" w:hAnsi="Arial Narrow"/>
          <w:b/>
          <w:bCs/>
        </w:rPr>
        <w:t>ZWIĄZKU PRACODAWCÓW POLSKA MIEDŹ</w:t>
      </w:r>
    </w:p>
    <w:p w14:paraId="5FA26150" w14:textId="108D3DBD" w:rsidR="009C5268" w:rsidRPr="009448E1" w:rsidRDefault="009448E1" w:rsidP="009448E1">
      <w:pPr>
        <w:spacing w:after="0" w:line="30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Związek Pracodawców Polska Miedź</w:t>
      </w:r>
      <w:r w:rsidR="009C5268" w:rsidRPr="009448E1">
        <w:rPr>
          <w:rFonts w:ascii="Arial Narrow" w:hAnsi="Arial Narrow"/>
        </w:rPr>
        <w:t xml:space="preserve"> (dalej: </w:t>
      </w:r>
      <w:r>
        <w:rPr>
          <w:rFonts w:ascii="Arial Narrow" w:hAnsi="Arial Narrow"/>
        </w:rPr>
        <w:t>ZPPM</w:t>
      </w:r>
      <w:r w:rsidR="009C5268" w:rsidRPr="009448E1">
        <w:rPr>
          <w:rFonts w:ascii="Arial Narrow" w:hAnsi="Arial Narrow"/>
        </w:rPr>
        <w:t xml:space="preserve">), </w:t>
      </w:r>
      <w:r>
        <w:rPr>
          <w:rFonts w:ascii="Arial Narrow" w:hAnsi="Arial Narrow"/>
        </w:rPr>
        <w:t xml:space="preserve">jako reprezentant kluczowych podmiotów </w:t>
      </w:r>
      <w:r w:rsidRPr="009448E1">
        <w:rPr>
          <w:rFonts w:ascii="Arial Narrow" w:hAnsi="Arial Narrow"/>
        </w:rPr>
        <w:t>polskiego przemysłu wydobywczo-hutniczego</w:t>
      </w:r>
      <w:r>
        <w:rPr>
          <w:rFonts w:ascii="Arial Narrow" w:hAnsi="Arial Narrow"/>
        </w:rPr>
        <w:t>,</w:t>
      </w:r>
      <w:r w:rsidRPr="009448E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będących</w:t>
      </w:r>
      <w:r w:rsidR="009C5268" w:rsidRPr="009448E1">
        <w:rPr>
          <w:rFonts w:ascii="Arial Narrow" w:hAnsi="Arial Narrow"/>
        </w:rPr>
        <w:t xml:space="preserve"> globalny</w:t>
      </w:r>
      <w:r>
        <w:rPr>
          <w:rFonts w:ascii="Arial Narrow" w:hAnsi="Arial Narrow"/>
        </w:rPr>
        <w:t>mi</w:t>
      </w:r>
      <w:r w:rsidR="009C5268" w:rsidRPr="009448E1">
        <w:rPr>
          <w:rFonts w:ascii="Arial Narrow" w:hAnsi="Arial Narrow"/>
        </w:rPr>
        <w:t xml:space="preserve"> lider</w:t>
      </w:r>
      <w:r>
        <w:rPr>
          <w:rFonts w:ascii="Arial Narrow" w:hAnsi="Arial Narrow"/>
        </w:rPr>
        <w:t>ami</w:t>
      </w:r>
      <w:r w:rsidR="009C5268" w:rsidRPr="009448E1">
        <w:rPr>
          <w:rFonts w:ascii="Arial Narrow" w:hAnsi="Arial Narrow"/>
        </w:rPr>
        <w:t xml:space="preserve"> produkcji miedzi i srebra</w:t>
      </w:r>
      <w:r>
        <w:rPr>
          <w:rFonts w:ascii="Arial Narrow" w:hAnsi="Arial Narrow"/>
        </w:rPr>
        <w:t>,</w:t>
      </w:r>
      <w:r w:rsidR="009C5268" w:rsidRPr="009448E1">
        <w:rPr>
          <w:rFonts w:ascii="Arial Narrow" w:hAnsi="Arial Narrow"/>
        </w:rPr>
        <w:t xml:space="preserve"> aktywnie wspiera inicjatywy podnoszące standardy ochrony zdrowia pracowników. W pełni identyfikujemy się z celami dyrektywy (UE) 2024/869 i uznajemy konieczność jej wiernej transpozycji.</w:t>
      </w:r>
    </w:p>
    <w:p w14:paraId="737C3145" w14:textId="77777777" w:rsidR="009C5268" w:rsidRDefault="009C5268" w:rsidP="009448E1">
      <w:pPr>
        <w:spacing w:after="0" w:line="300" w:lineRule="auto"/>
        <w:jc w:val="both"/>
        <w:rPr>
          <w:rFonts w:ascii="Arial Narrow" w:hAnsi="Arial Narrow"/>
        </w:rPr>
      </w:pPr>
      <w:r w:rsidRPr="009448E1">
        <w:rPr>
          <w:rFonts w:ascii="Arial Narrow" w:hAnsi="Arial Narrow"/>
        </w:rPr>
        <w:t>Jednocześnie, analizując przedłożony projekt MZ1882, zgłaszamy kluczowe uwagi mające na celu zapewnienie spójności systemu prawnego oraz stabilności operacyjnej polskiego przemysłu ciężkiego.</w:t>
      </w:r>
    </w:p>
    <w:p w14:paraId="5A1B48BF" w14:textId="77777777" w:rsidR="009448E1" w:rsidRPr="009448E1" w:rsidRDefault="009448E1" w:rsidP="009448E1">
      <w:pPr>
        <w:spacing w:after="0" w:line="300" w:lineRule="auto"/>
        <w:jc w:val="both"/>
        <w:rPr>
          <w:rFonts w:ascii="Arial Narrow" w:hAnsi="Arial Narrow"/>
        </w:rPr>
      </w:pPr>
    </w:p>
    <w:p w14:paraId="7E7B23E4" w14:textId="6EB9823A" w:rsidR="009C5268" w:rsidRPr="002713B8" w:rsidRDefault="002713B8" w:rsidP="002713B8">
      <w:pPr>
        <w:spacing w:after="0" w:line="300" w:lineRule="auto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I. </w:t>
      </w:r>
      <w:r w:rsidR="009C5268" w:rsidRPr="002713B8">
        <w:rPr>
          <w:rFonts w:ascii="Arial Narrow" w:hAnsi="Arial Narrow"/>
          <w:b/>
          <w:bCs/>
        </w:rPr>
        <w:t>Postulat pełnej i przejrzystej transpozycji (Model 1:1)</w:t>
      </w:r>
    </w:p>
    <w:p w14:paraId="551CDD89" w14:textId="046FF606" w:rsidR="009C5268" w:rsidRPr="009448E1" w:rsidRDefault="00C511A8" w:rsidP="009448E1">
      <w:pPr>
        <w:spacing w:after="0" w:line="30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ZPPM</w:t>
      </w:r>
      <w:r w:rsidR="009C5268" w:rsidRPr="009448E1">
        <w:rPr>
          <w:rFonts w:ascii="Arial Narrow" w:hAnsi="Arial Narrow"/>
        </w:rPr>
        <w:t xml:space="preserve"> opowiada się za implementacją przepisów dyrektywy 2024/869 w modelu 1:1. Wprowadzanie wymogów surowszych niż przewidziane w unijnym kompromisie (tzw. </w:t>
      </w:r>
      <w:r w:rsidR="009C5268" w:rsidRPr="009448E1">
        <w:rPr>
          <w:rFonts w:ascii="Arial Narrow" w:hAnsi="Arial Narrow"/>
          <w:i/>
          <w:iCs/>
        </w:rPr>
        <w:t>gold-plating</w:t>
      </w:r>
      <w:r w:rsidR="009C5268" w:rsidRPr="009448E1">
        <w:rPr>
          <w:rFonts w:ascii="Arial Narrow" w:hAnsi="Arial Narrow"/>
        </w:rPr>
        <w:t xml:space="preserve">) stanowiłoby istotne ryzyko dla konkurencyjności polskiego sektora surowcowego. </w:t>
      </w:r>
      <w:r w:rsidR="002713B8">
        <w:rPr>
          <w:rFonts w:ascii="Arial Narrow" w:hAnsi="Arial Narrow"/>
        </w:rPr>
        <w:t>P</w:t>
      </w:r>
      <w:r w:rsidR="009C5268" w:rsidRPr="009448E1">
        <w:rPr>
          <w:rFonts w:ascii="Arial Narrow" w:hAnsi="Arial Narrow"/>
        </w:rPr>
        <w:t>odkreś</w:t>
      </w:r>
      <w:r w:rsidR="002713B8">
        <w:rPr>
          <w:rFonts w:ascii="Arial Narrow" w:hAnsi="Arial Narrow"/>
        </w:rPr>
        <w:t>lić należy</w:t>
      </w:r>
      <w:r w:rsidR="009C5268" w:rsidRPr="009448E1">
        <w:rPr>
          <w:rFonts w:ascii="Arial Narrow" w:hAnsi="Arial Narrow"/>
        </w:rPr>
        <w:t>, że nadmiarowa regulacja na poziomie krajowym może naruszyć zasadę równych warunków konkurencji (</w:t>
      </w:r>
      <w:r w:rsidR="009C5268" w:rsidRPr="009448E1">
        <w:rPr>
          <w:rFonts w:ascii="Arial Narrow" w:hAnsi="Arial Narrow"/>
          <w:i/>
          <w:iCs/>
        </w:rPr>
        <w:t>level playing field</w:t>
      </w:r>
      <w:r w:rsidR="009C5268" w:rsidRPr="009448E1">
        <w:rPr>
          <w:rFonts w:ascii="Arial Narrow" w:hAnsi="Arial Narrow"/>
        </w:rPr>
        <w:t xml:space="preserve">) wewnątrz UE. Jest to szczególnie istotne w kontekście strategicznej roli miedzi i metali towarzyszących dla europejskiej transformacji energetycznej oraz bezpieczeństwa surowcowego. </w:t>
      </w:r>
      <w:r w:rsidR="002713B8">
        <w:rPr>
          <w:rFonts w:ascii="Arial Narrow" w:hAnsi="Arial Narrow"/>
        </w:rPr>
        <w:t>ZPPM oraz podmioty członkowskie</w:t>
      </w:r>
      <w:r w:rsidR="009C5268" w:rsidRPr="009448E1">
        <w:rPr>
          <w:rFonts w:ascii="Arial Narrow" w:hAnsi="Arial Narrow"/>
        </w:rPr>
        <w:t xml:space="preserve"> brał</w:t>
      </w:r>
      <w:r w:rsidR="002713B8">
        <w:rPr>
          <w:rFonts w:ascii="Arial Narrow" w:hAnsi="Arial Narrow"/>
        </w:rPr>
        <w:t>y</w:t>
      </w:r>
      <w:r w:rsidR="009C5268" w:rsidRPr="009448E1">
        <w:rPr>
          <w:rFonts w:ascii="Arial Narrow" w:hAnsi="Arial Narrow"/>
        </w:rPr>
        <w:t xml:space="preserve"> czynny udział </w:t>
      </w:r>
      <w:r w:rsidR="002713B8">
        <w:rPr>
          <w:rFonts w:ascii="Arial Narrow" w:hAnsi="Arial Narrow"/>
        </w:rPr>
        <w:br/>
      </w:r>
      <w:r w:rsidR="009C5268" w:rsidRPr="009448E1">
        <w:rPr>
          <w:rFonts w:ascii="Arial Narrow" w:hAnsi="Arial Narrow"/>
        </w:rPr>
        <w:t>w wypracowaniu kompromisu zawartego w dyrektywie zarówno na gruncie europejskim jak i</w:t>
      </w:r>
      <w:r w:rsidR="002713B8">
        <w:rPr>
          <w:rFonts w:ascii="Arial Narrow" w:hAnsi="Arial Narrow"/>
        </w:rPr>
        <w:t xml:space="preserve"> </w:t>
      </w:r>
      <w:r w:rsidR="009C5268" w:rsidRPr="009448E1">
        <w:rPr>
          <w:rFonts w:ascii="Arial Narrow" w:hAnsi="Arial Narrow"/>
        </w:rPr>
        <w:t xml:space="preserve">krajowym. Z punktu widzenia krajowych producentów ołowiu istotne jest jej wierne przeniesienie do prawa krajowego. </w:t>
      </w:r>
      <w:r w:rsidR="002713B8">
        <w:rPr>
          <w:rFonts w:ascii="Arial Narrow" w:hAnsi="Arial Narrow"/>
        </w:rPr>
        <w:t>Nadmienić należy, że s</w:t>
      </w:r>
      <w:r w:rsidR="009C5268" w:rsidRPr="009448E1">
        <w:rPr>
          <w:rFonts w:ascii="Arial Narrow" w:hAnsi="Arial Narrow"/>
        </w:rPr>
        <w:t>tanowisko to podziela również Międzyresortowa Komisja ds. Najwyższych Dopuszczalnych Stężeń i Natężeń Czynników Szkodliwych dla Zdrowia w Środowisku Pracy, które zostało wyrażone na posiedzeniu w dniu 5 czerwca 2025 roku.</w:t>
      </w:r>
    </w:p>
    <w:p w14:paraId="1FE015E6" w14:textId="77777777" w:rsidR="002713B8" w:rsidRDefault="002713B8" w:rsidP="009448E1">
      <w:pPr>
        <w:spacing w:after="0" w:line="300" w:lineRule="auto"/>
        <w:jc w:val="both"/>
        <w:rPr>
          <w:rFonts w:ascii="Arial Narrow" w:hAnsi="Arial Narrow"/>
          <w:b/>
          <w:bCs/>
        </w:rPr>
      </w:pPr>
    </w:p>
    <w:p w14:paraId="4F6BA669" w14:textId="57A5F50B" w:rsidR="009C5268" w:rsidRPr="009448E1" w:rsidRDefault="009C5268" w:rsidP="009448E1">
      <w:pPr>
        <w:spacing w:after="0" w:line="300" w:lineRule="auto"/>
        <w:jc w:val="both"/>
        <w:rPr>
          <w:rFonts w:ascii="Arial Narrow" w:hAnsi="Arial Narrow"/>
          <w:b/>
          <w:bCs/>
        </w:rPr>
      </w:pPr>
      <w:r w:rsidRPr="009448E1">
        <w:rPr>
          <w:rFonts w:ascii="Arial Narrow" w:hAnsi="Arial Narrow"/>
          <w:b/>
          <w:bCs/>
        </w:rPr>
        <w:t>W</w:t>
      </w:r>
      <w:r w:rsidR="002713B8">
        <w:rPr>
          <w:rFonts w:ascii="Arial Narrow" w:hAnsi="Arial Narrow"/>
          <w:b/>
          <w:bCs/>
        </w:rPr>
        <w:t xml:space="preserve"> związku z powyższym w</w:t>
      </w:r>
      <w:r w:rsidRPr="009448E1">
        <w:rPr>
          <w:rFonts w:ascii="Arial Narrow" w:hAnsi="Arial Narrow"/>
          <w:b/>
          <w:bCs/>
        </w:rPr>
        <w:t>nosimy o:</w:t>
      </w:r>
    </w:p>
    <w:p w14:paraId="6FDBFB95" w14:textId="77777777" w:rsidR="009C5268" w:rsidRPr="009448E1" w:rsidRDefault="009C5268" w:rsidP="009448E1">
      <w:pPr>
        <w:spacing w:after="0" w:line="300" w:lineRule="auto"/>
        <w:jc w:val="both"/>
        <w:rPr>
          <w:rFonts w:ascii="Arial Narrow" w:hAnsi="Arial Narrow"/>
          <w:b/>
          <w:bCs/>
        </w:rPr>
      </w:pPr>
      <w:r w:rsidRPr="009448E1">
        <w:rPr>
          <w:rFonts w:ascii="Arial Narrow" w:hAnsi="Arial Narrow"/>
          <w:b/>
          <w:bCs/>
        </w:rPr>
        <w:t>Wprowadzenie do § 13 projektu MZ1882 zapisów:</w:t>
      </w:r>
    </w:p>
    <w:p w14:paraId="654F837B" w14:textId="73828C81" w:rsidR="009C5268" w:rsidRPr="009448E1" w:rsidRDefault="009C5268" w:rsidP="002713B8">
      <w:pPr>
        <w:numPr>
          <w:ilvl w:val="0"/>
          <w:numId w:val="2"/>
        </w:numPr>
        <w:spacing w:after="0" w:line="300" w:lineRule="auto"/>
        <w:ind w:left="567" w:hanging="283"/>
        <w:jc w:val="both"/>
        <w:rPr>
          <w:rFonts w:ascii="Arial Narrow" w:hAnsi="Arial Narrow"/>
        </w:rPr>
      </w:pPr>
      <w:r w:rsidRPr="009448E1">
        <w:rPr>
          <w:rFonts w:ascii="Arial Narrow" w:hAnsi="Arial Narrow"/>
          <w:b/>
          <w:bCs/>
        </w:rPr>
        <w:t>Od dnia 1 stycznia 2029 r. wiążąca dopuszczalna wartość biologiczna wynosi</w:t>
      </w:r>
      <w:r w:rsidRPr="009448E1">
        <w:rPr>
          <w:rFonts w:ascii="Arial Narrow" w:hAnsi="Arial Narrow"/>
        </w:rPr>
        <w:t xml:space="preserve"> </w:t>
      </w:r>
      <w:r w:rsidRPr="009448E1">
        <w:rPr>
          <w:rFonts w:ascii="Arial Narrow" w:hAnsi="Arial Narrow"/>
          <w:b/>
          <w:bCs/>
        </w:rPr>
        <w:t>15 μg Pb/100 ml krwi.</w:t>
      </w:r>
    </w:p>
    <w:p w14:paraId="3673E55E" w14:textId="77777777" w:rsidR="009C5268" w:rsidRPr="002713B8" w:rsidRDefault="009C5268" w:rsidP="002713B8">
      <w:pPr>
        <w:numPr>
          <w:ilvl w:val="0"/>
          <w:numId w:val="2"/>
        </w:numPr>
        <w:spacing w:after="0" w:line="300" w:lineRule="auto"/>
        <w:ind w:left="567" w:hanging="283"/>
        <w:jc w:val="both"/>
        <w:rPr>
          <w:rFonts w:ascii="Arial Narrow" w:hAnsi="Arial Narrow"/>
        </w:rPr>
      </w:pPr>
      <w:r w:rsidRPr="009448E1">
        <w:rPr>
          <w:rFonts w:ascii="Arial Narrow" w:hAnsi="Arial Narrow"/>
          <w:b/>
          <w:bCs/>
        </w:rPr>
        <w:t>W przypadku pracowników, u których stężenie ołowiu we krwi przekracza dopuszczalną wartość biologiczną 15 μg Pb/100 ml krwi w wyniku narażenia, do którego doszło przed dniem 9 kwietnia 2026 r.</w:t>
      </w:r>
      <w:r w:rsidRPr="009448E1">
        <w:rPr>
          <w:rFonts w:ascii="Arial Narrow" w:hAnsi="Arial Narrow"/>
        </w:rPr>
        <w:t xml:space="preserve">, ale jest niższe niż 30 μg Pb/100 ml, przeprowadza się regularne badania medyczne. Jeżeli u tych pracowników stwierdzi się tendencję spadkową w kierunku wartości dopuszczalnej 15 μg Pb/100 ml krwi, </w:t>
      </w:r>
      <w:r w:rsidRPr="009448E1">
        <w:rPr>
          <w:rFonts w:ascii="Arial Narrow" w:hAnsi="Arial Narrow"/>
          <w:b/>
          <w:bCs/>
        </w:rPr>
        <w:t>można im zezwolić na dalszą pracę wiążącą się z narażeniem na działanie ołowiu.</w:t>
      </w:r>
    </w:p>
    <w:p w14:paraId="49118D4E" w14:textId="77777777" w:rsidR="002713B8" w:rsidRPr="009448E1" w:rsidRDefault="002713B8" w:rsidP="002713B8">
      <w:pPr>
        <w:spacing w:after="0" w:line="300" w:lineRule="auto"/>
        <w:jc w:val="both"/>
        <w:rPr>
          <w:rFonts w:ascii="Arial Narrow" w:hAnsi="Arial Narrow"/>
        </w:rPr>
      </w:pPr>
    </w:p>
    <w:p w14:paraId="17331F44" w14:textId="3B5142D1" w:rsidR="009C5268" w:rsidRPr="009448E1" w:rsidRDefault="002713B8" w:rsidP="002713B8">
      <w:pPr>
        <w:spacing w:after="0" w:line="300" w:lineRule="auto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II. </w:t>
      </w:r>
      <w:r w:rsidR="009C5268" w:rsidRPr="009448E1">
        <w:rPr>
          <w:rFonts w:ascii="Arial Narrow" w:hAnsi="Arial Narrow"/>
          <w:b/>
          <w:bCs/>
        </w:rPr>
        <w:t>Krytyka rozproszenia norm biologicznych (DSB) między aktami prawnymi</w:t>
      </w:r>
    </w:p>
    <w:p w14:paraId="1F433E8F" w14:textId="77777777" w:rsidR="009C5268" w:rsidRPr="009448E1" w:rsidRDefault="009C5268" w:rsidP="009448E1">
      <w:pPr>
        <w:spacing w:after="0" w:line="300" w:lineRule="auto"/>
        <w:jc w:val="both"/>
        <w:rPr>
          <w:rFonts w:ascii="Arial Narrow" w:hAnsi="Arial Narrow"/>
          <w:b/>
          <w:bCs/>
        </w:rPr>
      </w:pPr>
      <w:r w:rsidRPr="009448E1">
        <w:rPr>
          <w:rFonts w:ascii="Arial Narrow" w:hAnsi="Arial Narrow"/>
          <w:b/>
          <w:bCs/>
        </w:rPr>
        <w:t>Z niepokojem odnotowujemy, że projekt MZ1882 w § 13 ust. 3 wprowadza jedynie wartość przejściową DSB dla ołowiu (30 µg/100 ml), całkowicie pomijając docelową wartość wiążącą (15 µg/100 ml) od 1 stycznia 2029 r. oraz zapis dotyczący pracowników zatrudnionych przed 9 kwietnia 2026 r.</w:t>
      </w:r>
      <w:r w:rsidRPr="009448E1">
        <w:rPr>
          <w:rFonts w:ascii="Arial Narrow" w:hAnsi="Arial Narrow"/>
        </w:rPr>
        <w:t xml:space="preserve">, którzy będą mogli dalej pracować o ile DSB nie przekroczy </w:t>
      </w:r>
      <w:r w:rsidRPr="009448E1">
        <w:rPr>
          <w:rFonts w:ascii="Arial Narrow" w:hAnsi="Arial Narrow"/>
          <w:b/>
          <w:bCs/>
        </w:rPr>
        <w:t>30 µg/100 ml i będzie miało tendencje spadkową do 15 µg/100 ml.</w:t>
      </w:r>
    </w:p>
    <w:p w14:paraId="71C3B908" w14:textId="377D2697" w:rsidR="009C5268" w:rsidRPr="009448E1" w:rsidRDefault="009C5268" w:rsidP="009448E1">
      <w:pPr>
        <w:spacing w:after="0" w:line="300" w:lineRule="auto"/>
        <w:jc w:val="both"/>
        <w:rPr>
          <w:rFonts w:ascii="Arial Narrow" w:hAnsi="Arial Narrow"/>
        </w:rPr>
      </w:pPr>
      <w:r w:rsidRPr="009448E1">
        <w:rPr>
          <w:rFonts w:ascii="Arial Narrow" w:hAnsi="Arial Narrow"/>
        </w:rPr>
        <w:lastRenderedPageBreak/>
        <w:t xml:space="preserve">Przeniesienie tych kluczowych norm do odrębnego projektu rozporządzenia Ministerstwa Zdrowia w sprawie przeprowadzania badań lekarskich pracowników, zakresu profilaktycznej opieki zdrowotnej nad pracownikami oraz orzeczeń lekarskich wydawanych do celów przewidzianych w kodeksie pracy (dalej: projekt MZ1885), który jest obecnie również w trybie konsultacji publicznych </w:t>
      </w:r>
      <w:r w:rsidRPr="009448E1">
        <w:rPr>
          <w:rFonts w:ascii="Arial Narrow" w:hAnsi="Arial Narrow"/>
          <w:b/>
          <w:bCs/>
        </w:rPr>
        <w:t>to rozwiązanie nieoptymalne z kilku względów</w:t>
      </w:r>
      <w:r w:rsidRPr="009448E1">
        <w:rPr>
          <w:rFonts w:ascii="Arial Narrow" w:hAnsi="Arial Narrow"/>
        </w:rPr>
        <w:t>:</w:t>
      </w:r>
    </w:p>
    <w:p w14:paraId="7C9E53E0" w14:textId="573E4074" w:rsidR="009C5268" w:rsidRPr="009448E1" w:rsidRDefault="009C5268" w:rsidP="002713B8">
      <w:pPr>
        <w:numPr>
          <w:ilvl w:val="0"/>
          <w:numId w:val="3"/>
        </w:numPr>
        <w:spacing w:after="0" w:line="300" w:lineRule="auto"/>
        <w:ind w:left="567" w:hanging="283"/>
        <w:jc w:val="both"/>
        <w:rPr>
          <w:rFonts w:ascii="Arial Narrow" w:hAnsi="Arial Narrow"/>
        </w:rPr>
      </w:pPr>
      <w:r w:rsidRPr="009448E1">
        <w:rPr>
          <w:rFonts w:ascii="Arial Narrow" w:hAnsi="Arial Narrow"/>
        </w:rPr>
        <w:t xml:space="preserve">Procesy technologiczne w górnictwie i hutnictwie charakteryzują się wieloletnimi cyklami modernizacyjnymi. Brak docelowej normy w podstawowym rozporządzeniu BHP </w:t>
      </w:r>
      <w:r w:rsidRPr="009448E1">
        <w:rPr>
          <w:rFonts w:ascii="Arial Narrow" w:hAnsi="Arial Narrow"/>
          <w:b/>
          <w:bCs/>
        </w:rPr>
        <w:t>utrudnia pracodawcy planowanie inwestycyjne</w:t>
      </w:r>
      <w:r w:rsidRPr="009448E1">
        <w:rPr>
          <w:rFonts w:ascii="Arial Narrow" w:hAnsi="Arial Narrow"/>
        </w:rPr>
        <w:t xml:space="preserve"> dotyczące m.in. projektowania systemów wentylacji i ochrony zbiorowej z wyprzedzeniem niezbędnym do osiągnięcia progu 15 µg w 2029 roku.</w:t>
      </w:r>
    </w:p>
    <w:p w14:paraId="6104AED6" w14:textId="0A3B7491" w:rsidR="009C5268" w:rsidRPr="009448E1" w:rsidRDefault="009C5268" w:rsidP="002713B8">
      <w:pPr>
        <w:numPr>
          <w:ilvl w:val="0"/>
          <w:numId w:val="3"/>
        </w:numPr>
        <w:spacing w:after="0" w:line="300" w:lineRule="auto"/>
        <w:ind w:left="567" w:hanging="283"/>
        <w:jc w:val="both"/>
        <w:rPr>
          <w:rFonts w:ascii="Arial Narrow" w:hAnsi="Arial Narrow"/>
        </w:rPr>
      </w:pPr>
      <w:r w:rsidRPr="009448E1">
        <w:rPr>
          <w:rFonts w:ascii="Arial Narrow" w:hAnsi="Arial Narrow"/>
        </w:rPr>
        <w:t xml:space="preserve">Wydzielenie normy docelowej do projektu MZ 1885, </w:t>
      </w:r>
      <w:r w:rsidRPr="009448E1">
        <w:rPr>
          <w:rFonts w:ascii="Arial Narrow" w:hAnsi="Arial Narrow"/>
          <w:b/>
          <w:bCs/>
        </w:rPr>
        <w:t>budzi obawy o pewność prawa</w:t>
      </w:r>
      <w:r w:rsidRPr="009448E1">
        <w:rPr>
          <w:rFonts w:ascii="Arial Narrow" w:hAnsi="Arial Narrow"/>
        </w:rPr>
        <w:t xml:space="preserve"> oraz możliwość jego arbitralnego zaostrzenia na późniejszym etapie legislacyjnym, co stałoby w sprzeczności z wypracowanym na poziomie UE konsensusem naukowym i gospodarczym. </w:t>
      </w:r>
    </w:p>
    <w:p w14:paraId="0BB42854" w14:textId="77777777" w:rsidR="009C5268" w:rsidRPr="009448E1" w:rsidRDefault="009C5268" w:rsidP="002713B8">
      <w:pPr>
        <w:numPr>
          <w:ilvl w:val="0"/>
          <w:numId w:val="3"/>
        </w:numPr>
        <w:spacing w:after="0" w:line="300" w:lineRule="auto"/>
        <w:ind w:left="567" w:hanging="283"/>
        <w:jc w:val="both"/>
        <w:rPr>
          <w:rFonts w:ascii="Arial Narrow" w:hAnsi="Arial Narrow"/>
        </w:rPr>
      </w:pPr>
      <w:r w:rsidRPr="009448E1">
        <w:rPr>
          <w:rFonts w:ascii="Arial Narrow" w:hAnsi="Arial Narrow"/>
        </w:rPr>
        <w:t xml:space="preserve">Wartość biologiczna jest wskaźnikiem efektywności środków ochrony technicznej. Musi być zatem integralną częścią przepisów BHP, która stanowi jasny punkt odniesienia oraz </w:t>
      </w:r>
      <w:r w:rsidRPr="009448E1">
        <w:rPr>
          <w:rFonts w:ascii="Arial Narrow" w:hAnsi="Arial Narrow"/>
          <w:b/>
          <w:bCs/>
        </w:rPr>
        <w:t>zapewnia spójność nadzoru</w:t>
      </w:r>
      <w:r w:rsidRPr="009448E1">
        <w:rPr>
          <w:rFonts w:ascii="Arial Narrow" w:hAnsi="Arial Narrow"/>
        </w:rPr>
        <w:t xml:space="preserve"> zarówno dla służb technicznych, jak i organów kontrolnych (PIP, PIS).</w:t>
      </w:r>
    </w:p>
    <w:p w14:paraId="197BD72A" w14:textId="77777777" w:rsidR="009C5268" w:rsidRPr="009448E1" w:rsidRDefault="009C5268" w:rsidP="002713B8">
      <w:pPr>
        <w:numPr>
          <w:ilvl w:val="0"/>
          <w:numId w:val="3"/>
        </w:numPr>
        <w:spacing w:after="0" w:line="300" w:lineRule="auto"/>
        <w:ind w:left="567" w:hanging="283"/>
        <w:jc w:val="both"/>
        <w:rPr>
          <w:rFonts w:ascii="Arial Narrow" w:hAnsi="Arial Narrow"/>
        </w:rPr>
      </w:pPr>
      <w:r w:rsidRPr="009448E1">
        <w:rPr>
          <w:rFonts w:ascii="Arial Narrow" w:hAnsi="Arial Narrow"/>
        </w:rPr>
        <w:t xml:space="preserve">Umieszczenie wartości </w:t>
      </w:r>
      <w:r w:rsidRPr="009448E1">
        <w:rPr>
          <w:rFonts w:ascii="Arial Narrow" w:hAnsi="Arial Narrow"/>
          <w:b/>
          <w:bCs/>
        </w:rPr>
        <w:t>15 µg Pb/100 ml</w:t>
      </w:r>
      <w:r w:rsidRPr="009448E1">
        <w:rPr>
          <w:rFonts w:ascii="Arial Narrow" w:hAnsi="Arial Narrow"/>
        </w:rPr>
        <w:t xml:space="preserve"> wyłącznie w przepisach dotyczących badań lekarskich (projekt MZ 1885) jest niewłaściwe również z kilku innych powodów:</w:t>
      </w:r>
    </w:p>
    <w:p w14:paraId="3EFA2606" w14:textId="0B1B40C7" w:rsidR="009C5268" w:rsidRPr="009448E1" w:rsidRDefault="009C5268" w:rsidP="002713B8">
      <w:pPr>
        <w:numPr>
          <w:ilvl w:val="0"/>
          <w:numId w:val="4"/>
        </w:numPr>
        <w:spacing w:after="0" w:line="300" w:lineRule="auto"/>
        <w:ind w:left="993" w:hanging="284"/>
        <w:jc w:val="both"/>
        <w:rPr>
          <w:rFonts w:ascii="Arial Narrow" w:hAnsi="Arial Narrow"/>
        </w:rPr>
      </w:pPr>
      <w:r w:rsidRPr="009448E1">
        <w:rPr>
          <w:rFonts w:ascii="Arial Narrow" w:hAnsi="Arial Narrow"/>
        </w:rPr>
        <w:t xml:space="preserve">Rozporządzenie Ministra Zdrowia w sprawie bezpieczeństwa i higieny pracy związanej z występowaniem w miejscu pracy czynników chemicznych (DZ.U. z 2025 r., poz. 836) </w:t>
      </w:r>
      <w:r w:rsidRPr="009448E1">
        <w:rPr>
          <w:rFonts w:ascii="Arial Narrow" w:hAnsi="Arial Narrow"/>
          <w:b/>
          <w:bCs/>
        </w:rPr>
        <w:t xml:space="preserve">określa standardy bezpieczeństwa w zakładzie pracy, za które </w:t>
      </w:r>
      <w:r w:rsidRPr="009448E1">
        <w:rPr>
          <w:rFonts w:ascii="Arial Narrow" w:hAnsi="Arial Narrow"/>
          <w:b/>
          <w:bCs/>
          <w:u w:val="single"/>
        </w:rPr>
        <w:t>odpowiada pracodawca</w:t>
      </w:r>
      <w:r w:rsidRPr="009448E1">
        <w:rPr>
          <w:rFonts w:ascii="Arial Narrow" w:hAnsi="Arial Narrow"/>
          <w:u w:val="single"/>
        </w:rPr>
        <w:t>.</w:t>
      </w:r>
      <w:r w:rsidRPr="009448E1">
        <w:rPr>
          <w:rFonts w:ascii="Arial Narrow" w:hAnsi="Arial Narrow"/>
        </w:rPr>
        <w:t xml:space="preserve"> Rozporządzenie Ministra Zdrowia i Opieki Społecznej z dnia 30 maja 1996 r. w sprawie przeprowadzania badań lekarskich pracowników, zakresu profilaktycznej opieki zdrowotnej nad pracownikami oraz orzeczeń lekarskich wydawanych do celów przewidzianych w Kodeksie Pracy (DZ.U. z 2023 r. poz. 607)-</w:t>
      </w:r>
      <w:r w:rsidRPr="009448E1">
        <w:rPr>
          <w:rFonts w:ascii="Arial Narrow" w:hAnsi="Arial Narrow"/>
          <w:b/>
          <w:bCs/>
        </w:rPr>
        <w:t>określa</w:t>
      </w:r>
      <w:r w:rsidRPr="009448E1">
        <w:rPr>
          <w:rFonts w:ascii="Arial Narrow" w:hAnsi="Arial Narrow"/>
        </w:rPr>
        <w:t xml:space="preserve"> </w:t>
      </w:r>
      <w:r w:rsidRPr="009448E1">
        <w:rPr>
          <w:rFonts w:ascii="Arial Narrow" w:hAnsi="Arial Narrow"/>
          <w:b/>
          <w:bCs/>
          <w:u w:val="single"/>
        </w:rPr>
        <w:t>wytyczne</w:t>
      </w:r>
      <w:r w:rsidRPr="009448E1">
        <w:rPr>
          <w:rFonts w:ascii="Arial Narrow" w:hAnsi="Arial Narrow"/>
          <w:b/>
          <w:bCs/>
        </w:rPr>
        <w:t xml:space="preserve"> dla lekarza</w:t>
      </w:r>
      <w:r w:rsidRPr="009448E1">
        <w:rPr>
          <w:rFonts w:ascii="Arial Narrow" w:hAnsi="Arial Narrow"/>
        </w:rPr>
        <w:t xml:space="preserve">. Wobec powyższego lekarz medycyny pracy nie powinien być jedynym "strażnikiem" normy 15 µg Pb/100 ml. Pracodawca musi mieć jasny zapis w przepisach BHP, aby móc dostosować technologię i środki ochrony zbiorowej do jasno określonych wymogów </w:t>
      </w:r>
      <w:r w:rsidRPr="009448E1">
        <w:rPr>
          <w:rFonts w:ascii="Arial Narrow" w:hAnsi="Arial Narrow"/>
          <w:i/>
          <w:iCs/>
          <w:u w:val="single"/>
        </w:rPr>
        <w:t>zanim</w:t>
      </w:r>
      <w:r w:rsidRPr="009448E1">
        <w:rPr>
          <w:rFonts w:ascii="Arial Narrow" w:hAnsi="Arial Narrow"/>
        </w:rPr>
        <w:t xml:space="preserve"> pracownik zostanie skierowany na badanie i otrzyma orzeczenie o stanie zdrowia.</w:t>
      </w:r>
    </w:p>
    <w:p w14:paraId="1D917DC3" w14:textId="77777777" w:rsidR="009C5268" w:rsidRPr="009448E1" w:rsidRDefault="009C5268" w:rsidP="002713B8">
      <w:pPr>
        <w:numPr>
          <w:ilvl w:val="0"/>
          <w:numId w:val="4"/>
        </w:numPr>
        <w:spacing w:after="0" w:line="300" w:lineRule="auto"/>
        <w:ind w:left="993" w:hanging="284"/>
        <w:jc w:val="both"/>
        <w:rPr>
          <w:rFonts w:ascii="Arial Narrow" w:hAnsi="Arial Narrow"/>
        </w:rPr>
      </w:pPr>
      <w:r w:rsidRPr="009448E1">
        <w:rPr>
          <w:rFonts w:ascii="Arial Narrow" w:hAnsi="Arial Narrow"/>
        </w:rPr>
        <w:t>Dyrektywa 2024/869 nakazuje eliminację zagrożenia u źródła. Przeniesienie normy wartości docelowej DSB do "badań" przesuwa punkt ciężkości na wykrywanie skutków (monitoring biologiczny), zamiast na zapobieganie im przez techniczne obniżanie narażenia.</w:t>
      </w:r>
    </w:p>
    <w:p w14:paraId="67E686D1" w14:textId="77777777" w:rsidR="002713B8" w:rsidRDefault="002713B8" w:rsidP="002713B8">
      <w:pPr>
        <w:spacing w:after="0" w:line="300" w:lineRule="auto"/>
        <w:jc w:val="both"/>
        <w:rPr>
          <w:rFonts w:ascii="Arial Narrow" w:hAnsi="Arial Narrow"/>
          <w:b/>
          <w:bCs/>
        </w:rPr>
      </w:pPr>
    </w:p>
    <w:p w14:paraId="7192638D" w14:textId="53B50963" w:rsidR="009C5268" w:rsidRPr="009448E1" w:rsidRDefault="002713B8" w:rsidP="002713B8">
      <w:pPr>
        <w:spacing w:after="0" w:line="300" w:lineRule="auto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III. </w:t>
      </w:r>
      <w:r w:rsidR="009C5268" w:rsidRPr="009448E1">
        <w:rPr>
          <w:rFonts w:ascii="Arial Narrow" w:hAnsi="Arial Narrow"/>
          <w:b/>
          <w:bCs/>
        </w:rPr>
        <w:t>Wnioski i rekomendacje:</w:t>
      </w:r>
    </w:p>
    <w:p w14:paraId="1801FD87" w14:textId="3B90B3BF" w:rsidR="009C5268" w:rsidRPr="009448E1" w:rsidRDefault="009C5268" w:rsidP="009448E1">
      <w:pPr>
        <w:numPr>
          <w:ilvl w:val="0"/>
          <w:numId w:val="5"/>
        </w:numPr>
        <w:spacing w:after="0" w:line="300" w:lineRule="auto"/>
        <w:jc w:val="both"/>
        <w:rPr>
          <w:rFonts w:ascii="Arial Narrow" w:hAnsi="Arial Narrow"/>
        </w:rPr>
      </w:pPr>
      <w:r w:rsidRPr="009448E1">
        <w:rPr>
          <w:rFonts w:ascii="Arial Narrow" w:hAnsi="Arial Narrow"/>
        </w:rPr>
        <w:t xml:space="preserve">Właściwa implementacja dyrektywy (UE) 2024/869 wymaga umieszczenia wszystkich kluczowych parametrów, </w:t>
      </w:r>
      <w:r w:rsidRPr="009448E1">
        <w:rPr>
          <w:rFonts w:ascii="Arial Narrow" w:hAnsi="Arial Narrow"/>
          <w:b/>
          <w:bCs/>
        </w:rPr>
        <w:t>w tym docelowego DSB</w:t>
      </w:r>
      <w:r w:rsidRPr="009448E1">
        <w:rPr>
          <w:rFonts w:ascii="Arial Narrow" w:hAnsi="Arial Narrow"/>
        </w:rPr>
        <w:t xml:space="preserve"> </w:t>
      </w:r>
      <w:r w:rsidRPr="009448E1">
        <w:rPr>
          <w:rFonts w:ascii="Arial Narrow" w:hAnsi="Arial Narrow"/>
          <w:b/>
          <w:bCs/>
        </w:rPr>
        <w:t>o wartości 15 µg Pb/100 ml krwi obowiązującej od 1 stycznia 2029 r.</w:t>
      </w:r>
      <w:r w:rsidRPr="009448E1">
        <w:rPr>
          <w:rFonts w:ascii="Arial Narrow" w:hAnsi="Arial Narrow"/>
        </w:rPr>
        <w:t xml:space="preserve"> </w:t>
      </w:r>
      <w:r w:rsidRPr="009448E1">
        <w:rPr>
          <w:rFonts w:ascii="Arial Narrow" w:hAnsi="Arial Narrow"/>
          <w:b/>
          <w:bCs/>
        </w:rPr>
        <w:t xml:space="preserve">wraz z </w:t>
      </w:r>
      <w:r w:rsidRPr="009448E1">
        <w:rPr>
          <w:rFonts w:ascii="Arial Narrow" w:hAnsi="Arial Narrow"/>
        </w:rPr>
        <w:t xml:space="preserve">wyłączeniem pracowników zatrudnionych przed 9 kwietnia 2026 r., którzy będą mogli dalej pracować o ile DSB nie przekroczy </w:t>
      </w:r>
      <w:r w:rsidRPr="009448E1">
        <w:rPr>
          <w:rFonts w:ascii="Arial Narrow" w:hAnsi="Arial Narrow"/>
          <w:b/>
          <w:bCs/>
        </w:rPr>
        <w:t xml:space="preserve">30 µg/100 ml i będzie miało tendencje spadkową do 15 µg/100 ml </w:t>
      </w:r>
      <w:r w:rsidRPr="009448E1">
        <w:rPr>
          <w:rFonts w:ascii="Arial Narrow" w:hAnsi="Arial Narrow"/>
        </w:rPr>
        <w:t xml:space="preserve">w jednym, systemowym akcie prawnym dotyczącym BHP, tj. w rozporządzeniu Ministra Zdrowia w sprawie bezpieczeństwa i higieny pracy związanej z występowaniem w miejscu pracy czynników chemicznych (DZ.U. z 2025 r., poz. 836). Takie podejście zapewni </w:t>
      </w:r>
      <w:r w:rsidR="005C3975">
        <w:rPr>
          <w:rFonts w:ascii="Arial Narrow" w:hAnsi="Arial Narrow"/>
        </w:rPr>
        <w:t>pracodawcom</w:t>
      </w:r>
      <w:r w:rsidRPr="009448E1">
        <w:rPr>
          <w:rFonts w:ascii="Arial Narrow" w:hAnsi="Arial Narrow"/>
        </w:rPr>
        <w:t xml:space="preserve"> branży surowcowej niezbędną przewidywalność regulacyjną, pozwalając na skuteczne łączenie najwyższych standardów ochrony zdrowia z efektywnością ekonomiczną.</w:t>
      </w:r>
    </w:p>
    <w:p w14:paraId="1F67EDB3" w14:textId="77777777" w:rsidR="009C5268" w:rsidRPr="009448E1" w:rsidRDefault="009C5268" w:rsidP="009448E1">
      <w:pPr>
        <w:numPr>
          <w:ilvl w:val="0"/>
          <w:numId w:val="5"/>
        </w:numPr>
        <w:spacing w:after="0" w:line="300" w:lineRule="auto"/>
        <w:jc w:val="both"/>
        <w:rPr>
          <w:rFonts w:ascii="Arial Narrow" w:hAnsi="Arial Narrow"/>
        </w:rPr>
      </w:pPr>
      <w:r w:rsidRPr="009448E1">
        <w:rPr>
          <w:rFonts w:ascii="Arial Narrow" w:hAnsi="Arial Narrow"/>
          <w:b/>
          <w:bCs/>
        </w:rPr>
        <w:lastRenderedPageBreak/>
        <w:t>Należy również uwzględnić unijny mechanizm rewizji norm (klauzula przeglądowa). Z</w:t>
      </w:r>
      <w:r w:rsidRPr="009448E1">
        <w:rPr>
          <w:rFonts w:ascii="Arial Narrow" w:hAnsi="Arial Narrow"/>
        </w:rPr>
        <w:t xml:space="preserve">nowelizowana dyrektywa 2004/37/WE (art. 18a ust. 10) nakłada na </w:t>
      </w:r>
      <w:r w:rsidRPr="009448E1">
        <w:rPr>
          <w:rFonts w:ascii="Arial Narrow" w:hAnsi="Arial Narrow"/>
          <w:b/>
          <w:bCs/>
        </w:rPr>
        <w:t>Komisję Europejską obowiązek dokonania kompleksowej oceny dopuszczalnych wartości narażenia zawodowego dla ołowiu do dnia 9 kwietnia 2029 r.</w:t>
      </w:r>
      <w:r w:rsidRPr="009448E1">
        <w:rPr>
          <w:rFonts w:ascii="Arial Narrow" w:hAnsi="Arial Narrow"/>
        </w:rPr>
        <w:t xml:space="preserve"> Ewentualne dalsze zaostrzanie rygorów powinno być wynikiem tego właśnie przeglądu, opartego na najnowszych dowodach naukowych oraz opiniach doradczych (ACSH), a nie efektem jednostronnych decyzji na etapie krajowej implementacji. </w:t>
      </w:r>
    </w:p>
    <w:p w14:paraId="7116B4B5" w14:textId="72956C08" w:rsidR="009C5268" w:rsidRPr="009448E1" w:rsidRDefault="009C5268" w:rsidP="009448E1">
      <w:pPr>
        <w:numPr>
          <w:ilvl w:val="0"/>
          <w:numId w:val="5"/>
        </w:numPr>
        <w:spacing w:after="0" w:line="300" w:lineRule="auto"/>
        <w:jc w:val="both"/>
        <w:rPr>
          <w:rFonts w:ascii="Arial Narrow" w:hAnsi="Arial Narrow"/>
        </w:rPr>
      </w:pPr>
      <w:r w:rsidRPr="009448E1">
        <w:rPr>
          <w:rFonts w:ascii="Arial Narrow" w:hAnsi="Arial Narrow"/>
        </w:rPr>
        <w:t xml:space="preserve">Obecne propozycje legislacyjne, nawet przy zachowaniu modelu 1:1 względem dyrektywy, oznaczają dla polskiego przemysłu wydobywczo-hutniczego bezprecedensowe zaostrzenie wymogów. Przejście z aktualnego poziomu DSB wynoszącego </w:t>
      </w:r>
      <w:r w:rsidRPr="009448E1">
        <w:rPr>
          <w:rFonts w:ascii="Arial Narrow" w:hAnsi="Arial Narrow"/>
          <w:b/>
          <w:bCs/>
        </w:rPr>
        <w:t>50 µg Pb/100 ml</w:t>
      </w:r>
      <w:r w:rsidRPr="009448E1">
        <w:rPr>
          <w:rFonts w:ascii="Arial Narrow" w:hAnsi="Arial Narrow"/>
        </w:rPr>
        <w:t xml:space="preserve"> do wartości docelowej </w:t>
      </w:r>
      <w:r w:rsidRPr="009448E1">
        <w:rPr>
          <w:rFonts w:ascii="Arial Narrow" w:hAnsi="Arial Narrow"/>
          <w:b/>
          <w:bCs/>
        </w:rPr>
        <w:t>15 µg Pb/100 ml</w:t>
      </w:r>
      <w:r w:rsidRPr="009448E1">
        <w:rPr>
          <w:rFonts w:ascii="Arial Narrow" w:hAnsi="Arial Narrow"/>
        </w:rPr>
        <w:t xml:space="preserve"> oznacza redukcję dopuszczalnego stężenia o aż </w:t>
      </w:r>
      <w:r w:rsidRPr="009448E1">
        <w:rPr>
          <w:rFonts w:ascii="Arial Narrow" w:hAnsi="Arial Narrow"/>
          <w:b/>
          <w:bCs/>
        </w:rPr>
        <w:t>70% w ciągu zaledwie trzech lat</w:t>
      </w:r>
      <w:r w:rsidRPr="009448E1">
        <w:rPr>
          <w:rFonts w:ascii="Arial Narrow" w:hAnsi="Arial Narrow"/>
        </w:rPr>
        <w:t>. Towarzyszy temu drastyczne obniżenie wartości NDS do poziomu 0,03 mg/m³.</w:t>
      </w:r>
    </w:p>
    <w:p w14:paraId="4270154B" w14:textId="3252E947" w:rsidR="009C5268" w:rsidRPr="009448E1" w:rsidRDefault="009C5268" w:rsidP="009448E1">
      <w:pPr>
        <w:spacing w:after="0" w:line="300" w:lineRule="auto"/>
        <w:jc w:val="both"/>
        <w:rPr>
          <w:rFonts w:ascii="Arial Narrow" w:hAnsi="Arial Narrow"/>
        </w:rPr>
      </w:pPr>
      <w:r w:rsidRPr="009448E1">
        <w:rPr>
          <w:rFonts w:ascii="Arial Narrow" w:hAnsi="Arial Narrow"/>
        </w:rPr>
        <w:t xml:space="preserve">Wdrożenie tak głębokich zmian wymaga od </w:t>
      </w:r>
      <w:r w:rsidR="00A42065">
        <w:rPr>
          <w:rFonts w:ascii="Arial Narrow" w:hAnsi="Arial Narrow"/>
        </w:rPr>
        <w:t>pracodawców</w:t>
      </w:r>
      <w:r w:rsidRPr="009448E1">
        <w:rPr>
          <w:rFonts w:ascii="Arial Narrow" w:hAnsi="Arial Narrow"/>
        </w:rPr>
        <w:t xml:space="preserve"> całego sektora metali nieżelaznych ogromnych nakładów kapitałowych na modernizację instalacji przemysłowych i systemów wentylacyjnych. W związku z tym, kluczowe jest ścisłe trzymanie się unijnego harmonogramu i poziomów dopuszczalnych, bez nakładania na pracodawców dodatkowych, nadmiarowych obciążeń, które mogłyby zagrozić stabilności operacyjnej strategicznych gałęzi gospodarki.</w:t>
      </w:r>
    </w:p>
    <w:p w14:paraId="60EDAA5F" w14:textId="7010969D" w:rsidR="009C5268" w:rsidRPr="009448E1" w:rsidRDefault="009C5268" w:rsidP="009448E1">
      <w:pPr>
        <w:numPr>
          <w:ilvl w:val="0"/>
          <w:numId w:val="5"/>
        </w:numPr>
        <w:spacing w:after="0" w:line="300" w:lineRule="auto"/>
        <w:jc w:val="both"/>
        <w:rPr>
          <w:rFonts w:ascii="Arial Narrow" w:hAnsi="Arial Narrow"/>
        </w:rPr>
      </w:pPr>
      <w:r w:rsidRPr="009448E1">
        <w:rPr>
          <w:rFonts w:ascii="Arial Narrow" w:hAnsi="Arial Narrow"/>
        </w:rPr>
        <w:t xml:space="preserve">Składając niniejsze stanowisko chcielibyśmy także powrócić do kwestii powołania </w:t>
      </w:r>
      <w:r w:rsidRPr="009448E1">
        <w:rPr>
          <w:rFonts w:ascii="Arial Narrow" w:hAnsi="Arial Narrow"/>
          <w:b/>
          <w:bCs/>
        </w:rPr>
        <w:t xml:space="preserve">Centrum Referencyjnego ds. Monitoringu Biologicznego i Szacowania Ryzyka (dalej: Centrum), </w:t>
      </w:r>
      <w:r w:rsidRPr="009448E1">
        <w:rPr>
          <w:rFonts w:ascii="Arial Narrow" w:hAnsi="Arial Narrow"/>
        </w:rPr>
        <w:t xml:space="preserve">którego inicjatorem jest Instytut Medycyny Pracy oraz </w:t>
      </w:r>
      <w:r w:rsidR="00A42065">
        <w:rPr>
          <w:rFonts w:ascii="Arial Narrow" w:hAnsi="Arial Narrow"/>
        </w:rPr>
        <w:t>podmioty członkowskie ZPPM</w:t>
      </w:r>
      <w:r w:rsidRPr="009448E1">
        <w:rPr>
          <w:rFonts w:ascii="Arial Narrow" w:hAnsi="Arial Narrow"/>
        </w:rPr>
        <w:t xml:space="preserve">. .Polska jest jedynym krajem UE o tak znaczącym udziale przemysłu metalurgicznego, który </w:t>
      </w:r>
      <w:r w:rsidRPr="009448E1">
        <w:rPr>
          <w:rFonts w:ascii="Arial Narrow" w:hAnsi="Arial Narrow"/>
          <w:b/>
          <w:bCs/>
        </w:rPr>
        <w:t>nie posiada centralnej jednostki referencyjnej</w:t>
      </w:r>
      <w:r w:rsidRPr="009448E1">
        <w:rPr>
          <w:rFonts w:ascii="Arial Narrow" w:hAnsi="Arial Narrow"/>
        </w:rPr>
        <w:t xml:space="preserve"> dostarczającej danych naukowych do procesów legislacyjnych UE. W kontekście wspomnianej wyżej oceny </w:t>
      </w:r>
      <w:r w:rsidRPr="009448E1">
        <w:rPr>
          <w:rFonts w:ascii="Arial Narrow" w:hAnsi="Arial Narrow"/>
          <w:b/>
          <w:bCs/>
        </w:rPr>
        <w:t>dopuszczalnych wartości narażenia zawodowego dla ołowiu zapowiadanej przez KE działalność takiej krajowej instytucji jest konieczne. Ma ono również istotne znaczenie w związku z generalnym trendem w UE dla poszerzania katalogu DSB dla innych substancji chemicznych. DSB jest wreszcie jedynym punktem odniesienia dla oceny skutków narażenia i efektywności działań ukierunkowanych na ochronę zdrowia pracownika.</w:t>
      </w:r>
    </w:p>
    <w:p w14:paraId="18ADED55" w14:textId="77777777" w:rsidR="009C5268" w:rsidRPr="009448E1" w:rsidRDefault="009C5268" w:rsidP="009448E1">
      <w:pPr>
        <w:numPr>
          <w:ilvl w:val="1"/>
          <w:numId w:val="5"/>
        </w:numPr>
        <w:spacing w:after="0" w:line="300" w:lineRule="auto"/>
        <w:jc w:val="both"/>
        <w:rPr>
          <w:rFonts w:ascii="Arial Narrow" w:hAnsi="Arial Narrow"/>
        </w:rPr>
      </w:pPr>
      <w:r w:rsidRPr="009448E1">
        <w:rPr>
          <w:rFonts w:ascii="Arial Narrow" w:hAnsi="Arial Narrow"/>
          <w:b/>
          <w:bCs/>
        </w:rPr>
        <w:t>Liderzy UE (Niemcy – UBA, Finlandia – FIOH, Francja – ANSES)</w:t>
      </w:r>
      <w:r w:rsidRPr="009448E1">
        <w:rPr>
          <w:rFonts w:ascii="Arial Narrow" w:hAnsi="Arial Narrow"/>
        </w:rPr>
        <w:t xml:space="preserve"> posiadają własne centra, które realnie kształtują unijne limity (OEL/DSB) w oparciu o interesy swoich gospodarek.</w:t>
      </w:r>
    </w:p>
    <w:p w14:paraId="6376A227" w14:textId="77777777" w:rsidR="009C5268" w:rsidRPr="009448E1" w:rsidRDefault="009C5268" w:rsidP="009448E1">
      <w:pPr>
        <w:numPr>
          <w:ilvl w:val="1"/>
          <w:numId w:val="5"/>
        </w:numPr>
        <w:spacing w:after="0" w:line="300" w:lineRule="auto"/>
        <w:jc w:val="both"/>
        <w:rPr>
          <w:rFonts w:ascii="Arial Narrow" w:hAnsi="Arial Narrow"/>
        </w:rPr>
      </w:pPr>
      <w:r w:rsidRPr="009448E1">
        <w:rPr>
          <w:rFonts w:ascii="Arial Narrow" w:hAnsi="Arial Narrow"/>
          <w:b/>
          <w:bCs/>
        </w:rPr>
        <w:t>Polska jest biernym odbiorcą norm</w:t>
      </w:r>
      <w:r w:rsidRPr="009448E1">
        <w:rPr>
          <w:rFonts w:ascii="Arial Narrow" w:hAnsi="Arial Narrow"/>
        </w:rPr>
        <w:t>, co skutkuje narzucaniem rygorystycznych standardów (np. 15 µg Pb/100 ml) bez uwzględnienia polskiej specyfiki geologicznej i technologicznej.</w:t>
      </w:r>
    </w:p>
    <w:p w14:paraId="5937AEEC" w14:textId="282ACA0D" w:rsidR="009C5268" w:rsidRPr="009448E1" w:rsidRDefault="009C5268" w:rsidP="009448E1">
      <w:pPr>
        <w:spacing w:after="0" w:line="300" w:lineRule="auto"/>
        <w:jc w:val="both"/>
        <w:rPr>
          <w:rFonts w:ascii="Arial Narrow" w:hAnsi="Arial Narrow"/>
        </w:rPr>
      </w:pPr>
      <w:r w:rsidRPr="009448E1">
        <w:rPr>
          <w:rFonts w:ascii="Arial Narrow" w:hAnsi="Arial Narrow"/>
          <w:b/>
          <w:bCs/>
        </w:rPr>
        <w:t xml:space="preserve">Ryzyka dla </w:t>
      </w:r>
      <w:r w:rsidR="006F329F">
        <w:rPr>
          <w:rFonts w:ascii="Arial Narrow" w:hAnsi="Arial Narrow"/>
          <w:b/>
          <w:bCs/>
        </w:rPr>
        <w:t>podmiotów polskiego przemysłu wydobywczego i hutniczego</w:t>
      </w:r>
      <w:r w:rsidRPr="009448E1">
        <w:rPr>
          <w:rFonts w:ascii="Arial Narrow" w:hAnsi="Arial Narrow"/>
          <w:b/>
          <w:bCs/>
        </w:rPr>
        <w:t xml:space="preserve"> oraz gospodarki Polski w związku z brakiem Centrum</w:t>
      </w:r>
    </w:p>
    <w:p w14:paraId="483E7E22" w14:textId="77777777" w:rsidR="009C5268" w:rsidRPr="009448E1" w:rsidRDefault="009C5268" w:rsidP="009448E1">
      <w:pPr>
        <w:numPr>
          <w:ilvl w:val="1"/>
          <w:numId w:val="6"/>
        </w:numPr>
        <w:spacing w:after="0" w:line="300" w:lineRule="auto"/>
        <w:jc w:val="both"/>
        <w:rPr>
          <w:rFonts w:ascii="Arial Narrow" w:hAnsi="Arial Narrow"/>
        </w:rPr>
      </w:pPr>
      <w:r w:rsidRPr="009448E1">
        <w:rPr>
          <w:rFonts w:ascii="Arial Narrow" w:hAnsi="Arial Narrow"/>
          <w:b/>
          <w:bCs/>
        </w:rPr>
        <w:t>Utrata wpływu na rewizję norm NDS i DSB w 2029 r.:</w:t>
      </w:r>
      <w:r w:rsidRPr="009448E1">
        <w:rPr>
          <w:rFonts w:ascii="Arial Narrow" w:hAnsi="Arial Narrow"/>
        </w:rPr>
        <w:t xml:space="preserve"> Dyrektywa 2024/869 przewiduje kolejny przegląd limitów dla ołowiu. Bez własnej bazy danych (Evidence-Based Policy) Polska nie przedstawi kontrargumentów naukowych w Brukseli.</w:t>
      </w:r>
    </w:p>
    <w:p w14:paraId="2079B57F" w14:textId="77777777" w:rsidR="009C5268" w:rsidRPr="009448E1" w:rsidRDefault="009C5268" w:rsidP="009448E1">
      <w:pPr>
        <w:numPr>
          <w:ilvl w:val="1"/>
          <w:numId w:val="6"/>
        </w:numPr>
        <w:spacing w:after="0" w:line="300" w:lineRule="auto"/>
        <w:jc w:val="both"/>
        <w:rPr>
          <w:rFonts w:ascii="Arial Narrow" w:hAnsi="Arial Narrow"/>
        </w:rPr>
      </w:pPr>
      <w:r w:rsidRPr="009448E1">
        <w:rPr>
          <w:rFonts w:ascii="Arial Narrow" w:hAnsi="Arial Narrow"/>
          <w:b/>
          <w:bCs/>
        </w:rPr>
        <w:t>Ryzyko „Gold-platingu”:</w:t>
      </w:r>
      <w:r w:rsidRPr="009448E1">
        <w:rPr>
          <w:rFonts w:ascii="Arial Narrow" w:hAnsi="Arial Narrow"/>
        </w:rPr>
        <w:t xml:space="preserve"> Brak krajowych badań utrudnia merytoryczną obronę przed nadmiarowym zaostrzaniem przepisów krajowych przez Ministerstwo Zdrowia.</w:t>
      </w:r>
    </w:p>
    <w:p w14:paraId="78348620" w14:textId="77777777" w:rsidR="009C5268" w:rsidRPr="009448E1" w:rsidRDefault="009C5268" w:rsidP="009448E1">
      <w:pPr>
        <w:numPr>
          <w:ilvl w:val="1"/>
          <w:numId w:val="6"/>
        </w:numPr>
        <w:spacing w:after="0" w:line="300" w:lineRule="auto"/>
        <w:jc w:val="both"/>
        <w:rPr>
          <w:rFonts w:ascii="Arial Narrow" w:hAnsi="Arial Narrow"/>
        </w:rPr>
      </w:pPr>
      <w:r w:rsidRPr="009448E1">
        <w:rPr>
          <w:rFonts w:ascii="Arial Narrow" w:hAnsi="Arial Narrow"/>
          <w:b/>
          <w:bCs/>
        </w:rPr>
        <w:t>Zagrożenie konkurencyjności:</w:t>
      </w:r>
      <w:r w:rsidRPr="009448E1">
        <w:rPr>
          <w:rFonts w:ascii="Arial Narrow" w:hAnsi="Arial Narrow"/>
        </w:rPr>
        <w:t xml:space="preserve"> Implementacja norm niedostosowanych do polskich realiów generuje nieproporcjonalne koszty inwestycyjne w systemy wentylacji, filtracji oraz szeroko pojętej ochrony zdrowia.</w:t>
      </w:r>
    </w:p>
    <w:p w14:paraId="120A7449" w14:textId="77777777" w:rsidR="009C5268" w:rsidRPr="009448E1" w:rsidRDefault="009C5268" w:rsidP="009448E1">
      <w:pPr>
        <w:spacing w:after="0" w:line="300" w:lineRule="auto"/>
        <w:jc w:val="both"/>
        <w:rPr>
          <w:rFonts w:ascii="Arial Narrow" w:hAnsi="Arial Narrow"/>
        </w:rPr>
      </w:pPr>
      <w:r w:rsidRPr="009448E1">
        <w:rPr>
          <w:rFonts w:ascii="Arial Narrow" w:hAnsi="Arial Narrow"/>
          <w:b/>
          <w:bCs/>
        </w:rPr>
        <w:lastRenderedPageBreak/>
        <w:t>Korzyści strategiczne z powołania Centrum</w:t>
      </w:r>
    </w:p>
    <w:p w14:paraId="361BD555" w14:textId="77777777" w:rsidR="009C5268" w:rsidRPr="009448E1" w:rsidRDefault="009C5268" w:rsidP="009448E1">
      <w:pPr>
        <w:numPr>
          <w:ilvl w:val="1"/>
          <w:numId w:val="7"/>
        </w:numPr>
        <w:spacing w:after="0" w:line="300" w:lineRule="auto"/>
        <w:jc w:val="both"/>
        <w:rPr>
          <w:rFonts w:ascii="Arial Narrow" w:hAnsi="Arial Narrow"/>
        </w:rPr>
      </w:pPr>
      <w:r w:rsidRPr="009448E1">
        <w:rPr>
          <w:rFonts w:ascii="Arial Narrow" w:hAnsi="Arial Narrow"/>
          <w:b/>
          <w:bCs/>
        </w:rPr>
        <w:t>Suwerenność regulacyjna:</w:t>
      </w:r>
      <w:r w:rsidRPr="009448E1">
        <w:rPr>
          <w:rFonts w:ascii="Arial Narrow" w:hAnsi="Arial Narrow"/>
        </w:rPr>
        <w:t xml:space="preserve"> Polska zyskuje narzędzie do aktywnego współtworzenia unijnej polityki chemicznej, zamiast jedynie ją wdrażać.</w:t>
      </w:r>
    </w:p>
    <w:p w14:paraId="64D3FC49" w14:textId="4289ACE3" w:rsidR="009C5268" w:rsidRPr="009448E1" w:rsidRDefault="009C5268" w:rsidP="009448E1">
      <w:pPr>
        <w:numPr>
          <w:ilvl w:val="1"/>
          <w:numId w:val="7"/>
        </w:numPr>
        <w:spacing w:after="0" w:line="300" w:lineRule="auto"/>
        <w:jc w:val="both"/>
        <w:rPr>
          <w:rFonts w:ascii="Arial Narrow" w:hAnsi="Arial Narrow"/>
        </w:rPr>
      </w:pPr>
      <w:r w:rsidRPr="009448E1">
        <w:rPr>
          <w:rFonts w:ascii="Arial Narrow" w:hAnsi="Arial Narrow"/>
          <w:b/>
          <w:bCs/>
        </w:rPr>
        <w:t>Wsparcie dla</w:t>
      </w:r>
      <w:r w:rsidR="00EF63AD">
        <w:rPr>
          <w:rFonts w:ascii="Arial Narrow" w:hAnsi="Arial Narrow"/>
          <w:b/>
          <w:bCs/>
        </w:rPr>
        <w:t xml:space="preserve"> pracodawców</w:t>
      </w:r>
      <w:r w:rsidRPr="009448E1">
        <w:rPr>
          <w:rFonts w:ascii="Arial Narrow" w:hAnsi="Arial Narrow"/>
          <w:b/>
          <w:bCs/>
        </w:rPr>
        <w:t>:</w:t>
      </w:r>
      <w:r w:rsidRPr="009448E1">
        <w:rPr>
          <w:rFonts w:ascii="Arial Narrow" w:hAnsi="Arial Narrow"/>
        </w:rPr>
        <w:t xml:space="preserve"> Centrum dostarczy twardych danych biomonitoringowych, które pozwolą na racjonalizację wymogów BHP i optymalizację kosztów ochrony zdrowia pracowników.</w:t>
      </w:r>
    </w:p>
    <w:p w14:paraId="338277A1" w14:textId="77777777" w:rsidR="009C5268" w:rsidRPr="009448E1" w:rsidRDefault="009C5268" w:rsidP="009448E1">
      <w:pPr>
        <w:numPr>
          <w:ilvl w:val="1"/>
          <w:numId w:val="7"/>
        </w:numPr>
        <w:spacing w:after="0" w:line="300" w:lineRule="auto"/>
        <w:jc w:val="both"/>
        <w:rPr>
          <w:rFonts w:ascii="Arial Narrow" w:hAnsi="Arial Narrow"/>
        </w:rPr>
      </w:pPr>
      <w:r w:rsidRPr="009448E1">
        <w:rPr>
          <w:rFonts w:ascii="Arial Narrow" w:hAnsi="Arial Narrow"/>
          <w:b/>
          <w:bCs/>
        </w:rPr>
        <w:t>Bezpieczeństwo surowcowe:</w:t>
      </w:r>
      <w:r w:rsidRPr="009448E1">
        <w:rPr>
          <w:rFonts w:ascii="Arial Narrow" w:hAnsi="Arial Narrow"/>
        </w:rPr>
        <w:t xml:space="preserve"> Ochrona procesów wydobywczo-hutniczych przed paraliżem regulacyjnym wynikającym z arbitralnie przyjmowanych modeli matematycznych z zachodnich ośrodków badawczych.</w:t>
      </w:r>
    </w:p>
    <w:p w14:paraId="2F341FAD" w14:textId="6FB8725F" w:rsidR="009C5268" w:rsidRPr="009448E1" w:rsidRDefault="006F6632" w:rsidP="009448E1">
      <w:pPr>
        <w:spacing w:after="0" w:line="30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ZPPM</w:t>
      </w:r>
      <w:r w:rsidR="009C5268" w:rsidRPr="009448E1">
        <w:rPr>
          <w:rFonts w:ascii="Arial Narrow" w:hAnsi="Arial Narrow"/>
        </w:rPr>
        <w:t xml:space="preserve"> deklaruje pełną otwartość na merytoryczny dialog z Ministerstwem Zdrowia oraz gotowość do udostępnienia wiedzy eksperckiej w toku dalszych prac nad implementacją dyrektywy 2024/869. Jako podmiot o kluczowym znaczeniu dla bezpieczeństwa surowcowego kraju, czujemy się odpowiedzialni za wypracowanie regulacji, które będą efektywne i wykonalne. Wyrażamy również pełną wolę współpracy w pracach nad utworzeniem </w:t>
      </w:r>
      <w:r w:rsidR="009C5268" w:rsidRPr="009448E1">
        <w:rPr>
          <w:rFonts w:ascii="Arial Narrow" w:hAnsi="Arial Narrow"/>
          <w:b/>
          <w:bCs/>
        </w:rPr>
        <w:t>Centrum Referencyjnego ds. Monitoringu Biologicznego i Szacowania</w:t>
      </w:r>
      <w:r>
        <w:rPr>
          <w:rFonts w:ascii="Arial Narrow" w:hAnsi="Arial Narrow"/>
          <w:b/>
          <w:bCs/>
        </w:rPr>
        <w:t xml:space="preserve"> </w:t>
      </w:r>
      <w:r w:rsidR="009C5268" w:rsidRPr="009448E1">
        <w:rPr>
          <w:rFonts w:ascii="Arial Narrow" w:hAnsi="Arial Narrow"/>
          <w:b/>
          <w:bCs/>
        </w:rPr>
        <w:t>Ryzyka.</w:t>
      </w:r>
    </w:p>
    <w:p w14:paraId="39E9D096" w14:textId="2C76091C" w:rsidR="00410207" w:rsidRPr="009448E1" w:rsidRDefault="009C5268" w:rsidP="009448E1">
      <w:pPr>
        <w:spacing w:after="0" w:line="300" w:lineRule="auto"/>
        <w:jc w:val="both"/>
        <w:rPr>
          <w:rFonts w:ascii="Arial Narrow" w:hAnsi="Arial Narrow"/>
        </w:rPr>
      </w:pPr>
      <w:r w:rsidRPr="009448E1">
        <w:rPr>
          <w:rFonts w:ascii="Arial Narrow" w:hAnsi="Arial Narrow"/>
        </w:rPr>
        <w:t xml:space="preserve">Wyrażamy głębokie przekonanie, że uwzględnienie naszych uwag pozwoli na stworzenie przepisów, które – zgodnie z intencją europejskiego ustawodawcy – zagwarantują najwyższy poziom ochrony zdrowia załogi, nie naruszając przy tym fundamentów technicznych i ekonomicznych polskiego górnictwa oraz hutnictwa miedzi. Zapewnią również przewidywalność i przejrzystość otoczenia gospodarczego niezwykle istotną dla prowadzenia działalności przemysłowej. Właściwa konstrukcja rozporządzenia, oparta na czytelnym harmonogramie i unikaniu nadmiarowych obciążeń, jest niezbędna dla utrzymania globalnej konkurencyjności </w:t>
      </w:r>
      <w:r w:rsidR="006F6632">
        <w:rPr>
          <w:rFonts w:ascii="Arial Narrow" w:hAnsi="Arial Narrow"/>
        </w:rPr>
        <w:t>podmiotów członkowskich ZPPM</w:t>
      </w:r>
      <w:r w:rsidRPr="009448E1">
        <w:rPr>
          <w:rFonts w:ascii="Arial Narrow" w:hAnsi="Arial Narrow"/>
        </w:rPr>
        <w:t xml:space="preserve"> w dobie transformacji energetycznej, niestabilności surowcowej oraz uwarunkowań związanych bezpieczeństwem Polski i UE</w:t>
      </w:r>
      <w:r w:rsidR="006F6632">
        <w:rPr>
          <w:rFonts w:ascii="Arial Narrow" w:hAnsi="Arial Narrow"/>
        </w:rPr>
        <w:t>.</w:t>
      </w:r>
    </w:p>
    <w:p w14:paraId="59F3D4F8" w14:textId="77777777" w:rsidR="00B70BB5" w:rsidRPr="009448E1" w:rsidRDefault="00B70BB5" w:rsidP="009448E1">
      <w:pPr>
        <w:spacing w:after="0" w:line="300" w:lineRule="auto"/>
        <w:jc w:val="both"/>
        <w:rPr>
          <w:rFonts w:ascii="Arial Narrow" w:hAnsi="Arial Narrow"/>
        </w:rPr>
      </w:pPr>
    </w:p>
    <w:sectPr w:rsidR="00B70BB5" w:rsidRPr="009448E1" w:rsidSect="00410207">
      <w:headerReference w:type="default" r:id="rId8"/>
      <w:footerReference w:type="default" r:id="rId9"/>
      <w:pgSz w:w="11906" w:h="16838"/>
      <w:pgMar w:top="1417" w:right="1417" w:bottom="1417" w:left="1417" w:header="426" w:footer="2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6FC48" w14:textId="77777777" w:rsidR="002860B4" w:rsidRDefault="002860B4" w:rsidP="00410207">
      <w:pPr>
        <w:spacing w:after="0" w:line="240" w:lineRule="auto"/>
      </w:pPr>
      <w:r>
        <w:separator/>
      </w:r>
    </w:p>
  </w:endnote>
  <w:endnote w:type="continuationSeparator" w:id="0">
    <w:p w14:paraId="161B3E8B" w14:textId="77777777" w:rsidR="002860B4" w:rsidRDefault="002860B4" w:rsidP="00410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0EF47" w14:textId="77777777" w:rsidR="00410207" w:rsidRDefault="00410207" w:rsidP="00410207">
    <w:pPr>
      <w:spacing w:line="240" w:lineRule="auto"/>
      <w:jc w:val="both"/>
      <w:rPr>
        <w:rFonts w:ascii="Arial Narrow" w:hAnsi="Arial Narrow"/>
        <w:b/>
        <w:color w:val="C00000"/>
      </w:rPr>
    </w:pPr>
    <w:r>
      <w:rPr>
        <w:rFonts w:ascii="Arial Narrow" w:hAnsi="Arial Narrow"/>
        <w:b/>
        <w:color w:val="C00000"/>
      </w:rPr>
      <w:t>____________________________________________________________________________________</w:t>
    </w:r>
  </w:p>
  <w:p w14:paraId="5D184863" w14:textId="77777777" w:rsidR="00410207" w:rsidRPr="00410207" w:rsidRDefault="00410207" w:rsidP="00410207">
    <w:pPr>
      <w:spacing w:line="240" w:lineRule="auto"/>
      <w:rPr>
        <w:rFonts w:ascii="Arial Narrow" w:hAnsi="Arial Narrow"/>
        <w:b/>
        <w:color w:val="C00000"/>
      </w:rPr>
    </w:pPr>
    <w:r>
      <w:rPr>
        <w:rFonts w:ascii="Arial Narrow" w:hAnsi="Arial Narrow"/>
        <w:b/>
        <w:color w:val="C00000"/>
      </w:rPr>
      <w:t>Związek Pracodawców Polska Miedź</w:t>
    </w:r>
    <w:r>
      <w:rPr>
        <w:rFonts w:ascii="Arial Narrow" w:hAnsi="Arial Narrow"/>
        <w:b/>
        <w:color w:val="C00000"/>
      </w:rPr>
      <w:br/>
    </w:r>
    <w:r>
      <w:rPr>
        <w:rFonts w:ascii="Arial Narrow" w:hAnsi="Arial Narrow"/>
        <w:sz w:val="18"/>
        <w:szCs w:val="18"/>
      </w:rPr>
      <w:t>NIP: 692-11-70-332; Regon 390437022</w:t>
    </w:r>
    <w:r>
      <w:rPr>
        <w:rFonts w:ascii="Arial Narrow" w:hAnsi="Arial Narrow"/>
        <w:b/>
        <w:color w:val="C00000"/>
      </w:rPr>
      <w:br/>
    </w:r>
    <w:r>
      <w:rPr>
        <w:rFonts w:ascii="Arial Narrow" w:hAnsi="Arial Narrow"/>
        <w:sz w:val="18"/>
        <w:szCs w:val="18"/>
      </w:rPr>
      <w:t>ul. Rycerska 24, 59-220 Legnica</w:t>
    </w:r>
    <w:r>
      <w:rPr>
        <w:rFonts w:ascii="Arial Narrow" w:hAnsi="Arial Narrow"/>
        <w:b/>
        <w:color w:val="C00000"/>
      </w:rPr>
      <w:br/>
    </w:r>
    <w:r>
      <w:rPr>
        <w:rFonts w:ascii="Arial Narrow" w:hAnsi="Arial Narrow"/>
        <w:color w:val="000000"/>
        <w:sz w:val="18"/>
        <w:szCs w:val="18"/>
      </w:rPr>
      <w:t xml:space="preserve">Tel. 76/8478585; e-mail: </w:t>
    </w:r>
    <w:hyperlink r:id="rId1" w:history="1">
      <w:r>
        <w:rPr>
          <w:rStyle w:val="Hipercze"/>
          <w:rFonts w:ascii="Arial Narrow" w:hAnsi="Arial Narrow"/>
          <w:color w:val="000000"/>
          <w:sz w:val="18"/>
          <w:szCs w:val="18"/>
        </w:rPr>
        <w:t>sekretariat@pracodawcy.pl</w:t>
      </w:r>
    </w:hyperlink>
    <w:r>
      <w:rPr>
        <w:rFonts w:ascii="Arial Narrow" w:hAnsi="Arial Narrow"/>
        <w:color w:val="000000"/>
        <w:sz w:val="18"/>
        <w:szCs w:val="18"/>
      </w:rPr>
      <w:tab/>
    </w:r>
    <w:r>
      <w:rPr>
        <w:rFonts w:ascii="Arial Narrow" w:hAnsi="Arial Narrow"/>
        <w:color w:val="000000"/>
        <w:sz w:val="18"/>
        <w:szCs w:val="18"/>
      </w:rPr>
      <w:tab/>
    </w:r>
    <w:r>
      <w:rPr>
        <w:rFonts w:ascii="Arial Narrow" w:hAnsi="Arial Narrow"/>
        <w:color w:val="000000"/>
        <w:sz w:val="18"/>
        <w:szCs w:val="18"/>
      </w:rPr>
      <w:tab/>
    </w:r>
    <w:r>
      <w:rPr>
        <w:rFonts w:ascii="Arial Narrow" w:hAnsi="Arial Narrow"/>
        <w:color w:val="000000"/>
        <w:sz w:val="18"/>
        <w:szCs w:val="18"/>
      </w:rPr>
      <w:tab/>
    </w:r>
    <w:r>
      <w:rPr>
        <w:rFonts w:ascii="Arial Narrow" w:hAnsi="Arial Narrow"/>
        <w:color w:val="000000"/>
        <w:sz w:val="18"/>
        <w:szCs w:val="18"/>
      </w:rPr>
      <w:tab/>
    </w:r>
    <w:r>
      <w:rPr>
        <w:rFonts w:ascii="Arial Narrow" w:hAnsi="Arial Narrow"/>
        <w:color w:val="000000"/>
        <w:sz w:val="18"/>
        <w:szCs w:val="18"/>
      </w:rPr>
      <w:tab/>
    </w:r>
    <w:hyperlink r:id="rId2" w:history="1">
      <w:r>
        <w:rPr>
          <w:rStyle w:val="Hipercze"/>
          <w:rFonts w:ascii="Arial Narrow" w:hAnsi="Arial Narrow"/>
          <w:color w:val="000000"/>
          <w:sz w:val="18"/>
          <w:szCs w:val="18"/>
        </w:rPr>
        <w:t>www.pracodawcy.pl</w:t>
      </w:r>
    </w:hyperlink>
  </w:p>
  <w:p w14:paraId="079DF6C1" w14:textId="77777777" w:rsidR="00410207" w:rsidRPr="00410207" w:rsidRDefault="00410207" w:rsidP="004102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2620" w14:textId="77777777" w:rsidR="002860B4" w:rsidRDefault="002860B4" w:rsidP="00410207">
      <w:pPr>
        <w:spacing w:after="0" w:line="240" w:lineRule="auto"/>
      </w:pPr>
      <w:r>
        <w:separator/>
      </w:r>
    </w:p>
  </w:footnote>
  <w:footnote w:type="continuationSeparator" w:id="0">
    <w:p w14:paraId="7F347C54" w14:textId="77777777" w:rsidR="002860B4" w:rsidRDefault="002860B4" w:rsidP="00410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F0EA3" w14:textId="0D93DA53" w:rsidR="00CB159B" w:rsidRPr="00CB159B" w:rsidRDefault="00CB159B" w:rsidP="00CB159B">
    <w:pPr>
      <w:pStyle w:val="Nagwek"/>
      <w:ind w:left="-284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7C2B5985" wp14:editId="1F4D4B57">
          <wp:extent cx="6484620" cy="1006432"/>
          <wp:effectExtent l="0" t="0" r="0" b="0"/>
          <wp:docPr id="1812605147" name="Obraz 5" descr="Obraz zawierający tekst, zrzut ekranu, Czcion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605147" name="Obraz 5" descr="Obraz zawierający tekst, zrzut ekranu, Czcionka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4242" cy="1014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175478" w14:textId="392C1184" w:rsidR="00410207" w:rsidRDefault="00410207" w:rsidP="00CB159B">
    <w:pPr>
      <w:pStyle w:val="Nagwek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4539"/>
    <w:multiLevelType w:val="hybridMultilevel"/>
    <w:tmpl w:val="66EE5168"/>
    <w:lvl w:ilvl="0" w:tplc="4C64F6F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457C94"/>
    <w:multiLevelType w:val="hybridMultilevel"/>
    <w:tmpl w:val="B4EC5E48"/>
    <w:lvl w:ilvl="0" w:tplc="00E225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E1E78"/>
    <w:multiLevelType w:val="hybridMultilevel"/>
    <w:tmpl w:val="8940C6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11AF410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902327"/>
    <w:multiLevelType w:val="hybridMultilevel"/>
    <w:tmpl w:val="6C485F46"/>
    <w:lvl w:ilvl="0" w:tplc="53AE963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6F7BC3"/>
    <w:multiLevelType w:val="hybridMultilevel"/>
    <w:tmpl w:val="6930C6F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8B547A46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1A231D"/>
    <w:multiLevelType w:val="hybridMultilevel"/>
    <w:tmpl w:val="35C429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8534F"/>
    <w:multiLevelType w:val="hybridMultilevel"/>
    <w:tmpl w:val="B0345544"/>
    <w:lvl w:ilvl="0" w:tplc="94809730">
      <w:start w:val="1"/>
      <w:numFmt w:val="upperRoman"/>
      <w:lvlText w:val="%1."/>
      <w:lvlJc w:val="left"/>
      <w:pPr>
        <w:ind w:left="2136" w:hanging="72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7A474B7A"/>
    <w:multiLevelType w:val="hybridMultilevel"/>
    <w:tmpl w:val="88B4E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35094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26102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59775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7266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35784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12651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6828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0010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207"/>
    <w:rsid w:val="002441C2"/>
    <w:rsid w:val="002713B8"/>
    <w:rsid w:val="002860B4"/>
    <w:rsid w:val="00410207"/>
    <w:rsid w:val="005C3975"/>
    <w:rsid w:val="006F329F"/>
    <w:rsid w:val="006F6632"/>
    <w:rsid w:val="00711607"/>
    <w:rsid w:val="00774D0C"/>
    <w:rsid w:val="009448E1"/>
    <w:rsid w:val="009C5268"/>
    <w:rsid w:val="00A42065"/>
    <w:rsid w:val="00B70BB5"/>
    <w:rsid w:val="00C511A8"/>
    <w:rsid w:val="00CB159B"/>
    <w:rsid w:val="00EF63AD"/>
    <w:rsid w:val="00F76652"/>
    <w:rsid w:val="00FA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47B28"/>
  <w15:chartTrackingRefBased/>
  <w15:docId w15:val="{1E13E4A2-A3EA-49CA-96A0-685008AD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207"/>
  </w:style>
  <w:style w:type="paragraph" w:styleId="Stopka">
    <w:name w:val="footer"/>
    <w:basedOn w:val="Normalny"/>
    <w:link w:val="StopkaZnak"/>
    <w:uiPriority w:val="99"/>
    <w:unhideWhenUsed/>
    <w:rsid w:val="00410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207"/>
  </w:style>
  <w:style w:type="character" w:styleId="Hipercze">
    <w:name w:val="Hyperlink"/>
    <w:rsid w:val="0041020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0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20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51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codawcy.pl" TargetMode="External"/><Relationship Id="rId1" Type="http://schemas.openxmlformats.org/officeDocument/2006/relationships/hyperlink" Target="mailto:sekretariat@pracodawcy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4B9C3-8064-4313-A2A7-9A98D2A00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1679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Grzelak</dc:creator>
  <cp:keywords/>
  <dc:description/>
  <cp:lastModifiedBy>Tomasz Kuydowicz</cp:lastModifiedBy>
  <cp:revision>10</cp:revision>
  <cp:lastPrinted>2024-10-21T07:32:00Z</cp:lastPrinted>
  <dcterms:created xsi:type="dcterms:W3CDTF">2026-04-01T10:39:00Z</dcterms:created>
  <dcterms:modified xsi:type="dcterms:W3CDTF">2026-04-01T11:25:00Z</dcterms:modified>
</cp:coreProperties>
</file>