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1160" w14:textId="77777777" w:rsidR="00C06623" w:rsidRPr="00C06623" w:rsidRDefault="00C06623" w:rsidP="00C06623">
      <w:pPr>
        <w:spacing w:after="0" w:line="240" w:lineRule="auto"/>
        <w:jc w:val="center"/>
        <w:rPr>
          <w:rFonts w:ascii="Arial Narrow" w:hAnsi="Arial Narrow" w:cs="Times New Roman"/>
          <w:b/>
          <w:bCs/>
        </w:rPr>
      </w:pPr>
      <w:bookmarkStart w:id="0" w:name="_Hlk107398740"/>
      <w:r w:rsidRPr="00C06623">
        <w:rPr>
          <w:rFonts w:ascii="Arial Narrow" w:hAnsi="Arial Narrow" w:cs="Times New Roman"/>
          <w:b/>
          <w:bCs/>
        </w:rPr>
        <w:t xml:space="preserve">Uwagi </w:t>
      </w:r>
    </w:p>
    <w:p w14:paraId="41548BE2" w14:textId="77777777" w:rsidR="00C06623" w:rsidRPr="00C06623" w:rsidRDefault="00C06623" w:rsidP="00C06623">
      <w:pPr>
        <w:spacing w:after="0" w:line="240" w:lineRule="auto"/>
        <w:jc w:val="center"/>
        <w:rPr>
          <w:rFonts w:ascii="Arial Narrow" w:hAnsi="Arial Narrow" w:cs="Times New Roman"/>
          <w:b/>
          <w:bCs/>
        </w:rPr>
      </w:pPr>
      <w:r w:rsidRPr="00C06623">
        <w:rPr>
          <w:rFonts w:ascii="Arial Narrow" w:hAnsi="Arial Narrow" w:cs="Times New Roman"/>
          <w:b/>
          <w:bCs/>
        </w:rPr>
        <w:t>do projektu</w:t>
      </w:r>
      <w:bookmarkStart w:id="1" w:name="_Hlk163464623"/>
      <w:r w:rsidRPr="00C06623">
        <w:rPr>
          <w:rFonts w:ascii="Arial Narrow" w:hAnsi="Arial Narrow" w:cs="Times New Roman"/>
          <w:b/>
          <w:bCs/>
        </w:rPr>
        <w:t xml:space="preserve"> ustawy</w:t>
      </w:r>
      <w:r w:rsidRPr="00C06623">
        <w:rPr>
          <w:rFonts w:ascii="Arial Narrow" w:eastAsia="Times New Roman" w:hAnsi="Arial Narrow" w:cs="Times New Roman"/>
          <w:b/>
          <w:color w:val="000000" w:themeColor="text1"/>
          <w:lang w:eastAsia="pl-PL"/>
        </w:rPr>
        <w:t xml:space="preserve"> o zmianie ustawy – Prawo ochrony środowiska oraz niektórych innych ustaw</w:t>
      </w:r>
    </w:p>
    <w:bookmarkEnd w:id="1"/>
    <w:p w14:paraId="63872841" w14:textId="77777777" w:rsidR="00C06623" w:rsidRPr="00C06623" w:rsidRDefault="00C06623" w:rsidP="00C06623">
      <w:pPr>
        <w:spacing w:after="0" w:line="240" w:lineRule="auto"/>
        <w:jc w:val="center"/>
        <w:rPr>
          <w:rFonts w:ascii="Arial Narrow" w:hAnsi="Arial Narrow" w:cs="Times New Roman"/>
          <w:b/>
          <w:bCs/>
        </w:rPr>
      </w:pPr>
      <w:r w:rsidRPr="00C06623">
        <w:rPr>
          <w:rFonts w:ascii="Arial Narrow" w:hAnsi="Arial Narrow" w:cs="Times New Roman"/>
          <w:b/>
          <w:bCs/>
        </w:rPr>
        <w:t>(nr UC 99  w Wykazie prac legislacyjnych i programowych Rady Ministrów)</w:t>
      </w:r>
    </w:p>
    <w:p w14:paraId="53202692" w14:textId="77777777" w:rsidR="00C06623" w:rsidRPr="00C06623" w:rsidRDefault="00C06623" w:rsidP="00C06623">
      <w:pPr>
        <w:spacing w:after="0" w:line="240" w:lineRule="auto"/>
        <w:rPr>
          <w:rFonts w:ascii="Arial Narrow" w:hAnsi="Arial Narrow" w:cs="Times New Roman"/>
        </w:rPr>
      </w:pPr>
    </w:p>
    <w:tbl>
      <w:tblPr>
        <w:tblStyle w:val="Tabela-Siatka"/>
        <w:tblpPr w:leftFromText="142" w:rightFromText="142" w:vertAnchor="text" w:horzAnchor="margin" w:tblpXSpec="center" w:tblpY="58"/>
        <w:tblW w:w="15740" w:type="dxa"/>
        <w:tblLayout w:type="fixed"/>
        <w:tblLook w:val="04A0" w:firstRow="1" w:lastRow="0" w:firstColumn="1" w:lastColumn="0" w:noHBand="0" w:noVBand="1"/>
      </w:tblPr>
      <w:tblGrid>
        <w:gridCol w:w="562"/>
        <w:gridCol w:w="1701"/>
        <w:gridCol w:w="2694"/>
        <w:gridCol w:w="5103"/>
        <w:gridCol w:w="4252"/>
        <w:gridCol w:w="1428"/>
      </w:tblGrid>
      <w:tr w:rsidR="00C06623" w:rsidRPr="00C06623" w14:paraId="416509D2" w14:textId="77777777" w:rsidTr="00782A4E">
        <w:trPr>
          <w:cantSplit/>
          <w:tblHeader/>
        </w:trPr>
        <w:tc>
          <w:tcPr>
            <w:tcW w:w="562" w:type="dxa"/>
          </w:tcPr>
          <w:p w14:paraId="13748A88" w14:textId="77777777" w:rsidR="00C06623" w:rsidRPr="00C06623" w:rsidRDefault="00C06623" w:rsidP="00782A4E">
            <w:pPr>
              <w:jc w:val="center"/>
              <w:rPr>
                <w:rFonts w:ascii="Arial Narrow" w:hAnsi="Arial Narrow" w:cstheme="minorHAnsi"/>
                <w:b/>
                <w:bCs/>
              </w:rPr>
            </w:pPr>
            <w:r w:rsidRPr="00C06623">
              <w:rPr>
                <w:rFonts w:ascii="Arial Narrow" w:hAnsi="Arial Narrow" w:cstheme="minorHAnsi"/>
                <w:b/>
                <w:bCs/>
              </w:rPr>
              <w:t>Lp.</w:t>
            </w:r>
          </w:p>
        </w:tc>
        <w:tc>
          <w:tcPr>
            <w:tcW w:w="1701" w:type="dxa"/>
          </w:tcPr>
          <w:p w14:paraId="78F32E90" w14:textId="77777777" w:rsidR="00C06623" w:rsidRPr="00C06623" w:rsidRDefault="00C06623" w:rsidP="00782A4E">
            <w:pPr>
              <w:jc w:val="center"/>
              <w:rPr>
                <w:rFonts w:ascii="Arial Narrow" w:hAnsi="Arial Narrow" w:cstheme="minorHAnsi"/>
                <w:b/>
                <w:bCs/>
              </w:rPr>
            </w:pPr>
            <w:r w:rsidRPr="00C06623">
              <w:rPr>
                <w:rFonts w:ascii="Arial Narrow" w:hAnsi="Arial Narrow" w:cstheme="minorHAnsi"/>
                <w:b/>
                <w:bCs/>
              </w:rPr>
              <w:t>Podmiot wnoszący uwagę</w:t>
            </w:r>
          </w:p>
        </w:tc>
        <w:tc>
          <w:tcPr>
            <w:tcW w:w="2694" w:type="dxa"/>
          </w:tcPr>
          <w:p w14:paraId="244E3C21" w14:textId="77777777" w:rsidR="00C06623" w:rsidRPr="00C06623" w:rsidRDefault="00C06623" w:rsidP="00782A4E">
            <w:pPr>
              <w:jc w:val="center"/>
              <w:rPr>
                <w:rFonts w:ascii="Arial Narrow" w:hAnsi="Arial Narrow" w:cstheme="minorHAnsi"/>
                <w:b/>
                <w:bCs/>
              </w:rPr>
            </w:pPr>
            <w:r w:rsidRPr="00C06623">
              <w:rPr>
                <w:rFonts w:ascii="Arial Narrow" w:hAnsi="Arial Narrow" w:cstheme="minorHAnsi"/>
                <w:b/>
                <w:bCs/>
              </w:rPr>
              <w:t>Jednostka redakcyjna, do której wnoszona jest uwaga</w:t>
            </w:r>
            <w:r w:rsidRPr="00C06623">
              <w:rPr>
                <w:rStyle w:val="Odwoanieprzypisudolnego"/>
                <w:rFonts w:ascii="Arial Narrow" w:hAnsi="Arial Narrow" w:cstheme="minorHAnsi"/>
                <w:b/>
                <w:bCs/>
              </w:rPr>
              <w:footnoteReference w:customMarkFollows="1" w:id="1"/>
              <w:t>1)</w:t>
            </w:r>
          </w:p>
        </w:tc>
        <w:tc>
          <w:tcPr>
            <w:tcW w:w="5103" w:type="dxa"/>
          </w:tcPr>
          <w:p w14:paraId="68659487" w14:textId="77777777" w:rsidR="00C06623" w:rsidRPr="00C06623" w:rsidRDefault="00C06623" w:rsidP="00782A4E">
            <w:pPr>
              <w:jc w:val="center"/>
              <w:rPr>
                <w:rFonts w:ascii="Arial Narrow" w:hAnsi="Arial Narrow" w:cstheme="minorHAnsi"/>
                <w:b/>
                <w:bCs/>
              </w:rPr>
            </w:pPr>
            <w:r w:rsidRPr="00C06623">
              <w:rPr>
                <w:rFonts w:ascii="Arial Narrow" w:hAnsi="Arial Narrow" w:cstheme="minorHAnsi"/>
                <w:b/>
                <w:bCs/>
              </w:rPr>
              <w:t>Treść uwagi</w:t>
            </w:r>
          </w:p>
        </w:tc>
        <w:tc>
          <w:tcPr>
            <w:tcW w:w="4252" w:type="dxa"/>
          </w:tcPr>
          <w:p w14:paraId="1BFFF761" w14:textId="77777777" w:rsidR="00C06623" w:rsidRPr="00C06623" w:rsidRDefault="00C06623" w:rsidP="00782A4E">
            <w:pPr>
              <w:jc w:val="center"/>
              <w:rPr>
                <w:rFonts w:ascii="Arial Narrow" w:hAnsi="Arial Narrow" w:cstheme="minorHAnsi"/>
                <w:b/>
                <w:bCs/>
              </w:rPr>
            </w:pPr>
            <w:r w:rsidRPr="00C06623">
              <w:rPr>
                <w:rFonts w:ascii="Arial Narrow" w:hAnsi="Arial Narrow" w:cstheme="minorHAnsi"/>
                <w:b/>
                <w:bCs/>
              </w:rPr>
              <w:t>Propozycja brzmienia przepisu</w:t>
            </w:r>
          </w:p>
        </w:tc>
        <w:tc>
          <w:tcPr>
            <w:tcW w:w="1428" w:type="dxa"/>
          </w:tcPr>
          <w:p w14:paraId="45C21323" w14:textId="77777777" w:rsidR="00C06623" w:rsidRPr="00C06623" w:rsidRDefault="00C06623" w:rsidP="00782A4E">
            <w:pPr>
              <w:jc w:val="center"/>
              <w:rPr>
                <w:rFonts w:ascii="Arial Narrow" w:hAnsi="Arial Narrow" w:cstheme="minorHAnsi"/>
                <w:b/>
                <w:bCs/>
              </w:rPr>
            </w:pPr>
            <w:r w:rsidRPr="00C06623">
              <w:rPr>
                <w:rFonts w:ascii="Arial Narrow" w:hAnsi="Arial Narrow" w:cstheme="minorHAnsi"/>
                <w:b/>
                <w:bCs/>
              </w:rPr>
              <w:t>Stanowisko do uwagi</w:t>
            </w:r>
          </w:p>
        </w:tc>
      </w:tr>
      <w:tr w:rsidR="00C06623" w:rsidRPr="00C06623" w14:paraId="336DB463" w14:textId="77777777" w:rsidTr="00782A4E">
        <w:trPr>
          <w:cantSplit/>
        </w:trPr>
        <w:tc>
          <w:tcPr>
            <w:tcW w:w="15740" w:type="dxa"/>
            <w:gridSpan w:val="6"/>
          </w:tcPr>
          <w:p w14:paraId="5C368A8A" w14:textId="462E9EC7" w:rsidR="00C06623" w:rsidRPr="00C06623" w:rsidRDefault="00C06623" w:rsidP="00782A4E">
            <w:pPr>
              <w:jc w:val="both"/>
              <w:rPr>
                <w:rFonts w:ascii="Arial Narrow" w:hAnsi="Arial Narrow" w:cstheme="minorHAnsi"/>
                <w:b/>
                <w:bCs/>
              </w:rPr>
            </w:pPr>
            <w:r w:rsidRPr="00C06623">
              <w:rPr>
                <w:rFonts w:ascii="Arial Narrow" w:hAnsi="Arial Narrow" w:cstheme="minorHAnsi"/>
                <w:b/>
                <w:bCs/>
              </w:rPr>
              <w:t>Ustawa o zmianie ustawy</w:t>
            </w:r>
            <w:r>
              <w:rPr>
                <w:rFonts w:ascii="Arial Narrow" w:hAnsi="Arial Narrow" w:cstheme="minorHAnsi"/>
                <w:b/>
                <w:bCs/>
              </w:rPr>
              <w:t xml:space="preserve"> – POŚ</w:t>
            </w:r>
          </w:p>
        </w:tc>
      </w:tr>
      <w:tr w:rsidR="00C06623" w:rsidRPr="00C06623" w14:paraId="0865DA26" w14:textId="77777777" w:rsidTr="00782A4E">
        <w:trPr>
          <w:cantSplit/>
        </w:trPr>
        <w:tc>
          <w:tcPr>
            <w:tcW w:w="562" w:type="dxa"/>
          </w:tcPr>
          <w:p w14:paraId="12AE1528"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1</w:t>
            </w:r>
          </w:p>
        </w:tc>
        <w:tc>
          <w:tcPr>
            <w:tcW w:w="1701" w:type="dxa"/>
          </w:tcPr>
          <w:p w14:paraId="3B6E552E" w14:textId="5C20ABE6"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12C6A1A7" w14:textId="77777777" w:rsidR="00C06623" w:rsidRPr="00C06623" w:rsidRDefault="00C06623" w:rsidP="00782A4E">
            <w:pPr>
              <w:jc w:val="both"/>
              <w:rPr>
                <w:rFonts w:ascii="Arial Narrow" w:hAnsi="Arial Narrow" w:cstheme="minorHAnsi"/>
              </w:rPr>
            </w:pPr>
            <w:r w:rsidRPr="00C06623">
              <w:rPr>
                <w:rFonts w:ascii="Arial Narrow" w:hAnsi="Arial Narrow"/>
              </w:rPr>
              <w:t xml:space="preserve">art. 143 </w:t>
            </w:r>
            <w:proofErr w:type="spellStart"/>
            <w:r w:rsidRPr="00C06623">
              <w:rPr>
                <w:rFonts w:ascii="Arial Narrow" w:hAnsi="Arial Narrow"/>
              </w:rPr>
              <w:t>Poś</w:t>
            </w:r>
            <w:proofErr w:type="spellEnd"/>
            <w:r w:rsidRPr="00C06623">
              <w:rPr>
                <w:rFonts w:ascii="Arial Narrow" w:hAnsi="Arial Narrow"/>
              </w:rPr>
              <w:t xml:space="preserve"> w projektowanym brzmieniu</w:t>
            </w:r>
          </w:p>
        </w:tc>
        <w:tc>
          <w:tcPr>
            <w:tcW w:w="5103" w:type="dxa"/>
          </w:tcPr>
          <w:p w14:paraId="69343245" w14:textId="77777777" w:rsidR="00C06623" w:rsidRPr="00C06623" w:rsidRDefault="00C06623" w:rsidP="00782A4E">
            <w:pPr>
              <w:jc w:val="both"/>
              <w:rPr>
                <w:rFonts w:ascii="Arial Narrow" w:hAnsi="Arial Narrow" w:cstheme="minorHAnsi"/>
              </w:rPr>
            </w:pPr>
            <w:r w:rsidRPr="00C06623">
              <w:rPr>
                <w:rFonts w:ascii="Arial Narrow" w:hAnsi="Arial Narrow"/>
              </w:rPr>
              <w:t xml:space="preserve">Projektowane brzmienie art. 143 </w:t>
            </w:r>
            <w:proofErr w:type="spellStart"/>
            <w:r w:rsidRPr="00C06623">
              <w:rPr>
                <w:rFonts w:ascii="Arial Narrow" w:hAnsi="Arial Narrow"/>
              </w:rPr>
              <w:t>Poś</w:t>
            </w:r>
            <w:proofErr w:type="spellEnd"/>
            <w:r w:rsidRPr="00C06623">
              <w:rPr>
                <w:rFonts w:ascii="Arial Narrow" w:hAnsi="Arial Narrow"/>
              </w:rPr>
              <w:t xml:space="preserve"> wykracza poza to, co wynika z opisanych w OSR zarzutów Komisji. Dotyczy to w szczególności dodania odniesienia do produkcji energii ze źródeł odnawialnych „tam, gdzie to możliwe”, ponownego wykorzystania w szerszym ujęciu oraz potrzeby dekarbonizacji. Odwrócona tabela zgodności wprawdzie wskazuje, że zmiany w art. 143 pkt 2, 3, 4 i 6 mają służyć realizacji zarzutu KE, jednak sam opis zarzutów Komisji nie uzasadnia wprost tak szerokiego rozszerzenia treści przepisu. W konsekwencji należy uznać, że projekt w części usuwa rzeczywiste braki transpozycyjne, lecz w części wprowadza rozwiązania wykraczające poza to, co było konieczne do wykonania prawa Unii. </w:t>
            </w:r>
          </w:p>
        </w:tc>
        <w:tc>
          <w:tcPr>
            <w:tcW w:w="4252" w:type="dxa"/>
          </w:tcPr>
          <w:p w14:paraId="12798086" w14:textId="77777777" w:rsidR="00C06623" w:rsidRPr="00C06623" w:rsidRDefault="00C06623" w:rsidP="00782A4E">
            <w:pPr>
              <w:jc w:val="both"/>
              <w:rPr>
                <w:rFonts w:ascii="Arial Narrow" w:hAnsi="Arial Narrow" w:cstheme="minorHAnsi"/>
              </w:rPr>
            </w:pPr>
            <w:r w:rsidRPr="00C06623">
              <w:rPr>
                <w:rFonts w:ascii="Arial Narrow" w:hAnsi="Arial Narrow"/>
              </w:rPr>
              <w:t xml:space="preserve">Zasadne jest doprecyzowanie art. 143 </w:t>
            </w:r>
            <w:proofErr w:type="spellStart"/>
            <w:r w:rsidRPr="00C06623">
              <w:rPr>
                <w:rFonts w:ascii="Arial Narrow" w:hAnsi="Arial Narrow"/>
              </w:rPr>
              <w:t>Poś</w:t>
            </w:r>
            <w:proofErr w:type="spellEnd"/>
            <w:r w:rsidRPr="00C06623">
              <w:rPr>
                <w:rFonts w:ascii="Arial Narrow" w:hAnsi="Arial Narrow"/>
              </w:rPr>
              <w:t xml:space="preserve"> przez ograniczenie jego nowego brzmienia do elementów rzeczywiście wynikających z załącznika III dyrektywy 2010/75/UE oraz z zarzutów Komisji, bez wprowadzania dodatkowych krajowych kryteriów, które mogą prowadzić do dalszego zaostrzenia wymagań wobec prowadzących instalacje.</w:t>
            </w:r>
          </w:p>
        </w:tc>
        <w:tc>
          <w:tcPr>
            <w:tcW w:w="1428" w:type="dxa"/>
          </w:tcPr>
          <w:p w14:paraId="5A444708" w14:textId="77777777" w:rsidR="00C06623" w:rsidRPr="00C06623" w:rsidRDefault="00C06623" w:rsidP="00782A4E">
            <w:pPr>
              <w:jc w:val="both"/>
              <w:rPr>
                <w:rFonts w:ascii="Arial Narrow" w:hAnsi="Arial Narrow" w:cstheme="minorHAnsi"/>
              </w:rPr>
            </w:pPr>
          </w:p>
        </w:tc>
      </w:tr>
      <w:tr w:rsidR="00C06623" w:rsidRPr="00C06623" w14:paraId="52245513" w14:textId="77777777" w:rsidTr="00782A4E">
        <w:trPr>
          <w:cantSplit/>
        </w:trPr>
        <w:tc>
          <w:tcPr>
            <w:tcW w:w="562" w:type="dxa"/>
          </w:tcPr>
          <w:p w14:paraId="466E87EC"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2</w:t>
            </w:r>
          </w:p>
        </w:tc>
        <w:tc>
          <w:tcPr>
            <w:tcW w:w="1701" w:type="dxa"/>
          </w:tcPr>
          <w:p w14:paraId="19613158" w14:textId="5C7699D3"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40AEB0D2"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1. pkt 7</w:t>
            </w:r>
          </w:p>
          <w:p w14:paraId="08C23671"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202 ust 3c-3e</w:t>
            </w:r>
          </w:p>
        </w:tc>
        <w:tc>
          <w:tcPr>
            <w:tcW w:w="5103" w:type="dxa"/>
          </w:tcPr>
          <w:p w14:paraId="1DAF51D6"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 xml:space="preserve">W treści przepisu ust 3c użyty został termin „pośredni zrzut ścieków”, który nie posiada definicji legalnej w aktach obowiązującego prawa lub zmienianej ustawy. Z treści regulacji wynika, że organ w pozwoleniu zintegrowanym określał będzie dopuszczalną „emisję” dla „pośredniego zrzutu ścieków” na podstawie granicznych wielkości emisyjnych wynikających z konkluzji BAT. Na gruncie obowiązującego prawa termin „emisja” rozumiany jest jednoznacznie jako wprowadzanie substancji lub energii do środowiska. W takim rozumieniu termin „emisja” stosowany jest również w BREF i konkluzjach BAT. W odniesieniu do przekazywania ścieków do oczyszczalni ścieków stosowany </w:t>
            </w:r>
            <w:r w:rsidRPr="00C06623">
              <w:rPr>
                <w:rFonts w:ascii="Arial Narrow" w:hAnsi="Arial Narrow" w:cstheme="minorHAnsi"/>
              </w:rPr>
              <w:lastRenderedPageBreak/>
              <w:t>jest termin „transfer”. Zewnętrzne oczyszczalnie oczyszczające ścieki z instalacji wymagających pozwolenia zintegrowanego eksploatowane są na podstawie własnych, posiadanych przez nie pozwoleń zintegrowanych, podlegają również regulacjom odrębnych konkluzji BAT dla systemów oczyszczania ścieków. Regulacje zawarte z punktach 3c-3e zmienianej ustawy są bezprzedmiotowe - nie regulują emisji i nie mogą być ustalane w oparciu o graniczne wielkości emisyjne podane w konkluzjach BAT.</w:t>
            </w:r>
          </w:p>
        </w:tc>
        <w:tc>
          <w:tcPr>
            <w:tcW w:w="4252" w:type="dxa"/>
          </w:tcPr>
          <w:p w14:paraId="69E34ED7"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lastRenderedPageBreak/>
              <w:t>Wnosimy o doprecyzowanie proponowanej treści zmienianej ustawy art. 202 ust 3c-3e</w:t>
            </w:r>
          </w:p>
        </w:tc>
        <w:tc>
          <w:tcPr>
            <w:tcW w:w="1428" w:type="dxa"/>
          </w:tcPr>
          <w:p w14:paraId="50546E9D" w14:textId="77777777" w:rsidR="00C06623" w:rsidRPr="00C06623" w:rsidRDefault="00C06623" w:rsidP="00782A4E">
            <w:pPr>
              <w:jc w:val="both"/>
              <w:rPr>
                <w:rFonts w:ascii="Arial Narrow" w:hAnsi="Arial Narrow" w:cstheme="minorHAnsi"/>
              </w:rPr>
            </w:pPr>
          </w:p>
        </w:tc>
      </w:tr>
      <w:tr w:rsidR="00C06623" w:rsidRPr="00C06623" w14:paraId="52B613EE" w14:textId="77777777" w:rsidTr="00782A4E">
        <w:trPr>
          <w:cantSplit/>
        </w:trPr>
        <w:tc>
          <w:tcPr>
            <w:tcW w:w="562" w:type="dxa"/>
          </w:tcPr>
          <w:p w14:paraId="56E0A426"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3</w:t>
            </w:r>
          </w:p>
        </w:tc>
        <w:tc>
          <w:tcPr>
            <w:tcW w:w="1701" w:type="dxa"/>
          </w:tcPr>
          <w:p w14:paraId="03063561" w14:textId="654F73BE"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203A691C" w14:textId="77777777" w:rsidR="00C06623" w:rsidRPr="00C06623" w:rsidRDefault="00C06623" w:rsidP="00782A4E">
            <w:pPr>
              <w:jc w:val="both"/>
              <w:rPr>
                <w:rFonts w:ascii="Arial Narrow" w:hAnsi="Arial Narrow" w:cstheme="minorHAnsi"/>
              </w:rPr>
            </w:pPr>
            <w:r w:rsidRPr="00C06623">
              <w:rPr>
                <w:rFonts w:ascii="Arial Narrow" w:hAnsi="Arial Narrow"/>
              </w:rPr>
              <w:t xml:space="preserve">art. 204 ust. 3a </w:t>
            </w:r>
            <w:proofErr w:type="spellStart"/>
            <w:r w:rsidRPr="00C06623">
              <w:rPr>
                <w:rFonts w:ascii="Arial Narrow" w:hAnsi="Arial Narrow"/>
              </w:rPr>
              <w:t>Poś</w:t>
            </w:r>
            <w:proofErr w:type="spellEnd"/>
            <w:r w:rsidRPr="00C06623">
              <w:rPr>
                <w:rFonts w:ascii="Arial Narrow" w:hAnsi="Arial Narrow"/>
              </w:rPr>
              <w:t xml:space="preserve"> oraz projekt rozporządzenia w sprawie dodatkowych czynników</w:t>
            </w:r>
          </w:p>
        </w:tc>
        <w:tc>
          <w:tcPr>
            <w:tcW w:w="5103" w:type="dxa"/>
          </w:tcPr>
          <w:p w14:paraId="7BDF2AB7" w14:textId="77777777" w:rsidR="00C06623" w:rsidRPr="00C06623" w:rsidRDefault="00C06623" w:rsidP="00782A4E">
            <w:pPr>
              <w:jc w:val="both"/>
              <w:rPr>
                <w:rFonts w:ascii="Arial Narrow" w:hAnsi="Arial Narrow" w:cstheme="minorHAnsi"/>
              </w:rPr>
            </w:pPr>
            <w:r w:rsidRPr="00C06623">
              <w:rPr>
                <w:rFonts w:ascii="Arial Narrow" w:hAnsi="Arial Narrow"/>
              </w:rPr>
              <w:t xml:space="preserve">Projekt rozporządzenia przewiduje obowiązkowe ilościowe i jakościowe szacowanie kosztów i korzyści środowiskowych, obowiązkową wycenę korzyści w pieniądzu według wzoru </w:t>
            </w:r>
            <w:proofErr w:type="spellStart"/>
            <w:r w:rsidRPr="00C06623">
              <w:rPr>
                <w:rFonts w:ascii="Arial Narrow" w:hAnsi="Arial Narrow"/>
              </w:rPr>
              <w:t>Kś</w:t>
            </w:r>
            <w:proofErr w:type="spellEnd"/>
            <w:r w:rsidRPr="00C06623">
              <w:rPr>
                <w:rFonts w:ascii="Arial Narrow" w:hAnsi="Arial Narrow"/>
              </w:rPr>
              <w:t xml:space="preserve"> = Eu × </w:t>
            </w:r>
            <w:proofErr w:type="spellStart"/>
            <w:r w:rsidRPr="00C06623">
              <w:rPr>
                <w:rFonts w:ascii="Arial Narrow" w:hAnsi="Arial Narrow"/>
              </w:rPr>
              <w:t>Kz</w:t>
            </w:r>
            <w:proofErr w:type="spellEnd"/>
            <w:r w:rsidRPr="00C06623">
              <w:rPr>
                <w:rFonts w:ascii="Arial Narrow" w:hAnsi="Arial Narrow"/>
              </w:rPr>
              <w:t xml:space="preserve">, stosowanie stopy dyskontowej oraz wykazywanie źródeł danych i niepewności. Tak daleko sformalizowana metodologia  może w praktyce nadmiernie utrudnić korzystanie z instytucji odstępstwa, zwłaszcza w sektorach zróżnicowanych technologicznie. Z samego uzasadnienia projektu wynika zresztą, że Komisja Europejska ma dopiero opracować i przyjąć akt implementacyjny dotyczący metodyki oceny dysproporcjonalności kosztów do korzyści środowiskowych. W tej sytuacji krajowe „usztywnienie” mechanizmu już teraz jest przedwczesne. </w:t>
            </w:r>
          </w:p>
        </w:tc>
        <w:tc>
          <w:tcPr>
            <w:tcW w:w="4252" w:type="dxa"/>
          </w:tcPr>
          <w:p w14:paraId="3B76B3A1" w14:textId="77777777" w:rsidR="00C06623" w:rsidRPr="00C06623" w:rsidRDefault="00C06623" w:rsidP="00782A4E">
            <w:pPr>
              <w:rPr>
                <w:rFonts w:ascii="Arial Narrow" w:hAnsi="Arial Narrow" w:cstheme="minorHAnsi"/>
              </w:rPr>
            </w:pPr>
            <w:r w:rsidRPr="00C06623">
              <w:rPr>
                <w:rFonts w:ascii="Arial Narrow" w:hAnsi="Arial Narrow"/>
              </w:rPr>
              <w:t xml:space="preserve">Zrezygnować na tym etapie z obowiązkowej, sztywnej </w:t>
            </w:r>
            <w:proofErr w:type="spellStart"/>
            <w:r w:rsidRPr="00C06623">
              <w:rPr>
                <w:rFonts w:ascii="Arial Narrow" w:hAnsi="Arial Narrow"/>
              </w:rPr>
              <w:t>monetyzacji</w:t>
            </w:r>
            <w:proofErr w:type="spellEnd"/>
            <w:r w:rsidRPr="00C06623">
              <w:rPr>
                <w:rFonts w:ascii="Arial Narrow" w:hAnsi="Arial Narrow"/>
              </w:rPr>
              <w:t xml:space="preserve"> korzyści środowiskowych albo nadać wskaźnikom z załącznika charakter pomocniczy, a nie wiążący</w:t>
            </w:r>
          </w:p>
        </w:tc>
        <w:tc>
          <w:tcPr>
            <w:tcW w:w="1428" w:type="dxa"/>
          </w:tcPr>
          <w:p w14:paraId="53D5F8C9" w14:textId="77777777" w:rsidR="00C06623" w:rsidRPr="00C06623" w:rsidRDefault="00C06623" w:rsidP="00782A4E">
            <w:pPr>
              <w:jc w:val="both"/>
              <w:rPr>
                <w:rFonts w:ascii="Arial Narrow" w:hAnsi="Arial Narrow" w:cstheme="minorHAnsi"/>
              </w:rPr>
            </w:pPr>
          </w:p>
        </w:tc>
      </w:tr>
      <w:tr w:rsidR="00C06623" w:rsidRPr="00C06623" w14:paraId="7821CC91" w14:textId="77777777" w:rsidTr="00782A4E">
        <w:trPr>
          <w:cantSplit/>
        </w:trPr>
        <w:tc>
          <w:tcPr>
            <w:tcW w:w="562" w:type="dxa"/>
          </w:tcPr>
          <w:p w14:paraId="2E27744B"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4</w:t>
            </w:r>
          </w:p>
        </w:tc>
        <w:tc>
          <w:tcPr>
            <w:tcW w:w="1701" w:type="dxa"/>
          </w:tcPr>
          <w:p w14:paraId="3AA52B20" w14:textId="1E59C5CB"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6D744835" w14:textId="77777777" w:rsidR="00C06623" w:rsidRPr="00C06623" w:rsidRDefault="00C06623" w:rsidP="00782A4E">
            <w:pPr>
              <w:jc w:val="both"/>
              <w:rPr>
                <w:rFonts w:ascii="Arial Narrow" w:hAnsi="Arial Narrow" w:cstheme="minorHAnsi"/>
                <w:lang w:val="en-US"/>
              </w:rPr>
            </w:pPr>
            <w:r w:rsidRPr="00C06623">
              <w:rPr>
                <w:rFonts w:ascii="Arial Narrow" w:hAnsi="Arial Narrow" w:cstheme="minorHAnsi"/>
                <w:lang w:val="en-US"/>
              </w:rPr>
              <w:t>art. 1. pkt 11</w:t>
            </w:r>
          </w:p>
          <w:p w14:paraId="21031470" w14:textId="77777777" w:rsidR="00C06623" w:rsidRPr="00C06623" w:rsidRDefault="00C06623" w:rsidP="00782A4E">
            <w:pPr>
              <w:jc w:val="both"/>
              <w:rPr>
                <w:rFonts w:ascii="Arial Narrow" w:hAnsi="Arial Narrow" w:cstheme="minorHAnsi"/>
                <w:lang w:val="en-US"/>
              </w:rPr>
            </w:pPr>
            <w:r w:rsidRPr="00C06623">
              <w:rPr>
                <w:rFonts w:ascii="Arial Narrow" w:hAnsi="Arial Narrow" w:cstheme="minorHAnsi"/>
                <w:lang w:val="en-US"/>
              </w:rPr>
              <w:t xml:space="preserve">art. 208 </w:t>
            </w:r>
            <w:proofErr w:type="spellStart"/>
            <w:r w:rsidRPr="00C06623">
              <w:rPr>
                <w:rFonts w:ascii="Arial Narrow" w:hAnsi="Arial Narrow" w:cstheme="minorHAnsi"/>
                <w:lang w:val="en-US"/>
              </w:rPr>
              <w:t>ust</w:t>
            </w:r>
            <w:proofErr w:type="spellEnd"/>
            <w:r w:rsidRPr="00C06623">
              <w:rPr>
                <w:rFonts w:ascii="Arial Narrow" w:hAnsi="Arial Narrow" w:cstheme="minorHAnsi"/>
                <w:lang w:val="en-US"/>
              </w:rPr>
              <w:t xml:space="preserve"> 2 pkt 1 lit h</w:t>
            </w:r>
          </w:p>
        </w:tc>
        <w:tc>
          <w:tcPr>
            <w:tcW w:w="5103" w:type="dxa"/>
          </w:tcPr>
          <w:p w14:paraId="0E33D7D8"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 xml:space="preserve">Proponowana treść przepisu jest ogólnikowa, przez co może być interpretowana w sposób niezgodny z intencją jego wprowadzenia, poddaną w „Uzasadnieniu” (wpływ odstępstw). </w:t>
            </w:r>
          </w:p>
        </w:tc>
        <w:tc>
          <w:tcPr>
            <w:tcW w:w="4252" w:type="dxa"/>
          </w:tcPr>
          <w:p w14:paraId="75EC340F" w14:textId="77777777" w:rsidR="00C06623" w:rsidRPr="00C06623" w:rsidRDefault="00C06623" w:rsidP="00782A4E">
            <w:pPr>
              <w:rPr>
                <w:rFonts w:ascii="Arial Narrow" w:hAnsi="Arial Narrow" w:cstheme="minorHAnsi"/>
              </w:rPr>
            </w:pPr>
            <w:r w:rsidRPr="00C06623">
              <w:rPr>
                <w:rFonts w:ascii="Arial Narrow" w:hAnsi="Arial Narrow" w:cstheme="minorHAnsi"/>
              </w:rPr>
              <w:t xml:space="preserve">„ Jeżeli pozwolenie zintegrowane zawiera </w:t>
            </w:r>
            <w:r w:rsidRPr="00C06623">
              <w:rPr>
                <w:rFonts w:ascii="Arial Narrow" w:hAnsi="Arial Narrow" w:cstheme="minorHAnsi"/>
                <w:b/>
                <w:bCs/>
              </w:rPr>
              <w:t>emisje dopuszczalne większe od granicznych wielkości emisyjnych</w:t>
            </w:r>
            <w:r w:rsidRPr="00C06623">
              <w:rPr>
                <w:rFonts w:ascii="Arial Narrow" w:hAnsi="Arial Narrow" w:cstheme="minorHAnsi"/>
              </w:rPr>
              <w:t>, w celu zapewnienia dotrzymywania standardów jakości środowiska organ właściwy do wydania pozwolenia ocenia wpływ tych warunków na stężenia określonych zanieczyszczeń w środowisku.”</w:t>
            </w:r>
          </w:p>
        </w:tc>
        <w:tc>
          <w:tcPr>
            <w:tcW w:w="1428" w:type="dxa"/>
          </w:tcPr>
          <w:p w14:paraId="0196254E" w14:textId="77777777" w:rsidR="00C06623" w:rsidRPr="00C06623" w:rsidRDefault="00C06623" w:rsidP="00782A4E">
            <w:pPr>
              <w:jc w:val="both"/>
              <w:rPr>
                <w:rFonts w:ascii="Arial Narrow" w:hAnsi="Arial Narrow" w:cstheme="minorHAnsi"/>
              </w:rPr>
            </w:pPr>
          </w:p>
        </w:tc>
      </w:tr>
      <w:tr w:rsidR="00C06623" w:rsidRPr="00C06623" w14:paraId="3CEAE81A" w14:textId="77777777" w:rsidTr="00782A4E">
        <w:trPr>
          <w:cantSplit/>
        </w:trPr>
        <w:tc>
          <w:tcPr>
            <w:tcW w:w="562" w:type="dxa"/>
          </w:tcPr>
          <w:p w14:paraId="43B1CF76"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5</w:t>
            </w:r>
          </w:p>
        </w:tc>
        <w:tc>
          <w:tcPr>
            <w:tcW w:w="1701" w:type="dxa"/>
          </w:tcPr>
          <w:p w14:paraId="1770BFC1" w14:textId="76D8E5C8"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5B791971" w14:textId="77777777" w:rsidR="00C06623" w:rsidRPr="00C06623" w:rsidRDefault="00C06623" w:rsidP="00782A4E">
            <w:pPr>
              <w:jc w:val="both"/>
              <w:rPr>
                <w:rFonts w:ascii="Arial Narrow" w:hAnsi="Arial Narrow" w:cstheme="minorHAnsi"/>
                <w:lang w:val="en-US"/>
              </w:rPr>
            </w:pPr>
            <w:r w:rsidRPr="00C06623">
              <w:rPr>
                <w:rFonts w:ascii="Arial Narrow" w:hAnsi="Arial Narrow" w:cstheme="minorHAnsi"/>
                <w:lang w:val="en-US"/>
              </w:rPr>
              <w:t>art. 1. pkt 13</w:t>
            </w:r>
          </w:p>
          <w:p w14:paraId="4FD1E515" w14:textId="77777777" w:rsidR="00C06623" w:rsidRPr="00C06623" w:rsidRDefault="00C06623" w:rsidP="00782A4E">
            <w:pPr>
              <w:jc w:val="both"/>
              <w:rPr>
                <w:rFonts w:ascii="Arial Narrow" w:hAnsi="Arial Narrow" w:cstheme="minorHAnsi"/>
                <w:lang w:val="en-US"/>
              </w:rPr>
            </w:pPr>
            <w:r w:rsidRPr="00C06623">
              <w:rPr>
                <w:rFonts w:ascii="Arial Narrow" w:hAnsi="Arial Narrow" w:cstheme="minorHAnsi"/>
                <w:lang w:val="en-US"/>
              </w:rPr>
              <w:t xml:space="preserve">art. 208 </w:t>
            </w:r>
            <w:proofErr w:type="spellStart"/>
            <w:r w:rsidRPr="00C06623">
              <w:rPr>
                <w:rFonts w:ascii="Arial Narrow" w:hAnsi="Arial Narrow" w:cstheme="minorHAnsi"/>
                <w:lang w:val="en-US"/>
              </w:rPr>
              <w:t>ust</w:t>
            </w:r>
            <w:proofErr w:type="spellEnd"/>
            <w:r w:rsidRPr="00C06623">
              <w:rPr>
                <w:rFonts w:ascii="Arial Narrow" w:hAnsi="Arial Narrow" w:cstheme="minorHAnsi"/>
                <w:lang w:val="en-US"/>
              </w:rPr>
              <w:t xml:space="preserve"> 2 pkt 1 lit h</w:t>
            </w:r>
          </w:p>
        </w:tc>
        <w:tc>
          <w:tcPr>
            <w:tcW w:w="5103" w:type="dxa"/>
          </w:tcPr>
          <w:p w14:paraId="424E3916"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 xml:space="preserve">Proponowany przepis stwierdza, że we wniosku o wydanie pozwolenia zintegrowanego należy zamieścić analizę </w:t>
            </w:r>
            <w:bookmarkStart w:id="2" w:name="_Hlk216086252"/>
            <w:bookmarkStart w:id="3" w:name="_Hlk215218569"/>
            <w:r w:rsidRPr="00C06623">
              <w:rPr>
                <w:rFonts w:ascii="Arial Narrow" w:hAnsi="Arial Narrow" w:cstheme="minorHAnsi"/>
              </w:rPr>
              <w:t xml:space="preserve">możliwości dotrzymania dolnego progu granicznych wielkości </w:t>
            </w:r>
            <w:r w:rsidRPr="00C06623">
              <w:rPr>
                <w:rFonts w:ascii="Arial Narrow" w:hAnsi="Arial Narrow" w:cstheme="minorHAnsi"/>
              </w:rPr>
              <w:lastRenderedPageBreak/>
              <w:t>emisyjnych</w:t>
            </w:r>
            <w:bookmarkEnd w:id="2"/>
            <w:bookmarkEnd w:id="3"/>
            <w:r w:rsidRPr="00C06623">
              <w:rPr>
                <w:rFonts w:ascii="Arial Narrow" w:hAnsi="Arial Narrow" w:cstheme="minorHAnsi"/>
              </w:rPr>
              <w:t xml:space="preserve"> poprzez zastosowanie najlepszych dostępnych technik. </w:t>
            </w:r>
          </w:p>
          <w:p w14:paraId="4DF0CE65"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 xml:space="preserve">W ustawie nie określono, jak należy rozumieć cel analizy określony terminem „możliwość”, w jaki sposób powinna być przeprowadzona analiza, jakie aspekty powinny być analizowane i nie określa racjonalnych kryteriów stwierdzenia czy „możliwość” w danych okolicznościach występuje, czy nie, oraz </w:t>
            </w:r>
            <w:proofErr w:type="spellStart"/>
            <w:r w:rsidRPr="00C06623">
              <w:rPr>
                <w:rFonts w:ascii="Arial Narrow" w:hAnsi="Arial Narrow" w:cstheme="minorHAnsi"/>
              </w:rPr>
              <w:t>kryteriun</w:t>
            </w:r>
            <w:proofErr w:type="spellEnd"/>
            <w:r w:rsidRPr="00C06623">
              <w:rPr>
                <w:rFonts w:ascii="Arial Narrow" w:hAnsi="Arial Narrow" w:cstheme="minorHAnsi"/>
              </w:rPr>
              <w:t xml:space="preserve"> stwierdzenia, czy instalacja „jest w stanie” osiągnąć stan nieprzekraczania dolnego progu przedziału emisji możliwych do osiągnięcia z zastosowaniem NDT. Ponieważ emisje mieszczące się w granicach BAT</w:t>
            </w:r>
            <w:r w:rsidRPr="00C06623">
              <w:rPr>
                <w:rFonts w:ascii="Arial Narrow" w:hAnsi="Arial Narrow" w:cstheme="minorHAnsi"/>
                <w:vertAlign w:val="subscript"/>
              </w:rPr>
              <w:t>AEL</w:t>
            </w:r>
            <w:r w:rsidRPr="00C06623">
              <w:rPr>
                <w:rFonts w:ascii="Arial Narrow" w:hAnsi="Arial Narrow" w:cstheme="minorHAnsi"/>
              </w:rPr>
              <w:t xml:space="preserve"> określonych w konkluzjach BAT świadczą o spełnieniu wymagań BAT, dalsze ograniczanie emisji poniżej wymaganego w konkluzjach poziomu przy ponoszeniu dodatkowych kosztów jest nieracjonalne, nieuzasadnione, w sposób nieuzasadniony zwiększy koszty i pogorszy konkurencyjność podmiotów poddanych takiej regulacji. Wyjątkiem jest sytuacja, w której dodatkowe ograniczenie emisji może zostać osiągnięte bez ponoszenia dodatkowych kosztów ekonomicznych i środowiskowych.</w:t>
            </w:r>
          </w:p>
        </w:tc>
        <w:tc>
          <w:tcPr>
            <w:tcW w:w="4252" w:type="dxa"/>
          </w:tcPr>
          <w:p w14:paraId="2A2AC485"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lastRenderedPageBreak/>
              <w:t xml:space="preserve">„h) analizie możliwości dotrzymania </w:t>
            </w:r>
            <w:r w:rsidRPr="00C06623">
              <w:rPr>
                <w:rFonts w:ascii="Arial Narrow" w:hAnsi="Arial Narrow" w:cstheme="minorHAnsi"/>
                <w:b/>
                <w:bCs/>
              </w:rPr>
              <w:t xml:space="preserve">bez konieczności ponoszenia dodatkowych kosztów ekonomicznych i środowiskowych </w:t>
            </w:r>
            <w:r w:rsidRPr="00C06623">
              <w:rPr>
                <w:rFonts w:ascii="Arial Narrow" w:hAnsi="Arial Narrow" w:cstheme="minorHAnsi"/>
              </w:rPr>
              <w:lastRenderedPageBreak/>
              <w:t>dolnego progu granicznych wielkości emisyjnych, wskazującej najniższy poziom osiągalny w normalnych warunkach eksploatacji oraz najlepszy ogólny poziom efektywności środowiskowej, jaki instalacja jest w stanie osiągnąć, w normalnych warunkach pracy, poprzez zastosowanie najlepszych dostępnych technik, z uwzględnieniem wzajemnych oddziaływań pomiędzy elementami środowiska”</w:t>
            </w:r>
          </w:p>
        </w:tc>
        <w:tc>
          <w:tcPr>
            <w:tcW w:w="1428" w:type="dxa"/>
          </w:tcPr>
          <w:p w14:paraId="45C1F543" w14:textId="77777777" w:rsidR="00C06623" w:rsidRPr="00C06623" w:rsidRDefault="00C06623" w:rsidP="00782A4E">
            <w:pPr>
              <w:jc w:val="both"/>
              <w:rPr>
                <w:rFonts w:ascii="Arial Narrow" w:hAnsi="Arial Narrow" w:cstheme="minorHAnsi"/>
              </w:rPr>
            </w:pPr>
          </w:p>
        </w:tc>
      </w:tr>
      <w:tr w:rsidR="00C06623" w:rsidRPr="00C06623" w14:paraId="582602E1" w14:textId="77777777" w:rsidTr="00782A4E">
        <w:trPr>
          <w:cantSplit/>
        </w:trPr>
        <w:tc>
          <w:tcPr>
            <w:tcW w:w="562" w:type="dxa"/>
          </w:tcPr>
          <w:p w14:paraId="1AD70257"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6</w:t>
            </w:r>
          </w:p>
        </w:tc>
        <w:tc>
          <w:tcPr>
            <w:tcW w:w="1701" w:type="dxa"/>
          </w:tcPr>
          <w:p w14:paraId="458195BA" w14:textId="24280F01"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1759DD69"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1. pkt 13</w:t>
            </w:r>
          </w:p>
          <w:p w14:paraId="6D8FBAA4"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208 ust 2 pkt 2a</w:t>
            </w:r>
          </w:p>
        </w:tc>
        <w:tc>
          <w:tcPr>
            <w:tcW w:w="5103" w:type="dxa"/>
          </w:tcPr>
          <w:p w14:paraId="3DF819F1" w14:textId="77777777" w:rsidR="00C06623" w:rsidRPr="00C06623" w:rsidRDefault="00C06623" w:rsidP="00782A4E">
            <w:pPr>
              <w:pStyle w:val="ZPKTzmpktartykuempunktem"/>
              <w:spacing w:line="240" w:lineRule="auto"/>
              <w:ind w:left="33" w:firstLine="0"/>
              <w:rPr>
                <w:rFonts w:ascii="Arial Narrow" w:hAnsi="Arial Narrow" w:cstheme="minorHAnsi"/>
                <w:sz w:val="22"/>
                <w:szCs w:val="22"/>
              </w:rPr>
            </w:pPr>
            <w:r w:rsidRPr="00C06623">
              <w:rPr>
                <w:rFonts w:ascii="Arial Narrow" w:hAnsi="Arial Narrow" w:cstheme="minorHAnsi"/>
                <w:sz w:val="22"/>
                <w:szCs w:val="22"/>
              </w:rPr>
              <w:t>Proponowany przepis stwierdza, że we wniosek o wydanie pozwolenia zintegrowanego ma zawierać propozycją sposobu monitorowania stężenia zanieczyszczeń w środowisku, dla których ocena, o której mowa w ust. 2 pkt 2, wykazała mierzalny i oznaczalny wpływ proponowanej wielości emisji na środowisko.</w:t>
            </w:r>
          </w:p>
          <w:p w14:paraId="72080FD5" w14:textId="77777777" w:rsidR="00C06623" w:rsidRPr="00C06623" w:rsidRDefault="00C06623" w:rsidP="00782A4E">
            <w:pPr>
              <w:pStyle w:val="ZPKTzmpktartykuempunktem"/>
              <w:spacing w:line="240" w:lineRule="auto"/>
              <w:ind w:left="33" w:firstLine="0"/>
              <w:rPr>
                <w:rFonts w:ascii="Arial Narrow" w:hAnsi="Arial Narrow" w:cstheme="minorHAnsi"/>
                <w:sz w:val="22"/>
                <w:szCs w:val="22"/>
              </w:rPr>
            </w:pPr>
            <w:r w:rsidRPr="00C06623">
              <w:rPr>
                <w:rFonts w:ascii="Arial Narrow" w:hAnsi="Arial Narrow" w:cstheme="minorHAnsi"/>
                <w:sz w:val="22"/>
                <w:szCs w:val="22"/>
              </w:rPr>
              <w:t>W ustawie nie określono, jak należy rozumieć zapis, że wpływ wykazany w ramach oceny jest „mierzalny i oznaczalny”. Ze względu na poważne konsekwencje finansowe wynikające z nakładanego obowiązku, kryterium jego nałożenia powinno być określone w sposób ścisły, jednoznaczny i powiązany z normatywnymi poziomami oddziaływania.</w:t>
            </w:r>
          </w:p>
        </w:tc>
        <w:tc>
          <w:tcPr>
            <w:tcW w:w="4252" w:type="dxa"/>
          </w:tcPr>
          <w:p w14:paraId="3A54640D"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„2a) propozycja sposobu monitorowania stężenia w środowisku zanieczyszczeń, dla których ocena, o której mowa w ust. 2 pkt 2, wykazała wzrost wpływu proponowanej wielości emisji na środowisko w porównaniu z wpływem towarzyszącym emisji na poziomie granicznej wielkości emisyjnej o więcej niż 1</w:t>
            </w:r>
            <w:r w:rsidRPr="00C06623">
              <w:rPr>
                <w:rFonts w:ascii="Arial Narrow" w:hAnsi="Arial Narrow"/>
              </w:rPr>
              <w:t>0 % dopuszczalnych poziomów substancji w powietrzu albo 10% wartości odniesienia w przypadku substancji innych niż objęte standardami emisyjnymi;</w:t>
            </w:r>
            <w:r w:rsidRPr="00C06623">
              <w:rPr>
                <w:rFonts w:ascii="Arial Narrow" w:hAnsi="Arial Narrow" w:cstheme="minorHAnsi"/>
              </w:rPr>
              <w:t>”</w:t>
            </w:r>
          </w:p>
        </w:tc>
        <w:tc>
          <w:tcPr>
            <w:tcW w:w="1428" w:type="dxa"/>
          </w:tcPr>
          <w:p w14:paraId="528F225C" w14:textId="77777777" w:rsidR="00C06623" w:rsidRPr="00C06623" w:rsidRDefault="00C06623" w:rsidP="00782A4E">
            <w:pPr>
              <w:jc w:val="both"/>
              <w:rPr>
                <w:rFonts w:ascii="Arial Narrow" w:hAnsi="Arial Narrow" w:cstheme="minorHAnsi"/>
              </w:rPr>
            </w:pPr>
          </w:p>
        </w:tc>
      </w:tr>
      <w:tr w:rsidR="00C06623" w:rsidRPr="00C06623" w14:paraId="2E6FC9D5" w14:textId="77777777" w:rsidTr="00782A4E">
        <w:trPr>
          <w:cantSplit/>
        </w:trPr>
        <w:tc>
          <w:tcPr>
            <w:tcW w:w="562" w:type="dxa"/>
          </w:tcPr>
          <w:p w14:paraId="45495B50"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lastRenderedPageBreak/>
              <w:t>7</w:t>
            </w:r>
          </w:p>
        </w:tc>
        <w:tc>
          <w:tcPr>
            <w:tcW w:w="1701" w:type="dxa"/>
          </w:tcPr>
          <w:p w14:paraId="2A40E348" w14:textId="7EBCE3F7"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165C051E" w14:textId="77777777" w:rsidR="00C06623" w:rsidRPr="00C06623" w:rsidRDefault="00C06623" w:rsidP="00782A4E">
            <w:pPr>
              <w:jc w:val="both"/>
              <w:rPr>
                <w:rFonts w:ascii="Arial Narrow" w:hAnsi="Arial Narrow" w:cstheme="minorHAnsi"/>
                <w:lang w:val="en-GB"/>
              </w:rPr>
            </w:pPr>
            <w:r w:rsidRPr="00C06623">
              <w:rPr>
                <w:rFonts w:ascii="Arial Narrow" w:hAnsi="Arial Narrow" w:cstheme="minorHAnsi"/>
                <w:lang w:val="en-GB"/>
              </w:rPr>
              <w:t xml:space="preserve">art. 1. </w:t>
            </w:r>
            <w:proofErr w:type="spellStart"/>
            <w:r w:rsidRPr="00C06623">
              <w:rPr>
                <w:rFonts w:ascii="Arial Narrow" w:hAnsi="Arial Narrow" w:cstheme="minorHAnsi"/>
                <w:lang w:val="en-GB"/>
              </w:rPr>
              <w:t>pkt</w:t>
            </w:r>
            <w:proofErr w:type="spellEnd"/>
            <w:r w:rsidRPr="00C06623">
              <w:rPr>
                <w:rFonts w:ascii="Arial Narrow" w:hAnsi="Arial Narrow" w:cstheme="minorHAnsi"/>
                <w:lang w:val="en-GB"/>
              </w:rPr>
              <w:t xml:space="preserve"> 14</w:t>
            </w:r>
          </w:p>
          <w:p w14:paraId="633D2012" w14:textId="77777777" w:rsidR="00C06623" w:rsidRPr="00C06623" w:rsidRDefault="00C06623" w:rsidP="00782A4E">
            <w:pPr>
              <w:jc w:val="both"/>
              <w:rPr>
                <w:rFonts w:ascii="Arial Narrow" w:hAnsi="Arial Narrow" w:cstheme="minorHAnsi"/>
                <w:lang w:val="en-GB"/>
              </w:rPr>
            </w:pPr>
            <w:r w:rsidRPr="00C06623">
              <w:rPr>
                <w:rFonts w:ascii="Arial Narrow" w:hAnsi="Arial Narrow" w:cstheme="minorHAnsi"/>
                <w:lang w:val="en-GB"/>
              </w:rPr>
              <w:t xml:space="preserve">art. 208a </w:t>
            </w:r>
            <w:proofErr w:type="spellStart"/>
            <w:r w:rsidRPr="00C06623">
              <w:rPr>
                <w:rFonts w:ascii="Arial Narrow" w:hAnsi="Arial Narrow" w:cstheme="minorHAnsi"/>
                <w:lang w:val="en-GB"/>
              </w:rPr>
              <w:t>ust</w:t>
            </w:r>
            <w:proofErr w:type="spellEnd"/>
            <w:r w:rsidRPr="00C06623">
              <w:rPr>
                <w:rFonts w:ascii="Arial Narrow" w:hAnsi="Arial Narrow" w:cstheme="minorHAnsi"/>
                <w:lang w:val="en-GB"/>
              </w:rPr>
              <w:t xml:space="preserve"> 3</w:t>
            </w:r>
          </w:p>
        </w:tc>
        <w:tc>
          <w:tcPr>
            <w:tcW w:w="5103" w:type="dxa"/>
          </w:tcPr>
          <w:p w14:paraId="3B043A04" w14:textId="77777777" w:rsidR="00C06623" w:rsidRPr="00C06623" w:rsidRDefault="00C06623" w:rsidP="00782A4E">
            <w:pPr>
              <w:jc w:val="both"/>
              <w:rPr>
                <w:rFonts w:ascii="Arial Narrow" w:hAnsi="Arial Narrow"/>
              </w:rPr>
            </w:pPr>
            <w:r w:rsidRPr="00C06623">
              <w:rPr>
                <w:rFonts w:ascii="Arial Narrow" w:hAnsi="Arial Narrow"/>
              </w:rPr>
              <w:t>Proponowany przepis stwierdza, że jeżeli elementy, o których mowa w ust. 2, zostały już opracowane i są zgodne z przepisami prawa, system zarządzania środowiskowego może zawierać odniesienia do odpowiednich dokumentów.</w:t>
            </w:r>
          </w:p>
          <w:p w14:paraId="2C327F60" w14:textId="77777777" w:rsidR="00C06623" w:rsidRPr="00C06623" w:rsidRDefault="00C06623" w:rsidP="00782A4E">
            <w:pPr>
              <w:jc w:val="both"/>
              <w:rPr>
                <w:rFonts w:ascii="Arial Narrow" w:hAnsi="Arial Narrow"/>
              </w:rPr>
            </w:pPr>
            <w:r w:rsidRPr="00C06623">
              <w:rPr>
                <w:rFonts w:ascii="Arial Narrow" w:hAnsi="Arial Narrow"/>
              </w:rPr>
              <w:t>1. W sytuacji, w której wszystkie elementy systemu zarządzania środowiskowego uwzględnione są w systemie zarządzania utrzymywanym przez prowadzącego instalację, tworzenie odrębnego systemu zarządzania środowiskowego jest bezprzedmiotowe. Prowadzący instalację powinien być w takiej sytuacji zwolniony z obowiązku przygotowania i wdrożenia systemu zarządzania środowiskowego.</w:t>
            </w:r>
          </w:p>
          <w:p w14:paraId="284D4A23" w14:textId="77777777" w:rsidR="00C06623" w:rsidRPr="00C06623" w:rsidRDefault="00C06623" w:rsidP="00782A4E">
            <w:pPr>
              <w:jc w:val="both"/>
              <w:rPr>
                <w:rFonts w:ascii="Arial Narrow" w:hAnsi="Arial Narrow" w:cstheme="minorHAnsi"/>
              </w:rPr>
            </w:pPr>
            <w:r w:rsidRPr="00C06623">
              <w:rPr>
                <w:rFonts w:ascii="Arial Narrow" w:hAnsi="Arial Narrow"/>
              </w:rPr>
              <w:t>2. Wymagania dla systemów zarządzania określają normy międzynarodowe, które nie są przepisami prawa.</w:t>
            </w:r>
          </w:p>
        </w:tc>
        <w:tc>
          <w:tcPr>
            <w:tcW w:w="4252" w:type="dxa"/>
          </w:tcPr>
          <w:p w14:paraId="3821E666" w14:textId="77777777" w:rsidR="00C06623" w:rsidRPr="00C06623" w:rsidRDefault="00C06623" w:rsidP="00782A4E">
            <w:pPr>
              <w:jc w:val="both"/>
              <w:rPr>
                <w:rFonts w:ascii="Arial Narrow" w:hAnsi="Arial Narrow"/>
              </w:rPr>
            </w:pPr>
            <w:r w:rsidRPr="00C06623">
              <w:rPr>
                <w:rFonts w:ascii="Arial Narrow" w:hAnsi="Arial Narrow"/>
              </w:rPr>
              <w:t>„3. Jeżeli elementy, o których mowa w ust. 2, zostały już opracowane i są zgodne z przepisami prawa oraz wymaganiami mających zastosowanie uznanych na poziomie międzynarodowym norm odnoszących się do systemów zarządzania, system zarządzania środowiskowego może zawierać odniesienia do odpowiednich dokumentów.</w:t>
            </w:r>
          </w:p>
          <w:p w14:paraId="0790AE0D" w14:textId="77777777" w:rsidR="00C06623" w:rsidRPr="00C06623" w:rsidRDefault="00C06623" w:rsidP="00782A4E">
            <w:pPr>
              <w:jc w:val="both"/>
              <w:rPr>
                <w:rFonts w:ascii="Arial Narrow" w:hAnsi="Arial Narrow" w:cstheme="minorHAnsi"/>
              </w:rPr>
            </w:pPr>
            <w:r w:rsidRPr="00C06623">
              <w:rPr>
                <w:rFonts w:ascii="Arial Narrow" w:hAnsi="Arial Narrow"/>
              </w:rPr>
              <w:t>Jeżeli wszystkie elementy, o których mowa w ust. 2, zostały już opracowane i są zgodne z przepisami prawa i wymaganiami mających zastosowanie norm uznanych na poziomie międzynarodowym odnoszących się do systemów zarządzania, prowadzący instalację zwolniony jest z obowiązku przygotowania i wdrażania systemu zarządzania środowiskowego.</w:t>
            </w:r>
          </w:p>
        </w:tc>
        <w:tc>
          <w:tcPr>
            <w:tcW w:w="1428" w:type="dxa"/>
          </w:tcPr>
          <w:p w14:paraId="5471D7C7" w14:textId="77777777" w:rsidR="00C06623" w:rsidRPr="00C06623" w:rsidRDefault="00C06623" w:rsidP="00782A4E">
            <w:pPr>
              <w:jc w:val="both"/>
              <w:rPr>
                <w:rFonts w:ascii="Arial Narrow" w:hAnsi="Arial Narrow" w:cstheme="minorHAnsi"/>
              </w:rPr>
            </w:pPr>
          </w:p>
        </w:tc>
      </w:tr>
      <w:tr w:rsidR="00C06623" w:rsidRPr="00C06623" w14:paraId="3DCD8165" w14:textId="77777777" w:rsidTr="00782A4E">
        <w:trPr>
          <w:cantSplit/>
        </w:trPr>
        <w:tc>
          <w:tcPr>
            <w:tcW w:w="562" w:type="dxa"/>
          </w:tcPr>
          <w:p w14:paraId="119EB05F"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8</w:t>
            </w:r>
          </w:p>
        </w:tc>
        <w:tc>
          <w:tcPr>
            <w:tcW w:w="1701" w:type="dxa"/>
          </w:tcPr>
          <w:p w14:paraId="0FE0E4A3" w14:textId="38BC16B7"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41AFF690" w14:textId="77777777" w:rsidR="00C06623" w:rsidRPr="00C06623" w:rsidRDefault="00C06623" w:rsidP="00782A4E">
            <w:pPr>
              <w:jc w:val="both"/>
              <w:rPr>
                <w:rFonts w:ascii="Arial Narrow" w:hAnsi="Arial Narrow" w:cstheme="minorHAnsi"/>
                <w:lang w:val="en-GB"/>
              </w:rPr>
            </w:pPr>
            <w:r w:rsidRPr="00C06623">
              <w:rPr>
                <w:rFonts w:ascii="Arial Narrow" w:hAnsi="Arial Narrow" w:cstheme="minorHAnsi"/>
                <w:lang w:val="en-GB"/>
              </w:rPr>
              <w:t xml:space="preserve">art. 1. </w:t>
            </w:r>
            <w:proofErr w:type="spellStart"/>
            <w:r w:rsidRPr="00C06623">
              <w:rPr>
                <w:rFonts w:ascii="Arial Narrow" w:hAnsi="Arial Narrow" w:cstheme="minorHAnsi"/>
                <w:lang w:val="en-GB"/>
              </w:rPr>
              <w:t>pkt</w:t>
            </w:r>
            <w:proofErr w:type="spellEnd"/>
            <w:r w:rsidRPr="00C06623">
              <w:rPr>
                <w:rFonts w:ascii="Arial Narrow" w:hAnsi="Arial Narrow" w:cstheme="minorHAnsi"/>
                <w:lang w:val="en-GB"/>
              </w:rPr>
              <w:t xml:space="preserve"> 14</w:t>
            </w:r>
          </w:p>
          <w:p w14:paraId="1692D8BE" w14:textId="77777777" w:rsidR="00C06623" w:rsidRPr="00C06623" w:rsidRDefault="00C06623" w:rsidP="00782A4E">
            <w:pPr>
              <w:jc w:val="both"/>
              <w:rPr>
                <w:rFonts w:ascii="Arial Narrow" w:hAnsi="Arial Narrow" w:cstheme="minorHAnsi"/>
                <w:lang w:val="en-GB"/>
              </w:rPr>
            </w:pPr>
            <w:r w:rsidRPr="00C06623">
              <w:rPr>
                <w:rFonts w:ascii="Arial Narrow" w:hAnsi="Arial Narrow" w:cstheme="minorHAnsi"/>
                <w:lang w:val="en-GB"/>
              </w:rPr>
              <w:t xml:space="preserve">art. 208a </w:t>
            </w:r>
            <w:proofErr w:type="spellStart"/>
            <w:r w:rsidRPr="00C06623">
              <w:rPr>
                <w:rFonts w:ascii="Arial Narrow" w:hAnsi="Arial Narrow" w:cstheme="minorHAnsi"/>
                <w:lang w:val="en-GB"/>
              </w:rPr>
              <w:t>ust</w:t>
            </w:r>
            <w:proofErr w:type="spellEnd"/>
            <w:r w:rsidRPr="00C06623">
              <w:rPr>
                <w:rFonts w:ascii="Arial Narrow" w:hAnsi="Arial Narrow" w:cstheme="minorHAnsi"/>
                <w:lang w:val="en-GB"/>
              </w:rPr>
              <w:t xml:space="preserve"> 4</w:t>
            </w:r>
          </w:p>
        </w:tc>
        <w:tc>
          <w:tcPr>
            <w:tcW w:w="5103" w:type="dxa"/>
          </w:tcPr>
          <w:p w14:paraId="1A91B01E" w14:textId="77777777" w:rsidR="00C06623" w:rsidRPr="00C06623" w:rsidRDefault="00C06623" w:rsidP="00782A4E">
            <w:pPr>
              <w:jc w:val="both"/>
              <w:rPr>
                <w:rFonts w:ascii="Arial Narrow" w:hAnsi="Arial Narrow"/>
              </w:rPr>
            </w:pPr>
            <w:r w:rsidRPr="00C06623">
              <w:rPr>
                <w:rFonts w:ascii="Arial Narrow" w:hAnsi="Arial Narrow"/>
              </w:rPr>
              <w:t>Proponowany przepis stwierdza, że prowadzący instalację opracowuje streszczenie systemu zarządzania środowiskowego zawierające najistotniejsze informacje wynikające z elementów wskazanych w ust. 2, które zostaną następnie udostępnione publicznie.</w:t>
            </w:r>
          </w:p>
          <w:p w14:paraId="621E2020" w14:textId="77777777" w:rsidR="00C06623" w:rsidRPr="00C06623" w:rsidRDefault="00C06623" w:rsidP="00782A4E">
            <w:pPr>
              <w:jc w:val="both"/>
              <w:rPr>
                <w:rFonts w:ascii="Arial Narrow" w:hAnsi="Arial Narrow"/>
              </w:rPr>
            </w:pPr>
            <w:r w:rsidRPr="00C06623">
              <w:rPr>
                <w:rFonts w:ascii="Arial Narrow" w:hAnsi="Arial Narrow"/>
              </w:rPr>
              <w:t>Użyty w przepisie termin „streszczenie” jest nieadekwatny do istoty czynności, którą należy wykonać w odniesieniu do systemu zarządzania.</w:t>
            </w:r>
          </w:p>
        </w:tc>
        <w:tc>
          <w:tcPr>
            <w:tcW w:w="4252" w:type="dxa"/>
          </w:tcPr>
          <w:p w14:paraId="38C3526D" w14:textId="77777777" w:rsidR="00C06623" w:rsidRPr="00C06623" w:rsidRDefault="00C06623" w:rsidP="00782A4E">
            <w:pPr>
              <w:jc w:val="both"/>
              <w:rPr>
                <w:rFonts w:ascii="Arial Narrow" w:hAnsi="Arial Narrow"/>
              </w:rPr>
            </w:pPr>
            <w:r w:rsidRPr="00C06623">
              <w:rPr>
                <w:rFonts w:ascii="Arial Narrow" w:hAnsi="Arial Narrow"/>
              </w:rPr>
              <w:t>„4. Prowadzący instalację opracowuje także opis systemu zarządzania środowiskowego zawierający najistotniejsze informacje wynikające z elementów wskazanych w ust. 2, które zostaną następnie udostępnione publicznie.”</w:t>
            </w:r>
          </w:p>
        </w:tc>
        <w:tc>
          <w:tcPr>
            <w:tcW w:w="1428" w:type="dxa"/>
          </w:tcPr>
          <w:p w14:paraId="383E0188" w14:textId="77777777" w:rsidR="00C06623" w:rsidRPr="00C06623" w:rsidRDefault="00C06623" w:rsidP="00782A4E">
            <w:pPr>
              <w:jc w:val="both"/>
              <w:rPr>
                <w:rFonts w:ascii="Arial Narrow" w:hAnsi="Arial Narrow" w:cstheme="minorHAnsi"/>
              </w:rPr>
            </w:pPr>
          </w:p>
        </w:tc>
      </w:tr>
      <w:tr w:rsidR="00C06623" w:rsidRPr="00C06623" w14:paraId="1E56562D" w14:textId="77777777" w:rsidTr="00782A4E">
        <w:trPr>
          <w:cantSplit/>
        </w:trPr>
        <w:tc>
          <w:tcPr>
            <w:tcW w:w="562" w:type="dxa"/>
          </w:tcPr>
          <w:p w14:paraId="0FE9C202"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9</w:t>
            </w:r>
          </w:p>
        </w:tc>
        <w:tc>
          <w:tcPr>
            <w:tcW w:w="1701" w:type="dxa"/>
          </w:tcPr>
          <w:p w14:paraId="15C470B0" w14:textId="42550EA1"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2C23DEFD"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1. pkt 14</w:t>
            </w:r>
          </w:p>
          <w:p w14:paraId="772E5B96"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208a ust 5 i 6</w:t>
            </w:r>
          </w:p>
        </w:tc>
        <w:tc>
          <w:tcPr>
            <w:tcW w:w="5103" w:type="dxa"/>
          </w:tcPr>
          <w:p w14:paraId="487C74DD" w14:textId="77777777" w:rsidR="00C06623" w:rsidRPr="00C06623" w:rsidRDefault="00C06623" w:rsidP="00782A4E">
            <w:pPr>
              <w:rPr>
                <w:rFonts w:ascii="Arial Narrow" w:hAnsi="Arial Narrow"/>
              </w:rPr>
            </w:pPr>
            <w:r w:rsidRPr="00C06623">
              <w:rPr>
                <w:rFonts w:ascii="Arial Narrow" w:hAnsi="Arial Narrow"/>
              </w:rPr>
              <w:t>Proponowany przepis stwierdza, że prowadzący instalację „przekazuje system zarządzania środowiskowego” oraz jego streszczenie organowi właściwemu do wydania pozwolenia zintegrowanego.</w:t>
            </w:r>
          </w:p>
          <w:p w14:paraId="699C275C" w14:textId="77777777" w:rsidR="00C06623" w:rsidRPr="00C06623" w:rsidRDefault="00C06623" w:rsidP="00782A4E">
            <w:pPr>
              <w:rPr>
                <w:rFonts w:ascii="Arial Narrow" w:hAnsi="Arial Narrow"/>
              </w:rPr>
            </w:pPr>
            <w:r w:rsidRPr="00C06623">
              <w:rPr>
                <w:rFonts w:ascii="Arial Narrow" w:hAnsi="Arial Narrow"/>
              </w:rPr>
              <w:t xml:space="preserve">Przekazanie organowi opracowanego i wdrożonego „systemu zarządzania”, czyli zintegrowanego zespołu ludzi, procedur, narzędzi, organizującego struktury i procesy w cellu systematycznego osiągania określonych cele i stałego </w:t>
            </w:r>
            <w:r w:rsidRPr="00C06623">
              <w:rPr>
                <w:rFonts w:ascii="Arial Narrow" w:hAnsi="Arial Narrow"/>
              </w:rPr>
              <w:lastRenderedPageBreak/>
              <w:t>doskonalenia, nie jest możliwe. Możliwe jest przekazanie dokumentacji systemu, która w zasadniczej części stanowiła będzie tajemnicę handlową przedsiębiorstwa i wyłączone będzie z udostępniania, schematu funkcjonalnego systemu, opisu systemu.</w:t>
            </w:r>
          </w:p>
        </w:tc>
        <w:tc>
          <w:tcPr>
            <w:tcW w:w="4252" w:type="dxa"/>
          </w:tcPr>
          <w:p w14:paraId="269EF5E6" w14:textId="77777777" w:rsidR="00C06623" w:rsidRPr="00C06623" w:rsidRDefault="00C06623" w:rsidP="00782A4E">
            <w:pPr>
              <w:jc w:val="both"/>
              <w:rPr>
                <w:rFonts w:ascii="Arial Narrow" w:hAnsi="Arial Narrow"/>
              </w:rPr>
            </w:pPr>
            <w:r w:rsidRPr="00C06623">
              <w:rPr>
                <w:rFonts w:ascii="Arial Narrow" w:hAnsi="Arial Narrow"/>
              </w:rPr>
              <w:lastRenderedPageBreak/>
              <w:t>„5. Prowadzący instalację przekazuje schemat funkcjonalny oraz opis systemu zarządzania środowiskowego organowi właściwemu do wydania pozwolenia zintegrowanego.</w:t>
            </w:r>
          </w:p>
          <w:p w14:paraId="3B4C4D99" w14:textId="77777777" w:rsidR="00C06623" w:rsidRPr="00C06623" w:rsidRDefault="00C06623" w:rsidP="00782A4E">
            <w:pPr>
              <w:jc w:val="both"/>
              <w:rPr>
                <w:rFonts w:ascii="Arial Narrow" w:hAnsi="Arial Narrow"/>
              </w:rPr>
            </w:pPr>
            <w:r w:rsidRPr="00C06623">
              <w:rPr>
                <w:rFonts w:ascii="Arial Narrow" w:hAnsi="Arial Narrow"/>
              </w:rPr>
              <w:t xml:space="preserve">6. W przypadku wniosku o zmianę pozwolenia schemat funkcjonalny oraz opis systemu zarządzania środowiskowego przekazywane są </w:t>
            </w:r>
            <w:r w:rsidRPr="00C06623">
              <w:rPr>
                <w:rFonts w:ascii="Arial Narrow" w:hAnsi="Arial Narrow"/>
              </w:rPr>
              <w:lastRenderedPageBreak/>
              <w:t>tylko wtedy, gdy nastąpiły w nich zmiany od czasu ostatniej zmiany pozwolenia.”</w:t>
            </w:r>
          </w:p>
        </w:tc>
        <w:tc>
          <w:tcPr>
            <w:tcW w:w="1428" w:type="dxa"/>
          </w:tcPr>
          <w:p w14:paraId="7949C6A3" w14:textId="77777777" w:rsidR="00C06623" w:rsidRPr="00C06623" w:rsidRDefault="00C06623" w:rsidP="00782A4E">
            <w:pPr>
              <w:jc w:val="both"/>
              <w:rPr>
                <w:rFonts w:ascii="Arial Narrow" w:hAnsi="Arial Narrow" w:cstheme="minorHAnsi"/>
              </w:rPr>
            </w:pPr>
          </w:p>
        </w:tc>
      </w:tr>
      <w:tr w:rsidR="00C06623" w:rsidRPr="00C06623" w14:paraId="6BB2FF04" w14:textId="77777777" w:rsidTr="00782A4E">
        <w:trPr>
          <w:cantSplit/>
        </w:trPr>
        <w:tc>
          <w:tcPr>
            <w:tcW w:w="562" w:type="dxa"/>
          </w:tcPr>
          <w:p w14:paraId="7134B2AB"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10</w:t>
            </w:r>
          </w:p>
        </w:tc>
        <w:tc>
          <w:tcPr>
            <w:tcW w:w="1701" w:type="dxa"/>
          </w:tcPr>
          <w:p w14:paraId="0DB73E6A" w14:textId="460D2056"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49E21863"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1. pkt 15</w:t>
            </w:r>
          </w:p>
          <w:p w14:paraId="01CE6A6E"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208b ust 1 i 2</w:t>
            </w:r>
          </w:p>
        </w:tc>
        <w:tc>
          <w:tcPr>
            <w:tcW w:w="5103" w:type="dxa"/>
          </w:tcPr>
          <w:p w14:paraId="66D5B6FB" w14:textId="77777777" w:rsidR="00C06623" w:rsidRPr="00C06623" w:rsidRDefault="00C06623" w:rsidP="00782A4E">
            <w:pPr>
              <w:jc w:val="both"/>
              <w:rPr>
                <w:rFonts w:ascii="Arial Narrow" w:hAnsi="Arial Narrow"/>
              </w:rPr>
            </w:pPr>
            <w:r w:rsidRPr="00C06623">
              <w:rPr>
                <w:rFonts w:ascii="Arial Narrow" w:hAnsi="Arial Narrow"/>
              </w:rPr>
              <w:t>Co, jeśli prowadzący instalację stwierdzi, że nie ma zamiaru się transformować ? Gdzie są jakieś kryteria oceny tego, co będzie zawarte w planie, gdzie są sankcje za niespełnienie tych nieokreślonych kryteriów ? Czy organ może odmówić wydania pozwolenie ze względu na treść planu transformacji ?</w:t>
            </w:r>
          </w:p>
        </w:tc>
        <w:tc>
          <w:tcPr>
            <w:tcW w:w="4252" w:type="dxa"/>
          </w:tcPr>
          <w:p w14:paraId="2FD99DCB" w14:textId="77777777" w:rsidR="00C06623" w:rsidRPr="00C06623" w:rsidRDefault="00C06623" w:rsidP="00782A4E">
            <w:pPr>
              <w:jc w:val="both"/>
              <w:rPr>
                <w:rFonts w:ascii="Arial Narrow" w:hAnsi="Arial Narrow"/>
              </w:rPr>
            </w:pPr>
            <w:r w:rsidRPr="00C06623">
              <w:rPr>
                <w:rFonts w:ascii="Arial Narrow" w:hAnsi="Arial Narrow"/>
              </w:rPr>
              <w:t>Proponuje się doprecyzować, że „plan transformacji może być dokumentem koncepcyjnym, niewymagającym przedstawienia harmonogramów inwestycyjnych o charakterze wiążącym.”</w:t>
            </w:r>
          </w:p>
          <w:p w14:paraId="4A8740B9" w14:textId="77777777" w:rsidR="00C06623" w:rsidRPr="00C06623" w:rsidRDefault="00C06623" w:rsidP="00782A4E">
            <w:pPr>
              <w:jc w:val="both"/>
              <w:rPr>
                <w:rFonts w:ascii="Arial Narrow" w:hAnsi="Arial Narrow"/>
              </w:rPr>
            </w:pPr>
            <w:r w:rsidRPr="00C06623">
              <w:rPr>
                <w:rFonts w:ascii="Arial Narrow" w:hAnsi="Arial Narrow"/>
              </w:rPr>
              <w:t>i/lub</w:t>
            </w:r>
          </w:p>
          <w:p w14:paraId="41CADA17" w14:textId="77777777" w:rsidR="00C06623" w:rsidRPr="00C06623" w:rsidRDefault="00C06623" w:rsidP="00782A4E">
            <w:pPr>
              <w:jc w:val="both"/>
              <w:rPr>
                <w:rFonts w:ascii="Arial Narrow" w:hAnsi="Arial Narrow"/>
              </w:rPr>
            </w:pPr>
            <w:r w:rsidRPr="00C06623">
              <w:rPr>
                <w:rFonts w:ascii="Arial Narrow" w:hAnsi="Arial Narrow"/>
              </w:rPr>
              <w:t>„Plan transformacji ma charakter planistyczny i nie stanowi samoistnej podstawy do nałożenia sankcji administracyjnych.”</w:t>
            </w:r>
          </w:p>
        </w:tc>
        <w:tc>
          <w:tcPr>
            <w:tcW w:w="1428" w:type="dxa"/>
          </w:tcPr>
          <w:p w14:paraId="1E1D78E1" w14:textId="77777777" w:rsidR="00C06623" w:rsidRPr="00C06623" w:rsidRDefault="00C06623" w:rsidP="00782A4E">
            <w:pPr>
              <w:jc w:val="both"/>
              <w:rPr>
                <w:rFonts w:ascii="Arial Narrow" w:hAnsi="Arial Narrow" w:cstheme="minorHAnsi"/>
              </w:rPr>
            </w:pPr>
          </w:p>
        </w:tc>
      </w:tr>
      <w:tr w:rsidR="00C06623" w:rsidRPr="00C06623" w14:paraId="4C460484" w14:textId="77777777" w:rsidTr="00782A4E">
        <w:trPr>
          <w:cantSplit/>
        </w:trPr>
        <w:tc>
          <w:tcPr>
            <w:tcW w:w="562" w:type="dxa"/>
          </w:tcPr>
          <w:p w14:paraId="4CEE2DE5"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11</w:t>
            </w:r>
          </w:p>
        </w:tc>
        <w:tc>
          <w:tcPr>
            <w:tcW w:w="1701" w:type="dxa"/>
          </w:tcPr>
          <w:p w14:paraId="68638454" w14:textId="54FE7077"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4CD8780F"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1. pkt 16</w:t>
            </w:r>
          </w:p>
          <w:p w14:paraId="2782C6B8"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art. 211 ust 3a</w:t>
            </w:r>
          </w:p>
        </w:tc>
        <w:tc>
          <w:tcPr>
            <w:tcW w:w="5103" w:type="dxa"/>
          </w:tcPr>
          <w:p w14:paraId="5F0E5091" w14:textId="77777777" w:rsidR="00C06623" w:rsidRPr="00C06623" w:rsidRDefault="00C06623" w:rsidP="00782A4E">
            <w:pPr>
              <w:jc w:val="both"/>
              <w:rPr>
                <w:rFonts w:ascii="Arial Narrow" w:hAnsi="Arial Narrow"/>
              </w:rPr>
            </w:pPr>
            <w:r w:rsidRPr="00C06623">
              <w:rPr>
                <w:rFonts w:ascii="Arial Narrow" w:hAnsi="Arial Narrow"/>
              </w:rPr>
              <w:t>Proponowany przepis stwierdza, że wielkości dopuszczalnej emisji określone w pozwoleniu zintegrowanym dla instalacji wymagającej pozwolenia zintegrowanego określa się na najniższym osiągalnym poziomie, wynikającym z zastosowania najlepszych dostępnych technik wskazanych przez prowadzącego instalację, uwzględniając pełen przedział granicznych wielkości emisyjnych.</w:t>
            </w:r>
          </w:p>
          <w:p w14:paraId="4335AEB5"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W ustawie nie określono, jak należy interpretować termin „osiągalny poziom”, jakie jest obiektywne kryterium, które stosowane będzie do ustalenia, że dany poziom emisji jest ”osiągalny”, lub nie jest „osiągalny”. Nie wskazano, kto i na jakiej podstawie będzie oceniał i weryfikował będzie „osiągalność” poziomów emisji.</w:t>
            </w:r>
          </w:p>
          <w:p w14:paraId="7D7C1C09" w14:textId="77777777" w:rsidR="00C06623" w:rsidRPr="00C06623" w:rsidRDefault="00C06623" w:rsidP="00782A4E">
            <w:pPr>
              <w:jc w:val="both"/>
              <w:rPr>
                <w:rFonts w:ascii="Arial Narrow" w:hAnsi="Arial Narrow"/>
              </w:rPr>
            </w:pPr>
            <w:r w:rsidRPr="00C06623">
              <w:rPr>
                <w:rFonts w:ascii="Arial Narrow" w:hAnsi="Arial Narrow" w:cstheme="minorHAnsi"/>
              </w:rPr>
              <w:t>Ponieważ emisje mieszczące się w granicach BAT</w:t>
            </w:r>
            <w:r w:rsidRPr="00C06623">
              <w:rPr>
                <w:rFonts w:ascii="Arial Narrow" w:hAnsi="Arial Narrow" w:cstheme="minorHAnsi"/>
                <w:vertAlign w:val="subscript"/>
              </w:rPr>
              <w:t>AEL</w:t>
            </w:r>
            <w:r w:rsidRPr="00C06623">
              <w:rPr>
                <w:rFonts w:ascii="Arial Narrow" w:hAnsi="Arial Narrow" w:cstheme="minorHAnsi"/>
              </w:rPr>
              <w:t xml:space="preserve"> określonych w konkluzjach BAT świadczą o całkowitym spełnieniu wymagań BAT, dalsze ograniczanie emisji poniżej wymaganego w konkluzjach poziomu przy ponoszeniu dodatkowych kosztów jest nieracjonalne, nieuzasadnione </w:t>
            </w:r>
            <w:r w:rsidRPr="00C06623">
              <w:rPr>
                <w:rFonts w:ascii="Arial Narrow" w:hAnsi="Arial Narrow" w:cstheme="minorHAnsi"/>
              </w:rPr>
              <w:lastRenderedPageBreak/>
              <w:t>zarówno ze względów ekonomicznych, jak i środowiskowych, w sposób nieuzasadniony zwiększy koszty i pogorszy konkurencyjność podmiotów poddanych takiej regulacji. Wyjątkiem jest sytuacja, w której dodatkowe ograniczenie emisji może zostać osiągnięte bez ponoszenia dodatkowych kosztów ekonomicznych i środowiskowych.</w:t>
            </w:r>
          </w:p>
        </w:tc>
        <w:tc>
          <w:tcPr>
            <w:tcW w:w="4252" w:type="dxa"/>
          </w:tcPr>
          <w:p w14:paraId="1D4C6DA6" w14:textId="77777777" w:rsidR="00C06623" w:rsidRPr="00C06623" w:rsidRDefault="00C06623" w:rsidP="00782A4E">
            <w:pPr>
              <w:jc w:val="both"/>
              <w:rPr>
                <w:rFonts w:ascii="Arial Narrow" w:hAnsi="Arial Narrow"/>
              </w:rPr>
            </w:pPr>
            <w:r w:rsidRPr="00C06623">
              <w:rPr>
                <w:rFonts w:ascii="Arial Narrow" w:hAnsi="Arial Narrow"/>
              </w:rPr>
              <w:lastRenderedPageBreak/>
              <w:t xml:space="preserve">„3a. Wielkości dopuszczalnej emisji określone w pozwoleniu zintegrowanym dla instalacji wymagającej pozwolenia zintegrowanego określa się uwzględniając pełen przedział granicznych wielkości emisyjnych, na najniższym poziomie nie powodującym </w:t>
            </w:r>
            <w:r w:rsidRPr="00C06623">
              <w:rPr>
                <w:rFonts w:ascii="Arial Narrow" w:hAnsi="Arial Narrow" w:cstheme="minorHAnsi"/>
              </w:rPr>
              <w:t>konieczności ponoszenia dodatkowych kosztów ekonomicznych i środowiskowych</w:t>
            </w:r>
            <w:r w:rsidRPr="00C06623">
              <w:rPr>
                <w:rFonts w:ascii="Arial Narrow" w:hAnsi="Arial Narrow"/>
              </w:rPr>
              <w:t>.”</w:t>
            </w:r>
          </w:p>
        </w:tc>
        <w:tc>
          <w:tcPr>
            <w:tcW w:w="1428" w:type="dxa"/>
          </w:tcPr>
          <w:p w14:paraId="18172DD5" w14:textId="77777777" w:rsidR="00C06623" w:rsidRPr="00C06623" w:rsidRDefault="00C06623" w:rsidP="00782A4E">
            <w:pPr>
              <w:jc w:val="both"/>
              <w:rPr>
                <w:rFonts w:ascii="Arial Narrow" w:hAnsi="Arial Narrow" w:cstheme="minorHAnsi"/>
              </w:rPr>
            </w:pPr>
          </w:p>
        </w:tc>
      </w:tr>
      <w:tr w:rsidR="00C06623" w:rsidRPr="00C06623" w14:paraId="34A320FD" w14:textId="77777777" w:rsidTr="00782A4E">
        <w:trPr>
          <w:cantSplit/>
        </w:trPr>
        <w:tc>
          <w:tcPr>
            <w:tcW w:w="562" w:type="dxa"/>
          </w:tcPr>
          <w:p w14:paraId="35282860"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12</w:t>
            </w:r>
          </w:p>
        </w:tc>
        <w:tc>
          <w:tcPr>
            <w:tcW w:w="1701" w:type="dxa"/>
          </w:tcPr>
          <w:p w14:paraId="60A1BE58" w14:textId="2A095721"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38101D25" w14:textId="77777777" w:rsidR="00C06623" w:rsidRPr="00C06623" w:rsidRDefault="00C06623" w:rsidP="00782A4E">
            <w:pPr>
              <w:jc w:val="both"/>
              <w:rPr>
                <w:rFonts w:ascii="Arial Narrow" w:hAnsi="Arial Narrow" w:cstheme="minorHAnsi"/>
                <w:lang w:val="en-GB"/>
              </w:rPr>
            </w:pPr>
            <w:r w:rsidRPr="00C06623">
              <w:rPr>
                <w:rFonts w:ascii="Arial Narrow" w:hAnsi="Arial Narrow" w:cstheme="minorHAnsi"/>
                <w:lang w:val="en-GB"/>
              </w:rPr>
              <w:t xml:space="preserve">art. 1. </w:t>
            </w:r>
            <w:proofErr w:type="spellStart"/>
            <w:r w:rsidRPr="00C06623">
              <w:rPr>
                <w:rFonts w:ascii="Arial Narrow" w:hAnsi="Arial Narrow" w:cstheme="minorHAnsi"/>
                <w:lang w:val="en-GB"/>
              </w:rPr>
              <w:t>pkt</w:t>
            </w:r>
            <w:proofErr w:type="spellEnd"/>
            <w:r w:rsidRPr="00C06623">
              <w:rPr>
                <w:rFonts w:ascii="Arial Narrow" w:hAnsi="Arial Narrow" w:cstheme="minorHAnsi"/>
                <w:lang w:val="en-GB"/>
              </w:rPr>
              <w:t xml:space="preserve"> 22</w:t>
            </w:r>
          </w:p>
          <w:p w14:paraId="5D3AF2D9" w14:textId="77777777" w:rsidR="00C06623" w:rsidRPr="00C06623" w:rsidRDefault="00C06623" w:rsidP="00782A4E">
            <w:pPr>
              <w:jc w:val="both"/>
              <w:rPr>
                <w:rFonts w:ascii="Arial Narrow" w:hAnsi="Arial Narrow" w:cstheme="minorHAnsi"/>
                <w:lang w:val="en-GB"/>
              </w:rPr>
            </w:pPr>
            <w:r w:rsidRPr="00C06623">
              <w:rPr>
                <w:rFonts w:ascii="Arial Narrow" w:hAnsi="Arial Narrow" w:cstheme="minorHAnsi"/>
                <w:lang w:val="en-GB"/>
              </w:rPr>
              <w:t xml:space="preserve">art. 217a </w:t>
            </w:r>
            <w:proofErr w:type="spellStart"/>
            <w:r w:rsidRPr="00C06623">
              <w:rPr>
                <w:rFonts w:ascii="Arial Narrow" w:hAnsi="Arial Narrow" w:cstheme="minorHAnsi"/>
                <w:lang w:val="en-GB"/>
              </w:rPr>
              <w:t>ust</w:t>
            </w:r>
            <w:proofErr w:type="spellEnd"/>
            <w:r w:rsidRPr="00C06623">
              <w:rPr>
                <w:rFonts w:ascii="Arial Narrow" w:hAnsi="Arial Narrow" w:cstheme="minorHAnsi"/>
                <w:lang w:val="en-GB"/>
              </w:rPr>
              <w:t xml:space="preserve"> 1</w:t>
            </w:r>
          </w:p>
        </w:tc>
        <w:tc>
          <w:tcPr>
            <w:tcW w:w="5103" w:type="dxa"/>
          </w:tcPr>
          <w:p w14:paraId="398369F1" w14:textId="77777777" w:rsidR="00C06623" w:rsidRPr="00C06623" w:rsidRDefault="00C06623" w:rsidP="00782A4E">
            <w:pPr>
              <w:jc w:val="both"/>
              <w:rPr>
                <w:rFonts w:ascii="Arial Narrow" w:hAnsi="Arial Narrow"/>
              </w:rPr>
            </w:pPr>
            <w:r w:rsidRPr="00C06623">
              <w:rPr>
                <w:rFonts w:ascii="Arial Narrow" w:hAnsi="Arial Narrow"/>
              </w:rPr>
              <w:t>Proponowany przepis nakłada obowiązek wykonywania badań gleby i ziemi co najmniej raz na 9 lat oraz badań wód gruntowych raz na 4 lata. Proponowana częstotliwość badań nie znajduje racjonalnego uzasadnienia.</w:t>
            </w:r>
          </w:p>
        </w:tc>
        <w:tc>
          <w:tcPr>
            <w:tcW w:w="4252" w:type="dxa"/>
          </w:tcPr>
          <w:p w14:paraId="018406BD" w14:textId="77777777" w:rsidR="00C06623" w:rsidRPr="00C06623" w:rsidRDefault="00C06623" w:rsidP="00782A4E">
            <w:pPr>
              <w:jc w:val="both"/>
              <w:rPr>
                <w:rFonts w:ascii="Arial Narrow" w:hAnsi="Arial Narrow"/>
              </w:rPr>
            </w:pPr>
            <w:r w:rsidRPr="00C06623">
              <w:rPr>
                <w:rFonts w:ascii="Arial Narrow" w:hAnsi="Arial Narrow"/>
              </w:rPr>
              <w:t>„1. Ustalając w pozwoleniu zintegrowanym sposób i częstotliwość wykonywania badań zanieczyszczenia gleby i ziemi substancjami powodującymi ryzyko oraz wykonywania pomiarów zawartości tych substancji w wodach gruntowych, w tym pobierania próbek, o których mowa w art. 211 ust. 6 pkt 4, uwzględnia się, że badania zanieczyszczenia gleby i ziemi oraz pomiary zawartości substancji w wodach gruntowych, w tym pobieranie próbek, wykonuje się co najmniej raz na 10 lat, o ile takie badania lub pomiary nie opierają się na systematycznej ocenie ryzyka, o której mowa w art. 211 ust. 6 pkt 4.”;</w:t>
            </w:r>
          </w:p>
        </w:tc>
        <w:tc>
          <w:tcPr>
            <w:tcW w:w="1428" w:type="dxa"/>
          </w:tcPr>
          <w:p w14:paraId="41033F60" w14:textId="77777777" w:rsidR="00C06623" w:rsidRPr="00C06623" w:rsidRDefault="00C06623" w:rsidP="00782A4E">
            <w:pPr>
              <w:jc w:val="both"/>
              <w:rPr>
                <w:rFonts w:ascii="Arial Narrow" w:hAnsi="Arial Narrow" w:cstheme="minorHAnsi"/>
              </w:rPr>
            </w:pPr>
          </w:p>
        </w:tc>
      </w:tr>
      <w:tr w:rsidR="00C06623" w:rsidRPr="00C06623" w14:paraId="1DF2FD39" w14:textId="77777777" w:rsidTr="00782A4E">
        <w:trPr>
          <w:cantSplit/>
        </w:trPr>
        <w:tc>
          <w:tcPr>
            <w:tcW w:w="562" w:type="dxa"/>
          </w:tcPr>
          <w:p w14:paraId="71356A6A" w14:textId="77777777" w:rsidR="00C06623" w:rsidRPr="00C06623" w:rsidRDefault="00C06623" w:rsidP="00782A4E">
            <w:pPr>
              <w:jc w:val="center"/>
              <w:rPr>
                <w:rFonts w:ascii="Arial Narrow" w:hAnsi="Arial Narrow" w:cstheme="minorHAnsi"/>
              </w:rPr>
            </w:pPr>
            <w:r w:rsidRPr="00C06623">
              <w:rPr>
                <w:rFonts w:ascii="Arial Narrow" w:hAnsi="Arial Narrow"/>
              </w:rPr>
              <w:t>13</w:t>
            </w:r>
          </w:p>
        </w:tc>
        <w:tc>
          <w:tcPr>
            <w:tcW w:w="1701" w:type="dxa"/>
          </w:tcPr>
          <w:p w14:paraId="294062EA" w14:textId="63C02B69"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261F6EF8" w14:textId="77777777" w:rsidR="00C06623" w:rsidRPr="00C06623" w:rsidRDefault="00C06623" w:rsidP="00782A4E">
            <w:pPr>
              <w:jc w:val="both"/>
              <w:rPr>
                <w:rFonts w:ascii="Arial Narrow" w:hAnsi="Arial Narrow" w:cstheme="minorHAnsi"/>
              </w:rPr>
            </w:pPr>
            <w:r w:rsidRPr="00C06623">
              <w:rPr>
                <w:rFonts w:ascii="Arial Narrow" w:hAnsi="Arial Narrow"/>
              </w:rPr>
              <w:t xml:space="preserve">art. 324a </w:t>
            </w:r>
            <w:proofErr w:type="spellStart"/>
            <w:r w:rsidRPr="00C06623">
              <w:rPr>
                <w:rFonts w:ascii="Arial Narrow" w:hAnsi="Arial Narrow"/>
              </w:rPr>
              <w:t>Poś</w:t>
            </w:r>
            <w:proofErr w:type="spellEnd"/>
          </w:p>
        </w:tc>
        <w:tc>
          <w:tcPr>
            <w:tcW w:w="5103" w:type="dxa"/>
          </w:tcPr>
          <w:p w14:paraId="1EF0F045" w14:textId="77777777" w:rsidR="00C06623" w:rsidRPr="00C06623" w:rsidRDefault="00C06623" w:rsidP="00782A4E">
            <w:pPr>
              <w:jc w:val="both"/>
              <w:rPr>
                <w:rFonts w:ascii="Arial Narrow" w:hAnsi="Arial Narrow" w:cs="Times New Roman"/>
              </w:rPr>
            </w:pPr>
            <w:r w:rsidRPr="00C06623">
              <w:rPr>
                <w:rFonts w:ascii="Arial Narrow" w:hAnsi="Arial Narrow" w:cs="Times New Roman"/>
              </w:rPr>
              <w:t xml:space="preserve">Projektowany art. 324a </w:t>
            </w:r>
            <w:proofErr w:type="spellStart"/>
            <w:r w:rsidRPr="00C06623">
              <w:rPr>
                <w:rFonts w:ascii="Arial Narrow" w:hAnsi="Arial Narrow" w:cs="Times New Roman"/>
              </w:rPr>
              <w:t>Poś</w:t>
            </w:r>
            <w:proofErr w:type="spellEnd"/>
            <w:r w:rsidRPr="00C06623">
              <w:rPr>
                <w:rFonts w:ascii="Arial Narrow" w:hAnsi="Arial Narrow" w:cs="Times New Roman"/>
              </w:rPr>
              <w:t xml:space="preserve"> przewiduje, że w razie wyrządzenia szkody w związku z eksploatacją instalacji wymagającej pozwolenia zintegrowanego art. 435 § 1 k.c. stosuje się niezależnie od tego, czy instalacja ta jest wprawiana w ruch za pomocą sił przyrody. Z materiałów projektowych wynika, że celem tej zmiany jest zapewnienie skutecznego dochodzenia odszkodowania przez osoby, które doznały uszczerbku na zdrowiu wskutek naruszenia zasad wynikających z dyrektywy 2024/1785. Jednocześnie tabela zgodności wiąże art. 324a z art. 79a IED, który wymaga zapewnienia prawa dochodzenia i uzyskania rekompensaty oraz takiego ukształtowania krajowych przepisów i procedur, aby nie uniemożliwiały ani nadmiernie nie utrudniały </w:t>
            </w:r>
            <w:r w:rsidRPr="00C06623">
              <w:rPr>
                <w:rFonts w:ascii="Arial Narrow" w:hAnsi="Arial Narrow" w:cs="Times New Roman"/>
              </w:rPr>
              <w:lastRenderedPageBreak/>
              <w:t xml:space="preserve">korzystania z tego prawa. Z samego brzmienia celu dyrektywy nie wynika jednak wprost, że rezultat ten ma zostać osiągnięty właśnie przez generalne rozszerzenie zastosowania art. 435 § 1 k.c. na wszystkie instalacje objęte pozwoleniem zintegrowanym; jest to zatem autonomiczny wybór ustawodawcy krajowego co do techniki implementacji. Rozwiązanie to budzi wątpliwości systemowe. Art. 324a nie ogranicza się bowiem do „ułatwienia dochodzenia roszczeń”, lecz w praktyce może prowadzić do istotnego przekształcenia podstaw odpowiedzialności cywilnej operatora. W obecnym kształcie nie jest jasne, czy projektodawca zamierza jedynie usunąć istniejące wątpliwości interpretacyjne dotyczące przesłanki „wprawiania w ruch za pomocą sił przyrody”, czy też stworzyć nowy, szczególny reżim odpowiedzialności na zasadzie ryzyka dla całej kategorii instalacji objętych pozwoleniem zintegrowanym. Różnica ta ma znaczenie zasadnicze. W pierwszym przypadku mielibyśmy do czynienia z doprecyzowaniem istniejącego modelu odpowiedzialności; w drugim – z jego wyraźnym rozszerzeniem, powiązanym nie z charakterem niebezpieczeństwa stwarzanego przez działalność, lecz z samym faktem objęcia instalacji obowiązkiem posiadania pozwolenia zintegrowanego. Wątpliwości te są tym poważniejsze, że w nowszej doktrynie sam model odpowiedzialności z art. 435 k.c. jest coraz częściej oceniany krytycznie jako niedostosowany do realiów współczesnej gospodarki i nowoczesnych technologii. Podnosi się, że art. 435 § 1 k.c. jest anachroniczny, ponieważ niemal każde przedsiębiorstwo korzysta dziś z przetworzonych sił przyrody, które same w sobie nie są już wyznacznikiem szczególnego ryzyka, a jednocześnie przepis nie jest dobrze dostosowany do nowych zagrożeń technologicznych, takich jak AI, big data. Postuluje się wręcz </w:t>
            </w:r>
            <w:r w:rsidRPr="00C06623">
              <w:rPr>
                <w:rFonts w:ascii="Arial Narrow" w:hAnsi="Arial Narrow" w:cs="Times New Roman"/>
              </w:rPr>
              <w:lastRenderedPageBreak/>
              <w:t>odejście od anachronicznej kategorii „wprawiania w ruch za pomocą sił przyrody” i powiązanie odpowiedzialności obiektywnej raczej z działalnością szczególnie niebezpieczną jako taką. To pokazuje, że projektowane oparcie implementacji art. 79a IED właśnie na generalnym rozszerzeniu art. 435 k.c. następuje na tle przepisu, którego aktualna adekwatność systemowa sama jest przedmiotem poważnej debaty doktrynalnej.</w:t>
            </w:r>
          </w:p>
          <w:p w14:paraId="1C3E482E" w14:textId="77777777" w:rsidR="00C06623" w:rsidRPr="00C06623" w:rsidRDefault="00C06623" w:rsidP="00782A4E">
            <w:pPr>
              <w:jc w:val="both"/>
              <w:rPr>
                <w:rFonts w:ascii="Arial Narrow" w:hAnsi="Arial Narrow"/>
              </w:rPr>
            </w:pPr>
            <w:r w:rsidRPr="00C06623">
              <w:rPr>
                <w:rFonts w:ascii="Arial Narrow" w:hAnsi="Arial Narrow" w:cs="Times New Roman"/>
              </w:rPr>
              <w:t xml:space="preserve">Na tym tle projektowany art. 324a </w:t>
            </w:r>
            <w:proofErr w:type="spellStart"/>
            <w:r w:rsidRPr="00C06623">
              <w:rPr>
                <w:rFonts w:ascii="Arial Narrow" w:hAnsi="Arial Narrow" w:cs="Times New Roman"/>
              </w:rPr>
              <w:t>Poś</w:t>
            </w:r>
            <w:proofErr w:type="spellEnd"/>
            <w:r w:rsidRPr="00C06623">
              <w:rPr>
                <w:rFonts w:ascii="Arial Narrow" w:hAnsi="Arial Narrow" w:cs="Times New Roman"/>
              </w:rPr>
              <w:t xml:space="preserve"> jawi się jako rozwiązanie zbyt daleko idące. Rozszerza on bowiem stosowanie art. 435 k.c. nie na podstawie oceny, czy dana działalność rzeczywiście generuje szczególne, wzmożone niebezpieczeństwo dla otoczenia, lecz na podstawie kryterium formalnego, tj. objęcia instalacji obowiązkiem pozwolenia zintegrowanego. Tymczasem sam reżim pozwolenia zintegrowanego obejmuje bardzo zróżnicowane rodzaje działalności, o różnym poziomie ryzyka i odmiennych profilach oddziaływania. Przyjęcie, że każda taka instalacja ma automatycznie podlegać zaostrzonej odpowiedzialności z art. 435 k.c., może prowadzić do nadmiernego rozszerzenia odpowiedzialności na zasadzie ryzyka ponad to, co jest konieczne dla wykonania dyrektywy, a zarazem ponad to, co znajduje uzasadnienie w tradycyjnej ratio legis tego przepisu</w:t>
            </w:r>
          </w:p>
        </w:tc>
        <w:tc>
          <w:tcPr>
            <w:tcW w:w="4252" w:type="dxa"/>
          </w:tcPr>
          <w:p w14:paraId="1C63E0A2" w14:textId="77777777" w:rsidR="00C06623" w:rsidRPr="00C06623" w:rsidRDefault="00C06623" w:rsidP="00782A4E">
            <w:pPr>
              <w:jc w:val="both"/>
              <w:rPr>
                <w:rFonts w:ascii="Arial Narrow" w:hAnsi="Arial Narrow"/>
              </w:rPr>
            </w:pPr>
            <w:r w:rsidRPr="00C06623">
              <w:rPr>
                <w:rFonts w:ascii="Arial Narrow" w:hAnsi="Arial Narrow" w:cs="Times New Roman"/>
              </w:rPr>
              <w:lastRenderedPageBreak/>
              <w:t xml:space="preserve">Z tych względów zasadne jest doprecyzowanie art. 324a </w:t>
            </w:r>
            <w:proofErr w:type="spellStart"/>
            <w:r w:rsidRPr="00C06623">
              <w:rPr>
                <w:rFonts w:ascii="Arial Narrow" w:hAnsi="Arial Narrow" w:cs="Times New Roman"/>
              </w:rPr>
              <w:t>Poś</w:t>
            </w:r>
            <w:proofErr w:type="spellEnd"/>
            <w:r w:rsidRPr="00C06623">
              <w:rPr>
                <w:rFonts w:ascii="Arial Narrow" w:hAnsi="Arial Narrow" w:cs="Times New Roman"/>
              </w:rPr>
              <w:t xml:space="preserve">. W szczególności należałoby rozważyć, aby przepis wyraźnie wiązał szczególną odpowiedzialność z przypadkami szkód na zdrowiu spowodowanych naruszeniem warunków pozwolenia zintegrowanego albo innych przepisów wdrażających IED, zamiast wprowadzać generalne odesłanie do art. 435 § 1 k.c. dla wszystkich instalacji objętych pozwoleniem zintegrowanym. Rozwiązanie takie lepiej odpowiadałoby celowi art. 79a IED, który koncentruje się na skutecznym dochodzeniu rekompensaty za szkody zdrowotne wynikające z naruszenia prawa, a zarazem </w:t>
            </w:r>
            <w:r w:rsidRPr="00C06623">
              <w:rPr>
                <w:rFonts w:ascii="Arial Narrow" w:hAnsi="Arial Narrow" w:cs="Times New Roman"/>
              </w:rPr>
              <w:lastRenderedPageBreak/>
              <w:t>ograniczałoby ryzyko stworzenia w prawie krajowym nowego, nadmiernie szerokiego i nie do końca spójnego systemowo reżimu odpowiedzialności obiektywnej.</w:t>
            </w:r>
          </w:p>
        </w:tc>
        <w:tc>
          <w:tcPr>
            <w:tcW w:w="1428" w:type="dxa"/>
          </w:tcPr>
          <w:p w14:paraId="3EAD6B1D" w14:textId="77777777" w:rsidR="00C06623" w:rsidRPr="00C06623" w:rsidRDefault="00C06623" w:rsidP="00782A4E">
            <w:pPr>
              <w:jc w:val="both"/>
              <w:rPr>
                <w:rFonts w:ascii="Arial Narrow" w:hAnsi="Arial Narrow" w:cstheme="minorHAnsi"/>
              </w:rPr>
            </w:pPr>
          </w:p>
        </w:tc>
      </w:tr>
      <w:tr w:rsidR="00C06623" w:rsidRPr="00C06623" w14:paraId="4423CCA9" w14:textId="77777777" w:rsidTr="00782A4E">
        <w:trPr>
          <w:cantSplit/>
        </w:trPr>
        <w:tc>
          <w:tcPr>
            <w:tcW w:w="15740" w:type="dxa"/>
            <w:gridSpan w:val="6"/>
          </w:tcPr>
          <w:p w14:paraId="0DE92457"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lastRenderedPageBreak/>
              <w:t>Rozporządzenie w sprawie rodzajów instalacji</w:t>
            </w:r>
          </w:p>
        </w:tc>
      </w:tr>
      <w:tr w:rsidR="00C06623" w:rsidRPr="00C06623" w14:paraId="1948F4AC" w14:textId="77777777" w:rsidTr="00782A4E">
        <w:trPr>
          <w:cantSplit/>
        </w:trPr>
        <w:tc>
          <w:tcPr>
            <w:tcW w:w="562" w:type="dxa"/>
          </w:tcPr>
          <w:p w14:paraId="2C6F4BEF" w14:textId="77777777" w:rsidR="00C06623" w:rsidRPr="00C06623" w:rsidRDefault="00C06623" w:rsidP="00782A4E">
            <w:pPr>
              <w:jc w:val="center"/>
              <w:rPr>
                <w:rFonts w:ascii="Arial Narrow" w:hAnsi="Arial Narrow" w:cstheme="minorHAnsi"/>
              </w:rPr>
            </w:pPr>
            <w:r w:rsidRPr="00C06623">
              <w:rPr>
                <w:rFonts w:ascii="Arial Narrow" w:hAnsi="Arial Narrow" w:cstheme="minorHAnsi"/>
              </w:rPr>
              <w:t>14</w:t>
            </w:r>
          </w:p>
        </w:tc>
        <w:tc>
          <w:tcPr>
            <w:tcW w:w="1701" w:type="dxa"/>
          </w:tcPr>
          <w:p w14:paraId="44C0CFD0" w14:textId="6FB92AC9" w:rsidR="00C06623" w:rsidRPr="00C06623" w:rsidRDefault="00C06623" w:rsidP="00782A4E">
            <w:pPr>
              <w:jc w:val="both"/>
              <w:rPr>
                <w:rFonts w:ascii="Arial Narrow" w:hAnsi="Arial Narrow" w:cstheme="minorHAnsi"/>
              </w:rPr>
            </w:pPr>
            <w:r>
              <w:rPr>
                <w:rFonts w:ascii="Arial Narrow" w:hAnsi="Arial Narrow"/>
              </w:rPr>
              <w:t>Związek Pracodawców Polska Miedź</w:t>
            </w:r>
          </w:p>
        </w:tc>
        <w:tc>
          <w:tcPr>
            <w:tcW w:w="2694" w:type="dxa"/>
          </w:tcPr>
          <w:p w14:paraId="33F13D0C" w14:textId="77777777" w:rsidR="00C06623" w:rsidRPr="00C06623" w:rsidRDefault="00C06623" w:rsidP="00782A4E">
            <w:pPr>
              <w:jc w:val="both"/>
              <w:rPr>
                <w:rFonts w:ascii="Arial Narrow" w:hAnsi="Arial Narrow" w:cstheme="minorHAnsi"/>
              </w:rPr>
            </w:pPr>
            <w:r w:rsidRPr="00C06623">
              <w:rPr>
                <w:rFonts w:ascii="Arial Narrow" w:hAnsi="Arial Narrow" w:cstheme="minorHAnsi"/>
              </w:rPr>
              <w:t xml:space="preserve">Załącznik ust 1 pkt 6 </w:t>
            </w:r>
          </w:p>
        </w:tc>
        <w:tc>
          <w:tcPr>
            <w:tcW w:w="5103" w:type="dxa"/>
          </w:tcPr>
          <w:p w14:paraId="48BFD112" w14:textId="77777777" w:rsidR="00C06623" w:rsidRPr="00C06623" w:rsidRDefault="00C06623" w:rsidP="00782A4E">
            <w:pPr>
              <w:jc w:val="both"/>
              <w:rPr>
                <w:rFonts w:ascii="Arial Narrow" w:hAnsi="Arial Narrow"/>
              </w:rPr>
            </w:pPr>
            <w:r w:rsidRPr="00C06623">
              <w:rPr>
                <w:rFonts w:ascii="Arial Narrow" w:hAnsi="Arial Narrow"/>
              </w:rPr>
              <w:t>Należy jednoznacznie wskazać, że wskazana instalacja nie obejmuje powiązanych obiektów unieszkodliwiania odpadów wydobywczych</w:t>
            </w:r>
          </w:p>
        </w:tc>
        <w:tc>
          <w:tcPr>
            <w:tcW w:w="4252" w:type="dxa"/>
          </w:tcPr>
          <w:p w14:paraId="01C485F8" w14:textId="77777777" w:rsidR="00C06623" w:rsidRPr="00C06623" w:rsidRDefault="00C06623" w:rsidP="00782A4E">
            <w:pPr>
              <w:jc w:val="both"/>
              <w:rPr>
                <w:rFonts w:ascii="Arial Narrow" w:hAnsi="Arial Narrow"/>
              </w:rPr>
            </w:pPr>
            <w:r w:rsidRPr="00C06623">
              <w:rPr>
                <w:rFonts w:ascii="Arial Narrow" w:hAnsi="Arial Narrow"/>
              </w:rPr>
              <w:t>„6) do wydobycia oraz wydobycia i przetwarzanie na miejscu, obejmującego rozdrabnianie, kontrolę wielkości, wzbogacanie i uszlachetnianie, następujących rud na skalę przemysłową: boksyt, chrom, kobalt, miedź, złoto, żelazo, ołów, lit, mangan, nikiel, pallad, platyna, cyna, wolfram i cynk”</w:t>
            </w:r>
          </w:p>
        </w:tc>
        <w:tc>
          <w:tcPr>
            <w:tcW w:w="1428" w:type="dxa"/>
          </w:tcPr>
          <w:p w14:paraId="6B543A2E" w14:textId="77777777" w:rsidR="00C06623" w:rsidRPr="00C06623" w:rsidRDefault="00C06623" w:rsidP="00782A4E">
            <w:pPr>
              <w:jc w:val="both"/>
              <w:rPr>
                <w:rFonts w:ascii="Arial Narrow" w:hAnsi="Arial Narrow" w:cstheme="minorHAnsi"/>
              </w:rPr>
            </w:pPr>
          </w:p>
        </w:tc>
      </w:tr>
      <w:bookmarkEnd w:id="0"/>
    </w:tbl>
    <w:p w14:paraId="1EDF1B91" w14:textId="77777777" w:rsidR="00C06623" w:rsidRPr="00C06623" w:rsidRDefault="00C06623" w:rsidP="00C06623">
      <w:pPr>
        <w:spacing w:after="0" w:line="240" w:lineRule="auto"/>
        <w:rPr>
          <w:rFonts w:ascii="Arial Narrow" w:hAnsi="Arial Narrow" w:cs="Times New Roman"/>
        </w:rPr>
      </w:pPr>
    </w:p>
    <w:sectPr w:rsidR="00C06623" w:rsidRPr="00C06623" w:rsidSect="00C066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C52A" w14:textId="77777777" w:rsidR="00D652B5" w:rsidRDefault="00D652B5" w:rsidP="00C06623">
      <w:pPr>
        <w:spacing w:after="0" w:line="240" w:lineRule="auto"/>
      </w:pPr>
      <w:r>
        <w:separator/>
      </w:r>
    </w:p>
  </w:endnote>
  <w:endnote w:type="continuationSeparator" w:id="0">
    <w:p w14:paraId="23F11145" w14:textId="77777777" w:rsidR="00D652B5" w:rsidRDefault="00D652B5" w:rsidP="00C0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F34F" w14:textId="77777777" w:rsidR="00D652B5" w:rsidRDefault="00D652B5" w:rsidP="00C06623">
      <w:pPr>
        <w:spacing w:after="0" w:line="240" w:lineRule="auto"/>
      </w:pPr>
      <w:r>
        <w:separator/>
      </w:r>
    </w:p>
  </w:footnote>
  <w:footnote w:type="continuationSeparator" w:id="0">
    <w:p w14:paraId="33A276DF" w14:textId="77777777" w:rsidR="00D652B5" w:rsidRDefault="00D652B5" w:rsidP="00C06623">
      <w:pPr>
        <w:spacing w:after="0" w:line="240" w:lineRule="auto"/>
      </w:pPr>
      <w:r>
        <w:continuationSeparator/>
      </w:r>
    </w:p>
  </w:footnote>
  <w:footnote w:id="1">
    <w:p w14:paraId="70313C2D" w14:textId="77777777" w:rsidR="00C06623" w:rsidRPr="00EF494C" w:rsidRDefault="00C06623" w:rsidP="00C06623">
      <w:pPr>
        <w:pStyle w:val="Tekstprzypisudolnego"/>
        <w:rPr>
          <w:rFonts w:ascii="Lato" w:hAnsi="Lato" w:cs="Times New Roman"/>
          <w:sz w:val="22"/>
          <w:szCs w:val="22"/>
        </w:rPr>
      </w:pPr>
      <w:r w:rsidRPr="00EF494C">
        <w:rPr>
          <w:rStyle w:val="Odwoanieprzypisudolnego"/>
          <w:rFonts w:ascii="Lato" w:hAnsi="Lato" w:cs="Times New Roman"/>
        </w:rPr>
        <w:t>1)</w:t>
      </w:r>
      <w:r w:rsidRPr="00EF494C">
        <w:rPr>
          <w:rFonts w:ascii="Lato" w:hAnsi="Lato" w:cs="Times New Roman"/>
        </w:rPr>
        <w:t xml:space="preserve"> W przypadku aktu nowelizującego należy wskazać jednostkę redakcyjną projektu oraz jednostkę redakcyjną zmienianego aktu prawnego.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23"/>
    <w:rsid w:val="00580328"/>
    <w:rsid w:val="00C06623"/>
    <w:rsid w:val="00D652B5"/>
    <w:rsid w:val="00DA3039"/>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69B8"/>
  <w15:chartTrackingRefBased/>
  <w15:docId w15:val="{E786F996-75BD-4F02-B99C-92ABCD72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6623"/>
    <w:rPr>
      <w:kern w:val="0"/>
      <w14:ligatures w14:val="none"/>
    </w:rPr>
  </w:style>
  <w:style w:type="paragraph" w:styleId="Nagwek1">
    <w:name w:val="heading 1"/>
    <w:basedOn w:val="Normalny"/>
    <w:next w:val="Normalny"/>
    <w:link w:val="Nagwek1Znak"/>
    <w:uiPriority w:val="9"/>
    <w:qFormat/>
    <w:rsid w:val="00C0662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0662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C0662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0662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C0662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C0662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C06623"/>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C06623"/>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C06623"/>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66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66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66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66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66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66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66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66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6623"/>
    <w:rPr>
      <w:rFonts w:eastAsiaTheme="majorEastAsia" w:cstheme="majorBidi"/>
      <w:color w:val="272727" w:themeColor="text1" w:themeTint="D8"/>
    </w:rPr>
  </w:style>
  <w:style w:type="paragraph" w:styleId="Tytu">
    <w:name w:val="Title"/>
    <w:basedOn w:val="Normalny"/>
    <w:next w:val="Normalny"/>
    <w:link w:val="TytuZnak"/>
    <w:uiPriority w:val="10"/>
    <w:qFormat/>
    <w:rsid w:val="00C066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066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662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066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6623"/>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C06623"/>
    <w:rPr>
      <w:i/>
      <w:iCs/>
      <w:color w:val="404040" w:themeColor="text1" w:themeTint="BF"/>
    </w:rPr>
  </w:style>
  <w:style w:type="paragraph" w:styleId="Akapitzlist">
    <w:name w:val="List Paragraph"/>
    <w:basedOn w:val="Normalny"/>
    <w:uiPriority w:val="34"/>
    <w:qFormat/>
    <w:rsid w:val="00C06623"/>
    <w:pPr>
      <w:ind w:left="720"/>
      <w:contextualSpacing/>
    </w:pPr>
    <w:rPr>
      <w:kern w:val="2"/>
      <w14:ligatures w14:val="standardContextual"/>
    </w:rPr>
  </w:style>
  <w:style w:type="character" w:styleId="Wyrnienieintensywne">
    <w:name w:val="Intense Emphasis"/>
    <w:basedOn w:val="Domylnaczcionkaakapitu"/>
    <w:uiPriority w:val="21"/>
    <w:qFormat/>
    <w:rsid w:val="00C06623"/>
    <w:rPr>
      <w:i/>
      <w:iCs/>
      <w:color w:val="0F4761" w:themeColor="accent1" w:themeShade="BF"/>
    </w:rPr>
  </w:style>
  <w:style w:type="paragraph" w:styleId="Cytatintensywny">
    <w:name w:val="Intense Quote"/>
    <w:basedOn w:val="Normalny"/>
    <w:next w:val="Normalny"/>
    <w:link w:val="CytatintensywnyZnak"/>
    <w:uiPriority w:val="30"/>
    <w:qFormat/>
    <w:rsid w:val="00C06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C06623"/>
    <w:rPr>
      <w:i/>
      <w:iCs/>
      <w:color w:val="0F4761" w:themeColor="accent1" w:themeShade="BF"/>
    </w:rPr>
  </w:style>
  <w:style w:type="character" w:styleId="Odwoanieintensywne">
    <w:name w:val="Intense Reference"/>
    <w:basedOn w:val="Domylnaczcionkaakapitu"/>
    <w:uiPriority w:val="32"/>
    <w:qFormat/>
    <w:rsid w:val="00C06623"/>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C066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06623"/>
    <w:rPr>
      <w:kern w:val="0"/>
      <w:sz w:val="20"/>
      <w:szCs w:val="20"/>
      <w14:ligatures w14:val="none"/>
    </w:rPr>
  </w:style>
  <w:style w:type="character" w:styleId="Odwoanieprzypisudolnego">
    <w:name w:val="footnote reference"/>
    <w:basedOn w:val="Domylnaczcionkaakapitu"/>
    <w:uiPriority w:val="99"/>
    <w:semiHidden/>
    <w:unhideWhenUsed/>
    <w:rsid w:val="00C06623"/>
    <w:rPr>
      <w:vertAlign w:val="superscript"/>
    </w:rPr>
  </w:style>
  <w:style w:type="table" w:styleId="Tabela-Siatka">
    <w:name w:val="Table Grid"/>
    <w:basedOn w:val="Standardowy"/>
    <w:uiPriority w:val="39"/>
    <w:rsid w:val="00C066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KTzmpktartykuempunktem">
    <w:name w:val="Z/PKT – zm. pkt artykułem (punktem)"/>
    <w:basedOn w:val="Normalny"/>
    <w:uiPriority w:val="31"/>
    <w:qFormat/>
    <w:rsid w:val="00C06623"/>
    <w:pPr>
      <w:spacing w:after="0" w:line="360" w:lineRule="auto"/>
      <w:ind w:left="102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2654</Words>
  <Characters>15929</Characters>
  <Application>Microsoft Office Word</Application>
  <DocSecurity>0</DocSecurity>
  <Lines>132</Lines>
  <Paragraphs>37</Paragraphs>
  <ScaleCrop>false</ScaleCrop>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cp:revision>
  <dcterms:created xsi:type="dcterms:W3CDTF">2026-04-03T09:18:00Z</dcterms:created>
  <dcterms:modified xsi:type="dcterms:W3CDTF">2026-04-03T09:23:00Z</dcterms:modified>
</cp:coreProperties>
</file>