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2C54" w14:textId="77777777" w:rsidR="00E62EC9" w:rsidRPr="00586923" w:rsidRDefault="00E62EC9" w:rsidP="00E62EC9">
      <w:pPr>
        <w:rPr>
          <w:rFonts w:ascii="Arial" w:hAnsi="Arial" w:cs="Arial"/>
        </w:rPr>
      </w:pPr>
      <w:r w:rsidRPr="00586923">
        <w:rPr>
          <w:rFonts w:ascii="Arial" w:hAnsi="Arial" w:cs="Arial"/>
          <w:noProof/>
          <w:lang w:eastAsia="pl-PL"/>
        </w:rPr>
        <w:drawing>
          <wp:inline distT="0" distB="0" distL="0" distR="0" wp14:anchorId="51A638F5" wp14:editId="1FBE807F">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03505B5A" w14:textId="77777777" w:rsidR="00E62EC9" w:rsidRDefault="00E62EC9" w:rsidP="00E62EC9">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3CCD2E17" w14:textId="77777777" w:rsidR="00E62EC9" w:rsidRPr="00586923" w:rsidRDefault="00E62EC9" w:rsidP="00E62EC9">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266DEA26" w14:textId="5BE1D5F1" w:rsidR="00E62EC9" w:rsidRPr="00586923" w:rsidRDefault="00E62EC9" w:rsidP="00E62EC9">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27 kwietnia</w:t>
      </w:r>
      <w:r>
        <w:rPr>
          <w:rFonts w:ascii="Arial" w:hAnsi="Arial" w:cs="Arial"/>
          <w:b/>
        </w:rPr>
        <w:t xml:space="preserve"> </w:t>
      </w:r>
      <w:r w:rsidRPr="00586923">
        <w:rPr>
          <w:rFonts w:ascii="Arial" w:hAnsi="Arial" w:cs="Arial"/>
          <w:b/>
        </w:rPr>
        <w:t xml:space="preserve">do </w:t>
      </w:r>
      <w:r>
        <w:rPr>
          <w:rFonts w:ascii="Arial" w:hAnsi="Arial" w:cs="Arial"/>
          <w:b/>
        </w:rPr>
        <w:t>3</w:t>
      </w:r>
      <w:r>
        <w:rPr>
          <w:rFonts w:ascii="Arial" w:hAnsi="Arial" w:cs="Arial"/>
          <w:b/>
        </w:rPr>
        <w:t xml:space="preserve"> </w:t>
      </w:r>
      <w:r>
        <w:rPr>
          <w:rFonts w:ascii="Arial" w:hAnsi="Arial" w:cs="Arial"/>
          <w:b/>
        </w:rPr>
        <w:t xml:space="preserve">maja </w:t>
      </w:r>
      <w:r w:rsidRPr="00586923">
        <w:rPr>
          <w:rFonts w:ascii="Arial" w:hAnsi="Arial" w:cs="Arial"/>
          <w:b/>
        </w:rPr>
        <w:t>202</w:t>
      </w:r>
      <w:r>
        <w:rPr>
          <w:rFonts w:ascii="Arial" w:hAnsi="Arial" w:cs="Arial"/>
          <w:b/>
        </w:rPr>
        <w:t>6</w:t>
      </w:r>
      <w:r w:rsidRPr="00586923">
        <w:rPr>
          <w:rFonts w:ascii="Arial" w:hAnsi="Arial" w:cs="Arial"/>
          <w:b/>
        </w:rPr>
        <w:t xml:space="preserve"> roku</w:t>
      </w:r>
    </w:p>
    <w:p w14:paraId="61BC6A5A" w14:textId="7B663984" w:rsidR="00E62EC9" w:rsidRPr="00AC3187" w:rsidRDefault="00E62EC9" w:rsidP="00E62EC9">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7 maja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1448E187" w14:textId="77777777" w:rsidR="00E62EC9" w:rsidRPr="00586923" w:rsidRDefault="00E62EC9" w:rsidP="00E62EC9">
      <w:pPr>
        <w:spacing w:after="0" w:line="300" w:lineRule="auto"/>
        <w:jc w:val="both"/>
        <w:rPr>
          <w:rFonts w:ascii="Arial" w:hAnsi="Arial" w:cs="Arial"/>
        </w:rPr>
      </w:pPr>
    </w:p>
    <w:p w14:paraId="4B00C1EC" w14:textId="77777777" w:rsidR="00E62EC9" w:rsidRPr="000B65D1" w:rsidRDefault="00E62EC9" w:rsidP="00E62EC9">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771C5851" w14:textId="77777777" w:rsidR="00E62EC9" w:rsidRDefault="00E62EC9" w:rsidP="00E62EC9">
      <w:pPr>
        <w:spacing w:after="0" w:line="300" w:lineRule="auto"/>
        <w:jc w:val="both"/>
        <w:rPr>
          <w:rFonts w:ascii="Arial" w:hAnsi="Arial" w:cs="Arial"/>
        </w:rPr>
      </w:pPr>
    </w:p>
    <w:p w14:paraId="1575169C" w14:textId="4E89F4DA" w:rsidR="00E62EC9" w:rsidRPr="00C70674" w:rsidRDefault="00E62EC9" w:rsidP="00E62EC9">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3B07D7">
        <w:rPr>
          <w:rFonts w:ascii="Arial" w:eastAsia="Calibri" w:hAnsi="Arial" w:cs="Arial"/>
          <w:bCs/>
        </w:rPr>
        <w:t>7</w:t>
      </w:r>
      <w:r w:rsidRPr="00C70674">
        <w:rPr>
          <w:rFonts w:ascii="Arial" w:eastAsia="Calibri" w:hAnsi="Arial" w:cs="Arial"/>
          <w:bCs/>
        </w:rPr>
        <w:t xml:space="preserve"> projekt</w:t>
      </w:r>
      <w:r w:rsidR="003B07D7">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3B07D7">
        <w:rPr>
          <w:rFonts w:ascii="Arial" w:hAnsi="Arial" w:cs="Arial"/>
        </w:rPr>
        <w:t>22</w:t>
      </w:r>
      <w:r w:rsidRPr="00C70674">
        <w:rPr>
          <w:rFonts w:ascii="Arial" w:hAnsi="Arial" w:cs="Arial"/>
        </w:rPr>
        <w:t xml:space="preserve"> projekt</w:t>
      </w:r>
      <w:r w:rsidR="003B07D7">
        <w:rPr>
          <w:rFonts w:ascii="Arial" w:hAnsi="Arial" w:cs="Arial"/>
        </w:rPr>
        <w:t>y</w:t>
      </w:r>
      <w:r w:rsidRPr="00C70674">
        <w:rPr>
          <w:rFonts w:ascii="Arial" w:hAnsi="Arial" w:cs="Arial"/>
        </w:rPr>
        <w:t xml:space="preserve"> rozporządzeń Rady Ministrów, Prezesa Rady Ministrów oraz poszczególnych Ministrów.</w:t>
      </w:r>
    </w:p>
    <w:p w14:paraId="47F129D3" w14:textId="77777777" w:rsidR="00E62EC9" w:rsidRPr="00C70674" w:rsidRDefault="00E62EC9" w:rsidP="00E62EC9">
      <w:pPr>
        <w:spacing w:after="0" w:line="300" w:lineRule="auto"/>
        <w:jc w:val="both"/>
        <w:rPr>
          <w:rFonts w:ascii="Arial" w:hAnsi="Arial" w:cs="Arial"/>
        </w:rPr>
      </w:pPr>
    </w:p>
    <w:p w14:paraId="09DE649D" w14:textId="6CFA1FFF" w:rsidR="00E62EC9" w:rsidRDefault="00E62EC9" w:rsidP="00E62EC9">
      <w:pPr>
        <w:spacing w:after="0" w:line="300" w:lineRule="auto"/>
        <w:jc w:val="both"/>
        <w:rPr>
          <w:rFonts w:ascii="Arial" w:hAnsi="Arial" w:cs="Arial"/>
        </w:rPr>
      </w:pPr>
      <w:r>
        <w:rPr>
          <w:rFonts w:ascii="Arial" w:hAnsi="Arial" w:cs="Arial"/>
        </w:rPr>
        <w:t xml:space="preserve">Przeprowadzono konsultacje </w:t>
      </w:r>
      <w:r w:rsidR="000C1FB7">
        <w:rPr>
          <w:rFonts w:ascii="Arial" w:hAnsi="Arial" w:cs="Arial"/>
        </w:rPr>
        <w:t>2</w:t>
      </w:r>
      <w:r>
        <w:rPr>
          <w:rFonts w:ascii="Arial" w:hAnsi="Arial" w:cs="Arial"/>
        </w:rPr>
        <w:t xml:space="preserve"> projekt</w:t>
      </w:r>
      <w:r w:rsidR="000C1FB7">
        <w:rPr>
          <w:rFonts w:ascii="Arial" w:hAnsi="Arial" w:cs="Arial"/>
        </w:rPr>
        <w:t>ów</w:t>
      </w:r>
      <w:r>
        <w:rPr>
          <w:rFonts w:ascii="Arial" w:hAnsi="Arial" w:cs="Arial"/>
        </w:rPr>
        <w:t xml:space="preserve"> ustaw i </w:t>
      </w:r>
      <w:r w:rsidR="000C1FB7">
        <w:rPr>
          <w:rFonts w:ascii="Arial" w:hAnsi="Arial" w:cs="Arial"/>
        </w:rPr>
        <w:t>3</w:t>
      </w:r>
      <w:r>
        <w:rPr>
          <w:rFonts w:ascii="Arial" w:hAnsi="Arial" w:cs="Arial"/>
        </w:rPr>
        <w:t xml:space="preserve"> projek</w:t>
      </w:r>
      <w:r w:rsidR="000C1FB7">
        <w:rPr>
          <w:rFonts w:ascii="Arial" w:hAnsi="Arial" w:cs="Arial"/>
        </w:rPr>
        <w:t>tów</w:t>
      </w:r>
      <w:r>
        <w:rPr>
          <w:rFonts w:ascii="Arial" w:hAnsi="Arial" w:cs="Arial"/>
        </w:rPr>
        <w:t xml:space="preserve"> rozporządzeń dotyczących podmiotów członkowskich (pracodawcy, przedsiębiorcy, JST) zrzeszonych w Związku. </w:t>
      </w:r>
    </w:p>
    <w:p w14:paraId="33C69029" w14:textId="77777777" w:rsidR="00E62EC9" w:rsidRDefault="00E62EC9" w:rsidP="00E62EC9">
      <w:pPr>
        <w:spacing w:after="0" w:line="300" w:lineRule="auto"/>
        <w:jc w:val="both"/>
        <w:rPr>
          <w:rFonts w:ascii="Arial" w:hAnsi="Arial" w:cs="Arial"/>
        </w:rPr>
      </w:pPr>
      <w:r>
        <w:rPr>
          <w:rFonts w:ascii="Arial" w:hAnsi="Arial" w:cs="Arial"/>
        </w:rPr>
        <w:t>Do konsultacji przekazane zostały następujące projekty:</w:t>
      </w:r>
    </w:p>
    <w:p w14:paraId="6395466A" w14:textId="77777777" w:rsidR="00E62EC9" w:rsidRDefault="00E62EC9" w:rsidP="00E62EC9">
      <w:pPr>
        <w:spacing w:after="0" w:line="300" w:lineRule="auto"/>
        <w:jc w:val="both"/>
        <w:rPr>
          <w:rFonts w:ascii="Arial" w:hAnsi="Arial" w:cs="Arial"/>
        </w:rPr>
      </w:pPr>
    </w:p>
    <w:p w14:paraId="70BB4252" w14:textId="77777777" w:rsidR="00E62EC9" w:rsidRDefault="00E62EC9" w:rsidP="00E62EC9">
      <w:pPr>
        <w:spacing w:after="0" w:line="300" w:lineRule="auto"/>
        <w:jc w:val="both"/>
        <w:rPr>
          <w:rFonts w:ascii="Arial" w:hAnsi="Arial" w:cs="Arial"/>
        </w:rPr>
      </w:pPr>
      <w:r>
        <w:rPr>
          <w:rFonts w:ascii="Arial" w:hAnsi="Arial" w:cs="Arial"/>
        </w:rPr>
        <w:t>Projekty ustaw:</w:t>
      </w:r>
    </w:p>
    <w:p w14:paraId="6D25CC0F" w14:textId="77777777" w:rsidR="000C1FB7" w:rsidRDefault="000C1FB7" w:rsidP="00E62EC9">
      <w:pPr>
        <w:spacing w:after="0" w:line="300" w:lineRule="auto"/>
        <w:jc w:val="both"/>
        <w:rPr>
          <w:rFonts w:ascii="Arial" w:hAnsi="Arial" w:cs="Arial"/>
        </w:rPr>
      </w:pPr>
    </w:p>
    <w:p w14:paraId="006A11F8" w14:textId="1757CAA9" w:rsidR="000C1FB7" w:rsidRPr="000C1FB7" w:rsidRDefault="000C1FB7" w:rsidP="00E62EC9">
      <w:pPr>
        <w:pStyle w:val="Akapitzlist"/>
        <w:numPr>
          <w:ilvl w:val="0"/>
          <w:numId w:val="3"/>
        </w:numPr>
        <w:spacing w:after="0" w:line="300" w:lineRule="auto"/>
        <w:jc w:val="both"/>
        <w:rPr>
          <w:rFonts w:ascii="Arial" w:hAnsi="Arial" w:cs="Arial"/>
          <w:b/>
          <w:bCs/>
          <w:u w:val="single"/>
        </w:rPr>
      </w:pPr>
      <w:r w:rsidRPr="000C1FB7">
        <w:rPr>
          <w:rFonts w:ascii="Arial" w:hAnsi="Arial" w:cs="Arial"/>
          <w:b/>
          <w:bCs/>
          <w:u w:val="single"/>
        </w:rPr>
        <w:t>P</w:t>
      </w:r>
      <w:r w:rsidRPr="000C1FB7">
        <w:rPr>
          <w:rFonts w:ascii="Arial" w:hAnsi="Arial" w:cs="Arial"/>
          <w:b/>
          <w:bCs/>
          <w:u w:val="single"/>
        </w:rPr>
        <w:t xml:space="preserve">rojekt ustawy o zmianie ustawy o podatku od towarów i usług (UDER112).  </w:t>
      </w:r>
    </w:p>
    <w:p w14:paraId="342FF139" w14:textId="77777777" w:rsidR="000C1FB7" w:rsidRPr="000C1FB7" w:rsidRDefault="000C1FB7" w:rsidP="000C1FB7">
      <w:pPr>
        <w:spacing w:after="0" w:line="300" w:lineRule="auto"/>
        <w:jc w:val="both"/>
        <w:rPr>
          <w:rFonts w:ascii="Arial" w:hAnsi="Arial" w:cs="Arial"/>
        </w:rPr>
      </w:pPr>
    </w:p>
    <w:p w14:paraId="25ECCFA8"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 xml:space="preserve">I. Zgodnie z obecnie obowiązującymi przepisami ustawy o VAT przez eksport towarów rozumie się dostawę towarów wysyłanych lub transportowanych z terytorium kraju poza terytorium UE przez dostawcę lub na jego rzecz (tzw. eksport bezpośredni – art. 2 pkt 8 lit. a ustawy o VAT), lub nabywcę mającego siedzibę poza terytorium kraju lub na jego rzecz, z wyłączeniem towarów wywożonych przez samego nabywcę do celów wyposażenia lub zaopatrzenia statków rekreacyjnych oraz turystycznych statków powietrznych lub innych środków transportu służących do celów prywatnych (tzw. eksport pośredni – art. 2 pkt 8 lit. b ustawy o VAT) – jeżeli wywóz towarów poza terytorium Unii Europejskiej jest potwierdzony przez właściwy organ celny określony w przepisach celnych. </w:t>
      </w:r>
    </w:p>
    <w:p w14:paraId="08E71888"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 xml:space="preserve">Zastosowanie stawki podatku 0% obecnie jest skorelowane z koniecznością otrzymania przez podatnika dokumentu potwierdzającego wywóz towaru poza terytorium UE (art. 41 ust. 6 ustawy o VAT), a przykładowe dokumenty zostały określone w art. 41 ust. 6a ustawy o VAT. Ustawa o VAT przewiduje wyłącznie jeden rodzaj dokumentów uprawniających do zastosowania stawki podatku 0%, mianowicie dokumenty potwierdzone przez właściwy organ celny określony w przepisach celnych. Orzecznictwo krajowych sądów, jak i Trybunału Sprawiedliwości Unii Europejskiej, dopuszcza przedstawienie przez podatnika każdego dowodu, który potwierdzi faktyczny wywóz towarów poza terytorium UE. Powoduje to spory </w:t>
      </w:r>
      <w:r w:rsidRPr="000C1FB7">
        <w:rPr>
          <w:rFonts w:ascii="Arial" w:eastAsia="Calibri" w:hAnsi="Arial" w:cs="Arial"/>
        </w:rPr>
        <w:lastRenderedPageBreak/>
        <w:t xml:space="preserve">podatników z organami podatkowymi co do zakresu dokumentów uprawniających do zastosowania stawki podatku 0% w eksporcie towarów. </w:t>
      </w:r>
    </w:p>
    <w:p w14:paraId="24A4CB3C"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II. Deklaracja importowa składana jest przez podatników dokonujących importu towarów, stosujących odprawę scentralizowaną, o której mowa w art. 179 unijnego kodeksu celnego, w której realizację zaangażowane są administracje celne z co najmniej dwóch państw członkowskich. Obecnie deklaracje takie składane są w postaci papierowej, wzór takiej deklaracji określa rozporządzenie wykonawcze wydane na podstawie upoważnienia zawartego w art. 33b ust. 5 ustawy o VAT.</w:t>
      </w:r>
    </w:p>
    <w:p w14:paraId="61158E9E"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W związku z tym, że planowane jest wprowadzenie obowiązku składania deklaracji importowej wyłącznie za pomocą środków komunikacji elektronicznej, zaistniała potrzeba odpowiedniego dostosowania w tym zakresie przepisów art. 33b ustawy o VAT.</w:t>
      </w:r>
    </w:p>
    <w:p w14:paraId="130D2ABA"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III. W związku ze zmianą wprowadzoną przepisami rozporządzenia Rady (UE) 2026/382 z dnia 11 lutego 2026 r. w sprawie zmiany rozporządzenia (WE) nr 1186/2009 w odniesieniu do zniesienia zwolnienia z należności celnych ze względu na niewielką wartość przesyłki (Dz. Urz. UE L z 18.02.2026), od 1 lipca 2026 r. zmianie ulegną krajowe przepisy celne w zakresie zgłoszeń celnych. Szczególna procedura dotycząca deklarowania i zapłaty podatku z tytułu importu towarów (USZ) jest ściśle powiązana z krajowymi przepisami celnymi, tj. § 14 ust. 3–5 rozporządzenia w sprawie zgłoszeń celnych oraz § 5 ust. 1 pkt 2 oraz ust. 2 i 3 rozporządzenia w sprawie zgłoszeń celnych w obrocie pocztowym, które zostaną uchylone w związku z planowaną zmianą sposobu dokonywania zgłoszeń celnych dla importowanych towarów w przesyłkach o wartości do 150 euro.</w:t>
      </w:r>
    </w:p>
    <w:p w14:paraId="7B2CE78D"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W związku z tym istnieje konieczność modyfikacji przepisów ustawy o VAT w zakresie procedury USZ (art. 138i ustawy o VAT), aby umożliwić podmiotom dalsze stosowanie tej procedury. Brak tych zmian oznaczałby konieczność rozliczania importowanych towarów w przesyłkach o niewielkiej wartości na zasadach ogólnych, co niewątpliwie skomplikowałoby rozliczenie VAT-u od tych przesyłek dla podmiotów obecnie korzystających z USZ.</w:t>
      </w:r>
    </w:p>
    <w:p w14:paraId="04BBFF17"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Rekomendowane rozwiązania:</w:t>
      </w:r>
    </w:p>
    <w:p w14:paraId="3B35DA5D"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 xml:space="preserve">I. W celu uelastycznienia obowiązków związanych z dokumentowaniem eksportu towarów na potrzeby stosowania stawki podatku 0% na gruncie ustawy o VAT i w konsekwencji zminimalizowania sporów pomiędzy podatnikami a organami podatkowymi, proponuje się następujące zmiany w ustawie o VAT:  </w:t>
      </w:r>
    </w:p>
    <w:p w14:paraId="1C0706CA"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 xml:space="preserve">1. Zmianę definicji eksportu towarów poprzez wykreślenie w art. 2 pkt 8 ustawy o VAT warunku posiadania dokumentu wywozu towarów poza terytorium UE potwierdzonego przez właściwy organ celny określony w przepisach celnych. Proponowana zmiana pozwoli na lepsze odzwierciedlenie unijnych regulacji w zakresie eksportu towarów i umożliwi rozszerzenie rodzajów dokumentów uprawniających do zastosowania stawki podatku 0% z tytułu eksportu towarów. </w:t>
      </w:r>
    </w:p>
    <w:p w14:paraId="549C4787"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 xml:space="preserve">2. Zmianę w ust. 4 i 5 w art. 41 ustawy o VAT polegającą na skreśleniu wyrazów „ , o którym mowa w art. 2 pkt 8 lit. a”. Proponowana zmiana będzie oznaczała, że ust. 4 i 5 będzie miał zastosowanie do bezpośredniego i pośredniego eksportu towarów. W konsekwencji należy uchylić ust. 11, który dotyczy możliwości zastosowania stawki podatku 0% dla pośredniego eksportu towarów. </w:t>
      </w:r>
    </w:p>
    <w:p w14:paraId="0A70DF36"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3. Dodanie ust. 6c w art. 41 ustawy o VAT, który określa alternatywne dowody, które mają potwierdzać jednoznacznie wywóz towarów poza terytorium UE. Będą to:</w:t>
      </w:r>
    </w:p>
    <w:p w14:paraId="272FD3F0"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lastRenderedPageBreak/>
        <w:t>1) dokumenty przewozowe otrzymane od przewoźnika (spedytora) odpowiedzialnego za wywóz towarów z terytorium kraju, z których wynika, że towary zostały dostarczone do miejsca ich przeznaczenia poza terytorium Unii Europejskiej, w tym otrzymane w systemie elektronicznym przewoźnika;</w:t>
      </w:r>
    </w:p>
    <w:p w14:paraId="70E2764D"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2) dokumenty potwierdzające dostarczenie przesyłki do miejsca jej przeznaczenia poza terytorium Unii Europejskiej przez operatora pocztowego w rozumieniu przepisów ustawy z dnia 23 listopada 2012 r. Prawo pocztowe (Dz. U. z 2025 r. poz. 366, 820 i 1456), w tym otrzymane w systemie elektronicznym tego operatora;</w:t>
      </w:r>
    </w:p>
    <w:p w14:paraId="3AE15931"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3) dokument (lub jego kopia) wydany przez administrację celną kraju spoza terytorium Unii Europejskiej, potwierdzający przywóz i odprawę celną towarów w tym państwie oraz oświadczenie w postaci pisemnej nabywcy towarów, że towary zostały dostarczone do ich miejsca przeznaczenia poza terytorium Unii Europejskiej</w:t>
      </w:r>
    </w:p>
    <w:p w14:paraId="722771F5"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 xml:space="preserve">4. Wprowadzenie dodatkowego warunku dla podmiotów chcących zastosować stawkę podatku 0% do otrzymanych przed dokonaniem eksportu towarów zaliczek (art. 41 ust. 9a ustawy o VAT). Aby skorzystać ze stawki 0% w takim przypadku, podmiot powinien być podatnikiem zarejestrowanym jako podatnik VAT czynny od co najmniej 12 miesięcy poprzedzających złożenie deklaracji podatkowej za okres, w którym wykazuje stawkę podatku 0% w eksporcie towarów w odniesieniu do otrzymanej zapłaty. Propozycja ta ma na celu zmniejszenie ewentualnego ryzyka wystąpienia nieprawidłowości w związku z dopuszczeniem innych dowodów potwierdzających wywóz towarów poza UE niż dokumenty, w których potwierdzenia wywozu dokonał właściwy organ celny.  </w:t>
      </w:r>
    </w:p>
    <w:p w14:paraId="6E4BB6F1"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II. W celu wprowadzenia obowiązku składania deklaracji importowej za pomocą środków komunikacji elektronicznej konieczne są zmiany w art. 33b ustawy o VAT. W przepisach art. 33b ustawy o VAT przede wszystkim wskazane zostanie, że deklaracja importowa składana jest wyłącznie za pomocą środków komunikacji elektronicznej. Odpowiednio zostanie także dostosowane upoważnienie ustawowe zawarte w ust. 5 w art. 33b ustawy o VAT.</w:t>
      </w:r>
    </w:p>
    <w:p w14:paraId="69B62DF7"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III. W celu wprowadzenia modyfikacji w procedurze USZ, w związku ze zmianami od 1 lipca 2026 r. w przepisach celnych, konieczne będą zmiany dostosowawcze w przepisach ustawy o VAT, w tym w art. 138i tej ustawy, dotyczące przede wszystkim:</w:t>
      </w:r>
    </w:p>
    <w:p w14:paraId="0D0E44A9"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 deklaracji podatkowej dotyczącej rozliczenia VAT pobranego w procedurze USZ – w tym zakresie zostaną wskazane elementy takiej deklaracji, która będzie składana za pomocą środków komunikacji elektronicznej oraz określony zostanie organ, do którego będzie składana deklaracja,</w:t>
      </w:r>
    </w:p>
    <w:p w14:paraId="776CB865" w14:textId="77777777" w:rsidR="000C1FB7" w:rsidRPr="000C1FB7" w:rsidRDefault="000C1FB7" w:rsidP="000C1FB7">
      <w:pPr>
        <w:spacing w:after="0" w:line="300" w:lineRule="auto"/>
        <w:jc w:val="both"/>
        <w:rPr>
          <w:rFonts w:ascii="Arial" w:eastAsia="Calibri" w:hAnsi="Arial" w:cs="Arial"/>
        </w:rPr>
      </w:pPr>
      <w:r w:rsidRPr="000C1FB7">
        <w:rPr>
          <w:rFonts w:ascii="Arial" w:eastAsia="Calibri" w:hAnsi="Arial" w:cs="Arial"/>
        </w:rPr>
        <w:t>- ewidencji prowadzonej przez podatników korzystających z procedury USZ – w tym dostosowanie elementów tej ewidencji do wprowadzanych nowych rozwiązań w przepisach celnych.</w:t>
      </w:r>
    </w:p>
    <w:p w14:paraId="5D51CC2F" w14:textId="20EAF2F4" w:rsidR="000C1FB7" w:rsidRPr="000C1FB7" w:rsidRDefault="000C1FB7" w:rsidP="000C1FB7">
      <w:pPr>
        <w:spacing w:after="0" w:line="300" w:lineRule="auto"/>
        <w:jc w:val="both"/>
        <w:rPr>
          <w:rFonts w:ascii="Arial" w:hAnsi="Arial" w:cs="Arial"/>
        </w:rPr>
      </w:pPr>
      <w:r w:rsidRPr="000C1FB7">
        <w:rPr>
          <w:rFonts w:ascii="Arial" w:eastAsia="Calibri" w:hAnsi="Arial" w:cs="Arial"/>
        </w:rPr>
        <w:t>Pozostałe zmiany mają charakter dostosowujący.</w:t>
      </w:r>
    </w:p>
    <w:p w14:paraId="44922619" w14:textId="77777777" w:rsidR="000C1FB7" w:rsidRDefault="000C1FB7" w:rsidP="000C1FB7">
      <w:pPr>
        <w:spacing w:after="0" w:line="300" w:lineRule="auto"/>
        <w:jc w:val="both"/>
        <w:rPr>
          <w:rFonts w:ascii="Arial" w:hAnsi="Arial" w:cs="Arial"/>
        </w:rPr>
      </w:pPr>
    </w:p>
    <w:p w14:paraId="0B5BA109" w14:textId="77777777" w:rsidR="000C1FB7" w:rsidRPr="000C1FB7" w:rsidRDefault="000C1FB7" w:rsidP="000C1FB7">
      <w:pPr>
        <w:spacing w:after="0" w:line="300" w:lineRule="auto"/>
        <w:jc w:val="both"/>
        <w:rPr>
          <w:rFonts w:ascii="Arial" w:hAnsi="Arial" w:cs="Arial"/>
        </w:rPr>
      </w:pPr>
      <w:r w:rsidRPr="000C1FB7">
        <w:rPr>
          <w:rFonts w:ascii="Arial" w:hAnsi="Arial" w:cs="Arial"/>
        </w:rPr>
        <w:t>Przedmiotowy projekt aktu prawnego wraz z Uzasadnieniem oraz Oceną Skutków Regulacji dostępny jest na stronach Rządowego Centrum Legislacji pod adresem:</w:t>
      </w:r>
    </w:p>
    <w:p w14:paraId="1383BBE4" w14:textId="4C2E8FB6" w:rsidR="000C1FB7" w:rsidRDefault="000C1FB7" w:rsidP="000C1FB7">
      <w:pPr>
        <w:spacing w:after="0" w:line="300" w:lineRule="auto"/>
        <w:jc w:val="both"/>
        <w:rPr>
          <w:rFonts w:ascii="Arial" w:hAnsi="Arial" w:cs="Arial"/>
        </w:rPr>
      </w:pPr>
      <w:hyperlink r:id="rId6" w:history="1">
        <w:r w:rsidRPr="005A2409">
          <w:rPr>
            <w:rStyle w:val="Hipercze"/>
            <w:rFonts w:ascii="Arial" w:hAnsi="Arial" w:cs="Arial"/>
          </w:rPr>
          <w:t>https://legislacja.rcl.gov.pl/projekt/12409804/ka</w:t>
        </w:r>
        <w:r w:rsidRPr="005A2409">
          <w:rPr>
            <w:rStyle w:val="Hipercze"/>
            <w:rFonts w:ascii="Arial" w:hAnsi="Arial" w:cs="Arial"/>
          </w:rPr>
          <w:t>t</w:t>
        </w:r>
        <w:r w:rsidRPr="005A2409">
          <w:rPr>
            <w:rStyle w:val="Hipercze"/>
            <w:rFonts w:ascii="Arial" w:hAnsi="Arial" w:cs="Arial"/>
          </w:rPr>
          <w:t>alog/13201260#13201260</w:t>
        </w:r>
      </w:hyperlink>
      <w:r>
        <w:rPr>
          <w:rFonts w:ascii="Arial" w:hAnsi="Arial" w:cs="Arial"/>
        </w:rPr>
        <w:t xml:space="preserve"> </w:t>
      </w:r>
    </w:p>
    <w:p w14:paraId="0BFCB391" w14:textId="77777777" w:rsidR="000C1FB7" w:rsidRDefault="000C1FB7" w:rsidP="000C1FB7">
      <w:pPr>
        <w:spacing w:after="0" w:line="300" w:lineRule="auto"/>
        <w:jc w:val="both"/>
        <w:rPr>
          <w:rFonts w:ascii="Arial" w:hAnsi="Arial" w:cs="Arial"/>
        </w:rPr>
      </w:pPr>
    </w:p>
    <w:p w14:paraId="3AD12EE8" w14:textId="29422A61" w:rsidR="000C1FB7" w:rsidRDefault="000C1FB7" w:rsidP="000C1FB7">
      <w:pPr>
        <w:spacing w:after="0" w:line="300" w:lineRule="auto"/>
        <w:jc w:val="both"/>
        <w:rPr>
          <w:rFonts w:ascii="Arial" w:hAnsi="Arial" w:cs="Arial"/>
        </w:rPr>
      </w:pPr>
      <w:r w:rsidRPr="000C1FB7">
        <w:rPr>
          <w:rFonts w:ascii="Arial" w:hAnsi="Arial" w:cs="Arial"/>
        </w:rPr>
        <w:t>Projekt jest obecnie jednocześnie na etapie uzgodnień, konsultacji publicznych i opiniowania.</w:t>
      </w:r>
    </w:p>
    <w:p w14:paraId="14A1D05E" w14:textId="77777777" w:rsidR="000C1FB7" w:rsidRPr="000C1FB7" w:rsidRDefault="000C1FB7" w:rsidP="000C1FB7">
      <w:pPr>
        <w:spacing w:after="0" w:line="300" w:lineRule="auto"/>
        <w:jc w:val="both"/>
        <w:rPr>
          <w:rFonts w:ascii="Arial" w:hAnsi="Arial" w:cs="Arial"/>
        </w:rPr>
      </w:pPr>
    </w:p>
    <w:p w14:paraId="5AEC409E" w14:textId="266B3423" w:rsidR="00E62EC9" w:rsidRPr="004D27A6" w:rsidRDefault="004D27A6" w:rsidP="00E62EC9">
      <w:pPr>
        <w:pStyle w:val="Akapitzlist"/>
        <w:numPr>
          <w:ilvl w:val="0"/>
          <w:numId w:val="3"/>
        </w:numPr>
        <w:spacing w:after="0" w:line="300" w:lineRule="auto"/>
        <w:jc w:val="both"/>
        <w:rPr>
          <w:rFonts w:ascii="Arial" w:hAnsi="Arial" w:cs="Arial"/>
          <w:b/>
          <w:bCs/>
          <w:u w:val="single"/>
        </w:rPr>
      </w:pPr>
      <w:r w:rsidRPr="004D27A6">
        <w:rPr>
          <w:rFonts w:ascii="Arial" w:hAnsi="Arial" w:cs="Arial"/>
          <w:b/>
          <w:bCs/>
          <w:u w:val="single"/>
        </w:rPr>
        <w:lastRenderedPageBreak/>
        <w:t>P</w:t>
      </w:r>
      <w:r w:rsidRPr="004D27A6">
        <w:rPr>
          <w:rFonts w:ascii="Arial" w:hAnsi="Arial" w:cs="Arial"/>
          <w:b/>
          <w:bCs/>
          <w:u w:val="single"/>
        </w:rPr>
        <w:t xml:space="preserve">rojekt ustawy o zmianie ustawy o podatku od towarów i usług (UC147).  </w:t>
      </w:r>
    </w:p>
    <w:p w14:paraId="3477DEEA" w14:textId="77777777" w:rsidR="00E62EC9" w:rsidRPr="004D27A6" w:rsidRDefault="00E62EC9" w:rsidP="004D27A6">
      <w:pPr>
        <w:spacing w:after="0" w:line="300" w:lineRule="auto"/>
        <w:jc w:val="both"/>
        <w:rPr>
          <w:rFonts w:ascii="Arial" w:hAnsi="Arial" w:cs="Arial"/>
        </w:rPr>
      </w:pPr>
    </w:p>
    <w:p w14:paraId="250CA1BF" w14:textId="77777777" w:rsidR="004D27A6" w:rsidRPr="004D27A6" w:rsidRDefault="004D27A6" w:rsidP="004D27A6">
      <w:pPr>
        <w:spacing w:after="0" w:line="300" w:lineRule="auto"/>
        <w:jc w:val="both"/>
        <w:rPr>
          <w:rFonts w:ascii="Arial" w:eastAsia="Calibri" w:hAnsi="Arial" w:cs="Arial"/>
        </w:rPr>
      </w:pPr>
      <w:r w:rsidRPr="004D27A6">
        <w:rPr>
          <w:rFonts w:ascii="Arial" w:eastAsia="Calibri" w:hAnsi="Arial" w:cs="Arial"/>
        </w:rPr>
        <w:t>Z dniem 1 lipca 2021 r. w ramach tzw. pakietu VAT e-commerce wprowadzono szereg zmian w zasadach rozliczania VAT od transgranicznego handlu elektronicznego w Unii Europejskiej. Wprowadzone w 2021 roku rozwiązania, wynikające z przyjętych dyrektyw unijnych, zmniejszyły zakłócenia konkurencji, wprowadziły szereg uproszczeń w obszarze handlu elektronicznego i w zakresie ograniczenia konieczności rejestrowania do celów VAT przedsiębiorstw prowadzących sprzedaż w różnych państwach członkowskich UE oraz poprawiły współpracę administracyjną. Praktyczne stosowanie tych rozwiązań z jednej strony potwierdziło zasadność wprowadzania kolejnych usprawnień i rozszerzania zakresu stosowania systemu One Stop Shop (OSS), z drugiej jednak strony powstały pewne problemowe zagadnienia, w tym m.in. wątpliwości interpretacyjne, wymagające legislacyjnego doprecyzowania. Zidentyfikowane i wymagające rozwiązania zagadnienia dotyczą m.in.:</w:t>
      </w:r>
    </w:p>
    <w:p w14:paraId="70A5E1FE" w14:textId="77777777" w:rsidR="004D27A6" w:rsidRPr="004D27A6" w:rsidRDefault="004D27A6" w:rsidP="004D27A6">
      <w:pPr>
        <w:pStyle w:val="Akapitzlist"/>
        <w:numPr>
          <w:ilvl w:val="0"/>
          <w:numId w:val="6"/>
        </w:numPr>
        <w:spacing w:after="0" w:line="300" w:lineRule="auto"/>
        <w:jc w:val="both"/>
        <w:rPr>
          <w:rFonts w:ascii="Arial" w:eastAsia="Calibri" w:hAnsi="Arial" w:cs="Arial"/>
        </w:rPr>
      </w:pPr>
      <w:r w:rsidRPr="004D27A6">
        <w:rPr>
          <w:rFonts w:ascii="Arial" w:eastAsia="Calibri" w:hAnsi="Arial" w:cs="Arial"/>
        </w:rPr>
        <w:t>Wątpliwości, czy dostawy ułatwiane przez interfejsy elektroniczne, realizowane na terytorium Unii Europejskiej na rzecz podatnika, którego wewnątrzwspólnotowe nabycia towarów nie podlegają opodatkowaniu podatkiem VAT, objęte są tzw. reżimem uznanego dostawcy.</w:t>
      </w:r>
    </w:p>
    <w:p w14:paraId="26DBC3A9" w14:textId="77777777" w:rsidR="004D27A6" w:rsidRPr="004D27A6" w:rsidRDefault="004D27A6" w:rsidP="004D27A6">
      <w:pPr>
        <w:pStyle w:val="Akapitzlist"/>
        <w:spacing w:after="0" w:line="300" w:lineRule="auto"/>
        <w:jc w:val="both"/>
        <w:rPr>
          <w:rFonts w:ascii="Arial" w:eastAsia="Calibri" w:hAnsi="Arial" w:cs="Arial"/>
        </w:rPr>
      </w:pPr>
      <w:r w:rsidRPr="004D27A6">
        <w:rPr>
          <w:rFonts w:ascii="Arial" w:eastAsia="Calibri" w:hAnsi="Arial" w:cs="Arial"/>
        </w:rPr>
        <w:t>Rozwiązania ujęte w pakiecie VAT e-commerce nałożyły obowiązek zapłaty VAT na podatników ułatwiających dostawy towarów przy użyciu interfejsu elektronicznego takiego jak platforma handlowa, platforma, portal lub podobne środki, tj. na tzw. uznanych dostawców. Dotychczasowe brzmienie przepisu dotyczącego reżimu uznanego dostawcy - w odniesieniu do schematu unijnego tego reżimu, czyli dostaw towarów na terytorium Wspólnoty (tj. wewnątrzwspólnotowej sprzedaży towarów na odległość lub dostawy krajowej, dokonywanych przez dostawcę bazowego nieposiadającego siedziby działalności gospodarczej ani stałego miejsca prowadzenia działalności gospodarczej w UE) - budzi wątpliwości, czy jego zakresem objęte są ww. dostawy ułatwiane przez interfejsy elektroniczne, realizowane na terytorium Wspólnoty na rzecz podatnika lub osoby prawnej niebędącej podatnikiem, których wewnątrzwspólnotowe nabycia towarów nie podlegają opodatkowaniu VAT.</w:t>
      </w:r>
    </w:p>
    <w:p w14:paraId="57EE03EF" w14:textId="77777777" w:rsidR="004D27A6" w:rsidRPr="004D27A6" w:rsidRDefault="004D27A6" w:rsidP="004D27A6">
      <w:pPr>
        <w:pStyle w:val="Akapitzlist"/>
        <w:numPr>
          <w:ilvl w:val="0"/>
          <w:numId w:val="6"/>
        </w:numPr>
        <w:spacing w:after="0" w:line="300" w:lineRule="auto"/>
        <w:jc w:val="both"/>
        <w:rPr>
          <w:rFonts w:ascii="Arial" w:eastAsia="Calibri" w:hAnsi="Arial" w:cs="Arial"/>
        </w:rPr>
      </w:pPr>
      <w:r w:rsidRPr="004D27A6">
        <w:rPr>
          <w:rFonts w:ascii="Arial" w:eastAsia="Calibri" w:hAnsi="Arial" w:cs="Arial"/>
        </w:rPr>
        <w:t>Wątpliwości, czy do obliczenia przekroczenia progu sprzedaży 10 000 euro lub jego równowartości (w Polsce próg ten został określony na 42 000 zł) dla celów określenia miejsca świadczenia wlicza się wartość wewnątrzwspólnotowej sprzedaży towarów na odległość (dalej: WSTO), dokonywanej z państw członkowskich innych niż państwo członkowskie siedziby (w sytuacji gdy dostawca posiada siedzibę w państwie członkowskim, ale dokonuje WSTO również z magazynów położonych w innych państwach członkowskich).</w:t>
      </w:r>
    </w:p>
    <w:p w14:paraId="6119C3FC" w14:textId="77777777" w:rsidR="004D27A6" w:rsidRPr="004D27A6" w:rsidRDefault="004D27A6" w:rsidP="004D27A6">
      <w:pPr>
        <w:pStyle w:val="Akapitzlist"/>
        <w:spacing w:after="0" w:line="300" w:lineRule="auto"/>
        <w:jc w:val="both"/>
        <w:rPr>
          <w:rFonts w:ascii="Arial" w:eastAsia="Calibri" w:hAnsi="Arial" w:cs="Arial"/>
        </w:rPr>
      </w:pPr>
      <w:r w:rsidRPr="004D27A6">
        <w:rPr>
          <w:rFonts w:ascii="Arial" w:eastAsia="Calibri" w:hAnsi="Arial" w:cs="Arial"/>
        </w:rPr>
        <w:t xml:space="preserve">Użyte w obecnie obowiązującym przepisie art. 22a ust. 1 pkt 2 ustawy o VAT sformułowanie „towary są wysyłane lub transportowane na terytorium państwa członkowskiego inne niż terytorium państwa członkowskiego, o którym mowa w pkt 1” (czyli innego niż państwo członkowskie siedziby) obejmuje całą sprzedaż na odległość towarów wysyłanych z dowolnego miejsca w UE, o ile towary te nie są wysyłane do państwa członkowskiego siedziby. Budzi to wątpliwość czy w sytuacji, gdy dostawca posiada siedzibę działalności gospodarczej w państwie członkowskim, ale dokonuje dostawy towarów w ramach WSTO również z magazynów położonych w innych </w:t>
      </w:r>
      <w:r w:rsidRPr="004D27A6">
        <w:rPr>
          <w:rFonts w:ascii="Arial" w:eastAsia="Calibri" w:hAnsi="Arial" w:cs="Arial"/>
        </w:rPr>
        <w:lastRenderedPageBreak/>
        <w:t>państwach członkowskich, do progu 10 000 euro lub jego równowartości, wlicza się również wartość tych dostaw. Brak jednolitości w zakresie interpretacji ww. przepisów może prowadzić do sytuacji, w których podatnik nie opodatkuje dostaw towarów w ramach WSTO w żadnym państwie członkowskim i żadne z nich nie będzie żądało od niego zapłaty podatku.</w:t>
      </w:r>
    </w:p>
    <w:p w14:paraId="3480846C" w14:textId="77777777" w:rsidR="004D27A6" w:rsidRPr="004D27A6" w:rsidRDefault="004D27A6" w:rsidP="004D27A6">
      <w:pPr>
        <w:pStyle w:val="Akapitzlist"/>
        <w:numPr>
          <w:ilvl w:val="0"/>
          <w:numId w:val="6"/>
        </w:numPr>
        <w:spacing w:after="0" w:line="300" w:lineRule="auto"/>
        <w:jc w:val="both"/>
        <w:rPr>
          <w:rFonts w:ascii="Arial" w:eastAsia="Calibri" w:hAnsi="Arial" w:cs="Arial"/>
        </w:rPr>
      </w:pPr>
      <w:r w:rsidRPr="004D27A6">
        <w:rPr>
          <w:rFonts w:ascii="Arial" w:eastAsia="Calibri" w:hAnsi="Arial" w:cs="Arial"/>
        </w:rPr>
        <w:t>Braku jednoznacznego uregulowania, czy podatnik, który opodatkowuje WSTO i tzw. usługi TBE (tj. usługi telekomunikacyjne, nadawcze i elektroniczne) w państwie swojej siedziby (z uwagi na nieprzekroczenie progu sprzedaży 10 000 euro), może w przypadku WSTO dokonanej z państwa członkowskiego, w którym nie posiada on stałego miejsca prowadzenia działalności, korzystać z OSS, aby rozliczyć podatek należny w państwie członkowskim konsumpcji.</w:t>
      </w:r>
    </w:p>
    <w:p w14:paraId="4164EFF6" w14:textId="77777777" w:rsidR="004D27A6" w:rsidRPr="004D27A6" w:rsidRDefault="004D27A6" w:rsidP="004D27A6">
      <w:pPr>
        <w:pStyle w:val="Akapitzlist"/>
        <w:spacing w:after="0" w:line="300" w:lineRule="auto"/>
        <w:jc w:val="both"/>
        <w:rPr>
          <w:rFonts w:ascii="Arial" w:eastAsia="Calibri" w:hAnsi="Arial" w:cs="Arial"/>
        </w:rPr>
      </w:pPr>
      <w:r w:rsidRPr="004D27A6">
        <w:rPr>
          <w:rFonts w:ascii="Arial" w:eastAsia="Calibri" w:hAnsi="Arial" w:cs="Arial"/>
        </w:rPr>
        <w:t>Procedura unijna OSS – jako procedura fakultatywna – może mieć zastosowanie do dostaw towarów i usług dokonywanych przez podatnika na terytorium UE, których miejscem opodatkowania jest państwo członkowskie konsumpcji. Jeżeli jednak podatnik zdecyduje się na korzystanie z systemu OSS, powinien wówczas korzystać z niego w odniesieniu do wszystkich WSTO i usług objętych tą procedurą. Taka regulacja budzi jednakże wątpliwości czy podatnik, który spełnia warunki do opodatkowania WSTO i usług TBE w państwie swojej siedziby, chcąc nadal stosować te reguły, może jednocześnie skorzystać z procedury unijnej OSS, aby rozliczyć podatek należny w tej procedurze, czyli w państwie członkowskim konsumpcji.</w:t>
      </w:r>
    </w:p>
    <w:p w14:paraId="58568A34" w14:textId="77777777" w:rsidR="004D27A6" w:rsidRPr="004D27A6" w:rsidRDefault="004D27A6" w:rsidP="004D27A6">
      <w:pPr>
        <w:pStyle w:val="Akapitzlist"/>
        <w:numPr>
          <w:ilvl w:val="0"/>
          <w:numId w:val="6"/>
        </w:numPr>
        <w:spacing w:after="0" w:line="300" w:lineRule="auto"/>
        <w:jc w:val="both"/>
        <w:rPr>
          <w:rFonts w:ascii="Arial" w:eastAsia="Calibri" w:hAnsi="Arial" w:cs="Arial"/>
        </w:rPr>
      </w:pPr>
      <w:r w:rsidRPr="004D27A6">
        <w:rPr>
          <w:rFonts w:ascii="Arial" w:eastAsia="Calibri" w:hAnsi="Arial" w:cs="Arial"/>
        </w:rPr>
        <w:t>Braku jednolitego uregulowania momentu powstania obowiązku podatkowego dla transakcji rozliczanych w procedurach szczególnych OSS, co może prowadzić do różnic w stosowaniu przepisów w poszczególnych państwach członkowskich.</w:t>
      </w:r>
    </w:p>
    <w:p w14:paraId="0B00E4EE" w14:textId="77777777" w:rsidR="004D27A6" w:rsidRPr="004D27A6" w:rsidRDefault="004D27A6" w:rsidP="004D27A6">
      <w:pPr>
        <w:pStyle w:val="Akapitzlist"/>
        <w:spacing w:after="0" w:line="300" w:lineRule="auto"/>
        <w:jc w:val="both"/>
        <w:rPr>
          <w:rFonts w:ascii="Arial" w:eastAsia="Calibri" w:hAnsi="Arial" w:cs="Arial"/>
        </w:rPr>
      </w:pPr>
      <w:r w:rsidRPr="004D27A6">
        <w:rPr>
          <w:rFonts w:ascii="Arial" w:eastAsia="Calibri" w:hAnsi="Arial" w:cs="Arial"/>
        </w:rPr>
        <w:t>Obecnie obowiązujące krajowe i unijne przepisy nie przewidują szczególnej regulacji w zakresie powstania obowiązku podatkowego, która jest dedykowana wyłącznie dla transakcji rozliczanych w procedurach OSS. W związku z tym obowiązek podatkowy powstaje na zasadach ogólnych, chyba że dla określonej dostawy towarów lub świadczenia usług zastosowanie znajdzie szczególny moment powstania obowiązku podatkowego. Dyrektywa VAT przewiduje, że państwa członkowskie mogą, dla określonych transakcji lub dla określonych kategorii podatników, ustalić szczególny moment powstania obowiązku podatkowego. Możliwość wprowadzania przez państwa członkowskie szczególnych zasad powstania obowiązku podatkowego w odniesieniu do transakcji rozliczanych w procedurach szczególnych może prowadzić do różnic w stosowaniu przepisów w poszczególnych państwach członkowskich.</w:t>
      </w:r>
    </w:p>
    <w:p w14:paraId="3C5B317D" w14:textId="77777777" w:rsidR="004D27A6" w:rsidRPr="004D27A6" w:rsidRDefault="004D27A6" w:rsidP="004D27A6">
      <w:pPr>
        <w:pStyle w:val="Akapitzlist"/>
        <w:numPr>
          <w:ilvl w:val="0"/>
          <w:numId w:val="6"/>
        </w:numPr>
        <w:spacing w:after="0" w:line="300" w:lineRule="auto"/>
        <w:jc w:val="both"/>
        <w:rPr>
          <w:rFonts w:ascii="Arial" w:eastAsia="Calibri" w:hAnsi="Arial" w:cs="Arial"/>
        </w:rPr>
      </w:pPr>
      <w:r w:rsidRPr="004D27A6">
        <w:rPr>
          <w:rFonts w:ascii="Arial" w:eastAsia="Calibri" w:hAnsi="Arial" w:cs="Arial"/>
        </w:rPr>
        <w:t>Problemów z rejestracją na potrzeby procedury nieunijnej i importu, w sytuacji gdy przedsiębiorca nie posiada strony internetowej.</w:t>
      </w:r>
    </w:p>
    <w:p w14:paraId="118656A3" w14:textId="77777777" w:rsidR="004D27A6" w:rsidRPr="004D27A6" w:rsidRDefault="004D27A6" w:rsidP="004D27A6">
      <w:pPr>
        <w:pStyle w:val="Akapitzlist"/>
        <w:spacing w:after="0" w:line="300" w:lineRule="auto"/>
        <w:jc w:val="both"/>
        <w:rPr>
          <w:rFonts w:ascii="Arial" w:eastAsia="Calibri" w:hAnsi="Arial" w:cs="Arial"/>
        </w:rPr>
      </w:pPr>
      <w:r w:rsidRPr="004D27A6">
        <w:rPr>
          <w:rFonts w:ascii="Arial" w:eastAsia="Calibri" w:hAnsi="Arial" w:cs="Arial"/>
        </w:rPr>
        <w:t>Obowiązujące przepisy wymagają podawania informacji w zakresie stron internetowych podatnika lub pośrednika dla celów rejestracyjnych do procedur szczególnych OSS i IOSS.</w:t>
      </w:r>
    </w:p>
    <w:p w14:paraId="69B676F7" w14:textId="77777777" w:rsidR="004D27A6" w:rsidRPr="004D27A6" w:rsidRDefault="004D27A6" w:rsidP="004D27A6">
      <w:pPr>
        <w:pStyle w:val="Akapitzlist"/>
        <w:numPr>
          <w:ilvl w:val="0"/>
          <w:numId w:val="6"/>
        </w:numPr>
        <w:spacing w:after="0" w:line="300" w:lineRule="auto"/>
        <w:jc w:val="both"/>
        <w:rPr>
          <w:rFonts w:ascii="Arial" w:eastAsia="Calibri" w:hAnsi="Arial" w:cs="Arial"/>
        </w:rPr>
      </w:pPr>
      <w:r w:rsidRPr="004D27A6">
        <w:rPr>
          <w:rFonts w:ascii="Arial" w:eastAsia="Calibri" w:hAnsi="Arial" w:cs="Arial"/>
        </w:rPr>
        <w:t>Zasadności wprowadzenia środków rozszerzających możliwość stosowania systemu OSS o kolejne transakcje i tym samym ograniczających przypadki, w których podatnicy muszą rejestrować się do celów VAT w wielu państwach członkowskich;</w:t>
      </w:r>
    </w:p>
    <w:p w14:paraId="17FED413" w14:textId="77777777" w:rsidR="004D27A6" w:rsidRPr="004D27A6" w:rsidRDefault="004D27A6" w:rsidP="004D27A6">
      <w:pPr>
        <w:pStyle w:val="Akapitzlist"/>
        <w:spacing w:after="0" w:line="300" w:lineRule="auto"/>
        <w:jc w:val="both"/>
        <w:rPr>
          <w:rFonts w:ascii="Arial" w:eastAsia="Calibri" w:hAnsi="Arial" w:cs="Arial"/>
        </w:rPr>
      </w:pPr>
      <w:r w:rsidRPr="004D27A6">
        <w:rPr>
          <w:rFonts w:ascii="Arial" w:eastAsia="Calibri" w:hAnsi="Arial" w:cs="Arial"/>
        </w:rPr>
        <w:t xml:space="preserve">Pakiet VAT e-commerce wprowadził szereg środków mających na celu zminimalizowanie konieczności wielokrotnej rejestracji do celów VAT. Z dniem 1 lipca </w:t>
      </w:r>
      <w:r w:rsidRPr="004D27A6">
        <w:rPr>
          <w:rFonts w:ascii="Arial" w:eastAsia="Calibri" w:hAnsi="Arial" w:cs="Arial"/>
        </w:rPr>
        <w:lastRenderedPageBreak/>
        <w:t>2021 r. mały punkt kompleksowej obsługi (MOSS) uległ rozszerzeniu i stał się punktem kompleksowej obsługi (One Stop Shop - OSS), obejmującym szereg transakcji B2C. Obecnie OSS umożliwia rozliczenie podatku VAT w łatwy sposób, w tzw. „jednym okienku”, oraz co istotne w jednym państwie członkowskim, w którym tacy przedsiębiorcy są zidentyfikowani (państwo członkowskie identyfikacji) z tytułu:</w:t>
      </w:r>
    </w:p>
    <w:p w14:paraId="261A976C" w14:textId="77777777" w:rsidR="004D27A6" w:rsidRPr="004D27A6" w:rsidRDefault="004D27A6" w:rsidP="004D27A6">
      <w:pPr>
        <w:pStyle w:val="Akapitzlist"/>
        <w:numPr>
          <w:ilvl w:val="1"/>
          <w:numId w:val="7"/>
        </w:numPr>
        <w:spacing w:after="0" w:line="300" w:lineRule="auto"/>
        <w:ind w:left="1134" w:hanging="283"/>
        <w:jc w:val="both"/>
        <w:rPr>
          <w:rFonts w:ascii="Arial" w:eastAsia="Calibri" w:hAnsi="Arial" w:cs="Arial"/>
        </w:rPr>
      </w:pPr>
      <w:r w:rsidRPr="004D27A6">
        <w:rPr>
          <w:rFonts w:ascii="Arial" w:eastAsia="Calibri" w:hAnsi="Arial" w:cs="Arial"/>
        </w:rPr>
        <w:t>niektórych usług świadczonych na rzecz konsumentów,</w:t>
      </w:r>
    </w:p>
    <w:p w14:paraId="652FDEC0" w14:textId="77777777" w:rsidR="004D27A6" w:rsidRPr="004D27A6" w:rsidRDefault="004D27A6" w:rsidP="004D27A6">
      <w:pPr>
        <w:pStyle w:val="Akapitzlist"/>
        <w:numPr>
          <w:ilvl w:val="1"/>
          <w:numId w:val="7"/>
        </w:numPr>
        <w:spacing w:after="0" w:line="300" w:lineRule="auto"/>
        <w:ind w:left="1134" w:hanging="283"/>
        <w:jc w:val="both"/>
        <w:rPr>
          <w:rFonts w:ascii="Arial" w:eastAsia="Calibri" w:hAnsi="Arial" w:cs="Arial"/>
        </w:rPr>
      </w:pPr>
      <w:r w:rsidRPr="004D27A6">
        <w:rPr>
          <w:rFonts w:ascii="Arial" w:eastAsia="Calibri" w:hAnsi="Arial" w:cs="Arial"/>
        </w:rPr>
        <w:t>wewnątrzwspólnotowej sprzedaż towarów na odległość,</w:t>
      </w:r>
    </w:p>
    <w:p w14:paraId="788167C1" w14:textId="77777777" w:rsidR="004D27A6" w:rsidRPr="004D27A6" w:rsidRDefault="004D27A6" w:rsidP="004D27A6">
      <w:pPr>
        <w:pStyle w:val="Akapitzlist"/>
        <w:numPr>
          <w:ilvl w:val="1"/>
          <w:numId w:val="7"/>
        </w:numPr>
        <w:spacing w:after="0" w:line="300" w:lineRule="auto"/>
        <w:ind w:left="1134" w:hanging="283"/>
        <w:jc w:val="both"/>
        <w:rPr>
          <w:rFonts w:ascii="Arial" w:eastAsia="Calibri" w:hAnsi="Arial" w:cs="Arial"/>
        </w:rPr>
      </w:pPr>
      <w:r w:rsidRPr="004D27A6">
        <w:rPr>
          <w:rFonts w:ascii="Arial" w:eastAsia="Calibri" w:hAnsi="Arial" w:cs="Arial"/>
        </w:rPr>
        <w:t>niektórych dostaw towarów w państwie członkowskim dokonywanych przez interfejsy elektroniczne ułatwiające te dostawy.</w:t>
      </w:r>
    </w:p>
    <w:p w14:paraId="1776488F" w14:textId="77777777" w:rsidR="004D27A6" w:rsidRPr="004D27A6" w:rsidRDefault="004D27A6" w:rsidP="004D27A6">
      <w:pPr>
        <w:pStyle w:val="Akapitzlist"/>
        <w:spacing w:after="0" w:line="300" w:lineRule="auto"/>
        <w:jc w:val="both"/>
        <w:rPr>
          <w:rFonts w:ascii="Arial" w:eastAsia="Calibri" w:hAnsi="Arial" w:cs="Arial"/>
        </w:rPr>
      </w:pPr>
      <w:r w:rsidRPr="004D27A6">
        <w:rPr>
          <w:rFonts w:ascii="Arial" w:eastAsia="Calibri" w:hAnsi="Arial" w:cs="Arial"/>
        </w:rPr>
        <w:t>Obecnie dostawy B2C gazu ziemnego, energii elektrycznej lub energii cieplnej lub chłodniczej nie mogą być rozliczane za pośrednictwem OSS, w związku z czym dostawca, aby rozliczyć podatek należny jest obowiązany zarejestrować się na potrzeby podatku VAT oraz wypełniać obowiązki ewidencyjno-sprawozdawcze w każdym państwie, gdzie ma miejsce opodatkowanie.</w:t>
      </w:r>
    </w:p>
    <w:p w14:paraId="2FCA49BA" w14:textId="77777777" w:rsidR="004D27A6" w:rsidRPr="004D27A6" w:rsidRDefault="004D27A6" w:rsidP="004D27A6">
      <w:pPr>
        <w:pStyle w:val="Akapitzlist"/>
        <w:numPr>
          <w:ilvl w:val="0"/>
          <w:numId w:val="6"/>
        </w:numPr>
        <w:spacing w:after="0" w:line="300" w:lineRule="auto"/>
        <w:jc w:val="both"/>
        <w:rPr>
          <w:rFonts w:ascii="Arial" w:eastAsia="Calibri" w:hAnsi="Arial" w:cs="Arial"/>
        </w:rPr>
      </w:pPr>
      <w:r w:rsidRPr="004D27A6">
        <w:rPr>
          <w:rFonts w:ascii="Arial" w:eastAsia="Calibri" w:hAnsi="Arial" w:cs="Arial"/>
        </w:rPr>
        <w:t>Braku jednoznacznego uregulowania wyłączającego możliwość korzystania z procedury importu IOSS (Import One Stop Shop) przez drobnych podatników zwolnionych podmiotowo, co mogłoby spowodować ryzyko braku opodatkowania.</w:t>
      </w:r>
    </w:p>
    <w:p w14:paraId="7E7B2BC0" w14:textId="77777777" w:rsidR="004D27A6" w:rsidRPr="004D27A6" w:rsidRDefault="004D27A6" w:rsidP="004D27A6">
      <w:pPr>
        <w:pStyle w:val="Akapitzlist"/>
        <w:spacing w:after="0" w:line="300" w:lineRule="auto"/>
        <w:jc w:val="both"/>
        <w:rPr>
          <w:rFonts w:ascii="Arial" w:eastAsia="Calibri" w:hAnsi="Arial" w:cs="Arial"/>
        </w:rPr>
      </w:pPr>
      <w:r w:rsidRPr="004D27A6">
        <w:rPr>
          <w:rFonts w:ascii="Arial" w:eastAsia="Calibri" w:hAnsi="Arial" w:cs="Arial"/>
        </w:rPr>
        <w:t>W przypadku gdy podatnik korzysta z procedury importu IOSS, sprzedaż na odległość towarów importowanych w przesyłkach o wartości nieprzekraczającej 150 euro podlega opodatkowaniu podatkiem VAT z tytułu dostawy towarów (podatek ten jest deklarowany i płacony w procedurze importu IOSS w państwie członkowskim identyfikacji). W przypadku gdy podatek należny z tytułu sprzedaży na odległość towarów importowanych jest rozliczany w procedurze importu IOSS, to import tych towarów, jeżeli nr IOSS jest ważny, jest zwolniony od podatku VAT. Brak wyłączenia podatników zwolnionych podmiotowo z możliwości korzystania z procedury importu IOSS spowodowałby, że zarówno sprzedaż na odległość towarów importowanych, jak i import tych towarów byłyby zwolnione od podatku VAT, a w konsekwencji żadna z tych dwóch transakcji nie byłaby opodatkowana.</w:t>
      </w:r>
    </w:p>
    <w:p w14:paraId="564A5404" w14:textId="77777777" w:rsidR="004D27A6" w:rsidRPr="004D27A6" w:rsidRDefault="004D27A6" w:rsidP="004D27A6">
      <w:pPr>
        <w:pStyle w:val="Akapitzlist"/>
        <w:numPr>
          <w:ilvl w:val="0"/>
          <w:numId w:val="6"/>
        </w:numPr>
        <w:spacing w:after="0" w:line="300" w:lineRule="auto"/>
        <w:jc w:val="both"/>
        <w:rPr>
          <w:rFonts w:ascii="Arial" w:eastAsia="Calibri" w:hAnsi="Arial" w:cs="Arial"/>
        </w:rPr>
      </w:pPr>
      <w:r w:rsidRPr="004D27A6">
        <w:rPr>
          <w:rFonts w:ascii="Arial" w:eastAsia="Calibri" w:hAnsi="Arial" w:cs="Arial"/>
        </w:rPr>
        <w:t xml:space="preserve">Braku uzasadnienia do dalszego utrzymywania procedury magazynu typu </w:t>
      </w:r>
      <w:proofErr w:type="spellStart"/>
      <w:r w:rsidRPr="004D27A6">
        <w:rPr>
          <w:rFonts w:ascii="Arial" w:eastAsia="Calibri" w:hAnsi="Arial" w:cs="Arial"/>
        </w:rPr>
        <w:t>call</w:t>
      </w:r>
      <w:proofErr w:type="spellEnd"/>
      <w:r w:rsidRPr="004D27A6">
        <w:rPr>
          <w:rFonts w:ascii="Arial" w:eastAsia="Calibri" w:hAnsi="Arial" w:cs="Arial"/>
        </w:rPr>
        <w:t xml:space="preserve">-off </w:t>
      </w:r>
      <w:proofErr w:type="spellStart"/>
      <w:r w:rsidRPr="004D27A6">
        <w:rPr>
          <w:rFonts w:ascii="Arial" w:eastAsia="Calibri" w:hAnsi="Arial" w:cs="Arial"/>
        </w:rPr>
        <w:t>stock</w:t>
      </w:r>
      <w:proofErr w:type="spellEnd"/>
      <w:r w:rsidRPr="004D27A6">
        <w:rPr>
          <w:rFonts w:ascii="Arial" w:eastAsia="Calibri" w:hAnsi="Arial" w:cs="Arial"/>
        </w:rPr>
        <w:t xml:space="preserve"> w związku z przewidzianymi do stosowania od dnia 1 lipca 2028 r. rozwiązaniami w zakresie rozliczania za pośrednictwem OSS transakcji przemieszczenia towarów własnych podatnika pomiędzy państwami członkowskimi.</w:t>
      </w:r>
    </w:p>
    <w:p w14:paraId="7C86139D" w14:textId="77777777" w:rsidR="004D27A6" w:rsidRPr="004D27A6" w:rsidRDefault="004D27A6" w:rsidP="004D27A6">
      <w:pPr>
        <w:spacing w:after="0" w:line="300" w:lineRule="auto"/>
        <w:jc w:val="both"/>
        <w:rPr>
          <w:rFonts w:ascii="Arial" w:eastAsia="Calibri" w:hAnsi="Arial" w:cs="Arial"/>
        </w:rPr>
      </w:pPr>
      <w:r w:rsidRPr="004D27A6">
        <w:rPr>
          <w:rFonts w:ascii="Arial" w:eastAsia="Calibri" w:hAnsi="Arial" w:cs="Arial"/>
        </w:rPr>
        <w:t xml:space="preserve">Z dniem 1 lipca 2028 r. zostanie wprowadzona możliwość rozliczania VAT z tytułu przemieszczania własnych towarów do innego państwa członkowskiego z wykorzystaniem tzw. procedury TOOG. Z uwagi na to, konieczne jest uchylenie przepisów dotyczących procedury magazynu typu </w:t>
      </w:r>
      <w:proofErr w:type="spellStart"/>
      <w:r w:rsidRPr="004D27A6">
        <w:rPr>
          <w:rFonts w:ascii="Arial" w:eastAsia="Calibri" w:hAnsi="Arial" w:cs="Arial"/>
        </w:rPr>
        <w:t>call</w:t>
      </w:r>
      <w:proofErr w:type="spellEnd"/>
      <w:r w:rsidRPr="004D27A6">
        <w:rPr>
          <w:rFonts w:ascii="Arial" w:eastAsia="Calibri" w:hAnsi="Arial" w:cs="Arial"/>
        </w:rPr>
        <w:t xml:space="preserve">-off </w:t>
      </w:r>
      <w:proofErr w:type="spellStart"/>
      <w:r w:rsidRPr="004D27A6">
        <w:rPr>
          <w:rFonts w:ascii="Arial" w:eastAsia="Calibri" w:hAnsi="Arial" w:cs="Arial"/>
        </w:rPr>
        <w:t>stock</w:t>
      </w:r>
      <w:proofErr w:type="spellEnd"/>
      <w:r w:rsidRPr="004D27A6">
        <w:rPr>
          <w:rFonts w:ascii="Arial" w:eastAsia="Calibri" w:hAnsi="Arial" w:cs="Arial"/>
        </w:rPr>
        <w:t>.</w:t>
      </w:r>
    </w:p>
    <w:p w14:paraId="3EAB5908" w14:textId="77777777" w:rsidR="004D27A6" w:rsidRPr="004D27A6" w:rsidRDefault="004D27A6" w:rsidP="004D27A6">
      <w:pPr>
        <w:spacing w:after="0" w:line="300" w:lineRule="auto"/>
        <w:jc w:val="both"/>
        <w:rPr>
          <w:rFonts w:ascii="Arial" w:eastAsia="Calibri" w:hAnsi="Arial" w:cs="Arial"/>
        </w:rPr>
      </w:pPr>
      <w:r w:rsidRPr="004D27A6">
        <w:rPr>
          <w:rFonts w:ascii="Arial" w:eastAsia="Calibri" w:hAnsi="Arial" w:cs="Arial"/>
        </w:rPr>
        <w:t xml:space="preserve">Dyrektywa 2025/516 z dnia 11 marca 2025 r. zmieniająca dyrektywę 2006/112/WE w odniesieniu do przepisów dotyczących VAT w epoce cyfrowej, zwana dalej „dyrektywą 2025/516” (tzw. pakiet </w:t>
      </w:r>
      <w:proofErr w:type="spellStart"/>
      <w:r w:rsidRPr="004D27A6">
        <w:rPr>
          <w:rFonts w:ascii="Arial" w:eastAsia="Calibri" w:hAnsi="Arial" w:cs="Arial"/>
        </w:rPr>
        <w:t>ViDA</w:t>
      </w:r>
      <w:proofErr w:type="spellEnd"/>
      <w:r w:rsidRPr="004D27A6">
        <w:rPr>
          <w:rFonts w:ascii="Arial" w:eastAsia="Calibri" w:hAnsi="Arial" w:cs="Arial"/>
        </w:rPr>
        <w:t xml:space="preserve">), w jej art. 2, wprowadza rozwiązania wskazanych powyżej zagadnień problemowych, które będą obowiązywać zasadniczo ze skutkiem od dnia 1 stycznia 2027 r. Dodatkowym uzupełnieniem tych rozwiązań jest art. 4 dyrektywy 2025/516 (wchodzi w życie od dnia 1 lipca 2029 r.), który uchyla, po zakończeniu okresu przejściowego, niektóre obowiązki sprawozdawcze związane z likwidowaną procedurą </w:t>
      </w:r>
      <w:proofErr w:type="spellStart"/>
      <w:r w:rsidRPr="004D27A6">
        <w:rPr>
          <w:rFonts w:ascii="Arial" w:eastAsia="Calibri" w:hAnsi="Arial" w:cs="Arial"/>
        </w:rPr>
        <w:t>call</w:t>
      </w:r>
      <w:proofErr w:type="spellEnd"/>
      <w:r w:rsidRPr="004D27A6">
        <w:rPr>
          <w:rFonts w:ascii="Arial" w:eastAsia="Calibri" w:hAnsi="Arial" w:cs="Arial"/>
        </w:rPr>
        <w:t xml:space="preserve">-off </w:t>
      </w:r>
      <w:proofErr w:type="spellStart"/>
      <w:r w:rsidRPr="004D27A6">
        <w:rPr>
          <w:rFonts w:ascii="Arial" w:eastAsia="Calibri" w:hAnsi="Arial" w:cs="Arial"/>
        </w:rPr>
        <w:t>stock</w:t>
      </w:r>
      <w:proofErr w:type="spellEnd"/>
      <w:r w:rsidRPr="004D27A6">
        <w:rPr>
          <w:rFonts w:ascii="Arial" w:eastAsia="Calibri" w:hAnsi="Arial" w:cs="Arial"/>
        </w:rPr>
        <w:t>.</w:t>
      </w:r>
    </w:p>
    <w:p w14:paraId="4E83706E" w14:textId="77777777" w:rsidR="004D27A6" w:rsidRPr="004D27A6" w:rsidRDefault="004D27A6" w:rsidP="004D27A6">
      <w:pPr>
        <w:spacing w:after="0" w:line="300" w:lineRule="auto"/>
        <w:jc w:val="both"/>
        <w:rPr>
          <w:rFonts w:ascii="Arial" w:eastAsia="Calibri" w:hAnsi="Arial" w:cs="Arial"/>
        </w:rPr>
      </w:pPr>
      <w:r w:rsidRPr="004D27A6">
        <w:rPr>
          <w:rFonts w:ascii="Arial" w:eastAsia="Calibri" w:hAnsi="Arial" w:cs="Arial"/>
        </w:rPr>
        <w:lastRenderedPageBreak/>
        <w:t xml:space="preserve">W związku z koniecznością implementacji do polskiego porządku prawnego rozwiązań przewidzianych w przepisach art. 2 i art. 4 dyrektywy 2025/516, będącej częścią tzw. pakietu </w:t>
      </w:r>
      <w:proofErr w:type="spellStart"/>
      <w:r w:rsidRPr="004D27A6">
        <w:rPr>
          <w:rFonts w:ascii="Arial" w:eastAsia="Calibri" w:hAnsi="Arial" w:cs="Arial"/>
        </w:rPr>
        <w:t>ViDA</w:t>
      </w:r>
      <w:proofErr w:type="spellEnd"/>
      <w:r w:rsidRPr="004D27A6">
        <w:rPr>
          <w:rFonts w:ascii="Arial" w:eastAsia="Calibri" w:hAnsi="Arial" w:cs="Arial"/>
        </w:rPr>
        <w:t>, w szczególności przewiduje się następujące zmiany w przepisach ustawy o VAT:</w:t>
      </w:r>
    </w:p>
    <w:p w14:paraId="237D14B6" w14:textId="77777777" w:rsidR="004D27A6" w:rsidRPr="004D27A6" w:rsidRDefault="004D27A6" w:rsidP="004D27A6">
      <w:pPr>
        <w:pStyle w:val="Akapitzlist"/>
        <w:numPr>
          <w:ilvl w:val="0"/>
          <w:numId w:val="8"/>
        </w:numPr>
        <w:spacing w:after="0" w:line="300" w:lineRule="auto"/>
        <w:jc w:val="both"/>
        <w:rPr>
          <w:rFonts w:ascii="Arial" w:eastAsia="Calibri" w:hAnsi="Arial" w:cs="Arial"/>
        </w:rPr>
      </w:pPr>
      <w:r w:rsidRPr="004D27A6">
        <w:rPr>
          <w:rFonts w:ascii="Arial" w:eastAsia="Calibri" w:hAnsi="Arial" w:cs="Arial"/>
        </w:rPr>
        <w:t>doprecyzowanie zakresu dostaw, które uznawane są za ułatwiane przez interfejsy elektroniczne (tj. przez tzw. uznanego dostawcę) - poprzez wskazanie, że reżimem tym są objęte również dostawy realizowane na terytorium Unii Europejskiej na rzecz podatnika lub osoby prawnej niebędącej podatnikiem, w przypadku których wewnątrzwspólnotowe nabycia towarów nie podlegają opodatkowaniu VAT zgodnie z art. 9 ustawy o VAT;</w:t>
      </w:r>
    </w:p>
    <w:p w14:paraId="10906169" w14:textId="77777777" w:rsidR="004D27A6" w:rsidRPr="004D27A6" w:rsidRDefault="004D27A6" w:rsidP="004D27A6">
      <w:pPr>
        <w:pStyle w:val="Akapitzlist"/>
        <w:numPr>
          <w:ilvl w:val="0"/>
          <w:numId w:val="8"/>
        </w:numPr>
        <w:spacing w:after="0" w:line="300" w:lineRule="auto"/>
        <w:jc w:val="both"/>
        <w:rPr>
          <w:rFonts w:ascii="Arial" w:eastAsia="Calibri" w:hAnsi="Arial" w:cs="Arial"/>
        </w:rPr>
      </w:pPr>
      <w:r w:rsidRPr="004D27A6">
        <w:rPr>
          <w:rFonts w:ascii="Arial" w:eastAsia="Calibri" w:hAnsi="Arial" w:cs="Arial"/>
        </w:rPr>
        <w:t>doprecyzowanie zasad obliczania przekroczenia progu sprzedaży w wysokości 10 000 euro (w Polsce próg ten wynosi 42 000 zł) na potrzeby ustalenia miejsca opodatkowania WSTO i usług TBE, w taki sposób, aby przy obliczaniu przekroczenia tego progu uwzględniano wyłącznie WSTO, jeżeli towary są dostarczane z państwa członkowskiego, w którym podatnik ma siedzibę, a nie WSTO dokonywaną z magazynu usytuowanego w innym państwie członkowskim;</w:t>
      </w:r>
    </w:p>
    <w:p w14:paraId="0DF5C414" w14:textId="77777777" w:rsidR="004D27A6" w:rsidRPr="004D27A6" w:rsidRDefault="004D27A6" w:rsidP="004D27A6">
      <w:pPr>
        <w:pStyle w:val="Akapitzlist"/>
        <w:numPr>
          <w:ilvl w:val="0"/>
          <w:numId w:val="8"/>
        </w:numPr>
        <w:spacing w:after="0" w:line="300" w:lineRule="auto"/>
        <w:jc w:val="both"/>
        <w:rPr>
          <w:rFonts w:ascii="Arial" w:eastAsia="Calibri" w:hAnsi="Arial" w:cs="Arial"/>
        </w:rPr>
      </w:pPr>
      <w:r w:rsidRPr="004D27A6">
        <w:rPr>
          <w:rFonts w:ascii="Arial" w:eastAsia="Calibri" w:hAnsi="Arial" w:cs="Arial"/>
        </w:rPr>
        <w:t>wprowadzenie reguły, że w przypadku podatnika, który nie przekroczył progu sprzedaży 10 000 euro wybór miejsca opodatkowania usług TBE i WSTO w państwie konsumpcji uznaje się za dokonany przez każdy podmiot zarejestrowany do procedury unijnej OSS. Taka zasada pozwoli uniknąć nieporozumień co do współzależności między zasadami dotyczącymi miejsca świadczenia a procedurą unijną OSS. Procedura unijna ma zastosowanie do wszystkich dostaw towarów i usług objętych tą procedurą, dokonywanych przez podatnika na terytorium UE. Oznacza to, że jeżeli podatnik zdecyduje się na korzystanie z systemu OSS, powinien wówczas korzystać z niego w odniesieniu do wszystkich WSTO i usług, nawet tych spełniających warunki do opodatkowania ich w państwie siedziby sprzedawcy;</w:t>
      </w:r>
    </w:p>
    <w:p w14:paraId="286FD8F5" w14:textId="77777777" w:rsidR="004D27A6" w:rsidRPr="004D27A6" w:rsidRDefault="004D27A6" w:rsidP="004D27A6">
      <w:pPr>
        <w:pStyle w:val="Akapitzlist"/>
        <w:numPr>
          <w:ilvl w:val="0"/>
          <w:numId w:val="8"/>
        </w:numPr>
        <w:spacing w:after="0" w:line="300" w:lineRule="auto"/>
        <w:jc w:val="both"/>
        <w:rPr>
          <w:rFonts w:ascii="Arial" w:eastAsia="Calibri" w:hAnsi="Arial" w:cs="Arial"/>
        </w:rPr>
      </w:pPr>
      <w:r w:rsidRPr="004D27A6">
        <w:rPr>
          <w:rFonts w:ascii="Arial" w:eastAsia="Calibri" w:hAnsi="Arial" w:cs="Arial"/>
        </w:rPr>
        <w:t>uregulowanie momentu powstania obowiązku podatkowego w odniesieniu do dostaw towarów lub świadczenia usług rozliczanych w ramach unijnej i nieunijnej procedury OSS poprzez wyłączenie możliwości powstawania obowiązku podatkowego na zasadach szczególnych - obowiązek podatkowy dla ww. czynności powstanie w momencie dokonania dostawy towarów lub wykonania usługi. Jeżeli przed dokonaniem dostawy towarów lub wykonaniem usługi otrzymano całość lub część zapłaty, w szczególności: przedpłatę, zaliczkę, zadatek, ratę, obowiązek podatkowy powstanie z chwilą jej otrzymania w odniesieniu do otrzymanej kwoty;</w:t>
      </w:r>
    </w:p>
    <w:p w14:paraId="65E2F07D" w14:textId="77777777" w:rsidR="004D27A6" w:rsidRPr="004D27A6" w:rsidRDefault="004D27A6" w:rsidP="004D27A6">
      <w:pPr>
        <w:pStyle w:val="Akapitzlist"/>
        <w:numPr>
          <w:ilvl w:val="0"/>
          <w:numId w:val="8"/>
        </w:numPr>
        <w:spacing w:after="0" w:line="300" w:lineRule="auto"/>
        <w:jc w:val="both"/>
        <w:rPr>
          <w:rFonts w:ascii="Arial" w:eastAsia="Calibri" w:hAnsi="Arial" w:cs="Arial"/>
        </w:rPr>
      </w:pPr>
      <w:r w:rsidRPr="004D27A6">
        <w:rPr>
          <w:rFonts w:ascii="Arial" w:eastAsia="Calibri" w:hAnsi="Arial" w:cs="Arial"/>
        </w:rPr>
        <w:t>likwidację obowiązku podawania stron internetowych w zgłoszeniu na potrzeby procedury nieunijnej OSS i importu (IOSS), co pozwoli uniknąć bieżących problemów, których przedsiębiorcy doświadczają przy rejestracji;</w:t>
      </w:r>
    </w:p>
    <w:p w14:paraId="4E30E22C" w14:textId="77777777" w:rsidR="004D27A6" w:rsidRPr="004D27A6" w:rsidRDefault="004D27A6" w:rsidP="004D27A6">
      <w:pPr>
        <w:pStyle w:val="Akapitzlist"/>
        <w:numPr>
          <w:ilvl w:val="0"/>
          <w:numId w:val="8"/>
        </w:numPr>
        <w:spacing w:after="0" w:line="300" w:lineRule="auto"/>
        <w:jc w:val="both"/>
        <w:rPr>
          <w:rFonts w:ascii="Arial" w:eastAsia="Calibri" w:hAnsi="Arial" w:cs="Arial"/>
        </w:rPr>
      </w:pPr>
      <w:r w:rsidRPr="004D27A6">
        <w:rPr>
          <w:rFonts w:ascii="Arial" w:eastAsia="Calibri" w:hAnsi="Arial" w:cs="Arial"/>
        </w:rPr>
        <w:t>rozszerzenie stosowania procedury unijnej OSS na dostawy B2C gazu ziemnego, energii elektrycznej lub energii cieplnej lub chłodniczej, poprzez uznanie ich za WSTO;</w:t>
      </w:r>
    </w:p>
    <w:p w14:paraId="44618801" w14:textId="77777777" w:rsidR="004D27A6" w:rsidRPr="004D27A6" w:rsidRDefault="004D27A6" w:rsidP="004D27A6">
      <w:pPr>
        <w:pStyle w:val="Akapitzlist"/>
        <w:numPr>
          <w:ilvl w:val="0"/>
          <w:numId w:val="8"/>
        </w:numPr>
        <w:spacing w:after="0" w:line="300" w:lineRule="auto"/>
        <w:jc w:val="both"/>
        <w:rPr>
          <w:rFonts w:ascii="Arial" w:eastAsia="Calibri" w:hAnsi="Arial" w:cs="Arial"/>
        </w:rPr>
      </w:pPr>
      <w:r w:rsidRPr="004D27A6">
        <w:rPr>
          <w:rFonts w:ascii="Arial" w:eastAsia="Calibri" w:hAnsi="Arial" w:cs="Arial"/>
        </w:rPr>
        <w:t>jednoznaczne wyłączenie drobnych podatników zwolnionych podmiotowo, z katalogu podmiotów, które mogą rozliczać sprzedaż na odległość towarów importowanych w przesyłkach o wartości rzeczywistej nieprzekraczającej równowartości 150 euro w procedurze importu IOSS;</w:t>
      </w:r>
    </w:p>
    <w:p w14:paraId="6CAB55EB" w14:textId="77777777" w:rsidR="004D27A6" w:rsidRPr="004D27A6" w:rsidRDefault="004D27A6" w:rsidP="004D27A6">
      <w:pPr>
        <w:pStyle w:val="Akapitzlist"/>
        <w:numPr>
          <w:ilvl w:val="0"/>
          <w:numId w:val="8"/>
        </w:numPr>
        <w:spacing w:after="0" w:line="300" w:lineRule="auto"/>
        <w:jc w:val="both"/>
        <w:rPr>
          <w:rFonts w:ascii="Arial" w:eastAsia="Calibri" w:hAnsi="Arial" w:cs="Arial"/>
        </w:rPr>
      </w:pPr>
      <w:r w:rsidRPr="004D27A6">
        <w:rPr>
          <w:rFonts w:ascii="Arial" w:eastAsia="Calibri" w:hAnsi="Arial" w:cs="Arial"/>
        </w:rPr>
        <w:t xml:space="preserve">uchylenie przepisów dotyczących procedury magazynu typu </w:t>
      </w:r>
      <w:proofErr w:type="spellStart"/>
      <w:r w:rsidRPr="004D27A6">
        <w:rPr>
          <w:rFonts w:ascii="Arial" w:eastAsia="Calibri" w:hAnsi="Arial" w:cs="Arial"/>
        </w:rPr>
        <w:t>call</w:t>
      </w:r>
      <w:proofErr w:type="spellEnd"/>
      <w:r w:rsidRPr="004D27A6">
        <w:rPr>
          <w:rFonts w:ascii="Arial" w:eastAsia="Calibri" w:hAnsi="Arial" w:cs="Arial"/>
        </w:rPr>
        <w:t xml:space="preserve">-off </w:t>
      </w:r>
      <w:proofErr w:type="spellStart"/>
      <w:r w:rsidRPr="004D27A6">
        <w:rPr>
          <w:rFonts w:ascii="Arial" w:eastAsia="Calibri" w:hAnsi="Arial" w:cs="Arial"/>
        </w:rPr>
        <w:t>stock</w:t>
      </w:r>
      <w:proofErr w:type="spellEnd"/>
      <w:r w:rsidRPr="004D27A6">
        <w:rPr>
          <w:rFonts w:ascii="Arial" w:eastAsia="Calibri" w:hAnsi="Arial" w:cs="Arial"/>
        </w:rPr>
        <w:t xml:space="preserve"> z uwagi na wprowadzenie z dniem 1 lipca 2028 r. uproszczonej procedury szczególnej OSS </w:t>
      </w:r>
      <w:r w:rsidRPr="004D27A6">
        <w:rPr>
          <w:rFonts w:ascii="Arial" w:eastAsia="Calibri" w:hAnsi="Arial" w:cs="Arial"/>
        </w:rPr>
        <w:lastRenderedPageBreak/>
        <w:t xml:space="preserve">obejmującej transgraniczne przemieszczanie towarów własnych (tzw. procedura TOOG), które jest obecnie objęte procedurą magazynu typu </w:t>
      </w:r>
      <w:proofErr w:type="spellStart"/>
      <w:r w:rsidRPr="004D27A6">
        <w:rPr>
          <w:rFonts w:ascii="Arial" w:eastAsia="Calibri" w:hAnsi="Arial" w:cs="Arial"/>
        </w:rPr>
        <w:t>call</w:t>
      </w:r>
      <w:proofErr w:type="spellEnd"/>
      <w:r w:rsidRPr="004D27A6">
        <w:rPr>
          <w:rFonts w:ascii="Arial" w:eastAsia="Calibri" w:hAnsi="Arial" w:cs="Arial"/>
        </w:rPr>
        <w:t xml:space="preserve">-off </w:t>
      </w:r>
      <w:proofErr w:type="spellStart"/>
      <w:r w:rsidRPr="004D27A6">
        <w:rPr>
          <w:rFonts w:ascii="Arial" w:eastAsia="Calibri" w:hAnsi="Arial" w:cs="Arial"/>
        </w:rPr>
        <w:t>stock</w:t>
      </w:r>
      <w:proofErr w:type="spellEnd"/>
      <w:r w:rsidRPr="004D27A6">
        <w:rPr>
          <w:rFonts w:ascii="Arial" w:eastAsia="Calibri" w:hAnsi="Arial" w:cs="Arial"/>
        </w:rPr>
        <w:t>.</w:t>
      </w:r>
    </w:p>
    <w:p w14:paraId="040C041F" w14:textId="77777777" w:rsidR="004D27A6" w:rsidRPr="004D27A6" w:rsidRDefault="004D27A6" w:rsidP="004D27A6">
      <w:pPr>
        <w:spacing w:after="0" w:line="300" w:lineRule="auto"/>
        <w:jc w:val="both"/>
        <w:rPr>
          <w:rFonts w:ascii="Arial" w:eastAsia="Calibri" w:hAnsi="Arial" w:cs="Arial"/>
        </w:rPr>
      </w:pPr>
      <w:r w:rsidRPr="004D27A6">
        <w:rPr>
          <w:rFonts w:ascii="Arial" w:eastAsia="Calibri" w:hAnsi="Arial" w:cs="Arial"/>
        </w:rPr>
        <w:t>W celu wprowadzenia rekomendowanych rozwiązań, konieczna jest zmiana ustawy o VAT.</w:t>
      </w:r>
    </w:p>
    <w:p w14:paraId="5C06D487" w14:textId="77777777" w:rsidR="004D27A6" w:rsidRPr="004D27A6" w:rsidRDefault="004D27A6" w:rsidP="004D27A6">
      <w:pPr>
        <w:spacing w:after="0" w:line="300" w:lineRule="auto"/>
        <w:jc w:val="both"/>
        <w:rPr>
          <w:rFonts w:ascii="Arial" w:eastAsia="Calibri" w:hAnsi="Arial" w:cs="Arial"/>
        </w:rPr>
      </w:pPr>
      <w:r w:rsidRPr="004D27A6">
        <w:rPr>
          <w:rFonts w:ascii="Arial" w:eastAsia="Calibri" w:hAnsi="Arial" w:cs="Arial"/>
        </w:rPr>
        <w:t>Oczekiwanym efektem wdrożenia rozwiązań proponowanych w pkt 1-5 i 7 (wprowadzenie usprawnień obecnych przepisów) jest w szczególności poprawa funkcjonowania środków wprowadzonych w ramach tzw. pakietu VAT e-commerce, obowiązującego od 1 lipca 2021 r. Doprecyzowanie obowiązujących przepisów w tym zakresie zwiększy poziom czytelności przepisów, tym samym zwiększając pewność prawa.</w:t>
      </w:r>
    </w:p>
    <w:p w14:paraId="7F024CFA" w14:textId="0D1432E3" w:rsidR="000C1FB7" w:rsidRPr="004D27A6" w:rsidRDefault="004D27A6" w:rsidP="004D27A6">
      <w:pPr>
        <w:spacing w:after="0" w:line="300" w:lineRule="auto"/>
        <w:jc w:val="both"/>
        <w:rPr>
          <w:rFonts w:ascii="Arial" w:hAnsi="Arial" w:cs="Arial"/>
        </w:rPr>
      </w:pPr>
      <w:r w:rsidRPr="004D27A6">
        <w:rPr>
          <w:rFonts w:ascii="Arial" w:eastAsia="Calibri" w:hAnsi="Arial" w:cs="Arial"/>
        </w:rPr>
        <w:t>Rozszerzenie możliwości rozliczania VAT z wykorzystaniem OSS w przypadku transakcji takich jak dostawy gazu ziemnego, energii elektrycznej, energii cieplnej lub chłodniczej (pkt 6) powinno istotnie zmniejszyć obciążenia administracyjne i koszty związane z wypełnianiem obowiązków podatkowych. Będzie to związane m.in. z możliwością elektronicznej rejestracji dla celów VAT tylko w jednym państwie członkowskim oraz deklarowania i płacenia należnego w poszczególnych państwach członkowskich podatku VAT w ramach jednej, kwartalnej deklaracji.</w:t>
      </w:r>
    </w:p>
    <w:p w14:paraId="11B72A6D" w14:textId="77777777" w:rsidR="004D27A6" w:rsidRDefault="004D27A6" w:rsidP="00E62EC9">
      <w:pPr>
        <w:spacing w:after="0" w:line="300" w:lineRule="auto"/>
        <w:jc w:val="both"/>
        <w:rPr>
          <w:rFonts w:ascii="Arial" w:hAnsi="Arial" w:cs="Arial"/>
        </w:rPr>
      </w:pPr>
    </w:p>
    <w:p w14:paraId="1598DD2D" w14:textId="77777777" w:rsidR="004D27A6" w:rsidRPr="004D27A6" w:rsidRDefault="004D27A6" w:rsidP="004D27A6">
      <w:pPr>
        <w:spacing w:after="0" w:line="300" w:lineRule="auto"/>
        <w:jc w:val="both"/>
        <w:rPr>
          <w:rFonts w:ascii="Arial" w:hAnsi="Arial" w:cs="Arial"/>
        </w:rPr>
      </w:pPr>
      <w:r w:rsidRPr="004D27A6">
        <w:rPr>
          <w:rFonts w:ascii="Arial" w:hAnsi="Arial" w:cs="Arial"/>
        </w:rPr>
        <w:t>Przedmiotowy projekt aktu prawnego wraz z Uzasadnieniem, Oceną Skutków Regulacji, Tabelą zgodności oraz Odwróconą tabelą zgodności dostępny jest na stronach Rządowego Centrum Legislacji pod adresem:</w:t>
      </w:r>
    </w:p>
    <w:p w14:paraId="1EB28076" w14:textId="03241F9D" w:rsidR="004D27A6" w:rsidRDefault="004D27A6" w:rsidP="004D27A6">
      <w:pPr>
        <w:spacing w:after="0" w:line="300" w:lineRule="auto"/>
        <w:jc w:val="both"/>
        <w:rPr>
          <w:rFonts w:ascii="Arial" w:hAnsi="Arial" w:cs="Arial"/>
        </w:rPr>
      </w:pPr>
      <w:hyperlink r:id="rId7" w:history="1">
        <w:r w:rsidRPr="005A2409">
          <w:rPr>
            <w:rStyle w:val="Hipercze"/>
            <w:rFonts w:ascii="Arial" w:hAnsi="Arial" w:cs="Arial"/>
          </w:rPr>
          <w:t>https://legislacja.rcl.gov</w:t>
        </w:r>
        <w:r w:rsidRPr="005A2409">
          <w:rPr>
            <w:rStyle w:val="Hipercze"/>
            <w:rFonts w:ascii="Arial" w:hAnsi="Arial" w:cs="Arial"/>
          </w:rPr>
          <w:t>.</w:t>
        </w:r>
        <w:r w:rsidRPr="005A2409">
          <w:rPr>
            <w:rStyle w:val="Hipercze"/>
            <w:rFonts w:ascii="Arial" w:hAnsi="Arial" w:cs="Arial"/>
          </w:rPr>
          <w:t>pl/projekt/12409802/katalog/13201159#13201159</w:t>
        </w:r>
      </w:hyperlink>
      <w:r>
        <w:rPr>
          <w:rFonts w:ascii="Arial" w:hAnsi="Arial" w:cs="Arial"/>
        </w:rPr>
        <w:t xml:space="preserve"> </w:t>
      </w:r>
    </w:p>
    <w:p w14:paraId="5E63CCF4" w14:textId="77777777" w:rsidR="004D27A6" w:rsidRDefault="004D27A6" w:rsidP="00E62EC9">
      <w:pPr>
        <w:spacing w:after="0" w:line="300" w:lineRule="auto"/>
        <w:jc w:val="both"/>
        <w:rPr>
          <w:rFonts w:ascii="Arial" w:hAnsi="Arial" w:cs="Arial"/>
        </w:rPr>
      </w:pPr>
    </w:p>
    <w:p w14:paraId="50F98084" w14:textId="7A8A76EA" w:rsidR="004D27A6" w:rsidRDefault="004D27A6" w:rsidP="00E62EC9">
      <w:pPr>
        <w:spacing w:after="0" w:line="300" w:lineRule="auto"/>
        <w:jc w:val="both"/>
        <w:rPr>
          <w:rFonts w:ascii="Arial" w:hAnsi="Arial" w:cs="Arial"/>
        </w:rPr>
      </w:pPr>
      <w:r w:rsidRPr="004D27A6">
        <w:rPr>
          <w:rFonts w:ascii="Arial" w:hAnsi="Arial" w:cs="Arial"/>
        </w:rPr>
        <w:t>Projekt jest obecnie jednocześnie na etapie uzgodnień, konsultacji publicznych i opiniowania.</w:t>
      </w:r>
    </w:p>
    <w:p w14:paraId="17926031" w14:textId="77777777" w:rsidR="004D27A6" w:rsidRDefault="004D27A6" w:rsidP="00E62EC9">
      <w:pPr>
        <w:spacing w:after="0" w:line="300" w:lineRule="auto"/>
        <w:jc w:val="both"/>
        <w:rPr>
          <w:rFonts w:ascii="Arial" w:hAnsi="Arial" w:cs="Arial"/>
        </w:rPr>
      </w:pPr>
    </w:p>
    <w:p w14:paraId="75AF97F6" w14:textId="77777777" w:rsidR="00E62EC9" w:rsidRDefault="00E62EC9" w:rsidP="00E62EC9">
      <w:pPr>
        <w:spacing w:after="0" w:line="300" w:lineRule="auto"/>
        <w:jc w:val="both"/>
        <w:rPr>
          <w:rFonts w:ascii="Arial" w:hAnsi="Arial" w:cs="Arial"/>
        </w:rPr>
      </w:pPr>
      <w:r>
        <w:rPr>
          <w:rFonts w:ascii="Arial" w:hAnsi="Arial" w:cs="Arial"/>
        </w:rPr>
        <w:t>Projekty rozporządzeń:</w:t>
      </w:r>
    </w:p>
    <w:p w14:paraId="1AF367F7" w14:textId="77777777" w:rsidR="000C1FB7" w:rsidRDefault="000C1FB7" w:rsidP="00E62EC9">
      <w:pPr>
        <w:spacing w:after="0" w:line="300" w:lineRule="auto"/>
        <w:jc w:val="both"/>
        <w:rPr>
          <w:rFonts w:ascii="Arial" w:hAnsi="Arial" w:cs="Arial"/>
        </w:rPr>
      </w:pPr>
    </w:p>
    <w:p w14:paraId="124FBE9C" w14:textId="34895C0A" w:rsidR="000C1FB7" w:rsidRPr="004D27A6" w:rsidRDefault="004D27A6" w:rsidP="00E62EC9">
      <w:pPr>
        <w:pStyle w:val="Akapitzlist"/>
        <w:numPr>
          <w:ilvl w:val="0"/>
          <w:numId w:val="4"/>
        </w:numPr>
        <w:spacing w:after="0" w:line="300" w:lineRule="auto"/>
        <w:jc w:val="both"/>
        <w:rPr>
          <w:rFonts w:ascii="Arial" w:hAnsi="Arial" w:cs="Arial"/>
          <w:b/>
          <w:bCs/>
          <w:u w:val="single"/>
        </w:rPr>
      </w:pPr>
      <w:r w:rsidRPr="004D27A6">
        <w:rPr>
          <w:rFonts w:ascii="Arial" w:hAnsi="Arial" w:cs="Arial"/>
          <w:b/>
          <w:bCs/>
          <w:u w:val="single"/>
        </w:rPr>
        <w:t>P</w:t>
      </w:r>
      <w:r w:rsidRPr="004D27A6">
        <w:rPr>
          <w:rFonts w:ascii="Arial" w:hAnsi="Arial" w:cs="Arial"/>
          <w:b/>
          <w:bCs/>
          <w:u w:val="single"/>
        </w:rPr>
        <w:t xml:space="preserve">rojekt rozporządzenie Ministra Funduszy i Polityki Regionalnej w sprawie udzielania pomocy de </w:t>
      </w:r>
      <w:proofErr w:type="spellStart"/>
      <w:r w:rsidRPr="004D27A6">
        <w:rPr>
          <w:rFonts w:ascii="Arial" w:hAnsi="Arial" w:cs="Arial"/>
          <w:b/>
          <w:bCs/>
          <w:u w:val="single"/>
        </w:rPr>
        <w:t>minimis</w:t>
      </w:r>
      <w:proofErr w:type="spellEnd"/>
      <w:r w:rsidRPr="004D27A6">
        <w:rPr>
          <w:rFonts w:ascii="Arial" w:hAnsi="Arial" w:cs="Arial"/>
          <w:b/>
          <w:bCs/>
          <w:u w:val="single"/>
        </w:rPr>
        <w:t xml:space="preserve"> przez Bank Gospodarstwa Krajowego na realizację zadań związanych z inwestycją w zakresie bezpieczeństwa i obronności realizowaną w ramach Krajowego Planu Odbudowy i Zwiększania Odporności (135).  </w:t>
      </w:r>
    </w:p>
    <w:p w14:paraId="48E1CF5F" w14:textId="77777777" w:rsidR="000C1FB7" w:rsidRDefault="000C1FB7" w:rsidP="000C1FB7">
      <w:pPr>
        <w:spacing w:after="0" w:line="300" w:lineRule="auto"/>
        <w:jc w:val="both"/>
        <w:rPr>
          <w:rFonts w:ascii="Arial" w:hAnsi="Arial" w:cs="Arial"/>
        </w:rPr>
      </w:pPr>
    </w:p>
    <w:p w14:paraId="180762F5" w14:textId="77777777" w:rsidR="004D27A6" w:rsidRPr="004D27A6" w:rsidRDefault="004D27A6" w:rsidP="004D27A6">
      <w:pPr>
        <w:spacing w:after="0" w:line="300" w:lineRule="auto"/>
        <w:jc w:val="both"/>
        <w:rPr>
          <w:rFonts w:ascii="Arial" w:hAnsi="Arial" w:cs="Arial"/>
        </w:rPr>
      </w:pPr>
      <w:r w:rsidRPr="004D27A6">
        <w:rPr>
          <w:rFonts w:ascii="Arial" w:hAnsi="Arial" w:cs="Arial"/>
        </w:rPr>
        <w:t xml:space="preserve">Brak podstawy prawnej w prawie krajowym do udzielania pomocy de </w:t>
      </w:r>
      <w:proofErr w:type="spellStart"/>
      <w:r w:rsidRPr="004D27A6">
        <w:rPr>
          <w:rFonts w:ascii="Arial" w:hAnsi="Arial" w:cs="Arial"/>
        </w:rPr>
        <w:t>minimis</w:t>
      </w:r>
      <w:proofErr w:type="spellEnd"/>
      <w:r w:rsidRPr="004D27A6">
        <w:rPr>
          <w:rFonts w:ascii="Arial" w:hAnsi="Arial" w:cs="Arial"/>
        </w:rPr>
        <w:t xml:space="preserve"> na realizację zadań związanych z inwestycją A2.7.1 Fundusz Bezpieczeństwa i Obronności, o której mowa w załączniku do decyzji wykonawczej Rady nr 9590/25 z dnia 17 czerwca 2025 r. zmieniającej decyzję wykonawczą z dnia 17 czerwca 2022 r. w sprawie zatwierdzenia oceny planu odbudowy i zwiększenia odporności Polski, wydanej na podstawie art. 20 ust. 1 rozporządzenia Parlamentu Europejskiego i Rady (UE) 2021/241 z dnia 12 lutego 2021 r. ustanawiającego Instrument na rzecz Odbudowy i Zwiększania Odporności (Dz. Urz. UE L 57 z 18.02.2021, str. 17, z </w:t>
      </w:r>
      <w:proofErr w:type="spellStart"/>
      <w:r w:rsidRPr="004D27A6">
        <w:rPr>
          <w:rFonts w:ascii="Arial" w:hAnsi="Arial" w:cs="Arial"/>
        </w:rPr>
        <w:t>późn</w:t>
      </w:r>
      <w:proofErr w:type="spellEnd"/>
      <w:r w:rsidRPr="004D27A6">
        <w:rPr>
          <w:rFonts w:ascii="Arial" w:hAnsi="Arial" w:cs="Arial"/>
        </w:rPr>
        <w:t xml:space="preserve">. zm.), zwaną dalej „inwestycją A2.7.1”. Pomoc będzie udzielana zgodnie z przepisami rozporządzenia Komisji (UE) 2023/2831 z dnia 13 grudnia 2023 r. w sprawie stosowania art. 107 i 108 Traktatu o funkcjonowaniu Unii Europejskiej do pomocy de </w:t>
      </w:r>
      <w:proofErr w:type="spellStart"/>
      <w:r w:rsidRPr="004D27A6">
        <w:rPr>
          <w:rFonts w:ascii="Arial" w:hAnsi="Arial" w:cs="Arial"/>
        </w:rPr>
        <w:t>minimis</w:t>
      </w:r>
      <w:proofErr w:type="spellEnd"/>
      <w:r w:rsidRPr="004D27A6">
        <w:rPr>
          <w:rFonts w:ascii="Arial" w:hAnsi="Arial" w:cs="Arial"/>
        </w:rPr>
        <w:t xml:space="preserve"> (Dz. Urz. UE L 2023/2831 z 15.12.2023).</w:t>
      </w:r>
    </w:p>
    <w:p w14:paraId="35FAE814" w14:textId="6E6C0992" w:rsidR="000C1FB7" w:rsidRDefault="004D27A6" w:rsidP="004D27A6">
      <w:pPr>
        <w:spacing w:after="0" w:line="300" w:lineRule="auto"/>
        <w:jc w:val="both"/>
        <w:rPr>
          <w:rFonts w:ascii="Arial" w:hAnsi="Arial" w:cs="Arial"/>
        </w:rPr>
      </w:pPr>
      <w:r w:rsidRPr="004D27A6">
        <w:rPr>
          <w:rFonts w:ascii="Arial" w:hAnsi="Arial" w:cs="Arial"/>
        </w:rPr>
        <w:t xml:space="preserve">Zapewnienie podstawy prawnej do udzielania pomocy de </w:t>
      </w:r>
      <w:proofErr w:type="spellStart"/>
      <w:r w:rsidRPr="004D27A6">
        <w:rPr>
          <w:rFonts w:ascii="Arial" w:hAnsi="Arial" w:cs="Arial"/>
        </w:rPr>
        <w:t>minimis</w:t>
      </w:r>
      <w:proofErr w:type="spellEnd"/>
      <w:r w:rsidRPr="004D27A6">
        <w:rPr>
          <w:rFonts w:ascii="Arial" w:hAnsi="Arial" w:cs="Arial"/>
        </w:rPr>
        <w:t xml:space="preserve"> na realizację zadań w ramach części pożyczkowej inwestycji A2.7.1. Krajowego Planu Odbudowy i Zwiększania </w:t>
      </w:r>
      <w:r w:rsidRPr="004D27A6">
        <w:rPr>
          <w:rFonts w:ascii="Arial" w:hAnsi="Arial" w:cs="Arial"/>
        </w:rPr>
        <w:lastRenderedPageBreak/>
        <w:t xml:space="preserve">Odporności, zwanego dalej „KPO”. Osiągnięcie celu projektu w wyniku podjęcia działań innych niż legislacyjne nie jest możliwe. Planowane wsparcie w ramach części pożyczkowej wyniesie powyżej 500 mln zł. Podmiotem udzielającym pomocy de </w:t>
      </w:r>
      <w:proofErr w:type="spellStart"/>
      <w:r w:rsidRPr="004D27A6">
        <w:rPr>
          <w:rFonts w:ascii="Arial" w:hAnsi="Arial" w:cs="Arial"/>
        </w:rPr>
        <w:t>minimis</w:t>
      </w:r>
      <w:proofErr w:type="spellEnd"/>
      <w:r w:rsidRPr="004D27A6">
        <w:rPr>
          <w:rFonts w:ascii="Arial" w:hAnsi="Arial" w:cs="Arial"/>
        </w:rPr>
        <w:t xml:space="preserve"> będzie Bank Gospodarstwa Krajowego, co jest zgodne z art. 16 ust. 2 ustawy z dnia 4 grudnia 2025 r. o szczególnych zasadach realizacji zadań związanych z inwestycją w zakresie bezpieczeństwa i obronności realizowaną w ramach Krajowego Planu Odbudowy i Zwiększenia Odporności (Dz. U. poz. 1846), zwanej dalej „ustawą”. Umożliwienie udzielenia pomocy de </w:t>
      </w:r>
      <w:proofErr w:type="spellStart"/>
      <w:r w:rsidRPr="004D27A6">
        <w:rPr>
          <w:rFonts w:ascii="Arial" w:hAnsi="Arial" w:cs="Arial"/>
        </w:rPr>
        <w:t>minimis</w:t>
      </w:r>
      <w:proofErr w:type="spellEnd"/>
      <w:r w:rsidRPr="004D27A6">
        <w:rPr>
          <w:rFonts w:ascii="Arial" w:hAnsi="Arial" w:cs="Arial"/>
        </w:rPr>
        <w:t xml:space="preserve"> na realizację zadań związanych z inwestycją A2.7.1przyczyni się do podniesienia poziomu bezpieczeństwa ludności Polski, wzmocnienie zdolności obronnych państwa, jak również rozwoju potencjału innowacyjnego w Polsce oraz zwiększenia odporności krajowej i europejskiej gospodarki.</w:t>
      </w:r>
    </w:p>
    <w:p w14:paraId="001D4853" w14:textId="77777777" w:rsidR="000C1FB7" w:rsidRDefault="000C1FB7" w:rsidP="000C1FB7">
      <w:pPr>
        <w:spacing w:after="0" w:line="300" w:lineRule="auto"/>
        <w:jc w:val="both"/>
        <w:rPr>
          <w:rFonts w:ascii="Arial" w:hAnsi="Arial" w:cs="Arial"/>
        </w:rPr>
      </w:pPr>
    </w:p>
    <w:p w14:paraId="36B776E9" w14:textId="77777777" w:rsidR="004D27A6" w:rsidRPr="004D27A6" w:rsidRDefault="004D27A6" w:rsidP="004D27A6">
      <w:pPr>
        <w:spacing w:after="0" w:line="300" w:lineRule="auto"/>
        <w:jc w:val="both"/>
        <w:rPr>
          <w:rFonts w:ascii="Arial" w:hAnsi="Arial" w:cs="Arial"/>
        </w:rPr>
      </w:pPr>
      <w:r w:rsidRPr="004D27A6">
        <w:rPr>
          <w:rFonts w:ascii="Arial" w:hAnsi="Arial" w:cs="Arial"/>
        </w:rPr>
        <w:t>Przedmiotowy projekt aktu prawnego wraz z Uzasadnieniem oraz Oceną Skutków Regulacji dostępny jest na stronach Rządowego Centrum Legislacji pod adresem:</w:t>
      </w:r>
    </w:p>
    <w:p w14:paraId="516C012A" w14:textId="5F98E06D" w:rsidR="004D27A6" w:rsidRDefault="004D27A6" w:rsidP="004D27A6">
      <w:pPr>
        <w:spacing w:after="0" w:line="300" w:lineRule="auto"/>
        <w:jc w:val="both"/>
        <w:rPr>
          <w:rFonts w:ascii="Arial" w:hAnsi="Arial" w:cs="Arial"/>
        </w:rPr>
      </w:pPr>
      <w:hyperlink r:id="rId8" w:history="1">
        <w:r w:rsidRPr="005A2409">
          <w:rPr>
            <w:rStyle w:val="Hipercze"/>
            <w:rFonts w:ascii="Arial" w:hAnsi="Arial" w:cs="Arial"/>
          </w:rPr>
          <w:t>https://legislacja.rcl.gov.pl</w:t>
        </w:r>
        <w:r w:rsidRPr="005A2409">
          <w:rPr>
            <w:rStyle w:val="Hipercze"/>
            <w:rFonts w:ascii="Arial" w:hAnsi="Arial" w:cs="Arial"/>
          </w:rPr>
          <w:t>/</w:t>
        </w:r>
        <w:r w:rsidRPr="005A2409">
          <w:rPr>
            <w:rStyle w:val="Hipercze"/>
            <w:rFonts w:ascii="Arial" w:hAnsi="Arial" w:cs="Arial"/>
          </w:rPr>
          <w:t>projekt/12409752/katalog/13200624#13200624</w:t>
        </w:r>
      </w:hyperlink>
      <w:r>
        <w:rPr>
          <w:rFonts w:ascii="Arial" w:hAnsi="Arial" w:cs="Arial"/>
        </w:rPr>
        <w:t xml:space="preserve"> </w:t>
      </w:r>
    </w:p>
    <w:p w14:paraId="30777CFD" w14:textId="77777777" w:rsidR="004D27A6" w:rsidRDefault="004D27A6" w:rsidP="000C1FB7">
      <w:pPr>
        <w:spacing w:after="0" w:line="300" w:lineRule="auto"/>
        <w:jc w:val="both"/>
        <w:rPr>
          <w:rFonts w:ascii="Arial" w:hAnsi="Arial" w:cs="Arial"/>
        </w:rPr>
      </w:pPr>
    </w:p>
    <w:p w14:paraId="6EC27F2F" w14:textId="1FC6EBCE" w:rsidR="004D27A6" w:rsidRDefault="007B4FBB" w:rsidP="000C1FB7">
      <w:pPr>
        <w:spacing w:after="0" w:line="300" w:lineRule="auto"/>
        <w:jc w:val="both"/>
        <w:rPr>
          <w:rFonts w:ascii="Arial" w:hAnsi="Arial" w:cs="Arial"/>
        </w:rPr>
      </w:pPr>
      <w:r w:rsidRPr="007B4FBB">
        <w:rPr>
          <w:rFonts w:ascii="Arial" w:hAnsi="Arial" w:cs="Arial"/>
        </w:rPr>
        <w:t>Projekt jest obecnie jednocześnie na etapie uzgodnień, konsultacji publicznych i opiniowania.</w:t>
      </w:r>
    </w:p>
    <w:p w14:paraId="3985D69C" w14:textId="77777777" w:rsidR="004D27A6" w:rsidRPr="000C1FB7" w:rsidRDefault="004D27A6" w:rsidP="000C1FB7">
      <w:pPr>
        <w:spacing w:after="0" w:line="300" w:lineRule="auto"/>
        <w:jc w:val="both"/>
        <w:rPr>
          <w:rFonts w:ascii="Arial" w:hAnsi="Arial" w:cs="Arial"/>
        </w:rPr>
      </w:pPr>
    </w:p>
    <w:p w14:paraId="563E3C00" w14:textId="4D55C86C" w:rsidR="000C1FB7" w:rsidRPr="004368B7" w:rsidRDefault="004368B7" w:rsidP="00E62EC9">
      <w:pPr>
        <w:pStyle w:val="Akapitzlist"/>
        <w:numPr>
          <w:ilvl w:val="0"/>
          <w:numId w:val="4"/>
        </w:numPr>
        <w:spacing w:after="0" w:line="300" w:lineRule="auto"/>
        <w:jc w:val="both"/>
        <w:rPr>
          <w:rFonts w:ascii="Arial" w:hAnsi="Arial" w:cs="Arial"/>
          <w:b/>
          <w:bCs/>
          <w:u w:val="single"/>
        </w:rPr>
      </w:pPr>
      <w:r w:rsidRPr="004368B7">
        <w:rPr>
          <w:rFonts w:ascii="Arial" w:hAnsi="Arial" w:cs="Arial"/>
          <w:b/>
          <w:bCs/>
          <w:u w:val="single"/>
        </w:rPr>
        <w:t>P</w:t>
      </w:r>
      <w:r w:rsidRPr="004368B7">
        <w:rPr>
          <w:rFonts w:ascii="Arial" w:hAnsi="Arial" w:cs="Arial"/>
          <w:b/>
          <w:bCs/>
          <w:u w:val="single"/>
        </w:rPr>
        <w:t xml:space="preserve">rojekt rozporządzenia Ministra Funduszy i Polityki Regionalnej w sprawie udzielania przez Polską Agencję Rozwoju Przedsiębiorczości pomocy finansowej w ramach programu Zielony biznes i innowacje (131).  </w:t>
      </w:r>
    </w:p>
    <w:p w14:paraId="4337264A" w14:textId="77777777" w:rsidR="000C1FB7" w:rsidRDefault="000C1FB7" w:rsidP="000C1FB7">
      <w:pPr>
        <w:spacing w:after="0" w:line="300" w:lineRule="auto"/>
        <w:jc w:val="both"/>
        <w:rPr>
          <w:rFonts w:ascii="Arial" w:hAnsi="Arial" w:cs="Arial"/>
        </w:rPr>
      </w:pPr>
    </w:p>
    <w:p w14:paraId="489B93A6" w14:textId="77777777" w:rsidR="004368B7" w:rsidRPr="004368B7" w:rsidRDefault="004368B7" w:rsidP="004368B7">
      <w:pPr>
        <w:spacing w:after="0" w:line="300" w:lineRule="auto"/>
        <w:jc w:val="both"/>
        <w:rPr>
          <w:rFonts w:ascii="Arial" w:hAnsi="Arial" w:cs="Arial"/>
        </w:rPr>
      </w:pPr>
      <w:r w:rsidRPr="004368B7">
        <w:rPr>
          <w:rFonts w:ascii="Arial" w:hAnsi="Arial" w:cs="Arial"/>
        </w:rPr>
        <w:t xml:space="preserve">W dniu 23 kwietnia 2025 r. między Rzecząpospolitą Polską a Królestwem Norwegii, zostało podpisane Memorandum of </w:t>
      </w:r>
      <w:proofErr w:type="spellStart"/>
      <w:r w:rsidRPr="004368B7">
        <w:rPr>
          <w:rFonts w:ascii="Arial" w:hAnsi="Arial" w:cs="Arial"/>
        </w:rPr>
        <w:t>Understanding</w:t>
      </w:r>
      <w:proofErr w:type="spellEnd"/>
      <w:r w:rsidRPr="004368B7">
        <w:rPr>
          <w:rFonts w:ascii="Arial" w:hAnsi="Arial" w:cs="Arial"/>
        </w:rPr>
        <w:t xml:space="preserve"> w sprawie wdrażania Norweskiego Mechanizmu Finansowego na lata 2021–2028 (M.P. z 2025 r. poz. 773), zwane dalej „</w:t>
      </w:r>
      <w:proofErr w:type="spellStart"/>
      <w:r w:rsidRPr="004368B7">
        <w:rPr>
          <w:rFonts w:ascii="Arial" w:hAnsi="Arial" w:cs="Arial"/>
        </w:rPr>
        <w:t>MoU</w:t>
      </w:r>
      <w:proofErr w:type="spellEnd"/>
      <w:r w:rsidRPr="004368B7">
        <w:rPr>
          <w:rFonts w:ascii="Arial" w:hAnsi="Arial" w:cs="Arial"/>
        </w:rPr>
        <w:t xml:space="preserve">”. W </w:t>
      </w:r>
      <w:proofErr w:type="spellStart"/>
      <w:r w:rsidRPr="004368B7">
        <w:rPr>
          <w:rFonts w:ascii="Arial" w:hAnsi="Arial" w:cs="Arial"/>
        </w:rPr>
        <w:t>MoU</w:t>
      </w:r>
      <w:proofErr w:type="spellEnd"/>
      <w:r w:rsidRPr="004368B7">
        <w:rPr>
          <w:rFonts w:ascii="Arial" w:hAnsi="Arial" w:cs="Arial"/>
        </w:rPr>
        <w:t xml:space="preserve"> postanowiono, że Polska Agencja Rozwoju Przedsiębiorczości będzie pełniła funkcję Operatora Programu „Zielony biznes i innowacje”. Celem programu „Zielony Biznes i innowacje” jest wzrost konkurencyjności w sektorze małych i średnich przedsiębiorstw poprzez zazielenianie procesów produkcyjnych, tworzenie nowych lub ulepszonych produktów i usług przyjaznych środowisku. Obszary wsparcia w ramach programu będą koncentrować się na inwestycjach w rozwój, wdrożenie i komercjalizację zielonych technologii, ekologicznych produktów i usług, ekologicznych procesów.</w:t>
      </w:r>
    </w:p>
    <w:p w14:paraId="137C2E7C" w14:textId="77777777" w:rsidR="004368B7" w:rsidRPr="004368B7" w:rsidRDefault="004368B7" w:rsidP="004368B7">
      <w:pPr>
        <w:spacing w:after="0" w:line="300" w:lineRule="auto"/>
        <w:jc w:val="both"/>
        <w:rPr>
          <w:rFonts w:ascii="Arial" w:hAnsi="Arial" w:cs="Arial"/>
        </w:rPr>
      </w:pPr>
      <w:r w:rsidRPr="004368B7">
        <w:rPr>
          <w:rFonts w:ascii="Arial" w:hAnsi="Arial" w:cs="Arial"/>
        </w:rPr>
        <w:t>Poziom gospodarki obiegu zamkniętego w Polsce jest niższy od średniej unijnej. Stwarza to wyzwania środowiskowe i potrzebę transformacji gospodarczej w kierunku zmniejszenia wpływu przemysłu na środowisko przy jednoczesnym zwiększeniu konkurencyjności. Obecne inwestycje w transformację w obieg zamknięty w Polsce są niewystarczające, dlatego program powinien pomóc wypełnić tę lukę w polskim sektorze prywatnym.</w:t>
      </w:r>
    </w:p>
    <w:p w14:paraId="1E100318" w14:textId="77777777" w:rsidR="004368B7" w:rsidRPr="004368B7" w:rsidRDefault="004368B7" w:rsidP="004368B7">
      <w:pPr>
        <w:spacing w:after="0" w:line="300" w:lineRule="auto"/>
        <w:jc w:val="both"/>
        <w:rPr>
          <w:rFonts w:ascii="Arial" w:hAnsi="Arial" w:cs="Arial"/>
        </w:rPr>
      </w:pPr>
      <w:r w:rsidRPr="004368B7">
        <w:rPr>
          <w:rFonts w:ascii="Arial" w:hAnsi="Arial" w:cs="Arial"/>
        </w:rPr>
        <w:t>Program przyczyni się również do realizacji polityki przemysłowej UE poprzez wspieranie innowacji i zwiększanie skali technologii ekologicznych w MŚP poprzez ułatwianie dostępu do finansowania innowacyjnych rozwiązań ekologicznych. Program będzie wspierał dwojaki cel, tj. transformację ekologiczną i cyfrową, ponieważ wiele zielonych technologii opiera się na narzędziach cyfrowych.</w:t>
      </w:r>
    </w:p>
    <w:p w14:paraId="67538476" w14:textId="77777777" w:rsidR="004368B7" w:rsidRPr="004368B7" w:rsidRDefault="004368B7" w:rsidP="004368B7">
      <w:pPr>
        <w:spacing w:after="0" w:line="300" w:lineRule="auto"/>
        <w:jc w:val="both"/>
        <w:rPr>
          <w:rFonts w:ascii="Arial" w:hAnsi="Arial" w:cs="Arial"/>
        </w:rPr>
      </w:pPr>
      <w:r w:rsidRPr="004368B7">
        <w:rPr>
          <w:rFonts w:ascii="Arial" w:hAnsi="Arial" w:cs="Arial"/>
        </w:rPr>
        <w:t xml:space="preserve">Według Wskaźnika Równouprawnienia Płci za 2024 r. Polska wciąż znajduje się poniżej średniego wyniku UE. Zidentyfikowane dysproporcje dotyczą wskaźników zatrudnienia i tworzą lukę w traktowaniu kobiet i mężczyzn na rynku pracy. Na podstawie raportu Global </w:t>
      </w:r>
      <w:proofErr w:type="spellStart"/>
      <w:r w:rsidRPr="004368B7">
        <w:rPr>
          <w:rFonts w:ascii="Arial" w:hAnsi="Arial" w:cs="Arial"/>
        </w:rPr>
        <w:lastRenderedPageBreak/>
        <w:t>Entrepreneurship</w:t>
      </w:r>
      <w:proofErr w:type="spellEnd"/>
      <w:r w:rsidRPr="004368B7">
        <w:rPr>
          <w:rFonts w:ascii="Arial" w:hAnsi="Arial" w:cs="Arial"/>
        </w:rPr>
        <w:t xml:space="preserve"> Monitor (GEM) 2024 dla Polski, udział kobiet prowadzących startupy wynosi jedynie 85% udziału analogicznej grupy mężczyzn. Program będzie promował i wspierał rozwój przedsiębiorstw z udziałem kobiet, w tym przedsiębiorstw typu start-</w:t>
      </w:r>
      <w:proofErr w:type="spellStart"/>
      <w:r w:rsidRPr="004368B7">
        <w:rPr>
          <w:rFonts w:ascii="Arial" w:hAnsi="Arial" w:cs="Arial"/>
        </w:rPr>
        <w:t>up</w:t>
      </w:r>
      <w:proofErr w:type="spellEnd"/>
      <w:r w:rsidRPr="004368B7">
        <w:rPr>
          <w:rFonts w:ascii="Arial" w:hAnsi="Arial" w:cs="Arial"/>
        </w:rPr>
        <w:t xml:space="preserve"> w zielonej gospodarce. Program będzie wspierał MŚP z udziałem kobiet w doskonaleniu ich umiejętności biznesowych i promowaniu ducha przedsiębiorczości. Promowanie udziału kobiet przedsiębiorców w transformacji ekologicznej i cyfrowej polskiej gospodarki będzie miało pozytywny wpływ nie tylko na równowagę płci w przedsiębiorstwach i start-</w:t>
      </w:r>
      <w:proofErr w:type="spellStart"/>
      <w:r w:rsidRPr="004368B7">
        <w:rPr>
          <w:rFonts w:ascii="Arial" w:hAnsi="Arial" w:cs="Arial"/>
        </w:rPr>
        <w:t>upach</w:t>
      </w:r>
      <w:proofErr w:type="spellEnd"/>
      <w:r w:rsidRPr="004368B7">
        <w:rPr>
          <w:rFonts w:ascii="Arial" w:hAnsi="Arial" w:cs="Arial"/>
        </w:rPr>
        <w:t xml:space="preserve">, ale także przyczyni się do budowania bardziej </w:t>
      </w:r>
      <w:proofErr w:type="spellStart"/>
      <w:r w:rsidRPr="004368B7">
        <w:rPr>
          <w:rFonts w:ascii="Arial" w:hAnsi="Arial" w:cs="Arial"/>
        </w:rPr>
        <w:t>inkluzywnego</w:t>
      </w:r>
      <w:proofErr w:type="spellEnd"/>
      <w:r w:rsidRPr="004368B7">
        <w:rPr>
          <w:rFonts w:ascii="Arial" w:hAnsi="Arial" w:cs="Arial"/>
        </w:rPr>
        <w:t xml:space="preserve"> społeczeństwa.</w:t>
      </w:r>
    </w:p>
    <w:p w14:paraId="0A0D8D6B" w14:textId="77777777" w:rsidR="004368B7" w:rsidRPr="004368B7" w:rsidRDefault="004368B7" w:rsidP="004368B7">
      <w:pPr>
        <w:spacing w:after="0" w:line="300" w:lineRule="auto"/>
        <w:jc w:val="both"/>
        <w:rPr>
          <w:rFonts w:ascii="Arial" w:hAnsi="Arial" w:cs="Arial"/>
        </w:rPr>
      </w:pPr>
      <w:r w:rsidRPr="004368B7">
        <w:rPr>
          <w:rFonts w:ascii="Arial" w:hAnsi="Arial" w:cs="Arial"/>
        </w:rPr>
        <w:t>Ponadto program ma na celu stymulowanie i rozwijanie współpracy między Polską a Norwegią poprzez projekty/inicjatywy dwustronne.</w:t>
      </w:r>
    </w:p>
    <w:p w14:paraId="44F70096" w14:textId="77777777" w:rsidR="004368B7" w:rsidRPr="004368B7" w:rsidRDefault="004368B7" w:rsidP="004368B7">
      <w:pPr>
        <w:spacing w:after="0" w:line="300" w:lineRule="auto"/>
        <w:jc w:val="both"/>
        <w:rPr>
          <w:rFonts w:ascii="Arial" w:hAnsi="Arial" w:cs="Arial"/>
        </w:rPr>
      </w:pPr>
      <w:r w:rsidRPr="004368B7">
        <w:rPr>
          <w:rFonts w:ascii="Arial" w:hAnsi="Arial" w:cs="Arial"/>
        </w:rPr>
        <w:t>Rekomendowanym rozwiązaniem jest wydanie rozporządzenia, które będzie stanowiło podstawę prawną udzielania przez PARP pomocy finansowej MŚP (w tym MŚP, które są zarządzane lub współzarządzane przez kobiety i które są jednocześnie ich właścicielkami lub współwłaścicielkami), podmiotom działającym na rzecz rozwoju gospodarczego oraz podmiotom działającym na rzecz innowacyjności.</w:t>
      </w:r>
    </w:p>
    <w:p w14:paraId="52DE559B" w14:textId="7EFA5F07" w:rsidR="004368B7" w:rsidRPr="004368B7" w:rsidRDefault="004368B7" w:rsidP="004368B7">
      <w:pPr>
        <w:spacing w:after="0" w:line="300" w:lineRule="auto"/>
        <w:jc w:val="both"/>
        <w:rPr>
          <w:rFonts w:ascii="Arial" w:hAnsi="Arial" w:cs="Arial"/>
        </w:rPr>
      </w:pPr>
      <w:r w:rsidRPr="004368B7">
        <w:rPr>
          <w:rFonts w:ascii="Arial" w:hAnsi="Arial" w:cs="Arial"/>
        </w:rPr>
        <w:t xml:space="preserve">Projekty objęte pomocą publiczną/pomocą de </w:t>
      </w:r>
      <w:proofErr w:type="spellStart"/>
      <w:r w:rsidRPr="004368B7">
        <w:rPr>
          <w:rFonts w:ascii="Arial" w:hAnsi="Arial" w:cs="Arial"/>
        </w:rPr>
        <w:t>minimis</w:t>
      </w:r>
      <w:proofErr w:type="spellEnd"/>
      <w:r w:rsidRPr="004368B7">
        <w:rPr>
          <w:rFonts w:ascii="Arial" w:hAnsi="Arial" w:cs="Arial"/>
        </w:rPr>
        <w:t xml:space="preserve"> będą miały charakter inwestycyjny. Na podstawie rozporządzenia możliwe będzie również pokrycie kosztów usług świadczonych w ramach programu akceleracyjnego, a także udzielenie wsparcia na rozwój współpracy dwustronnej między podmiotami polskimi i norweskimi. W przypadku zwiększenia budżetu na działania bilateralne możliwe będzie przeznaczenie środków na organizację konkursu dedykowanego polskim i norweskim przedsiębiorcom, którego celem będzie udzielenie wsparcia w formie tzw. </w:t>
      </w:r>
      <w:proofErr w:type="spellStart"/>
      <w:r w:rsidRPr="004368B7">
        <w:rPr>
          <w:rFonts w:ascii="Arial" w:hAnsi="Arial" w:cs="Arial"/>
        </w:rPr>
        <w:t>travel</w:t>
      </w:r>
      <w:proofErr w:type="spellEnd"/>
      <w:r w:rsidRPr="004368B7">
        <w:rPr>
          <w:rFonts w:ascii="Arial" w:hAnsi="Arial" w:cs="Arial"/>
        </w:rPr>
        <w:t xml:space="preserve"> grantów na udział w wydarzeniach organizowanych w Polsce i Norwegii, w tym targach i misjach gospodarczych. Realizacja i budżet na </w:t>
      </w:r>
      <w:proofErr w:type="spellStart"/>
      <w:r w:rsidRPr="004368B7">
        <w:rPr>
          <w:rFonts w:ascii="Arial" w:hAnsi="Arial" w:cs="Arial"/>
        </w:rPr>
        <w:t>travel</w:t>
      </w:r>
      <w:proofErr w:type="spellEnd"/>
      <w:r w:rsidRPr="004368B7">
        <w:rPr>
          <w:rFonts w:ascii="Arial" w:hAnsi="Arial" w:cs="Arial"/>
        </w:rPr>
        <w:t xml:space="preserve"> granty uzależnione będą od decyzji Komitetu Współpracy, o którym mowa w Regulacjach w sprawie wdrażania Norweskiego Mechanizmu Finansowego na lata 2021–2028 (dokument dostępny na stronie </w:t>
      </w:r>
      <w:hyperlink r:id="rId9" w:history="1">
        <w:r w:rsidRPr="005A2409">
          <w:rPr>
            <w:rStyle w:val="Hipercze"/>
            <w:rFonts w:ascii="Arial" w:hAnsi="Arial" w:cs="Arial"/>
          </w:rPr>
          <w:t>https://eeagrants.org/pl/poland/podstawy-prawne</w:t>
        </w:r>
      </w:hyperlink>
      <w:r w:rsidRPr="004368B7">
        <w:rPr>
          <w:rFonts w:ascii="Arial" w:hAnsi="Arial" w:cs="Arial"/>
        </w:rPr>
        <w:t xml:space="preserve">). </w:t>
      </w:r>
    </w:p>
    <w:p w14:paraId="18A7534E" w14:textId="3686F05A" w:rsidR="000C1FB7" w:rsidRDefault="004368B7" w:rsidP="004368B7">
      <w:pPr>
        <w:spacing w:after="0" w:line="300" w:lineRule="auto"/>
        <w:jc w:val="both"/>
        <w:rPr>
          <w:rFonts w:ascii="Arial" w:hAnsi="Arial" w:cs="Arial"/>
        </w:rPr>
      </w:pPr>
      <w:r w:rsidRPr="004368B7">
        <w:rPr>
          <w:rFonts w:ascii="Arial" w:hAnsi="Arial" w:cs="Arial"/>
        </w:rPr>
        <w:t>Osiągnięcie celów projektów w wyniku podjęcia działań innych niż legislacyjne nie jest możliwe.</w:t>
      </w:r>
    </w:p>
    <w:p w14:paraId="6688AF62" w14:textId="77777777" w:rsidR="000C1FB7" w:rsidRDefault="000C1FB7" w:rsidP="000C1FB7">
      <w:pPr>
        <w:spacing w:after="0" w:line="300" w:lineRule="auto"/>
        <w:jc w:val="both"/>
        <w:rPr>
          <w:rFonts w:ascii="Arial" w:hAnsi="Arial" w:cs="Arial"/>
        </w:rPr>
      </w:pPr>
    </w:p>
    <w:p w14:paraId="46E25893" w14:textId="77777777" w:rsidR="004368B7" w:rsidRPr="004368B7" w:rsidRDefault="004368B7" w:rsidP="004368B7">
      <w:pPr>
        <w:spacing w:after="0" w:line="300" w:lineRule="auto"/>
        <w:jc w:val="both"/>
        <w:rPr>
          <w:rFonts w:ascii="Arial" w:hAnsi="Arial" w:cs="Arial"/>
        </w:rPr>
      </w:pPr>
      <w:r w:rsidRPr="004368B7">
        <w:rPr>
          <w:rFonts w:ascii="Arial" w:hAnsi="Arial" w:cs="Arial"/>
        </w:rPr>
        <w:t>Przedmiotowy projekt aktu prawnego wraz z Uzasadnieniem oraz Oceną Skutków Regulacji dostępny jest na stronach Rządowego Centrum Legislacji pod adresem:</w:t>
      </w:r>
    </w:p>
    <w:p w14:paraId="72CE8C98" w14:textId="3CC4338B" w:rsidR="004368B7" w:rsidRDefault="004368B7" w:rsidP="004368B7">
      <w:pPr>
        <w:spacing w:after="0" w:line="300" w:lineRule="auto"/>
        <w:jc w:val="both"/>
        <w:rPr>
          <w:rFonts w:ascii="Arial" w:hAnsi="Arial" w:cs="Arial"/>
        </w:rPr>
      </w:pPr>
      <w:hyperlink r:id="rId10" w:history="1">
        <w:r w:rsidRPr="005A2409">
          <w:rPr>
            <w:rStyle w:val="Hipercze"/>
            <w:rFonts w:ascii="Arial" w:hAnsi="Arial" w:cs="Arial"/>
          </w:rPr>
          <w:t>https://legislacja.rcl.gov.pl/projekt/12409753/katalog</w:t>
        </w:r>
        <w:r w:rsidRPr="005A2409">
          <w:rPr>
            <w:rStyle w:val="Hipercze"/>
            <w:rFonts w:ascii="Arial" w:hAnsi="Arial" w:cs="Arial"/>
          </w:rPr>
          <w:t>/</w:t>
        </w:r>
        <w:r w:rsidRPr="005A2409">
          <w:rPr>
            <w:rStyle w:val="Hipercze"/>
            <w:rFonts w:ascii="Arial" w:hAnsi="Arial" w:cs="Arial"/>
          </w:rPr>
          <w:t>13200667#13200667</w:t>
        </w:r>
      </w:hyperlink>
      <w:r>
        <w:rPr>
          <w:rFonts w:ascii="Arial" w:hAnsi="Arial" w:cs="Arial"/>
        </w:rPr>
        <w:t xml:space="preserve"> </w:t>
      </w:r>
    </w:p>
    <w:p w14:paraId="59FDB120" w14:textId="77777777" w:rsidR="004368B7" w:rsidRDefault="004368B7" w:rsidP="000C1FB7">
      <w:pPr>
        <w:spacing w:after="0" w:line="300" w:lineRule="auto"/>
        <w:jc w:val="both"/>
        <w:rPr>
          <w:rFonts w:ascii="Arial" w:hAnsi="Arial" w:cs="Arial"/>
        </w:rPr>
      </w:pPr>
    </w:p>
    <w:p w14:paraId="4B5B8CF0" w14:textId="37175DBD" w:rsidR="004368B7" w:rsidRDefault="004368B7" w:rsidP="000C1FB7">
      <w:pPr>
        <w:spacing w:after="0" w:line="300" w:lineRule="auto"/>
        <w:jc w:val="both"/>
        <w:rPr>
          <w:rFonts w:ascii="Arial" w:hAnsi="Arial" w:cs="Arial"/>
        </w:rPr>
      </w:pPr>
      <w:r w:rsidRPr="004368B7">
        <w:rPr>
          <w:rFonts w:ascii="Arial" w:hAnsi="Arial" w:cs="Arial"/>
        </w:rPr>
        <w:t>Projekt jest obecnie jednocześnie na etapie uzgodnień, konsultacji publicznych i opiniowania.</w:t>
      </w:r>
    </w:p>
    <w:p w14:paraId="71D8A285" w14:textId="77777777" w:rsidR="004368B7" w:rsidRPr="000C1FB7" w:rsidRDefault="004368B7" w:rsidP="000C1FB7">
      <w:pPr>
        <w:spacing w:after="0" w:line="300" w:lineRule="auto"/>
        <w:jc w:val="both"/>
        <w:rPr>
          <w:rFonts w:ascii="Arial" w:hAnsi="Arial" w:cs="Arial"/>
        </w:rPr>
      </w:pPr>
    </w:p>
    <w:p w14:paraId="6C65BA37" w14:textId="0A979CDB" w:rsidR="00E62EC9" w:rsidRPr="004368B7" w:rsidRDefault="004368B7" w:rsidP="00E62EC9">
      <w:pPr>
        <w:pStyle w:val="Akapitzlist"/>
        <w:numPr>
          <w:ilvl w:val="0"/>
          <w:numId w:val="4"/>
        </w:numPr>
        <w:spacing w:after="0" w:line="300" w:lineRule="auto"/>
        <w:jc w:val="both"/>
        <w:rPr>
          <w:rFonts w:ascii="Arial" w:hAnsi="Arial" w:cs="Arial"/>
          <w:b/>
          <w:bCs/>
          <w:u w:val="single"/>
        </w:rPr>
      </w:pPr>
      <w:r w:rsidRPr="004368B7">
        <w:rPr>
          <w:rFonts w:ascii="Arial" w:hAnsi="Arial" w:cs="Arial"/>
          <w:b/>
          <w:bCs/>
          <w:u w:val="single"/>
        </w:rPr>
        <w:t>P</w:t>
      </w:r>
      <w:r w:rsidRPr="004368B7">
        <w:rPr>
          <w:rFonts w:ascii="Arial" w:hAnsi="Arial" w:cs="Arial"/>
          <w:b/>
          <w:bCs/>
          <w:u w:val="single"/>
        </w:rPr>
        <w:t>rojekt rozporządzenia Ministra Finansów i Gospodarki w sprawie wykazu uzbrojenia, na obrót którym jest wymagane zezwolenie (MFiG52).</w:t>
      </w:r>
    </w:p>
    <w:p w14:paraId="15A5C7F2" w14:textId="77777777" w:rsidR="00E62EC9" w:rsidRDefault="00E62EC9" w:rsidP="00E62EC9">
      <w:pPr>
        <w:spacing w:after="0" w:line="300" w:lineRule="auto"/>
        <w:jc w:val="both"/>
        <w:rPr>
          <w:rFonts w:ascii="Arial" w:hAnsi="Arial" w:cs="Arial"/>
        </w:rPr>
      </w:pPr>
    </w:p>
    <w:p w14:paraId="23270FDC" w14:textId="77777777" w:rsidR="004368B7" w:rsidRPr="004368B7" w:rsidRDefault="004368B7" w:rsidP="004368B7">
      <w:pPr>
        <w:spacing w:after="0" w:line="300" w:lineRule="auto"/>
        <w:jc w:val="both"/>
        <w:rPr>
          <w:rFonts w:ascii="Arial" w:hAnsi="Arial" w:cs="Arial"/>
        </w:rPr>
      </w:pPr>
      <w:r w:rsidRPr="004368B7">
        <w:rPr>
          <w:rFonts w:ascii="Arial" w:hAnsi="Arial" w:cs="Arial"/>
        </w:rPr>
        <w:t>Państwa członkowskie Unii Europejskiej (UE) są obowiązane zapewnić, by ich przepisy krajowe umożliwiały im kontrolę wywozu technologii i sprzętu znajdującego się we wspólnym wykazie uzbrojenia Unii Europejskiej przyjętym przez Radę w dniu 24 lutego 2025 r. (sprzęt objęty wspólnym stanowiskiem Rady 2008/944/</w:t>
      </w:r>
      <w:proofErr w:type="spellStart"/>
      <w:r w:rsidRPr="004368B7">
        <w:rPr>
          <w:rFonts w:ascii="Arial" w:hAnsi="Arial" w:cs="Arial"/>
        </w:rPr>
        <w:t>WPZiB</w:t>
      </w:r>
      <w:proofErr w:type="spellEnd"/>
      <w:r w:rsidRPr="004368B7">
        <w:rPr>
          <w:rFonts w:ascii="Arial" w:hAnsi="Arial" w:cs="Arial"/>
        </w:rPr>
        <w:t xml:space="preserve"> określającym wspólne zasady kontroli wywozu technologii wojskowych i sprzętu wojskowego) (Dz. Urz. UE C/2025/1499 z 6.03.2025) oraz kontrolę transferów wewnątrzunijnych w zakresie uzbrojenia określonego w </w:t>
      </w:r>
      <w:r w:rsidRPr="004368B7">
        <w:rPr>
          <w:rFonts w:ascii="Arial" w:hAnsi="Arial" w:cs="Arial"/>
        </w:rPr>
        <w:lastRenderedPageBreak/>
        <w:t xml:space="preserve">wykazie produktów związanych z obronnością. Wykaz ten zawiera minimalny zakres sprzętu i technologii, który podlega rygorowi uzyskania zezwolenia na daną formę obrotu. </w:t>
      </w:r>
    </w:p>
    <w:p w14:paraId="2C982764" w14:textId="77777777" w:rsidR="004368B7" w:rsidRPr="004368B7" w:rsidRDefault="004368B7" w:rsidP="004368B7">
      <w:pPr>
        <w:spacing w:after="0" w:line="300" w:lineRule="auto"/>
        <w:jc w:val="both"/>
        <w:rPr>
          <w:rFonts w:ascii="Arial" w:hAnsi="Arial" w:cs="Arial"/>
        </w:rPr>
      </w:pPr>
      <w:r w:rsidRPr="004368B7">
        <w:rPr>
          <w:rFonts w:ascii="Arial" w:hAnsi="Arial" w:cs="Arial"/>
        </w:rPr>
        <w:t>Wykaz dzieli sprzęt na 22 kategorie (</w:t>
      </w:r>
      <w:proofErr w:type="spellStart"/>
      <w:r w:rsidRPr="004368B7">
        <w:rPr>
          <w:rFonts w:ascii="Arial" w:hAnsi="Arial" w:cs="Arial"/>
        </w:rPr>
        <w:t>Military</w:t>
      </w:r>
      <w:proofErr w:type="spellEnd"/>
      <w:r w:rsidRPr="004368B7">
        <w:rPr>
          <w:rFonts w:ascii="Arial" w:hAnsi="Arial" w:cs="Arial"/>
        </w:rPr>
        <w:t xml:space="preserve"> List – ML).</w:t>
      </w:r>
    </w:p>
    <w:p w14:paraId="642BF135" w14:textId="77777777" w:rsidR="004368B7" w:rsidRPr="004368B7" w:rsidRDefault="004368B7" w:rsidP="004368B7">
      <w:pPr>
        <w:spacing w:after="0" w:line="300" w:lineRule="auto"/>
        <w:jc w:val="both"/>
        <w:rPr>
          <w:rFonts w:ascii="Arial" w:hAnsi="Arial" w:cs="Arial"/>
        </w:rPr>
      </w:pPr>
      <w:r w:rsidRPr="004368B7">
        <w:rPr>
          <w:rFonts w:ascii="Arial" w:hAnsi="Arial" w:cs="Arial"/>
        </w:rPr>
        <w:t>Zobowiązanie to jest realizowane przez Rzeczpospolitą Polską przez określenie wykazu uzbrojenia, odpowiednio w załączniku nr 1 i 3 do rozporządzenia wydawanego przez ministra właściwego do spraw gospodarki w sprawie wykazu uzbrojenia, na obrót którym jest wymagane zezwolenie, zgodnego ze wspólnym wykazem uzbrojenia Unii Europejskiej przyjętym przez Radę w dniu 24 lutego 2025 r.</w:t>
      </w:r>
    </w:p>
    <w:p w14:paraId="04D15BD8" w14:textId="77777777" w:rsidR="004368B7" w:rsidRPr="004368B7" w:rsidRDefault="004368B7" w:rsidP="004368B7">
      <w:pPr>
        <w:spacing w:after="0" w:line="300" w:lineRule="auto"/>
        <w:jc w:val="both"/>
        <w:rPr>
          <w:rFonts w:ascii="Arial" w:hAnsi="Arial" w:cs="Arial"/>
        </w:rPr>
      </w:pPr>
      <w:r w:rsidRPr="004368B7">
        <w:rPr>
          <w:rFonts w:ascii="Arial" w:hAnsi="Arial" w:cs="Arial"/>
        </w:rPr>
        <w:t xml:space="preserve">Z uwagi na fakt przyjęcia zmienionego wspólnego wykazu uzbrojenia UE, a następnie dyrektywy delegowanej Komisji (UE) 2026/325 z dnia 27 października 2025 r., zmieniającej dyrektywę Parlamentu Europejskiego i Rady 2009/43/WE w odniesieniu do aktualizacji wykazu produktów związanych z obronnością zgodnie ze zaktualizowanym wspólnym wykazem uzbrojenia Unii Europejskiej z dnia 24 lutego 2025 r. (Dz. Urz. UE L 2026/325 z 18.02.2026), zwanej dalej „dyrektywą”, jest konieczne wydanie aktu prawnego w celu wdrożenia dyrektywy do przepisów krajowych, dotyczących kontroli wywozu uzbrojenia przez wydanie nowego rozporządzenia, które będzie zawierało zaktualizowane, w porównaniu do brzmienia rozporządzenia Ministra Rozwoju i Technologii z dnia 29 maja 2025 r. w sprawie wykazu uzbrojenia, na obrót którym jest wymagane </w:t>
      </w:r>
    </w:p>
    <w:p w14:paraId="6EBD1BEC" w14:textId="77777777" w:rsidR="004368B7" w:rsidRPr="004368B7" w:rsidRDefault="004368B7" w:rsidP="004368B7">
      <w:pPr>
        <w:spacing w:after="0" w:line="300" w:lineRule="auto"/>
        <w:jc w:val="both"/>
        <w:rPr>
          <w:rFonts w:ascii="Arial" w:hAnsi="Arial" w:cs="Arial"/>
        </w:rPr>
      </w:pPr>
      <w:r w:rsidRPr="004368B7">
        <w:rPr>
          <w:rFonts w:ascii="Arial" w:hAnsi="Arial" w:cs="Arial"/>
        </w:rPr>
        <w:t xml:space="preserve">zezwolenie (Dz. U. poz. 736), załączniki nr 1 i 3. Zmiany w dużej mierze są zmianami redakcyjnymi </w:t>
      </w:r>
    </w:p>
    <w:p w14:paraId="67E51E40" w14:textId="77777777" w:rsidR="004368B7" w:rsidRPr="004368B7" w:rsidRDefault="004368B7" w:rsidP="004368B7">
      <w:pPr>
        <w:spacing w:after="0" w:line="300" w:lineRule="auto"/>
        <w:jc w:val="both"/>
        <w:rPr>
          <w:rFonts w:ascii="Arial" w:hAnsi="Arial" w:cs="Arial"/>
        </w:rPr>
      </w:pPr>
      <w:r w:rsidRPr="004368B7">
        <w:rPr>
          <w:rFonts w:ascii="Arial" w:hAnsi="Arial" w:cs="Arial"/>
        </w:rPr>
        <w:t>i technicznymi, zapewniającymi spójność brzmienia rozporządzenia z ww. aktami unijnymi.</w:t>
      </w:r>
    </w:p>
    <w:p w14:paraId="5BC65E48" w14:textId="77777777" w:rsidR="004368B7" w:rsidRPr="004368B7" w:rsidRDefault="004368B7" w:rsidP="004368B7">
      <w:pPr>
        <w:spacing w:after="0" w:line="300" w:lineRule="auto"/>
        <w:jc w:val="both"/>
        <w:rPr>
          <w:rFonts w:ascii="Arial" w:hAnsi="Arial" w:cs="Arial"/>
        </w:rPr>
      </w:pPr>
      <w:r w:rsidRPr="004368B7">
        <w:rPr>
          <w:rFonts w:ascii="Arial" w:hAnsi="Arial" w:cs="Arial"/>
        </w:rPr>
        <w:t xml:space="preserve">W związku z koniecznością wdrożenia dyrektywy jest niezbędne wydanie przez Ministra Finansów i Gospodarki rozporządzenia w sprawie wykazu uzbrojenia, na obrót którym jest wymagane zezwolenie zawierającego załączniki, które będą zgodne z dyrektywą. Załączniki nr 1 i nr 3 do rozporządzenia zostały opracowane w taki sposób, aby były zgodne z dyrektywą oraz ze Wspólnym Wykazem Uzbrojenia UE. </w:t>
      </w:r>
    </w:p>
    <w:p w14:paraId="70160050" w14:textId="641BD29C" w:rsidR="004368B7" w:rsidRDefault="004368B7" w:rsidP="004368B7">
      <w:pPr>
        <w:spacing w:after="0" w:line="300" w:lineRule="auto"/>
        <w:jc w:val="both"/>
        <w:rPr>
          <w:rFonts w:ascii="Arial" w:hAnsi="Arial" w:cs="Arial"/>
        </w:rPr>
      </w:pPr>
      <w:r w:rsidRPr="004368B7">
        <w:rPr>
          <w:rFonts w:ascii="Arial" w:hAnsi="Arial" w:cs="Arial"/>
        </w:rPr>
        <w:t xml:space="preserve">Efektem będzie wywiązanie się przez Rzeczpospolitą Polską ze zobowiązań międzynarodowych, wynikających z uczestnictwa w Porozumieniu z </w:t>
      </w:r>
      <w:proofErr w:type="spellStart"/>
      <w:r w:rsidRPr="004368B7">
        <w:rPr>
          <w:rFonts w:ascii="Arial" w:hAnsi="Arial" w:cs="Arial"/>
        </w:rPr>
        <w:t>Wassenaar</w:t>
      </w:r>
      <w:proofErr w:type="spellEnd"/>
      <w:r w:rsidRPr="004368B7">
        <w:rPr>
          <w:rFonts w:ascii="Arial" w:hAnsi="Arial" w:cs="Arial"/>
        </w:rPr>
        <w:t xml:space="preserve"> i członkostwa w UE.</w:t>
      </w:r>
    </w:p>
    <w:p w14:paraId="2DA9FA84" w14:textId="77777777" w:rsidR="004368B7" w:rsidRDefault="004368B7" w:rsidP="004368B7">
      <w:pPr>
        <w:spacing w:after="0" w:line="300" w:lineRule="auto"/>
        <w:jc w:val="both"/>
        <w:rPr>
          <w:rFonts w:ascii="Arial" w:hAnsi="Arial" w:cs="Arial"/>
        </w:rPr>
      </w:pPr>
    </w:p>
    <w:p w14:paraId="2811B2DC" w14:textId="77777777" w:rsidR="004368B7" w:rsidRPr="004368B7" w:rsidRDefault="004368B7" w:rsidP="004368B7">
      <w:pPr>
        <w:spacing w:after="0" w:line="300" w:lineRule="auto"/>
        <w:jc w:val="both"/>
        <w:rPr>
          <w:rFonts w:ascii="Arial" w:hAnsi="Arial" w:cs="Arial"/>
        </w:rPr>
      </w:pPr>
      <w:r w:rsidRPr="004368B7">
        <w:rPr>
          <w:rFonts w:ascii="Arial" w:hAnsi="Arial" w:cs="Arial"/>
        </w:rPr>
        <w:t>Przedmiotowy projekt aktu prawnego wraz z załącznikami (szt. 3), Uzasadnieniem oraz Oceną Skutków Regulacji dostępny jest na stronach Rządowego Centrum Legislacji pod adresem:</w:t>
      </w:r>
    </w:p>
    <w:p w14:paraId="2AEA9051" w14:textId="2B9D3AC7" w:rsidR="004368B7" w:rsidRDefault="004368B7" w:rsidP="004368B7">
      <w:pPr>
        <w:spacing w:after="0" w:line="300" w:lineRule="auto"/>
        <w:jc w:val="both"/>
        <w:rPr>
          <w:rFonts w:ascii="Arial" w:hAnsi="Arial" w:cs="Arial"/>
        </w:rPr>
      </w:pPr>
      <w:hyperlink r:id="rId11" w:history="1">
        <w:r w:rsidRPr="005A2409">
          <w:rPr>
            <w:rStyle w:val="Hipercze"/>
            <w:rFonts w:ascii="Arial" w:hAnsi="Arial" w:cs="Arial"/>
          </w:rPr>
          <w:t>https://legislacja.rcl.gov.pl/projekt/1</w:t>
        </w:r>
        <w:r w:rsidRPr="005A2409">
          <w:rPr>
            <w:rStyle w:val="Hipercze"/>
            <w:rFonts w:ascii="Arial" w:hAnsi="Arial" w:cs="Arial"/>
          </w:rPr>
          <w:t>2</w:t>
        </w:r>
        <w:r w:rsidRPr="005A2409">
          <w:rPr>
            <w:rStyle w:val="Hipercze"/>
            <w:rFonts w:ascii="Arial" w:hAnsi="Arial" w:cs="Arial"/>
          </w:rPr>
          <w:t>4</w:t>
        </w:r>
        <w:r w:rsidRPr="005A2409">
          <w:rPr>
            <w:rStyle w:val="Hipercze"/>
            <w:rFonts w:ascii="Arial" w:hAnsi="Arial" w:cs="Arial"/>
          </w:rPr>
          <w:t>09754/katalog/13200710#13200710</w:t>
        </w:r>
      </w:hyperlink>
      <w:r>
        <w:rPr>
          <w:rFonts w:ascii="Arial" w:hAnsi="Arial" w:cs="Arial"/>
        </w:rPr>
        <w:t xml:space="preserve"> </w:t>
      </w:r>
    </w:p>
    <w:p w14:paraId="767C03A6" w14:textId="77777777" w:rsidR="004368B7" w:rsidRDefault="004368B7" w:rsidP="004368B7">
      <w:pPr>
        <w:spacing w:after="0" w:line="300" w:lineRule="auto"/>
        <w:jc w:val="both"/>
        <w:rPr>
          <w:rFonts w:ascii="Arial" w:hAnsi="Arial" w:cs="Arial"/>
        </w:rPr>
      </w:pPr>
    </w:p>
    <w:p w14:paraId="066DF7F4" w14:textId="041CD115" w:rsidR="004368B7" w:rsidRPr="00042C7F" w:rsidRDefault="004368B7" w:rsidP="004368B7">
      <w:pPr>
        <w:spacing w:after="0" w:line="300" w:lineRule="auto"/>
        <w:jc w:val="both"/>
        <w:rPr>
          <w:rFonts w:ascii="Arial" w:hAnsi="Arial" w:cs="Arial"/>
        </w:rPr>
      </w:pPr>
      <w:r w:rsidRPr="004368B7">
        <w:rPr>
          <w:rFonts w:ascii="Arial" w:hAnsi="Arial" w:cs="Arial"/>
        </w:rPr>
        <w:t>Projekt jest obecnie jednocześnie na etapie uzgodnień</w:t>
      </w:r>
      <w:r>
        <w:rPr>
          <w:rFonts w:ascii="Arial" w:hAnsi="Arial" w:cs="Arial"/>
        </w:rPr>
        <w:t xml:space="preserve"> i</w:t>
      </w:r>
      <w:r w:rsidRPr="004368B7">
        <w:rPr>
          <w:rFonts w:ascii="Arial" w:hAnsi="Arial" w:cs="Arial"/>
        </w:rPr>
        <w:t xml:space="preserve"> konsultacji publicznych.</w:t>
      </w:r>
    </w:p>
    <w:p w14:paraId="13F43B0D" w14:textId="77777777" w:rsidR="00E62EC9" w:rsidRDefault="00E62EC9" w:rsidP="00E62EC9">
      <w:pPr>
        <w:spacing w:after="0" w:line="300" w:lineRule="auto"/>
        <w:jc w:val="both"/>
        <w:rPr>
          <w:rFonts w:ascii="Arial" w:hAnsi="Arial" w:cs="Arial"/>
        </w:rPr>
      </w:pPr>
    </w:p>
    <w:p w14:paraId="3345F6B6" w14:textId="77777777" w:rsidR="00E62EC9" w:rsidRPr="00CB4A6E" w:rsidRDefault="00E62EC9" w:rsidP="00E62EC9">
      <w:pPr>
        <w:spacing w:after="0" w:line="300" w:lineRule="auto"/>
        <w:rPr>
          <w:rFonts w:ascii="Arial" w:hAnsi="Arial" w:cs="Arial"/>
        </w:rPr>
      </w:pPr>
    </w:p>
    <w:p w14:paraId="1E168381" w14:textId="77777777" w:rsidR="00E62EC9" w:rsidRDefault="00E62EC9" w:rsidP="00E62EC9">
      <w:pPr>
        <w:spacing w:after="0" w:line="300" w:lineRule="auto"/>
        <w:jc w:val="both"/>
        <w:rPr>
          <w:rFonts w:ascii="Arial" w:hAnsi="Arial" w:cs="Arial"/>
          <w:b/>
        </w:rPr>
      </w:pPr>
      <w:r>
        <w:rPr>
          <w:rFonts w:ascii="Arial" w:hAnsi="Arial" w:cs="Arial"/>
          <w:b/>
        </w:rPr>
        <w:t>II. Ogłoszone akty prawne (Dziennik Ustaw RP)</w:t>
      </w:r>
    </w:p>
    <w:p w14:paraId="60BFA81B" w14:textId="77777777" w:rsidR="00E62EC9" w:rsidRDefault="00E62EC9" w:rsidP="00E62EC9">
      <w:pPr>
        <w:spacing w:after="0" w:line="300" w:lineRule="auto"/>
        <w:jc w:val="both"/>
        <w:rPr>
          <w:rFonts w:ascii="Arial" w:hAnsi="Arial" w:cs="Arial"/>
        </w:rPr>
      </w:pPr>
    </w:p>
    <w:p w14:paraId="100CAF1A" w14:textId="59483C19" w:rsidR="00E62EC9" w:rsidRDefault="00E62EC9" w:rsidP="000C54ED">
      <w:pPr>
        <w:spacing w:after="0" w:line="300" w:lineRule="auto"/>
        <w:jc w:val="both"/>
        <w:rPr>
          <w:rFonts w:ascii="Arial" w:hAnsi="Arial" w:cs="Arial"/>
        </w:rPr>
      </w:pPr>
      <w:r>
        <w:rPr>
          <w:rFonts w:ascii="Arial" w:hAnsi="Arial" w:cs="Arial"/>
        </w:rPr>
        <w:t xml:space="preserve">W analizowanym okresie ogłoszono </w:t>
      </w:r>
      <w:r w:rsidR="00020A89">
        <w:rPr>
          <w:rFonts w:ascii="Arial" w:hAnsi="Arial" w:cs="Arial"/>
        </w:rPr>
        <w:t>34</w:t>
      </w:r>
      <w:r>
        <w:rPr>
          <w:rFonts w:ascii="Arial" w:hAnsi="Arial" w:cs="Arial"/>
        </w:rPr>
        <w:t xml:space="preserve"> akt</w:t>
      </w:r>
      <w:r w:rsidR="00020A89">
        <w:rPr>
          <w:rFonts w:ascii="Arial" w:hAnsi="Arial" w:cs="Arial"/>
        </w:rPr>
        <w:t>y</w:t>
      </w:r>
      <w:r>
        <w:rPr>
          <w:rFonts w:ascii="Arial" w:hAnsi="Arial" w:cs="Arial"/>
        </w:rPr>
        <w:t xml:space="preserve"> prawn</w:t>
      </w:r>
      <w:r w:rsidR="00020A89">
        <w:rPr>
          <w:rFonts w:ascii="Arial" w:hAnsi="Arial" w:cs="Arial"/>
        </w:rPr>
        <w:t>e</w:t>
      </w:r>
      <w:r>
        <w:rPr>
          <w:rFonts w:ascii="Arial" w:hAnsi="Arial" w:cs="Arial"/>
        </w:rPr>
        <w:t xml:space="preserve">, tzn. ustawy, rozporządzenia Rady Ministrów, Prezesa Rady Ministrów i poszczególnych ministrów, obwieszczenia w sprawie ogłoszenia tekstu jednolitego. </w:t>
      </w:r>
    </w:p>
    <w:p w14:paraId="61F002FC" w14:textId="77777777" w:rsidR="00580328" w:rsidRDefault="00580328" w:rsidP="00E62EC9">
      <w:pPr>
        <w:spacing w:after="0" w:line="300" w:lineRule="auto"/>
      </w:pPr>
    </w:p>
    <w:sectPr w:rsidR="0058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70CB0"/>
    <w:multiLevelType w:val="hybridMultilevel"/>
    <w:tmpl w:val="47A05C28"/>
    <w:lvl w:ilvl="0" w:tplc="04150011">
      <w:start w:val="1"/>
      <w:numFmt w:val="decimal"/>
      <w:lvlText w:val="%1)"/>
      <w:lvlJc w:val="left"/>
      <w:pPr>
        <w:ind w:left="720" w:hanging="360"/>
      </w:pPr>
    </w:lvl>
    <w:lvl w:ilvl="1" w:tplc="D47047B8">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CE3766"/>
    <w:multiLevelType w:val="hybridMultilevel"/>
    <w:tmpl w:val="0B168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676D47"/>
    <w:multiLevelType w:val="hybridMultilevel"/>
    <w:tmpl w:val="A11EADEC"/>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29027726">
    <w:abstractNumId w:val="2"/>
  </w:num>
  <w:num w:numId="2" w16cid:durableId="311831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0"/>
  </w:num>
  <w:num w:numId="4" w16cid:durableId="5788216">
    <w:abstractNumId w:val="6"/>
  </w:num>
  <w:num w:numId="5" w16cid:durableId="1820147117">
    <w:abstractNumId w:val="5"/>
  </w:num>
  <w:num w:numId="6" w16cid:durableId="1182430119">
    <w:abstractNumId w:val="1"/>
  </w:num>
  <w:num w:numId="7" w16cid:durableId="2025865972">
    <w:abstractNumId w:val="4"/>
  </w:num>
  <w:num w:numId="8" w16cid:durableId="158008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9"/>
    <w:rsid w:val="00020A89"/>
    <w:rsid w:val="000C1FB7"/>
    <w:rsid w:val="000C54ED"/>
    <w:rsid w:val="003B07D7"/>
    <w:rsid w:val="004368B7"/>
    <w:rsid w:val="004771D3"/>
    <w:rsid w:val="004D27A6"/>
    <w:rsid w:val="00580328"/>
    <w:rsid w:val="007B4FBB"/>
    <w:rsid w:val="00DC41A9"/>
    <w:rsid w:val="00E62EC9"/>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65BB"/>
  <w15:chartTrackingRefBased/>
  <w15:docId w15:val="{67C3F8B5-69D5-4A3E-A425-8216CB36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2EC9"/>
    <w:pPr>
      <w:spacing w:after="200" w:line="276" w:lineRule="auto"/>
    </w:pPr>
    <w:rPr>
      <w:kern w:val="0"/>
      <w14:ligatures w14:val="none"/>
    </w:rPr>
  </w:style>
  <w:style w:type="paragraph" w:styleId="Nagwek1">
    <w:name w:val="heading 1"/>
    <w:basedOn w:val="Normalny"/>
    <w:next w:val="Normalny"/>
    <w:link w:val="Nagwek1Znak"/>
    <w:uiPriority w:val="9"/>
    <w:qFormat/>
    <w:rsid w:val="00E6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E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E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E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E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E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E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E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EC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EC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E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E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E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E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E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E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EC9"/>
    <w:rPr>
      <w:rFonts w:eastAsiaTheme="majorEastAsia" w:cstheme="majorBidi"/>
      <w:color w:val="272727" w:themeColor="text1" w:themeTint="D8"/>
    </w:rPr>
  </w:style>
  <w:style w:type="paragraph" w:styleId="Tytu">
    <w:name w:val="Title"/>
    <w:basedOn w:val="Normalny"/>
    <w:next w:val="Normalny"/>
    <w:link w:val="TytuZnak"/>
    <w:uiPriority w:val="10"/>
    <w:qFormat/>
    <w:rsid w:val="00E62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E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E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E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EC9"/>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EC9"/>
    <w:rPr>
      <w:i/>
      <w:iCs/>
      <w:color w:val="404040" w:themeColor="text1" w:themeTint="BF"/>
    </w:rPr>
  </w:style>
  <w:style w:type="paragraph" w:styleId="Akapitzlist">
    <w:name w:val="List Paragraph"/>
    <w:basedOn w:val="Normalny"/>
    <w:uiPriority w:val="34"/>
    <w:qFormat/>
    <w:rsid w:val="00E62EC9"/>
    <w:pPr>
      <w:ind w:left="720"/>
      <w:contextualSpacing/>
    </w:pPr>
  </w:style>
  <w:style w:type="character" w:styleId="Wyrnienieintensywne">
    <w:name w:val="Intense Emphasis"/>
    <w:basedOn w:val="Domylnaczcionkaakapitu"/>
    <w:uiPriority w:val="21"/>
    <w:qFormat/>
    <w:rsid w:val="00E62EC9"/>
    <w:rPr>
      <w:i/>
      <w:iCs/>
      <w:color w:val="0F4761" w:themeColor="accent1" w:themeShade="BF"/>
    </w:rPr>
  </w:style>
  <w:style w:type="paragraph" w:styleId="Cytatintensywny">
    <w:name w:val="Intense Quote"/>
    <w:basedOn w:val="Normalny"/>
    <w:next w:val="Normalny"/>
    <w:link w:val="CytatintensywnyZnak"/>
    <w:uiPriority w:val="30"/>
    <w:qFormat/>
    <w:rsid w:val="00E6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EC9"/>
    <w:rPr>
      <w:i/>
      <w:iCs/>
      <w:color w:val="0F4761" w:themeColor="accent1" w:themeShade="BF"/>
    </w:rPr>
  </w:style>
  <w:style w:type="character" w:styleId="Odwoanieintensywne">
    <w:name w:val="Intense Reference"/>
    <w:basedOn w:val="Domylnaczcionkaakapitu"/>
    <w:uiPriority w:val="32"/>
    <w:qFormat/>
    <w:rsid w:val="00E62EC9"/>
    <w:rPr>
      <w:b/>
      <w:bCs/>
      <w:smallCaps/>
      <w:color w:val="0F4761" w:themeColor="accent1" w:themeShade="BF"/>
      <w:spacing w:val="5"/>
    </w:rPr>
  </w:style>
  <w:style w:type="character" w:customStyle="1" w:styleId="markedcontent">
    <w:name w:val="markedcontent"/>
    <w:basedOn w:val="Domylnaczcionkaakapitu"/>
    <w:rsid w:val="00E62EC9"/>
  </w:style>
  <w:style w:type="character" w:styleId="Hipercze">
    <w:name w:val="Hyperlink"/>
    <w:basedOn w:val="Domylnaczcionkaakapitu"/>
    <w:uiPriority w:val="99"/>
    <w:unhideWhenUsed/>
    <w:rsid w:val="000C1FB7"/>
    <w:rPr>
      <w:color w:val="467886" w:themeColor="hyperlink"/>
      <w:u w:val="single"/>
    </w:rPr>
  </w:style>
  <w:style w:type="character" w:styleId="Nierozpoznanawzmianka">
    <w:name w:val="Unresolved Mention"/>
    <w:basedOn w:val="Domylnaczcionkaakapitu"/>
    <w:uiPriority w:val="99"/>
    <w:semiHidden/>
    <w:unhideWhenUsed/>
    <w:rsid w:val="000C1FB7"/>
    <w:rPr>
      <w:color w:val="605E5C"/>
      <w:shd w:val="clear" w:color="auto" w:fill="E1DFDD"/>
    </w:rPr>
  </w:style>
  <w:style w:type="character" w:styleId="UyteHipercze">
    <w:name w:val="FollowedHyperlink"/>
    <w:basedOn w:val="Domylnaczcionkaakapitu"/>
    <w:uiPriority w:val="99"/>
    <w:semiHidden/>
    <w:unhideWhenUsed/>
    <w:rsid w:val="000C1F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9752/katalog/13200624#132006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cja.rcl.gov.pl/projekt/12409802/katalog/13201159#132011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9804/katalog/13201260#13201260" TargetMode="External"/><Relationship Id="rId11" Type="http://schemas.openxmlformats.org/officeDocument/2006/relationships/hyperlink" Target="https://legislacja.rcl.gov.pl/projekt/12409754/katalog/13200710#13200710" TargetMode="External"/><Relationship Id="rId5" Type="http://schemas.openxmlformats.org/officeDocument/2006/relationships/image" Target="media/image1.png"/><Relationship Id="rId10" Type="http://schemas.openxmlformats.org/officeDocument/2006/relationships/hyperlink" Target="https://legislacja.rcl.gov.pl/projekt/12409753/katalog/13200667#13200667" TargetMode="External"/><Relationship Id="rId4" Type="http://schemas.openxmlformats.org/officeDocument/2006/relationships/webSettings" Target="webSettings.xml"/><Relationship Id="rId9" Type="http://schemas.openxmlformats.org/officeDocument/2006/relationships/hyperlink" Target="https://eeagrants.org/pl/poland/podstawy-praw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4905</Words>
  <Characters>29430</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7</cp:revision>
  <dcterms:created xsi:type="dcterms:W3CDTF">2026-05-07T09:52:00Z</dcterms:created>
  <dcterms:modified xsi:type="dcterms:W3CDTF">2026-05-07T11:18:00Z</dcterms:modified>
</cp:coreProperties>
</file>